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4A7" w:rsidRDefault="00B224A7" w:rsidP="00B224A7">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Legislative Sovereignty: Moving from Jurisprudence towards Metaphysics</w:t>
      </w:r>
    </w:p>
    <w:p w:rsidR="00B224A7" w:rsidRDefault="00B224A7" w:rsidP="00B224A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Author </w:t>
      </w:r>
    </w:p>
    <w:p w:rsidR="00B224A7" w:rsidRDefault="00B224A7" w:rsidP="00B224A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Marc R. Johnson </w:t>
      </w:r>
    </w:p>
    <w:p w:rsidR="00B224A7" w:rsidRDefault="00B224A7" w:rsidP="00B224A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Lecturer at the Truman </w:t>
      </w:r>
      <w:proofErr w:type="spellStart"/>
      <w:r>
        <w:rPr>
          <w:rFonts w:ascii="Times New Roman" w:hAnsi="Times New Roman" w:cs="Times New Roman"/>
          <w:sz w:val="24"/>
          <w:szCs w:val="24"/>
        </w:rPr>
        <w:t>Bodden</w:t>
      </w:r>
      <w:proofErr w:type="spellEnd"/>
      <w:r>
        <w:rPr>
          <w:rFonts w:ascii="Times New Roman" w:hAnsi="Times New Roman" w:cs="Times New Roman"/>
          <w:sz w:val="24"/>
          <w:szCs w:val="24"/>
        </w:rPr>
        <w:t xml:space="preserve"> Law School of the Cayman Islands, and University of Liverpool.</w:t>
      </w:r>
    </w:p>
    <w:p w:rsidR="00B224A7" w:rsidRDefault="00B224A7" w:rsidP="00B224A7">
      <w:pPr>
        <w:spacing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ORCiD</w:t>
      </w:r>
      <w:proofErr w:type="spellEnd"/>
      <w:r>
        <w:rPr>
          <w:rFonts w:ascii="Times New Roman" w:hAnsi="Times New Roman" w:cs="Times New Roman"/>
          <w:sz w:val="24"/>
          <w:szCs w:val="24"/>
        </w:rPr>
        <w:t xml:space="preserve"> - https://orcid.org/0000-0002-6922-549X</w:t>
      </w:r>
    </w:p>
    <w:p w:rsidR="00B224A7" w:rsidRDefault="00B224A7" w:rsidP="00B224A7">
      <w:pPr>
        <w:spacing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ResearchGate</w:t>
      </w:r>
      <w:proofErr w:type="spellEnd"/>
      <w:r>
        <w:rPr>
          <w:rFonts w:ascii="Times New Roman" w:hAnsi="Times New Roman" w:cs="Times New Roman"/>
          <w:sz w:val="24"/>
          <w:szCs w:val="24"/>
        </w:rPr>
        <w:t xml:space="preserve"> - </w:t>
      </w:r>
      <w:hyperlink r:id="rId8" w:history="1">
        <w:r>
          <w:rPr>
            <w:rStyle w:val="Hyperlink"/>
            <w:rFonts w:ascii="Times New Roman" w:hAnsi="Times New Roman" w:cs="Times New Roman"/>
            <w:sz w:val="24"/>
            <w:szCs w:val="24"/>
          </w:rPr>
          <w:t>https://www.researchgate.net/profile/Marc_Johnson14</w:t>
        </w:r>
      </w:hyperlink>
    </w:p>
    <w:p w:rsidR="00B224A7" w:rsidRDefault="00B224A7" w:rsidP="00B224A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Email address – marc.johnson@liverpool.ac.uk</w:t>
      </w:r>
    </w:p>
    <w:p w:rsidR="00B224A7" w:rsidRDefault="00B224A7" w:rsidP="00B224A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rsidR="00B224A7" w:rsidRDefault="00B224A7" w:rsidP="00B224A7">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Legislative sovereignty is often discussed with one eye on the past and one eye on the procedural functions of law-making in the present. This limits the scope for a conceptual understanding of legislative sovereignty and hinders its theoretical progress. This article argues that legislative sovereignty contains within it the concept of an idol and that understanding the scope and impact of the idol of sovereignty is necessary for future development in this field. Theories from Kant, Nietzsche, von Mises and Derrida are used to offer a divergent critique of legislative sovereignty while the author calls for a move towards a nuanced view of legislative and Parliamentary Sovereignty to account for its idolism. The key factor preventing the development of a truly nuanced and reflective theory of sovereignty is the devotion to former idols which are inoperable and inconsistent with modern geopolitical, inter-state relationships. The author also argues that our knowledge of sovereignty is </w:t>
      </w:r>
      <w:r>
        <w:rPr>
          <w:rFonts w:ascii="Times New Roman" w:hAnsi="Times New Roman" w:cs="Times New Roman"/>
          <w:i/>
          <w:sz w:val="24"/>
          <w:szCs w:val="24"/>
        </w:rPr>
        <w:t xml:space="preserve">synthetic a priori </w:t>
      </w:r>
      <w:r>
        <w:rPr>
          <w:rFonts w:ascii="Times New Roman" w:hAnsi="Times New Roman" w:cs="Times New Roman"/>
          <w:sz w:val="24"/>
          <w:szCs w:val="24"/>
        </w:rPr>
        <w:t xml:space="preserve">and that development in this area can only be by reason, as knowledge derived experientially is subject to the Kantian Transcendental Idealism. </w:t>
      </w:r>
    </w:p>
    <w:p w:rsidR="00B224A7" w:rsidRDefault="00B224A7" w:rsidP="00B224A7">
      <w:pPr>
        <w:spacing w:line="360" w:lineRule="auto"/>
        <w:jc w:val="both"/>
        <w:rPr>
          <w:rFonts w:ascii="Times New Roman" w:hAnsi="Times New Roman" w:cs="Times New Roman"/>
          <w:b/>
          <w:sz w:val="24"/>
          <w:szCs w:val="24"/>
        </w:rPr>
      </w:pPr>
      <w:r>
        <w:rPr>
          <w:rFonts w:ascii="Times New Roman" w:hAnsi="Times New Roman" w:cs="Times New Roman"/>
          <w:b/>
          <w:sz w:val="24"/>
          <w:szCs w:val="24"/>
        </w:rPr>
        <w:t>Keywords</w:t>
      </w:r>
    </w:p>
    <w:p w:rsidR="00B224A7" w:rsidRDefault="00B224A7" w:rsidP="00B224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Sovereignty, Parliament, Jurisdiction, Metaphysics, Philosophy of Law </w:t>
      </w:r>
    </w:p>
    <w:p w:rsidR="00B224A7" w:rsidRDefault="00B224A7" w:rsidP="00B224A7">
      <w:pPr>
        <w:spacing w:line="360" w:lineRule="auto"/>
        <w:jc w:val="both"/>
        <w:rPr>
          <w:rFonts w:ascii="Times New Roman" w:hAnsi="Times New Roman" w:cs="Times New Roman"/>
          <w:b/>
          <w:sz w:val="24"/>
          <w:szCs w:val="24"/>
        </w:rPr>
      </w:pPr>
      <w:r>
        <w:rPr>
          <w:rFonts w:ascii="Times New Roman" w:hAnsi="Times New Roman" w:cs="Times New Roman"/>
          <w:b/>
          <w:sz w:val="24"/>
          <w:szCs w:val="24"/>
        </w:rPr>
        <w:t>Funding</w:t>
      </w:r>
    </w:p>
    <w:p w:rsidR="00B224A7" w:rsidRDefault="00B224A7" w:rsidP="00B224A7">
      <w:pPr>
        <w:spacing w:line="360" w:lineRule="auto"/>
        <w:jc w:val="both"/>
      </w:pPr>
      <w:r>
        <w:rPr>
          <w:rFonts w:ascii="Times New Roman" w:hAnsi="Times New Roman" w:cs="Times New Roman"/>
          <w:sz w:val="24"/>
          <w:szCs w:val="24"/>
        </w:rPr>
        <w:t xml:space="preserve">No funding was received for this research project. </w:t>
      </w:r>
    </w:p>
    <w:p w:rsidR="00B224A7" w:rsidRDefault="00B224A7" w:rsidP="008D1711">
      <w:pPr>
        <w:spacing w:line="360" w:lineRule="auto"/>
        <w:jc w:val="center"/>
        <w:rPr>
          <w:rFonts w:ascii="Times New Roman" w:hAnsi="Times New Roman" w:cs="Times New Roman"/>
          <w:b/>
          <w:sz w:val="24"/>
          <w:szCs w:val="24"/>
          <w:u w:val="single"/>
        </w:rPr>
      </w:pPr>
    </w:p>
    <w:p w:rsidR="001D5C6E" w:rsidRDefault="00077E8E" w:rsidP="008D1711">
      <w:pPr>
        <w:spacing w:line="360" w:lineRule="auto"/>
        <w:jc w:val="center"/>
        <w:rPr>
          <w:rFonts w:ascii="Times New Roman" w:hAnsi="Times New Roman" w:cs="Times New Roman"/>
          <w:b/>
          <w:sz w:val="24"/>
          <w:szCs w:val="24"/>
          <w:u w:val="single"/>
        </w:rPr>
      </w:pPr>
      <w:r w:rsidRPr="00567BC2">
        <w:rPr>
          <w:rFonts w:ascii="Times New Roman" w:hAnsi="Times New Roman" w:cs="Times New Roman"/>
          <w:b/>
          <w:sz w:val="24"/>
          <w:szCs w:val="24"/>
          <w:u w:val="single"/>
        </w:rPr>
        <w:lastRenderedPageBreak/>
        <w:t xml:space="preserve">Legislative </w:t>
      </w:r>
      <w:r w:rsidR="00C12366" w:rsidRPr="00567BC2">
        <w:rPr>
          <w:rFonts w:ascii="Times New Roman" w:hAnsi="Times New Roman" w:cs="Times New Roman"/>
          <w:b/>
          <w:sz w:val="24"/>
          <w:szCs w:val="24"/>
          <w:u w:val="single"/>
        </w:rPr>
        <w:t>Sovereignty</w:t>
      </w:r>
      <w:r w:rsidR="00E70710">
        <w:rPr>
          <w:rFonts w:ascii="Times New Roman" w:hAnsi="Times New Roman" w:cs="Times New Roman"/>
          <w:b/>
          <w:sz w:val="24"/>
          <w:szCs w:val="24"/>
          <w:u w:val="single"/>
        </w:rPr>
        <w:t>: Moving from Jurisprudence towards Metaphysics</w:t>
      </w:r>
    </w:p>
    <w:p w:rsidR="008D1711" w:rsidRPr="008D1711" w:rsidRDefault="008D1711" w:rsidP="008D1711">
      <w:pPr>
        <w:spacing w:line="360" w:lineRule="auto"/>
        <w:jc w:val="center"/>
        <w:rPr>
          <w:rFonts w:ascii="Times New Roman" w:hAnsi="Times New Roman" w:cs="Times New Roman"/>
          <w:b/>
          <w:sz w:val="24"/>
          <w:szCs w:val="24"/>
          <w:u w:val="single"/>
        </w:rPr>
      </w:pPr>
    </w:p>
    <w:p w:rsidR="00095240" w:rsidRPr="001D5C6E" w:rsidRDefault="001D5C6E" w:rsidP="007C5246">
      <w:pPr>
        <w:spacing w:line="360" w:lineRule="auto"/>
        <w:jc w:val="both"/>
        <w:rPr>
          <w:rFonts w:ascii="Times New Roman" w:hAnsi="Times New Roman" w:cs="Times New Roman"/>
          <w:b/>
          <w:sz w:val="24"/>
          <w:szCs w:val="24"/>
        </w:rPr>
      </w:pPr>
      <w:r w:rsidRPr="001D5C6E">
        <w:rPr>
          <w:rFonts w:ascii="Times New Roman" w:hAnsi="Times New Roman" w:cs="Times New Roman"/>
          <w:b/>
          <w:sz w:val="24"/>
          <w:szCs w:val="24"/>
        </w:rPr>
        <w:t>Introduction</w:t>
      </w:r>
    </w:p>
    <w:p w:rsidR="00DB66BB" w:rsidRPr="00567BC2" w:rsidRDefault="00CF50AB"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 xml:space="preserve">The term </w:t>
      </w:r>
      <w:r w:rsidR="00D22D65">
        <w:rPr>
          <w:rFonts w:ascii="Times New Roman" w:hAnsi="Times New Roman" w:cs="Times New Roman"/>
          <w:sz w:val="24"/>
          <w:szCs w:val="24"/>
        </w:rPr>
        <w:t>‘</w:t>
      </w:r>
      <w:r w:rsidRPr="00567BC2">
        <w:rPr>
          <w:rFonts w:ascii="Times New Roman" w:hAnsi="Times New Roman" w:cs="Times New Roman"/>
          <w:sz w:val="24"/>
          <w:szCs w:val="24"/>
        </w:rPr>
        <w:t>Brexit</w:t>
      </w:r>
      <w:r w:rsidR="00D22D65">
        <w:rPr>
          <w:rFonts w:ascii="Times New Roman" w:hAnsi="Times New Roman" w:cs="Times New Roman"/>
          <w:sz w:val="24"/>
          <w:szCs w:val="24"/>
        </w:rPr>
        <w:t>’</w:t>
      </w:r>
      <w:r w:rsidRPr="00567BC2">
        <w:rPr>
          <w:rFonts w:ascii="Times New Roman" w:hAnsi="Times New Roman" w:cs="Times New Roman"/>
          <w:sz w:val="24"/>
          <w:szCs w:val="24"/>
        </w:rPr>
        <w:t xml:space="preserve"> invariably invokes an emotive response in many; however, prior to 2012</w:t>
      </w:r>
      <w:r w:rsidR="006E48A4">
        <w:rPr>
          <w:rFonts w:ascii="Times New Roman" w:hAnsi="Times New Roman" w:cs="Times New Roman"/>
          <w:sz w:val="24"/>
          <w:szCs w:val="24"/>
        </w:rPr>
        <w:t>,</w:t>
      </w:r>
      <w:r w:rsidRPr="00567BC2">
        <w:rPr>
          <w:rFonts w:ascii="Times New Roman" w:hAnsi="Times New Roman" w:cs="Times New Roman"/>
          <w:sz w:val="24"/>
          <w:szCs w:val="24"/>
        </w:rPr>
        <w:t xml:space="preserve"> there was no recorded mention of the term in Hansard. The first recorded </w:t>
      </w:r>
      <w:r w:rsidR="008C6351" w:rsidRPr="00567BC2">
        <w:rPr>
          <w:rFonts w:ascii="Times New Roman" w:hAnsi="Times New Roman" w:cs="Times New Roman"/>
          <w:sz w:val="24"/>
          <w:szCs w:val="24"/>
        </w:rPr>
        <w:t>mention of the word appears in the House of Lords’ Motion to Take Note on the 17 December 2012</w:t>
      </w:r>
      <w:r w:rsidR="008C6351" w:rsidRPr="00567BC2">
        <w:rPr>
          <w:rStyle w:val="FootnoteReference"/>
          <w:rFonts w:ascii="Times New Roman" w:hAnsi="Times New Roman" w:cs="Times New Roman"/>
          <w:sz w:val="24"/>
          <w:szCs w:val="24"/>
        </w:rPr>
        <w:footnoteReference w:id="1"/>
      </w:r>
      <w:r w:rsidR="008C6351" w:rsidRPr="00567BC2">
        <w:rPr>
          <w:rFonts w:ascii="Times New Roman" w:hAnsi="Times New Roman" w:cs="Times New Roman"/>
          <w:sz w:val="24"/>
          <w:szCs w:val="24"/>
        </w:rPr>
        <w:t xml:space="preserve">. </w:t>
      </w:r>
      <w:r w:rsidR="00D22D65">
        <w:rPr>
          <w:rFonts w:ascii="Times New Roman" w:hAnsi="Times New Roman" w:cs="Times New Roman"/>
          <w:sz w:val="24"/>
          <w:szCs w:val="24"/>
        </w:rPr>
        <w:t xml:space="preserve">During </w:t>
      </w:r>
      <w:r w:rsidR="00B85D96" w:rsidRPr="00567BC2">
        <w:rPr>
          <w:rFonts w:ascii="Times New Roman" w:hAnsi="Times New Roman" w:cs="Times New Roman"/>
          <w:sz w:val="24"/>
          <w:szCs w:val="24"/>
        </w:rPr>
        <w:t xml:space="preserve">this </w:t>
      </w:r>
      <w:r w:rsidR="00D22D65">
        <w:rPr>
          <w:rFonts w:ascii="Times New Roman" w:hAnsi="Times New Roman" w:cs="Times New Roman"/>
          <w:sz w:val="24"/>
          <w:szCs w:val="24"/>
        </w:rPr>
        <w:t xml:space="preserve">same </w:t>
      </w:r>
      <w:r w:rsidR="00B85D96" w:rsidRPr="00567BC2">
        <w:rPr>
          <w:rFonts w:ascii="Times New Roman" w:hAnsi="Times New Roman" w:cs="Times New Roman"/>
          <w:sz w:val="24"/>
          <w:szCs w:val="24"/>
        </w:rPr>
        <w:t xml:space="preserve">debate, </w:t>
      </w:r>
      <w:r w:rsidR="00F27448" w:rsidRPr="00567BC2">
        <w:rPr>
          <w:rFonts w:ascii="Times New Roman" w:hAnsi="Times New Roman" w:cs="Times New Roman"/>
          <w:sz w:val="24"/>
          <w:szCs w:val="24"/>
        </w:rPr>
        <w:t>Lord McConnell of Glenscorrodale said:</w:t>
      </w:r>
    </w:p>
    <w:p w:rsidR="00F27448" w:rsidRPr="00567BC2" w:rsidRDefault="00F27448" w:rsidP="007C5246">
      <w:pPr>
        <w:spacing w:line="360" w:lineRule="auto"/>
        <w:ind w:left="720"/>
        <w:jc w:val="both"/>
        <w:rPr>
          <w:rFonts w:ascii="Times New Roman" w:hAnsi="Times New Roman" w:cs="Times New Roman"/>
          <w:sz w:val="24"/>
          <w:szCs w:val="24"/>
        </w:rPr>
      </w:pPr>
      <w:r w:rsidRPr="00567BC2">
        <w:rPr>
          <w:rFonts w:ascii="Times New Roman" w:hAnsi="Times New Roman" w:cs="Times New Roman"/>
          <w:sz w:val="24"/>
          <w:szCs w:val="24"/>
        </w:rPr>
        <w:t>They [referring to young people in Croatia] recognise that in today’s world the pooling of sovereignty—not just the seat at the table, or the benefits that come from the odd grant from the European Commission—is an essential part of contributing to today’s world and looking after our common and individual interests.</w:t>
      </w:r>
      <w:r w:rsidRPr="00567BC2">
        <w:rPr>
          <w:rStyle w:val="FootnoteReference"/>
          <w:rFonts w:ascii="Times New Roman" w:hAnsi="Times New Roman" w:cs="Times New Roman"/>
          <w:sz w:val="24"/>
          <w:szCs w:val="24"/>
        </w:rPr>
        <w:footnoteReference w:id="2"/>
      </w:r>
    </w:p>
    <w:p w:rsidR="0041207B" w:rsidRDefault="00F27448"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At the outset, four years prior to the United Kingdom’s (UK) vote to leave the European Union in 2016, there were debates as to the state of the UK’s sovereignty. It became apparent in that debate, as with many prior debates in the House of Commons and Lords, that there were different views on whether the UK had retained its sovereignty when entering, and remaining in</w:t>
      </w:r>
      <w:r w:rsidR="00D22D65">
        <w:rPr>
          <w:rFonts w:ascii="Times New Roman" w:hAnsi="Times New Roman" w:cs="Times New Roman"/>
          <w:sz w:val="24"/>
          <w:szCs w:val="24"/>
        </w:rPr>
        <w:t>,</w:t>
      </w:r>
      <w:r w:rsidRPr="00567BC2">
        <w:rPr>
          <w:rFonts w:ascii="Times New Roman" w:hAnsi="Times New Roman" w:cs="Times New Roman"/>
          <w:sz w:val="24"/>
          <w:szCs w:val="24"/>
        </w:rPr>
        <w:t xml:space="preserve"> the European Union (EU). These debates are predicated on a </w:t>
      </w:r>
      <w:r w:rsidR="0041207B">
        <w:rPr>
          <w:rFonts w:ascii="Times New Roman" w:hAnsi="Times New Roman" w:cs="Times New Roman"/>
          <w:sz w:val="24"/>
          <w:szCs w:val="24"/>
        </w:rPr>
        <w:t>discer</w:t>
      </w:r>
      <w:r w:rsidR="0041207B" w:rsidRPr="00567BC2">
        <w:rPr>
          <w:rFonts w:ascii="Times New Roman" w:hAnsi="Times New Roman" w:cs="Times New Roman"/>
          <w:sz w:val="24"/>
          <w:szCs w:val="24"/>
        </w:rPr>
        <w:t>nible</w:t>
      </w:r>
      <w:r w:rsidRPr="00567BC2">
        <w:rPr>
          <w:rFonts w:ascii="Times New Roman" w:hAnsi="Times New Roman" w:cs="Times New Roman"/>
          <w:sz w:val="24"/>
          <w:szCs w:val="24"/>
        </w:rPr>
        <w:t xml:space="preserve"> notion of sovereignty that is asserted as a single and universal state; the debates often proceed from the position that it is an obvious truth </w:t>
      </w:r>
      <w:r w:rsidR="00E71F74">
        <w:rPr>
          <w:rFonts w:ascii="Times New Roman" w:hAnsi="Times New Roman" w:cs="Times New Roman"/>
          <w:sz w:val="24"/>
          <w:szCs w:val="24"/>
        </w:rPr>
        <w:t>whether</w:t>
      </w:r>
      <w:r w:rsidRPr="00567BC2">
        <w:rPr>
          <w:rFonts w:ascii="Times New Roman" w:hAnsi="Times New Roman" w:cs="Times New Roman"/>
          <w:sz w:val="24"/>
          <w:szCs w:val="24"/>
        </w:rPr>
        <w:t xml:space="preserve"> sovereignty is extant or is not. Herein lays the problem: the word sovereignty is itself vague, misunderstood and often misrepresented. </w:t>
      </w:r>
    </w:p>
    <w:p w:rsidR="00DB66BB" w:rsidRPr="00567BC2" w:rsidRDefault="00B56A71"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 xml:space="preserve">This article aims to </w:t>
      </w:r>
      <w:r w:rsidR="0041207B" w:rsidRPr="00567BC2">
        <w:rPr>
          <w:rFonts w:ascii="Times New Roman" w:hAnsi="Times New Roman" w:cs="Times New Roman"/>
          <w:sz w:val="24"/>
          <w:szCs w:val="24"/>
        </w:rPr>
        <w:t>distinguish</w:t>
      </w:r>
      <w:r w:rsidRPr="00567BC2">
        <w:rPr>
          <w:rFonts w:ascii="Times New Roman" w:hAnsi="Times New Roman" w:cs="Times New Roman"/>
          <w:sz w:val="24"/>
          <w:szCs w:val="24"/>
        </w:rPr>
        <w:t xml:space="preserve"> the concept of sovereignty from the noise which often accompanies it in common parlance. It will do this in two parts</w:t>
      </w:r>
      <w:r w:rsidR="00D22D65">
        <w:rPr>
          <w:rFonts w:ascii="Times New Roman" w:hAnsi="Times New Roman" w:cs="Times New Roman"/>
          <w:sz w:val="24"/>
          <w:szCs w:val="24"/>
        </w:rPr>
        <w:t>:</w:t>
      </w:r>
      <w:r w:rsidRPr="00567BC2">
        <w:rPr>
          <w:rFonts w:ascii="Times New Roman" w:hAnsi="Times New Roman" w:cs="Times New Roman"/>
          <w:sz w:val="24"/>
          <w:szCs w:val="24"/>
        </w:rPr>
        <w:t xml:space="preserve"> firstly, by considering the development of the notion of sovereignty through </w:t>
      </w:r>
      <w:r w:rsidR="00567BC2">
        <w:rPr>
          <w:rFonts w:ascii="Times New Roman" w:hAnsi="Times New Roman" w:cs="Times New Roman"/>
          <w:sz w:val="24"/>
          <w:szCs w:val="24"/>
        </w:rPr>
        <w:t>antiquity,</w:t>
      </w:r>
      <w:r w:rsidRPr="00567BC2">
        <w:rPr>
          <w:rFonts w:ascii="Times New Roman" w:hAnsi="Times New Roman" w:cs="Times New Roman"/>
          <w:sz w:val="24"/>
          <w:szCs w:val="24"/>
        </w:rPr>
        <w:t xml:space="preserve"> offering historical and geo-politico-legal context to the development</w:t>
      </w:r>
      <w:r w:rsidR="0041207B">
        <w:rPr>
          <w:rFonts w:ascii="Times New Roman" w:hAnsi="Times New Roman" w:cs="Times New Roman"/>
          <w:sz w:val="24"/>
          <w:szCs w:val="24"/>
        </w:rPr>
        <w:t xml:space="preserve"> of ideas</w:t>
      </w:r>
      <w:r w:rsidRPr="00567BC2">
        <w:rPr>
          <w:rFonts w:ascii="Times New Roman" w:hAnsi="Times New Roman" w:cs="Times New Roman"/>
          <w:sz w:val="24"/>
          <w:szCs w:val="24"/>
        </w:rPr>
        <w:t>. Secondly, it will consider the current competing arguments relating to sovereignty in the UK Parliament</w:t>
      </w:r>
      <w:r w:rsidR="00D22D65">
        <w:rPr>
          <w:rFonts w:ascii="Times New Roman" w:hAnsi="Times New Roman" w:cs="Times New Roman"/>
          <w:sz w:val="24"/>
          <w:szCs w:val="24"/>
        </w:rPr>
        <w:t>;</w:t>
      </w:r>
      <w:r w:rsidRPr="00567BC2">
        <w:rPr>
          <w:rFonts w:ascii="Times New Roman" w:hAnsi="Times New Roman" w:cs="Times New Roman"/>
          <w:sz w:val="24"/>
          <w:szCs w:val="24"/>
        </w:rPr>
        <w:t xml:space="preserve"> in doing so, </w:t>
      </w:r>
      <w:r w:rsidR="00C505B2" w:rsidRPr="00567BC2">
        <w:rPr>
          <w:rFonts w:ascii="Times New Roman" w:hAnsi="Times New Roman" w:cs="Times New Roman"/>
          <w:sz w:val="24"/>
          <w:szCs w:val="24"/>
        </w:rPr>
        <w:t xml:space="preserve">it will </w:t>
      </w:r>
      <w:r w:rsidRPr="00567BC2">
        <w:rPr>
          <w:rFonts w:ascii="Times New Roman" w:hAnsi="Times New Roman" w:cs="Times New Roman"/>
          <w:sz w:val="24"/>
          <w:szCs w:val="24"/>
        </w:rPr>
        <w:t>progress the discussion of legislative sovere</w:t>
      </w:r>
      <w:r w:rsidR="00C505B2" w:rsidRPr="00567BC2">
        <w:rPr>
          <w:rFonts w:ascii="Times New Roman" w:hAnsi="Times New Roman" w:cs="Times New Roman"/>
          <w:sz w:val="24"/>
          <w:szCs w:val="24"/>
        </w:rPr>
        <w:t xml:space="preserve">ignty to Parliamentary Sovereignty. </w:t>
      </w:r>
      <w:r w:rsidR="0041207B">
        <w:rPr>
          <w:rFonts w:ascii="Times New Roman" w:hAnsi="Times New Roman" w:cs="Times New Roman"/>
          <w:sz w:val="24"/>
          <w:szCs w:val="24"/>
        </w:rPr>
        <w:t>Although t</w:t>
      </w:r>
      <w:r w:rsidR="0041207B" w:rsidRPr="00567BC2">
        <w:rPr>
          <w:rFonts w:ascii="Times New Roman" w:hAnsi="Times New Roman" w:cs="Times New Roman"/>
          <w:sz w:val="24"/>
          <w:szCs w:val="24"/>
        </w:rPr>
        <w:t>his</w:t>
      </w:r>
      <w:r w:rsidRPr="00567BC2">
        <w:rPr>
          <w:rFonts w:ascii="Times New Roman" w:hAnsi="Times New Roman" w:cs="Times New Roman"/>
          <w:sz w:val="24"/>
          <w:szCs w:val="24"/>
        </w:rPr>
        <w:t xml:space="preserve"> article is concerned with legislative sovereignty, </w:t>
      </w:r>
      <w:r w:rsidR="0041207B">
        <w:rPr>
          <w:rFonts w:ascii="Times New Roman" w:hAnsi="Times New Roman" w:cs="Times New Roman"/>
          <w:sz w:val="24"/>
          <w:szCs w:val="24"/>
        </w:rPr>
        <w:t>it</w:t>
      </w:r>
      <w:r w:rsidR="0041207B" w:rsidRPr="00567BC2">
        <w:rPr>
          <w:rFonts w:ascii="Times New Roman" w:hAnsi="Times New Roman" w:cs="Times New Roman"/>
          <w:sz w:val="24"/>
          <w:szCs w:val="24"/>
        </w:rPr>
        <w:t xml:space="preserve"> </w:t>
      </w:r>
      <w:r w:rsidRPr="00567BC2">
        <w:rPr>
          <w:rFonts w:ascii="Times New Roman" w:hAnsi="Times New Roman" w:cs="Times New Roman"/>
          <w:sz w:val="24"/>
          <w:szCs w:val="24"/>
        </w:rPr>
        <w:t xml:space="preserve">is not blind to the inherent connection that </w:t>
      </w:r>
      <w:r w:rsidR="0041207B">
        <w:rPr>
          <w:rFonts w:ascii="Times New Roman" w:hAnsi="Times New Roman" w:cs="Times New Roman"/>
          <w:sz w:val="24"/>
          <w:szCs w:val="24"/>
        </w:rPr>
        <w:t>legislative sovereignty</w:t>
      </w:r>
      <w:r w:rsidR="0041207B" w:rsidRPr="00567BC2">
        <w:rPr>
          <w:rFonts w:ascii="Times New Roman" w:hAnsi="Times New Roman" w:cs="Times New Roman"/>
          <w:sz w:val="24"/>
          <w:szCs w:val="24"/>
        </w:rPr>
        <w:t xml:space="preserve"> </w:t>
      </w:r>
      <w:r w:rsidRPr="00567BC2">
        <w:rPr>
          <w:rFonts w:ascii="Times New Roman" w:hAnsi="Times New Roman" w:cs="Times New Roman"/>
          <w:sz w:val="24"/>
          <w:szCs w:val="24"/>
        </w:rPr>
        <w:t xml:space="preserve">has with territorial sovereignty (or territorial integrity). </w:t>
      </w:r>
      <w:r w:rsidR="0041207B">
        <w:rPr>
          <w:rFonts w:ascii="Times New Roman" w:hAnsi="Times New Roman" w:cs="Times New Roman"/>
          <w:sz w:val="24"/>
          <w:szCs w:val="24"/>
        </w:rPr>
        <w:t>It is prud</w:t>
      </w:r>
      <w:r w:rsidR="00D22D65">
        <w:rPr>
          <w:rFonts w:ascii="Times New Roman" w:hAnsi="Times New Roman" w:cs="Times New Roman"/>
          <w:sz w:val="24"/>
          <w:szCs w:val="24"/>
        </w:rPr>
        <w:t>ent to note at this early stage</w:t>
      </w:r>
      <w:r w:rsidR="0041207B">
        <w:rPr>
          <w:rFonts w:ascii="Times New Roman" w:hAnsi="Times New Roman" w:cs="Times New Roman"/>
          <w:sz w:val="24"/>
          <w:szCs w:val="24"/>
        </w:rPr>
        <w:t xml:space="preserve"> that this article will not review the exceptional body of literature which already </w:t>
      </w:r>
      <w:r w:rsidR="0041207B">
        <w:rPr>
          <w:rFonts w:ascii="Times New Roman" w:hAnsi="Times New Roman" w:cs="Times New Roman"/>
          <w:sz w:val="24"/>
          <w:szCs w:val="24"/>
        </w:rPr>
        <w:lastRenderedPageBreak/>
        <w:t xml:space="preserve">exists </w:t>
      </w:r>
      <w:r w:rsidR="00D41437">
        <w:rPr>
          <w:rFonts w:ascii="Times New Roman" w:hAnsi="Times New Roman" w:cs="Times New Roman"/>
          <w:sz w:val="24"/>
          <w:szCs w:val="24"/>
        </w:rPr>
        <w:t>concerning</w:t>
      </w:r>
      <w:r w:rsidR="0041207B">
        <w:rPr>
          <w:rFonts w:ascii="Times New Roman" w:hAnsi="Times New Roman" w:cs="Times New Roman"/>
          <w:sz w:val="24"/>
          <w:szCs w:val="24"/>
        </w:rPr>
        <w:t xml:space="preserve"> Parliamentary Sovereignty and legislative sovereignty more abstractly. The reasoning</w:t>
      </w:r>
      <w:r w:rsidR="00D22D65">
        <w:rPr>
          <w:rFonts w:ascii="Times New Roman" w:hAnsi="Times New Roman" w:cs="Times New Roman"/>
          <w:sz w:val="24"/>
          <w:szCs w:val="24"/>
        </w:rPr>
        <w:t xml:space="preserve"> behind this is twofold: first</w:t>
      </w:r>
      <w:r w:rsidR="0041207B">
        <w:rPr>
          <w:rFonts w:ascii="Times New Roman" w:hAnsi="Times New Roman" w:cs="Times New Roman"/>
          <w:sz w:val="24"/>
          <w:szCs w:val="24"/>
        </w:rPr>
        <w:t xml:space="preserve">, there is a substantial body of seminal work in the field of jurisprudence relating to sovereignty. To review this would demand a much longer piece dedicated solely to that cause. Secondly, the author’s objective is to debate sovereignty from beyond jurisprudence, drawing on some philosophical ideas from, </w:t>
      </w:r>
      <w:r w:rsidR="0041207B">
        <w:rPr>
          <w:rFonts w:ascii="Times New Roman" w:hAnsi="Times New Roman" w:cs="Times New Roman"/>
          <w:i/>
          <w:sz w:val="24"/>
          <w:szCs w:val="24"/>
        </w:rPr>
        <w:t>inter alia,</w:t>
      </w:r>
      <w:r w:rsidR="0041207B">
        <w:rPr>
          <w:rFonts w:ascii="Times New Roman" w:hAnsi="Times New Roman" w:cs="Times New Roman"/>
          <w:sz w:val="24"/>
          <w:szCs w:val="24"/>
        </w:rPr>
        <w:t xml:space="preserve"> </w:t>
      </w:r>
      <w:r w:rsidR="0041207B" w:rsidRPr="00361F5E">
        <w:rPr>
          <w:rFonts w:ascii="Times New Roman" w:hAnsi="Times New Roman" w:cs="Times New Roman"/>
          <w:sz w:val="24"/>
          <w:szCs w:val="24"/>
        </w:rPr>
        <w:t>Nietzsche</w:t>
      </w:r>
      <w:r w:rsidR="00E71F74">
        <w:rPr>
          <w:rFonts w:ascii="Times New Roman" w:hAnsi="Times New Roman" w:cs="Times New Roman"/>
          <w:sz w:val="24"/>
          <w:szCs w:val="24"/>
        </w:rPr>
        <w:t>, v</w:t>
      </w:r>
      <w:r w:rsidR="0041207B">
        <w:rPr>
          <w:rFonts w:ascii="Times New Roman" w:hAnsi="Times New Roman" w:cs="Times New Roman"/>
          <w:sz w:val="24"/>
          <w:szCs w:val="24"/>
        </w:rPr>
        <w:t>on Mises, and Kant. This is not intended to dismiss the work of jurists currently occupying this field of</w:t>
      </w:r>
      <w:r w:rsidR="006439D5">
        <w:rPr>
          <w:rFonts w:ascii="Times New Roman" w:hAnsi="Times New Roman" w:cs="Times New Roman"/>
          <w:sz w:val="24"/>
          <w:szCs w:val="24"/>
        </w:rPr>
        <w:t xml:space="preserve"> jurisprudential </w:t>
      </w:r>
      <w:r w:rsidR="0041207B">
        <w:rPr>
          <w:rFonts w:ascii="Times New Roman" w:hAnsi="Times New Roman" w:cs="Times New Roman"/>
          <w:sz w:val="24"/>
          <w:szCs w:val="24"/>
        </w:rPr>
        <w:t>study; it is intended to complement their work by considering sovereignty from a drastically different vantage point. Notwithstanding</w:t>
      </w:r>
      <w:r w:rsidR="00D41437">
        <w:rPr>
          <w:rFonts w:ascii="Times New Roman" w:hAnsi="Times New Roman" w:cs="Times New Roman"/>
          <w:sz w:val="24"/>
          <w:szCs w:val="24"/>
        </w:rPr>
        <w:t xml:space="preserve"> this point, some reference will</w:t>
      </w:r>
      <w:r w:rsidR="0041207B">
        <w:rPr>
          <w:rFonts w:ascii="Times New Roman" w:hAnsi="Times New Roman" w:cs="Times New Roman"/>
          <w:sz w:val="24"/>
          <w:szCs w:val="24"/>
        </w:rPr>
        <w:t xml:space="preserve"> be made to a small number of works on sovereignty throughout this article. </w:t>
      </w:r>
    </w:p>
    <w:p w:rsidR="00AC2C56" w:rsidRDefault="00375E26"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Metaphysics</w:t>
      </w:r>
      <w:r w:rsidR="00095240" w:rsidRPr="00095240">
        <w:rPr>
          <w:rFonts w:ascii="Times New Roman" w:hAnsi="Times New Roman" w:cs="Times New Roman"/>
          <w:sz w:val="24"/>
          <w:szCs w:val="24"/>
          <w:vertAlign w:val="superscript"/>
        </w:rPr>
        <w:footnoteReference w:id="3"/>
      </w:r>
      <w:r w:rsidRPr="00567BC2">
        <w:rPr>
          <w:rFonts w:ascii="Times New Roman" w:hAnsi="Times New Roman" w:cs="Times New Roman"/>
          <w:sz w:val="24"/>
          <w:szCs w:val="24"/>
        </w:rPr>
        <w:t xml:space="preserve"> is </w:t>
      </w:r>
      <w:r w:rsidR="0041207B">
        <w:rPr>
          <w:rFonts w:ascii="Times New Roman" w:hAnsi="Times New Roman" w:cs="Times New Roman"/>
          <w:sz w:val="24"/>
          <w:szCs w:val="24"/>
        </w:rPr>
        <w:t>often defined as</w:t>
      </w:r>
      <w:r w:rsidRPr="00567BC2">
        <w:rPr>
          <w:rFonts w:ascii="Times New Roman" w:hAnsi="Times New Roman" w:cs="Times New Roman"/>
          <w:sz w:val="24"/>
          <w:szCs w:val="24"/>
        </w:rPr>
        <w:t xml:space="preserve"> knowledge of the first principle of things. Yet Kant believed that the purpose of metaphysics is to contribute to the knowledge that society</w:t>
      </w:r>
      <w:r w:rsidR="0041207B">
        <w:rPr>
          <w:rFonts w:ascii="Times New Roman" w:hAnsi="Times New Roman" w:cs="Times New Roman"/>
          <w:sz w:val="24"/>
          <w:szCs w:val="24"/>
        </w:rPr>
        <w:t xml:space="preserve"> already possesses</w:t>
      </w:r>
      <w:r w:rsidRPr="00567BC2">
        <w:rPr>
          <w:rFonts w:ascii="Times New Roman" w:hAnsi="Times New Roman" w:cs="Times New Roman"/>
          <w:sz w:val="24"/>
          <w:szCs w:val="24"/>
        </w:rPr>
        <w:t xml:space="preserve">, and in doing so </w:t>
      </w:r>
      <w:r w:rsidR="00E71F74">
        <w:rPr>
          <w:rFonts w:ascii="Times New Roman" w:hAnsi="Times New Roman" w:cs="Times New Roman"/>
          <w:sz w:val="24"/>
          <w:szCs w:val="24"/>
        </w:rPr>
        <w:t>create</w:t>
      </w:r>
      <w:r w:rsidRPr="00567BC2">
        <w:rPr>
          <w:rFonts w:ascii="Times New Roman" w:hAnsi="Times New Roman" w:cs="Times New Roman"/>
          <w:sz w:val="24"/>
          <w:szCs w:val="24"/>
        </w:rPr>
        <w:t xml:space="preserve"> new knowledge</w:t>
      </w:r>
      <w:r w:rsidR="00D22D65">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4"/>
      </w:r>
      <w:r w:rsidRPr="00567BC2">
        <w:rPr>
          <w:rFonts w:ascii="Times New Roman" w:hAnsi="Times New Roman" w:cs="Times New Roman"/>
          <w:sz w:val="24"/>
          <w:szCs w:val="24"/>
        </w:rPr>
        <w:t xml:space="preserve"> In this Kantian sense, metaphysics is </w:t>
      </w:r>
      <w:r w:rsidRPr="00885B92">
        <w:rPr>
          <w:rFonts w:ascii="Times New Roman" w:hAnsi="Times New Roman" w:cs="Times New Roman"/>
          <w:i/>
          <w:sz w:val="24"/>
          <w:szCs w:val="24"/>
        </w:rPr>
        <w:t>synthetic a prior</w:t>
      </w:r>
      <w:r w:rsidR="00F34062" w:rsidRPr="00885B92">
        <w:rPr>
          <w:rFonts w:ascii="Times New Roman" w:hAnsi="Times New Roman" w:cs="Times New Roman"/>
          <w:i/>
          <w:sz w:val="24"/>
          <w:szCs w:val="24"/>
        </w:rPr>
        <w:t>i</w:t>
      </w:r>
      <w:r w:rsidRPr="00567BC2">
        <w:rPr>
          <w:rFonts w:ascii="Times New Roman" w:hAnsi="Times New Roman" w:cs="Times New Roman"/>
          <w:sz w:val="24"/>
          <w:szCs w:val="24"/>
        </w:rPr>
        <w:t xml:space="preserve"> knowledge; </w:t>
      </w:r>
      <w:r w:rsidRPr="00567BC2">
        <w:rPr>
          <w:rFonts w:ascii="Times New Roman" w:hAnsi="Times New Roman" w:cs="Times New Roman"/>
          <w:i/>
          <w:sz w:val="24"/>
          <w:szCs w:val="24"/>
        </w:rPr>
        <w:t>viz.</w:t>
      </w:r>
      <w:r w:rsidRPr="00567BC2">
        <w:rPr>
          <w:rFonts w:ascii="Times New Roman" w:hAnsi="Times New Roman" w:cs="Times New Roman"/>
          <w:sz w:val="24"/>
          <w:szCs w:val="24"/>
        </w:rPr>
        <w:t xml:space="preserve"> knowledge which is not predicated on prior experience or definitional truths. Therefore, the objective of metaphysical investigation is the development of new knowledge beyond that which is derived from </w:t>
      </w:r>
      <w:r w:rsidRPr="00885B92">
        <w:rPr>
          <w:rFonts w:ascii="Times New Roman" w:hAnsi="Times New Roman" w:cs="Times New Roman"/>
          <w:i/>
          <w:sz w:val="24"/>
          <w:szCs w:val="24"/>
        </w:rPr>
        <w:t>a posteriori</w:t>
      </w:r>
      <w:r w:rsidRPr="00567BC2">
        <w:rPr>
          <w:rFonts w:ascii="Times New Roman" w:hAnsi="Times New Roman" w:cs="Times New Roman"/>
          <w:sz w:val="24"/>
          <w:szCs w:val="24"/>
        </w:rPr>
        <w:t xml:space="preserve"> knowledge, or the knowledge derived from experience.</w:t>
      </w:r>
      <w:r w:rsidR="0003613C">
        <w:rPr>
          <w:rFonts w:ascii="Times New Roman" w:hAnsi="Times New Roman" w:cs="Times New Roman"/>
          <w:sz w:val="24"/>
          <w:szCs w:val="24"/>
        </w:rPr>
        <w:t xml:space="preserve"> Metaphysics</w:t>
      </w:r>
      <w:r w:rsidR="00AC2C56">
        <w:rPr>
          <w:rFonts w:ascii="Times New Roman" w:hAnsi="Times New Roman" w:cs="Times New Roman"/>
          <w:sz w:val="24"/>
          <w:szCs w:val="24"/>
        </w:rPr>
        <w:t xml:space="preserve"> will be discussed later in this article. </w:t>
      </w:r>
    </w:p>
    <w:p w:rsidR="007B5763" w:rsidRDefault="00FB18AC" w:rsidP="007C52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Throughout this article, the term </w:t>
      </w:r>
      <w:r w:rsidR="00D22D65">
        <w:rPr>
          <w:rFonts w:ascii="Times New Roman" w:hAnsi="Times New Roman" w:cs="Times New Roman"/>
          <w:sz w:val="24"/>
          <w:szCs w:val="24"/>
        </w:rPr>
        <w:t>‘</w:t>
      </w:r>
      <w:r>
        <w:rPr>
          <w:rFonts w:ascii="Times New Roman" w:hAnsi="Times New Roman" w:cs="Times New Roman"/>
          <w:sz w:val="24"/>
          <w:szCs w:val="24"/>
        </w:rPr>
        <w:t>metaphysics</w:t>
      </w:r>
      <w:r w:rsidR="00D22D65">
        <w:rPr>
          <w:rFonts w:ascii="Times New Roman" w:hAnsi="Times New Roman" w:cs="Times New Roman"/>
          <w:sz w:val="24"/>
          <w:szCs w:val="24"/>
        </w:rPr>
        <w:t>’</w:t>
      </w:r>
      <w:r>
        <w:rPr>
          <w:rFonts w:ascii="Times New Roman" w:hAnsi="Times New Roman" w:cs="Times New Roman"/>
          <w:sz w:val="24"/>
          <w:szCs w:val="24"/>
        </w:rPr>
        <w:t xml:space="preserve"> will be used as </w:t>
      </w:r>
      <w:r w:rsidR="00AC2C56">
        <w:rPr>
          <w:rFonts w:ascii="Times New Roman" w:hAnsi="Times New Roman" w:cs="Times New Roman"/>
          <w:sz w:val="24"/>
          <w:szCs w:val="24"/>
        </w:rPr>
        <w:t>shorthand</w:t>
      </w:r>
      <w:r>
        <w:rPr>
          <w:rFonts w:ascii="Times New Roman" w:hAnsi="Times New Roman" w:cs="Times New Roman"/>
          <w:sz w:val="24"/>
          <w:szCs w:val="24"/>
        </w:rPr>
        <w:t xml:space="preserve"> for the </w:t>
      </w:r>
      <w:r w:rsidR="00AC2C56">
        <w:rPr>
          <w:rFonts w:ascii="Times New Roman" w:hAnsi="Times New Roman" w:cs="Times New Roman"/>
          <w:sz w:val="24"/>
          <w:szCs w:val="24"/>
        </w:rPr>
        <w:t>primary</w:t>
      </w:r>
      <w:r>
        <w:rPr>
          <w:rFonts w:ascii="Times New Roman" w:hAnsi="Times New Roman" w:cs="Times New Roman"/>
          <w:sz w:val="24"/>
          <w:szCs w:val="24"/>
        </w:rPr>
        <w:t xml:space="preserve"> or first princi</w:t>
      </w:r>
      <w:r w:rsidR="00AC2C56">
        <w:rPr>
          <w:rFonts w:ascii="Times New Roman" w:hAnsi="Times New Roman" w:cs="Times New Roman"/>
          <w:sz w:val="24"/>
          <w:szCs w:val="24"/>
        </w:rPr>
        <w:t>ple of the matter in discussion;</w:t>
      </w:r>
      <w:r>
        <w:rPr>
          <w:rFonts w:ascii="Times New Roman" w:hAnsi="Times New Roman" w:cs="Times New Roman"/>
          <w:sz w:val="24"/>
          <w:szCs w:val="24"/>
        </w:rPr>
        <w:t xml:space="preserve"> the most fundamental aspect forming part of its being. One might argue that sovereignty is</w:t>
      </w:r>
      <w:r w:rsidR="004C44FB">
        <w:rPr>
          <w:rFonts w:ascii="Times New Roman" w:hAnsi="Times New Roman" w:cs="Times New Roman"/>
          <w:sz w:val="24"/>
          <w:szCs w:val="24"/>
        </w:rPr>
        <w:t>,</w:t>
      </w:r>
      <w:r>
        <w:rPr>
          <w:rFonts w:ascii="Times New Roman" w:hAnsi="Times New Roman" w:cs="Times New Roman"/>
          <w:sz w:val="24"/>
          <w:szCs w:val="24"/>
        </w:rPr>
        <w:t xml:space="preserve"> </w:t>
      </w:r>
      <w:r w:rsidR="005944D1">
        <w:rPr>
          <w:rFonts w:ascii="Times New Roman" w:hAnsi="Times New Roman" w:cs="Times New Roman"/>
          <w:sz w:val="24"/>
          <w:szCs w:val="24"/>
        </w:rPr>
        <w:t>therefore</w:t>
      </w:r>
      <w:r w:rsidR="004C44FB">
        <w:rPr>
          <w:rFonts w:ascii="Times New Roman" w:hAnsi="Times New Roman" w:cs="Times New Roman"/>
          <w:sz w:val="24"/>
          <w:szCs w:val="24"/>
        </w:rPr>
        <w:t>,</w:t>
      </w:r>
      <w:r>
        <w:rPr>
          <w:rFonts w:ascii="Times New Roman" w:hAnsi="Times New Roman" w:cs="Times New Roman"/>
          <w:sz w:val="24"/>
          <w:szCs w:val="24"/>
        </w:rPr>
        <w:t xml:space="preserve"> the first principle matter in law-making; however, states</w:t>
      </w:r>
      <w:r w:rsidR="00D22D65">
        <w:rPr>
          <w:rFonts w:ascii="Times New Roman" w:hAnsi="Times New Roman" w:cs="Times New Roman"/>
          <w:sz w:val="24"/>
          <w:szCs w:val="24"/>
        </w:rPr>
        <w:t xml:space="preserve"> and sub-state nations</w:t>
      </w:r>
      <w:r>
        <w:rPr>
          <w:rFonts w:ascii="Times New Roman" w:hAnsi="Times New Roman" w:cs="Times New Roman"/>
          <w:sz w:val="24"/>
          <w:szCs w:val="24"/>
        </w:rPr>
        <w:t xml:space="preserve"> without legislative</w:t>
      </w:r>
      <w:r w:rsidR="00AC2C56">
        <w:rPr>
          <w:rFonts w:ascii="Times New Roman" w:hAnsi="Times New Roman" w:cs="Times New Roman"/>
          <w:sz w:val="24"/>
          <w:szCs w:val="24"/>
        </w:rPr>
        <w:t xml:space="preserve"> </w:t>
      </w:r>
      <w:r>
        <w:rPr>
          <w:rFonts w:ascii="Times New Roman" w:hAnsi="Times New Roman" w:cs="Times New Roman"/>
          <w:sz w:val="24"/>
          <w:szCs w:val="24"/>
        </w:rPr>
        <w:t xml:space="preserve">sovereignty </w:t>
      </w:r>
      <w:r w:rsidR="00D22D65">
        <w:rPr>
          <w:rFonts w:ascii="Times New Roman" w:hAnsi="Times New Roman" w:cs="Times New Roman"/>
          <w:sz w:val="24"/>
          <w:szCs w:val="24"/>
        </w:rPr>
        <w:t xml:space="preserve">in the orthodox sense </w:t>
      </w:r>
      <w:r>
        <w:rPr>
          <w:rFonts w:ascii="Times New Roman" w:hAnsi="Times New Roman" w:cs="Times New Roman"/>
          <w:sz w:val="24"/>
          <w:szCs w:val="24"/>
        </w:rPr>
        <w:t>– such as the devolv</w:t>
      </w:r>
      <w:r w:rsidR="00D22D65">
        <w:rPr>
          <w:rFonts w:ascii="Times New Roman" w:hAnsi="Times New Roman" w:cs="Times New Roman"/>
          <w:sz w:val="24"/>
          <w:szCs w:val="24"/>
        </w:rPr>
        <w:t>ed nations in the UK and the UK’s overseas territories</w:t>
      </w:r>
      <w:r>
        <w:rPr>
          <w:rFonts w:ascii="Times New Roman" w:hAnsi="Times New Roman" w:cs="Times New Roman"/>
          <w:sz w:val="24"/>
          <w:szCs w:val="24"/>
        </w:rPr>
        <w:t xml:space="preserve"> – produce valid la</w:t>
      </w:r>
      <w:r w:rsidR="00143BAB">
        <w:rPr>
          <w:rFonts w:ascii="Times New Roman" w:hAnsi="Times New Roman" w:cs="Times New Roman"/>
          <w:sz w:val="24"/>
          <w:szCs w:val="24"/>
        </w:rPr>
        <w:t xml:space="preserve">ws nonetheless. </w:t>
      </w:r>
      <w:r w:rsidR="00D22D65">
        <w:rPr>
          <w:rFonts w:ascii="Times New Roman" w:hAnsi="Times New Roman" w:cs="Times New Roman"/>
          <w:sz w:val="24"/>
          <w:szCs w:val="24"/>
        </w:rPr>
        <w:t>In this respect, t</w:t>
      </w:r>
      <w:r w:rsidR="00143BAB">
        <w:rPr>
          <w:rFonts w:ascii="Times New Roman" w:hAnsi="Times New Roman" w:cs="Times New Roman"/>
          <w:sz w:val="24"/>
          <w:szCs w:val="24"/>
        </w:rPr>
        <w:t>his article will attempt to discern what</w:t>
      </w:r>
      <w:r w:rsidR="00D22D65">
        <w:rPr>
          <w:rFonts w:ascii="Times New Roman" w:hAnsi="Times New Roman" w:cs="Times New Roman"/>
          <w:sz w:val="24"/>
          <w:szCs w:val="24"/>
        </w:rPr>
        <w:t>,</w:t>
      </w:r>
      <w:r w:rsidR="00143BAB">
        <w:rPr>
          <w:rFonts w:ascii="Times New Roman" w:hAnsi="Times New Roman" w:cs="Times New Roman"/>
          <w:sz w:val="24"/>
          <w:szCs w:val="24"/>
        </w:rPr>
        <w:t xml:space="preserve"> within sovereignty</w:t>
      </w:r>
      <w:r w:rsidR="00D22D65">
        <w:rPr>
          <w:rFonts w:ascii="Times New Roman" w:hAnsi="Times New Roman" w:cs="Times New Roman"/>
          <w:sz w:val="24"/>
          <w:szCs w:val="24"/>
        </w:rPr>
        <w:t>,</w:t>
      </w:r>
      <w:r w:rsidR="00143BAB">
        <w:rPr>
          <w:rFonts w:ascii="Times New Roman" w:hAnsi="Times New Roman" w:cs="Times New Roman"/>
          <w:sz w:val="24"/>
          <w:szCs w:val="24"/>
        </w:rPr>
        <w:t xml:space="preserve"> can be considered metaphysical.</w:t>
      </w:r>
      <w:r w:rsidR="00375E26" w:rsidRPr="00567BC2">
        <w:rPr>
          <w:rFonts w:ascii="Times New Roman" w:hAnsi="Times New Roman" w:cs="Times New Roman"/>
          <w:i/>
          <w:sz w:val="24"/>
          <w:szCs w:val="24"/>
        </w:rPr>
        <w:t xml:space="preserve"> </w:t>
      </w:r>
      <w:r w:rsidR="00007A02">
        <w:rPr>
          <w:rFonts w:ascii="Times New Roman" w:hAnsi="Times New Roman" w:cs="Times New Roman"/>
          <w:sz w:val="24"/>
          <w:szCs w:val="24"/>
        </w:rPr>
        <w:t xml:space="preserve"> Legislative sovereignty can be summarised as a collection of law-making powers which exist in relation to a state, and which have no superior or equal</w:t>
      </w:r>
      <w:r w:rsidR="00DB726D">
        <w:rPr>
          <w:rStyle w:val="FootnoteReference"/>
          <w:rFonts w:ascii="Times New Roman" w:hAnsi="Times New Roman" w:cs="Times New Roman"/>
          <w:sz w:val="24"/>
          <w:szCs w:val="24"/>
        </w:rPr>
        <w:footnoteReference w:id="5"/>
      </w:r>
      <w:r w:rsidR="00007A02">
        <w:rPr>
          <w:rFonts w:ascii="Times New Roman" w:hAnsi="Times New Roman" w:cs="Times New Roman"/>
          <w:sz w:val="24"/>
          <w:szCs w:val="24"/>
        </w:rPr>
        <w:t>. Additionally, seldom is the distinction drawn between a state having sovereign legislative powers, and the value-laden statement that a state ‘ought’ to have sovereign legislative powers.</w:t>
      </w:r>
      <w:r w:rsidR="00C12366" w:rsidRPr="00567BC2">
        <w:rPr>
          <w:rFonts w:ascii="Times New Roman" w:hAnsi="Times New Roman" w:cs="Times New Roman"/>
          <w:sz w:val="24"/>
          <w:szCs w:val="24"/>
        </w:rPr>
        <w:t xml:space="preserve"> This is a form of a philosophical problem sometimes referred to as the ‘is/ought problem’ (often called ‘Hume’s guillotine’), and it has been discussed by many philosophers and jurists </w:t>
      </w:r>
      <w:r w:rsidR="00C12366" w:rsidRPr="00567BC2">
        <w:rPr>
          <w:rFonts w:ascii="Times New Roman" w:hAnsi="Times New Roman" w:cs="Times New Roman"/>
          <w:sz w:val="24"/>
          <w:szCs w:val="24"/>
        </w:rPr>
        <w:lastRenderedPageBreak/>
        <w:t>including but not limited to Hume</w:t>
      </w:r>
      <w:r w:rsidR="00C12366" w:rsidRPr="00567BC2">
        <w:rPr>
          <w:rStyle w:val="FootnoteReference"/>
          <w:rFonts w:ascii="Times New Roman" w:hAnsi="Times New Roman" w:cs="Times New Roman"/>
          <w:sz w:val="24"/>
          <w:szCs w:val="24"/>
        </w:rPr>
        <w:footnoteReference w:id="6"/>
      </w:r>
      <w:r w:rsidR="00C12366" w:rsidRPr="00567BC2">
        <w:rPr>
          <w:rFonts w:ascii="Times New Roman" w:hAnsi="Times New Roman" w:cs="Times New Roman"/>
          <w:sz w:val="24"/>
          <w:szCs w:val="24"/>
        </w:rPr>
        <w:t>, Finnis</w:t>
      </w:r>
      <w:r w:rsidR="00C12366" w:rsidRPr="00567BC2">
        <w:rPr>
          <w:rStyle w:val="FootnoteReference"/>
          <w:rFonts w:ascii="Times New Roman" w:hAnsi="Times New Roman" w:cs="Times New Roman"/>
          <w:sz w:val="24"/>
          <w:szCs w:val="24"/>
        </w:rPr>
        <w:footnoteReference w:id="7"/>
      </w:r>
      <w:r w:rsidR="00007A02">
        <w:rPr>
          <w:rFonts w:ascii="Times New Roman" w:hAnsi="Times New Roman" w:cs="Times New Roman"/>
          <w:sz w:val="24"/>
          <w:szCs w:val="24"/>
        </w:rPr>
        <w:t xml:space="preserve"> </w:t>
      </w:r>
      <w:r w:rsidR="00C12366" w:rsidRPr="00567BC2">
        <w:rPr>
          <w:rFonts w:ascii="Times New Roman" w:hAnsi="Times New Roman" w:cs="Times New Roman"/>
          <w:sz w:val="24"/>
          <w:szCs w:val="24"/>
        </w:rPr>
        <w:t>and Kelsen</w:t>
      </w:r>
      <w:r w:rsidR="005251A5">
        <w:rPr>
          <w:rFonts w:ascii="Times New Roman" w:hAnsi="Times New Roman" w:cs="Times New Roman"/>
          <w:sz w:val="24"/>
          <w:szCs w:val="24"/>
        </w:rPr>
        <w:t>.</w:t>
      </w:r>
      <w:r w:rsidR="00C12366" w:rsidRPr="00567BC2">
        <w:rPr>
          <w:rStyle w:val="FootnoteReference"/>
          <w:rFonts w:ascii="Times New Roman" w:hAnsi="Times New Roman" w:cs="Times New Roman"/>
          <w:sz w:val="24"/>
          <w:szCs w:val="24"/>
        </w:rPr>
        <w:footnoteReference w:id="8"/>
      </w:r>
      <w:r w:rsidR="00C12366" w:rsidRPr="00567BC2">
        <w:rPr>
          <w:rFonts w:ascii="Times New Roman" w:hAnsi="Times New Roman" w:cs="Times New Roman"/>
          <w:sz w:val="24"/>
          <w:szCs w:val="24"/>
        </w:rPr>
        <w:t xml:space="preserve"> The problem which arises with Hume’s guillotine is this: in stating that some action happens, it is not possible to conclude </w:t>
      </w:r>
      <w:r w:rsidR="00DB726D">
        <w:rPr>
          <w:rFonts w:ascii="Times New Roman" w:hAnsi="Times New Roman" w:cs="Times New Roman"/>
          <w:sz w:val="24"/>
          <w:szCs w:val="24"/>
        </w:rPr>
        <w:t xml:space="preserve">logically </w:t>
      </w:r>
      <w:r w:rsidR="00C12366" w:rsidRPr="00567BC2">
        <w:rPr>
          <w:rFonts w:ascii="Times New Roman" w:hAnsi="Times New Roman" w:cs="Times New Roman"/>
          <w:sz w:val="24"/>
          <w:szCs w:val="24"/>
        </w:rPr>
        <w:t xml:space="preserve">that the same action ought to happen </w:t>
      </w:r>
      <w:r w:rsidR="00DB726D" w:rsidRPr="00567BC2">
        <w:rPr>
          <w:rFonts w:ascii="Times New Roman" w:hAnsi="Times New Roman" w:cs="Times New Roman"/>
          <w:sz w:val="24"/>
          <w:szCs w:val="24"/>
        </w:rPr>
        <w:t>always</w:t>
      </w:r>
      <w:r w:rsidR="00E71F74">
        <w:rPr>
          <w:rFonts w:ascii="Times New Roman" w:hAnsi="Times New Roman" w:cs="Times New Roman"/>
          <w:sz w:val="24"/>
          <w:szCs w:val="24"/>
        </w:rPr>
        <w:t>,</w:t>
      </w:r>
      <w:r w:rsidR="00DB726D" w:rsidRPr="00567BC2">
        <w:rPr>
          <w:rFonts w:ascii="Times New Roman" w:hAnsi="Times New Roman" w:cs="Times New Roman"/>
          <w:sz w:val="24"/>
          <w:szCs w:val="24"/>
        </w:rPr>
        <w:t xml:space="preserve"> </w:t>
      </w:r>
      <w:r w:rsidR="00C12366" w:rsidRPr="00567BC2">
        <w:rPr>
          <w:rFonts w:ascii="Times New Roman" w:hAnsi="Times New Roman" w:cs="Times New Roman"/>
          <w:sz w:val="24"/>
          <w:szCs w:val="24"/>
        </w:rPr>
        <w:t>without inferri</w:t>
      </w:r>
      <w:r w:rsidR="00687552">
        <w:rPr>
          <w:rFonts w:ascii="Times New Roman" w:hAnsi="Times New Roman" w:cs="Times New Roman"/>
          <w:sz w:val="24"/>
          <w:szCs w:val="24"/>
        </w:rPr>
        <w:t>ng a value system or judgment.</w:t>
      </w:r>
      <w:r w:rsidR="00F3688B">
        <w:rPr>
          <w:rFonts w:ascii="Times New Roman" w:hAnsi="Times New Roman" w:cs="Times New Roman"/>
          <w:sz w:val="24"/>
          <w:szCs w:val="24"/>
        </w:rPr>
        <w:t xml:space="preserve"> In converting a positive ‘is’ statement to a normative ‘ought’ statement, the </w:t>
      </w:r>
      <w:r w:rsidR="005251A5">
        <w:rPr>
          <w:rFonts w:ascii="Times New Roman" w:hAnsi="Times New Roman" w:cs="Times New Roman"/>
          <w:sz w:val="24"/>
          <w:szCs w:val="24"/>
        </w:rPr>
        <w:t>‘</w:t>
      </w:r>
      <w:r w:rsidR="00F3688B">
        <w:rPr>
          <w:rFonts w:ascii="Times New Roman" w:hAnsi="Times New Roman" w:cs="Times New Roman"/>
          <w:sz w:val="24"/>
          <w:szCs w:val="24"/>
        </w:rPr>
        <w:t>proposer</w:t>
      </w:r>
      <w:r w:rsidR="005251A5">
        <w:rPr>
          <w:rFonts w:ascii="Times New Roman" w:hAnsi="Times New Roman" w:cs="Times New Roman"/>
          <w:sz w:val="24"/>
          <w:szCs w:val="24"/>
        </w:rPr>
        <w:t>’</w:t>
      </w:r>
      <w:r w:rsidR="00F3688B">
        <w:rPr>
          <w:rFonts w:ascii="Times New Roman" w:hAnsi="Times New Roman" w:cs="Times New Roman"/>
          <w:sz w:val="24"/>
          <w:szCs w:val="24"/>
        </w:rPr>
        <w:t xml:space="preserve"> asserts that the </w:t>
      </w:r>
      <w:r w:rsidR="005251A5">
        <w:rPr>
          <w:rFonts w:ascii="Times New Roman" w:hAnsi="Times New Roman" w:cs="Times New Roman"/>
          <w:sz w:val="24"/>
          <w:szCs w:val="24"/>
        </w:rPr>
        <w:t>‘</w:t>
      </w:r>
      <w:r w:rsidR="00F3688B">
        <w:rPr>
          <w:rFonts w:ascii="Times New Roman" w:hAnsi="Times New Roman" w:cs="Times New Roman"/>
          <w:sz w:val="24"/>
          <w:szCs w:val="24"/>
        </w:rPr>
        <w:t>receiver</w:t>
      </w:r>
      <w:r w:rsidR="005251A5">
        <w:rPr>
          <w:rFonts w:ascii="Times New Roman" w:hAnsi="Times New Roman" w:cs="Times New Roman"/>
          <w:sz w:val="24"/>
          <w:szCs w:val="24"/>
        </w:rPr>
        <w:t>’</w:t>
      </w:r>
      <w:r w:rsidR="00F3688B">
        <w:rPr>
          <w:rFonts w:ascii="Times New Roman" w:hAnsi="Times New Roman" w:cs="Times New Roman"/>
          <w:sz w:val="24"/>
          <w:szCs w:val="24"/>
        </w:rPr>
        <w:t xml:space="preserve"> is under a moral duty or obligation to act in a certain way. This</w:t>
      </w:r>
      <w:r w:rsidR="00687552">
        <w:rPr>
          <w:rFonts w:ascii="Times New Roman" w:hAnsi="Times New Roman" w:cs="Times New Roman"/>
          <w:sz w:val="24"/>
          <w:szCs w:val="24"/>
        </w:rPr>
        <w:t>,</w:t>
      </w:r>
      <w:r w:rsidR="00F3688B">
        <w:rPr>
          <w:rFonts w:ascii="Times New Roman" w:hAnsi="Times New Roman" w:cs="Times New Roman"/>
          <w:sz w:val="24"/>
          <w:szCs w:val="24"/>
        </w:rPr>
        <w:t xml:space="preserve"> in turn</w:t>
      </w:r>
      <w:r w:rsidR="00687552">
        <w:rPr>
          <w:rFonts w:ascii="Times New Roman" w:hAnsi="Times New Roman" w:cs="Times New Roman"/>
          <w:sz w:val="24"/>
          <w:szCs w:val="24"/>
        </w:rPr>
        <w:t>,</w:t>
      </w:r>
      <w:r w:rsidR="00F3688B">
        <w:rPr>
          <w:rFonts w:ascii="Times New Roman" w:hAnsi="Times New Roman" w:cs="Times New Roman"/>
          <w:sz w:val="24"/>
          <w:szCs w:val="24"/>
        </w:rPr>
        <w:t xml:space="preserve"> encourages the receiver to adopt the proposer’s moral position o</w:t>
      </w:r>
      <w:r w:rsidR="00687552">
        <w:rPr>
          <w:rFonts w:ascii="Times New Roman" w:hAnsi="Times New Roman" w:cs="Times New Roman"/>
          <w:sz w:val="24"/>
          <w:szCs w:val="24"/>
        </w:rPr>
        <w:t xml:space="preserve">n the subject </w:t>
      </w:r>
      <w:r w:rsidR="00F3688B">
        <w:rPr>
          <w:rFonts w:ascii="Times New Roman" w:hAnsi="Times New Roman" w:cs="Times New Roman"/>
          <w:sz w:val="24"/>
          <w:szCs w:val="24"/>
        </w:rPr>
        <w:t>matter, and the</w:t>
      </w:r>
      <w:r w:rsidR="005251A5">
        <w:rPr>
          <w:rFonts w:ascii="Times New Roman" w:hAnsi="Times New Roman" w:cs="Times New Roman"/>
          <w:sz w:val="24"/>
          <w:szCs w:val="24"/>
        </w:rPr>
        <w:t>n</w:t>
      </w:r>
      <w:r w:rsidR="00F3688B">
        <w:rPr>
          <w:rFonts w:ascii="Times New Roman" w:hAnsi="Times New Roman" w:cs="Times New Roman"/>
          <w:sz w:val="24"/>
          <w:szCs w:val="24"/>
        </w:rPr>
        <w:t xml:space="preserve"> oblige</w:t>
      </w:r>
      <w:r w:rsidR="00E71F74">
        <w:rPr>
          <w:rFonts w:ascii="Times New Roman" w:hAnsi="Times New Roman" w:cs="Times New Roman"/>
          <w:sz w:val="24"/>
          <w:szCs w:val="24"/>
        </w:rPr>
        <w:t>s</w:t>
      </w:r>
      <w:r w:rsidR="00F3688B">
        <w:rPr>
          <w:rFonts w:ascii="Times New Roman" w:hAnsi="Times New Roman" w:cs="Times New Roman"/>
          <w:sz w:val="24"/>
          <w:szCs w:val="24"/>
        </w:rPr>
        <w:t xml:space="preserve"> the receive</w:t>
      </w:r>
      <w:r w:rsidR="005251A5">
        <w:rPr>
          <w:rFonts w:ascii="Times New Roman" w:hAnsi="Times New Roman" w:cs="Times New Roman"/>
          <w:sz w:val="24"/>
          <w:szCs w:val="24"/>
        </w:rPr>
        <w:t>r</w:t>
      </w:r>
      <w:r w:rsidR="00F3688B">
        <w:rPr>
          <w:rFonts w:ascii="Times New Roman" w:hAnsi="Times New Roman" w:cs="Times New Roman"/>
          <w:sz w:val="24"/>
          <w:szCs w:val="24"/>
        </w:rPr>
        <w:t xml:space="preserve"> to comply with the </w:t>
      </w:r>
      <w:r w:rsidR="005251A5">
        <w:rPr>
          <w:rFonts w:ascii="Times New Roman" w:hAnsi="Times New Roman" w:cs="Times New Roman"/>
          <w:sz w:val="24"/>
          <w:szCs w:val="24"/>
        </w:rPr>
        <w:t>assertion</w:t>
      </w:r>
      <w:r w:rsidR="00F3688B">
        <w:rPr>
          <w:rFonts w:ascii="Times New Roman" w:hAnsi="Times New Roman" w:cs="Times New Roman"/>
          <w:sz w:val="24"/>
          <w:szCs w:val="24"/>
        </w:rPr>
        <w:t>.</w:t>
      </w:r>
      <w:r w:rsidR="00C12366" w:rsidRPr="00567BC2">
        <w:rPr>
          <w:rFonts w:ascii="Times New Roman" w:hAnsi="Times New Roman" w:cs="Times New Roman"/>
          <w:sz w:val="24"/>
          <w:szCs w:val="24"/>
        </w:rPr>
        <w:t xml:space="preserve"> </w:t>
      </w:r>
      <w:r w:rsidR="005251A5">
        <w:rPr>
          <w:rFonts w:ascii="Times New Roman" w:hAnsi="Times New Roman" w:cs="Times New Roman"/>
          <w:sz w:val="24"/>
          <w:szCs w:val="24"/>
        </w:rPr>
        <w:t>This author argues that the expression of an obligation masks an attempt to coerce the receiver to act based on the value system of the proposer</w:t>
      </w:r>
      <w:r w:rsidR="005251A5">
        <w:rPr>
          <w:rStyle w:val="FootnoteReference"/>
          <w:rFonts w:ascii="Times New Roman" w:hAnsi="Times New Roman" w:cs="Times New Roman"/>
          <w:sz w:val="24"/>
          <w:szCs w:val="24"/>
        </w:rPr>
        <w:footnoteReference w:id="9"/>
      </w:r>
      <w:r w:rsidR="005251A5">
        <w:rPr>
          <w:rFonts w:ascii="Times New Roman" w:hAnsi="Times New Roman" w:cs="Times New Roman"/>
          <w:sz w:val="24"/>
          <w:szCs w:val="24"/>
        </w:rPr>
        <w:t xml:space="preserve">. </w:t>
      </w:r>
      <w:r w:rsidR="00C12366" w:rsidRPr="00567BC2">
        <w:rPr>
          <w:rFonts w:ascii="Times New Roman" w:hAnsi="Times New Roman" w:cs="Times New Roman"/>
          <w:sz w:val="24"/>
          <w:szCs w:val="24"/>
        </w:rPr>
        <w:t>For example, the positive (factual statement) ‘Jane pays taxes’ seems close to, though not interchangeable with</w:t>
      </w:r>
      <w:r w:rsidR="009D43B4">
        <w:rPr>
          <w:rFonts w:ascii="Times New Roman" w:hAnsi="Times New Roman" w:cs="Times New Roman"/>
          <w:sz w:val="24"/>
          <w:szCs w:val="24"/>
        </w:rPr>
        <w:t>,</w:t>
      </w:r>
      <w:r w:rsidR="00C12366" w:rsidRPr="00567BC2">
        <w:rPr>
          <w:rFonts w:ascii="Times New Roman" w:hAnsi="Times New Roman" w:cs="Times New Roman"/>
          <w:sz w:val="24"/>
          <w:szCs w:val="24"/>
        </w:rPr>
        <w:t xml:space="preserve"> the normative statement ‘Jane </w:t>
      </w:r>
      <w:r w:rsidR="00F3688B">
        <w:rPr>
          <w:rFonts w:ascii="Times New Roman" w:hAnsi="Times New Roman" w:cs="Times New Roman"/>
          <w:sz w:val="24"/>
          <w:szCs w:val="24"/>
        </w:rPr>
        <w:t>ought to</w:t>
      </w:r>
      <w:r w:rsidR="00F3688B" w:rsidRPr="00567BC2">
        <w:rPr>
          <w:rFonts w:ascii="Times New Roman" w:hAnsi="Times New Roman" w:cs="Times New Roman"/>
          <w:sz w:val="24"/>
          <w:szCs w:val="24"/>
        </w:rPr>
        <w:t xml:space="preserve"> </w:t>
      </w:r>
      <w:r w:rsidR="00C12366" w:rsidRPr="00567BC2">
        <w:rPr>
          <w:rFonts w:ascii="Times New Roman" w:hAnsi="Times New Roman" w:cs="Times New Roman"/>
          <w:sz w:val="24"/>
          <w:szCs w:val="24"/>
        </w:rPr>
        <w:t>pay taxes’. This statement seems innocuous in and of itself. However, if the subject matter here is changed, but the same format is maintained</w:t>
      </w:r>
      <w:r w:rsidR="00F3688B">
        <w:rPr>
          <w:rFonts w:ascii="Times New Roman" w:hAnsi="Times New Roman" w:cs="Times New Roman"/>
          <w:sz w:val="24"/>
          <w:szCs w:val="24"/>
        </w:rPr>
        <w:t>,</w:t>
      </w:r>
      <w:r w:rsidR="00C12366" w:rsidRPr="00567BC2">
        <w:rPr>
          <w:rFonts w:ascii="Times New Roman" w:hAnsi="Times New Roman" w:cs="Times New Roman"/>
          <w:sz w:val="24"/>
          <w:szCs w:val="24"/>
        </w:rPr>
        <w:t xml:space="preserve"> it is possible to </w:t>
      </w:r>
      <w:r w:rsidR="00F3688B">
        <w:rPr>
          <w:rFonts w:ascii="Times New Roman" w:hAnsi="Times New Roman" w:cs="Times New Roman"/>
          <w:sz w:val="24"/>
          <w:szCs w:val="24"/>
        </w:rPr>
        <w:t>change the</w:t>
      </w:r>
      <w:r w:rsidR="00C12366" w:rsidRPr="00567BC2">
        <w:rPr>
          <w:rFonts w:ascii="Times New Roman" w:hAnsi="Times New Roman" w:cs="Times New Roman"/>
          <w:sz w:val="24"/>
          <w:szCs w:val="24"/>
        </w:rPr>
        <w:t xml:space="preserve"> positive statement ‘people reproduce’</w:t>
      </w:r>
      <w:r w:rsidR="00F3688B">
        <w:rPr>
          <w:rFonts w:ascii="Times New Roman" w:hAnsi="Times New Roman" w:cs="Times New Roman"/>
          <w:sz w:val="24"/>
          <w:szCs w:val="24"/>
        </w:rPr>
        <w:t xml:space="preserve"> to </w:t>
      </w:r>
      <w:r w:rsidR="00C12366" w:rsidRPr="00567BC2">
        <w:rPr>
          <w:rFonts w:ascii="Times New Roman" w:hAnsi="Times New Roman" w:cs="Times New Roman"/>
          <w:sz w:val="24"/>
          <w:szCs w:val="24"/>
        </w:rPr>
        <w:t>‘people ought to reproduce’</w:t>
      </w:r>
      <w:r w:rsidR="00F3688B">
        <w:rPr>
          <w:rFonts w:ascii="Times New Roman" w:hAnsi="Times New Roman" w:cs="Times New Roman"/>
          <w:sz w:val="24"/>
          <w:szCs w:val="24"/>
        </w:rPr>
        <w:t>.</w:t>
      </w:r>
      <w:r w:rsidR="005774B4">
        <w:rPr>
          <w:rStyle w:val="FootnoteReference"/>
          <w:rFonts w:ascii="Times New Roman" w:hAnsi="Times New Roman" w:cs="Times New Roman"/>
          <w:sz w:val="24"/>
          <w:szCs w:val="24"/>
        </w:rPr>
        <w:footnoteReference w:id="10"/>
      </w:r>
      <w:r w:rsidR="00C12366" w:rsidRPr="00567BC2">
        <w:rPr>
          <w:rFonts w:ascii="Times New Roman" w:hAnsi="Times New Roman" w:cs="Times New Roman"/>
          <w:sz w:val="24"/>
          <w:szCs w:val="24"/>
        </w:rPr>
        <w:t xml:space="preserve"> Now the deficiencies become apparent</w:t>
      </w:r>
      <w:r w:rsidR="003B40B3">
        <w:rPr>
          <w:rFonts w:ascii="Times New Roman" w:hAnsi="Times New Roman" w:cs="Times New Roman"/>
          <w:sz w:val="24"/>
          <w:szCs w:val="24"/>
        </w:rPr>
        <w:t>;</w:t>
      </w:r>
      <w:r w:rsidR="00C12366" w:rsidRPr="00567BC2">
        <w:rPr>
          <w:rFonts w:ascii="Times New Roman" w:hAnsi="Times New Roman" w:cs="Times New Roman"/>
          <w:sz w:val="24"/>
          <w:szCs w:val="24"/>
        </w:rPr>
        <w:t xml:space="preserve"> the proposer </w:t>
      </w:r>
      <w:r w:rsidR="009D43B4">
        <w:rPr>
          <w:rFonts w:ascii="Times New Roman" w:hAnsi="Times New Roman" w:cs="Times New Roman"/>
          <w:sz w:val="24"/>
          <w:szCs w:val="24"/>
        </w:rPr>
        <w:t xml:space="preserve">asserts that there is a moral obligation to </w:t>
      </w:r>
      <w:r w:rsidR="00C12366" w:rsidRPr="00567BC2">
        <w:rPr>
          <w:rFonts w:ascii="Times New Roman" w:hAnsi="Times New Roman" w:cs="Times New Roman"/>
          <w:sz w:val="24"/>
          <w:szCs w:val="24"/>
        </w:rPr>
        <w:t xml:space="preserve">reproduce and so </w:t>
      </w:r>
      <w:r w:rsidR="002D2EB4" w:rsidRPr="00567BC2">
        <w:rPr>
          <w:rFonts w:ascii="Times New Roman" w:hAnsi="Times New Roman" w:cs="Times New Roman"/>
          <w:sz w:val="24"/>
          <w:szCs w:val="24"/>
        </w:rPr>
        <w:t>prohibit</w:t>
      </w:r>
      <w:r w:rsidR="002D2EB4">
        <w:rPr>
          <w:rFonts w:ascii="Times New Roman" w:hAnsi="Times New Roman" w:cs="Times New Roman"/>
          <w:sz w:val="24"/>
          <w:szCs w:val="24"/>
        </w:rPr>
        <w:t>s</w:t>
      </w:r>
      <w:r w:rsidR="00C12366" w:rsidRPr="00567BC2">
        <w:rPr>
          <w:rFonts w:ascii="Times New Roman" w:hAnsi="Times New Roman" w:cs="Times New Roman"/>
          <w:sz w:val="24"/>
          <w:szCs w:val="24"/>
        </w:rPr>
        <w:t xml:space="preserve"> any bar to reproduction</w:t>
      </w:r>
      <w:r w:rsidR="003B40B3">
        <w:rPr>
          <w:rStyle w:val="FootnoteReference"/>
          <w:rFonts w:ascii="Times New Roman" w:hAnsi="Times New Roman" w:cs="Times New Roman"/>
          <w:sz w:val="24"/>
          <w:szCs w:val="24"/>
        </w:rPr>
        <w:footnoteReference w:id="11"/>
      </w:r>
      <w:r w:rsidR="00C12366" w:rsidRPr="00567BC2">
        <w:rPr>
          <w:rFonts w:ascii="Times New Roman" w:hAnsi="Times New Roman" w:cs="Times New Roman"/>
          <w:sz w:val="24"/>
          <w:szCs w:val="24"/>
        </w:rPr>
        <w:t xml:space="preserve">. </w:t>
      </w:r>
    </w:p>
    <w:p w:rsidR="00E1443B" w:rsidRDefault="00C12366"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This is a simplification of Aquinas’ basic good of reproduction</w:t>
      </w:r>
      <w:r w:rsidR="008105CF">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12"/>
      </w:r>
      <w:r w:rsidRPr="00567BC2">
        <w:rPr>
          <w:rFonts w:ascii="Times New Roman" w:hAnsi="Times New Roman" w:cs="Times New Roman"/>
          <w:sz w:val="24"/>
          <w:szCs w:val="24"/>
        </w:rPr>
        <w:t xml:space="preserve"> which w</w:t>
      </w:r>
      <w:r w:rsidR="008105CF">
        <w:rPr>
          <w:rFonts w:ascii="Times New Roman" w:hAnsi="Times New Roman" w:cs="Times New Roman"/>
          <w:sz w:val="24"/>
          <w:szCs w:val="24"/>
        </w:rPr>
        <w:t>as</w:t>
      </w:r>
      <w:r w:rsidRPr="00567BC2">
        <w:rPr>
          <w:rFonts w:ascii="Times New Roman" w:hAnsi="Times New Roman" w:cs="Times New Roman"/>
          <w:sz w:val="24"/>
          <w:szCs w:val="24"/>
        </w:rPr>
        <w:t xml:space="preserve"> later </w:t>
      </w:r>
      <w:r w:rsidR="00264DEE">
        <w:rPr>
          <w:rFonts w:ascii="Times New Roman" w:hAnsi="Times New Roman" w:cs="Times New Roman"/>
          <w:sz w:val="24"/>
          <w:szCs w:val="24"/>
        </w:rPr>
        <w:t xml:space="preserve">critically discussed </w:t>
      </w:r>
      <w:r w:rsidRPr="00567BC2">
        <w:rPr>
          <w:rFonts w:ascii="Times New Roman" w:hAnsi="Times New Roman" w:cs="Times New Roman"/>
          <w:sz w:val="24"/>
          <w:szCs w:val="24"/>
        </w:rPr>
        <w:t>by Finnis</w:t>
      </w:r>
      <w:r w:rsidR="008105CF">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13"/>
      </w:r>
      <w:r w:rsidRPr="00567BC2">
        <w:rPr>
          <w:rFonts w:ascii="Times New Roman" w:hAnsi="Times New Roman" w:cs="Times New Roman"/>
          <w:sz w:val="24"/>
          <w:szCs w:val="24"/>
        </w:rPr>
        <w:t xml:space="preserve"> and demonstrates how </w:t>
      </w:r>
      <w:r w:rsidR="007B5763">
        <w:rPr>
          <w:rFonts w:ascii="Times New Roman" w:hAnsi="Times New Roman" w:cs="Times New Roman"/>
          <w:sz w:val="24"/>
          <w:szCs w:val="24"/>
        </w:rPr>
        <w:t>converting a positive statement to a normative one</w:t>
      </w:r>
      <w:r w:rsidRPr="00567BC2">
        <w:rPr>
          <w:rFonts w:ascii="Times New Roman" w:hAnsi="Times New Roman" w:cs="Times New Roman"/>
          <w:sz w:val="24"/>
          <w:szCs w:val="24"/>
        </w:rPr>
        <w:t xml:space="preserve"> can lead to an unworkable</w:t>
      </w:r>
      <w:r w:rsidR="008105CF">
        <w:rPr>
          <w:rFonts w:ascii="Times New Roman" w:hAnsi="Times New Roman" w:cs="Times New Roman"/>
          <w:sz w:val="24"/>
          <w:szCs w:val="24"/>
        </w:rPr>
        <w:t>, or potentially</w:t>
      </w:r>
      <w:r w:rsidR="007B5763">
        <w:rPr>
          <w:rFonts w:ascii="Times New Roman" w:hAnsi="Times New Roman" w:cs="Times New Roman"/>
          <w:sz w:val="24"/>
          <w:szCs w:val="24"/>
        </w:rPr>
        <w:t xml:space="preserve"> undesirable</w:t>
      </w:r>
      <w:r w:rsidR="008105CF">
        <w:rPr>
          <w:rFonts w:ascii="Times New Roman" w:hAnsi="Times New Roman" w:cs="Times New Roman"/>
          <w:sz w:val="24"/>
          <w:szCs w:val="24"/>
        </w:rPr>
        <w:t>,</w:t>
      </w:r>
      <w:r w:rsidRPr="00567BC2">
        <w:rPr>
          <w:rFonts w:ascii="Times New Roman" w:hAnsi="Times New Roman" w:cs="Times New Roman"/>
          <w:sz w:val="24"/>
          <w:szCs w:val="24"/>
        </w:rPr>
        <w:t xml:space="preserve"> outcome</w:t>
      </w:r>
      <w:r w:rsidR="008105CF">
        <w:rPr>
          <w:rFonts w:ascii="Times New Roman" w:hAnsi="Times New Roman" w:cs="Times New Roman"/>
          <w:sz w:val="24"/>
          <w:szCs w:val="24"/>
        </w:rPr>
        <w:t>.</w:t>
      </w:r>
      <w:r w:rsidR="00264DEE">
        <w:rPr>
          <w:rStyle w:val="FootnoteReference"/>
          <w:rFonts w:ascii="Times New Roman" w:hAnsi="Times New Roman" w:cs="Times New Roman"/>
          <w:sz w:val="24"/>
          <w:szCs w:val="24"/>
        </w:rPr>
        <w:footnoteReference w:id="14"/>
      </w:r>
      <w:r w:rsidRPr="00567BC2">
        <w:rPr>
          <w:rFonts w:ascii="Times New Roman" w:hAnsi="Times New Roman" w:cs="Times New Roman"/>
          <w:sz w:val="24"/>
          <w:szCs w:val="24"/>
        </w:rPr>
        <w:t xml:space="preserve"> The outcome in the example above is unworkable, as any person that cannot biologically reproduce, who chooses not to reproduce, is trans, gay or lesbian, could be said to be in contravention of the </w:t>
      </w:r>
      <w:r w:rsidR="009D7252">
        <w:rPr>
          <w:rFonts w:ascii="Times New Roman" w:hAnsi="Times New Roman" w:cs="Times New Roman"/>
          <w:sz w:val="24"/>
          <w:szCs w:val="24"/>
        </w:rPr>
        <w:t>norma</w:t>
      </w:r>
      <w:r w:rsidR="00264DEE">
        <w:rPr>
          <w:rFonts w:ascii="Times New Roman" w:hAnsi="Times New Roman" w:cs="Times New Roman"/>
          <w:sz w:val="24"/>
          <w:szCs w:val="24"/>
        </w:rPr>
        <w:t>tive version of the</w:t>
      </w:r>
      <w:r w:rsidR="00264DEE" w:rsidRPr="00567BC2">
        <w:rPr>
          <w:rFonts w:ascii="Times New Roman" w:hAnsi="Times New Roman" w:cs="Times New Roman"/>
          <w:sz w:val="24"/>
          <w:szCs w:val="24"/>
        </w:rPr>
        <w:t xml:space="preserve"> </w:t>
      </w:r>
      <w:r w:rsidRPr="00567BC2">
        <w:rPr>
          <w:rFonts w:ascii="Times New Roman" w:hAnsi="Times New Roman" w:cs="Times New Roman"/>
          <w:sz w:val="24"/>
          <w:szCs w:val="24"/>
        </w:rPr>
        <w:t xml:space="preserve">statement, and so contravening a moral </w:t>
      </w:r>
      <w:r w:rsidR="009D7252">
        <w:rPr>
          <w:rFonts w:ascii="Times New Roman" w:hAnsi="Times New Roman" w:cs="Times New Roman"/>
          <w:sz w:val="24"/>
          <w:szCs w:val="24"/>
        </w:rPr>
        <w:t>obligation (which is predicated on the proposers ethical system)</w:t>
      </w:r>
      <w:r w:rsidRPr="00567BC2">
        <w:rPr>
          <w:rFonts w:ascii="Times New Roman" w:hAnsi="Times New Roman" w:cs="Times New Roman"/>
          <w:sz w:val="24"/>
          <w:szCs w:val="24"/>
        </w:rPr>
        <w:t xml:space="preserve">. One logical deficiency which has been discussed </w:t>
      </w:r>
      <w:r w:rsidR="009D7252" w:rsidRPr="00567BC2">
        <w:rPr>
          <w:rFonts w:ascii="Times New Roman" w:hAnsi="Times New Roman" w:cs="Times New Roman"/>
          <w:sz w:val="24"/>
          <w:szCs w:val="24"/>
        </w:rPr>
        <w:t>widely</w:t>
      </w:r>
      <w:r w:rsidRPr="00567BC2">
        <w:rPr>
          <w:rStyle w:val="FootnoteReference"/>
          <w:rFonts w:ascii="Times New Roman" w:hAnsi="Times New Roman" w:cs="Times New Roman"/>
          <w:sz w:val="24"/>
          <w:szCs w:val="24"/>
        </w:rPr>
        <w:footnoteReference w:id="15"/>
      </w:r>
      <w:r w:rsidRPr="00567BC2">
        <w:rPr>
          <w:rFonts w:ascii="Times New Roman" w:hAnsi="Times New Roman" w:cs="Times New Roman"/>
          <w:sz w:val="24"/>
          <w:szCs w:val="24"/>
        </w:rPr>
        <w:t xml:space="preserve"> is that converting a positive statement to a normative one requires the inclusion of a command to </w:t>
      </w:r>
      <w:r w:rsidRPr="00567BC2">
        <w:rPr>
          <w:rFonts w:ascii="Times New Roman" w:hAnsi="Times New Roman" w:cs="Times New Roman"/>
          <w:sz w:val="24"/>
          <w:szCs w:val="24"/>
        </w:rPr>
        <w:lastRenderedPageBreak/>
        <w:t>behav</w:t>
      </w:r>
      <w:r w:rsidR="009D7252">
        <w:rPr>
          <w:rFonts w:ascii="Times New Roman" w:hAnsi="Times New Roman" w:cs="Times New Roman"/>
          <w:sz w:val="24"/>
          <w:szCs w:val="24"/>
        </w:rPr>
        <w:t>e</w:t>
      </w:r>
      <w:r w:rsidRPr="00567BC2">
        <w:rPr>
          <w:rFonts w:ascii="Times New Roman" w:hAnsi="Times New Roman" w:cs="Times New Roman"/>
          <w:sz w:val="24"/>
          <w:szCs w:val="24"/>
        </w:rPr>
        <w:t xml:space="preserve"> in a certain manner</w:t>
      </w:r>
      <w:r w:rsidR="007B5763">
        <w:rPr>
          <w:rFonts w:ascii="Times New Roman" w:hAnsi="Times New Roman" w:cs="Times New Roman"/>
          <w:sz w:val="24"/>
          <w:szCs w:val="24"/>
        </w:rPr>
        <w:t>.</w:t>
      </w:r>
      <w:r w:rsidRPr="00567BC2">
        <w:rPr>
          <w:rFonts w:ascii="Times New Roman" w:hAnsi="Times New Roman" w:cs="Times New Roman"/>
          <w:sz w:val="24"/>
          <w:szCs w:val="24"/>
        </w:rPr>
        <w:t xml:space="preserve"> </w:t>
      </w:r>
      <w:r w:rsidR="007B5763">
        <w:rPr>
          <w:rFonts w:ascii="Times New Roman" w:hAnsi="Times New Roman" w:cs="Times New Roman"/>
          <w:sz w:val="24"/>
          <w:szCs w:val="24"/>
        </w:rPr>
        <w:t>This</w:t>
      </w:r>
      <w:r w:rsidR="009D7252">
        <w:rPr>
          <w:rFonts w:ascii="Times New Roman" w:hAnsi="Times New Roman" w:cs="Times New Roman"/>
          <w:sz w:val="24"/>
          <w:szCs w:val="24"/>
        </w:rPr>
        <w:t>,</w:t>
      </w:r>
      <w:r w:rsidRPr="00567BC2">
        <w:rPr>
          <w:rFonts w:ascii="Times New Roman" w:hAnsi="Times New Roman" w:cs="Times New Roman"/>
          <w:sz w:val="24"/>
          <w:szCs w:val="24"/>
        </w:rPr>
        <w:t xml:space="preserve"> in turn</w:t>
      </w:r>
      <w:r w:rsidR="009D7252">
        <w:rPr>
          <w:rFonts w:ascii="Times New Roman" w:hAnsi="Times New Roman" w:cs="Times New Roman"/>
          <w:sz w:val="24"/>
          <w:szCs w:val="24"/>
        </w:rPr>
        <w:t>,</w:t>
      </w:r>
      <w:r w:rsidRPr="00567BC2">
        <w:rPr>
          <w:rFonts w:ascii="Times New Roman" w:hAnsi="Times New Roman" w:cs="Times New Roman"/>
          <w:sz w:val="24"/>
          <w:szCs w:val="24"/>
        </w:rPr>
        <w:t xml:space="preserve"> requires the imposition of a value system – it includes the presupposition that the only way to continue the trend </w:t>
      </w:r>
      <w:r w:rsidR="007B5763">
        <w:rPr>
          <w:rFonts w:ascii="Times New Roman" w:hAnsi="Times New Roman" w:cs="Times New Roman"/>
          <w:sz w:val="24"/>
          <w:szCs w:val="24"/>
        </w:rPr>
        <w:t>displayed</w:t>
      </w:r>
      <w:r w:rsidR="007B5763" w:rsidRPr="00567BC2">
        <w:rPr>
          <w:rFonts w:ascii="Times New Roman" w:hAnsi="Times New Roman" w:cs="Times New Roman"/>
          <w:sz w:val="24"/>
          <w:szCs w:val="24"/>
        </w:rPr>
        <w:t xml:space="preserve"> </w:t>
      </w:r>
      <w:r w:rsidRPr="00567BC2">
        <w:rPr>
          <w:rFonts w:ascii="Times New Roman" w:hAnsi="Times New Roman" w:cs="Times New Roman"/>
          <w:sz w:val="24"/>
          <w:szCs w:val="24"/>
        </w:rPr>
        <w:t>by the positive statement is to adopt a certain ethical and moral position required by the normative</w:t>
      </w:r>
      <w:r w:rsidR="007B5763">
        <w:rPr>
          <w:rFonts w:ascii="Times New Roman" w:hAnsi="Times New Roman" w:cs="Times New Roman"/>
          <w:sz w:val="24"/>
          <w:szCs w:val="24"/>
        </w:rPr>
        <w:t xml:space="preserve"> version of the</w:t>
      </w:r>
      <w:r w:rsidRPr="00567BC2">
        <w:rPr>
          <w:rFonts w:ascii="Times New Roman" w:hAnsi="Times New Roman" w:cs="Times New Roman"/>
          <w:sz w:val="24"/>
          <w:szCs w:val="24"/>
        </w:rPr>
        <w:t xml:space="preserve"> statement</w:t>
      </w:r>
      <w:r w:rsidR="009D7252">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16"/>
      </w:r>
      <w:r w:rsidRPr="00567BC2">
        <w:rPr>
          <w:rFonts w:ascii="Times New Roman" w:hAnsi="Times New Roman" w:cs="Times New Roman"/>
          <w:sz w:val="24"/>
          <w:szCs w:val="24"/>
        </w:rPr>
        <w:t xml:space="preserve"> The move from </w:t>
      </w:r>
      <w:r w:rsidR="007B5763">
        <w:rPr>
          <w:rFonts w:ascii="Times New Roman" w:hAnsi="Times New Roman" w:cs="Times New Roman"/>
          <w:sz w:val="24"/>
          <w:szCs w:val="24"/>
        </w:rPr>
        <w:t>stating</w:t>
      </w:r>
      <w:r w:rsidR="007B5763" w:rsidRPr="00567BC2">
        <w:rPr>
          <w:rFonts w:ascii="Times New Roman" w:hAnsi="Times New Roman" w:cs="Times New Roman"/>
          <w:sz w:val="24"/>
          <w:szCs w:val="24"/>
        </w:rPr>
        <w:t xml:space="preserve"> </w:t>
      </w:r>
      <w:r w:rsidRPr="00567BC2">
        <w:rPr>
          <w:rFonts w:ascii="Times New Roman" w:hAnsi="Times New Roman" w:cs="Times New Roman"/>
          <w:sz w:val="24"/>
          <w:szCs w:val="24"/>
        </w:rPr>
        <w:t>that something ‘is’ the case, to something ‘ought’ to</w:t>
      </w:r>
      <w:r w:rsidR="00F56041">
        <w:rPr>
          <w:rFonts w:ascii="Times New Roman" w:hAnsi="Times New Roman" w:cs="Times New Roman"/>
          <w:sz w:val="24"/>
          <w:szCs w:val="24"/>
        </w:rPr>
        <w:t xml:space="preserve"> be the case attempts to impose</w:t>
      </w:r>
      <w:r w:rsidRPr="00567BC2">
        <w:rPr>
          <w:rFonts w:ascii="Times New Roman" w:hAnsi="Times New Roman" w:cs="Times New Roman"/>
          <w:sz w:val="24"/>
          <w:szCs w:val="24"/>
        </w:rPr>
        <w:t xml:space="preserve"> an obligation on society generally to operate in a certain way. Law, at its heart, has a normative character</w:t>
      </w:r>
      <w:r w:rsidR="009D7252">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17"/>
      </w:r>
      <w:r w:rsidRPr="00567BC2">
        <w:rPr>
          <w:rFonts w:ascii="Times New Roman" w:hAnsi="Times New Roman" w:cs="Times New Roman"/>
          <w:sz w:val="24"/>
          <w:szCs w:val="24"/>
        </w:rPr>
        <w:t xml:space="preserve"> </w:t>
      </w:r>
      <w:r w:rsidR="00554752" w:rsidRPr="00567BC2">
        <w:rPr>
          <w:rFonts w:ascii="Times New Roman" w:hAnsi="Times New Roman" w:cs="Times New Roman"/>
          <w:sz w:val="24"/>
          <w:szCs w:val="24"/>
        </w:rPr>
        <w:t>Attempting to move from the positive statement: ‘the UK does legislate within its territorial borders’; to seemingly similar, ‘the UK ought to legislate wi</w:t>
      </w:r>
      <w:r w:rsidR="00172570">
        <w:rPr>
          <w:rFonts w:ascii="Times New Roman" w:hAnsi="Times New Roman" w:cs="Times New Roman"/>
          <w:sz w:val="24"/>
          <w:szCs w:val="24"/>
        </w:rPr>
        <w:t>thin its territorial bo</w:t>
      </w:r>
      <w:r w:rsidR="00554752" w:rsidRPr="00567BC2">
        <w:rPr>
          <w:rFonts w:ascii="Times New Roman" w:hAnsi="Times New Roman" w:cs="Times New Roman"/>
          <w:sz w:val="24"/>
          <w:szCs w:val="24"/>
        </w:rPr>
        <w:t>rders’ also seems innocuous. However, it hides an assumption which is often overlooked</w:t>
      </w:r>
      <w:r w:rsidR="009D7252">
        <w:rPr>
          <w:rFonts w:ascii="Times New Roman" w:hAnsi="Times New Roman" w:cs="Times New Roman"/>
          <w:sz w:val="24"/>
          <w:szCs w:val="24"/>
        </w:rPr>
        <w:t>:</w:t>
      </w:r>
      <w:r w:rsidR="00554752" w:rsidRPr="00567BC2">
        <w:rPr>
          <w:rFonts w:ascii="Times New Roman" w:hAnsi="Times New Roman" w:cs="Times New Roman"/>
          <w:sz w:val="24"/>
          <w:szCs w:val="24"/>
        </w:rPr>
        <w:t xml:space="preserve"> that assumption is the absolute nature of </w:t>
      </w:r>
      <w:r w:rsidR="009D5EE5" w:rsidRPr="00567BC2">
        <w:rPr>
          <w:rFonts w:ascii="Times New Roman" w:hAnsi="Times New Roman" w:cs="Times New Roman"/>
          <w:sz w:val="24"/>
          <w:szCs w:val="24"/>
        </w:rPr>
        <w:t>territorial sovereignty and its connection with legislative powers</w:t>
      </w:r>
      <w:r w:rsidR="00554752" w:rsidRPr="00567BC2">
        <w:rPr>
          <w:rFonts w:ascii="Times New Roman" w:hAnsi="Times New Roman" w:cs="Times New Roman"/>
          <w:sz w:val="24"/>
          <w:szCs w:val="24"/>
        </w:rPr>
        <w:t xml:space="preserve">. </w:t>
      </w:r>
    </w:p>
    <w:p w:rsidR="00E1443B" w:rsidRDefault="00E1443B" w:rsidP="007C5246">
      <w:pPr>
        <w:spacing w:line="360" w:lineRule="auto"/>
        <w:jc w:val="both"/>
        <w:rPr>
          <w:rFonts w:ascii="Times New Roman" w:hAnsi="Times New Roman" w:cs="Times New Roman"/>
          <w:sz w:val="24"/>
          <w:szCs w:val="24"/>
        </w:rPr>
      </w:pPr>
    </w:p>
    <w:p w:rsidR="00E1443B" w:rsidRDefault="00E1443B" w:rsidP="007C52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Legislative Sovereignty </w:t>
      </w:r>
    </w:p>
    <w:p w:rsidR="0017615A" w:rsidRPr="0017615A" w:rsidRDefault="0017615A" w:rsidP="007C5246">
      <w:pPr>
        <w:spacing w:line="360" w:lineRule="auto"/>
        <w:jc w:val="both"/>
        <w:rPr>
          <w:rFonts w:ascii="Times New Roman" w:hAnsi="Times New Roman" w:cs="Times New Roman"/>
          <w:i/>
          <w:sz w:val="24"/>
          <w:szCs w:val="24"/>
        </w:rPr>
      </w:pPr>
      <w:r>
        <w:rPr>
          <w:rFonts w:ascii="Times New Roman" w:hAnsi="Times New Roman" w:cs="Times New Roman"/>
          <w:sz w:val="24"/>
          <w:szCs w:val="24"/>
        </w:rPr>
        <w:t>This author</w:t>
      </w:r>
      <w:r w:rsidR="00554752" w:rsidRPr="00567BC2">
        <w:rPr>
          <w:rFonts w:ascii="Times New Roman" w:hAnsi="Times New Roman" w:cs="Times New Roman"/>
          <w:sz w:val="24"/>
          <w:szCs w:val="24"/>
        </w:rPr>
        <w:t xml:space="preserve"> ha</w:t>
      </w:r>
      <w:r>
        <w:rPr>
          <w:rFonts w:ascii="Times New Roman" w:hAnsi="Times New Roman" w:cs="Times New Roman"/>
          <w:sz w:val="24"/>
          <w:szCs w:val="24"/>
        </w:rPr>
        <w:t>s</w:t>
      </w:r>
      <w:r w:rsidR="00554752" w:rsidRPr="00567BC2">
        <w:rPr>
          <w:rFonts w:ascii="Times New Roman" w:hAnsi="Times New Roman" w:cs="Times New Roman"/>
          <w:sz w:val="24"/>
          <w:szCs w:val="24"/>
        </w:rPr>
        <w:t xml:space="preserve"> previously suggested that sovereignty is not a finite concept</w:t>
      </w:r>
      <w:r w:rsidR="00554752" w:rsidRPr="00567BC2">
        <w:rPr>
          <w:rStyle w:val="FootnoteReference"/>
          <w:rFonts w:ascii="Times New Roman" w:hAnsi="Times New Roman" w:cs="Times New Roman"/>
          <w:sz w:val="24"/>
          <w:szCs w:val="24"/>
        </w:rPr>
        <w:footnoteReference w:id="18"/>
      </w:r>
      <w:r w:rsidR="00554752" w:rsidRPr="00567BC2">
        <w:rPr>
          <w:rFonts w:ascii="Times New Roman" w:hAnsi="Times New Roman" w:cs="Times New Roman"/>
          <w:sz w:val="24"/>
          <w:szCs w:val="24"/>
        </w:rPr>
        <w:t>, and Allison also provides an excellent view of problems with the notion of Parliamentary Sovereignty</w:t>
      </w:r>
      <w:r w:rsidR="009D5EE5" w:rsidRPr="00567BC2">
        <w:rPr>
          <w:rFonts w:ascii="Times New Roman" w:hAnsi="Times New Roman" w:cs="Times New Roman"/>
          <w:sz w:val="24"/>
          <w:szCs w:val="24"/>
        </w:rPr>
        <w:t xml:space="preserve"> in its substantive and formal sense</w:t>
      </w:r>
      <w:r w:rsidR="009D7252">
        <w:rPr>
          <w:rFonts w:ascii="Times New Roman" w:hAnsi="Times New Roman" w:cs="Times New Roman"/>
          <w:sz w:val="24"/>
          <w:szCs w:val="24"/>
        </w:rPr>
        <w:t>.</w:t>
      </w:r>
      <w:r w:rsidR="00554752" w:rsidRPr="00567BC2">
        <w:rPr>
          <w:rStyle w:val="FootnoteReference"/>
          <w:rFonts w:ascii="Times New Roman" w:hAnsi="Times New Roman" w:cs="Times New Roman"/>
          <w:sz w:val="24"/>
          <w:szCs w:val="24"/>
        </w:rPr>
        <w:footnoteReference w:id="19"/>
      </w:r>
      <w:r w:rsidR="00554752" w:rsidRPr="00567BC2">
        <w:rPr>
          <w:rFonts w:ascii="Times New Roman" w:hAnsi="Times New Roman" w:cs="Times New Roman"/>
          <w:sz w:val="24"/>
          <w:szCs w:val="24"/>
        </w:rPr>
        <w:t xml:space="preserve"> </w:t>
      </w:r>
      <w:r>
        <w:rPr>
          <w:rFonts w:ascii="Times New Roman" w:hAnsi="Times New Roman" w:cs="Times New Roman"/>
          <w:sz w:val="24"/>
          <w:szCs w:val="24"/>
        </w:rPr>
        <w:t>On this occasion, this author</w:t>
      </w:r>
      <w:r w:rsidR="009D5EE5" w:rsidRPr="00567BC2">
        <w:rPr>
          <w:rFonts w:ascii="Times New Roman" w:hAnsi="Times New Roman" w:cs="Times New Roman"/>
          <w:sz w:val="24"/>
          <w:szCs w:val="24"/>
        </w:rPr>
        <w:t xml:space="preserve"> will take a step further by contending that territorial sovereignty has no historical links to legislative sovereignty, and that this matter has long since been forgotten</w:t>
      </w:r>
      <w:r w:rsidR="007B5763">
        <w:rPr>
          <w:rFonts w:ascii="Times New Roman" w:hAnsi="Times New Roman" w:cs="Times New Roman"/>
          <w:sz w:val="24"/>
          <w:szCs w:val="24"/>
        </w:rPr>
        <w:t xml:space="preserve"> or consigned to the history books</w:t>
      </w:r>
      <w:r w:rsidR="009D5EE5" w:rsidRPr="00567BC2">
        <w:rPr>
          <w:rFonts w:ascii="Times New Roman" w:hAnsi="Times New Roman" w:cs="Times New Roman"/>
          <w:sz w:val="24"/>
          <w:szCs w:val="24"/>
        </w:rPr>
        <w:t xml:space="preserve">. </w:t>
      </w:r>
      <w:r w:rsidR="00C12366" w:rsidRPr="00567BC2">
        <w:rPr>
          <w:rFonts w:ascii="Times New Roman" w:hAnsi="Times New Roman" w:cs="Times New Roman"/>
          <w:sz w:val="24"/>
          <w:szCs w:val="24"/>
        </w:rPr>
        <w:t xml:space="preserve">This </w:t>
      </w:r>
      <w:r w:rsidR="006660A2">
        <w:rPr>
          <w:rFonts w:ascii="Times New Roman" w:hAnsi="Times New Roman" w:cs="Times New Roman"/>
          <w:sz w:val="24"/>
          <w:szCs w:val="24"/>
        </w:rPr>
        <w:t>article will</w:t>
      </w:r>
      <w:r w:rsidR="007B5763">
        <w:rPr>
          <w:rFonts w:ascii="Times New Roman" w:hAnsi="Times New Roman" w:cs="Times New Roman"/>
          <w:sz w:val="24"/>
          <w:szCs w:val="24"/>
        </w:rPr>
        <w:t xml:space="preserve"> consider</w:t>
      </w:r>
      <w:r w:rsidR="00C12366" w:rsidRPr="00567BC2">
        <w:rPr>
          <w:rFonts w:ascii="Times New Roman" w:hAnsi="Times New Roman" w:cs="Times New Roman"/>
          <w:sz w:val="24"/>
          <w:szCs w:val="24"/>
        </w:rPr>
        <w:t xml:space="preserve"> authority from </w:t>
      </w:r>
      <w:r w:rsidR="006660A2">
        <w:rPr>
          <w:rFonts w:ascii="Times New Roman" w:hAnsi="Times New Roman" w:cs="Times New Roman"/>
          <w:sz w:val="24"/>
          <w:szCs w:val="24"/>
        </w:rPr>
        <w:t>antiquity</w:t>
      </w:r>
      <w:r w:rsidR="009D5EE5" w:rsidRPr="00567BC2">
        <w:rPr>
          <w:rFonts w:ascii="Times New Roman" w:hAnsi="Times New Roman" w:cs="Times New Roman"/>
          <w:sz w:val="24"/>
          <w:szCs w:val="24"/>
        </w:rPr>
        <w:t xml:space="preserve"> and </w:t>
      </w:r>
      <w:r w:rsidR="00BB3759">
        <w:rPr>
          <w:rFonts w:ascii="Times New Roman" w:hAnsi="Times New Roman" w:cs="Times New Roman"/>
          <w:sz w:val="24"/>
          <w:szCs w:val="24"/>
        </w:rPr>
        <w:t>argue</w:t>
      </w:r>
      <w:r w:rsidR="009D5EE5" w:rsidRPr="00567BC2">
        <w:rPr>
          <w:rFonts w:ascii="Times New Roman" w:hAnsi="Times New Roman" w:cs="Times New Roman"/>
          <w:sz w:val="24"/>
          <w:szCs w:val="24"/>
        </w:rPr>
        <w:t xml:space="preserve"> </w:t>
      </w:r>
      <w:r w:rsidR="00C12366" w:rsidRPr="00567BC2">
        <w:rPr>
          <w:rFonts w:ascii="Times New Roman" w:hAnsi="Times New Roman" w:cs="Times New Roman"/>
          <w:sz w:val="24"/>
          <w:szCs w:val="24"/>
        </w:rPr>
        <w:t>that</w:t>
      </w:r>
      <w:r w:rsidR="009D7252">
        <w:rPr>
          <w:rFonts w:ascii="Times New Roman" w:hAnsi="Times New Roman" w:cs="Times New Roman"/>
          <w:sz w:val="24"/>
          <w:szCs w:val="24"/>
        </w:rPr>
        <w:t>,</w:t>
      </w:r>
      <w:r w:rsidR="007B5763">
        <w:rPr>
          <w:rFonts w:ascii="Times New Roman" w:hAnsi="Times New Roman" w:cs="Times New Roman"/>
          <w:sz w:val="24"/>
          <w:szCs w:val="24"/>
        </w:rPr>
        <w:t xml:space="preserve"> historically</w:t>
      </w:r>
      <w:r w:rsidR="009D7252">
        <w:rPr>
          <w:rFonts w:ascii="Times New Roman" w:hAnsi="Times New Roman" w:cs="Times New Roman"/>
          <w:sz w:val="24"/>
          <w:szCs w:val="24"/>
        </w:rPr>
        <w:t>,</w:t>
      </w:r>
      <w:r w:rsidR="00C12366" w:rsidRPr="00567BC2">
        <w:rPr>
          <w:rFonts w:ascii="Times New Roman" w:hAnsi="Times New Roman" w:cs="Times New Roman"/>
          <w:sz w:val="24"/>
          <w:szCs w:val="24"/>
        </w:rPr>
        <w:t xml:space="preserve"> </w:t>
      </w:r>
      <w:r w:rsidR="009D5EE5" w:rsidRPr="00567BC2">
        <w:rPr>
          <w:rFonts w:ascii="Times New Roman" w:hAnsi="Times New Roman" w:cs="Times New Roman"/>
          <w:sz w:val="24"/>
          <w:szCs w:val="24"/>
        </w:rPr>
        <w:t>law has more in common with borderless law-making, than f</w:t>
      </w:r>
      <w:r w:rsidR="00E90D85">
        <w:rPr>
          <w:rFonts w:ascii="Times New Roman" w:hAnsi="Times New Roman" w:cs="Times New Roman"/>
          <w:sz w:val="24"/>
          <w:szCs w:val="24"/>
        </w:rPr>
        <w:t>irst imagined. For example, law-</w:t>
      </w:r>
      <w:r w:rsidR="009D5EE5" w:rsidRPr="00567BC2">
        <w:rPr>
          <w:rFonts w:ascii="Times New Roman" w:hAnsi="Times New Roman" w:cs="Times New Roman"/>
          <w:sz w:val="24"/>
          <w:szCs w:val="24"/>
        </w:rPr>
        <w:t xml:space="preserve">making beyond one’s own borders has </w:t>
      </w:r>
      <w:r w:rsidR="00C12366" w:rsidRPr="00567BC2">
        <w:rPr>
          <w:rFonts w:ascii="Times New Roman" w:hAnsi="Times New Roman" w:cs="Times New Roman"/>
          <w:sz w:val="24"/>
          <w:szCs w:val="24"/>
        </w:rPr>
        <w:t xml:space="preserve">its origin in ancient concepts such as </w:t>
      </w:r>
      <w:r w:rsidR="00C12366" w:rsidRPr="00567BC2">
        <w:rPr>
          <w:rFonts w:ascii="Times New Roman" w:hAnsi="Times New Roman" w:cs="Times New Roman"/>
          <w:i/>
          <w:sz w:val="24"/>
          <w:szCs w:val="24"/>
        </w:rPr>
        <w:t xml:space="preserve">universitas humanitatis </w:t>
      </w:r>
      <w:r w:rsidR="00C12366" w:rsidRPr="00567BC2">
        <w:rPr>
          <w:rFonts w:ascii="Times New Roman" w:hAnsi="Times New Roman" w:cs="Times New Roman"/>
          <w:sz w:val="24"/>
          <w:szCs w:val="24"/>
        </w:rPr>
        <w:t xml:space="preserve">and </w:t>
      </w:r>
      <w:r w:rsidR="00C12366" w:rsidRPr="00567BC2">
        <w:rPr>
          <w:rFonts w:ascii="Times New Roman" w:hAnsi="Times New Roman" w:cs="Times New Roman"/>
          <w:i/>
          <w:sz w:val="24"/>
          <w:szCs w:val="24"/>
        </w:rPr>
        <w:t>dominus mundi</w:t>
      </w:r>
      <w:r w:rsidR="009D7252">
        <w:rPr>
          <w:rFonts w:ascii="Times New Roman" w:hAnsi="Times New Roman" w:cs="Times New Roman"/>
          <w:i/>
          <w:sz w:val="24"/>
          <w:szCs w:val="24"/>
        </w:rPr>
        <w:t>.</w:t>
      </w:r>
      <w:r w:rsidR="00C12366" w:rsidRPr="00885B92">
        <w:rPr>
          <w:rStyle w:val="FootnoteReference"/>
          <w:rFonts w:ascii="Times New Roman" w:hAnsi="Times New Roman" w:cs="Times New Roman"/>
          <w:sz w:val="24"/>
          <w:szCs w:val="24"/>
        </w:rPr>
        <w:footnoteReference w:id="20"/>
      </w:r>
      <w:r w:rsidR="00C12366" w:rsidRPr="00567BC2">
        <w:rPr>
          <w:rFonts w:ascii="Times New Roman" w:hAnsi="Times New Roman" w:cs="Times New Roman"/>
          <w:i/>
          <w:sz w:val="24"/>
          <w:szCs w:val="24"/>
        </w:rPr>
        <w:t xml:space="preserve"> </w:t>
      </w:r>
    </w:p>
    <w:p w:rsidR="00C12366" w:rsidRPr="00567BC2" w:rsidRDefault="00C12366"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 xml:space="preserve">It may seem contrary to modern </w:t>
      </w:r>
      <w:r w:rsidR="002D2EB4" w:rsidRPr="00567BC2">
        <w:rPr>
          <w:rFonts w:ascii="Times New Roman" w:hAnsi="Times New Roman" w:cs="Times New Roman"/>
          <w:sz w:val="24"/>
          <w:szCs w:val="24"/>
        </w:rPr>
        <w:t>thinking that</w:t>
      </w:r>
      <w:r w:rsidRPr="00567BC2">
        <w:rPr>
          <w:rFonts w:ascii="Times New Roman" w:hAnsi="Times New Roman" w:cs="Times New Roman"/>
          <w:sz w:val="24"/>
          <w:szCs w:val="24"/>
        </w:rPr>
        <w:t xml:space="preserve"> a sovereign state could impose its legal system on other states</w:t>
      </w:r>
      <w:r w:rsidR="009D7252">
        <w:rPr>
          <w:rFonts w:ascii="Times New Roman" w:hAnsi="Times New Roman" w:cs="Times New Roman"/>
          <w:sz w:val="24"/>
          <w:szCs w:val="24"/>
        </w:rPr>
        <w:t xml:space="preserve"> but</w:t>
      </w:r>
      <w:r w:rsidRPr="00567BC2">
        <w:rPr>
          <w:rFonts w:ascii="Times New Roman" w:hAnsi="Times New Roman" w:cs="Times New Roman"/>
          <w:sz w:val="24"/>
          <w:szCs w:val="24"/>
        </w:rPr>
        <w:t xml:space="preserve"> this is neither a new nor nuanced position. For example, the Holy Roman Empire in creating </w:t>
      </w:r>
      <w:r w:rsidRPr="00567BC2">
        <w:rPr>
          <w:rFonts w:ascii="Times New Roman" w:hAnsi="Times New Roman" w:cs="Times New Roman"/>
          <w:i/>
          <w:sz w:val="24"/>
          <w:szCs w:val="24"/>
        </w:rPr>
        <w:t xml:space="preserve">jus gentium </w:t>
      </w:r>
      <w:r w:rsidRPr="00567BC2">
        <w:rPr>
          <w:rFonts w:ascii="Times New Roman" w:hAnsi="Times New Roman" w:cs="Times New Roman"/>
          <w:sz w:val="24"/>
          <w:szCs w:val="24"/>
        </w:rPr>
        <w:t>sought to use principles of classical natural law theory to apply some fundamental Roman legal principles across the realms that were conquered, and across those realms that traded with Rome</w:t>
      </w:r>
      <w:r w:rsidR="009D7252">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21"/>
      </w:r>
      <w:r w:rsidRPr="00567BC2">
        <w:rPr>
          <w:rFonts w:ascii="Times New Roman" w:hAnsi="Times New Roman" w:cs="Times New Roman"/>
          <w:sz w:val="24"/>
          <w:szCs w:val="24"/>
        </w:rPr>
        <w:t xml:space="preserve"> These principles, which were principles of early natural </w:t>
      </w:r>
      <w:r w:rsidRPr="00567BC2">
        <w:rPr>
          <w:rFonts w:ascii="Times New Roman" w:hAnsi="Times New Roman" w:cs="Times New Roman"/>
          <w:sz w:val="24"/>
          <w:szCs w:val="24"/>
        </w:rPr>
        <w:lastRenderedPageBreak/>
        <w:t>law theory</w:t>
      </w:r>
      <w:r w:rsidR="00BB7848" w:rsidRPr="00567BC2">
        <w:rPr>
          <w:rFonts w:ascii="Times New Roman" w:hAnsi="Times New Roman" w:cs="Times New Roman"/>
          <w:sz w:val="24"/>
          <w:szCs w:val="24"/>
        </w:rPr>
        <w:t>,</w:t>
      </w:r>
      <w:r w:rsidRPr="00567BC2">
        <w:rPr>
          <w:rFonts w:ascii="Times New Roman" w:hAnsi="Times New Roman" w:cs="Times New Roman"/>
          <w:sz w:val="24"/>
          <w:szCs w:val="24"/>
        </w:rPr>
        <w:t xml:space="preserve"> originally emanat</w:t>
      </w:r>
      <w:r w:rsidR="008B4A09">
        <w:rPr>
          <w:rFonts w:ascii="Times New Roman" w:hAnsi="Times New Roman" w:cs="Times New Roman"/>
          <w:sz w:val="24"/>
          <w:szCs w:val="24"/>
        </w:rPr>
        <w:t>ed</w:t>
      </w:r>
      <w:r w:rsidRPr="00567BC2">
        <w:rPr>
          <w:rFonts w:ascii="Times New Roman" w:hAnsi="Times New Roman" w:cs="Times New Roman"/>
          <w:sz w:val="24"/>
          <w:szCs w:val="24"/>
        </w:rPr>
        <w:t xml:space="preserve"> from Greece</w:t>
      </w:r>
      <w:r w:rsidRPr="00567BC2">
        <w:rPr>
          <w:rStyle w:val="FootnoteReference"/>
          <w:rFonts w:ascii="Times New Roman" w:hAnsi="Times New Roman" w:cs="Times New Roman"/>
          <w:sz w:val="24"/>
          <w:szCs w:val="24"/>
        </w:rPr>
        <w:footnoteReference w:id="22"/>
      </w:r>
      <w:r w:rsidRPr="00567BC2">
        <w:rPr>
          <w:rFonts w:ascii="Times New Roman" w:hAnsi="Times New Roman" w:cs="Times New Roman"/>
          <w:sz w:val="24"/>
          <w:szCs w:val="24"/>
        </w:rPr>
        <w:t xml:space="preserve"> and were used to justify the creation of </w:t>
      </w:r>
      <w:r w:rsidR="00BB7848" w:rsidRPr="00567BC2">
        <w:rPr>
          <w:rFonts w:ascii="Times New Roman" w:hAnsi="Times New Roman" w:cs="Times New Roman"/>
          <w:i/>
          <w:sz w:val="24"/>
          <w:szCs w:val="24"/>
        </w:rPr>
        <w:t xml:space="preserve">jus gentium. </w:t>
      </w:r>
      <w:r w:rsidR="00BB7848" w:rsidRPr="00567BC2">
        <w:rPr>
          <w:rFonts w:ascii="Times New Roman" w:hAnsi="Times New Roman" w:cs="Times New Roman"/>
          <w:sz w:val="24"/>
          <w:szCs w:val="24"/>
        </w:rPr>
        <w:t xml:space="preserve"> </w:t>
      </w:r>
      <w:r w:rsidR="009D7252">
        <w:rPr>
          <w:rFonts w:ascii="Times New Roman" w:hAnsi="Times New Roman" w:cs="Times New Roman"/>
          <w:sz w:val="24"/>
          <w:szCs w:val="24"/>
        </w:rPr>
        <w:t>T</w:t>
      </w:r>
      <w:r w:rsidR="00BB7848" w:rsidRPr="00567BC2">
        <w:rPr>
          <w:rFonts w:ascii="Times New Roman" w:hAnsi="Times New Roman" w:cs="Times New Roman"/>
          <w:sz w:val="24"/>
          <w:szCs w:val="24"/>
        </w:rPr>
        <w:t xml:space="preserve">he term natural law </w:t>
      </w:r>
      <w:r w:rsidR="009D7252">
        <w:rPr>
          <w:rFonts w:ascii="Times New Roman" w:hAnsi="Times New Roman" w:cs="Times New Roman"/>
          <w:sz w:val="24"/>
          <w:szCs w:val="24"/>
        </w:rPr>
        <w:t xml:space="preserve">is used </w:t>
      </w:r>
      <w:r w:rsidR="00BB7848" w:rsidRPr="00567BC2">
        <w:rPr>
          <w:rFonts w:ascii="Times New Roman" w:hAnsi="Times New Roman" w:cs="Times New Roman"/>
          <w:sz w:val="24"/>
          <w:szCs w:val="24"/>
        </w:rPr>
        <w:t>above, and yet</w:t>
      </w:r>
      <w:r w:rsidRPr="00567BC2">
        <w:rPr>
          <w:rFonts w:ascii="Times New Roman" w:hAnsi="Times New Roman" w:cs="Times New Roman"/>
          <w:i/>
          <w:sz w:val="24"/>
          <w:szCs w:val="24"/>
        </w:rPr>
        <w:t xml:space="preserve"> </w:t>
      </w:r>
      <w:r w:rsidRPr="00567BC2">
        <w:rPr>
          <w:rFonts w:ascii="Times New Roman" w:hAnsi="Times New Roman" w:cs="Times New Roman"/>
          <w:sz w:val="24"/>
          <w:szCs w:val="24"/>
        </w:rPr>
        <w:t>the</w:t>
      </w:r>
      <w:r w:rsidR="00BB7848" w:rsidRPr="00567BC2">
        <w:rPr>
          <w:rFonts w:ascii="Times New Roman" w:hAnsi="Times New Roman" w:cs="Times New Roman"/>
          <w:sz w:val="24"/>
          <w:szCs w:val="24"/>
        </w:rPr>
        <w:t xml:space="preserve"> principles</w:t>
      </w:r>
      <w:r w:rsidRPr="00567BC2">
        <w:rPr>
          <w:rFonts w:ascii="Times New Roman" w:hAnsi="Times New Roman" w:cs="Times New Roman"/>
          <w:sz w:val="24"/>
          <w:szCs w:val="24"/>
        </w:rPr>
        <w:t xml:space="preserve"> predate St Augustine’s description of the natural law</w:t>
      </w:r>
      <w:r w:rsidR="009D7252">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23"/>
      </w:r>
      <w:r w:rsidRPr="00567BC2">
        <w:rPr>
          <w:rFonts w:ascii="Times New Roman" w:hAnsi="Times New Roman" w:cs="Times New Roman"/>
          <w:sz w:val="24"/>
          <w:szCs w:val="24"/>
        </w:rPr>
        <w:t xml:space="preserve"> and</w:t>
      </w:r>
      <w:r w:rsidR="00BB7848" w:rsidRPr="00567BC2">
        <w:rPr>
          <w:rFonts w:ascii="Times New Roman" w:hAnsi="Times New Roman" w:cs="Times New Roman"/>
          <w:sz w:val="24"/>
          <w:szCs w:val="24"/>
        </w:rPr>
        <w:t xml:space="preserve"> so are best described by Cicero in this early f</w:t>
      </w:r>
      <w:r w:rsidR="009D7252">
        <w:rPr>
          <w:rFonts w:ascii="Times New Roman" w:hAnsi="Times New Roman" w:cs="Times New Roman"/>
          <w:sz w:val="24"/>
          <w:szCs w:val="24"/>
        </w:rPr>
        <w:t>orm</w:t>
      </w:r>
      <w:r w:rsidR="00BB7848" w:rsidRPr="00567BC2">
        <w:rPr>
          <w:rFonts w:ascii="Times New Roman" w:hAnsi="Times New Roman" w:cs="Times New Roman"/>
          <w:sz w:val="24"/>
          <w:szCs w:val="24"/>
        </w:rPr>
        <w:t>:</w:t>
      </w:r>
    </w:p>
    <w:p w:rsidR="00C12366" w:rsidRPr="00567BC2" w:rsidRDefault="00C12366" w:rsidP="007C5246">
      <w:pPr>
        <w:spacing w:line="360" w:lineRule="auto"/>
        <w:ind w:left="720"/>
        <w:jc w:val="both"/>
        <w:rPr>
          <w:rFonts w:ascii="Times New Roman" w:hAnsi="Times New Roman" w:cs="Times New Roman"/>
          <w:sz w:val="24"/>
          <w:szCs w:val="24"/>
          <w:lang w:val="en-US"/>
        </w:rPr>
      </w:pPr>
      <w:r w:rsidRPr="00567BC2">
        <w:rPr>
          <w:rFonts w:ascii="Times New Roman" w:hAnsi="Times New Roman" w:cs="Times New Roman"/>
          <w:sz w:val="24"/>
          <w:szCs w:val="24"/>
          <w:lang w:val="en-US"/>
        </w:rPr>
        <w:t>[t]rue law is right reason in agreement with nature; it is of universal application, unchanging and everlasting; it summons to duty by its commands, and averts from wrong-doing by its prohibitions. And it does not lay its commands or prohibitions upon good men in vain, although neither have any effect on the wicked. It is a sin to try to alter this law, nor is it allowable to attempt to repeal a part of it, and it is impossible to abolish it entirely. We cannot be freed from its obligations by Senate or People, and we need not look outside ourselves for an expounder or interpreter of it. And there will not be different laws at Rome and at Athens, or different laws now and in the future, but one eternal and unchangeable law will be valid for all nations and all times […]</w:t>
      </w:r>
      <w:r w:rsidRPr="00567BC2">
        <w:rPr>
          <w:rStyle w:val="FootnoteReference"/>
          <w:rFonts w:ascii="Times New Roman" w:hAnsi="Times New Roman" w:cs="Times New Roman"/>
          <w:sz w:val="24"/>
          <w:szCs w:val="24"/>
          <w:lang w:val="en-US"/>
        </w:rPr>
        <w:footnoteReference w:id="24"/>
      </w:r>
    </w:p>
    <w:p w:rsidR="00C12366" w:rsidRPr="00567BC2" w:rsidRDefault="00C12366" w:rsidP="007C5246">
      <w:pPr>
        <w:spacing w:line="360" w:lineRule="auto"/>
        <w:ind w:left="720"/>
        <w:jc w:val="both"/>
        <w:rPr>
          <w:rFonts w:ascii="Times New Roman" w:hAnsi="Times New Roman" w:cs="Times New Roman"/>
          <w:sz w:val="24"/>
          <w:szCs w:val="24"/>
        </w:rPr>
      </w:pPr>
      <w:r w:rsidRPr="00567BC2">
        <w:rPr>
          <w:rFonts w:ascii="Times New Roman" w:hAnsi="Times New Roman" w:cs="Times New Roman"/>
          <w:sz w:val="24"/>
          <w:szCs w:val="24"/>
          <w:lang w:val="en-US"/>
        </w:rPr>
        <w:t>But if the judgements of men were in agreements with nature […] then justice would be equally observed by all. For those creatures who have received the gift of reason from Nature have also received right reason, and therefore have also received Law, which right reason applied to command and prohibition.</w:t>
      </w:r>
      <w:r w:rsidRPr="00567BC2">
        <w:rPr>
          <w:rStyle w:val="FootnoteReference"/>
          <w:rFonts w:ascii="Times New Roman" w:hAnsi="Times New Roman" w:cs="Times New Roman"/>
          <w:sz w:val="24"/>
          <w:szCs w:val="24"/>
          <w:lang w:val="en-US"/>
        </w:rPr>
        <w:footnoteReference w:id="25"/>
      </w:r>
      <w:r w:rsidRPr="00567BC2">
        <w:rPr>
          <w:rFonts w:ascii="Times New Roman" w:hAnsi="Times New Roman" w:cs="Times New Roman"/>
          <w:sz w:val="24"/>
          <w:szCs w:val="24"/>
          <w:lang w:val="en-US"/>
        </w:rPr>
        <w:t xml:space="preserve"> </w:t>
      </w:r>
    </w:p>
    <w:p w:rsidR="00C12366" w:rsidRPr="00567BC2" w:rsidRDefault="00C12366"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 xml:space="preserve">According to Cicero’s description above, the natural law reflects a cosmic order of nature and so is universal, irrespective of the individual’s biases or their inclinations. It is not confined to a single jurisdiction and the natural law is a moral derivative which sage-like people can </w:t>
      </w:r>
      <w:r w:rsidR="00264DEE">
        <w:rPr>
          <w:rFonts w:ascii="Times New Roman" w:hAnsi="Times New Roman" w:cs="Times New Roman"/>
          <w:sz w:val="24"/>
          <w:szCs w:val="24"/>
        </w:rPr>
        <w:t>discover</w:t>
      </w:r>
      <w:r w:rsidRPr="00567BC2">
        <w:rPr>
          <w:rFonts w:ascii="Times New Roman" w:hAnsi="Times New Roman" w:cs="Times New Roman"/>
          <w:sz w:val="24"/>
          <w:szCs w:val="24"/>
        </w:rPr>
        <w:t xml:space="preserve"> by </w:t>
      </w:r>
      <w:r w:rsidR="00377571">
        <w:rPr>
          <w:rFonts w:ascii="Times New Roman" w:hAnsi="Times New Roman" w:cs="Times New Roman"/>
          <w:sz w:val="24"/>
          <w:szCs w:val="24"/>
        </w:rPr>
        <w:t xml:space="preserve">the </w:t>
      </w:r>
      <w:r w:rsidRPr="00567BC2">
        <w:rPr>
          <w:rFonts w:ascii="Times New Roman" w:hAnsi="Times New Roman" w:cs="Times New Roman"/>
          <w:sz w:val="24"/>
          <w:szCs w:val="24"/>
        </w:rPr>
        <w:t>use of their reason</w:t>
      </w:r>
      <w:r w:rsidR="006606D6">
        <w:rPr>
          <w:rFonts w:ascii="Times New Roman" w:hAnsi="Times New Roman" w:cs="Times New Roman"/>
          <w:sz w:val="24"/>
          <w:szCs w:val="24"/>
        </w:rPr>
        <w:t xml:space="preserve"> alone</w:t>
      </w:r>
      <w:r w:rsidR="00E94F1D">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26"/>
      </w:r>
      <w:r w:rsidRPr="00567BC2">
        <w:rPr>
          <w:rFonts w:ascii="Times New Roman" w:hAnsi="Times New Roman" w:cs="Times New Roman"/>
          <w:sz w:val="24"/>
          <w:szCs w:val="24"/>
        </w:rPr>
        <w:t xml:space="preserve"> As the natural law was universal, it was also </w:t>
      </w:r>
      <w:r w:rsidR="00BB7848" w:rsidRPr="00567BC2">
        <w:rPr>
          <w:rFonts w:ascii="Times New Roman" w:hAnsi="Times New Roman" w:cs="Times New Roman"/>
          <w:sz w:val="24"/>
          <w:szCs w:val="24"/>
        </w:rPr>
        <w:t xml:space="preserve">considered to be </w:t>
      </w:r>
      <w:r w:rsidRPr="00567BC2">
        <w:rPr>
          <w:rFonts w:ascii="Times New Roman" w:hAnsi="Times New Roman" w:cs="Times New Roman"/>
          <w:sz w:val="24"/>
          <w:szCs w:val="24"/>
        </w:rPr>
        <w:t xml:space="preserve">universalisable </w:t>
      </w:r>
      <w:r w:rsidRPr="00567BC2">
        <w:rPr>
          <w:rFonts w:ascii="Times New Roman" w:hAnsi="Times New Roman" w:cs="Times New Roman"/>
          <w:i/>
          <w:sz w:val="24"/>
          <w:szCs w:val="24"/>
        </w:rPr>
        <w:t>viz.</w:t>
      </w:r>
      <w:r w:rsidRPr="00567BC2">
        <w:rPr>
          <w:rFonts w:ascii="Times New Roman" w:hAnsi="Times New Roman" w:cs="Times New Roman"/>
          <w:sz w:val="24"/>
          <w:szCs w:val="24"/>
        </w:rPr>
        <w:t xml:space="preserve"> it was possible to take its meaning and extrapolate it widely. Rome’s ancient codifiers (Gaius and Justinian), regarded </w:t>
      </w:r>
      <w:r w:rsidRPr="00567BC2">
        <w:rPr>
          <w:rFonts w:ascii="Times New Roman" w:hAnsi="Times New Roman" w:cs="Times New Roman"/>
          <w:i/>
          <w:sz w:val="24"/>
          <w:szCs w:val="24"/>
        </w:rPr>
        <w:t xml:space="preserve">jus gentium </w:t>
      </w:r>
      <w:r w:rsidRPr="00567BC2">
        <w:rPr>
          <w:rFonts w:ascii="Times New Roman" w:hAnsi="Times New Roman" w:cs="Times New Roman"/>
          <w:sz w:val="24"/>
          <w:szCs w:val="24"/>
        </w:rPr>
        <w:t>and the natural law as they perceived it, to be interchangeable if not one and the same thing</w:t>
      </w:r>
      <w:r w:rsidR="007E4EEB">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27"/>
      </w:r>
      <w:r w:rsidRPr="00567BC2">
        <w:rPr>
          <w:rFonts w:ascii="Times New Roman" w:hAnsi="Times New Roman" w:cs="Times New Roman"/>
          <w:sz w:val="24"/>
          <w:szCs w:val="24"/>
        </w:rPr>
        <w:t xml:space="preserve"> The impact of this was that early Rome saw itself as codifying the natural law, at least in part, into </w:t>
      </w:r>
      <w:r w:rsidRPr="00567BC2">
        <w:rPr>
          <w:rFonts w:ascii="Times New Roman" w:hAnsi="Times New Roman" w:cs="Times New Roman"/>
          <w:i/>
          <w:sz w:val="24"/>
          <w:szCs w:val="24"/>
        </w:rPr>
        <w:t>jus gentium</w:t>
      </w:r>
      <w:r w:rsidRPr="00567BC2">
        <w:rPr>
          <w:rFonts w:ascii="Times New Roman" w:hAnsi="Times New Roman" w:cs="Times New Roman"/>
          <w:sz w:val="24"/>
          <w:szCs w:val="24"/>
        </w:rPr>
        <w:t xml:space="preserve"> and thus creating a body of universal and extraterritorial law which applied across its territories,</w:t>
      </w:r>
      <w:r w:rsidR="00BB7848" w:rsidRPr="00567BC2">
        <w:rPr>
          <w:rFonts w:ascii="Times New Roman" w:hAnsi="Times New Roman" w:cs="Times New Roman"/>
          <w:sz w:val="24"/>
          <w:szCs w:val="24"/>
        </w:rPr>
        <w:t xml:space="preserve"> </w:t>
      </w:r>
      <w:r w:rsidR="00BB7848" w:rsidRPr="00567BC2">
        <w:rPr>
          <w:rFonts w:ascii="Times New Roman" w:hAnsi="Times New Roman" w:cs="Times New Roman"/>
          <w:sz w:val="24"/>
          <w:szCs w:val="24"/>
        </w:rPr>
        <w:lastRenderedPageBreak/>
        <w:t xml:space="preserve">and beyond </w:t>
      </w:r>
      <w:r w:rsidR="006606D6">
        <w:rPr>
          <w:rFonts w:ascii="Times New Roman" w:hAnsi="Times New Roman" w:cs="Times New Roman"/>
          <w:sz w:val="24"/>
          <w:szCs w:val="24"/>
        </w:rPr>
        <w:t>to</w:t>
      </w:r>
      <w:r w:rsidR="00BB7848" w:rsidRPr="00567BC2">
        <w:rPr>
          <w:rFonts w:ascii="Times New Roman" w:hAnsi="Times New Roman" w:cs="Times New Roman"/>
          <w:sz w:val="24"/>
          <w:szCs w:val="24"/>
        </w:rPr>
        <w:t xml:space="preserve"> includ</w:t>
      </w:r>
      <w:r w:rsidR="006606D6">
        <w:rPr>
          <w:rFonts w:ascii="Times New Roman" w:hAnsi="Times New Roman" w:cs="Times New Roman"/>
          <w:sz w:val="24"/>
          <w:szCs w:val="24"/>
        </w:rPr>
        <w:t>e</w:t>
      </w:r>
      <w:r w:rsidR="00BB7848" w:rsidRPr="00567BC2">
        <w:rPr>
          <w:rFonts w:ascii="Times New Roman" w:hAnsi="Times New Roman" w:cs="Times New Roman"/>
          <w:sz w:val="24"/>
          <w:szCs w:val="24"/>
        </w:rPr>
        <w:t xml:space="preserve"> all </w:t>
      </w:r>
      <w:r w:rsidR="006606D6">
        <w:rPr>
          <w:rFonts w:ascii="Times New Roman" w:hAnsi="Times New Roman" w:cs="Times New Roman"/>
          <w:sz w:val="24"/>
          <w:szCs w:val="24"/>
        </w:rPr>
        <w:t xml:space="preserve">those </w:t>
      </w:r>
      <w:r w:rsidRPr="00567BC2">
        <w:rPr>
          <w:rFonts w:ascii="Times New Roman" w:hAnsi="Times New Roman" w:cs="Times New Roman"/>
          <w:sz w:val="24"/>
          <w:szCs w:val="24"/>
        </w:rPr>
        <w:t>who traded with Rome. In this respect</w:t>
      </w:r>
      <w:r w:rsidR="00BB7848" w:rsidRPr="00567BC2">
        <w:rPr>
          <w:rFonts w:ascii="Times New Roman" w:hAnsi="Times New Roman" w:cs="Times New Roman"/>
          <w:sz w:val="24"/>
          <w:szCs w:val="24"/>
        </w:rPr>
        <w:t>,</w:t>
      </w:r>
      <w:r w:rsidRPr="00567BC2">
        <w:rPr>
          <w:rFonts w:ascii="Times New Roman" w:hAnsi="Times New Roman" w:cs="Times New Roman"/>
          <w:sz w:val="24"/>
          <w:szCs w:val="24"/>
        </w:rPr>
        <w:t xml:space="preserve"> the </w:t>
      </w:r>
      <w:r w:rsidR="00BB7848" w:rsidRPr="00567BC2">
        <w:rPr>
          <w:rFonts w:ascii="Times New Roman" w:hAnsi="Times New Roman" w:cs="Times New Roman"/>
          <w:sz w:val="24"/>
          <w:szCs w:val="24"/>
        </w:rPr>
        <w:t xml:space="preserve">origin and </w:t>
      </w:r>
      <w:r w:rsidRPr="00567BC2">
        <w:rPr>
          <w:rFonts w:ascii="Times New Roman" w:hAnsi="Times New Roman" w:cs="Times New Roman"/>
          <w:sz w:val="24"/>
          <w:szCs w:val="24"/>
        </w:rPr>
        <w:t xml:space="preserve">notion of </w:t>
      </w:r>
      <w:r w:rsidRPr="00567BC2">
        <w:rPr>
          <w:rFonts w:ascii="Times New Roman" w:hAnsi="Times New Roman" w:cs="Times New Roman"/>
          <w:i/>
          <w:sz w:val="24"/>
          <w:szCs w:val="24"/>
        </w:rPr>
        <w:t>jus gentium</w:t>
      </w:r>
      <w:r w:rsidRPr="00567BC2">
        <w:rPr>
          <w:rFonts w:ascii="Times New Roman" w:hAnsi="Times New Roman" w:cs="Times New Roman"/>
          <w:sz w:val="24"/>
          <w:szCs w:val="24"/>
        </w:rPr>
        <w:t xml:space="preserve"> is the antithesis of territorial and legislative sovereignty of each independent state. </w:t>
      </w:r>
    </w:p>
    <w:p w:rsidR="00C12366" w:rsidRPr="00D25FD7" w:rsidRDefault="00C12366"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It is therefore recognised that the concept of state sovereignty is not as ubiquitous throughout history as it may first seem. It has been argued that the concept of sovereignty did not arise in history until (at least in part) the contraction of papal authority which began</w:t>
      </w:r>
      <w:r w:rsidR="00D26E14">
        <w:rPr>
          <w:rFonts w:ascii="Times New Roman" w:hAnsi="Times New Roman" w:cs="Times New Roman"/>
          <w:sz w:val="24"/>
          <w:szCs w:val="24"/>
        </w:rPr>
        <w:t>, in part,</w:t>
      </w:r>
      <w:r w:rsidRPr="00567BC2">
        <w:rPr>
          <w:rFonts w:ascii="Times New Roman" w:hAnsi="Times New Roman" w:cs="Times New Roman"/>
          <w:sz w:val="24"/>
          <w:szCs w:val="24"/>
        </w:rPr>
        <w:t xml:space="preserve"> with the Concordat of Worms or </w:t>
      </w:r>
      <w:r w:rsidRPr="00567BC2">
        <w:rPr>
          <w:rFonts w:ascii="Times New Roman" w:hAnsi="Times New Roman" w:cs="Times New Roman"/>
          <w:i/>
          <w:sz w:val="24"/>
          <w:szCs w:val="24"/>
        </w:rPr>
        <w:t>Pactum Calixtinum</w:t>
      </w:r>
      <w:r w:rsidRPr="00567BC2">
        <w:rPr>
          <w:rFonts w:ascii="Times New Roman" w:hAnsi="Times New Roman" w:cs="Times New Roman"/>
          <w:sz w:val="24"/>
          <w:szCs w:val="24"/>
        </w:rPr>
        <w:t xml:space="preserve"> 1122</w:t>
      </w:r>
      <w:r w:rsidR="007E4EEB">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28"/>
      </w:r>
      <w:r w:rsidRPr="00567BC2">
        <w:rPr>
          <w:rFonts w:ascii="Times New Roman" w:hAnsi="Times New Roman" w:cs="Times New Roman"/>
          <w:sz w:val="24"/>
          <w:szCs w:val="24"/>
        </w:rPr>
        <w:t xml:space="preserve"> De Mesquita convincingly suggests that the contraction of papal authority and the establishment of national sovereignty began (at least to some extent) at this point and some 500 years prior to the treaties of Westphalia</w:t>
      </w:r>
      <w:r w:rsidR="00BB7848" w:rsidRPr="00567BC2">
        <w:rPr>
          <w:rFonts w:ascii="Times New Roman" w:hAnsi="Times New Roman" w:cs="Times New Roman"/>
          <w:sz w:val="24"/>
          <w:szCs w:val="24"/>
        </w:rPr>
        <w:t>,</w:t>
      </w:r>
      <w:r w:rsidRPr="00567BC2">
        <w:rPr>
          <w:rFonts w:ascii="Times New Roman" w:hAnsi="Times New Roman" w:cs="Times New Roman"/>
          <w:sz w:val="24"/>
          <w:szCs w:val="24"/>
        </w:rPr>
        <w:t xml:space="preserve"> which are often credited as the source of modern territorial and legislative sovereignty</w:t>
      </w:r>
      <w:r w:rsidR="007E4EEB">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29"/>
      </w:r>
      <w:r w:rsidRPr="00567BC2">
        <w:rPr>
          <w:rFonts w:ascii="Times New Roman" w:hAnsi="Times New Roman" w:cs="Times New Roman"/>
          <w:sz w:val="24"/>
          <w:szCs w:val="24"/>
        </w:rPr>
        <w:t xml:space="preserve"> Prior to this contraction, the Pope exercised authority across the world and was also considered</w:t>
      </w:r>
      <w:r w:rsidR="006606D6">
        <w:rPr>
          <w:rFonts w:ascii="Times New Roman" w:hAnsi="Times New Roman" w:cs="Times New Roman"/>
          <w:sz w:val="24"/>
          <w:szCs w:val="24"/>
        </w:rPr>
        <w:t xml:space="preserve"> to be</w:t>
      </w:r>
      <w:r w:rsidRPr="00567BC2">
        <w:rPr>
          <w:rFonts w:ascii="Times New Roman" w:hAnsi="Times New Roman" w:cs="Times New Roman"/>
          <w:sz w:val="24"/>
          <w:szCs w:val="24"/>
        </w:rPr>
        <w:t xml:space="preserve"> beyond the authority of the Church. This form of universal jurisdiction was not merely extraterritorial, but a concept of </w:t>
      </w:r>
      <w:r w:rsidR="00860FE3">
        <w:rPr>
          <w:rFonts w:ascii="Times New Roman" w:hAnsi="Times New Roman" w:cs="Times New Roman"/>
          <w:sz w:val="24"/>
          <w:szCs w:val="24"/>
        </w:rPr>
        <w:t xml:space="preserve">the </w:t>
      </w:r>
      <w:r w:rsidRPr="00567BC2">
        <w:rPr>
          <w:rFonts w:ascii="Times New Roman" w:hAnsi="Times New Roman" w:cs="Times New Roman"/>
          <w:sz w:val="24"/>
          <w:szCs w:val="24"/>
        </w:rPr>
        <w:t xml:space="preserve">right to impose law universally and thus the notion that the world was subject to a single legal system and the sovereignty of the papal authority. To contextualise this, the ancient maxim </w:t>
      </w:r>
      <w:r w:rsidRPr="00567BC2">
        <w:rPr>
          <w:rFonts w:ascii="Times New Roman" w:hAnsi="Times New Roman" w:cs="Times New Roman"/>
          <w:i/>
          <w:sz w:val="24"/>
          <w:szCs w:val="24"/>
        </w:rPr>
        <w:t xml:space="preserve">rex est imperator in regno </w:t>
      </w:r>
      <w:r w:rsidRPr="00885B92">
        <w:rPr>
          <w:rFonts w:ascii="Times New Roman" w:hAnsi="Times New Roman" w:cs="Times New Roman"/>
          <w:i/>
          <w:sz w:val="24"/>
          <w:szCs w:val="24"/>
        </w:rPr>
        <w:t>suo</w:t>
      </w:r>
      <w:r w:rsidRPr="00567BC2">
        <w:rPr>
          <w:rStyle w:val="FootnoteReference"/>
          <w:rFonts w:ascii="Times New Roman" w:hAnsi="Times New Roman" w:cs="Times New Roman"/>
          <w:sz w:val="24"/>
          <w:szCs w:val="24"/>
        </w:rPr>
        <w:footnoteReference w:id="30"/>
      </w:r>
      <w:r w:rsidRPr="00567BC2">
        <w:rPr>
          <w:rFonts w:ascii="Times New Roman" w:hAnsi="Times New Roman" w:cs="Times New Roman"/>
          <w:sz w:val="24"/>
          <w:szCs w:val="24"/>
        </w:rPr>
        <w:t xml:space="preserve"> infers</w:t>
      </w:r>
      <w:r w:rsidR="007E4EEB">
        <w:rPr>
          <w:rFonts w:ascii="Times New Roman" w:hAnsi="Times New Roman" w:cs="Times New Roman"/>
          <w:sz w:val="24"/>
          <w:szCs w:val="24"/>
        </w:rPr>
        <w:t>,</w:t>
      </w:r>
      <w:r w:rsidRPr="00567BC2">
        <w:rPr>
          <w:rFonts w:ascii="Times New Roman" w:hAnsi="Times New Roman" w:cs="Times New Roman"/>
          <w:sz w:val="24"/>
          <w:szCs w:val="24"/>
        </w:rPr>
        <w:t xml:space="preserve"> by its semantic construction, the feudal relationship between subjugated kingdom</w:t>
      </w:r>
      <w:r w:rsidR="006560EF" w:rsidRPr="00567BC2">
        <w:rPr>
          <w:rFonts w:ascii="Times New Roman" w:hAnsi="Times New Roman" w:cs="Times New Roman"/>
          <w:sz w:val="24"/>
          <w:szCs w:val="24"/>
        </w:rPr>
        <w:t>s and the empire of the emperor.</w:t>
      </w:r>
      <w:r w:rsidRPr="00567BC2">
        <w:rPr>
          <w:rFonts w:ascii="Times New Roman" w:hAnsi="Times New Roman" w:cs="Times New Roman"/>
          <w:sz w:val="24"/>
          <w:szCs w:val="24"/>
        </w:rPr>
        <w:t xml:space="preserve"> </w:t>
      </w:r>
      <w:r w:rsidR="006560EF" w:rsidRPr="00567BC2">
        <w:rPr>
          <w:rFonts w:ascii="Times New Roman" w:hAnsi="Times New Roman" w:cs="Times New Roman"/>
          <w:sz w:val="24"/>
          <w:szCs w:val="24"/>
        </w:rPr>
        <w:t>I</w:t>
      </w:r>
      <w:r w:rsidRPr="00567BC2">
        <w:rPr>
          <w:rFonts w:ascii="Times New Roman" w:hAnsi="Times New Roman" w:cs="Times New Roman"/>
          <w:sz w:val="24"/>
          <w:szCs w:val="24"/>
        </w:rPr>
        <w:t>n the same manner</w:t>
      </w:r>
      <w:r w:rsidR="007E4EEB">
        <w:rPr>
          <w:rFonts w:ascii="Times New Roman" w:hAnsi="Times New Roman" w:cs="Times New Roman"/>
          <w:sz w:val="24"/>
          <w:szCs w:val="24"/>
        </w:rPr>
        <w:t>,</w:t>
      </w:r>
      <w:r w:rsidRPr="00567BC2">
        <w:rPr>
          <w:rFonts w:ascii="Times New Roman" w:hAnsi="Times New Roman" w:cs="Times New Roman"/>
          <w:sz w:val="24"/>
          <w:szCs w:val="24"/>
        </w:rPr>
        <w:t xml:space="preserve"> papal authority was seen to extend across the wor</w:t>
      </w:r>
      <w:r w:rsidR="00860FE3">
        <w:rPr>
          <w:rFonts w:ascii="Times New Roman" w:hAnsi="Times New Roman" w:cs="Times New Roman"/>
          <w:sz w:val="24"/>
          <w:szCs w:val="24"/>
        </w:rPr>
        <w:t>l</w:t>
      </w:r>
      <w:r w:rsidRPr="00567BC2">
        <w:rPr>
          <w:rFonts w:ascii="Times New Roman" w:hAnsi="Times New Roman" w:cs="Times New Roman"/>
          <w:sz w:val="24"/>
          <w:szCs w:val="24"/>
        </w:rPr>
        <w:t>d</w:t>
      </w:r>
      <w:r w:rsidR="006560EF" w:rsidRPr="00567BC2">
        <w:rPr>
          <w:rFonts w:ascii="Times New Roman" w:hAnsi="Times New Roman" w:cs="Times New Roman"/>
          <w:sz w:val="24"/>
          <w:szCs w:val="24"/>
        </w:rPr>
        <w:t>,</w:t>
      </w:r>
      <w:r w:rsidRPr="00567BC2">
        <w:rPr>
          <w:rFonts w:ascii="Times New Roman" w:hAnsi="Times New Roman" w:cs="Times New Roman"/>
          <w:sz w:val="24"/>
          <w:szCs w:val="24"/>
        </w:rPr>
        <w:t xml:space="preserve"> as the world was under the jurisdiction of the church</w:t>
      </w:r>
      <w:r w:rsidR="003D4CA0">
        <w:rPr>
          <w:rFonts w:ascii="Times New Roman" w:hAnsi="Times New Roman" w:cs="Times New Roman"/>
          <w:sz w:val="24"/>
          <w:szCs w:val="24"/>
        </w:rPr>
        <w:t>, at least as far as compliance with that jurisdiction could be enforced</w:t>
      </w:r>
      <w:r w:rsidRPr="00567BC2">
        <w:rPr>
          <w:rFonts w:ascii="Times New Roman" w:hAnsi="Times New Roman" w:cs="Times New Roman"/>
          <w:sz w:val="24"/>
          <w:szCs w:val="24"/>
        </w:rPr>
        <w:t xml:space="preserve">. It is not until much later did the concept of sovereignty – one that may be more recognisable today – appeared on the international stage. </w:t>
      </w:r>
      <w:r w:rsidR="006606D6">
        <w:rPr>
          <w:rFonts w:ascii="Times New Roman" w:hAnsi="Times New Roman" w:cs="Times New Roman"/>
          <w:sz w:val="24"/>
          <w:szCs w:val="24"/>
        </w:rPr>
        <w:t xml:space="preserve">To bring a modern perspective on this argument, it can be likened, in part, to Kelsen’s theory of the </w:t>
      </w:r>
      <w:r w:rsidR="006606D6" w:rsidRPr="00885B92">
        <w:rPr>
          <w:rFonts w:ascii="Times New Roman" w:hAnsi="Times New Roman" w:cs="Times New Roman"/>
          <w:i/>
          <w:sz w:val="24"/>
          <w:szCs w:val="24"/>
        </w:rPr>
        <w:t>grundnorm</w:t>
      </w:r>
      <w:r w:rsidR="00367CCE">
        <w:rPr>
          <w:rFonts w:ascii="Times New Roman" w:hAnsi="Times New Roman" w:cs="Times New Roman"/>
          <w:sz w:val="24"/>
          <w:szCs w:val="24"/>
        </w:rPr>
        <w:t xml:space="preserve">, </w:t>
      </w:r>
      <w:r w:rsidR="00367CCE" w:rsidRPr="00567BC2">
        <w:rPr>
          <w:rFonts w:ascii="Times New Roman" w:hAnsi="Times New Roman" w:cs="Times New Roman"/>
          <w:sz w:val="24"/>
          <w:szCs w:val="24"/>
        </w:rPr>
        <w:t>or the Basic Norm</w:t>
      </w:r>
      <w:r w:rsidR="00367CCE">
        <w:rPr>
          <w:rFonts w:ascii="Times New Roman" w:hAnsi="Times New Roman" w:cs="Times New Roman"/>
          <w:sz w:val="24"/>
          <w:szCs w:val="24"/>
        </w:rPr>
        <w:t xml:space="preserve">, </w:t>
      </w:r>
      <w:r w:rsidR="006606D6">
        <w:rPr>
          <w:rFonts w:ascii="Times New Roman" w:hAnsi="Times New Roman" w:cs="Times New Roman"/>
          <w:sz w:val="24"/>
          <w:szCs w:val="24"/>
        </w:rPr>
        <w:t>in his Pure Theory of Law</w:t>
      </w:r>
      <w:r w:rsidR="007E4EEB">
        <w:rPr>
          <w:rFonts w:ascii="Times New Roman" w:hAnsi="Times New Roman" w:cs="Times New Roman"/>
          <w:sz w:val="24"/>
          <w:szCs w:val="24"/>
        </w:rPr>
        <w:t>.</w:t>
      </w:r>
      <w:r w:rsidR="006606D6" w:rsidRPr="00567BC2">
        <w:rPr>
          <w:rStyle w:val="FootnoteReference"/>
          <w:rFonts w:ascii="Times New Roman" w:hAnsi="Times New Roman" w:cs="Times New Roman"/>
          <w:sz w:val="24"/>
          <w:szCs w:val="24"/>
        </w:rPr>
        <w:footnoteReference w:id="31"/>
      </w:r>
      <w:r w:rsidR="006606D6">
        <w:rPr>
          <w:rFonts w:ascii="Times New Roman" w:hAnsi="Times New Roman" w:cs="Times New Roman"/>
          <w:sz w:val="24"/>
          <w:szCs w:val="24"/>
        </w:rPr>
        <w:t xml:space="preserve"> Although the comparison is superficial, it is used solely to demonstrate that this </w:t>
      </w:r>
      <w:r w:rsidR="00EE6BDE">
        <w:rPr>
          <w:rFonts w:ascii="Times New Roman" w:hAnsi="Times New Roman" w:cs="Times New Roman"/>
          <w:sz w:val="24"/>
          <w:szCs w:val="24"/>
        </w:rPr>
        <w:t>author’s</w:t>
      </w:r>
      <w:r w:rsidR="006606D6">
        <w:rPr>
          <w:rFonts w:ascii="Times New Roman" w:hAnsi="Times New Roman" w:cs="Times New Roman"/>
          <w:sz w:val="24"/>
          <w:szCs w:val="24"/>
        </w:rPr>
        <w:t xml:space="preserve"> argument is not at odd</w:t>
      </w:r>
      <w:r w:rsidR="003D4CA0">
        <w:rPr>
          <w:rFonts w:ascii="Times New Roman" w:hAnsi="Times New Roman" w:cs="Times New Roman"/>
          <w:sz w:val="24"/>
          <w:szCs w:val="24"/>
        </w:rPr>
        <w:t>s</w:t>
      </w:r>
      <w:r w:rsidR="006606D6">
        <w:rPr>
          <w:rFonts w:ascii="Times New Roman" w:hAnsi="Times New Roman" w:cs="Times New Roman"/>
          <w:sz w:val="24"/>
          <w:szCs w:val="24"/>
        </w:rPr>
        <w:t xml:space="preserve"> with the greater body of theory, and is not intended to be a complete account of Kelsen’s theory or that of its critics</w:t>
      </w:r>
      <w:r w:rsidRPr="00567BC2">
        <w:rPr>
          <w:rFonts w:ascii="Times New Roman" w:hAnsi="Times New Roman" w:cs="Times New Roman"/>
          <w:sz w:val="24"/>
          <w:szCs w:val="24"/>
        </w:rPr>
        <w:t xml:space="preserve">. Kelsen uses neo-Kantian language in setting out his Pure Theory of Law by suggesting that the world comes to us through the formal categories that we have created in our own mind in an attempt to make sense of the world as it is. </w:t>
      </w:r>
      <w:r w:rsidR="0017615A">
        <w:rPr>
          <w:rFonts w:ascii="Times New Roman" w:hAnsi="Times New Roman" w:cs="Times New Roman"/>
          <w:sz w:val="24"/>
          <w:szCs w:val="24"/>
        </w:rPr>
        <w:t>It is suggested here that Kelsen</w:t>
      </w:r>
      <w:r w:rsidR="006560EF" w:rsidRPr="00567BC2">
        <w:rPr>
          <w:rFonts w:ascii="Times New Roman" w:hAnsi="Times New Roman" w:cs="Times New Roman"/>
          <w:sz w:val="24"/>
          <w:szCs w:val="24"/>
        </w:rPr>
        <w:t xml:space="preserve"> </w:t>
      </w:r>
      <w:r w:rsidRPr="00567BC2">
        <w:rPr>
          <w:rFonts w:ascii="Times New Roman" w:hAnsi="Times New Roman" w:cs="Times New Roman"/>
          <w:sz w:val="24"/>
          <w:szCs w:val="24"/>
        </w:rPr>
        <w:t>draws on Kant’s ‘Transcendental Idealism’</w:t>
      </w:r>
      <w:r w:rsidR="007E4EEB">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32"/>
      </w:r>
      <w:r w:rsidRPr="00567BC2">
        <w:rPr>
          <w:rFonts w:ascii="Times New Roman" w:hAnsi="Times New Roman" w:cs="Times New Roman"/>
          <w:sz w:val="24"/>
          <w:szCs w:val="24"/>
        </w:rPr>
        <w:t xml:space="preserve"> </w:t>
      </w:r>
      <w:r w:rsidR="00310296" w:rsidRPr="008932EB">
        <w:rPr>
          <w:rFonts w:ascii="Times New Roman" w:hAnsi="Times New Roman" w:cs="Times New Roman"/>
          <w:sz w:val="24"/>
          <w:szCs w:val="24"/>
        </w:rPr>
        <w:t xml:space="preserve">Transcendental Idealism is a concept that encourages a </w:t>
      </w:r>
      <w:r w:rsidR="007E4EEB">
        <w:rPr>
          <w:rFonts w:ascii="Times New Roman" w:hAnsi="Times New Roman" w:cs="Times New Roman"/>
          <w:sz w:val="24"/>
          <w:szCs w:val="24"/>
        </w:rPr>
        <w:t>person</w:t>
      </w:r>
      <w:r w:rsidR="00310296" w:rsidRPr="008932EB">
        <w:rPr>
          <w:rFonts w:ascii="Times New Roman" w:hAnsi="Times New Roman" w:cs="Times New Roman"/>
          <w:sz w:val="24"/>
          <w:szCs w:val="24"/>
        </w:rPr>
        <w:t xml:space="preserve"> to think critically </w:t>
      </w:r>
      <w:r w:rsidR="00310296" w:rsidRPr="008932EB">
        <w:rPr>
          <w:rFonts w:ascii="Times New Roman" w:hAnsi="Times New Roman" w:cs="Times New Roman"/>
          <w:sz w:val="24"/>
          <w:szCs w:val="24"/>
        </w:rPr>
        <w:lastRenderedPageBreak/>
        <w:t>about what, at a metaphysical level, they know and how that incumbent or antecedent knowledge affects the acquisition of new knowledge</w:t>
      </w:r>
      <w:r w:rsidR="00310296" w:rsidRPr="008932EB">
        <w:rPr>
          <w:rStyle w:val="FootnoteReference"/>
          <w:rFonts w:ascii="Times New Roman" w:hAnsi="Times New Roman" w:cs="Times New Roman"/>
          <w:sz w:val="24"/>
          <w:szCs w:val="24"/>
        </w:rPr>
        <w:footnoteReference w:id="33"/>
      </w:r>
      <w:r w:rsidR="00310296" w:rsidRPr="008932EB">
        <w:rPr>
          <w:rFonts w:ascii="Times New Roman" w:hAnsi="Times New Roman" w:cs="Times New Roman"/>
          <w:sz w:val="24"/>
          <w:szCs w:val="24"/>
        </w:rPr>
        <w:t xml:space="preserve">. </w:t>
      </w:r>
      <w:r w:rsidRPr="00567BC2">
        <w:rPr>
          <w:rFonts w:ascii="Times New Roman" w:hAnsi="Times New Roman" w:cs="Times New Roman"/>
          <w:sz w:val="24"/>
          <w:szCs w:val="24"/>
        </w:rPr>
        <w:t>Kelsen uses this neo-Kantian persuasion to sugges</w:t>
      </w:r>
      <w:r w:rsidR="006560EF" w:rsidRPr="00567BC2">
        <w:rPr>
          <w:rFonts w:ascii="Times New Roman" w:hAnsi="Times New Roman" w:cs="Times New Roman"/>
          <w:sz w:val="24"/>
          <w:szCs w:val="24"/>
        </w:rPr>
        <w:t xml:space="preserve">t that normativism is universal and so universalisable, </w:t>
      </w:r>
      <w:r w:rsidRPr="00567BC2">
        <w:rPr>
          <w:rFonts w:ascii="Times New Roman" w:hAnsi="Times New Roman" w:cs="Times New Roman"/>
          <w:sz w:val="24"/>
          <w:szCs w:val="24"/>
        </w:rPr>
        <w:t xml:space="preserve">and </w:t>
      </w:r>
      <w:r w:rsidR="006560EF" w:rsidRPr="00567BC2">
        <w:rPr>
          <w:rFonts w:ascii="Times New Roman" w:hAnsi="Times New Roman" w:cs="Times New Roman"/>
          <w:sz w:val="24"/>
          <w:szCs w:val="24"/>
        </w:rPr>
        <w:t>as such</w:t>
      </w:r>
      <w:r w:rsidRPr="00567BC2">
        <w:rPr>
          <w:rFonts w:ascii="Times New Roman" w:hAnsi="Times New Roman" w:cs="Times New Roman"/>
          <w:sz w:val="24"/>
          <w:szCs w:val="24"/>
        </w:rPr>
        <w:t xml:space="preserve"> is consistent with the concept of a sin</w:t>
      </w:r>
      <w:r w:rsidR="006560EF" w:rsidRPr="00567BC2">
        <w:rPr>
          <w:rFonts w:ascii="Times New Roman" w:hAnsi="Times New Roman" w:cs="Times New Roman"/>
          <w:sz w:val="24"/>
          <w:szCs w:val="24"/>
        </w:rPr>
        <w:t xml:space="preserve">gle legal system for the world; </w:t>
      </w:r>
      <w:r w:rsidRPr="00567BC2">
        <w:rPr>
          <w:rFonts w:ascii="Times New Roman" w:hAnsi="Times New Roman" w:cs="Times New Roman"/>
          <w:sz w:val="24"/>
          <w:szCs w:val="24"/>
        </w:rPr>
        <w:t>that is to say, monism</w:t>
      </w:r>
      <w:r w:rsidR="007E4EEB">
        <w:rPr>
          <w:rFonts w:ascii="Times New Roman" w:hAnsi="Times New Roman" w:cs="Times New Roman"/>
          <w:sz w:val="24"/>
          <w:szCs w:val="24"/>
        </w:rPr>
        <w:t>.</w:t>
      </w:r>
      <w:r w:rsidR="00310296">
        <w:rPr>
          <w:rStyle w:val="FootnoteReference"/>
          <w:rFonts w:ascii="Times New Roman" w:hAnsi="Times New Roman" w:cs="Times New Roman"/>
          <w:sz w:val="24"/>
          <w:szCs w:val="24"/>
        </w:rPr>
        <w:footnoteReference w:id="34"/>
      </w:r>
      <w:r w:rsidR="00D26E14">
        <w:rPr>
          <w:rFonts w:ascii="Times New Roman" w:hAnsi="Times New Roman" w:cs="Times New Roman"/>
          <w:sz w:val="24"/>
          <w:szCs w:val="24"/>
        </w:rPr>
        <w:t xml:space="preserve"> Kelsen sees that the basi</w:t>
      </w:r>
      <w:r w:rsidRPr="00567BC2">
        <w:rPr>
          <w:rFonts w:ascii="Times New Roman" w:hAnsi="Times New Roman" w:cs="Times New Roman"/>
          <w:sz w:val="24"/>
          <w:szCs w:val="24"/>
        </w:rPr>
        <w:t xml:space="preserve">s of laws are </w:t>
      </w:r>
      <w:r w:rsidR="00367CCE">
        <w:rPr>
          <w:rFonts w:ascii="Times New Roman" w:hAnsi="Times New Roman" w:cs="Times New Roman"/>
          <w:sz w:val="24"/>
          <w:szCs w:val="24"/>
        </w:rPr>
        <w:t xml:space="preserve">legal </w:t>
      </w:r>
      <w:r w:rsidRPr="00567BC2">
        <w:rPr>
          <w:rFonts w:ascii="Times New Roman" w:hAnsi="Times New Roman" w:cs="Times New Roman"/>
          <w:sz w:val="24"/>
          <w:szCs w:val="24"/>
        </w:rPr>
        <w:t xml:space="preserve">norms and the basis of </w:t>
      </w:r>
      <w:r w:rsidR="00367CCE">
        <w:rPr>
          <w:rFonts w:ascii="Times New Roman" w:hAnsi="Times New Roman" w:cs="Times New Roman"/>
          <w:sz w:val="24"/>
          <w:szCs w:val="24"/>
        </w:rPr>
        <w:t xml:space="preserve">these legal </w:t>
      </w:r>
      <w:r w:rsidRPr="00567BC2">
        <w:rPr>
          <w:rFonts w:ascii="Times New Roman" w:hAnsi="Times New Roman" w:cs="Times New Roman"/>
          <w:sz w:val="24"/>
          <w:szCs w:val="24"/>
        </w:rPr>
        <w:t>norms is the Basic Norm</w:t>
      </w:r>
      <w:r w:rsidRPr="00567BC2">
        <w:rPr>
          <w:rFonts w:ascii="Times New Roman" w:hAnsi="Times New Roman" w:cs="Times New Roman"/>
          <w:i/>
          <w:sz w:val="24"/>
          <w:szCs w:val="24"/>
        </w:rPr>
        <w:t xml:space="preserve">. </w:t>
      </w:r>
    </w:p>
    <w:p w:rsidR="00C12366" w:rsidRPr="00567BC2" w:rsidRDefault="00C12366"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The Basic Norm is an extra-legal concept on which all legal norms derived from the Basic Norm rest</w:t>
      </w:r>
      <w:r w:rsidR="002318C4">
        <w:rPr>
          <w:rFonts w:ascii="Times New Roman" w:hAnsi="Times New Roman" w:cs="Times New Roman"/>
          <w:sz w:val="24"/>
          <w:szCs w:val="24"/>
        </w:rPr>
        <w:t>.</w:t>
      </w:r>
      <w:r w:rsidRPr="00567BC2">
        <w:rPr>
          <w:rFonts w:ascii="Times New Roman" w:hAnsi="Times New Roman" w:cs="Times New Roman"/>
          <w:sz w:val="24"/>
          <w:szCs w:val="24"/>
        </w:rPr>
        <w:t xml:space="preserve"> </w:t>
      </w:r>
      <w:r w:rsidR="002318C4">
        <w:rPr>
          <w:rFonts w:ascii="Times New Roman" w:hAnsi="Times New Roman" w:cs="Times New Roman"/>
          <w:sz w:val="24"/>
          <w:szCs w:val="24"/>
        </w:rPr>
        <w:t>A</w:t>
      </w:r>
      <w:r w:rsidRPr="00567BC2">
        <w:rPr>
          <w:rFonts w:ascii="Times New Roman" w:hAnsi="Times New Roman" w:cs="Times New Roman"/>
          <w:sz w:val="24"/>
          <w:szCs w:val="24"/>
        </w:rPr>
        <w:t>s legal norms can only be derived from other norms; the pinnacle of the fountain must</w:t>
      </w:r>
      <w:r w:rsidR="003D4CA0">
        <w:rPr>
          <w:rFonts w:ascii="Times New Roman" w:hAnsi="Times New Roman" w:cs="Times New Roman"/>
          <w:sz w:val="24"/>
          <w:szCs w:val="24"/>
        </w:rPr>
        <w:t>,</w:t>
      </w:r>
      <w:r w:rsidRPr="00567BC2">
        <w:rPr>
          <w:rFonts w:ascii="Times New Roman" w:hAnsi="Times New Roman" w:cs="Times New Roman"/>
          <w:sz w:val="24"/>
          <w:szCs w:val="24"/>
        </w:rPr>
        <w:t xml:space="preserve"> therefore</w:t>
      </w:r>
      <w:r w:rsidR="003D4CA0">
        <w:rPr>
          <w:rFonts w:ascii="Times New Roman" w:hAnsi="Times New Roman" w:cs="Times New Roman"/>
          <w:sz w:val="24"/>
          <w:szCs w:val="24"/>
        </w:rPr>
        <w:t>,</w:t>
      </w:r>
      <w:r w:rsidRPr="00567BC2">
        <w:rPr>
          <w:rFonts w:ascii="Times New Roman" w:hAnsi="Times New Roman" w:cs="Times New Roman"/>
          <w:sz w:val="24"/>
          <w:szCs w:val="24"/>
        </w:rPr>
        <w:t xml:space="preserve"> be extra-legal as the Basic Norm is not derived from any other. Where this Basic Norm is derived from is of great importance to the arguments in this </w:t>
      </w:r>
      <w:r w:rsidR="0051773D" w:rsidRPr="00567BC2">
        <w:rPr>
          <w:rFonts w:ascii="Times New Roman" w:hAnsi="Times New Roman" w:cs="Times New Roman"/>
          <w:sz w:val="24"/>
          <w:szCs w:val="24"/>
        </w:rPr>
        <w:t>article</w:t>
      </w:r>
      <w:r w:rsidRPr="00567BC2">
        <w:rPr>
          <w:rFonts w:ascii="Times New Roman" w:hAnsi="Times New Roman" w:cs="Times New Roman"/>
          <w:sz w:val="24"/>
          <w:szCs w:val="24"/>
        </w:rPr>
        <w:t xml:space="preserve">, and could justify or negate the </w:t>
      </w:r>
      <w:r w:rsidR="006560EF" w:rsidRPr="00567BC2">
        <w:rPr>
          <w:rFonts w:ascii="Times New Roman" w:hAnsi="Times New Roman" w:cs="Times New Roman"/>
          <w:sz w:val="24"/>
          <w:szCs w:val="24"/>
        </w:rPr>
        <w:t>concept of legislative sovereignty</w:t>
      </w:r>
      <w:r w:rsidRPr="00567BC2">
        <w:rPr>
          <w:rFonts w:ascii="Times New Roman" w:hAnsi="Times New Roman" w:cs="Times New Roman"/>
          <w:sz w:val="24"/>
          <w:szCs w:val="24"/>
        </w:rPr>
        <w:t xml:space="preserve">. If the Basic Norm is </w:t>
      </w:r>
      <w:r w:rsidR="00B124CB">
        <w:rPr>
          <w:rFonts w:ascii="Times New Roman" w:hAnsi="Times New Roman" w:cs="Times New Roman"/>
          <w:sz w:val="24"/>
          <w:szCs w:val="24"/>
        </w:rPr>
        <w:t>‘</w:t>
      </w:r>
      <w:r w:rsidRPr="00567BC2">
        <w:rPr>
          <w:rFonts w:ascii="Times New Roman" w:hAnsi="Times New Roman" w:cs="Times New Roman"/>
          <w:sz w:val="24"/>
          <w:szCs w:val="24"/>
        </w:rPr>
        <w:t>in conformity</w:t>
      </w:r>
      <w:r w:rsidR="00B124CB">
        <w:rPr>
          <w:rFonts w:ascii="Times New Roman" w:hAnsi="Times New Roman" w:cs="Times New Roman"/>
          <w:sz w:val="24"/>
          <w:szCs w:val="24"/>
        </w:rPr>
        <w:t>’</w:t>
      </w:r>
      <w:r w:rsidRPr="00567BC2">
        <w:rPr>
          <w:rFonts w:ascii="Times New Roman" w:hAnsi="Times New Roman" w:cs="Times New Roman"/>
          <w:sz w:val="24"/>
          <w:szCs w:val="24"/>
        </w:rPr>
        <w:t xml:space="preserve"> with the individual state</w:t>
      </w:r>
      <w:r w:rsidR="00CE2D41">
        <w:rPr>
          <w:rFonts w:ascii="Times New Roman" w:hAnsi="Times New Roman" w:cs="Times New Roman"/>
          <w:sz w:val="24"/>
          <w:szCs w:val="24"/>
        </w:rPr>
        <w:t>’s legislative sovereignty</w:t>
      </w:r>
      <w:r w:rsidRPr="00567BC2">
        <w:rPr>
          <w:rFonts w:ascii="Times New Roman" w:hAnsi="Times New Roman" w:cs="Times New Roman"/>
          <w:sz w:val="24"/>
          <w:szCs w:val="24"/>
        </w:rPr>
        <w:t xml:space="preserve">, </w:t>
      </w:r>
      <w:r w:rsidR="00CE2D41">
        <w:rPr>
          <w:rFonts w:ascii="Times New Roman" w:hAnsi="Times New Roman" w:cs="Times New Roman"/>
          <w:sz w:val="24"/>
          <w:szCs w:val="24"/>
        </w:rPr>
        <w:t>it</w:t>
      </w:r>
      <w:r w:rsidRPr="00567BC2">
        <w:rPr>
          <w:rFonts w:ascii="Times New Roman" w:hAnsi="Times New Roman" w:cs="Times New Roman"/>
          <w:sz w:val="24"/>
          <w:szCs w:val="24"/>
        </w:rPr>
        <w:t xml:space="preserve"> must logically lead one to conclude that the world is a collection of legal orders and is thus pluralistic</w:t>
      </w:r>
      <w:r w:rsidR="007E4EEB">
        <w:rPr>
          <w:rFonts w:ascii="Times New Roman" w:hAnsi="Times New Roman" w:cs="Times New Roman"/>
          <w:sz w:val="24"/>
          <w:szCs w:val="24"/>
        </w:rPr>
        <w:t>.</w:t>
      </w:r>
      <w:r w:rsidR="00CE2D41">
        <w:rPr>
          <w:rStyle w:val="FootnoteReference"/>
          <w:rFonts w:ascii="Times New Roman" w:hAnsi="Times New Roman" w:cs="Times New Roman"/>
          <w:sz w:val="24"/>
          <w:szCs w:val="24"/>
        </w:rPr>
        <w:footnoteReference w:id="35"/>
      </w:r>
      <w:r w:rsidRPr="00567BC2">
        <w:rPr>
          <w:rFonts w:ascii="Times New Roman" w:hAnsi="Times New Roman" w:cs="Times New Roman"/>
          <w:sz w:val="24"/>
          <w:szCs w:val="24"/>
        </w:rPr>
        <w:t xml:space="preserve"> It does not logically equate that one would legitimately be able to impose</w:t>
      </w:r>
      <w:r w:rsidR="006560EF" w:rsidRPr="00567BC2">
        <w:rPr>
          <w:rFonts w:ascii="Times New Roman" w:hAnsi="Times New Roman" w:cs="Times New Roman"/>
          <w:sz w:val="24"/>
          <w:szCs w:val="24"/>
        </w:rPr>
        <w:t>,</w:t>
      </w:r>
      <w:r w:rsidRPr="00567BC2">
        <w:rPr>
          <w:rFonts w:ascii="Times New Roman" w:hAnsi="Times New Roman" w:cs="Times New Roman"/>
          <w:sz w:val="24"/>
          <w:szCs w:val="24"/>
        </w:rPr>
        <w:t xml:space="preserve"> in peace-time</w:t>
      </w:r>
      <w:r w:rsidR="006560EF" w:rsidRPr="00567BC2">
        <w:rPr>
          <w:rFonts w:ascii="Times New Roman" w:hAnsi="Times New Roman" w:cs="Times New Roman"/>
          <w:sz w:val="24"/>
          <w:szCs w:val="24"/>
        </w:rPr>
        <w:t>,</w:t>
      </w:r>
      <w:r w:rsidRPr="00567BC2">
        <w:rPr>
          <w:rFonts w:ascii="Times New Roman" w:hAnsi="Times New Roman" w:cs="Times New Roman"/>
          <w:sz w:val="24"/>
          <w:szCs w:val="24"/>
        </w:rPr>
        <w:t xml:space="preserve"> it’s Basic Norm on another state</w:t>
      </w:r>
      <w:r w:rsidR="00B124CB">
        <w:rPr>
          <w:rFonts w:ascii="Times New Roman" w:hAnsi="Times New Roman" w:cs="Times New Roman"/>
          <w:sz w:val="24"/>
          <w:szCs w:val="24"/>
        </w:rPr>
        <w:t>,</w:t>
      </w:r>
      <w:r w:rsidRPr="00567BC2">
        <w:rPr>
          <w:rFonts w:ascii="Times New Roman" w:hAnsi="Times New Roman" w:cs="Times New Roman"/>
          <w:sz w:val="24"/>
          <w:szCs w:val="24"/>
        </w:rPr>
        <w:t xml:space="preserve"> as doing so would be beyond the authority of the individual sate and inconsistent with the concept of recognising state sovereignty</w:t>
      </w:r>
      <w:r w:rsidR="0088040F">
        <w:rPr>
          <w:rFonts w:ascii="Times New Roman" w:hAnsi="Times New Roman" w:cs="Times New Roman"/>
          <w:sz w:val="24"/>
          <w:szCs w:val="24"/>
        </w:rPr>
        <w:t>.</w:t>
      </w:r>
      <w:r w:rsidR="00B71D3C">
        <w:rPr>
          <w:rStyle w:val="FootnoteReference"/>
          <w:rFonts w:ascii="Times New Roman" w:hAnsi="Times New Roman" w:cs="Times New Roman"/>
          <w:sz w:val="24"/>
          <w:szCs w:val="24"/>
        </w:rPr>
        <w:footnoteReference w:id="36"/>
      </w:r>
      <w:r w:rsidRPr="00567BC2">
        <w:rPr>
          <w:rFonts w:ascii="Times New Roman" w:hAnsi="Times New Roman" w:cs="Times New Roman"/>
          <w:sz w:val="24"/>
          <w:szCs w:val="24"/>
        </w:rPr>
        <w:t xml:space="preserve"> On the other hand, if one were to accept that the Basic Norm is founded in international law and international relations, this would lead one </w:t>
      </w:r>
      <w:r w:rsidR="0088040F">
        <w:rPr>
          <w:rFonts w:ascii="Times New Roman" w:hAnsi="Times New Roman" w:cs="Times New Roman"/>
          <w:sz w:val="24"/>
          <w:szCs w:val="24"/>
        </w:rPr>
        <w:t xml:space="preserve">logically </w:t>
      </w:r>
      <w:r w:rsidRPr="00567BC2">
        <w:rPr>
          <w:rFonts w:ascii="Times New Roman" w:hAnsi="Times New Roman" w:cs="Times New Roman"/>
          <w:sz w:val="24"/>
          <w:szCs w:val="24"/>
        </w:rPr>
        <w:t xml:space="preserve">to conclude that there is monist legal system that occupies each part of the globe and so there are normative values that each system has in common. As there is one sovereign global </w:t>
      </w:r>
      <w:r w:rsidR="00DD17B0">
        <w:rPr>
          <w:rFonts w:ascii="Times New Roman" w:hAnsi="Times New Roman" w:cs="Times New Roman"/>
          <w:sz w:val="24"/>
          <w:szCs w:val="24"/>
        </w:rPr>
        <w:t>‘quasi-</w:t>
      </w:r>
      <w:r w:rsidRPr="00567BC2">
        <w:rPr>
          <w:rFonts w:ascii="Times New Roman" w:hAnsi="Times New Roman" w:cs="Times New Roman"/>
          <w:sz w:val="24"/>
          <w:szCs w:val="24"/>
        </w:rPr>
        <w:t>legal</w:t>
      </w:r>
      <w:r w:rsidR="00DD17B0">
        <w:rPr>
          <w:rFonts w:ascii="Times New Roman" w:hAnsi="Times New Roman" w:cs="Times New Roman"/>
          <w:sz w:val="24"/>
          <w:szCs w:val="24"/>
        </w:rPr>
        <w:t>’</w:t>
      </w:r>
      <w:r w:rsidRPr="00567BC2">
        <w:rPr>
          <w:rFonts w:ascii="Times New Roman" w:hAnsi="Times New Roman" w:cs="Times New Roman"/>
          <w:sz w:val="24"/>
          <w:szCs w:val="24"/>
        </w:rPr>
        <w:t xml:space="preserve"> system</w:t>
      </w:r>
      <w:r w:rsidR="00DD17B0">
        <w:rPr>
          <w:rFonts w:ascii="Times New Roman" w:hAnsi="Times New Roman" w:cs="Times New Roman"/>
          <w:sz w:val="24"/>
          <w:szCs w:val="24"/>
        </w:rPr>
        <w:t>,</w:t>
      </w:r>
      <w:r w:rsidRPr="00567BC2">
        <w:rPr>
          <w:rFonts w:ascii="Times New Roman" w:hAnsi="Times New Roman" w:cs="Times New Roman"/>
          <w:sz w:val="24"/>
          <w:szCs w:val="24"/>
        </w:rPr>
        <w:t xml:space="preserve"> then there must also be a sovereign authority (if one uses the concepts espoused by Austin).</w:t>
      </w:r>
      <w:r w:rsidR="0091574E" w:rsidRPr="0091574E">
        <w:rPr>
          <w:rStyle w:val="FootnoteReference"/>
          <w:rFonts w:ascii="Times New Roman" w:hAnsi="Times New Roman" w:cs="Times New Roman"/>
          <w:sz w:val="24"/>
          <w:szCs w:val="24"/>
        </w:rPr>
        <w:t xml:space="preserve"> </w:t>
      </w:r>
      <w:r w:rsidR="0091574E">
        <w:rPr>
          <w:rStyle w:val="FootnoteReference"/>
          <w:rFonts w:ascii="Times New Roman" w:hAnsi="Times New Roman" w:cs="Times New Roman"/>
          <w:sz w:val="24"/>
          <w:szCs w:val="24"/>
        </w:rPr>
        <w:footnoteReference w:id="37"/>
      </w:r>
      <w:r w:rsidRPr="00567BC2">
        <w:rPr>
          <w:rFonts w:ascii="Times New Roman" w:hAnsi="Times New Roman" w:cs="Times New Roman"/>
          <w:sz w:val="24"/>
          <w:szCs w:val="24"/>
        </w:rPr>
        <w:t xml:space="preserve"> In this legal system it would be permissible for the likes of the Holy Roman Empire and the Church to assert jurisdiction ether extraterritorially or universally if they can proclaim that they have access to (</w:t>
      </w:r>
      <w:r w:rsidR="00011E39" w:rsidRPr="00567BC2">
        <w:rPr>
          <w:rFonts w:ascii="Times New Roman" w:hAnsi="Times New Roman" w:cs="Times New Roman"/>
          <w:sz w:val="24"/>
          <w:szCs w:val="24"/>
        </w:rPr>
        <w:t xml:space="preserve">possibly </w:t>
      </w:r>
      <w:r w:rsidRPr="00567BC2">
        <w:rPr>
          <w:rFonts w:ascii="Times New Roman" w:hAnsi="Times New Roman" w:cs="Times New Roman"/>
          <w:sz w:val="24"/>
          <w:szCs w:val="24"/>
        </w:rPr>
        <w:t xml:space="preserve">by virtue of reason or </w:t>
      </w:r>
      <w:r w:rsidR="003D4CA0" w:rsidRPr="003D4CA0">
        <w:rPr>
          <w:rFonts w:ascii="Times New Roman" w:hAnsi="Times New Roman" w:cs="Times New Roman"/>
          <w:sz w:val="24"/>
          <w:szCs w:val="24"/>
        </w:rPr>
        <w:t>hermeneutics</w:t>
      </w:r>
      <w:r w:rsidR="0087500A">
        <w:rPr>
          <w:rFonts w:ascii="Times New Roman" w:hAnsi="Times New Roman" w:cs="Times New Roman"/>
          <w:sz w:val="24"/>
          <w:szCs w:val="24"/>
        </w:rPr>
        <w:t xml:space="preserve"> of </w:t>
      </w:r>
      <w:r w:rsidRPr="00567BC2">
        <w:rPr>
          <w:rFonts w:ascii="Times New Roman" w:hAnsi="Times New Roman" w:cs="Times New Roman"/>
          <w:sz w:val="24"/>
          <w:szCs w:val="24"/>
        </w:rPr>
        <w:t>divine inspiration) the Basic Norm</w:t>
      </w:r>
      <w:r w:rsidR="00011E39" w:rsidRPr="00567BC2">
        <w:rPr>
          <w:rFonts w:ascii="Times New Roman" w:hAnsi="Times New Roman" w:cs="Times New Roman"/>
          <w:sz w:val="24"/>
          <w:szCs w:val="24"/>
        </w:rPr>
        <w:t>,</w:t>
      </w:r>
      <w:r w:rsidRPr="00567BC2">
        <w:rPr>
          <w:rFonts w:ascii="Times New Roman" w:hAnsi="Times New Roman" w:cs="Times New Roman"/>
          <w:sz w:val="24"/>
          <w:szCs w:val="24"/>
        </w:rPr>
        <w:t xml:space="preserve"> and so are able to champion the normative value that underpins all law. The importance of this development goes beyond the recognition of a state’s law-</w:t>
      </w:r>
      <w:r w:rsidRPr="00567BC2">
        <w:rPr>
          <w:rFonts w:ascii="Times New Roman" w:hAnsi="Times New Roman" w:cs="Times New Roman"/>
          <w:sz w:val="24"/>
          <w:szCs w:val="24"/>
        </w:rPr>
        <w:lastRenderedPageBreak/>
        <w:t>making powers; it includes the recognition of equality amongst states, irrespective of size.</w:t>
      </w:r>
      <w:r w:rsidR="008863D2" w:rsidRPr="008863D2">
        <w:rPr>
          <w:rStyle w:val="FootnoteReference"/>
          <w:rFonts w:ascii="Times New Roman" w:hAnsi="Times New Roman" w:cs="Times New Roman"/>
          <w:sz w:val="24"/>
          <w:szCs w:val="24"/>
        </w:rPr>
        <w:t xml:space="preserve"> </w:t>
      </w:r>
      <w:r w:rsidR="008863D2">
        <w:rPr>
          <w:rStyle w:val="FootnoteReference"/>
          <w:rFonts w:ascii="Times New Roman" w:hAnsi="Times New Roman" w:cs="Times New Roman"/>
          <w:sz w:val="24"/>
          <w:szCs w:val="24"/>
        </w:rPr>
        <w:footnoteReference w:id="38"/>
      </w:r>
      <w:r w:rsidRPr="00567BC2">
        <w:rPr>
          <w:rFonts w:ascii="Times New Roman" w:hAnsi="Times New Roman" w:cs="Times New Roman"/>
          <w:sz w:val="24"/>
          <w:szCs w:val="24"/>
        </w:rPr>
        <w:t xml:space="preserve"> That is not to say that certain states did not colonise others after this point in time, the justification for this is often a version of legal theory espoused by Hobb</w:t>
      </w:r>
      <w:r w:rsidR="00FB18AC">
        <w:rPr>
          <w:rFonts w:ascii="Times New Roman" w:hAnsi="Times New Roman" w:cs="Times New Roman"/>
          <w:sz w:val="24"/>
          <w:szCs w:val="24"/>
        </w:rPr>
        <w:t>e</w:t>
      </w:r>
      <w:r w:rsidRPr="00567BC2">
        <w:rPr>
          <w:rFonts w:ascii="Times New Roman" w:hAnsi="Times New Roman" w:cs="Times New Roman"/>
          <w:sz w:val="24"/>
          <w:szCs w:val="24"/>
        </w:rPr>
        <w:t xml:space="preserve">s and Locke and one </w:t>
      </w:r>
      <w:r w:rsidR="008863D2" w:rsidRPr="00567BC2">
        <w:rPr>
          <w:rFonts w:ascii="Times New Roman" w:hAnsi="Times New Roman" w:cs="Times New Roman"/>
          <w:sz w:val="24"/>
          <w:szCs w:val="24"/>
        </w:rPr>
        <w:t xml:space="preserve">to </w:t>
      </w:r>
      <w:r w:rsidRPr="00567BC2">
        <w:rPr>
          <w:rFonts w:ascii="Times New Roman" w:hAnsi="Times New Roman" w:cs="Times New Roman"/>
          <w:sz w:val="24"/>
          <w:szCs w:val="24"/>
        </w:rPr>
        <w:t xml:space="preserve">which this </w:t>
      </w:r>
      <w:r w:rsidR="0051773D" w:rsidRPr="00567BC2">
        <w:rPr>
          <w:rFonts w:ascii="Times New Roman" w:hAnsi="Times New Roman" w:cs="Times New Roman"/>
          <w:sz w:val="24"/>
          <w:szCs w:val="24"/>
        </w:rPr>
        <w:t>article</w:t>
      </w:r>
      <w:r w:rsidRPr="00567BC2">
        <w:rPr>
          <w:rFonts w:ascii="Times New Roman" w:hAnsi="Times New Roman" w:cs="Times New Roman"/>
          <w:sz w:val="24"/>
          <w:szCs w:val="24"/>
        </w:rPr>
        <w:t xml:space="preserve"> cannot give adequate space</w:t>
      </w:r>
      <w:r w:rsidR="00B86077">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39"/>
      </w:r>
      <w:r w:rsidRPr="00567BC2">
        <w:rPr>
          <w:rFonts w:ascii="Times New Roman" w:hAnsi="Times New Roman" w:cs="Times New Roman"/>
          <w:sz w:val="24"/>
          <w:szCs w:val="24"/>
        </w:rPr>
        <w:t xml:space="preserve"> It does represent the move away from feudal overlordship towards recognition of states</w:t>
      </w:r>
      <w:r w:rsidR="008863D2">
        <w:rPr>
          <w:rFonts w:ascii="Times New Roman" w:hAnsi="Times New Roman" w:cs="Times New Roman"/>
          <w:sz w:val="24"/>
          <w:szCs w:val="24"/>
        </w:rPr>
        <w:t>’</w:t>
      </w:r>
      <w:r w:rsidRPr="00567BC2">
        <w:rPr>
          <w:rFonts w:ascii="Times New Roman" w:hAnsi="Times New Roman" w:cs="Times New Roman"/>
          <w:sz w:val="24"/>
          <w:szCs w:val="24"/>
        </w:rPr>
        <w:t xml:space="preserve"> </w:t>
      </w:r>
      <w:r w:rsidR="00AA21A5">
        <w:rPr>
          <w:rFonts w:ascii="Times New Roman" w:hAnsi="Times New Roman" w:cs="Times New Roman"/>
          <w:sz w:val="24"/>
          <w:szCs w:val="24"/>
        </w:rPr>
        <w:t>territorial</w:t>
      </w:r>
      <w:r w:rsidR="00AA21A5" w:rsidRPr="00567BC2">
        <w:rPr>
          <w:rFonts w:ascii="Times New Roman" w:hAnsi="Times New Roman" w:cs="Times New Roman"/>
          <w:sz w:val="24"/>
          <w:szCs w:val="24"/>
        </w:rPr>
        <w:t xml:space="preserve"> </w:t>
      </w:r>
      <w:r w:rsidRPr="00567BC2">
        <w:rPr>
          <w:rFonts w:ascii="Times New Roman" w:hAnsi="Times New Roman" w:cs="Times New Roman"/>
          <w:sz w:val="24"/>
          <w:szCs w:val="24"/>
        </w:rPr>
        <w:t xml:space="preserve">integrity. </w:t>
      </w:r>
    </w:p>
    <w:p w:rsidR="00C12366" w:rsidRPr="00567BC2" w:rsidRDefault="00C12366"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It is argued that contraction of papal authority is only one part of the development of ideas which later became national sovereignty; the development and recognition of emerging states, the dissatisfaction with feudal law, and the ‘departure from the medieval idea of law as being fundamentally custom, and legislation as merely a form of declaring the existence of new customs’</w:t>
      </w:r>
      <w:r w:rsidRPr="00567BC2">
        <w:rPr>
          <w:rStyle w:val="FootnoteReference"/>
          <w:rFonts w:ascii="Times New Roman" w:hAnsi="Times New Roman" w:cs="Times New Roman"/>
          <w:sz w:val="24"/>
          <w:szCs w:val="24"/>
        </w:rPr>
        <w:footnoteReference w:id="40"/>
      </w:r>
      <w:r w:rsidR="00011E39" w:rsidRPr="00567BC2">
        <w:rPr>
          <w:rFonts w:ascii="Times New Roman" w:hAnsi="Times New Roman" w:cs="Times New Roman"/>
          <w:sz w:val="24"/>
          <w:szCs w:val="24"/>
        </w:rPr>
        <w:t>,</w:t>
      </w:r>
      <w:r w:rsidRPr="00567BC2">
        <w:rPr>
          <w:rFonts w:ascii="Times New Roman" w:hAnsi="Times New Roman" w:cs="Times New Roman"/>
          <w:sz w:val="24"/>
          <w:szCs w:val="24"/>
        </w:rPr>
        <w:t xml:space="preserve"> were equally relevant to the development of the idea of a state as an independent entity. The later treaties signed over the period known as the Peace of Westphalia</w:t>
      </w:r>
      <w:r w:rsidR="00011E39" w:rsidRPr="00567BC2">
        <w:rPr>
          <w:rFonts w:ascii="Times New Roman" w:hAnsi="Times New Roman" w:cs="Times New Roman"/>
          <w:sz w:val="24"/>
          <w:szCs w:val="24"/>
        </w:rPr>
        <w:t>,</w:t>
      </w:r>
      <w:r w:rsidRPr="00567BC2">
        <w:rPr>
          <w:rFonts w:ascii="Times New Roman" w:hAnsi="Times New Roman" w:cs="Times New Roman"/>
          <w:sz w:val="24"/>
          <w:szCs w:val="24"/>
        </w:rPr>
        <w:t xml:space="preserve"> whic</w:t>
      </w:r>
      <w:r w:rsidR="00011E39" w:rsidRPr="00567BC2">
        <w:rPr>
          <w:rFonts w:ascii="Times New Roman" w:hAnsi="Times New Roman" w:cs="Times New Roman"/>
          <w:sz w:val="24"/>
          <w:szCs w:val="24"/>
        </w:rPr>
        <w:t>h was negotiated from 1644 to 16</w:t>
      </w:r>
      <w:r w:rsidRPr="00567BC2">
        <w:rPr>
          <w:rFonts w:ascii="Times New Roman" w:hAnsi="Times New Roman" w:cs="Times New Roman"/>
          <w:sz w:val="24"/>
          <w:szCs w:val="24"/>
        </w:rPr>
        <w:t>68</w:t>
      </w:r>
      <w:r w:rsidR="00011E39" w:rsidRPr="00567BC2">
        <w:rPr>
          <w:rFonts w:ascii="Times New Roman" w:hAnsi="Times New Roman" w:cs="Times New Roman"/>
          <w:sz w:val="24"/>
          <w:szCs w:val="24"/>
        </w:rPr>
        <w:t>,</w:t>
      </w:r>
      <w:r w:rsidRPr="00567BC2">
        <w:rPr>
          <w:rFonts w:ascii="Times New Roman" w:hAnsi="Times New Roman" w:cs="Times New Roman"/>
          <w:sz w:val="24"/>
          <w:szCs w:val="24"/>
        </w:rPr>
        <w:t xml:space="preserve"> formed the basis of territorial sovereignty as we understand it today</w:t>
      </w:r>
      <w:r w:rsidR="00FF11D5">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41"/>
      </w:r>
      <w:r w:rsidRPr="00567BC2">
        <w:rPr>
          <w:rFonts w:ascii="Times New Roman" w:hAnsi="Times New Roman" w:cs="Times New Roman"/>
          <w:sz w:val="24"/>
          <w:szCs w:val="24"/>
        </w:rPr>
        <w:t xml:space="preserve"> The treaties that were signed in the creation of the Peace of Westphalia either reasserted or created five maxims of sovereignty</w:t>
      </w:r>
      <w:r w:rsidR="00FF11D5">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42"/>
      </w:r>
      <w:r w:rsidRPr="00567BC2">
        <w:rPr>
          <w:rFonts w:ascii="Times New Roman" w:hAnsi="Times New Roman" w:cs="Times New Roman"/>
          <w:sz w:val="24"/>
          <w:szCs w:val="24"/>
        </w:rPr>
        <w:t xml:space="preserve"> </w:t>
      </w:r>
    </w:p>
    <w:p w:rsidR="00C12366" w:rsidRPr="00567BC2" w:rsidRDefault="00C12366"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 xml:space="preserve">The first of these principles has already been mentioned above </w:t>
      </w:r>
      <w:r w:rsidRPr="00567BC2">
        <w:rPr>
          <w:rFonts w:ascii="Times New Roman" w:hAnsi="Times New Roman" w:cs="Times New Roman"/>
          <w:i/>
          <w:sz w:val="24"/>
          <w:szCs w:val="24"/>
        </w:rPr>
        <w:t xml:space="preserve">viz. rex est imperator in regno </w:t>
      </w:r>
      <w:r w:rsidRPr="00885B92">
        <w:rPr>
          <w:rFonts w:ascii="Times New Roman" w:hAnsi="Times New Roman" w:cs="Times New Roman"/>
          <w:i/>
          <w:sz w:val="24"/>
          <w:szCs w:val="24"/>
        </w:rPr>
        <w:t>suo</w:t>
      </w:r>
      <w:r w:rsidRPr="00567BC2">
        <w:rPr>
          <w:rFonts w:ascii="Times New Roman" w:hAnsi="Times New Roman" w:cs="Times New Roman"/>
          <w:sz w:val="24"/>
          <w:szCs w:val="24"/>
        </w:rPr>
        <w:t>. This was not the first occasion that this maxim</w:t>
      </w:r>
      <w:r w:rsidR="00FF11D5">
        <w:rPr>
          <w:rFonts w:ascii="Times New Roman" w:hAnsi="Times New Roman" w:cs="Times New Roman"/>
          <w:sz w:val="24"/>
          <w:szCs w:val="24"/>
        </w:rPr>
        <w:t>,</w:t>
      </w:r>
      <w:r w:rsidRPr="00567BC2">
        <w:rPr>
          <w:rFonts w:ascii="Times New Roman" w:hAnsi="Times New Roman" w:cs="Times New Roman"/>
          <w:sz w:val="24"/>
          <w:szCs w:val="24"/>
        </w:rPr>
        <w:t xml:space="preserve"> or a variant of it</w:t>
      </w:r>
      <w:r w:rsidR="00FF11D5">
        <w:rPr>
          <w:rFonts w:ascii="Times New Roman" w:hAnsi="Times New Roman" w:cs="Times New Roman"/>
          <w:sz w:val="24"/>
          <w:szCs w:val="24"/>
        </w:rPr>
        <w:t>,</w:t>
      </w:r>
      <w:r w:rsidRPr="00567BC2">
        <w:rPr>
          <w:rFonts w:ascii="Times New Roman" w:hAnsi="Times New Roman" w:cs="Times New Roman"/>
          <w:sz w:val="24"/>
          <w:szCs w:val="24"/>
        </w:rPr>
        <w:t xml:space="preserve"> made its way into the philosophi</w:t>
      </w:r>
      <w:r w:rsidR="0049670B">
        <w:rPr>
          <w:rFonts w:ascii="Times New Roman" w:hAnsi="Times New Roman" w:cs="Times New Roman"/>
          <w:sz w:val="24"/>
          <w:szCs w:val="24"/>
        </w:rPr>
        <w:t>cal underpinnings of the nation-</w:t>
      </w:r>
      <w:r w:rsidRPr="00567BC2">
        <w:rPr>
          <w:rFonts w:ascii="Times New Roman" w:hAnsi="Times New Roman" w:cs="Times New Roman"/>
          <w:sz w:val="24"/>
          <w:szCs w:val="24"/>
        </w:rPr>
        <w:t>state. Its origin l</w:t>
      </w:r>
      <w:r w:rsidR="00DB5737">
        <w:rPr>
          <w:rFonts w:ascii="Times New Roman" w:hAnsi="Times New Roman" w:cs="Times New Roman"/>
          <w:sz w:val="24"/>
          <w:szCs w:val="24"/>
        </w:rPr>
        <w:t>ies</w:t>
      </w:r>
      <w:r w:rsidRPr="00567BC2">
        <w:rPr>
          <w:rFonts w:ascii="Times New Roman" w:hAnsi="Times New Roman" w:cs="Times New Roman"/>
          <w:sz w:val="24"/>
          <w:szCs w:val="24"/>
        </w:rPr>
        <w:t xml:space="preserve"> much earlier and can be traced to the </w:t>
      </w:r>
      <w:r w:rsidR="00895CDC" w:rsidRPr="00567BC2">
        <w:rPr>
          <w:rFonts w:ascii="Times New Roman" w:hAnsi="Times New Roman" w:cs="Times New Roman"/>
          <w:sz w:val="24"/>
          <w:szCs w:val="24"/>
        </w:rPr>
        <w:t>caesaro</w:t>
      </w:r>
      <w:r w:rsidRPr="00567BC2">
        <w:rPr>
          <w:rFonts w:ascii="Times New Roman" w:hAnsi="Times New Roman" w:cs="Times New Roman"/>
          <w:sz w:val="24"/>
          <w:szCs w:val="24"/>
        </w:rPr>
        <w:t>papism times of the late twelfth century</w:t>
      </w:r>
      <w:r w:rsidR="00FF11D5">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43"/>
      </w:r>
      <w:r w:rsidRPr="00567BC2">
        <w:rPr>
          <w:rFonts w:ascii="Times New Roman" w:hAnsi="Times New Roman" w:cs="Times New Roman"/>
          <w:sz w:val="24"/>
          <w:szCs w:val="24"/>
        </w:rPr>
        <w:t xml:space="preserve"> As a tangential point of minor relevance but useful in mapping the remit of authority, around the same period that </w:t>
      </w:r>
      <w:r w:rsidRPr="00567BC2">
        <w:rPr>
          <w:rFonts w:ascii="Times New Roman" w:hAnsi="Times New Roman" w:cs="Times New Roman"/>
          <w:i/>
          <w:sz w:val="24"/>
          <w:szCs w:val="24"/>
        </w:rPr>
        <w:t>rex est imperator in regno</w:t>
      </w:r>
      <w:r w:rsidRPr="00DB5737">
        <w:rPr>
          <w:rFonts w:ascii="Times New Roman" w:hAnsi="Times New Roman" w:cs="Times New Roman"/>
          <w:i/>
          <w:sz w:val="24"/>
          <w:szCs w:val="24"/>
        </w:rPr>
        <w:t xml:space="preserve"> </w:t>
      </w:r>
      <w:r w:rsidRPr="00885B92">
        <w:rPr>
          <w:rFonts w:ascii="Times New Roman" w:hAnsi="Times New Roman" w:cs="Times New Roman"/>
          <w:i/>
          <w:sz w:val="24"/>
          <w:szCs w:val="24"/>
        </w:rPr>
        <w:t>suo</w:t>
      </w:r>
      <w:r w:rsidRPr="00567BC2">
        <w:rPr>
          <w:rFonts w:ascii="Times New Roman" w:hAnsi="Times New Roman" w:cs="Times New Roman"/>
          <w:sz w:val="24"/>
          <w:szCs w:val="24"/>
        </w:rPr>
        <w:t xml:space="preserve"> began to enter the collective psyche, other maxim</w:t>
      </w:r>
      <w:r w:rsidR="00FF11D5">
        <w:rPr>
          <w:rFonts w:ascii="Times New Roman" w:hAnsi="Times New Roman" w:cs="Times New Roman"/>
          <w:sz w:val="24"/>
          <w:szCs w:val="24"/>
        </w:rPr>
        <w:t>s</w:t>
      </w:r>
      <w:r w:rsidRPr="00567BC2">
        <w:rPr>
          <w:rFonts w:ascii="Times New Roman" w:hAnsi="Times New Roman" w:cs="Times New Roman"/>
          <w:sz w:val="24"/>
          <w:szCs w:val="24"/>
        </w:rPr>
        <w:t xml:space="preserve"> w</w:t>
      </w:r>
      <w:r w:rsidR="00FF11D5">
        <w:rPr>
          <w:rFonts w:ascii="Times New Roman" w:hAnsi="Times New Roman" w:cs="Times New Roman"/>
          <w:sz w:val="24"/>
          <w:szCs w:val="24"/>
        </w:rPr>
        <w:t>ere</w:t>
      </w:r>
      <w:r w:rsidRPr="00567BC2">
        <w:rPr>
          <w:rFonts w:ascii="Times New Roman" w:hAnsi="Times New Roman" w:cs="Times New Roman"/>
          <w:sz w:val="24"/>
          <w:szCs w:val="24"/>
        </w:rPr>
        <w:t xml:space="preserve"> used to attempt to make sense of the emerging independence and authority of the sovereign within their state. The first of which</w:t>
      </w:r>
      <w:r w:rsidR="00DB5737">
        <w:rPr>
          <w:rFonts w:ascii="Times New Roman" w:hAnsi="Times New Roman" w:cs="Times New Roman"/>
          <w:sz w:val="24"/>
          <w:szCs w:val="24"/>
        </w:rPr>
        <w:t>,</w:t>
      </w:r>
      <w:r w:rsidRPr="00567BC2">
        <w:rPr>
          <w:rFonts w:ascii="Times New Roman" w:hAnsi="Times New Roman" w:cs="Times New Roman"/>
          <w:sz w:val="24"/>
          <w:szCs w:val="24"/>
        </w:rPr>
        <w:t xml:space="preserve"> </w:t>
      </w:r>
      <w:r w:rsidRPr="00567BC2">
        <w:rPr>
          <w:rFonts w:ascii="Times New Roman" w:hAnsi="Times New Roman" w:cs="Times New Roman"/>
          <w:i/>
          <w:sz w:val="24"/>
          <w:szCs w:val="24"/>
        </w:rPr>
        <w:t>rex qui superiorem non recognoscit</w:t>
      </w:r>
      <w:r w:rsidR="00FF11D5">
        <w:rPr>
          <w:rFonts w:ascii="Times New Roman" w:hAnsi="Times New Roman" w:cs="Times New Roman"/>
          <w:i/>
          <w:sz w:val="24"/>
          <w:szCs w:val="24"/>
        </w:rPr>
        <w:t>,</w:t>
      </w:r>
      <w:r w:rsidRPr="00567BC2">
        <w:rPr>
          <w:rStyle w:val="FootnoteReference"/>
          <w:rFonts w:ascii="Times New Roman" w:hAnsi="Times New Roman" w:cs="Times New Roman"/>
          <w:i/>
          <w:sz w:val="24"/>
          <w:szCs w:val="24"/>
        </w:rPr>
        <w:footnoteReference w:id="44"/>
      </w:r>
      <w:r w:rsidRPr="00567BC2">
        <w:rPr>
          <w:rFonts w:ascii="Times New Roman" w:hAnsi="Times New Roman" w:cs="Times New Roman"/>
          <w:sz w:val="24"/>
          <w:szCs w:val="24"/>
        </w:rPr>
        <w:t xml:space="preserve"> was adapted in juristic matters to mean that the King did not recognise any superio</w:t>
      </w:r>
      <w:r w:rsidR="00011E39" w:rsidRPr="00567BC2">
        <w:rPr>
          <w:rFonts w:ascii="Times New Roman" w:hAnsi="Times New Roman" w:cs="Times New Roman"/>
          <w:sz w:val="24"/>
          <w:szCs w:val="24"/>
        </w:rPr>
        <w:t>r authority in temporal matters</w:t>
      </w:r>
      <w:r w:rsidR="00FF11D5">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45"/>
      </w:r>
      <w:r w:rsidRPr="00567BC2">
        <w:rPr>
          <w:rFonts w:ascii="Times New Roman" w:hAnsi="Times New Roman" w:cs="Times New Roman"/>
          <w:sz w:val="24"/>
          <w:szCs w:val="24"/>
        </w:rPr>
        <w:t xml:space="preserve"> allowing for the involvement of a superior papal authority in spiritual matters to continue. The second </w:t>
      </w:r>
      <w:r w:rsidRPr="00567BC2">
        <w:rPr>
          <w:rFonts w:ascii="Times New Roman" w:hAnsi="Times New Roman" w:cs="Times New Roman"/>
          <w:sz w:val="24"/>
          <w:szCs w:val="24"/>
        </w:rPr>
        <w:lastRenderedPageBreak/>
        <w:t>principle asserted by the Treaties of Westphalia</w:t>
      </w:r>
      <w:r w:rsidR="00FF11D5">
        <w:rPr>
          <w:rFonts w:ascii="Times New Roman" w:hAnsi="Times New Roman" w:cs="Times New Roman"/>
          <w:sz w:val="24"/>
          <w:szCs w:val="24"/>
        </w:rPr>
        <w:t>,</w:t>
      </w:r>
      <w:r w:rsidRPr="00567BC2">
        <w:rPr>
          <w:rFonts w:ascii="Times New Roman" w:hAnsi="Times New Roman" w:cs="Times New Roman"/>
          <w:sz w:val="24"/>
          <w:szCs w:val="24"/>
        </w:rPr>
        <w:t xml:space="preserve"> is </w:t>
      </w:r>
      <w:r w:rsidRPr="00567BC2">
        <w:rPr>
          <w:rFonts w:ascii="Times New Roman" w:hAnsi="Times New Roman" w:cs="Times New Roman"/>
          <w:i/>
          <w:sz w:val="24"/>
          <w:szCs w:val="24"/>
        </w:rPr>
        <w:t>cujos region, ejus religio</w:t>
      </w:r>
      <w:r w:rsidR="00FF11D5">
        <w:rPr>
          <w:rFonts w:ascii="Times New Roman" w:hAnsi="Times New Roman" w:cs="Times New Roman"/>
          <w:i/>
          <w:sz w:val="24"/>
          <w:szCs w:val="24"/>
        </w:rPr>
        <w:t>.</w:t>
      </w:r>
      <w:r w:rsidRPr="00567BC2">
        <w:rPr>
          <w:rStyle w:val="FootnoteReference"/>
          <w:rFonts w:ascii="Times New Roman" w:hAnsi="Times New Roman" w:cs="Times New Roman"/>
          <w:i/>
          <w:sz w:val="24"/>
          <w:szCs w:val="24"/>
        </w:rPr>
        <w:footnoteReference w:id="46"/>
      </w:r>
      <w:r w:rsidRPr="00567BC2">
        <w:rPr>
          <w:rFonts w:ascii="Times New Roman" w:hAnsi="Times New Roman" w:cs="Times New Roman"/>
          <w:i/>
          <w:sz w:val="24"/>
          <w:szCs w:val="24"/>
        </w:rPr>
        <w:t xml:space="preserve"> </w:t>
      </w:r>
      <w:r w:rsidR="0049670B">
        <w:rPr>
          <w:rFonts w:ascii="Times New Roman" w:hAnsi="Times New Roman" w:cs="Times New Roman"/>
          <w:sz w:val="24"/>
          <w:szCs w:val="24"/>
        </w:rPr>
        <w:t>Although</w:t>
      </w:r>
      <w:r w:rsidR="00FF11D5">
        <w:rPr>
          <w:rFonts w:ascii="Times New Roman" w:hAnsi="Times New Roman" w:cs="Times New Roman"/>
          <w:sz w:val="24"/>
          <w:szCs w:val="24"/>
        </w:rPr>
        <w:t xml:space="preserve"> t</w:t>
      </w:r>
      <w:r w:rsidRPr="00567BC2">
        <w:rPr>
          <w:rFonts w:ascii="Times New Roman" w:hAnsi="Times New Roman" w:cs="Times New Roman"/>
          <w:sz w:val="24"/>
          <w:szCs w:val="24"/>
        </w:rPr>
        <w:t>his does not add to the field explored by this</w:t>
      </w:r>
      <w:r w:rsidR="00011E39" w:rsidRPr="00567BC2">
        <w:rPr>
          <w:rFonts w:ascii="Times New Roman" w:hAnsi="Times New Roman" w:cs="Times New Roman"/>
          <w:sz w:val="24"/>
          <w:szCs w:val="24"/>
        </w:rPr>
        <w:t xml:space="preserve"> </w:t>
      </w:r>
      <w:r w:rsidR="0051773D" w:rsidRPr="00567BC2">
        <w:rPr>
          <w:rFonts w:ascii="Times New Roman" w:hAnsi="Times New Roman" w:cs="Times New Roman"/>
          <w:sz w:val="24"/>
          <w:szCs w:val="24"/>
        </w:rPr>
        <w:t>article</w:t>
      </w:r>
      <w:r w:rsidRPr="00567BC2">
        <w:rPr>
          <w:rFonts w:ascii="Times New Roman" w:hAnsi="Times New Roman" w:cs="Times New Roman"/>
          <w:sz w:val="24"/>
          <w:szCs w:val="24"/>
        </w:rPr>
        <w:t xml:space="preserve"> </w:t>
      </w:r>
      <w:r w:rsidR="00FF11D5">
        <w:rPr>
          <w:rFonts w:ascii="Times New Roman" w:hAnsi="Times New Roman" w:cs="Times New Roman"/>
          <w:sz w:val="24"/>
          <w:szCs w:val="24"/>
        </w:rPr>
        <w:t>(</w:t>
      </w:r>
      <w:r w:rsidRPr="00567BC2">
        <w:rPr>
          <w:rFonts w:ascii="Times New Roman" w:hAnsi="Times New Roman" w:cs="Times New Roman"/>
          <w:sz w:val="24"/>
          <w:szCs w:val="24"/>
        </w:rPr>
        <w:t>and so will not be discussed further</w:t>
      </w:r>
      <w:r w:rsidR="00FF11D5">
        <w:rPr>
          <w:rFonts w:ascii="Times New Roman" w:hAnsi="Times New Roman" w:cs="Times New Roman"/>
          <w:sz w:val="24"/>
          <w:szCs w:val="24"/>
        </w:rPr>
        <w:t>)</w:t>
      </w:r>
      <w:r w:rsidRPr="00567BC2">
        <w:rPr>
          <w:rFonts w:ascii="Times New Roman" w:hAnsi="Times New Roman" w:cs="Times New Roman"/>
          <w:sz w:val="24"/>
          <w:szCs w:val="24"/>
        </w:rPr>
        <w:t xml:space="preserve">, it does warrant </w:t>
      </w:r>
      <w:r w:rsidR="0049670B">
        <w:rPr>
          <w:rFonts w:ascii="Times New Roman" w:hAnsi="Times New Roman" w:cs="Times New Roman"/>
          <w:sz w:val="24"/>
          <w:szCs w:val="24"/>
        </w:rPr>
        <w:t xml:space="preserve">a </w:t>
      </w:r>
      <w:r w:rsidRPr="00567BC2">
        <w:rPr>
          <w:rFonts w:ascii="Times New Roman" w:hAnsi="Times New Roman" w:cs="Times New Roman"/>
          <w:sz w:val="24"/>
          <w:szCs w:val="24"/>
        </w:rPr>
        <w:t>mention to explore a point later in this paragraph. The third principle is that ‘all states are equal and that no state may interfere with the internal affairs of another’</w:t>
      </w:r>
      <w:r w:rsidR="00FF11D5">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47"/>
      </w:r>
      <w:r w:rsidRPr="00567BC2">
        <w:rPr>
          <w:rFonts w:ascii="Times New Roman" w:hAnsi="Times New Roman" w:cs="Times New Roman"/>
          <w:sz w:val="24"/>
          <w:szCs w:val="24"/>
        </w:rPr>
        <w:t xml:space="preserve"> This principle espouses a stan</w:t>
      </w:r>
      <w:r w:rsidR="00760681">
        <w:rPr>
          <w:rFonts w:ascii="Times New Roman" w:hAnsi="Times New Roman" w:cs="Times New Roman"/>
          <w:sz w:val="24"/>
          <w:szCs w:val="24"/>
        </w:rPr>
        <w:t>dard of equality in sovereignty</w:t>
      </w:r>
      <w:r w:rsidRPr="00567BC2">
        <w:rPr>
          <w:rFonts w:ascii="Times New Roman" w:hAnsi="Times New Roman" w:cs="Times New Roman"/>
          <w:sz w:val="24"/>
          <w:szCs w:val="24"/>
        </w:rPr>
        <w:t xml:space="preserve"> and supports a state</w:t>
      </w:r>
      <w:r w:rsidR="00FF11D5">
        <w:rPr>
          <w:rFonts w:ascii="Times New Roman" w:hAnsi="Times New Roman" w:cs="Times New Roman"/>
          <w:sz w:val="24"/>
          <w:szCs w:val="24"/>
        </w:rPr>
        <w:t>’</w:t>
      </w:r>
      <w:r w:rsidRPr="00567BC2">
        <w:rPr>
          <w:rFonts w:ascii="Times New Roman" w:hAnsi="Times New Roman" w:cs="Times New Roman"/>
          <w:sz w:val="24"/>
          <w:szCs w:val="24"/>
        </w:rPr>
        <w:t>s legislative and territorial integrity. This is arguably a matter which is taken for granted in the modern-day jurisprudence of sovereignty and legislative authority. However, to move from a position where an emperor could claim temporal authority over the sovereign ruler</w:t>
      </w:r>
      <w:r w:rsidR="00011E39" w:rsidRPr="00567BC2">
        <w:rPr>
          <w:rFonts w:ascii="Times New Roman" w:hAnsi="Times New Roman" w:cs="Times New Roman"/>
          <w:sz w:val="24"/>
          <w:szCs w:val="24"/>
        </w:rPr>
        <w:t xml:space="preserve"> of a sovereign state, and the P</w:t>
      </w:r>
      <w:r w:rsidRPr="00567BC2">
        <w:rPr>
          <w:rFonts w:ascii="Times New Roman" w:hAnsi="Times New Roman" w:cs="Times New Roman"/>
          <w:sz w:val="24"/>
          <w:szCs w:val="24"/>
        </w:rPr>
        <w:t xml:space="preserve">ope could claim spiritual authority over that same said state, to a position where the state was autonomous in declaring its </w:t>
      </w:r>
      <w:r w:rsidR="00C807EA">
        <w:rPr>
          <w:rFonts w:ascii="Times New Roman" w:hAnsi="Times New Roman" w:cs="Times New Roman"/>
          <w:sz w:val="24"/>
          <w:szCs w:val="24"/>
        </w:rPr>
        <w:t xml:space="preserve">own </w:t>
      </w:r>
      <w:r w:rsidRPr="00567BC2">
        <w:rPr>
          <w:rFonts w:ascii="Times New Roman" w:hAnsi="Times New Roman" w:cs="Times New Roman"/>
          <w:sz w:val="24"/>
          <w:szCs w:val="24"/>
        </w:rPr>
        <w:t>laws and r</w:t>
      </w:r>
      <w:r w:rsidR="00C807EA">
        <w:rPr>
          <w:rFonts w:ascii="Times New Roman" w:hAnsi="Times New Roman" w:cs="Times New Roman"/>
          <w:sz w:val="24"/>
          <w:szCs w:val="24"/>
        </w:rPr>
        <w:t>eligion is a vast change in geo</w:t>
      </w:r>
      <w:r w:rsidRPr="00567BC2">
        <w:rPr>
          <w:rFonts w:ascii="Times New Roman" w:hAnsi="Times New Roman" w:cs="Times New Roman"/>
          <w:sz w:val="24"/>
          <w:szCs w:val="24"/>
        </w:rPr>
        <w:t xml:space="preserve">political arrangements. </w:t>
      </w:r>
      <w:r w:rsidR="00011E39" w:rsidRPr="00567BC2">
        <w:rPr>
          <w:rFonts w:ascii="Times New Roman" w:hAnsi="Times New Roman" w:cs="Times New Roman"/>
          <w:sz w:val="24"/>
          <w:szCs w:val="24"/>
        </w:rPr>
        <w:t xml:space="preserve">This is arguably the germ of the notion of sovereignty which we hear today. To note that this germ originated in the seventeenth century, may change some views of the absolute nature which the concept of sovereignty is afforded in modern discourse. </w:t>
      </w:r>
    </w:p>
    <w:p w:rsidR="004F2BFD" w:rsidRPr="00567BC2" w:rsidRDefault="00C12366"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The fourth principle outlines that all disputes are to be settled in a peaceful manner ‘where possible through economic sanctions and through the means of collective security’</w:t>
      </w:r>
      <w:r w:rsidR="00FF11D5">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48"/>
      </w:r>
      <w:r w:rsidRPr="00567BC2">
        <w:rPr>
          <w:rFonts w:ascii="Times New Roman" w:hAnsi="Times New Roman" w:cs="Times New Roman"/>
          <w:sz w:val="24"/>
          <w:szCs w:val="24"/>
        </w:rPr>
        <w:t xml:space="preserve"> This is a progressive perspective whereby states would refrain from engaging in military action to resolve disputes</w:t>
      </w:r>
      <w:r w:rsidR="0021128A">
        <w:rPr>
          <w:rFonts w:ascii="Times New Roman" w:hAnsi="Times New Roman" w:cs="Times New Roman"/>
          <w:sz w:val="24"/>
          <w:szCs w:val="24"/>
        </w:rPr>
        <w:t>,</w:t>
      </w:r>
      <w:r w:rsidRPr="00567BC2">
        <w:rPr>
          <w:rFonts w:ascii="Times New Roman" w:hAnsi="Times New Roman" w:cs="Times New Roman"/>
          <w:sz w:val="24"/>
          <w:szCs w:val="24"/>
        </w:rPr>
        <w:t xml:space="preserve"> in order to settle </w:t>
      </w:r>
      <w:r w:rsidR="0021128A">
        <w:rPr>
          <w:rFonts w:ascii="Times New Roman" w:hAnsi="Times New Roman" w:cs="Times New Roman"/>
          <w:sz w:val="24"/>
          <w:szCs w:val="24"/>
        </w:rPr>
        <w:t xml:space="preserve">them </w:t>
      </w:r>
      <w:r w:rsidRPr="00567BC2">
        <w:rPr>
          <w:rFonts w:ascii="Times New Roman" w:hAnsi="Times New Roman" w:cs="Times New Roman"/>
          <w:sz w:val="24"/>
          <w:szCs w:val="24"/>
        </w:rPr>
        <w:t>by means of economic and collective bargaining. It seems though this action would not be out of place in a modern inter-jurisdictional dispute</w:t>
      </w:r>
      <w:r w:rsidR="007A639A" w:rsidRPr="00567BC2">
        <w:rPr>
          <w:rFonts w:ascii="Times New Roman" w:hAnsi="Times New Roman" w:cs="Times New Roman"/>
          <w:sz w:val="24"/>
          <w:szCs w:val="24"/>
        </w:rPr>
        <w:t xml:space="preserve"> resolution process</w:t>
      </w:r>
      <w:r w:rsidRPr="00567BC2">
        <w:rPr>
          <w:rFonts w:ascii="Times New Roman" w:hAnsi="Times New Roman" w:cs="Times New Roman"/>
          <w:sz w:val="24"/>
          <w:szCs w:val="24"/>
        </w:rPr>
        <w:t xml:space="preserve">, and economic sanction is still (at the time of writing) and exceptionally useful tool to deal with disputes between states. </w:t>
      </w:r>
      <w:r w:rsidR="004F2BFD" w:rsidRPr="00567BC2">
        <w:rPr>
          <w:rFonts w:ascii="Times New Roman" w:hAnsi="Times New Roman" w:cs="Times New Roman"/>
          <w:sz w:val="24"/>
          <w:szCs w:val="24"/>
        </w:rPr>
        <w:t>The fourth principle will</w:t>
      </w:r>
      <w:r w:rsidR="00EB10A7">
        <w:rPr>
          <w:rFonts w:ascii="Times New Roman" w:hAnsi="Times New Roman" w:cs="Times New Roman"/>
          <w:sz w:val="24"/>
          <w:szCs w:val="24"/>
        </w:rPr>
        <w:t xml:space="preserve"> also</w:t>
      </w:r>
      <w:r w:rsidR="004F2BFD" w:rsidRPr="00567BC2">
        <w:rPr>
          <w:rFonts w:ascii="Times New Roman" w:hAnsi="Times New Roman" w:cs="Times New Roman"/>
          <w:sz w:val="24"/>
          <w:szCs w:val="24"/>
        </w:rPr>
        <w:t xml:space="preserve"> be revisited shortly. </w:t>
      </w:r>
      <w:r w:rsidR="00EB10A7">
        <w:rPr>
          <w:rFonts w:ascii="Times New Roman" w:hAnsi="Times New Roman" w:cs="Times New Roman"/>
          <w:sz w:val="24"/>
          <w:szCs w:val="24"/>
        </w:rPr>
        <w:t>T</w:t>
      </w:r>
      <w:r w:rsidR="004F2BFD" w:rsidRPr="00567BC2">
        <w:rPr>
          <w:rFonts w:ascii="Times New Roman" w:hAnsi="Times New Roman" w:cs="Times New Roman"/>
          <w:sz w:val="24"/>
          <w:szCs w:val="24"/>
        </w:rPr>
        <w:t xml:space="preserve">he fifth and final principle is a principle which would be more in keeping with human rights </w:t>
      </w:r>
      <w:r w:rsidR="00EB10A7">
        <w:rPr>
          <w:rFonts w:ascii="Times New Roman" w:hAnsi="Times New Roman" w:cs="Times New Roman"/>
          <w:sz w:val="24"/>
          <w:szCs w:val="24"/>
        </w:rPr>
        <w:t>discourse</w:t>
      </w:r>
      <w:r w:rsidR="004F2BFD" w:rsidRPr="00567BC2">
        <w:rPr>
          <w:rFonts w:ascii="Times New Roman" w:hAnsi="Times New Roman" w:cs="Times New Roman"/>
          <w:sz w:val="24"/>
          <w:szCs w:val="24"/>
        </w:rPr>
        <w:t xml:space="preserve">. </w:t>
      </w:r>
      <w:r w:rsidR="007420F5">
        <w:rPr>
          <w:rFonts w:ascii="Times New Roman" w:hAnsi="Times New Roman" w:cs="Times New Roman"/>
          <w:sz w:val="24"/>
          <w:szCs w:val="24"/>
        </w:rPr>
        <w:t>For the sake of fullness, although it will not be considered in any length, t</w:t>
      </w:r>
      <w:r w:rsidR="004F2BFD" w:rsidRPr="00567BC2">
        <w:rPr>
          <w:rFonts w:ascii="Times New Roman" w:hAnsi="Times New Roman" w:cs="Times New Roman"/>
          <w:sz w:val="24"/>
          <w:szCs w:val="24"/>
        </w:rPr>
        <w:t>he final principle supports the religious rights of citizens of minority religions not selected by the state, and of prisoners of war to be returned to their country following the cessation of hostilities</w:t>
      </w:r>
      <w:r w:rsidR="00B876DC">
        <w:rPr>
          <w:rFonts w:ascii="Times New Roman" w:hAnsi="Times New Roman" w:cs="Times New Roman"/>
          <w:sz w:val="24"/>
          <w:szCs w:val="24"/>
        </w:rPr>
        <w:t>.</w:t>
      </w:r>
      <w:r w:rsidR="004F2BFD" w:rsidRPr="00567BC2">
        <w:rPr>
          <w:rStyle w:val="FootnoteReference"/>
          <w:rFonts w:ascii="Times New Roman" w:hAnsi="Times New Roman" w:cs="Times New Roman"/>
          <w:sz w:val="24"/>
          <w:szCs w:val="24"/>
        </w:rPr>
        <w:footnoteReference w:id="49"/>
      </w:r>
      <w:r w:rsidR="004F2BFD" w:rsidRPr="00567BC2">
        <w:rPr>
          <w:rFonts w:ascii="Times New Roman" w:hAnsi="Times New Roman" w:cs="Times New Roman"/>
          <w:sz w:val="24"/>
          <w:szCs w:val="24"/>
        </w:rPr>
        <w:t xml:space="preserve"> This would appear on the face of it to incline towards a particularly liberal and progressive opinion on fundamental rights that are established by a treaty intended to bring about peace. It is progressive in that it aims to protect rights at a time in history when the UK was engaged in selling slaves via </w:t>
      </w:r>
      <w:r w:rsidR="004F2BFD" w:rsidRPr="00567BC2">
        <w:rPr>
          <w:rFonts w:ascii="Times New Roman" w:hAnsi="Times New Roman" w:cs="Times New Roman"/>
          <w:i/>
          <w:sz w:val="24"/>
          <w:szCs w:val="24"/>
        </w:rPr>
        <w:t xml:space="preserve">inter alia </w:t>
      </w:r>
      <w:r w:rsidR="004F2BFD" w:rsidRPr="00567BC2">
        <w:rPr>
          <w:rFonts w:ascii="Times New Roman" w:hAnsi="Times New Roman" w:cs="Times New Roman"/>
          <w:sz w:val="24"/>
          <w:szCs w:val="24"/>
        </w:rPr>
        <w:t>the Royal African Company</w:t>
      </w:r>
      <w:r w:rsidR="00B876DC">
        <w:rPr>
          <w:rFonts w:ascii="Times New Roman" w:hAnsi="Times New Roman" w:cs="Times New Roman"/>
          <w:sz w:val="24"/>
          <w:szCs w:val="24"/>
        </w:rPr>
        <w:t>,</w:t>
      </w:r>
      <w:r w:rsidR="004F2BFD" w:rsidRPr="00567BC2">
        <w:rPr>
          <w:rStyle w:val="FootnoteReference"/>
          <w:rFonts w:ascii="Times New Roman" w:hAnsi="Times New Roman" w:cs="Times New Roman"/>
          <w:sz w:val="24"/>
          <w:szCs w:val="24"/>
        </w:rPr>
        <w:footnoteReference w:id="50"/>
      </w:r>
      <w:r w:rsidR="004F2BFD" w:rsidRPr="00567BC2">
        <w:rPr>
          <w:rFonts w:ascii="Times New Roman" w:hAnsi="Times New Roman" w:cs="Times New Roman"/>
          <w:sz w:val="24"/>
          <w:szCs w:val="24"/>
        </w:rPr>
        <w:t xml:space="preserve"> and women were </w:t>
      </w:r>
      <w:r w:rsidR="004F2BFD" w:rsidRPr="00567BC2">
        <w:rPr>
          <w:rFonts w:ascii="Times New Roman" w:hAnsi="Times New Roman" w:cs="Times New Roman"/>
          <w:sz w:val="24"/>
          <w:szCs w:val="24"/>
        </w:rPr>
        <w:lastRenderedPageBreak/>
        <w:t>still being convicted of witchcraft and sentenced to death</w:t>
      </w:r>
      <w:r w:rsidR="00B876DC">
        <w:rPr>
          <w:rFonts w:ascii="Times New Roman" w:hAnsi="Times New Roman" w:cs="Times New Roman"/>
          <w:sz w:val="24"/>
          <w:szCs w:val="24"/>
        </w:rPr>
        <w:t>.</w:t>
      </w:r>
      <w:r w:rsidR="004F2BFD" w:rsidRPr="00567BC2">
        <w:rPr>
          <w:rStyle w:val="FootnoteReference"/>
          <w:rFonts w:ascii="Times New Roman" w:hAnsi="Times New Roman" w:cs="Times New Roman"/>
          <w:sz w:val="24"/>
          <w:szCs w:val="24"/>
        </w:rPr>
        <w:footnoteReference w:id="51"/>
      </w:r>
      <w:r w:rsidR="004F2BFD" w:rsidRPr="00567BC2">
        <w:rPr>
          <w:rFonts w:ascii="Times New Roman" w:hAnsi="Times New Roman" w:cs="Times New Roman"/>
          <w:sz w:val="24"/>
          <w:szCs w:val="24"/>
        </w:rPr>
        <w:t xml:space="preserve"> Given that this point refers to rights, it is ostensibly beyond the scope of legislative sovereignty for the purposes of this </w:t>
      </w:r>
      <w:r w:rsidR="0051773D" w:rsidRPr="00567BC2">
        <w:rPr>
          <w:rFonts w:ascii="Times New Roman" w:hAnsi="Times New Roman" w:cs="Times New Roman"/>
          <w:sz w:val="24"/>
          <w:szCs w:val="24"/>
        </w:rPr>
        <w:t>article</w:t>
      </w:r>
      <w:r w:rsidR="004F2BFD" w:rsidRPr="00567BC2">
        <w:rPr>
          <w:rFonts w:ascii="Times New Roman" w:hAnsi="Times New Roman" w:cs="Times New Roman"/>
          <w:sz w:val="24"/>
          <w:szCs w:val="24"/>
        </w:rPr>
        <w:t xml:space="preserve">. </w:t>
      </w:r>
    </w:p>
    <w:p w:rsidR="00C12366" w:rsidRPr="00567BC2" w:rsidRDefault="007420F5" w:rsidP="007C5246">
      <w:pPr>
        <w:spacing w:line="360" w:lineRule="auto"/>
        <w:jc w:val="both"/>
        <w:rPr>
          <w:rFonts w:ascii="Times New Roman" w:hAnsi="Times New Roman" w:cs="Times New Roman"/>
          <w:sz w:val="24"/>
          <w:szCs w:val="24"/>
        </w:rPr>
      </w:pPr>
      <w:r>
        <w:rPr>
          <w:rFonts w:ascii="Times New Roman" w:hAnsi="Times New Roman" w:cs="Times New Roman"/>
          <w:sz w:val="24"/>
          <w:szCs w:val="24"/>
        </w:rPr>
        <w:t>Of these five principles, two have particular relevance when considering legislative sovereignty from a position beyond jurisprudence; these are the</w:t>
      </w:r>
      <w:r w:rsidR="004F2BFD" w:rsidRPr="00567BC2">
        <w:rPr>
          <w:rFonts w:ascii="Times New Roman" w:hAnsi="Times New Roman" w:cs="Times New Roman"/>
          <w:sz w:val="24"/>
          <w:szCs w:val="24"/>
        </w:rPr>
        <w:t xml:space="preserve"> </w:t>
      </w:r>
      <w:r w:rsidR="00EB10A7">
        <w:rPr>
          <w:rFonts w:ascii="Times New Roman" w:hAnsi="Times New Roman" w:cs="Times New Roman"/>
          <w:sz w:val="24"/>
          <w:szCs w:val="24"/>
        </w:rPr>
        <w:t xml:space="preserve">third and </w:t>
      </w:r>
      <w:r w:rsidR="004F2BFD" w:rsidRPr="00567BC2">
        <w:rPr>
          <w:rFonts w:ascii="Times New Roman" w:hAnsi="Times New Roman" w:cs="Times New Roman"/>
          <w:sz w:val="24"/>
          <w:szCs w:val="24"/>
        </w:rPr>
        <w:t>fourth principle</w:t>
      </w:r>
      <w:r>
        <w:rPr>
          <w:rFonts w:ascii="Times New Roman" w:hAnsi="Times New Roman" w:cs="Times New Roman"/>
          <w:sz w:val="24"/>
          <w:szCs w:val="24"/>
        </w:rPr>
        <w:t>s.</w:t>
      </w:r>
      <w:r w:rsidR="004F2BFD" w:rsidRPr="00567BC2">
        <w:rPr>
          <w:rFonts w:ascii="Times New Roman" w:hAnsi="Times New Roman" w:cs="Times New Roman"/>
          <w:sz w:val="24"/>
          <w:szCs w:val="24"/>
        </w:rPr>
        <w:t xml:space="preserve"> </w:t>
      </w:r>
      <w:r>
        <w:rPr>
          <w:rFonts w:ascii="Times New Roman" w:hAnsi="Times New Roman" w:cs="Times New Roman"/>
          <w:sz w:val="24"/>
          <w:szCs w:val="24"/>
        </w:rPr>
        <w:t>T</w:t>
      </w:r>
      <w:r w:rsidR="004F2BFD" w:rsidRPr="00567BC2">
        <w:rPr>
          <w:rFonts w:ascii="Times New Roman" w:hAnsi="Times New Roman" w:cs="Times New Roman"/>
          <w:sz w:val="24"/>
          <w:szCs w:val="24"/>
        </w:rPr>
        <w:t>h</w:t>
      </w:r>
      <w:r w:rsidR="00EB10A7">
        <w:rPr>
          <w:rFonts w:ascii="Times New Roman" w:hAnsi="Times New Roman" w:cs="Times New Roman"/>
          <w:sz w:val="24"/>
          <w:szCs w:val="24"/>
        </w:rPr>
        <w:t>ese</w:t>
      </w:r>
      <w:r w:rsidR="00EB7117" w:rsidRPr="00567BC2">
        <w:rPr>
          <w:rFonts w:ascii="Times New Roman" w:hAnsi="Times New Roman" w:cs="Times New Roman"/>
          <w:sz w:val="24"/>
          <w:szCs w:val="24"/>
        </w:rPr>
        <w:t xml:space="preserve"> </w:t>
      </w:r>
      <w:r w:rsidR="002D2EB4" w:rsidRPr="00567BC2">
        <w:rPr>
          <w:rFonts w:ascii="Times New Roman" w:hAnsi="Times New Roman" w:cs="Times New Roman"/>
          <w:sz w:val="24"/>
          <w:szCs w:val="24"/>
        </w:rPr>
        <w:t>principle</w:t>
      </w:r>
      <w:r w:rsidR="002D2EB4">
        <w:rPr>
          <w:rFonts w:ascii="Times New Roman" w:hAnsi="Times New Roman" w:cs="Times New Roman"/>
          <w:sz w:val="24"/>
          <w:szCs w:val="24"/>
        </w:rPr>
        <w:t>s</w:t>
      </w:r>
      <w:r w:rsidR="002D2EB4" w:rsidRPr="00567BC2">
        <w:rPr>
          <w:rFonts w:ascii="Times New Roman" w:hAnsi="Times New Roman" w:cs="Times New Roman"/>
          <w:sz w:val="24"/>
          <w:szCs w:val="24"/>
        </w:rPr>
        <w:t xml:space="preserve"> </w:t>
      </w:r>
      <w:r w:rsidR="002D2EB4">
        <w:rPr>
          <w:rFonts w:ascii="Times New Roman" w:hAnsi="Times New Roman" w:cs="Times New Roman"/>
          <w:sz w:val="24"/>
          <w:szCs w:val="24"/>
        </w:rPr>
        <w:t>are</w:t>
      </w:r>
      <w:r w:rsidR="00EB7117" w:rsidRPr="00567BC2">
        <w:rPr>
          <w:rFonts w:ascii="Times New Roman" w:hAnsi="Times New Roman" w:cs="Times New Roman"/>
          <w:sz w:val="24"/>
          <w:szCs w:val="24"/>
        </w:rPr>
        <w:t xml:space="preserve"> one</w:t>
      </w:r>
      <w:r w:rsidR="00EB10A7">
        <w:rPr>
          <w:rFonts w:ascii="Times New Roman" w:hAnsi="Times New Roman" w:cs="Times New Roman"/>
          <w:sz w:val="24"/>
          <w:szCs w:val="24"/>
        </w:rPr>
        <w:t>s</w:t>
      </w:r>
      <w:r w:rsidR="00EB7117" w:rsidRPr="00567BC2">
        <w:rPr>
          <w:rFonts w:ascii="Times New Roman" w:hAnsi="Times New Roman" w:cs="Times New Roman"/>
          <w:sz w:val="24"/>
          <w:szCs w:val="24"/>
        </w:rPr>
        <w:t xml:space="preserve"> that encourage a deeper thought on the philosophical bases for collectivism and how that rel</w:t>
      </w:r>
      <w:r w:rsidR="00D26E14">
        <w:rPr>
          <w:rFonts w:ascii="Times New Roman" w:hAnsi="Times New Roman" w:cs="Times New Roman"/>
          <w:sz w:val="24"/>
          <w:szCs w:val="24"/>
        </w:rPr>
        <w:t>ates to notions of sovereignty. T</w:t>
      </w:r>
      <w:r w:rsidR="00B876DC">
        <w:rPr>
          <w:rFonts w:ascii="Times New Roman" w:hAnsi="Times New Roman" w:cs="Times New Roman"/>
          <w:sz w:val="24"/>
          <w:szCs w:val="24"/>
        </w:rPr>
        <w:t>o explore</w:t>
      </w:r>
      <w:r w:rsidR="007A639A" w:rsidRPr="00567BC2">
        <w:rPr>
          <w:rFonts w:ascii="Times New Roman" w:hAnsi="Times New Roman" w:cs="Times New Roman"/>
          <w:sz w:val="24"/>
          <w:szCs w:val="24"/>
        </w:rPr>
        <w:t xml:space="preserve"> </w:t>
      </w:r>
      <w:r w:rsidR="00B876DC">
        <w:rPr>
          <w:rFonts w:ascii="Times New Roman" w:hAnsi="Times New Roman" w:cs="Times New Roman"/>
          <w:sz w:val="24"/>
          <w:szCs w:val="24"/>
        </w:rPr>
        <w:t xml:space="preserve">the </w:t>
      </w:r>
      <w:r w:rsidR="007A639A" w:rsidRPr="00567BC2">
        <w:rPr>
          <w:rFonts w:ascii="Times New Roman" w:hAnsi="Times New Roman" w:cs="Times New Roman"/>
          <w:sz w:val="24"/>
          <w:szCs w:val="24"/>
        </w:rPr>
        <w:t xml:space="preserve">substantive content of </w:t>
      </w:r>
      <w:r w:rsidR="00EB10A7">
        <w:rPr>
          <w:rFonts w:ascii="Times New Roman" w:hAnsi="Times New Roman" w:cs="Times New Roman"/>
          <w:sz w:val="24"/>
          <w:szCs w:val="24"/>
        </w:rPr>
        <w:t xml:space="preserve">the fourth </w:t>
      </w:r>
      <w:r w:rsidR="007A639A" w:rsidRPr="00567BC2">
        <w:rPr>
          <w:rFonts w:ascii="Times New Roman" w:hAnsi="Times New Roman" w:cs="Times New Roman"/>
          <w:sz w:val="24"/>
          <w:szCs w:val="24"/>
        </w:rPr>
        <w:t>principle</w:t>
      </w:r>
      <w:r w:rsidR="00B876DC">
        <w:rPr>
          <w:rFonts w:ascii="Times New Roman" w:hAnsi="Times New Roman" w:cs="Times New Roman"/>
          <w:sz w:val="24"/>
          <w:szCs w:val="24"/>
        </w:rPr>
        <w:t>,</w:t>
      </w:r>
      <w:r w:rsidR="0017615A">
        <w:rPr>
          <w:rFonts w:ascii="Times New Roman" w:hAnsi="Times New Roman" w:cs="Times New Roman"/>
          <w:sz w:val="24"/>
          <w:szCs w:val="24"/>
        </w:rPr>
        <w:t xml:space="preserve"> this author </w:t>
      </w:r>
      <w:r w:rsidR="00EB7117" w:rsidRPr="00567BC2">
        <w:rPr>
          <w:rFonts w:ascii="Times New Roman" w:hAnsi="Times New Roman" w:cs="Times New Roman"/>
          <w:sz w:val="24"/>
          <w:szCs w:val="24"/>
        </w:rPr>
        <w:t>propose the following question</w:t>
      </w:r>
      <w:r w:rsidR="00C12366" w:rsidRPr="00567BC2">
        <w:rPr>
          <w:rFonts w:ascii="Times New Roman" w:hAnsi="Times New Roman" w:cs="Times New Roman"/>
          <w:sz w:val="24"/>
          <w:szCs w:val="24"/>
        </w:rPr>
        <w:t xml:space="preserve"> in relation to the resolution of disputes by sanction and collective persuasion</w:t>
      </w:r>
      <w:r w:rsidR="00EB7117" w:rsidRPr="00567BC2">
        <w:rPr>
          <w:rFonts w:ascii="Times New Roman" w:hAnsi="Times New Roman" w:cs="Times New Roman"/>
          <w:sz w:val="24"/>
          <w:szCs w:val="24"/>
        </w:rPr>
        <w:t>:</w:t>
      </w:r>
      <w:r w:rsidR="00C12366" w:rsidRPr="00567BC2">
        <w:rPr>
          <w:rFonts w:ascii="Times New Roman" w:hAnsi="Times New Roman" w:cs="Times New Roman"/>
          <w:sz w:val="24"/>
          <w:szCs w:val="24"/>
        </w:rPr>
        <w:t xml:space="preserve"> is the notion of collectivism in international sanctions both arbitrary and an over</w:t>
      </w:r>
      <w:r w:rsidR="0021128A">
        <w:rPr>
          <w:rFonts w:ascii="Times New Roman" w:hAnsi="Times New Roman" w:cs="Times New Roman"/>
          <w:sz w:val="24"/>
          <w:szCs w:val="24"/>
        </w:rPr>
        <w:t>-</w:t>
      </w:r>
      <w:r w:rsidR="00C12366" w:rsidRPr="00567BC2">
        <w:rPr>
          <w:rFonts w:ascii="Times New Roman" w:hAnsi="Times New Roman" w:cs="Times New Roman"/>
          <w:sz w:val="24"/>
          <w:szCs w:val="24"/>
        </w:rPr>
        <w:t xml:space="preserve">exaggeration of collectivist ideas. </w:t>
      </w:r>
      <w:r w:rsidR="000C6EC9">
        <w:rPr>
          <w:rFonts w:ascii="Times New Roman" w:hAnsi="Times New Roman" w:cs="Times New Roman"/>
          <w:sz w:val="24"/>
          <w:szCs w:val="24"/>
        </w:rPr>
        <w:t xml:space="preserve">To consider the arbitrary nature of sanctions and its effect on the concept of sovereignty, this article will use </w:t>
      </w:r>
      <w:r w:rsidR="0021128A">
        <w:rPr>
          <w:rFonts w:ascii="Times New Roman" w:hAnsi="Times New Roman" w:cs="Times New Roman"/>
          <w:sz w:val="24"/>
          <w:szCs w:val="24"/>
        </w:rPr>
        <w:t>several</w:t>
      </w:r>
      <w:r w:rsidR="000C6EC9">
        <w:rPr>
          <w:rFonts w:ascii="Times New Roman" w:hAnsi="Times New Roman" w:cs="Times New Roman"/>
          <w:sz w:val="24"/>
          <w:szCs w:val="24"/>
        </w:rPr>
        <w:t xml:space="preserve"> points argued by von Mises</w:t>
      </w:r>
      <w:r w:rsidR="00C12366" w:rsidRPr="00567BC2">
        <w:rPr>
          <w:rFonts w:ascii="Times New Roman" w:hAnsi="Times New Roman" w:cs="Times New Roman"/>
          <w:sz w:val="24"/>
          <w:szCs w:val="24"/>
        </w:rPr>
        <w:t>. Though his work does not deal with collections of states operating together, Mises’ work on the arbitrary nation of collectives generally is of assistance in exploring this area. Mises states:</w:t>
      </w:r>
    </w:p>
    <w:p w:rsidR="00C12366" w:rsidRPr="00567BC2" w:rsidRDefault="00C12366" w:rsidP="007C5246">
      <w:pPr>
        <w:spacing w:line="360" w:lineRule="auto"/>
        <w:ind w:left="720"/>
        <w:jc w:val="both"/>
        <w:rPr>
          <w:rFonts w:ascii="Times New Roman" w:hAnsi="Times New Roman" w:cs="Times New Roman"/>
          <w:sz w:val="24"/>
          <w:szCs w:val="24"/>
        </w:rPr>
      </w:pPr>
      <w:r w:rsidRPr="00567BC2">
        <w:rPr>
          <w:rFonts w:ascii="Times New Roman" w:hAnsi="Times New Roman" w:cs="Times New Roman"/>
          <w:sz w:val="24"/>
          <w:szCs w:val="24"/>
        </w:rPr>
        <w:t>There is no uniform collectivist ideology, but many collectivist doctrines. Each of them extols a different collectivist identity and requests all decent people to submit to it. Each sect worships its own idol and is intolerant of all rival idols. Each ordains total subjugation of the individual, each is totalitarian.</w:t>
      </w:r>
      <w:r w:rsidRPr="00567BC2">
        <w:rPr>
          <w:rStyle w:val="FootnoteReference"/>
          <w:rFonts w:ascii="Times New Roman" w:hAnsi="Times New Roman" w:cs="Times New Roman"/>
          <w:sz w:val="24"/>
          <w:szCs w:val="24"/>
        </w:rPr>
        <w:footnoteReference w:id="52"/>
      </w:r>
      <w:r w:rsidRPr="00567BC2">
        <w:rPr>
          <w:rFonts w:ascii="Times New Roman" w:hAnsi="Times New Roman" w:cs="Times New Roman"/>
          <w:sz w:val="24"/>
          <w:szCs w:val="24"/>
        </w:rPr>
        <w:t xml:space="preserve"> </w:t>
      </w:r>
    </w:p>
    <w:p w:rsidR="00E25D36" w:rsidRDefault="00C12366"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Mises here is not applying a literal meaning to the words sect and idol which would put a reader in mind of religious matters. Here Mises’ idol may be freedom, wealth, prosperity, liberty or libertarianism to name a few. In exto</w:t>
      </w:r>
      <w:r w:rsidR="009F4F0D">
        <w:rPr>
          <w:rFonts w:ascii="Times New Roman" w:hAnsi="Times New Roman" w:cs="Times New Roman"/>
          <w:sz w:val="24"/>
          <w:szCs w:val="24"/>
        </w:rPr>
        <w:t>l</w:t>
      </w:r>
      <w:r w:rsidRPr="00567BC2">
        <w:rPr>
          <w:rFonts w:ascii="Times New Roman" w:hAnsi="Times New Roman" w:cs="Times New Roman"/>
          <w:sz w:val="24"/>
          <w:szCs w:val="24"/>
        </w:rPr>
        <w:t>ling the virtue of one, or combination of these idols, Mises’ suggests that those exto</w:t>
      </w:r>
      <w:r w:rsidR="009F4F0D">
        <w:rPr>
          <w:rFonts w:ascii="Times New Roman" w:hAnsi="Times New Roman" w:cs="Times New Roman"/>
          <w:sz w:val="24"/>
          <w:szCs w:val="24"/>
        </w:rPr>
        <w:t>l</w:t>
      </w:r>
      <w:r w:rsidRPr="00567BC2">
        <w:rPr>
          <w:rFonts w:ascii="Times New Roman" w:hAnsi="Times New Roman" w:cs="Times New Roman"/>
          <w:sz w:val="24"/>
          <w:szCs w:val="24"/>
        </w:rPr>
        <w:t xml:space="preserve">ling the idols ‘browbeat’ those that do not fall into line and agree with the collective. What the collective consists of is an arbitrary concept, as it can simply be reduced to ‘which groups agree to subjugate themselves to the idol of the collective’. There is no standard by which the collective is established and no objectively discernible criteria for membership, other than agreeing to pursue or even worship the relevant idol. In terms of international relations, this is readily seen in </w:t>
      </w:r>
      <w:r w:rsidR="001A412B">
        <w:rPr>
          <w:rFonts w:ascii="Times New Roman" w:hAnsi="Times New Roman" w:cs="Times New Roman"/>
          <w:sz w:val="24"/>
          <w:szCs w:val="24"/>
        </w:rPr>
        <w:t>conflicting</w:t>
      </w:r>
      <w:r w:rsidRPr="00567BC2">
        <w:rPr>
          <w:rFonts w:ascii="Times New Roman" w:hAnsi="Times New Roman" w:cs="Times New Roman"/>
          <w:sz w:val="24"/>
          <w:szCs w:val="24"/>
        </w:rPr>
        <w:t xml:space="preserve"> opinions between the westernised collectives of states and those who follow easternised traditions. The westernised notion of freedom is diametrically at odds with the eastern</w:t>
      </w:r>
      <w:r w:rsidR="007A639A" w:rsidRPr="00567BC2">
        <w:rPr>
          <w:rFonts w:ascii="Times New Roman" w:hAnsi="Times New Roman" w:cs="Times New Roman"/>
          <w:sz w:val="24"/>
          <w:szCs w:val="24"/>
        </w:rPr>
        <w:t xml:space="preserve"> counterpart</w:t>
      </w:r>
      <w:r w:rsidRPr="00567BC2">
        <w:rPr>
          <w:rFonts w:ascii="Times New Roman" w:hAnsi="Times New Roman" w:cs="Times New Roman"/>
          <w:sz w:val="24"/>
          <w:szCs w:val="24"/>
        </w:rPr>
        <w:t xml:space="preserve">. For example, Brunei Darussalam has recently introduced punishments consistent with a form of sharia law for crimes including homosexual intercourse, theft and adultery. These punishments include lashings, </w:t>
      </w:r>
      <w:r w:rsidRPr="00567BC2">
        <w:rPr>
          <w:rFonts w:ascii="Times New Roman" w:hAnsi="Times New Roman" w:cs="Times New Roman"/>
          <w:sz w:val="24"/>
          <w:szCs w:val="24"/>
        </w:rPr>
        <w:lastRenderedPageBreak/>
        <w:t>dismemberment of limbs and stoning to death</w:t>
      </w:r>
      <w:r w:rsidRPr="00567BC2">
        <w:rPr>
          <w:rStyle w:val="FootnoteReference"/>
          <w:rFonts w:ascii="Times New Roman" w:hAnsi="Times New Roman" w:cs="Times New Roman"/>
          <w:sz w:val="24"/>
          <w:szCs w:val="24"/>
        </w:rPr>
        <w:footnoteReference w:id="53"/>
      </w:r>
      <w:r w:rsidRPr="00567BC2">
        <w:rPr>
          <w:rFonts w:ascii="Times New Roman" w:hAnsi="Times New Roman" w:cs="Times New Roman"/>
          <w:sz w:val="24"/>
          <w:szCs w:val="24"/>
        </w:rPr>
        <w:t>. Brunei Darussalam is not the only nation to extol this idol (to use the words of Mises)</w:t>
      </w:r>
      <w:r w:rsidR="007A639A" w:rsidRPr="00567BC2">
        <w:rPr>
          <w:rFonts w:ascii="Times New Roman" w:hAnsi="Times New Roman" w:cs="Times New Roman"/>
          <w:sz w:val="24"/>
          <w:szCs w:val="24"/>
        </w:rPr>
        <w:t>;</w:t>
      </w:r>
      <w:r w:rsidRPr="00567BC2">
        <w:rPr>
          <w:rFonts w:ascii="Times New Roman" w:hAnsi="Times New Roman" w:cs="Times New Roman"/>
          <w:sz w:val="24"/>
          <w:szCs w:val="24"/>
        </w:rPr>
        <w:t xml:space="preserve"> other states including Indonesia have similar attitudes towards </w:t>
      </w:r>
      <w:r w:rsidR="000C6EC9">
        <w:rPr>
          <w:rFonts w:ascii="Times New Roman" w:hAnsi="Times New Roman" w:cs="Times New Roman"/>
          <w:sz w:val="24"/>
          <w:szCs w:val="24"/>
        </w:rPr>
        <w:t>S</w:t>
      </w:r>
      <w:r w:rsidRPr="00567BC2">
        <w:rPr>
          <w:rFonts w:ascii="Times New Roman" w:hAnsi="Times New Roman" w:cs="Times New Roman"/>
          <w:sz w:val="24"/>
          <w:szCs w:val="24"/>
        </w:rPr>
        <w:t>haria law punishments for crimes</w:t>
      </w:r>
      <w:r w:rsidR="000C6EC9">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54"/>
      </w:r>
      <w:r w:rsidRPr="00567BC2">
        <w:rPr>
          <w:rFonts w:ascii="Times New Roman" w:hAnsi="Times New Roman" w:cs="Times New Roman"/>
          <w:sz w:val="24"/>
          <w:szCs w:val="24"/>
        </w:rPr>
        <w:t xml:space="preserve"> There is</w:t>
      </w:r>
      <w:r w:rsidR="00D0515E">
        <w:rPr>
          <w:rFonts w:ascii="Times New Roman" w:hAnsi="Times New Roman" w:cs="Times New Roman"/>
          <w:sz w:val="24"/>
          <w:szCs w:val="24"/>
        </w:rPr>
        <w:t>,</w:t>
      </w:r>
      <w:r w:rsidRPr="00567BC2">
        <w:rPr>
          <w:rFonts w:ascii="Times New Roman" w:hAnsi="Times New Roman" w:cs="Times New Roman"/>
          <w:sz w:val="24"/>
          <w:szCs w:val="24"/>
        </w:rPr>
        <w:t xml:space="preserve"> therefore</w:t>
      </w:r>
      <w:r w:rsidR="00D0515E">
        <w:rPr>
          <w:rFonts w:ascii="Times New Roman" w:hAnsi="Times New Roman" w:cs="Times New Roman"/>
          <w:sz w:val="24"/>
          <w:szCs w:val="24"/>
        </w:rPr>
        <w:t>,</w:t>
      </w:r>
      <w:r w:rsidRPr="00567BC2">
        <w:rPr>
          <w:rFonts w:ascii="Times New Roman" w:hAnsi="Times New Roman" w:cs="Times New Roman"/>
          <w:sz w:val="24"/>
          <w:szCs w:val="24"/>
        </w:rPr>
        <w:t xml:space="preserve"> a collective of states created which extol virtues that are inconsistent with, for example, equality and freedom which are the idols of westernised, and other, collectives of nations.</w:t>
      </w:r>
      <w:r w:rsidR="00F65DDD">
        <w:rPr>
          <w:rFonts w:ascii="Times New Roman" w:hAnsi="Times New Roman" w:cs="Times New Roman"/>
          <w:sz w:val="24"/>
          <w:szCs w:val="24"/>
        </w:rPr>
        <w:t xml:space="preserve"> </w:t>
      </w:r>
    </w:p>
    <w:p w:rsidR="00C12366" w:rsidRPr="00567BC2" w:rsidRDefault="00F65DDD" w:rsidP="007C52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possible to propose here that the idol is a metaphysical principle within sovereignty </w:t>
      </w:r>
      <w:r>
        <w:rPr>
          <w:rFonts w:ascii="Times New Roman" w:hAnsi="Times New Roman" w:cs="Times New Roman"/>
          <w:i/>
          <w:sz w:val="24"/>
          <w:szCs w:val="24"/>
        </w:rPr>
        <w:t>viz</w:t>
      </w:r>
      <w:r w:rsidR="002D2EB4">
        <w:rPr>
          <w:rFonts w:ascii="Times New Roman" w:hAnsi="Times New Roman" w:cs="Times New Roman"/>
          <w:i/>
          <w:sz w:val="24"/>
          <w:szCs w:val="24"/>
        </w:rPr>
        <w:t>.</w:t>
      </w:r>
      <w:r>
        <w:rPr>
          <w:rFonts w:ascii="Times New Roman" w:hAnsi="Times New Roman" w:cs="Times New Roman"/>
          <w:sz w:val="24"/>
          <w:szCs w:val="24"/>
        </w:rPr>
        <w:t xml:space="preserve"> it is a concept so inherent within the notion of absolute </w:t>
      </w:r>
      <w:r w:rsidR="000C6EC9">
        <w:rPr>
          <w:rFonts w:ascii="Times New Roman" w:hAnsi="Times New Roman" w:cs="Times New Roman"/>
          <w:sz w:val="24"/>
          <w:szCs w:val="24"/>
        </w:rPr>
        <w:t xml:space="preserve">law-making </w:t>
      </w:r>
      <w:r>
        <w:rPr>
          <w:rFonts w:ascii="Times New Roman" w:hAnsi="Times New Roman" w:cs="Times New Roman"/>
          <w:sz w:val="24"/>
          <w:szCs w:val="24"/>
        </w:rPr>
        <w:t>power within a nation-state, that to imagine authority without a collective idol-driven purpose is to imagine no workable model of authority at all.</w:t>
      </w:r>
      <w:r w:rsidR="000C6EC9">
        <w:rPr>
          <w:rFonts w:ascii="Times New Roman" w:hAnsi="Times New Roman" w:cs="Times New Roman"/>
          <w:sz w:val="24"/>
          <w:szCs w:val="24"/>
        </w:rPr>
        <w:t xml:space="preserve"> The idol of a particular form of sovereignty is arrived at by reason alone; if it were to be subject to </w:t>
      </w:r>
      <w:r w:rsidR="000C6EC9">
        <w:rPr>
          <w:rFonts w:ascii="Times New Roman" w:hAnsi="Times New Roman" w:cs="Times New Roman"/>
          <w:i/>
          <w:sz w:val="24"/>
          <w:szCs w:val="24"/>
        </w:rPr>
        <w:t xml:space="preserve">a posteriori </w:t>
      </w:r>
      <w:r w:rsidR="000C6EC9">
        <w:rPr>
          <w:rFonts w:ascii="Times New Roman" w:hAnsi="Times New Roman" w:cs="Times New Roman"/>
          <w:sz w:val="24"/>
          <w:szCs w:val="24"/>
        </w:rPr>
        <w:t>knowledge, it would amount to nothing more than emulating an idol previously experienced. To assert one’</w:t>
      </w:r>
      <w:r w:rsidR="00D91785">
        <w:rPr>
          <w:rFonts w:ascii="Times New Roman" w:hAnsi="Times New Roman" w:cs="Times New Roman"/>
          <w:sz w:val="24"/>
          <w:szCs w:val="24"/>
        </w:rPr>
        <w:t xml:space="preserve">s own view of sovereignty is to develop ones view by reasoning, to consider all that one knows and produce an idol beyond the scope of knowledge derived from experience. Although any </w:t>
      </w:r>
      <w:r w:rsidR="002D2EB4">
        <w:rPr>
          <w:rFonts w:ascii="Times New Roman" w:hAnsi="Times New Roman" w:cs="Times New Roman"/>
          <w:sz w:val="24"/>
          <w:szCs w:val="24"/>
        </w:rPr>
        <w:t>reflective</w:t>
      </w:r>
      <w:r w:rsidR="00D91785">
        <w:rPr>
          <w:rFonts w:ascii="Times New Roman" w:hAnsi="Times New Roman" w:cs="Times New Roman"/>
          <w:sz w:val="24"/>
          <w:szCs w:val="24"/>
        </w:rPr>
        <w:t xml:space="preserve"> account that one produces of </w:t>
      </w:r>
      <w:r w:rsidR="002D2EB4">
        <w:rPr>
          <w:rFonts w:ascii="Times New Roman" w:hAnsi="Times New Roman" w:cs="Times New Roman"/>
          <w:sz w:val="24"/>
          <w:szCs w:val="24"/>
        </w:rPr>
        <w:t>alternative</w:t>
      </w:r>
      <w:r w:rsidR="00D91785">
        <w:rPr>
          <w:rFonts w:ascii="Times New Roman" w:hAnsi="Times New Roman" w:cs="Times New Roman"/>
          <w:sz w:val="24"/>
          <w:szCs w:val="24"/>
        </w:rPr>
        <w:t xml:space="preserve"> models of sovereignty is likely to be analytic, to produce an idol of one’s own is likely to be synthetic reasoning. Synthetic reasoning</w:t>
      </w:r>
      <w:r w:rsidR="00D0515E">
        <w:rPr>
          <w:rFonts w:ascii="Times New Roman" w:hAnsi="Times New Roman" w:cs="Times New Roman"/>
          <w:sz w:val="24"/>
          <w:szCs w:val="24"/>
        </w:rPr>
        <w:t>,</w:t>
      </w:r>
      <w:r w:rsidR="00D91785">
        <w:rPr>
          <w:rFonts w:ascii="Times New Roman" w:hAnsi="Times New Roman" w:cs="Times New Roman"/>
          <w:sz w:val="24"/>
          <w:szCs w:val="24"/>
        </w:rPr>
        <w:t xml:space="preserve"> by contrast</w:t>
      </w:r>
      <w:r w:rsidR="00D0515E">
        <w:rPr>
          <w:rFonts w:ascii="Times New Roman" w:hAnsi="Times New Roman" w:cs="Times New Roman"/>
          <w:sz w:val="24"/>
          <w:szCs w:val="24"/>
        </w:rPr>
        <w:t>,</w:t>
      </w:r>
      <w:r w:rsidR="00D91785">
        <w:rPr>
          <w:rFonts w:ascii="Times New Roman" w:hAnsi="Times New Roman" w:cs="Times New Roman"/>
          <w:sz w:val="24"/>
          <w:szCs w:val="24"/>
        </w:rPr>
        <w:t xml:space="preserve"> produces an outcome which is entirely beyond the scope of the </w:t>
      </w:r>
      <w:r w:rsidR="002D2EB4">
        <w:rPr>
          <w:rFonts w:ascii="Times New Roman" w:hAnsi="Times New Roman" w:cs="Times New Roman"/>
          <w:sz w:val="24"/>
          <w:szCs w:val="24"/>
        </w:rPr>
        <w:t>antecedent</w:t>
      </w:r>
      <w:r w:rsidR="00D91785">
        <w:rPr>
          <w:rFonts w:ascii="Times New Roman" w:hAnsi="Times New Roman" w:cs="Times New Roman"/>
          <w:sz w:val="24"/>
          <w:szCs w:val="24"/>
        </w:rPr>
        <w:t xml:space="preserve"> or predicate knowledge.</w:t>
      </w:r>
      <w:r w:rsidR="00D91785">
        <w:rPr>
          <w:rStyle w:val="FootnoteReference"/>
          <w:rFonts w:ascii="Times New Roman" w:hAnsi="Times New Roman" w:cs="Times New Roman"/>
          <w:sz w:val="24"/>
          <w:szCs w:val="24"/>
        </w:rPr>
        <w:footnoteReference w:id="55"/>
      </w:r>
      <w:r w:rsidR="00D91785">
        <w:rPr>
          <w:rFonts w:ascii="Times New Roman" w:hAnsi="Times New Roman" w:cs="Times New Roman"/>
          <w:sz w:val="24"/>
          <w:szCs w:val="24"/>
        </w:rPr>
        <w:t xml:space="preserve"> </w:t>
      </w:r>
      <w:r w:rsidR="00E25D36">
        <w:rPr>
          <w:rFonts w:ascii="Times New Roman" w:hAnsi="Times New Roman" w:cs="Times New Roman"/>
          <w:sz w:val="24"/>
          <w:szCs w:val="24"/>
        </w:rPr>
        <w:t>For example, one may state that ‘the French model of sovereignty produces outcome A’, and ‘the Spanish model produces outcome B’. Both are analytical in that the outcomes are part of the predicate knowledge, i.e. the knowledge of the operation of sovereignty in those respective states. However, to state that ‘a combination of the French and Spanish models of Sovereignty will work in the UK’ is</w:t>
      </w:r>
      <w:r w:rsidR="008B5E8D">
        <w:rPr>
          <w:rFonts w:ascii="Times New Roman" w:hAnsi="Times New Roman" w:cs="Times New Roman"/>
          <w:sz w:val="24"/>
          <w:szCs w:val="24"/>
        </w:rPr>
        <w:t xml:space="preserve"> to make </w:t>
      </w:r>
      <w:r w:rsidR="00D0515E">
        <w:rPr>
          <w:rFonts w:ascii="Times New Roman" w:hAnsi="Times New Roman" w:cs="Times New Roman"/>
          <w:sz w:val="24"/>
          <w:szCs w:val="24"/>
        </w:rPr>
        <w:t xml:space="preserve">a </w:t>
      </w:r>
      <w:r w:rsidR="008B5E8D">
        <w:rPr>
          <w:rFonts w:ascii="Times New Roman" w:hAnsi="Times New Roman" w:cs="Times New Roman"/>
          <w:sz w:val="24"/>
          <w:szCs w:val="24"/>
        </w:rPr>
        <w:t>synthetic judgement as</w:t>
      </w:r>
      <w:r w:rsidR="00E25D36">
        <w:rPr>
          <w:rFonts w:ascii="Times New Roman" w:hAnsi="Times New Roman" w:cs="Times New Roman"/>
          <w:sz w:val="24"/>
          <w:szCs w:val="24"/>
        </w:rPr>
        <w:t xml:space="preserve"> the concept of those models working in the UK is not part of the predicate knowledge.</w:t>
      </w:r>
      <w:r w:rsidR="00E25D36">
        <w:rPr>
          <w:rStyle w:val="FootnoteReference"/>
          <w:rFonts w:ascii="Times New Roman" w:hAnsi="Times New Roman" w:cs="Times New Roman"/>
          <w:sz w:val="24"/>
          <w:szCs w:val="24"/>
        </w:rPr>
        <w:footnoteReference w:id="56"/>
      </w:r>
      <w:r w:rsidR="00E25D36">
        <w:rPr>
          <w:rFonts w:ascii="Times New Roman" w:hAnsi="Times New Roman" w:cs="Times New Roman"/>
          <w:sz w:val="24"/>
          <w:szCs w:val="24"/>
        </w:rPr>
        <w:t xml:space="preserve">  </w:t>
      </w:r>
      <w:r w:rsidR="00C12366" w:rsidRPr="00567BC2">
        <w:rPr>
          <w:rFonts w:ascii="Times New Roman" w:hAnsi="Times New Roman" w:cs="Times New Roman"/>
          <w:sz w:val="24"/>
          <w:szCs w:val="24"/>
        </w:rPr>
        <w:t>It is necessary here to set aside some matters which provide obvious areas of criticism (including the morality of coercion and the balance of power i</w:t>
      </w:r>
      <w:r>
        <w:rPr>
          <w:rFonts w:ascii="Times New Roman" w:hAnsi="Times New Roman" w:cs="Times New Roman"/>
          <w:sz w:val="24"/>
          <w:szCs w:val="24"/>
        </w:rPr>
        <w:t>n</w:t>
      </w:r>
      <w:r w:rsidR="00C12366" w:rsidRPr="00567BC2">
        <w:rPr>
          <w:rFonts w:ascii="Times New Roman" w:hAnsi="Times New Roman" w:cs="Times New Roman"/>
          <w:sz w:val="24"/>
          <w:szCs w:val="24"/>
        </w:rPr>
        <w:t xml:space="preserve"> states of differing size</w:t>
      </w:r>
      <w:r>
        <w:rPr>
          <w:rFonts w:ascii="Times New Roman" w:hAnsi="Times New Roman" w:cs="Times New Roman"/>
          <w:sz w:val="24"/>
          <w:szCs w:val="24"/>
        </w:rPr>
        <w:t>,</w:t>
      </w:r>
      <w:r w:rsidR="00C12366" w:rsidRPr="00567BC2">
        <w:rPr>
          <w:rFonts w:ascii="Times New Roman" w:hAnsi="Times New Roman" w:cs="Times New Roman"/>
          <w:sz w:val="24"/>
          <w:szCs w:val="24"/>
        </w:rPr>
        <w:t xml:space="preserve"> an</w:t>
      </w:r>
      <w:r w:rsidR="00173ECF">
        <w:rPr>
          <w:rFonts w:ascii="Times New Roman" w:hAnsi="Times New Roman" w:cs="Times New Roman"/>
          <w:sz w:val="24"/>
          <w:szCs w:val="24"/>
        </w:rPr>
        <w:t xml:space="preserve">d economic stability or status) </w:t>
      </w:r>
      <w:r w:rsidR="00C12366" w:rsidRPr="00567BC2">
        <w:rPr>
          <w:rFonts w:ascii="Times New Roman" w:hAnsi="Times New Roman" w:cs="Times New Roman"/>
          <w:sz w:val="24"/>
          <w:szCs w:val="24"/>
        </w:rPr>
        <w:t xml:space="preserve">to connect the first part of </w:t>
      </w:r>
      <w:r w:rsidR="00F24666">
        <w:rPr>
          <w:rFonts w:ascii="Times New Roman" w:hAnsi="Times New Roman" w:cs="Times New Roman"/>
          <w:sz w:val="24"/>
          <w:szCs w:val="24"/>
        </w:rPr>
        <w:t>the</w:t>
      </w:r>
      <w:r w:rsidR="00C12366" w:rsidRPr="00567BC2">
        <w:rPr>
          <w:rFonts w:ascii="Times New Roman" w:hAnsi="Times New Roman" w:cs="Times New Roman"/>
          <w:sz w:val="24"/>
          <w:szCs w:val="24"/>
        </w:rPr>
        <w:t xml:space="preserve"> question above </w:t>
      </w:r>
      <w:r w:rsidR="00C12366" w:rsidRPr="00567BC2">
        <w:rPr>
          <w:rFonts w:ascii="Times New Roman" w:hAnsi="Times New Roman" w:cs="Times New Roman"/>
          <w:i/>
          <w:sz w:val="24"/>
          <w:szCs w:val="24"/>
        </w:rPr>
        <w:t xml:space="preserve">viz. </w:t>
      </w:r>
      <w:r w:rsidR="00C12366" w:rsidRPr="00567BC2">
        <w:rPr>
          <w:rFonts w:ascii="Times New Roman" w:hAnsi="Times New Roman" w:cs="Times New Roman"/>
          <w:sz w:val="24"/>
          <w:szCs w:val="24"/>
        </w:rPr>
        <w:t>ar</w:t>
      </w:r>
      <w:r w:rsidR="0061019D">
        <w:rPr>
          <w:rFonts w:ascii="Times New Roman" w:hAnsi="Times New Roman" w:cs="Times New Roman"/>
          <w:sz w:val="24"/>
          <w:szCs w:val="24"/>
        </w:rPr>
        <w:t xml:space="preserve">bitrariness, with the second on </w:t>
      </w:r>
      <w:r w:rsidR="00C12366" w:rsidRPr="00567BC2">
        <w:rPr>
          <w:rFonts w:ascii="Times New Roman" w:hAnsi="Times New Roman" w:cs="Times New Roman"/>
          <w:sz w:val="24"/>
          <w:szCs w:val="24"/>
        </w:rPr>
        <w:t xml:space="preserve">exaggerating collective ideas. It is argued in reference to the question above that there is no single will of a collective, and rather </w:t>
      </w:r>
      <w:r w:rsidR="00C12366" w:rsidRPr="00567BC2">
        <w:rPr>
          <w:rFonts w:ascii="Times New Roman" w:hAnsi="Times New Roman" w:cs="Times New Roman"/>
          <w:sz w:val="24"/>
          <w:szCs w:val="24"/>
        </w:rPr>
        <w:lastRenderedPageBreak/>
        <w:t>that the will of the most powerful individual within a collective is free to establish the idol or virtue which is to be pursued. Again, as Mises conveys:</w:t>
      </w:r>
    </w:p>
    <w:p w:rsidR="00C12366" w:rsidRPr="00567BC2" w:rsidRDefault="00C12366" w:rsidP="007C5246">
      <w:pPr>
        <w:spacing w:line="360" w:lineRule="auto"/>
        <w:ind w:left="720"/>
        <w:jc w:val="both"/>
        <w:rPr>
          <w:rFonts w:ascii="Times New Roman" w:hAnsi="Times New Roman" w:cs="Times New Roman"/>
          <w:sz w:val="24"/>
          <w:szCs w:val="24"/>
        </w:rPr>
      </w:pPr>
      <w:r w:rsidRPr="00567BC2">
        <w:rPr>
          <w:rFonts w:ascii="Times New Roman" w:hAnsi="Times New Roman" w:cs="Times New Roman"/>
          <w:sz w:val="24"/>
          <w:szCs w:val="24"/>
        </w:rPr>
        <w:t>It is true that every variety of collectivism promises eternal peace starting with the day of its own decisive victory and the final overthrow and extermination of all other ideologies and their supporters. However, the realization of these plans is conditioned upon a radical transformation in mankind. Men must be divided into two classes: the omnipotent godlike dictator on the one hand and the masses which must surrender volition and reasoning in order to become mere chessmen in the plans of the dictator.</w:t>
      </w:r>
      <w:r w:rsidRPr="00567BC2">
        <w:rPr>
          <w:rStyle w:val="FootnoteReference"/>
          <w:rFonts w:ascii="Times New Roman" w:hAnsi="Times New Roman" w:cs="Times New Roman"/>
          <w:sz w:val="24"/>
          <w:szCs w:val="24"/>
        </w:rPr>
        <w:footnoteReference w:id="57"/>
      </w:r>
      <w:r w:rsidRPr="00567BC2">
        <w:rPr>
          <w:rFonts w:ascii="Times New Roman" w:hAnsi="Times New Roman" w:cs="Times New Roman"/>
          <w:sz w:val="24"/>
          <w:szCs w:val="24"/>
        </w:rPr>
        <w:t xml:space="preserve"> </w:t>
      </w:r>
    </w:p>
    <w:p w:rsidR="00C12366" w:rsidRPr="00567BC2" w:rsidRDefault="00C12366"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Once more, Mises here refers to the individual with the greatest degree of power as having the ability to coerce others to join their collective. In the same manner, it is proposed that this same principle is workable on the international platform and when dealing with international norms</w:t>
      </w:r>
      <w:r w:rsidR="003E0201">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58"/>
      </w:r>
      <w:r w:rsidRPr="00567BC2">
        <w:rPr>
          <w:rFonts w:ascii="Times New Roman" w:hAnsi="Times New Roman" w:cs="Times New Roman"/>
          <w:sz w:val="24"/>
          <w:szCs w:val="24"/>
        </w:rPr>
        <w:t xml:space="preserve"> To use the World Bank as an example, it is </w:t>
      </w:r>
      <w:r w:rsidR="00384A8C">
        <w:rPr>
          <w:rFonts w:ascii="Times New Roman" w:hAnsi="Times New Roman" w:cs="Times New Roman"/>
          <w:sz w:val="24"/>
          <w:szCs w:val="24"/>
        </w:rPr>
        <w:t xml:space="preserve">a </w:t>
      </w:r>
      <w:r w:rsidRPr="00567BC2">
        <w:rPr>
          <w:rFonts w:ascii="Times New Roman" w:hAnsi="Times New Roman" w:cs="Times New Roman"/>
          <w:sz w:val="24"/>
          <w:szCs w:val="24"/>
        </w:rPr>
        <w:t>convention that the USA appoints the President of the World Bank and as such the USA appoints a person who has both the authority and audience to espouse its particular view on objectives which is preferable to them</w:t>
      </w:r>
      <w:r w:rsidR="003E0201">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59"/>
      </w:r>
      <w:r w:rsidRPr="00567BC2">
        <w:rPr>
          <w:rFonts w:ascii="Times New Roman" w:hAnsi="Times New Roman" w:cs="Times New Roman"/>
          <w:sz w:val="24"/>
          <w:szCs w:val="24"/>
        </w:rPr>
        <w:t xml:space="preserve"> The ability to coerce can come in many forms, and simply having perpetual rights to appoint the president of an international organisation could be sufficient to </w:t>
      </w:r>
      <w:r w:rsidR="00FF726C">
        <w:rPr>
          <w:rFonts w:ascii="Times New Roman" w:hAnsi="Times New Roman" w:cs="Times New Roman"/>
          <w:sz w:val="24"/>
          <w:szCs w:val="24"/>
        </w:rPr>
        <w:t>e</w:t>
      </w:r>
      <w:r w:rsidRPr="00567BC2">
        <w:rPr>
          <w:rFonts w:ascii="Times New Roman" w:hAnsi="Times New Roman" w:cs="Times New Roman"/>
          <w:sz w:val="24"/>
          <w:szCs w:val="24"/>
        </w:rPr>
        <w:t xml:space="preserve">mbed at the top of the organisational structure of the World Bank, the interests of the USA at the expense of others with alternative economic policies. </w:t>
      </w:r>
    </w:p>
    <w:p w:rsidR="00C12366" w:rsidRPr="00567BC2" w:rsidRDefault="00C12366"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In slight contrast with the concepts above, Nietzsche saw that the individual is the engine of social and societal change, though to achieve that change the individual would need to retire from the collective in order to divest themselves of the trappings of the collective, and permit themselves to think and act without constraint</w:t>
      </w:r>
      <w:r w:rsidRPr="00567BC2">
        <w:rPr>
          <w:rStyle w:val="FootnoteReference"/>
          <w:rFonts w:ascii="Times New Roman" w:hAnsi="Times New Roman" w:cs="Times New Roman"/>
          <w:sz w:val="24"/>
          <w:szCs w:val="24"/>
        </w:rPr>
        <w:footnoteReference w:id="60"/>
      </w:r>
      <w:r w:rsidR="00C7402F">
        <w:rPr>
          <w:rFonts w:ascii="Times New Roman" w:hAnsi="Times New Roman" w:cs="Times New Roman"/>
          <w:sz w:val="24"/>
          <w:szCs w:val="24"/>
        </w:rPr>
        <w:t>.</w:t>
      </w:r>
      <w:r w:rsidRPr="00567BC2">
        <w:rPr>
          <w:rFonts w:ascii="Times New Roman" w:hAnsi="Times New Roman" w:cs="Times New Roman"/>
          <w:sz w:val="24"/>
          <w:szCs w:val="24"/>
        </w:rPr>
        <w:t xml:space="preserve"> This also appears to be imperfect, according to Nietzsche one would need to withdraw from a collective to drive change, </w:t>
      </w:r>
      <w:r w:rsidR="003E0201">
        <w:rPr>
          <w:rFonts w:ascii="Times New Roman" w:hAnsi="Times New Roman" w:cs="Times New Roman"/>
          <w:sz w:val="24"/>
          <w:szCs w:val="24"/>
        </w:rPr>
        <w:t xml:space="preserve">and </w:t>
      </w:r>
      <w:r w:rsidRPr="00567BC2">
        <w:rPr>
          <w:rFonts w:ascii="Times New Roman" w:hAnsi="Times New Roman" w:cs="Times New Roman"/>
          <w:sz w:val="24"/>
          <w:szCs w:val="24"/>
        </w:rPr>
        <w:t xml:space="preserve">it may be questioned whether the collective would resist change in such a situation. Nietzsche himself indicated that this would be the case when describing the collective (‘the herd’ as he put it) and their response to the individual who attempts to withdraw from society in order to pursue a greater goal. Furthermore, he denounces the state as an entity in any form; he suggests that the proposition that the state is interchangeable with the people who populate it is a fallacy, and </w:t>
      </w:r>
      <w:r w:rsidRPr="00567BC2">
        <w:rPr>
          <w:rFonts w:ascii="Times New Roman" w:hAnsi="Times New Roman" w:cs="Times New Roman"/>
          <w:sz w:val="24"/>
          <w:szCs w:val="24"/>
        </w:rPr>
        <w:lastRenderedPageBreak/>
        <w:t>the goals of the state are not the absolute or overarching goals which all within the state must strive towards</w:t>
      </w:r>
      <w:r w:rsidRPr="00567BC2">
        <w:rPr>
          <w:rStyle w:val="FootnoteReference"/>
          <w:rFonts w:ascii="Times New Roman" w:hAnsi="Times New Roman" w:cs="Times New Roman"/>
          <w:sz w:val="24"/>
          <w:szCs w:val="24"/>
        </w:rPr>
        <w:footnoteReference w:id="61"/>
      </w:r>
      <w:r w:rsidR="00C7402F">
        <w:rPr>
          <w:rFonts w:ascii="Times New Roman" w:hAnsi="Times New Roman" w:cs="Times New Roman"/>
          <w:sz w:val="24"/>
          <w:szCs w:val="24"/>
        </w:rPr>
        <w:t>.</w:t>
      </w:r>
      <w:r w:rsidRPr="00567BC2">
        <w:rPr>
          <w:rFonts w:ascii="Times New Roman" w:hAnsi="Times New Roman" w:cs="Times New Roman"/>
          <w:sz w:val="24"/>
          <w:szCs w:val="24"/>
        </w:rPr>
        <w:t xml:space="preserve"> In an eloquence known only to Nietzsche, he s</w:t>
      </w:r>
      <w:r w:rsidR="000A671D">
        <w:rPr>
          <w:rFonts w:ascii="Times New Roman" w:hAnsi="Times New Roman" w:cs="Times New Roman"/>
          <w:sz w:val="24"/>
          <w:szCs w:val="24"/>
        </w:rPr>
        <w:t>t</w:t>
      </w:r>
      <w:r w:rsidRPr="00567BC2">
        <w:rPr>
          <w:rFonts w:ascii="Times New Roman" w:hAnsi="Times New Roman" w:cs="Times New Roman"/>
          <w:sz w:val="24"/>
          <w:szCs w:val="24"/>
        </w:rPr>
        <w:t>ates:</w:t>
      </w:r>
    </w:p>
    <w:p w:rsidR="00C12366" w:rsidRPr="00567BC2" w:rsidRDefault="00C12366" w:rsidP="007C5246">
      <w:pPr>
        <w:spacing w:line="360" w:lineRule="auto"/>
        <w:ind w:left="720"/>
        <w:jc w:val="both"/>
        <w:rPr>
          <w:rFonts w:ascii="Times New Roman" w:hAnsi="Times New Roman" w:cs="Times New Roman"/>
          <w:sz w:val="24"/>
          <w:szCs w:val="24"/>
        </w:rPr>
      </w:pPr>
      <w:r w:rsidRPr="00567BC2">
        <w:rPr>
          <w:rFonts w:ascii="Times New Roman" w:hAnsi="Times New Roman" w:cs="Times New Roman"/>
          <w:sz w:val="24"/>
          <w:szCs w:val="24"/>
        </w:rPr>
        <w:t>How should a political innovation suffice to turn men once and for all into contented inhabitants of the earth? [That people think the answer to existential questions might come from politics shows] that we are experiencing the consequences of the doctrine…that the state is the highest goal of mankind and that a man has no higher duty than to serve the state: in which doctrine I recognize a relapse not into paganism but into stupidity. It may be that a man who sees his highest duty in serving the state really knows no higher duties; but there are men and duties existing beyond this — and one of the duties that seems, at least to me, to be higher than serving the state demands that one destroys stupidity in every form, and therefore in this form too.</w:t>
      </w:r>
      <w:r w:rsidRPr="00567BC2">
        <w:rPr>
          <w:rStyle w:val="FootnoteReference"/>
          <w:rFonts w:ascii="Times New Roman" w:hAnsi="Times New Roman" w:cs="Times New Roman"/>
          <w:sz w:val="24"/>
          <w:szCs w:val="24"/>
        </w:rPr>
        <w:footnoteReference w:id="62"/>
      </w:r>
    </w:p>
    <w:p w:rsidR="00B900CE" w:rsidRDefault="00C12366"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Given the perspective espoused by both Mises and Nietzsche above, it is possible to settle somewhere in between both these perspectives; that it is possible to create a state entity which contributes to the betterment of a collective of states without attempting to justify itself by reverting to goals which are proposed by those in the most influential of positions. Should this be the case, then it is also possible for collectives to come together to form standards</w:t>
      </w:r>
      <w:r w:rsidR="00D6563D">
        <w:rPr>
          <w:rFonts w:ascii="Times New Roman" w:hAnsi="Times New Roman" w:cs="Times New Roman"/>
          <w:sz w:val="24"/>
          <w:szCs w:val="24"/>
        </w:rPr>
        <w:t xml:space="preserve">, as was seen in the earlier example </w:t>
      </w:r>
      <w:r w:rsidR="002D2EB4">
        <w:rPr>
          <w:rFonts w:ascii="Times New Roman" w:hAnsi="Times New Roman" w:cs="Times New Roman"/>
          <w:sz w:val="24"/>
          <w:szCs w:val="24"/>
        </w:rPr>
        <w:t xml:space="preserve">of </w:t>
      </w:r>
      <w:r w:rsidR="002D2EB4" w:rsidRPr="00567BC2">
        <w:rPr>
          <w:rFonts w:ascii="Times New Roman" w:hAnsi="Times New Roman" w:cs="Times New Roman"/>
          <w:sz w:val="24"/>
          <w:szCs w:val="24"/>
        </w:rPr>
        <w:t>Asian</w:t>
      </w:r>
      <w:r w:rsidRPr="00567BC2">
        <w:rPr>
          <w:rFonts w:ascii="Times New Roman" w:hAnsi="Times New Roman" w:cs="Times New Roman"/>
          <w:sz w:val="24"/>
          <w:szCs w:val="24"/>
        </w:rPr>
        <w:t xml:space="preserve"> states adopting Sharia law, or in the European Union in a very different sense. </w:t>
      </w:r>
      <w:r w:rsidR="00CE24A5" w:rsidRPr="00567BC2">
        <w:rPr>
          <w:rFonts w:ascii="Times New Roman" w:hAnsi="Times New Roman" w:cs="Times New Roman"/>
          <w:sz w:val="24"/>
          <w:szCs w:val="24"/>
        </w:rPr>
        <w:t>W</w:t>
      </w:r>
      <w:r w:rsidRPr="00567BC2">
        <w:rPr>
          <w:rFonts w:ascii="Times New Roman" w:hAnsi="Times New Roman" w:cs="Times New Roman"/>
          <w:sz w:val="24"/>
          <w:szCs w:val="24"/>
        </w:rPr>
        <w:t>hereas these theoretical hurdles are more easily circumvented</w:t>
      </w:r>
      <w:r w:rsidR="00CE24A5" w:rsidRPr="00567BC2">
        <w:rPr>
          <w:rFonts w:ascii="Times New Roman" w:hAnsi="Times New Roman" w:cs="Times New Roman"/>
          <w:sz w:val="24"/>
          <w:szCs w:val="24"/>
        </w:rPr>
        <w:t>,</w:t>
      </w:r>
      <w:r w:rsidRPr="00567BC2">
        <w:rPr>
          <w:rFonts w:ascii="Times New Roman" w:hAnsi="Times New Roman" w:cs="Times New Roman"/>
          <w:sz w:val="24"/>
          <w:szCs w:val="24"/>
        </w:rPr>
        <w:t xml:space="preserve"> a treaty could be likened to a group of states coming together under an agreed collective aim which they have ratified and assent to be bound by</w:t>
      </w:r>
      <w:r w:rsidR="00D6563D">
        <w:rPr>
          <w:rFonts w:ascii="Times New Roman" w:hAnsi="Times New Roman" w:cs="Times New Roman"/>
          <w:sz w:val="24"/>
          <w:szCs w:val="24"/>
        </w:rPr>
        <w:t xml:space="preserve"> – that collective aim could legitimately be described as an idol</w:t>
      </w:r>
      <w:r w:rsidRPr="00567BC2">
        <w:rPr>
          <w:rFonts w:ascii="Times New Roman" w:hAnsi="Times New Roman" w:cs="Times New Roman"/>
          <w:sz w:val="24"/>
          <w:szCs w:val="24"/>
        </w:rPr>
        <w:t>.</w:t>
      </w:r>
      <w:r w:rsidR="00CE24A5" w:rsidRPr="00567BC2">
        <w:rPr>
          <w:rFonts w:ascii="Times New Roman" w:hAnsi="Times New Roman" w:cs="Times New Roman"/>
          <w:sz w:val="24"/>
          <w:szCs w:val="24"/>
        </w:rPr>
        <w:t xml:space="preserve"> Those collectives create a form of justifica</w:t>
      </w:r>
      <w:r w:rsidR="000A671D">
        <w:rPr>
          <w:rFonts w:ascii="Times New Roman" w:hAnsi="Times New Roman" w:cs="Times New Roman"/>
          <w:sz w:val="24"/>
          <w:szCs w:val="24"/>
        </w:rPr>
        <w:t>tion for law-</w:t>
      </w:r>
      <w:r w:rsidR="00CE24A5" w:rsidRPr="00567BC2">
        <w:rPr>
          <w:rFonts w:ascii="Times New Roman" w:hAnsi="Times New Roman" w:cs="Times New Roman"/>
          <w:sz w:val="24"/>
          <w:szCs w:val="24"/>
        </w:rPr>
        <w:t>making contr</w:t>
      </w:r>
      <w:r w:rsidR="008B1DBF" w:rsidRPr="00567BC2">
        <w:rPr>
          <w:rFonts w:ascii="Times New Roman" w:hAnsi="Times New Roman" w:cs="Times New Roman"/>
          <w:sz w:val="24"/>
          <w:szCs w:val="24"/>
        </w:rPr>
        <w:t>ary to the points that both Mis</w:t>
      </w:r>
      <w:r w:rsidR="00CE24A5" w:rsidRPr="00567BC2">
        <w:rPr>
          <w:rFonts w:ascii="Times New Roman" w:hAnsi="Times New Roman" w:cs="Times New Roman"/>
          <w:sz w:val="24"/>
          <w:szCs w:val="24"/>
        </w:rPr>
        <w:t xml:space="preserve">es and Nietzsche mentioned above </w:t>
      </w:r>
      <w:r w:rsidR="00CE24A5" w:rsidRPr="00567BC2">
        <w:rPr>
          <w:rFonts w:ascii="Times New Roman" w:hAnsi="Times New Roman" w:cs="Times New Roman"/>
          <w:i/>
          <w:sz w:val="24"/>
          <w:szCs w:val="24"/>
        </w:rPr>
        <w:t>viz.</w:t>
      </w:r>
      <w:r w:rsidR="00CE24A5" w:rsidRPr="00567BC2">
        <w:rPr>
          <w:rFonts w:ascii="Times New Roman" w:hAnsi="Times New Roman" w:cs="Times New Roman"/>
          <w:sz w:val="24"/>
          <w:szCs w:val="24"/>
        </w:rPr>
        <w:t xml:space="preserve"> collectives of any sort are individuals with authority and those wilfully subjugating themselves whilst ostracising others who choose not to conform. The mere notion of legislative sovereignty</w:t>
      </w:r>
      <w:r w:rsidR="000A671D">
        <w:rPr>
          <w:rFonts w:ascii="Times New Roman" w:hAnsi="Times New Roman" w:cs="Times New Roman"/>
          <w:sz w:val="24"/>
          <w:szCs w:val="24"/>
        </w:rPr>
        <w:t>,</w:t>
      </w:r>
      <w:r w:rsidR="00CE24A5" w:rsidRPr="00567BC2">
        <w:rPr>
          <w:rFonts w:ascii="Times New Roman" w:hAnsi="Times New Roman" w:cs="Times New Roman"/>
          <w:sz w:val="24"/>
          <w:szCs w:val="24"/>
        </w:rPr>
        <w:t xml:space="preserve"> therefore, is based on individuals subjugating the majority, by reference to sovereign authority as a justification. </w:t>
      </w:r>
      <w:r w:rsidR="003E0201">
        <w:rPr>
          <w:rFonts w:ascii="Times New Roman" w:hAnsi="Times New Roman" w:cs="Times New Roman"/>
          <w:sz w:val="24"/>
          <w:szCs w:val="24"/>
        </w:rPr>
        <w:t>In summary,</w:t>
      </w:r>
      <w:r w:rsidRPr="00567BC2">
        <w:rPr>
          <w:rFonts w:ascii="Times New Roman" w:hAnsi="Times New Roman" w:cs="Times New Roman"/>
          <w:sz w:val="24"/>
          <w:szCs w:val="24"/>
        </w:rPr>
        <w:t xml:space="preserve"> Mises and Nietzsche </w:t>
      </w:r>
      <w:r w:rsidR="00B82750">
        <w:rPr>
          <w:rFonts w:ascii="Times New Roman" w:hAnsi="Times New Roman" w:cs="Times New Roman"/>
          <w:sz w:val="24"/>
          <w:szCs w:val="24"/>
        </w:rPr>
        <w:t>would suggest that</w:t>
      </w:r>
      <w:r w:rsidRPr="00567BC2">
        <w:rPr>
          <w:rFonts w:ascii="Times New Roman" w:hAnsi="Times New Roman" w:cs="Times New Roman"/>
          <w:sz w:val="24"/>
          <w:szCs w:val="24"/>
        </w:rPr>
        <w:t xml:space="preserve"> </w:t>
      </w:r>
      <w:r w:rsidR="006C765E">
        <w:rPr>
          <w:rFonts w:ascii="Times New Roman" w:hAnsi="Times New Roman" w:cs="Times New Roman"/>
          <w:sz w:val="24"/>
          <w:szCs w:val="24"/>
        </w:rPr>
        <w:t>the state could be reduced to a collective of individuals, and those with the influence to bend the will of the collective towards an idol</w:t>
      </w:r>
      <w:r w:rsidRPr="00567BC2">
        <w:rPr>
          <w:rFonts w:ascii="Times New Roman" w:hAnsi="Times New Roman" w:cs="Times New Roman"/>
          <w:sz w:val="24"/>
          <w:szCs w:val="24"/>
        </w:rPr>
        <w:t xml:space="preserve">. </w:t>
      </w:r>
      <w:r w:rsidR="00B82750">
        <w:rPr>
          <w:rFonts w:ascii="Times New Roman" w:hAnsi="Times New Roman" w:cs="Times New Roman"/>
          <w:sz w:val="24"/>
          <w:szCs w:val="24"/>
        </w:rPr>
        <w:t>Conversely</w:t>
      </w:r>
      <w:r w:rsidRPr="00567BC2">
        <w:rPr>
          <w:rFonts w:ascii="Times New Roman" w:hAnsi="Times New Roman" w:cs="Times New Roman"/>
          <w:sz w:val="24"/>
          <w:szCs w:val="24"/>
        </w:rPr>
        <w:t xml:space="preserve">, some thinkers have argued that the collective is a misnomer in itself; </w:t>
      </w:r>
      <w:r w:rsidR="00BC5974">
        <w:rPr>
          <w:rFonts w:ascii="Times New Roman" w:hAnsi="Times New Roman" w:cs="Times New Roman"/>
          <w:sz w:val="24"/>
          <w:szCs w:val="24"/>
        </w:rPr>
        <w:t>and</w:t>
      </w:r>
      <w:r w:rsidR="00BC5974" w:rsidRPr="00567BC2">
        <w:rPr>
          <w:rFonts w:ascii="Times New Roman" w:hAnsi="Times New Roman" w:cs="Times New Roman"/>
          <w:sz w:val="24"/>
          <w:szCs w:val="24"/>
        </w:rPr>
        <w:t xml:space="preserve"> </w:t>
      </w:r>
      <w:r w:rsidRPr="00567BC2">
        <w:rPr>
          <w:rFonts w:ascii="Times New Roman" w:hAnsi="Times New Roman" w:cs="Times New Roman"/>
          <w:sz w:val="24"/>
          <w:szCs w:val="24"/>
        </w:rPr>
        <w:t>have argued that any action of a collective can be reduced to the act or acts of individual persons. The collective cannot achieve anything without a physical person instigating a physical act</w:t>
      </w:r>
      <w:r w:rsidR="00B900CE">
        <w:rPr>
          <w:rFonts w:ascii="Times New Roman" w:hAnsi="Times New Roman" w:cs="Times New Roman"/>
          <w:sz w:val="24"/>
          <w:szCs w:val="24"/>
        </w:rPr>
        <w:t>.</w:t>
      </w:r>
      <w:r w:rsidRPr="00567BC2">
        <w:rPr>
          <w:rFonts w:ascii="Times New Roman" w:hAnsi="Times New Roman" w:cs="Times New Roman"/>
          <w:sz w:val="24"/>
          <w:szCs w:val="24"/>
        </w:rPr>
        <w:t xml:space="preserve"> </w:t>
      </w:r>
    </w:p>
    <w:p w:rsidR="00C12366" w:rsidRPr="00567BC2" w:rsidRDefault="00C12366"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lastRenderedPageBreak/>
        <w:t>Methodological Individualism grew</w:t>
      </w:r>
      <w:r w:rsidR="00D6563D">
        <w:rPr>
          <w:rFonts w:ascii="Times New Roman" w:hAnsi="Times New Roman" w:cs="Times New Roman"/>
          <w:sz w:val="24"/>
          <w:szCs w:val="24"/>
        </w:rPr>
        <w:t xml:space="preserve"> from this very realisation</w:t>
      </w:r>
      <w:r w:rsidRPr="00567BC2">
        <w:rPr>
          <w:rFonts w:ascii="Times New Roman" w:hAnsi="Times New Roman" w:cs="Times New Roman"/>
          <w:sz w:val="24"/>
          <w:szCs w:val="24"/>
        </w:rPr>
        <w:t>, and though its primary author</w:t>
      </w:r>
      <w:r w:rsidR="00CE24A5" w:rsidRPr="00567BC2">
        <w:rPr>
          <w:rFonts w:ascii="Times New Roman" w:hAnsi="Times New Roman" w:cs="Times New Roman"/>
          <w:sz w:val="24"/>
          <w:szCs w:val="24"/>
        </w:rPr>
        <w:t>,</w:t>
      </w:r>
      <w:r w:rsidRPr="00567BC2">
        <w:rPr>
          <w:rFonts w:ascii="Times New Roman" w:hAnsi="Times New Roman" w:cs="Times New Roman"/>
          <w:sz w:val="24"/>
          <w:szCs w:val="24"/>
        </w:rPr>
        <w:t xml:space="preserve"> Max Weber</w:t>
      </w:r>
      <w:r w:rsidR="00CE24A5" w:rsidRPr="00567BC2">
        <w:rPr>
          <w:rFonts w:ascii="Times New Roman" w:hAnsi="Times New Roman" w:cs="Times New Roman"/>
          <w:sz w:val="24"/>
          <w:szCs w:val="24"/>
        </w:rPr>
        <w:t>,</w:t>
      </w:r>
      <w:r w:rsidRPr="00567BC2">
        <w:rPr>
          <w:rFonts w:ascii="Times New Roman" w:hAnsi="Times New Roman" w:cs="Times New Roman"/>
          <w:sz w:val="24"/>
          <w:szCs w:val="24"/>
        </w:rPr>
        <w:t xml:space="preserve"> stated ‘it is a tremendous misunderstanding to think that an “individualistic” method should involve what is in any conceivable sense an individualistic system of values’</w:t>
      </w:r>
      <w:r w:rsidRPr="00567BC2">
        <w:rPr>
          <w:rStyle w:val="FootnoteReference"/>
          <w:rFonts w:ascii="Times New Roman" w:hAnsi="Times New Roman" w:cs="Times New Roman"/>
          <w:sz w:val="24"/>
          <w:szCs w:val="24"/>
        </w:rPr>
        <w:footnoteReference w:id="63"/>
      </w:r>
      <w:r w:rsidRPr="00567BC2">
        <w:rPr>
          <w:rFonts w:ascii="Times New Roman" w:hAnsi="Times New Roman" w:cs="Times New Roman"/>
          <w:sz w:val="24"/>
          <w:szCs w:val="24"/>
        </w:rPr>
        <w:t xml:space="preserve">, a substantial debate around the extend of methodological individualism </w:t>
      </w:r>
      <w:r w:rsidR="00CE24A5" w:rsidRPr="00567BC2">
        <w:rPr>
          <w:rFonts w:ascii="Times New Roman" w:hAnsi="Times New Roman" w:cs="Times New Roman"/>
          <w:sz w:val="24"/>
          <w:szCs w:val="24"/>
        </w:rPr>
        <w:t xml:space="preserve">grew </w:t>
      </w:r>
      <w:r w:rsidR="00B403C9">
        <w:rPr>
          <w:rFonts w:ascii="Times New Roman" w:hAnsi="Times New Roman" w:cs="Times New Roman"/>
          <w:sz w:val="24"/>
          <w:szCs w:val="24"/>
        </w:rPr>
        <w:t>from the 1950</w:t>
      </w:r>
      <w:r w:rsidRPr="00567BC2">
        <w:rPr>
          <w:rFonts w:ascii="Times New Roman" w:hAnsi="Times New Roman" w:cs="Times New Roman"/>
          <w:sz w:val="24"/>
          <w:szCs w:val="24"/>
        </w:rPr>
        <w:t>s onwards</w:t>
      </w:r>
      <w:r w:rsidR="00B900CE">
        <w:rPr>
          <w:rFonts w:ascii="Times New Roman" w:hAnsi="Times New Roman" w:cs="Times New Roman"/>
          <w:sz w:val="24"/>
          <w:szCs w:val="24"/>
        </w:rPr>
        <w:t>.</w:t>
      </w:r>
      <w:r w:rsidRPr="00567BC2">
        <w:rPr>
          <w:rStyle w:val="FootnoteReference"/>
          <w:rFonts w:ascii="Times New Roman" w:hAnsi="Times New Roman" w:cs="Times New Roman"/>
          <w:sz w:val="24"/>
          <w:szCs w:val="24"/>
        </w:rPr>
        <w:footnoteReference w:id="64"/>
      </w:r>
      <w:r w:rsidRPr="00567BC2">
        <w:rPr>
          <w:rFonts w:ascii="Times New Roman" w:hAnsi="Times New Roman" w:cs="Times New Roman"/>
          <w:sz w:val="24"/>
          <w:szCs w:val="24"/>
        </w:rPr>
        <w:t xml:space="preserve"> Given its tangential nature, further exploration of the nature of methodological individualism cannot be warranted at this stage, it does pose a question whether </w:t>
      </w:r>
      <w:r w:rsidR="00CE24A5" w:rsidRPr="00567BC2">
        <w:rPr>
          <w:rFonts w:ascii="Times New Roman" w:hAnsi="Times New Roman" w:cs="Times New Roman"/>
          <w:sz w:val="24"/>
          <w:szCs w:val="24"/>
        </w:rPr>
        <w:t xml:space="preserve">any collective </w:t>
      </w:r>
      <w:r w:rsidRPr="00567BC2">
        <w:rPr>
          <w:rFonts w:ascii="Times New Roman" w:hAnsi="Times New Roman" w:cs="Times New Roman"/>
          <w:sz w:val="24"/>
          <w:szCs w:val="24"/>
        </w:rPr>
        <w:t xml:space="preserve">can ever act as a body given that the decisions to act and the physical actions that follow are carried out by individuals, and this may have greater ramifications for the area of </w:t>
      </w:r>
      <w:r w:rsidR="00D6563D">
        <w:rPr>
          <w:rFonts w:ascii="Times New Roman" w:hAnsi="Times New Roman" w:cs="Times New Roman"/>
          <w:sz w:val="24"/>
          <w:szCs w:val="24"/>
        </w:rPr>
        <w:t>law</w:t>
      </w:r>
      <w:r w:rsidR="00447793">
        <w:rPr>
          <w:rFonts w:ascii="Times New Roman" w:hAnsi="Times New Roman" w:cs="Times New Roman"/>
          <w:sz w:val="24"/>
          <w:szCs w:val="24"/>
        </w:rPr>
        <w:t>-</w:t>
      </w:r>
      <w:r w:rsidR="00D6563D">
        <w:rPr>
          <w:rFonts w:ascii="Times New Roman" w:hAnsi="Times New Roman" w:cs="Times New Roman"/>
          <w:sz w:val="24"/>
          <w:szCs w:val="24"/>
        </w:rPr>
        <w:t>making more generally</w:t>
      </w:r>
      <w:r w:rsidRPr="00567BC2">
        <w:rPr>
          <w:rFonts w:ascii="Times New Roman" w:hAnsi="Times New Roman" w:cs="Times New Roman"/>
          <w:sz w:val="24"/>
          <w:szCs w:val="24"/>
        </w:rPr>
        <w:t>.</w:t>
      </w:r>
      <w:r w:rsidR="00D6563D">
        <w:rPr>
          <w:rFonts w:ascii="Times New Roman" w:hAnsi="Times New Roman" w:cs="Times New Roman"/>
          <w:sz w:val="24"/>
          <w:szCs w:val="24"/>
        </w:rPr>
        <w:t xml:space="preserve"> This position removes the collectivist nature of law-making and exposes it as nothing more than an individual power-grab in the national legislature. The process of making law is reliant on individuals creating collectives which ostracise non-conformists creating a seemingly collectivist group. However, the process of law-making cannot exist without the act of an </w:t>
      </w:r>
      <w:r w:rsidR="00823292">
        <w:rPr>
          <w:rFonts w:ascii="Times New Roman" w:hAnsi="Times New Roman" w:cs="Times New Roman"/>
          <w:sz w:val="24"/>
          <w:szCs w:val="24"/>
        </w:rPr>
        <w:t>individual</w:t>
      </w:r>
      <w:r w:rsidR="00D6563D">
        <w:rPr>
          <w:rFonts w:ascii="Times New Roman" w:hAnsi="Times New Roman" w:cs="Times New Roman"/>
          <w:sz w:val="24"/>
          <w:szCs w:val="24"/>
        </w:rPr>
        <w:t xml:space="preserve"> and the collective within the legislature can </w:t>
      </w:r>
      <w:r w:rsidR="00054CF4">
        <w:rPr>
          <w:rFonts w:ascii="Times New Roman" w:hAnsi="Times New Roman" w:cs="Times New Roman"/>
          <w:sz w:val="24"/>
          <w:szCs w:val="24"/>
        </w:rPr>
        <w:t>easily</w:t>
      </w:r>
      <w:r w:rsidR="00D6563D">
        <w:rPr>
          <w:rFonts w:ascii="Times New Roman" w:hAnsi="Times New Roman" w:cs="Times New Roman"/>
          <w:sz w:val="24"/>
          <w:szCs w:val="24"/>
        </w:rPr>
        <w:t xml:space="preserve"> be reduced to a gr</w:t>
      </w:r>
      <w:r w:rsidR="00054CF4">
        <w:rPr>
          <w:rFonts w:ascii="Times New Roman" w:hAnsi="Times New Roman" w:cs="Times New Roman"/>
          <w:sz w:val="24"/>
          <w:szCs w:val="24"/>
        </w:rPr>
        <w:t>oup of individuals who extol an</w:t>
      </w:r>
      <w:r w:rsidR="00D6563D">
        <w:rPr>
          <w:rFonts w:ascii="Times New Roman" w:hAnsi="Times New Roman" w:cs="Times New Roman"/>
          <w:sz w:val="24"/>
          <w:szCs w:val="24"/>
        </w:rPr>
        <w:t xml:space="preserve"> idol. </w:t>
      </w:r>
      <w:r w:rsidR="00FF025B">
        <w:rPr>
          <w:rFonts w:ascii="Times New Roman" w:hAnsi="Times New Roman" w:cs="Times New Roman"/>
          <w:sz w:val="24"/>
          <w:szCs w:val="24"/>
        </w:rPr>
        <w:t>Whether the idol is the pooling of sovereign powers to create a larger collective</w:t>
      </w:r>
      <w:r w:rsidR="009625B5">
        <w:rPr>
          <w:rFonts w:ascii="Times New Roman" w:hAnsi="Times New Roman" w:cs="Times New Roman"/>
          <w:sz w:val="24"/>
          <w:szCs w:val="24"/>
        </w:rPr>
        <w:t>,</w:t>
      </w:r>
      <w:r w:rsidR="00FF025B">
        <w:rPr>
          <w:rFonts w:ascii="Times New Roman" w:hAnsi="Times New Roman" w:cs="Times New Roman"/>
          <w:sz w:val="24"/>
          <w:szCs w:val="24"/>
        </w:rPr>
        <w:t xml:space="preserve"> </w:t>
      </w:r>
      <w:r w:rsidR="002D2EB4">
        <w:rPr>
          <w:rFonts w:ascii="Times New Roman" w:hAnsi="Times New Roman" w:cs="Times New Roman"/>
          <w:sz w:val="24"/>
          <w:szCs w:val="24"/>
        </w:rPr>
        <w:t>consistent</w:t>
      </w:r>
      <w:r w:rsidR="00FF025B">
        <w:rPr>
          <w:rFonts w:ascii="Times New Roman" w:hAnsi="Times New Roman" w:cs="Times New Roman"/>
          <w:sz w:val="24"/>
          <w:szCs w:val="24"/>
        </w:rPr>
        <w:t xml:space="preserve"> with the direction of the European Union currently, or</w:t>
      </w:r>
      <w:r w:rsidR="009625B5">
        <w:rPr>
          <w:rFonts w:ascii="Times New Roman" w:hAnsi="Times New Roman" w:cs="Times New Roman"/>
          <w:sz w:val="24"/>
          <w:szCs w:val="24"/>
        </w:rPr>
        <w:t xml:space="preserve"> that of </w:t>
      </w:r>
      <w:r w:rsidR="00FF025B">
        <w:rPr>
          <w:rFonts w:ascii="Times New Roman" w:hAnsi="Times New Roman" w:cs="Times New Roman"/>
          <w:sz w:val="24"/>
          <w:szCs w:val="24"/>
        </w:rPr>
        <w:t>national populism which may extol the idol of self-sufficiency and absolute independence at all cost, the notion of legislative sovereignty is predicated on an idol giving some degree of context to the term sovereignty. Without this context, without an idol, legislative sovereignty cannot be reduced to a single identifiable and workab</w:t>
      </w:r>
      <w:r w:rsidR="00135968">
        <w:rPr>
          <w:rFonts w:ascii="Times New Roman" w:hAnsi="Times New Roman" w:cs="Times New Roman"/>
          <w:sz w:val="24"/>
          <w:szCs w:val="24"/>
        </w:rPr>
        <w:t xml:space="preserve">le concept which is </w:t>
      </w:r>
      <w:proofErr w:type="spellStart"/>
      <w:r w:rsidR="00135968">
        <w:rPr>
          <w:rFonts w:ascii="Times New Roman" w:hAnsi="Times New Roman" w:cs="Times New Roman"/>
          <w:sz w:val="24"/>
          <w:szCs w:val="24"/>
        </w:rPr>
        <w:t>universalisabile</w:t>
      </w:r>
      <w:proofErr w:type="spellEnd"/>
      <w:r w:rsidR="00135968">
        <w:rPr>
          <w:rFonts w:ascii="Times New Roman" w:hAnsi="Times New Roman" w:cs="Times New Roman"/>
          <w:sz w:val="24"/>
          <w:szCs w:val="24"/>
        </w:rPr>
        <w:t xml:space="preserve"> </w:t>
      </w:r>
      <w:r w:rsidR="00FF025B">
        <w:rPr>
          <w:rFonts w:ascii="Times New Roman" w:hAnsi="Times New Roman" w:cs="Times New Roman"/>
          <w:sz w:val="24"/>
          <w:szCs w:val="24"/>
        </w:rPr>
        <w:t xml:space="preserve">in the modern, global world. </w:t>
      </w:r>
    </w:p>
    <w:p w:rsidR="002222C4" w:rsidRPr="00567BC2" w:rsidRDefault="00C12366"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In light of these point</w:t>
      </w:r>
      <w:r w:rsidR="00242333">
        <w:rPr>
          <w:rFonts w:ascii="Times New Roman" w:hAnsi="Times New Roman" w:cs="Times New Roman"/>
          <w:sz w:val="24"/>
          <w:szCs w:val="24"/>
        </w:rPr>
        <w:t>s</w:t>
      </w:r>
      <w:r w:rsidRPr="00567BC2">
        <w:rPr>
          <w:rFonts w:ascii="Times New Roman" w:hAnsi="Times New Roman" w:cs="Times New Roman"/>
          <w:sz w:val="24"/>
          <w:szCs w:val="24"/>
        </w:rPr>
        <w:t xml:space="preserve"> above it could be argued that the Treaties of Westphalia were a step not solely in legislative confinement to the physical jurisdiction</w:t>
      </w:r>
      <w:r w:rsidR="00F627C4" w:rsidRPr="00567BC2">
        <w:rPr>
          <w:rFonts w:ascii="Times New Roman" w:hAnsi="Times New Roman" w:cs="Times New Roman"/>
          <w:sz w:val="24"/>
          <w:szCs w:val="24"/>
        </w:rPr>
        <w:t>, and as such the perpetuation of the idea of legislative sovereignty</w:t>
      </w:r>
      <w:r w:rsidR="009865F5">
        <w:rPr>
          <w:rFonts w:ascii="Times New Roman" w:hAnsi="Times New Roman" w:cs="Times New Roman"/>
          <w:sz w:val="24"/>
          <w:szCs w:val="24"/>
        </w:rPr>
        <w:t xml:space="preserve"> (and of a state sanctioned idol)</w:t>
      </w:r>
      <w:r w:rsidRPr="00567BC2">
        <w:rPr>
          <w:rFonts w:ascii="Times New Roman" w:hAnsi="Times New Roman" w:cs="Times New Roman"/>
          <w:sz w:val="24"/>
          <w:szCs w:val="24"/>
        </w:rPr>
        <w:t xml:space="preserve">, but also a collection of minor steps in aligning the content of national laws to achieve an overarching objective; </w:t>
      </w:r>
      <w:r w:rsidR="00F627C4" w:rsidRPr="00567BC2">
        <w:rPr>
          <w:rFonts w:ascii="Times New Roman" w:hAnsi="Times New Roman" w:cs="Times New Roman"/>
          <w:sz w:val="24"/>
          <w:szCs w:val="24"/>
        </w:rPr>
        <w:t xml:space="preserve">that principle being </w:t>
      </w:r>
      <w:r w:rsidRPr="00567BC2">
        <w:rPr>
          <w:rFonts w:ascii="Times New Roman" w:hAnsi="Times New Roman" w:cs="Times New Roman"/>
          <w:sz w:val="24"/>
          <w:szCs w:val="24"/>
        </w:rPr>
        <w:t>peace</w:t>
      </w:r>
      <w:r w:rsidR="009865F5">
        <w:rPr>
          <w:rFonts w:ascii="Times New Roman" w:hAnsi="Times New Roman" w:cs="Times New Roman"/>
          <w:sz w:val="24"/>
          <w:szCs w:val="24"/>
        </w:rPr>
        <w:t xml:space="preserve"> which itself could constitute an idol</w:t>
      </w:r>
      <w:r w:rsidRPr="00567BC2">
        <w:rPr>
          <w:rFonts w:ascii="Times New Roman" w:hAnsi="Times New Roman" w:cs="Times New Roman"/>
          <w:sz w:val="24"/>
          <w:szCs w:val="24"/>
        </w:rPr>
        <w:t>. It is possible that treaty forming is a useful manner to address acts that are abhorrent to collective groups of independent states, though it is recalled that treaties are only functional if ratified by the states concerned</w:t>
      </w:r>
      <w:r w:rsidR="00F627C4" w:rsidRPr="00567BC2">
        <w:rPr>
          <w:rFonts w:ascii="Times New Roman" w:hAnsi="Times New Roman" w:cs="Times New Roman"/>
          <w:sz w:val="24"/>
          <w:szCs w:val="24"/>
        </w:rPr>
        <w:t>,</w:t>
      </w:r>
      <w:r w:rsidRPr="00567BC2">
        <w:rPr>
          <w:rFonts w:ascii="Times New Roman" w:hAnsi="Times New Roman" w:cs="Times New Roman"/>
          <w:sz w:val="24"/>
          <w:szCs w:val="24"/>
        </w:rPr>
        <w:t xml:space="preserve"> and </w:t>
      </w:r>
      <w:r w:rsidR="00F627C4" w:rsidRPr="00567BC2">
        <w:rPr>
          <w:rFonts w:ascii="Times New Roman" w:hAnsi="Times New Roman" w:cs="Times New Roman"/>
          <w:sz w:val="24"/>
          <w:szCs w:val="24"/>
        </w:rPr>
        <w:t xml:space="preserve">are extant only </w:t>
      </w:r>
      <w:r w:rsidRPr="00567BC2">
        <w:rPr>
          <w:rFonts w:ascii="Times New Roman" w:hAnsi="Times New Roman" w:cs="Times New Roman"/>
          <w:sz w:val="24"/>
          <w:szCs w:val="24"/>
        </w:rPr>
        <w:t xml:space="preserve">with the continuing agreement of each state. </w:t>
      </w:r>
      <w:r w:rsidR="00135968">
        <w:rPr>
          <w:rFonts w:ascii="Times New Roman" w:hAnsi="Times New Roman" w:cs="Times New Roman"/>
          <w:sz w:val="24"/>
          <w:szCs w:val="24"/>
        </w:rPr>
        <w:t>Therefore, the treaties</w:t>
      </w:r>
      <w:r w:rsidR="00495E40" w:rsidRPr="00567BC2">
        <w:rPr>
          <w:rFonts w:ascii="Times New Roman" w:hAnsi="Times New Roman" w:cs="Times New Roman"/>
          <w:sz w:val="24"/>
          <w:szCs w:val="24"/>
        </w:rPr>
        <w:t xml:space="preserve"> </w:t>
      </w:r>
      <w:r w:rsidR="00135968">
        <w:rPr>
          <w:rFonts w:ascii="Times New Roman" w:hAnsi="Times New Roman" w:cs="Times New Roman"/>
          <w:sz w:val="24"/>
          <w:szCs w:val="24"/>
        </w:rPr>
        <w:t>are</w:t>
      </w:r>
      <w:r w:rsidR="00495E40" w:rsidRPr="00567BC2">
        <w:rPr>
          <w:rFonts w:ascii="Times New Roman" w:hAnsi="Times New Roman" w:cs="Times New Roman"/>
          <w:sz w:val="24"/>
          <w:szCs w:val="24"/>
        </w:rPr>
        <w:t xml:space="preserve"> generally supportive of the no</w:t>
      </w:r>
      <w:r w:rsidR="00135968">
        <w:rPr>
          <w:rFonts w:ascii="Times New Roman" w:hAnsi="Times New Roman" w:cs="Times New Roman"/>
          <w:sz w:val="24"/>
          <w:szCs w:val="24"/>
        </w:rPr>
        <w:t>tion of legislative sovereignty</w:t>
      </w:r>
      <w:r w:rsidR="00495E40" w:rsidRPr="00567BC2">
        <w:rPr>
          <w:rFonts w:ascii="Times New Roman" w:hAnsi="Times New Roman" w:cs="Times New Roman"/>
          <w:sz w:val="24"/>
          <w:szCs w:val="24"/>
        </w:rPr>
        <w:t xml:space="preserve"> and is not an argument i</w:t>
      </w:r>
      <w:r w:rsidR="009865F5">
        <w:rPr>
          <w:rFonts w:ascii="Times New Roman" w:hAnsi="Times New Roman" w:cs="Times New Roman"/>
          <w:sz w:val="24"/>
          <w:szCs w:val="24"/>
        </w:rPr>
        <w:t>n</w:t>
      </w:r>
      <w:r w:rsidR="00135968">
        <w:rPr>
          <w:rFonts w:ascii="Times New Roman" w:hAnsi="Times New Roman" w:cs="Times New Roman"/>
          <w:sz w:val="24"/>
          <w:szCs w:val="24"/>
        </w:rPr>
        <w:t xml:space="preserve"> opposition to it. However, the treaties do</w:t>
      </w:r>
      <w:r w:rsidR="00495E40" w:rsidRPr="00567BC2">
        <w:rPr>
          <w:rFonts w:ascii="Times New Roman" w:hAnsi="Times New Roman" w:cs="Times New Roman"/>
          <w:sz w:val="24"/>
          <w:szCs w:val="24"/>
        </w:rPr>
        <w:t xml:space="preserve"> not assist with the metaphysical investigation of legislative </w:t>
      </w:r>
      <w:r w:rsidR="00495E40" w:rsidRPr="00567BC2">
        <w:rPr>
          <w:rFonts w:ascii="Times New Roman" w:hAnsi="Times New Roman" w:cs="Times New Roman"/>
          <w:sz w:val="24"/>
          <w:szCs w:val="24"/>
        </w:rPr>
        <w:lastRenderedPageBreak/>
        <w:t>sovereignty; to explore this</w:t>
      </w:r>
      <w:r w:rsidR="005418BC" w:rsidRPr="005418BC">
        <w:rPr>
          <w:rFonts w:ascii="Times New Roman" w:hAnsi="Times New Roman" w:cs="Times New Roman"/>
          <w:sz w:val="24"/>
          <w:szCs w:val="24"/>
        </w:rPr>
        <w:t xml:space="preserve"> </w:t>
      </w:r>
      <w:r w:rsidR="005418BC" w:rsidRPr="00567BC2">
        <w:rPr>
          <w:rFonts w:ascii="Times New Roman" w:hAnsi="Times New Roman" w:cs="Times New Roman"/>
          <w:sz w:val="24"/>
          <w:szCs w:val="24"/>
        </w:rPr>
        <w:t>further</w:t>
      </w:r>
      <w:r w:rsidR="00495E40" w:rsidRPr="00567BC2">
        <w:rPr>
          <w:rFonts w:ascii="Times New Roman" w:hAnsi="Times New Roman" w:cs="Times New Roman"/>
          <w:sz w:val="24"/>
          <w:szCs w:val="24"/>
        </w:rPr>
        <w:t xml:space="preserve">, consideration will need to be offered to the more recent actions of states which test the notions of the metaphysical jurisdiction. </w:t>
      </w:r>
    </w:p>
    <w:p w:rsidR="00495E40" w:rsidRPr="00567BC2" w:rsidRDefault="00495E40"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Douzinas writes, in his article on the metaphysics of jurisdiction</w:t>
      </w:r>
      <w:r w:rsidRPr="00567BC2">
        <w:rPr>
          <w:rStyle w:val="FootnoteReference"/>
          <w:rFonts w:ascii="Times New Roman" w:hAnsi="Times New Roman" w:cs="Times New Roman"/>
          <w:sz w:val="24"/>
          <w:szCs w:val="24"/>
        </w:rPr>
        <w:footnoteReference w:id="65"/>
      </w:r>
      <w:r w:rsidR="002222C4" w:rsidRPr="00567BC2">
        <w:rPr>
          <w:rFonts w:ascii="Times New Roman" w:hAnsi="Times New Roman" w:cs="Times New Roman"/>
          <w:sz w:val="24"/>
          <w:szCs w:val="24"/>
        </w:rPr>
        <w:t xml:space="preserve">, of the universal jurisdiction that Belgium granted itself to investigate and prosecute war crimes and crimes against humanity, irrespective of where these were committed. This is not a matter which relates to legislative supremacy </w:t>
      </w:r>
      <w:r w:rsidR="002222C4" w:rsidRPr="00567BC2">
        <w:rPr>
          <w:rFonts w:ascii="Times New Roman" w:hAnsi="Times New Roman" w:cs="Times New Roman"/>
          <w:i/>
          <w:sz w:val="24"/>
          <w:szCs w:val="24"/>
        </w:rPr>
        <w:t>per se</w:t>
      </w:r>
      <w:r w:rsidR="002222C4" w:rsidRPr="00567BC2">
        <w:rPr>
          <w:rFonts w:ascii="Times New Roman" w:hAnsi="Times New Roman" w:cs="Times New Roman"/>
          <w:sz w:val="24"/>
          <w:szCs w:val="24"/>
        </w:rPr>
        <w:t xml:space="preserve">; however, it does relate to a state </w:t>
      </w:r>
      <w:r w:rsidR="00895CDC" w:rsidRPr="00567BC2">
        <w:rPr>
          <w:rFonts w:ascii="Times New Roman" w:hAnsi="Times New Roman" w:cs="Times New Roman"/>
          <w:sz w:val="24"/>
          <w:szCs w:val="24"/>
        </w:rPr>
        <w:t>exercising</w:t>
      </w:r>
      <w:r w:rsidR="002222C4" w:rsidRPr="00567BC2">
        <w:rPr>
          <w:rFonts w:ascii="Times New Roman" w:hAnsi="Times New Roman" w:cs="Times New Roman"/>
          <w:sz w:val="24"/>
          <w:szCs w:val="24"/>
        </w:rPr>
        <w:t xml:space="preserve"> </w:t>
      </w:r>
      <w:r w:rsidR="00895CDC" w:rsidRPr="00567BC2">
        <w:rPr>
          <w:rFonts w:ascii="Times New Roman" w:hAnsi="Times New Roman" w:cs="Times New Roman"/>
          <w:sz w:val="24"/>
          <w:szCs w:val="24"/>
        </w:rPr>
        <w:t xml:space="preserve">its </w:t>
      </w:r>
      <w:r w:rsidR="002222C4" w:rsidRPr="00567BC2">
        <w:rPr>
          <w:rFonts w:ascii="Times New Roman" w:hAnsi="Times New Roman" w:cs="Times New Roman"/>
          <w:sz w:val="24"/>
          <w:szCs w:val="24"/>
        </w:rPr>
        <w:t xml:space="preserve">powers beyond its territorial boarders, and </w:t>
      </w:r>
      <w:r w:rsidR="00895CDC" w:rsidRPr="00567BC2">
        <w:rPr>
          <w:rFonts w:ascii="Times New Roman" w:hAnsi="Times New Roman" w:cs="Times New Roman"/>
          <w:sz w:val="24"/>
          <w:szCs w:val="24"/>
        </w:rPr>
        <w:t>therefore</w:t>
      </w:r>
      <w:r w:rsidR="002222C4" w:rsidRPr="00567BC2">
        <w:rPr>
          <w:rFonts w:ascii="Times New Roman" w:hAnsi="Times New Roman" w:cs="Times New Roman"/>
          <w:sz w:val="24"/>
          <w:szCs w:val="24"/>
        </w:rPr>
        <w:t xml:space="preserve"> is </w:t>
      </w:r>
      <w:r w:rsidR="00895CDC" w:rsidRPr="00567BC2">
        <w:rPr>
          <w:rFonts w:ascii="Times New Roman" w:hAnsi="Times New Roman" w:cs="Times New Roman"/>
          <w:sz w:val="24"/>
          <w:szCs w:val="24"/>
        </w:rPr>
        <w:t>reminiscent</w:t>
      </w:r>
      <w:r w:rsidR="002222C4" w:rsidRPr="00567BC2">
        <w:rPr>
          <w:rFonts w:ascii="Times New Roman" w:hAnsi="Times New Roman" w:cs="Times New Roman"/>
          <w:sz w:val="24"/>
          <w:szCs w:val="24"/>
        </w:rPr>
        <w:t xml:space="preserve"> of the authority previously </w:t>
      </w:r>
      <w:r w:rsidR="00895CDC" w:rsidRPr="00567BC2">
        <w:rPr>
          <w:rFonts w:ascii="Times New Roman" w:hAnsi="Times New Roman" w:cs="Times New Roman"/>
          <w:sz w:val="24"/>
          <w:szCs w:val="24"/>
        </w:rPr>
        <w:t>enjoyed by the Pope</w:t>
      </w:r>
      <w:r w:rsidR="006C765E">
        <w:rPr>
          <w:rFonts w:ascii="Times New Roman" w:hAnsi="Times New Roman" w:cs="Times New Roman"/>
          <w:sz w:val="24"/>
          <w:szCs w:val="24"/>
        </w:rPr>
        <w:t xml:space="preserve"> and Emperors</w:t>
      </w:r>
      <w:r w:rsidR="00895CDC" w:rsidRPr="00567BC2">
        <w:rPr>
          <w:rFonts w:ascii="Times New Roman" w:hAnsi="Times New Roman" w:cs="Times New Roman"/>
          <w:sz w:val="24"/>
          <w:szCs w:val="24"/>
        </w:rPr>
        <w:t>. It is this reminiscence which is useful in exploring sovereignty</w:t>
      </w:r>
      <w:r w:rsidR="00046579">
        <w:rPr>
          <w:rFonts w:ascii="Times New Roman" w:hAnsi="Times New Roman" w:cs="Times New Roman"/>
          <w:sz w:val="24"/>
          <w:szCs w:val="24"/>
        </w:rPr>
        <w:t xml:space="preserve"> further</w:t>
      </w:r>
      <w:r w:rsidR="00895CDC" w:rsidRPr="00567BC2">
        <w:rPr>
          <w:rFonts w:ascii="Times New Roman" w:hAnsi="Times New Roman" w:cs="Times New Roman"/>
          <w:sz w:val="24"/>
          <w:szCs w:val="24"/>
        </w:rPr>
        <w:t xml:space="preserve">. For example, in granting itself universal jurisdiction – albeit within a confined set of competencies – Belgium resurrected some behaviours which </w:t>
      </w:r>
      <w:r w:rsidR="002D2EB4" w:rsidRPr="00567BC2">
        <w:rPr>
          <w:rFonts w:ascii="Times New Roman" w:hAnsi="Times New Roman" w:cs="Times New Roman"/>
          <w:sz w:val="24"/>
          <w:szCs w:val="24"/>
        </w:rPr>
        <w:t>were pre</w:t>
      </w:r>
      <w:r w:rsidR="00895CDC" w:rsidRPr="00567BC2">
        <w:rPr>
          <w:rFonts w:ascii="Times New Roman" w:hAnsi="Times New Roman" w:cs="Times New Roman"/>
          <w:sz w:val="24"/>
          <w:szCs w:val="24"/>
        </w:rPr>
        <w:t xml:space="preserve">-Westphalian, and possibly </w:t>
      </w:r>
      <w:r w:rsidR="00046579">
        <w:rPr>
          <w:rFonts w:ascii="Times New Roman" w:hAnsi="Times New Roman" w:cs="Times New Roman"/>
          <w:sz w:val="24"/>
          <w:szCs w:val="24"/>
        </w:rPr>
        <w:t xml:space="preserve">from an era prior to the </w:t>
      </w:r>
      <w:r w:rsidR="00895CDC" w:rsidRPr="00567BC2">
        <w:rPr>
          <w:rFonts w:ascii="Times New Roman" w:hAnsi="Times New Roman" w:cs="Times New Roman"/>
          <w:sz w:val="24"/>
          <w:szCs w:val="24"/>
        </w:rPr>
        <w:t>Concordat of Worms. Douzinas says of universal jurisdiction:</w:t>
      </w:r>
    </w:p>
    <w:p w:rsidR="00895CDC" w:rsidRPr="00567BC2" w:rsidRDefault="00895CDC" w:rsidP="007C5246">
      <w:pPr>
        <w:spacing w:line="360" w:lineRule="auto"/>
        <w:ind w:left="720"/>
        <w:jc w:val="both"/>
        <w:rPr>
          <w:rFonts w:ascii="Times New Roman" w:hAnsi="Times New Roman" w:cs="Times New Roman"/>
          <w:sz w:val="24"/>
          <w:szCs w:val="24"/>
        </w:rPr>
      </w:pPr>
      <w:r w:rsidRPr="00567BC2">
        <w:rPr>
          <w:rFonts w:ascii="Times New Roman" w:hAnsi="Times New Roman" w:cs="Times New Roman"/>
          <w:sz w:val="24"/>
          <w:szCs w:val="24"/>
        </w:rPr>
        <w:t>The question of universal jurisdiction is one of the most contested problems in the new times we live in after the collapse of communism. It is associated with the decline of the principle of sovereignty upon which international law was established in the post-Westphalian period. Ours is a period of proliferating jurisdictions, each positioning itself against the horizon of the universal. But every claim to universal jurisdiction soon becomes particular in relation to a wider claim (that of the International Court of Justice), and that again will be dwarfed by the greater universality of the International Criminal Court which will again be contested by the American exception with its implicit claim to an even wider de facto universality.</w:t>
      </w:r>
      <w:r w:rsidRPr="00567BC2">
        <w:rPr>
          <w:rStyle w:val="FootnoteReference"/>
          <w:rFonts w:ascii="Times New Roman" w:hAnsi="Times New Roman" w:cs="Times New Roman"/>
          <w:sz w:val="24"/>
          <w:szCs w:val="24"/>
        </w:rPr>
        <w:footnoteReference w:id="66"/>
      </w:r>
    </w:p>
    <w:p w:rsidR="00B178BB" w:rsidRPr="00567BC2" w:rsidRDefault="00A24D41"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His point here is interesting, and seemingly semantic at the outset, but concealing a far deeper issue. In modern attempts to evoke universal jurisdiction, the universality of the power is challenged and the International Courts of Justice (ICJ)</w:t>
      </w:r>
      <w:r w:rsidR="000F2220">
        <w:rPr>
          <w:rFonts w:ascii="Times New Roman" w:hAnsi="Times New Roman" w:cs="Times New Roman"/>
          <w:sz w:val="24"/>
          <w:szCs w:val="24"/>
        </w:rPr>
        <w:t>, which</w:t>
      </w:r>
      <w:r w:rsidRPr="00567BC2">
        <w:rPr>
          <w:rFonts w:ascii="Times New Roman" w:hAnsi="Times New Roman" w:cs="Times New Roman"/>
          <w:sz w:val="24"/>
          <w:szCs w:val="24"/>
        </w:rPr>
        <w:t xml:space="preserve"> are </w:t>
      </w:r>
      <w:r w:rsidR="000F2220">
        <w:rPr>
          <w:rFonts w:ascii="Times New Roman" w:hAnsi="Times New Roman" w:cs="Times New Roman"/>
          <w:sz w:val="24"/>
          <w:szCs w:val="24"/>
        </w:rPr>
        <w:t xml:space="preserve">generally </w:t>
      </w:r>
      <w:r w:rsidRPr="00567BC2">
        <w:rPr>
          <w:rFonts w:ascii="Times New Roman" w:hAnsi="Times New Roman" w:cs="Times New Roman"/>
          <w:sz w:val="24"/>
          <w:szCs w:val="24"/>
        </w:rPr>
        <w:t xml:space="preserve">averse to universal jurisdiction, will reject the universality principle. This gives the ICJ a sense of universal jurisdiction themselves, and one </w:t>
      </w:r>
      <w:r w:rsidR="00C8690D">
        <w:rPr>
          <w:rFonts w:ascii="Times New Roman" w:hAnsi="Times New Roman" w:cs="Times New Roman"/>
          <w:sz w:val="24"/>
          <w:szCs w:val="24"/>
        </w:rPr>
        <w:t>to which</w:t>
      </w:r>
      <w:r w:rsidR="00C8690D" w:rsidRPr="00567BC2">
        <w:rPr>
          <w:rFonts w:ascii="Times New Roman" w:hAnsi="Times New Roman" w:cs="Times New Roman"/>
          <w:sz w:val="24"/>
          <w:szCs w:val="24"/>
        </w:rPr>
        <w:t xml:space="preserve"> </w:t>
      </w:r>
      <w:r w:rsidRPr="00567BC2">
        <w:rPr>
          <w:rFonts w:ascii="Times New Roman" w:hAnsi="Times New Roman" w:cs="Times New Roman"/>
          <w:sz w:val="24"/>
          <w:szCs w:val="24"/>
        </w:rPr>
        <w:t xml:space="preserve">the United </w:t>
      </w:r>
      <w:r w:rsidR="00720F0B">
        <w:rPr>
          <w:rFonts w:ascii="Times New Roman" w:hAnsi="Times New Roman" w:cs="Times New Roman"/>
          <w:sz w:val="24"/>
          <w:szCs w:val="24"/>
        </w:rPr>
        <w:t>S</w:t>
      </w:r>
      <w:r w:rsidRPr="00567BC2">
        <w:rPr>
          <w:rFonts w:ascii="Times New Roman" w:hAnsi="Times New Roman" w:cs="Times New Roman"/>
          <w:sz w:val="24"/>
          <w:szCs w:val="24"/>
        </w:rPr>
        <w:t xml:space="preserve">tates of America has often been vocal in </w:t>
      </w:r>
      <w:r w:rsidR="00C17FA3">
        <w:rPr>
          <w:rFonts w:ascii="Times New Roman" w:hAnsi="Times New Roman" w:cs="Times New Roman"/>
          <w:sz w:val="24"/>
          <w:szCs w:val="24"/>
        </w:rPr>
        <w:t xml:space="preserve">its </w:t>
      </w:r>
      <w:r w:rsidRPr="00567BC2">
        <w:rPr>
          <w:rFonts w:ascii="Times New Roman" w:hAnsi="Times New Roman" w:cs="Times New Roman"/>
          <w:sz w:val="24"/>
          <w:szCs w:val="24"/>
        </w:rPr>
        <w:t xml:space="preserve">objection. This perpetual clawing at any explicit or implicit attempt at universalising jurisdiction is an argument in favour of the success at the Westphalian regime, specifically the egalitarian sense in a world of crystallised </w:t>
      </w:r>
      <w:r w:rsidR="0017615A">
        <w:rPr>
          <w:rFonts w:ascii="Times New Roman" w:hAnsi="Times New Roman" w:cs="Times New Roman"/>
          <w:sz w:val="24"/>
          <w:szCs w:val="24"/>
        </w:rPr>
        <w:t>territorial</w:t>
      </w:r>
      <w:r w:rsidRPr="00567BC2">
        <w:rPr>
          <w:rFonts w:ascii="Times New Roman" w:hAnsi="Times New Roman" w:cs="Times New Roman"/>
          <w:sz w:val="24"/>
          <w:szCs w:val="24"/>
        </w:rPr>
        <w:t xml:space="preserve"> sovereignty. However, the issue penetrates much </w:t>
      </w:r>
      <w:r w:rsidR="00375E26" w:rsidRPr="00567BC2">
        <w:rPr>
          <w:rFonts w:ascii="Times New Roman" w:hAnsi="Times New Roman" w:cs="Times New Roman"/>
          <w:sz w:val="24"/>
          <w:szCs w:val="24"/>
        </w:rPr>
        <w:t>deeper</w:t>
      </w:r>
      <w:r w:rsidRPr="00567BC2">
        <w:rPr>
          <w:rFonts w:ascii="Times New Roman" w:hAnsi="Times New Roman" w:cs="Times New Roman"/>
          <w:sz w:val="24"/>
          <w:szCs w:val="24"/>
        </w:rPr>
        <w:t xml:space="preserve"> than this. </w:t>
      </w:r>
      <w:r w:rsidR="000A5CFD" w:rsidRPr="00567BC2">
        <w:rPr>
          <w:rFonts w:ascii="Times New Roman" w:hAnsi="Times New Roman" w:cs="Times New Roman"/>
          <w:sz w:val="24"/>
          <w:szCs w:val="24"/>
        </w:rPr>
        <w:t>Here</w:t>
      </w:r>
      <w:r w:rsidR="00C17FA3">
        <w:rPr>
          <w:rFonts w:ascii="Times New Roman" w:hAnsi="Times New Roman" w:cs="Times New Roman"/>
          <w:sz w:val="24"/>
          <w:szCs w:val="24"/>
        </w:rPr>
        <w:t>,</w:t>
      </w:r>
      <w:r w:rsidR="000A5CFD" w:rsidRPr="00567BC2">
        <w:rPr>
          <w:rFonts w:ascii="Times New Roman" w:hAnsi="Times New Roman" w:cs="Times New Roman"/>
          <w:sz w:val="24"/>
          <w:szCs w:val="24"/>
        </w:rPr>
        <w:t xml:space="preserve"> this author</w:t>
      </w:r>
      <w:r w:rsidR="00C17FA3">
        <w:rPr>
          <w:rFonts w:ascii="Times New Roman" w:hAnsi="Times New Roman" w:cs="Times New Roman"/>
          <w:sz w:val="24"/>
          <w:szCs w:val="24"/>
        </w:rPr>
        <w:t>’</w:t>
      </w:r>
      <w:r w:rsidR="000A5CFD" w:rsidRPr="00567BC2">
        <w:rPr>
          <w:rFonts w:ascii="Times New Roman" w:hAnsi="Times New Roman" w:cs="Times New Roman"/>
          <w:sz w:val="24"/>
          <w:szCs w:val="24"/>
        </w:rPr>
        <w:t xml:space="preserve">s views expressed above are inconsistent with </w:t>
      </w:r>
      <w:r w:rsidR="000A5CFD" w:rsidRPr="00567BC2">
        <w:rPr>
          <w:rFonts w:ascii="Times New Roman" w:hAnsi="Times New Roman" w:cs="Times New Roman"/>
          <w:sz w:val="24"/>
          <w:szCs w:val="24"/>
        </w:rPr>
        <w:lastRenderedPageBreak/>
        <w:t>Douzinas’ own. Douzinas states that sovereignty is little more than a word used to denote the coming together of communities and the outward portrayal of the adoption by that community of a common standard</w:t>
      </w:r>
      <w:r w:rsidR="00720F0B">
        <w:rPr>
          <w:rFonts w:ascii="Times New Roman" w:hAnsi="Times New Roman" w:cs="Times New Roman"/>
          <w:sz w:val="24"/>
          <w:szCs w:val="24"/>
        </w:rPr>
        <w:t>.</w:t>
      </w:r>
      <w:r w:rsidR="00630546" w:rsidRPr="00567BC2">
        <w:rPr>
          <w:rStyle w:val="FootnoteReference"/>
          <w:rFonts w:ascii="Times New Roman" w:hAnsi="Times New Roman" w:cs="Times New Roman"/>
          <w:sz w:val="24"/>
          <w:szCs w:val="24"/>
        </w:rPr>
        <w:footnoteReference w:id="67"/>
      </w:r>
      <w:r w:rsidR="000A5CFD" w:rsidRPr="00567BC2">
        <w:rPr>
          <w:rFonts w:ascii="Times New Roman" w:hAnsi="Times New Roman" w:cs="Times New Roman"/>
          <w:sz w:val="24"/>
          <w:szCs w:val="24"/>
        </w:rPr>
        <w:t xml:space="preserve"> </w:t>
      </w:r>
      <w:r w:rsidR="00C17FA3">
        <w:rPr>
          <w:rFonts w:ascii="Times New Roman" w:hAnsi="Times New Roman" w:cs="Times New Roman"/>
          <w:sz w:val="24"/>
          <w:szCs w:val="24"/>
        </w:rPr>
        <w:t>On one level, this is consistent with the collective extolling the idol. However, t</w:t>
      </w:r>
      <w:r w:rsidR="000A5CFD" w:rsidRPr="00567BC2">
        <w:rPr>
          <w:rFonts w:ascii="Times New Roman" w:hAnsi="Times New Roman" w:cs="Times New Roman"/>
          <w:sz w:val="24"/>
          <w:szCs w:val="24"/>
        </w:rPr>
        <w:t xml:space="preserve">his sense of community is inconsistent with </w:t>
      </w:r>
      <w:r w:rsidR="00C17FA3">
        <w:rPr>
          <w:rFonts w:ascii="Times New Roman" w:hAnsi="Times New Roman" w:cs="Times New Roman"/>
          <w:sz w:val="24"/>
          <w:szCs w:val="24"/>
        </w:rPr>
        <w:t>other positions;</w:t>
      </w:r>
      <w:r w:rsidR="007242E3" w:rsidRPr="00567BC2">
        <w:rPr>
          <w:rFonts w:ascii="Times New Roman" w:hAnsi="Times New Roman" w:cs="Times New Roman"/>
          <w:sz w:val="24"/>
          <w:szCs w:val="24"/>
        </w:rPr>
        <w:t xml:space="preserve"> any statement of goals by a person in authority on behalf of a community is the statement of an individual, to which others offer their allegiance or conformity. </w:t>
      </w:r>
      <w:r w:rsidR="00C17FA3">
        <w:rPr>
          <w:rFonts w:ascii="Times New Roman" w:hAnsi="Times New Roman" w:cs="Times New Roman"/>
          <w:sz w:val="24"/>
          <w:szCs w:val="24"/>
        </w:rPr>
        <w:t xml:space="preserve">The extolling of an idol is a matter with which this author is in agreement with Douzinas on; the collectivism itself contains the inherent flaw. </w:t>
      </w:r>
      <w:r w:rsidR="007242E3" w:rsidRPr="00567BC2">
        <w:rPr>
          <w:rFonts w:ascii="Times New Roman" w:hAnsi="Times New Roman" w:cs="Times New Roman"/>
          <w:sz w:val="24"/>
          <w:szCs w:val="24"/>
        </w:rPr>
        <w:t xml:space="preserve">The statement </w:t>
      </w:r>
      <w:r w:rsidR="00C17FA3">
        <w:rPr>
          <w:rFonts w:ascii="Times New Roman" w:hAnsi="Times New Roman" w:cs="Times New Roman"/>
          <w:sz w:val="24"/>
          <w:szCs w:val="24"/>
        </w:rPr>
        <w:t xml:space="preserve">of the collective </w:t>
      </w:r>
      <w:r w:rsidR="007242E3" w:rsidRPr="00567BC2">
        <w:rPr>
          <w:rFonts w:ascii="Times New Roman" w:hAnsi="Times New Roman" w:cs="Times New Roman"/>
          <w:sz w:val="24"/>
          <w:szCs w:val="24"/>
        </w:rPr>
        <w:t xml:space="preserve">is not that of the </w:t>
      </w:r>
      <w:r w:rsidR="00D343C9" w:rsidRPr="00567BC2">
        <w:rPr>
          <w:rFonts w:ascii="Times New Roman" w:hAnsi="Times New Roman" w:cs="Times New Roman"/>
          <w:sz w:val="24"/>
          <w:szCs w:val="24"/>
        </w:rPr>
        <w:t>state rather that</w:t>
      </w:r>
      <w:r w:rsidR="007242E3" w:rsidRPr="00567BC2">
        <w:rPr>
          <w:rFonts w:ascii="Times New Roman" w:hAnsi="Times New Roman" w:cs="Times New Roman"/>
          <w:sz w:val="24"/>
          <w:szCs w:val="24"/>
        </w:rPr>
        <w:t xml:space="preserve"> of the primary voice who </w:t>
      </w:r>
      <w:r w:rsidR="00D343C9">
        <w:rPr>
          <w:rFonts w:ascii="Times New Roman" w:hAnsi="Times New Roman" w:cs="Times New Roman"/>
          <w:sz w:val="24"/>
          <w:szCs w:val="24"/>
        </w:rPr>
        <w:t>can</w:t>
      </w:r>
      <w:r w:rsidR="007242E3" w:rsidRPr="00567BC2">
        <w:rPr>
          <w:rFonts w:ascii="Times New Roman" w:hAnsi="Times New Roman" w:cs="Times New Roman"/>
          <w:sz w:val="24"/>
          <w:szCs w:val="24"/>
        </w:rPr>
        <w:t xml:space="preserve"> command conformity and allegiance from the majority</w:t>
      </w:r>
      <w:r w:rsidR="00C17FA3">
        <w:rPr>
          <w:rFonts w:ascii="Times New Roman" w:hAnsi="Times New Roman" w:cs="Times New Roman"/>
          <w:sz w:val="24"/>
          <w:szCs w:val="24"/>
        </w:rPr>
        <w:t xml:space="preserve"> and instigate the process of ostracising those who will not conform</w:t>
      </w:r>
      <w:r w:rsidR="007242E3" w:rsidRPr="00567BC2">
        <w:rPr>
          <w:rFonts w:ascii="Times New Roman" w:hAnsi="Times New Roman" w:cs="Times New Roman"/>
          <w:sz w:val="24"/>
          <w:szCs w:val="24"/>
        </w:rPr>
        <w:t xml:space="preserve">. On the bases </w:t>
      </w:r>
      <w:r w:rsidR="00630546" w:rsidRPr="00567BC2">
        <w:rPr>
          <w:rFonts w:ascii="Times New Roman" w:hAnsi="Times New Roman" w:cs="Times New Roman"/>
          <w:sz w:val="24"/>
          <w:szCs w:val="24"/>
        </w:rPr>
        <w:t xml:space="preserve">that the primary voice, and as such the driver of normative standards, is a </w:t>
      </w:r>
      <w:r w:rsidR="002D2EB4" w:rsidRPr="00567BC2">
        <w:rPr>
          <w:rFonts w:ascii="Times New Roman" w:hAnsi="Times New Roman" w:cs="Times New Roman"/>
          <w:sz w:val="24"/>
          <w:szCs w:val="24"/>
        </w:rPr>
        <w:t>single</w:t>
      </w:r>
      <w:r w:rsidR="00630546" w:rsidRPr="00567BC2">
        <w:rPr>
          <w:rFonts w:ascii="Times New Roman" w:hAnsi="Times New Roman" w:cs="Times New Roman"/>
          <w:sz w:val="24"/>
          <w:szCs w:val="24"/>
        </w:rPr>
        <w:t xml:space="preserve"> person, Douzinas would seem to infer that sovereignty is therefore vested in the community by command </w:t>
      </w:r>
      <w:r w:rsidR="00C17FA3">
        <w:rPr>
          <w:rFonts w:ascii="Times New Roman" w:hAnsi="Times New Roman" w:cs="Times New Roman"/>
          <w:sz w:val="24"/>
          <w:szCs w:val="24"/>
        </w:rPr>
        <w:t>of</w:t>
      </w:r>
      <w:r w:rsidR="00C17FA3" w:rsidRPr="00567BC2">
        <w:rPr>
          <w:rFonts w:ascii="Times New Roman" w:hAnsi="Times New Roman" w:cs="Times New Roman"/>
          <w:sz w:val="24"/>
          <w:szCs w:val="24"/>
        </w:rPr>
        <w:t xml:space="preserve"> </w:t>
      </w:r>
      <w:r w:rsidR="00630546" w:rsidRPr="00567BC2">
        <w:rPr>
          <w:rFonts w:ascii="Times New Roman" w:hAnsi="Times New Roman" w:cs="Times New Roman"/>
          <w:sz w:val="24"/>
          <w:szCs w:val="24"/>
        </w:rPr>
        <w:t xml:space="preserve">the voice of an individual. This seems difficult; the singularity that </w:t>
      </w:r>
      <w:r w:rsidR="008B1DBF" w:rsidRPr="00567BC2">
        <w:rPr>
          <w:rFonts w:ascii="Times New Roman" w:hAnsi="Times New Roman" w:cs="Times New Roman"/>
          <w:sz w:val="24"/>
          <w:szCs w:val="24"/>
        </w:rPr>
        <w:t>one derives from the work of Mi</w:t>
      </w:r>
      <w:r w:rsidR="00630546" w:rsidRPr="00567BC2">
        <w:rPr>
          <w:rFonts w:ascii="Times New Roman" w:hAnsi="Times New Roman" w:cs="Times New Roman"/>
          <w:sz w:val="24"/>
          <w:szCs w:val="24"/>
        </w:rPr>
        <w:t xml:space="preserve">ses and Nietzsche above is not consistent with the notion of non-monarchical legislative sovereignty </w:t>
      </w:r>
      <w:r w:rsidR="00C10D92" w:rsidRPr="00567BC2">
        <w:rPr>
          <w:rFonts w:ascii="Times New Roman" w:hAnsi="Times New Roman" w:cs="Times New Roman"/>
          <w:sz w:val="24"/>
          <w:szCs w:val="24"/>
        </w:rPr>
        <w:t xml:space="preserve">which vest power, in the UK at least, in a representative parliament. Notwithstanding this point, there is merit in what Douzinas goes on to say. He refers to the maxim </w:t>
      </w:r>
      <w:r w:rsidR="00C10D92" w:rsidRPr="00567BC2">
        <w:rPr>
          <w:rFonts w:ascii="Times New Roman" w:hAnsi="Times New Roman" w:cs="Times New Roman"/>
          <w:i/>
          <w:sz w:val="24"/>
          <w:szCs w:val="24"/>
        </w:rPr>
        <w:t>ubi societas ibi jus</w:t>
      </w:r>
      <w:r w:rsidR="00C10D92" w:rsidRPr="00567BC2">
        <w:rPr>
          <w:rFonts w:ascii="Times New Roman" w:hAnsi="Times New Roman" w:cs="Times New Roman"/>
          <w:sz w:val="24"/>
          <w:szCs w:val="24"/>
        </w:rPr>
        <w:t xml:space="preserve"> inferring that a community arises when the law declares itself common to all and states that the jurisdiction of the law is the ‘juris diction – the diction of law, laws speech and word’</w:t>
      </w:r>
      <w:r w:rsidR="005451F0">
        <w:rPr>
          <w:rFonts w:ascii="Times New Roman" w:hAnsi="Times New Roman" w:cs="Times New Roman"/>
          <w:sz w:val="24"/>
          <w:szCs w:val="24"/>
        </w:rPr>
        <w:t>.</w:t>
      </w:r>
      <w:r w:rsidR="00982C53">
        <w:rPr>
          <w:rStyle w:val="FootnoteReference"/>
          <w:rFonts w:ascii="Times New Roman" w:hAnsi="Times New Roman" w:cs="Times New Roman"/>
          <w:sz w:val="24"/>
          <w:szCs w:val="24"/>
        </w:rPr>
        <w:footnoteReference w:id="68"/>
      </w:r>
      <w:r w:rsidR="00C10D92" w:rsidRPr="00567BC2">
        <w:rPr>
          <w:rFonts w:ascii="Times New Roman" w:hAnsi="Times New Roman" w:cs="Times New Roman"/>
          <w:sz w:val="24"/>
          <w:szCs w:val="24"/>
        </w:rPr>
        <w:t xml:space="preserve"> Here it becomes p</w:t>
      </w:r>
      <w:r w:rsidR="00D343C9">
        <w:rPr>
          <w:rFonts w:ascii="Times New Roman" w:hAnsi="Times New Roman" w:cs="Times New Roman"/>
          <w:sz w:val="24"/>
          <w:szCs w:val="24"/>
        </w:rPr>
        <w:t>ossible to reconcile the opposing</w:t>
      </w:r>
      <w:r w:rsidR="00C10D92" w:rsidRPr="00567BC2">
        <w:rPr>
          <w:rFonts w:ascii="Times New Roman" w:hAnsi="Times New Roman" w:cs="Times New Roman"/>
          <w:sz w:val="24"/>
          <w:szCs w:val="24"/>
        </w:rPr>
        <w:t xml:space="preserve"> views above. If the individual is removed from the declarative function that was outlined above, and replace</w:t>
      </w:r>
      <w:r w:rsidR="006C765E">
        <w:rPr>
          <w:rFonts w:ascii="Times New Roman" w:hAnsi="Times New Roman" w:cs="Times New Roman"/>
          <w:sz w:val="24"/>
          <w:szCs w:val="24"/>
        </w:rPr>
        <w:t>d</w:t>
      </w:r>
      <w:r w:rsidR="00C10D92" w:rsidRPr="00567BC2">
        <w:rPr>
          <w:rFonts w:ascii="Times New Roman" w:hAnsi="Times New Roman" w:cs="Times New Roman"/>
          <w:sz w:val="24"/>
          <w:szCs w:val="24"/>
        </w:rPr>
        <w:t xml:space="preserve"> with the law, then sovereignty is commanded by law </w:t>
      </w:r>
      <w:r w:rsidR="00875D72" w:rsidRPr="00567BC2">
        <w:rPr>
          <w:rFonts w:ascii="Times New Roman" w:hAnsi="Times New Roman" w:cs="Times New Roman"/>
          <w:sz w:val="24"/>
          <w:szCs w:val="24"/>
        </w:rPr>
        <w:t xml:space="preserve">and law is the singular that gives rise to the legislative and </w:t>
      </w:r>
      <w:r w:rsidR="0017615A">
        <w:rPr>
          <w:rFonts w:ascii="Times New Roman" w:hAnsi="Times New Roman" w:cs="Times New Roman"/>
          <w:sz w:val="24"/>
          <w:szCs w:val="24"/>
        </w:rPr>
        <w:t>territorial</w:t>
      </w:r>
      <w:r w:rsidR="00875D72" w:rsidRPr="00567BC2">
        <w:rPr>
          <w:rFonts w:ascii="Times New Roman" w:hAnsi="Times New Roman" w:cs="Times New Roman"/>
          <w:sz w:val="24"/>
          <w:szCs w:val="24"/>
        </w:rPr>
        <w:t xml:space="preserve"> integrity. Douzinas deals excellently with the metaphysics of jurisdiction through the remainder of his article, and this author does not intend to re-tread those boards. For the purpose of this article’s </w:t>
      </w:r>
      <w:r w:rsidR="00982C53">
        <w:rPr>
          <w:rFonts w:ascii="Times New Roman" w:hAnsi="Times New Roman" w:cs="Times New Roman"/>
          <w:sz w:val="24"/>
          <w:szCs w:val="24"/>
        </w:rPr>
        <w:t xml:space="preserve">nuanced </w:t>
      </w:r>
      <w:r w:rsidR="00875D72" w:rsidRPr="00567BC2">
        <w:rPr>
          <w:rFonts w:ascii="Times New Roman" w:hAnsi="Times New Roman" w:cs="Times New Roman"/>
          <w:sz w:val="24"/>
          <w:szCs w:val="24"/>
        </w:rPr>
        <w:t>argumentation</w:t>
      </w:r>
      <w:r w:rsidR="00982C53">
        <w:rPr>
          <w:rFonts w:ascii="Times New Roman" w:hAnsi="Times New Roman" w:cs="Times New Roman"/>
          <w:sz w:val="24"/>
          <w:szCs w:val="24"/>
        </w:rPr>
        <w:t xml:space="preserve">, dealing in part with </w:t>
      </w:r>
      <w:r w:rsidR="00875D72" w:rsidRPr="00567BC2">
        <w:rPr>
          <w:rFonts w:ascii="Times New Roman" w:hAnsi="Times New Roman" w:cs="Times New Roman"/>
          <w:sz w:val="24"/>
          <w:szCs w:val="24"/>
        </w:rPr>
        <w:t>the metaphysics of legislative sovereignty</w:t>
      </w:r>
      <w:r w:rsidR="002D2EB4">
        <w:rPr>
          <w:rFonts w:ascii="Times New Roman" w:hAnsi="Times New Roman" w:cs="Times New Roman"/>
          <w:sz w:val="24"/>
          <w:szCs w:val="24"/>
        </w:rPr>
        <w:t>,</w:t>
      </w:r>
      <w:r w:rsidR="002D2EB4" w:rsidRPr="00567BC2">
        <w:rPr>
          <w:rFonts w:ascii="Times New Roman" w:hAnsi="Times New Roman" w:cs="Times New Roman"/>
          <w:sz w:val="24"/>
          <w:szCs w:val="24"/>
        </w:rPr>
        <w:t xml:space="preserve"> the</w:t>
      </w:r>
      <w:r w:rsidR="00875D72" w:rsidRPr="00567BC2">
        <w:rPr>
          <w:rFonts w:ascii="Times New Roman" w:hAnsi="Times New Roman" w:cs="Times New Roman"/>
          <w:sz w:val="24"/>
          <w:szCs w:val="24"/>
        </w:rPr>
        <w:t xml:space="preserve"> </w:t>
      </w:r>
      <w:r w:rsidR="00B178BB" w:rsidRPr="00567BC2">
        <w:rPr>
          <w:rFonts w:ascii="Times New Roman" w:hAnsi="Times New Roman" w:cs="Times New Roman"/>
          <w:sz w:val="24"/>
          <w:szCs w:val="24"/>
        </w:rPr>
        <w:t>second part to this essay</w:t>
      </w:r>
      <w:r w:rsidR="00982C53">
        <w:rPr>
          <w:rFonts w:ascii="Times New Roman" w:hAnsi="Times New Roman" w:cs="Times New Roman"/>
          <w:sz w:val="24"/>
          <w:szCs w:val="24"/>
        </w:rPr>
        <w:t>’</w:t>
      </w:r>
      <w:r w:rsidR="00B178BB" w:rsidRPr="00567BC2">
        <w:rPr>
          <w:rFonts w:ascii="Times New Roman" w:hAnsi="Times New Roman" w:cs="Times New Roman"/>
          <w:sz w:val="24"/>
          <w:szCs w:val="24"/>
        </w:rPr>
        <w:t xml:space="preserve">s question </w:t>
      </w:r>
      <w:r w:rsidR="00875D72" w:rsidRPr="00567BC2">
        <w:rPr>
          <w:rFonts w:ascii="Times New Roman" w:hAnsi="Times New Roman" w:cs="Times New Roman"/>
          <w:sz w:val="24"/>
          <w:szCs w:val="24"/>
        </w:rPr>
        <w:t>conveyed in the introduction</w:t>
      </w:r>
      <w:r w:rsidR="00875D72" w:rsidRPr="00567BC2">
        <w:rPr>
          <w:rFonts w:ascii="Times New Roman" w:hAnsi="Times New Roman" w:cs="Times New Roman"/>
          <w:i/>
          <w:sz w:val="24"/>
          <w:szCs w:val="24"/>
        </w:rPr>
        <w:t xml:space="preserve"> </w:t>
      </w:r>
      <w:r w:rsidR="00B178BB" w:rsidRPr="00567BC2">
        <w:rPr>
          <w:rFonts w:ascii="Times New Roman" w:hAnsi="Times New Roman" w:cs="Times New Roman"/>
          <w:sz w:val="24"/>
          <w:szCs w:val="24"/>
        </w:rPr>
        <w:t>(</w:t>
      </w:r>
      <w:r w:rsidR="00875D72" w:rsidRPr="00567BC2">
        <w:rPr>
          <w:rFonts w:ascii="Times New Roman" w:hAnsi="Times New Roman" w:cs="Times New Roman"/>
          <w:i/>
          <w:sz w:val="24"/>
          <w:szCs w:val="24"/>
        </w:rPr>
        <w:t>viz.</w:t>
      </w:r>
      <w:r w:rsidR="00875D72" w:rsidRPr="00567BC2">
        <w:rPr>
          <w:rFonts w:ascii="Times New Roman" w:hAnsi="Times New Roman" w:cs="Times New Roman"/>
          <w:sz w:val="24"/>
          <w:szCs w:val="24"/>
        </w:rPr>
        <w:t xml:space="preserve"> the application of metaphysical discussions to theories of Parliamentary Sovereignty as an invocation of le</w:t>
      </w:r>
      <w:r w:rsidR="00B178BB" w:rsidRPr="00567BC2">
        <w:rPr>
          <w:rFonts w:ascii="Times New Roman" w:hAnsi="Times New Roman" w:cs="Times New Roman"/>
          <w:sz w:val="24"/>
          <w:szCs w:val="24"/>
        </w:rPr>
        <w:t>gislative sovereignty in the UK)</w:t>
      </w:r>
      <w:r w:rsidR="00875D72" w:rsidRPr="00567BC2">
        <w:rPr>
          <w:rFonts w:ascii="Times New Roman" w:hAnsi="Times New Roman" w:cs="Times New Roman"/>
          <w:sz w:val="24"/>
          <w:szCs w:val="24"/>
        </w:rPr>
        <w:t xml:space="preserve"> will be discussed next. </w:t>
      </w:r>
    </w:p>
    <w:p w:rsidR="00875D72" w:rsidRPr="00567BC2" w:rsidRDefault="00A93376" w:rsidP="007C5246">
      <w:pPr>
        <w:spacing w:line="360" w:lineRule="auto"/>
        <w:jc w:val="both"/>
        <w:rPr>
          <w:rFonts w:ascii="Times New Roman" w:hAnsi="Times New Roman" w:cs="Times New Roman"/>
          <w:sz w:val="24"/>
          <w:szCs w:val="24"/>
        </w:rPr>
      </w:pPr>
      <w:r>
        <w:rPr>
          <w:rFonts w:ascii="Times New Roman" w:hAnsi="Times New Roman" w:cs="Times New Roman"/>
          <w:sz w:val="24"/>
          <w:szCs w:val="24"/>
        </w:rPr>
        <w:t>The l</w:t>
      </w:r>
      <w:r w:rsidR="00875D72" w:rsidRPr="00567BC2">
        <w:rPr>
          <w:rFonts w:ascii="Times New Roman" w:hAnsi="Times New Roman" w:cs="Times New Roman"/>
          <w:sz w:val="24"/>
          <w:szCs w:val="24"/>
        </w:rPr>
        <w:t>egislative competence of a sovereign parliament is often described in Dice</w:t>
      </w:r>
      <w:r w:rsidR="00A2513D" w:rsidRPr="00567BC2">
        <w:rPr>
          <w:rFonts w:ascii="Times New Roman" w:hAnsi="Times New Roman" w:cs="Times New Roman"/>
          <w:sz w:val="24"/>
          <w:szCs w:val="24"/>
        </w:rPr>
        <w:t>y</w:t>
      </w:r>
      <w:r w:rsidR="00982C53">
        <w:rPr>
          <w:rFonts w:ascii="Times New Roman" w:hAnsi="Times New Roman" w:cs="Times New Roman"/>
          <w:sz w:val="24"/>
          <w:szCs w:val="24"/>
        </w:rPr>
        <w:t>’s</w:t>
      </w:r>
      <w:r w:rsidR="00875D72" w:rsidRPr="00567BC2">
        <w:rPr>
          <w:rFonts w:ascii="Times New Roman" w:hAnsi="Times New Roman" w:cs="Times New Roman"/>
          <w:sz w:val="24"/>
          <w:szCs w:val="24"/>
        </w:rPr>
        <w:t xml:space="preserve"> term</w:t>
      </w:r>
      <w:r w:rsidR="006C765E">
        <w:rPr>
          <w:rFonts w:ascii="Times New Roman" w:hAnsi="Times New Roman" w:cs="Times New Roman"/>
          <w:sz w:val="24"/>
          <w:szCs w:val="24"/>
        </w:rPr>
        <w:t>s as the absolute supremacy of P</w:t>
      </w:r>
      <w:r w:rsidR="00875D72" w:rsidRPr="00567BC2">
        <w:rPr>
          <w:rFonts w:ascii="Times New Roman" w:hAnsi="Times New Roman" w:cs="Times New Roman"/>
          <w:sz w:val="24"/>
          <w:szCs w:val="24"/>
        </w:rPr>
        <w:t>arliament to make or unmake any laws, and the inability to bind future parliaments</w:t>
      </w:r>
      <w:r w:rsidR="005451F0">
        <w:rPr>
          <w:rFonts w:ascii="Times New Roman" w:hAnsi="Times New Roman" w:cs="Times New Roman"/>
          <w:sz w:val="24"/>
          <w:szCs w:val="24"/>
        </w:rPr>
        <w:t>.</w:t>
      </w:r>
      <w:r w:rsidR="00875D72" w:rsidRPr="00567BC2">
        <w:rPr>
          <w:rFonts w:ascii="Times New Roman" w:hAnsi="Times New Roman" w:cs="Times New Roman"/>
          <w:sz w:val="24"/>
          <w:szCs w:val="24"/>
          <w:vertAlign w:val="superscript"/>
        </w:rPr>
        <w:footnoteReference w:id="69"/>
      </w:r>
      <w:r w:rsidR="009E3F27">
        <w:rPr>
          <w:rFonts w:ascii="Times New Roman" w:hAnsi="Times New Roman" w:cs="Times New Roman"/>
          <w:sz w:val="24"/>
          <w:szCs w:val="24"/>
        </w:rPr>
        <w:t xml:space="preserve"> In the UK, this has previously been stated as ‘[w]hatever the Queen-in-</w:t>
      </w:r>
      <w:r w:rsidR="009E3F27">
        <w:rPr>
          <w:rFonts w:ascii="Times New Roman" w:hAnsi="Times New Roman" w:cs="Times New Roman"/>
          <w:sz w:val="24"/>
          <w:szCs w:val="24"/>
        </w:rPr>
        <w:lastRenderedPageBreak/>
        <w:t>Parliament enacts as statue is law’</w:t>
      </w:r>
      <w:r w:rsidR="009E3F27">
        <w:rPr>
          <w:rStyle w:val="FootnoteReference"/>
          <w:rFonts w:ascii="Times New Roman" w:hAnsi="Times New Roman" w:cs="Times New Roman"/>
          <w:sz w:val="24"/>
          <w:szCs w:val="24"/>
        </w:rPr>
        <w:footnoteReference w:id="70"/>
      </w:r>
      <w:r w:rsidR="004C1BB1">
        <w:rPr>
          <w:rFonts w:ascii="Times New Roman" w:hAnsi="Times New Roman" w:cs="Times New Roman"/>
          <w:sz w:val="24"/>
          <w:szCs w:val="24"/>
        </w:rPr>
        <w:t xml:space="preserve"> (though this is generally dismissed by authors such as Bogdanor</w:t>
      </w:r>
      <w:r w:rsidR="005451F0">
        <w:rPr>
          <w:rFonts w:ascii="Times New Roman" w:hAnsi="Times New Roman" w:cs="Times New Roman"/>
          <w:sz w:val="24"/>
          <w:szCs w:val="24"/>
        </w:rPr>
        <w:t>).</w:t>
      </w:r>
      <w:r w:rsidR="004C1BB1">
        <w:rPr>
          <w:rStyle w:val="FootnoteReference"/>
          <w:rFonts w:ascii="Times New Roman" w:hAnsi="Times New Roman" w:cs="Times New Roman"/>
          <w:sz w:val="24"/>
          <w:szCs w:val="24"/>
        </w:rPr>
        <w:footnoteReference w:id="71"/>
      </w:r>
      <w:r w:rsidR="00875D72" w:rsidRPr="00567BC2">
        <w:rPr>
          <w:rFonts w:ascii="Times New Roman" w:hAnsi="Times New Roman" w:cs="Times New Roman"/>
          <w:sz w:val="24"/>
          <w:szCs w:val="24"/>
        </w:rPr>
        <w:t xml:space="preserve"> </w:t>
      </w:r>
      <w:r w:rsidR="009E3F27">
        <w:rPr>
          <w:rFonts w:ascii="Times New Roman" w:hAnsi="Times New Roman" w:cs="Times New Roman"/>
          <w:sz w:val="24"/>
          <w:szCs w:val="24"/>
        </w:rPr>
        <w:t>However, i</w:t>
      </w:r>
      <w:r w:rsidR="00875D72" w:rsidRPr="00567BC2">
        <w:rPr>
          <w:rFonts w:ascii="Times New Roman" w:hAnsi="Times New Roman" w:cs="Times New Roman"/>
          <w:sz w:val="24"/>
          <w:szCs w:val="24"/>
        </w:rPr>
        <w:t>f it were possible to adopt the Dice</w:t>
      </w:r>
      <w:r w:rsidR="00A2513D" w:rsidRPr="00567BC2">
        <w:rPr>
          <w:rFonts w:ascii="Times New Roman" w:hAnsi="Times New Roman" w:cs="Times New Roman"/>
          <w:sz w:val="24"/>
          <w:szCs w:val="24"/>
        </w:rPr>
        <w:t>y</w:t>
      </w:r>
      <w:r w:rsidR="00982C53">
        <w:rPr>
          <w:rFonts w:ascii="Times New Roman" w:hAnsi="Times New Roman" w:cs="Times New Roman"/>
          <w:sz w:val="24"/>
          <w:szCs w:val="24"/>
        </w:rPr>
        <w:t>’s</w:t>
      </w:r>
      <w:r w:rsidR="00875D72" w:rsidRPr="00567BC2">
        <w:rPr>
          <w:rFonts w:ascii="Times New Roman" w:hAnsi="Times New Roman" w:cs="Times New Roman"/>
          <w:sz w:val="24"/>
          <w:szCs w:val="24"/>
        </w:rPr>
        <w:t xml:space="preserve"> view mentioned above, then it would be possible to state that the UK Parliament has the legislative competence to make any of its laws extraterritorial</w:t>
      </w:r>
      <w:r w:rsidR="00A2513D" w:rsidRPr="00567BC2">
        <w:rPr>
          <w:rFonts w:ascii="Times New Roman" w:hAnsi="Times New Roman" w:cs="Times New Roman"/>
          <w:sz w:val="24"/>
          <w:szCs w:val="24"/>
        </w:rPr>
        <w:t>, or even to make them universal</w:t>
      </w:r>
      <w:r w:rsidR="00875D72" w:rsidRPr="00567BC2">
        <w:rPr>
          <w:rFonts w:ascii="Times New Roman" w:hAnsi="Times New Roman" w:cs="Times New Roman"/>
          <w:sz w:val="24"/>
          <w:szCs w:val="24"/>
        </w:rPr>
        <w:t>.</w:t>
      </w:r>
      <w:r w:rsidR="00A2513D" w:rsidRPr="00567BC2">
        <w:rPr>
          <w:rFonts w:ascii="Times New Roman" w:hAnsi="Times New Roman" w:cs="Times New Roman"/>
          <w:sz w:val="24"/>
          <w:szCs w:val="24"/>
        </w:rPr>
        <w:t xml:space="preserve"> The vague position of the pure view adopted by Dicey is the subject of much historical debate.</w:t>
      </w:r>
      <w:r w:rsidR="00875D72" w:rsidRPr="00567BC2">
        <w:rPr>
          <w:rFonts w:ascii="Times New Roman" w:hAnsi="Times New Roman" w:cs="Times New Roman"/>
          <w:sz w:val="24"/>
          <w:szCs w:val="24"/>
        </w:rPr>
        <w:t xml:space="preserve"> However, ther</w:t>
      </w:r>
      <w:r w:rsidR="00A2513D" w:rsidRPr="00567BC2">
        <w:rPr>
          <w:rFonts w:ascii="Times New Roman" w:hAnsi="Times New Roman" w:cs="Times New Roman"/>
          <w:sz w:val="24"/>
          <w:szCs w:val="24"/>
        </w:rPr>
        <w:t>e are fundamental flaws with this orthodox view</w:t>
      </w:r>
      <w:r w:rsidR="00875D72" w:rsidRPr="00567BC2">
        <w:rPr>
          <w:rFonts w:ascii="Times New Roman" w:hAnsi="Times New Roman" w:cs="Times New Roman"/>
          <w:sz w:val="24"/>
          <w:szCs w:val="24"/>
        </w:rPr>
        <w:t xml:space="preserve"> which makes it an unworkable concept</w:t>
      </w:r>
      <w:r w:rsidR="00DF13E4">
        <w:rPr>
          <w:rFonts w:ascii="Times New Roman" w:hAnsi="Times New Roman" w:cs="Times New Roman"/>
          <w:sz w:val="24"/>
          <w:szCs w:val="24"/>
        </w:rPr>
        <w:t>,</w:t>
      </w:r>
      <w:r w:rsidR="00875D72" w:rsidRPr="00567BC2">
        <w:rPr>
          <w:rFonts w:ascii="Times New Roman" w:hAnsi="Times New Roman" w:cs="Times New Roman"/>
          <w:sz w:val="24"/>
          <w:szCs w:val="24"/>
        </w:rPr>
        <w:t xml:space="preserve"> and as such does not assist with </w:t>
      </w:r>
      <w:r w:rsidR="00A2513D" w:rsidRPr="00567BC2">
        <w:rPr>
          <w:rFonts w:ascii="Times New Roman" w:hAnsi="Times New Roman" w:cs="Times New Roman"/>
          <w:sz w:val="24"/>
          <w:szCs w:val="24"/>
        </w:rPr>
        <w:t xml:space="preserve">achieving clarity for the application of legislative sovereignty. </w:t>
      </w:r>
      <w:r w:rsidR="00875D72" w:rsidRPr="00567BC2">
        <w:rPr>
          <w:rFonts w:ascii="Times New Roman" w:hAnsi="Times New Roman" w:cs="Times New Roman"/>
          <w:sz w:val="24"/>
          <w:szCs w:val="24"/>
        </w:rPr>
        <w:t>For example, this author has previously said that:</w:t>
      </w:r>
    </w:p>
    <w:p w:rsidR="00875D72" w:rsidRDefault="00875D72" w:rsidP="007C5246">
      <w:pPr>
        <w:spacing w:line="360" w:lineRule="auto"/>
        <w:ind w:left="720"/>
        <w:jc w:val="both"/>
        <w:rPr>
          <w:rFonts w:ascii="Times New Roman" w:hAnsi="Times New Roman" w:cs="Times New Roman"/>
          <w:sz w:val="24"/>
          <w:szCs w:val="24"/>
        </w:rPr>
      </w:pPr>
      <w:r w:rsidRPr="00567BC2">
        <w:rPr>
          <w:rFonts w:ascii="Times New Roman" w:hAnsi="Times New Roman" w:cs="Times New Roman"/>
          <w:sz w:val="24"/>
          <w:szCs w:val="24"/>
        </w:rPr>
        <w:t xml:space="preserve">[The orthodox] view of sovereignty presents a paradox; if Parliament has unlimited power to legislate, then it can create an Act of Parliament which limits Parliament’s own power. However, in limiting its power it is no longer supreme therefore it cannot limit its power as Parliament is always supreme. </w:t>
      </w:r>
      <w:r w:rsidRPr="00567BC2">
        <w:rPr>
          <w:rFonts w:ascii="Times New Roman" w:hAnsi="Times New Roman" w:cs="Times New Roman"/>
          <w:i/>
          <w:sz w:val="24"/>
          <w:szCs w:val="24"/>
        </w:rPr>
        <w:t>Ergo</w:t>
      </w:r>
      <w:r w:rsidRPr="00567BC2">
        <w:rPr>
          <w:rFonts w:ascii="Times New Roman" w:hAnsi="Times New Roman" w:cs="Times New Roman"/>
          <w:sz w:val="24"/>
          <w:szCs w:val="24"/>
        </w:rPr>
        <w:t>, Parliament is not supreme because it cannot limit its own power; in doing so it will no longer be supreme. The same argument can be made for Parliament enacting legislation which permanently disbands itself; in doing so Parliament would no longer be supreme and so the orthodox logic fails.</w:t>
      </w:r>
      <w:r w:rsidR="00A2513D" w:rsidRPr="00567BC2">
        <w:rPr>
          <w:rStyle w:val="FootnoteReference"/>
          <w:rFonts w:ascii="Times New Roman" w:hAnsi="Times New Roman" w:cs="Times New Roman"/>
          <w:sz w:val="24"/>
          <w:szCs w:val="24"/>
        </w:rPr>
        <w:footnoteReference w:id="72"/>
      </w:r>
    </w:p>
    <w:p w:rsidR="00982C53" w:rsidRPr="00567BC2" w:rsidRDefault="00982C53" w:rsidP="00885B92">
      <w:pPr>
        <w:spacing w:line="360" w:lineRule="auto"/>
        <w:jc w:val="both"/>
        <w:rPr>
          <w:rFonts w:ascii="Times New Roman" w:hAnsi="Times New Roman" w:cs="Times New Roman"/>
          <w:sz w:val="24"/>
          <w:szCs w:val="24"/>
        </w:rPr>
      </w:pPr>
      <w:r>
        <w:rPr>
          <w:rFonts w:ascii="Times New Roman" w:hAnsi="Times New Roman" w:cs="Times New Roman"/>
          <w:sz w:val="24"/>
          <w:szCs w:val="24"/>
        </w:rPr>
        <w:t>Wade attempts to rationalise this concept of sovereignty</w:t>
      </w:r>
      <w:r w:rsidR="00725CFC">
        <w:rPr>
          <w:rStyle w:val="FootnoteReference"/>
          <w:rFonts w:ascii="Times New Roman" w:hAnsi="Times New Roman" w:cs="Times New Roman"/>
          <w:sz w:val="24"/>
          <w:szCs w:val="24"/>
        </w:rPr>
        <w:footnoteReference w:id="73"/>
      </w:r>
      <w:r>
        <w:rPr>
          <w:rFonts w:ascii="Times New Roman" w:hAnsi="Times New Roman" w:cs="Times New Roman"/>
          <w:sz w:val="24"/>
          <w:szCs w:val="24"/>
        </w:rPr>
        <w:t xml:space="preserve"> by stating that Parliamentary Sovereignty is a political fact controlled and developed by the judiciary</w:t>
      </w:r>
      <w:r w:rsidR="004E19D6">
        <w:rPr>
          <w:rFonts w:ascii="Times New Roman" w:hAnsi="Times New Roman" w:cs="Times New Roman"/>
          <w:sz w:val="24"/>
          <w:szCs w:val="24"/>
        </w:rPr>
        <w:t>.</w:t>
      </w:r>
      <w:r w:rsidR="00300255">
        <w:rPr>
          <w:rStyle w:val="FootnoteReference"/>
          <w:rFonts w:ascii="Times New Roman" w:hAnsi="Times New Roman" w:cs="Times New Roman"/>
          <w:sz w:val="24"/>
          <w:szCs w:val="24"/>
        </w:rPr>
        <w:footnoteReference w:id="74"/>
      </w:r>
      <w:r>
        <w:rPr>
          <w:rFonts w:ascii="Times New Roman" w:hAnsi="Times New Roman" w:cs="Times New Roman"/>
          <w:sz w:val="24"/>
          <w:szCs w:val="24"/>
        </w:rPr>
        <w:t xml:space="preserve"> Wade sees, in brief, that Parliament is </w:t>
      </w:r>
      <w:r w:rsidR="004B10AD">
        <w:rPr>
          <w:rFonts w:ascii="Times New Roman" w:hAnsi="Times New Roman" w:cs="Times New Roman"/>
          <w:sz w:val="24"/>
          <w:szCs w:val="24"/>
        </w:rPr>
        <w:t>s</w:t>
      </w:r>
      <w:r>
        <w:rPr>
          <w:rFonts w:ascii="Times New Roman" w:hAnsi="Times New Roman" w:cs="Times New Roman"/>
          <w:sz w:val="24"/>
          <w:szCs w:val="24"/>
        </w:rPr>
        <w:t xml:space="preserve">overeign but cannot restrict </w:t>
      </w:r>
      <w:r w:rsidR="004B10AD">
        <w:rPr>
          <w:rFonts w:ascii="Times New Roman" w:hAnsi="Times New Roman" w:cs="Times New Roman"/>
          <w:sz w:val="24"/>
          <w:szCs w:val="24"/>
        </w:rPr>
        <w:t>its own s</w:t>
      </w:r>
      <w:r>
        <w:rPr>
          <w:rFonts w:ascii="Times New Roman" w:hAnsi="Times New Roman" w:cs="Times New Roman"/>
          <w:sz w:val="24"/>
          <w:szCs w:val="24"/>
        </w:rPr>
        <w:t>overeignty. Although this author accepts Wade’s attempt to ‘square the circle’, there is a logical inadequacy which arises in the Wade view of Parliamentary Sovereignty also. Set aside the inclusion of the</w:t>
      </w:r>
      <w:r w:rsidR="00DF13E4">
        <w:rPr>
          <w:rFonts w:ascii="Times New Roman" w:hAnsi="Times New Roman" w:cs="Times New Roman"/>
          <w:sz w:val="24"/>
          <w:szCs w:val="24"/>
        </w:rPr>
        <w:t xml:space="preserve"> judicial control of the concept for a moment, Parliament cannot be sovereign if there are limits on its power</w:t>
      </w:r>
      <w:r w:rsidR="004329F6">
        <w:rPr>
          <w:rFonts w:ascii="Times New Roman" w:hAnsi="Times New Roman" w:cs="Times New Roman"/>
          <w:sz w:val="24"/>
          <w:szCs w:val="24"/>
        </w:rPr>
        <w:t>,</w:t>
      </w:r>
      <w:r w:rsidR="00DF13E4">
        <w:rPr>
          <w:rFonts w:ascii="Times New Roman" w:hAnsi="Times New Roman" w:cs="Times New Roman"/>
          <w:sz w:val="24"/>
          <w:szCs w:val="24"/>
        </w:rPr>
        <w:t xml:space="preserve"> as to be sovereign requires the existence of no equal or superior in relevant matters. Parliament is therefore not sovereign using Wade’s definition, as Parliament is </w:t>
      </w:r>
      <w:r w:rsidR="004E19D6">
        <w:rPr>
          <w:rFonts w:ascii="Times New Roman" w:hAnsi="Times New Roman" w:cs="Times New Roman"/>
          <w:sz w:val="24"/>
          <w:szCs w:val="24"/>
        </w:rPr>
        <w:t>subject</w:t>
      </w:r>
      <w:r w:rsidR="00DF13E4">
        <w:rPr>
          <w:rFonts w:ascii="Times New Roman" w:hAnsi="Times New Roman" w:cs="Times New Roman"/>
          <w:sz w:val="24"/>
          <w:szCs w:val="24"/>
        </w:rPr>
        <w:t xml:space="preserve"> to its own conceptual limitations. Therefore, the idol of sovereignty is sovereign, and the politico-legal reality of law-making in Parliament is not. </w:t>
      </w:r>
      <w:r w:rsidR="00725CFC">
        <w:rPr>
          <w:rFonts w:ascii="Times New Roman" w:hAnsi="Times New Roman" w:cs="Times New Roman"/>
          <w:sz w:val="24"/>
          <w:szCs w:val="24"/>
        </w:rPr>
        <w:t>Secondly, i</w:t>
      </w:r>
      <w:r w:rsidR="00DF13E4">
        <w:rPr>
          <w:rFonts w:ascii="Times New Roman" w:hAnsi="Times New Roman" w:cs="Times New Roman"/>
          <w:sz w:val="24"/>
          <w:szCs w:val="24"/>
        </w:rPr>
        <w:t xml:space="preserve">f the concept of sovereignty is controlled by the </w:t>
      </w:r>
      <w:r w:rsidR="00DF13E4">
        <w:rPr>
          <w:rFonts w:ascii="Times New Roman" w:hAnsi="Times New Roman" w:cs="Times New Roman"/>
          <w:sz w:val="24"/>
          <w:szCs w:val="24"/>
        </w:rPr>
        <w:lastRenderedPageBreak/>
        <w:t xml:space="preserve">judiciary, the idol of sovereignty is therefore controlled by the judiciary, even if only to some reverential degree. It is reasonable to conclude, using Wade’s </w:t>
      </w:r>
      <w:r w:rsidR="002D2EB4">
        <w:rPr>
          <w:rFonts w:ascii="Times New Roman" w:hAnsi="Times New Roman" w:cs="Times New Roman"/>
          <w:sz w:val="24"/>
          <w:szCs w:val="24"/>
        </w:rPr>
        <w:t>description that</w:t>
      </w:r>
      <w:r w:rsidR="00DF13E4">
        <w:rPr>
          <w:rFonts w:ascii="Times New Roman" w:hAnsi="Times New Roman" w:cs="Times New Roman"/>
          <w:sz w:val="24"/>
          <w:szCs w:val="24"/>
        </w:rPr>
        <w:t xml:space="preserve"> the judiciary are sovereign given that they control the idol of sovereignty, which informs and confines the law-making process in Parliament. These are the author</w:t>
      </w:r>
      <w:r w:rsidR="00602EBA">
        <w:rPr>
          <w:rFonts w:ascii="Times New Roman" w:hAnsi="Times New Roman" w:cs="Times New Roman"/>
          <w:sz w:val="24"/>
          <w:szCs w:val="24"/>
        </w:rPr>
        <w:t>’</w:t>
      </w:r>
      <w:r w:rsidR="00DF13E4">
        <w:rPr>
          <w:rFonts w:ascii="Times New Roman" w:hAnsi="Times New Roman" w:cs="Times New Roman"/>
          <w:sz w:val="24"/>
          <w:szCs w:val="24"/>
        </w:rPr>
        <w:t>s views and it should be recognised that other</w:t>
      </w:r>
      <w:r w:rsidR="00602EBA">
        <w:rPr>
          <w:rFonts w:ascii="Times New Roman" w:hAnsi="Times New Roman" w:cs="Times New Roman"/>
          <w:sz w:val="24"/>
          <w:szCs w:val="24"/>
        </w:rPr>
        <w:t>s may</w:t>
      </w:r>
      <w:r w:rsidR="00DF13E4">
        <w:rPr>
          <w:rFonts w:ascii="Times New Roman" w:hAnsi="Times New Roman" w:cs="Times New Roman"/>
          <w:sz w:val="24"/>
          <w:szCs w:val="24"/>
        </w:rPr>
        <w:t xml:space="preserve"> take a more pragmatic view of the matter, without giving credence to separating the concept and function of sovereignty. </w:t>
      </w:r>
    </w:p>
    <w:p w:rsidR="00875D72" w:rsidRDefault="00875D72"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 xml:space="preserve">If the UK Parliament is not orthodoxly supreme, what therefore is the remit of Parliament’s power and can it </w:t>
      </w:r>
      <w:r w:rsidR="00A10048" w:rsidRPr="00567BC2">
        <w:rPr>
          <w:rFonts w:ascii="Times New Roman" w:hAnsi="Times New Roman" w:cs="Times New Roman"/>
          <w:sz w:val="24"/>
          <w:szCs w:val="24"/>
        </w:rPr>
        <w:t>be said to have adopted a model of sovereignty which is unique. It is difficult to contest that the UK’s Parliament has a bare form of sovereignty such as that Douzinas alluded to in the coming together of a community</w:t>
      </w:r>
      <w:r w:rsidR="004329F6">
        <w:rPr>
          <w:rFonts w:ascii="Times New Roman" w:hAnsi="Times New Roman" w:cs="Times New Roman"/>
          <w:sz w:val="24"/>
          <w:szCs w:val="24"/>
        </w:rPr>
        <w:t>.</w:t>
      </w:r>
      <w:r w:rsidR="00A10048" w:rsidRPr="00567BC2">
        <w:rPr>
          <w:rFonts w:ascii="Times New Roman" w:hAnsi="Times New Roman" w:cs="Times New Roman"/>
          <w:sz w:val="24"/>
          <w:szCs w:val="24"/>
        </w:rPr>
        <w:t xml:space="preserve"> </w:t>
      </w:r>
      <w:r w:rsidR="004329F6">
        <w:rPr>
          <w:rFonts w:ascii="Times New Roman" w:hAnsi="Times New Roman" w:cs="Times New Roman"/>
          <w:sz w:val="24"/>
          <w:szCs w:val="24"/>
        </w:rPr>
        <w:t>I</w:t>
      </w:r>
      <w:r w:rsidR="00A10048" w:rsidRPr="00567BC2">
        <w:rPr>
          <w:rFonts w:ascii="Times New Roman" w:hAnsi="Times New Roman" w:cs="Times New Roman"/>
          <w:sz w:val="24"/>
          <w:szCs w:val="24"/>
        </w:rPr>
        <w:t xml:space="preserve">t is also difficult to rationalise that one person or power can declare that </w:t>
      </w:r>
      <w:r w:rsidR="004329F6">
        <w:rPr>
          <w:rFonts w:ascii="Times New Roman" w:hAnsi="Times New Roman" w:cs="Times New Roman"/>
          <w:sz w:val="24"/>
          <w:szCs w:val="24"/>
        </w:rPr>
        <w:t>P</w:t>
      </w:r>
      <w:r w:rsidR="00A10048" w:rsidRPr="00567BC2">
        <w:rPr>
          <w:rFonts w:ascii="Times New Roman" w:hAnsi="Times New Roman" w:cs="Times New Roman"/>
          <w:sz w:val="24"/>
          <w:szCs w:val="24"/>
        </w:rPr>
        <w:t xml:space="preserve">arliament is </w:t>
      </w:r>
      <w:r w:rsidR="004329F6">
        <w:rPr>
          <w:rFonts w:ascii="Times New Roman" w:hAnsi="Times New Roman" w:cs="Times New Roman"/>
          <w:sz w:val="24"/>
          <w:szCs w:val="24"/>
        </w:rPr>
        <w:t>orthodoxly sovereign;</w:t>
      </w:r>
      <w:r w:rsidR="00A10048" w:rsidRPr="00567BC2">
        <w:rPr>
          <w:rFonts w:ascii="Times New Roman" w:hAnsi="Times New Roman" w:cs="Times New Roman"/>
          <w:sz w:val="24"/>
          <w:szCs w:val="24"/>
        </w:rPr>
        <w:t xml:space="preserve"> therefore</w:t>
      </w:r>
      <w:r w:rsidR="004329F6">
        <w:rPr>
          <w:rFonts w:ascii="Times New Roman" w:hAnsi="Times New Roman" w:cs="Times New Roman"/>
          <w:sz w:val="24"/>
          <w:szCs w:val="24"/>
        </w:rPr>
        <w:t>,</w:t>
      </w:r>
      <w:r w:rsidR="00A10048" w:rsidRPr="00567BC2">
        <w:rPr>
          <w:rFonts w:ascii="Times New Roman" w:hAnsi="Times New Roman" w:cs="Times New Roman"/>
          <w:sz w:val="24"/>
          <w:szCs w:val="24"/>
        </w:rPr>
        <w:t xml:space="preserve"> what form legislative sovereignty or competence does the UK’s Parliament possess? This author contests</w:t>
      </w:r>
      <w:r w:rsidR="00DA0FFE">
        <w:rPr>
          <w:rFonts w:ascii="Times New Roman" w:hAnsi="Times New Roman" w:cs="Times New Roman"/>
          <w:sz w:val="24"/>
          <w:szCs w:val="24"/>
        </w:rPr>
        <w:t>, in deference to the work of Elliot and Thomas,</w:t>
      </w:r>
      <w:r w:rsidR="00A10048" w:rsidRPr="00567BC2">
        <w:rPr>
          <w:rFonts w:ascii="Times New Roman" w:hAnsi="Times New Roman" w:cs="Times New Roman"/>
          <w:sz w:val="24"/>
          <w:szCs w:val="24"/>
        </w:rPr>
        <w:t xml:space="preserve"> that there are three discernible </w:t>
      </w:r>
      <w:r w:rsidRPr="00567BC2">
        <w:rPr>
          <w:rFonts w:ascii="Times New Roman" w:hAnsi="Times New Roman" w:cs="Times New Roman"/>
          <w:sz w:val="24"/>
          <w:szCs w:val="24"/>
        </w:rPr>
        <w:t>and more recent models of sovereignty</w:t>
      </w:r>
      <w:r w:rsidRPr="00567BC2">
        <w:rPr>
          <w:rFonts w:ascii="Times New Roman" w:hAnsi="Times New Roman" w:cs="Times New Roman"/>
          <w:sz w:val="24"/>
          <w:szCs w:val="24"/>
          <w:vertAlign w:val="superscript"/>
        </w:rPr>
        <w:footnoteReference w:id="75"/>
      </w:r>
      <w:r w:rsidRPr="00567BC2">
        <w:rPr>
          <w:rFonts w:ascii="Times New Roman" w:hAnsi="Times New Roman" w:cs="Times New Roman"/>
          <w:sz w:val="24"/>
          <w:szCs w:val="24"/>
        </w:rPr>
        <w:t>, each with varying associated degrees of authority afforded to the legislature</w:t>
      </w:r>
      <w:r w:rsidRPr="00567BC2">
        <w:rPr>
          <w:rFonts w:ascii="Times New Roman" w:hAnsi="Times New Roman" w:cs="Times New Roman"/>
          <w:sz w:val="24"/>
          <w:szCs w:val="24"/>
          <w:vertAlign w:val="superscript"/>
        </w:rPr>
        <w:footnoteReference w:id="76"/>
      </w:r>
      <w:r w:rsidRPr="00567BC2">
        <w:rPr>
          <w:rFonts w:ascii="Times New Roman" w:hAnsi="Times New Roman" w:cs="Times New Roman"/>
          <w:sz w:val="24"/>
          <w:szCs w:val="24"/>
        </w:rPr>
        <w:t xml:space="preserve">. </w:t>
      </w:r>
      <w:r w:rsidR="00A10048" w:rsidRPr="00567BC2">
        <w:rPr>
          <w:rFonts w:ascii="Times New Roman" w:hAnsi="Times New Roman" w:cs="Times New Roman"/>
          <w:sz w:val="24"/>
          <w:szCs w:val="24"/>
        </w:rPr>
        <w:t xml:space="preserve">It is noted once more that Allison contends for a </w:t>
      </w:r>
      <w:r w:rsidR="001020AD" w:rsidRPr="00567BC2">
        <w:rPr>
          <w:rFonts w:ascii="Times New Roman" w:hAnsi="Times New Roman" w:cs="Times New Roman"/>
          <w:sz w:val="24"/>
          <w:szCs w:val="24"/>
        </w:rPr>
        <w:t>dic</w:t>
      </w:r>
      <w:r w:rsidR="001020AD">
        <w:rPr>
          <w:rFonts w:ascii="Times New Roman" w:hAnsi="Times New Roman" w:cs="Times New Roman"/>
          <w:sz w:val="24"/>
          <w:szCs w:val="24"/>
        </w:rPr>
        <w:t>hotomous</w:t>
      </w:r>
      <w:r w:rsidR="00A10048" w:rsidRPr="00567BC2">
        <w:rPr>
          <w:rFonts w:ascii="Times New Roman" w:hAnsi="Times New Roman" w:cs="Times New Roman"/>
          <w:sz w:val="24"/>
          <w:szCs w:val="24"/>
        </w:rPr>
        <w:t xml:space="preserve"> approach to models of sovereignty, and whilst there is merit in this, it is not the approach that this author has chosen to adopt</w:t>
      </w:r>
      <w:r w:rsidR="00A10048" w:rsidRPr="00567BC2">
        <w:rPr>
          <w:rStyle w:val="FootnoteReference"/>
          <w:rFonts w:ascii="Times New Roman" w:hAnsi="Times New Roman" w:cs="Times New Roman"/>
          <w:sz w:val="24"/>
          <w:szCs w:val="24"/>
        </w:rPr>
        <w:footnoteReference w:id="77"/>
      </w:r>
      <w:r w:rsidR="00713E34">
        <w:rPr>
          <w:rFonts w:ascii="Times New Roman" w:hAnsi="Times New Roman" w:cs="Times New Roman"/>
          <w:sz w:val="24"/>
          <w:szCs w:val="24"/>
        </w:rPr>
        <w:t>.</w:t>
      </w:r>
      <w:r w:rsidR="00A10048" w:rsidRPr="00567BC2">
        <w:rPr>
          <w:rFonts w:ascii="Times New Roman" w:hAnsi="Times New Roman" w:cs="Times New Roman"/>
          <w:sz w:val="24"/>
          <w:szCs w:val="24"/>
        </w:rPr>
        <w:t xml:space="preserve"> </w:t>
      </w:r>
      <w:r w:rsidR="009A4A04" w:rsidRPr="00567BC2">
        <w:rPr>
          <w:rFonts w:ascii="Times New Roman" w:hAnsi="Times New Roman" w:cs="Times New Roman"/>
          <w:sz w:val="24"/>
          <w:szCs w:val="24"/>
        </w:rPr>
        <w:t xml:space="preserve">It is noted here that the following paragraphs often fall out of metaphysics and into </w:t>
      </w:r>
      <w:r w:rsidR="009A4A04" w:rsidRPr="00567BC2">
        <w:rPr>
          <w:rFonts w:ascii="Times New Roman" w:hAnsi="Times New Roman" w:cs="Times New Roman"/>
          <w:i/>
          <w:sz w:val="24"/>
          <w:szCs w:val="24"/>
        </w:rPr>
        <w:t xml:space="preserve">a posteriori </w:t>
      </w:r>
      <w:r w:rsidR="009A4A04" w:rsidRPr="00567BC2">
        <w:rPr>
          <w:rFonts w:ascii="Times New Roman" w:hAnsi="Times New Roman" w:cs="Times New Roman"/>
          <w:sz w:val="24"/>
          <w:szCs w:val="24"/>
        </w:rPr>
        <w:t xml:space="preserve">knowledge as a means to test a particular model’s ability to stand against criticism. This is an intentional inclusion of experiential knowledge to seek to answer the charge laid down in the introduction. </w:t>
      </w:r>
    </w:p>
    <w:p w:rsidR="00D25FD7" w:rsidRPr="00D25FD7" w:rsidRDefault="00D25FD7" w:rsidP="007C5246">
      <w:pPr>
        <w:spacing w:line="360" w:lineRule="auto"/>
        <w:jc w:val="both"/>
        <w:rPr>
          <w:rFonts w:ascii="Times New Roman" w:hAnsi="Times New Roman" w:cs="Times New Roman"/>
          <w:sz w:val="24"/>
          <w:szCs w:val="24"/>
        </w:rPr>
      </w:pPr>
    </w:p>
    <w:p w:rsidR="00875D72" w:rsidRPr="00E1443B" w:rsidRDefault="00875D72" w:rsidP="007C5246">
      <w:pPr>
        <w:spacing w:line="360" w:lineRule="auto"/>
        <w:jc w:val="both"/>
        <w:rPr>
          <w:rFonts w:ascii="Times New Roman" w:hAnsi="Times New Roman" w:cs="Times New Roman"/>
          <w:b/>
          <w:i/>
          <w:sz w:val="24"/>
          <w:szCs w:val="24"/>
        </w:rPr>
      </w:pPr>
      <w:r w:rsidRPr="00E1443B">
        <w:rPr>
          <w:rFonts w:ascii="Times New Roman" w:hAnsi="Times New Roman" w:cs="Times New Roman"/>
          <w:b/>
          <w:i/>
          <w:sz w:val="24"/>
          <w:szCs w:val="24"/>
        </w:rPr>
        <w:t>Model 1 – Sovereignty and the Constitution</w:t>
      </w:r>
    </w:p>
    <w:p w:rsidR="009A4A04" w:rsidRPr="00567BC2" w:rsidRDefault="00875D72"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 xml:space="preserve">This model is closest to the orthodox doctrine and, overall, is supportive of </w:t>
      </w:r>
      <w:r w:rsidRPr="00567BC2">
        <w:rPr>
          <w:rFonts w:ascii="Times New Roman" w:hAnsi="Times New Roman" w:cs="Times New Roman"/>
          <w:bCs/>
          <w:sz w:val="24"/>
          <w:szCs w:val="24"/>
        </w:rPr>
        <w:t>Dicey’s</w:t>
      </w:r>
      <w:r w:rsidRPr="00567BC2">
        <w:rPr>
          <w:rFonts w:ascii="Times New Roman" w:hAnsi="Times New Roman" w:cs="Times New Roman"/>
          <w:sz w:val="24"/>
          <w:szCs w:val="24"/>
        </w:rPr>
        <w:t xml:space="preserve"> view. It states that Parliament is </w:t>
      </w:r>
      <w:r w:rsidRPr="00567BC2">
        <w:rPr>
          <w:rFonts w:ascii="Times New Roman" w:hAnsi="Times New Roman" w:cs="Times New Roman"/>
          <w:bCs/>
          <w:sz w:val="24"/>
          <w:szCs w:val="24"/>
        </w:rPr>
        <w:t xml:space="preserve">always sovereign </w:t>
      </w:r>
      <w:r w:rsidRPr="00567BC2">
        <w:rPr>
          <w:rFonts w:ascii="Times New Roman" w:hAnsi="Times New Roman" w:cs="Times New Roman"/>
          <w:sz w:val="24"/>
          <w:szCs w:val="24"/>
        </w:rPr>
        <w:t>and</w:t>
      </w:r>
      <w:r w:rsidR="00181425">
        <w:rPr>
          <w:rFonts w:ascii="Times New Roman" w:hAnsi="Times New Roman" w:cs="Times New Roman"/>
          <w:sz w:val="24"/>
          <w:szCs w:val="24"/>
        </w:rPr>
        <w:t>,</w:t>
      </w:r>
      <w:r w:rsidRPr="00567BC2">
        <w:rPr>
          <w:rFonts w:ascii="Times New Roman" w:hAnsi="Times New Roman" w:cs="Times New Roman"/>
          <w:sz w:val="24"/>
          <w:szCs w:val="24"/>
        </w:rPr>
        <w:t xml:space="preserve"> as such</w:t>
      </w:r>
      <w:r w:rsidR="00181425">
        <w:rPr>
          <w:rFonts w:ascii="Times New Roman" w:hAnsi="Times New Roman" w:cs="Times New Roman"/>
          <w:sz w:val="24"/>
          <w:szCs w:val="24"/>
        </w:rPr>
        <w:t>,</w:t>
      </w:r>
      <w:r w:rsidRPr="00567BC2">
        <w:rPr>
          <w:rFonts w:ascii="Times New Roman" w:hAnsi="Times New Roman" w:cs="Times New Roman"/>
          <w:sz w:val="24"/>
          <w:szCs w:val="24"/>
        </w:rPr>
        <w:t xml:space="preserve"> it cannot limit its powers; that the courts are required to give effect to the </w:t>
      </w:r>
      <w:r w:rsidRPr="00567BC2">
        <w:rPr>
          <w:rFonts w:ascii="Times New Roman" w:hAnsi="Times New Roman" w:cs="Times New Roman"/>
          <w:bCs/>
          <w:sz w:val="24"/>
          <w:szCs w:val="24"/>
        </w:rPr>
        <w:t xml:space="preserve">most recent </w:t>
      </w:r>
      <w:r w:rsidRPr="00567BC2">
        <w:rPr>
          <w:rFonts w:ascii="Times New Roman" w:hAnsi="Times New Roman" w:cs="Times New Roman"/>
          <w:sz w:val="24"/>
          <w:szCs w:val="24"/>
        </w:rPr>
        <w:t xml:space="preserve">expression of Parliament’s will, and that in stipulating ‘the most recent expression of Parliament’s will’, this model supports the idea </w:t>
      </w:r>
      <w:r w:rsidRPr="00567BC2">
        <w:rPr>
          <w:rFonts w:ascii="Times New Roman" w:hAnsi="Times New Roman" w:cs="Times New Roman"/>
          <w:sz w:val="24"/>
          <w:szCs w:val="24"/>
        </w:rPr>
        <w:lastRenderedPageBreak/>
        <w:t>of </w:t>
      </w:r>
      <w:r w:rsidRPr="00567BC2">
        <w:rPr>
          <w:rFonts w:ascii="Times New Roman" w:hAnsi="Times New Roman" w:cs="Times New Roman"/>
          <w:bCs/>
          <w:sz w:val="24"/>
          <w:szCs w:val="24"/>
        </w:rPr>
        <w:t>express </w:t>
      </w:r>
      <w:r w:rsidRPr="00567BC2">
        <w:rPr>
          <w:rFonts w:ascii="Times New Roman" w:hAnsi="Times New Roman" w:cs="Times New Roman"/>
          <w:sz w:val="24"/>
          <w:szCs w:val="24"/>
        </w:rPr>
        <w:t>and</w:t>
      </w:r>
      <w:r w:rsidRPr="00567BC2">
        <w:rPr>
          <w:rFonts w:ascii="Times New Roman" w:hAnsi="Times New Roman" w:cs="Times New Roman"/>
          <w:bCs/>
          <w:sz w:val="24"/>
          <w:szCs w:val="24"/>
        </w:rPr>
        <w:t> implied repeal</w:t>
      </w:r>
      <w:r w:rsidR="004E537C">
        <w:rPr>
          <w:rFonts w:ascii="Times New Roman" w:hAnsi="Times New Roman" w:cs="Times New Roman"/>
          <w:bCs/>
          <w:sz w:val="24"/>
          <w:szCs w:val="24"/>
        </w:rPr>
        <w:t>.</w:t>
      </w:r>
      <w:r w:rsidRPr="00567BC2">
        <w:rPr>
          <w:rFonts w:ascii="Times New Roman" w:hAnsi="Times New Roman" w:cs="Times New Roman"/>
          <w:bCs/>
          <w:sz w:val="24"/>
          <w:szCs w:val="24"/>
          <w:vertAlign w:val="superscript"/>
        </w:rPr>
        <w:footnoteReference w:id="78"/>
      </w:r>
      <w:r w:rsidR="009A4A04" w:rsidRPr="00567BC2">
        <w:rPr>
          <w:rFonts w:ascii="Times New Roman" w:hAnsi="Times New Roman" w:cs="Times New Roman"/>
          <w:sz w:val="24"/>
          <w:szCs w:val="24"/>
        </w:rPr>
        <w:t xml:space="preserve"> The legislative sovereignty of parliament according to this model is predicated on its ongoing acquiescence towards domestic laws passed previously.  </w:t>
      </w:r>
    </w:p>
    <w:p w:rsidR="008C0230" w:rsidRDefault="00875D72"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First</w:t>
      </w:r>
      <w:r w:rsidR="009A4A04" w:rsidRPr="00567BC2">
        <w:rPr>
          <w:rFonts w:ascii="Times New Roman" w:hAnsi="Times New Roman" w:cs="Times New Roman"/>
          <w:sz w:val="24"/>
          <w:szCs w:val="24"/>
        </w:rPr>
        <w:t xml:space="preserve"> </w:t>
      </w:r>
      <w:r w:rsidR="00181425">
        <w:rPr>
          <w:rFonts w:ascii="Times New Roman" w:hAnsi="Times New Roman" w:cs="Times New Roman"/>
          <w:sz w:val="24"/>
          <w:szCs w:val="24"/>
        </w:rPr>
        <w:t>concerning</w:t>
      </w:r>
      <w:r w:rsidR="009A4A04" w:rsidRPr="00567BC2">
        <w:rPr>
          <w:rFonts w:ascii="Times New Roman" w:hAnsi="Times New Roman" w:cs="Times New Roman"/>
          <w:sz w:val="24"/>
          <w:szCs w:val="24"/>
        </w:rPr>
        <w:t xml:space="preserve"> this model</w:t>
      </w:r>
      <w:r w:rsidRPr="00567BC2">
        <w:rPr>
          <w:rFonts w:ascii="Times New Roman" w:hAnsi="Times New Roman" w:cs="Times New Roman"/>
          <w:sz w:val="24"/>
          <w:szCs w:val="24"/>
        </w:rPr>
        <w:t xml:space="preserve">, and obliquely connected with this </w:t>
      </w:r>
      <w:r w:rsidR="009A4A04" w:rsidRPr="00567BC2">
        <w:rPr>
          <w:rFonts w:ascii="Times New Roman" w:hAnsi="Times New Roman" w:cs="Times New Roman"/>
          <w:sz w:val="24"/>
          <w:szCs w:val="24"/>
        </w:rPr>
        <w:t>article</w:t>
      </w:r>
      <w:r w:rsidR="00181425">
        <w:rPr>
          <w:rFonts w:ascii="Times New Roman" w:hAnsi="Times New Roman" w:cs="Times New Roman"/>
          <w:sz w:val="24"/>
          <w:szCs w:val="24"/>
        </w:rPr>
        <w:t>’</w:t>
      </w:r>
      <w:r w:rsidR="009A4A04" w:rsidRPr="00567BC2">
        <w:rPr>
          <w:rFonts w:ascii="Times New Roman" w:hAnsi="Times New Roman" w:cs="Times New Roman"/>
          <w:sz w:val="24"/>
          <w:szCs w:val="24"/>
        </w:rPr>
        <w:t>s question</w:t>
      </w:r>
      <w:r w:rsidR="001D703C">
        <w:rPr>
          <w:rFonts w:ascii="Times New Roman" w:hAnsi="Times New Roman" w:cs="Times New Roman"/>
          <w:sz w:val="24"/>
          <w:szCs w:val="24"/>
        </w:rPr>
        <w:t>s</w:t>
      </w:r>
      <w:r w:rsidRPr="00567BC2">
        <w:rPr>
          <w:rFonts w:ascii="Times New Roman" w:hAnsi="Times New Roman" w:cs="Times New Roman"/>
          <w:sz w:val="24"/>
          <w:szCs w:val="24"/>
        </w:rPr>
        <w:t>, it does not deal particularly well with the ideas of absolute and contingent entrenchment</w:t>
      </w:r>
      <w:r w:rsidR="009A4A04" w:rsidRPr="00567BC2">
        <w:rPr>
          <w:rFonts w:ascii="Times New Roman" w:hAnsi="Times New Roman" w:cs="Times New Roman"/>
          <w:sz w:val="24"/>
          <w:szCs w:val="24"/>
        </w:rPr>
        <w:t xml:space="preserve"> of laws</w:t>
      </w:r>
      <w:r w:rsidRPr="00567BC2">
        <w:rPr>
          <w:rFonts w:ascii="Times New Roman" w:hAnsi="Times New Roman" w:cs="Times New Roman"/>
          <w:sz w:val="24"/>
          <w:szCs w:val="24"/>
        </w:rPr>
        <w:t>, </w:t>
      </w:r>
      <w:r w:rsidRPr="00567BC2">
        <w:rPr>
          <w:rFonts w:ascii="Times New Roman" w:hAnsi="Times New Roman" w:cs="Times New Roman"/>
          <w:i/>
          <w:iCs/>
          <w:sz w:val="24"/>
          <w:szCs w:val="24"/>
        </w:rPr>
        <w:t>vis-à-vis</w:t>
      </w:r>
      <w:r w:rsidRPr="00567BC2">
        <w:rPr>
          <w:rFonts w:ascii="Times New Roman" w:hAnsi="Times New Roman" w:cs="Times New Roman"/>
          <w:sz w:val="24"/>
          <w:szCs w:val="24"/>
        </w:rPr>
        <w:t xml:space="preserve"> laws that have generally been thought of as carrying some special status making them somewhat beyond reproach (such as Acts of a constitutional character, such as the Bill of Rights [1688], Human Rights Act 1998, and the Parliament Acts 1911-1949). This model of </w:t>
      </w:r>
      <w:r w:rsidR="009A4A04" w:rsidRPr="00567BC2">
        <w:rPr>
          <w:rFonts w:ascii="Times New Roman" w:hAnsi="Times New Roman" w:cs="Times New Roman"/>
          <w:sz w:val="24"/>
          <w:szCs w:val="24"/>
        </w:rPr>
        <w:t>Parliament</w:t>
      </w:r>
      <w:r w:rsidR="00231DA1" w:rsidRPr="00567BC2">
        <w:rPr>
          <w:rFonts w:ascii="Times New Roman" w:hAnsi="Times New Roman" w:cs="Times New Roman"/>
          <w:sz w:val="24"/>
          <w:szCs w:val="24"/>
        </w:rPr>
        <w:t>’</w:t>
      </w:r>
      <w:r w:rsidR="009A4A04" w:rsidRPr="00567BC2">
        <w:rPr>
          <w:rFonts w:ascii="Times New Roman" w:hAnsi="Times New Roman" w:cs="Times New Roman"/>
          <w:sz w:val="24"/>
          <w:szCs w:val="24"/>
        </w:rPr>
        <w:t xml:space="preserve">s legislative </w:t>
      </w:r>
      <w:r w:rsidRPr="00567BC2">
        <w:rPr>
          <w:rFonts w:ascii="Times New Roman" w:hAnsi="Times New Roman" w:cs="Times New Roman"/>
          <w:sz w:val="24"/>
          <w:szCs w:val="24"/>
        </w:rPr>
        <w:t>sovereignt</w:t>
      </w:r>
      <w:r w:rsidR="00231DA1" w:rsidRPr="00567BC2">
        <w:rPr>
          <w:rFonts w:ascii="Times New Roman" w:hAnsi="Times New Roman" w:cs="Times New Roman"/>
          <w:sz w:val="24"/>
          <w:szCs w:val="24"/>
        </w:rPr>
        <w:t xml:space="preserve">y would prevent </w:t>
      </w:r>
      <w:r w:rsidR="00181425">
        <w:rPr>
          <w:rFonts w:ascii="Times New Roman" w:hAnsi="Times New Roman" w:cs="Times New Roman"/>
          <w:sz w:val="24"/>
          <w:szCs w:val="24"/>
        </w:rPr>
        <w:t xml:space="preserve">the </w:t>
      </w:r>
      <w:r w:rsidR="00231DA1" w:rsidRPr="00567BC2">
        <w:rPr>
          <w:rFonts w:ascii="Times New Roman" w:hAnsi="Times New Roman" w:cs="Times New Roman"/>
          <w:sz w:val="24"/>
          <w:szCs w:val="24"/>
        </w:rPr>
        <w:t>entrenchment of</w:t>
      </w:r>
      <w:r w:rsidRPr="00567BC2">
        <w:rPr>
          <w:rFonts w:ascii="Times New Roman" w:hAnsi="Times New Roman" w:cs="Times New Roman"/>
          <w:sz w:val="24"/>
          <w:szCs w:val="24"/>
        </w:rPr>
        <w:t xml:space="preserve"> laws and in doing so it would prevent th</w:t>
      </w:r>
      <w:r w:rsidR="009A4A04" w:rsidRPr="00567BC2">
        <w:rPr>
          <w:rFonts w:ascii="Times New Roman" w:hAnsi="Times New Roman" w:cs="Times New Roman"/>
          <w:sz w:val="24"/>
          <w:szCs w:val="24"/>
        </w:rPr>
        <w:t>e la</w:t>
      </w:r>
      <w:r w:rsidR="00231DA1" w:rsidRPr="00567BC2">
        <w:rPr>
          <w:rFonts w:ascii="Times New Roman" w:hAnsi="Times New Roman" w:cs="Times New Roman"/>
          <w:sz w:val="24"/>
          <w:szCs w:val="24"/>
        </w:rPr>
        <w:t>w from fostering certainty. I</w:t>
      </w:r>
      <w:r w:rsidR="009A4A04" w:rsidRPr="00567BC2">
        <w:rPr>
          <w:rFonts w:ascii="Times New Roman" w:hAnsi="Times New Roman" w:cs="Times New Roman"/>
          <w:sz w:val="24"/>
          <w:szCs w:val="24"/>
        </w:rPr>
        <w:t>t remains silent on the authority of a state to legislate</w:t>
      </w:r>
      <w:r w:rsidR="00231DA1" w:rsidRPr="00567BC2">
        <w:rPr>
          <w:rFonts w:ascii="Times New Roman" w:hAnsi="Times New Roman" w:cs="Times New Roman"/>
          <w:sz w:val="24"/>
          <w:szCs w:val="24"/>
        </w:rPr>
        <w:t xml:space="preserve"> more generally</w:t>
      </w:r>
      <w:r w:rsidR="009A4A04" w:rsidRPr="00567BC2">
        <w:rPr>
          <w:rFonts w:ascii="Times New Roman" w:hAnsi="Times New Roman" w:cs="Times New Roman"/>
          <w:sz w:val="24"/>
          <w:szCs w:val="24"/>
        </w:rPr>
        <w:t xml:space="preserve">, the limitations of that authority, and the connection of those concepts with the notion of legislative sovereignty. </w:t>
      </w:r>
      <w:r w:rsidRPr="00567BC2">
        <w:rPr>
          <w:rFonts w:ascii="Times New Roman" w:hAnsi="Times New Roman" w:cs="Times New Roman"/>
          <w:sz w:val="24"/>
          <w:szCs w:val="24"/>
        </w:rPr>
        <w:t xml:space="preserve">If the model permits the repealing of domestic Acts that are substantially constitutional in nature, </w:t>
      </w:r>
      <w:r w:rsidR="00231DA1" w:rsidRPr="00567BC2">
        <w:rPr>
          <w:rFonts w:ascii="Times New Roman" w:hAnsi="Times New Roman" w:cs="Times New Roman"/>
          <w:sz w:val="24"/>
          <w:szCs w:val="24"/>
        </w:rPr>
        <w:t>it does so at the expense of any certainty in the concept of sovereignty</w:t>
      </w:r>
      <w:r w:rsidRPr="00567BC2">
        <w:rPr>
          <w:rFonts w:ascii="Times New Roman" w:hAnsi="Times New Roman" w:cs="Times New Roman"/>
          <w:sz w:val="24"/>
          <w:szCs w:val="24"/>
        </w:rPr>
        <w:t>.</w:t>
      </w:r>
      <w:r w:rsidR="00231DA1" w:rsidRPr="00567BC2">
        <w:rPr>
          <w:rFonts w:ascii="Times New Roman" w:hAnsi="Times New Roman" w:cs="Times New Roman"/>
          <w:sz w:val="24"/>
          <w:szCs w:val="24"/>
        </w:rPr>
        <w:t xml:space="preserve"> </w:t>
      </w:r>
      <w:r w:rsidR="00834176" w:rsidRPr="00567BC2">
        <w:rPr>
          <w:rFonts w:ascii="Times New Roman" w:hAnsi="Times New Roman" w:cs="Times New Roman"/>
          <w:sz w:val="24"/>
          <w:szCs w:val="24"/>
        </w:rPr>
        <w:t>If one adopts the position that laws themselves confer sovereignty on the state as the ‘juris diction’ requires conformity of the individuals that make up the community</w:t>
      </w:r>
      <w:r w:rsidR="004E537C">
        <w:rPr>
          <w:rFonts w:ascii="Times New Roman" w:hAnsi="Times New Roman" w:cs="Times New Roman"/>
          <w:sz w:val="24"/>
          <w:szCs w:val="24"/>
        </w:rPr>
        <w:t>.</w:t>
      </w:r>
      <w:r w:rsidR="00834176" w:rsidRPr="00567BC2">
        <w:rPr>
          <w:rStyle w:val="FootnoteReference"/>
          <w:rFonts w:ascii="Times New Roman" w:hAnsi="Times New Roman" w:cs="Times New Roman"/>
          <w:sz w:val="24"/>
          <w:szCs w:val="24"/>
        </w:rPr>
        <w:footnoteReference w:id="79"/>
      </w:r>
      <w:r w:rsidR="00834176" w:rsidRPr="00567BC2">
        <w:rPr>
          <w:rFonts w:ascii="Times New Roman" w:hAnsi="Times New Roman" w:cs="Times New Roman"/>
          <w:sz w:val="24"/>
          <w:szCs w:val="24"/>
        </w:rPr>
        <w:t xml:space="preserve"> Then the laws which set out the operative definition of sovereignty adopted by the state will invariably be in the same ‘juris diction’: the same voice of the law. Despite the commonality of forms, it is difficult to reconcile that laws outlining the operative definition of legislative sovereignty are of the same category of diction as any other law. </w:t>
      </w:r>
      <w:r w:rsidRPr="00567BC2">
        <w:rPr>
          <w:rFonts w:ascii="Times New Roman" w:hAnsi="Times New Roman" w:cs="Times New Roman"/>
          <w:sz w:val="24"/>
          <w:szCs w:val="24"/>
        </w:rPr>
        <w:t>For example, s3(1) of the Human Rights Act 1998 says ‘[s]</w:t>
      </w:r>
      <w:r w:rsidRPr="00567BC2">
        <w:rPr>
          <w:rFonts w:ascii="Times New Roman" w:hAnsi="Times New Roman" w:cs="Times New Roman"/>
          <w:iCs/>
          <w:sz w:val="24"/>
          <w:szCs w:val="24"/>
        </w:rPr>
        <w:t>o far as it is possible to do so, primary legislation and subordinate legislation must be read and given effect in a way which is compatible with the Convention rights.</w:t>
      </w:r>
      <w:r w:rsidRPr="00567BC2">
        <w:rPr>
          <w:rFonts w:ascii="Times New Roman" w:hAnsi="Times New Roman" w:cs="Times New Roman"/>
          <w:sz w:val="24"/>
          <w:szCs w:val="24"/>
        </w:rPr>
        <w:t>’</w:t>
      </w:r>
      <w:r w:rsidR="008D3395" w:rsidRPr="00567BC2">
        <w:rPr>
          <w:rFonts w:ascii="Times New Roman" w:hAnsi="Times New Roman" w:cs="Times New Roman"/>
          <w:sz w:val="24"/>
          <w:szCs w:val="24"/>
        </w:rPr>
        <w:t xml:space="preserve"> </w:t>
      </w:r>
      <w:r w:rsidRPr="00567BC2">
        <w:rPr>
          <w:rFonts w:ascii="Times New Roman" w:hAnsi="Times New Roman" w:cs="Times New Roman"/>
          <w:sz w:val="24"/>
          <w:szCs w:val="24"/>
        </w:rPr>
        <w:t>Subject to some </w:t>
      </w:r>
      <w:r w:rsidRPr="00567BC2">
        <w:rPr>
          <w:rFonts w:ascii="Times New Roman" w:hAnsi="Times New Roman" w:cs="Times New Roman"/>
          <w:i/>
          <w:iCs/>
          <w:sz w:val="24"/>
          <w:szCs w:val="24"/>
        </w:rPr>
        <w:t>caveats</w:t>
      </w:r>
      <w:r w:rsidRPr="00567BC2">
        <w:rPr>
          <w:rFonts w:ascii="Times New Roman" w:hAnsi="Times New Roman" w:cs="Times New Roman"/>
          <w:sz w:val="24"/>
          <w:szCs w:val="24"/>
        </w:rPr>
        <w:t xml:space="preserve">, this section requires the courts to read all previous and future legislation compatibly with an individual’s Convention rights. This provision is somewhat contrary to the ideas of express and implied repeal in that any future will of Parliament must be read in conjunction with (and be compatible with) the provisions in the Human Rights Act 1998. It could be argued that this is a limitation of future Parliament’s abilities to create law. It could also be argued to the contrary that the continuing existence of s3(1) of the Human Rights Act 1998 simply shows that the will of Parliament has not changed, and that each successive Parliament agrees to maintain the original status and intention of the Human Rights Act 1998 because each successive Parliament chooses not to alter the Act. In a </w:t>
      </w:r>
      <w:r w:rsidRPr="00567BC2">
        <w:rPr>
          <w:rFonts w:ascii="Times New Roman" w:hAnsi="Times New Roman" w:cs="Times New Roman"/>
          <w:sz w:val="24"/>
          <w:szCs w:val="24"/>
        </w:rPr>
        <w:lastRenderedPageBreak/>
        <w:t>sense</w:t>
      </w:r>
      <w:r w:rsidR="008714ED">
        <w:rPr>
          <w:rFonts w:ascii="Times New Roman" w:hAnsi="Times New Roman" w:cs="Times New Roman"/>
          <w:sz w:val="24"/>
          <w:szCs w:val="24"/>
        </w:rPr>
        <w:t>,</w:t>
      </w:r>
      <w:r w:rsidRPr="00567BC2">
        <w:rPr>
          <w:rFonts w:ascii="Times New Roman" w:hAnsi="Times New Roman" w:cs="Times New Roman"/>
          <w:sz w:val="24"/>
          <w:szCs w:val="24"/>
        </w:rPr>
        <w:t xml:space="preserve"> this amounts to a skewed form of continuing Parliamentary acquiescence </w:t>
      </w:r>
      <w:r w:rsidR="00790F6B">
        <w:rPr>
          <w:rFonts w:ascii="Times New Roman" w:hAnsi="Times New Roman" w:cs="Times New Roman"/>
          <w:sz w:val="24"/>
          <w:szCs w:val="24"/>
        </w:rPr>
        <w:t>of</w:t>
      </w:r>
      <w:r w:rsidRPr="00567BC2">
        <w:rPr>
          <w:rFonts w:ascii="Times New Roman" w:hAnsi="Times New Roman" w:cs="Times New Roman"/>
          <w:sz w:val="24"/>
          <w:szCs w:val="24"/>
        </w:rPr>
        <w:t xml:space="preserve"> the content of the statute book up to the present day. </w:t>
      </w:r>
    </w:p>
    <w:p w:rsidR="00875D72" w:rsidRPr="00567BC2" w:rsidRDefault="00875D72"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 xml:space="preserve">There are potentially enormous political consequences </w:t>
      </w:r>
      <w:r w:rsidR="008D3395" w:rsidRPr="00567BC2">
        <w:rPr>
          <w:rFonts w:ascii="Times New Roman" w:hAnsi="Times New Roman" w:cs="Times New Roman"/>
          <w:sz w:val="24"/>
          <w:szCs w:val="24"/>
        </w:rPr>
        <w:t>here</w:t>
      </w:r>
      <w:r w:rsidRPr="00567BC2">
        <w:rPr>
          <w:rFonts w:ascii="Times New Roman" w:hAnsi="Times New Roman" w:cs="Times New Roman"/>
          <w:sz w:val="24"/>
          <w:szCs w:val="24"/>
        </w:rPr>
        <w:t>; if Parliament’s authority to legislate</w:t>
      </w:r>
      <w:r w:rsidR="008D3395" w:rsidRPr="00567BC2">
        <w:rPr>
          <w:rFonts w:ascii="Times New Roman" w:hAnsi="Times New Roman" w:cs="Times New Roman"/>
          <w:sz w:val="24"/>
          <w:szCs w:val="24"/>
        </w:rPr>
        <w:t xml:space="preserve"> includes the inherent ability to legislate</w:t>
      </w:r>
      <w:r w:rsidRPr="00567BC2">
        <w:rPr>
          <w:rFonts w:ascii="Times New Roman" w:hAnsi="Times New Roman" w:cs="Times New Roman"/>
          <w:sz w:val="24"/>
          <w:szCs w:val="24"/>
        </w:rPr>
        <w:t xml:space="preserve"> extraterritorially</w:t>
      </w:r>
      <w:r w:rsidR="008C0230">
        <w:rPr>
          <w:rFonts w:ascii="Times New Roman" w:hAnsi="Times New Roman" w:cs="Times New Roman"/>
          <w:sz w:val="24"/>
          <w:szCs w:val="24"/>
        </w:rPr>
        <w:t>, given that there is classically no connection between territorial and legislative sovereignty</w:t>
      </w:r>
      <w:r w:rsidR="008D3395" w:rsidRPr="00567BC2">
        <w:rPr>
          <w:rFonts w:ascii="Times New Roman" w:hAnsi="Times New Roman" w:cs="Times New Roman"/>
          <w:sz w:val="24"/>
          <w:szCs w:val="24"/>
        </w:rPr>
        <w:t xml:space="preserve">, there is some similarity to the pre-sovereignty period, and </w:t>
      </w:r>
      <w:r w:rsidR="008C0230">
        <w:rPr>
          <w:rFonts w:ascii="Times New Roman" w:hAnsi="Times New Roman" w:cs="Times New Roman"/>
          <w:sz w:val="24"/>
          <w:szCs w:val="24"/>
        </w:rPr>
        <w:t>P</w:t>
      </w:r>
      <w:r w:rsidR="008D3395" w:rsidRPr="00567BC2">
        <w:rPr>
          <w:rFonts w:ascii="Times New Roman" w:hAnsi="Times New Roman" w:cs="Times New Roman"/>
          <w:sz w:val="24"/>
          <w:szCs w:val="24"/>
        </w:rPr>
        <w:t>arliament could be said to be meddling with the concept of universal jurisdiction in all but name. Enacting laws which extend beyond ones territorial boarders adopts a view of sovereignty which permits the universalisation of normative values held by a</w:t>
      </w:r>
      <w:r w:rsidRPr="00567BC2">
        <w:rPr>
          <w:rFonts w:ascii="Times New Roman" w:hAnsi="Times New Roman" w:cs="Times New Roman"/>
          <w:sz w:val="24"/>
          <w:szCs w:val="24"/>
        </w:rPr>
        <w:t xml:space="preserve"> </w:t>
      </w:r>
      <w:r w:rsidR="008D3395" w:rsidRPr="00567BC2">
        <w:rPr>
          <w:rFonts w:ascii="Times New Roman" w:hAnsi="Times New Roman" w:cs="Times New Roman"/>
          <w:sz w:val="24"/>
          <w:szCs w:val="24"/>
        </w:rPr>
        <w:t>state, and this is distinctly contrary to the post-</w:t>
      </w:r>
      <w:r w:rsidR="008D3395" w:rsidRPr="00567BC2">
        <w:rPr>
          <w:rFonts w:ascii="Times New Roman" w:hAnsi="Times New Roman" w:cs="Times New Roman"/>
          <w:i/>
          <w:sz w:val="24"/>
          <w:szCs w:val="24"/>
        </w:rPr>
        <w:t>Pactum Calixtinum</w:t>
      </w:r>
      <w:r w:rsidR="008714ED">
        <w:rPr>
          <w:rFonts w:ascii="Times New Roman" w:hAnsi="Times New Roman" w:cs="Times New Roman"/>
          <w:sz w:val="24"/>
          <w:szCs w:val="24"/>
        </w:rPr>
        <w:t xml:space="preserve"> arrangement of confining law-</w:t>
      </w:r>
      <w:r w:rsidR="008D3395" w:rsidRPr="00567BC2">
        <w:rPr>
          <w:rFonts w:ascii="Times New Roman" w:hAnsi="Times New Roman" w:cs="Times New Roman"/>
          <w:sz w:val="24"/>
          <w:szCs w:val="24"/>
        </w:rPr>
        <w:t xml:space="preserve">making powers to jurisdictional borders. </w:t>
      </w:r>
      <w:r w:rsidR="008C0230">
        <w:rPr>
          <w:rFonts w:ascii="Times New Roman" w:hAnsi="Times New Roman" w:cs="Times New Roman"/>
          <w:sz w:val="24"/>
          <w:szCs w:val="24"/>
        </w:rPr>
        <w:t xml:space="preserve">This may seem at first glance as a large leap; however, it is recalled that Parliamentary Sovereignty is used to make laws </w:t>
      </w:r>
      <w:r w:rsidR="008714ED">
        <w:rPr>
          <w:rFonts w:ascii="Times New Roman" w:hAnsi="Times New Roman" w:cs="Times New Roman"/>
          <w:sz w:val="24"/>
          <w:szCs w:val="24"/>
        </w:rPr>
        <w:t>concerning</w:t>
      </w:r>
      <w:r w:rsidR="008C0230">
        <w:rPr>
          <w:rFonts w:ascii="Times New Roman" w:hAnsi="Times New Roman" w:cs="Times New Roman"/>
          <w:sz w:val="24"/>
          <w:szCs w:val="24"/>
        </w:rPr>
        <w:t xml:space="preserve"> other jurisdiction</w:t>
      </w:r>
      <w:r w:rsidR="008714ED">
        <w:rPr>
          <w:rFonts w:ascii="Times New Roman" w:hAnsi="Times New Roman" w:cs="Times New Roman"/>
          <w:sz w:val="24"/>
          <w:szCs w:val="24"/>
        </w:rPr>
        <w:t>s</w:t>
      </w:r>
      <w:r w:rsidR="008C0230">
        <w:rPr>
          <w:rFonts w:ascii="Times New Roman" w:hAnsi="Times New Roman" w:cs="Times New Roman"/>
          <w:sz w:val="24"/>
          <w:szCs w:val="24"/>
        </w:rPr>
        <w:t xml:space="preserve">. The devolved legislatures of Scotland and Wales are </w:t>
      </w:r>
      <w:r w:rsidR="00E4781D">
        <w:rPr>
          <w:rFonts w:ascii="Times New Roman" w:hAnsi="Times New Roman" w:cs="Times New Roman"/>
          <w:sz w:val="24"/>
          <w:szCs w:val="24"/>
        </w:rPr>
        <w:t>permanent</w:t>
      </w:r>
      <w:r w:rsidR="008C0230">
        <w:rPr>
          <w:rFonts w:ascii="Times New Roman" w:hAnsi="Times New Roman" w:cs="Times New Roman"/>
          <w:sz w:val="24"/>
          <w:szCs w:val="24"/>
        </w:rPr>
        <w:t xml:space="preserve"> features of the UK’s constitution</w:t>
      </w:r>
      <w:r w:rsidR="008C0230">
        <w:rPr>
          <w:rStyle w:val="FootnoteReference"/>
          <w:rFonts w:ascii="Times New Roman" w:hAnsi="Times New Roman" w:cs="Times New Roman"/>
          <w:sz w:val="24"/>
          <w:szCs w:val="24"/>
        </w:rPr>
        <w:footnoteReference w:id="80"/>
      </w:r>
      <w:r w:rsidR="008C0230">
        <w:rPr>
          <w:rFonts w:ascii="Times New Roman" w:hAnsi="Times New Roman" w:cs="Times New Roman"/>
          <w:sz w:val="24"/>
          <w:szCs w:val="24"/>
        </w:rPr>
        <w:t>, and the British Overseas Territories are often self-sufficient law-makers in their own right</w:t>
      </w:r>
      <w:r w:rsidR="00E4781D">
        <w:rPr>
          <w:rFonts w:ascii="Times New Roman" w:hAnsi="Times New Roman" w:cs="Times New Roman"/>
          <w:sz w:val="24"/>
          <w:szCs w:val="24"/>
        </w:rPr>
        <w:t>.</w:t>
      </w:r>
      <w:r w:rsidR="008C0230">
        <w:rPr>
          <w:rStyle w:val="FootnoteReference"/>
          <w:rFonts w:ascii="Times New Roman" w:hAnsi="Times New Roman" w:cs="Times New Roman"/>
          <w:sz w:val="24"/>
          <w:szCs w:val="24"/>
        </w:rPr>
        <w:footnoteReference w:id="81"/>
      </w:r>
      <w:r w:rsidR="008C0230">
        <w:rPr>
          <w:rFonts w:ascii="Times New Roman" w:hAnsi="Times New Roman" w:cs="Times New Roman"/>
          <w:sz w:val="24"/>
          <w:szCs w:val="24"/>
        </w:rPr>
        <w:t xml:space="preserve"> </w:t>
      </w:r>
      <w:r w:rsidRPr="00567BC2">
        <w:rPr>
          <w:rFonts w:ascii="Times New Roman" w:hAnsi="Times New Roman" w:cs="Times New Roman"/>
          <w:sz w:val="24"/>
          <w:szCs w:val="24"/>
        </w:rPr>
        <w:t>It is difficult to see that other jurisdiction</w:t>
      </w:r>
      <w:r w:rsidR="008D3395" w:rsidRPr="00567BC2">
        <w:rPr>
          <w:rFonts w:ascii="Times New Roman" w:hAnsi="Times New Roman" w:cs="Times New Roman"/>
          <w:sz w:val="24"/>
          <w:szCs w:val="24"/>
        </w:rPr>
        <w:t>s</w:t>
      </w:r>
      <w:r w:rsidRPr="00567BC2">
        <w:rPr>
          <w:rFonts w:ascii="Times New Roman" w:hAnsi="Times New Roman" w:cs="Times New Roman"/>
          <w:sz w:val="24"/>
          <w:szCs w:val="24"/>
        </w:rPr>
        <w:t xml:space="preserve"> will be </w:t>
      </w:r>
      <w:r w:rsidR="008D3395" w:rsidRPr="00567BC2">
        <w:rPr>
          <w:rFonts w:ascii="Times New Roman" w:hAnsi="Times New Roman" w:cs="Times New Roman"/>
          <w:sz w:val="24"/>
          <w:szCs w:val="24"/>
        </w:rPr>
        <w:t>politically content with the UK, or any other jurisdiction taking universal jurisdiction and this can be seen in the reaction to Belgium’s attempts to do just</w:t>
      </w:r>
      <w:r w:rsidR="008B1DBF" w:rsidRPr="00567BC2">
        <w:rPr>
          <w:rFonts w:ascii="Times New Roman" w:hAnsi="Times New Roman" w:cs="Times New Roman"/>
          <w:sz w:val="24"/>
          <w:szCs w:val="24"/>
        </w:rPr>
        <w:t xml:space="preserve"> that. There is a distinctly familiar action inherent here; Mises stated (above) that ‘[e]ach sect worships its own idol and is intolerant of all rival idols. Each ordains total subjugation of the individual, each is totalitarian.’</w:t>
      </w:r>
      <w:r w:rsidR="008B1DBF" w:rsidRPr="00567BC2">
        <w:rPr>
          <w:rStyle w:val="FootnoteReference"/>
          <w:rFonts w:ascii="Times New Roman" w:hAnsi="Times New Roman" w:cs="Times New Roman"/>
          <w:sz w:val="24"/>
          <w:szCs w:val="24"/>
        </w:rPr>
        <w:footnoteReference w:id="82"/>
      </w:r>
      <w:r w:rsidR="008B1DBF" w:rsidRPr="00567BC2">
        <w:rPr>
          <w:rFonts w:ascii="Times New Roman" w:hAnsi="Times New Roman" w:cs="Times New Roman"/>
          <w:sz w:val="24"/>
          <w:szCs w:val="24"/>
        </w:rPr>
        <w:t xml:space="preserve"> </w:t>
      </w:r>
      <w:r w:rsidR="005A3462" w:rsidRPr="00567BC2">
        <w:rPr>
          <w:rFonts w:ascii="Times New Roman" w:hAnsi="Times New Roman" w:cs="Times New Roman"/>
          <w:sz w:val="24"/>
          <w:szCs w:val="24"/>
        </w:rPr>
        <w:t xml:space="preserve">Here the term </w:t>
      </w:r>
      <w:r w:rsidR="00BD561E">
        <w:rPr>
          <w:rFonts w:ascii="Times New Roman" w:hAnsi="Times New Roman" w:cs="Times New Roman"/>
          <w:sz w:val="24"/>
          <w:szCs w:val="24"/>
        </w:rPr>
        <w:t>‘</w:t>
      </w:r>
      <w:r w:rsidR="005A3462" w:rsidRPr="00567BC2">
        <w:rPr>
          <w:rFonts w:ascii="Times New Roman" w:hAnsi="Times New Roman" w:cs="Times New Roman"/>
          <w:sz w:val="24"/>
          <w:szCs w:val="24"/>
        </w:rPr>
        <w:t>totalitarian</w:t>
      </w:r>
      <w:r w:rsidR="00BD561E">
        <w:rPr>
          <w:rFonts w:ascii="Times New Roman" w:hAnsi="Times New Roman" w:cs="Times New Roman"/>
          <w:sz w:val="24"/>
          <w:szCs w:val="24"/>
        </w:rPr>
        <w:t>’</w:t>
      </w:r>
      <w:r w:rsidR="005A3462" w:rsidRPr="00567BC2">
        <w:rPr>
          <w:rFonts w:ascii="Times New Roman" w:hAnsi="Times New Roman" w:cs="Times New Roman"/>
          <w:sz w:val="24"/>
          <w:szCs w:val="24"/>
        </w:rPr>
        <w:t xml:space="preserve"> is not invoked in the pure sense, rather in the loose definition meaning authoritarianism and of monolithic character. </w:t>
      </w:r>
      <w:r w:rsidR="008B1DBF" w:rsidRPr="00567BC2">
        <w:rPr>
          <w:rFonts w:ascii="Times New Roman" w:hAnsi="Times New Roman" w:cs="Times New Roman"/>
          <w:sz w:val="24"/>
          <w:szCs w:val="24"/>
        </w:rPr>
        <w:t xml:space="preserve">If individual states adopt </w:t>
      </w:r>
      <w:r w:rsidR="00470A4C">
        <w:rPr>
          <w:rFonts w:ascii="Times New Roman" w:hAnsi="Times New Roman" w:cs="Times New Roman"/>
          <w:sz w:val="24"/>
          <w:szCs w:val="24"/>
        </w:rPr>
        <w:t>their</w:t>
      </w:r>
      <w:r w:rsidR="000D1046">
        <w:rPr>
          <w:rFonts w:ascii="Times New Roman" w:hAnsi="Times New Roman" w:cs="Times New Roman"/>
          <w:sz w:val="24"/>
          <w:szCs w:val="24"/>
        </w:rPr>
        <w:t xml:space="preserve"> own domestic law and sovereignty </w:t>
      </w:r>
      <w:r w:rsidR="008B1DBF" w:rsidRPr="00567BC2">
        <w:rPr>
          <w:rFonts w:ascii="Times New Roman" w:hAnsi="Times New Roman" w:cs="Times New Roman"/>
          <w:sz w:val="24"/>
          <w:szCs w:val="24"/>
        </w:rPr>
        <w:t xml:space="preserve">as </w:t>
      </w:r>
      <w:r w:rsidR="00470A4C">
        <w:rPr>
          <w:rFonts w:ascii="Times New Roman" w:hAnsi="Times New Roman" w:cs="Times New Roman"/>
          <w:sz w:val="24"/>
          <w:szCs w:val="24"/>
        </w:rPr>
        <w:t>their</w:t>
      </w:r>
      <w:r w:rsidR="008B1DBF" w:rsidRPr="00567BC2">
        <w:rPr>
          <w:rFonts w:ascii="Times New Roman" w:hAnsi="Times New Roman" w:cs="Times New Roman"/>
          <w:sz w:val="24"/>
          <w:szCs w:val="24"/>
        </w:rPr>
        <w:t xml:space="preserve"> idol, and require th</w:t>
      </w:r>
      <w:r w:rsidR="00470A4C">
        <w:rPr>
          <w:rFonts w:ascii="Times New Roman" w:hAnsi="Times New Roman" w:cs="Times New Roman"/>
          <w:sz w:val="24"/>
          <w:szCs w:val="24"/>
        </w:rPr>
        <w:t>e subjugation of the individual,</w:t>
      </w:r>
      <w:r w:rsidR="008B1DBF" w:rsidRPr="00567BC2">
        <w:rPr>
          <w:rFonts w:ascii="Times New Roman" w:hAnsi="Times New Roman" w:cs="Times New Roman"/>
          <w:sz w:val="24"/>
          <w:szCs w:val="24"/>
        </w:rPr>
        <w:t xml:space="preserve"> the law is</w:t>
      </w:r>
      <w:r w:rsidR="00470A4C">
        <w:rPr>
          <w:rFonts w:ascii="Times New Roman" w:hAnsi="Times New Roman" w:cs="Times New Roman"/>
          <w:sz w:val="24"/>
          <w:szCs w:val="24"/>
        </w:rPr>
        <w:t>,</w:t>
      </w:r>
      <w:r w:rsidR="008B1DBF" w:rsidRPr="00567BC2">
        <w:rPr>
          <w:rFonts w:ascii="Times New Roman" w:hAnsi="Times New Roman" w:cs="Times New Roman"/>
          <w:sz w:val="24"/>
          <w:szCs w:val="24"/>
        </w:rPr>
        <w:t xml:space="preserve"> </w:t>
      </w:r>
      <w:r w:rsidR="00470A4C">
        <w:rPr>
          <w:rFonts w:ascii="Times New Roman" w:hAnsi="Times New Roman" w:cs="Times New Roman"/>
          <w:sz w:val="24"/>
          <w:szCs w:val="24"/>
        </w:rPr>
        <w:t xml:space="preserve">therefore, </w:t>
      </w:r>
      <w:r w:rsidR="008B1DBF" w:rsidRPr="00567BC2">
        <w:rPr>
          <w:rFonts w:ascii="Times New Roman" w:hAnsi="Times New Roman" w:cs="Times New Roman"/>
          <w:sz w:val="24"/>
          <w:szCs w:val="24"/>
        </w:rPr>
        <w:t xml:space="preserve">Mises’ totalitarian authority. It is not in the nature of a totalitarian authority to think kindly of any attempt to subjugate it by another, and yet the declaration of universal jurisdiction is exactly that; the subjugation of </w:t>
      </w:r>
      <w:r w:rsidR="000D1046">
        <w:rPr>
          <w:rFonts w:ascii="Times New Roman" w:hAnsi="Times New Roman" w:cs="Times New Roman"/>
          <w:sz w:val="24"/>
          <w:szCs w:val="24"/>
        </w:rPr>
        <w:t xml:space="preserve">one state’s </w:t>
      </w:r>
      <w:r w:rsidR="008B1DBF" w:rsidRPr="00567BC2">
        <w:rPr>
          <w:rFonts w:ascii="Times New Roman" w:hAnsi="Times New Roman" w:cs="Times New Roman"/>
          <w:sz w:val="24"/>
          <w:szCs w:val="24"/>
        </w:rPr>
        <w:t xml:space="preserve">‘juris diction’ by the ‘juris diction’ of another. </w:t>
      </w:r>
      <w:r w:rsidR="00896A6D" w:rsidRPr="00567BC2">
        <w:rPr>
          <w:rFonts w:ascii="Times New Roman" w:hAnsi="Times New Roman" w:cs="Times New Roman"/>
          <w:sz w:val="24"/>
          <w:szCs w:val="24"/>
        </w:rPr>
        <w:t xml:space="preserve">Therefore, any extraterritorial law or universal norm foisted on another state is an attempt to usurp the idol of law </w:t>
      </w:r>
      <w:r w:rsidR="000D1046">
        <w:rPr>
          <w:rFonts w:ascii="Times New Roman" w:hAnsi="Times New Roman" w:cs="Times New Roman"/>
          <w:sz w:val="24"/>
          <w:szCs w:val="24"/>
        </w:rPr>
        <w:t xml:space="preserve">and idol of sovereignty recognised by that state, </w:t>
      </w:r>
      <w:r w:rsidR="00CD6CF9">
        <w:rPr>
          <w:rFonts w:ascii="Times New Roman" w:hAnsi="Times New Roman" w:cs="Times New Roman"/>
          <w:sz w:val="24"/>
          <w:szCs w:val="24"/>
        </w:rPr>
        <w:t>by imposing an alternative idol</w:t>
      </w:r>
      <w:r w:rsidR="000D1046">
        <w:rPr>
          <w:rFonts w:ascii="Times New Roman" w:hAnsi="Times New Roman" w:cs="Times New Roman"/>
          <w:sz w:val="24"/>
          <w:szCs w:val="24"/>
        </w:rPr>
        <w:t xml:space="preserve"> </w:t>
      </w:r>
      <w:r w:rsidR="00896A6D" w:rsidRPr="00567BC2">
        <w:rPr>
          <w:rFonts w:ascii="Times New Roman" w:hAnsi="Times New Roman" w:cs="Times New Roman"/>
          <w:sz w:val="24"/>
          <w:szCs w:val="24"/>
        </w:rPr>
        <w:t>and</w:t>
      </w:r>
      <w:r w:rsidR="00CD6CF9">
        <w:rPr>
          <w:rFonts w:ascii="Times New Roman" w:hAnsi="Times New Roman" w:cs="Times New Roman"/>
          <w:sz w:val="24"/>
          <w:szCs w:val="24"/>
        </w:rPr>
        <w:t>,</w:t>
      </w:r>
      <w:r w:rsidR="00896A6D" w:rsidRPr="00567BC2">
        <w:rPr>
          <w:rFonts w:ascii="Times New Roman" w:hAnsi="Times New Roman" w:cs="Times New Roman"/>
          <w:sz w:val="24"/>
          <w:szCs w:val="24"/>
        </w:rPr>
        <w:t xml:space="preserve"> in doing so</w:t>
      </w:r>
      <w:r w:rsidR="00CD6CF9">
        <w:rPr>
          <w:rFonts w:ascii="Times New Roman" w:hAnsi="Times New Roman" w:cs="Times New Roman"/>
          <w:sz w:val="24"/>
          <w:szCs w:val="24"/>
        </w:rPr>
        <w:t>,</w:t>
      </w:r>
      <w:r w:rsidR="00896A6D" w:rsidRPr="00567BC2">
        <w:rPr>
          <w:rFonts w:ascii="Times New Roman" w:hAnsi="Times New Roman" w:cs="Times New Roman"/>
          <w:sz w:val="24"/>
          <w:szCs w:val="24"/>
        </w:rPr>
        <w:t xml:space="preserve"> undermine </w:t>
      </w:r>
      <w:r w:rsidR="000D1046">
        <w:rPr>
          <w:rFonts w:ascii="Times New Roman" w:hAnsi="Times New Roman" w:cs="Times New Roman"/>
          <w:sz w:val="24"/>
          <w:szCs w:val="24"/>
        </w:rPr>
        <w:t xml:space="preserve">the state’s autonomy to choose its own totalitarian </w:t>
      </w:r>
      <w:r w:rsidR="007F30D1">
        <w:rPr>
          <w:rFonts w:ascii="Times New Roman" w:hAnsi="Times New Roman" w:cs="Times New Roman"/>
          <w:sz w:val="24"/>
          <w:szCs w:val="24"/>
        </w:rPr>
        <w:t>regime</w:t>
      </w:r>
      <w:r w:rsidR="00CD6CF9">
        <w:rPr>
          <w:rFonts w:ascii="Times New Roman" w:hAnsi="Times New Roman" w:cs="Times New Roman"/>
          <w:sz w:val="24"/>
          <w:szCs w:val="24"/>
        </w:rPr>
        <w:t>,</w:t>
      </w:r>
      <w:r w:rsidR="000D1046">
        <w:rPr>
          <w:rFonts w:ascii="Times New Roman" w:hAnsi="Times New Roman" w:cs="Times New Roman"/>
          <w:sz w:val="24"/>
          <w:szCs w:val="24"/>
        </w:rPr>
        <w:t xml:space="preserve"> extolling the virtues of its own particular idol</w:t>
      </w:r>
      <w:r w:rsidR="00896A6D" w:rsidRPr="00567BC2">
        <w:rPr>
          <w:rFonts w:ascii="Times New Roman" w:hAnsi="Times New Roman" w:cs="Times New Roman"/>
          <w:sz w:val="24"/>
          <w:szCs w:val="24"/>
        </w:rPr>
        <w:t xml:space="preserve">. The notion of legislative sovereignty as an idol </w:t>
      </w:r>
      <w:r w:rsidR="0044643A" w:rsidRPr="00567BC2">
        <w:rPr>
          <w:rFonts w:ascii="Times New Roman" w:hAnsi="Times New Roman" w:cs="Times New Roman"/>
          <w:sz w:val="24"/>
          <w:szCs w:val="24"/>
        </w:rPr>
        <w:t xml:space="preserve">accompanied by and extant in </w:t>
      </w:r>
      <w:r w:rsidR="00896A6D" w:rsidRPr="00567BC2">
        <w:rPr>
          <w:rFonts w:ascii="Times New Roman" w:hAnsi="Times New Roman" w:cs="Times New Roman"/>
          <w:sz w:val="24"/>
          <w:szCs w:val="24"/>
        </w:rPr>
        <w:t>jurisdictional integ</w:t>
      </w:r>
      <w:r w:rsidR="0044643A" w:rsidRPr="00567BC2">
        <w:rPr>
          <w:rFonts w:ascii="Times New Roman" w:hAnsi="Times New Roman" w:cs="Times New Roman"/>
          <w:sz w:val="24"/>
          <w:szCs w:val="24"/>
        </w:rPr>
        <w:t>rity begins to take shape. It also</w:t>
      </w:r>
      <w:r w:rsidRPr="00567BC2">
        <w:rPr>
          <w:rFonts w:ascii="Times New Roman" w:hAnsi="Times New Roman" w:cs="Times New Roman"/>
          <w:sz w:val="24"/>
          <w:szCs w:val="24"/>
        </w:rPr>
        <w:t xml:space="preserve"> becomes evident that the </w:t>
      </w:r>
      <w:r w:rsidRPr="00567BC2">
        <w:rPr>
          <w:rFonts w:ascii="Times New Roman" w:hAnsi="Times New Roman" w:cs="Times New Roman"/>
          <w:sz w:val="24"/>
          <w:szCs w:val="24"/>
        </w:rPr>
        <w:lastRenderedPageBreak/>
        <w:t>theoretical idea of legislative sovereignty is intrinsically linked to any discussion on the state’s ability</w:t>
      </w:r>
      <w:r w:rsidR="00896A6D" w:rsidRPr="00567BC2">
        <w:rPr>
          <w:rFonts w:ascii="Times New Roman" w:hAnsi="Times New Roman" w:cs="Times New Roman"/>
          <w:sz w:val="24"/>
          <w:szCs w:val="24"/>
        </w:rPr>
        <w:t xml:space="preserve"> to legislate</w:t>
      </w:r>
      <w:r w:rsidR="000D1046">
        <w:rPr>
          <w:rFonts w:ascii="Times New Roman" w:hAnsi="Times New Roman" w:cs="Times New Roman"/>
          <w:sz w:val="24"/>
          <w:szCs w:val="24"/>
        </w:rPr>
        <w:t xml:space="preserve"> more generally</w:t>
      </w:r>
      <w:r w:rsidRPr="00567BC2">
        <w:rPr>
          <w:rFonts w:ascii="Times New Roman" w:hAnsi="Times New Roman" w:cs="Times New Roman"/>
          <w:sz w:val="24"/>
          <w:szCs w:val="24"/>
        </w:rPr>
        <w:t>.</w:t>
      </w:r>
    </w:p>
    <w:p w:rsidR="00875D72" w:rsidRPr="00567BC2" w:rsidRDefault="00875D72"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 xml:space="preserve"> </w:t>
      </w:r>
      <w:r w:rsidRPr="00567BC2">
        <w:rPr>
          <w:rFonts w:ascii="Times New Roman" w:hAnsi="Times New Roman" w:cs="Times New Roman"/>
          <w:sz w:val="24"/>
          <w:szCs w:val="24"/>
        </w:rPr>
        <w:tab/>
      </w:r>
    </w:p>
    <w:p w:rsidR="00875D72" w:rsidRPr="00E1443B" w:rsidRDefault="00875D72" w:rsidP="007C5246">
      <w:pPr>
        <w:spacing w:line="360" w:lineRule="auto"/>
        <w:jc w:val="both"/>
        <w:rPr>
          <w:rFonts w:ascii="Times New Roman" w:hAnsi="Times New Roman" w:cs="Times New Roman"/>
          <w:b/>
          <w:i/>
          <w:sz w:val="24"/>
          <w:szCs w:val="24"/>
        </w:rPr>
      </w:pPr>
      <w:r w:rsidRPr="00E1443B">
        <w:rPr>
          <w:rFonts w:ascii="Times New Roman" w:hAnsi="Times New Roman" w:cs="Times New Roman"/>
          <w:b/>
          <w:i/>
          <w:sz w:val="24"/>
          <w:szCs w:val="24"/>
        </w:rPr>
        <w:t>Model 2 – Manner and Form Theory</w:t>
      </w:r>
    </w:p>
    <w:p w:rsidR="00875D72" w:rsidRPr="00567BC2" w:rsidRDefault="00875D72"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The second model of sovereignty is somewhat of a half-way house; it develops the rigid ideas that exist in the first model and the orthodox theory</w:t>
      </w:r>
      <w:r w:rsidR="0078629C">
        <w:rPr>
          <w:rFonts w:ascii="Times New Roman" w:hAnsi="Times New Roman" w:cs="Times New Roman"/>
          <w:sz w:val="24"/>
          <w:szCs w:val="24"/>
        </w:rPr>
        <w:t>,</w:t>
      </w:r>
      <w:r w:rsidRPr="00567BC2">
        <w:rPr>
          <w:rFonts w:ascii="Times New Roman" w:hAnsi="Times New Roman" w:cs="Times New Roman"/>
          <w:sz w:val="24"/>
          <w:szCs w:val="24"/>
        </w:rPr>
        <w:t xml:space="preserve"> and attempts to move towards a mor</w:t>
      </w:r>
      <w:r w:rsidR="00F4205B" w:rsidRPr="00567BC2">
        <w:rPr>
          <w:rFonts w:ascii="Times New Roman" w:hAnsi="Times New Roman" w:cs="Times New Roman"/>
          <w:sz w:val="24"/>
          <w:szCs w:val="24"/>
        </w:rPr>
        <w:t xml:space="preserve">e pragmatic view of </w:t>
      </w:r>
      <w:r w:rsidR="0078629C">
        <w:rPr>
          <w:rFonts w:ascii="Times New Roman" w:hAnsi="Times New Roman" w:cs="Times New Roman"/>
          <w:sz w:val="24"/>
          <w:szCs w:val="24"/>
        </w:rPr>
        <w:t>Parliamentary S</w:t>
      </w:r>
      <w:r w:rsidR="00F4205B" w:rsidRPr="00567BC2">
        <w:rPr>
          <w:rFonts w:ascii="Times New Roman" w:hAnsi="Times New Roman" w:cs="Times New Roman"/>
          <w:sz w:val="24"/>
          <w:szCs w:val="24"/>
        </w:rPr>
        <w:t>overeignty</w:t>
      </w:r>
      <w:r w:rsidRPr="00567BC2">
        <w:rPr>
          <w:rFonts w:ascii="Times New Roman" w:hAnsi="Times New Roman" w:cs="Times New Roman"/>
          <w:sz w:val="24"/>
          <w:szCs w:val="24"/>
        </w:rPr>
        <w:t>. The main aspects of this model are: Parliament </w:t>
      </w:r>
      <w:r w:rsidRPr="00567BC2">
        <w:rPr>
          <w:rFonts w:ascii="Times New Roman" w:hAnsi="Times New Roman" w:cs="Times New Roman"/>
          <w:bCs/>
          <w:sz w:val="24"/>
          <w:szCs w:val="24"/>
        </w:rPr>
        <w:t>can set rules</w:t>
      </w:r>
      <w:r w:rsidRPr="00567BC2">
        <w:rPr>
          <w:rFonts w:ascii="Times New Roman" w:hAnsi="Times New Roman" w:cs="Times New Roman"/>
          <w:sz w:val="24"/>
          <w:szCs w:val="24"/>
        </w:rPr>
        <w:t> on how it should make law in the future; Parliament </w:t>
      </w:r>
      <w:r w:rsidRPr="00567BC2">
        <w:rPr>
          <w:rFonts w:ascii="Times New Roman" w:hAnsi="Times New Roman" w:cs="Times New Roman"/>
          <w:bCs/>
          <w:sz w:val="24"/>
          <w:szCs w:val="24"/>
        </w:rPr>
        <w:t>can make it more difficult</w:t>
      </w:r>
      <w:r w:rsidRPr="00567BC2">
        <w:rPr>
          <w:rFonts w:ascii="Times New Roman" w:hAnsi="Times New Roman" w:cs="Times New Roman"/>
          <w:sz w:val="24"/>
          <w:szCs w:val="24"/>
        </w:rPr>
        <w:t> for laws to be amended or repealed; Parliament </w:t>
      </w:r>
      <w:r w:rsidRPr="00567BC2">
        <w:rPr>
          <w:rFonts w:ascii="Times New Roman" w:hAnsi="Times New Roman" w:cs="Times New Roman"/>
          <w:bCs/>
          <w:sz w:val="24"/>
          <w:szCs w:val="24"/>
        </w:rPr>
        <w:t>cannot make it impossible</w:t>
      </w:r>
      <w:r w:rsidRPr="00567BC2">
        <w:rPr>
          <w:rFonts w:ascii="Times New Roman" w:hAnsi="Times New Roman" w:cs="Times New Roman"/>
          <w:sz w:val="24"/>
          <w:szCs w:val="24"/>
        </w:rPr>
        <w:t> for a law to be amended or repealed; and</w:t>
      </w:r>
      <w:r w:rsidR="00902F01">
        <w:rPr>
          <w:rFonts w:ascii="Times New Roman" w:hAnsi="Times New Roman" w:cs="Times New Roman"/>
          <w:sz w:val="24"/>
          <w:szCs w:val="24"/>
        </w:rPr>
        <w:t>,</w:t>
      </w:r>
      <w:r w:rsidRPr="00567BC2">
        <w:rPr>
          <w:rFonts w:ascii="Times New Roman" w:hAnsi="Times New Roman" w:cs="Times New Roman"/>
          <w:sz w:val="24"/>
          <w:szCs w:val="24"/>
        </w:rPr>
        <w:t xml:space="preserve"> all laws are of </w:t>
      </w:r>
      <w:r w:rsidRPr="00567BC2">
        <w:rPr>
          <w:rFonts w:ascii="Times New Roman" w:hAnsi="Times New Roman" w:cs="Times New Roman"/>
          <w:bCs/>
          <w:sz w:val="24"/>
          <w:szCs w:val="24"/>
        </w:rPr>
        <w:t>equal</w:t>
      </w:r>
      <w:r w:rsidRPr="00567BC2">
        <w:rPr>
          <w:rFonts w:ascii="Times New Roman" w:hAnsi="Times New Roman" w:cs="Times New Roman"/>
          <w:sz w:val="24"/>
          <w:szCs w:val="24"/>
        </w:rPr>
        <w:t> authority and standing,</w:t>
      </w:r>
      <w:r w:rsidR="0078629C">
        <w:rPr>
          <w:rFonts w:ascii="Times New Roman" w:hAnsi="Times New Roman" w:cs="Times New Roman"/>
          <w:sz w:val="24"/>
          <w:szCs w:val="24"/>
        </w:rPr>
        <w:t xml:space="preserve"> </w:t>
      </w:r>
      <w:r w:rsidR="0078629C" w:rsidRPr="00885B92">
        <w:rPr>
          <w:rFonts w:ascii="Times New Roman" w:hAnsi="Times New Roman" w:cs="Times New Roman"/>
          <w:i/>
          <w:sz w:val="24"/>
          <w:szCs w:val="24"/>
        </w:rPr>
        <w:t>viz</w:t>
      </w:r>
      <w:r w:rsidR="0078629C">
        <w:rPr>
          <w:rFonts w:ascii="Times New Roman" w:hAnsi="Times New Roman" w:cs="Times New Roman"/>
          <w:sz w:val="24"/>
          <w:szCs w:val="24"/>
        </w:rPr>
        <w:t>.</w:t>
      </w:r>
      <w:r w:rsidRPr="00567BC2">
        <w:rPr>
          <w:rFonts w:ascii="Times New Roman" w:hAnsi="Times New Roman" w:cs="Times New Roman"/>
          <w:sz w:val="24"/>
          <w:szCs w:val="24"/>
        </w:rPr>
        <w:t xml:space="preserve"> no one Act is above any other.</w:t>
      </w:r>
      <w:r w:rsidR="00CC5445" w:rsidRPr="00567BC2">
        <w:rPr>
          <w:rFonts w:ascii="Times New Roman" w:hAnsi="Times New Roman" w:cs="Times New Roman"/>
          <w:sz w:val="24"/>
          <w:szCs w:val="24"/>
        </w:rPr>
        <w:t xml:space="preserve"> In terms of theoretical development, there is now the exacerbated difference between Parliament and the law and this will be explored shortly. </w:t>
      </w:r>
    </w:p>
    <w:p w:rsidR="00375689" w:rsidRDefault="00875D72"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There is a substan</w:t>
      </w:r>
      <w:r w:rsidR="00572178">
        <w:rPr>
          <w:rFonts w:ascii="Times New Roman" w:hAnsi="Times New Roman" w:cs="Times New Roman"/>
          <w:sz w:val="24"/>
          <w:szCs w:val="24"/>
        </w:rPr>
        <w:t>tial move in both parlance and</w:t>
      </w:r>
      <w:r w:rsidRPr="00567BC2">
        <w:rPr>
          <w:rFonts w:ascii="Times New Roman" w:hAnsi="Times New Roman" w:cs="Times New Roman"/>
          <w:sz w:val="24"/>
          <w:szCs w:val="24"/>
        </w:rPr>
        <w:t xml:space="preserve"> logic under the second model, towards attempting to make sense of the practical work of Parliament and the theory of sovereignty. It poses, </w:t>
      </w:r>
      <w:r w:rsidRPr="00567BC2">
        <w:rPr>
          <w:rFonts w:ascii="Times New Roman" w:hAnsi="Times New Roman" w:cs="Times New Roman"/>
          <w:i/>
          <w:iCs/>
          <w:sz w:val="24"/>
          <w:szCs w:val="24"/>
        </w:rPr>
        <w:t>inter alia</w:t>
      </w:r>
      <w:r w:rsidRPr="00567BC2">
        <w:rPr>
          <w:rFonts w:ascii="Times New Roman" w:hAnsi="Times New Roman" w:cs="Times New Roman"/>
          <w:sz w:val="24"/>
          <w:szCs w:val="24"/>
        </w:rPr>
        <w:t xml:space="preserve">, the idea that Parliament may, if it sees fit, impose conditions on the amendment or repeal requirements of an Act. It does not, </w:t>
      </w:r>
      <w:r w:rsidRPr="00567BC2">
        <w:rPr>
          <w:rFonts w:ascii="Times New Roman" w:hAnsi="Times New Roman" w:cs="Times New Roman"/>
          <w:i/>
          <w:sz w:val="24"/>
          <w:szCs w:val="24"/>
        </w:rPr>
        <w:t xml:space="preserve">prima facie, </w:t>
      </w:r>
      <w:r w:rsidRPr="00567BC2">
        <w:rPr>
          <w:rFonts w:ascii="Times New Roman" w:hAnsi="Times New Roman" w:cs="Times New Roman"/>
          <w:sz w:val="24"/>
          <w:szCs w:val="24"/>
        </w:rPr>
        <w:t xml:space="preserve">deal in its totality with the issues </w:t>
      </w:r>
      <w:r w:rsidR="00FF6674" w:rsidRPr="00567BC2">
        <w:rPr>
          <w:rFonts w:ascii="Times New Roman" w:hAnsi="Times New Roman" w:cs="Times New Roman"/>
          <w:sz w:val="24"/>
          <w:szCs w:val="24"/>
        </w:rPr>
        <w:t xml:space="preserve">of laws which set out the </w:t>
      </w:r>
      <w:r w:rsidR="00E3217D" w:rsidRPr="00567BC2">
        <w:rPr>
          <w:rFonts w:ascii="Times New Roman" w:hAnsi="Times New Roman" w:cs="Times New Roman"/>
          <w:sz w:val="24"/>
          <w:szCs w:val="24"/>
        </w:rPr>
        <w:t>premise</w:t>
      </w:r>
      <w:r w:rsidR="00FF6674" w:rsidRPr="00567BC2">
        <w:rPr>
          <w:rFonts w:ascii="Times New Roman" w:hAnsi="Times New Roman" w:cs="Times New Roman"/>
          <w:sz w:val="24"/>
          <w:szCs w:val="24"/>
        </w:rPr>
        <w:t xml:space="preserve"> for the state’s sovereign position</w:t>
      </w:r>
      <w:r w:rsidRPr="00567BC2">
        <w:rPr>
          <w:rFonts w:ascii="Times New Roman" w:hAnsi="Times New Roman" w:cs="Times New Roman"/>
          <w:sz w:val="24"/>
          <w:szCs w:val="24"/>
        </w:rPr>
        <w:t xml:space="preserve">. There are two fundamental flaws in the logic to be found in this model. First, if Parliament is supreme and it enacts a law which puts conditions on the way future parliaments may repeal the law, then future parliaments would no longer be supreme, they would be subject to the conditions set by earlier parliaments. </w:t>
      </w:r>
      <w:r w:rsidR="00E3217D" w:rsidRPr="00567BC2">
        <w:rPr>
          <w:rFonts w:ascii="Times New Roman" w:hAnsi="Times New Roman" w:cs="Times New Roman"/>
          <w:sz w:val="24"/>
          <w:szCs w:val="24"/>
        </w:rPr>
        <w:t xml:space="preserve">This creates a perpetuating diminishment of sovereignty with each passing </w:t>
      </w:r>
      <w:r w:rsidR="007903B3">
        <w:rPr>
          <w:rFonts w:ascii="Times New Roman" w:hAnsi="Times New Roman" w:cs="Times New Roman"/>
          <w:sz w:val="24"/>
          <w:szCs w:val="24"/>
        </w:rPr>
        <w:t>‘</w:t>
      </w:r>
      <w:r w:rsidR="00E3217D" w:rsidRPr="00567BC2">
        <w:rPr>
          <w:rFonts w:ascii="Times New Roman" w:hAnsi="Times New Roman" w:cs="Times New Roman"/>
          <w:sz w:val="24"/>
          <w:szCs w:val="24"/>
        </w:rPr>
        <w:t>conditioned</w:t>
      </w:r>
      <w:r w:rsidR="007903B3">
        <w:rPr>
          <w:rFonts w:ascii="Times New Roman" w:hAnsi="Times New Roman" w:cs="Times New Roman"/>
          <w:sz w:val="24"/>
          <w:szCs w:val="24"/>
        </w:rPr>
        <w:t>’</w:t>
      </w:r>
      <w:r w:rsidR="00E3217D" w:rsidRPr="00567BC2">
        <w:rPr>
          <w:rFonts w:ascii="Times New Roman" w:hAnsi="Times New Roman" w:cs="Times New Roman"/>
          <w:sz w:val="24"/>
          <w:szCs w:val="24"/>
        </w:rPr>
        <w:t xml:space="preserve"> Act of Parliament. </w:t>
      </w:r>
    </w:p>
    <w:p w:rsidR="00875D72" w:rsidRPr="00567BC2" w:rsidRDefault="00875D72"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Secondly, if an Act has special conditions contained within it for its repeal or amendment, then it is no longer on an even footing with all other Acts. If an extraterritorial Act requires that some political discussions are implemented prior to the Act’s amendment, then the conditions within the Act limit Parliament</w:t>
      </w:r>
      <w:r w:rsidR="0078629C">
        <w:rPr>
          <w:rFonts w:ascii="Times New Roman" w:hAnsi="Times New Roman" w:cs="Times New Roman"/>
          <w:sz w:val="24"/>
          <w:szCs w:val="24"/>
        </w:rPr>
        <w:t>’</w:t>
      </w:r>
      <w:r w:rsidRPr="00567BC2">
        <w:rPr>
          <w:rFonts w:ascii="Times New Roman" w:hAnsi="Times New Roman" w:cs="Times New Roman"/>
          <w:sz w:val="24"/>
          <w:szCs w:val="24"/>
        </w:rPr>
        <w:t>s power</w:t>
      </w:r>
      <w:r w:rsidR="00E3217D" w:rsidRPr="00567BC2">
        <w:rPr>
          <w:rFonts w:ascii="Times New Roman" w:hAnsi="Times New Roman" w:cs="Times New Roman"/>
          <w:sz w:val="24"/>
          <w:szCs w:val="24"/>
        </w:rPr>
        <w:t xml:space="preserve"> save for those circumstances where the conditions are met</w:t>
      </w:r>
      <w:r w:rsidRPr="00567BC2">
        <w:rPr>
          <w:rFonts w:ascii="Times New Roman" w:hAnsi="Times New Roman" w:cs="Times New Roman"/>
          <w:sz w:val="24"/>
          <w:szCs w:val="24"/>
        </w:rPr>
        <w:t xml:space="preserve">. By setting conditions which future </w:t>
      </w:r>
      <w:r w:rsidR="0078629C">
        <w:rPr>
          <w:rFonts w:ascii="Times New Roman" w:hAnsi="Times New Roman" w:cs="Times New Roman"/>
          <w:sz w:val="24"/>
          <w:szCs w:val="24"/>
        </w:rPr>
        <w:t>p</w:t>
      </w:r>
      <w:r w:rsidRPr="00567BC2">
        <w:rPr>
          <w:rFonts w:ascii="Times New Roman" w:hAnsi="Times New Roman" w:cs="Times New Roman"/>
          <w:sz w:val="24"/>
          <w:szCs w:val="24"/>
        </w:rPr>
        <w:t xml:space="preserve">arliaments must abide by, a law has been elevated to a higher status and so there is an inherent contradiction in </w:t>
      </w:r>
      <w:r w:rsidR="00E3217D" w:rsidRPr="00567BC2">
        <w:rPr>
          <w:rFonts w:ascii="Times New Roman" w:hAnsi="Times New Roman" w:cs="Times New Roman"/>
          <w:sz w:val="24"/>
          <w:szCs w:val="24"/>
        </w:rPr>
        <w:t xml:space="preserve">the logic adopted by components of </w:t>
      </w:r>
      <w:r w:rsidRPr="00567BC2">
        <w:rPr>
          <w:rFonts w:ascii="Times New Roman" w:hAnsi="Times New Roman" w:cs="Times New Roman"/>
          <w:sz w:val="24"/>
          <w:szCs w:val="24"/>
        </w:rPr>
        <w:t>this model. Moreover, in the case of </w:t>
      </w:r>
      <w:r w:rsidRPr="00567BC2">
        <w:rPr>
          <w:rFonts w:ascii="Times New Roman" w:hAnsi="Times New Roman" w:cs="Times New Roman"/>
          <w:i/>
          <w:iCs/>
          <w:sz w:val="24"/>
          <w:szCs w:val="24"/>
        </w:rPr>
        <w:t>Thoburn v Sunderland City Council</w:t>
      </w:r>
      <w:r w:rsidRPr="00567BC2">
        <w:rPr>
          <w:rFonts w:ascii="Times New Roman" w:hAnsi="Times New Roman" w:cs="Times New Roman"/>
          <w:i/>
          <w:iCs/>
          <w:sz w:val="24"/>
          <w:szCs w:val="24"/>
          <w:vertAlign w:val="superscript"/>
        </w:rPr>
        <w:footnoteReference w:id="83"/>
      </w:r>
      <w:r w:rsidRPr="00567BC2">
        <w:rPr>
          <w:rFonts w:ascii="Times New Roman" w:hAnsi="Times New Roman" w:cs="Times New Roman"/>
          <w:sz w:val="24"/>
          <w:szCs w:val="24"/>
        </w:rPr>
        <w:t xml:space="preserve">, Laws LJ stated, “Parliament cannot bind successors by stipulating against repeal […] cannot stipulate against </w:t>
      </w:r>
      <w:r w:rsidRPr="00567BC2">
        <w:rPr>
          <w:rFonts w:ascii="Times New Roman" w:hAnsi="Times New Roman" w:cs="Times New Roman"/>
          <w:sz w:val="24"/>
          <w:szCs w:val="24"/>
        </w:rPr>
        <w:lastRenderedPageBreak/>
        <w:t>implied repeal” and “[b]eing sovereign, it cannot abandon its sovereignty”. Laws LJ’s comments were supported in the Court of Appeal in the case of </w:t>
      </w:r>
      <w:r w:rsidRPr="00567BC2">
        <w:rPr>
          <w:rFonts w:ascii="Times New Roman" w:hAnsi="Times New Roman" w:cs="Times New Roman"/>
          <w:i/>
          <w:iCs/>
          <w:sz w:val="24"/>
          <w:szCs w:val="24"/>
        </w:rPr>
        <w:t>McWhirter v Secretary of State for Foreign and Commonwealth Affairs</w:t>
      </w:r>
      <w:r w:rsidR="009B5B37">
        <w:rPr>
          <w:rFonts w:ascii="Times New Roman" w:hAnsi="Times New Roman" w:cs="Times New Roman"/>
          <w:i/>
          <w:iCs/>
          <w:sz w:val="24"/>
          <w:szCs w:val="24"/>
        </w:rPr>
        <w:t>.</w:t>
      </w:r>
      <w:r w:rsidRPr="00567BC2">
        <w:rPr>
          <w:rFonts w:ascii="Times New Roman" w:hAnsi="Times New Roman" w:cs="Times New Roman"/>
          <w:i/>
          <w:iCs/>
          <w:sz w:val="24"/>
          <w:szCs w:val="24"/>
          <w:vertAlign w:val="superscript"/>
        </w:rPr>
        <w:footnoteReference w:id="84"/>
      </w:r>
      <w:r w:rsidRPr="00567BC2">
        <w:rPr>
          <w:rFonts w:ascii="Times New Roman" w:hAnsi="Times New Roman" w:cs="Times New Roman"/>
          <w:sz w:val="24"/>
          <w:szCs w:val="24"/>
        </w:rPr>
        <w:t xml:space="preserve">Though this model is a move towards a more pragmatic approach to Parliamentary Sovereignty, it does not deal adequately with the problems that arise when connecting the theory of sovereignty with the action of </w:t>
      </w:r>
      <w:r w:rsidR="00FF6674" w:rsidRPr="00567BC2">
        <w:rPr>
          <w:rFonts w:ascii="Times New Roman" w:hAnsi="Times New Roman" w:cs="Times New Roman"/>
          <w:sz w:val="24"/>
          <w:szCs w:val="24"/>
        </w:rPr>
        <w:t>claiming legislative integrity</w:t>
      </w:r>
      <w:r w:rsidRPr="00567BC2">
        <w:rPr>
          <w:rFonts w:ascii="Times New Roman" w:hAnsi="Times New Roman" w:cs="Times New Roman"/>
          <w:sz w:val="24"/>
          <w:szCs w:val="24"/>
        </w:rPr>
        <w:t xml:space="preserve">. </w:t>
      </w:r>
      <w:r w:rsidR="0078629C">
        <w:rPr>
          <w:rFonts w:ascii="Times New Roman" w:hAnsi="Times New Roman" w:cs="Times New Roman"/>
          <w:sz w:val="24"/>
          <w:szCs w:val="24"/>
        </w:rPr>
        <w:t>If sovereignty as an idol is exalted, then the judiciary is the arbitrator of fact and law and the legislature, and the legislative function is subjugated. It is seen here, as it was earlier, that claiming a notion of Parliamentary Sovereignty as an overarching</w:t>
      </w:r>
      <w:r w:rsidR="009B5B37">
        <w:rPr>
          <w:rFonts w:ascii="Times New Roman" w:hAnsi="Times New Roman" w:cs="Times New Roman"/>
          <w:sz w:val="24"/>
          <w:szCs w:val="24"/>
        </w:rPr>
        <w:t xml:space="preserve"> idol or principle aim</w:t>
      </w:r>
      <w:r w:rsidR="0078629C">
        <w:rPr>
          <w:rFonts w:ascii="Times New Roman" w:hAnsi="Times New Roman" w:cs="Times New Roman"/>
          <w:sz w:val="24"/>
          <w:szCs w:val="24"/>
        </w:rPr>
        <w:t xml:space="preserve"> confines the legislative function of law-making to be subject to that idol. Therefore, it is apparent here that the theory of sovereignty is not analogous with the function of sovereign law</w:t>
      </w:r>
      <w:r w:rsidR="00786B0B">
        <w:rPr>
          <w:rFonts w:ascii="Times New Roman" w:hAnsi="Times New Roman" w:cs="Times New Roman"/>
          <w:sz w:val="24"/>
          <w:szCs w:val="24"/>
        </w:rPr>
        <w:t>-</w:t>
      </w:r>
      <w:r w:rsidR="0078629C">
        <w:rPr>
          <w:rFonts w:ascii="Times New Roman" w:hAnsi="Times New Roman" w:cs="Times New Roman"/>
          <w:sz w:val="24"/>
          <w:szCs w:val="24"/>
        </w:rPr>
        <w:t>making powers. Where a theory of sovereignty exists, and is idolised in the manner abovementione</w:t>
      </w:r>
      <w:r w:rsidR="0097381D">
        <w:rPr>
          <w:rFonts w:ascii="Times New Roman" w:hAnsi="Times New Roman" w:cs="Times New Roman"/>
          <w:sz w:val="24"/>
          <w:szCs w:val="24"/>
        </w:rPr>
        <w:t>d, the practical aspects of law-</w:t>
      </w:r>
      <w:r w:rsidR="0078629C">
        <w:rPr>
          <w:rFonts w:ascii="Times New Roman" w:hAnsi="Times New Roman" w:cs="Times New Roman"/>
          <w:sz w:val="24"/>
          <w:szCs w:val="24"/>
        </w:rPr>
        <w:t>making are subject to the idol, and the general consensus up to this point is that the judiciary is the appropriate arbitrator</w:t>
      </w:r>
      <w:r w:rsidR="001F4F74">
        <w:rPr>
          <w:rStyle w:val="FootnoteReference"/>
          <w:rFonts w:ascii="Times New Roman" w:hAnsi="Times New Roman" w:cs="Times New Roman"/>
          <w:sz w:val="24"/>
          <w:szCs w:val="24"/>
        </w:rPr>
        <w:footnoteReference w:id="85"/>
      </w:r>
      <w:r w:rsidR="0078629C">
        <w:rPr>
          <w:rFonts w:ascii="Times New Roman" w:hAnsi="Times New Roman" w:cs="Times New Roman"/>
          <w:sz w:val="24"/>
          <w:szCs w:val="24"/>
        </w:rPr>
        <w:t xml:space="preserve"> when practical law-making contradicts the idol of sovereignty. </w:t>
      </w:r>
      <w:r w:rsidR="001F4F74">
        <w:rPr>
          <w:rFonts w:ascii="Times New Roman" w:hAnsi="Times New Roman" w:cs="Times New Roman"/>
          <w:sz w:val="24"/>
          <w:szCs w:val="24"/>
        </w:rPr>
        <w:t xml:space="preserve">In relation to the status of Acts of Parliament, </w:t>
      </w:r>
      <w:r w:rsidRPr="00567BC2">
        <w:rPr>
          <w:rFonts w:ascii="Times New Roman" w:hAnsi="Times New Roman" w:cs="Times New Roman"/>
          <w:sz w:val="24"/>
          <w:szCs w:val="24"/>
        </w:rPr>
        <w:t>Acts such as the Human Rights Act 1998, the Bill of Rights [1688], or the Magna Carta 1297 do in fact occupy a special position in the UK’s statute book because they deal with matters so fundamental to the way that the UK’s society operates that to change them would change the very makeup of the state</w:t>
      </w:r>
      <w:r w:rsidR="00FF6674" w:rsidRPr="00567BC2">
        <w:rPr>
          <w:rFonts w:ascii="Times New Roman" w:hAnsi="Times New Roman" w:cs="Times New Roman"/>
          <w:sz w:val="24"/>
          <w:szCs w:val="24"/>
        </w:rPr>
        <w:t>, its constitution and in a tangential manner, its legislative sovereignty</w:t>
      </w:r>
      <w:r w:rsidRPr="00567BC2">
        <w:rPr>
          <w:rFonts w:ascii="Times New Roman" w:hAnsi="Times New Roman" w:cs="Times New Roman"/>
          <w:sz w:val="24"/>
          <w:szCs w:val="24"/>
        </w:rPr>
        <w:t>. Practically, this elevates Acts such as these to some form of constitutional level of importance</w:t>
      </w:r>
      <w:r w:rsidR="0097381D">
        <w:rPr>
          <w:rFonts w:ascii="Times New Roman" w:hAnsi="Times New Roman" w:cs="Times New Roman"/>
          <w:sz w:val="24"/>
          <w:szCs w:val="24"/>
        </w:rPr>
        <w:t>.</w:t>
      </w:r>
      <w:r w:rsidR="00FD1145">
        <w:rPr>
          <w:rStyle w:val="FootnoteReference"/>
          <w:rFonts w:ascii="Times New Roman" w:hAnsi="Times New Roman" w:cs="Times New Roman"/>
          <w:sz w:val="24"/>
          <w:szCs w:val="24"/>
        </w:rPr>
        <w:footnoteReference w:id="86"/>
      </w:r>
      <w:r w:rsidRPr="00567BC2">
        <w:rPr>
          <w:rFonts w:ascii="Times New Roman" w:hAnsi="Times New Roman" w:cs="Times New Roman"/>
          <w:sz w:val="24"/>
          <w:szCs w:val="24"/>
        </w:rPr>
        <w:t xml:space="preserve"> It is difficult to overstate the impact</w:t>
      </w:r>
      <w:r w:rsidR="00E3217D" w:rsidRPr="00567BC2">
        <w:rPr>
          <w:rFonts w:ascii="Times New Roman" w:hAnsi="Times New Roman" w:cs="Times New Roman"/>
          <w:sz w:val="24"/>
          <w:szCs w:val="24"/>
        </w:rPr>
        <w:t xml:space="preserve"> of laws such as these on the remit of sovereignty.  </w:t>
      </w:r>
    </w:p>
    <w:p w:rsidR="00211E6C" w:rsidRDefault="00E3217D"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I</w:t>
      </w:r>
      <w:r w:rsidR="00875D72" w:rsidRPr="00567BC2">
        <w:rPr>
          <w:rFonts w:ascii="Times New Roman" w:hAnsi="Times New Roman" w:cs="Times New Roman"/>
          <w:sz w:val="24"/>
          <w:szCs w:val="24"/>
        </w:rPr>
        <w:t xml:space="preserve">t is possible </w:t>
      </w:r>
      <w:r w:rsidRPr="00567BC2">
        <w:rPr>
          <w:rFonts w:ascii="Times New Roman" w:hAnsi="Times New Roman" w:cs="Times New Roman"/>
          <w:sz w:val="24"/>
          <w:szCs w:val="24"/>
        </w:rPr>
        <w:t xml:space="preserve">here </w:t>
      </w:r>
      <w:r w:rsidR="00875D72" w:rsidRPr="00567BC2">
        <w:rPr>
          <w:rFonts w:ascii="Times New Roman" w:hAnsi="Times New Roman" w:cs="Times New Roman"/>
          <w:sz w:val="24"/>
          <w:szCs w:val="24"/>
        </w:rPr>
        <w:t>to use the European Communities Act 1972 (ECA) to demonstrate that Acts relating to other jurisdictions do operate in a manner which would seem to elevate them beyond that of a purely domestic piece of law. The ECA fundamentally changed the relationship between the UK and what is now the European Union and</w:t>
      </w:r>
      <w:r w:rsidR="00D7063B">
        <w:rPr>
          <w:rFonts w:ascii="Times New Roman" w:hAnsi="Times New Roman" w:cs="Times New Roman"/>
          <w:sz w:val="24"/>
          <w:szCs w:val="24"/>
        </w:rPr>
        <w:t>,</w:t>
      </w:r>
      <w:r w:rsidR="00875D72" w:rsidRPr="00567BC2">
        <w:rPr>
          <w:rFonts w:ascii="Times New Roman" w:hAnsi="Times New Roman" w:cs="Times New Roman"/>
          <w:sz w:val="24"/>
          <w:szCs w:val="24"/>
        </w:rPr>
        <w:t xml:space="preserve"> </w:t>
      </w:r>
      <w:r w:rsidR="00D7063B">
        <w:rPr>
          <w:rFonts w:ascii="Times New Roman" w:hAnsi="Times New Roman" w:cs="Times New Roman"/>
          <w:sz w:val="24"/>
          <w:szCs w:val="24"/>
        </w:rPr>
        <w:t>although</w:t>
      </w:r>
      <w:r w:rsidR="007123EB">
        <w:rPr>
          <w:rFonts w:ascii="Times New Roman" w:hAnsi="Times New Roman" w:cs="Times New Roman"/>
          <w:sz w:val="24"/>
          <w:szCs w:val="24"/>
        </w:rPr>
        <w:t xml:space="preserve"> the ECA</w:t>
      </w:r>
      <w:r w:rsidR="00D7063B">
        <w:rPr>
          <w:rFonts w:ascii="Times New Roman" w:hAnsi="Times New Roman" w:cs="Times New Roman"/>
          <w:sz w:val="24"/>
          <w:szCs w:val="24"/>
        </w:rPr>
        <w:t xml:space="preserve"> has been repealed</w:t>
      </w:r>
      <w:r w:rsidR="007123EB">
        <w:rPr>
          <w:rFonts w:ascii="Times New Roman" w:hAnsi="Times New Roman" w:cs="Times New Roman"/>
          <w:sz w:val="24"/>
          <w:szCs w:val="24"/>
        </w:rPr>
        <w:t xml:space="preserve"> by the European Union (Withdrawal) Act 2018, s1, substantial savings have been used which have (for the present time) retained much of the substantive function of s2(1) of the ECA</w:t>
      </w:r>
      <w:r w:rsidR="00C32699">
        <w:rPr>
          <w:rFonts w:ascii="Times New Roman" w:hAnsi="Times New Roman" w:cs="Times New Roman"/>
          <w:sz w:val="24"/>
          <w:szCs w:val="24"/>
        </w:rPr>
        <w:t>.</w:t>
      </w:r>
      <w:r w:rsidR="007123EB">
        <w:rPr>
          <w:rStyle w:val="FootnoteReference"/>
          <w:rFonts w:ascii="Times New Roman" w:hAnsi="Times New Roman" w:cs="Times New Roman"/>
          <w:sz w:val="24"/>
          <w:szCs w:val="24"/>
        </w:rPr>
        <w:footnoteReference w:id="87"/>
      </w:r>
      <w:r w:rsidR="00875D72" w:rsidRPr="00567BC2">
        <w:rPr>
          <w:rFonts w:ascii="Times New Roman" w:hAnsi="Times New Roman" w:cs="Times New Roman"/>
          <w:sz w:val="24"/>
          <w:szCs w:val="24"/>
        </w:rPr>
        <w:t xml:space="preserve">. </w:t>
      </w:r>
      <w:r w:rsidR="00875D72" w:rsidRPr="00567BC2">
        <w:rPr>
          <w:rFonts w:ascii="Times New Roman" w:hAnsi="Times New Roman" w:cs="Times New Roman"/>
          <w:sz w:val="24"/>
          <w:szCs w:val="24"/>
        </w:rPr>
        <w:lastRenderedPageBreak/>
        <w:t>According to this model</w:t>
      </w:r>
      <w:r w:rsidR="002C1715">
        <w:rPr>
          <w:rFonts w:ascii="Times New Roman" w:hAnsi="Times New Roman" w:cs="Times New Roman"/>
          <w:sz w:val="24"/>
          <w:szCs w:val="24"/>
        </w:rPr>
        <w:t>,</w:t>
      </w:r>
      <w:r w:rsidR="00875D72" w:rsidRPr="00567BC2">
        <w:rPr>
          <w:rFonts w:ascii="Times New Roman" w:hAnsi="Times New Roman" w:cs="Times New Roman"/>
          <w:sz w:val="24"/>
          <w:szCs w:val="24"/>
        </w:rPr>
        <w:t xml:space="preserve"> the ECA has the same legal </w:t>
      </w:r>
      <w:r w:rsidR="008F6B7E">
        <w:rPr>
          <w:rFonts w:ascii="Times New Roman" w:hAnsi="Times New Roman" w:cs="Times New Roman"/>
          <w:sz w:val="24"/>
          <w:szCs w:val="24"/>
        </w:rPr>
        <w:t xml:space="preserve">status </w:t>
      </w:r>
      <w:r w:rsidR="00875D72" w:rsidRPr="00567BC2">
        <w:rPr>
          <w:rFonts w:ascii="Times New Roman" w:hAnsi="Times New Roman" w:cs="Times New Roman"/>
          <w:sz w:val="24"/>
          <w:szCs w:val="24"/>
        </w:rPr>
        <w:t>as all other laws and yet in practical terms</w:t>
      </w:r>
      <w:r w:rsidR="00254896">
        <w:rPr>
          <w:rFonts w:ascii="Times New Roman" w:hAnsi="Times New Roman" w:cs="Times New Roman"/>
          <w:sz w:val="24"/>
          <w:szCs w:val="24"/>
        </w:rPr>
        <w:t>,</w:t>
      </w:r>
      <w:r w:rsidR="00875D72" w:rsidRPr="00567BC2">
        <w:rPr>
          <w:rFonts w:ascii="Times New Roman" w:hAnsi="Times New Roman" w:cs="Times New Roman"/>
          <w:sz w:val="24"/>
          <w:szCs w:val="24"/>
        </w:rPr>
        <w:t xml:space="preserve"> it created the legal framework in the UK for the state’s membership of the EU</w:t>
      </w:r>
      <w:r w:rsidR="00C32699">
        <w:rPr>
          <w:rFonts w:ascii="Times New Roman" w:hAnsi="Times New Roman" w:cs="Times New Roman"/>
          <w:sz w:val="24"/>
          <w:szCs w:val="24"/>
        </w:rPr>
        <w:t>.</w:t>
      </w:r>
      <w:r w:rsidR="008F6B7E">
        <w:rPr>
          <w:rStyle w:val="FootnoteReference"/>
          <w:rFonts w:ascii="Times New Roman" w:hAnsi="Times New Roman" w:cs="Times New Roman"/>
          <w:sz w:val="24"/>
          <w:szCs w:val="24"/>
        </w:rPr>
        <w:footnoteReference w:id="88"/>
      </w:r>
      <w:r w:rsidR="00875D72" w:rsidRPr="00567BC2">
        <w:rPr>
          <w:rFonts w:ascii="Times New Roman" w:hAnsi="Times New Roman" w:cs="Times New Roman"/>
          <w:sz w:val="24"/>
          <w:szCs w:val="24"/>
        </w:rPr>
        <w:t xml:space="preserve"> In </w:t>
      </w:r>
      <w:r w:rsidR="00875D72" w:rsidRPr="00567BC2">
        <w:rPr>
          <w:rFonts w:ascii="Times New Roman" w:hAnsi="Times New Roman" w:cs="Times New Roman"/>
          <w:i/>
          <w:iCs/>
          <w:sz w:val="24"/>
          <w:szCs w:val="24"/>
        </w:rPr>
        <w:t>R(Miller) v Secretary of State for Exiting the European Union</w:t>
      </w:r>
      <w:r w:rsidR="00875D72" w:rsidRPr="00567BC2">
        <w:rPr>
          <w:rFonts w:ascii="Times New Roman" w:hAnsi="Times New Roman" w:cs="Times New Roman"/>
          <w:i/>
          <w:iCs/>
          <w:sz w:val="24"/>
          <w:szCs w:val="24"/>
          <w:vertAlign w:val="superscript"/>
        </w:rPr>
        <w:footnoteReference w:id="89"/>
      </w:r>
      <w:r w:rsidR="00875D72" w:rsidRPr="00567BC2">
        <w:rPr>
          <w:rFonts w:ascii="Times New Roman" w:hAnsi="Times New Roman" w:cs="Times New Roman"/>
          <w:sz w:val="24"/>
          <w:szCs w:val="24"/>
        </w:rPr>
        <w:t xml:space="preserve">, the Supreme Court suggested that EU law would have </w:t>
      </w:r>
      <w:r w:rsidR="00D7063B">
        <w:rPr>
          <w:rFonts w:ascii="Times New Roman" w:hAnsi="Times New Roman" w:cs="Times New Roman"/>
          <w:sz w:val="24"/>
          <w:szCs w:val="24"/>
        </w:rPr>
        <w:t>‘</w:t>
      </w:r>
      <w:r w:rsidR="00875D72" w:rsidRPr="00885B92">
        <w:rPr>
          <w:rFonts w:ascii="Times New Roman" w:hAnsi="Times New Roman" w:cs="Times New Roman"/>
          <w:iCs/>
          <w:sz w:val="24"/>
          <w:szCs w:val="24"/>
        </w:rPr>
        <w:t>no domestic status</w:t>
      </w:r>
      <w:r w:rsidR="00D7063B">
        <w:rPr>
          <w:rFonts w:ascii="Times New Roman" w:hAnsi="Times New Roman" w:cs="Times New Roman"/>
          <w:i/>
          <w:iCs/>
          <w:sz w:val="24"/>
          <w:szCs w:val="24"/>
        </w:rPr>
        <w:t>’</w:t>
      </w:r>
      <w:r w:rsidR="00875D72" w:rsidRPr="00567BC2">
        <w:rPr>
          <w:rFonts w:ascii="Times New Roman" w:hAnsi="Times New Roman" w:cs="Times New Roman"/>
          <w:i/>
          <w:iCs/>
          <w:sz w:val="24"/>
          <w:szCs w:val="24"/>
        </w:rPr>
        <w:t> </w:t>
      </w:r>
      <w:r w:rsidR="00875D72" w:rsidRPr="00567BC2">
        <w:rPr>
          <w:rFonts w:ascii="Times New Roman" w:hAnsi="Times New Roman" w:cs="Times New Roman"/>
          <w:sz w:val="24"/>
          <w:szCs w:val="24"/>
        </w:rPr>
        <w:t>but for s2(1) of the ECA, meaning that all EU law directly applicable and directly effective in the UK flows through one section of one Act. This view is shared in the Supreme Court judgement in </w:t>
      </w:r>
      <w:r w:rsidR="00875D72" w:rsidRPr="00567BC2">
        <w:rPr>
          <w:rFonts w:ascii="Times New Roman" w:hAnsi="Times New Roman" w:cs="Times New Roman"/>
          <w:i/>
          <w:iCs/>
          <w:sz w:val="24"/>
          <w:szCs w:val="24"/>
        </w:rPr>
        <w:t>Pham v Secretary of State for the Home Department</w:t>
      </w:r>
      <w:r w:rsidR="00C32699">
        <w:rPr>
          <w:rFonts w:ascii="Times New Roman" w:hAnsi="Times New Roman" w:cs="Times New Roman"/>
          <w:i/>
          <w:iCs/>
          <w:sz w:val="24"/>
          <w:szCs w:val="24"/>
        </w:rPr>
        <w:t>.</w:t>
      </w:r>
      <w:r w:rsidR="00875D72" w:rsidRPr="00567BC2">
        <w:rPr>
          <w:rFonts w:ascii="Times New Roman" w:hAnsi="Times New Roman" w:cs="Times New Roman"/>
          <w:i/>
          <w:iCs/>
          <w:sz w:val="24"/>
          <w:szCs w:val="24"/>
          <w:vertAlign w:val="superscript"/>
        </w:rPr>
        <w:footnoteReference w:id="90"/>
      </w:r>
      <w:r w:rsidR="00875D72" w:rsidRPr="00567BC2">
        <w:rPr>
          <w:rFonts w:ascii="Times New Roman" w:hAnsi="Times New Roman" w:cs="Times New Roman"/>
          <w:sz w:val="24"/>
          <w:szCs w:val="24"/>
        </w:rPr>
        <w:t xml:space="preserve"> If this model is followed, the ECA, and all abovementioned Acts occupy no special status and so can be repealed in the same manner as any other law</w:t>
      </w:r>
      <w:r w:rsidR="0040540A">
        <w:rPr>
          <w:rFonts w:ascii="Times New Roman" w:hAnsi="Times New Roman" w:cs="Times New Roman"/>
          <w:sz w:val="24"/>
          <w:szCs w:val="24"/>
        </w:rPr>
        <w:t xml:space="preserve"> without savings as to the substantive law which is provided for by s2(1)</w:t>
      </w:r>
      <w:r w:rsidR="00875D72" w:rsidRPr="00567BC2">
        <w:rPr>
          <w:rFonts w:ascii="Times New Roman" w:hAnsi="Times New Roman" w:cs="Times New Roman"/>
          <w:sz w:val="24"/>
          <w:szCs w:val="24"/>
        </w:rPr>
        <w:t xml:space="preserve">. This is not the exact same position as that adopted in </w:t>
      </w:r>
      <w:r w:rsidR="00875D72" w:rsidRPr="00567BC2">
        <w:rPr>
          <w:rFonts w:ascii="Times New Roman" w:hAnsi="Times New Roman" w:cs="Times New Roman"/>
          <w:i/>
          <w:sz w:val="24"/>
          <w:szCs w:val="24"/>
        </w:rPr>
        <w:t>Thoburn</w:t>
      </w:r>
      <w:r w:rsidR="00875D72" w:rsidRPr="00567BC2">
        <w:rPr>
          <w:rFonts w:ascii="Times New Roman" w:hAnsi="Times New Roman" w:cs="Times New Roman"/>
          <w:sz w:val="24"/>
          <w:szCs w:val="24"/>
        </w:rPr>
        <w:t xml:space="preserve">; however, given that </w:t>
      </w:r>
      <w:r w:rsidR="00875D72" w:rsidRPr="00567BC2">
        <w:rPr>
          <w:rFonts w:ascii="Times New Roman" w:hAnsi="Times New Roman" w:cs="Times New Roman"/>
          <w:i/>
          <w:sz w:val="24"/>
          <w:szCs w:val="24"/>
        </w:rPr>
        <w:t xml:space="preserve">Pham </w:t>
      </w:r>
      <w:r w:rsidR="00875D72" w:rsidRPr="00567BC2">
        <w:rPr>
          <w:rFonts w:ascii="Times New Roman" w:hAnsi="Times New Roman" w:cs="Times New Roman"/>
          <w:sz w:val="24"/>
          <w:szCs w:val="24"/>
        </w:rPr>
        <w:t xml:space="preserve">is a </w:t>
      </w:r>
      <w:r w:rsidR="00211E6C">
        <w:rPr>
          <w:rFonts w:ascii="Times New Roman" w:hAnsi="Times New Roman" w:cs="Times New Roman"/>
          <w:sz w:val="24"/>
          <w:szCs w:val="24"/>
        </w:rPr>
        <w:t xml:space="preserve">decision of the </w:t>
      </w:r>
      <w:r w:rsidR="00875D72" w:rsidRPr="00567BC2">
        <w:rPr>
          <w:rFonts w:ascii="Times New Roman" w:hAnsi="Times New Roman" w:cs="Times New Roman"/>
          <w:sz w:val="24"/>
          <w:szCs w:val="24"/>
        </w:rPr>
        <w:t>Supreme Court</w:t>
      </w:r>
      <w:r w:rsidR="00211E6C">
        <w:rPr>
          <w:rFonts w:ascii="Times New Roman" w:hAnsi="Times New Roman" w:cs="Times New Roman"/>
          <w:sz w:val="24"/>
          <w:szCs w:val="24"/>
        </w:rPr>
        <w:t>,</w:t>
      </w:r>
      <w:r w:rsidR="00875D72" w:rsidRPr="00567BC2">
        <w:rPr>
          <w:rFonts w:ascii="Times New Roman" w:hAnsi="Times New Roman" w:cs="Times New Roman"/>
          <w:sz w:val="24"/>
          <w:szCs w:val="24"/>
        </w:rPr>
        <w:t xml:space="preserve"> and that the judgment was handed down in 2015</w:t>
      </w:r>
      <w:r w:rsidR="00211E6C">
        <w:rPr>
          <w:rFonts w:ascii="Times New Roman" w:hAnsi="Times New Roman" w:cs="Times New Roman"/>
          <w:sz w:val="24"/>
          <w:szCs w:val="24"/>
        </w:rPr>
        <w:t>,</w:t>
      </w:r>
      <w:r w:rsidR="00875D72" w:rsidRPr="00567BC2">
        <w:rPr>
          <w:rFonts w:ascii="Times New Roman" w:hAnsi="Times New Roman" w:cs="Times New Roman"/>
          <w:sz w:val="24"/>
          <w:szCs w:val="24"/>
        </w:rPr>
        <w:t xml:space="preserve"> it is difficult to set it aside in favour of the more readily accepted position in </w:t>
      </w:r>
      <w:r w:rsidR="00875D72" w:rsidRPr="00567BC2">
        <w:rPr>
          <w:rFonts w:ascii="Times New Roman" w:hAnsi="Times New Roman" w:cs="Times New Roman"/>
          <w:i/>
          <w:sz w:val="24"/>
          <w:szCs w:val="24"/>
        </w:rPr>
        <w:t xml:space="preserve">Thoburn. </w:t>
      </w:r>
      <w:r w:rsidR="00875D72" w:rsidRPr="00567BC2">
        <w:rPr>
          <w:rFonts w:ascii="Times New Roman" w:hAnsi="Times New Roman" w:cs="Times New Roman"/>
          <w:sz w:val="24"/>
          <w:szCs w:val="24"/>
        </w:rPr>
        <w:t xml:space="preserve">If, therefore, </w:t>
      </w:r>
      <w:r w:rsidR="0040540A">
        <w:rPr>
          <w:rFonts w:ascii="Times New Roman" w:hAnsi="Times New Roman" w:cs="Times New Roman"/>
          <w:sz w:val="24"/>
          <w:szCs w:val="24"/>
        </w:rPr>
        <w:t xml:space="preserve">the savings that have replaced </w:t>
      </w:r>
      <w:r w:rsidR="00875D72" w:rsidRPr="00567BC2">
        <w:rPr>
          <w:rFonts w:ascii="Times New Roman" w:hAnsi="Times New Roman" w:cs="Times New Roman"/>
          <w:sz w:val="24"/>
          <w:szCs w:val="24"/>
        </w:rPr>
        <w:t xml:space="preserve">s2(1) </w:t>
      </w:r>
      <w:r w:rsidR="0040540A">
        <w:rPr>
          <w:rFonts w:ascii="Times New Roman" w:hAnsi="Times New Roman" w:cs="Times New Roman"/>
          <w:sz w:val="24"/>
          <w:szCs w:val="24"/>
        </w:rPr>
        <w:t>are</w:t>
      </w:r>
      <w:r w:rsidR="00875D72" w:rsidRPr="00567BC2">
        <w:rPr>
          <w:rFonts w:ascii="Times New Roman" w:hAnsi="Times New Roman" w:cs="Times New Roman"/>
          <w:sz w:val="24"/>
          <w:szCs w:val="24"/>
        </w:rPr>
        <w:t xml:space="preserve"> repealed, it would have the legal effect of disapplying all directly effective EU law to the UK; the consequences of such would </w:t>
      </w:r>
      <w:r w:rsidR="002B5716" w:rsidRPr="00567BC2">
        <w:rPr>
          <w:rFonts w:ascii="Times New Roman" w:hAnsi="Times New Roman" w:cs="Times New Roman"/>
          <w:sz w:val="24"/>
          <w:szCs w:val="24"/>
        </w:rPr>
        <w:t>be beyond complicated as the UK’s international relationships and domestic laws would subsist in a state of limbo</w:t>
      </w:r>
      <w:r w:rsidR="0040540A">
        <w:rPr>
          <w:rFonts w:ascii="Times New Roman" w:hAnsi="Times New Roman" w:cs="Times New Roman"/>
          <w:sz w:val="24"/>
          <w:szCs w:val="24"/>
        </w:rPr>
        <w:t>.</w:t>
      </w:r>
      <w:r w:rsidR="00875D72" w:rsidRPr="00567BC2">
        <w:rPr>
          <w:rFonts w:ascii="Times New Roman" w:hAnsi="Times New Roman" w:cs="Times New Roman"/>
          <w:sz w:val="24"/>
          <w:szCs w:val="24"/>
          <w:vertAlign w:val="superscript"/>
        </w:rPr>
        <w:footnoteReference w:id="91"/>
      </w:r>
      <w:r w:rsidR="00875D72" w:rsidRPr="00567BC2">
        <w:rPr>
          <w:rFonts w:ascii="Times New Roman" w:hAnsi="Times New Roman" w:cs="Times New Roman"/>
          <w:sz w:val="24"/>
          <w:szCs w:val="24"/>
        </w:rPr>
        <w:t xml:space="preserve"> </w:t>
      </w:r>
    </w:p>
    <w:p w:rsidR="00371485" w:rsidRPr="00D25FD7" w:rsidRDefault="00875D72" w:rsidP="007C5246">
      <w:pPr>
        <w:spacing w:line="360" w:lineRule="auto"/>
        <w:jc w:val="both"/>
        <w:rPr>
          <w:rFonts w:ascii="Times New Roman" w:hAnsi="Times New Roman" w:cs="Times New Roman"/>
          <w:iCs/>
          <w:sz w:val="24"/>
          <w:szCs w:val="24"/>
        </w:rPr>
      </w:pPr>
      <w:r w:rsidRPr="00567BC2">
        <w:rPr>
          <w:rFonts w:ascii="Times New Roman" w:hAnsi="Times New Roman" w:cs="Times New Roman"/>
          <w:sz w:val="24"/>
          <w:szCs w:val="24"/>
        </w:rPr>
        <w:t>It is surely difficult to adopt a hard-line approach</w:t>
      </w:r>
      <w:r w:rsidR="002B5716" w:rsidRPr="00567BC2">
        <w:rPr>
          <w:rFonts w:ascii="Times New Roman" w:hAnsi="Times New Roman" w:cs="Times New Roman"/>
          <w:sz w:val="24"/>
          <w:szCs w:val="24"/>
        </w:rPr>
        <w:t xml:space="preserve"> such as this</w:t>
      </w:r>
      <w:r w:rsidRPr="00567BC2">
        <w:rPr>
          <w:rFonts w:ascii="Times New Roman" w:hAnsi="Times New Roman" w:cs="Times New Roman"/>
          <w:sz w:val="24"/>
          <w:szCs w:val="24"/>
        </w:rPr>
        <w:t>, stating that all laws are</w:t>
      </w:r>
      <w:r w:rsidR="002C1715">
        <w:rPr>
          <w:rFonts w:ascii="Times New Roman" w:hAnsi="Times New Roman" w:cs="Times New Roman"/>
          <w:sz w:val="24"/>
          <w:szCs w:val="24"/>
        </w:rPr>
        <w:t xml:space="preserve"> equal irrespective of content </w:t>
      </w:r>
      <w:r w:rsidRPr="00567BC2">
        <w:rPr>
          <w:rFonts w:ascii="Times New Roman" w:hAnsi="Times New Roman" w:cs="Times New Roman"/>
          <w:sz w:val="24"/>
          <w:szCs w:val="24"/>
        </w:rPr>
        <w:t>when the social, legal and politic</w:t>
      </w:r>
      <w:r w:rsidR="002C1715">
        <w:rPr>
          <w:rFonts w:ascii="Times New Roman" w:hAnsi="Times New Roman" w:cs="Times New Roman"/>
          <w:sz w:val="24"/>
          <w:szCs w:val="24"/>
        </w:rPr>
        <w:t>al effects of an Act are so far-</w:t>
      </w:r>
      <w:r w:rsidRPr="00567BC2">
        <w:rPr>
          <w:rFonts w:ascii="Times New Roman" w:hAnsi="Times New Roman" w:cs="Times New Roman"/>
          <w:sz w:val="24"/>
          <w:szCs w:val="24"/>
        </w:rPr>
        <w:t xml:space="preserve">reaching that they affect all parts of society, law and politics to some degree. It is artificial to say that the purpose of an Act, and its content, does not have a bearing on its status. </w:t>
      </w:r>
      <w:r w:rsidR="002C1715">
        <w:rPr>
          <w:rFonts w:ascii="Times New Roman" w:hAnsi="Times New Roman" w:cs="Times New Roman"/>
          <w:sz w:val="24"/>
          <w:szCs w:val="24"/>
        </w:rPr>
        <w:t>For example, t</w:t>
      </w:r>
      <w:r w:rsidRPr="00567BC2">
        <w:rPr>
          <w:rFonts w:ascii="Times New Roman" w:hAnsi="Times New Roman" w:cs="Times New Roman"/>
          <w:sz w:val="24"/>
          <w:szCs w:val="24"/>
        </w:rPr>
        <w:t>o say that an Act which governs the legal relationship between the UK and the EU</w:t>
      </w:r>
      <w:r w:rsidRPr="00567BC2">
        <w:rPr>
          <w:rFonts w:ascii="Times New Roman" w:hAnsi="Times New Roman" w:cs="Times New Roman"/>
          <w:sz w:val="24"/>
          <w:szCs w:val="24"/>
          <w:vertAlign w:val="superscript"/>
        </w:rPr>
        <w:footnoteReference w:id="92"/>
      </w:r>
      <w:r w:rsidRPr="00567BC2">
        <w:rPr>
          <w:rFonts w:ascii="Times New Roman" w:hAnsi="Times New Roman" w:cs="Times New Roman"/>
          <w:sz w:val="24"/>
          <w:szCs w:val="24"/>
        </w:rPr>
        <w:t xml:space="preserve"> is on the same statutory footing as an Act that makes holding a fish in suspicious circumstances illegal</w:t>
      </w:r>
      <w:r w:rsidRPr="00567BC2">
        <w:rPr>
          <w:rFonts w:ascii="Times New Roman" w:hAnsi="Times New Roman" w:cs="Times New Roman"/>
          <w:sz w:val="24"/>
          <w:szCs w:val="24"/>
          <w:vertAlign w:val="superscript"/>
        </w:rPr>
        <w:footnoteReference w:id="93"/>
      </w:r>
      <w:r w:rsidRPr="00567BC2">
        <w:rPr>
          <w:rFonts w:ascii="Times New Roman" w:hAnsi="Times New Roman" w:cs="Times New Roman"/>
          <w:sz w:val="24"/>
          <w:szCs w:val="24"/>
        </w:rPr>
        <w:t xml:space="preserve"> is difficult to comprehend</w:t>
      </w:r>
      <w:r w:rsidR="005E4131" w:rsidRPr="005E4131">
        <w:rPr>
          <w:rFonts w:ascii="Times New Roman" w:hAnsi="Times New Roman" w:cs="Times New Roman"/>
          <w:sz w:val="24"/>
          <w:szCs w:val="24"/>
        </w:rPr>
        <w:t xml:space="preserve"> </w:t>
      </w:r>
      <w:r w:rsidR="005E4131" w:rsidRPr="00567BC2">
        <w:rPr>
          <w:rFonts w:ascii="Times New Roman" w:hAnsi="Times New Roman" w:cs="Times New Roman"/>
          <w:sz w:val="24"/>
          <w:szCs w:val="24"/>
        </w:rPr>
        <w:t>logically</w:t>
      </w:r>
      <w:r w:rsidRPr="00567BC2">
        <w:rPr>
          <w:rFonts w:ascii="Times New Roman" w:hAnsi="Times New Roman" w:cs="Times New Roman"/>
          <w:sz w:val="24"/>
          <w:szCs w:val="24"/>
        </w:rPr>
        <w:t xml:space="preserve">. </w:t>
      </w:r>
      <w:r w:rsidR="00AD6BFC" w:rsidRPr="00567BC2">
        <w:rPr>
          <w:rFonts w:ascii="Times New Roman" w:hAnsi="Times New Roman" w:cs="Times New Roman"/>
          <w:sz w:val="24"/>
          <w:szCs w:val="24"/>
        </w:rPr>
        <w:t>It is also arguable that an Act which purports to operate</w:t>
      </w:r>
      <w:r w:rsidRPr="00567BC2">
        <w:rPr>
          <w:rFonts w:ascii="Times New Roman" w:hAnsi="Times New Roman" w:cs="Times New Roman"/>
          <w:sz w:val="24"/>
          <w:szCs w:val="24"/>
        </w:rPr>
        <w:t xml:space="preserve"> extraterritorial</w:t>
      </w:r>
      <w:r w:rsidR="00AD6BFC" w:rsidRPr="00567BC2">
        <w:rPr>
          <w:rFonts w:ascii="Times New Roman" w:hAnsi="Times New Roman" w:cs="Times New Roman"/>
          <w:sz w:val="24"/>
          <w:szCs w:val="24"/>
        </w:rPr>
        <w:t xml:space="preserve">ly, or universally even, </w:t>
      </w:r>
      <w:r w:rsidRPr="00567BC2">
        <w:rPr>
          <w:rFonts w:ascii="Times New Roman" w:hAnsi="Times New Roman" w:cs="Times New Roman"/>
          <w:sz w:val="24"/>
          <w:szCs w:val="24"/>
        </w:rPr>
        <w:t xml:space="preserve">should have a similar degree of solemnity that comes with </w:t>
      </w:r>
      <w:r w:rsidR="00AD6BFC" w:rsidRPr="00567BC2">
        <w:rPr>
          <w:rFonts w:ascii="Times New Roman" w:hAnsi="Times New Roman" w:cs="Times New Roman"/>
          <w:sz w:val="24"/>
          <w:szCs w:val="24"/>
        </w:rPr>
        <w:t>its intention</w:t>
      </w:r>
      <w:r w:rsidR="007357B7">
        <w:rPr>
          <w:rFonts w:ascii="Times New Roman" w:hAnsi="Times New Roman" w:cs="Times New Roman"/>
          <w:sz w:val="24"/>
          <w:szCs w:val="24"/>
        </w:rPr>
        <w:t>. T</w:t>
      </w:r>
      <w:r w:rsidRPr="00567BC2">
        <w:rPr>
          <w:rFonts w:ascii="Times New Roman" w:hAnsi="Times New Roman" w:cs="Times New Roman"/>
          <w:sz w:val="24"/>
          <w:szCs w:val="24"/>
        </w:rPr>
        <w:t>he purpose of the Act is to interfere to some extent with the jurisdictional integrity of another state</w:t>
      </w:r>
      <w:r w:rsidR="00C975FC" w:rsidRPr="00567BC2">
        <w:rPr>
          <w:rFonts w:ascii="Times New Roman" w:hAnsi="Times New Roman" w:cs="Times New Roman"/>
          <w:sz w:val="24"/>
          <w:szCs w:val="24"/>
        </w:rPr>
        <w:t xml:space="preserve"> and impose an ulterior idol, at least as an equal to that adopted by the recipient state</w:t>
      </w:r>
      <w:r w:rsidRPr="00567BC2">
        <w:rPr>
          <w:rFonts w:ascii="Times New Roman" w:hAnsi="Times New Roman" w:cs="Times New Roman"/>
          <w:sz w:val="24"/>
          <w:szCs w:val="24"/>
        </w:rPr>
        <w:t>. Therefore, asserting that all laws are equal is disingenuous</w:t>
      </w:r>
      <w:r w:rsidR="00C406ED" w:rsidRPr="00567BC2">
        <w:rPr>
          <w:rFonts w:ascii="Times New Roman" w:hAnsi="Times New Roman" w:cs="Times New Roman"/>
          <w:sz w:val="24"/>
          <w:szCs w:val="24"/>
        </w:rPr>
        <w:t xml:space="preserve"> and produced an unworkable theoretical framework</w:t>
      </w:r>
      <w:r w:rsidR="007357B7">
        <w:rPr>
          <w:rFonts w:ascii="Times New Roman" w:hAnsi="Times New Roman" w:cs="Times New Roman"/>
          <w:sz w:val="24"/>
          <w:szCs w:val="24"/>
        </w:rPr>
        <w:t xml:space="preserve"> of domestic laws in a global environment</w:t>
      </w:r>
      <w:r w:rsidR="00C406ED" w:rsidRPr="00567BC2">
        <w:rPr>
          <w:rFonts w:ascii="Times New Roman" w:hAnsi="Times New Roman" w:cs="Times New Roman"/>
          <w:sz w:val="24"/>
          <w:szCs w:val="24"/>
        </w:rPr>
        <w:t>. I</w:t>
      </w:r>
      <w:r w:rsidRPr="00567BC2">
        <w:rPr>
          <w:rFonts w:ascii="Times New Roman" w:hAnsi="Times New Roman" w:cs="Times New Roman"/>
          <w:sz w:val="24"/>
          <w:szCs w:val="24"/>
        </w:rPr>
        <w:t xml:space="preserve">t does not </w:t>
      </w:r>
      <w:r w:rsidRPr="00567BC2">
        <w:rPr>
          <w:rFonts w:ascii="Times New Roman" w:hAnsi="Times New Roman" w:cs="Times New Roman"/>
          <w:sz w:val="24"/>
          <w:szCs w:val="24"/>
        </w:rPr>
        <w:lastRenderedPageBreak/>
        <w:t xml:space="preserve">address those laws which deal with fundamental matters so important that they could be considered constitutionally or geopolitically sensitive. Beatson </w:t>
      </w:r>
      <w:r w:rsidR="005E4131">
        <w:rPr>
          <w:rFonts w:ascii="Times New Roman" w:hAnsi="Times New Roman" w:cs="Times New Roman"/>
          <w:sz w:val="24"/>
          <w:szCs w:val="24"/>
        </w:rPr>
        <w:t xml:space="preserve">J </w:t>
      </w:r>
      <w:r w:rsidR="00C406ED" w:rsidRPr="00567BC2">
        <w:rPr>
          <w:rFonts w:ascii="Times New Roman" w:hAnsi="Times New Roman" w:cs="Times New Roman"/>
          <w:sz w:val="24"/>
          <w:szCs w:val="24"/>
        </w:rPr>
        <w:t xml:space="preserve">has previously </w:t>
      </w:r>
      <w:r w:rsidR="00AD6BFC" w:rsidRPr="00567BC2">
        <w:rPr>
          <w:rFonts w:ascii="Times New Roman" w:hAnsi="Times New Roman" w:cs="Times New Roman"/>
          <w:sz w:val="24"/>
          <w:szCs w:val="24"/>
        </w:rPr>
        <w:t>said</w:t>
      </w:r>
      <w:r w:rsidR="00C406ED" w:rsidRPr="00567BC2">
        <w:rPr>
          <w:rFonts w:ascii="Times New Roman" w:hAnsi="Times New Roman" w:cs="Times New Roman"/>
          <w:sz w:val="24"/>
          <w:szCs w:val="24"/>
        </w:rPr>
        <w:t xml:space="preserve"> that the</w:t>
      </w:r>
      <w:r w:rsidRPr="00567BC2">
        <w:rPr>
          <w:rFonts w:ascii="Times New Roman" w:hAnsi="Times New Roman" w:cs="Times New Roman"/>
          <w:sz w:val="24"/>
          <w:szCs w:val="24"/>
        </w:rPr>
        <w:t xml:space="preserve"> Governme</w:t>
      </w:r>
      <w:r w:rsidR="00C406ED" w:rsidRPr="00567BC2">
        <w:rPr>
          <w:rFonts w:ascii="Times New Roman" w:hAnsi="Times New Roman" w:cs="Times New Roman"/>
          <w:sz w:val="24"/>
          <w:szCs w:val="24"/>
        </w:rPr>
        <w:t>nt of Wales Act 2006 and the Human Rights Act 1998</w:t>
      </w:r>
      <w:r w:rsidRPr="00567BC2">
        <w:rPr>
          <w:rFonts w:ascii="Times New Roman" w:hAnsi="Times New Roman" w:cs="Times New Roman"/>
          <w:sz w:val="24"/>
          <w:szCs w:val="24"/>
        </w:rPr>
        <w:t xml:space="preserve"> both </w:t>
      </w:r>
      <w:r w:rsidR="00C406ED" w:rsidRPr="00567BC2">
        <w:rPr>
          <w:rFonts w:ascii="Times New Roman" w:hAnsi="Times New Roman" w:cs="Times New Roman"/>
          <w:sz w:val="24"/>
          <w:szCs w:val="24"/>
        </w:rPr>
        <w:t xml:space="preserve">enjoyed </w:t>
      </w:r>
      <w:r w:rsidRPr="00567BC2">
        <w:rPr>
          <w:rFonts w:ascii="Times New Roman" w:hAnsi="Times New Roman" w:cs="Times New Roman"/>
          <w:sz w:val="24"/>
          <w:szCs w:val="24"/>
        </w:rPr>
        <w:t xml:space="preserve">a </w:t>
      </w:r>
      <w:r w:rsidR="005E4131">
        <w:rPr>
          <w:rFonts w:ascii="Times New Roman" w:hAnsi="Times New Roman" w:cs="Times New Roman"/>
          <w:sz w:val="24"/>
          <w:szCs w:val="24"/>
        </w:rPr>
        <w:t>‘</w:t>
      </w:r>
      <w:r w:rsidRPr="00567BC2">
        <w:rPr>
          <w:rFonts w:ascii="Times New Roman" w:hAnsi="Times New Roman" w:cs="Times New Roman"/>
          <w:sz w:val="24"/>
          <w:szCs w:val="24"/>
        </w:rPr>
        <w:t>constitutional status</w:t>
      </w:r>
      <w:r w:rsidR="005E4131">
        <w:rPr>
          <w:rFonts w:ascii="Times New Roman" w:hAnsi="Times New Roman" w:cs="Times New Roman"/>
          <w:sz w:val="24"/>
          <w:szCs w:val="24"/>
        </w:rPr>
        <w:t>’</w:t>
      </w:r>
      <w:r w:rsidRPr="00567BC2">
        <w:rPr>
          <w:rFonts w:ascii="Times New Roman" w:hAnsi="Times New Roman" w:cs="Times New Roman"/>
          <w:sz w:val="24"/>
          <w:szCs w:val="24"/>
        </w:rPr>
        <w:t xml:space="preserve"> in the </w:t>
      </w:r>
      <w:r w:rsidR="00C406ED" w:rsidRPr="00567BC2">
        <w:rPr>
          <w:rFonts w:ascii="Times New Roman" w:hAnsi="Times New Roman" w:cs="Times New Roman"/>
          <w:sz w:val="24"/>
          <w:szCs w:val="24"/>
        </w:rPr>
        <w:t>UK, thus the notion of constitutional statutes can be extended to include those dealing with devolution</w:t>
      </w:r>
      <w:r w:rsidR="005E4131">
        <w:rPr>
          <w:rFonts w:ascii="Times New Roman" w:hAnsi="Times New Roman" w:cs="Times New Roman"/>
          <w:sz w:val="24"/>
          <w:szCs w:val="24"/>
        </w:rPr>
        <w:t>.</w:t>
      </w:r>
      <w:r w:rsidRPr="00567BC2">
        <w:rPr>
          <w:rFonts w:ascii="Times New Roman" w:hAnsi="Times New Roman" w:cs="Times New Roman"/>
          <w:iCs/>
          <w:sz w:val="24"/>
          <w:szCs w:val="24"/>
          <w:vertAlign w:val="superscript"/>
        </w:rPr>
        <w:footnoteReference w:id="94"/>
      </w:r>
      <w:r w:rsidR="00C406ED" w:rsidRPr="00567BC2">
        <w:rPr>
          <w:rFonts w:ascii="Times New Roman" w:hAnsi="Times New Roman" w:cs="Times New Roman"/>
          <w:iCs/>
          <w:sz w:val="24"/>
          <w:szCs w:val="24"/>
        </w:rPr>
        <w:t xml:space="preserve"> Laws of the UK Parliament have specifically asserted that the legislatures of Scotland and Wales are permanent features of the UK’s constitution</w:t>
      </w:r>
      <w:r w:rsidR="005E4131">
        <w:rPr>
          <w:rFonts w:ascii="Times New Roman" w:hAnsi="Times New Roman" w:cs="Times New Roman"/>
          <w:iCs/>
          <w:sz w:val="24"/>
          <w:szCs w:val="24"/>
        </w:rPr>
        <w:t>.</w:t>
      </w:r>
      <w:r w:rsidR="00C406ED" w:rsidRPr="00567BC2">
        <w:rPr>
          <w:rStyle w:val="FootnoteReference"/>
          <w:rFonts w:ascii="Times New Roman" w:hAnsi="Times New Roman" w:cs="Times New Roman"/>
          <w:iCs/>
          <w:sz w:val="24"/>
          <w:szCs w:val="24"/>
        </w:rPr>
        <w:footnoteReference w:id="95"/>
      </w:r>
      <w:r w:rsidR="00C406ED" w:rsidRPr="00567BC2">
        <w:rPr>
          <w:rFonts w:ascii="Times New Roman" w:hAnsi="Times New Roman" w:cs="Times New Roman"/>
          <w:iCs/>
          <w:sz w:val="24"/>
          <w:szCs w:val="24"/>
        </w:rPr>
        <w:t xml:space="preserve"> </w:t>
      </w:r>
      <w:r w:rsidR="002C1715">
        <w:rPr>
          <w:rFonts w:ascii="Times New Roman" w:hAnsi="Times New Roman" w:cs="Times New Roman"/>
          <w:iCs/>
          <w:sz w:val="24"/>
          <w:szCs w:val="24"/>
        </w:rPr>
        <w:t>The content of these laws</w:t>
      </w:r>
      <w:r w:rsidR="002720C5" w:rsidRPr="00567BC2">
        <w:rPr>
          <w:rFonts w:ascii="Times New Roman" w:hAnsi="Times New Roman" w:cs="Times New Roman"/>
          <w:iCs/>
          <w:sz w:val="24"/>
          <w:szCs w:val="24"/>
        </w:rPr>
        <w:t xml:space="preserve"> and their reception by the courts indicates that they are included in the greater body of law that maps out the UK’s legislative sovereignty</w:t>
      </w:r>
      <w:r w:rsidR="00AD6BFC" w:rsidRPr="00567BC2">
        <w:rPr>
          <w:rFonts w:ascii="Times New Roman" w:hAnsi="Times New Roman" w:cs="Times New Roman"/>
          <w:iCs/>
          <w:sz w:val="24"/>
          <w:szCs w:val="24"/>
        </w:rPr>
        <w:t xml:space="preserve"> and its constitutional nature</w:t>
      </w:r>
      <w:r w:rsidR="002720C5" w:rsidRPr="00567BC2">
        <w:rPr>
          <w:rFonts w:ascii="Times New Roman" w:hAnsi="Times New Roman" w:cs="Times New Roman"/>
          <w:iCs/>
          <w:sz w:val="24"/>
          <w:szCs w:val="24"/>
        </w:rPr>
        <w:t>. If those devolved institut</w:t>
      </w:r>
      <w:r w:rsidR="00AD6BFC" w:rsidRPr="00567BC2">
        <w:rPr>
          <w:rFonts w:ascii="Times New Roman" w:hAnsi="Times New Roman" w:cs="Times New Roman"/>
          <w:iCs/>
          <w:sz w:val="24"/>
          <w:szCs w:val="24"/>
        </w:rPr>
        <w:t>ions are permanent institutions</w:t>
      </w:r>
      <w:r w:rsidR="002720C5" w:rsidRPr="00567BC2">
        <w:rPr>
          <w:rFonts w:ascii="Times New Roman" w:hAnsi="Times New Roman" w:cs="Times New Roman"/>
          <w:iCs/>
          <w:sz w:val="24"/>
          <w:szCs w:val="24"/>
        </w:rPr>
        <w:t>, one may reasonably assume that the UK Parliament has confined its own legislative sovereignty in relation to those devolved institutions</w:t>
      </w:r>
      <w:r w:rsidR="00AD6BFC" w:rsidRPr="00567BC2">
        <w:rPr>
          <w:rFonts w:ascii="Times New Roman" w:hAnsi="Times New Roman" w:cs="Times New Roman"/>
          <w:iCs/>
          <w:sz w:val="24"/>
          <w:szCs w:val="24"/>
        </w:rPr>
        <w:t>’ competence</w:t>
      </w:r>
      <w:r w:rsidR="002720C5" w:rsidRPr="00567BC2">
        <w:rPr>
          <w:rFonts w:ascii="Times New Roman" w:hAnsi="Times New Roman" w:cs="Times New Roman"/>
          <w:iCs/>
          <w:sz w:val="24"/>
          <w:szCs w:val="24"/>
        </w:rPr>
        <w:t xml:space="preserve">. If this is true then model two cannot be accepted without </w:t>
      </w:r>
      <w:r w:rsidR="002720C5" w:rsidRPr="00567BC2">
        <w:rPr>
          <w:rFonts w:ascii="Times New Roman" w:hAnsi="Times New Roman" w:cs="Times New Roman"/>
          <w:i/>
          <w:iCs/>
          <w:sz w:val="24"/>
          <w:szCs w:val="24"/>
        </w:rPr>
        <w:t>caveat</w:t>
      </w:r>
      <w:r w:rsidR="002720C5" w:rsidRPr="00567BC2">
        <w:rPr>
          <w:rFonts w:ascii="Times New Roman" w:hAnsi="Times New Roman" w:cs="Times New Roman"/>
          <w:iCs/>
          <w:sz w:val="24"/>
          <w:szCs w:val="24"/>
        </w:rPr>
        <w:t xml:space="preserve">. </w:t>
      </w:r>
    </w:p>
    <w:p w:rsidR="00875D72" w:rsidRPr="00567BC2" w:rsidRDefault="00875D72" w:rsidP="007C5246">
      <w:pPr>
        <w:spacing w:line="360" w:lineRule="auto"/>
        <w:jc w:val="both"/>
        <w:rPr>
          <w:rFonts w:ascii="Times New Roman" w:hAnsi="Times New Roman" w:cs="Times New Roman"/>
          <w:sz w:val="24"/>
          <w:szCs w:val="24"/>
        </w:rPr>
      </w:pPr>
    </w:p>
    <w:p w:rsidR="00875D72" w:rsidRPr="00E1443B" w:rsidRDefault="00875D72" w:rsidP="007C5246">
      <w:pPr>
        <w:spacing w:line="360" w:lineRule="auto"/>
        <w:jc w:val="both"/>
        <w:rPr>
          <w:rFonts w:ascii="Times New Roman" w:hAnsi="Times New Roman" w:cs="Times New Roman"/>
          <w:b/>
          <w:i/>
          <w:sz w:val="24"/>
          <w:szCs w:val="24"/>
        </w:rPr>
      </w:pPr>
      <w:r w:rsidRPr="00E1443B">
        <w:rPr>
          <w:rFonts w:ascii="Times New Roman" w:hAnsi="Times New Roman" w:cs="Times New Roman"/>
          <w:b/>
          <w:i/>
          <w:sz w:val="24"/>
          <w:szCs w:val="24"/>
        </w:rPr>
        <w:t>Model 3 – Unintended Constraints</w:t>
      </w:r>
    </w:p>
    <w:p w:rsidR="00875D72" w:rsidRPr="00567BC2" w:rsidRDefault="00875D72"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 xml:space="preserve">The final model aims to draw </w:t>
      </w:r>
      <w:r w:rsidR="00C57DD1" w:rsidRPr="00567BC2">
        <w:rPr>
          <w:rFonts w:ascii="Times New Roman" w:hAnsi="Times New Roman" w:cs="Times New Roman"/>
          <w:sz w:val="24"/>
          <w:szCs w:val="24"/>
        </w:rPr>
        <w:t xml:space="preserve">certainty from the concept of sovereignty but in doing so forgoes part of its own being. This model sees legislative sovereignty concede power to a higher form of rule which controls the ability to make laws. </w:t>
      </w:r>
      <w:r w:rsidRPr="00567BC2">
        <w:rPr>
          <w:rFonts w:ascii="Times New Roman" w:hAnsi="Times New Roman" w:cs="Times New Roman"/>
          <w:sz w:val="24"/>
          <w:szCs w:val="24"/>
        </w:rPr>
        <w:t>The third model states that: the </w:t>
      </w:r>
      <w:r w:rsidRPr="00567BC2">
        <w:rPr>
          <w:rFonts w:ascii="Times New Roman" w:hAnsi="Times New Roman" w:cs="Times New Roman"/>
          <w:bCs/>
          <w:sz w:val="24"/>
          <w:szCs w:val="24"/>
        </w:rPr>
        <w:t>constitution</w:t>
      </w:r>
      <w:r w:rsidRPr="00567BC2">
        <w:rPr>
          <w:rFonts w:ascii="Times New Roman" w:hAnsi="Times New Roman" w:cs="Times New Roman"/>
          <w:sz w:val="24"/>
          <w:szCs w:val="24"/>
        </w:rPr>
        <w:t> may contain rules so </w:t>
      </w:r>
      <w:r w:rsidRPr="00567BC2">
        <w:rPr>
          <w:rFonts w:ascii="Times New Roman" w:hAnsi="Times New Roman" w:cs="Times New Roman"/>
          <w:bCs/>
          <w:sz w:val="24"/>
          <w:szCs w:val="24"/>
        </w:rPr>
        <w:t>fundamental</w:t>
      </w:r>
      <w:r w:rsidRPr="00567BC2">
        <w:rPr>
          <w:rFonts w:ascii="Times New Roman" w:hAnsi="Times New Roman" w:cs="Times New Roman"/>
          <w:sz w:val="24"/>
          <w:szCs w:val="24"/>
        </w:rPr>
        <w:t> that they cannot be removed even by Parliament</w:t>
      </w:r>
      <w:r w:rsidR="003E085F">
        <w:rPr>
          <w:rFonts w:ascii="Times New Roman" w:hAnsi="Times New Roman" w:cs="Times New Roman"/>
          <w:sz w:val="24"/>
          <w:szCs w:val="24"/>
        </w:rPr>
        <w:t>,</w:t>
      </w:r>
      <w:r w:rsidRPr="00567BC2">
        <w:rPr>
          <w:rFonts w:ascii="Times New Roman" w:hAnsi="Times New Roman" w:cs="Times New Roman"/>
          <w:sz w:val="24"/>
          <w:szCs w:val="24"/>
        </w:rPr>
        <w:t xml:space="preserve"> </w:t>
      </w:r>
      <w:r w:rsidR="003E085F">
        <w:rPr>
          <w:rFonts w:ascii="Times New Roman" w:hAnsi="Times New Roman" w:cs="Times New Roman"/>
          <w:sz w:val="24"/>
          <w:szCs w:val="24"/>
        </w:rPr>
        <w:t xml:space="preserve">and relies on </w:t>
      </w:r>
      <w:r w:rsidR="00C57DD1" w:rsidRPr="00567BC2">
        <w:rPr>
          <w:rFonts w:ascii="Times New Roman" w:hAnsi="Times New Roman" w:cs="Times New Roman"/>
          <w:sz w:val="24"/>
          <w:szCs w:val="24"/>
        </w:rPr>
        <w:t>a notion summarised by Lord Denning M</w:t>
      </w:r>
      <w:r w:rsidR="00C131C7">
        <w:rPr>
          <w:rFonts w:ascii="Times New Roman" w:hAnsi="Times New Roman" w:cs="Times New Roman"/>
          <w:sz w:val="24"/>
          <w:szCs w:val="24"/>
        </w:rPr>
        <w:t>R</w:t>
      </w:r>
      <w:r w:rsidR="00C57DD1" w:rsidRPr="00567BC2">
        <w:rPr>
          <w:rFonts w:ascii="Times New Roman" w:hAnsi="Times New Roman" w:cs="Times New Roman"/>
          <w:sz w:val="24"/>
          <w:szCs w:val="24"/>
        </w:rPr>
        <w:t xml:space="preserve"> as ‘</w:t>
      </w:r>
      <w:r w:rsidRPr="00567BC2">
        <w:rPr>
          <w:rFonts w:ascii="Times New Roman" w:hAnsi="Times New Roman" w:cs="Times New Roman"/>
          <w:sz w:val="24"/>
          <w:szCs w:val="24"/>
        </w:rPr>
        <w:t>[f]reedom once given cannot be taken away. Legal theory must give way to </w:t>
      </w:r>
      <w:r w:rsidRPr="00567BC2">
        <w:rPr>
          <w:rFonts w:ascii="Times New Roman" w:hAnsi="Times New Roman" w:cs="Times New Roman"/>
          <w:bCs/>
          <w:sz w:val="24"/>
          <w:szCs w:val="24"/>
        </w:rPr>
        <w:t>practical politics</w:t>
      </w:r>
      <w:r w:rsidR="00C57DD1" w:rsidRPr="00567BC2">
        <w:rPr>
          <w:rFonts w:ascii="Times New Roman" w:hAnsi="Times New Roman" w:cs="Times New Roman"/>
          <w:bCs/>
          <w:sz w:val="24"/>
          <w:szCs w:val="24"/>
        </w:rPr>
        <w:t>’</w:t>
      </w:r>
      <w:r w:rsidRPr="00567BC2">
        <w:rPr>
          <w:rFonts w:ascii="Times New Roman" w:hAnsi="Times New Roman" w:cs="Times New Roman"/>
          <w:sz w:val="24"/>
          <w:szCs w:val="24"/>
          <w:vertAlign w:val="superscript"/>
        </w:rPr>
        <w:footnoteReference w:id="96"/>
      </w:r>
      <w:r w:rsidR="003E085F">
        <w:rPr>
          <w:rFonts w:ascii="Times New Roman" w:hAnsi="Times New Roman" w:cs="Times New Roman"/>
          <w:sz w:val="24"/>
          <w:szCs w:val="24"/>
        </w:rPr>
        <w:t>. It also asserts that</w:t>
      </w:r>
      <w:r w:rsidRPr="00567BC2">
        <w:rPr>
          <w:rFonts w:ascii="Times New Roman" w:hAnsi="Times New Roman" w:cs="Times New Roman"/>
          <w:sz w:val="24"/>
          <w:szCs w:val="24"/>
        </w:rPr>
        <w:t xml:space="preserve"> a hierarchy exists whereby Parliament is supreme and </w:t>
      </w:r>
      <w:r w:rsidRPr="00567BC2">
        <w:rPr>
          <w:rFonts w:ascii="Times New Roman" w:hAnsi="Times New Roman" w:cs="Times New Roman"/>
          <w:bCs/>
          <w:sz w:val="24"/>
          <w:szCs w:val="24"/>
        </w:rPr>
        <w:t>beneath</w:t>
      </w:r>
      <w:r w:rsidRPr="00567BC2">
        <w:rPr>
          <w:rFonts w:ascii="Times New Roman" w:hAnsi="Times New Roman" w:cs="Times New Roman"/>
          <w:sz w:val="24"/>
          <w:szCs w:val="24"/>
        </w:rPr>
        <w:t> it is a set of constitutional principles that </w:t>
      </w:r>
      <w:r w:rsidRPr="00567BC2">
        <w:rPr>
          <w:rFonts w:ascii="Times New Roman" w:hAnsi="Times New Roman" w:cs="Times New Roman"/>
          <w:i/>
          <w:iCs/>
          <w:sz w:val="24"/>
          <w:szCs w:val="24"/>
        </w:rPr>
        <w:t>de facto </w:t>
      </w:r>
      <w:r w:rsidRPr="00567BC2">
        <w:rPr>
          <w:rFonts w:ascii="Times New Roman" w:hAnsi="Times New Roman" w:cs="Times New Roman"/>
          <w:sz w:val="24"/>
          <w:szCs w:val="24"/>
        </w:rPr>
        <w:t>bind Parliament</w:t>
      </w:r>
      <w:r w:rsidR="007571E1">
        <w:rPr>
          <w:rFonts w:ascii="Times New Roman" w:hAnsi="Times New Roman" w:cs="Times New Roman"/>
          <w:sz w:val="24"/>
          <w:szCs w:val="24"/>
        </w:rPr>
        <w:t>. Finally,</w:t>
      </w:r>
      <w:r w:rsidRPr="00567BC2">
        <w:rPr>
          <w:rFonts w:ascii="Times New Roman" w:hAnsi="Times New Roman" w:cs="Times New Roman"/>
          <w:sz w:val="24"/>
          <w:szCs w:val="24"/>
        </w:rPr>
        <w:t xml:space="preserve"> the </w:t>
      </w:r>
      <w:r w:rsidRPr="00567BC2">
        <w:rPr>
          <w:rFonts w:ascii="Times New Roman" w:hAnsi="Times New Roman" w:cs="Times New Roman"/>
          <w:bCs/>
          <w:sz w:val="24"/>
          <w:szCs w:val="24"/>
        </w:rPr>
        <w:t>courts</w:t>
      </w:r>
      <w:r w:rsidRPr="00567BC2">
        <w:rPr>
          <w:rFonts w:ascii="Times New Roman" w:hAnsi="Times New Roman" w:cs="Times New Roman"/>
          <w:sz w:val="24"/>
          <w:szCs w:val="24"/>
        </w:rPr>
        <w:t xml:space="preserve"> should uphold these limits on </w:t>
      </w:r>
      <w:r w:rsidR="007571E1">
        <w:rPr>
          <w:rFonts w:ascii="Times New Roman" w:hAnsi="Times New Roman" w:cs="Times New Roman"/>
          <w:sz w:val="24"/>
          <w:szCs w:val="24"/>
        </w:rPr>
        <w:t xml:space="preserve">the UK’s </w:t>
      </w:r>
      <w:r w:rsidRPr="00567BC2">
        <w:rPr>
          <w:rFonts w:ascii="Times New Roman" w:hAnsi="Times New Roman" w:cs="Times New Roman"/>
          <w:sz w:val="24"/>
          <w:szCs w:val="24"/>
        </w:rPr>
        <w:t xml:space="preserve">Parliament. </w:t>
      </w:r>
    </w:p>
    <w:p w:rsidR="00371485" w:rsidRPr="00567BC2" w:rsidRDefault="00875D72"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 xml:space="preserve">This model moves away from the theoretical aspects found in the orthodox doctrine and attempts to utilise the UK’s unwritten constitution to resolve the debate </w:t>
      </w:r>
      <w:r w:rsidR="00C57DD1" w:rsidRPr="00567BC2">
        <w:rPr>
          <w:rFonts w:ascii="Times New Roman" w:hAnsi="Times New Roman" w:cs="Times New Roman"/>
          <w:sz w:val="24"/>
          <w:szCs w:val="24"/>
        </w:rPr>
        <w:t>around the extent of Parliament</w:t>
      </w:r>
      <w:r w:rsidR="007571E1">
        <w:rPr>
          <w:rFonts w:ascii="Times New Roman" w:hAnsi="Times New Roman" w:cs="Times New Roman"/>
          <w:sz w:val="24"/>
          <w:szCs w:val="24"/>
        </w:rPr>
        <w:t>’s</w:t>
      </w:r>
      <w:r w:rsidR="0080676B">
        <w:rPr>
          <w:rFonts w:ascii="Times New Roman" w:hAnsi="Times New Roman" w:cs="Times New Roman"/>
          <w:sz w:val="24"/>
          <w:szCs w:val="24"/>
        </w:rPr>
        <w:t xml:space="preserve"> power as sovereign law-</w:t>
      </w:r>
      <w:r w:rsidR="00C57DD1" w:rsidRPr="00567BC2">
        <w:rPr>
          <w:rFonts w:ascii="Times New Roman" w:hAnsi="Times New Roman" w:cs="Times New Roman"/>
          <w:sz w:val="24"/>
          <w:szCs w:val="24"/>
        </w:rPr>
        <w:t xml:space="preserve">maker. </w:t>
      </w:r>
      <w:r w:rsidRPr="00567BC2">
        <w:rPr>
          <w:rFonts w:ascii="Times New Roman" w:hAnsi="Times New Roman" w:cs="Times New Roman"/>
          <w:sz w:val="24"/>
          <w:szCs w:val="24"/>
        </w:rPr>
        <w:t xml:space="preserve"> </w:t>
      </w:r>
      <w:r w:rsidR="00C57DD1" w:rsidRPr="00567BC2">
        <w:rPr>
          <w:rFonts w:ascii="Times New Roman" w:hAnsi="Times New Roman" w:cs="Times New Roman"/>
          <w:sz w:val="24"/>
          <w:szCs w:val="24"/>
        </w:rPr>
        <w:t>However, that</w:t>
      </w:r>
      <w:r w:rsidRPr="00567BC2">
        <w:rPr>
          <w:rFonts w:ascii="Times New Roman" w:hAnsi="Times New Roman" w:cs="Times New Roman"/>
          <w:sz w:val="24"/>
          <w:szCs w:val="24"/>
        </w:rPr>
        <w:t xml:space="preserve"> does not </w:t>
      </w:r>
      <w:r w:rsidR="004C0B38" w:rsidRPr="00567BC2">
        <w:rPr>
          <w:rFonts w:ascii="Times New Roman" w:hAnsi="Times New Roman" w:cs="Times New Roman"/>
          <w:sz w:val="24"/>
          <w:szCs w:val="24"/>
        </w:rPr>
        <w:t>assist with establishing a coherent theoretical framework which sets out the extent and makeup of legislative sovereignty in the UK</w:t>
      </w:r>
      <w:r w:rsidRPr="00567BC2">
        <w:rPr>
          <w:rFonts w:ascii="Times New Roman" w:hAnsi="Times New Roman" w:cs="Times New Roman"/>
          <w:sz w:val="24"/>
          <w:szCs w:val="24"/>
        </w:rPr>
        <w:t xml:space="preserve">. One particular issue with this model is that the UK’s constitution is unwritten and so stating that rules exist within the constitution which governs Parliament’s operation is difficult to discuss at length except in the abstract. </w:t>
      </w:r>
      <w:r w:rsidR="004C0B38" w:rsidRPr="00567BC2">
        <w:rPr>
          <w:rFonts w:ascii="Times New Roman" w:hAnsi="Times New Roman" w:cs="Times New Roman"/>
          <w:sz w:val="24"/>
          <w:szCs w:val="24"/>
        </w:rPr>
        <w:t>Th</w:t>
      </w:r>
      <w:r w:rsidR="00877EF6" w:rsidRPr="00567BC2">
        <w:rPr>
          <w:rFonts w:ascii="Times New Roman" w:hAnsi="Times New Roman" w:cs="Times New Roman"/>
          <w:sz w:val="24"/>
          <w:szCs w:val="24"/>
        </w:rPr>
        <w:t>is is not uncommon, earlier Kel</w:t>
      </w:r>
      <w:r w:rsidR="004C0B38" w:rsidRPr="00567BC2">
        <w:rPr>
          <w:rFonts w:ascii="Times New Roman" w:hAnsi="Times New Roman" w:cs="Times New Roman"/>
          <w:sz w:val="24"/>
          <w:szCs w:val="24"/>
        </w:rPr>
        <w:t>s</w:t>
      </w:r>
      <w:r w:rsidR="006C7664">
        <w:rPr>
          <w:rFonts w:ascii="Times New Roman" w:hAnsi="Times New Roman" w:cs="Times New Roman"/>
          <w:sz w:val="24"/>
          <w:szCs w:val="24"/>
        </w:rPr>
        <w:t>e</w:t>
      </w:r>
      <w:r w:rsidR="004C0B38" w:rsidRPr="00567BC2">
        <w:rPr>
          <w:rFonts w:ascii="Times New Roman" w:hAnsi="Times New Roman" w:cs="Times New Roman"/>
          <w:sz w:val="24"/>
          <w:szCs w:val="24"/>
        </w:rPr>
        <w:t xml:space="preserve">n’s </w:t>
      </w:r>
      <w:r w:rsidR="004C0B38" w:rsidRPr="00567BC2">
        <w:rPr>
          <w:rFonts w:ascii="Times New Roman" w:hAnsi="Times New Roman" w:cs="Times New Roman"/>
          <w:i/>
          <w:sz w:val="24"/>
          <w:szCs w:val="24"/>
        </w:rPr>
        <w:lastRenderedPageBreak/>
        <w:t xml:space="preserve">grundnorm </w:t>
      </w:r>
      <w:r w:rsidR="004C0B38" w:rsidRPr="00567BC2">
        <w:rPr>
          <w:rFonts w:ascii="Times New Roman" w:hAnsi="Times New Roman" w:cs="Times New Roman"/>
          <w:sz w:val="24"/>
          <w:szCs w:val="24"/>
        </w:rPr>
        <w:t xml:space="preserve">was </w:t>
      </w:r>
      <w:r w:rsidR="009F68D6" w:rsidRPr="00567BC2">
        <w:rPr>
          <w:rFonts w:ascii="Times New Roman" w:hAnsi="Times New Roman" w:cs="Times New Roman"/>
          <w:sz w:val="24"/>
          <w:szCs w:val="24"/>
        </w:rPr>
        <w:t>mentioned</w:t>
      </w:r>
      <w:r w:rsidR="006C7664">
        <w:rPr>
          <w:rStyle w:val="FootnoteReference"/>
          <w:rFonts w:ascii="Times New Roman" w:hAnsi="Times New Roman" w:cs="Times New Roman"/>
          <w:sz w:val="24"/>
          <w:szCs w:val="24"/>
        </w:rPr>
        <w:footnoteReference w:id="97"/>
      </w:r>
      <w:r w:rsidR="009F68D6" w:rsidRPr="00567BC2">
        <w:rPr>
          <w:rFonts w:ascii="Times New Roman" w:hAnsi="Times New Roman" w:cs="Times New Roman"/>
          <w:sz w:val="24"/>
          <w:szCs w:val="24"/>
        </w:rPr>
        <w:t xml:space="preserve"> as was the debate as t</w:t>
      </w:r>
      <w:r w:rsidR="006267DA">
        <w:rPr>
          <w:rFonts w:ascii="Times New Roman" w:hAnsi="Times New Roman" w:cs="Times New Roman"/>
          <w:sz w:val="24"/>
          <w:szCs w:val="24"/>
        </w:rPr>
        <w:t>o</w:t>
      </w:r>
      <w:r w:rsidR="009F68D6" w:rsidRPr="00567BC2">
        <w:rPr>
          <w:rFonts w:ascii="Times New Roman" w:hAnsi="Times New Roman" w:cs="Times New Roman"/>
          <w:sz w:val="24"/>
          <w:szCs w:val="24"/>
        </w:rPr>
        <w:t xml:space="preserve"> whether the </w:t>
      </w:r>
      <w:r w:rsidR="009F68D6" w:rsidRPr="00567BC2">
        <w:rPr>
          <w:rFonts w:ascii="Times New Roman" w:hAnsi="Times New Roman" w:cs="Times New Roman"/>
          <w:i/>
          <w:sz w:val="24"/>
          <w:szCs w:val="24"/>
        </w:rPr>
        <w:t xml:space="preserve">grundnorm </w:t>
      </w:r>
      <w:r w:rsidR="009F68D6" w:rsidRPr="00567BC2">
        <w:rPr>
          <w:rFonts w:ascii="Times New Roman" w:hAnsi="Times New Roman" w:cs="Times New Roman"/>
          <w:sz w:val="24"/>
          <w:szCs w:val="24"/>
        </w:rPr>
        <w:t xml:space="preserve">is hypothetical or a </w:t>
      </w:r>
      <w:r w:rsidR="00F0711D">
        <w:rPr>
          <w:rFonts w:ascii="Times New Roman" w:hAnsi="Times New Roman" w:cs="Times New Roman"/>
          <w:sz w:val="24"/>
          <w:szCs w:val="24"/>
        </w:rPr>
        <w:t>discernible</w:t>
      </w:r>
      <w:r w:rsidR="009F68D6" w:rsidRPr="00567BC2">
        <w:rPr>
          <w:rFonts w:ascii="Times New Roman" w:hAnsi="Times New Roman" w:cs="Times New Roman"/>
          <w:sz w:val="24"/>
          <w:szCs w:val="24"/>
        </w:rPr>
        <w:t xml:space="preserve"> normative value</w:t>
      </w:r>
      <w:r w:rsidR="004C0B38" w:rsidRPr="00567BC2">
        <w:rPr>
          <w:rFonts w:ascii="Times New Roman" w:hAnsi="Times New Roman" w:cs="Times New Roman"/>
          <w:sz w:val="24"/>
          <w:szCs w:val="24"/>
        </w:rPr>
        <w:t xml:space="preserve">. </w:t>
      </w:r>
      <w:r w:rsidR="00877EF6" w:rsidRPr="00567BC2">
        <w:rPr>
          <w:rFonts w:ascii="Times New Roman" w:hAnsi="Times New Roman" w:cs="Times New Roman"/>
          <w:sz w:val="24"/>
          <w:szCs w:val="24"/>
        </w:rPr>
        <w:t>In terms of discerning a con</w:t>
      </w:r>
      <w:r w:rsidR="00786B0B">
        <w:rPr>
          <w:rFonts w:ascii="Times New Roman" w:hAnsi="Times New Roman" w:cs="Times New Roman"/>
          <w:sz w:val="24"/>
          <w:szCs w:val="24"/>
        </w:rPr>
        <w:t>tent and remit of sovereign law-</w:t>
      </w:r>
      <w:r w:rsidR="00877EF6" w:rsidRPr="00567BC2">
        <w:rPr>
          <w:rFonts w:ascii="Times New Roman" w:hAnsi="Times New Roman" w:cs="Times New Roman"/>
          <w:sz w:val="24"/>
          <w:szCs w:val="24"/>
        </w:rPr>
        <w:t xml:space="preserve">making power, the assertion that the mysteries of the common law contain untapped resources is unenlightening. </w:t>
      </w:r>
      <w:r w:rsidRPr="00567BC2">
        <w:rPr>
          <w:rFonts w:ascii="Times New Roman" w:hAnsi="Times New Roman" w:cs="Times New Roman"/>
          <w:sz w:val="24"/>
          <w:szCs w:val="24"/>
        </w:rPr>
        <w:t>It is commonly acknowledged that r</w:t>
      </w:r>
      <w:r w:rsidR="00DC5C6F" w:rsidRPr="00567BC2">
        <w:rPr>
          <w:rFonts w:ascii="Times New Roman" w:hAnsi="Times New Roman" w:cs="Times New Roman"/>
          <w:sz w:val="24"/>
          <w:szCs w:val="24"/>
        </w:rPr>
        <w:t xml:space="preserve">ules exist in the constitution </w:t>
      </w:r>
      <w:r w:rsidRPr="00567BC2">
        <w:rPr>
          <w:rFonts w:ascii="Times New Roman" w:hAnsi="Times New Roman" w:cs="Times New Roman"/>
          <w:sz w:val="24"/>
          <w:szCs w:val="24"/>
        </w:rPr>
        <w:t>which are so fundamental that they influence Parliament. It is</w:t>
      </w:r>
      <w:r w:rsidR="00A54767">
        <w:rPr>
          <w:rFonts w:ascii="Times New Roman" w:hAnsi="Times New Roman" w:cs="Times New Roman"/>
          <w:sz w:val="24"/>
          <w:szCs w:val="24"/>
        </w:rPr>
        <w:t>,</w:t>
      </w:r>
      <w:r w:rsidRPr="00567BC2">
        <w:rPr>
          <w:rFonts w:ascii="Times New Roman" w:hAnsi="Times New Roman" w:cs="Times New Roman"/>
          <w:sz w:val="24"/>
          <w:szCs w:val="24"/>
        </w:rPr>
        <w:t xml:space="preserve"> however</w:t>
      </w:r>
      <w:r w:rsidR="00A54767">
        <w:rPr>
          <w:rFonts w:ascii="Times New Roman" w:hAnsi="Times New Roman" w:cs="Times New Roman"/>
          <w:sz w:val="24"/>
          <w:szCs w:val="24"/>
        </w:rPr>
        <w:t>,</w:t>
      </w:r>
      <w:r w:rsidRPr="00567BC2">
        <w:rPr>
          <w:rFonts w:ascii="Times New Roman" w:hAnsi="Times New Roman" w:cs="Times New Roman"/>
          <w:sz w:val="24"/>
          <w:szCs w:val="24"/>
        </w:rPr>
        <w:t xml:space="preserve"> a step further to argue that the rules bind Parliament; if this is the case, then Parliament is no longer sovereign, it is subject to the unwritten constitution that has evolved in the UK over centuries and so the parliaments of previous years which have established these rules have curtailed the powers of the modern-day Parliament. </w:t>
      </w:r>
      <w:r w:rsidR="009F68D6" w:rsidRPr="00567BC2">
        <w:rPr>
          <w:rFonts w:ascii="Times New Roman" w:hAnsi="Times New Roman" w:cs="Times New Roman"/>
          <w:sz w:val="24"/>
          <w:szCs w:val="24"/>
        </w:rPr>
        <w:t>If this was true, the UK would enjoy a form of constitutional sovereignty which was attributed to an unwritten constitution, and can therefore not be reconciled with notions of certainty in matters of a constitutional nature</w:t>
      </w:r>
      <w:r w:rsidR="0003535A">
        <w:rPr>
          <w:rFonts w:ascii="Times New Roman" w:hAnsi="Times New Roman" w:cs="Times New Roman"/>
          <w:sz w:val="24"/>
          <w:szCs w:val="24"/>
        </w:rPr>
        <w:t>.</w:t>
      </w:r>
      <w:r w:rsidR="009F68D6" w:rsidRPr="00567BC2">
        <w:rPr>
          <w:rStyle w:val="FootnoteReference"/>
          <w:rFonts w:ascii="Times New Roman" w:hAnsi="Times New Roman" w:cs="Times New Roman"/>
          <w:sz w:val="24"/>
          <w:szCs w:val="24"/>
        </w:rPr>
        <w:footnoteReference w:id="98"/>
      </w:r>
      <w:r w:rsidR="009F68D6" w:rsidRPr="00567BC2">
        <w:rPr>
          <w:rFonts w:ascii="Times New Roman" w:hAnsi="Times New Roman" w:cs="Times New Roman"/>
          <w:sz w:val="24"/>
          <w:szCs w:val="24"/>
        </w:rPr>
        <w:t xml:space="preserve"> </w:t>
      </w:r>
      <w:r w:rsidRPr="00567BC2">
        <w:rPr>
          <w:rFonts w:ascii="Times New Roman" w:hAnsi="Times New Roman" w:cs="Times New Roman"/>
          <w:sz w:val="24"/>
          <w:szCs w:val="24"/>
        </w:rPr>
        <w:t xml:space="preserve">The difficulty with this disparity is that a curtailment of parliamentary powers may also impact on its legitimate ability to legislate absolutely; it is no longer the supreme parliamentary authority that has previously been discussed. </w:t>
      </w:r>
      <w:r w:rsidR="009F68D6" w:rsidRPr="00567BC2">
        <w:rPr>
          <w:rFonts w:ascii="Times New Roman" w:hAnsi="Times New Roman" w:cs="Times New Roman"/>
          <w:sz w:val="24"/>
          <w:szCs w:val="24"/>
        </w:rPr>
        <w:t>The version of sovereignty which this model concedes is the restrained, emasculated Parliament subject to unwritten, and therefore unquantifiable, rules. There is a degree of operational sense in this</w:t>
      </w:r>
      <w:r w:rsidR="0053048B">
        <w:rPr>
          <w:rFonts w:ascii="Times New Roman" w:hAnsi="Times New Roman" w:cs="Times New Roman"/>
          <w:sz w:val="24"/>
          <w:szCs w:val="24"/>
        </w:rPr>
        <w:t>,</w:t>
      </w:r>
      <w:r w:rsidR="009F68D6" w:rsidRPr="00567BC2">
        <w:rPr>
          <w:rFonts w:ascii="Times New Roman" w:hAnsi="Times New Roman" w:cs="Times New Roman"/>
          <w:sz w:val="24"/>
          <w:szCs w:val="24"/>
        </w:rPr>
        <w:t xml:space="preserve"> however. The rule of law consists of certain principles – beyond that little more can be agreed upon by theorists of varying substantive and formal positions</w:t>
      </w:r>
      <w:r w:rsidR="0003535A">
        <w:rPr>
          <w:rFonts w:ascii="Times New Roman" w:hAnsi="Times New Roman" w:cs="Times New Roman"/>
          <w:sz w:val="24"/>
          <w:szCs w:val="24"/>
        </w:rPr>
        <w:t>.</w:t>
      </w:r>
      <w:r w:rsidR="006C7664">
        <w:rPr>
          <w:rStyle w:val="FootnoteReference"/>
          <w:rFonts w:ascii="Times New Roman" w:hAnsi="Times New Roman" w:cs="Times New Roman"/>
          <w:sz w:val="24"/>
          <w:szCs w:val="24"/>
        </w:rPr>
        <w:footnoteReference w:id="99"/>
      </w:r>
      <w:r w:rsidR="009F68D6" w:rsidRPr="00567BC2">
        <w:rPr>
          <w:rFonts w:ascii="Times New Roman" w:hAnsi="Times New Roman" w:cs="Times New Roman"/>
          <w:sz w:val="24"/>
          <w:szCs w:val="24"/>
        </w:rPr>
        <w:t xml:space="preserve"> Yet the rule of law is invoked when the </w:t>
      </w:r>
      <w:r w:rsidR="000114CB" w:rsidRPr="00567BC2">
        <w:rPr>
          <w:rFonts w:ascii="Times New Roman" w:hAnsi="Times New Roman" w:cs="Times New Roman"/>
          <w:sz w:val="24"/>
          <w:szCs w:val="24"/>
        </w:rPr>
        <w:t>question turns to the state’s fair</w:t>
      </w:r>
      <w:r w:rsidR="003172E8">
        <w:rPr>
          <w:rFonts w:ascii="Times New Roman" w:hAnsi="Times New Roman" w:cs="Times New Roman"/>
          <w:sz w:val="24"/>
          <w:szCs w:val="24"/>
        </w:rPr>
        <w:t>,</w:t>
      </w:r>
      <w:r w:rsidR="000114CB" w:rsidRPr="00567BC2">
        <w:rPr>
          <w:rFonts w:ascii="Times New Roman" w:hAnsi="Times New Roman" w:cs="Times New Roman"/>
          <w:sz w:val="24"/>
          <w:szCs w:val="24"/>
        </w:rPr>
        <w:t xml:space="preserve"> just and reasonable behaviour</w:t>
      </w:r>
      <w:r w:rsidR="0003535A">
        <w:rPr>
          <w:rFonts w:ascii="Times New Roman" w:hAnsi="Times New Roman" w:cs="Times New Roman"/>
          <w:sz w:val="24"/>
          <w:szCs w:val="24"/>
        </w:rPr>
        <w:t>.</w:t>
      </w:r>
      <w:r w:rsidR="0094779B" w:rsidRPr="00567BC2">
        <w:rPr>
          <w:rStyle w:val="FootnoteReference"/>
          <w:rFonts w:ascii="Times New Roman" w:hAnsi="Times New Roman" w:cs="Times New Roman"/>
          <w:sz w:val="24"/>
          <w:szCs w:val="24"/>
        </w:rPr>
        <w:footnoteReference w:id="100"/>
      </w:r>
      <w:r w:rsidR="000114CB" w:rsidRPr="00567BC2">
        <w:rPr>
          <w:rFonts w:ascii="Times New Roman" w:hAnsi="Times New Roman" w:cs="Times New Roman"/>
          <w:sz w:val="24"/>
          <w:szCs w:val="24"/>
        </w:rPr>
        <w:t xml:space="preserve"> However, there is more than a semantic difference between declaring that the government has behaved contrary to the rule of law – as was seen in the recent case of </w:t>
      </w:r>
      <w:r w:rsidR="000114CB" w:rsidRPr="00567BC2">
        <w:rPr>
          <w:rFonts w:ascii="Times New Roman" w:hAnsi="Times New Roman" w:cs="Times New Roman"/>
          <w:i/>
          <w:sz w:val="24"/>
          <w:szCs w:val="24"/>
        </w:rPr>
        <w:t>R(Miller) v The Prime Minister</w:t>
      </w:r>
      <w:r w:rsidR="000114CB" w:rsidRPr="00567BC2">
        <w:rPr>
          <w:rStyle w:val="FootnoteReference"/>
          <w:rFonts w:ascii="Times New Roman" w:hAnsi="Times New Roman" w:cs="Times New Roman"/>
          <w:i/>
          <w:sz w:val="24"/>
          <w:szCs w:val="24"/>
        </w:rPr>
        <w:footnoteReference w:id="101"/>
      </w:r>
      <w:r w:rsidR="000114CB" w:rsidRPr="00567BC2">
        <w:rPr>
          <w:rFonts w:ascii="Times New Roman" w:hAnsi="Times New Roman" w:cs="Times New Roman"/>
          <w:sz w:val="24"/>
          <w:szCs w:val="24"/>
        </w:rPr>
        <w:t xml:space="preserve"> – and that Parliament itself has behaved contrary to </w:t>
      </w:r>
      <w:r w:rsidR="003172E8">
        <w:rPr>
          <w:rFonts w:ascii="Times New Roman" w:hAnsi="Times New Roman" w:cs="Times New Roman"/>
          <w:sz w:val="24"/>
          <w:szCs w:val="24"/>
        </w:rPr>
        <w:t>the rule of law</w:t>
      </w:r>
      <w:r w:rsidR="00F83987">
        <w:rPr>
          <w:rFonts w:ascii="Times New Roman" w:hAnsi="Times New Roman" w:cs="Times New Roman"/>
          <w:sz w:val="24"/>
          <w:szCs w:val="24"/>
        </w:rPr>
        <w:t>.</w:t>
      </w:r>
      <w:r w:rsidR="000114CB" w:rsidRPr="00567BC2">
        <w:rPr>
          <w:rStyle w:val="FootnoteReference"/>
          <w:rFonts w:ascii="Times New Roman" w:hAnsi="Times New Roman" w:cs="Times New Roman"/>
          <w:sz w:val="24"/>
          <w:szCs w:val="24"/>
        </w:rPr>
        <w:footnoteReference w:id="102"/>
      </w:r>
      <w:r w:rsidR="000114CB" w:rsidRPr="00567BC2">
        <w:rPr>
          <w:rFonts w:ascii="Times New Roman" w:hAnsi="Times New Roman" w:cs="Times New Roman"/>
          <w:sz w:val="24"/>
          <w:szCs w:val="24"/>
        </w:rPr>
        <w:t xml:space="preserve"> </w:t>
      </w:r>
      <w:r w:rsidR="00411931" w:rsidRPr="00567BC2">
        <w:rPr>
          <w:rFonts w:ascii="Times New Roman" w:hAnsi="Times New Roman" w:cs="Times New Roman"/>
          <w:sz w:val="24"/>
          <w:szCs w:val="24"/>
        </w:rPr>
        <w:t xml:space="preserve">It could be argued here that the time has come to set aside the concept of Parliamentary Sovereignty for the sovereignty of the rule of law; however, the difficulty here remains albeit in a different guise </w:t>
      </w:r>
      <w:r w:rsidR="00411931" w:rsidRPr="00567BC2">
        <w:rPr>
          <w:rFonts w:ascii="Times New Roman" w:hAnsi="Times New Roman" w:cs="Times New Roman"/>
          <w:i/>
          <w:sz w:val="24"/>
          <w:szCs w:val="24"/>
        </w:rPr>
        <w:t xml:space="preserve">viz. </w:t>
      </w:r>
      <w:r w:rsidR="00411931" w:rsidRPr="00567BC2">
        <w:rPr>
          <w:rFonts w:ascii="Times New Roman" w:hAnsi="Times New Roman" w:cs="Times New Roman"/>
          <w:sz w:val="24"/>
          <w:szCs w:val="24"/>
        </w:rPr>
        <w:t xml:space="preserve">what therefore is the metaphysics of the rule of law, what are its </w:t>
      </w:r>
      <w:r w:rsidR="009D5F4F" w:rsidRPr="00567BC2">
        <w:rPr>
          <w:rFonts w:ascii="Times New Roman" w:hAnsi="Times New Roman" w:cs="Times New Roman"/>
          <w:sz w:val="24"/>
          <w:szCs w:val="24"/>
        </w:rPr>
        <w:lastRenderedPageBreak/>
        <w:t>epistemic</w:t>
      </w:r>
      <w:r w:rsidR="009D5F4F" w:rsidRPr="00567BC2">
        <w:rPr>
          <w:rStyle w:val="FootnoteReference"/>
          <w:rFonts w:ascii="Times New Roman" w:hAnsi="Times New Roman" w:cs="Times New Roman"/>
          <w:sz w:val="24"/>
          <w:szCs w:val="24"/>
        </w:rPr>
        <w:footnoteReference w:id="103"/>
      </w:r>
      <w:r w:rsidR="00411931" w:rsidRPr="00567BC2">
        <w:rPr>
          <w:rFonts w:ascii="Times New Roman" w:hAnsi="Times New Roman" w:cs="Times New Roman"/>
          <w:sz w:val="24"/>
          <w:szCs w:val="24"/>
        </w:rPr>
        <w:t xml:space="preserve"> or axiological</w:t>
      </w:r>
      <w:r w:rsidR="009D5F4F" w:rsidRPr="00567BC2">
        <w:rPr>
          <w:rStyle w:val="FootnoteReference"/>
          <w:rFonts w:ascii="Times New Roman" w:hAnsi="Times New Roman" w:cs="Times New Roman"/>
          <w:sz w:val="24"/>
          <w:szCs w:val="24"/>
        </w:rPr>
        <w:footnoteReference w:id="104"/>
      </w:r>
      <w:r w:rsidR="00411931" w:rsidRPr="00567BC2">
        <w:rPr>
          <w:rFonts w:ascii="Times New Roman" w:hAnsi="Times New Roman" w:cs="Times New Roman"/>
          <w:sz w:val="24"/>
          <w:szCs w:val="24"/>
        </w:rPr>
        <w:t xml:space="preserve"> positions – if any. How does one take a hermeneutical approach to the rule of law</w:t>
      </w:r>
      <w:r w:rsidR="00411931" w:rsidRPr="00567BC2">
        <w:rPr>
          <w:rStyle w:val="FootnoteReference"/>
          <w:rFonts w:ascii="Times New Roman" w:hAnsi="Times New Roman" w:cs="Times New Roman"/>
          <w:sz w:val="24"/>
          <w:szCs w:val="24"/>
        </w:rPr>
        <w:footnoteReference w:id="105"/>
      </w:r>
      <w:r w:rsidR="00411931" w:rsidRPr="00567BC2">
        <w:rPr>
          <w:rFonts w:ascii="Times New Roman" w:hAnsi="Times New Roman" w:cs="Times New Roman"/>
          <w:sz w:val="24"/>
          <w:szCs w:val="24"/>
        </w:rPr>
        <w:t xml:space="preserve">, or how are the tensions between formal and substantive concepts on the rule of law reconciled to give some certainty to its content. </w:t>
      </w:r>
      <w:r w:rsidR="00371485" w:rsidRPr="00567BC2">
        <w:rPr>
          <w:rFonts w:ascii="Times New Roman" w:hAnsi="Times New Roman" w:cs="Times New Roman"/>
          <w:sz w:val="24"/>
          <w:szCs w:val="24"/>
        </w:rPr>
        <w:t>This subject does deserve its</w:t>
      </w:r>
      <w:r w:rsidR="00F83987">
        <w:rPr>
          <w:rFonts w:ascii="Times New Roman" w:hAnsi="Times New Roman" w:cs="Times New Roman"/>
          <w:sz w:val="24"/>
          <w:szCs w:val="24"/>
        </w:rPr>
        <w:t xml:space="preserve"> own</w:t>
      </w:r>
      <w:r w:rsidR="00371485" w:rsidRPr="00567BC2">
        <w:rPr>
          <w:rFonts w:ascii="Times New Roman" w:hAnsi="Times New Roman" w:cs="Times New Roman"/>
          <w:sz w:val="24"/>
          <w:szCs w:val="24"/>
        </w:rPr>
        <w:t xml:space="preserve"> discrete research as this may devise a suitable alternative to the concept of legislative sovereignty, which is fraught with theoretical difficulties and historical idiosyncrasies. </w:t>
      </w:r>
    </w:p>
    <w:p w:rsidR="00875D72" w:rsidRPr="00567BC2" w:rsidRDefault="00875D72"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 xml:space="preserve">Secondly, Lord Denning </w:t>
      </w:r>
      <w:r w:rsidR="00F83987">
        <w:rPr>
          <w:rFonts w:ascii="Times New Roman" w:hAnsi="Times New Roman" w:cs="Times New Roman"/>
          <w:sz w:val="24"/>
          <w:szCs w:val="24"/>
        </w:rPr>
        <w:t xml:space="preserve">MR </w:t>
      </w:r>
      <w:r w:rsidRPr="00567BC2">
        <w:rPr>
          <w:rFonts w:ascii="Times New Roman" w:hAnsi="Times New Roman" w:cs="Times New Roman"/>
          <w:sz w:val="24"/>
          <w:szCs w:val="24"/>
        </w:rPr>
        <w:t>s</w:t>
      </w:r>
      <w:r w:rsidR="00787EC8">
        <w:rPr>
          <w:rFonts w:ascii="Times New Roman" w:hAnsi="Times New Roman" w:cs="Times New Roman"/>
          <w:sz w:val="24"/>
          <w:szCs w:val="24"/>
        </w:rPr>
        <w:t>tated that ‘</w:t>
      </w:r>
      <w:r w:rsidRPr="00567BC2">
        <w:rPr>
          <w:rFonts w:ascii="Times New Roman" w:hAnsi="Times New Roman" w:cs="Times New Roman"/>
          <w:sz w:val="24"/>
          <w:szCs w:val="24"/>
        </w:rPr>
        <w:t>[l]egal theory must</w:t>
      </w:r>
      <w:r w:rsidR="00787EC8">
        <w:rPr>
          <w:rFonts w:ascii="Times New Roman" w:hAnsi="Times New Roman" w:cs="Times New Roman"/>
          <w:sz w:val="24"/>
          <w:szCs w:val="24"/>
        </w:rPr>
        <w:t xml:space="preserve"> give way to practical politics’</w:t>
      </w:r>
      <w:r w:rsidR="003E4185">
        <w:rPr>
          <w:rStyle w:val="FootnoteReference"/>
          <w:rFonts w:ascii="Times New Roman" w:hAnsi="Times New Roman" w:cs="Times New Roman"/>
          <w:sz w:val="24"/>
          <w:szCs w:val="24"/>
        </w:rPr>
        <w:footnoteReference w:id="106"/>
      </w:r>
      <w:r w:rsidRPr="00567BC2">
        <w:rPr>
          <w:rFonts w:ascii="Times New Roman" w:hAnsi="Times New Roman" w:cs="Times New Roman"/>
          <w:sz w:val="24"/>
          <w:szCs w:val="24"/>
        </w:rPr>
        <w:t xml:space="preserve">. This </w:t>
      </w:r>
      <w:r w:rsidR="0053048B">
        <w:rPr>
          <w:rFonts w:ascii="Times New Roman" w:hAnsi="Times New Roman" w:cs="Times New Roman"/>
          <w:sz w:val="24"/>
          <w:szCs w:val="24"/>
        </w:rPr>
        <w:t>statement</w:t>
      </w:r>
      <w:r w:rsidRPr="00567BC2">
        <w:rPr>
          <w:rFonts w:ascii="Times New Roman" w:hAnsi="Times New Roman" w:cs="Times New Roman"/>
          <w:sz w:val="24"/>
          <w:szCs w:val="24"/>
        </w:rPr>
        <w:t xml:space="preserve"> assumes that there is a definite line between politics and the law. Contrary to this, the Houses of Parliament are where politics enters, and law emerges and so attempting to establish any definite line beyond that is very difficult</w:t>
      </w:r>
      <w:r w:rsidR="003E4185">
        <w:rPr>
          <w:rFonts w:ascii="Times New Roman" w:hAnsi="Times New Roman" w:cs="Times New Roman"/>
          <w:sz w:val="24"/>
          <w:szCs w:val="24"/>
        </w:rPr>
        <w:t>, even artificial</w:t>
      </w:r>
      <w:r w:rsidRPr="00567BC2">
        <w:rPr>
          <w:rFonts w:ascii="Times New Roman" w:hAnsi="Times New Roman" w:cs="Times New Roman"/>
          <w:sz w:val="24"/>
          <w:szCs w:val="24"/>
        </w:rPr>
        <w:t>. Debates in chambers and Houses of Parliament revolve around party politics and personal agendas</w:t>
      </w:r>
      <w:r w:rsidR="0020469C">
        <w:rPr>
          <w:rFonts w:ascii="Times New Roman" w:hAnsi="Times New Roman" w:cs="Times New Roman"/>
          <w:sz w:val="24"/>
          <w:szCs w:val="24"/>
        </w:rPr>
        <w:t>,</w:t>
      </w:r>
      <w:r w:rsidRPr="00567BC2">
        <w:rPr>
          <w:rFonts w:ascii="Times New Roman" w:hAnsi="Times New Roman" w:cs="Times New Roman"/>
          <w:sz w:val="24"/>
          <w:szCs w:val="24"/>
        </w:rPr>
        <w:t xml:space="preserve"> though the instruments being debated </w:t>
      </w:r>
      <w:r w:rsidR="003E4185">
        <w:rPr>
          <w:rFonts w:ascii="Times New Roman" w:hAnsi="Times New Roman" w:cs="Times New Roman"/>
          <w:sz w:val="24"/>
          <w:szCs w:val="24"/>
        </w:rPr>
        <w:t>will become</w:t>
      </w:r>
      <w:r w:rsidR="003E4185" w:rsidRPr="00567BC2">
        <w:rPr>
          <w:rFonts w:ascii="Times New Roman" w:hAnsi="Times New Roman" w:cs="Times New Roman"/>
          <w:sz w:val="24"/>
          <w:szCs w:val="24"/>
        </w:rPr>
        <w:t xml:space="preserve"> </w:t>
      </w:r>
      <w:r w:rsidRPr="00567BC2">
        <w:rPr>
          <w:rFonts w:ascii="Times New Roman" w:hAnsi="Times New Roman" w:cs="Times New Roman"/>
          <w:sz w:val="24"/>
          <w:szCs w:val="24"/>
        </w:rPr>
        <w:t xml:space="preserve">Acts of Parliament and so politics and the law are intrinsically linked. This </w:t>
      </w:r>
      <w:r w:rsidR="003E4185">
        <w:rPr>
          <w:rFonts w:ascii="Times New Roman" w:hAnsi="Times New Roman" w:cs="Times New Roman"/>
          <w:sz w:val="24"/>
          <w:szCs w:val="24"/>
        </w:rPr>
        <w:t>suggests</w:t>
      </w:r>
      <w:r w:rsidR="003E4185" w:rsidRPr="00567BC2">
        <w:rPr>
          <w:rFonts w:ascii="Times New Roman" w:hAnsi="Times New Roman" w:cs="Times New Roman"/>
          <w:sz w:val="24"/>
          <w:szCs w:val="24"/>
        </w:rPr>
        <w:t xml:space="preserve"> </w:t>
      </w:r>
      <w:r w:rsidRPr="00567BC2">
        <w:rPr>
          <w:rFonts w:ascii="Times New Roman" w:hAnsi="Times New Roman" w:cs="Times New Roman"/>
          <w:sz w:val="24"/>
          <w:szCs w:val="24"/>
        </w:rPr>
        <w:t xml:space="preserve">that, even on a domestic footing, politics </w:t>
      </w:r>
      <w:r w:rsidR="00F857F1" w:rsidRPr="00567BC2">
        <w:rPr>
          <w:rFonts w:ascii="Times New Roman" w:hAnsi="Times New Roman" w:cs="Times New Roman"/>
          <w:sz w:val="24"/>
          <w:szCs w:val="24"/>
        </w:rPr>
        <w:t>is</w:t>
      </w:r>
      <w:r w:rsidR="003E4185">
        <w:rPr>
          <w:rFonts w:ascii="Times New Roman" w:hAnsi="Times New Roman" w:cs="Times New Roman"/>
          <w:sz w:val="24"/>
          <w:szCs w:val="24"/>
        </w:rPr>
        <w:t xml:space="preserve"> a</w:t>
      </w:r>
      <w:r w:rsidRPr="00567BC2">
        <w:rPr>
          <w:rFonts w:ascii="Times New Roman" w:hAnsi="Times New Roman" w:cs="Times New Roman"/>
          <w:sz w:val="24"/>
          <w:szCs w:val="24"/>
        </w:rPr>
        <w:t xml:space="preserve"> fundamental</w:t>
      </w:r>
      <w:r w:rsidR="003E4185">
        <w:rPr>
          <w:rFonts w:ascii="Times New Roman" w:hAnsi="Times New Roman" w:cs="Times New Roman"/>
          <w:sz w:val="24"/>
          <w:szCs w:val="24"/>
        </w:rPr>
        <w:t xml:space="preserve"> part of </w:t>
      </w:r>
      <w:r w:rsidR="008549A8" w:rsidRPr="00567BC2">
        <w:rPr>
          <w:rFonts w:ascii="Times New Roman" w:hAnsi="Times New Roman" w:cs="Times New Roman"/>
          <w:sz w:val="24"/>
          <w:szCs w:val="24"/>
        </w:rPr>
        <w:t xml:space="preserve">the </w:t>
      </w:r>
      <w:r w:rsidRPr="00567BC2">
        <w:rPr>
          <w:rFonts w:ascii="Times New Roman" w:hAnsi="Times New Roman" w:cs="Times New Roman"/>
          <w:sz w:val="24"/>
          <w:szCs w:val="24"/>
        </w:rPr>
        <w:t>p</w:t>
      </w:r>
      <w:r w:rsidR="00F857F1" w:rsidRPr="00567BC2">
        <w:rPr>
          <w:rFonts w:ascii="Times New Roman" w:hAnsi="Times New Roman" w:cs="Times New Roman"/>
          <w:sz w:val="24"/>
          <w:szCs w:val="24"/>
        </w:rPr>
        <w:t>rocess of making law</w:t>
      </w:r>
      <w:r w:rsidR="003E4185">
        <w:rPr>
          <w:rFonts w:ascii="Times New Roman" w:hAnsi="Times New Roman" w:cs="Times New Roman"/>
          <w:sz w:val="24"/>
          <w:szCs w:val="24"/>
        </w:rPr>
        <w:t>, and</w:t>
      </w:r>
      <w:r w:rsidR="00F857F1" w:rsidRPr="00567BC2">
        <w:rPr>
          <w:rFonts w:ascii="Times New Roman" w:hAnsi="Times New Roman" w:cs="Times New Roman"/>
          <w:sz w:val="24"/>
          <w:szCs w:val="24"/>
        </w:rPr>
        <w:t xml:space="preserve"> that</w:t>
      </w:r>
      <w:r w:rsidRPr="00567BC2">
        <w:rPr>
          <w:rFonts w:ascii="Times New Roman" w:hAnsi="Times New Roman" w:cs="Times New Roman"/>
          <w:sz w:val="24"/>
          <w:szCs w:val="24"/>
        </w:rPr>
        <w:t xml:space="preserve"> it would be naive to think that making law </w:t>
      </w:r>
      <w:r w:rsidR="008549A8" w:rsidRPr="00567BC2">
        <w:rPr>
          <w:rFonts w:ascii="Times New Roman" w:hAnsi="Times New Roman" w:cs="Times New Roman"/>
          <w:sz w:val="24"/>
          <w:szCs w:val="24"/>
        </w:rPr>
        <w:t>could be separated from political discourse in the manner inferred by the quote above</w:t>
      </w:r>
      <w:r w:rsidRPr="00567BC2">
        <w:rPr>
          <w:rFonts w:ascii="Times New Roman" w:hAnsi="Times New Roman" w:cs="Times New Roman"/>
          <w:sz w:val="24"/>
          <w:szCs w:val="24"/>
        </w:rPr>
        <w:t xml:space="preserve">. </w:t>
      </w:r>
      <w:r w:rsidR="00F857F1" w:rsidRPr="00567BC2">
        <w:rPr>
          <w:rFonts w:ascii="Times New Roman" w:hAnsi="Times New Roman" w:cs="Times New Roman"/>
          <w:sz w:val="24"/>
          <w:szCs w:val="24"/>
        </w:rPr>
        <w:t xml:space="preserve">Notwithstanding this point, </w:t>
      </w:r>
      <w:r w:rsidR="00F12739" w:rsidRPr="00567BC2">
        <w:rPr>
          <w:rFonts w:ascii="Times New Roman" w:hAnsi="Times New Roman" w:cs="Times New Roman"/>
          <w:sz w:val="24"/>
          <w:szCs w:val="24"/>
        </w:rPr>
        <w:t xml:space="preserve">there </w:t>
      </w:r>
      <w:r w:rsidR="003E4185">
        <w:rPr>
          <w:rFonts w:ascii="Times New Roman" w:hAnsi="Times New Roman" w:cs="Times New Roman"/>
          <w:sz w:val="24"/>
          <w:szCs w:val="24"/>
        </w:rPr>
        <w:t xml:space="preserve">is a </w:t>
      </w:r>
      <w:r w:rsidR="00F12739" w:rsidRPr="00567BC2">
        <w:rPr>
          <w:rFonts w:ascii="Times New Roman" w:hAnsi="Times New Roman" w:cs="Times New Roman"/>
          <w:sz w:val="24"/>
          <w:szCs w:val="24"/>
        </w:rPr>
        <w:t xml:space="preserve">more substantive aspect to the statement by Lord Denning </w:t>
      </w:r>
      <w:r w:rsidR="003E4185">
        <w:rPr>
          <w:rFonts w:ascii="Times New Roman" w:hAnsi="Times New Roman" w:cs="Times New Roman"/>
          <w:sz w:val="24"/>
          <w:szCs w:val="24"/>
        </w:rPr>
        <w:t xml:space="preserve">which </w:t>
      </w:r>
      <w:r w:rsidR="00F12739" w:rsidRPr="00567BC2">
        <w:rPr>
          <w:rFonts w:ascii="Times New Roman" w:hAnsi="Times New Roman" w:cs="Times New Roman"/>
          <w:sz w:val="24"/>
          <w:szCs w:val="24"/>
        </w:rPr>
        <w:t xml:space="preserve">warrants consideration. </w:t>
      </w:r>
      <w:r w:rsidR="00190F74" w:rsidRPr="00567BC2">
        <w:rPr>
          <w:rFonts w:ascii="Times New Roman" w:hAnsi="Times New Roman" w:cs="Times New Roman"/>
          <w:sz w:val="24"/>
          <w:szCs w:val="24"/>
        </w:rPr>
        <w:t xml:space="preserve">The notion of offering something and not being able to retrieve it certainly has a political aspect to it; it would be politically egregious to attempt to withdraw competency from, say, a devolved Parliament against </w:t>
      </w:r>
      <w:r w:rsidR="003E4185">
        <w:rPr>
          <w:rFonts w:ascii="Times New Roman" w:hAnsi="Times New Roman" w:cs="Times New Roman"/>
          <w:sz w:val="24"/>
          <w:szCs w:val="24"/>
        </w:rPr>
        <w:t xml:space="preserve">that Parliament’s </w:t>
      </w:r>
      <w:r w:rsidR="00190F74" w:rsidRPr="00567BC2">
        <w:rPr>
          <w:rFonts w:ascii="Times New Roman" w:hAnsi="Times New Roman" w:cs="Times New Roman"/>
          <w:sz w:val="24"/>
          <w:szCs w:val="24"/>
        </w:rPr>
        <w:t xml:space="preserve">will. </w:t>
      </w:r>
      <w:r w:rsidR="003E4185">
        <w:rPr>
          <w:rFonts w:ascii="Times New Roman" w:hAnsi="Times New Roman" w:cs="Times New Roman"/>
          <w:sz w:val="24"/>
          <w:szCs w:val="24"/>
        </w:rPr>
        <w:t>The political aspect is only one part to this issue</w:t>
      </w:r>
      <w:r w:rsidR="00190F74" w:rsidRPr="00567BC2">
        <w:rPr>
          <w:rFonts w:ascii="Times New Roman" w:hAnsi="Times New Roman" w:cs="Times New Roman"/>
          <w:sz w:val="24"/>
          <w:szCs w:val="24"/>
        </w:rPr>
        <w:t xml:space="preserve">. For example, if the UK’s Parliament did hold </w:t>
      </w:r>
      <w:r w:rsidR="003E4185">
        <w:rPr>
          <w:rFonts w:ascii="Times New Roman" w:hAnsi="Times New Roman" w:cs="Times New Roman"/>
          <w:sz w:val="24"/>
          <w:szCs w:val="24"/>
        </w:rPr>
        <w:t>an orthodox</w:t>
      </w:r>
      <w:r w:rsidR="00190F74" w:rsidRPr="00567BC2">
        <w:rPr>
          <w:rFonts w:ascii="Times New Roman" w:hAnsi="Times New Roman" w:cs="Times New Roman"/>
          <w:sz w:val="24"/>
          <w:szCs w:val="24"/>
        </w:rPr>
        <w:t xml:space="preserve"> form of Parliamentary Sovereignty, then Parliament could legislate to withdraw powers after those powers have been devolved. This </w:t>
      </w:r>
      <w:r w:rsidR="00F83987">
        <w:rPr>
          <w:rFonts w:ascii="Times New Roman" w:hAnsi="Times New Roman" w:cs="Times New Roman"/>
          <w:sz w:val="24"/>
          <w:szCs w:val="24"/>
        </w:rPr>
        <w:t>assertion</w:t>
      </w:r>
      <w:r w:rsidR="00F83987" w:rsidRPr="00567BC2">
        <w:rPr>
          <w:rFonts w:ascii="Times New Roman" w:hAnsi="Times New Roman" w:cs="Times New Roman"/>
          <w:sz w:val="24"/>
          <w:szCs w:val="24"/>
        </w:rPr>
        <w:t xml:space="preserve"> </w:t>
      </w:r>
      <w:r w:rsidR="00190F74" w:rsidRPr="00567BC2">
        <w:rPr>
          <w:rFonts w:ascii="Times New Roman" w:hAnsi="Times New Roman" w:cs="Times New Roman"/>
          <w:sz w:val="24"/>
          <w:szCs w:val="24"/>
        </w:rPr>
        <w:t>may have been argued in history; however, it now has a distin</w:t>
      </w:r>
      <w:r w:rsidR="00A446D8">
        <w:rPr>
          <w:rFonts w:ascii="Times New Roman" w:hAnsi="Times New Roman" w:cs="Times New Roman"/>
          <w:sz w:val="24"/>
          <w:szCs w:val="24"/>
        </w:rPr>
        <w:t>ctly colonialist flavour to it.</w:t>
      </w:r>
      <w:r w:rsidR="00190F74" w:rsidRPr="00567BC2">
        <w:rPr>
          <w:rFonts w:ascii="Times New Roman" w:hAnsi="Times New Roman" w:cs="Times New Roman"/>
          <w:sz w:val="24"/>
          <w:szCs w:val="24"/>
        </w:rPr>
        <w:t xml:space="preserve"> </w:t>
      </w:r>
      <w:r w:rsidR="00AE53B4" w:rsidRPr="00567BC2">
        <w:rPr>
          <w:rFonts w:ascii="Times New Roman" w:hAnsi="Times New Roman" w:cs="Times New Roman"/>
          <w:sz w:val="24"/>
          <w:szCs w:val="24"/>
        </w:rPr>
        <w:t>Indigenous people lived in the Americas prior to colonisation and were in many cases nomadic. The UK and Holland (primarily but not solely), saw the nomadic approach to living, and the different style of authority and government as being an absence of land ownership and a lack of government</w:t>
      </w:r>
      <w:r w:rsidR="007B6EFF">
        <w:rPr>
          <w:rFonts w:ascii="Times New Roman" w:hAnsi="Times New Roman" w:cs="Times New Roman"/>
          <w:sz w:val="24"/>
          <w:szCs w:val="24"/>
        </w:rPr>
        <w:t>.</w:t>
      </w:r>
      <w:r w:rsidR="00AE53B4" w:rsidRPr="00567BC2">
        <w:rPr>
          <w:rStyle w:val="FootnoteReference"/>
          <w:rFonts w:ascii="Times New Roman" w:hAnsi="Times New Roman" w:cs="Times New Roman"/>
          <w:sz w:val="24"/>
          <w:szCs w:val="24"/>
        </w:rPr>
        <w:footnoteReference w:id="107"/>
      </w:r>
      <w:r w:rsidR="00AE53B4" w:rsidRPr="00567BC2">
        <w:rPr>
          <w:rFonts w:ascii="Times New Roman" w:hAnsi="Times New Roman" w:cs="Times New Roman"/>
          <w:sz w:val="24"/>
          <w:szCs w:val="24"/>
        </w:rPr>
        <w:t xml:space="preserve"> The Americas were seen as unoccupied </w:t>
      </w:r>
      <w:r w:rsidR="007B6EFF">
        <w:rPr>
          <w:rFonts w:ascii="Times New Roman" w:hAnsi="Times New Roman" w:cs="Times New Roman"/>
          <w:sz w:val="24"/>
          <w:szCs w:val="24"/>
        </w:rPr>
        <w:t xml:space="preserve">and, </w:t>
      </w:r>
      <w:r w:rsidR="00AE53B4" w:rsidRPr="00567BC2">
        <w:rPr>
          <w:rFonts w:ascii="Times New Roman" w:hAnsi="Times New Roman" w:cs="Times New Roman"/>
          <w:sz w:val="24"/>
          <w:szCs w:val="24"/>
        </w:rPr>
        <w:t xml:space="preserve">as the European colonialists perceived their interpretation of land ownership and government as universally recognisable, any nomadic or alternative government structures </w:t>
      </w:r>
      <w:r w:rsidR="007B6EFF">
        <w:rPr>
          <w:rFonts w:ascii="Times New Roman" w:hAnsi="Times New Roman" w:cs="Times New Roman"/>
          <w:sz w:val="24"/>
          <w:szCs w:val="24"/>
        </w:rPr>
        <w:lastRenderedPageBreak/>
        <w:t>were</w:t>
      </w:r>
      <w:r w:rsidR="007B6EFF" w:rsidRPr="00567BC2">
        <w:rPr>
          <w:rFonts w:ascii="Times New Roman" w:hAnsi="Times New Roman" w:cs="Times New Roman"/>
          <w:sz w:val="24"/>
          <w:szCs w:val="24"/>
        </w:rPr>
        <w:t xml:space="preserve"> </w:t>
      </w:r>
      <w:r w:rsidR="00AE53B4" w:rsidRPr="00567BC2">
        <w:rPr>
          <w:rFonts w:ascii="Times New Roman" w:hAnsi="Times New Roman" w:cs="Times New Roman"/>
          <w:sz w:val="24"/>
          <w:szCs w:val="24"/>
        </w:rPr>
        <w:t>considered free</w:t>
      </w:r>
      <w:r w:rsidR="007B6EFF">
        <w:rPr>
          <w:rFonts w:ascii="Times New Roman" w:hAnsi="Times New Roman" w:cs="Times New Roman"/>
          <w:sz w:val="24"/>
          <w:szCs w:val="24"/>
        </w:rPr>
        <w:t xml:space="preserve"> from ownership and could</w:t>
      </w:r>
      <w:r w:rsidR="00AE53B4" w:rsidRPr="00567BC2">
        <w:rPr>
          <w:rFonts w:ascii="Times New Roman" w:hAnsi="Times New Roman" w:cs="Times New Roman"/>
          <w:sz w:val="24"/>
          <w:szCs w:val="24"/>
        </w:rPr>
        <w:t xml:space="preserve"> be taken and colonised</w:t>
      </w:r>
      <w:r w:rsidR="007B6EFF">
        <w:rPr>
          <w:rFonts w:ascii="Times New Roman" w:hAnsi="Times New Roman" w:cs="Times New Roman"/>
          <w:sz w:val="24"/>
          <w:szCs w:val="24"/>
        </w:rPr>
        <w:t>.</w:t>
      </w:r>
      <w:r w:rsidR="00AE53B4" w:rsidRPr="00567BC2">
        <w:rPr>
          <w:rStyle w:val="FootnoteReference"/>
          <w:rFonts w:ascii="Times New Roman" w:hAnsi="Times New Roman" w:cs="Times New Roman"/>
          <w:sz w:val="24"/>
          <w:szCs w:val="24"/>
        </w:rPr>
        <w:footnoteReference w:id="108"/>
      </w:r>
      <w:r w:rsidR="00AE53B4" w:rsidRPr="00567BC2">
        <w:rPr>
          <w:rFonts w:ascii="Times New Roman" w:hAnsi="Times New Roman" w:cs="Times New Roman"/>
          <w:sz w:val="24"/>
          <w:szCs w:val="24"/>
        </w:rPr>
        <w:t xml:space="preserve"> </w:t>
      </w:r>
      <w:r w:rsidR="001D68DC" w:rsidRPr="00567BC2">
        <w:rPr>
          <w:rFonts w:ascii="Times New Roman" w:hAnsi="Times New Roman" w:cs="Times New Roman"/>
          <w:sz w:val="24"/>
          <w:szCs w:val="24"/>
        </w:rPr>
        <w:t xml:space="preserve">To argue against Lord Denning </w:t>
      </w:r>
      <w:r w:rsidR="007B6EFF">
        <w:rPr>
          <w:rFonts w:ascii="Times New Roman" w:hAnsi="Times New Roman" w:cs="Times New Roman"/>
          <w:sz w:val="24"/>
          <w:szCs w:val="24"/>
        </w:rPr>
        <w:t xml:space="preserve">MR </w:t>
      </w:r>
      <w:r w:rsidR="001D68DC" w:rsidRPr="00567BC2">
        <w:rPr>
          <w:rFonts w:ascii="Times New Roman" w:hAnsi="Times New Roman" w:cs="Times New Roman"/>
          <w:sz w:val="24"/>
          <w:szCs w:val="24"/>
        </w:rPr>
        <w:t xml:space="preserve">is to align one’s argument with that which justifies colonialism, and in today’s society it is rightly abhorrent to do so. The removal of powers that have been handed back to a jurisdiction, or that have been devolved is akin to imposing an idol (as has been mentioned above) on the subjected state or sub-state jurisdiction. The </w:t>
      </w:r>
      <w:r w:rsidR="00D90D11">
        <w:rPr>
          <w:rFonts w:ascii="Times New Roman" w:hAnsi="Times New Roman" w:cs="Times New Roman"/>
          <w:sz w:val="24"/>
          <w:szCs w:val="24"/>
        </w:rPr>
        <w:t xml:space="preserve">act of </w:t>
      </w:r>
      <w:r w:rsidR="001D68DC" w:rsidRPr="00567BC2">
        <w:rPr>
          <w:rFonts w:ascii="Times New Roman" w:hAnsi="Times New Roman" w:cs="Times New Roman"/>
          <w:sz w:val="24"/>
          <w:szCs w:val="24"/>
        </w:rPr>
        <w:t>imposi</w:t>
      </w:r>
      <w:r w:rsidR="00D90D11">
        <w:rPr>
          <w:rFonts w:ascii="Times New Roman" w:hAnsi="Times New Roman" w:cs="Times New Roman"/>
          <w:sz w:val="24"/>
          <w:szCs w:val="24"/>
        </w:rPr>
        <w:t xml:space="preserve">ng an </w:t>
      </w:r>
      <w:r w:rsidR="001D68DC" w:rsidRPr="00567BC2">
        <w:rPr>
          <w:rFonts w:ascii="Times New Roman" w:hAnsi="Times New Roman" w:cs="Times New Roman"/>
          <w:sz w:val="24"/>
          <w:szCs w:val="24"/>
        </w:rPr>
        <w:t xml:space="preserve">idol </w:t>
      </w:r>
      <w:r w:rsidR="00D90D11">
        <w:rPr>
          <w:rFonts w:ascii="Times New Roman" w:hAnsi="Times New Roman" w:cs="Times New Roman"/>
          <w:sz w:val="24"/>
          <w:szCs w:val="24"/>
        </w:rPr>
        <w:t xml:space="preserve">on another state </w:t>
      </w:r>
      <w:r w:rsidR="001D68DC" w:rsidRPr="00567BC2">
        <w:rPr>
          <w:rFonts w:ascii="Times New Roman" w:hAnsi="Times New Roman" w:cs="Times New Roman"/>
          <w:sz w:val="24"/>
          <w:szCs w:val="24"/>
        </w:rPr>
        <w:t xml:space="preserve">is akin to </w:t>
      </w:r>
      <w:r w:rsidR="0080676B">
        <w:rPr>
          <w:rFonts w:ascii="Times New Roman" w:hAnsi="Times New Roman" w:cs="Times New Roman"/>
          <w:sz w:val="24"/>
          <w:szCs w:val="24"/>
        </w:rPr>
        <w:t>colonisation</w:t>
      </w:r>
      <w:r w:rsidR="009152F3">
        <w:rPr>
          <w:rFonts w:ascii="Times New Roman" w:hAnsi="Times New Roman" w:cs="Times New Roman"/>
          <w:sz w:val="24"/>
          <w:szCs w:val="24"/>
        </w:rPr>
        <w:t xml:space="preserve"> without physical invasion; the command that a state or sub-state submit itself to the idol of another is the modern incarnation of imperialism and </w:t>
      </w:r>
      <w:r w:rsidR="0080676B">
        <w:rPr>
          <w:rFonts w:ascii="Times New Roman" w:hAnsi="Times New Roman" w:cs="Times New Roman"/>
          <w:sz w:val="24"/>
          <w:szCs w:val="24"/>
        </w:rPr>
        <w:t>colonisation</w:t>
      </w:r>
      <w:r w:rsidR="00D90D11">
        <w:rPr>
          <w:rFonts w:ascii="Times New Roman" w:hAnsi="Times New Roman" w:cs="Times New Roman"/>
          <w:sz w:val="24"/>
          <w:szCs w:val="24"/>
        </w:rPr>
        <w:t>, without the reliance on ships and artillery</w:t>
      </w:r>
      <w:r w:rsidR="001D68DC" w:rsidRPr="00567BC2">
        <w:rPr>
          <w:rFonts w:ascii="Times New Roman" w:hAnsi="Times New Roman" w:cs="Times New Roman"/>
          <w:sz w:val="24"/>
          <w:szCs w:val="24"/>
        </w:rPr>
        <w:t xml:space="preserve">. One matter which would require its own investigation here, is </w:t>
      </w:r>
      <w:r w:rsidR="003E4185">
        <w:rPr>
          <w:rFonts w:ascii="Times New Roman" w:hAnsi="Times New Roman" w:cs="Times New Roman"/>
          <w:sz w:val="24"/>
          <w:szCs w:val="24"/>
        </w:rPr>
        <w:t>whether</w:t>
      </w:r>
      <w:r w:rsidR="001D68DC" w:rsidRPr="00567BC2">
        <w:rPr>
          <w:rFonts w:ascii="Times New Roman" w:hAnsi="Times New Roman" w:cs="Times New Roman"/>
          <w:sz w:val="24"/>
          <w:szCs w:val="24"/>
        </w:rPr>
        <w:t xml:space="preserve"> a sub-jurisdiction </w:t>
      </w:r>
      <w:r w:rsidR="00F0777A" w:rsidRPr="00567BC2">
        <w:rPr>
          <w:rFonts w:ascii="Times New Roman" w:hAnsi="Times New Roman" w:cs="Times New Roman"/>
          <w:sz w:val="24"/>
          <w:szCs w:val="24"/>
        </w:rPr>
        <w:t>inherits</w:t>
      </w:r>
      <w:r w:rsidR="001D68DC" w:rsidRPr="00567BC2">
        <w:rPr>
          <w:rFonts w:ascii="Times New Roman" w:hAnsi="Times New Roman" w:cs="Times New Roman"/>
          <w:sz w:val="24"/>
          <w:szCs w:val="24"/>
        </w:rPr>
        <w:t xml:space="preserve"> the protections suggested under the Westphalian principles, or whether these should be </w:t>
      </w:r>
      <w:r w:rsidR="00B75ECA">
        <w:rPr>
          <w:rFonts w:ascii="Times New Roman" w:hAnsi="Times New Roman" w:cs="Times New Roman"/>
          <w:sz w:val="24"/>
          <w:szCs w:val="24"/>
        </w:rPr>
        <w:t xml:space="preserve">reserved for recognised states. </w:t>
      </w:r>
    </w:p>
    <w:p w:rsidR="00AD6685" w:rsidRPr="00567BC2" w:rsidRDefault="00875D72"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Thirdly, the statement that Parliament is supreme and yet is controlled by a subordinate set of rules does not fully equate as a logical statement. If Parliament is supreme then only the present Parliament assembled can govern itself, and if there are a subordinate set of rules governing the way that Parliament operates then by virtue of the rules being subordinate, they can</w:t>
      </w:r>
      <w:r w:rsidR="0080676B">
        <w:rPr>
          <w:rFonts w:ascii="Times New Roman" w:hAnsi="Times New Roman" w:cs="Times New Roman"/>
          <w:sz w:val="24"/>
          <w:szCs w:val="24"/>
        </w:rPr>
        <w:t>,</w:t>
      </w:r>
      <w:r w:rsidRPr="00567BC2">
        <w:rPr>
          <w:rFonts w:ascii="Times New Roman" w:hAnsi="Times New Roman" w:cs="Times New Roman"/>
          <w:sz w:val="24"/>
          <w:szCs w:val="24"/>
        </w:rPr>
        <w:t xml:space="preserve"> therefore</w:t>
      </w:r>
      <w:r w:rsidR="0080676B">
        <w:rPr>
          <w:rFonts w:ascii="Times New Roman" w:hAnsi="Times New Roman" w:cs="Times New Roman"/>
          <w:sz w:val="24"/>
          <w:szCs w:val="24"/>
        </w:rPr>
        <w:t>,</w:t>
      </w:r>
      <w:r w:rsidRPr="00567BC2">
        <w:rPr>
          <w:rFonts w:ascii="Times New Roman" w:hAnsi="Times New Roman" w:cs="Times New Roman"/>
          <w:sz w:val="24"/>
          <w:szCs w:val="24"/>
        </w:rPr>
        <w:t xml:space="preserve"> be changed. If the rules can be changed by Parliament, it is proposed that these suggested rules are guidelines and as such cannot bind Parliament, though it may choose to abide by them. </w:t>
      </w:r>
      <w:r w:rsidR="00AD6685" w:rsidRPr="00567BC2">
        <w:rPr>
          <w:rFonts w:ascii="Times New Roman" w:hAnsi="Times New Roman" w:cs="Times New Roman"/>
          <w:sz w:val="24"/>
          <w:szCs w:val="24"/>
        </w:rPr>
        <w:t>F</w:t>
      </w:r>
      <w:r w:rsidR="00F03BC1" w:rsidRPr="00567BC2">
        <w:rPr>
          <w:rFonts w:ascii="Times New Roman" w:hAnsi="Times New Roman" w:cs="Times New Roman"/>
          <w:sz w:val="24"/>
          <w:szCs w:val="24"/>
        </w:rPr>
        <w:t>or example, Erskine May</w:t>
      </w:r>
      <w:r w:rsidR="00516DAD" w:rsidRPr="00567BC2">
        <w:rPr>
          <w:rFonts w:ascii="Times New Roman" w:hAnsi="Times New Roman" w:cs="Times New Roman"/>
          <w:sz w:val="24"/>
          <w:szCs w:val="24"/>
        </w:rPr>
        <w:t>’s</w:t>
      </w:r>
      <w:r w:rsidR="00516DAD" w:rsidRPr="00567BC2">
        <w:rPr>
          <w:rFonts w:ascii="Times New Roman" w:hAnsi="Times New Roman" w:cs="Times New Roman"/>
          <w:i/>
        </w:rPr>
        <w:t xml:space="preserve"> </w:t>
      </w:r>
      <w:r w:rsidR="00516DAD" w:rsidRPr="00567BC2">
        <w:rPr>
          <w:rFonts w:ascii="Times New Roman" w:hAnsi="Times New Roman" w:cs="Times New Roman"/>
          <w:sz w:val="24"/>
          <w:szCs w:val="24"/>
        </w:rPr>
        <w:t>Treatise</w:t>
      </w:r>
      <w:r w:rsidR="00F03BC1" w:rsidRPr="00567BC2">
        <w:rPr>
          <w:rStyle w:val="FootnoteReference"/>
          <w:rFonts w:ascii="Times New Roman" w:hAnsi="Times New Roman" w:cs="Times New Roman"/>
          <w:sz w:val="24"/>
          <w:szCs w:val="24"/>
        </w:rPr>
        <w:footnoteReference w:id="109"/>
      </w:r>
      <w:r w:rsidR="00F03BC1" w:rsidRPr="00567BC2">
        <w:rPr>
          <w:rFonts w:ascii="Times New Roman" w:hAnsi="Times New Roman" w:cs="Times New Roman"/>
          <w:sz w:val="24"/>
          <w:szCs w:val="24"/>
        </w:rPr>
        <w:t xml:space="preserve"> </w:t>
      </w:r>
      <w:r w:rsidR="00516DAD" w:rsidRPr="00567BC2">
        <w:rPr>
          <w:rFonts w:ascii="Times New Roman" w:hAnsi="Times New Roman" w:cs="Times New Roman"/>
          <w:sz w:val="24"/>
          <w:szCs w:val="24"/>
        </w:rPr>
        <w:t xml:space="preserve">sets out the rules and procedures of Parliament. To assert that these rules bind Parliament is to denounce Parliamentary Sovereignty in its entirety. The rules stipulated in the Treatise are rules </w:t>
      </w:r>
      <w:r w:rsidR="000A2F68" w:rsidRPr="00567BC2">
        <w:rPr>
          <w:rFonts w:ascii="Times New Roman" w:hAnsi="Times New Roman" w:cs="Times New Roman"/>
          <w:sz w:val="24"/>
          <w:szCs w:val="24"/>
        </w:rPr>
        <w:t xml:space="preserve">which describe or specify the working </w:t>
      </w:r>
      <w:r w:rsidR="00410617" w:rsidRPr="00567BC2">
        <w:rPr>
          <w:rFonts w:ascii="Times New Roman" w:hAnsi="Times New Roman" w:cs="Times New Roman"/>
          <w:sz w:val="24"/>
          <w:szCs w:val="24"/>
        </w:rPr>
        <w:t>practices</w:t>
      </w:r>
      <w:r w:rsidR="000A2F68" w:rsidRPr="00567BC2">
        <w:rPr>
          <w:rFonts w:ascii="Times New Roman" w:hAnsi="Times New Roman" w:cs="Times New Roman"/>
          <w:sz w:val="24"/>
          <w:szCs w:val="24"/>
        </w:rPr>
        <w:t xml:space="preserve"> of Parliament itself. Paragraph 11.1 states that: </w:t>
      </w:r>
    </w:p>
    <w:p w:rsidR="005D1DC1" w:rsidRDefault="000A2F68" w:rsidP="004E0044">
      <w:pPr>
        <w:spacing w:line="360" w:lineRule="auto"/>
        <w:ind w:left="360"/>
        <w:jc w:val="both"/>
        <w:rPr>
          <w:rFonts w:ascii="Times New Roman" w:hAnsi="Times New Roman" w:cs="Times New Roman"/>
          <w:sz w:val="24"/>
          <w:szCs w:val="24"/>
        </w:rPr>
      </w:pPr>
      <w:r w:rsidRPr="00567BC2">
        <w:rPr>
          <w:rFonts w:ascii="Times New Roman" w:hAnsi="Times New Roman" w:cs="Times New Roman"/>
          <w:sz w:val="24"/>
          <w:szCs w:val="24"/>
        </w:rPr>
        <w:t>Those powers can be briefly described as:</w:t>
      </w:r>
      <w:r w:rsidR="00CB72A2">
        <w:rPr>
          <w:rFonts w:ascii="Times New Roman" w:hAnsi="Times New Roman" w:cs="Times New Roman"/>
          <w:sz w:val="24"/>
          <w:szCs w:val="24"/>
        </w:rPr>
        <w:t xml:space="preserve"> </w:t>
      </w:r>
      <w:r w:rsidRPr="00567BC2">
        <w:rPr>
          <w:rFonts w:ascii="Times New Roman" w:hAnsi="Times New Roman" w:cs="Times New Roman"/>
          <w:sz w:val="24"/>
          <w:szCs w:val="24"/>
        </w:rPr>
        <w:t>(for the Commons in particular) the power to control taxation and expenditure and to authorise numbers for defence services;</w:t>
      </w:r>
      <w:r w:rsidR="00CB72A2">
        <w:rPr>
          <w:rFonts w:ascii="Times New Roman" w:hAnsi="Times New Roman" w:cs="Times New Roman"/>
          <w:sz w:val="24"/>
          <w:szCs w:val="24"/>
        </w:rPr>
        <w:t xml:space="preserve"> </w:t>
      </w:r>
      <w:r w:rsidRPr="00567BC2">
        <w:rPr>
          <w:rFonts w:ascii="Times New Roman" w:hAnsi="Times New Roman" w:cs="Times New Roman"/>
          <w:sz w:val="24"/>
          <w:szCs w:val="24"/>
        </w:rPr>
        <w:t>the power to legislate;</w:t>
      </w:r>
      <w:r w:rsidR="00CB72A2">
        <w:rPr>
          <w:rFonts w:ascii="Times New Roman" w:hAnsi="Times New Roman" w:cs="Times New Roman"/>
          <w:sz w:val="24"/>
          <w:szCs w:val="24"/>
        </w:rPr>
        <w:t xml:space="preserve"> </w:t>
      </w:r>
      <w:r w:rsidRPr="00567BC2">
        <w:rPr>
          <w:rFonts w:ascii="Times New Roman" w:hAnsi="Times New Roman" w:cs="Times New Roman"/>
          <w:sz w:val="24"/>
          <w:szCs w:val="24"/>
        </w:rPr>
        <w:t>powers to enforce the authority of each House (penal jurisdiction); and</w:t>
      </w:r>
      <w:r w:rsidR="00CB72A2">
        <w:rPr>
          <w:rFonts w:ascii="Times New Roman" w:hAnsi="Times New Roman" w:cs="Times New Roman"/>
          <w:sz w:val="24"/>
          <w:szCs w:val="24"/>
        </w:rPr>
        <w:t xml:space="preserve"> </w:t>
      </w:r>
      <w:r w:rsidRPr="00567BC2">
        <w:rPr>
          <w:rFonts w:ascii="Times New Roman" w:hAnsi="Times New Roman" w:cs="Times New Roman"/>
          <w:sz w:val="24"/>
          <w:szCs w:val="24"/>
        </w:rPr>
        <w:t>power to control their own precincts and proceedings, and power to control aspects of their own membership (exclusive cognizance).</w:t>
      </w:r>
      <w:r w:rsidR="00CB72A2">
        <w:rPr>
          <w:rFonts w:ascii="Times New Roman" w:hAnsi="Times New Roman" w:cs="Times New Roman"/>
          <w:sz w:val="24"/>
          <w:szCs w:val="24"/>
        </w:rPr>
        <w:t xml:space="preserve"> </w:t>
      </w:r>
    </w:p>
    <w:p w:rsidR="00875D72" w:rsidRPr="00567BC2" w:rsidRDefault="000A2F68" w:rsidP="00885B92">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 xml:space="preserve">To assert that </w:t>
      </w:r>
      <w:r w:rsidR="00CB72A2">
        <w:rPr>
          <w:rFonts w:ascii="Times New Roman" w:hAnsi="Times New Roman" w:cs="Times New Roman"/>
          <w:sz w:val="24"/>
          <w:szCs w:val="24"/>
        </w:rPr>
        <w:t>P</w:t>
      </w:r>
      <w:r w:rsidRPr="00567BC2">
        <w:rPr>
          <w:rFonts w:ascii="Times New Roman" w:hAnsi="Times New Roman" w:cs="Times New Roman"/>
          <w:sz w:val="24"/>
          <w:szCs w:val="24"/>
        </w:rPr>
        <w:t xml:space="preserve">arliament is bound by this description is </w:t>
      </w:r>
      <w:r w:rsidR="00CB72A2">
        <w:rPr>
          <w:rFonts w:ascii="Times New Roman" w:hAnsi="Times New Roman" w:cs="Times New Roman"/>
          <w:sz w:val="24"/>
          <w:szCs w:val="24"/>
        </w:rPr>
        <w:t xml:space="preserve">to </w:t>
      </w:r>
      <w:r w:rsidR="00077A4D" w:rsidRPr="00567BC2">
        <w:rPr>
          <w:rFonts w:ascii="Times New Roman" w:hAnsi="Times New Roman" w:cs="Times New Roman"/>
          <w:sz w:val="24"/>
          <w:szCs w:val="24"/>
        </w:rPr>
        <w:t>trivialise Parliament</w:t>
      </w:r>
      <w:r w:rsidR="00CB72A2">
        <w:rPr>
          <w:rFonts w:ascii="Times New Roman" w:hAnsi="Times New Roman" w:cs="Times New Roman"/>
          <w:sz w:val="24"/>
          <w:szCs w:val="24"/>
        </w:rPr>
        <w:t>’</w:t>
      </w:r>
      <w:r w:rsidR="00077A4D" w:rsidRPr="00567BC2">
        <w:rPr>
          <w:rFonts w:ascii="Times New Roman" w:hAnsi="Times New Roman" w:cs="Times New Roman"/>
          <w:sz w:val="24"/>
          <w:szCs w:val="24"/>
        </w:rPr>
        <w:t xml:space="preserve">s authority, yet to take the opposing view </w:t>
      </w:r>
      <w:r w:rsidR="00077A4D" w:rsidRPr="00567BC2">
        <w:rPr>
          <w:rFonts w:ascii="Times New Roman" w:hAnsi="Times New Roman" w:cs="Times New Roman"/>
          <w:i/>
          <w:sz w:val="24"/>
          <w:szCs w:val="24"/>
        </w:rPr>
        <w:t>viz</w:t>
      </w:r>
      <w:r w:rsidR="00CB72A2">
        <w:rPr>
          <w:rFonts w:ascii="Times New Roman" w:hAnsi="Times New Roman" w:cs="Times New Roman"/>
          <w:i/>
          <w:sz w:val="24"/>
          <w:szCs w:val="24"/>
        </w:rPr>
        <w:t>.</w:t>
      </w:r>
      <w:r w:rsidR="00CB72A2">
        <w:rPr>
          <w:rFonts w:ascii="Times New Roman" w:hAnsi="Times New Roman" w:cs="Times New Roman"/>
          <w:sz w:val="24"/>
          <w:szCs w:val="24"/>
        </w:rPr>
        <w:t xml:space="preserve"> that P</w:t>
      </w:r>
      <w:r w:rsidR="00077A4D" w:rsidRPr="00567BC2">
        <w:rPr>
          <w:rFonts w:ascii="Times New Roman" w:hAnsi="Times New Roman" w:cs="Times New Roman"/>
          <w:sz w:val="24"/>
          <w:szCs w:val="24"/>
        </w:rPr>
        <w:t xml:space="preserve">arliament can change any of these rules is also naive to the </w:t>
      </w:r>
      <w:r w:rsidR="00077A4D" w:rsidRPr="00567BC2">
        <w:rPr>
          <w:rFonts w:ascii="Times New Roman" w:hAnsi="Times New Roman" w:cs="Times New Roman"/>
          <w:sz w:val="24"/>
          <w:szCs w:val="24"/>
        </w:rPr>
        <w:lastRenderedPageBreak/>
        <w:t xml:space="preserve">reasons for their longevity and seemed permanency. The answer must lay in the myriad of options between the two extremes. </w:t>
      </w:r>
    </w:p>
    <w:p w:rsidR="00875D72" w:rsidRPr="00567BC2" w:rsidRDefault="00875D72"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Finally, in respect of the courts upholding the limits on Parliament, if Parliament is supreme, the courts have no authority to limit its power or enforce rules on it. In practical terms, would the courts ever see it as their role to intervene in the authority of the democratically elected law-making body? It has been argued in popular media that the courts have already taken on the role of controlling Parliament to some degree as seen in the case of </w:t>
      </w:r>
      <w:r w:rsidRPr="00567BC2">
        <w:rPr>
          <w:rFonts w:ascii="Times New Roman" w:hAnsi="Times New Roman" w:cs="Times New Roman"/>
          <w:i/>
          <w:iCs/>
          <w:sz w:val="24"/>
          <w:szCs w:val="24"/>
        </w:rPr>
        <w:t>R(Miller) v Secretary of State for Exiting the European Union</w:t>
      </w:r>
      <w:r w:rsidR="0053296D">
        <w:rPr>
          <w:rFonts w:ascii="Times New Roman" w:hAnsi="Times New Roman" w:cs="Times New Roman"/>
          <w:i/>
          <w:iCs/>
          <w:sz w:val="24"/>
          <w:szCs w:val="24"/>
        </w:rPr>
        <w:t>.</w:t>
      </w:r>
      <w:r w:rsidRPr="00567BC2">
        <w:rPr>
          <w:rFonts w:ascii="Times New Roman" w:hAnsi="Times New Roman" w:cs="Times New Roman"/>
          <w:i/>
          <w:iCs/>
          <w:sz w:val="24"/>
          <w:szCs w:val="24"/>
          <w:vertAlign w:val="superscript"/>
        </w:rPr>
        <w:footnoteReference w:id="110"/>
      </w:r>
      <w:r w:rsidRPr="00567BC2">
        <w:rPr>
          <w:rFonts w:ascii="Times New Roman" w:hAnsi="Times New Roman" w:cs="Times New Roman"/>
          <w:sz w:val="24"/>
          <w:szCs w:val="24"/>
        </w:rPr>
        <w:t xml:space="preserve"> However, the Supreme Court was concerned with the remit of the government as an executive agency and the use of a prerogative power to begin a chain reaction that would lead to a loss of individual rights; not the authority of Parliament to legislate on what it sees fit. One </w:t>
      </w:r>
      <w:r w:rsidR="00165D41" w:rsidRPr="00567BC2">
        <w:rPr>
          <w:rFonts w:ascii="Times New Roman" w:hAnsi="Times New Roman" w:cs="Times New Roman"/>
          <w:sz w:val="24"/>
          <w:szCs w:val="24"/>
        </w:rPr>
        <w:t xml:space="preserve">divergent </w:t>
      </w:r>
      <w:r w:rsidRPr="00567BC2">
        <w:rPr>
          <w:rFonts w:ascii="Times New Roman" w:hAnsi="Times New Roman" w:cs="Times New Roman"/>
          <w:sz w:val="24"/>
          <w:szCs w:val="24"/>
        </w:rPr>
        <w:t>matter is the courts</w:t>
      </w:r>
      <w:r w:rsidR="0053296D">
        <w:rPr>
          <w:rFonts w:ascii="Times New Roman" w:hAnsi="Times New Roman" w:cs="Times New Roman"/>
          <w:sz w:val="24"/>
          <w:szCs w:val="24"/>
        </w:rPr>
        <w:t>’</w:t>
      </w:r>
      <w:r w:rsidRPr="00567BC2">
        <w:rPr>
          <w:rFonts w:ascii="Times New Roman" w:hAnsi="Times New Roman" w:cs="Times New Roman"/>
          <w:sz w:val="24"/>
          <w:szCs w:val="24"/>
        </w:rPr>
        <w:t xml:space="preserve"> power to make orders which apply beyond its jurisdictions.  </w:t>
      </w:r>
      <w:r w:rsidR="00077A4D" w:rsidRPr="00567BC2">
        <w:rPr>
          <w:rFonts w:ascii="Times New Roman" w:hAnsi="Times New Roman" w:cs="Times New Roman"/>
          <w:sz w:val="24"/>
          <w:szCs w:val="24"/>
        </w:rPr>
        <w:t>T</w:t>
      </w:r>
      <w:r w:rsidRPr="00567BC2">
        <w:rPr>
          <w:rFonts w:ascii="Times New Roman" w:hAnsi="Times New Roman" w:cs="Times New Roman"/>
          <w:sz w:val="24"/>
          <w:szCs w:val="24"/>
        </w:rPr>
        <w:t>his is beyond the remit of this</w:t>
      </w:r>
      <w:r w:rsidR="00077A4D" w:rsidRPr="00567BC2">
        <w:rPr>
          <w:rFonts w:ascii="Times New Roman" w:hAnsi="Times New Roman" w:cs="Times New Roman"/>
          <w:sz w:val="24"/>
          <w:szCs w:val="24"/>
        </w:rPr>
        <w:t xml:space="preserve"> article</w:t>
      </w:r>
      <w:r w:rsidRPr="00567BC2">
        <w:rPr>
          <w:rFonts w:ascii="Times New Roman" w:hAnsi="Times New Roman" w:cs="Times New Roman"/>
          <w:sz w:val="24"/>
          <w:szCs w:val="24"/>
        </w:rPr>
        <w:t xml:space="preserve">; however, it is worth noting that some common law offences such as </w:t>
      </w:r>
      <w:r w:rsidR="00077A4D" w:rsidRPr="00567BC2">
        <w:rPr>
          <w:rFonts w:ascii="Times New Roman" w:hAnsi="Times New Roman" w:cs="Times New Roman"/>
          <w:sz w:val="24"/>
          <w:szCs w:val="24"/>
        </w:rPr>
        <w:t>murder are extra</w:t>
      </w:r>
      <w:r w:rsidRPr="00567BC2">
        <w:rPr>
          <w:rFonts w:ascii="Times New Roman" w:hAnsi="Times New Roman" w:cs="Times New Roman"/>
          <w:sz w:val="24"/>
          <w:szCs w:val="24"/>
        </w:rPr>
        <w:t>territorial</w:t>
      </w:r>
      <w:r w:rsidRPr="00567BC2">
        <w:rPr>
          <w:rFonts w:ascii="Times New Roman" w:hAnsi="Times New Roman" w:cs="Times New Roman"/>
          <w:sz w:val="24"/>
          <w:szCs w:val="24"/>
          <w:vertAlign w:val="superscript"/>
        </w:rPr>
        <w:footnoteReference w:id="111"/>
      </w:r>
      <w:r w:rsidR="0053296D">
        <w:rPr>
          <w:rFonts w:ascii="Times New Roman" w:hAnsi="Times New Roman" w:cs="Times New Roman"/>
          <w:sz w:val="24"/>
          <w:szCs w:val="24"/>
        </w:rPr>
        <w:t>,</w:t>
      </w:r>
      <w:r w:rsidR="00077A4D" w:rsidRPr="00567BC2">
        <w:rPr>
          <w:rFonts w:ascii="Times New Roman" w:hAnsi="Times New Roman" w:cs="Times New Roman"/>
          <w:sz w:val="24"/>
          <w:szCs w:val="24"/>
        </w:rPr>
        <w:t xml:space="preserve"> and that there may be further need to consider the notion </w:t>
      </w:r>
      <w:r w:rsidR="0037569E">
        <w:rPr>
          <w:rFonts w:ascii="Times New Roman" w:hAnsi="Times New Roman" w:cs="Times New Roman"/>
          <w:sz w:val="24"/>
          <w:szCs w:val="24"/>
        </w:rPr>
        <w:t xml:space="preserve">of </w:t>
      </w:r>
      <w:r w:rsidR="00077A4D" w:rsidRPr="00567BC2">
        <w:rPr>
          <w:rFonts w:ascii="Times New Roman" w:hAnsi="Times New Roman" w:cs="Times New Roman"/>
          <w:sz w:val="24"/>
          <w:szCs w:val="24"/>
        </w:rPr>
        <w:t>judicial authority in framing a metaphysical understanding of legislative supremacy</w:t>
      </w:r>
      <w:r w:rsidR="00FE1E24">
        <w:rPr>
          <w:rFonts w:ascii="Times New Roman" w:hAnsi="Times New Roman" w:cs="Times New Roman"/>
          <w:sz w:val="24"/>
          <w:szCs w:val="24"/>
        </w:rPr>
        <w:t>, or to consider the metaphysics of judicial law</w:t>
      </w:r>
      <w:r w:rsidR="00786B0B">
        <w:rPr>
          <w:rFonts w:ascii="Times New Roman" w:hAnsi="Times New Roman" w:cs="Times New Roman"/>
          <w:sz w:val="24"/>
          <w:szCs w:val="24"/>
        </w:rPr>
        <w:t>-</w:t>
      </w:r>
      <w:r w:rsidR="00FE1E24">
        <w:rPr>
          <w:rFonts w:ascii="Times New Roman" w:hAnsi="Times New Roman" w:cs="Times New Roman"/>
          <w:sz w:val="24"/>
          <w:szCs w:val="24"/>
        </w:rPr>
        <w:t>making</w:t>
      </w:r>
      <w:r w:rsidRPr="00567BC2">
        <w:rPr>
          <w:rFonts w:ascii="Times New Roman" w:hAnsi="Times New Roman" w:cs="Times New Roman"/>
          <w:sz w:val="24"/>
          <w:szCs w:val="24"/>
        </w:rPr>
        <w:t xml:space="preserve">. It does leave the distinct impression </w:t>
      </w:r>
      <w:r w:rsidR="00FA5F06" w:rsidRPr="00567BC2">
        <w:rPr>
          <w:rFonts w:ascii="Times New Roman" w:hAnsi="Times New Roman" w:cs="Times New Roman"/>
          <w:sz w:val="24"/>
          <w:szCs w:val="24"/>
        </w:rPr>
        <w:t>nevertheless</w:t>
      </w:r>
      <w:r w:rsidRPr="00567BC2">
        <w:rPr>
          <w:rFonts w:ascii="Times New Roman" w:hAnsi="Times New Roman" w:cs="Times New Roman"/>
          <w:sz w:val="24"/>
          <w:szCs w:val="24"/>
        </w:rPr>
        <w:t>, that the role of the courts is also changing and that no current model of sovereignty adequately explains the adaptability of Parliament or the courts</w:t>
      </w:r>
      <w:r w:rsidR="00E105AD">
        <w:rPr>
          <w:rFonts w:ascii="Times New Roman" w:hAnsi="Times New Roman" w:cs="Times New Roman"/>
          <w:sz w:val="24"/>
          <w:szCs w:val="24"/>
        </w:rPr>
        <w:t>.</w:t>
      </w:r>
      <w:r w:rsidRPr="00567BC2">
        <w:rPr>
          <w:rFonts w:ascii="Times New Roman" w:hAnsi="Times New Roman" w:cs="Times New Roman"/>
          <w:sz w:val="24"/>
          <w:szCs w:val="24"/>
          <w:vertAlign w:val="superscript"/>
        </w:rPr>
        <w:footnoteReference w:id="112"/>
      </w:r>
    </w:p>
    <w:p w:rsidR="005A27AB" w:rsidRPr="00D25FD7" w:rsidRDefault="00875D72" w:rsidP="007C5246">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Model three has clearly developed to try and provide a pragmatic solution to the UK’s unique constitutional situation and the role of Parliament in it; it does offer some interesting points to consider</w:t>
      </w:r>
      <w:r w:rsidR="00D022C1">
        <w:rPr>
          <w:rFonts w:ascii="Times New Roman" w:hAnsi="Times New Roman" w:cs="Times New Roman"/>
          <w:sz w:val="24"/>
          <w:szCs w:val="24"/>
        </w:rPr>
        <w:t>,</w:t>
      </w:r>
      <w:r w:rsidRPr="00567BC2">
        <w:rPr>
          <w:rFonts w:ascii="Times New Roman" w:hAnsi="Times New Roman" w:cs="Times New Roman"/>
          <w:sz w:val="24"/>
          <w:szCs w:val="24"/>
        </w:rPr>
        <w:t xml:space="preserve"> though there are shortfalls in its ability to adequately describe the constitutional role of the courts</w:t>
      </w:r>
      <w:r w:rsidR="00D022C1">
        <w:rPr>
          <w:rFonts w:ascii="Times New Roman" w:hAnsi="Times New Roman" w:cs="Times New Roman"/>
          <w:sz w:val="24"/>
          <w:szCs w:val="24"/>
        </w:rPr>
        <w:t>,</w:t>
      </w:r>
      <w:r w:rsidRPr="00567BC2">
        <w:rPr>
          <w:rFonts w:ascii="Times New Roman" w:hAnsi="Times New Roman" w:cs="Times New Roman"/>
          <w:sz w:val="24"/>
          <w:szCs w:val="24"/>
        </w:rPr>
        <w:t xml:space="preserve"> and to map the relationship between Parliament and constitutional rules and conventions. It do</w:t>
      </w:r>
      <w:r w:rsidR="007B35B5" w:rsidRPr="00567BC2">
        <w:rPr>
          <w:rFonts w:ascii="Times New Roman" w:hAnsi="Times New Roman" w:cs="Times New Roman"/>
          <w:sz w:val="24"/>
          <w:szCs w:val="24"/>
        </w:rPr>
        <w:t>es not</w:t>
      </w:r>
      <w:r w:rsidR="00E105AD">
        <w:rPr>
          <w:rFonts w:ascii="Times New Roman" w:hAnsi="Times New Roman" w:cs="Times New Roman"/>
          <w:sz w:val="24"/>
          <w:szCs w:val="24"/>
        </w:rPr>
        <w:t>,</w:t>
      </w:r>
      <w:r w:rsidR="007B35B5" w:rsidRPr="00567BC2">
        <w:rPr>
          <w:rFonts w:ascii="Times New Roman" w:hAnsi="Times New Roman" w:cs="Times New Roman"/>
          <w:sz w:val="24"/>
          <w:szCs w:val="24"/>
        </w:rPr>
        <w:t xml:space="preserve"> however, give much </w:t>
      </w:r>
      <w:r w:rsidRPr="00567BC2">
        <w:rPr>
          <w:rFonts w:ascii="Times New Roman" w:hAnsi="Times New Roman" w:cs="Times New Roman"/>
          <w:sz w:val="24"/>
          <w:szCs w:val="24"/>
        </w:rPr>
        <w:t>assistance</w:t>
      </w:r>
      <w:r w:rsidR="007B35B5" w:rsidRPr="00567BC2">
        <w:rPr>
          <w:rFonts w:ascii="Times New Roman" w:hAnsi="Times New Roman" w:cs="Times New Roman"/>
          <w:sz w:val="24"/>
          <w:szCs w:val="24"/>
        </w:rPr>
        <w:t xml:space="preserve"> in answering </w:t>
      </w:r>
      <w:r w:rsidRPr="00567BC2">
        <w:rPr>
          <w:rFonts w:ascii="Times New Roman" w:hAnsi="Times New Roman" w:cs="Times New Roman"/>
          <w:sz w:val="24"/>
          <w:szCs w:val="24"/>
        </w:rPr>
        <w:t>the question of whether Parliament has a workable model of sovereignty that</w:t>
      </w:r>
      <w:r w:rsidR="007B35B5" w:rsidRPr="00567BC2">
        <w:rPr>
          <w:rFonts w:ascii="Times New Roman" w:hAnsi="Times New Roman" w:cs="Times New Roman"/>
          <w:sz w:val="24"/>
          <w:szCs w:val="24"/>
        </w:rPr>
        <w:t xml:space="preserve"> has any metaphysical structure supporting its practical nature.</w:t>
      </w:r>
      <w:r w:rsidRPr="00567BC2">
        <w:rPr>
          <w:rFonts w:ascii="Times New Roman" w:hAnsi="Times New Roman" w:cs="Times New Roman"/>
          <w:sz w:val="24"/>
          <w:szCs w:val="24"/>
        </w:rPr>
        <w:t xml:space="preserve"> </w:t>
      </w:r>
      <w:r w:rsidR="007B35B5" w:rsidRPr="00567BC2">
        <w:rPr>
          <w:rFonts w:ascii="Times New Roman" w:hAnsi="Times New Roman" w:cs="Times New Roman"/>
          <w:sz w:val="24"/>
          <w:szCs w:val="24"/>
        </w:rPr>
        <w:t>I</w:t>
      </w:r>
      <w:r w:rsidRPr="00567BC2">
        <w:rPr>
          <w:rFonts w:ascii="Times New Roman" w:hAnsi="Times New Roman" w:cs="Times New Roman"/>
          <w:sz w:val="24"/>
          <w:szCs w:val="24"/>
        </w:rPr>
        <w:t>t does suggest that theory seems to be out of kilter somewhat with the practical work of Parliament as a legislator, and that there is a lack in orth</w:t>
      </w:r>
      <w:r w:rsidR="007B35B5" w:rsidRPr="00567BC2">
        <w:rPr>
          <w:rFonts w:ascii="Times New Roman" w:hAnsi="Times New Roman" w:cs="Times New Roman"/>
          <w:sz w:val="24"/>
          <w:szCs w:val="24"/>
        </w:rPr>
        <w:t>odox and developed theories of Parliamentary S</w:t>
      </w:r>
      <w:r w:rsidRPr="00567BC2">
        <w:rPr>
          <w:rFonts w:ascii="Times New Roman" w:hAnsi="Times New Roman" w:cs="Times New Roman"/>
          <w:sz w:val="24"/>
          <w:szCs w:val="24"/>
        </w:rPr>
        <w:t>overeignty</w:t>
      </w:r>
      <w:r w:rsidR="007B35B5" w:rsidRPr="00567BC2">
        <w:rPr>
          <w:rFonts w:ascii="Times New Roman" w:hAnsi="Times New Roman" w:cs="Times New Roman"/>
          <w:sz w:val="24"/>
          <w:szCs w:val="24"/>
        </w:rPr>
        <w:t>,</w:t>
      </w:r>
      <w:r w:rsidRPr="00567BC2">
        <w:rPr>
          <w:rFonts w:ascii="Times New Roman" w:hAnsi="Times New Roman" w:cs="Times New Roman"/>
          <w:sz w:val="24"/>
          <w:szCs w:val="24"/>
        </w:rPr>
        <w:t xml:space="preserve"> o</w:t>
      </w:r>
      <w:r w:rsidR="00D022C1">
        <w:rPr>
          <w:rFonts w:ascii="Times New Roman" w:hAnsi="Times New Roman" w:cs="Times New Roman"/>
          <w:sz w:val="24"/>
          <w:szCs w:val="24"/>
        </w:rPr>
        <w:t>r</w:t>
      </w:r>
      <w:r w:rsidRPr="00567BC2">
        <w:rPr>
          <w:rFonts w:ascii="Times New Roman" w:hAnsi="Times New Roman" w:cs="Times New Roman"/>
          <w:sz w:val="24"/>
          <w:szCs w:val="24"/>
        </w:rPr>
        <w:t xml:space="preserve"> acknowled</w:t>
      </w:r>
      <w:r w:rsidR="004857E7">
        <w:rPr>
          <w:rFonts w:ascii="Times New Roman" w:hAnsi="Times New Roman" w:cs="Times New Roman"/>
          <w:sz w:val="24"/>
          <w:szCs w:val="24"/>
        </w:rPr>
        <w:t>gement of the political and geo</w:t>
      </w:r>
      <w:r w:rsidRPr="00567BC2">
        <w:rPr>
          <w:rFonts w:ascii="Times New Roman" w:hAnsi="Times New Roman" w:cs="Times New Roman"/>
          <w:sz w:val="24"/>
          <w:szCs w:val="24"/>
        </w:rPr>
        <w:t xml:space="preserve">political </w:t>
      </w:r>
      <w:r w:rsidRPr="00567BC2">
        <w:rPr>
          <w:rFonts w:ascii="Times New Roman" w:hAnsi="Times New Roman" w:cs="Times New Roman"/>
          <w:sz w:val="24"/>
          <w:szCs w:val="24"/>
        </w:rPr>
        <w:lastRenderedPageBreak/>
        <w:t>aspect</w:t>
      </w:r>
      <w:r w:rsidR="00786B0B">
        <w:rPr>
          <w:rFonts w:ascii="Times New Roman" w:hAnsi="Times New Roman" w:cs="Times New Roman"/>
          <w:sz w:val="24"/>
          <w:szCs w:val="24"/>
        </w:rPr>
        <w:t>s of law-</w:t>
      </w:r>
      <w:r w:rsidRPr="00567BC2">
        <w:rPr>
          <w:rFonts w:ascii="Times New Roman" w:hAnsi="Times New Roman" w:cs="Times New Roman"/>
          <w:sz w:val="24"/>
          <w:szCs w:val="24"/>
        </w:rPr>
        <w:t>making</w:t>
      </w:r>
      <w:r w:rsidR="00D022C1">
        <w:rPr>
          <w:rFonts w:ascii="Times New Roman" w:hAnsi="Times New Roman" w:cs="Times New Roman"/>
          <w:sz w:val="24"/>
          <w:szCs w:val="24"/>
        </w:rPr>
        <w:t>,</w:t>
      </w:r>
      <w:r w:rsidRPr="00567BC2">
        <w:rPr>
          <w:rFonts w:ascii="Times New Roman" w:hAnsi="Times New Roman" w:cs="Times New Roman"/>
          <w:sz w:val="24"/>
          <w:szCs w:val="24"/>
        </w:rPr>
        <w:t xml:space="preserve"> </w:t>
      </w:r>
      <w:r w:rsidR="007B35B5" w:rsidRPr="00567BC2">
        <w:rPr>
          <w:rFonts w:ascii="Times New Roman" w:hAnsi="Times New Roman" w:cs="Times New Roman"/>
          <w:sz w:val="24"/>
          <w:szCs w:val="24"/>
        </w:rPr>
        <w:t xml:space="preserve">and the interconnected nature of legislative jurisdictions across the globe. </w:t>
      </w:r>
      <w:r w:rsidRPr="00567BC2">
        <w:rPr>
          <w:rFonts w:ascii="Times New Roman" w:hAnsi="Times New Roman" w:cs="Times New Roman"/>
          <w:sz w:val="24"/>
          <w:szCs w:val="24"/>
        </w:rPr>
        <w:t>The approach taken by this model is arguably inconsistent with the term sovereignty </w:t>
      </w:r>
      <w:r w:rsidRPr="00567BC2">
        <w:rPr>
          <w:rFonts w:ascii="Times New Roman" w:hAnsi="Times New Roman" w:cs="Times New Roman"/>
          <w:i/>
          <w:iCs/>
          <w:sz w:val="24"/>
          <w:szCs w:val="24"/>
        </w:rPr>
        <w:t>viz.</w:t>
      </w:r>
      <w:r w:rsidRPr="00567BC2">
        <w:rPr>
          <w:rFonts w:ascii="Times New Roman" w:hAnsi="Times New Roman" w:cs="Times New Roman"/>
          <w:sz w:val="24"/>
          <w:szCs w:val="24"/>
        </w:rPr>
        <w:t> if Parliament is controlled by the constitution and by the courts it cannot be sovereign in the truest of senses. This model could</w:t>
      </w:r>
      <w:r w:rsidR="0080676B">
        <w:rPr>
          <w:rFonts w:ascii="Times New Roman" w:hAnsi="Times New Roman" w:cs="Times New Roman"/>
          <w:sz w:val="24"/>
          <w:szCs w:val="24"/>
        </w:rPr>
        <w:t>,</w:t>
      </w:r>
      <w:r w:rsidRPr="00567BC2">
        <w:rPr>
          <w:rFonts w:ascii="Times New Roman" w:hAnsi="Times New Roman" w:cs="Times New Roman"/>
          <w:sz w:val="24"/>
          <w:szCs w:val="24"/>
        </w:rPr>
        <w:t xml:space="preserve"> therefore</w:t>
      </w:r>
      <w:r w:rsidR="0080676B">
        <w:rPr>
          <w:rFonts w:ascii="Times New Roman" w:hAnsi="Times New Roman" w:cs="Times New Roman"/>
          <w:sz w:val="24"/>
          <w:szCs w:val="24"/>
        </w:rPr>
        <w:t>,</w:t>
      </w:r>
      <w:r w:rsidRPr="00567BC2">
        <w:rPr>
          <w:rFonts w:ascii="Times New Roman" w:hAnsi="Times New Roman" w:cs="Times New Roman"/>
          <w:sz w:val="24"/>
          <w:szCs w:val="24"/>
        </w:rPr>
        <w:t xml:space="preserve"> be better described as constitutional sovereignty with a subordinate or subjugated Parliament. In order for this model to proceed along that line</w:t>
      </w:r>
      <w:r w:rsidR="00D022C1">
        <w:rPr>
          <w:rFonts w:ascii="Times New Roman" w:hAnsi="Times New Roman" w:cs="Times New Roman"/>
          <w:sz w:val="24"/>
          <w:szCs w:val="24"/>
        </w:rPr>
        <w:t>,</w:t>
      </w:r>
      <w:r w:rsidRPr="00567BC2">
        <w:rPr>
          <w:rFonts w:ascii="Times New Roman" w:hAnsi="Times New Roman" w:cs="Times New Roman"/>
          <w:sz w:val="24"/>
          <w:szCs w:val="24"/>
        </w:rPr>
        <w:t xml:space="preserve"> the UK would need to absolve </w:t>
      </w:r>
      <w:r w:rsidR="00E52E46" w:rsidRPr="00567BC2">
        <w:rPr>
          <w:rFonts w:ascii="Times New Roman" w:hAnsi="Times New Roman" w:cs="Times New Roman"/>
          <w:sz w:val="24"/>
          <w:szCs w:val="24"/>
        </w:rPr>
        <w:t>itself</w:t>
      </w:r>
      <w:r w:rsidRPr="00567BC2">
        <w:rPr>
          <w:rFonts w:ascii="Times New Roman" w:hAnsi="Times New Roman" w:cs="Times New Roman"/>
          <w:sz w:val="24"/>
          <w:szCs w:val="24"/>
        </w:rPr>
        <w:t xml:space="preserve"> of its infatuation with the sovereignty of Parliament and that is unlikely in the near future.</w:t>
      </w:r>
      <w:r w:rsidR="00E52E46" w:rsidRPr="00567BC2">
        <w:rPr>
          <w:rFonts w:ascii="Times New Roman" w:hAnsi="Times New Roman" w:cs="Times New Roman"/>
          <w:sz w:val="24"/>
          <w:szCs w:val="24"/>
        </w:rPr>
        <w:t xml:space="preserve"> The move towards sovereignty of the constitution, or as previously mentioned, of the rule of law has its own difficulties to overcome </w:t>
      </w:r>
      <w:r w:rsidR="00D022C1">
        <w:rPr>
          <w:rFonts w:ascii="Times New Roman" w:hAnsi="Times New Roman" w:cs="Times New Roman"/>
          <w:sz w:val="24"/>
          <w:szCs w:val="24"/>
        </w:rPr>
        <w:t xml:space="preserve">as </w:t>
      </w:r>
      <w:r w:rsidR="00E52E46" w:rsidRPr="00567BC2">
        <w:rPr>
          <w:rFonts w:ascii="Times New Roman" w:hAnsi="Times New Roman" w:cs="Times New Roman"/>
          <w:sz w:val="24"/>
          <w:szCs w:val="24"/>
        </w:rPr>
        <w:t xml:space="preserve">the UK </w:t>
      </w:r>
      <w:r w:rsidR="00D022C1">
        <w:rPr>
          <w:rFonts w:ascii="Times New Roman" w:hAnsi="Times New Roman" w:cs="Times New Roman"/>
          <w:sz w:val="24"/>
          <w:szCs w:val="24"/>
        </w:rPr>
        <w:t>could be said to possess</w:t>
      </w:r>
      <w:r w:rsidR="00E52E46" w:rsidRPr="00567BC2">
        <w:rPr>
          <w:rFonts w:ascii="Times New Roman" w:hAnsi="Times New Roman" w:cs="Times New Roman"/>
          <w:sz w:val="24"/>
          <w:szCs w:val="24"/>
        </w:rPr>
        <w:t xml:space="preserve"> a semi-written, uncodified constitution. </w:t>
      </w:r>
    </w:p>
    <w:p w:rsidR="00DA505E" w:rsidRDefault="00DA505E" w:rsidP="00DA505E">
      <w:pPr>
        <w:spacing w:line="360" w:lineRule="auto"/>
        <w:jc w:val="both"/>
        <w:rPr>
          <w:rFonts w:ascii="Times New Roman" w:hAnsi="Times New Roman" w:cs="Times New Roman"/>
          <w:sz w:val="24"/>
          <w:szCs w:val="24"/>
        </w:rPr>
      </w:pPr>
    </w:p>
    <w:p w:rsidR="00DA505E" w:rsidRPr="00885B92" w:rsidRDefault="00DA505E" w:rsidP="00DA505E">
      <w:pPr>
        <w:spacing w:line="360" w:lineRule="auto"/>
        <w:jc w:val="both"/>
        <w:rPr>
          <w:rFonts w:ascii="Times New Roman" w:hAnsi="Times New Roman" w:cs="Times New Roman"/>
          <w:b/>
          <w:sz w:val="24"/>
          <w:szCs w:val="24"/>
        </w:rPr>
      </w:pPr>
      <w:r w:rsidRPr="00885B92">
        <w:rPr>
          <w:rFonts w:ascii="Times New Roman" w:hAnsi="Times New Roman" w:cs="Times New Roman"/>
          <w:b/>
          <w:sz w:val="24"/>
          <w:szCs w:val="24"/>
        </w:rPr>
        <w:t xml:space="preserve">Sovereignty as a Metaphysical Concept </w:t>
      </w:r>
    </w:p>
    <w:p w:rsidR="00597115" w:rsidRDefault="00597115" w:rsidP="00DA505E">
      <w:pPr>
        <w:spacing w:line="360" w:lineRule="auto"/>
        <w:jc w:val="both"/>
        <w:rPr>
          <w:rFonts w:ascii="Times New Roman" w:hAnsi="Times New Roman" w:cs="Times New Roman"/>
          <w:sz w:val="24"/>
          <w:szCs w:val="24"/>
        </w:rPr>
      </w:pPr>
      <w:r>
        <w:rPr>
          <w:rFonts w:ascii="Times New Roman" w:hAnsi="Times New Roman" w:cs="Times New Roman"/>
          <w:sz w:val="24"/>
          <w:szCs w:val="24"/>
        </w:rPr>
        <w:t>Two matters will be con</w:t>
      </w:r>
      <w:r w:rsidR="00241964">
        <w:rPr>
          <w:rFonts w:ascii="Times New Roman" w:hAnsi="Times New Roman" w:cs="Times New Roman"/>
          <w:sz w:val="24"/>
          <w:szCs w:val="24"/>
        </w:rPr>
        <w:t>sidered in this section: first</w:t>
      </w:r>
      <w:r>
        <w:rPr>
          <w:rFonts w:ascii="Times New Roman" w:hAnsi="Times New Roman" w:cs="Times New Roman"/>
          <w:sz w:val="24"/>
          <w:szCs w:val="24"/>
        </w:rPr>
        <w:t xml:space="preserve">, whether sovereignty is metaphysical in nature, and secondly whether the rule of law is a more appropriate metaphysical source of authority. </w:t>
      </w:r>
    </w:p>
    <w:p w:rsidR="00DA505E" w:rsidRDefault="00DA505E" w:rsidP="00DA505E">
      <w:pPr>
        <w:spacing w:line="360" w:lineRule="auto"/>
        <w:jc w:val="both"/>
        <w:rPr>
          <w:rFonts w:ascii="Times New Roman" w:hAnsi="Times New Roman" w:cs="Times New Roman"/>
          <w:sz w:val="24"/>
          <w:szCs w:val="24"/>
        </w:rPr>
      </w:pPr>
      <w:r w:rsidRPr="00567BC2">
        <w:rPr>
          <w:rFonts w:ascii="Times New Roman" w:hAnsi="Times New Roman" w:cs="Times New Roman"/>
          <w:sz w:val="24"/>
          <w:szCs w:val="24"/>
        </w:rPr>
        <w:t>It is noteworthy</w:t>
      </w:r>
      <w:r w:rsidR="00597115">
        <w:rPr>
          <w:rFonts w:ascii="Times New Roman" w:hAnsi="Times New Roman" w:cs="Times New Roman"/>
          <w:sz w:val="24"/>
          <w:szCs w:val="24"/>
        </w:rPr>
        <w:t xml:space="preserve"> that the progress through the</w:t>
      </w:r>
      <w:r w:rsidRPr="00567BC2">
        <w:rPr>
          <w:rFonts w:ascii="Times New Roman" w:hAnsi="Times New Roman" w:cs="Times New Roman"/>
          <w:sz w:val="24"/>
          <w:szCs w:val="24"/>
        </w:rPr>
        <w:t xml:space="preserve"> models</w:t>
      </w:r>
      <w:r w:rsidR="00EA58F8">
        <w:rPr>
          <w:rFonts w:ascii="Times New Roman" w:hAnsi="Times New Roman" w:cs="Times New Roman"/>
          <w:sz w:val="24"/>
          <w:szCs w:val="24"/>
        </w:rPr>
        <w:t xml:space="preserve"> above</w:t>
      </w:r>
      <w:r w:rsidRPr="00567BC2">
        <w:rPr>
          <w:rFonts w:ascii="Times New Roman" w:hAnsi="Times New Roman" w:cs="Times New Roman"/>
          <w:sz w:val="24"/>
          <w:szCs w:val="24"/>
        </w:rPr>
        <w:t xml:space="preserve"> </w:t>
      </w:r>
      <w:r w:rsidR="00EA58F8">
        <w:rPr>
          <w:rFonts w:ascii="Times New Roman" w:hAnsi="Times New Roman" w:cs="Times New Roman"/>
          <w:sz w:val="24"/>
          <w:szCs w:val="24"/>
        </w:rPr>
        <w:t>has</w:t>
      </w:r>
      <w:r w:rsidRPr="00567BC2">
        <w:rPr>
          <w:rFonts w:ascii="Times New Roman" w:hAnsi="Times New Roman" w:cs="Times New Roman"/>
          <w:sz w:val="24"/>
          <w:szCs w:val="24"/>
        </w:rPr>
        <w:t xml:space="preserve"> draw</w:t>
      </w:r>
      <w:r w:rsidR="00EA58F8">
        <w:rPr>
          <w:rFonts w:ascii="Times New Roman" w:hAnsi="Times New Roman" w:cs="Times New Roman"/>
          <w:sz w:val="24"/>
          <w:szCs w:val="24"/>
        </w:rPr>
        <w:t>n</w:t>
      </w:r>
      <w:r w:rsidRPr="00567BC2">
        <w:rPr>
          <w:rFonts w:ascii="Times New Roman" w:hAnsi="Times New Roman" w:cs="Times New Roman"/>
          <w:sz w:val="24"/>
          <w:szCs w:val="24"/>
        </w:rPr>
        <w:t xml:space="preserve"> a clearer notion of legislative sovereignty as a metaphysical conception</w:t>
      </w:r>
      <w:r>
        <w:rPr>
          <w:rStyle w:val="FootnoteReference"/>
          <w:rFonts w:ascii="Times New Roman" w:hAnsi="Times New Roman" w:cs="Times New Roman"/>
          <w:sz w:val="24"/>
          <w:szCs w:val="24"/>
        </w:rPr>
        <w:footnoteReference w:id="113"/>
      </w:r>
      <w:r w:rsidRPr="00567BC2">
        <w:rPr>
          <w:rFonts w:ascii="Times New Roman" w:hAnsi="Times New Roman" w:cs="Times New Roman"/>
          <w:sz w:val="24"/>
          <w:szCs w:val="24"/>
        </w:rPr>
        <w:t xml:space="preserve">, which consists of statutes that form the remit of a state’s sovereign power. </w:t>
      </w:r>
      <w:r>
        <w:rPr>
          <w:rFonts w:ascii="Times New Roman" w:hAnsi="Times New Roman" w:cs="Times New Roman"/>
          <w:sz w:val="24"/>
          <w:szCs w:val="24"/>
        </w:rPr>
        <w:t>It is also noteworthy that the notion of an idol seems to be multifaceted in relation to legislative</w:t>
      </w:r>
      <w:r w:rsidR="00EA58F8">
        <w:rPr>
          <w:rFonts w:ascii="Times New Roman" w:hAnsi="Times New Roman" w:cs="Times New Roman"/>
          <w:sz w:val="24"/>
          <w:szCs w:val="24"/>
        </w:rPr>
        <w:t xml:space="preserve"> </w:t>
      </w:r>
      <w:r>
        <w:rPr>
          <w:rFonts w:ascii="Times New Roman" w:hAnsi="Times New Roman" w:cs="Times New Roman"/>
          <w:sz w:val="24"/>
          <w:szCs w:val="24"/>
        </w:rPr>
        <w:t>sovereignty. There appears to be a concept consistent with an idol and each stage in the hierarchy: the idol of each statute, the constitutional idol</w:t>
      </w:r>
      <w:r w:rsidR="00EA58F8">
        <w:rPr>
          <w:rFonts w:ascii="Times New Roman" w:hAnsi="Times New Roman" w:cs="Times New Roman"/>
          <w:sz w:val="24"/>
          <w:szCs w:val="24"/>
        </w:rPr>
        <w:t>,</w:t>
      </w:r>
      <w:r>
        <w:rPr>
          <w:rFonts w:ascii="Times New Roman" w:hAnsi="Times New Roman" w:cs="Times New Roman"/>
          <w:sz w:val="24"/>
          <w:szCs w:val="24"/>
        </w:rPr>
        <w:t xml:space="preserve"> and the idol of sovereignty at a more metaphysical level. </w:t>
      </w:r>
      <w:r w:rsidRPr="00567BC2">
        <w:rPr>
          <w:rFonts w:ascii="Times New Roman" w:hAnsi="Times New Roman" w:cs="Times New Roman"/>
          <w:sz w:val="24"/>
          <w:szCs w:val="24"/>
        </w:rPr>
        <w:t xml:space="preserve">In deference to Kelsen’s </w:t>
      </w:r>
      <w:r w:rsidRPr="00567BC2">
        <w:rPr>
          <w:rFonts w:ascii="Times New Roman" w:hAnsi="Times New Roman" w:cs="Times New Roman"/>
          <w:i/>
          <w:sz w:val="24"/>
          <w:szCs w:val="24"/>
        </w:rPr>
        <w:t>grundnorm</w:t>
      </w:r>
      <w:r w:rsidRPr="00567BC2">
        <w:rPr>
          <w:rStyle w:val="FootnoteReference"/>
          <w:rFonts w:ascii="Times New Roman" w:hAnsi="Times New Roman" w:cs="Times New Roman"/>
          <w:i/>
          <w:sz w:val="24"/>
          <w:szCs w:val="24"/>
        </w:rPr>
        <w:footnoteReference w:id="114"/>
      </w:r>
      <w:r w:rsidRPr="00567BC2">
        <w:rPr>
          <w:rFonts w:ascii="Times New Roman" w:hAnsi="Times New Roman" w:cs="Times New Roman"/>
          <w:sz w:val="24"/>
          <w:szCs w:val="24"/>
        </w:rPr>
        <w:t xml:space="preserve">, the use of the idol </w:t>
      </w:r>
      <w:r>
        <w:rPr>
          <w:rFonts w:ascii="Times New Roman" w:hAnsi="Times New Roman" w:cs="Times New Roman"/>
          <w:sz w:val="24"/>
          <w:szCs w:val="24"/>
        </w:rPr>
        <w:t xml:space="preserve">at </w:t>
      </w:r>
      <w:r w:rsidR="006267DA">
        <w:rPr>
          <w:rFonts w:ascii="Times New Roman" w:hAnsi="Times New Roman" w:cs="Times New Roman"/>
          <w:sz w:val="24"/>
          <w:szCs w:val="24"/>
        </w:rPr>
        <w:t>‘</w:t>
      </w:r>
      <w:r>
        <w:rPr>
          <w:rFonts w:ascii="Times New Roman" w:hAnsi="Times New Roman" w:cs="Times New Roman"/>
          <w:sz w:val="24"/>
          <w:szCs w:val="24"/>
        </w:rPr>
        <w:t>sovereignty level</w:t>
      </w:r>
      <w:r w:rsidR="006267DA">
        <w:rPr>
          <w:rFonts w:ascii="Times New Roman" w:hAnsi="Times New Roman" w:cs="Times New Roman"/>
          <w:sz w:val="24"/>
          <w:szCs w:val="24"/>
        </w:rPr>
        <w:t>’</w:t>
      </w:r>
      <w:r>
        <w:rPr>
          <w:rFonts w:ascii="Times New Roman" w:hAnsi="Times New Roman" w:cs="Times New Roman"/>
          <w:sz w:val="24"/>
          <w:szCs w:val="24"/>
        </w:rPr>
        <w:t xml:space="preserve"> </w:t>
      </w:r>
      <w:r w:rsidRPr="00567BC2">
        <w:rPr>
          <w:rFonts w:ascii="Times New Roman" w:hAnsi="Times New Roman" w:cs="Times New Roman"/>
          <w:sz w:val="24"/>
          <w:szCs w:val="24"/>
        </w:rPr>
        <w:t xml:space="preserve">creates a normative proposition of legislative sovereignty which is metaphysical </w:t>
      </w:r>
      <w:r w:rsidRPr="00567BC2">
        <w:rPr>
          <w:rFonts w:ascii="Times New Roman" w:hAnsi="Times New Roman" w:cs="Times New Roman"/>
          <w:i/>
          <w:sz w:val="24"/>
          <w:szCs w:val="24"/>
        </w:rPr>
        <w:t xml:space="preserve">viz. </w:t>
      </w:r>
      <w:r w:rsidRPr="00567BC2">
        <w:rPr>
          <w:rFonts w:ascii="Times New Roman" w:hAnsi="Times New Roman" w:cs="Times New Roman"/>
          <w:sz w:val="24"/>
          <w:szCs w:val="24"/>
        </w:rPr>
        <w:t xml:space="preserve">it is </w:t>
      </w:r>
      <w:r w:rsidRPr="00885B92">
        <w:rPr>
          <w:rFonts w:ascii="Times New Roman" w:hAnsi="Times New Roman" w:cs="Times New Roman"/>
          <w:i/>
          <w:sz w:val="24"/>
          <w:szCs w:val="24"/>
        </w:rPr>
        <w:t xml:space="preserve">synthetic </w:t>
      </w:r>
      <w:r w:rsidRPr="00567BC2">
        <w:rPr>
          <w:rFonts w:ascii="Times New Roman" w:hAnsi="Times New Roman" w:cs="Times New Roman"/>
          <w:i/>
          <w:sz w:val="24"/>
          <w:szCs w:val="24"/>
        </w:rPr>
        <w:t>a priori</w:t>
      </w:r>
      <w:r w:rsidRPr="00567BC2">
        <w:rPr>
          <w:rStyle w:val="FootnoteReference"/>
          <w:rFonts w:ascii="Times New Roman" w:hAnsi="Times New Roman" w:cs="Times New Roman"/>
          <w:i/>
          <w:sz w:val="24"/>
          <w:szCs w:val="24"/>
        </w:rPr>
        <w:footnoteReference w:id="115"/>
      </w:r>
      <w:r w:rsidRPr="00567BC2">
        <w:rPr>
          <w:rFonts w:ascii="Times New Roman" w:hAnsi="Times New Roman" w:cs="Times New Roman"/>
          <w:i/>
          <w:sz w:val="24"/>
          <w:szCs w:val="24"/>
        </w:rPr>
        <w:t xml:space="preserve"> </w:t>
      </w:r>
      <w:r w:rsidRPr="00567BC2">
        <w:rPr>
          <w:rFonts w:ascii="Times New Roman" w:hAnsi="Times New Roman" w:cs="Times New Roman"/>
          <w:sz w:val="24"/>
          <w:szCs w:val="24"/>
        </w:rPr>
        <w:t>because it is beyond experience and require</w:t>
      </w:r>
      <w:r w:rsidR="006267DA">
        <w:rPr>
          <w:rFonts w:ascii="Times New Roman" w:hAnsi="Times New Roman" w:cs="Times New Roman"/>
          <w:sz w:val="24"/>
          <w:szCs w:val="24"/>
        </w:rPr>
        <w:t>s</w:t>
      </w:r>
      <w:r w:rsidRPr="00567BC2">
        <w:rPr>
          <w:rFonts w:ascii="Times New Roman" w:hAnsi="Times New Roman" w:cs="Times New Roman"/>
          <w:sz w:val="24"/>
          <w:szCs w:val="24"/>
        </w:rPr>
        <w:t xml:space="preserve"> reason</w:t>
      </w:r>
      <w:r w:rsidRPr="00567BC2">
        <w:rPr>
          <w:rStyle w:val="FootnoteReference"/>
          <w:rFonts w:ascii="Times New Roman" w:hAnsi="Times New Roman" w:cs="Times New Roman"/>
          <w:sz w:val="24"/>
          <w:szCs w:val="24"/>
        </w:rPr>
        <w:footnoteReference w:id="116"/>
      </w:r>
      <w:r w:rsidRPr="00567BC2">
        <w:rPr>
          <w:rFonts w:ascii="Times New Roman" w:hAnsi="Times New Roman" w:cs="Times New Roman"/>
          <w:sz w:val="24"/>
          <w:szCs w:val="24"/>
        </w:rPr>
        <w:t xml:space="preserve"> to discern it. </w:t>
      </w:r>
      <w:r w:rsidR="006267DA">
        <w:rPr>
          <w:rFonts w:ascii="Times New Roman" w:hAnsi="Times New Roman" w:cs="Times New Roman"/>
          <w:sz w:val="24"/>
          <w:szCs w:val="24"/>
        </w:rPr>
        <w:t xml:space="preserve">Incidentally, whether the </w:t>
      </w:r>
      <w:r w:rsidR="006267DA">
        <w:rPr>
          <w:rFonts w:ascii="Times New Roman" w:hAnsi="Times New Roman" w:cs="Times New Roman"/>
          <w:i/>
          <w:sz w:val="24"/>
          <w:szCs w:val="24"/>
        </w:rPr>
        <w:t xml:space="preserve">grundnorm </w:t>
      </w:r>
      <w:r w:rsidR="006267DA">
        <w:rPr>
          <w:rFonts w:ascii="Times New Roman" w:hAnsi="Times New Roman" w:cs="Times New Roman"/>
          <w:sz w:val="24"/>
          <w:szCs w:val="24"/>
        </w:rPr>
        <w:t>as Kelsen saw it is metaphysical or not is a matter of much long-standing debate</w:t>
      </w:r>
      <w:r w:rsidR="00B56B39">
        <w:rPr>
          <w:rFonts w:ascii="Times New Roman" w:hAnsi="Times New Roman" w:cs="Times New Roman"/>
          <w:sz w:val="24"/>
          <w:szCs w:val="24"/>
        </w:rPr>
        <w:t>.</w:t>
      </w:r>
      <w:r w:rsidR="006267DA">
        <w:rPr>
          <w:rStyle w:val="FootnoteReference"/>
          <w:rFonts w:ascii="Times New Roman" w:hAnsi="Times New Roman" w:cs="Times New Roman"/>
          <w:sz w:val="24"/>
          <w:szCs w:val="24"/>
        </w:rPr>
        <w:footnoteReference w:id="117"/>
      </w:r>
      <w:r w:rsidR="006267DA">
        <w:rPr>
          <w:rFonts w:ascii="Times New Roman" w:hAnsi="Times New Roman" w:cs="Times New Roman"/>
          <w:sz w:val="24"/>
          <w:szCs w:val="24"/>
        </w:rPr>
        <w:t xml:space="preserve"> </w:t>
      </w:r>
      <w:r w:rsidR="00882003">
        <w:rPr>
          <w:rFonts w:ascii="Times New Roman" w:hAnsi="Times New Roman" w:cs="Times New Roman"/>
          <w:sz w:val="24"/>
          <w:szCs w:val="24"/>
        </w:rPr>
        <w:t xml:space="preserve">However, </w:t>
      </w:r>
      <w:r w:rsidRPr="00567BC2">
        <w:rPr>
          <w:rFonts w:ascii="Times New Roman" w:hAnsi="Times New Roman" w:cs="Times New Roman"/>
          <w:sz w:val="24"/>
          <w:szCs w:val="24"/>
        </w:rPr>
        <w:t xml:space="preserve">the content and remit of legislative </w:t>
      </w:r>
      <w:r w:rsidRPr="00567BC2">
        <w:rPr>
          <w:rFonts w:ascii="Times New Roman" w:hAnsi="Times New Roman" w:cs="Times New Roman"/>
          <w:sz w:val="24"/>
          <w:szCs w:val="24"/>
        </w:rPr>
        <w:lastRenderedPageBreak/>
        <w:t xml:space="preserve">sovereignty is unique to each state and is predicated on the idol adopted and exalted as the totalitarian constitutional law against which all are subject, even the state’s ultimate legislature. </w:t>
      </w:r>
      <w:r w:rsidR="00EA58F8">
        <w:rPr>
          <w:rFonts w:ascii="Times New Roman" w:hAnsi="Times New Roman" w:cs="Times New Roman"/>
          <w:sz w:val="24"/>
          <w:szCs w:val="24"/>
        </w:rPr>
        <w:t xml:space="preserve">This article will briefly consider the arguments above to consider </w:t>
      </w:r>
      <w:r w:rsidR="00B56B39">
        <w:rPr>
          <w:rFonts w:ascii="Times New Roman" w:hAnsi="Times New Roman" w:cs="Times New Roman"/>
          <w:sz w:val="24"/>
          <w:szCs w:val="24"/>
        </w:rPr>
        <w:t xml:space="preserve">further </w:t>
      </w:r>
      <w:r w:rsidR="00EA58F8">
        <w:rPr>
          <w:rFonts w:ascii="Times New Roman" w:hAnsi="Times New Roman" w:cs="Times New Roman"/>
          <w:sz w:val="24"/>
          <w:szCs w:val="24"/>
        </w:rPr>
        <w:t>to what extent sovereignty is a metaphysical concept. Here t</w:t>
      </w:r>
      <w:r w:rsidR="00EE15B9">
        <w:rPr>
          <w:rFonts w:ascii="Times New Roman" w:hAnsi="Times New Roman" w:cs="Times New Roman"/>
          <w:sz w:val="24"/>
          <w:szCs w:val="24"/>
        </w:rPr>
        <w:t>he author will turn to Kantian Transcendental I</w:t>
      </w:r>
      <w:r w:rsidR="00EA58F8">
        <w:rPr>
          <w:rFonts w:ascii="Times New Roman" w:hAnsi="Times New Roman" w:cs="Times New Roman"/>
          <w:sz w:val="24"/>
          <w:szCs w:val="24"/>
        </w:rPr>
        <w:t>dealism</w:t>
      </w:r>
      <w:r w:rsidR="00EF3222">
        <w:rPr>
          <w:rFonts w:ascii="Times New Roman" w:hAnsi="Times New Roman" w:cs="Times New Roman"/>
          <w:sz w:val="24"/>
          <w:szCs w:val="24"/>
        </w:rPr>
        <w:t xml:space="preserve"> (TI)</w:t>
      </w:r>
      <w:r w:rsidR="00EA58F8">
        <w:rPr>
          <w:rFonts w:ascii="Times New Roman" w:hAnsi="Times New Roman" w:cs="Times New Roman"/>
          <w:sz w:val="24"/>
          <w:szCs w:val="24"/>
        </w:rPr>
        <w:t xml:space="preserve"> to demonstrate </w:t>
      </w:r>
      <w:r w:rsidR="006A481E">
        <w:rPr>
          <w:rFonts w:ascii="Times New Roman" w:hAnsi="Times New Roman" w:cs="Times New Roman"/>
          <w:sz w:val="24"/>
          <w:szCs w:val="24"/>
        </w:rPr>
        <w:t>t</w:t>
      </w:r>
      <w:r w:rsidR="00EA58F8">
        <w:rPr>
          <w:rFonts w:ascii="Times New Roman" w:hAnsi="Times New Roman" w:cs="Times New Roman"/>
          <w:sz w:val="24"/>
          <w:szCs w:val="24"/>
        </w:rPr>
        <w:t xml:space="preserve">his point further. </w:t>
      </w:r>
      <w:r w:rsidR="00EF3222">
        <w:rPr>
          <w:rFonts w:ascii="Times New Roman" w:hAnsi="Times New Roman" w:cs="Times New Roman"/>
          <w:sz w:val="24"/>
          <w:szCs w:val="24"/>
        </w:rPr>
        <w:t>Above, it was stated that TI aims to separate an object</w:t>
      </w:r>
      <w:r w:rsidR="005B3532">
        <w:rPr>
          <w:rFonts w:ascii="Times New Roman" w:hAnsi="Times New Roman" w:cs="Times New Roman"/>
          <w:sz w:val="24"/>
          <w:szCs w:val="24"/>
        </w:rPr>
        <w:t>’</w:t>
      </w:r>
      <w:r w:rsidR="00EF3222">
        <w:rPr>
          <w:rFonts w:ascii="Times New Roman" w:hAnsi="Times New Roman" w:cs="Times New Roman"/>
          <w:sz w:val="24"/>
          <w:szCs w:val="24"/>
        </w:rPr>
        <w:t>s actual existence (the noumena), from one’s appreciation of that same object (the phenomena)</w:t>
      </w:r>
      <w:r w:rsidR="00C71244">
        <w:rPr>
          <w:rFonts w:ascii="Times New Roman" w:hAnsi="Times New Roman" w:cs="Times New Roman"/>
          <w:sz w:val="24"/>
          <w:szCs w:val="24"/>
        </w:rPr>
        <w:t>.</w:t>
      </w:r>
      <w:r w:rsidR="00DA60C5">
        <w:rPr>
          <w:rStyle w:val="FootnoteReference"/>
          <w:rFonts w:ascii="Times New Roman" w:hAnsi="Times New Roman" w:cs="Times New Roman"/>
          <w:sz w:val="24"/>
          <w:szCs w:val="24"/>
        </w:rPr>
        <w:footnoteReference w:id="118"/>
      </w:r>
      <w:r w:rsidR="00EF3222">
        <w:rPr>
          <w:rFonts w:ascii="Times New Roman" w:hAnsi="Times New Roman" w:cs="Times New Roman"/>
          <w:sz w:val="24"/>
          <w:szCs w:val="24"/>
        </w:rPr>
        <w:t xml:space="preserve"> </w:t>
      </w:r>
      <w:r w:rsidR="006A481E">
        <w:rPr>
          <w:rFonts w:ascii="Times New Roman" w:hAnsi="Times New Roman" w:cs="Times New Roman"/>
          <w:sz w:val="24"/>
          <w:szCs w:val="24"/>
        </w:rPr>
        <w:t>Through TI, Kant argues that it is difficult, if not impossible to comprehend the noumenal object as our antecedent knowledge impacts our understanding</w:t>
      </w:r>
      <w:r w:rsidR="006A481E">
        <w:rPr>
          <w:rStyle w:val="FootnoteReference"/>
          <w:rFonts w:ascii="Times New Roman" w:hAnsi="Times New Roman" w:cs="Times New Roman"/>
          <w:sz w:val="24"/>
          <w:szCs w:val="24"/>
        </w:rPr>
        <w:footnoteReference w:id="119"/>
      </w:r>
      <w:r w:rsidR="006A481E">
        <w:rPr>
          <w:rFonts w:ascii="Times New Roman" w:hAnsi="Times New Roman" w:cs="Times New Roman"/>
          <w:sz w:val="24"/>
          <w:szCs w:val="24"/>
        </w:rPr>
        <w:t>, reasoning and acquisition of new knowledge. For example, if one was to attempt to describe a football, this would require an understanding of an abstract football</w:t>
      </w:r>
      <w:r w:rsidR="006A481E">
        <w:rPr>
          <w:rStyle w:val="FootnoteReference"/>
          <w:rFonts w:ascii="Times New Roman" w:hAnsi="Times New Roman" w:cs="Times New Roman"/>
          <w:sz w:val="24"/>
          <w:szCs w:val="24"/>
        </w:rPr>
        <w:footnoteReference w:id="120"/>
      </w:r>
      <w:r w:rsidR="006A481E">
        <w:rPr>
          <w:rFonts w:ascii="Times New Roman" w:hAnsi="Times New Roman" w:cs="Times New Roman"/>
          <w:sz w:val="24"/>
          <w:szCs w:val="24"/>
        </w:rPr>
        <w:t xml:space="preserve">, physics (insofar as it pertains to the spherical shape of a ball, its ability to bounce and </w:t>
      </w:r>
      <w:r w:rsidR="00CF10FA">
        <w:rPr>
          <w:rFonts w:ascii="Times New Roman" w:hAnsi="Times New Roman" w:cs="Times New Roman"/>
          <w:sz w:val="24"/>
          <w:szCs w:val="24"/>
        </w:rPr>
        <w:t xml:space="preserve">physical characteristics), the concepts of space and time to </w:t>
      </w:r>
      <w:r w:rsidR="002D2EB4">
        <w:rPr>
          <w:rFonts w:ascii="Times New Roman" w:hAnsi="Times New Roman" w:cs="Times New Roman"/>
          <w:sz w:val="24"/>
          <w:szCs w:val="24"/>
        </w:rPr>
        <w:t>determine</w:t>
      </w:r>
      <w:r w:rsidR="00CF10FA">
        <w:rPr>
          <w:rFonts w:ascii="Times New Roman" w:hAnsi="Times New Roman" w:cs="Times New Roman"/>
          <w:sz w:val="24"/>
          <w:szCs w:val="24"/>
        </w:rPr>
        <w:t xml:space="preserve"> one’s distance or proximity to the football, amongst many other things. Without this antecedent knowledge, it is not possible to comprehend the item. </w:t>
      </w:r>
    </w:p>
    <w:p w:rsidR="00CF10FA" w:rsidRDefault="00CF10FA" w:rsidP="00DA50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there is some error, misunderstanding or shortcoming in the antecedent </w:t>
      </w:r>
      <w:r w:rsidR="002D2EB4">
        <w:rPr>
          <w:rFonts w:ascii="Times New Roman" w:hAnsi="Times New Roman" w:cs="Times New Roman"/>
          <w:sz w:val="24"/>
          <w:szCs w:val="24"/>
        </w:rPr>
        <w:t>knowledge</w:t>
      </w:r>
      <w:r>
        <w:rPr>
          <w:rFonts w:ascii="Times New Roman" w:hAnsi="Times New Roman" w:cs="Times New Roman"/>
          <w:sz w:val="24"/>
          <w:szCs w:val="24"/>
        </w:rPr>
        <w:t xml:space="preserve">, this can impact on the appreciation of the object itself, and so the noumena and phenomena can become distinctly different. Applying this to legislative sovereignty; it can be argued that one’s </w:t>
      </w:r>
      <w:r w:rsidR="002D2EB4">
        <w:rPr>
          <w:rFonts w:ascii="Times New Roman" w:hAnsi="Times New Roman" w:cs="Times New Roman"/>
          <w:sz w:val="24"/>
          <w:szCs w:val="24"/>
        </w:rPr>
        <w:t>antecedent</w:t>
      </w:r>
      <w:r>
        <w:rPr>
          <w:rFonts w:ascii="Times New Roman" w:hAnsi="Times New Roman" w:cs="Times New Roman"/>
          <w:sz w:val="24"/>
          <w:szCs w:val="24"/>
        </w:rPr>
        <w:t xml:space="preserve"> knowledge will shape one’s view of sovereignty, and therefore the noumena of sovereignty is distinct from the phenomena of sovereignty. That is to say that legislative sovereignty that one imagines, or has in mind, or sees in action in Parliament, is not the same as the noumenal concept of sovereignty which is arguably beyond appreciation in its raw state. Any view of sovereignty is predicated on the total knowledge help by the person seeking to comprehend it, and is subject to any shortcomings that the person’s antecedent knowledge is harbouring. As sovereignty is not a physical singular item, rather a concept which is a term for a set of powers, deconstructing (in the Derridean sense</w:t>
      </w:r>
      <w:r>
        <w:rPr>
          <w:rStyle w:val="FootnoteReference"/>
          <w:rFonts w:ascii="Times New Roman" w:hAnsi="Times New Roman" w:cs="Times New Roman"/>
          <w:sz w:val="24"/>
          <w:szCs w:val="24"/>
        </w:rPr>
        <w:footnoteReference w:id="121"/>
      </w:r>
      <w:r>
        <w:rPr>
          <w:rFonts w:ascii="Times New Roman" w:hAnsi="Times New Roman" w:cs="Times New Roman"/>
          <w:sz w:val="24"/>
          <w:szCs w:val="24"/>
        </w:rPr>
        <w:t xml:space="preserve">) sovereignty requires a brief consideration on the limitations of understanding. Hegel sees understanding as a </w:t>
      </w:r>
      <w:r w:rsidR="00834F41">
        <w:rPr>
          <w:rFonts w:ascii="Times New Roman" w:hAnsi="Times New Roman" w:cs="Times New Roman"/>
          <w:sz w:val="24"/>
          <w:szCs w:val="24"/>
        </w:rPr>
        <w:t>form</w:t>
      </w:r>
      <w:r>
        <w:rPr>
          <w:rFonts w:ascii="Times New Roman" w:hAnsi="Times New Roman" w:cs="Times New Roman"/>
          <w:sz w:val="24"/>
          <w:szCs w:val="24"/>
        </w:rPr>
        <w:t xml:space="preserve"> of knowledge and knowing </w:t>
      </w:r>
      <w:r w:rsidR="005B3532">
        <w:rPr>
          <w:rFonts w:ascii="Times New Roman" w:hAnsi="Times New Roman" w:cs="Times New Roman"/>
          <w:sz w:val="24"/>
          <w:szCs w:val="24"/>
        </w:rPr>
        <w:t>whose principal</w:t>
      </w:r>
      <w:r w:rsidR="00834F41">
        <w:rPr>
          <w:rFonts w:ascii="Times New Roman" w:hAnsi="Times New Roman" w:cs="Times New Roman"/>
          <w:sz w:val="24"/>
          <w:szCs w:val="24"/>
        </w:rPr>
        <w:t xml:space="preserve"> role is the dismantling and </w:t>
      </w:r>
      <w:r w:rsidR="002D2EB4">
        <w:rPr>
          <w:rFonts w:ascii="Times New Roman" w:hAnsi="Times New Roman" w:cs="Times New Roman"/>
          <w:sz w:val="24"/>
          <w:szCs w:val="24"/>
        </w:rPr>
        <w:t>categorising</w:t>
      </w:r>
      <w:r w:rsidR="00834F41">
        <w:rPr>
          <w:rFonts w:ascii="Times New Roman" w:hAnsi="Times New Roman" w:cs="Times New Roman"/>
          <w:sz w:val="24"/>
          <w:szCs w:val="24"/>
        </w:rPr>
        <w:t xml:space="preserve"> of matters of </w:t>
      </w:r>
      <w:r w:rsidR="00834F41">
        <w:rPr>
          <w:rFonts w:ascii="Times New Roman" w:hAnsi="Times New Roman" w:cs="Times New Roman"/>
          <w:sz w:val="24"/>
          <w:szCs w:val="24"/>
        </w:rPr>
        <w:lastRenderedPageBreak/>
        <w:t>interest into their component parts</w:t>
      </w:r>
      <w:r w:rsidR="0075097B">
        <w:rPr>
          <w:rFonts w:ascii="Times New Roman" w:hAnsi="Times New Roman" w:cs="Times New Roman"/>
          <w:sz w:val="24"/>
          <w:szCs w:val="24"/>
        </w:rPr>
        <w:t>.</w:t>
      </w:r>
      <w:r w:rsidR="00834F41">
        <w:rPr>
          <w:rStyle w:val="FootnoteReference"/>
          <w:rFonts w:ascii="Times New Roman" w:hAnsi="Times New Roman" w:cs="Times New Roman"/>
          <w:sz w:val="24"/>
          <w:szCs w:val="24"/>
        </w:rPr>
        <w:footnoteReference w:id="122"/>
      </w:r>
      <w:r w:rsidR="00834F41">
        <w:rPr>
          <w:rFonts w:ascii="Times New Roman" w:hAnsi="Times New Roman" w:cs="Times New Roman"/>
          <w:sz w:val="24"/>
          <w:szCs w:val="24"/>
        </w:rPr>
        <w:t xml:space="preserve"> This form of labelling and of understanding the whole by virtue of understanding its component parts is of limited use. According to Hegel, who was caustic about the age-old retreat to the safety and certainty of understanding at the expense of reason:</w:t>
      </w:r>
    </w:p>
    <w:p w:rsidR="00834F41" w:rsidRPr="00567BC2" w:rsidRDefault="00834F41" w:rsidP="00885B92">
      <w:pPr>
        <w:spacing w:line="360" w:lineRule="auto"/>
        <w:ind w:left="720"/>
        <w:jc w:val="both"/>
        <w:rPr>
          <w:rFonts w:ascii="Times New Roman" w:hAnsi="Times New Roman" w:cs="Times New Roman"/>
          <w:sz w:val="24"/>
          <w:szCs w:val="24"/>
        </w:rPr>
      </w:pPr>
      <w:r w:rsidRPr="00834F41">
        <w:rPr>
          <w:rFonts w:ascii="Times New Roman" w:hAnsi="Times New Roman" w:cs="Times New Roman"/>
          <w:sz w:val="24"/>
          <w:szCs w:val="24"/>
        </w:rPr>
        <w:t>To see that thought in its very nature is dialectical, and that, as understanding, it must fall into contradiction — the negative of itself — will form one of the main lessons of logic. When thought grows hopeless of ever achieving, by its own means, the solution of the contradiction which it has by its own action brought upon itself, it turns back to those solutions of the question with which the mind had learned to pacify itself in some of its other modes and forms. Unfortunately, however, the retreat of thought has led it, as Plato noticed even in his time, to a very uncalled-for hatred of reason (misology); and it then takes up against its own endeavours that hostile attitude of which an example is seen in the doctrine that ‘immediate’ knowledge, as it is called, is the exclusive form in which we become cognisant of truth.</w:t>
      </w:r>
      <w:r>
        <w:rPr>
          <w:rStyle w:val="FootnoteReference"/>
          <w:rFonts w:ascii="Times New Roman" w:hAnsi="Times New Roman" w:cs="Times New Roman"/>
          <w:sz w:val="24"/>
          <w:szCs w:val="24"/>
        </w:rPr>
        <w:footnoteReference w:id="123"/>
      </w:r>
    </w:p>
    <w:p w:rsidR="00C241E9" w:rsidRPr="00885B92" w:rsidRDefault="00834F41" w:rsidP="007C5246">
      <w:pPr>
        <w:spacing w:line="360" w:lineRule="auto"/>
        <w:jc w:val="both"/>
        <w:rPr>
          <w:rFonts w:ascii="Times New Roman" w:hAnsi="Times New Roman" w:cs="Times New Roman"/>
          <w:sz w:val="24"/>
          <w:szCs w:val="24"/>
        </w:rPr>
      </w:pPr>
      <w:r w:rsidRPr="00885B92">
        <w:rPr>
          <w:rFonts w:ascii="Times New Roman" w:hAnsi="Times New Roman" w:cs="Times New Roman"/>
          <w:sz w:val="24"/>
          <w:szCs w:val="24"/>
        </w:rPr>
        <w:t>Given that understanding will fail to produce an adequate knowledge of the whole, according to Hegel, it is reasonable to apply this to the concept of sovereignty</w:t>
      </w:r>
      <w:r w:rsidR="005B3532">
        <w:rPr>
          <w:rFonts w:ascii="Times New Roman" w:hAnsi="Times New Roman" w:cs="Times New Roman"/>
          <w:sz w:val="24"/>
          <w:szCs w:val="24"/>
        </w:rPr>
        <w:t xml:space="preserve"> and state. U</w:t>
      </w:r>
      <w:r>
        <w:rPr>
          <w:rFonts w:ascii="Times New Roman" w:hAnsi="Times New Roman" w:cs="Times New Roman"/>
          <w:sz w:val="24"/>
          <w:szCs w:val="24"/>
        </w:rPr>
        <w:t xml:space="preserve">nderstanding the component parts of the concept (that is the component powers), or even understanding its idol in isolation, does not lead to a complete view of the concept of </w:t>
      </w:r>
      <w:r w:rsidR="0075097B">
        <w:rPr>
          <w:rFonts w:ascii="Times New Roman" w:hAnsi="Times New Roman" w:cs="Times New Roman"/>
          <w:sz w:val="24"/>
          <w:szCs w:val="24"/>
        </w:rPr>
        <w:t>legislative</w:t>
      </w:r>
      <w:r>
        <w:rPr>
          <w:rFonts w:ascii="Times New Roman" w:hAnsi="Times New Roman" w:cs="Times New Roman"/>
          <w:sz w:val="24"/>
          <w:szCs w:val="24"/>
        </w:rPr>
        <w:t xml:space="preserve"> sovereignty, rather it produces a view marred by understanding and limited by one’s own antecedent knowledge. It is through reason alone</w:t>
      </w:r>
      <w:r w:rsidR="0041383A">
        <w:rPr>
          <w:rFonts w:ascii="Times New Roman" w:hAnsi="Times New Roman" w:cs="Times New Roman"/>
          <w:sz w:val="24"/>
          <w:szCs w:val="24"/>
        </w:rPr>
        <w:t>,</w:t>
      </w:r>
      <w:r>
        <w:rPr>
          <w:rFonts w:ascii="Times New Roman" w:hAnsi="Times New Roman" w:cs="Times New Roman"/>
          <w:sz w:val="24"/>
          <w:szCs w:val="24"/>
        </w:rPr>
        <w:t xml:space="preserve"> therefore, that one can attain a more suitably complete concept of </w:t>
      </w:r>
      <w:r w:rsidR="005B3532">
        <w:rPr>
          <w:rFonts w:ascii="Times New Roman" w:hAnsi="Times New Roman" w:cs="Times New Roman"/>
          <w:sz w:val="24"/>
          <w:szCs w:val="24"/>
        </w:rPr>
        <w:t>sovereignty</w:t>
      </w:r>
      <w:r>
        <w:rPr>
          <w:rFonts w:ascii="Times New Roman" w:hAnsi="Times New Roman" w:cs="Times New Roman"/>
          <w:sz w:val="24"/>
          <w:szCs w:val="24"/>
        </w:rPr>
        <w:t xml:space="preserve">, reason that is not predicated on our experience (as this would potentially lead to additional TI issues in experiential </w:t>
      </w:r>
      <w:r w:rsidR="00A04154">
        <w:rPr>
          <w:rFonts w:ascii="Times New Roman" w:hAnsi="Times New Roman" w:cs="Times New Roman"/>
          <w:sz w:val="24"/>
          <w:szCs w:val="24"/>
        </w:rPr>
        <w:t xml:space="preserve">limitations), rather reason by virtue of logical argumentation and thought. It is on this basis that this author contends that true knowledge of legislative sovereignty, and the idol that it represents is </w:t>
      </w:r>
      <w:r w:rsidR="00A04154">
        <w:rPr>
          <w:rFonts w:ascii="Times New Roman" w:hAnsi="Times New Roman" w:cs="Times New Roman"/>
          <w:i/>
          <w:sz w:val="24"/>
          <w:szCs w:val="24"/>
        </w:rPr>
        <w:t>synthetic a priori</w:t>
      </w:r>
      <w:r w:rsidR="00AC2C56">
        <w:rPr>
          <w:rStyle w:val="FootnoteReference"/>
          <w:rFonts w:ascii="Times New Roman" w:hAnsi="Times New Roman" w:cs="Times New Roman"/>
          <w:i/>
          <w:sz w:val="24"/>
          <w:szCs w:val="24"/>
        </w:rPr>
        <w:footnoteReference w:id="124"/>
      </w:r>
      <w:r w:rsidR="005B3532">
        <w:rPr>
          <w:rFonts w:ascii="Times New Roman" w:hAnsi="Times New Roman" w:cs="Times New Roman"/>
          <w:sz w:val="24"/>
          <w:szCs w:val="24"/>
        </w:rPr>
        <w:t>.</w:t>
      </w:r>
      <w:r w:rsidR="00A04154">
        <w:rPr>
          <w:rFonts w:ascii="Times New Roman" w:hAnsi="Times New Roman" w:cs="Times New Roman"/>
          <w:sz w:val="24"/>
          <w:szCs w:val="24"/>
        </w:rPr>
        <w:t xml:space="preserve"> </w:t>
      </w:r>
      <w:r w:rsidR="005B3532">
        <w:rPr>
          <w:rFonts w:ascii="Times New Roman" w:hAnsi="Times New Roman" w:cs="Times New Roman"/>
          <w:sz w:val="24"/>
          <w:szCs w:val="24"/>
        </w:rPr>
        <w:t>I</w:t>
      </w:r>
      <w:r w:rsidR="00A04154">
        <w:rPr>
          <w:rFonts w:ascii="Times New Roman" w:hAnsi="Times New Roman" w:cs="Times New Roman"/>
          <w:sz w:val="24"/>
          <w:szCs w:val="24"/>
        </w:rPr>
        <w:t xml:space="preserve">t is </w:t>
      </w:r>
      <w:r w:rsidR="00A04154" w:rsidRPr="00885B92">
        <w:rPr>
          <w:rFonts w:ascii="Times New Roman" w:hAnsi="Times New Roman" w:cs="Times New Roman"/>
          <w:i/>
          <w:sz w:val="24"/>
          <w:szCs w:val="24"/>
        </w:rPr>
        <w:t>a priori</w:t>
      </w:r>
      <w:r w:rsidR="00A04154">
        <w:rPr>
          <w:rFonts w:ascii="Times New Roman" w:hAnsi="Times New Roman" w:cs="Times New Roman"/>
          <w:sz w:val="24"/>
          <w:szCs w:val="24"/>
        </w:rPr>
        <w:t xml:space="preserve"> as discerning the idol on which sovereignty is based is not predicated on experience but by the use of logical reasoning. Furthermore, the idol of sovereignty is </w:t>
      </w:r>
      <w:r w:rsidR="00A04154" w:rsidRPr="00885B92">
        <w:rPr>
          <w:rFonts w:ascii="Times New Roman" w:hAnsi="Times New Roman" w:cs="Times New Roman"/>
          <w:i/>
          <w:sz w:val="24"/>
          <w:szCs w:val="24"/>
        </w:rPr>
        <w:t>synthetic</w:t>
      </w:r>
      <w:r w:rsidR="00A04154">
        <w:rPr>
          <w:rFonts w:ascii="Times New Roman" w:hAnsi="Times New Roman" w:cs="Times New Roman"/>
          <w:sz w:val="24"/>
          <w:szCs w:val="24"/>
        </w:rPr>
        <w:t xml:space="preserve"> as the idol of sovereignty is not contained in the body of law-making powers which make up any version of </w:t>
      </w:r>
      <w:r w:rsidR="005B3532">
        <w:rPr>
          <w:rFonts w:ascii="Times New Roman" w:hAnsi="Times New Roman" w:cs="Times New Roman"/>
          <w:sz w:val="24"/>
          <w:szCs w:val="24"/>
        </w:rPr>
        <w:t>sovereignty</w:t>
      </w:r>
      <w:r w:rsidR="00A04154">
        <w:rPr>
          <w:rFonts w:ascii="Times New Roman" w:hAnsi="Times New Roman" w:cs="Times New Roman"/>
          <w:sz w:val="24"/>
          <w:szCs w:val="24"/>
        </w:rPr>
        <w:t xml:space="preserve"> discussed in this article. To this extent, the idol that sovereignty is current</w:t>
      </w:r>
      <w:r w:rsidR="00D56FBF">
        <w:rPr>
          <w:rFonts w:ascii="Times New Roman" w:hAnsi="Times New Roman" w:cs="Times New Roman"/>
          <w:sz w:val="24"/>
          <w:szCs w:val="24"/>
        </w:rPr>
        <w:t>ly pursuing is predicated on, or benchmarked against</w:t>
      </w:r>
      <w:r w:rsidR="00FC0AF6">
        <w:rPr>
          <w:rFonts w:ascii="Times New Roman" w:hAnsi="Times New Roman" w:cs="Times New Roman"/>
          <w:sz w:val="24"/>
          <w:szCs w:val="24"/>
        </w:rPr>
        <w:t>,</w:t>
      </w:r>
      <w:r w:rsidR="00D56FBF">
        <w:rPr>
          <w:rFonts w:ascii="Times New Roman" w:hAnsi="Times New Roman" w:cs="Times New Roman"/>
          <w:sz w:val="24"/>
          <w:szCs w:val="24"/>
        </w:rPr>
        <w:t xml:space="preserve"> the terms of sovereignty set out in Dicey’s orthodox theory. It is against this orthodox that many concepts are benchmarked – it is against </w:t>
      </w:r>
      <w:r w:rsidR="00D56FBF">
        <w:rPr>
          <w:rFonts w:ascii="Times New Roman" w:hAnsi="Times New Roman" w:cs="Times New Roman"/>
          <w:sz w:val="24"/>
          <w:szCs w:val="24"/>
        </w:rPr>
        <w:lastRenderedPageBreak/>
        <w:t xml:space="preserve">this orthodox that the author has benchmarked the models above also. This form of privileging is discussed at length by Derrida who argues that human knowledge is predicated on a privileging of one form of knowledge over another. Understanding is privileged over reason as understanding produces certainties and quantifiers; speech is seen as authentic and writing as a transcript of oral discourse; certainty is privileged over ambiguity and the sense of </w:t>
      </w:r>
      <w:r w:rsidR="00D56FBF" w:rsidRPr="00885B92">
        <w:rPr>
          <w:rFonts w:ascii="Times New Roman" w:hAnsi="Times New Roman" w:cs="Times New Roman"/>
          <w:i/>
          <w:sz w:val="24"/>
          <w:szCs w:val="24"/>
        </w:rPr>
        <w:t>aporia</w:t>
      </w:r>
      <w:r w:rsidR="00FC0AF6">
        <w:rPr>
          <w:rFonts w:ascii="Times New Roman" w:hAnsi="Times New Roman" w:cs="Times New Roman"/>
          <w:i/>
          <w:sz w:val="24"/>
          <w:szCs w:val="24"/>
        </w:rPr>
        <w:t>.</w:t>
      </w:r>
      <w:r w:rsidR="00D56FBF">
        <w:rPr>
          <w:rStyle w:val="FootnoteReference"/>
          <w:rFonts w:ascii="Times New Roman" w:hAnsi="Times New Roman" w:cs="Times New Roman"/>
          <w:sz w:val="24"/>
          <w:szCs w:val="24"/>
        </w:rPr>
        <w:footnoteReference w:id="125"/>
      </w:r>
      <w:r w:rsidR="00D56FBF">
        <w:rPr>
          <w:rFonts w:ascii="Times New Roman" w:hAnsi="Times New Roman" w:cs="Times New Roman"/>
          <w:sz w:val="24"/>
          <w:szCs w:val="24"/>
        </w:rPr>
        <w:t xml:space="preserve"> </w:t>
      </w:r>
      <w:r w:rsidR="000B3769">
        <w:rPr>
          <w:rFonts w:ascii="Times New Roman" w:hAnsi="Times New Roman" w:cs="Times New Roman"/>
          <w:sz w:val="24"/>
          <w:szCs w:val="24"/>
        </w:rPr>
        <w:t>The extent of privileging in the conceptualisation</w:t>
      </w:r>
      <w:r w:rsidR="00FC0AF6">
        <w:rPr>
          <w:rFonts w:ascii="Times New Roman" w:hAnsi="Times New Roman" w:cs="Times New Roman"/>
          <w:sz w:val="24"/>
          <w:szCs w:val="24"/>
        </w:rPr>
        <w:t xml:space="preserve"> of sovereignty, even within this</w:t>
      </w:r>
      <w:r w:rsidR="000B3769">
        <w:rPr>
          <w:rFonts w:ascii="Times New Roman" w:hAnsi="Times New Roman" w:cs="Times New Roman"/>
          <w:sz w:val="24"/>
          <w:szCs w:val="24"/>
        </w:rPr>
        <w:t xml:space="preserve"> article, require</w:t>
      </w:r>
      <w:r w:rsidR="00252F22">
        <w:rPr>
          <w:rFonts w:ascii="Times New Roman" w:hAnsi="Times New Roman" w:cs="Times New Roman"/>
          <w:sz w:val="24"/>
          <w:szCs w:val="24"/>
        </w:rPr>
        <w:t>s dedicated research of its own.</w:t>
      </w:r>
      <w:r w:rsidR="000B3769">
        <w:rPr>
          <w:rFonts w:ascii="Times New Roman" w:hAnsi="Times New Roman" w:cs="Times New Roman"/>
          <w:sz w:val="24"/>
          <w:szCs w:val="24"/>
        </w:rPr>
        <w:t xml:space="preserve"> </w:t>
      </w:r>
      <w:r w:rsidR="00252F22">
        <w:rPr>
          <w:rFonts w:ascii="Times New Roman" w:hAnsi="Times New Roman" w:cs="Times New Roman"/>
          <w:sz w:val="24"/>
          <w:szCs w:val="24"/>
        </w:rPr>
        <w:t>H</w:t>
      </w:r>
      <w:r w:rsidR="000B3769">
        <w:rPr>
          <w:rFonts w:ascii="Times New Roman" w:hAnsi="Times New Roman" w:cs="Times New Roman"/>
          <w:sz w:val="24"/>
          <w:szCs w:val="24"/>
        </w:rPr>
        <w:t xml:space="preserve">owever, </w:t>
      </w:r>
      <w:r w:rsidR="00252F22">
        <w:rPr>
          <w:rFonts w:ascii="Times New Roman" w:hAnsi="Times New Roman" w:cs="Times New Roman"/>
          <w:sz w:val="24"/>
          <w:szCs w:val="24"/>
        </w:rPr>
        <w:t>acknowledging</w:t>
      </w:r>
      <w:r w:rsidR="000B3769">
        <w:rPr>
          <w:rFonts w:ascii="Times New Roman" w:hAnsi="Times New Roman" w:cs="Times New Roman"/>
          <w:sz w:val="24"/>
          <w:szCs w:val="24"/>
        </w:rPr>
        <w:t xml:space="preserve"> that one’s notion of sovereignty is predicated on privileging, is tainted by the need to reduce abstract principles to quantifiable understanding, and is </w:t>
      </w:r>
      <w:r w:rsidR="0080676B">
        <w:rPr>
          <w:rFonts w:ascii="Times New Roman" w:hAnsi="Times New Roman" w:cs="Times New Roman"/>
          <w:sz w:val="24"/>
          <w:szCs w:val="24"/>
        </w:rPr>
        <w:t>a</w:t>
      </w:r>
      <w:r w:rsidR="00252F22">
        <w:rPr>
          <w:rFonts w:ascii="Times New Roman" w:hAnsi="Times New Roman" w:cs="Times New Roman"/>
          <w:sz w:val="24"/>
          <w:szCs w:val="24"/>
        </w:rPr>
        <w:t>ffected by TI</w:t>
      </w:r>
      <w:r w:rsidR="000B3769">
        <w:rPr>
          <w:rFonts w:ascii="Times New Roman" w:hAnsi="Times New Roman" w:cs="Times New Roman"/>
          <w:sz w:val="24"/>
          <w:szCs w:val="24"/>
        </w:rPr>
        <w:t xml:space="preserve">, goes someway to demonstrating that analytical </w:t>
      </w:r>
      <w:r w:rsidR="00252F22">
        <w:rPr>
          <w:rFonts w:ascii="Times New Roman" w:hAnsi="Times New Roman" w:cs="Times New Roman"/>
          <w:sz w:val="24"/>
          <w:szCs w:val="24"/>
        </w:rPr>
        <w:t>knowledge</w:t>
      </w:r>
      <w:r w:rsidR="000B3769">
        <w:rPr>
          <w:rFonts w:ascii="Times New Roman" w:hAnsi="Times New Roman" w:cs="Times New Roman"/>
          <w:sz w:val="24"/>
          <w:szCs w:val="24"/>
        </w:rPr>
        <w:t xml:space="preserve"> and reliance </w:t>
      </w:r>
      <w:r w:rsidR="00D32675">
        <w:rPr>
          <w:rFonts w:ascii="Times New Roman" w:hAnsi="Times New Roman" w:cs="Times New Roman"/>
          <w:sz w:val="24"/>
          <w:szCs w:val="24"/>
        </w:rPr>
        <w:t xml:space="preserve">on </w:t>
      </w:r>
      <w:r w:rsidR="00D32675">
        <w:rPr>
          <w:rFonts w:ascii="Times New Roman" w:hAnsi="Times New Roman" w:cs="Times New Roman"/>
          <w:i/>
          <w:sz w:val="24"/>
          <w:szCs w:val="24"/>
        </w:rPr>
        <w:t xml:space="preserve">a posteriori </w:t>
      </w:r>
      <w:r w:rsidR="00252F22">
        <w:rPr>
          <w:rFonts w:ascii="Times New Roman" w:hAnsi="Times New Roman" w:cs="Times New Roman"/>
          <w:sz w:val="24"/>
          <w:szCs w:val="24"/>
        </w:rPr>
        <w:t>knowledge</w:t>
      </w:r>
      <w:r w:rsidR="00D32675">
        <w:rPr>
          <w:rFonts w:ascii="Times New Roman" w:hAnsi="Times New Roman" w:cs="Times New Roman"/>
          <w:sz w:val="24"/>
          <w:szCs w:val="24"/>
        </w:rPr>
        <w:t xml:space="preserve"> will not produce noteworthy progress towards a renewed reflection on the idol of sovereignty. </w:t>
      </w:r>
      <w:r w:rsidR="005D6DDD">
        <w:rPr>
          <w:rFonts w:ascii="Times New Roman" w:hAnsi="Times New Roman" w:cs="Times New Roman"/>
          <w:sz w:val="24"/>
          <w:szCs w:val="24"/>
        </w:rPr>
        <w:t>The likely devel</w:t>
      </w:r>
      <w:r w:rsidR="00AC2C56">
        <w:rPr>
          <w:rFonts w:ascii="Times New Roman" w:hAnsi="Times New Roman" w:cs="Times New Roman"/>
          <w:sz w:val="24"/>
          <w:szCs w:val="24"/>
        </w:rPr>
        <w:t xml:space="preserve">opment of the concept, idol and, as a result of this, framework of legislative sovereignty is predicated on the development of </w:t>
      </w:r>
      <w:r w:rsidR="00AC2C56">
        <w:rPr>
          <w:rFonts w:ascii="Times New Roman" w:hAnsi="Times New Roman" w:cs="Times New Roman"/>
          <w:i/>
          <w:sz w:val="24"/>
          <w:szCs w:val="24"/>
        </w:rPr>
        <w:t xml:space="preserve">synthetic </w:t>
      </w:r>
      <w:r w:rsidR="00FE39DC">
        <w:rPr>
          <w:rFonts w:ascii="Times New Roman" w:hAnsi="Times New Roman" w:cs="Times New Roman"/>
          <w:i/>
          <w:sz w:val="24"/>
          <w:szCs w:val="24"/>
        </w:rPr>
        <w:t xml:space="preserve">a priori </w:t>
      </w:r>
      <w:r w:rsidR="00FE39DC">
        <w:rPr>
          <w:rFonts w:ascii="Times New Roman" w:hAnsi="Times New Roman" w:cs="Times New Roman"/>
          <w:sz w:val="24"/>
          <w:szCs w:val="24"/>
        </w:rPr>
        <w:t>reasoning, and this author argues that this development lies substantially beyond the re</w:t>
      </w:r>
      <w:r w:rsidR="00252F22">
        <w:rPr>
          <w:rFonts w:ascii="Times New Roman" w:hAnsi="Times New Roman" w:cs="Times New Roman"/>
          <w:sz w:val="24"/>
          <w:szCs w:val="24"/>
        </w:rPr>
        <w:t>a</w:t>
      </w:r>
      <w:r w:rsidR="00FE39DC">
        <w:rPr>
          <w:rFonts w:ascii="Times New Roman" w:hAnsi="Times New Roman" w:cs="Times New Roman"/>
          <w:sz w:val="24"/>
          <w:szCs w:val="24"/>
        </w:rPr>
        <w:t xml:space="preserve">lm of jurisprudence, drawing on broader philosophical theory to assist with developing a greater depth of knowledge of sovereignty and its idol. </w:t>
      </w:r>
      <w:r w:rsidR="00C241E9">
        <w:rPr>
          <w:rFonts w:ascii="Times New Roman" w:hAnsi="Times New Roman" w:cs="Times New Roman"/>
          <w:sz w:val="24"/>
          <w:szCs w:val="24"/>
        </w:rPr>
        <w:t xml:space="preserve">The second and final matter to consider in this part is whether legislative sovereignty </w:t>
      </w:r>
      <w:r w:rsidR="00C50134">
        <w:rPr>
          <w:rFonts w:ascii="Times New Roman" w:hAnsi="Times New Roman" w:cs="Times New Roman"/>
          <w:sz w:val="24"/>
          <w:szCs w:val="24"/>
        </w:rPr>
        <w:t>should give way to the sovereignty of the rule of law, and</w:t>
      </w:r>
      <w:r w:rsidR="00882003">
        <w:rPr>
          <w:rFonts w:ascii="Times New Roman" w:hAnsi="Times New Roman" w:cs="Times New Roman"/>
          <w:sz w:val="24"/>
          <w:szCs w:val="24"/>
        </w:rPr>
        <w:t xml:space="preserve"> whether the rule of law can</w:t>
      </w:r>
      <w:r w:rsidR="00C50134">
        <w:rPr>
          <w:rFonts w:ascii="Times New Roman" w:hAnsi="Times New Roman" w:cs="Times New Roman"/>
          <w:sz w:val="24"/>
          <w:szCs w:val="24"/>
        </w:rPr>
        <w:t xml:space="preserve"> </w:t>
      </w:r>
      <w:r w:rsidR="00C241E9">
        <w:rPr>
          <w:rFonts w:ascii="Times New Roman" w:hAnsi="Times New Roman" w:cs="Times New Roman"/>
          <w:sz w:val="24"/>
          <w:szCs w:val="24"/>
        </w:rPr>
        <w:t>be considered a form of universal jurisdiction. The difficulty with dealing with this matter in brief, is that it year</w:t>
      </w:r>
      <w:r w:rsidR="000036C5">
        <w:rPr>
          <w:rFonts w:ascii="Times New Roman" w:hAnsi="Times New Roman" w:cs="Times New Roman"/>
          <w:sz w:val="24"/>
          <w:szCs w:val="24"/>
        </w:rPr>
        <w:t>n</w:t>
      </w:r>
      <w:r w:rsidR="00C241E9">
        <w:rPr>
          <w:rFonts w:ascii="Times New Roman" w:hAnsi="Times New Roman" w:cs="Times New Roman"/>
          <w:sz w:val="24"/>
          <w:szCs w:val="24"/>
        </w:rPr>
        <w:t xml:space="preserve">s for extensive consideration; whether legislative sovereignty should be considered an unworkable </w:t>
      </w:r>
      <w:r w:rsidR="000036C5">
        <w:rPr>
          <w:rFonts w:ascii="Times New Roman" w:hAnsi="Times New Roman" w:cs="Times New Roman"/>
          <w:sz w:val="24"/>
          <w:szCs w:val="24"/>
        </w:rPr>
        <w:t>fallacy;</w:t>
      </w:r>
      <w:r w:rsidR="00C241E9">
        <w:rPr>
          <w:rFonts w:ascii="Times New Roman" w:hAnsi="Times New Roman" w:cs="Times New Roman"/>
          <w:sz w:val="24"/>
          <w:szCs w:val="24"/>
        </w:rPr>
        <w:t xml:space="preserve"> is the rule of law, metaphysical</w:t>
      </w:r>
      <w:r w:rsidR="000036C5">
        <w:rPr>
          <w:rFonts w:ascii="Times New Roman" w:hAnsi="Times New Roman" w:cs="Times New Roman"/>
          <w:sz w:val="24"/>
          <w:szCs w:val="24"/>
        </w:rPr>
        <w:t>;</w:t>
      </w:r>
      <w:r w:rsidR="00C241E9">
        <w:rPr>
          <w:rFonts w:ascii="Times New Roman" w:hAnsi="Times New Roman" w:cs="Times New Roman"/>
          <w:sz w:val="24"/>
          <w:szCs w:val="24"/>
        </w:rPr>
        <w:t xml:space="preserve"> and</w:t>
      </w:r>
      <w:r w:rsidR="000036C5">
        <w:rPr>
          <w:rFonts w:ascii="Times New Roman" w:hAnsi="Times New Roman" w:cs="Times New Roman"/>
          <w:sz w:val="24"/>
          <w:szCs w:val="24"/>
        </w:rPr>
        <w:t>,</w:t>
      </w:r>
      <w:r w:rsidR="00C241E9">
        <w:rPr>
          <w:rFonts w:ascii="Times New Roman" w:hAnsi="Times New Roman" w:cs="Times New Roman"/>
          <w:sz w:val="24"/>
          <w:szCs w:val="24"/>
        </w:rPr>
        <w:t xml:space="preserve"> should the rule of law be recognised as having universal jurisdiction are each areas of research in their own right. </w:t>
      </w:r>
      <w:r w:rsidR="00597115">
        <w:rPr>
          <w:rFonts w:ascii="Times New Roman" w:hAnsi="Times New Roman" w:cs="Times New Roman"/>
          <w:sz w:val="24"/>
          <w:szCs w:val="24"/>
        </w:rPr>
        <w:t xml:space="preserve">However, there are some comments that can be made with reference to the matters that have arisen in the argumentation in this article. </w:t>
      </w:r>
      <w:r w:rsidR="005C4740">
        <w:rPr>
          <w:rFonts w:ascii="Times New Roman" w:hAnsi="Times New Roman" w:cs="Times New Roman"/>
          <w:sz w:val="24"/>
          <w:szCs w:val="24"/>
        </w:rPr>
        <w:t>The rule of law suffers its own conceptual difficulties with few agreeing on whether the rule of law is formal or substantive in nature</w:t>
      </w:r>
      <w:r w:rsidR="005C4740">
        <w:rPr>
          <w:rStyle w:val="FootnoteReference"/>
          <w:rFonts w:ascii="Times New Roman" w:hAnsi="Times New Roman" w:cs="Times New Roman"/>
          <w:sz w:val="24"/>
          <w:szCs w:val="24"/>
        </w:rPr>
        <w:footnoteReference w:id="126"/>
      </w:r>
      <w:r w:rsidR="005C4740">
        <w:rPr>
          <w:rFonts w:ascii="Times New Roman" w:hAnsi="Times New Roman" w:cs="Times New Roman"/>
          <w:sz w:val="24"/>
          <w:szCs w:val="24"/>
        </w:rPr>
        <w:t xml:space="preserve">. </w:t>
      </w:r>
      <w:r w:rsidR="00AF33B9">
        <w:rPr>
          <w:rFonts w:ascii="Times New Roman" w:hAnsi="Times New Roman" w:cs="Times New Roman"/>
          <w:sz w:val="24"/>
          <w:szCs w:val="24"/>
        </w:rPr>
        <w:t xml:space="preserve">Many of the same points made above in relation to sovereignty can be made in relation to the rule of law; rather the restate these, more focus with be levied on whether the rule of law could be the substantive fit for Kelsen’s </w:t>
      </w:r>
      <w:r w:rsidR="00AF33B9" w:rsidRPr="00885B92">
        <w:rPr>
          <w:rFonts w:ascii="Times New Roman" w:hAnsi="Times New Roman" w:cs="Times New Roman"/>
          <w:i/>
          <w:sz w:val="24"/>
          <w:szCs w:val="24"/>
        </w:rPr>
        <w:t>grundnorm</w:t>
      </w:r>
      <w:r w:rsidR="00AF33B9">
        <w:rPr>
          <w:rStyle w:val="FootnoteReference"/>
          <w:rFonts w:ascii="Times New Roman" w:hAnsi="Times New Roman" w:cs="Times New Roman"/>
          <w:i/>
          <w:sz w:val="24"/>
          <w:szCs w:val="24"/>
        </w:rPr>
        <w:footnoteReference w:id="127"/>
      </w:r>
      <w:r w:rsidR="00AF33B9">
        <w:rPr>
          <w:rFonts w:ascii="Times New Roman" w:hAnsi="Times New Roman" w:cs="Times New Roman"/>
          <w:sz w:val="24"/>
          <w:szCs w:val="24"/>
        </w:rPr>
        <w:t xml:space="preserve">. </w:t>
      </w:r>
      <w:r w:rsidR="00262C3D">
        <w:rPr>
          <w:rFonts w:ascii="Times New Roman" w:hAnsi="Times New Roman" w:cs="Times New Roman"/>
          <w:sz w:val="24"/>
          <w:szCs w:val="24"/>
        </w:rPr>
        <w:t xml:space="preserve">The problem that arises </w:t>
      </w:r>
      <w:r w:rsidR="00882003">
        <w:rPr>
          <w:rFonts w:ascii="Times New Roman" w:hAnsi="Times New Roman" w:cs="Times New Roman"/>
          <w:sz w:val="24"/>
          <w:szCs w:val="24"/>
        </w:rPr>
        <w:t xml:space="preserve">here, </w:t>
      </w:r>
      <w:r w:rsidR="00262C3D">
        <w:rPr>
          <w:rFonts w:ascii="Times New Roman" w:hAnsi="Times New Roman" w:cs="Times New Roman"/>
          <w:sz w:val="24"/>
          <w:szCs w:val="24"/>
        </w:rPr>
        <w:t xml:space="preserve">even if </w:t>
      </w:r>
      <w:r w:rsidR="00882003">
        <w:rPr>
          <w:rFonts w:ascii="Times New Roman" w:hAnsi="Times New Roman" w:cs="Times New Roman"/>
          <w:sz w:val="24"/>
          <w:szCs w:val="24"/>
        </w:rPr>
        <w:t xml:space="preserve">the rule of law </w:t>
      </w:r>
      <w:r w:rsidR="00262C3D">
        <w:rPr>
          <w:rFonts w:ascii="Times New Roman" w:hAnsi="Times New Roman" w:cs="Times New Roman"/>
          <w:sz w:val="24"/>
          <w:szCs w:val="24"/>
        </w:rPr>
        <w:t>is devoid of content for the sake of not entering into formal and substantive arguments</w:t>
      </w:r>
      <w:r w:rsidR="00882003">
        <w:rPr>
          <w:rFonts w:ascii="Times New Roman" w:hAnsi="Times New Roman" w:cs="Times New Roman"/>
          <w:sz w:val="24"/>
          <w:szCs w:val="24"/>
        </w:rPr>
        <w:t xml:space="preserve">, </w:t>
      </w:r>
      <w:r w:rsidR="00262C3D">
        <w:rPr>
          <w:rFonts w:ascii="Times New Roman" w:hAnsi="Times New Roman" w:cs="Times New Roman"/>
          <w:sz w:val="24"/>
          <w:szCs w:val="24"/>
        </w:rPr>
        <w:t xml:space="preserve">is </w:t>
      </w:r>
      <w:r w:rsidR="00882003">
        <w:rPr>
          <w:rFonts w:ascii="Times New Roman" w:hAnsi="Times New Roman" w:cs="Times New Roman"/>
          <w:sz w:val="24"/>
          <w:szCs w:val="24"/>
        </w:rPr>
        <w:t xml:space="preserve">asserting the rule of law has some universal jurisdiction is asserting </w:t>
      </w:r>
      <w:r w:rsidR="00314D38">
        <w:rPr>
          <w:rFonts w:ascii="Times New Roman" w:hAnsi="Times New Roman" w:cs="Times New Roman"/>
          <w:sz w:val="24"/>
          <w:szCs w:val="24"/>
        </w:rPr>
        <w:t xml:space="preserve">that </w:t>
      </w:r>
      <w:r w:rsidR="00882003">
        <w:rPr>
          <w:rFonts w:ascii="Times New Roman" w:hAnsi="Times New Roman" w:cs="Times New Roman"/>
          <w:sz w:val="24"/>
          <w:szCs w:val="24"/>
        </w:rPr>
        <w:t xml:space="preserve">one’s idol of the rule of law (and its individual </w:t>
      </w:r>
      <w:r w:rsidR="00882003">
        <w:rPr>
          <w:rFonts w:ascii="Times New Roman" w:hAnsi="Times New Roman" w:cs="Times New Roman"/>
          <w:sz w:val="24"/>
          <w:szCs w:val="24"/>
        </w:rPr>
        <w:lastRenderedPageBreak/>
        <w:t xml:space="preserve">flaws as seen above) </w:t>
      </w:r>
      <w:r w:rsidR="00314D38">
        <w:rPr>
          <w:rFonts w:ascii="Times New Roman" w:hAnsi="Times New Roman" w:cs="Times New Roman"/>
          <w:sz w:val="24"/>
          <w:szCs w:val="24"/>
        </w:rPr>
        <w:t>should be recognised and followed by others.</w:t>
      </w:r>
      <w:r w:rsidR="00C50134">
        <w:rPr>
          <w:rFonts w:ascii="Times New Roman" w:hAnsi="Times New Roman" w:cs="Times New Roman"/>
          <w:sz w:val="24"/>
          <w:szCs w:val="24"/>
        </w:rPr>
        <w:t xml:space="preserve"> </w:t>
      </w:r>
      <w:r w:rsidR="00314D38">
        <w:rPr>
          <w:rFonts w:ascii="Times New Roman" w:hAnsi="Times New Roman" w:cs="Times New Roman"/>
          <w:sz w:val="24"/>
          <w:szCs w:val="24"/>
        </w:rPr>
        <w:t>Again, one could mark the difference between the noumenal rule of law and that which is phenomenal and subject one each person’s individual limitations as thinkers. The same issues seem to arise when one considered the universalisation of any concept which is subject to differing opinions and subject the inherent limitations of human understanding. However, this does leave</w:t>
      </w:r>
      <w:r w:rsidR="00FA016E">
        <w:rPr>
          <w:rFonts w:ascii="Times New Roman" w:hAnsi="Times New Roman" w:cs="Times New Roman"/>
          <w:sz w:val="24"/>
          <w:szCs w:val="24"/>
        </w:rPr>
        <w:t xml:space="preserve"> a</w:t>
      </w:r>
      <w:r w:rsidR="00314D38">
        <w:rPr>
          <w:rFonts w:ascii="Times New Roman" w:hAnsi="Times New Roman" w:cs="Times New Roman"/>
          <w:sz w:val="24"/>
          <w:szCs w:val="24"/>
        </w:rPr>
        <w:t xml:space="preserve"> substantial scope for further research and development. </w:t>
      </w:r>
    </w:p>
    <w:p w:rsidR="008D1711" w:rsidRDefault="008D1711" w:rsidP="007C5246">
      <w:pPr>
        <w:spacing w:line="360" w:lineRule="auto"/>
        <w:jc w:val="both"/>
        <w:rPr>
          <w:rFonts w:ascii="Times New Roman" w:hAnsi="Times New Roman" w:cs="Times New Roman"/>
          <w:b/>
          <w:sz w:val="24"/>
          <w:szCs w:val="24"/>
        </w:rPr>
      </w:pPr>
    </w:p>
    <w:p w:rsidR="00C21C00" w:rsidRPr="00567BC2" w:rsidRDefault="00C21C00" w:rsidP="007C5246">
      <w:pPr>
        <w:spacing w:line="360" w:lineRule="auto"/>
        <w:jc w:val="both"/>
        <w:rPr>
          <w:rFonts w:ascii="Times New Roman" w:hAnsi="Times New Roman" w:cs="Times New Roman"/>
          <w:b/>
          <w:sz w:val="24"/>
          <w:szCs w:val="24"/>
        </w:rPr>
      </w:pPr>
      <w:r w:rsidRPr="00567BC2">
        <w:rPr>
          <w:rFonts w:ascii="Times New Roman" w:hAnsi="Times New Roman" w:cs="Times New Roman"/>
          <w:b/>
          <w:sz w:val="24"/>
          <w:szCs w:val="24"/>
        </w:rPr>
        <w:t xml:space="preserve">Conclusion </w:t>
      </w:r>
    </w:p>
    <w:p w:rsidR="00334110" w:rsidRDefault="00567BC2" w:rsidP="007C52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outset, this article used a quote from </w:t>
      </w:r>
      <w:r w:rsidRPr="00567BC2">
        <w:rPr>
          <w:rFonts w:ascii="Times New Roman" w:hAnsi="Times New Roman" w:cs="Times New Roman"/>
          <w:sz w:val="24"/>
          <w:szCs w:val="24"/>
        </w:rPr>
        <w:t>Lord McConnell of Glenscorrodale</w:t>
      </w:r>
      <w:r>
        <w:rPr>
          <w:rFonts w:ascii="Times New Roman" w:hAnsi="Times New Roman" w:cs="Times New Roman"/>
          <w:sz w:val="24"/>
          <w:szCs w:val="24"/>
        </w:rPr>
        <w:t xml:space="preserve"> regarding the pooling of sovereignty to achieve common goals. This concept of pooling appears to be more complex than one may have imagined; to suggest that sovereignty can be pooled it to award sovereignty some nou</w:t>
      </w:r>
      <w:r w:rsidR="007B01F7">
        <w:rPr>
          <w:rFonts w:ascii="Times New Roman" w:hAnsi="Times New Roman" w:cs="Times New Roman"/>
          <w:sz w:val="24"/>
          <w:szCs w:val="24"/>
        </w:rPr>
        <w:t>me</w:t>
      </w:r>
      <w:r>
        <w:rPr>
          <w:rFonts w:ascii="Times New Roman" w:hAnsi="Times New Roman" w:cs="Times New Roman"/>
          <w:sz w:val="24"/>
          <w:szCs w:val="24"/>
        </w:rPr>
        <w:t>nal</w:t>
      </w:r>
      <w:r>
        <w:rPr>
          <w:rStyle w:val="FootnoteReference"/>
          <w:rFonts w:ascii="Times New Roman" w:hAnsi="Times New Roman" w:cs="Times New Roman"/>
          <w:sz w:val="24"/>
          <w:szCs w:val="24"/>
        </w:rPr>
        <w:footnoteReference w:id="128"/>
      </w:r>
      <w:r>
        <w:rPr>
          <w:rFonts w:ascii="Times New Roman" w:hAnsi="Times New Roman" w:cs="Times New Roman"/>
          <w:sz w:val="24"/>
          <w:szCs w:val="24"/>
        </w:rPr>
        <w:t xml:space="preserve"> existence beyond that conceptual understanding to which this author has turned his attention. </w:t>
      </w:r>
      <w:r w:rsidR="007B01F7">
        <w:rPr>
          <w:rFonts w:ascii="Times New Roman" w:hAnsi="Times New Roman" w:cs="Times New Roman"/>
          <w:sz w:val="24"/>
          <w:szCs w:val="24"/>
        </w:rPr>
        <w:t xml:space="preserve">Further research is warranted on the discussion of sovereignty possessing a noumenal state and what that may be. This article has, in considering the metaphysical discussions around legislative sovereignty, partly entered into the noumenal / phenomenal distinction when searching for the first principle of legislative sovereignty, but this cannot be afforded further discussion here. However, it transpires that the conceptual development of sovereignty has fundamental metaphysical flaws in its current incarnations. This is to be expected given that the legislative sovereignty has a far more recent origin than the older notion of universal jurisdiction, even if universal jurisdiction appears to be politically difficult at the present time. </w:t>
      </w:r>
      <w:r w:rsidR="00A62476">
        <w:rPr>
          <w:rFonts w:ascii="Times New Roman" w:hAnsi="Times New Roman" w:cs="Times New Roman"/>
          <w:sz w:val="24"/>
          <w:szCs w:val="24"/>
        </w:rPr>
        <w:t xml:space="preserve">Perhaps Lord McConnell’s quote provides an option for theoretical and reform in the future. This author has suggested above that </w:t>
      </w:r>
      <w:r w:rsidR="00462004" w:rsidRPr="00567BC2">
        <w:rPr>
          <w:rFonts w:ascii="Times New Roman" w:hAnsi="Times New Roman" w:cs="Times New Roman"/>
          <w:sz w:val="24"/>
          <w:szCs w:val="24"/>
        </w:rPr>
        <w:t xml:space="preserve">there seems to be a reluctance to modernise the concepts around legislative supremacy, to adopt a concept of the supremacy of the rule of law, or constitutional sovereignty with a subordinate legislator. </w:t>
      </w:r>
      <w:r w:rsidR="00A62476">
        <w:rPr>
          <w:rFonts w:ascii="Times New Roman" w:hAnsi="Times New Roman" w:cs="Times New Roman"/>
          <w:sz w:val="24"/>
          <w:szCs w:val="24"/>
        </w:rPr>
        <w:t xml:space="preserve">A conceptual understanding of a malleable form of sovereignty, which can be effectively separated from territorial sovereignty and therefore </w:t>
      </w:r>
      <w:r w:rsidR="001A3ACB">
        <w:rPr>
          <w:rFonts w:ascii="Times New Roman" w:hAnsi="Times New Roman" w:cs="Times New Roman"/>
          <w:sz w:val="24"/>
          <w:szCs w:val="24"/>
        </w:rPr>
        <w:t xml:space="preserve">be </w:t>
      </w:r>
      <w:r w:rsidR="00A62476">
        <w:rPr>
          <w:rFonts w:ascii="Times New Roman" w:hAnsi="Times New Roman" w:cs="Times New Roman"/>
          <w:sz w:val="24"/>
          <w:szCs w:val="24"/>
        </w:rPr>
        <w:t>extant in many places at the same time, is one means of achieving a modern view of sovereignty</w:t>
      </w:r>
      <w:r w:rsidR="00D2403E">
        <w:rPr>
          <w:rFonts w:ascii="Times New Roman" w:hAnsi="Times New Roman" w:cs="Times New Roman"/>
          <w:sz w:val="24"/>
          <w:szCs w:val="24"/>
        </w:rPr>
        <w:t>.</w:t>
      </w:r>
      <w:r w:rsidR="00A62476">
        <w:rPr>
          <w:rStyle w:val="FootnoteReference"/>
          <w:rFonts w:ascii="Times New Roman" w:hAnsi="Times New Roman" w:cs="Times New Roman"/>
          <w:sz w:val="24"/>
          <w:szCs w:val="24"/>
        </w:rPr>
        <w:footnoteReference w:id="129"/>
      </w:r>
      <w:r w:rsidR="00A62476">
        <w:rPr>
          <w:rFonts w:ascii="Times New Roman" w:hAnsi="Times New Roman" w:cs="Times New Roman"/>
          <w:sz w:val="24"/>
          <w:szCs w:val="24"/>
        </w:rPr>
        <w:t xml:space="preserve"> </w:t>
      </w:r>
    </w:p>
    <w:p w:rsidR="00B118AF" w:rsidRPr="00567BC2" w:rsidRDefault="003E4A5C" w:rsidP="007C524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appears to be the case that legislative sovereignty is a form of idol</w:t>
      </w:r>
      <w:r w:rsidR="00334110">
        <w:rPr>
          <w:rFonts w:ascii="Times New Roman" w:hAnsi="Times New Roman" w:cs="Times New Roman"/>
          <w:sz w:val="24"/>
          <w:szCs w:val="24"/>
        </w:rPr>
        <w:t xml:space="preserve">. It is not necessary to revisit the full discussion here in relation to the idol of sovereignty, save to say that it is possible that each jurisdiction will hold an idol of sovereignty unique to them. This would pose a problem for a new malleable model of sovereignty, and also for the action of pooling sovereignty. If there is a fundamental </w:t>
      </w:r>
      <w:r w:rsidR="00107B09">
        <w:rPr>
          <w:rFonts w:ascii="Times New Roman" w:hAnsi="Times New Roman" w:cs="Times New Roman"/>
          <w:sz w:val="24"/>
          <w:szCs w:val="24"/>
        </w:rPr>
        <w:t>discrepancy</w:t>
      </w:r>
      <w:r w:rsidR="00334110">
        <w:rPr>
          <w:rFonts w:ascii="Times New Roman" w:hAnsi="Times New Roman" w:cs="Times New Roman"/>
          <w:sz w:val="24"/>
          <w:szCs w:val="24"/>
        </w:rPr>
        <w:t xml:space="preserve"> between idols, this could cause friction between idols when they are pool</w:t>
      </w:r>
      <w:r w:rsidR="001A3ACB">
        <w:rPr>
          <w:rFonts w:ascii="Times New Roman" w:hAnsi="Times New Roman" w:cs="Times New Roman"/>
          <w:sz w:val="24"/>
          <w:szCs w:val="24"/>
        </w:rPr>
        <w:t>ed</w:t>
      </w:r>
      <w:r w:rsidR="00334110">
        <w:rPr>
          <w:rFonts w:ascii="Times New Roman" w:hAnsi="Times New Roman" w:cs="Times New Roman"/>
          <w:sz w:val="24"/>
          <w:szCs w:val="24"/>
        </w:rPr>
        <w:t xml:space="preserve"> together unless the pooling of sovereignty is described as the coming together of sovereignty whilst retaining the individuality of each jurisdiction’s idol. This concept is discussed here in the abstract and could benefit from further discrete consideration. </w:t>
      </w:r>
      <w:r w:rsidR="001A3ACB">
        <w:rPr>
          <w:rFonts w:ascii="Times New Roman" w:hAnsi="Times New Roman" w:cs="Times New Roman"/>
          <w:sz w:val="24"/>
          <w:szCs w:val="24"/>
        </w:rPr>
        <w:t>T</w:t>
      </w:r>
      <w:r w:rsidR="00334110">
        <w:rPr>
          <w:rFonts w:ascii="Times New Roman" w:hAnsi="Times New Roman" w:cs="Times New Roman"/>
          <w:sz w:val="24"/>
          <w:szCs w:val="24"/>
        </w:rPr>
        <w:t xml:space="preserve">he idol of legislative sovereignty </w:t>
      </w:r>
      <w:r w:rsidR="001A3ACB">
        <w:rPr>
          <w:rFonts w:ascii="Times New Roman" w:hAnsi="Times New Roman" w:cs="Times New Roman"/>
          <w:sz w:val="24"/>
          <w:szCs w:val="24"/>
        </w:rPr>
        <w:t xml:space="preserve">was also discussed as a </w:t>
      </w:r>
      <w:r w:rsidR="00334110">
        <w:rPr>
          <w:rFonts w:ascii="Times New Roman" w:hAnsi="Times New Roman" w:cs="Times New Roman"/>
          <w:sz w:val="24"/>
          <w:szCs w:val="24"/>
        </w:rPr>
        <w:t xml:space="preserve">metaphysical proposition, which in Kantian terms is </w:t>
      </w:r>
      <w:r w:rsidR="00334110" w:rsidRPr="00885B92">
        <w:rPr>
          <w:rFonts w:ascii="Times New Roman" w:hAnsi="Times New Roman" w:cs="Times New Roman"/>
          <w:i/>
          <w:sz w:val="24"/>
          <w:szCs w:val="24"/>
        </w:rPr>
        <w:t xml:space="preserve">synthetic </w:t>
      </w:r>
      <w:r w:rsidR="00334110" w:rsidRPr="00AC2C56">
        <w:rPr>
          <w:rFonts w:ascii="Times New Roman" w:hAnsi="Times New Roman" w:cs="Times New Roman"/>
          <w:i/>
          <w:sz w:val="24"/>
          <w:szCs w:val="24"/>
        </w:rPr>
        <w:t>a</w:t>
      </w:r>
      <w:r w:rsidR="00334110">
        <w:rPr>
          <w:rFonts w:ascii="Times New Roman" w:hAnsi="Times New Roman" w:cs="Times New Roman"/>
          <w:i/>
          <w:sz w:val="24"/>
          <w:szCs w:val="24"/>
        </w:rPr>
        <w:t xml:space="preserve"> priori</w:t>
      </w:r>
      <w:r w:rsidR="00334110">
        <w:rPr>
          <w:rFonts w:ascii="Times New Roman" w:hAnsi="Times New Roman" w:cs="Times New Roman"/>
          <w:sz w:val="24"/>
          <w:szCs w:val="24"/>
        </w:rPr>
        <w:t xml:space="preserve">. It is </w:t>
      </w:r>
      <w:r w:rsidR="00334110" w:rsidRPr="00885B92">
        <w:rPr>
          <w:rFonts w:ascii="Times New Roman" w:hAnsi="Times New Roman" w:cs="Times New Roman"/>
          <w:i/>
          <w:sz w:val="24"/>
          <w:szCs w:val="24"/>
        </w:rPr>
        <w:t>synthetic</w:t>
      </w:r>
      <w:r w:rsidR="00334110">
        <w:rPr>
          <w:rFonts w:ascii="Times New Roman" w:hAnsi="Times New Roman" w:cs="Times New Roman"/>
          <w:sz w:val="24"/>
          <w:szCs w:val="24"/>
        </w:rPr>
        <w:t xml:space="preserve"> </w:t>
      </w:r>
      <w:r w:rsidR="00334110">
        <w:rPr>
          <w:rFonts w:ascii="Times New Roman" w:hAnsi="Times New Roman" w:cs="Times New Roman"/>
          <w:i/>
          <w:sz w:val="24"/>
          <w:szCs w:val="24"/>
        </w:rPr>
        <w:t>a priori</w:t>
      </w:r>
      <w:r w:rsidR="00334110">
        <w:rPr>
          <w:rFonts w:ascii="Times New Roman" w:hAnsi="Times New Roman" w:cs="Times New Roman"/>
          <w:sz w:val="24"/>
          <w:szCs w:val="24"/>
        </w:rPr>
        <w:t xml:space="preserve"> as it is beyond one’s the experiential knowledge but requires reason to develop and understand the idol as set out above.</w:t>
      </w:r>
      <w:r w:rsidR="00CB72A2">
        <w:rPr>
          <w:rFonts w:ascii="Times New Roman" w:hAnsi="Times New Roman" w:cs="Times New Roman"/>
          <w:sz w:val="24"/>
          <w:szCs w:val="24"/>
        </w:rPr>
        <w:t xml:space="preserve"> This is a useful proposition; it separates the experiential function of sovereignty (the making of laws which is within the experience of those conducting the function, and those observing the function) from the notional idol. The notional idol is the premise which guides those who make law, the noumenal form of legislative sovereignty. The comparison is made here with the work of Kels</w:t>
      </w:r>
      <w:r w:rsidR="001A3ACB">
        <w:rPr>
          <w:rFonts w:ascii="Times New Roman" w:hAnsi="Times New Roman" w:cs="Times New Roman"/>
          <w:sz w:val="24"/>
          <w:szCs w:val="24"/>
        </w:rPr>
        <w:t>e</w:t>
      </w:r>
      <w:r w:rsidR="00CB72A2">
        <w:rPr>
          <w:rFonts w:ascii="Times New Roman" w:hAnsi="Times New Roman" w:cs="Times New Roman"/>
          <w:sz w:val="24"/>
          <w:szCs w:val="24"/>
        </w:rPr>
        <w:t xml:space="preserve">n and the </w:t>
      </w:r>
      <w:r w:rsidR="00CB72A2" w:rsidRPr="00F75F31">
        <w:rPr>
          <w:rFonts w:ascii="Times New Roman" w:hAnsi="Times New Roman" w:cs="Times New Roman"/>
          <w:i/>
          <w:sz w:val="24"/>
          <w:szCs w:val="24"/>
        </w:rPr>
        <w:t>grundnorm</w:t>
      </w:r>
      <w:r w:rsidR="00CB72A2">
        <w:rPr>
          <w:rFonts w:ascii="Times New Roman" w:hAnsi="Times New Roman" w:cs="Times New Roman"/>
          <w:sz w:val="24"/>
          <w:szCs w:val="24"/>
        </w:rPr>
        <w:t xml:space="preserve"> </w:t>
      </w:r>
      <w:r w:rsidR="00F75F31">
        <w:rPr>
          <w:rFonts w:ascii="Times New Roman" w:hAnsi="Times New Roman" w:cs="Times New Roman"/>
          <w:sz w:val="24"/>
          <w:szCs w:val="24"/>
        </w:rPr>
        <w:t xml:space="preserve">as a proposition which spawns </w:t>
      </w:r>
      <w:r w:rsidR="001A3ACB">
        <w:rPr>
          <w:rFonts w:ascii="Times New Roman" w:hAnsi="Times New Roman" w:cs="Times New Roman"/>
          <w:sz w:val="24"/>
          <w:szCs w:val="24"/>
        </w:rPr>
        <w:t xml:space="preserve">phenomenal </w:t>
      </w:r>
      <w:r w:rsidR="00F75F31">
        <w:rPr>
          <w:rFonts w:ascii="Times New Roman" w:hAnsi="Times New Roman" w:cs="Times New Roman"/>
          <w:sz w:val="24"/>
          <w:szCs w:val="24"/>
        </w:rPr>
        <w:t xml:space="preserve">legal norms, but which is not itself </w:t>
      </w:r>
      <w:r w:rsidR="001A3ACB">
        <w:rPr>
          <w:rFonts w:ascii="Times New Roman" w:hAnsi="Times New Roman" w:cs="Times New Roman"/>
          <w:sz w:val="24"/>
          <w:szCs w:val="24"/>
        </w:rPr>
        <w:t>a phenomenal norm</w:t>
      </w:r>
      <w:r w:rsidR="00F75F31">
        <w:rPr>
          <w:rFonts w:ascii="Times New Roman" w:hAnsi="Times New Roman" w:cs="Times New Roman"/>
          <w:sz w:val="24"/>
          <w:szCs w:val="24"/>
        </w:rPr>
        <w:t xml:space="preserve">. </w:t>
      </w:r>
    </w:p>
    <w:p w:rsidR="00B118AF" w:rsidRDefault="00B118AF" w:rsidP="007C5246">
      <w:pPr>
        <w:spacing w:line="360" w:lineRule="auto"/>
        <w:jc w:val="both"/>
        <w:rPr>
          <w:rFonts w:ascii="Times New Roman" w:hAnsi="Times New Roman" w:cs="Times New Roman"/>
          <w:sz w:val="24"/>
          <w:szCs w:val="24"/>
        </w:rPr>
      </w:pPr>
      <w:r>
        <w:rPr>
          <w:rFonts w:ascii="Times New Roman" w:hAnsi="Times New Roman" w:cs="Times New Roman"/>
          <w:sz w:val="24"/>
          <w:szCs w:val="24"/>
        </w:rPr>
        <w:t>To turn to a s</w:t>
      </w:r>
      <w:r w:rsidRPr="00F75F31">
        <w:rPr>
          <w:rFonts w:ascii="Times New Roman" w:hAnsi="Times New Roman" w:cs="Times New Roman"/>
          <w:sz w:val="24"/>
          <w:szCs w:val="24"/>
        </w:rPr>
        <w:t>emantic</w:t>
      </w:r>
      <w:r>
        <w:rPr>
          <w:rFonts w:ascii="Times New Roman" w:hAnsi="Times New Roman" w:cs="Times New Roman"/>
          <w:sz w:val="24"/>
          <w:szCs w:val="24"/>
        </w:rPr>
        <w:t xml:space="preserve"> issue next; the words</w:t>
      </w:r>
      <w:r w:rsidRPr="00F75F31">
        <w:rPr>
          <w:rFonts w:ascii="Times New Roman" w:hAnsi="Times New Roman" w:cs="Times New Roman"/>
          <w:sz w:val="24"/>
          <w:szCs w:val="24"/>
        </w:rPr>
        <w:t xml:space="preserve"> </w:t>
      </w:r>
      <w:r>
        <w:rPr>
          <w:rFonts w:ascii="Times New Roman" w:hAnsi="Times New Roman" w:cs="Times New Roman"/>
          <w:sz w:val="24"/>
          <w:szCs w:val="24"/>
        </w:rPr>
        <w:t>‘</w:t>
      </w:r>
      <w:r w:rsidRPr="00F75F31">
        <w:rPr>
          <w:rFonts w:ascii="Times New Roman" w:hAnsi="Times New Roman" w:cs="Times New Roman"/>
          <w:sz w:val="24"/>
          <w:szCs w:val="24"/>
        </w:rPr>
        <w:t>supreme</w:t>
      </w:r>
      <w:r>
        <w:rPr>
          <w:rFonts w:ascii="Times New Roman" w:hAnsi="Times New Roman" w:cs="Times New Roman"/>
          <w:sz w:val="24"/>
          <w:szCs w:val="24"/>
        </w:rPr>
        <w:t>’</w:t>
      </w:r>
      <w:r w:rsidRPr="00F75F31">
        <w:rPr>
          <w:rFonts w:ascii="Times New Roman" w:hAnsi="Times New Roman" w:cs="Times New Roman"/>
          <w:sz w:val="24"/>
          <w:szCs w:val="24"/>
        </w:rPr>
        <w:t xml:space="preserve"> and </w:t>
      </w:r>
      <w:r>
        <w:rPr>
          <w:rFonts w:ascii="Times New Roman" w:hAnsi="Times New Roman" w:cs="Times New Roman"/>
          <w:sz w:val="24"/>
          <w:szCs w:val="24"/>
        </w:rPr>
        <w:t>‘</w:t>
      </w:r>
      <w:r w:rsidRPr="00F75F31">
        <w:rPr>
          <w:rFonts w:ascii="Times New Roman" w:hAnsi="Times New Roman" w:cs="Times New Roman"/>
          <w:sz w:val="24"/>
          <w:szCs w:val="24"/>
        </w:rPr>
        <w:t>sovereign</w:t>
      </w:r>
      <w:r>
        <w:rPr>
          <w:rFonts w:ascii="Times New Roman" w:hAnsi="Times New Roman" w:cs="Times New Roman"/>
          <w:sz w:val="24"/>
          <w:szCs w:val="24"/>
        </w:rPr>
        <w:t>’</w:t>
      </w:r>
      <w:r w:rsidRPr="00F75F31">
        <w:rPr>
          <w:rFonts w:ascii="Times New Roman" w:hAnsi="Times New Roman" w:cs="Times New Roman"/>
          <w:sz w:val="24"/>
          <w:szCs w:val="24"/>
        </w:rPr>
        <w:t xml:space="preserve"> indicate statuses with no superior or equal, and this is partly the stumbling block. The concept of supreme law</w:t>
      </w:r>
      <w:r w:rsidR="00786B0B">
        <w:rPr>
          <w:rFonts w:ascii="Times New Roman" w:hAnsi="Times New Roman" w:cs="Times New Roman"/>
          <w:sz w:val="24"/>
          <w:szCs w:val="24"/>
        </w:rPr>
        <w:t>-</w:t>
      </w:r>
      <w:r w:rsidR="00A935EC">
        <w:rPr>
          <w:rFonts w:ascii="Times New Roman" w:hAnsi="Times New Roman" w:cs="Times New Roman"/>
          <w:sz w:val="24"/>
          <w:szCs w:val="24"/>
        </w:rPr>
        <w:t>making is now content-</w:t>
      </w:r>
      <w:r w:rsidRPr="00F75F31">
        <w:rPr>
          <w:rFonts w:ascii="Times New Roman" w:hAnsi="Times New Roman" w:cs="Times New Roman"/>
          <w:sz w:val="24"/>
          <w:szCs w:val="24"/>
        </w:rPr>
        <w:t xml:space="preserve">specific. It is commonly accepted that one state cannot legislate universally, as this is beyond their competence. It has been argued above that a unitary Parliament cannot legislate on devolved matters as doing so </w:t>
      </w:r>
      <w:r>
        <w:rPr>
          <w:rFonts w:ascii="Times New Roman" w:hAnsi="Times New Roman" w:cs="Times New Roman"/>
          <w:sz w:val="24"/>
          <w:szCs w:val="24"/>
        </w:rPr>
        <w:t xml:space="preserve">reinvigorates the long-since defunct justifications for </w:t>
      </w:r>
      <w:r w:rsidR="00D503D0">
        <w:rPr>
          <w:rFonts w:ascii="Times New Roman" w:hAnsi="Times New Roman" w:cs="Times New Roman"/>
          <w:sz w:val="24"/>
          <w:szCs w:val="24"/>
        </w:rPr>
        <w:t>colonisation</w:t>
      </w:r>
      <w:r>
        <w:rPr>
          <w:rFonts w:ascii="Times New Roman" w:hAnsi="Times New Roman" w:cs="Times New Roman"/>
          <w:sz w:val="24"/>
          <w:szCs w:val="24"/>
        </w:rPr>
        <w:t>,</w:t>
      </w:r>
      <w:r w:rsidRPr="00F75F31">
        <w:rPr>
          <w:rFonts w:ascii="Times New Roman" w:hAnsi="Times New Roman" w:cs="Times New Roman"/>
          <w:sz w:val="24"/>
          <w:szCs w:val="24"/>
        </w:rPr>
        <w:t xml:space="preserve"> and undermining notions of egalitarianism</w:t>
      </w:r>
      <w:r>
        <w:rPr>
          <w:rFonts w:ascii="Times New Roman" w:hAnsi="Times New Roman" w:cs="Times New Roman"/>
          <w:sz w:val="24"/>
          <w:szCs w:val="24"/>
        </w:rPr>
        <w:t xml:space="preserve"> amongst legislators’ competency</w:t>
      </w:r>
      <w:r w:rsidRPr="00F75F31">
        <w:rPr>
          <w:rFonts w:ascii="Times New Roman" w:hAnsi="Times New Roman" w:cs="Times New Roman"/>
          <w:sz w:val="24"/>
          <w:szCs w:val="24"/>
        </w:rPr>
        <w:t>. It is</w:t>
      </w:r>
      <w:r w:rsidR="00D2403E">
        <w:rPr>
          <w:rFonts w:ascii="Times New Roman" w:hAnsi="Times New Roman" w:cs="Times New Roman"/>
          <w:sz w:val="24"/>
          <w:szCs w:val="24"/>
        </w:rPr>
        <w:t>,</w:t>
      </w:r>
      <w:r w:rsidRPr="00F75F31">
        <w:rPr>
          <w:rFonts w:ascii="Times New Roman" w:hAnsi="Times New Roman" w:cs="Times New Roman"/>
          <w:sz w:val="24"/>
          <w:szCs w:val="24"/>
        </w:rPr>
        <w:t xml:space="preserve"> therefore, now only true to suggest that sovereignty exists within the context of individual powers retained wholly by the UK Parliament, and yet no model adequately offers a nuanced view of sovereignty to align with this. </w:t>
      </w:r>
      <w:r>
        <w:rPr>
          <w:rFonts w:ascii="Times New Roman" w:hAnsi="Times New Roman" w:cs="Times New Roman"/>
          <w:sz w:val="24"/>
          <w:szCs w:val="24"/>
        </w:rPr>
        <w:t xml:space="preserve">The malleable concept of sovereignty </w:t>
      </w:r>
      <w:r w:rsidR="00D2403E">
        <w:rPr>
          <w:rFonts w:ascii="Times New Roman" w:hAnsi="Times New Roman" w:cs="Times New Roman"/>
          <w:sz w:val="24"/>
          <w:szCs w:val="24"/>
        </w:rPr>
        <w:t xml:space="preserve">suggested in this article </w:t>
      </w:r>
      <w:r>
        <w:rPr>
          <w:rFonts w:ascii="Times New Roman" w:hAnsi="Times New Roman" w:cs="Times New Roman"/>
          <w:sz w:val="24"/>
          <w:szCs w:val="24"/>
        </w:rPr>
        <w:t>would potentially address this issue. If the UK Parliament’s sovereignty is extant but functioning by democratically elected representatives in Sco</w:t>
      </w:r>
      <w:bookmarkStart w:id="0" w:name="_GoBack"/>
      <w:bookmarkEnd w:id="0"/>
      <w:r>
        <w:rPr>
          <w:rFonts w:ascii="Times New Roman" w:hAnsi="Times New Roman" w:cs="Times New Roman"/>
          <w:sz w:val="24"/>
          <w:szCs w:val="24"/>
        </w:rPr>
        <w:t xml:space="preserve">tland, Wales and Northern Ireland, then it is also fair to say that the same could apply to the European Parliament. The fact that sovereignty is not wholly exercised in the territorial </w:t>
      </w:r>
      <w:r w:rsidR="00D2403E">
        <w:rPr>
          <w:rFonts w:ascii="Times New Roman" w:hAnsi="Times New Roman" w:cs="Times New Roman"/>
          <w:sz w:val="24"/>
          <w:szCs w:val="24"/>
        </w:rPr>
        <w:t xml:space="preserve">boundaries </w:t>
      </w:r>
      <w:r>
        <w:rPr>
          <w:rFonts w:ascii="Times New Roman" w:hAnsi="Times New Roman" w:cs="Times New Roman"/>
          <w:sz w:val="24"/>
          <w:szCs w:val="24"/>
        </w:rPr>
        <w:t xml:space="preserve">does not mean that it is not exercised in conjunction with the wider legislative sovereignty of the state. </w:t>
      </w:r>
      <w:r w:rsidRPr="00F75F31">
        <w:rPr>
          <w:rFonts w:ascii="Times New Roman" w:hAnsi="Times New Roman" w:cs="Times New Roman"/>
          <w:sz w:val="24"/>
          <w:szCs w:val="24"/>
        </w:rPr>
        <w:t>The reluctance to forgo the Victorian theories in favour of a nuanced view of legislative authori</w:t>
      </w:r>
      <w:r w:rsidR="00D979E5">
        <w:rPr>
          <w:rFonts w:ascii="Times New Roman" w:hAnsi="Times New Roman" w:cs="Times New Roman"/>
          <w:sz w:val="24"/>
          <w:szCs w:val="24"/>
        </w:rPr>
        <w:t>ty which is content and context-</w:t>
      </w:r>
      <w:r w:rsidRPr="00F75F31">
        <w:rPr>
          <w:rFonts w:ascii="Times New Roman" w:hAnsi="Times New Roman" w:cs="Times New Roman"/>
          <w:sz w:val="24"/>
          <w:szCs w:val="24"/>
        </w:rPr>
        <w:t xml:space="preserve">specific is </w:t>
      </w:r>
      <w:r w:rsidR="00A32E5F">
        <w:rPr>
          <w:rFonts w:ascii="Times New Roman" w:hAnsi="Times New Roman" w:cs="Times New Roman"/>
          <w:sz w:val="24"/>
          <w:szCs w:val="24"/>
        </w:rPr>
        <w:t>regrettable</w:t>
      </w:r>
      <w:r w:rsidRPr="00F75F31">
        <w:rPr>
          <w:rFonts w:ascii="Times New Roman" w:hAnsi="Times New Roman" w:cs="Times New Roman"/>
          <w:sz w:val="24"/>
          <w:szCs w:val="24"/>
        </w:rPr>
        <w:t xml:space="preserve">. It is for legal educators and jurists alike to throw off </w:t>
      </w:r>
      <w:r w:rsidRPr="00F75F31">
        <w:rPr>
          <w:rFonts w:ascii="Times New Roman" w:hAnsi="Times New Roman" w:cs="Times New Roman"/>
          <w:sz w:val="24"/>
          <w:szCs w:val="24"/>
        </w:rPr>
        <w:lastRenderedPageBreak/>
        <w:t>the shackles of unworkable models of sovereignty in favour of a post-coloni</w:t>
      </w:r>
      <w:r w:rsidR="00D979E5">
        <w:rPr>
          <w:rFonts w:ascii="Times New Roman" w:hAnsi="Times New Roman" w:cs="Times New Roman"/>
          <w:sz w:val="24"/>
          <w:szCs w:val="24"/>
        </w:rPr>
        <w:t>al, forward-</w:t>
      </w:r>
      <w:r w:rsidRPr="00F75F31">
        <w:rPr>
          <w:rFonts w:ascii="Times New Roman" w:hAnsi="Times New Roman" w:cs="Times New Roman"/>
          <w:sz w:val="24"/>
          <w:szCs w:val="24"/>
        </w:rPr>
        <w:t>thinking model, cognisant of its historical development and also of its modern incarnation.</w:t>
      </w:r>
    </w:p>
    <w:p w:rsidR="003E4A5C" w:rsidRPr="003E4A5C" w:rsidRDefault="00A62476" w:rsidP="007C52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ability </w:t>
      </w:r>
      <w:r w:rsidR="009C564D">
        <w:rPr>
          <w:rFonts w:ascii="Times New Roman" w:hAnsi="Times New Roman" w:cs="Times New Roman"/>
          <w:sz w:val="24"/>
          <w:szCs w:val="24"/>
        </w:rPr>
        <w:t xml:space="preserve">to </w:t>
      </w:r>
      <w:r w:rsidR="00FB2BDB">
        <w:rPr>
          <w:rFonts w:ascii="Times New Roman" w:hAnsi="Times New Roman" w:cs="Times New Roman"/>
          <w:sz w:val="24"/>
          <w:szCs w:val="24"/>
        </w:rPr>
        <w:t>comprehend</w:t>
      </w:r>
      <w:r w:rsidR="009C564D">
        <w:rPr>
          <w:rFonts w:ascii="Times New Roman" w:hAnsi="Times New Roman" w:cs="Times New Roman"/>
          <w:sz w:val="24"/>
          <w:szCs w:val="24"/>
        </w:rPr>
        <w:t xml:space="preserve"> sovereignty as a </w:t>
      </w:r>
      <w:r w:rsidR="00FB2BDB">
        <w:rPr>
          <w:rFonts w:ascii="Times New Roman" w:hAnsi="Times New Roman" w:cs="Times New Roman"/>
          <w:sz w:val="24"/>
          <w:szCs w:val="24"/>
        </w:rPr>
        <w:t xml:space="preserve">set of powers, detached from the jurisdiction that they operate in, and as such movable is key to making the notion of pooling of sovereignty work without creating universal jurisdiction or rights to legislate extraterritorially. It may even be possible to run two parallel concepts of sovereignty to satisfy the discussions earlier in this article: legislative sovereignty as a separate entity functioning in domestic, supranational and intergovernmental organisations; and, </w:t>
      </w:r>
      <w:r w:rsidR="001B7978">
        <w:rPr>
          <w:rFonts w:ascii="Times New Roman" w:hAnsi="Times New Roman" w:cs="Times New Roman"/>
          <w:sz w:val="24"/>
          <w:szCs w:val="24"/>
        </w:rPr>
        <w:t xml:space="preserve">the </w:t>
      </w:r>
      <w:r w:rsidR="00FB2BDB">
        <w:rPr>
          <w:rFonts w:ascii="Times New Roman" w:hAnsi="Times New Roman" w:cs="Times New Roman"/>
          <w:sz w:val="24"/>
          <w:szCs w:val="24"/>
        </w:rPr>
        <w:t>sovereignty of the rule of law as a domestic, or even a universal jurisdiction. These concepts all require further research to contribute to the br</w:t>
      </w:r>
      <w:r w:rsidR="003E4A5C">
        <w:rPr>
          <w:rFonts w:ascii="Times New Roman" w:hAnsi="Times New Roman" w:cs="Times New Roman"/>
          <w:sz w:val="24"/>
          <w:szCs w:val="24"/>
        </w:rPr>
        <w:t>oader discussion</w:t>
      </w:r>
      <w:r w:rsidR="00FB2BDB">
        <w:rPr>
          <w:rFonts w:ascii="Times New Roman" w:hAnsi="Times New Roman" w:cs="Times New Roman"/>
          <w:sz w:val="24"/>
          <w:szCs w:val="24"/>
        </w:rPr>
        <w:t xml:space="preserve"> which</w:t>
      </w:r>
      <w:r w:rsidR="003E4A5C">
        <w:rPr>
          <w:rFonts w:ascii="Times New Roman" w:hAnsi="Times New Roman" w:cs="Times New Roman"/>
          <w:sz w:val="24"/>
          <w:szCs w:val="24"/>
        </w:rPr>
        <w:t>,</w:t>
      </w:r>
      <w:r w:rsidR="00FB2BDB">
        <w:rPr>
          <w:rFonts w:ascii="Times New Roman" w:hAnsi="Times New Roman" w:cs="Times New Roman"/>
          <w:sz w:val="24"/>
          <w:szCs w:val="24"/>
        </w:rPr>
        <w:t xml:space="preserve"> </w:t>
      </w:r>
      <w:r w:rsidR="00D2403E">
        <w:rPr>
          <w:rFonts w:ascii="Times New Roman" w:hAnsi="Times New Roman" w:cs="Times New Roman"/>
          <w:sz w:val="24"/>
          <w:szCs w:val="24"/>
        </w:rPr>
        <w:t>especially given that EU law is retained by virtue of savings despite the repeal of the ECA. This procedural repeal, masking a substantive retention offers little assistance to the metaphysical discussions on legislative sovereignty</w:t>
      </w:r>
      <w:r w:rsidR="003E4A5C">
        <w:rPr>
          <w:rFonts w:ascii="Times New Roman" w:hAnsi="Times New Roman" w:cs="Times New Roman"/>
          <w:sz w:val="24"/>
          <w:szCs w:val="24"/>
        </w:rPr>
        <w:t xml:space="preserve">. </w:t>
      </w:r>
      <w:r w:rsidR="003E4A5C" w:rsidRPr="003E4A5C">
        <w:rPr>
          <w:rFonts w:ascii="Times New Roman" w:hAnsi="Times New Roman" w:cs="Times New Roman"/>
          <w:sz w:val="24"/>
          <w:szCs w:val="24"/>
        </w:rPr>
        <w:t xml:space="preserve">A quote often attributed to Seneca is recalled which exclaims </w:t>
      </w:r>
      <w:r w:rsidR="008C5622">
        <w:rPr>
          <w:rFonts w:ascii="Times New Roman" w:hAnsi="Times New Roman" w:cs="Times New Roman"/>
          <w:sz w:val="24"/>
          <w:szCs w:val="24"/>
        </w:rPr>
        <w:t>‘</w:t>
      </w:r>
      <w:r w:rsidR="003E4A5C" w:rsidRPr="003E4A5C">
        <w:rPr>
          <w:rFonts w:ascii="Times New Roman" w:hAnsi="Times New Roman" w:cs="Times New Roman"/>
          <w:sz w:val="24"/>
          <w:szCs w:val="24"/>
        </w:rPr>
        <w:t>[w]e let go the present, which we have in our power, and look forward to that which depends upon chance, and so relinquish</w:t>
      </w:r>
      <w:r w:rsidR="008C5622">
        <w:rPr>
          <w:rFonts w:ascii="Times New Roman" w:hAnsi="Times New Roman" w:cs="Times New Roman"/>
          <w:sz w:val="24"/>
          <w:szCs w:val="24"/>
        </w:rPr>
        <w:t xml:space="preserve"> a certainty for an uncertainty’.</w:t>
      </w:r>
      <w:r w:rsidR="003E4A5C" w:rsidRPr="003E4A5C">
        <w:rPr>
          <w:rFonts w:ascii="Times New Roman" w:hAnsi="Times New Roman" w:cs="Times New Roman"/>
          <w:sz w:val="24"/>
          <w:szCs w:val="24"/>
          <w:vertAlign w:val="superscript"/>
        </w:rPr>
        <w:footnoteReference w:id="130"/>
      </w:r>
      <w:r w:rsidR="003E4A5C" w:rsidRPr="003E4A5C">
        <w:rPr>
          <w:rFonts w:ascii="Times New Roman" w:hAnsi="Times New Roman" w:cs="Times New Roman"/>
          <w:sz w:val="24"/>
          <w:szCs w:val="24"/>
        </w:rPr>
        <w:t xml:space="preserve"> </w:t>
      </w:r>
    </w:p>
    <w:p w:rsidR="00895CDC" w:rsidRPr="00567BC2" w:rsidRDefault="00895CDC" w:rsidP="007C5246">
      <w:pPr>
        <w:spacing w:line="360" w:lineRule="auto"/>
        <w:jc w:val="both"/>
        <w:rPr>
          <w:rFonts w:ascii="Times New Roman" w:hAnsi="Times New Roman" w:cs="Times New Roman"/>
          <w:sz w:val="24"/>
          <w:szCs w:val="24"/>
        </w:rPr>
      </w:pPr>
    </w:p>
    <w:p w:rsidR="00077E8E" w:rsidRPr="00567BC2" w:rsidRDefault="00077E8E" w:rsidP="007C5246">
      <w:pPr>
        <w:spacing w:line="360" w:lineRule="auto"/>
        <w:rPr>
          <w:rFonts w:ascii="Times New Roman" w:hAnsi="Times New Roman" w:cs="Times New Roman"/>
        </w:rPr>
      </w:pPr>
    </w:p>
    <w:sectPr w:rsidR="00077E8E" w:rsidRPr="00567BC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EC8" w:rsidRDefault="00787EC8" w:rsidP="00C12366">
      <w:pPr>
        <w:spacing w:after="0" w:line="240" w:lineRule="auto"/>
      </w:pPr>
      <w:r>
        <w:separator/>
      </w:r>
    </w:p>
  </w:endnote>
  <w:endnote w:type="continuationSeparator" w:id="0">
    <w:p w:rsidR="00787EC8" w:rsidRDefault="00787EC8" w:rsidP="00C1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EC8" w:rsidRDefault="00787EC8" w:rsidP="00C12366">
      <w:pPr>
        <w:spacing w:after="0" w:line="240" w:lineRule="auto"/>
      </w:pPr>
      <w:r>
        <w:separator/>
      </w:r>
    </w:p>
  </w:footnote>
  <w:footnote w:type="continuationSeparator" w:id="0">
    <w:p w:rsidR="00787EC8" w:rsidRDefault="00787EC8" w:rsidP="00C12366">
      <w:pPr>
        <w:spacing w:after="0" w:line="240" w:lineRule="auto"/>
      </w:pPr>
      <w:r>
        <w:continuationSeparator/>
      </w:r>
    </w:p>
  </w:footnote>
  <w:footnote w:id="1">
    <w:p w:rsidR="00787EC8" w:rsidRPr="008C6351" w:rsidRDefault="00787EC8">
      <w:pPr>
        <w:pStyle w:val="FootnoteText"/>
        <w:rPr>
          <w:lang w:val="en-US"/>
        </w:rPr>
      </w:pPr>
      <w:r>
        <w:rPr>
          <w:rStyle w:val="FootnoteReference"/>
        </w:rPr>
        <w:footnoteRef/>
      </w:r>
      <w:r>
        <w:t xml:space="preserve"> </w:t>
      </w:r>
      <w:r>
        <w:rPr>
          <w:lang w:val="en-US"/>
        </w:rPr>
        <w:t xml:space="preserve">First by </w:t>
      </w:r>
      <w:r w:rsidRPr="008C6351">
        <w:rPr>
          <w:lang w:val="en-US"/>
        </w:rPr>
        <w:t>Lord Maclennan of Rogart</w:t>
      </w:r>
      <w:r>
        <w:rPr>
          <w:lang w:val="en-US"/>
        </w:rPr>
        <w:t xml:space="preserve"> at HL Deb 17 December 2012, vol 741, cols 1394-1396</w:t>
      </w:r>
    </w:p>
  </w:footnote>
  <w:footnote w:id="2">
    <w:p w:rsidR="00787EC8" w:rsidRPr="00F27448" w:rsidRDefault="00787EC8">
      <w:pPr>
        <w:pStyle w:val="FootnoteText"/>
        <w:rPr>
          <w:lang w:val="en-US"/>
        </w:rPr>
      </w:pPr>
      <w:r>
        <w:rPr>
          <w:rStyle w:val="FootnoteReference"/>
        </w:rPr>
        <w:footnoteRef/>
      </w:r>
      <w:r>
        <w:t xml:space="preserve"> </w:t>
      </w:r>
      <w:r>
        <w:rPr>
          <w:lang w:val="en-US"/>
        </w:rPr>
        <w:t>HL Deb 17 December 2012, vol 741, col 1400</w:t>
      </w:r>
    </w:p>
  </w:footnote>
  <w:footnote w:id="3">
    <w:p w:rsidR="00787EC8" w:rsidRPr="005E4317" w:rsidRDefault="00787EC8" w:rsidP="00095240">
      <w:pPr>
        <w:pStyle w:val="FootnoteText"/>
        <w:rPr>
          <w:lang w:val="en-US"/>
        </w:rPr>
      </w:pPr>
      <w:r>
        <w:rPr>
          <w:rStyle w:val="FootnoteReference"/>
        </w:rPr>
        <w:footnoteRef/>
      </w:r>
      <w:r>
        <w:t xml:space="preserve"> The title of this article was chosen in deference to </w:t>
      </w:r>
      <w:r>
        <w:rPr>
          <w:lang w:val="en-US"/>
        </w:rPr>
        <w:t>C Douzinas, ‘The Metaphysics of J</w:t>
      </w:r>
      <w:r w:rsidRPr="005E4317">
        <w:rPr>
          <w:lang w:val="en-US"/>
        </w:rPr>
        <w:t>urisdiction</w:t>
      </w:r>
      <w:r>
        <w:rPr>
          <w:lang w:val="en-US"/>
        </w:rPr>
        <w:t xml:space="preserve">’ in S McVeigh(ed), </w:t>
      </w:r>
      <w:r w:rsidRPr="005E4317">
        <w:rPr>
          <w:i/>
          <w:lang w:val="en-US"/>
        </w:rPr>
        <w:t>Jurisprudence of Jurisdiction</w:t>
      </w:r>
      <w:r>
        <w:rPr>
          <w:lang w:val="en-US"/>
        </w:rPr>
        <w:t xml:space="preserve"> (Routledge-Cavendish 2007)</w:t>
      </w:r>
    </w:p>
  </w:footnote>
  <w:footnote w:id="4">
    <w:p w:rsidR="00787EC8" w:rsidRPr="00375E26" w:rsidRDefault="00787EC8">
      <w:pPr>
        <w:pStyle w:val="FootnoteText"/>
        <w:rPr>
          <w:lang w:val="en-US"/>
        </w:rPr>
      </w:pPr>
      <w:r>
        <w:rPr>
          <w:rStyle w:val="FootnoteReference"/>
        </w:rPr>
        <w:footnoteRef/>
      </w:r>
      <w:r>
        <w:t xml:space="preserve"> </w:t>
      </w:r>
      <w:r w:rsidRPr="00375E26">
        <w:t xml:space="preserve">I Kant, </w:t>
      </w:r>
      <w:r w:rsidRPr="00375E26">
        <w:rPr>
          <w:i/>
        </w:rPr>
        <w:t>Critique of Pure Reason</w:t>
      </w:r>
      <w:r w:rsidRPr="00375E26">
        <w:t xml:space="preserve"> (JMD Meiklejohn tr, Dover Philosophical Classics 2003</w:t>
      </w:r>
      <w:r>
        <w:t>)</w:t>
      </w:r>
    </w:p>
  </w:footnote>
  <w:footnote w:id="5">
    <w:p w:rsidR="00787EC8" w:rsidRPr="00885B92" w:rsidRDefault="00787EC8">
      <w:pPr>
        <w:pStyle w:val="FootnoteText"/>
        <w:rPr>
          <w:lang w:val="en-US"/>
        </w:rPr>
      </w:pPr>
      <w:r>
        <w:rPr>
          <w:rStyle w:val="FootnoteReference"/>
        </w:rPr>
        <w:footnoteRef/>
      </w:r>
      <w:r>
        <w:t xml:space="preserve"> </w:t>
      </w:r>
      <w:r>
        <w:rPr>
          <w:lang w:val="en-US"/>
        </w:rPr>
        <w:t xml:space="preserve">This is my own brief summary, it is anticipated that many will disagree with it. </w:t>
      </w:r>
    </w:p>
  </w:footnote>
  <w:footnote w:id="6">
    <w:p w:rsidR="00787EC8" w:rsidRPr="000907FA" w:rsidRDefault="00787EC8" w:rsidP="00C12366">
      <w:pPr>
        <w:pStyle w:val="FootnoteText"/>
        <w:rPr>
          <w:lang w:val="en-US"/>
        </w:rPr>
      </w:pPr>
      <w:r>
        <w:rPr>
          <w:rStyle w:val="FootnoteReference"/>
        </w:rPr>
        <w:footnoteRef/>
      </w:r>
      <w:r>
        <w:t xml:space="preserve"> D Hume, </w:t>
      </w:r>
      <w:r w:rsidRPr="000907FA">
        <w:rPr>
          <w:i/>
        </w:rPr>
        <w:t>Treatise of Human Nature</w:t>
      </w:r>
      <w:r>
        <w:t xml:space="preserve"> (originally published in 1738, Penguin Classics 1984) </w:t>
      </w:r>
    </w:p>
  </w:footnote>
  <w:footnote w:id="7">
    <w:p w:rsidR="00787EC8" w:rsidRPr="000907FA" w:rsidRDefault="00787EC8" w:rsidP="00C12366">
      <w:pPr>
        <w:pStyle w:val="FootnoteText"/>
        <w:rPr>
          <w:lang w:val="en-US"/>
        </w:rPr>
      </w:pPr>
      <w:r>
        <w:rPr>
          <w:rStyle w:val="FootnoteReference"/>
        </w:rPr>
        <w:footnoteRef/>
      </w:r>
      <w:r>
        <w:t xml:space="preserve"> </w:t>
      </w:r>
      <w:r>
        <w:rPr>
          <w:lang w:val="en-US"/>
        </w:rPr>
        <w:t xml:space="preserve">JM Finnis, </w:t>
      </w:r>
      <w:r>
        <w:rPr>
          <w:i/>
          <w:lang w:val="en-US"/>
        </w:rPr>
        <w:t xml:space="preserve">Natural Law and Natural Rights </w:t>
      </w:r>
      <w:r>
        <w:rPr>
          <w:lang w:val="en-US"/>
        </w:rPr>
        <w:t xml:space="preserve">(Oxford University Press 2011) </w:t>
      </w:r>
    </w:p>
  </w:footnote>
  <w:footnote w:id="8">
    <w:p w:rsidR="00787EC8" w:rsidRPr="005A3742" w:rsidRDefault="00787EC8" w:rsidP="00C12366">
      <w:pPr>
        <w:pStyle w:val="FootnoteText"/>
        <w:rPr>
          <w:lang w:val="en-US"/>
        </w:rPr>
      </w:pPr>
      <w:r>
        <w:rPr>
          <w:rStyle w:val="FootnoteReference"/>
        </w:rPr>
        <w:footnoteRef/>
      </w:r>
      <w:r>
        <w:t xml:space="preserve"> </w:t>
      </w:r>
      <w:r>
        <w:rPr>
          <w:lang w:val="en-US"/>
        </w:rPr>
        <w:t xml:space="preserve">H Kelsen, </w:t>
      </w:r>
      <w:r>
        <w:rPr>
          <w:i/>
          <w:lang w:val="en-US"/>
        </w:rPr>
        <w:t xml:space="preserve">General Theory of Norms </w:t>
      </w:r>
      <w:r>
        <w:rPr>
          <w:lang w:val="en-US"/>
        </w:rPr>
        <w:t>(</w:t>
      </w:r>
      <w:r w:rsidRPr="005A3742">
        <w:rPr>
          <w:lang w:val="en-US"/>
        </w:rPr>
        <w:t>Oxford Scholarship</w:t>
      </w:r>
      <w:r>
        <w:rPr>
          <w:lang w:val="en-US"/>
        </w:rPr>
        <w:t xml:space="preserve"> 1991)</w:t>
      </w:r>
    </w:p>
  </w:footnote>
  <w:footnote w:id="9">
    <w:p w:rsidR="00787EC8" w:rsidRPr="00885B92" w:rsidRDefault="00787EC8">
      <w:pPr>
        <w:pStyle w:val="FootnoteText"/>
        <w:rPr>
          <w:lang w:val="en-US"/>
        </w:rPr>
      </w:pPr>
      <w:r>
        <w:rPr>
          <w:rStyle w:val="FootnoteReference"/>
        </w:rPr>
        <w:footnoteRef/>
      </w:r>
      <w:r>
        <w:t xml:space="preserve"> J</w:t>
      </w:r>
      <w:r w:rsidRPr="005251A5">
        <w:t>A Schaler</w:t>
      </w:r>
      <w:r>
        <w:t xml:space="preserve">, </w:t>
      </w:r>
      <w:r w:rsidRPr="00885B92">
        <w:rPr>
          <w:i/>
        </w:rPr>
        <w:t>Peter Singer Under Fire: The Moral Iconoclast Faces His Critics</w:t>
      </w:r>
      <w:r>
        <w:t xml:space="preserve"> (Open Court 2009) 231; R Nozick, </w:t>
      </w:r>
      <w:r>
        <w:rPr>
          <w:i/>
        </w:rPr>
        <w:t>Anarchy State and Utopia</w:t>
      </w:r>
      <w:r>
        <w:t xml:space="preserve">  (Basic Books Reprint 2013)</w:t>
      </w:r>
    </w:p>
  </w:footnote>
  <w:footnote w:id="10">
    <w:p w:rsidR="00787EC8" w:rsidRPr="00885B92" w:rsidRDefault="00787EC8">
      <w:pPr>
        <w:pStyle w:val="FootnoteText"/>
        <w:rPr>
          <w:lang w:val="en-US"/>
        </w:rPr>
      </w:pPr>
      <w:r>
        <w:rPr>
          <w:rStyle w:val="FootnoteReference"/>
        </w:rPr>
        <w:footnoteRef/>
      </w:r>
      <w:r>
        <w:t xml:space="preserve"> This is linked by some scholar’s to the Churches acceptance of Aquinas’ theories, and it has been suggested that these are the foundations for the Catholic Church’s position on contraception. </w:t>
      </w:r>
      <w:r w:rsidRPr="005774B4">
        <w:t xml:space="preserve">B </w:t>
      </w:r>
      <w:proofErr w:type="spellStart"/>
      <w:r w:rsidRPr="005774B4">
        <w:t>Scarnecchia</w:t>
      </w:r>
      <w:proofErr w:type="spellEnd"/>
      <w:r>
        <w:t xml:space="preserve">, </w:t>
      </w:r>
      <w:r w:rsidRPr="00885B92">
        <w:rPr>
          <w:i/>
        </w:rPr>
        <w:t xml:space="preserve">Bioethics, Law, and Human Life Issues: A Catholic Perspective on Marriage, Family, Contraception </w:t>
      </w:r>
      <w:proofErr w:type="spellStart"/>
      <w:r w:rsidRPr="00885B92">
        <w:rPr>
          <w:i/>
        </w:rPr>
        <w:t>Abrtion</w:t>
      </w:r>
      <w:proofErr w:type="spellEnd"/>
      <w:r w:rsidRPr="00885B92">
        <w:rPr>
          <w:i/>
        </w:rPr>
        <w:t>, Reproductive Technology, and Death and Dying</w:t>
      </w:r>
      <w:r>
        <w:t xml:space="preserve"> (The Scarecrow Press 2010) 2</w:t>
      </w:r>
    </w:p>
  </w:footnote>
  <w:footnote w:id="11">
    <w:p w:rsidR="00787EC8" w:rsidRPr="00885B92" w:rsidRDefault="00787EC8">
      <w:pPr>
        <w:pStyle w:val="FootnoteText"/>
        <w:rPr>
          <w:lang w:val="en-US"/>
        </w:rPr>
      </w:pPr>
      <w:r>
        <w:rPr>
          <w:rStyle w:val="FootnoteReference"/>
        </w:rPr>
        <w:footnoteRef/>
      </w:r>
      <w:r>
        <w:t xml:space="preserve"> For a more general discussion of this point; see </w:t>
      </w:r>
      <w:r w:rsidRPr="003B40B3">
        <w:t>A Wiener Katz</w:t>
      </w:r>
      <w:r>
        <w:t>, ‘</w:t>
      </w:r>
      <w:r w:rsidRPr="00C13603">
        <w:t>Positivism and the Separation of Law and Economics</w:t>
      </w:r>
      <w:r>
        <w:t xml:space="preserve">’ (1996) 94(7) </w:t>
      </w:r>
      <w:r w:rsidRPr="00C13603">
        <w:t>Michigan Law Review</w:t>
      </w:r>
      <w:r>
        <w:t xml:space="preserve"> 2229</w:t>
      </w:r>
    </w:p>
  </w:footnote>
  <w:footnote w:id="12">
    <w:p w:rsidR="00787EC8" w:rsidRPr="005104BA" w:rsidRDefault="00787EC8" w:rsidP="00C12366">
      <w:pPr>
        <w:pStyle w:val="FootnoteText"/>
        <w:rPr>
          <w:lang w:val="en-US"/>
        </w:rPr>
      </w:pPr>
      <w:r>
        <w:rPr>
          <w:rStyle w:val="FootnoteReference"/>
        </w:rPr>
        <w:footnoteRef/>
      </w:r>
      <w:r>
        <w:t xml:space="preserve"> </w:t>
      </w:r>
      <w:r>
        <w:rPr>
          <w:lang w:val="en-US"/>
        </w:rPr>
        <w:t xml:space="preserve">St Augustine, </w:t>
      </w:r>
      <w:r>
        <w:rPr>
          <w:i/>
          <w:lang w:val="en-US"/>
        </w:rPr>
        <w:t xml:space="preserve">The City of God </w:t>
      </w:r>
      <w:r>
        <w:rPr>
          <w:lang w:val="en-US"/>
        </w:rPr>
        <w:t xml:space="preserve">translated in M </w:t>
      </w:r>
      <w:proofErr w:type="spellStart"/>
      <w:r>
        <w:rPr>
          <w:lang w:val="en-US"/>
        </w:rPr>
        <w:t>Dods</w:t>
      </w:r>
      <w:proofErr w:type="spellEnd"/>
      <w:r>
        <w:rPr>
          <w:lang w:val="en-US"/>
        </w:rPr>
        <w:t xml:space="preserve">, </w:t>
      </w:r>
      <w:r>
        <w:rPr>
          <w:i/>
          <w:lang w:val="en-US"/>
        </w:rPr>
        <w:t xml:space="preserve">The City of God: St Augustine </w:t>
      </w:r>
      <w:r>
        <w:rPr>
          <w:lang w:val="en-US"/>
        </w:rPr>
        <w:t>(</w:t>
      </w:r>
      <w:r w:rsidRPr="000E7201">
        <w:rPr>
          <w:lang w:val="en-US"/>
        </w:rPr>
        <w:t>Hendrickson 2009)</w:t>
      </w:r>
    </w:p>
  </w:footnote>
  <w:footnote w:id="13">
    <w:p w:rsidR="00787EC8" w:rsidRPr="002607B0" w:rsidRDefault="00787EC8" w:rsidP="00C12366">
      <w:pPr>
        <w:pStyle w:val="FootnoteText"/>
        <w:rPr>
          <w:lang w:val="en-US"/>
        </w:rPr>
      </w:pPr>
      <w:r>
        <w:rPr>
          <w:rStyle w:val="FootnoteReference"/>
        </w:rPr>
        <w:footnoteRef/>
      </w:r>
      <w:r>
        <w:t xml:space="preserve"> </w:t>
      </w:r>
      <w:proofErr w:type="spellStart"/>
      <w:r>
        <w:rPr>
          <w:lang w:val="en-US"/>
        </w:rPr>
        <w:t>Finnis</w:t>
      </w:r>
      <w:proofErr w:type="spellEnd"/>
      <w:r>
        <w:rPr>
          <w:lang w:val="en-US"/>
        </w:rPr>
        <w:t xml:space="preserve"> (no 7)</w:t>
      </w:r>
    </w:p>
  </w:footnote>
  <w:footnote w:id="14">
    <w:p w:rsidR="00787EC8" w:rsidRPr="00885B92" w:rsidRDefault="00787EC8">
      <w:pPr>
        <w:pStyle w:val="FootnoteText"/>
        <w:rPr>
          <w:lang w:val="en-US"/>
        </w:rPr>
      </w:pPr>
      <w:r>
        <w:rPr>
          <w:rStyle w:val="FootnoteReference"/>
        </w:rPr>
        <w:footnoteRef/>
      </w:r>
      <w:r>
        <w:t xml:space="preserve"> </w:t>
      </w:r>
      <w:r>
        <w:rPr>
          <w:lang w:val="en-US"/>
        </w:rPr>
        <w:t xml:space="preserve">Though </w:t>
      </w:r>
      <w:proofErr w:type="spellStart"/>
      <w:r>
        <w:rPr>
          <w:lang w:val="en-US"/>
        </w:rPr>
        <w:t>Finnis</w:t>
      </w:r>
      <w:proofErr w:type="spellEnd"/>
      <w:r>
        <w:rPr>
          <w:lang w:val="en-US"/>
        </w:rPr>
        <w:t xml:space="preserve">’ position was not consistent with my own in relation to this particular basic good. </w:t>
      </w:r>
    </w:p>
  </w:footnote>
  <w:footnote w:id="15">
    <w:p w:rsidR="00787EC8" w:rsidRPr="00EC51BC" w:rsidRDefault="00787EC8" w:rsidP="00C12366">
      <w:pPr>
        <w:pStyle w:val="FootnoteText"/>
        <w:rPr>
          <w:lang w:val="en-US"/>
        </w:rPr>
      </w:pPr>
      <w:r>
        <w:rPr>
          <w:rStyle w:val="FootnoteReference"/>
        </w:rPr>
        <w:footnoteRef/>
      </w:r>
      <w:r>
        <w:t xml:space="preserve"> D Hume (no 6); JM </w:t>
      </w:r>
      <w:proofErr w:type="spellStart"/>
      <w:r>
        <w:t>Finnis</w:t>
      </w:r>
      <w:proofErr w:type="spellEnd"/>
      <w:r>
        <w:t xml:space="preserve"> (no 7); H </w:t>
      </w:r>
      <w:proofErr w:type="spellStart"/>
      <w:r>
        <w:t>Kelsen</w:t>
      </w:r>
      <w:proofErr w:type="spellEnd"/>
      <w:r>
        <w:t xml:space="preserve"> (no 8)</w:t>
      </w:r>
    </w:p>
  </w:footnote>
  <w:footnote w:id="16">
    <w:p w:rsidR="00787EC8" w:rsidRPr="00163F9E" w:rsidRDefault="00787EC8" w:rsidP="00C12366">
      <w:pPr>
        <w:pStyle w:val="FootnoteText"/>
        <w:rPr>
          <w:lang w:val="en-US"/>
        </w:rPr>
      </w:pPr>
      <w:r>
        <w:rPr>
          <w:rStyle w:val="FootnoteReference"/>
        </w:rPr>
        <w:footnoteRef/>
      </w:r>
      <w:r>
        <w:t xml:space="preserve"> GEM </w:t>
      </w:r>
      <w:proofErr w:type="spellStart"/>
      <w:r>
        <w:rPr>
          <w:lang w:val="en-US"/>
        </w:rPr>
        <w:t>Anscome</w:t>
      </w:r>
      <w:proofErr w:type="spellEnd"/>
      <w:r>
        <w:rPr>
          <w:lang w:val="en-US"/>
        </w:rPr>
        <w:t>, ‘Modern Moral Philosophy’ (1958) 33(124) Philosophy 1</w:t>
      </w:r>
    </w:p>
  </w:footnote>
  <w:footnote w:id="17">
    <w:p w:rsidR="00787EC8" w:rsidRPr="00404539" w:rsidRDefault="00787EC8" w:rsidP="00C12366">
      <w:pPr>
        <w:pStyle w:val="FootnoteText"/>
        <w:rPr>
          <w:lang w:val="en-US"/>
        </w:rPr>
      </w:pPr>
      <w:r>
        <w:rPr>
          <w:rStyle w:val="FootnoteReference"/>
        </w:rPr>
        <w:footnoteRef/>
      </w:r>
      <w:r>
        <w:t xml:space="preserve"> </w:t>
      </w:r>
      <w:r>
        <w:rPr>
          <w:lang w:val="en-US"/>
        </w:rPr>
        <w:t xml:space="preserve">M Freeman, </w:t>
      </w:r>
      <w:r>
        <w:rPr>
          <w:i/>
          <w:lang w:val="en-US"/>
        </w:rPr>
        <w:t xml:space="preserve">Lloyds Introduction to Jurisprudence </w:t>
      </w:r>
      <w:r>
        <w:rPr>
          <w:lang w:val="en-US"/>
        </w:rPr>
        <w:t>(9</w:t>
      </w:r>
      <w:r w:rsidRPr="008917A0">
        <w:rPr>
          <w:vertAlign w:val="superscript"/>
          <w:lang w:val="en-US"/>
        </w:rPr>
        <w:t>th</w:t>
      </w:r>
      <w:r>
        <w:rPr>
          <w:lang w:val="en-US"/>
        </w:rPr>
        <w:t xml:space="preserve"> </w:t>
      </w:r>
      <w:proofErr w:type="spellStart"/>
      <w:r>
        <w:rPr>
          <w:lang w:val="en-US"/>
        </w:rPr>
        <w:t>edn</w:t>
      </w:r>
      <w:proofErr w:type="spellEnd"/>
      <w:r>
        <w:rPr>
          <w:lang w:val="en-US"/>
        </w:rPr>
        <w:t xml:space="preserve">, Sweet and Maxwell 2016) s.1-003 </w:t>
      </w:r>
    </w:p>
  </w:footnote>
  <w:footnote w:id="18">
    <w:p w:rsidR="00787EC8" w:rsidRPr="00554752" w:rsidRDefault="00787EC8">
      <w:pPr>
        <w:pStyle w:val="FootnoteText"/>
        <w:rPr>
          <w:lang w:val="en-US"/>
        </w:rPr>
      </w:pPr>
      <w:r>
        <w:rPr>
          <w:rStyle w:val="FootnoteReference"/>
        </w:rPr>
        <w:footnoteRef/>
      </w:r>
      <w:r>
        <w:t xml:space="preserve"> </w:t>
      </w:r>
      <w:r w:rsidRPr="00296A9D">
        <w:rPr>
          <w:color w:val="000000" w:themeColor="text1"/>
          <w:lang w:val="en-US"/>
        </w:rPr>
        <w:t xml:space="preserve">M Johnson, ‘Models of Parliamentary Sovereignty’ (University of Bristol Law School Blog, 4 December 2017) &lt; https://legalresearch.blogs.bris.ac.uk/2017/12/the-models-of-parliamentary-sovereignty/&gt; accessed on the 24 </w:t>
      </w:r>
      <w:r>
        <w:rPr>
          <w:color w:val="000000" w:themeColor="text1"/>
          <w:lang w:val="en-US"/>
        </w:rPr>
        <w:t>October</w:t>
      </w:r>
      <w:r w:rsidRPr="00296A9D">
        <w:rPr>
          <w:color w:val="000000" w:themeColor="text1"/>
          <w:lang w:val="en-US"/>
        </w:rPr>
        <w:t>2019</w:t>
      </w:r>
    </w:p>
  </w:footnote>
  <w:footnote w:id="19">
    <w:p w:rsidR="00787EC8" w:rsidRPr="00554752" w:rsidRDefault="00787EC8">
      <w:pPr>
        <w:pStyle w:val="FootnoteText"/>
        <w:rPr>
          <w:lang w:val="en-US"/>
        </w:rPr>
      </w:pPr>
      <w:r>
        <w:rPr>
          <w:rStyle w:val="FootnoteReference"/>
        </w:rPr>
        <w:footnoteRef/>
      </w:r>
      <w:r>
        <w:t xml:space="preserve"> J</w:t>
      </w:r>
      <w:r w:rsidRPr="00554752">
        <w:t>WF Allison</w:t>
      </w:r>
      <w:r>
        <w:t>, ‘</w:t>
      </w:r>
      <w:r w:rsidRPr="00554752">
        <w:t>The Westminster Parliament's Formal Sovereignty in Britain and Europe from a Historical Perspective</w:t>
      </w:r>
      <w:r>
        <w:t xml:space="preserve">’ (2017) </w:t>
      </w:r>
      <w:r w:rsidRPr="00554752">
        <w:t>University of Cambridge Faculty of Law Research Paper No. 47/2018</w:t>
      </w:r>
      <w:r>
        <w:t xml:space="preserve"> </w:t>
      </w:r>
      <w:r w:rsidRPr="00554752">
        <w:t>Available at SSRN: https://ssrn.com/abstract=3219162</w:t>
      </w:r>
    </w:p>
  </w:footnote>
  <w:footnote w:id="20">
    <w:p w:rsidR="00787EC8" w:rsidRPr="006173B8" w:rsidRDefault="00787EC8" w:rsidP="00C12366">
      <w:pPr>
        <w:pStyle w:val="FootnoteText"/>
        <w:rPr>
          <w:lang w:val="en-US"/>
        </w:rPr>
      </w:pPr>
      <w:r>
        <w:rPr>
          <w:rStyle w:val="FootnoteReference"/>
        </w:rPr>
        <w:footnoteRef/>
      </w:r>
      <w:r>
        <w:t xml:space="preserve"> PG </w:t>
      </w:r>
      <w:proofErr w:type="spellStart"/>
      <w:r w:rsidRPr="006173B8">
        <w:t>Monateri</w:t>
      </w:r>
      <w:proofErr w:type="spellEnd"/>
      <w:r>
        <w:t xml:space="preserve">, </w:t>
      </w:r>
      <w:r w:rsidRPr="006173B8">
        <w:rPr>
          <w:i/>
        </w:rPr>
        <w:t>Dominus Mundi Political Sublime and the World Order</w:t>
      </w:r>
      <w:r>
        <w:rPr>
          <w:i/>
        </w:rPr>
        <w:t xml:space="preserve"> </w:t>
      </w:r>
      <w:r>
        <w:t>(Hart 2018)</w:t>
      </w:r>
    </w:p>
  </w:footnote>
  <w:footnote w:id="21">
    <w:p w:rsidR="00787EC8" w:rsidRPr="008D32FD" w:rsidRDefault="00787EC8" w:rsidP="00C12366">
      <w:pPr>
        <w:pStyle w:val="FootnoteText"/>
        <w:rPr>
          <w:lang w:val="en-US"/>
        </w:rPr>
      </w:pPr>
      <w:r>
        <w:rPr>
          <w:rStyle w:val="FootnoteReference"/>
        </w:rPr>
        <w:footnoteRef/>
      </w:r>
      <w:r>
        <w:t xml:space="preserve"> </w:t>
      </w:r>
      <w:r>
        <w:rPr>
          <w:lang w:val="en-US"/>
        </w:rPr>
        <w:t>M Freeman (no 17) 89</w:t>
      </w:r>
    </w:p>
  </w:footnote>
  <w:footnote w:id="22">
    <w:p w:rsidR="00787EC8" w:rsidRPr="00512E77" w:rsidRDefault="00787EC8" w:rsidP="00C12366">
      <w:pPr>
        <w:pStyle w:val="FootnoteText"/>
        <w:rPr>
          <w:lang w:val="en-US"/>
        </w:rPr>
      </w:pPr>
      <w:r>
        <w:rPr>
          <w:rStyle w:val="FootnoteReference"/>
        </w:rPr>
        <w:footnoteRef/>
      </w:r>
      <w:r>
        <w:t xml:space="preserve"> </w:t>
      </w:r>
      <w:r>
        <w:rPr>
          <w:lang w:val="en-US"/>
        </w:rPr>
        <w:t xml:space="preserve">There is a disparity between Greek and Roman versions of natural law and this may have arisen following the transfer of ideas via the </w:t>
      </w:r>
      <w:proofErr w:type="spellStart"/>
      <w:r>
        <w:rPr>
          <w:lang w:val="en-US"/>
        </w:rPr>
        <w:t>Scipionic</w:t>
      </w:r>
      <w:proofErr w:type="spellEnd"/>
      <w:r>
        <w:rPr>
          <w:lang w:val="en-US"/>
        </w:rPr>
        <w:t xml:space="preserve"> circle as described by S </w:t>
      </w:r>
      <w:proofErr w:type="spellStart"/>
      <w:r>
        <w:rPr>
          <w:lang w:val="en-US"/>
        </w:rPr>
        <w:t>Ratnapala</w:t>
      </w:r>
      <w:proofErr w:type="spellEnd"/>
      <w:r>
        <w:rPr>
          <w:lang w:val="en-US"/>
        </w:rPr>
        <w:t xml:space="preserve">, </w:t>
      </w:r>
      <w:r>
        <w:rPr>
          <w:i/>
          <w:lang w:val="en-US"/>
        </w:rPr>
        <w:t xml:space="preserve">Jurisprudence </w:t>
      </w:r>
      <w:r>
        <w:rPr>
          <w:lang w:val="en-US"/>
        </w:rPr>
        <w:t>(3</w:t>
      </w:r>
      <w:r w:rsidRPr="00512E77">
        <w:rPr>
          <w:vertAlign w:val="superscript"/>
          <w:lang w:val="en-US"/>
        </w:rPr>
        <w:t>rd</w:t>
      </w:r>
      <w:r>
        <w:rPr>
          <w:lang w:val="en-US"/>
        </w:rPr>
        <w:t xml:space="preserve"> </w:t>
      </w:r>
      <w:proofErr w:type="spellStart"/>
      <w:r>
        <w:rPr>
          <w:lang w:val="en-US"/>
        </w:rPr>
        <w:t>edn</w:t>
      </w:r>
      <w:proofErr w:type="spellEnd"/>
      <w:r>
        <w:rPr>
          <w:lang w:val="en-US"/>
        </w:rPr>
        <w:t>, Cambridge University Press 2017) 158-161</w:t>
      </w:r>
    </w:p>
  </w:footnote>
  <w:footnote w:id="23">
    <w:p w:rsidR="00787EC8" w:rsidRPr="000E7201" w:rsidRDefault="00787EC8" w:rsidP="00C12366">
      <w:pPr>
        <w:pStyle w:val="FootnoteText"/>
        <w:rPr>
          <w:i/>
          <w:lang w:val="en-US"/>
        </w:rPr>
      </w:pPr>
      <w:r>
        <w:rPr>
          <w:rStyle w:val="FootnoteReference"/>
        </w:rPr>
        <w:footnoteRef/>
      </w:r>
      <w:r>
        <w:t xml:space="preserve"> </w:t>
      </w:r>
      <w:proofErr w:type="spellStart"/>
      <w:r>
        <w:rPr>
          <w:lang w:val="en-US"/>
        </w:rPr>
        <w:t>Dods</w:t>
      </w:r>
      <w:proofErr w:type="spellEnd"/>
      <w:r>
        <w:rPr>
          <w:lang w:val="en-US"/>
        </w:rPr>
        <w:t xml:space="preserve"> (no 12)</w:t>
      </w:r>
    </w:p>
  </w:footnote>
  <w:footnote w:id="24">
    <w:p w:rsidR="00787EC8" w:rsidRPr="00CA04B0" w:rsidRDefault="00787EC8" w:rsidP="00C12366">
      <w:pPr>
        <w:pStyle w:val="FootnoteText"/>
        <w:rPr>
          <w:lang w:val="en-US"/>
        </w:rPr>
      </w:pPr>
      <w:r>
        <w:rPr>
          <w:rStyle w:val="FootnoteReference"/>
        </w:rPr>
        <w:footnoteRef/>
      </w:r>
      <w:r>
        <w:t xml:space="preserve"> </w:t>
      </w:r>
      <w:r w:rsidRPr="00A80201">
        <w:t xml:space="preserve">Cicero, </w:t>
      </w:r>
      <w:r>
        <w:rPr>
          <w:i/>
        </w:rPr>
        <w:t>De Re P</w:t>
      </w:r>
      <w:r w:rsidRPr="00A80201">
        <w:rPr>
          <w:i/>
        </w:rPr>
        <w:t>ublic III</w:t>
      </w:r>
      <w:r w:rsidRPr="00A80201">
        <w:t xml:space="preserve">  xxii 33</w:t>
      </w:r>
      <w:r>
        <w:t xml:space="preserve"> translated by CW </w:t>
      </w:r>
      <w:r w:rsidRPr="00072C3D">
        <w:t>Keyes</w:t>
      </w:r>
      <w:r>
        <w:t xml:space="preserve"> in </w:t>
      </w:r>
      <w:r w:rsidRPr="00072C3D">
        <w:rPr>
          <w:i/>
        </w:rPr>
        <w:t xml:space="preserve">Cicero: De Re </w:t>
      </w:r>
      <w:proofErr w:type="spellStart"/>
      <w:r w:rsidRPr="00072C3D">
        <w:rPr>
          <w:i/>
        </w:rPr>
        <w:t>Publica</w:t>
      </w:r>
      <w:proofErr w:type="spellEnd"/>
      <w:r w:rsidRPr="00072C3D">
        <w:rPr>
          <w:i/>
        </w:rPr>
        <w:t xml:space="preserve">: De </w:t>
      </w:r>
      <w:proofErr w:type="spellStart"/>
      <w:r w:rsidRPr="00072C3D">
        <w:rPr>
          <w:i/>
        </w:rPr>
        <w:t>Legibus</w:t>
      </w:r>
      <w:proofErr w:type="spellEnd"/>
      <w:r>
        <w:rPr>
          <w:i/>
        </w:rPr>
        <w:t xml:space="preserve"> </w:t>
      </w:r>
      <w:r>
        <w:t>(William Heinemann</w:t>
      </w:r>
      <w:r w:rsidRPr="00072C3D">
        <w:t xml:space="preserve"> 1928</w:t>
      </w:r>
      <w:r>
        <w:t xml:space="preserve">) </w:t>
      </w:r>
    </w:p>
  </w:footnote>
  <w:footnote w:id="25">
    <w:p w:rsidR="00787EC8" w:rsidRPr="00072C3D" w:rsidRDefault="00787EC8" w:rsidP="00C12366">
      <w:pPr>
        <w:pStyle w:val="FootnoteText"/>
        <w:rPr>
          <w:lang w:val="en-US"/>
        </w:rPr>
      </w:pPr>
      <w:r>
        <w:rPr>
          <w:rStyle w:val="FootnoteReference"/>
        </w:rPr>
        <w:footnoteRef/>
      </w:r>
      <w:r>
        <w:t xml:space="preserve"> Cicero, </w:t>
      </w:r>
      <w:r>
        <w:rPr>
          <w:i/>
        </w:rPr>
        <w:t xml:space="preserve">De </w:t>
      </w:r>
      <w:proofErr w:type="spellStart"/>
      <w:r>
        <w:rPr>
          <w:i/>
        </w:rPr>
        <w:t>Legibus</w:t>
      </w:r>
      <w:proofErr w:type="spellEnd"/>
      <w:r>
        <w:t xml:space="preserve"> </w:t>
      </w:r>
      <w:r>
        <w:rPr>
          <w:i/>
        </w:rPr>
        <w:t>I</w:t>
      </w:r>
      <w:r>
        <w:t xml:space="preserve"> xii 33; translated by CW </w:t>
      </w:r>
      <w:r w:rsidRPr="00072C3D">
        <w:t>Keyes</w:t>
      </w:r>
      <w:r>
        <w:t xml:space="preserve"> in </w:t>
      </w:r>
      <w:r w:rsidRPr="00072C3D">
        <w:rPr>
          <w:i/>
        </w:rPr>
        <w:t xml:space="preserve">Cicero: De Re </w:t>
      </w:r>
      <w:proofErr w:type="spellStart"/>
      <w:r w:rsidRPr="00072C3D">
        <w:rPr>
          <w:i/>
        </w:rPr>
        <w:t>Publica</w:t>
      </w:r>
      <w:proofErr w:type="spellEnd"/>
      <w:r w:rsidRPr="00072C3D">
        <w:rPr>
          <w:i/>
        </w:rPr>
        <w:t xml:space="preserve">: De </w:t>
      </w:r>
      <w:proofErr w:type="spellStart"/>
      <w:r w:rsidRPr="00072C3D">
        <w:rPr>
          <w:i/>
        </w:rPr>
        <w:t>Legibus</w:t>
      </w:r>
      <w:proofErr w:type="spellEnd"/>
      <w:r>
        <w:rPr>
          <w:i/>
        </w:rPr>
        <w:t xml:space="preserve"> </w:t>
      </w:r>
      <w:r>
        <w:t>(William Heinemann</w:t>
      </w:r>
      <w:r w:rsidRPr="00072C3D">
        <w:t xml:space="preserve"> 1928</w:t>
      </w:r>
      <w:r>
        <w:t xml:space="preserve">) </w:t>
      </w:r>
    </w:p>
  </w:footnote>
  <w:footnote w:id="26">
    <w:p w:rsidR="00787EC8" w:rsidRPr="00ED224E" w:rsidRDefault="00787EC8" w:rsidP="00C12366">
      <w:pPr>
        <w:pStyle w:val="FootnoteText"/>
        <w:rPr>
          <w:lang w:val="en-US"/>
        </w:rPr>
      </w:pPr>
      <w:r>
        <w:rPr>
          <w:rStyle w:val="FootnoteReference"/>
        </w:rPr>
        <w:footnoteRef/>
      </w:r>
      <w:r>
        <w:t xml:space="preserve"> </w:t>
      </w:r>
      <w:proofErr w:type="spellStart"/>
      <w:r>
        <w:rPr>
          <w:lang w:val="en-US"/>
        </w:rPr>
        <w:t>Ratnapala</w:t>
      </w:r>
      <w:proofErr w:type="spellEnd"/>
      <w:r>
        <w:rPr>
          <w:lang w:val="en-US"/>
        </w:rPr>
        <w:t xml:space="preserve"> (no 22) pp.159-160</w:t>
      </w:r>
    </w:p>
  </w:footnote>
  <w:footnote w:id="27">
    <w:p w:rsidR="00787EC8" w:rsidRPr="004354AF" w:rsidRDefault="00787EC8" w:rsidP="00C12366">
      <w:pPr>
        <w:pStyle w:val="FootnoteText"/>
        <w:rPr>
          <w:lang w:val="en-US"/>
        </w:rPr>
      </w:pPr>
      <w:r>
        <w:rPr>
          <w:rStyle w:val="FootnoteReference"/>
        </w:rPr>
        <w:footnoteRef/>
      </w:r>
      <w:r>
        <w:t xml:space="preserve"> WW Buckland, </w:t>
      </w:r>
      <w:r>
        <w:rPr>
          <w:i/>
        </w:rPr>
        <w:t xml:space="preserve">A Text Book of Roman Law from Augustus to Justinian </w:t>
      </w:r>
      <w:r>
        <w:t>(Cambridge University Press 1963) p.53</w:t>
      </w:r>
    </w:p>
  </w:footnote>
  <w:footnote w:id="28">
    <w:p w:rsidR="00787EC8" w:rsidRPr="00EF4450" w:rsidRDefault="00787EC8" w:rsidP="00C12366">
      <w:pPr>
        <w:pStyle w:val="FootnoteText"/>
        <w:rPr>
          <w:lang w:val="en-US"/>
        </w:rPr>
      </w:pPr>
      <w:r>
        <w:rPr>
          <w:rStyle w:val="FootnoteReference"/>
        </w:rPr>
        <w:footnoteRef/>
      </w:r>
      <w:r>
        <w:t xml:space="preserve"> </w:t>
      </w:r>
      <w:r>
        <w:rPr>
          <w:lang w:val="en-US"/>
        </w:rPr>
        <w:t>M Freeman (no 17) p.195; B</w:t>
      </w:r>
      <w:r w:rsidRPr="00EF4450">
        <w:rPr>
          <w:lang w:val="en-US"/>
        </w:rPr>
        <w:t xml:space="preserve"> Aguilera-</w:t>
      </w:r>
      <w:proofErr w:type="spellStart"/>
      <w:r w:rsidRPr="00EF4450">
        <w:rPr>
          <w:lang w:val="en-US"/>
        </w:rPr>
        <w:t>Barchet</w:t>
      </w:r>
      <w:proofErr w:type="spellEnd"/>
      <w:r>
        <w:rPr>
          <w:lang w:val="en-US"/>
        </w:rPr>
        <w:t xml:space="preserve">, </w:t>
      </w:r>
      <w:r w:rsidRPr="00EF4450">
        <w:rPr>
          <w:i/>
          <w:lang w:val="en-US"/>
        </w:rPr>
        <w:t>A History of Western Public Law: Between Nation and Sta</w:t>
      </w:r>
      <w:r>
        <w:rPr>
          <w:i/>
          <w:lang w:val="en-US"/>
        </w:rPr>
        <w:t xml:space="preserve">te </w:t>
      </w:r>
      <w:r>
        <w:rPr>
          <w:lang w:val="en-US"/>
        </w:rPr>
        <w:t>(Springer 2011) pp.138-139; P</w:t>
      </w:r>
      <w:r w:rsidRPr="00EF4450">
        <w:rPr>
          <w:lang w:val="en-US"/>
        </w:rPr>
        <w:t xml:space="preserve"> Stein</w:t>
      </w:r>
      <w:r>
        <w:rPr>
          <w:lang w:val="en-US"/>
        </w:rPr>
        <w:t xml:space="preserve">, </w:t>
      </w:r>
      <w:r>
        <w:rPr>
          <w:i/>
          <w:lang w:val="en-US"/>
        </w:rPr>
        <w:t xml:space="preserve">Roman </w:t>
      </w:r>
      <w:proofErr w:type="gramStart"/>
      <w:r>
        <w:rPr>
          <w:i/>
          <w:lang w:val="en-US"/>
        </w:rPr>
        <w:t>Law</w:t>
      </w:r>
      <w:proofErr w:type="gramEnd"/>
      <w:r>
        <w:rPr>
          <w:i/>
          <w:lang w:val="en-US"/>
        </w:rPr>
        <w:t xml:space="preserve"> in European History </w:t>
      </w:r>
      <w:r>
        <w:rPr>
          <w:lang w:val="en-US"/>
        </w:rPr>
        <w:t>(</w:t>
      </w:r>
      <w:r w:rsidRPr="00EF4450">
        <w:rPr>
          <w:lang w:val="en-US"/>
        </w:rPr>
        <w:t>Ca</w:t>
      </w:r>
      <w:r>
        <w:rPr>
          <w:lang w:val="en-US"/>
        </w:rPr>
        <w:t>mbridge University Press</w:t>
      </w:r>
      <w:r w:rsidRPr="00EF4450">
        <w:rPr>
          <w:lang w:val="en-US"/>
        </w:rPr>
        <w:t xml:space="preserve"> 1999</w:t>
      </w:r>
      <w:r>
        <w:rPr>
          <w:lang w:val="en-US"/>
        </w:rPr>
        <w:t>) p.43.</w:t>
      </w:r>
    </w:p>
  </w:footnote>
  <w:footnote w:id="29">
    <w:p w:rsidR="00787EC8" w:rsidRPr="00E1743F" w:rsidRDefault="00787EC8" w:rsidP="00C12366">
      <w:pPr>
        <w:pStyle w:val="FootnoteText"/>
        <w:rPr>
          <w:lang w:val="en-US"/>
        </w:rPr>
      </w:pPr>
      <w:r>
        <w:rPr>
          <w:rStyle w:val="FootnoteReference"/>
        </w:rPr>
        <w:footnoteRef/>
      </w:r>
      <w:r>
        <w:t xml:space="preserve"> BB de </w:t>
      </w:r>
      <w:proofErr w:type="spellStart"/>
      <w:r>
        <w:t>Mesquita</w:t>
      </w:r>
      <w:proofErr w:type="spellEnd"/>
      <w:r>
        <w:t>, “</w:t>
      </w:r>
      <w:r w:rsidRPr="00E1743F">
        <w:t>Popes, Kings, and Endogenous Institutions: The Concordat of Worms and the Origins of Sovereignty</w:t>
      </w:r>
      <w:r>
        <w:t xml:space="preserve">” (2000) 2(2) </w:t>
      </w:r>
      <w:r w:rsidRPr="00E1743F">
        <w:t>International Studies Review</w:t>
      </w:r>
      <w:r>
        <w:t xml:space="preserve"> 93.</w:t>
      </w:r>
    </w:p>
  </w:footnote>
  <w:footnote w:id="30">
    <w:p w:rsidR="00787EC8" w:rsidRPr="0056254E" w:rsidRDefault="00787EC8" w:rsidP="00C12366">
      <w:pPr>
        <w:pStyle w:val="FootnoteText"/>
        <w:rPr>
          <w:lang w:val="en-US"/>
        </w:rPr>
      </w:pPr>
      <w:r>
        <w:rPr>
          <w:rStyle w:val="FootnoteReference"/>
        </w:rPr>
        <w:footnoteRef/>
      </w:r>
      <w:r>
        <w:t xml:space="preserve"> </w:t>
      </w:r>
      <w:r>
        <w:rPr>
          <w:lang w:val="en-US"/>
        </w:rPr>
        <w:t>Every king, within his kingdom</w:t>
      </w:r>
      <w:r w:rsidRPr="0056254E">
        <w:rPr>
          <w:lang w:val="en-US"/>
        </w:rPr>
        <w:t>, has the same powers that the emperor has over the world</w:t>
      </w:r>
    </w:p>
  </w:footnote>
  <w:footnote w:id="31">
    <w:p w:rsidR="00787EC8" w:rsidRPr="00332A64" w:rsidRDefault="00787EC8" w:rsidP="006606D6">
      <w:pPr>
        <w:pStyle w:val="FootnoteText"/>
        <w:rPr>
          <w:lang w:val="en-US"/>
        </w:rPr>
      </w:pPr>
      <w:r>
        <w:rPr>
          <w:rStyle w:val="FootnoteReference"/>
        </w:rPr>
        <w:footnoteRef/>
      </w:r>
      <w:r>
        <w:t xml:space="preserve"> </w:t>
      </w:r>
      <w:r>
        <w:rPr>
          <w:lang w:val="en-US"/>
        </w:rPr>
        <w:t xml:space="preserve">H </w:t>
      </w:r>
      <w:proofErr w:type="spellStart"/>
      <w:r>
        <w:rPr>
          <w:lang w:val="en-US"/>
        </w:rPr>
        <w:t>Kelsen</w:t>
      </w:r>
      <w:proofErr w:type="spellEnd"/>
      <w:r>
        <w:rPr>
          <w:lang w:val="en-US"/>
        </w:rPr>
        <w:t xml:space="preserve">, </w:t>
      </w:r>
      <w:r>
        <w:rPr>
          <w:i/>
          <w:lang w:val="en-US"/>
        </w:rPr>
        <w:t xml:space="preserve">Essays in Legal and Moral Philosophy </w:t>
      </w:r>
      <w:r>
        <w:rPr>
          <w:lang w:val="en-US"/>
        </w:rPr>
        <w:t xml:space="preserve">(D. </w:t>
      </w:r>
      <w:proofErr w:type="spellStart"/>
      <w:r>
        <w:rPr>
          <w:lang w:val="en-US"/>
        </w:rPr>
        <w:t>Reidel</w:t>
      </w:r>
      <w:proofErr w:type="spellEnd"/>
      <w:r>
        <w:rPr>
          <w:lang w:val="en-US"/>
        </w:rPr>
        <w:t xml:space="preserve"> Publishing Company 1973). </w:t>
      </w:r>
    </w:p>
  </w:footnote>
  <w:footnote w:id="32">
    <w:p w:rsidR="00787EC8" w:rsidRPr="00C823A5" w:rsidRDefault="00787EC8" w:rsidP="00C12366">
      <w:pPr>
        <w:pStyle w:val="FootnoteText"/>
        <w:rPr>
          <w:lang w:val="en-US"/>
        </w:rPr>
      </w:pPr>
      <w:r>
        <w:rPr>
          <w:rStyle w:val="FootnoteReference"/>
        </w:rPr>
        <w:footnoteRef/>
      </w:r>
      <w:r>
        <w:t xml:space="preserve"> R Scruton, </w:t>
      </w:r>
      <w:r>
        <w:rPr>
          <w:i/>
        </w:rPr>
        <w:t xml:space="preserve">Kant </w:t>
      </w:r>
      <w:r>
        <w:t xml:space="preserve">(Oxford Paperbacks 1982) ch.2-3; </w:t>
      </w:r>
      <w:r w:rsidRPr="00C823A5">
        <w:rPr>
          <w:lang w:val="en-US"/>
        </w:rPr>
        <w:t>S</w:t>
      </w:r>
      <w:r>
        <w:rPr>
          <w:lang w:val="en-US"/>
        </w:rPr>
        <w:t xml:space="preserve"> Paulson, ‘</w:t>
      </w:r>
      <w:proofErr w:type="spellStart"/>
      <w:r>
        <w:rPr>
          <w:lang w:val="en-US"/>
        </w:rPr>
        <w:t>Kelsen’s</w:t>
      </w:r>
      <w:proofErr w:type="spellEnd"/>
      <w:r>
        <w:rPr>
          <w:lang w:val="en-US"/>
        </w:rPr>
        <w:t xml:space="preserve"> Legal Theory: the Final Round’ (1992) 12(2) </w:t>
      </w:r>
      <w:r w:rsidRPr="00C823A5">
        <w:rPr>
          <w:lang w:val="en-US"/>
        </w:rPr>
        <w:t>Oxford Journal of Legal Studies</w:t>
      </w:r>
      <w:r>
        <w:rPr>
          <w:lang w:val="en-US"/>
        </w:rPr>
        <w:t xml:space="preserve"> 265</w:t>
      </w:r>
    </w:p>
  </w:footnote>
  <w:footnote w:id="33">
    <w:p w:rsidR="00787EC8" w:rsidRPr="00E37D70" w:rsidRDefault="00787EC8" w:rsidP="00310296">
      <w:pPr>
        <w:pStyle w:val="FootnoteText"/>
        <w:rPr>
          <w:lang w:val="en-US"/>
        </w:rPr>
      </w:pPr>
      <w:r>
        <w:rPr>
          <w:rStyle w:val="FootnoteReference"/>
        </w:rPr>
        <w:footnoteRef/>
      </w:r>
      <w:r>
        <w:t xml:space="preserve"> I Kant</w:t>
      </w:r>
      <w:r w:rsidRPr="00570D51">
        <w:t xml:space="preserve">, </w:t>
      </w:r>
      <w:r w:rsidRPr="00570D51">
        <w:rPr>
          <w:i/>
        </w:rPr>
        <w:t>Critique of Pure Reason</w:t>
      </w:r>
      <w:r w:rsidRPr="00570D51">
        <w:t xml:space="preserve"> (JMD </w:t>
      </w:r>
      <w:proofErr w:type="spellStart"/>
      <w:r w:rsidRPr="00570D51">
        <w:t>Meiklejohn</w:t>
      </w:r>
      <w:proofErr w:type="spellEnd"/>
      <w:r w:rsidRPr="00570D51">
        <w:t xml:space="preserve"> </w:t>
      </w:r>
      <w:proofErr w:type="spellStart"/>
      <w:r w:rsidRPr="00570D51">
        <w:t>tr</w:t>
      </w:r>
      <w:proofErr w:type="spellEnd"/>
      <w:r w:rsidRPr="00570D51">
        <w:t>, Dover Philosophical Classics 2003)</w:t>
      </w:r>
      <w:r>
        <w:t xml:space="preserve">; and R </w:t>
      </w:r>
      <w:r w:rsidRPr="00E37D70">
        <w:t xml:space="preserve">Adams, </w:t>
      </w:r>
      <w:r>
        <w:t>‘</w:t>
      </w:r>
      <w:r w:rsidRPr="00E37D70">
        <w:t>Things in Themselves</w:t>
      </w:r>
      <w:r>
        <w:t>’ (1997) 57</w:t>
      </w:r>
      <w:r w:rsidRPr="00E37D70">
        <w:t xml:space="preserve"> Philosophy an</w:t>
      </w:r>
      <w:r>
        <w:t>d Phenomenological Research 801</w:t>
      </w:r>
    </w:p>
  </w:footnote>
  <w:footnote w:id="34">
    <w:p w:rsidR="00787EC8" w:rsidRPr="00885B92" w:rsidRDefault="00787EC8">
      <w:pPr>
        <w:pStyle w:val="FootnoteText"/>
        <w:rPr>
          <w:lang w:val="en-US"/>
        </w:rPr>
      </w:pPr>
      <w:r>
        <w:rPr>
          <w:rStyle w:val="FootnoteReference"/>
        </w:rPr>
        <w:footnoteRef/>
      </w:r>
      <w:r>
        <w:t xml:space="preserve"> N</w:t>
      </w:r>
      <w:r w:rsidRPr="00310296">
        <w:t xml:space="preserve"> </w:t>
      </w:r>
      <w:proofErr w:type="spellStart"/>
      <w:r w:rsidRPr="00310296">
        <w:t>MacCormick</w:t>
      </w:r>
      <w:proofErr w:type="spellEnd"/>
      <w:r>
        <w:t xml:space="preserve">, </w:t>
      </w:r>
      <w:r>
        <w:rPr>
          <w:i/>
        </w:rPr>
        <w:t xml:space="preserve">Questioning Sovereignty </w:t>
      </w:r>
      <w:r>
        <w:t>(</w:t>
      </w:r>
      <w:r w:rsidRPr="00310296">
        <w:t>Oxford University Press</w:t>
      </w:r>
      <w:r>
        <w:t xml:space="preserve"> 1999)</w:t>
      </w:r>
    </w:p>
  </w:footnote>
  <w:footnote w:id="35">
    <w:p w:rsidR="00787EC8" w:rsidRPr="00885B92" w:rsidRDefault="00787EC8">
      <w:pPr>
        <w:pStyle w:val="FootnoteText"/>
        <w:rPr>
          <w:lang w:val="en-US"/>
        </w:rPr>
      </w:pPr>
      <w:r>
        <w:rPr>
          <w:rStyle w:val="FootnoteReference"/>
        </w:rPr>
        <w:footnoteRef/>
      </w:r>
      <w:r>
        <w:t xml:space="preserve"> I</w:t>
      </w:r>
      <w:r w:rsidRPr="00CE2D41">
        <w:t xml:space="preserve"> </w:t>
      </w:r>
      <w:proofErr w:type="spellStart"/>
      <w:r w:rsidRPr="00CE2D41">
        <w:t>Weyland</w:t>
      </w:r>
      <w:proofErr w:type="spellEnd"/>
      <w:r>
        <w:t>, ‘</w:t>
      </w:r>
      <w:r w:rsidRPr="00CE2D41">
        <w:t xml:space="preserve">The Application of </w:t>
      </w:r>
      <w:proofErr w:type="spellStart"/>
      <w:r w:rsidRPr="00CE2D41">
        <w:t>Kelsen's</w:t>
      </w:r>
      <w:proofErr w:type="spellEnd"/>
      <w:r w:rsidRPr="00CE2D41">
        <w:t xml:space="preserve"> Theory of the Legal System to European Community Law: The Supremacy Puzzle Resolved</w:t>
      </w:r>
      <w:r>
        <w:t xml:space="preserve">’ (2002) 21(1) </w:t>
      </w:r>
      <w:r w:rsidRPr="00CE2D41">
        <w:t>Law and Philosophy</w:t>
      </w:r>
      <w:r>
        <w:t xml:space="preserve"> 1</w:t>
      </w:r>
    </w:p>
  </w:footnote>
  <w:footnote w:id="36">
    <w:p w:rsidR="00787EC8" w:rsidRPr="00885B92" w:rsidRDefault="00787EC8" w:rsidP="00DD617B">
      <w:pPr>
        <w:pStyle w:val="FootnoteText"/>
        <w:rPr>
          <w:lang w:val="en-US"/>
        </w:rPr>
      </w:pPr>
      <w:r>
        <w:rPr>
          <w:rStyle w:val="FootnoteReference"/>
        </w:rPr>
        <w:footnoteRef/>
      </w:r>
      <w:r>
        <w:t xml:space="preserve"> H</w:t>
      </w:r>
      <w:r w:rsidRPr="00DD617B">
        <w:t xml:space="preserve"> L </w:t>
      </w:r>
      <w:proofErr w:type="gramStart"/>
      <w:r w:rsidRPr="00DD617B">
        <w:t>A</w:t>
      </w:r>
      <w:proofErr w:type="gramEnd"/>
      <w:r w:rsidRPr="00DD617B">
        <w:t xml:space="preserve"> Hart</w:t>
      </w:r>
      <w:r>
        <w:t>,</w:t>
      </w:r>
      <w:r w:rsidRPr="00DD617B">
        <w:t xml:space="preserve"> </w:t>
      </w:r>
      <w:r w:rsidRPr="00885B92">
        <w:rPr>
          <w:i/>
        </w:rPr>
        <w:t xml:space="preserve">The </w:t>
      </w:r>
      <w:r>
        <w:rPr>
          <w:i/>
        </w:rPr>
        <w:t>C</w:t>
      </w:r>
      <w:r w:rsidRPr="00885B92">
        <w:rPr>
          <w:i/>
        </w:rPr>
        <w:t>oncept of</w:t>
      </w:r>
      <w:r w:rsidR="002D2EB4">
        <w:rPr>
          <w:i/>
        </w:rPr>
        <w:t xml:space="preserve"> </w:t>
      </w:r>
      <w:r>
        <w:rPr>
          <w:i/>
        </w:rPr>
        <w:t>L</w:t>
      </w:r>
      <w:r w:rsidRPr="00885B92">
        <w:rPr>
          <w:i/>
        </w:rPr>
        <w:t>aw</w:t>
      </w:r>
      <w:r w:rsidRPr="00DD617B">
        <w:t xml:space="preserve"> </w:t>
      </w:r>
      <w:r>
        <w:t>(2</w:t>
      </w:r>
      <w:r w:rsidRPr="00885B92">
        <w:rPr>
          <w:vertAlign w:val="superscript"/>
        </w:rPr>
        <w:t>nd</w:t>
      </w:r>
      <w:r>
        <w:t xml:space="preserve"> </w:t>
      </w:r>
      <w:proofErr w:type="spellStart"/>
      <w:r>
        <w:t>edn</w:t>
      </w:r>
      <w:proofErr w:type="spellEnd"/>
      <w:r>
        <w:t>, Oxford University Press 1994); A Tucker, ‘</w:t>
      </w:r>
      <w:r w:rsidRPr="00C14153">
        <w:t>Uncertainty in the Rule of Recognition and in the Doctrine of Parliamentary Sovereignty</w:t>
      </w:r>
      <w:r>
        <w:t>’ (2011) 31(1) Oxford Journal of Legal Studies 61;</w:t>
      </w:r>
      <w:r w:rsidRPr="00C14153">
        <w:t xml:space="preserve"> </w:t>
      </w:r>
      <w:r>
        <w:t xml:space="preserve">for an interesting political science view on this point, see </w:t>
      </w:r>
      <w:r w:rsidRPr="00DD617B">
        <w:t>L Beckman</w:t>
      </w:r>
      <w:r>
        <w:t>, ‘</w:t>
      </w:r>
      <w:r w:rsidRPr="00DD617B">
        <w:t>Popular sovereignty facing the deep state. The rule of recognition and the powers of the people</w:t>
      </w:r>
      <w:r>
        <w:t xml:space="preserve">’ (2019) Critical Review of International Social and Political Philosophy &lt; </w:t>
      </w:r>
      <w:r w:rsidRPr="00DD617B">
        <w:t>DOI: 10.1080/13698230.2019.1644583</w:t>
      </w:r>
      <w:r>
        <w:t xml:space="preserve"> &gt; </w:t>
      </w:r>
    </w:p>
  </w:footnote>
  <w:footnote w:id="37">
    <w:p w:rsidR="00787EC8" w:rsidRPr="00C65D01" w:rsidRDefault="00787EC8" w:rsidP="0091574E">
      <w:pPr>
        <w:pStyle w:val="FootnoteText"/>
        <w:rPr>
          <w:lang w:val="en-US"/>
        </w:rPr>
      </w:pPr>
      <w:r>
        <w:rPr>
          <w:rStyle w:val="FootnoteReference"/>
        </w:rPr>
        <w:footnoteRef/>
      </w:r>
      <w:r>
        <w:t xml:space="preserve"> J</w:t>
      </w:r>
      <w:r w:rsidRPr="00DD17B0">
        <w:t xml:space="preserve"> Dewey</w:t>
      </w:r>
      <w:r>
        <w:t>, ‘</w:t>
      </w:r>
      <w:r w:rsidRPr="00DD17B0">
        <w:t>Austin's Theory of Sovereignty</w:t>
      </w:r>
      <w:r>
        <w:t xml:space="preserve">’ (1894) 9(1) </w:t>
      </w:r>
      <w:r w:rsidRPr="00DD17B0">
        <w:t>Political Science Quarterly</w:t>
      </w:r>
      <w:r>
        <w:t xml:space="preserve"> 31</w:t>
      </w:r>
    </w:p>
  </w:footnote>
  <w:footnote w:id="38">
    <w:p w:rsidR="00787EC8" w:rsidRPr="0079533B" w:rsidRDefault="00787EC8" w:rsidP="008863D2">
      <w:pPr>
        <w:pStyle w:val="FootnoteText"/>
        <w:rPr>
          <w:lang w:val="en-US"/>
        </w:rPr>
      </w:pPr>
      <w:r>
        <w:rPr>
          <w:rStyle w:val="FootnoteReference"/>
        </w:rPr>
        <w:footnoteRef/>
      </w:r>
      <w:r>
        <w:t xml:space="preserve"> </w:t>
      </w:r>
      <w:r w:rsidRPr="00FB18AC">
        <w:t xml:space="preserve">H </w:t>
      </w:r>
      <w:proofErr w:type="spellStart"/>
      <w:r w:rsidRPr="00FB18AC">
        <w:t>Lauterpacht</w:t>
      </w:r>
      <w:proofErr w:type="spellEnd"/>
      <w:r>
        <w:t xml:space="preserve">, </w:t>
      </w:r>
      <w:r w:rsidRPr="0079533B">
        <w:rPr>
          <w:i/>
        </w:rPr>
        <w:t>Recognition in International Law</w:t>
      </w:r>
      <w:r>
        <w:t xml:space="preserve"> (Cambridge University Press 1947)</w:t>
      </w:r>
    </w:p>
  </w:footnote>
  <w:footnote w:id="39">
    <w:p w:rsidR="00787EC8" w:rsidRPr="003F34BD" w:rsidRDefault="00787EC8" w:rsidP="00C12366">
      <w:pPr>
        <w:pStyle w:val="FootnoteText"/>
        <w:rPr>
          <w:lang w:val="en-US"/>
        </w:rPr>
      </w:pPr>
      <w:r>
        <w:rPr>
          <w:rStyle w:val="FootnoteReference"/>
        </w:rPr>
        <w:footnoteRef/>
      </w:r>
      <w:r>
        <w:t xml:space="preserve"> </w:t>
      </w:r>
      <w:r>
        <w:rPr>
          <w:lang w:val="en-US"/>
        </w:rPr>
        <w:t>It has been argued that the philosophies of Hobbes and Locke have been used to justify the taking of land from those communities that had a different relationship with the state and the land, for example colonizing land that was used by nomadic tribes in the Americas. See J Tully, “Rediscovering America” in GAJ Rogers(</w:t>
      </w:r>
      <w:proofErr w:type="spellStart"/>
      <w:r>
        <w:rPr>
          <w:lang w:val="en-US"/>
        </w:rPr>
        <w:t>ed</w:t>
      </w:r>
      <w:proofErr w:type="spellEnd"/>
      <w:r w:rsidRPr="006F1797">
        <w:rPr>
          <w:lang w:val="en-US"/>
        </w:rPr>
        <w:t xml:space="preserve">), </w:t>
      </w:r>
      <w:r w:rsidRPr="006F1797">
        <w:rPr>
          <w:i/>
          <w:lang w:val="en-US"/>
        </w:rPr>
        <w:t>Locke's Philosophy: Content and Context</w:t>
      </w:r>
      <w:r>
        <w:rPr>
          <w:lang w:val="en-US"/>
        </w:rPr>
        <w:t xml:space="preserve"> (Clarendon Press </w:t>
      </w:r>
      <w:r w:rsidRPr="006F1797">
        <w:rPr>
          <w:lang w:val="en-US"/>
        </w:rPr>
        <w:t>1996)</w:t>
      </w:r>
    </w:p>
  </w:footnote>
  <w:footnote w:id="40">
    <w:p w:rsidR="00787EC8" w:rsidRPr="001A2D58" w:rsidRDefault="00787EC8" w:rsidP="00C12366">
      <w:pPr>
        <w:pStyle w:val="FootnoteText"/>
        <w:rPr>
          <w:lang w:val="en-US"/>
        </w:rPr>
      </w:pPr>
      <w:r>
        <w:rPr>
          <w:rStyle w:val="FootnoteReference"/>
        </w:rPr>
        <w:footnoteRef/>
      </w:r>
      <w:r>
        <w:t xml:space="preserve"> </w:t>
      </w:r>
      <w:r>
        <w:rPr>
          <w:lang w:val="en-US"/>
        </w:rPr>
        <w:t xml:space="preserve">M Freeman (no 17); D </w:t>
      </w:r>
      <w:proofErr w:type="spellStart"/>
      <w:r>
        <w:rPr>
          <w:lang w:val="en-US"/>
        </w:rPr>
        <w:t>Bederman</w:t>
      </w:r>
      <w:proofErr w:type="spellEnd"/>
      <w:r>
        <w:rPr>
          <w:lang w:val="en-US"/>
        </w:rPr>
        <w:t xml:space="preserve">, </w:t>
      </w:r>
      <w:r>
        <w:rPr>
          <w:i/>
          <w:lang w:val="en-US"/>
        </w:rPr>
        <w:t xml:space="preserve">Custom as a Source of Law </w:t>
      </w:r>
      <w:r>
        <w:rPr>
          <w:lang w:val="en-US"/>
        </w:rPr>
        <w:t xml:space="preserve">(Cambridge University Press 2010) pp 3-41. </w:t>
      </w:r>
    </w:p>
  </w:footnote>
  <w:footnote w:id="41">
    <w:p w:rsidR="00787EC8" w:rsidRPr="00C53C78" w:rsidRDefault="00787EC8" w:rsidP="00C12366">
      <w:pPr>
        <w:pStyle w:val="FootnoteText"/>
        <w:rPr>
          <w:i/>
          <w:lang w:val="en-US"/>
        </w:rPr>
      </w:pPr>
      <w:r>
        <w:rPr>
          <w:rStyle w:val="FootnoteReference"/>
        </w:rPr>
        <w:footnoteRef/>
      </w:r>
      <w:r>
        <w:t xml:space="preserve"> </w:t>
      </w:r>
      <w:r>
        <w:rPr>
          <w:lang w:val="en-US"/>
        </w:rPr>
        <w:t xml:space="preserve">DJ Hill, </w:t>
      </w:r>
      <w:r>
        <w:rPr>
          <w:i/>
          <w:lang w:val="en-US"/>
        </w:rPr>
        <w:t xml:space="preserve">A History of Diplomacy in the International Development of Europe </w:t>
      </w:r>
      <w:r>
        <w:rPr>
          <w:lang w:val="en-US"/>
        </w:rPr>
        <w:t xml:space="preserve">Vol II </w:t>
      </w:r>
      <w:r w:rsidRPr="00C53C78">
        <w:rPr>
          <w:i/>
          <w:lang w:val="en-US"/>
        </w:rPr>
        <w:t>The Establishme</w:t>
      </w:r>
      <w:r>
        <w:rPr>
          <w:i/>
          <w:lang w:val="en-US"/>
        </w:rPr>
        <w:t xml:space="preserve">nt of Territorial Sovereignty </w:t>
      </w:r>
      <w:r w:rsidRPr="00D36806">
        <w:rPr>
          <w:lang w:val="en-US"/>
        </w:rPr>
        <w:t>(Lon</w:t>
      </w:r>
      <w:r>
        <w:rPr>
          <w:lang w:val="en-US"/>
        </w:rPr>
        <w:t>gmans, Green, and Company 1906) p.599</w:t>
      </w:r>
    </w:p>
  </w:footnote>
  <w:footnote w:id="42">
    <w:p w:rsidR="00787EC8" w:rsidRPr="005E7F30" w:rsidRDefault="00787EC8" w:rsidP="00C12366">
      <w:pPr>
        <w:pStyle w:val="FootnoteText"/>
        <w:rPr>
          <w:i/>
          <w:lang w:val="en-US"/>
        </w:rPr>
      </w:pPr>
      <w:r>
        <w:rPr>
          <w:rStyle w:val="FootnoteReference"/>
        </w:rPr>
        <w:footnoteRef/>
      </w:r>
      <w:r>
        <w:t xml:space="preserve"> L</w:t>
      </w:r>
      <w:r w:rsidRPr="005E7F30">
        <w:t xml:space="preserve"> Peters</w:t>
      </w:r>
      <w:r>
        <w:t xml:space="preserve">, </w:t>
      </w:r>
      <w:proofErr w:type="gramStart"/>
      <w:r w:rsidRPr="005E7F30">
        <w:rPr>
          <w:i/>
        </w:rPr>
        <w:t>The</w:t>
      </w:r>
      <w:proofErr w:type="gramEnd"/>
      <w:r w:rsidRPr="005E7F30">
        <w:rPr>
          <w:i/>
        </w:rPr>
        <w:t xml:space="preserve"> United Nations: History and Core Ideas</w:t>
      </w:r>
      <w:r>
        <w:t xml:space="preserve"> (Palgrave McMillan US 2015) Ch.5.</w:t>
      </w:r>
    </w:p>
  </w:footnote>
  <w:footnote w:id="43">
    <w:p w:rsidR="00787EC8" w:rsidRPr="00557666" w:rsidRDefault="00787EC8" w:rsidP="00C12366">
      <w:pPr>
        <w:pStyle w:val="FootnoteText"/>
        <w:rPr>
          <w:lang w:val="en-US"/>
        </w:rPr>
      </w:pPr>
      <w:r>
        <w:rPr>
          <w:rStyle w:val="FootnoteReference"/>
        </w:rPr>
        <w:footnoteRef/>
      </w:r>
      <w:r>
        <w:t xml:space="preserve"> </w:t>
      </w:r>
      <w:r w:rsidRPr="00557666">
        <w:t>J. H. Burns</w:t>
      </w:r>
      <w:r>
        <w:t>(</w:t>
      </w:r>
      <w:proofErr w:type="spellStart"/>
      <w:r>
        <w:t>ed</w:t>
      </w:r>
      <w:proofErr w:type="spellEnd"/>
      <w:r>
        <w:t xml:space="preserve">), </w:t>
      </w:r>
      <w:r w:rsidRPr="00557666">
        <w:rPr>
          <w:i/>
        </w:rPr>
        <w:t>The Cambridge History of Medieval Political Thought C.350-c.1450</w:t>
      </w:r>
      <w:r>
        <w:rPr>
          <w:i/>
        </w:rPr>
        <w:t xml:space="preserve"> </w:t>
      </w:r>
      <w:r>
        <w:t>(Cambridge University Press 1988) p.363</w:t>
      </w:r>
    </w:p>
  </w:footnote>
  <w:footnote w:id="44">
    <w:p w:rsidR="00787EC8" w:rsidRPr="00ED54DF" w:rsidRDefault="00787EC8" w:rsidP="00C12366">
      <w:pPr>
        <w:pStyle w:val="FootnoteText"/>
        <w:rPr>
          <w:lang w:val="en-US"/>
        </w:rPr>
      </w:pPr>
      <w:r>
        <w:rPr>
          <w:rStyle w:val="FootnoteReference"/>
        </w:rPr>
        <w:footnoteRef/>
      </w:r>
      <w:r>
        <w:t xml:space="preserve"> </w:t>
      </w:r>
      <w:r>
        <w:rPr>
          <w:lang w:val="en-US"/>
        </w:rPr>
        <w:t xml:space="preserve">The King himself does not recognize a superior </w:t>
      </w:r>
    </w:p>
  </w:footnote>
  <w:footnote w:id="45">
    <w:p w:rsidR="00787EC8" w:rsidRPr="00ED54DF" w:rsidRDefault="00787EC8" w:rsidP="00C12366">
      <w:pPr>
        <w:pStyle w:val="FootnoteText"/>
        <w:rPr>
          <w:lang w:val="en-US"/>
        </w:rPr>
      </w:pPr>
      <w:r>
        <w:rPr>
          <w:rStyle w:val="FootnoteReference"/>
        </w:rPr>
        <w:footnoteRef/>
      </w:r>
      <w:r>
        <w:t xml:space="preserve"> </w:t>
      </w:r>
      <w:r w:rsidRPr="00557666">
        <w:t>Burns</w:t>
      </w:r>
      <w:r>
        <w:t xml:space="preserve"> (no 43)</w:t>
      </w:r>
    </w:p>
  </w:footnote>
  <w:footnote w:id="46">
    <w:p w:rsidR="00787EC8" w:rsidRPr="0041365C" w:rsidRDefault="00787EC8" w:rsidP="00C12366">
      <w:pPr>
        <w:pStyle w:val="FootnoteText"/>
        <w:rPr>
          <w:lang w:val="en-US"/>
        </w:rPr>
      </w:pPr>
      <w:r>
        <w:rPr>
          <w:rStyle w:val="FootnoteReference"/>
        </w:rPr>
        <w:footnoteRef/>
      </w:r>
      <w:r>
        <w:t xml:space="preserve"> </w:t>
      </w:r>
      <w:r>
        <w:rPr>
          <w:lang w:val="en-US"/>
        </w:rPr>
        <w:t>The king determines the religion of his realm</w:t>
      </w:r>
    </w:p>
  </w:footnote>
  <w:footnote w:id="47">
    <w:p w:rsidR="00787EC8" w:rsidRPr="00132F10" w:rsidRDefault="00787EC8" w:rsidP="00C12366">
      <w:pPr>
        <w:pStyle w:val="FootnoteText"/>
        <w:rPr>
          <w:lang w:val="en-US"/>
        </w:rPr>
      </w:pPr>
      <w:r>
        <w:rPr>
          <w:rStyle w:val="FootnoteReference"/>
        </w:rPr>
        <w:footnoteRef/>
      </w:r>
      <w:r>
        <w:t xml:space="preserve"> </w:t>
      </w:r>
      <w:r w:rsidRPr="00557666">
        <w:t>Burns</w:t>
      </w:r>
      <w:r>
        <w:t xml:space="preserve"> (no 43)</w:t>
      </w:r>
    </w:p>
  </w:footnote>
  <w:footnote w:id="48">
    <w:p w:rsidR="00787EC8" w:rsidRPr="0040649B" w:rsidRDefault="00787EC8" w:rsidP="00C12366">
      <w:pPr>
        <w:pStyle w:val="FootnoteText"/>
        <w:rPr>
          <w:lang w:val="en-US"/>
        </w:rPr>
      </w:pPr>
      <w:r>
        <w:rPr>
          <w:rStyle w:val="FootnoteReference"/>
        </w:rPr>
        <w:footnoteRef/>
      </w:r>
      <w:r>
        <w:t xml:space="preserve"> </w:t>
      </w:r>
      <w:r w:rsidRPr="00557666">
        <w:t>Burns</w:t>
      </w:r>
      <w:r>
        <w:t xml:space="preserve"> (no 43)</w:t>
      </w:r>
    </w:p>
  </w:footnote>
  <w:footnote w:id="49">
    <w:p w:rsidR="00787EC8" w:rsidRPr="002C3F8C" w:rsidRDefault="00787EC8" w:rsidP="004F2BFD">
      <w:pPr>
        <w:pStyle w:val="FootnoteText"/>
        <w:rPr>
          <w:lang w:val="en-US"/>
        </w:rPr>
      </w:pPr>
      <w:r>
        <w:rPr>
          <w:rStyle w:val="FootnoteReference"/>
        </w:rPr>
        <w:footnoteRef/>
      </w:r>
      <w:r>
        <w:t xml:space="preserve"> Peters (no 42) 70</w:t>
      </w:r>
    </w:p>
  </w:footnote>
  <w:footnote w:id="50">
    <w:p w:rsidR="00787EC8" w:rsidRDefault="00787EC8" w:rsidP="004F2BFD">
      <w:pPr>
        <w:pStyle w:val="FootnoteText"/>
      </w:pPr>
      <w:r>
        <w:rPr>
          <w:rStyle w:val="FootnoteReference"/>
        </w:rPr>
        <w:footnoteRef/>
      </w:r>
      <w:r>
        <w:t xml:space="preserve"> KG Davies, </w:t>
      </w:r>
      <w:r w:rsidRPr="00352254">
        <w:rPr>
          <w:i/>
        </w:rPr>
        <w:t>The Royal African Company</w:t>
      </w:r>
      <w:r>
        <w:t xml:space="preserve"> </w:t>
      </w:r>
      <w:r w:rsidRPr="00352254">
        <w:t>(</w:t>
      </w:r>
      <w:r>
        <w:t xml:space="preserve">Routledge </w:t>
      </w:r>
      <w:r w:rsidRPr="00352254">
        <w:t>1999)</w:t>
      </w:r>
      <w:r>
        <w:t xml:space="preserve"> 41</w:t>
      </w:r>
      <w:r w:rsidRPr="00352254">
        <w:t xml:space="preserve"> </w:t>
      </w:r>
    </w:p>
  </w:footnote>
  <w:footnote w:id="51">
    <w:p w:rsidR="00787EC8" w:rsidRPr="00222347" w:rsidRDefault="00787EC8" w:rsidP="004F2BFD">
      <w:pPr>
        <w:pStyle w:val="FootnoteText"/>
      </w:pPr>
      <w:r>
        <w:rPr>
          <w:rStyle w:val="FootnoteReference"/>
        </w:rPr>
        <w:footnoteRef/>
      </w:r>
      <w:r>
        <w:t xml:space="preserve"> C </w:t>
      </w:r>
      <w:proofErr w:type="spellStart"/>
      <w:r>
        <w:t>Cabell</w:t>
      </w:r>
      <w:proofErr w:type="spellEnd"/>
      <w:r>
        <w:t xml:space="preserve">, </w:t>
      </w:r>
      <w:proofErr w:type="spellStart"/>
      <w:r w:rsidRPr="00222347">
        <w:rPr>
          <w:i/>
        </w:rPr>
        <w:t>Witchfinder</w:t>
      </w:r>
      <w:proofErr w:type="spellEnd"/>
      <w:r w:rsidRPr="00222347">
        <w:rPr>
          <w:i/>
        </w:rPr>
        <w:t xml:space="preserve"> General: The Biography of Matthew Hopkins</w:t>
      </w:r>
      <w:r>
        <w:rPr>
          <w:i/>
        </w:rPr>
        <w:t xml:space="preserve"> </w:t>
      </w:r>
      <w:r>
        <w:t>(Sutton 2006)</w:t>
      </w:r>
    </w:p>
  </w:footnote>
  <w:footnote w:id="52">
    <w:p w:rsidR="00787EC8" w:rsidRPr="00387129" w:rsidRDefault="00787EC8" w:rsidP="00C12366">
      <w:pPr>
        <w:pStyle w:val="FootnoteText"/>
        <w:rPr>
          <w:lang w:val="en-US"/>
        </w:rPr>
      </w:pPr>
      <w:r>
        <w:rPr>
          <w:rStyle w:val="FootnoteReference"/>
        </w:rPr>
        <w:footnoteRef/>
      </w:r>
      <w:r>
        <w:t xml:space="preserve"> </w:t>
      </w:r>
      <w:r>
        <w:rPr>
          <w:lang w:val="en-US"/>
        </w:rPr>
        <w:t xml:space="preserve">L von Mises, </w:t>
      </w:r>
      <w:r>
        <w:rPr>
          <w:i/>
          <w:lang w:val="en-US"/>
        </w:rPr>
        <w:t>Theory and History: An interpretation of social and economic evolution</w:t>
      </w:r>
      <w:r>
        <w:rPr>
          <w:lang w:val="en-US"/>
        </w:rPr>
        <w:t xml:space="preserve"> (Ludwig von Mises Institute 2007) p.251</w:t>
      </w:r>
    </w:p>
  </w:footnote>
  <w:footnote w:id="53">
    <w:p w:rsidR="00787EC8" w:rsidRPr="000943C4" w:rsidRDefault="00787EC8" w:rsidP="00C12366">
      <w:pPr>
        <w:pStyle w:val="FootnoteText"/>
        <w:rPr>
          <w:lang w:val="en-US"/>
        </w:rPr>
      </w:pPr>
      <w:r>
        <w:rPr>
          <w:rStyle w:val="FootnoteReference"/>
        </w:rPr>
        <w:footnoteRef/>
      </w:r>
      <w:r>
        <w:t xml:space="preserve"> A </w:t>
      </w:r>
      <w:r w:rsidRPr="005F793E">
        <w:t>Liang</w:t>
      </w:r>
      <w:r>
        <w:t>, ‘</w:t>
      </w:r>
      <w:r w:rsidRPr="000943C4">
        <w:t xml:space="preserve">Brunei’s Controversial New </w:t>
      </w:r>
      <w:r w:rsidR="003D255F" w:rsidRPr="000943C4">
        <w:t>Sharia</w:t>
      </w:r>
      <w:r w:rsidRPr="000943C4">
        <w:t xml:space="preserve"> Laws Are Now in Effect</w:t>
      </w:r>
      <w:r>
        <w:t xml:space="preserve">’ </w:t>
      </w:r>
      <w:proofErr w:type="gramStart"/>
      <w:r>
        <w:rPr>
          <w:i/>
        </w:rPr>
        <w:t>The</w:t>
      </w:r>
      <w:proofErr w:type="gramEnd"/>
      <w:r>
        <w:rPr>
          <w:i/>
        </w:rPr>
        <w:t xml:space="preserve"> Diplomat</w:t>
      </w:r>
      <w:r>
        <w:t xml:space="preserve"> (3 April 2019) &lt;h</w:t>
      </w:r>
      <w:r w:rsidRPr="000943C4">
        <w:t>ttps://thediplomat.com/2019/04/bruneis-controversial-new-shariah-laws-are-now-in-effect/</w:t>
      </w:r>
      <w:r>
        <w:rPr>
          <w:lang w:val="en-US"/>
        </w:rPr>
        <w:t>&gt; accessed 6 April 2019.</w:t>
      </w:r>
    </w:p>
  </w:footnote>
  <w:footnote w:id="54">
    <w:p w:rsidR="00787EC8" w:rsidRPr="00AA3FBE" w:rsidRDefault="00787EC8" w:rsidP="00C12366">
      <w:pPr>
        <w:pStyle w:val="FootnoteText"/>
        <w:rPr>
          <w:lang w:val="en-US"/>
        </w:rPr>
      </w:pPr>
      <w:r>
        <w:rPr>
          <w:rStyle w:val="FootnoteReference"/>
        </w:rPr>
        <w:footnoteRef/>
      </w:r>
      <w:r>
        <w:t xml:space="preserve"> </w:t>
      </w:r>
      <w:r>
        <w:rPr>
          <w:lang w:val="en-US"/>
        </w:rPr>
        <w:t>M Taylor, ‘</w:t>
      </w:r>
      <w:r w:rsidRPr="00AA3FBE">
        <w:rPr>
          <w:lang w:val="en-US"/>
        </w:rPr>
        <w:t>Brunei urged to halt introduction of strict new anti-LGBT+ laws</w:t>
      </w:r>
      <w:r>
        <w:rPr>
          <w:lang w:val="en-US"/>
        </w:rPr>
        <w:t xml:space="preserve">’ </w:t>
      </w:r>
      <w:r>
        <w:rPr>
          <w:i/>
          <w:lang w:val="en-US"/>
        </w:rPr>
        <w:t xml:space="preserve">Reuters </w:t>
      </w:r>
      <w:r>
        <w:rPr>
          <w:lang w:val="en-US"/>
        </w:rPr>
        <w:t>(</w:t>
      </w:r>
      <w:r w:rsidRPr="00AA3FBE">
        <w:rPr>
          <w:lang w:val="en-US"/>
        </w:rPr>
        <w:t>Kuala Lumpur</w:t>
      </w:r>
      <w:r>
        <w:rPr>
          <w:lang w:val="en-US"/>
        </w:rPr>
        <w:t xml:space="preserve"> 25 March 2019) &lt; </w:t>
      </w:r>
      <w:r w:rsidRPr="00AA3FBE">
        <w:rPr>
          <w:lang w:val="en-US"/>
        </w:rPr>
        <w:t>https://www.reuters.com/article/us-brunei-lgbt-laws/brunei-urged-to-halt-introduction-of-strict-new-anti-lgbt-laws-idUSKCN1R61M9</w:t>
      </w:r>
      <w:r>
        <w:rPr>
          <w:lang w:val="en-US"/>
        </w:rPr>
        <w:t>&gt; accessed 6 April 2019.</w:t>
      </w:r>
    </w:p>
  </w:footnote>
  <w:footnote w:id="55">
    <w:p w:rsidR="00787EC8" w:rsidRPr="00885B92" w:rsidRDefault="00787EC8">
      <w:pPr>
        <w:pStyle w:val="FootnoteText"/>
        <w:rPr>
          <w:lang w:val="en-US"/>
        </w:rPr>
      </w:pPr>
      <w:r>
        <w:rPr>
          <w:rStyle w:val="FootnoteReference"/>
        </w:rPr>
        <w:footnoteRef/>
      </w:r>
      <w:r>
        <w:t xml:space="preserve"> Kant (no 4) 7-12</w:t>
      </w:r>
    </w:p>
  </w:footnote>
  <w:footnote w:id="56">
    <w:p w:rsidR="00787EC8" w:rsidRPr="00885B92" w:rsidRDefault="00787EC8">
      <w:pPr>
        <w:pStyle w:val="FootnoteText"/>
        <w:rPr>
          <w:lang w:val="en-US"/>
        </w:rPr>
      </w:pPr>
      <w:r>
        <w:rPr>
          <w:rStyle w:val="FootnoteReference"/>
        </w:rPr>
        <w:footnoteRef/>
      </w:r>
      <w:r>
        <w:t xml:space="preserve"> </w:t>
      </w:r>
      <w:r>
        <w:rPr>
          <w:lang w:val="en-US"/>
        </w:rPr>
        <w:t>There is a substantial body of literature on this distinction in the realm of logic. See WVO Quine, ‘</w:t>
      </w:r>
      <w:proofErr w:type="spellStart"/>
      <w:r w:rsidRPr="00187CF2">
        <w:rPr>
          <w:lang w:val="en-US"/>
        </w:rPr>
        <w:t>Carnap</w:t>
      </w:r>
      <w:proofErr w:type="spellEnd"/>
      <w:r w:rsidRPr="00187CF2">
        <w:rPr>
          <w:lang w:val="en-US"/>
        </w:rPr>
        <w:t xml:space="preserve"> and Logical Truth</w:t>
      </w:r>
      <w:r>
        <w:rPr>
          <w:lang w:val="en-US"/>
        </w:rPr>
        <w:t xml:space="preserve">’ in Quine, </w:t>
      </w:r>
      <w:r w:rsidRPr="00885B92">
        <w:rPr>
          <w:i/>
          <w:lang w:val="en-US"/>
        </w:rPr>
        <w:t>Ways of Paradox and Other Essays</w:t>
      </w:r>
      <w:r>
        <w:rPr>
          <w:lang w:val="en-US"/>
        </w:rPr>
        <w:t xml:space="preserve"> (2</w:t>
      </w:r>
      <w:r w:rsidRPr="00885B92">
        <w:rPr>
          <w:vertAlign w:val="superscript"/>
          <w:lang w:val="en-US"/>
        </w:rPr>
        <w:t>nd</w:t>
      </w:r>
      <w:r>
        <w:rPr>
          <w:lang w:val="en-US"/>
        </w:rPr>
        <w:t xml:space="preserve"> </w:t>
      </w:r>
      <w:proofErr w:type="spellStart"/>
      <w:r>
        <w:rPr>
          <w:lang w:val="en-US"/>
        </w:rPr>
        <w:t>edn</w:t>
      </w:r>
      <w:proofErr w:type="spellEnd"/>
      <w:r>
        <w:rPr>
          <w:lang w:val="en-US"/>
        </w:rPr>
        <w:t xml:space="preserve">, Harvard University Press 1976); J Katz, </w:t>
      </w:r>
      <w:r w:rsidRPr="00885B92">
        <w:rPr>
          <w:lang w:val="en-US"/>
        </w:rPr>
        <w:t>Cognitions</w:t>
      </w:r>
      <w:r>
        <w:rPr>
          <w:lang w:val="en-US"/>
        </w:rPr>
        <w:t xml:space="preserve"> (Oxford University Press 1988); J Katz, </w:t>
      </w:r>
      <w:r>
        <w:rPr>
          <w:i/>
          <w:lang w:val="en-US"/>
        </w:rPr>
        <w:t xml:space="preserve">The Metaphysics of Meaning </w:t>
      </w:r>
      <w:r>
        <w:rPr>
          <w:lang w:val="en-US"/>
        </w:rPr>
        <w:t xml:space="preserve">(Oxford University Press 1990); </w:t>
      </w:r>
      <w:r w:rsidRPr="00187CF2">
        <w:rPr>
          <w:lang w:val="en-US"/>
        </w:rPr>
        <w:t>J</w:t>
      </w:r>
      <w:r>
        <w:rPr>
          <w:lang w:val="en-US"/>
        </w:rPr>
        <w:t xml:space="preserve"> MacFarlane, ‘</w:t>
      </w:r>
      <w:proofErr w:type="spellStart"/>
      <w:r w:rsidRPr="00187CF2">
        <w:rPr>
          <w:lang w:val="en-US"/>
        </w:rPr>
        <w:t>Frege</w:t>
      </w:r>
      <w:proofErr w:type="spellEnd"/>
      <w:r w:rsidRPr="00187CF2">
        <w:rPr>
          <w:lang w:val="en-US"/>
        </w:rPr>
        <w:t xml:space="preserve">, Kant, and the Logic of </w:t>
      </w:r>
      <w:proofErr w:type="spellStart"/>
      <w:r w:rsidRPr="00187CF2">
        <w:rPr>
          <w:lang w:val="en-US"/>
        </w:rPr>
        <w:t>Logicism</w:t>
      </w:r>
      <w:proofErr w:type="spellEnd"/>
      <w:r>
        <w:rPr>
          <w:lang w:val="en-US"/>
        </w:rPr>
        <w:t xml:space="preserve">’ (2002) 111(1) </w:t>
      </w:r>
      <w:r w:rsidRPr="00187CF2">
        <w:rPr>
          <w:lang w:val="en-US"/>
        </w:rPr>
        <w:t>Philosophical Review</w:t>
      </w:r>
      <w:r>
        <w:rPr>
          <w:lang w:val="en-US"/>
        </w:rPr>
        <w:t xml:space="preserve"> 25; </w:t>
      </w:r>
    </w:p>
  </w:footnote>
  <w:footnote w:id="57">
    <w:p w:rsidR="00787EC8" w:rsidRPr="00A352FA" w:rsidRDefault="00787EC8" w:rsidP="00C12366">
      <w:pPr>
        <w:pStyle w:val="FootnoteText"/>
        <w:rPr>
          <w:lang w:val="en-US"/>
        </w:rPr>
      </w:pPr>
      <w:r>
        <w:rPr>
          <w:rStyle w:val="FootnoteReference"/>
        </w:rPr>
        <w:footnoteRef/>
      </w:r>
      <w:r>
        <w:t xml:space="preserve"> </w:t>
      </w:r>
      <w:r>
        <w:rPr>
          <w:lang w:val="en-US"/>
        </w:rPr>
        <w:t xml:space="preserve">L von Mises, </w:t>
      </w:r>
      <w:r>
        <w:rPr>
          <w:i/>
          <w:lang w:val="en-US"/>
        </w:rPr>
        <w:t xml:space="preserve">Human Action: A Treatise on Economics </w:t>
      </w:r>
      <w:r>
        <w:rPr>
          <w:lang w:val="en-US"/>
        </w:rPr>
        <w:t>(Ludwig von Mises Institute 1998) 152</w:t>
      </w:r>
    </w:p>
  </w:footnote>
  <w:footnote w:id="58">
    <w:p w:rsidR="00787EC8" w:rsidRPr="00E03599" w:rsidRDefault="00787EC8" w:rsidP="00C12366">
      <w:pPr>
        <w:pStyle w:val="FootnoteText"/>
        <w:rPr>
          <w:lang w:val="en-US"/>
        </w:rPr>
      </w:pPr>
      <w:r>
        <w:rPr>
          <w:rStyle w:val="FootnoteReference"/>
        </w:rPr>
        <w:footnoteRef/>
      </w:r>
      <w:r>
        <w:t xml:space="preserve"> </w:t>
      </w:r>
      <w:r>
        <w:rPr>
          <w:lang w:val="en-US"/>
        </w:rPr>
        <w:t xml:space="preserve">See below for more on law as a set of normative statements. </w:t>
      </w:r>
    </w:p>
  </w:footnote>
  <w:footnote w:id="59">
    <w:p w:rsidR="00787EC8" w:rsidRPr="007A3813" w:rsidRDefault="00787EC8" w:rsidP="00C12366">
      <w:pPr>
        <w:pStyle w:val="FootnoteText"/>
        <w:rPr>
          <w:lang w:val="en-US"/>
        </w:rPr>
      </w:pPr>
      <w:r>
        <w:rPr>
          <w:rStyle w:val="FootnoteReference"/>
        </w:rPr>
        <w:footnoteRef/>
      </w:r>
      <w:r>
        <w:t xml:space="preserve"> Congressional Research Service, ‘Selecting the World Bank President’ (8 February 2019) &lt; </w:t>
      </w:r>
      <w:r w:rsidRPr="00C03F96">
        <w:t>https://fas.org/sgp/crs/row/R42463.pdf</w:t>
      </w:r>
      <w:r>
        <w:t xml:space="preserve"> &gt; accessed on the 6 April 2019.</w:t>
      </w:r>
    </w:p>
  </w:footnote>
  <w:footnote w:id="60">
    <w:p w:rsidR="00787EC8" w:rsidRPr="0009613F" w:rsidRDefault="00787EC8" w:rsidP="00C12366">
      <w:pPr>
        <w:pStyle w:val="FootnoteText"/>
        <w:rPr>
          <w:lang w:val="en-US"/>
        </w:rPr>
      </w:pPr>
      <w:r>
        <w:rPr>
          <w:rStyle w:val="FootnoteReference"/>
        </w:rPr>
        <w:footnoteRef/>
      </w:r>
      <w:r>
        <w:t xml:space="preserve"> </w:t>
      </w:r>
      <w:r>
        <w:rPr>
          <w:lang w:val="en-US"/>
        </w:rPr>
        <w:t xml:space="preserve">F Nietzsche, </w:t>
      </w:r>
      <w:r>
        <w:rPr>
          <w:i/>
          <w:lang w:val="en-US"/>
        </w:rPr>
        <w:t xml:space="preserve">Thus Spoke Zarathustra: A book for all and none  </w:t>
      </w:r>
      <w:r>
        <w:rPr>
          <w:lang w:val="en-US"/>
        </w:rPr>
        <w:t>(Modern Library 1917) 49</w:t>
      </w:r>
    </w:p>
  </w:footnote>
  <w:footnote w:id="61">
    <w:p w:rsidR="00787EC8" w:rsidRPr="001D158A" w:rsidRDefault="00787EC8" w:rsidP="00C12366">
      <w:pPr>
        <w:pStyle w:val="FootnoteText"/>
        <w:rPr>
          <w:lang w:val="en-US"/>
        </w:rPr>
      </w:pPr>
      <w:r>
        <w:rPr>
          <w:rStyle w:val="FootnoteReference"/>
        </w:rPr>
        <w:footnoteRef/>
      </w:r>
      <w:r>
        <w:t xml:space="preserve"> </w:t>
      </w:r>
      <w:r>
        <w:rPr>
          <w:lang w:val="en-US"/>
        </w:rPr>
        <w:t xml:space="preserve">F Nietzsche, </w:t>
      </w:r>
      <w:r>
        <w:rPr>
          <w:i/>
          <w:lang w:val="en-US"/>
        </w:rPr>
        <w:t xml:space="preserve">Untimely Meditations </w:t>
      </w:r>
      <w:r>
        <w:rPr>
          <w:lang w:val="en-US"/>
        </w:rPr>
        <w:t>(</w:t>
      </w:r>
      <w:r w:rsidRPr="001D158A">
        <w:rPr>
          <w:lang w:val="en-US"/>
        </w:rPr>
        <w:t>Cambridge University Press 1983</w:t>
      </w:r>
      <w:r>
        <w:rPr>
          <w:lang w:val="en-US"/>
        </w:rPr>
        <w:t>) III 4</w:t>
      </w:r>
    </w:p>
  </w:footnote>
  <w:footnote w:id="62">
    <w:p w:rsidR="00787EC8" w:rsidRPr="009B7761" w:rsidRDefault="00787EC8" w:rsidP="00C12366">
      <w:pPr>
        <w:pStyle w:val="FootnoteText"/>
        <w:rPr>
          <w:lang w:val="en-US"/>
        </w:rPr>
      </w:pPr>
      <w:r>
        <w:rPr>
          <w:rStyle w:val="FootnoteReference"/>
        </w:rPr>
        <w:footnoteRef/>
      </w:r>
      <w:r w:rsidRPr="009B7761">
        <w:rPr>
          <w:i/>
        </w:rPr>
        <w:t xml:space="preserve"> </w:t>
      </w:r>
      <w:r w:rsidRPr="00BA17CC">
        <w:rPr>
          <w:i/>
          <w:lang w:val="en-US"/>
        </w:rPr>
        <w:t>ibid</w:t>
      </w:r>
    </w:p>
  </w:footnote>
  <w:footnote w:id="63">
    <w:p w:rsidR="00787EC8" w:rsidRPr="00353512" w:rsidRDefault="00787EC8" w:rsidP="00C12366">
      <w:pPr>
        <w:pStyle w:val="FootnoteText"/>
      </w:pPr>
      <w:r>
        <w:rPr>
          <w:rStyle w:val="FootnoteReference"/>
        </w:rPr>
        <w:footnoteRef/>
      </w:r>
      <w:r>
        <w:t xml:space="preserve"> M Weber, </w:t>
      </w:r>
      <w:r>
        <w:rPr>
          <w:i/>
        </w:rPr>
        <w:t>Economy and Society</w:t>
      </w:r>
      <w:r>
        <w:t xml:space="preserve"> (University of California Press 1922) 18</w:t>
      </w:r>
    </w:p>
  </w:footnote>
  <w:footnote w:id="64">
    <w:p w:rsidR="00787EC8" w:rsidRPr="00E72414" w:rsidRDefault="00787EC8" w:rsidP="00C12366">
      <w:pPr>
        <w:pStyle w:val="FootnoteText"/>
      </w:pPr>
      <w:r>
        <w:rPr>
          <w:rStyle w:val="FootnoteReference"/>
        </w:rPr>
        <w:footnoteRef/>
      </w:r>
      <w:r>
        <w:t xml:space="preserve"> K Popper, </w:t>
      </w:r>
      <w:proofErr w:type="gramStart"/>
      <w:r>
        <w:rPr>
          <w:i/>
        </w:rPr>
        <w:t>The</w:t>
      </w:r>
      <w:proofErr w:type="gramEnd"/>
      <w:r>
        <w:rPr>
          <w:i/>
        </w:rPr>
        <w:t xml:space="preserve"> Poverty of Historicism </w:t>
      </w:r>
      <w:r>
        <w:t xml:space="preserve">(Routledge 1960); F Hayek, </w:t>
      </w:r>
      <w:r>
        <w:rPr>
          <w:i/>
        </w:rPr>
        <w:t>Individualism and Economic Order</w:t>
      </w:r>
      <w:r>
        <w:t xml:space="preserve"> (University of Chicago Press 1948). </w:t>
      </w:r>
    </w:p>
  </w:footnote>
  <w:footnote w:id="65">
    <w:p w:rsidR="00787EC8" w:rsidRPr="00495E40" w:rsidRDefault="00787EC8">
      <w:pPr>
        <w:pStyle w:val="FootnoteText"/>
        <w:rPr>
          <w:lang w:val="en-US"/>
        </w:rPr>
      </w:pPr>
      <w:r>
        <w:rPr>
          <w:rStyle w:val="FootnoteReference"/>
        </w:rPr>
        <w:footnoteRef/>
      </w:r>
      <w:r>
        <w:t xml:space="preserve"> </w:t>
      </w:r>
      <w:r>
        <w:rPr>
          <w:lang w:val="en-US"/>
        </w:rPr>
        <w:t xml:space="preserve">C </w:t>
      </w:r>
      <w:proofErr w:type="spellStart"/>
      <w:r>
        <w:rPr>
          <w:lang w:val="en-US"/>
        </w:rPr>
        <w:t>Douzinas</w:t>
      </w:r>
      <w:proofErr w:type="spellEnd"/>
      <w:r>
        <w:rPr>
          <w:lang w:val="en-US"/>
        </w:rPr>
        <w:t>, ‘The Metaphysics of J</w:t>
      </w:r>
      <w:r w:rsidRPr="005E4317">
        <w:rPr>
          <w:lang w:val="en-US"/>
        </w:rPr>
        <w:t>urisdiction</w:t>
      </w:r>
      <w:r>
        <w:rPr>
          <w:lang w:val="en-US"/>
        </w:rPr>
        <w:t>’ in S McVeigh(</w:t>
      </w:r>
      <w:proofErr w:type="spellStart"/>
      <w:r>
        <w:rPr>
          <w:lang w:val="en-US"/>
        </w:rPr>
        <w:t>ed</w:t>
      </w:r>
      <w:proofErr w:type="spellEnd"/>
      <w:r>
        <w:rPr>
          <w:lang w:val="en-US"/>
        </w:rPr>
        <w:t xml:space="preserve">), </w:t>
      </w:r>
      <w:r w:rsidRPr="005E4317">
        <w:rPr>
          <w:i/>
          <w:lang w:val="en-US"/>
        </w:rPr>
        <w:t>Jurisprudence of Jurisdiction</w:t>
      </w:r>
      <w:r>
        <w:rPr>
          <w:lang w:val="en-US"/>
        </w:rPr>
        <w:t xml:space="preserve"> (Routledge-Cavendish 2007)</w:t>
      </w:r>
    </w:p>
  </w:footnote>
  <w:footnote w:id="66">
    <w:p w:rsidR="00787EC8" w:rsidRPr="00A24D41" w:rsidRDefault="00787EC8">
      <w:pPr>
        <w:pStyle w:val="FootnoteText"/>
        <w:rPr>
          <w:i/>
          <w:lang w:val="en-US"/>
        </w:rPr>
      </w:pPr>
      <w:r>
        <w:rPr>
          <w:rStyle w:val="FootnoteReference"/>
        </w:rPr>
        <w:footnoteRef/>
      </w:r>
      <w:r>
        <w:t xml:space="preserve"> </w:t>
      </w:r>
      <w:r>
        <w:rPr>
          <w:i/>
        </w:rPr>
        <w:t xml:space="preserve">ibid </w:t>
      </w:r>
      <w:r>
        <w:t>at 21</w:t>
      </w:r>
      <w:r>
        <w:rPr>
          <w:i/>
        </w:rPr>
        <w:t xml:space="preserve"> </w:t>
      </w:r>
    </w:p>
  </w:footnote>
  <w:footnote w:id="67">
    <w:p w:rsidR="00787EC8" w:rsidRPr="00630546" w:rsidRDefault="00787EC8">
      <w:pPr>
        <w:pStyle w:val="FootnoteText"/>
        <w:rPr>
          <w:lang w:val="en-US"/>
        </w:rPr>
      </w:pPr>
      <w:r>
        <w:rPr>
          <w:rStyle w:val="FootnoteReference"/>
        </w:rPr>
        <w:footnoteRef/>
      </w:r>
      <w:r>
        <w:t xml:space="preserve"> </w:t>
      </w:r>
      <w:proofErr w:type="spellStart"/>
      <w:r>
        <w:rPr>
          <w:lang w:val="en-US"/>
        </w:rPr>
        <w:t>Douzinas</w:t>
      </w:r>
      <w:proofErr w:type="spellEnd"/>
      <w:r>
        <w:rPr>
          <w:lang w:val="en-US"/>
        </w:rPr>
        <w:t xml:space="preserve"> (no 65) 22</w:t>
      </w:r>
    </w:p>
  </w:footnote>
  <w:footnote w:id="68">
    <w:p w:rsidR="00787EC8" w:rsidRPr="00885B92" w:rsidRDefault="00787EC8">
      <w:pPr>
        <w:pStyle w:val="FootnoteText"/>
        <w:rPr>
          <w:lang w:val="en-US"/>
        </w:rPr>
      </w:pPr>
      <w:r>
        <w:rPr>
          <w:rStyle w:val="FootnoteReference"/>
        </w:rPr>
        <w:footnoteRef/>
      </w:r>
      <w:r>
        <w:t xml:space="preserve"> </w:t>
      </w:r>
      <w:r>
        <w:rPr>
          <w:lang w:val="en-US"/>
        </w:rPr>
        <w:t>ibid</w:t>
      </w:r>
    </w:p>
  </w:footnote>
  <w:footnote w:id="69">
    <w:p w:rsidR="00787EC8" w:rsidRPr="00296A9D" w:rsidRDefault="00787EC8" w:rsidP="00875D72">
      <w:pPr>
        <w:pStyle w:val="FootnoteText"/>
        <w:rPr>
          <w:color w:val="000000" w:themeColor="text1"/>
          <w:lang w:val="en-US"/>
        </w:rPr>
      </w:pPr>
      <w:r w:rsidRPr="00296A9D">
        <w:rPr>
          <w:rStyle w:val="FootnoteReference"/>
          <w:color w:val="000000" w:themeColor="text1"/>
        </w:rPr>
        <w:footnoteRef/>
      </w:r>
      <w:r w:rsidRPr="00296A9D">
        <w:rPr>
          <w:color w:val="000000" w:themeColor="text1"/>
        </w:rPr>
        <w:t xml:space="preserve"> AV Dicey, </w:t>
      </w:r>
      <w:proofErr w:type="gramStart"/>
      <w:r w:rsidRPr="00296A9D">
        <w:rPr>
          <w:i/>
          <w:iCs/>
          <w:color w:val="000000" w:themeColor="text1"/>
        </w:rPr>
        <w:t>An</w:t>
      </w:r>
      <w:proofErr w:type="gramEnd"/>
      <w:r w:rsidRPr="00296A9D">
        <w:rPr>
          <w:i/>
          <w:iCs/>
          <w:color w:val="000000" w:themeColor="text1"/>
        </w:rPr>
        <w:t xml:space="preserve"> Introduction to the Study of the Law of the Constitution </w:t>
      </w:r>
      <w:r w:rsidRPr="00296A9D">
        <w:rPr>
          <w:color w:val="000000" w:themeColor="text1"/>
        </w:rPr>
        <w:t>(London 1959).</w:t>
      </w:r>
    </w:p>
  </w:footnote>
  <w:footnote w:id="70">
    <w:p w:rsidR="00787EC8" w:rsidRPr="00885B92" w:rsidRDefault="00787EC8">
      <w:pPr>
        <w:pStyle w:val="FootnoteText"/>
        <w:rPr>
          <w:lang w:val="en-US"/>
        </w:rPr>
      </w:pPr>
      <w:r>
        <w:rPr>
          <w:rStyle w:val="FootnoteReference"/>
        </w:rPr>
        <w:footnoteRef/>
      </w:r>
      <w:r>
        <w:t xml:space="preserve"> NW Barber, ‘</w:t>
      </w:r>
      <w:r w:rsidRPr="00725CFC">
        <w:t>The afterlife of Parliamentary sovereignty</w:t>
      </w:r>
      <w:r>
        <w:t xml:space="preserve">’ (2011) 9(1) </w:t>
      </w:r>
      <w:r w:rsidRPr="00725CFC">
        <w:t>International Journal of Constitutional Law</w:t>
      </w:r>
      <w:r>
        <w:t xml:space="preserve"> 144; J Goldsworthy, </w:t>
      </w:r>
      <w:r w:rsidRPr="00885B92">
        <w:rPr>
          <w:i/>
        </w:rPr>
        <w:t>The Sovereignty Of Parliament: History and Philosophy</w:t>
      </w:r>
      <w:r>
        <w:t xml:space="preserve"> (Oxford University Press 2001); </w:t>
      </w:r>
    </w:p>
  </w:footnote>
  <w:footnote w:id="71">
    <w:p w:rsidR="00787EC8" w:rsidRPr="00885B92" w:rsidRDefault="00787EC8">
      <w:pPr>
        <w:pStyle w:val="FootnoteText"/>
        <w:rPr>
          <w:lang w:val="en-US"/>
        </w:rPr>
      </w:pPr>
      <w:r>
        <w:rPr>
          <w:rStyle w:val="FootnoteReference"/>
        </w:rPr>
        <w:footnoteRef/>
      </w:r>
      <w:r>
        <w:t xml:space="preserve"> V </w:t>
      </w:r>
      <w:proofErr w:type="spellStart"/>
      <w:r>
        <w:t>Bogdanor</w:t>
      </w:r>
      <w:proofErr w:type="spellEnd"/>
      <w:r>
        <w:t xml:space="preserve">, </w:t>
      </w:r>
      <w:r w:rsidRPr="00885B92">
        <w:rPr>
          <w:i/>
        </w:rPr>
        <w:t>The New British Constitution</w:t>
      </w:r>
      <w:r>
        <w:t xml:space="preserve"> (Bloomsbury 2009)</w:t>
      </w:r>
    </w:p>
  </w:footnote>
  <w:footnote w:id="72">
    <w:p w:rsidR="00787EC8" w:rsidRPr="00A2513D" w:rsidRDefault="00787EC8">
      <w:pPr>
        <w:pStyle w:val="FootnoteText"/>
        <w:rPr>
          <w:lang w:val="en-US"/>
        </w:rPr>
      </w:pPr>
      <w:r>
        <w:rPr>
          <w:rStyle w:val="FootnoteReference"/>
        </w:rPr>
        <w:footnoteRef/>
      </w:r>
      <w:r>
        <w:t xml:space="preserve"> </w:t>
      </w:r>
      <w:r w:rsidRPr="00296A9D">
        <w:rPr>
          <w:color w:val="000000" w:themeColor="text1"/>
          <w:lang w:val="en-US"/>
        </w:rPr>
        <w:t xml:space="preserve">M Johnson, ‘Models of Parliamentary Sovereignty’ (University of Bristol Law School Blog, 4 December 2017) &lt; https://legalresearch.blogs.bris.ac.uk/2017/12/the-models-of-parliamentary-sovereignty/&gt; accessed on the </w:t>
      </w:r>
      <w:r>
        <w:rPr>
          <w:color w:val="000000" w:themeColor="text1"/>
          <w:lang w:val="en-US"/>
        </w:rPr>
        <w:t>24 October 2019</w:t>
      </w:r>
    </w:p>
  </w:footnote>
  <w:footnote w:id="73">
    <w:p w:rsidR="00787EC8" w:rsidRPr="00885B92" w:rsidRDefault="00787EC8">
      <w:pPr>
        <w:pStyle w:val="FootnoteText"/>
        <w:rPr>
          <w:lang w:val="en-US"/>
        </w:rPr>
      </w:pPr>
      <w:r>
        <w:rPr>
          <w:rStyle w:val="FootnoteReference"/>
        </w:rPr>
        <w:footnoteRef/>
      </w:r>
      <w:r>
        <w:t xml:space="preserve"> HWR Wade, ‘</w:t>
      </w:r>
      <w:r w:rsidRPr="00725CFC">
        <w:t>The Basis of Legal Sovereignty</w:t>
      </w:r>
      <w:r>
        <w:t>’ (1955) 13(2)</w:t>
      </w:r>
      <w:r w:rsidRPr="00725CFC">
        <w:t xml:space="preserve"> The Cambridge Law Journal</w:t>
      </w:r>
      <w:r>
        <w:t xml:space="preserve"> 172; for an interesting opinion on Wade and </w:t>
      </w:r>
      <w:proofErr w:type="spellStart"/>
      <w:r>
        <w:t>Heuston</w:t>
      </w:r>
      <w:proofErr w:type="spellEnd"/>
      <w:r>
        <w:t xml:space="preserve"> see Barber (no 70), </w:t>
      </w:r>
    </w:p>
  </w:footnote>
  <w:footnote w:id="74">
    <w:p w:rsidR="00787EC8" w:rsidRPr="00885B92" w:rsidRDefault="00787EC8" w:rsidP="00300255">
      <w:pPr>
        <w:pStyle w:val="FootnoteText"/>
        <w:rPr>
          <w:lang w:val="en-US"/>
        </w:rPr>
      </w:pPr>
      <w:r>
        <w:rPr>
          <w:rStyle w:val="FootnoteReference"/>
        </w:rPr>
        <w:footnoteRef/>
      </w:r>
      <w:r>
        <w:t xml:space="preserve"> HWR Wade, </w:t>
      </w:r>
      <w:r w:rsidRPr="00885B92">
        <w:rPr>
          <w:i/>
        </w:rPr>
        <w:t>Constitutional Fundamentals</w:t>
      </w:r>
      <w:r>
        <w:rPr>
          <w:i/>
        </w:rPr>
        <w:t xml:space="preserve"> </w:t>
      </w:r>
      <w:r>
        <w:t>(The Hamlyn Lectures: Thirty-Second Series, Stevens 1980)</w:t>
      </w:r>
    </w:p>
  </w:footnote>
  <w:footnote w:id="75">
    <w:p w:rsidR="00787EC8" w:rsidRPr="00296A9D" w:rsidRDefault="00787EC8" w:rsidP="00875D72">
      <w:pPr>
        <w:pStyle w:val="FootnoteText"/>
        <w:rPr>
          <w:color w:val="000000" w:themeColor="text1"/>
          <w:lang w:val="en-US"/>
        </w:rPr>
      </w:pPr>
      <w:r w:rsidRPr="00296A9D">
        <w:rPr>
          <w:rStyle w:val="FootnoteReference"/>
          <w:color w:val="000000" w:themeColor="text1"/>
        </w:rPr>
        <w:footnoteRef/>
      </w:r>
      <w:r w:rsidRPr="00296A9D">
        <w:rPr>
          <w:color w:val="000000" w:themeColor="text1"/>
        </w:rPr>
        <w:t xml:space="preserve"> </w:t>
      </w:r>
      <w:r>
        <w:rPr>
          <w:color w:val="000000" w:themeColor="text1"/>
        </w:rPr>
        <w:t>A great deal of credit is offered her to Prof M Elliot and Prof R Thomas as these models are inspired by, and in deference to</w:t>
      </w:r>
      <w:r w:rsidRPr="00296A9D">
        <w:rPr>
          <w:color w:val="000000" w:themeColor="text1"/>
        </w:rPr>
        <w:t xml:space="preserve"> M Elliott and R Thomas, </w:t>
      </w:r>
      <w:r w:rsidRPr="00296A9D">
        <w:rPr>
          <w:i/>
          <w:color w:val="000000" w:themeColor="text1"/>
        </w:rPr>
        <w:t>Public Law</w:t>
      </w:r>
      <w:r w:rsidRPr="00296A9D">
        <w:rPr>
          <w:color w:val="000000" w:themeColor="text1"/>
        </w:rPr>
        <w:t xml:space="preserve"> (3rd </w:t>
      </w:r>
      <w:proofErr w:type="spellStart"/>
      <w:r w:rsidRPr="00296A9D">
        <w:rPr>
          <w:color w:val="000000" w:themeColor="text1"/>
        </w:rPr>
        <w:t>edn</w:t>
      </w:r>
      <w:proofErr w:type="spellEnd"/>
      <w:r w:rsidRPr="00296A9D">
        <w:rPr>
          <w:color w:val="000000" w:themeColor="text1"/>
        </w:rPr>
        <w:t>, OUP 2017)</w:t>
      </w:r>
    </w:p>
  </w:footnote>
  <w:footnote w:id="76">
    <w:p w:rsidR="00787EC8" w:rsidRPr="00296A9D" w:rsidRDefault="00787EC8" w:rsidP="00875D72">
      <w:pPr>
        <w:pStyle w:val="FootnoteText"/>
        <w:rPr>
          <w:color w:val="000000" w:themeColor="text1"/>
          <w:lang w:val="en-US"/>
        </w:rPr>
      </w:pPr>
      <w:r w:rsidRPr="00296A9D">
        <w:rPr>
          <w:rStyle w:val="FootnoteReference"/>
          <w:color w:val="000000" w:themeColor="text1"/>
        </w:rPr>
        <w:footnoteRef/>
      </w:r>
      <w:r w:rsidRPr="00296A9D">
        <w:rPr>
          <w:color w:val="000000" w:themeColor="text1"/>
        </w:rPr>
        <w:t xml:space="preserve"> The following paragraphs contain </w:t>
      </w:r>
      <w:r>
        <w:rPr>
          <w:color w:val="000000" w:themeColor="text1"/>
        </w:rPr>
        <w:t xml:space="preserve">some </w:t>
      </w:r>
      <w:r w:rsidRPr="00296A9D">
        <w:rPr>
          <w:color w:val="000000" w:themeColor="text1"/>
        </w:rPr>
        <w:t xml:space="preserve">comments that </w:t>
      </w:r>
      <w:r w:rsidRPr="00296A9D">
        <w:rPr>
          <w:color w:val="000000" w:themeColor="text1"/>
          <w:lang w:val="en-US"/>
        </w:rPr>
        <w:t xml:space="preserve">I have previously made relating to the limitation of theories on the sovereign powers of Parliament in M Johnson, ‘Models of Parliamentary Sovereignty’ (University of Bristol Law School Blog, 4 December 2017) &lt; https://legalresearch.blogs.bris.ac.uk/2017/12/the-models-of-parliamentary-sovereignty/&gt; accessed on the 24 </w:t>
      </w:r>
      <w:r>
        <w:rPr>
          <w:color w:val="000000" w:themeColor="text1"/>
          <w:lang w:val="en-US"/>
        </w:rPr>
        <w:t>October 2019</w:t>
      </w:r>
    </w:p>
  </w:footnote>
  <w:footnote w:id="77">
    <w:p w:rsidR="00787EC8" w:rsidRPr="00A10048" w:rsidRDefault="00787EC8">
      <w:pPr>
        <w:pStyle w:val="FootnoteText"/>
        <w:rPr>
          <w:lang w:val="en-US"/>
        </w:rPr>
      </w:pPr>
      <w:r>
        <w:rPr>
          <w:rStyle w:val="FootnoteReference"/>
        </w:rPr>
        <w:footnoteRef/>
      </w:r>
      <w:r>
        <w:t xml:space="preserve"> </w:t>
      </w:r>
      <w:r w:rsidRPr="00554752">
        <w:t>Allison</w:t>
      </w:r>
      <w:hyperlink w:history="1"/>
      <w:r>
        <w:t xml:space="preserve"> (no 19)</w:t>
      </w:r>
    </w:p>
  </w:footnote>
  <w:footnote w:id="78">
    <w:p w:rsidR="00787EC8" w:rsidRPr="00296A9D" w:rsidRDefault="00787EC8" w:rsidP="00875D72">
      <w:pPr>
        <w:pStyle w:val="FootnoteText"/>
        <w:rPr>
          <w:color w:val="000000" w:themeColor="text1"/>
          <w:lang w:val="en-US"/>
        </w:rPr>
      </w:pPr>
      <w:r w:rsidRPr="00296A9D">
        <w:rPr>
          <w:rStyle w:val="FootnoteReference"/>
          <w:color w:val="000000" w:themeColor="text1"/>
        </w:rPr>
        <w:footnoteRef/>
      </w:r>
      <w:r w:rsidRPr="00296A9D">
        <w:rPr>
          <w:color w:val="000000" w:themeColor="text1"/>
        </w:rPr>
        <w:t xml:space="preserve"> See </w:t>
      </w:r>
      <w:r w:rsidRPr="006A18DD">
        <w:rPr>
          <w:i/>
          <w:color w:val="000000" w:themeColor="text1"/>
        </w:rPr>
        <w:t xml:space="preserve">Ellen Street Estates Ltd v Minister of Health </w:t>
      </w:r>
      <w:r w:rsidRPr="00296A9D">
        <w:rPr>
          <w:color w:val="000000" w:themeColor="text1"/>
        </w:rPr>
        <w:t xml:space="preserve">[1934] 1 KB 590 </w:t>
      </w:r>
      <w:r w:rsidRPr="006A18DD">
        <w:rPr>
          <w:i/>
          <w:color w:val="000000" w:themeColor="text1"/>
        </w:rPr>
        <w:t xml:space="preserve">R v Secretary of State for Transport, ex parte </w:t>
      </w:r>
      <w:proofErr w:type="spellStart"/>
      <w:r w:rsidRPr="006A18DD">
        <w:rPr>
          <w:i/>
          <w:color w:val="000000" w:themeColor="text1"/>
        </w:rPr>
        <w:t>Factortame</w:t>
      </w:r>
      <w:proofErr w:type="spellEnd"/>
      <w:r w:rsidRPr="00296A9D">
        <w:rPr>
          <w:color w:val="000000" w:themeColor="text1"/>
        </w:rPr>
        <w:t xml:space="preserve"> (No 2) [1991] 1 AC 603.</w:t>
      </w:r>
    </w:p>
  </w:footnote>
  <w:footnote w:id="79">
    <w:p w:rsidR="00787EC8" w:rsidRPr="00834176" w:rsidRDefault="00787EC8">
      <w:pPr>
        <w:pStyle w:val="FootnoteText"/>
        <w:rPr>
          <w:lang w:val="en-US"/>
        </w:rPr>
      </w:pPr>
      <w:r>
        <w:rPr>
          <w:rStyle w:val="FootnoteReference"/>
        </w:rPr>
        <w:footnoteRef/>
      </w:r>
      <w:r>
        <w:t xml:space="preserve"> </w:t>
      </w:r>
      <w:r>
        <w:rPr>
          <w:lang w:val="en-US"/>
        </w:rPr>
        <w:t xml:space="preserve">This sentence amalgamates positions from the earlier mentioned works of Mises, Nietzsche and </w:t>
      </w:r>
      <w:proofErr w:type="spellStart"/>
      <w:r>
        <w:rPr>
          <w:lang w:val="en-US"/>
        </w:rPr>
        <w:t>Douzinas</w:t>
      </w:r>
      <w:proofErr w:type="spellEnd"/>
      <w:r>
        <w:rPr>
          <w:lang w:val="en-US"/>
        </w:rPr>
        <w:t xml:space="preserve">.  </w:t>
      </w:r>
    </w:p>
  </w:footnote>
  <w:footnote w:id="80">
    <w:p w:rsidR="00787EC8" w:rsidRPr="00885B92" w:rsidRDefault="00787EC8">
      <w:pPr>
        <w:pStyle w:val="FootnoteText"/>
        <w:rPr>
          <w:lang w:val="en-US"/>
        </w:rPr>
      </w:pPr>
      <w:r>
        <w:rPr>
          <w:rStyle w:val="FootnoteReference"/>
        </w:rPr>
        <w:footnoteRef/>
      </w:r>
      <w:r>
        <w:t xml:space="preserve"> </w:t>
      </w:r>
      <w:r>
        <w:rPr>
          <w:lang w:val="en-US"/>
        </w:rPr>
        <w:t xml:space="preserve">Scotland Act 1998, Part 2A; </w:t>
      </w:r>
      <w:r w:rsidRPr="008C0230">
        <w:rPr>
          <w:lang w:val="en-US"/>
        </w:rPr>
        <w:t>Government of Wales Act 2006</w:t>
      </w:r>
      <w:r>
        <w:rPr>
          <w:lang w:val="en-US"/>
        </w:rPr>
        <w:t>, Part A1</w:t>
      </w:r>
    </w:p>
  </w:footnote>
  <w:footnote w:id="81">
    <w:p w:rsidR="00787EC8" w:rsidRPr="00885B92" w:rsidRDefault="00787EC8" w:rsidP="008C0230">
      <w:pPr>
        <w:pStyle w:val="FootnoteText"/>
        <w:rPr>
          <w:lang w:val="en-US"/>
        </w:rPr>
      </w:pPr>
      <w:r>
        <w:rPr>
          <w:rStyle w:val="FootnoteReference"/>
        </w:rPr>
        <w:footnoteRef/>
      </w:r>
      <w:r>
        <w:t xml:space="preserve"> House of Commons Foreign Affairs Committee, </w:t>
      </w:r>
      <w:r w:rsidRPr="00885B92">
        <w:rPr>
          <w:i/>
        </w:rPr>
        <w:t>Global Britain and the British Overseas Territories: Resetting the relationship</w:t>
      </w:r>
      <w:r>
        <w:rPr>
          <w:i/>
        </w:rPr>
        <w:t>:</w:t>
      </w:r>
      <w:r w:rsidRPr="008C0230">
        <w:t xml:space="preserve"> </w:t>
      </w:r>
      <w:r w:rsidRPr="008C0230">
        <w:rPr>
          <w:i/>
        </w:rPr>
        <w:t>Fift</w:t>
      </w:r>
      <w:r>
        <w:rPr>
          <w:i/>
        </w:rPr>
        <w:t>eenth Report of Session 2017–19</w:t>
      </w:r>
      <w:r>
        <w:t xml:space="preserve"> (HC1464 2019) </w:t>
      </w:r>
    </w:p>
  </w:footnote>
  <w:footnote w:id="82">
    <w:p w:rsidR="00787EC8" w:rsidRPr="00387129" w:rsidRDefault="00787EC8" w:rsidP="008B1DBF">
      <w:pPr>
        <w:pStyle w:val="FootnoteText"/>
        <w:rPr>
          <w:lang w:val="en-US"/>
        </w:rPr>
      </w:pPr>
      <w:r>
        <w:rPr>
          <w:rStyle w:val="FootnoteReference"/>
        </w:rPr>
        <w:footnoteRef/>
      </w:r>
      <w:r>
        <w:t xml:space="preserve"> </w:t>
      </w:r>
      <w:r>
        <w:rPr>
          <w:lang w:val="en-US"/>
        </w:rPr>
        <w:t xml:space="preserve">L von Mises, </w:t>
      </w:r>
      <w:r>
        <w:rPr>
          <w:i/>
          <w:lang w:val="en-US"/>
        </w:rPr>
        <w:t>Theory and History: An interpretation of social and economic evolution</w:t>
      </w:r>
      <w:r>
        <w:rPr>
          <w:lang w:val="en-US"/>
        </w:rPr>
        <w:t xml:space="preserve"> (Ludwig von Mises Institute 2007) 251</w:t>
      </w:r>
    </w:p>
  </w:footnote>
  <w:footnote w:id="83">
    <w:p w:rsidR="00787EC8" w:rsidRPr="00296A9D" w:rsidRDefault="00787EC8" w:rsidP="00875D72">
      <w:pPr>
        <w:pStyle w:val="FootnoteText"/>
        <w:rPr>
          <w:color w:val="000000" w:themeColor="text1"/>
          <w:lang w:val="en-US"/>
        </w:rPr>
      </w:pPr>
      <w:r w:rsidRPr="00296A9D">
        <w:rPr>
          <w:rStyle w:val="FootnoteReference"/>
          <w:color w:val="000000" w:themeColor="text1"/>
        </w:rPr>
        <w:footnoteRef/>
      </w:r>
      <w:r w:rsidRPr="00296A9D">
        <w:rPr>
          <w:color w:val="000000" w:themeColor="text1"/>
        </w:rPr>
        <w:t xml:space="preserve"> [2002] EWHC 195</w:t>
      </w:r>
    </w:p>
  </w:footnote>
  <w:footnote w:id="84">
    <w:p w:rsidR="00787EC8" w:rsidRPr="00296A9D" w:rsidRDefault="00787EC8" w:rsidP="00875D72">
      <w:pPr>
        <w:pStyle w:val="FootnoteText"/>
        <w:rPr>
          <w:color w:val="000000" w:themeColor="text1"/>
          <w:lang w:val="en-US"/>
        </w:rPr>
      </w:pPr>
      <w:r w:rsidRPr="00296A9D">
        <w:rPr>
          <w:rStyle w:val="FootnoteReference"/>
          <w:color w:val="000000" w:themeColor="text1"/>
        </w:rPr>
        <w:footnoteRef/>
      </w:r>
      <w:r w:rsidRPr="00296A9D">
        <w:rPr>
          <w:color w:val="000000" w:themeColor="text1"/>
        </w:rPr>
        <w:t xml:space="preserve"> [2003] EWCA </w:t>
      </w:r>
      <w:proofErr w:type="spellStart"/>
      <w:r w:rsidRPr="00296A9D">
        <w:rPr>
          <w:color w:val="000000" w:themeColor="text1"/>
        </w:rPr>
        <w:t>Civ</w:t>
      </w:r>
      <w:proofErr w:type="spellEnd"/>
      <w:r w:rsidRPr="00296A9D">
        <w:rPr>
          <w:color w:val="000000" w:themeColor="text1"/>
        </w:rPr>
        <w:t xml:space="preserve"> 384</w:t>
      </w:r>
    </w:p>
  </w:footnote>
  <w:footnote w:id="85">
    <w:p w:rsidR="00787EC8" w:rsidRPr="00885B92" w:rsidRDefault="00787EC8" w:rsidP="001F4F74">
      <w:pPr>
        <w:pStyle w:val="FootnoteText"/>
        <w:rPr>
          <w:lang w:val="en-US"/>
        </w:rPr>
      </w:pPr>
      <w:r>
        <w:rPr>
          <w:rStyle w:val="FootnoteReference"/>
        </w:rPr>
        <w:footnoteRef/>
      </w:r>
      <w:r>
        <w:t xml:space="preserve"> </w:t>
      </w:r>
      <w:r>
        <w:rPr>
          <w:lang w:val="en-US"/>
        </w:rPr>
        <w:t xml:space="preserve">Although, </w:t>
      </w:r>
      <w:proofErr w:type="spellStart"/>
      <w:r>
        <w:rPr>
          <w:lang w:val="en-US"/>
        </w:rPr>
        <w:t>Finnis</w:t>
      </w:r>
      <w:proofErr w:type="spellEnd"/>
      <w:r>
        <w:rPr>
          <w:lang w:val="en-US"/>
        </w:rPr>
        <w:t xml:space="preserve"> may argue that the judges’ role is this level of politico-legal debate has gone too far: J</w:t>
      </w:r>
      <w:r w:rsidRPr="001F4F74">
        <w:rPr>
          <w:lang w:val="en-US"/>
        </w:rPr>
        <w:t xml:space="preserve"> </w:t>
      </w:r>
      <w:proofErr w:type="spellStart"/>
      <w:r w:rsidRPr="001F4F74">
        <w:rPr>
          <w:lang w:val="en-US"/>
        </w:rPr>
        <w:t>Finnis</w:t>
      </w:r>
      <w:proofErr w:type="spellEnd"/>
      <w:r>
        <w:rPr>
          <w:lang w:val="en-US"/>
        </w:rPr>
        <w:t xml:space="preserve">, </w:t>
      </w:r>
      <w:r w:rsidRPr="00885B92">
        <w:rPr>
          <w:i/>
          <w:lang w:val="en-US"/>
        </w:rPr>
        <w:t xml:space="preserve">The unconstitutionality of the Supreme Court’s prorogation judgment </w:t>
      </w:r>
      <w:r>
        <w:rPr>
          <w:lang w:val="en-US"/>
        </w:rPr>
        <w:t>(</w:t>
      </w:r>
      <w:r>
        <w:t>Policy Exchange</w:t>
      </w:r>
      <w:r>
        <w:rPr>
          <w:lang w:val="en-US"/>
        </w:rPr>
        <w:t xml:space="preserve"> 2019) </w:t>
      </w:r>
    </w:p>
  </w:footnote>
  <w:footnote w:id="86">
    <w:p w:rsidR="00787EC8" w:rsidRPr="00885B92" w:rsidRDefault="00787EC8">
      <w:pPr>
        <w:pStyle w:val="FootnoteText"/>
        <w:rPr>
          <w:lang w:val="en-US"/>
        </w:rPr>
      </w:pPr>
      <w:r>
        <w:rPr>
          <w:rStyle w:val="FootnoteReference"/>
        </w:rPr>
        <w:footnoteRef/>
      </w:r>
      <w:r>
        <w:t xml:space="preserve"> There are some very interesting positions on this point in J</w:t>
      </w:r>
      <w:r w:rsidRPr="00FD1145">
        <w:t xml:space="preserve"> </w:t>
      </w:r>
      <w:proofErr w:type="spellStart"/>
      <w:r w:rsidRPr="00FD1145">
        <w:t>McConalogue</w:t>
      </w:r>
      <w:proofErr w:type="spellEnd"/>
      <w:r>
        <w:t>,</w:t>
      </w:r>
      <w:r w:rsidRPr="00FD1145">
        <w:t xml:space="preserve"> </w:t>
      </w:r>
      <w:r w:rsidRPr="00885B92">
        <w:rPr>
          <w:i/>
        </w:rPr>
        <w:t>The British Constitution Resettled: Parliamentary Sovereignty Before and After Brexit</w:t>
      </w:r>
      <w:r>
        <w:t xml:space="preserve"> (Palgrave Macmillan 2020) </w:t>
      </w:r>
    </w:p>
  </w:footnote>
  <w:footnote w:id="87">
    <w:p w:rsidR="00787EC8" w:rsidRPr="00885B92" w:rsidRDefault="00787EC8">
      <w:pPr>
        <w:pStyle w:val="FootnoteText"/>
        <w:rPr>
          <w:lang w:val="en-US"/>
        </w:rPr>
      </w:pPr>
      <w:r>
        <w:rPr>
          <w:rStyle w:val="FootnoteReference"/>
        </w:rPr>
        <w:footnoteRef/>
      </w:r>
      <w:r>
        <w:t xml:space="preserve"> </w:t>
      </w:r>
      <w:r>
        <w:rPr>
          <w:lang w:val="en-US"/>
        </w:rPr>
        <w:t xml:space="preserve">European Union (Withdrawal) Act 2018, ss1, 2-7, 25, </w:t>
      </w:r>
      <w:proofErr w:type="spellStart"/>
      <w:r>
        <w:rPr>
          <w:lang w:val="en-US"/>
        </w:rPr>
        <w:t>Sch</w:t>
      </w:r>
      <w:proofErr w:type="spellEnd"/>
      <w:r>
        <w:rPr>
          <w:lang w:val="en-US"/>
        </w:rPr>
        <w:t xml:space="preserve"> 1 and 8; European Union (Withdrawal Agreement) Act 2020 ss1, 2, 25, 36</w:t>
      </w:r>
      <w:r w:rsidRPr="007123EB">
        <w:rPr>
          <w:lang w:val="en-US"/>
        </w:rPr>
        <w:t>, 42(7)</w:t>
      </w:r>
      <w:r>
        <w:rPr>
          <w:lang w:val="en-US"/>
        </w:rPr>
        <w:t xml:space="preserve">, </w:t>
      </w:r>
      <w:proofErr w:type="spellStart"/>
      <w:r>
        <w:rPr>
          <w:lang w:val="en-US"/>
        </w:rPr>
        <w:t>Sch</w:t>
      </w:r>
      <w:proofErr w:type="spellEnd"/>
      <w:r>
        <w:rPr>
          <w:lang w:val="en-US"/>
        </w:rPr>
        <w:t xml:space="preserve"> 5; </w:t>
      </w:r>
      <w:r w:rsidRPr="009C3A8E">
        <w:rPr>
          <w:lang w:val="en-US"/>
        </w:rPr>
        <w:t>The European Union (Withdrawal) Act 2018 (Commencement No. 4) Regulations 2019</w:t>
      </w:r>
      <w:r>
        <w:rPr>
          <w:lang w:val="en-US"/>
        </w:rPr>
        <w:t xml:space="preserve">; and, </w:t>
      </w:r>
      <w:r w:rsidRPr="009C3A8E">
        <w:rPr>
          <w:lang w:val="en-US"/>
        </w:rPr>
        <w:t>The European Union (Withdrawal Agreement) Act 2020 (Commencement No. 1) Regulations 2020</w:t>
      </w:r>
    </w:p>
  </w:footnote>
  <w:footnote w:id="88">
    <w:p w:rsidR="00787EC8" w:rsidRDefault="00787EC8" w:rsidP="007357B7">
      <w:pPr>
        <w:pStyle w:val="FootnoteText"/>
      </w:pPr>
      <w:r>
        <w:rPr>
          <w:rStyle w:val="FootnoteReference"/>
        </w:rPr>
        <w:footnoteRef/>
      </w:r>
      <w:r>
        <w:t xml:space="preserve"> C</w:t>
      </w:r>
      <w:r w:rsidRPr="007357B7">
        <w:t xml:space="preserve"> Burke, ÓÍ </w:t>
      </w:r>
      <w:proofErr w:type="spellStart"/>
      <w:r w:rsidRPr="007357B7">
        <w:t>Hannesson</w:t>
      </w:r>
      <w:proofErr w:type="spellEnd"/>
      <w:r>
        <w:t xml:space="preserve"> and</w:t>
      </w:r>
      <w:r w:rsidRPr="007357B7">
        <w:t xml:space="preserve"> K</w:t>
      </w:r>
      <w:r>
        <w:t xml:space="preserve"> </w:t>
      </w:r>
      <w:proofErr w:type="spellStart"/>
      <w:r>
        <w:t>Bangsund</w:t>
      </w:r>
      <w:proofErr w:type="spellEnd"/>
      <w:r>
        <w:t>, ‘Life on the Edge: EFTA and the EEA as a Future for the UK in</w:t>
      </w:r>
    </w:p>
    <w:p w:rsidR="00787EC8" w:rsidRPr="00885B92" w:rsidRDefault="00787EC8" w:rsidP="007357B7">
      <w:pPr>
        <w:pStyle w:val="FootnoteText"/>
        <w:rPr>
          <w:lang w:val="en-US"/>
        </w:rPr>
      </w:pPr>
      <w:r>
        <w:t xml:space="preserve">Europe’ (2016) 22(1) </w:t>
      </w:r>
      <w:proofErr w:type="spellStart"/>
      <w:r>
        <w:t>Eropean</w:t>
      </w:r>
      <w:proofErr w:type="spellEnd"/>
      <w:r>
        <w:t xml:space="preserve"> Public Law 69</w:t>
      </w:r>
    </w:p>
  </w:footnote>
  <w:footnote w:id="89">
    <w:p w:rsidR="00787EC8" w:rsidRPr="00296A9D" w:rsidRDefault="00787EC8" w:rsidP="00875D72">
      <w:pPr>
        <w:pStyle w:val="FootnoteText"/>
        <w:rPr>
          <w:color w:val="000000" w:themeColor="text1"/>
          <w:lang w:val="en-US"/>
        </w:rPr>
      </w:pPr>
      <w:r w:rsidRPr="00296A9D">
        <w:rPr>
          <w:rStyle w:val="FootnoteReference"/>
          <w:color w:val="000000" w:themeColor="text1"/>
        </w:rPr>
        <w:footnoteRef/>
      </w:r>
      <w:r w:rsidRPr="00296A9D">
        <w:rPr>
          <w:color w:val="000000" w:themeColor="text1"/>
        </w:rPr>
        <w:t xml:space="preserve"> [2017] UKSC 5</w:t>
      </w:r>
    </w:p>
  </w:footnote>
  <w:footnote w:id="90">
    <w:p w:rsidR="00787EC8" w:rsidRPr="00296A9D" w:rsidRDefault="00787EC8" w:rsidP="00875D72">
      <w:pPr>
        <w:pStyle w:val="FootnoteText"/>
        <w:rPr>
          <w:color w:val="000000" w:themeColor="text1"/>
          <w:lang w:val="en-US"/>
        </w:rPr>
      </w:pPr>
      <w:r w:rsidRPr="00296A9D">
        <w:rPr>
          <w:rStyle w:val="FootnoteReference"/>
          <w:color w:val="000000" w:themeColor="text1"/>
        </w:rPr>
        <w:footnoteRef/>
      </w:r>
      <w:r w:rsidRPr="00296A9D">
        <w:rPr>
          <w:color w:val="000000" w:themeColor="text1"/>
        </w:rPr>
        <w:t xml:space="preserve"> [2015] 1 WLR 1591, </w:t>
      </w:r>
      <w:r>
        <w:rPr>
          <w:color w:val="000000" w:themeColor="text1"/>
        </w:rPr>
        <w:t>at</w:t>
      </w:r>
      <w:r w:rsidRPr="00296A9D">
        <w:rPr>
          <w:color w:val="000000" w:themeColor="text1"/>
        </w:rPr>
        <w:t xml:space="preserve"> </w:t>
      </w:r>
      <w:r>
        <w:rPr>
          <w:color w:val="000000" w:themeColor="text1"/>
        </w:rPr>
        <w:t>[</w:t>
      </w:r>
      <w:r w:rsidRPr="00296A9D">
        <w:rPr>
          <w:color w:val="000000" w:themeColor="text1"/>
        </w:rPr>
        <w:t>80</w:t>
      </w:r>
      <w:r>
        <w:rPr>
          <w:color w:val="000000" w:themeColor="text1"/>
        </w:rPr>
        <w:t>]</w:t>
      </w:r>
    </w:p>
  </w:footnote>
  <w:footnote w:id="91">
    <w:p w:rsidR="00787EC8" w:rsidRPr="00296A9D" w:rsidRDefault="00787EC8" w:rsidP="00875D72">
      <w:pPr>
        <w:pStyle w:val="FootnoteText"/>
        <w:rPr>
          <w:color w:val="000000" w:themeColor="text1"/>
          <w:lang w:val="en-US"/>
        </w:rPr>
      </w:pPr>
      <w:r w:rsidRPr="00296A9D">
        <w:rPr>
          <w:rStyle w:val="FootnoteReference"/>
          <w:color w:val="000000" w:themeColor="text1"/>
        </w:rPr>
        <w:footnoteRef/>
      </w:r>
      <w:r w:rsidRPr="00296A9D">
        <w:rPr>
          <w:color w:val="000000" w:themeColor="text1"/>
        </w:rPr>
        <w:t xml:space="preserve"> There are no express requirements that need to be met for the ECA to be repealed and the second model is silent on the existence of implied conditions emanating from unwritten constitutional rules or conventions. </w:t>
      </w:r>
    </w:p>
  </w:footnote>
  <w:footnote w:id="92">
    <w:p w:rsidR="00787EC8" w:rsidRPr="00296A9D" w:rsidRDefault="00787EC8" w:rsidP="00875D72">
      <w:pPr>
        <w:pStyle w:val="FootnoteText"/>
        <w:rPr>
          <w:color w:val="000000" w:themeColor="text1"/>
          <w:lang w:val="en-US"/>
        </w:rPr>
      </w:pPr>
      <w:r w:rsidRPr="00296A9D">
        <w:rPr>
          <w:rStyle w:val="FootnoteReference"/>
          <w:color w:val="000000" w:themeColor="text1"/>
        </w:rPr>
        <w:footnoteRef/>
      </w:r>
      <w:r w:rsidRPr="00296A9D">
        <w:rPr>
          <w:color w:val="000000" w:themeColor="text1"/>
        </w:rPr>
        <w:t xml:space="preserve"> </w:t>
      </w:r>
      <w:r w:rsidRPr="00BA17CC">
        <w:rPr>
          <w:i/>
          <w:color w:val="000000" w:themeColor="text1"/>
          <w:lang w:val="en-US"/>
        </w:rPr>
        <w:t>ibid</w:t>
      </w:r>
    </w:p>
  </w:footnote>
  <w:footnote w:id="93">
    <w:p w:rsidR="00787EC8" w:rsidRPr="00296A9D" w:rsidRDefault="00787EC8" w:rsidP="00875D72">
      <w:pPr>
        <w:pStyle w:val="FootnoteText"/>
        <w:rPr>
          <w:color w:val="000000" w:themeColor="text1"/>
          <w:lang w:val="en-US"/>
        </w:rPr>
      </w:pPr>
      <w:r w:rsidRPr="00296A9D">
        <w:rPr>
          <w:rStyle w:val="FootnoteReference"/>
          <w:color w:val="000000" w:themeColor="text1"/>
        </w:rPr>
        <w:footnoteRef/>
      </w:r>
      <w:r w:rsidRPr="00296A9D">
        <w:rPr>
          <w:color w:val="000000" w:themeColor="text1"/>
        </w:rPr>
        <w:t xml:space="preserve"> Salmon Act 1986, s.32</w:t>
      </w:r>
    </w:p>
  </w:footnote>
  <w:footnote w:id="94">
    <w:p w:rsidR="00787EC8" w:rsidRPr="00296A9D" w:rsidRDefault="00787EC8" w:rsidP="00875D72">
      <w:pPr>
        <w:pStyle w:val="FootnoteText"/>
        <w:rPr>
          <w:color w:val="000000" w:themeColor="text1"/>
          <w:lang w:val="en-US"/>
        </w:rPr>
      </w:pPr>
      <w:r w:rsidRPr="00296A9D">
        <w:rPr>
          <w:rStyle w:val="FootnoteReference"/>
          <w:color w:val="000000" w:themeColor="text1"/>
        </w:rPr>
        <w:footnoteRef/>
      </w:r>
      <w:r w:rsidRPr="00296A9D">
        <w:rPr>
          <w:color w:val="000000" w:themeColor="text1"/>
        </w:rPr>
        <w:t xml:space="preserve">  </w:t>
      </w:r>
      <w:r w:rsidRPr="00C406ED">
        <w:rPr>
          <w:i/>
          <w:color w:val="000000" w:themeColor="text1"/>
        </w:rPr>
        <w:t>R (on the application of Brynmawr Foundation School Governors) v Welsh Ministers</w:t>
      </w:r>
      <w:r w:rsidRPr="00C406ED">
        <w:rPr>
          <w:color w:val="000000" w:themeColor="text1"/>
        </w:rPr>
        <w:t xml:space="preserve"> </w:t>
      </w:r>
      <w:r w:rsidRPr="00296A9D">
        <w:rPr>
          <w:color w:val="000000" w:themeColor="text1"/>
        </w:rPr>
        <w:t>[2011] EWHC 519 (Admin)</w:t>
      </w:r>
      <w:r>
        <w:rPr>
          <w:color w:val="000000" w:themeColor="text1"/>
        </w:rPr>
        <w:t xml:space="preserve"> at [87]; also, see Scotland Act 2016 and Wales Act 2017</w:t>
      </w:r>
    </w:p>
  </w:footnote>
  <w:footnote w:id="95">
    <w:p w:rsidR="00787EC8" w:rsidRPr="00C406ED" w:rsidRDefault="00787EC8">
      <w:pPr>
        <w:pStyle w:val="FootnoteText"/>
        <w:rPr>
          <w:lang w:val="en-US"/>
        </w:rPr>
      </w:pPr>
      <w:r>
        <w:rPr>
          <w:rStyle w:val="FootnoteReference"/>
        </w:rPr>
        <w:footnoteRef/>
      </w:r>
      <w:r>
        <w:t xml:space="preserve"> </w:t>
      </w:r>
      <w:r w:rsidRPr="00C406ED">
        <w:t>Scotland Act 1998</w:t>
      </w:r>
      <w:r>
        <w:t xml:space="preserve"> s.63A (inserted by Scotland Act 2016 s.1); </w:t>
      </w:r>
      <w:r w:rsidRPr="00C406ED">
        <w:t>Government of Wales Act 2006</w:t>
      </w:r>
      <w:r>
        <w:t xml:space="preserve"> s.A1 (inserted by Wales Act 2017 s.1) </w:t>
      </w:r>
    </w:p>
  </w:footnote>
  <w:footnote w:id="96">
    <w:p w:rsidR="00787EC8" w:rsidRPr="00296A9D" w:rsidRDefault="00787EC8" w:rsidP="00875D72">
      <w:pPr>
        <w:pStyle w:val="FootnoteText"/>
        <w:rPr>
          <w:color w:val="000000" w:themeColor="text1"/>
          <w:lang w:val="en-US"/>
        </w:rPr>
      </w:pPr>
      <w:r w:rsidRPr="00296A9D">
        <w:rPr>
          <w:rStyle w:val="FootnoteReference"/>
          <w:color w:val="000000" w:themeColor="text1"/>
        </w:rPr>
        <w:footnoteRef/>
      </w:r>
      <w:r w:rsidRPr="00296A9D">
        <w:rPr>
          <w:color w:val="000000" w:themeColor="text1"/>
        </w:rPr>
        <w:t xml:space="preserve"> </w:t>
      </w:r>
      <w:r w:rsidRPr="00296A9D">
        <w:rPr>
          <w:i/>
          <w:iCs/>
          <w:color w:val="000000" w:themeColor="text1"/>
        </w:rPr>
        <w:t>Blackburn v Attorney-General </w:t>
      </w:r>
      <w:r w:rsidRPr="00296A9D">
        <w:rPr>
          <w:color w:val="000000" w:themeColor="text1"/>
        </w:rPr>
        <w:t>[1971] 1 WLR 1037</w:t>
      </w:r>
    </w:p>
  </w:footnote>
  <w:footnote w:id="97">
    <w:p w:rsidR="00787EC8" w:rsidRPr="00885B92" w:rsidRDefault="00787EC8">
      <w:pPr>
        <w:pStyle w:val="FootnoteText"/>
        <w:rPr>
          <w:lang w:val="en-US"/>
        </w:rPr>
      </w:pPr>
      <w:r>
        <w:rPr>
          <w:rStyle w:val="FootnoteReference"/>
        </w:rPr>
        <w:footnoteRef/>
      </w:r>
      <w:r>
        <w:t xml:space="preserve"> </w:t>
      </w:r>
      <w:proofErr w:type="spellStart"/>
      <w:r>
        <w:rPr>
          <w:lang w:val="en-US"/>
        </w:rPr>
        <w:t>Kelsen</w:t>
      </w:r>
      <w:proofErr w:type="spellEnd"/>
      <w:r>
        <w:rPr>
          <w:lang w:val="en-US"/>
        </w:rPr>
        <w:t>, (no 31)</w:t>
      </w:r>
    </w:p>
  </w:footnote>
  <w:footnote w:id="98">
    <w:p w:rsidR="00787EC8" w:rsidRPr="009F68D6" w:rsidRDefault="00787EC8">
      <w:pPr>
        <w:pStyle w:val="FootnoteText"/>
        <w:rPr>
          <w:lang w:val="en-US"/>
        </w:rPr>
      </w:pPr>
      <w:r>
        <w:rPr>
          <w:rStyle w:val="FootnoteReference"/>
        </w:rPr>
        <w:footnoteRef/>
      </w:r>
      <w:r>
        <w:t xml:space="preserve"> JEK </w:t>
      </w:r>
      <w:proofErr w:type="spellStart"/>
      <w:r w:rsidRPr="009F68D6">
        <w:t>Murkens</w:t>
      </w:r>
      <w:proofErr w:type="spellEnd"/>
      <w:r>
        <w:t>, ‘</w:t>
      </w:r>
      <w:r w:rsidRPr="009F68D6">
        <w:t>The Quest for Constitutionalism in UK Public Law Discourse</w:t>
      </w:r>
      <w:r>
        <w:t xml:space="preserve">’ (2009) 29(3) </w:t>
      </w:r>
      <w:r w:rsidRPr="009F68D6">
        <w:t>Oxford Journal of Legal Studies</w:t>
      </w:r>
      <w:r>
        <w:t xml:space="preserve"> 427</w:t>
      </w:r>
    </w:p>
  </w:footnote>
  <w:footnote w:id="99">
    <w:p w:rsidR="00787EC8" w:rsidRPr="00885B92" w:rsidRDefault="00787EC8">
      <w:pPr>
        <w:pStyle w:val="FootnoteText"/>
        <w:rPr>
          <w:lang w:val="en-US"/>
        </w:rPr>
      </w:pPr>
      <w:r>
        <w:rPr>
          <w:rStyle w:val="FootnoteReference"/>
        </w:rPr>
        <w:footnoteRef/>
      </w:r>
      <w:r>
        <w:t xml:space="preserve"> In relation to the rule of law for example, see P Craig, ‘</w:t>
      </w:r>
      <w:r w:rsidRPr="006C7664">
        <w:t>Formal and Substantive Conceptions of the Rule of Law: An Analytical Framework</w:t>
      </w:r>
      <w:r>
        <w:t xml:space="preserve">’ (1996) in R </w:t>
      </w:r>
      <w:r w:rsidRPr="006C7664">
        <w:t>Bellamy</w:t>
      </w:r>
      <w:r>
        <w:t xml:space="preserve">, </w:t>
      </w:r>
      <w:r w:rsidRPr="00885B92">
        <w:rPr>
          <w:i/>
        </w:rPr>
        <w:t>The Rule of Law and the Separation of Powers</w:t>
      </w:r>
      <w:r>
        <w:t xml:space="preserve"> (Routledge 2005) </w:t>
      </w:r>
    </w:p>
  </w:footnote>
  <w:footnote w:id="100">
    <w:p w:rsidR="00787EC8" w:rsidRPr="0094779B" w:rsidRDefault="00787EC8">
      <w:pPr>
        <w:pStyle w:val="FootnoteText"/>
        <w:rPr>
          <w:lang w:val="en-US"/>
        </w:rPr>
      </w:pPr>
      <w:r>
        <w:rPr>
          <w:rStyle w:val="FootnoteReference"/>
        </w:rPr>
        <w:footnoteRef/>
      </w:r>
      <w:r>
        <w:t xml:space="preserve"> </w:t>
      </w:r>
      <w:r w:rsidRPr="0094779B">
        <w:t>R Rawlings, P Leyland, and A Young</w:t>
      </w:r>
      <w:r>
        <w:t xml:space="preserve">, </w:t>
      </w:r>
      <w:r w:rsidRPr="0094779B">
        <w:rPr>
          <w:i/>
        </w:rPr>
        <w:t>Sovereignty and the Law: Domestic, European and International Perspectives</w:t>
      </w:r>
      <w:r>
        <w:t xml:space="preserve"> (Oxford University Press 2013) </w:t>
      </w:r>
    </w:p>
  </w:footnote>
  <w:footnote w:id="101">
    <w:p w:rsidR="00787EC8" w:rsidRPr="000114CB" w:rsidRDefault="00787EC8">
      <w:pPr>
        <w:pStyle w:val="FootnoteText"/>
        <w:rPr>
          <w:lang w:val="en-US"/>
        </w:rPr>
      </w:pPr>
      <w:r>
        <w:rPr>
          <w:rStyle w:val="FootnoteReference"/>
        </w:rPr>
        <w:footnoteRef/>
      </w:r>
      <w:r>
        <w:t xml:space="preserve"> </w:t>
      </w:r>
      <w:r w:rsidRPr="000114CB">
        <w:rPr>
          <w:i/>
        </w:rPr>
        <w:t>R(Miller) v The Prime Minister</w:t>
      </w:r>
      <w:r w:rsidRPr="000114CB">
        <w:t xml:space="preserve"> [2019] UKSC 41</w:t>
      </w:r>
    </w:p>
  </w:footnote>
  <w:footnote w:id="102">
    <w:p w:rsidR="00787EC8" w:rsidRPr="000114CB" w:rsidRDefault="00787EC8">
      <w:pPr>
        <w:pStyle w:val="FootnoteText"/>
        <w:rPr>
          <w:lang w:val="en-US"/>
        </w:rPr>
      </w:pPr>
      <w:r>
        <w:rPr>
          <w:rStyle w:val="FootnoteReference"/>
        </w:rPr>
        <w:footnoteRef/>
      </w:r>
      <w:r>
        <w:t xml:space="preserve"> JEK </w:t>
      </w:r>
      <w:proofErr w:type="spellStart"/>
      <w:r w:rsidRPr="009F68D6">
        <w:t>Murkens</w:t>
      </w:r>
      <w:proofErr w:type="spellEnd"/>
      <w:r>
        <w:t>, ‘</w:t>
      </w:r>
      <w:r w:rsidRPr="000114CB">
        <w:t>Democracy as the legitimating condition in the UK Constitution</w:t>
      </w:r>
      <w:r>
        <w:t xml:space="preserve">’ (2018) 38(1) </w:t>
      </w:r>
      <w:r w:rsidRPr="000114CB">
        <w:t>Legal Studies</w:t>
      </w:r>
      <w:r>
        <w:t xml:space="preserve"> 42</w:t>
      </w:r>
    </w:p>
  </w:footnote>
  <w:footnote w:id="103">
    <w:p w:rsidR="00787EC8" w:rsidRPr="009D5F4F" w:rsidRDefault="00787EC8">
      <w:pPr>
        <w:pStyle w:val="FootnoteText"/>
        <w:rPr>
          <w:lang w:val="en-US"/>
        </w:rPr>
      </w:pPr>
      <w:r>
        <w:rPr>
          <w:rStyle w:val="FootnoteReference"/>
        </w:rPr>
        <w:footnoteRef/>
      </w:r>
      <w:r>
        <w:t xml:space="preserve"> E </w:t>
      </w:r>
      <w:proofErr w:type="spellStart"/>
      <w:r w:rsidRPr="009D5F4F">
        <w:t>Tjong</w:t>
      </w:r>
      <w:proofErr w:type="spellEnd"/>
      <w:r w:rsidRPr="009D5F4F">
        <w:t xml:space="preserve"> </w:t>
      </w:r>
      <w:proofErr w:type="spellStart"/>
      <w:r w:rsidRPr="009D5F4F">
        <w:t>Tjin</w:t>
      </w:r>
      <w:proofErr w:type="spellEnd"/>
      <w:r w:rsidRPr="009D5F4F">
        <w:t xml:space="preserve"> Tai</w:t>
      </w:r>
      <w:r>
        <w:t>, ‘</w:t>
      </w:r>
      <w:r w:rsidRPr="009D5F4F">
        <w:t>Ru</w:t>
      </w:r>
      <w:r>
        <w:t>le of Law and Legal Epistemology’ in</w:t>
      </w:r>
      <w:r w:rsidRPr="009D5F4F">
        <w:t xml:space="preserve"> E </w:t>
      </w:r>
      <w:proofErr w:type="spellStart"/>
      <w:r w:rsidRPr="009D5F4F">
        <w:t>Feteris</w:t>
      </w:r>
      <w:proofErr w:type="spellEnd"/>
      <w:r w:rsidRPr="009D5F4F">
        <w:t xml:space="preserve">, H </w:t>
      </w:r>
      <w:proofErr w:type="spellStart"/>
      <w:r w:rsidRPr="009D5F4F">
        <w:t>Kloosterhuis</w:t>
      </w:r>
      <w:proofErr w:type="spellEnd"/>
      <w:r>
        <w:t>,</w:t>
      </w:r>
      <w:r w:rsidRPr="009D5F4F">
        <w:t xml:space="preserve"> J Plug</w:t>
      </w:r>
      <w:r>
        <w:t xml:space="preserve"> and</w:t>
      </w:r>
      <w:r w:rsidRPr="009D5F4F">
        <w:t xml:space="preserve"> C Smith(</w:t>
      </w:r>
      <w:proofErr w:type="spellStart"/>
      <w:r w:rsidRPr="009D5F4F">
        <w:t>eds</w:t>
      </w:r>
      <w:proofErr w:type="spellEnd"/>
      <w:r w:rsidRPr="009D5F4F">
        <w:t xml:space="preserve">), </w:t>
      </w:r>
      <w:r w:rsidRPr="009D5F4F">
        <w:rPr>
          <w:i/>
        </w:rPr>
        <w:t>Legal Argumentation and Rule of Law</w:t>
      </w:r>
      <w:r>
        <w:t xml:space="preserve"> (</w:t>
      </w:r>
      <w:r w:rsidRPr="009D5F4F">
        <w:t>Eleven 2016</w:t>
      </w:r>
      <w:r>
        <w:t>)</w:t>
      </w:r>
    </w:p>
  </w:footnote>
  <w:footnote w:id="104">
    <w:p w:rsidR="00787EC8" w:rsidRPr="009D5F4F" w:rsidRDefault="00787EC8">
      <w:pPr>
        <w:pStyle w:val="FootnoteText"/>
        <w:rPr>
          <w:lang w:val="en-US"/>
        </w:rPr>
      </w:pPr>
      <w:r>
        <w:rPr>
          <w:rStyle w:val="FootnoteReference"/>
        </w:rPr>
        <w:footnoteRef/>
      </w:r>
      <w:r>
        <w:t xml:space="preserve"> </w:t>
      </w:r>
      <w:r w:rsidRPr="009D5F4F">
        <w:t>L Zhang</w:t>
      </w:r>
      <w:r>
        <w:t>, ‘</w:t>
      </w:r>
      <w:r w:rsidRPr="009D5F4F">
        <w:t>The Connotation of Rule of Law: In the View of Axiology</w:t>
      </w:r>
      <w:r>
        <w:t xml:space="preserve">’ in D Li </w:t>
      </w:r>
      <w:r w:rsidRPr="009D5F4F">
        <w:t>(</w:t>
      </w:r>
      <w:proofErr w:type="spellStart"/>
      <w:r w:rsidRPr="009D5F4F">
        <w:t>ed</w:t>
      </w:r>
      <w:proofErr w:type="spellEnd"/>
      <w:r w:rsidRPr="009D5F4F">
        <w:t>)</w:t>
      </w:r>
      <w:r>
        <w:t>,</w:t>
      </w:r>
      <w:r w:rsidRPr="009D5F4F">
        <w:t xml:space="preserve"> </w:t>
      </w:r>
      <w:r w:rsidRPr="009D5F4F">
        <w:rPr>
          <w:i/>
        </w:rPr>
        <w:t>Values of Our Times</w:t>
      </w:r>
      <w:r>
        <w:t xml:space="preserve"> (Springer 2013)</w:t>
      </w:r>
    </w:p>
  </w:footnote>
  <w:footnote w:id="105">
    <w:p w:rsidR="00787EC8" w:rsidRPr="00411931" w:rsidRDefault="00787EC8">
      <w:pPr>
        <w:pStyle w:val="FootnoteText"/>
        <w:rPr>
          <w:lang w:val="en-US"/>
        </w:rPr>
      </w:pPr>
      <w:r>
        <w:rPr>
          <w:rStyle w:val="FootnoteReference"/>
        </w:rPr>
        <w:footnoteRef/>
      </w:r>
      <w:r>
        <w:t xml:space="preserve"> </w:t>
      </w:r>
      <w:r w:rsidRPr="00411931">
        <w:t xml:space="preserve">F </w:t>
      </w:r>
      <w:proofErr w:type="spellStart"/>
      <w:r w:rsidRPr="00411931">
        <w:t>Dallmayr</w:t>
      </w:r>
      <w:proofErr w:type="spellEnd"/>
      <w:r>
        <w:t>,</w:t>
      </w:r>
      <w:r w:rsidRPr="00411931">
        <w:t xml:space="preserve"> </w:t>
      </w:r>
      <w:r>
        <w:t>‘</w:t>
      </w:r>
      <w:r w:rsidRPr="00411931">
        <w:t>Hermeneutics and the Rule of Law</w:t>
      </w:r>
      <w:r>
        <w:t xml:space="preserve">’ (1989-90) </w:t>
      </w:r>
      <w:r w:rsidRPr="00411931">
        <w:t>11 Cardozo L. Rev. 1449</w:t>
      </w:r>
      <w:r>
        <w:t xml:space="preserve">; S </w:t>
      </w:r>
      <w:proofErr w:type="spellStart"/>
      <w:r>
        <w:t>Glanert</w:t>
      </w:r>
      <w:proofErr w:type="spellEnd"/>
      <w:r>
        <w:t xml:space="preserve"> and F Girard (</w:t>
      </w:r>
      <w:proofErr w:type="spellStart"/>
      <w:r>
        <w:t>eds</w:t>
      </w:r>
      <w:proofErr w:type="spellEnd"/>
      <w:r>
        <w:t>)</w:t>
      </w:r>
      <w:r w:rsidRPr="00411931">
        <w:t xml:space="preserve"> </w:t>
      </w:r>
      <w:r w:rsidRPr="00CC797F">
        <w:rPr>
          <w:i/>
        </w:rPr>
        <w:t>Law’s Hermeneutics: Other Investigations</w:t>
      </w:r>
      <w:r w:rsidRPr="00411931">
        <w:t xml:space="preserve"> (</w:t>
      </w:r>
      <w:r>
        <w:t>Routledge 2016)</w:t>
      </w:r>
    </w:p>
  </w:footnote>
  <w:footnote w:id="106">
    <w:p w:rsidR="00787EC8" w:rsidRPr="00885B92" w:rsidRDefault="00787EC8">
      <w:pPr>
        <w:pStyle w:val="FootnoteText"/>
        <w:rPr>
          <w:lang w:val="en-US"/>
        </w:rPr>
      </w:pPr>
      <w:r>
        <w:rPr>
          <w:rStyle w:val="FootnoteReference"/>
        </w:rPr>
        <w:footnoteRef/>
      </w:r>
      <w:r>
        <w:t xml:space="preserve"> (no 96)</w:t>
      </w:r>
    </w:p>
  </w:footnote>
  <w:footnote w:id="107">
    <w:p w:rsidR="00787EC8" w:rsidRPr="00AE53B4" w:rsidRDefault="00787EC8">
      <w:pPr>
        <w:pStyle w:val="FootnoteText"/>
        <w:rPr>
          <w:lang w:val="en-US"/>
        </w:rPr>
      </w:pPr>
      <w:r>
        <w:rPr>
          <w:rStyle w:val="FootnoteReference"/>
        </w:rPr>
        <w:footnoteRef/>
      </w:r>
      <w:r>
        <w:t xml:space="preserve"> </w:t>
      </w:r>
      <w:r w:rsidRPr="00AE53B4">
        <w:t>A Bertrand</w:t>
      </w:r>
      <w:r>
        <w:t>, ‘</w:t>
      </w:r>
      <w:r w:rsidRPr="00AE53B4">
        <w:t xml:space="preserve">A colonial factory of property rights: contribution to an </w:t>
      </w:r>
      <w:r w:rsidR="003A05A4" w:rsidRPr="00AE53B4">
        <w:t>archaeology</w:t>
      </w:r>
      <w:r w:rsidRPr="00AE53B4">
        <w:t xml:space="preserve"> of naturalism</w:t>
      </w:r>
      <w:r>
        <w:t>’ (2018) 1(1) Revue Q</w:t>
      </w:r>
      <w:r w:rsidRPr="00AE53B4">
        <w:t xml:space="preserve">uébécoise de </w:t>
      </w:r>
      <w:r>
        <w:t>D</w:t>
      </w:r>
      <w:r w:rsidRPr="00AE53B4">
        <w:t xml:space="preserve">roit </w:t>
      </w:r>
      <w:r>
        <w:t>I</w:t>
      </w:r>
      <w:r w:rsidRPr="00AE53B4">
        <w:t>nternational</w:t>
      </w:r>
      <w:r>
        <w:t xml:space="preserve"> 5</w:t>
      </w:r>
    </w:p>
  </w:footnote>
  <w:footnote w:id="108">
    <w:p w:rsidR="00787EC8" w:rsidRPr="00AE53B4" w:rsidRDefault="00787EC8" w:rsidP="00AE53B4">
      <w:pPr>
        <w:pStyle w:val="FootnoteText"/>
        <w:rPr>
          <w:lang w:val="en-US"/>
        </w:rPr>
      </w:pPr>
      <w:r>
        <w:rPr>
          <w:rStyle w:val="FootnoteReference"/>
        </w:rPr>
        <w:footnoteRef/>
      </w:r>
      <w:r>
        <w:t xml:space="preserve"> </w:t>
      </w:r>
      <w:r w:rsidRPr="00AE53B4">
        <w:rPr>
          <w:i/>
          <w:iCs/>
          <w:lang w:val="en-US"/>
        </w:rPr>
        <w:t xml:space="preserve">Mohegan Indians v Connecticut </w:t>
      </w:r>
      <w:r w:rsidRPr="00AE53B4">
        <w:rPr>
          <w:lang w:val="en-US"/>
        </w:rPr>
        <w:t>(1705–1773)</w:t>
      </w:r>
      <w:r>
        <w:rPr>
          <w:lang w:val="en-US"/>
        </w:rPr>
        <w:t>; MD Walters, ‘</w:t>
      </w:r>
      <w:r w:rsidRPr="00AE53B4">
        <w:rPr>
          <w:lang w:val="en-US"/>
        </w:rPr>
        <w:t>Mohegan Indians v. Connecticut (1705-1773) and</w:t>
      </w:r>
      <w:r>
        <w:rPr>
          <w:lang w:val="en-US"/>
        </w:rPr>
        <w:t xml:space="preserve"> </w:t>
      </w:r>
      <w:r w:rsidRPr="00AE53B4">
        <w:rPr>
          <w:lang w:val="en-US"/>
        </w:rPr>
        <w:t>the Legal Status of Aboriginal Customary Laws and</w:t>
      </w:r>
      <w:r>
        <w:rPr>
          <w:lang w:val="en-US"/>
        </w:rPr>
        <w:t xml:space="preserve"> </w:t>
      </w:r>
      <w:r w:rsidRPr="00AE53B4">
        <w:rPr>
          <w:lang w:val="en-US"/>
        </w:rPr>
        <w:t>Gove</w:t>
      </w:r>
      <w:r>
        <w:rPr>
          <w:lang w:val="en-US"/>
        </w:rPr>
        <w:t xml:space="preserve">rnment in British North America’ (1995) 33(4) </w:t>
      </w:r>
      <w:proofErr w:type="spellStart"/>
      <w:r>
        <w:t>Osgoode</w:t>
      </w:r>
      <w:proofErr w:type="spellEnd"/>
      <w:r>
        <w:t xml:space="preserve"> Hall Law Journal 785</w:t>
      </w:r>
    </w:p>
  </w:footnote>
  <w:footnote w:id="109">
    <w:p w:rsidR="00787EC8" w:rsidRPr="00F03BC1" w:rsidRDefault="00787EC8">
      <w:pPr>
        <w:pStyle w:val="FootnoteText"/>
        <w:rPr>
          <w:lang w:val="en-US"/>
        </w:rPr>
      </w:pPr>
      <w:r>
        <w:rPr>
          <w:rStyle w:val="FootnoteReference"/>
        </w:rPr>
        <w:footnoteRef/>
      </w:r>
      <w:r>
        <w:t xml:space="preserve"> Erskine May, </w:t>
      </w:r>
      <w:r w:rsidRPr="00516DAD">
        <w:rPr>
          <w:i/>
        </w:rPr>
        <w:t>Treatise on the Law, Privileges, Proceedings and Usage of Parliament</w:t>
      </w:r>
      <w:r>
        <w:t xml:space="preserve"> (25</w:t>
      </w:r>
      <w:r w:rsidRPr="00F03BC1">
        <w:rPr>
          <w:vertAlign w:val="superscript"/>
        </w:rPr>
        <w:t>th</w:t>
      </w:r>
      <w:r>
        <w:t xml:space="preserve"> </w:t>
      </w:r>
      <w:proofErr w:type="spellStart"/>
      <w:r>
        <w:t>edn</w:t>
      </w:r>
      <w:proofErr w:type="spellEnd"/>
      <w:r>
        <w:t xml:space="preserve"> 2019) available online &lt; </w:t>
      </w:r>
      <w:hyperlink r:id="rId1" w:history="1">
        <w:r w:rsidRPr="00655596">
          <w:rPr>
            <w:rStyle w:val="Hyperlink"/>
          </w:rPr>
          <w:t>https://erskinemay.parliament.uk/</w:t>
        </w:r>
      </w:hyperlink>
      <w:r>
        <w:rPr>
          <w:lang w:val="en-US"/>
        </w:rPr>
        <w:t xml:space="preserve"> &gt; last accessed 8 November 2019</w:t>
      </w:r>
    </w:p>
  </w:footnote>
  <w:footnote w:id="110">
    <w:p w:rsidR="00787EC8" w:rsidRPr="00296A9D" w:rsidRDefault="00787EC8" w:rsidP="00875D72">
      <w:pPr>
        <w:pStyle w:val="FootnoteText"/>
        <w:rPr>
          <w:color w:val="000000" w:themeColor="text1"/>
          <w:lang w:val="en-US"/>
        </w:rPr>
      </w:pPr>
      <w:r w:rsidRPr="00296A9D">
        <w:rPr>
          <w:rStyle w:val="FootnoteReference"/>
          <w:color w:val="000000" w:themeColor="text1"/>
        </w:rPr>
        <w:footnoteRef/>
      </w:r>
      <w:r w:rsidRPr="00296A9D">
        <w:rPr>
          <w:color w:val="000000" w:themeColor="text1"/>
        </w:rPr>
        <w:t xml:space="preserve"> [2017] UKSC 5</w:t>
      </w:r>
    </w:p>
  </w:footnote>
  <w:footnote w:id="111">
    <w:p w:rsidR="00787EC8" w:rsidRPr="00296A9D" w:rsidRDefault="00787EC8" w:rsidP="00875D72">
      <w:pPr>
        <w:pStyle w:val="FootnoteText"/>
        <w:rPr>
          <w:color w:val="000000" w:themeColor="text1"/>
          <w:lang w:val="en-US"/>
        </w:rPr>
      </w:pPr>
      <w:r w:rsidRPr="00296A9D">
        <w:rPr>
          <w:rStyle w:val="FootnoteReference"/>
          <w:color w:val="000000" w:themeColor="text1"/>
        </w:rPr>
        <w:footnoteRef/>
      </w:r>
      <w:r w:rsidRPr="00296A9D">
        <w:rPr>
          <w:color w:val="000000" w:themeColor="text1"/>
        </w:rPr>
        <w:t xml:space="preserve"> Extensive further discussions on this point can be found in D </w:t>
      </w:r>
      <w:proofErr w:type="spellStart"/>
      <w:r w:rsidRPr="00296A9D">
        <w:rPr>
          <w:color w:val="000000" w:themeColor="text1"/>
        </w:rPr>
        <w:t>Hovell</w:t>
      </w:r>
      <w:proofErr w:type="spellEnd"/>
      <w:r w:rsidRPr="00296A9D">
        <w:rPr>
          <w:color w:val="000000" w:themeColor="text1"/>
        </w:rPr>
        <w:t xml:space="preserve">, ‘The authority of universal jurisdiction’ (2018) 29(2) European Journal of International Law 427; C O'Meara, ‘Should international law recognize a right of humanitarian intervention?’ (2017) 66(2) International &amp; Comparative Law Quarterly 441; K Grady, ‘International crimes in the courts of England and Wales’ (2014) 10 Criminal Law Review 693; </w:t>
      </w:r>
      <w:r w:rsidRPr="00296A9D">
        <w:rPr>
          <w:i/>
          <w:color w:val="000000" w:themeColor="text1"/>
        </w:rPr>
        <w:t xml:space="preserve">R. v </w:t>
      </w:r>
      <w:proofErr w:type="spellStart"/>
      <w:r w:rsidRPr="00296A9D">
        <w:rPr>
          <w:i/>
          <w:color w:val="000000" w:themeColor="text1"/>
        </w:rPr>
        <w:t>Venclovas</w:t>
      </w:r>
      <w:proofErr w:type="spellEnd"/>
      <w:r w:rsidRPr="00296A9D">
        <w:rPr>
          <w:i/>
          <w:color w:val="000000" w:themeColor="text1"/>
        </w:rPr>
        <w:t xml:space="preserve"> (</w:t>
      </w:r>
      <w:proofErr w:type="spellStart"/>
      <w:r w:rsidRPr="00296A9D">
        <w:rPr>
          <w:i/>
          <w:color w:val="000000" w:themeColor="text1"/>
        </w:rPr>
        <w:t>Rimas</w:t>
      </w:r>
      <w:proofErr w:type="spellEnd"/>
      <w:r w:rsidRPr="00296A9D">
        <w:rPr>
          <w:i/>
          <w:color w:val="000000" w:themeColor="text1"/>
        </w:rPr>
        <w:t>)</w:t>
      </w:r>
      <w:r w:rsidRPr="00296A9D">
        <w:rPr>
          <w:color w:val="000000" w:themeColor="text1"/>
        </w:rPr>
        <w:t xml:space="preserve"> [2013] EWCA Crim 2182</w:t>
      </w:r>
      <w:r>
        <w:rPr>
          <w:color w:val="000000" w:themeColor="text1"/>
        </w:rPr>
        <w:t>.</w:t>
      </w:r>
    </w:p>
  </w:footnote>
  <w:footnote w:id="112">
    <w:p w:rsidR="00787EC8" w:rsidRPr="00296A9D" w:rsidRDefault="00787EC8" w:rsidP="00875D72">
      <w:pPr>
        <w:pStyle w:val="FootnoteText"/>
        <w:rPr>
          <w:color w:val="000000" w:themeColor="text1"/>
          <w:lang w:val="en-US"/>
        </w:rPr>
      </w:pPr>
      <w:r w:rsidRPr="00296A9D">
        <w:rPr>
          <w:rStyle w:val="FootnoteReference"/>
          <w:color w:val="000000" w:themeColor="text1"/>
        </w:rPr>
        <w:footnoteRef/>
      </w:r>
      <w:r w:rsidRPr="00296A9D">
        <w:rPr>
          <w:color w:val="000000" w:themeColor="text1"/>
        </w:rPr>
        <w:t xml:space="preserve"> R </w:t>
      </w:r>
      <w:proofErr w:type="spellStart"/>
      <w:r w:rsidRPr="00296A9D">
        <w:rPr>
          <w:color w:val="000000" w:themeColor="text1"/>
        </w:rPr>
        <w:t>Masterman</w:t>
      </w:r>
      <w:proofErr w:type="spellEnd"/>
      <w:r w:rsidRPr="00296A9D">
        <w:rPr>
          <w:color w:val="000000" w:themeColor="text1"/>
        </w:rPr>
        <w:t xml:space="preserve"> and S </w:t>
      </w:r>
      <w:proofErr w:type="spellStart"/>
      <w:r w:rsidRPr="00296A9D">
        <w:rPr>
          <w:color w:val="000000" w:themeColor="text1"/>
        </w:rPr>
        <w:t>Wheatle</w:t>
      </w:r>
      <w:proofErr w:type="spellEnd"/>
      <w:r w:rsidRPr="00296A9D">
        <w:rPr>
          <w:color w:val="000000" w:themeColor="text1"/>
        </w:rPr>
        <w:t>, ‘Unpacking separation of powers: judicial independence, sovereignty and conceptual flexibility in the UK constitution’ (2017) 3 Public Law 469</w:t>
      </w:r>
    </w:p>
  </w:footnote>
  <w:footnote w:id="113">
    <w:p w:rsidR="00787EC8" w:rsidRPr="002D2F98" w:rsidRDefault="00787EC8" w:rsidP="00DA505E">
      <w:pPr>
        <w:pStyle w:val="FootnoteText"/>
        <w:rPr>
          <w:lang w:val="en-US"/>
        </w:rPr>
      </w:pPr>
      <w:r>
        <w:rPr>
          <w:rStyle w:val="FootnoteReference"/>
        </w:rPr>
        <w:footnoteRef/>
      </w:r>
      <w:r>
        <w:t xml:space="preserve"> </w:t>
      </w:r>
      <w:r>
        <w:rPr>
          <w:lang w:val="en-US"/>
        </w:rPr>
        <w:t xml:space="preserve">Discussed further below </w:t>
      </w:r>
    </w:p>
  </w:footnote>
  <w:footnote w:id="114">
    <w:p w:rsidR="00787EC8" w:rsidRPr="007748A6" w:rsidRDefault="00787EC8" w:rsidP="00DA505E">
      <w:pPr>
        <w:pStyle w:val="FootnoteText"/>
        <w:rPr>
          <w:lang w:val="en-US"/>
        </w:rPr>
      </w:pPr>
      <w:r>
        <w:rPr>
          <w:rStyle w:val="FootnoteReference"/>
        </w:rPr>
        <w:footnoteRef/>
      </w:r>
      <w:r>
        <w:t xml:space="preserve"> H </w:t>
      </w:r>
      <w:proofErr w:type="spellStart"/>
      <w:r w:rsidRPr="007748A6">
        <w:t>Kelsen</w:t>
      </w:r>
      <w:proofErr w:type="spellEnd"/>
      <w:r w:rsidRPr="007748A6">
        <w:t xml:space="preserve">, </w:t>
      </w:r>
      <w:r w:rsidRPr="007748A6">
        <w:rPr>
          <w:i/>
        </w:rPr>
        <w:t>Pure Theory of Law</w:t>
      </w:r>
      <w:r w:rsidRPr="007748A6">
        <w:t xml:space="preserve"> (Max Knight </w:t>
      </w:r>
      <w:proofErr w:type="spellStart"/>
      <w:r w:rsidRPr="007748A6">
        <w:t>tr</w:t>
      </w:r>
      <w:proofErr w:type="spellEnd"/>
      <w:r w:rsidRPr="007748A6">
        <w:t>, 2</w:t>
      </w:r>
      <w:r w:rsidRPr="007748A6">
        <w:rPr>
          <w:vertAlign w:val="superscript"/>
        </w:rPr>
        <w:t>nd</w:t>
      </w:r>
      <w:r w:rsidRPr="007748A6">
        <w:t xml:space="preserve"> </w:t>
      </w:r>
      <w:proofErr w:type="spellStart"/>
      <w:r w:rsidRPr="007748A6">
        <w:t>edn</w:t>
      </w:r>
      <w:proofErr w:type="spellEnd"/>
      <w:r w:rsidRPr="007748A6">
        <w:t>, University of California Press 1967)</w:t>
      </w:r>
    </w:p>
  </w:footnote>
  <w:footnote w:id="115">
    <w:p w:rsidR="00787EC8" w:rsidRPr="007748A6" w:rsidRDefault="00787EC8" w:rsidP="00DA505E">
      <w:pPr>
        <w:pStyle w:val="FootnoteText"/>
        <w:rPr>
          <w:lang w:val="en-US"/>
        </w:rPr>
      </w:pPr>
      <w:r>
        <w:rPr>
          <w:rStyle w:val="FootnoteReference"/>
        </w:rPr>
        <w:footnoteRef/>
      </w:r>
      <w:r>
        <w:t xml:space="preserve"> Kant (no 4)</w:t>
      </w:r>
    </w:p>
  </w:footnote>
  <w:footnote w:id="116">
    <w:p w:rsidR="00787EC8" w:rsidRPr="007748A6" w:rsidRDefault="00787EC8" w:rsidP="00DA505E">
      <w:pPr>
        <w:pStyle w:val="FootnoteText"/>
        <w:rPr>
          <w:lang w:val="en-US"/>
        </w:rPr>
      </w:pPr>
      <w:r>
        <w:rPr>
          <w:rStyle w:val="FootnoteReference"/>
        </w:rPr>
        <w:footnoteRef/>
      </w:r>
      <w:r>
        <w:t xml:space="preserve"> Here the reference is to Hegelian </w:t>
      </w:r>
      <w:proofErr w:type="spellStart"/>
      <w:r>
        <w:rPr>
          <w:i/>
        </w:rPr>
        <w:t>aufheben</w:t>
      </w:r>
      <w:proofErr w:type="spellEnd"/>
      <w:r>
        <w:rPr>
          <w:i/>
        </w:rPr>
        <w:t xml:space="preserve">, </w:t>
      </w:r>
      <w:r>
        <w:t xml:space="preserve">or to </w:t>
      </w:r>
      <w:proofErr w:type="spellStart"/>
      <w:r>
        <w:t>sublate</w:t>
      </w:r>
      <w:proofErr w:type="spellEnd"/>
      <w:r>
        <w:t xml:space="preserve"> – see GWF Hegel, </w:t>
      </w:r>
      <w:r w:rsidRPr="00352F26">
        <w:rPr>
          <w:i/>
          <w:iCs/>
        </w:rPr>
        <w:t xml:space="preserve">The Science of Logic </w:t>
      </w:r>
      <w:r>
        <w:rPr>
          <w:iCs/>
        </w:rPr>
        <w:t>(</w:t>
      </w:r>
      <w:r w:rsidRPr="00352F26">
        <w:t>AV Miller</w:t>
      </w:r>
      <w:r>
        <w:t xml:space="preserve"> </w:t>
      </w:r>
      <w:proofErr w:type="spellStart"/>
      <w:r>
        <w:t>tr</w:t>
      </w:r>
      <w:proofErr w:type="spellEnd"/>
      <w:r>
        <w:t xml:space="preserve">, </w:t>
      </w:r>
      <w:r w:rsidRPr="00352F26">
        <w:t>Oxford University Press 1977</w:t>
      </w:r>
      <w:r>
        <w:t xml:space="preserve">) p.82-3, and </w:t>
      </w:r>
      <w:r w:rsidRPr="00352F26">
        <w:rPr>
          <w:i/>
          <w:iCs/>
        </w:rPr>
        <w:t xml:space="preserve">The </w:t>
      </w:r>
      <w:proofErr w:type="spellStart"/>
      <w:r w:rsidRPr="00352F26">
        <w:rPr>
          <w:i/>
          <w:iCs/>
        </w:rPr>
        <w:t>Encyclopedia</w:t>
      </w:r>
      <w:proofErr w:type="spellEnd"/>
      <w:r w:rsidRPr="00352F26">
        <w:rPr>
          <w:i/>
          <w:iCs/>
        </w:rPr>
        <w:t xml:space="preserve"> Logic: Part 1 of the Encyclopaedia of Philosophical Sciences</w:t>
      </w:r>
      <w:r>
        <w:rPr>
          <w:i/>
          <w:iCs/>
        </w:rPr>
        <w:t xml:space="preserve"> </w:t>
      </w:r>
      <w:r>
        <w:rPr>
          <w:iCs/>
        </w:rPr>
        <w:t>(</w:t>
      </w:r>
      <w:r w:rsidRPr="00352F26">
        <w:t xml:space="preserve">TF </w:t>
      </w:r>
      <w:proofErr w:type="spellStart"/>
      <w:r w:rsidRPr="00352F26">
        <w:t>Geraets</w:t>
      </w:r>
      <w:proofErr w:type="spellEnd"/>
      <w:r w:rsidRPr="00352F26">
        <w:t xml:space="preserve">, WA </w:t>
      </w:r>
      <w:proofErr w:type="spellStart"/>
      <w:r w:rsidRPr="00352F26">
        <w:t>Suchting</w:t>
      </w:r>
      <w:proofErr w:type="spellEnd"/>
      <w:r w:rsidRPr="00352F26">
        <w:t>, and HS Harris</w:t>
      </w:r>
      <w:r>
        <w:t xml:space="preserve"> </w:t>
      </w:r>
      <w:proofErr w:type="spellStart"/>
      <w:r>
        <w:t>trs</w:t>
      </w:r>
      <w:proofErr w:type="spellEnd"/>
      <w:r>
        <w:t>, Hackett 1991) paras.86-88</w:t>
      </w:r>
    </w:p>
  </w:footnote>
  <w:footnote w:id="117">
    <w:p w:rsidR="00787EC8" w:rsidRPr="00885B92" w:rsidRDefault="00787EC8">
      <w:pPr>
        <w:pStyle w:val="FootnoteText"/>
        <w:rPr>
          <w:lang w:val="en-US"/>
        </w:rPr>
      </w:pPr>
      <w:r>
        <w:rPr>
          <w:rStyle w:val="FootnoteReference"/>
        </w:rPr>
        <w:footnoteRef/>
      </w:r>
      <w:r>
        <w:t xml:space="preserve"> For example, JW</w:t>
      </w:r>
      <w:r w:rsidRPr="006267DA">
        <w:t xml:space="preserve"> Harris</w:t>
      </w:r>
      <w:r>
        <w:t>, ‘</w:t>
      </w:r>
      <w:r w:rsidRPr="006267DA">
        <w:t xml:space="preserve">When and Why Does the </w:t>
      </w:r>
      <w:proofErr w:type="spellStart"/>
      <w:r w:rsidRPr="006267DA">
        <w:t>Grundnorm</w:t>
      </w:r>
      <w:proofErr w:type="spellEnd"/>
      <w:r w:rsidRPr="006267DA">
        <w:t xml:space="preserve"> Change?</w:t>
      </w:r>
      <w:r>
        <w:t xml:space="preserve">’ (1971) 29(1) The Cambridge Law Journal 103; J </w:t>
      </w:r>
      <w:proofErr w:type="spellStart"/>
      <w:r>
        <w:t>Raz</w:t>
      </w:r>
      <w:proofErr w:type="spellEnd"/>
      <w:r>
        <w:t>, ‘</w:t>
      </w:r>
      <w:proofErr w:type="spellStart"/>
      <w:r w:rsidRPr="006267DA">
        <w:t>Kelsen’s</w:t>
      </w:r>
      <w:proofErr w:type="spellEnd"/>
      <w:r w:rsidRPr="006267DA">
        <w:t xml:space="preserve"> Theory of The Basic Norm</w:t>
      </w:r>
      <w:r>
        <w:t xml:space="preserve">’ in J </w:t>
      </w:r>
      <w:proofErr w:type="spellStart"/>
      <w:r>
        <w:t>Raz</w:t>
      </w:r>
      <w:proofErr w:type="spellEnd"/>
      <w:r>
        <w:t xml:space="preserve">, </w:t>
      </w:r>
      <w:r w:rsidRPr="00885B92">
        <w:rPr>
          <w:i/>
        </w:rPr>
        <w:t>The authority of law: Essays on law and morality</w:t>
      </w:r>
      <w:r>
        <w:t xml:space="preserve"> (Clarendon Press 1979);</w:t>
      </w:r>
      <w:r w:rsidRPr="00684065">
        <w:t xml:space="preserve"> W.E. Conklin</w:t>
      </w:r>
      <w:r>
        <w:t xml:space="preserve">, </w:t>
      </w:r>
      <w:r w:rsidRPr="00885B92">
        <w:rPr>
          <w:i/>
        </w:rPr>
        <w:t>The Invisible Origins of Legal Positivism: A Re-Reading of a Tradition</w:t>
      </w:r>
      <w:r>
        <w:t xml:space="preserve"> (Kluwer Academic Publishers 2001) 175; P</w:t>
      </w:r>
      <w:r w:rsidRPr="00684065">
        <w:t xml:space="preserve"> Langford, ‎I</w:t>
      </w:r>
      <w:r>
        <w:t xml:space="preserve"> Bryan and</w:t>
      </w:r>
      <w:r w:rsidRPr="00684065">
        <w:t xml:space="preserve"> ‎J </w:t>
      </w:r>
      <w:proofErr w:type="spellStart"/>
      <w:r w:rsidRPr="00684065">
        <w:t>McGarry</w:t>
      </w:r>
      <w:proofErr w:type="spellEnd"/>
      <w:r>
        <w:t xml:space="preserve">, </w:t>
      </w:r>
      <w:proofErr w:type="spellStart"/>
      <w:r w:rsidRPr="00E008E4">
        <w:rPr>
          <w:i/>
        </w:rPr>
        <w:t>Kelsenian</w:t>
      </w:r>
      <w:proofErr w:type="spellEnd"/>
      <w:r w:rsidRPr="00E008E4">
        <w:rPr>
          <w:i/>
        </w:rPr>
        <w:t xml:space="preserve"> Legal Science and the Nature of Law</w:t>
      </w:r>
      <w:r>
        <w:t xml:space="preserve"> (Springer 2017) 68; B Bix, ‘</w:t>
      </w:r>
      <w:proofErr w:type="spellStart"/>
      <w:r w:rsidRPr="006267DA">
        <w:t>Kelsen</w:t>
      </w:r>
      <w:proofErr w:type="spellEnd"/>
      <w:r w:rsidRPr="006267DA">
        <w:t>, Hart, and legal normativity</w:t>
      </w:r>
      <w:r>
        <w:t xml:space="preserve">’ (2018) 34 </w:t>
      </w:r>
      <w:proofErr w:type="spellStart"/>
      <w:r>
        <w:t>Revus</w:t>
      </w:r>
      <w:proofErr w:type="spellEnd"/>
      <w:r>
        <w:t xml:space="preserve">; </w:t>
      </w:r>
      <w:r w:rsidRPr="006267DA">
        <w:t>T Spaak</w:t>
      </w:r>
      <w:r>
        <w:t>, ‘</w:t>
      </w:r>
      <w:r w:rsidRPr="006267DA">
        <w:t xml:space="preserve">A Challenge to Bix's Interpretation of </w:t>
      </w:r>
      <w:proofErr w:type="spellStart"/>
      <w:r w:rsidRPr="006267DA">
        <w:t>Kelsen</w:t>
      </w:r>
      <w:proofErr w:type="spellEnd"/>
      <w:r w:rsidRPr="006267DA">
        <w:t xml:space="preserve"> and Hart's Views of the Normativity of Law</w:t>
      </w:r>
      <w:r>
        <w:t xml:space="preserve">’ (2019) 37 </w:t>
      </w:r>
      <w:proofErr w:type="spellStart"/>
      <w:r>
        <w:t>Revus</w:t>
      </w:r>
      <w:proofErr w:type="spellEnd"/>
      <w:r>
        <w:t>.</w:t>
      </w:r>
    </w:p>
  </w:footnote>
  <w:footnote w:id="118">
    <w:p w:rsidR="00787EC8" w:rsidRPr="00885B92" w:rsidRDefault="00787EC8">
      <w:pPr>
        <w:pStyle w:val="FootnoteText"/>
        <w:rPr>
          <w:lang w:val="en-US"/>
        </w:rPr>
      </w:pPr>
      <w:r>
        <w:rPr>
          <w:rStyle w:val="FootnoteReference"/>
        </w:rPr>
        <w:footnoteRef/>
      </w:r>
      <w:r>
        <w:t xml:space="preserve"> </w:t>
      </w:r>
      <w:r>
        <w:rPr>
          <w:lang w:val="en-US"/>
        </w:rPr>
        <w:t>Here the term ‘</w:t>
      </w:r>
      <w:proofErr w:type="spellStart"/>
      <w:r>
        <w:rPr>
          <w:lang w:val="en-US"/>
        </w:rPr>
        <w:t>noumena</w:t>
      </w:r>
      <w:proofErr w:type="spellEnd"/>
      <w:r>
        <w:rPr>
          <w:lang w:val="en-US"/>
        </w:rPr>
        <w:t xml:space="preserve">’ refers to Kantian Idealism and the separation of the object itself from our perception of the object. See </w:t>
      </w:r>
      <w:r>
        <w:t xml:space="preserve">I </w:t>
      </w:r>
      <w:r w:rsidRPr="00793947">
        <w:t xml:space="preserve">Kant, </w:t>
      </w:r>
      <w:r w:rsidRPr="00793947">
        <w:rPr>
          <w:i/>
        </w:rPr>
        <w:t xml:space="preserve">Critique of Pure Reason </w:t>
      </w:r>
      <w:r w:rsidRPr="00793947">
        <w:t xml:space="preserve">(JMD </w:t>
      </w:r>
      <w:proofErr w:type="spellStart"/>
      <w:r w:rsidRPr="00793947">
        <w:t>Meiklejohn</w:t>
      </w:r>
      <w:proofErr w:type="spellEnd"/>
      <w:r w:rsidRPr="00793947">
        <w:t xml:space="preserve"> </w:t>
      </w:r>
      <w:proofErr w:type="spellStart"/>
      <w:r w:rsidRPr="00793947">
        <w:t>tr</w:t>
      </w:r>
      <w:proofErr w:type="spellEnd"/>
      <w:r w:rsidRPr="00793947">
        <w:t>, Dover Philosophical Classics 2003)</w:t>
      </w:r>
      <w:r>
        <w:rPr>
          <w:lang w:val="en-US"/>
        </w:rPr>
        <w:t xml:space="preserve"> ; and </w:t>
      </w:r>
      <w:r>
        <w:t>L Allais, ‘</w:t>
      </w:r>
      <w:r w:rsidRPr="003E53BC">
        <w:t>Kant's One World: Interp</w:t>
      </w:r>
      <w:r>
        <w:t xml:space="preserve">reting ‘Transcendental Idealism’’ (2004) 12(4) </w:t>
      </w:r>
      <w:r w:rsidRPr="003E53BC">
        <w:t>British Journal for the History of Philosophy</w:t>
      </w:r>
      <w:r>
        <w:t xml:space="preserve"> 655</w:t>
      </w:r>
    </w:p>
  </w:footnote>
  <w:footnote w:id="119">
    <w:p w:rsidR="00787EC8" w:rsidRPr="00885B92" w:rsidRDefault="00787EC8">
      <w:pPr>
        <w:pStyle w:val="FootnoteText"/>
        <w:rPr>
          <w:lang w:val="en-US"/>
        </w:rPr>
      </w:pPr>
      <w:r>
        <w:rPr>
          <w:rStyle w:val="FootnoteReference"/>
        </w:rPr>
        <w:footnoteRef/>
      </w:r>
      <w:r>
        <w:t xml:space="preserve"> Here the term understanding is used in the Hegelian sense, see </w:t>
      </w:r>
      <w:r w:rsidRPr="006A481E">
        <w:t xml:space="preserve">G W F Hegel, </w:t>
      </w:r>
      <w:proofErr w:type="spellStart"/>
      <w:r w:rsidRPr="00885B92">
        <w:rPr>
          <w:i/>
        </w:rPr>
        <w:t>Encyclopedia</w:t>
      </w:r>
      <w:proofErr w:type="spellEnd"/>
      <w:r w:rsidRPr="00885B92">
        <w:rPr>
          <w:i/>
        </w:rPr>
        <w:t xml:space="preserve"> of the Philosop</w:t>
      </w:r>
      <w:r w:rsidRPr="006A481E">
        <w:rPr>
          <w:i/>
        </w:rPr>
        <w:t>hical Sciences in Basic Outline</w:t>
      </w:r>
      <w:r>
        <w:rPr>
          <w:i/>
        </w:rPr>
        <w:t xml:space="preserve">: </w:t>
      </w:r>
      <w:r w:rsidRPr="00885B92">
        <w:rPr>
          <w:i/>
        </w:rPr>
        <w:t>Part 1</w:t>
      </w:r>
      <w:r>
        <w:rPr>
          <w:i/>
        </w:rPr>
        <w:t xml:space="preserve">; </w:t>
      </w:r>
      <w:r w:rsidRPr="00885B92">
        <w:rPr>
          <w:i/>
        </w:rPr>
        <w:t>Science of Logic</w:t>
      </w:r>
      <w:r w:rsidRPr="006A481E">
        <w:t xml:space="preserve"> (K </w:t>
      </w:r>
      <w:proofErr w:type="spellStart"/>
      <w:r w:rsidRPr="006A481E">
        <w:t>Brinkmann</w:t>
      </w:r>
      <w:proofErr w:type="spellEnd"/>
      <w:r w:rsidRPr="006A481E">
        <w:t xml:space="preserve"> and D O </w:t>
      </w:r>
      <w:proofErr w:type="spellStart"/>
      <w:r w:rsidRPr="006A481E">
        <w:t>Dahlstrom</w:t>
      </w:r>
      <w:proofErr w:type="spellEnd"/>
      <w:r w:rsidRPr="006A481E">
        <w:t xml:space="preserve"> </w:t>
      </w:r>
      <w:proofErr w:type="spellStart"/>
      <w:r w:rsidRPr="006A481E">
        <w:t>trs</w:t>
      </w:r>
      <w:proofErr w:type="spellEnd"/>
      <w:r w:rsidRPr="006A481E">
        <w:t>, Cambridge University Press 2010)</w:t>
      </w:r>
    </w:p>
  </w:footnote>
  <w:footnote w:id="120">
    <w:p w:rsidR="00787EC8" w:rsidRPr="00885B92" w:rsidRDefault="00787EC8">
      <w:pPr>
        <w:pStyle w:val="FootnoteText"/>
        <w:rPr>
          <w:i/>
          <w:lang w:val="en-US"/>
        </w:rPr>
      </w:pPr>
      <w:r>
        <w:rPr>
          <w:rStyle w:val="FootnoteReference"/>
        </w:rPr>
        <w:footnoteRef/>
      </w:r>
      <w:r>
        <w:t xml:space="preserve"> </w:t>
      </w:r>
      <w:r>
        <w:rPr>
          <w:lang w:val="en-US"/>
        </w:rPr>
        <w:t xml:space="preserve">As seen in Plato’s idealism, </w:t>
      </w:r>
      <w:r w:rsidRPr="006A481E">
        <w:rPr>
          <w:lang w:val="en-US"/>
        </w:rPr>
        <w:t xml:space="preserve">J Dunham, I Hamilton Grant, S Watson, </w:t>
      </w:r>
      <w:r w:rsidRPr="00885B92">
        <w:rPr>
          <w:i/>
          <w:lang w:val="en-US"/>
        </w:rPr>
        <w:t>Idealism: The History of a Philosophy (Routledge 2011</w:t>
      </w:r>
    </w:p>
  </w:footnote>
  <w:footnote w:id="121">
    <w:p w:rsidR="00787EC8" w:rsidRPr="00885B92" w:rsidRDefault="00787EC8">
      <w:pPr>
        <w:pStyle w:val="FootnoteText"/>
        <w:rPr>
          <w:i/>
          <w:lang w:val="en-US"/>
        </w:rPr>
      </w:pPr>
      <w:r>
        <w:rPr>
          <w:rStyle w:val="FootnoteReference"/>
        </w:rPr>
        <w:footnoteRef/>
      </w:r>
      <w:r>
        <w:t xml:space="preserve"> </w:t>
      </w:r>
      <w:r>
        <w:rPr>
          <w:lang w:val="en-US"/>
        </w:rPr>
        <w:t xml:space="preserve">J Derrida, </w:t>
      </w:r>
      <w:r>
        <w:rPr>
          <w:i/>
          <w:lang w:val="en-US"/>
        </w:rPr>
        <w:t>Dissemination</w:t>
      </w:r>
      <w:r>
        <w:rPr>
          <w:lang w:val="en-US"/>
        </w:rPr>
        <w:t xml:space="preserve"> (B Johnson </w:t>
      </w:r>
      <w:proofErr w:type="spellStart"/>
      <w:r>
        <w:rPr>
          <w:lang w:val="en-US"/>
        </w:rPr>
        <w:t>tr</w:t>
      </w:r>
      <w:proofErr w:type="spellEnd"/>
      <w:r>
        <w:rPr>
          <w:lang w:val="en-US"/>
        </w:rPr>
        <w:t>, Continuum 1972); J Derrida, ‘</w:t>
      </w:r>
      <w:r w:rsidRPr="00DD5537">
        <w:rPr>
          <w:lang w:val="en-US"/>
        </w:rPr>
        <w:t>Force of Law</w:t>
      </w:r>
      <w:r>
        <w:rPr>
          <w:lang w:val="en-US"/>
        </w:rPr>
        <w:t>’ (M</w:t>
      </w:r>
      <w:r w:rsidRPr="00DD5537">
        <w:rPr>
          <w:lang w:val="en-US"/>
        </w:rPr>
        <w:t xml:space="preserve"> </w:t>
      </w:r>
      <w:proofErr w:type="spellStart"/>
      <w:r w:rsidRPr="00DD5537">
        <w:rPr>
          <w:lang w:val="en-US"/>
        </w:rPr>
        <w:t>Quaintance</w:t>
      </w:r>
      <w:proofErr w:type="spellEnd"/>
      <w:r>
        <w:rPr>
          <w:lang w:val="en-US"/>
        </w:rPr>
        <w:t xml:space="preserve"> </w:t>
      </w:r>
      <w:proofErr w:type="spellStart"/>
      <w:r>
        <w:rPr>
          <w:lang w:val="en-US"/>
        </w:rPr>
        <w:t>tr</w:t>
      </w:r>
      <w:proofErr w:type="spellEnd"/>
      <w:r>
        <w:rPr>
          <w:lang w:val="en-US"/>
        </w:rPr>
        <w:t>) in</w:t>
      </w:r>
      <w:r w:rsidRPr="00DD5537">
        <w:rPr>
          <w:lang w:val="en-US"/>
        </w:rPr>
        <w:t xml:space="preserve"> </w:t>
      </w:r>
      <w:r>
        <w:rPr>
          <w:lang w:val="en-US"/>
        </w:rPr>
        <w:t>D</w:t>
      </w:r>
      <w:r w:rsidRPr="00DD5537">
        <w:rPr>
          <w:lang w:val="en-US"/>
        </w:rPr>
        <w:t xml:space="preserve"> Cornell, M Rosenfeld, and DG Carlson</w:t>
      </w:r>
      <w:r>
        <w:rPr>
          <w:lang w:val="en-US"/>
        </w:rPr>
        <w:t xml:space="preserve"> (</w:t>
      </w:r>
      <w:proofErr w:type="spellStart"/>
      <w:r>
        <w:rPr>
          <w:lang w:val="en-US"/>
        </w:rPr>
        <w:t>eds</w:t>
      </w:r>
      <w:proofErr w:type="spellEnd"/>
      <w:r>
        <w:rPr>
          <w:lang w:val="en-US"/>
        </w:rPr>
        <w:t>)</w:t>
      </w:r>
      <w:r w:rsidRPr="00DD5537">
        <w:rPr>
          <w:lang w:val="en-US"/>
        </w:rPr>
        <w:t xml:space="preserve"> </w:t>
      </w:r>
      <w:r w:rsidRPr="00DD5537">
        <w:rPr>
          <w:i/>
          <w:lang w:val="en-US"/>
        </w:rPr>
        <w:t>Deconstruction and the Possibility of Justice</w:t>
      </w:r>
      <w:r w:rsidRPr="00DD5537">
        <w:rPr>
          <w:lang w:val="en-US"/>
        </w:rPr>
        <w:t xml:space="preserve"> </w:t>
      </w:r>
      <w:r>
        <w:rPr>
          <w:lang w:val="en-US"/>
        </w:rPr>
        <w:t>(</w:t>
      </w:r>
      <w:r w:rsidRPr="00DD5537">
        <w:rPr>
          <w:lang w:val="en-US"/>
        </w:rPr>
        <w:t>Routledge 1992</w:t>
      </w:r>
      <w:r>
        <w:rPr>
          <w:lang w:val="en-US"/>
        </w:rPr>
        <w:t>)</w:t>
      </w:r>
      <w:r w:rsidRPr="00DD5537">
        <w:rPr>
          <w:lang w:val="en-US"/>
        </w:rPr>
        <w:t xml:space="preserve"> </w:t>
      </w:r>
    </w:p>
  </w:footnote>
  <w:footnote w:id="122">
    <w:p w:rsidR="00787EC8" w:rsidRPr="00885B92" w:rsidRDefault="00787EC8">
      <w:pPr>
        <w:pStyle w:val="FootnoteText"/>
        <w:rPr>
          <w:lang w:val="en-US"/>
        </w:rPr>
      </w:pPr>
      <w:r>
        <w:rPr>
          <w:rStyle w:val="FootnoteReference"/>
        </w:rPr>
        <w:footnoteRef/>
      </w:r>
      <w:r>
        <w:t xml:space="preserve"> </w:t>
      </w:r>
      <w:r>
        <w:rPr>
          <w:lang w:val="en-US"/>
        </w:rPr>
        <w:t>Hegel (no 119)</w:t>
      </w:r>
    </w:p>
  </w:footnote>
  <w:footnote w:id="123">
    <w:p w:rsidR="00787EC8" w:rsidRPr="00885B92" w:rsidRDefault="00787EC8">
      <w:pPr>
        <w:pStyle w:val="FootnoteText"/>
        <w:rPr>
          <w:lang w:val="en-US"/>
        </w:rPr>
      </w:pPr>
      <w:r>
        <w:rPr>
          <w:rStyle w:val="FootnoteReference"/>
        </w:rPr>
        <w:footnoteRef/>
      </w:r>
      <w:r>
        <w:t xml:space="preserve"> </w:t>
      </w:r>
      <w:r w:rsidRPr="00885B92">
        <w:rPr>
          <w:i/>
        </w:rPr>
        <w:t>ibid</w:t>
      </w:r>
    </w:p>
  </w:footnote>
  <w:footnote w:id="124">
    <w:p w:rsidR="00787EC8" w:rsidRPr="00885B92" w:rsidRDefault="00787EC8">
      <w:pPr>
        <w:pStyle w:val="FootnoteText"/>
        <w:rPr>
          <w:lang w:val="en-US"/>
        </w:rPr>
      </w:pPr>
      <w:r>
        <w:rPr>
          <w:rStyle w:val="FootnoteReference"/>
        </w:rPr>
        <w:footnoteRef/>
      </w:r>
      <w:r>
        <w:t xml:space="preserve"> P</w:t>
      </w:r>
      <w:r w:rsidRPr="005C4740">
        <w:t xml:space="preserve"> </w:t>
      </w:r>
      <w:proofErr w:type="spellStart"/>
      <w:r w:rsidRPr="005C4740">
        <w:t>Minkkinen</w:t>
      </w:r>
      <w:proofErr w:type="spellEnd"/>
      <w:r>
        <w:t xml:space="preserve">, </w:t>
      </w:r>
      <w:r>
        <w:rPr>
          <w:i/>
        </w:rPr>
        <w:t>Sovereignty, Knowledge, Law</w:t>
      </w:r>
      <w:r>
        <w:t xml:space="preserve"> (Routledge 2009) </w:t>
      </w:r>
      <w:proofErr w:type="spellStart"/>
      <w:r>
        <w:t>ch</w:t>
      </w:r>
      <w:proofErr w:type="spellEnd"/>
      <w:r>
        <w:t xml:space="preserve"> 3</w:t>
      </w:r>
    </w:p>
  </w:footnote>
  <w:footnote w:id="125">
    <w:p w:rsidR="00787EC8" w:rsidRPr="00885B92" w:rsidRDefault="00787EC8">
      <w:pPr>
        <w:pStyle w:val="FootnoteText"/>
        <w:rPr>
          <w:lang w:val="en-US"/>
        </w:rPr>
      </w:pPr>
      <w:r>
        <w:rPr>
          <w:rStyle w:val="FootnoteReference"/>
        </w:rPr>
        <w:footnoteRef/>
      </w:r>
      <w:r>
        <w:t xml:space="preserve"> J Derrida, ‘</w:t>
      </w:r>
      <w:r w:rsidRPr="00D56FBF">
        <w:t>Force of Law</w:t>
      </w:r>
      <w:r>
        <w:t>’</w:t>
      </w:r>
      <w:r w:rsidRPr="00D56FBF">
        <w:t>, in D Cornell, M</w:t>
      </w:r>
      <w:r>
        <w:t xml:space="preserve"> Rosenfeld</w:t>
      </w:r>
      <w:r w:rsidRPr="00D56FBF">
        <w:t xml:space="preserve"> and D </w:t>
      </w:r>
      <w:proofErr w:type="spellStart"/>
      <w:r w:rsidRPr="00D56FBF">
        <w:t>Gray</w:t>
      </w:r>
      <w:proofErr w:type="spellEnd"/>
      <w:r w:rsidRPr="00D56FBF">
        <w:t xml:space="preserve"> Carlson, </w:t>
      </w:r>
      <w:r w:rsidRPr="00885B92">
        <w:rPr>
          <w:i/>
        </w:rPr>
        <w:t xml:space="preserve">Deconstruction and the Possibility of Justice </w:t>
      </w:r>
      <w:r>
        <w:t>(</w:t>
      </w:r>
      <w:r w:rsidRPr="00D56FBF">
        <w:t xml:space="preserve">Mary </w:t>
      </w:r>
      <w:proofErr w:type="spellStart"/>
      <w:r w:rsidRPr="00D56FBF">
        <w:t>Quaintance</w:t>
      </w:r>
      <w:proofErr w:type="spellEnd"/>
      <w:r>
        <w:t xml:space="preserve"> </w:t>
      </w:r>
      <w:proofErr w:type="spellStart"/>
      <w:r>
        <w:t>tr</w:t>
      </w:r>
      <w:proofErr w:type="spellEnd"/>
      <w:r>
        <w:t>,</w:t>
      </w:r>
      <w:r w:rsidRPr="00D56FBF">
        <w:t xml:space="preserve"> </w:t>
      </w:r>
      <w:r>
        <w:t>Routledge</w:t>
      </w:r>
      <w:r w:rsidRPr="00D56FBF">
        <w:t xml:space="preserve"> 1992</w:t>
      </w:r>
      <w:r>
        <w:t xml:space="preserve">); J Derrida, </w:t>
      </w:r>
      <w:proofErr w:type="spellStart"/>
      <w:r>
        <w:rPr>
          <w:i/>
        </w:rPr>
        <w:t>Aporias</w:t>
      </w:r>
      <w:proofErr w:type="spellEnd"/>
      <w:r>
        <w:rPr>
          <w:i/>
        </w:rPr>
        <w:t xml:space="preserve"> </w:t>
      </w:r>
      <w:r>
        <w:t xml:space="preserve"> (Thomas </w:t>
      </w:r>
      <w:proofErr w:type="spellStart"/>
      <w:r>
        <w:t>Dutoit</w:t>
      </w:r>
      <w:proofErr w:type="spellEnd"/>
      <w:r>
        <w:t>, Stanford University Press 1993)</w:t>
      </w:r>
    </w:p>
  </w:footnote>
  <w:footnote w:id="126">
    <w:p w:rsidR="00787EC8" w:rsidRPr="00885B92" w:rsidRDefault="00787EC8">
      <w:pPr>
        <w:pStyle w:val="FootnoteText"/>
        <w:rPr>
          <w:lang w:val="en-US"/>
        </w:rPr>
      </w:pPr>
      <w:r>
        <w:rPr>
          <w:rStyle w:val="FootnoteReference"/>
        </w:rPr>
        <w:footnoteRef/>
      </w:r>
      <w:r>
        <w:t xml:space="preserve"> Craig (no 99)</w:t>
      </w:r>
    </w:p>
  </w:footnote>
  <w:footnote w:id="127">
    <w:p w:rsidR="00787EC8" w:rsidRPr="00885B92" w:rsidRDefault="00787EC8">
      <w:pPr>
        <w:pStyle w:val="FootnoteText"/>
        <w:rPr>
          <w:lang w:val="en-US"/>
        </w:rPr>
      </w:pPr>
      <w:r>
        <w:rPr>
          <w:rStyle w:val="FootnoteReference"/>
        </w:rPr>
        <w:footnoteRef/>
      </w:r>
      <w:r>
        <w:t xml:space="preserve"> This is discussed further by May in C May, ‘The rule of law as the </w:t>
      </w:r>
      <w:proofErr w:type="spellStart"/>
      <w:r w:rsidRPr="00885B92">
        <w:rPr>
          <w:i/>
        </w:rPr>
        <w:t>Grundnorm</w:t>
      </w:r>
      <w:proofErr w:type="spellEnd"/>
      <w:r>
        <w:t xml:space="preserve"> of the new constitutionalism’ in  </w:t>
      </w:r>
      <w:r w:rsidRPr="00AF33B9">
        <w:t>S Gill</w:t>
      </w:r>
      <w:r>
        <w:t xml:space="preserve"> and</w:t>
      </w:r>
      <w:r w:rsidRPr="00AF33B9">
        <w:t xml:space="preserve"> AC Cutler</w:t>
      </w:r>
      <w:r>
        <w:t xml:space="preserve"> (</w:t>
      </w:r>
      <w:proofErr w:type="spellStart"/>
      <w:r>
        <w:t>eds</w:t>
      </w:r>
      <w:proofErr w:type="spellEnd"/>
      <w:r>
        <w:t xml:space="preserve">), </w:t>
      </w:r>
      <w:r w:rsidRPr="00885B92">
        <w:rPr>
          <w:i/>
        </w:rPr>
        <w:t>New Constitutionalism and World Order</w:t>
      </w:r>
      <w:r>
        <w:t xml:space="preserve"> (Cambridge University Press 2014)</w:t>
      </w:r>
    </w:p>
  </w:footnote>
  <w:footnote w:id="128">
    <w:p w:rsidR="00787EC8" w:rsidRPr="00567BC2" w:rsidRDefault="00787EC8">
      <w:pPr>
        <w:pStyle w:val="FootnoteText"/>
        <w:rPr>
          <w:lang w:val="en-US"/>
        </w:rPr>
      </w:pPr>
      <w:r>
        <w:rPr>
          <w:rStyle w:val="FootnoteReference"/>
        </w:rPr>
        <w:footnoteRef/>
      </w:r>
      <w:r>
        <w:t xml:space="preserve"> Kant (no 4)</w:t>
      </w:r>
    </w:p>
  </w:footnote>
  <w:footnote w:id="129">
    <w:p w:rsidR="00787EC8" w:rsidRPr="00334110" w:rsidRDefault="00787EC8" w:rsidP="004C1BB1">
      <w:pPr>
        <w:pStyle w:val="FootnoteText"/>
      </w:pPr>
      <w:r>
        <w:rPr>
          <w:rStyle w:val="FootnoteReference"/>
        </w:rPr>
        <w:footnoteRef/>
      </w:r>
      <w:r>
        <w:t xml:space="preserve"> V </w:t>
      </w:r>
      <w:proofErr w:type="spellStart"/>
      <w:r>
        <w:t>Bogdanor</w:t>
      </w:r>
      <w:proofErr w:type="spellEnd"/>
      <w:r>
        <w:t xml:space="preserve">, </w:t>
      </w:r>
      <w:r w:rsidRPr="00885B92">
        <w:rPr>
          <w:i/>
        </w:rPr>
        <w:t>Beyond Brexit: Towards a British Constitution</w:t>
      </w:r>
      <w:r>
        <w:t xml:space="preserve"> (Bloomsbury 2019); M Loughlin, </w:t>
      </w:r>
      <w:r w:rsidRPr="00885B92">
        <w:rPr>
          <w:i/>
        </w:rPr>
        <w:t>Foundations of Public Law</w:t>
      </w:r>
      <w:r>
        <w:t xml:space="preserve"> (Oxf</w:t>
      </w:r>
      <w:r w:rsidR="0095207F">
        <w:t>o</w:t>
      </w:r>
      <w:r>
        <w:t xml:space="preserve">rd University Press 2010); M Johnson, </w:t>
      </w:r>
      <w:r w:rsidRPr="00296A9D">
        <w:rPr>
          <w:color w:val="000000" w:themeColor="text1"/>
          <w:lang w:val="en-US"/>
        </w:rPr>
        <w:t>‘</w:t>
      </w:r>
      <w:r w:rsidRPr="009C564D">
        <w:rPr>
          <w:color w:val="000000" w:themeColor="text1"/>
          <w:lang w:val="en-US"/>
        </w:rPr>
        <w:t>Parliamentary Sovereignty: Brexit and Schrödinger’s cat</w:t>
      </w:r>
      <w:r w:rsidRPr="00296A9D">
        <w:rPr>
          <w:color w:val="000000" w:themeColor="text1"/>
          <w:lang w:val="en-US"/>
        </w:rPr>
        <w:t xml:space="preserve">’ (University of Bristol Law School Blog, </w:t>
      </w:r>
      <w:r>
        <w:rPr>
          <w:color w:val="000000" w:themeColor="text1"/>
          <w:lang w:val="en-US"/>
        </w:rPr>
        <w:t>23 January</w:t>
      </w:r>
      <w:r w:rsidRPr="00296A9D">
        <w:rPr>
          <w:color w:val="000000" w:themeColor="text1"/>
          <w:lang w:val="en-US"/>
        </w:rPr>
        <w:t xml:space="preserve"> 201</w:t>
      </w:r>
      <w:r>
        <w:rPr>
          <w:color w:val="000000" w:themeColor="text1"/>
          <w:lang w:val="en-US"/>
        </w:rPr>
        <w:t>9</w:t>
      </w:r>
      <w:r w:rsidRPr="00296A9D">
        <w:rPr>
          <w:color w:val="000000" w:themeColor="text1"/>
          <w:lang w:val="en-US"/>
        </w:rPr>
        <w:t xml:space="preserve">) &lt; </w:t>
      </w:r>
      <w:r w:rsidRPr="009C564D">
        <w:rPr>
          <w:color w:val="000000" w:themeColor="text1"/>
          <w:lang w:val="en-US"/>
        </w:rPr>
        <w:t>https://legalresearch.blogs.bris.ac.uk/2019/01/parliamentary-sovereignty-brexit-and-schrodingers-cat/</w:t>
      </w:r>
      <w:r>
        <w:rPr>
          <w:color w:val="000000" w:themeColor="text1"/>
          <w:lang w:val="en-US"/>
        </w:rPr>
        <w:t xml:space="preserve"> &gt; accessed on the 18</w:t>
      </w:r>
      <w:r w:rsidRPr="00296A9D">
        <w:rPr>
          <w:color w:val="000000" w:themeColor="text1"/>
          <w:lang w:val="en-US"/>
        </w:rPr>
        <w:t xml:space="preserve"> </w:t>
      </w:r>
      <w:r>
        <w:rPr>
          <w:color w:val="000000" w:themeColor="text1"/>
          <w:lang w:val="en-US"/>
        </w:rPr>
        <w:t xml:space="preserve">November </w:t>
      </w:r>
      <w:r w:rsidRPr="00296A9D">
        <w:rPr>
          <w:color w:val="000000" w:themeColor="text1"/>
          <w:lang w:val="en-US"/>
        </w:rPr>
        <w:t>2019</w:t>
      </w:r>
    </w:p>
  </w:footnote>
  <w:footnote w:id="130">
    <w:p w:rsidR="00787EC8" w:rsidRPr="00296A9D" w:rsidRDefault="00787EC8" w:rsidP="003E4A5C">
      <w:pPr>
        <w:pStyle w:val="FootnoteText"/>
        <w:rPr>
          <w:color w:val="000000" w:themeColor="text1"/>
          <w:lang w:val="en-US"/>
        </w:rPr>
      </w:pPr>
      <w:r w:rsidRPr="00296A9D">
        <w:rPr>
          <w:rStyle w:val="FootnoteReference"/>
          <w:color w:val="000000" w:themeColor="text1"/>
        </w:rPr>
        <w:footnoteRef/>
      </w:r>
      <w:r w:rsidRPr="00296A9D">
        <w:rPr>
          <w:color w:val="000000" w:themeColor="text1"/>
        </w:rPr>
        <w:t xml:space="preserve"> </w:t>
      </w:r>
      <w:r w:rsidRPr="00296A9D">
        <w:rPr>
          <w:rFonts w:cs="Arial"/>
          <w:color w:val="000000" w:themeColor="text1"/>
          <w:shd w:val="clear" w:color="auto" w:fill="FFFFFF"/>
        </w:rPr>
        <w:t>MM Ballou, </w:t>
      </w:r>
      <w:r w:rsidRPr="00296A9D">
        <w:rPr>
          <w:rStyle w:val="Emphasis"/>
          <w:rFonts w:cs="Arial"/>
          <w:color w:val="000000" w:themeColor="text1"/>
          <w:shd w:val="clear" w:color="auto" w:fill="FFFFFF"/>
        </w:rPr>
        <w:t xml:space="preserve">Treasury of Thought: Forming an </w:t>
      </w:r>
      <w:proofErr w:type="spellStart"/>
      <w:r w:rsidRPr="00296A9D">
        <w:rPr>
          <w:rStyle w:val="Emphasis"/>
          <w:rFonts w:cs="Arial"/>
          <w:color w:val="000000" w:themeColor="text1"/>
          <w:shd w:val="clear" w:color="auto" w:fill="FFFFFF"/>
        </w:rPr>
        <w:t>Encyclopedia</w:t>
      </w:r>
      <w:proofErr w:type="spellEnd"/>
      <w:r w:rsidRPr="00296A9D">
        <w:rPr>
          <w:rStyle w:val="Emphasis"/>
          <w:rFonts w:cs="Arial"/>
          <w:color w:val="000000" w:themeColor="text1"/>
          <w:shd w:val="clear" w:color="auto" w:fill="FFFFFF"/>
        </w:rPr>
        <w:t xml:space="preserve"> of Quotations from Ancient and Modern Authors</w:t>
      </w:r>
      <w:r w:rsidRPr="00296A9D">
        <w:rPr>
          <w:rFonts w:cs="Arial"/>
          <w:color w:val="000000" w:themeColor="text1"/>
          <w:shd w:val="clear" w:color="auto" w:fill="FFFFFF"/>
        </w:rPr>
        <w:t> (Houghton Mifflin 1884) 521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E79D6"/>
    <w:multiLevelType w:val="multilevel"/>
    <w:tmpl w:val="BF4083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366"/>
    <w:rsid w:val="0000135A"/>
    <w:rsid w:val="000036C5"/>
    <w:rsid w:val="00007A02"/>
    <w:rsid w:val="000114CB"/>
    <w:rsid w:val="00011E39"/>
    <w:rsid w:val="00013CD3"/>
    <w:rsid w:val="0003535A"/>
    <w:rsid w:val="0003613C"/>
    <w:rsid w:val="00046579"/>
    <w:rsid w:val="00054CF4"/>
    <w:rsid w:val="00070C40"/>
    <w:rsid w:val="00077A4D"/>
    <w:rsid w:val="00077E8E"/>
    <w:rsid w:val="00095240"/>
    <w:rsid w:val="000A2F68"/>
    <w:rsid w:val="000A3E2C"/>
    <w:rsid w:val="000A5CFD"/>
    <w:rsid w:val="000A671D"/>
    <w:rsid w:val="000B3769"/>
    <w:rsid w:val="000C68FA"/>
    <w:rsid w:val="000C6EC9"/>
    <w:rsid w:val="000D1046"/>
    <w:rsid w:val="000D69B3"/>
    <w:rsid w:val="000F2220"/>
    <w:rsid w:val="001020AD"/>
    <w:rsid w:val="00107B09"/>
    <w:rsid w:val="00134AB2"/>
    <w:rsid w:val="00135968"/>
    <w:rsid w:val="00143BAB"/>
    <w:rsid w:val="00146860"/>
    <w:rsid w:val="00161610"/>
    <w:rsid w:val="00165D41"/>
    <w:rsid w:val="001717A2"/>
    <w:rsid w:val="00172570"/>
    <w:rsid w:val="00173ECF"/>
    <w:rsid w:val="0017615A"/>
    <w:rsid w:val="00181425"/>
    <w:rsid w:val="00187CF2"/>
    <w:rsid w:val="00190F74"/>
    <w:rsid w:val="001A3ACB"/>
    <w:rsid w:val="001A412B"/>
    <w:rsid w:val="001B7978"/>
    <w:rsid w:val="001C7B76"/>
    <w:rsid w:val="001D434C"/>
    <w:rsid w:val="001D5C6E"/>
    <w:rsid w:val="001D68DC"/>
    <w:rsid w:val="001D703C"/>
    <w:rsid w:val="001D7419"/>
    <w:rsid w:val="001F4F74"/>
    <w:rsid w:val="002030D0"/>
    <w:rsid w:val="0020469C"/>
    <w:rsid w:val="0021128A"/>
    <w:rsid w:val="00211E6C"/>
    <w:rsid w:val="00217717"/>
    <w:rsid w:val="002222C4"/>
    <w:rsid w:val="002318C4"/>
    <w:rsid w:val="00231DA1"/>
    <w:rsid w:val="00241964"/>
    <w:rsid w:val="00242333"/>
    <w:rsid w:val="00252F22"/>
    <w:rsid w:val="00254080"/>
    <w:rsid w:val="00254896"/>
    <w:rsid w:val="00260A0A"/>
    <w:rsid w:val="00262C3D"/>
    <w:rsid w:val="00263DA9"/>
    <w:rsid w:val="00264DEE"/>
    <w:rsid w:val="002720C5"/>
    <w:rsid w:val="002B5716"/>
    <w:rsid w:val="002B734A"/>
    <w:rsid w:val="002C1715"/>
    <w:rsid w:val="002D2EB4"/>
    <w:rsid w:val="002D448A"/>
    <w:rsid w:val="002F32C5"/>
    <w:rsid w:val="002F6ADF"/>
    <w:rsid w:val="00300255"/>
    <w:rsid w:val="00307ED4"/>
    <w:rsid w:val="00310296"/>
    <w:rsid w:val="003143E3"/>
    <w:rsid w:val="00314D38"/>
    <w:rsid w:val="003172E8"/>
    <w:rsid w:val="00334110"/>
    <w:rsid w:val="00341AE0"/>
    <w:rsid w:val="00344639"/>
    <w:rsid w:val="00352F26"/>
    <w:rsid w:val="00357C3B"/>
    <w:rsid w:val="00367CCE"/>
    <w:rsid w:val="00371485"/>
    <w:rsid w:val="00375689"/>
    <w:rsid w:val="0037569E"/>
    <w:rsid w:val="00375E26"/>
    <w:rsid w:val="00377571"/>
    <w:rsid w:val="00384A8C"/>
    <w:rsid w:val="003861FC"/>
    <w:rsid w:val="003A05A4"/>
    <w:rsid w:val="003A4C1D"/>
    <w:rsid w:val="003B0C24"/>
    <w:rsid w:val="003B19B3"/>
    <w:rsid w:val="003B40B3"/>
    <w:rsid w:val="003D255F"/>
    <w:rsid w:val="003D4CA0"/>
    <w:rsid w:val="003E0201"/>
    <w:rsid w:val="003E085F"/>
    <w:rsid w:val="003E4185"/>
    <w:rsid w:val="003E4A5C"/>
    <w:rsid w:val="003F14F7"/>
    <w:rsid w:val="0040540A"/>
    <w:rsid w:val="00410617"/>
    <w:rsid w:val="00411931"/>
    <w:rsid w:val="0041197B"/>
    <w:rsid w:val="0041207B"/>
    <w:rsid w:val="0041383A"/>
    <w:rsid w:val="00430207"/>
    <w:rsid w:val="004329F6"/>
    <w:rsid w:val="00442434"/>
    <w:rsid w:val="0044643A"/>
    <w:rsid w:val="00447793"/>
    <w:rsid w:val="00460BA5"/>
    <w:rsid w:val="00462004"/>
    <w:rsid w:val="0046293E"/>
    <w:rsid w:val="00470A4C"/>
    <w:rsid w:val="004857E7"/>
    <w:rsid w:val="00495E40"/>
    <w:rsid w:val="0049670B"/>
    <w:rsid w:val="004B10AD"/>
    <w:rsid w:val="004C0B38"/>
    <w:rsid w:val="004C1BB1"/>
    <w:rsid w:val="004C44FB"/>
    <w:rsid w:val="004E0044"/>
    <w:rsid w:val="004E19D6"/>
    <w:rsid w:val="004E537C"/>
    <w:rsid w:val="004F2BFD"/>
    <w:rsid w:val="00516DAD"/>
    <w:rsid w:val="0051773D"/>
    <w:rsid w:val="00523432"/>
    <w:rsid w:val="005251A5"/>
    <w:rsid w:val="0053048B"/>
    <w:rsid w:val="0053296D"/>
    <w:rsid w:val="005359CB"/>
    <w:rsid w:val="005418BC"/>
    <w:rsid w:val="005451F0"/>
    <w:rsid w:val="00554752"/>
    <w:rsid w:val="00560527"/>
    <w:rsid w:val="00563EA9"/>
    <w:rsid w:val="00566C54"/>
    <w:rsid w:val="00567BC2"/>
    <w:rsid w:val="00572178"/>
    <w:rsid w:val="00572A2A"/>
    <w:rsid w:val="005774B4"/>
    <w:rsid w:val="00577F27"/>
    <w:rsid w:val="00583BB8"/>
    <w:rsid w:val="005944D1"/>
    <w:rsid w:val="00597115"/>
    <w:rsid w:val="005A27AB"/>
    <w:rsid w:val="005A3462"/>
    <w:rsid w:val="005B3532"/>
    <w:rsid w:val="005C4740"/>
    <w:rsid w:val="005D1DC1"/>
    <w:rsid w:val="005D6DDD"/>
    <w:rsid w:val="005E4131"/>
    <w:rsid w:val="005E6A9C"/>
    <w:rsid w:val="005F39B3"/>
    <w:rsid w:val="00602EBA"/>
    <w:rsid w:val="0061019D"/>
    <w:rsid w:val="006267DA"/>
    <w:rsid w:val="00630546"/>
    <w:rsid w:val="006439D5"/>
    <w:rsid w:val="006560EF"/>
    <w:rsid w:val="006606D6"/>
    <w:rsid w:val="006660A2"/>
    <w:rsid w:val="00675643"/>
    <w:rsid w:val="00684065"/>
    <w:rsid w:val="00687552"/>
    <w:rsid w:val="00692C0A"/>
    <w:rsid w:val="00695310"/>
    <w:rsid w:val="006A481E"/>
    <w:rsid w:val="006C765E"/>
    <w:rsid w:val="006C7664"/>
    <w:rsid w:val="006E48A4"/>
    <w:rsid w:val="006F119D"/>
    <w:rsid w:val="007123EB"/>
    <w:rsid w:val="00713E34"/>
    <w:rsid w:val="00720F0B"/>
    <w:rsid w:val="007242E3"/>
    <w:rsid w:val="00725CFC"/>
    <w:rsid w:val="007357B7"/>
    <w:rsid w:val="007366A2"/>
    <w:rsid w:val="007420F5"/>
    <w:rsid w:val="00742312"/>
    <w:rsid w:val="0075097B"/>
    <w:rsid w:val="00754F4B"/>
    <w:rsid w:val="007571E1"/>
    <w:rsid w:val="00760681"/>
    <w:rsid w:val="00764AEC"/>
    <w:rsid w:val="007748A6"/>
    <w:rsid w:val="00777CCF"/>
    <w:rsid w:val="0078629C"/>
    <w:rsid w:val="00786B0B"/>
    <w:rsid w:val="00787EC8"/>
    <w:rsid w:val="007903B3"/>
    <w:rsid w:val="00790F6B"/>
    <w:rsid w:val="007A639A"/>
    <w:rsid w:val="007B01F7"/>
    <w:rsid w:val="007B35B5"/>
    <w:rsid w:val="007B5763"/>
    <w:rsid w:val="007B6EFF"/>
    <w:rsid w:val="007C5246"/>
    <w:rsid w:val="007D29FB"/>
    <w:rsid w:val="007E4EEB"/>
    <w:rsid w:val="007F051F"/>
    <w:rsid w:val="007F30D1"/>
    <w:rsid w:val="0080676B"/>
    <w:rsid w:val="00807E56"/>
    <w:rsid w:val="008105CF"/>
    <w:rsid w:val="00823292"/>
    <w:rsid w:val="00834176"/>
    <w:rsid w:val="00834F41"/>
    <w:rsid w:val="00844FF1"/>
    <w:rsid w:val="008549A8"/>
    <w:rsid w:val="0085704B"/>
    <w:rsid w:val="00860FE3"/>
    <w:rsid w:val="008714ED"/>
    <w:rsid w:val="0087500A"/>
    <w:rsid w:val="00875D72"/>
    <w:rsid w:val="00877EF6"/>
    <w:rsid w:val="0088040F"/>
    <w:rsid w:val="00882003"/>
    <w:rsid w:val="00885B92"/>
    <w:rsid w:val="008863D2"/>
    <w:rsid w:val="00893179"/>
    <w:rsid w:val="00895CDC"/>
    <w:rsid w:val="00896A6D"/>
    <w:rsid w:val="008B1DBF"/>
    <w:rsid w:val="008B4A09"/>
    <w:rsid w:val="008B5E8D"/>
    <w:rsid w:val="008C0230"/>
    <w:rsid w:val="008C5622"/>
    <w:rsid w:val="008C6351"/>
    <w:rsid w:val="008D1711"/>
    <w:rsid w:val="008D3395"/>
    <w:rsid w:val="008D42CC"/>
    <w:rsid w:val="008E66BE"/>
    <w:rsid w:val="008F6B7E"/>
    <w:rsid w:val="00902AF7"/>
    <w:rsid w:val="00902F01"/>
    <w:rsid w:val="009152F3"/>
    <w:rsid w:val="0091574E"/>
    <w:rsid w:val="00916472"/>
    <w:rsid w:val="0094779B"/>
    <w:rsid w:val="0095207F"/>
    <w:rsid w:val="009625B5"/>
    <w:rsid w:val="0097381D"/>
    <w:rsid w:val="00976485"/>
    <w:rsid w:val="00982C53"/>
    <w:rsid w:val="009865F5"/>
    <w:rsid w:val="0099562E"/>
    <w:rsid w:val="009A4A04"/>
    <w:rsid w:val="009B5B37"/>
    <w:rsid w:val="009C3A8E"/>
    <w:rsid w:val="009C564D"/>
    <w:rsid w:val="009D26EA"/>
    <w:rsid w:val="009D43B4"/>
    <w:rsid w:val="009D5EE5"/>
    <w:rsid w:val="009D5F4F"/>
    <w:rsid w:val="009D7252"/>
    <w:rsid w:val="009E1BB3"/>
    <w:rsid w:val="009E3F27"/>
    <w:rsid w:val="009F4F0D"/>
    <w:rsid w:val="009F68D6"/>
    <w:rsid w:val="00A04154"/>
    <w:rsid w:val="00A10048"/>
    <w:rsid w:val="00A24D41"/>
    <w:rsid w:val="00A2513D"/>
    <w:rsid w:val="00A2633F"/>
    <w:rsid w:val="00A32E5F"/>
    <w:rsid w:val="00A446D8"/>
    <w:rsid w:val="00A54767"/>
    <w:rsid w:val="00A62476"/>
    <w:rsid w:val="00A64B6A"/>
    <w:rsid w:val="00A8776D"/>
    <w:rsid w:val="00A93376"/>
    <w:rsid w:val="00A935EC"/>
    <w:rsid w:val="00AA21A5"/>
    <w:rsid w:val="00AC2C56"/>
    <w:rsid w:val="00AD6685"/>
    <w:rsid w:val="00AD6BFC"/>
    <w:rsid w:val="00AE53B4"/>
    <w:rsid w:val="00AF33B9"/>
    <w:rsid w:val="00AF7A06"/>
    <w:rsid w:val="00B118AF"/>
    <w:rsid w:val="00B124CB"/>
    <w:rsid w:val="00B14F30"/>
    <w:rsid w:val="00B178BB"/>
    <w:rsid w:val="00B224A7"/>
    <w:rsid w:val="00B403C9"/>
    <w:rsid w:val="00B45DB1"/>
    <w:rsid w:val="00B56A71"/>
    <w:rsid w:val="00B56B39"/>
    <w:rsid w:val="00B66B11"/>
    <w:rsid w:val="00B71D3C"/>
    <w:rsid w:val="00B75ECA"/>
    <w:rsid w:val="00B82750"/>
    <w:rsid w:val="00B85D96"/>
    <w:rsid w:val="00B86077"/>
    <w:rsid w:val="00B876DC"/>
    <w:rsid w:val="00B87FD0"/>
    <w:rsid w:val="00B900CE"/>
    <w:rsid w:val="00BB3759"/>
    <w:rsid w:val="00BB7848"/>
    <w:rsid w:val="00BC5974"/>
    <w:rsid w:val="00BD561E"/>
    <w:rsid w:val="00BF62DD"/>
    <w:rsid w:val="00C10D92"/>
    <w:rsid w:val="00C12366"/>
    <w:rsid w:val="00C131C7"/>
    <w:rsid w:val="00C13603"/>
    <w:rsid w:val="00C14153"/>
    <w:rsid w:val="00C17FA3"/>
    <w:rsid w:val="00C21C00"/>
    <w:rsid w:val="00C228F4"/>
    <w:rsid w:val="00C241E9"/>
    <w:rsid w:val="00C32699"/>
    <w:rsid w:val="00C406ED"/>
    <w:rsid w:val="00C50134"/>
    <w:rsid w:val="00C505B2"/>
    <w:rsid w:val="00C57DD1"/>
    <w:rsid w:val="00C71244"/>
    <w:rsid w:val="00C72340"/>
    <w:rsid w:val="00C7402F"/>
    <w:rsid w:val="00C807EA"/>
    <w:rsid w:val="00C829BB"/>
    <w:rsid w:val="00C8690D"/>
    <w:rsid w:val="00C975FC"/>
    <w:rsid w:val="00CB363F"/>
    <w:rsid w:val="00CB72A2"/>
    <w:rsid w:val="00CC3937"/>
    <w:rsid w:val="00CC5373"/>
    <w:rsid w:val="00CC5445"/>
    <w:rsid w:val="00CC797F"/>
    <w:rsid w:val="00CD62E4"/>
    <w:rsid w:val="00CD6CF9"/>
    <w:rsid w:val="00CE0C1E"/>
    <w:rsid w:val="00CE24A5"/>
    <w:rsid w:val="00CE2D41"/>
    <w:rsid w:val="00CE7054"/>
    <w:rsid w:val="00CF10FA"/>
    <w:rsid w:val="00CF50AB"/>
    <w:rsid w:val="00D022C1"/>
    <w:rsid w:val="00D025F9"/>
    <w:rsid w:val="00D0515E"/>
    <w:rsid w:val="00D22D65"/>
    <w:rsid w:val="00D2403E"/>
    <w:rsid w:val="00D25FD7"/>
    <w:rsid w:val="00D26E14"/>
    <w:rsid w:val="00D30663"/>
    <w:rsid w:val="00D32675"/>
    <w:rsid w:val="00D343C9"/>
    <w:rsid w:val="00D41437"/>
    <w:rsid w:val="00D501B2"/>
    <w:rsid w:val="00D503D0"/>
    <w:rsid w:val="00D56FBF"/>
    <w:rsid w:val="00D649FD"/>
    <w:rsid w:val="00D6563D"/>
    <w:rsid w:val="00D7063B"/>
    <w:rsid w:val="00D754C3"/>
    <w:rsid w:val="00D90D11"/>
    <w:rsid w:val="00D91785"/>
    <w:rsid w:val="00D979E5"/>
    <w:rsid w:val="00DA0FFE"/>
    <w:rsid w:val="00DA3DD6"/>
    <w:rsid w:val="00DA505E"/>
    <w:rsid w:val="00DA60C5"/>
    <w:rsid w:val="00DB5737"/>
    <w:rsid w:val="00DB66BB"/>
    <w:rsid w:val="00DB726D"/>
    <w:rsid w:val="00DC5C6F"/>
    <w:rsid w:val="00DD0098"/>
    <w:rsid w:val="00DD04BF"/>
    <w:rsid w:val="00DD17B0"/>
    <w:rsid w:val="00DD617B"/>
    <w:rsid w:val="00DF13E4"/>
    <w:rsid w:val="00E056A0"/>
    <w:rsid w:val="00E105AD"/>
    <w:rsid w:val="00E129A2"/>
    <w:rsid w:val="00E1443B"/>
    <w:rsid w:val="00E25D36"/>
    <w:rsid w:val="00E3217D"/>
    <w:rsid w:val="00E364A3"/>
    <w:rsid w:val="00E4781D"/>
    <w:rsid w:val="00E517BA"/>
    <w:rsid w:val="00E52E46"/>
    <w:rsid w:val="00E65247"/>
    <w:rsid w:val="00E664EB"/>
    <w:rsid w:val="00E70710"/>
    <w:rsid w:val="00E71F74"/>
    <w:rsid w:val="00E75BA9"/>
    <w:rsid w:val="00E90D85"/>
    <w:rsid w:val="00E94F1D"/>
    <w:rsid w:val="00EA58F8"/>
    <w:rsid w:val="00EB10A7"/>
    <w:rsid w:val="00EB5439"/>
    <w:rsid w:val="00EB7117"/>
    <w:rsid w:val="00EB73F1"/>
    <w:rsid w:val="00EC034C"/>
    <w:rsid w:val="00EE15B9"/>
    <w:rsid w:val="00EE6BDE"/>
    <w:rsid w:val="00EF3222"/>
    <w:rsid w:val="00F02513"/>
    <w:rsid w:val="00F037CE"/>
    <w:rsid w:val="00F03BC1"/>
    <w:rsid w:val="00F0711D"/>
    <w:rsid w:val="00F0777A"/>
    <w:rsid w:val="00F12739"/>
    <w:rsid w:val="00F24666"/>
    <w:rsid w:val="00F27448"/>
    <w:rsid w:val="00F31077"/>
    <w:rsid w:val="00F34062"/>
    <w:rsid w:val="00F3688B"/>
    <w:rsid w:val="00F4205B"/>
    <w:rsid w:val="00F45910"/>
    <w:rsid w:val="00F56041"/>
    <w:rsid w:val="00F627C4"/>
    <w:rsid w:val="00F65DDD"/>
    <w:rsid w:val="00F71678"/>
    <w:rsid w:val="00F72743"/>
    <w:rsid w:val="00F73826"/>
    <w:rsid w:val="00F75F31"/>
    <w:rsid w:val="00F7775F"/>
    <w:rsid w:val="00F80218"/>
    <w:rsid w:val="00F83987"/>
    <w:rsid w:val="00F857F1"/>
    <w:rsid w:val="00FA016E"/>
    <w:rsid w:val="00FA121C"/>
    <w:rsid w:val="00FA2760"/>
    <w:rsid w:val="00FA5F06"/>
    <w:rsid w:val="00FB18AC"/>
    <w:rsid w:val="00FB2BDB"/>
    <w:rsid w:val="00FC0AF6"/>
    <w:rsid w:val="00FD1145"/>
    <w:rsid w:val="00FE0141"/>
    <w:rsid w:val="00FE1E24"/>
    <w:rsid w:val="00FE39DC"/>
    <w:rsid w:val="00FE7DA4"/>
    <w:rsid w:val="00FF025B"/>
    <w:rsid w:val="00FF11D5"/>
    <w:rsid w:val="00FF6674"/>
    <w:rsid w:val="00FF7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E35768-36C2-4AAE-9B62-BFA730F9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12366"/>
    <w:pPr>
      <w:spacing w:after="0" w:line="240" w:lineRule="auto"/>
    </w:pPr>
    <w:rPr>
      <w:sz w:val="20"/>
      <w:szCs w:val="20"/>
    </w:rPr>
  </w:style>
  <w:style w:type="character" w:customStyle="1" w:styleId="FootnoteTextChar">
    <w:name w:val="Footnote Text Char"/>
    <w:basedOn w:val="DefaultParagraphFont"/>
    <w:link w:val="FootnoteText"/>
    <w:uiPriority w:val="99"/>
    <w:rsid w:val="00C12366"/>
    <w:rPr>
      <w:sz w:val="20"/>
      <w:szCs w:val="20"/>
    </w:rPr>
  </w:style>
  <w:style w:type="character" w:styleId="FootnoteReference">
    <w:name w:val="footnote reference"/>
    <w:basedOn w:val="DefaultParagraphFont"/>
    <w:uiPriority w:val="99"/>
    <w:semiHidden/>
    <w:unhideWhenUsed/>
    <w:rsid w:val="00C12366"/>
    <w:rPr>
      <w:vertAlign w:val="superscript"/>
    </w:rPr>
  </w:style>
  <w:style w:type="character" w:styleId="Emphasis">
    <w:name w:val="Emphasis"/>
    <w:basedOn w:val="DefaultParagraphFont"/>
    <w:uiPriority w:val="20"/>
    <w:qFormat/>
    <w:rsid w:val="00875D72"/>
    <w:rPr>
      <w:i/>
      <w:iCs/>
    </w:rPr>
  </w:style>
  <w:style w:type="character" w:styleId="Hyperlink">
    <w:name w:val="Hyperlink"/>
    <w:basedOn w:val="DefaultParagraphFont"/>
    <w:uiPriority w:val="99"/>
    <w:unhideWhenUsed/>
    <w:rsid w:val="00F03BC1"/>
    <w:rPr>
      <w:color w:val="0000FF"/>
      <w:u w:val="single"/>
    </w:rPr>
  </w:style>
  <w:style w:type="character" w:styleId="FollowedHyperlink">
    <w:name w:val="FollowedHyperlink"/>
    <w:basedOn w:val="DefaultParagraphFont"/>
    <w:uiPriority w:val="99"/>
    <w:semiHidden/>
    <w:unhideWhenUsed/>
    <w:rsid w:val="009C564D"/>
    <w:rPr>
      <w:color w:val="800080" w:themeColor="followedHyperlink"/>
      <w:u w:val="single"/>
    </w:rPr>
  </w:style>
  <w:style w:type="paragraph" w:styleId="BalloonText">
    <w:name w:val="Balloon Text"/>
    <w:basedOn w:val="Normal"/>
    <w:link w:val="BalloonTextChar"/>
    <w:uiPriority w:val="99"/>
    <w:semiHidden/>
    <w:unhideWhenUsed/>
    <w:rsid w:val="003B4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0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2679">
      <w:bodyDiv w:val="1"/>
      <w:marLeft w:val="0"/>
      <w:marRight w:val="0"/>
      <w:marTop w:val="0"/>
      <w:marBottom w:val="0"/>
      <w:divBdr>
        <w:top w:val="none" w:sz="0" w:space="0" w:color="auto"/>
        <w:left w:val="none" w:sz="0" w:space="0" w:color="auto"/>
        <w:bottom w:val="none" w:sz="0" w:space="0" w:color="auto"/>
        <w:right w:val="none" w:sz="0" w:space="0" w:color="auto"/>
      </w:divBdr>
    </w:div>
    <w:div w:id="145241437">
      <w:bodyDiv w:val="1"/>
      <w:marLeft w:val="0"/>
      <w:marRight w:val="0"/>
      <w:marTop w:val="0"/>
      <w:marBottom w:val="0"/>
      <w:divBdr>
        <w:top w:val="none" w:sz="0" w:space="0" w:color="auto"/>
        <w:left w:val="none" w:sz="0" w:space="0" w:color="auto"/>
        <w:bottom w:val="none" w:sz="0" w:space="0" w:color="auto"/>
        <w:right w:val="none" w:sz="0" w:space="0" w:color="auto"/>
      </w:divBdr>
    </w:div>
    <w:div w:id="343018008">
      <w:bodyDiv w:val="1"/>
      <w:marLeft w:val="0"/>
      <w:marRight w:val="0"/>
      <w:marTop w:val="0"/>
      <w:marBottom w:val="0"/>
      <w:divBdr>
        <w:top w:val="none" w:sz="0" w:space="0" w:color="auto"/>
        <w:left w:val="none" w:sz="0" w:space="0" w:color="auto"/>
        <w:bottom w:val="none" w:sz="0" w:space="0" w:color="auto"/>
        <w:right w:val="none" w:sz="0" w:space="0" w:color="auto"/>
      </w:divBdr>
    </w:div>
    <w:div w:id="376322393">
      <w:bodyDiv w:val="1"/>
      <w:marLeft w:val="0"/>
      <w:marRight w:val="0"/>
      <w:marTop w:val="0"/>
      <w:marBottom w:val="0"/>
      <w:divBdr>
        <w:top w:val="none" w:sz="0" w:space="0" w:color="auto"/>
        <w:left w:val="none" w:sz="0" w:space="0" w:color="auto"/>
        <w:bottom w:val="none" w:sz="0" w:space="0" w:color="auto"/>
        <w:right w:val="none" w:sz="0" w:space="0" w:color="auto"/>
      </w:divBdr>
    </w:div>
    <w:div w:id="383220516">
      <w:bodyDiv w:val="1"/>
      <w:marLeft w:val="0"/>
      <w:marRight w:val="0"/>
      <w:marTop w:val="0"/>
      <w:marBottom w:val="0"/>
      <w:divBdr>
        <w:top w:val="none" w:sz="0" w:space="0" w:color="auto"/>
        <w:left w:val="none" w:sz="0" w:space="0" w:color="auto"/>
        <w:bottom w:val="none" w:sz="0" w:space="0" w:color="auto"/>
        <w:right w:val="none" w:sz="0" w:space="0" w:color="auto"/>
      </w:divBdr>
    </w:div>
    <w:div w:id="415252548">
      <w:bodyDiv w:val="1"/>
      <w:marLeft w:val="0"/>
      <w:marRight w:val="0"/>
      <w:marTop w:val="0"/>
      <w:marBottom w:val="0"/>
      <w:divBdr>
        <w:top w:val="none" w:sz="0" w:space="0" w:color="auto"/>
        <w:left w:val="none" w:sz="0" w:space="0" w:color="auto"/>
        <w:bottom w:val="none" w:sz="0" w:space="0" w:color="auto"/>
        <w:right w:val="none" w:sz="0" w:space="0" w:color="auto"/>
      </w:divBdr>
    </w:div>
    <w:div w:id="535047894">
      <w:bodyDiv w:val="1"/>
      <w:marLeft w:val="0"/>
      <w:marRight w:val="0"/>
      <w:marTop w:val="0"/>
      <w:marBottom w:val="0"/>
      <w:divBdr>
        <w:top w:val="none" w:sz="0" w:space="0" w:color="auto"/>
        <w:left w:val="none" w:sz="0" w:space="0" w:color="auto"/>
        <w:bottom w:val="none" w:sz="0" w:space="0" w:color="auto"/>
        <w:right w:val="none" w:sz="0" w:space="0" w:color="auto"/>
      </w:divBdr>
    </w:div>
    <w:div w:id="578295039">
      <w:bodyDiv w:val="1"/>
      <w:marLeft w:val="0"/>
      <w:marRight w:val="0"/>
      <w:marTop w:val="0"/>
      <w:marBottom w:val="0"/>
      <w:divBdr>
        <w:top w:val="none" w:sz="0" w:space="0" w:color="auto"/>
        <w:left w:val="none" w:sz="0" w:space="0" w:color="auto"/>
        <w:bottom w:val="none" w:sz="0" w:space="0" w:color="auto"/>
        <w:right w:val="none" w:sz="0" w:space="0" w:color="auto"/>
      </w:divBdr>
    </w:div>
    <w:div w:id="596527392">
      <w:bodyDiv w:val="1"/>
      <w:marLeft w:val="0"/>
      <w:marRight w:val="0"/>
      <w:marTop w:val="0"/>
      <w:marBottom w:val="0"/>
      <w:divBdr>
        <w:top w:val="none" w:sz="0" w:space="0" w:color="auto"/>
        <w:left w:val="none" w:sz="0" w:space="0" w:color="auto"/>
        <w:bottom w:val="none" w:sz="0" w:space="0" w:color="auto"/>
        <w:right w:val="none" w:sz="0" w:space="0" w:color="auto"/>
      </w:divBdr>
    </w:div>
    <w:div w:id="643706673">
      <w:bodyDiv w:val="1"/>
      <w:marLeft w:val="0"/>
      <w:marRight w:val="0"/>
      <w:marTop w:val="0"/>
      <w:marBottom w:val="0"/>
      <w:divBdr>
        <w:top w:val="none" w:sz="0" w:space="0" w:color="auto"/>
        <w:left w:val="none" w:sz="0" w:space="0" w:color="auto"/>
        <w:bottom w:val="none" w:sz="0" w:space="0" w:color="auto"/>
        <w:right w:val="none" w:sz="0" w:space="0" w:color="auto"/>
      </w:divBdr>
    </w:div>
    <w:div w:id="658190783">
      <w:bodyDiv w:val="1"/>
      <w:marLeft w:val="0"/>
      <w:marRight w:val="0"/>
      <w:marTop w:val="0"/>
      <w:marBottom w:val="0"/>
      <w:divBdr>
        <w:top w:val="none" w:sz="0" w:space="0" w:color="auto"/>
        <w:left w:val="none" w:sz="0" w:space="0" w:color="auto"/>
        <w:bottom w:val="none" w:sz="0" w:space="0" w:color="auto"/>
        <w:right w:val="none" w:sz="0" w:space="0" w:color="auto"/>
      </w:divBdr>
    </w:div>
    <w:div w:id="711421113">
      <w:bodyDiv w:val="1"/>
      <w:marLeft w:val="0"/>
      <w:marRight w:val="0"/>
      <w:marTop w:val="0"/>
      <w:marBottom w:val="0"/>
      <w:divBdr>
        <w:top w:val="none" w:sz="0" w:space="0" w:color="auto"/>
        <w:left w:val="none" w:sz="0" w:space="0" w:color="auto"/>
        <w:bottom w:val="none" w:sz="0" w:space="0" w:color="auto"/>
        <w:right w:val="none" w:sz="0" w:space="0" w:color="auto"/>
      </w:divBdr>
    </w:div>
    <w:div w:id="732505542">
      <w:bodyDiv w:val="1"/>
      <w:marLeft w:val="0"/>
      <w:marRight w:val="0"/>
      <w:marTop w:val="0"/>
      <w:marBottom w:val="0"/>
      <w:divBdr>
        <w:top w:val="none" w:sz="0" w:space="0" w:color="auto"/>
        <w:left w:val="none" w:sz="0" w:space="0" w:color="auto"/>
        <w:bottom w:val="none" w:sz="0" w:space="0" w:color="auto"/>
        <w:right w:val="none" w:sz="0" w:space="0" w:color="auto"/>
      </w:divBdr>
    </w:div>
    <w:div w:id="745686076">
      <w:bodyDiv w:val="1"/>
      <w:marLeft w:val="0"/>
      <w:marRight w:val="0"/>
      <w:marTop w:val="0"/>
      <w:marBottom w:val="0"/>
      <w:divBdr>
        <w:top w:val="none" w:sz="0" w:space="0" w:color="auto"/>
        <w:left w:val="none" w:sz="0" w:space="0" w:color="auto"/>
        <w:bottom w:val="none" w:sz="0" w:space="0" w:color="auto"/>
        <w:right w:val="none" w:sz="0" w:space="0" w:color="auto"/>
      </w:divBdr>
    </w:div>
    <w:div w:id="926308276">
      <w:bodyDiv w:val="1"/>
      <w:marLeft w:val="0"/>
      <w:marRight w:val="0"/>
      <w:marTop w:val="0"/>
      <w:marBottom w:val="0"/>
      <w:divBdr>
        <w:top w:val="none" w:sz="0" w:space="0" w:color="auto"/>
        <w:left w:val="none" w:sz="0" w:space="0" w:color="auto"/>
        <w:bottom w:val="none" w:sz="0" w:space="0" w:color="auto"/>
        <w:right w:val="none" w:sz="0" w:space="0" w:color="auto"/>
      </w:divBdr>
    </w:div>
    <w:div w:id="1077944209">
      <w:bodyDiv w:val="1"/>
      <w:marLeft w:val="0"/>
      <w:marRight w:val="0"/>
      <w:marTop w:val="0"/>
      <w:marBottom w:val="0"/>
      <w:divBdr>
        <w:top w:val="none" w:sz="0" w:space="0" w:color="auto"/>
        <w:left w:val="none" w:sz="0" w:space="0" w:color="auto"/>
        <w:bottom w:val="none" w:sz="0" w:space="0" w:color="auto"/>
        <w:right w:val="none" w:sz="0" w:space="0" w:color="auto"/>
      </w:divBdr>
    </w:div>
    <w:div w:id="1078358746">
      <w:bodyDiv w:val="1"/>
      <w:marLeft w:val="0"/>
      <w:marRight w:val="0"/>
      <w:marTop w:val="0"/>
      <w:marBottom w:val="0"/>
      <w:divBdr>
        <w:top w:val="none" w:sz="0" w:space="0" w:color="auto"/>
        <w:left w:val="none" w:sz="0" w:space="0" w:color="auto"/>
        <w:bottom w:val="none" w:sz="0" w:space="0" w:color="auto"/>
        <w:right w:val="none" w:sz="0" w:space="0" w:color="auto"/>
      </w:divBdr>
    </w:div>
    <w:div w:id="1089813270">
      <w:bodyDiv w:val="1"/>
      <w:marLeft w:val="0"/>
      <w:marRight w:val="0"/>
      <w:marTop w:val="0"/>
      <w:marBottom w:val="0"/>
      <w:divBdr>
        <w:top w:val="none" w:sz="0" w:space="0" w:color="auto"/>
        <w:left w:val="none" w:sz="0" w:space="0" w:color="auto"/>
        <w:bottom w:val="none" w:sz="0" w:space="0" w:color="auto"/>
        <w:right w:val="none" w:sz="0" w:space="0" w:color="auto"/>
      </w:divBdr>
    </w:div>
    <w:div w:id="1141003448">
      <w:bodyDiv w:val="1"/>
      <w:marLeft w:val="0"/>
      <w:marRight w:val="0"/>
      <w:marTop w:val="0"/>
      <w:marBottom w:val="0"/>
      <w:divBdr>
        <w:top w:val="none" w:sz="0" w:space="0" w:color="auto"/>
        <w:left w:val="none" w:sz="0" w:space="0" w:color="auto"/>
        <w:bottom w:val="none" w:sz="0" w:space="0" w:color="auto"/>
        <w:right w:val="none" w:sz="0" w:space="0" w:color="auto"/>
      </w:divBdr>
    </w:div>
    <w:div w:id="1249994928">
      <w:bodyDiv w:val="1"/>
      <w:marLeft w:val="0"/>
      <w:marRight w:val="0"/>
      <w:marTop w:val="0"/>
      <w:marBottom w:val="0"/>
      <w:divBdr>
        <w:top w:val="none" w:sz="0" w:space="0" w:color="auto"/>
        <w:left w:val="none" w:sz="0" w:space="0" w:color="auto"/>
        <w:bottom w:val="none" w:sz="0" w:space="0" w:color="auto"/>
        <w:right w:val="none" w:sz="0" w:space="0" w:color="auto"/>
      </w:divBdr>
    </w:div>
    <w:div w:id="1283028105">
      <w:bodyDiv w:val="1"/>
      <w:marLeft w:val="0"/>
      <w:marRight w:val="0"/>
      <w:marTop w:val="0"/>
      <w:marBottom w:val="0"/>
      <w:divBdr>
        <w:top w:val="none" w:sz="0" w:space="0" w:color="auto"/>
        <w:left w:val="none" w:sz="0" w:space="0" w:color="auto"/>
        <w:bottom w:val="none" w:sz="0" w:space="0" w:color="auto"/>
        <w:right w:val="none" w:sz="0" w:space="0" w:color="auto"/>
      </w:divBdr>
    </w:div>
    <w:div w:id="1310554154">
      <w:bodyDiv w:val="1"/>
      <w:marLeft w:val="0"/>
      <w:marRight w:val="0"/>
      <w:marTop w:val="0"/>
      <w:marBottom w:val="0"/>
      <w:divBdr>
        <w:top w:val="none" w:sz="0" w:space="0" w:color="auto"/>
        <w:left w:val="none" w:sz="0" w:space="0" w:color="auto"/>
        <w:bottom w:val="none" w:sz="0" w:space="0" w:color="auto"/>
        <w:right w:val="none" w:sz="0" w:space="0" w:color="auto"/>
      </w:divBdr>
    </w:div>
    <w:div w:id="1319115223">
      <w:bodyDiv w:val="1"/>
      <w:marLeft w:val="0"/>
      <w:marRight w:val="0"/>
      <w:marTop w:val="0"/>
      <w:marBottom w:val="0"/>
      <w:divBdr>
        <w:top w:val="none" w:sz="0" w:space="0" w:color="auto"/>
        <w:left w:val="none" w:sz="0" w:space="0" w:color="auto"/>
        <w:bottom w:val="none" w:sz="0" w:space="0" w:color="auto"/>
        <w:right w:val="none" w:sz="0" w:space="0" w:color="auto"/>
      </w:divBdr>
    </w:div>
    <w:div w:id="1365207840">
      <w:bodyDiv w:val="1"/>
      <w:marLeft w:val="0"/>
      <w:marRight w:val="0"/>
      <w:marTop w:val="0"/>
      <w:marBottom w:val="0"/>
      <w:divBdr>
        <w:top w:val="none" w:sz="0" w:space="0" w:color="auto"/>
        <w:left w:val="none" w:sz="0" w:space="0" w:color="auto"/>
        <w:bottom w:val="none" w:sz="0" w:space="0" w:color="auto"/>
        <w:right w:val="none" w:sz="0" w:space="0" w:color="auto"/>
      </w:divBdr>
    </w:div>
    <w:div w:id="1382289360">
      <w:bodyDiv w:val="1"/>
      <w:marLeft w:val="0"/>
      <w:marRight w:val="0"/>
      <w:marTop w:val="0"/>
      <w:marBottom w:val="0"/>
      <w:divBdr>
        <w:top w:val="none" w:sz="0" w:space="0" w:color="auto"/>
        <w:left w:val="none" w:sz="0" w:space="0" w:color="auto"/>
        <w:bottom w:val="none" w:sz="0" w:space="0" w:color="auto"/>
        <w:right w:val="none" w:sz="0" w:space="0" w:color="auto"/>
      </w:divBdr>
    </w:div>
    <w:div w:id="1385371762">
      <w:bodyDiv w:val="1"/>
      <w:marLeft w:val="0"/>
      <w:marRight w:val="0"/>
      <w:marTop w:val="0"/>
      <w:marBottom w:val="0"/>
      <w:divBdr>
        <w:top w:val="none" w:sz="0" w:space="0" w:color="auto"/>
        <w:left w:val="none" w:sz="0" w:space="0" w:color="auto"/>
        <w:bottom w:val="none" w:sz="0" w:space="0" w:color="auto"/>
        <w:right w:val="none" w:sz="0" w:space="0" w:color="auto"/>
      </w:divBdr>
    </w:div>
    <w:div w:id="1404060471">
      <w:bodyDiv w:val="1"/>
      <w:marLeft w:val="0"/>
      <w:marRight w:val="0"/>
      <w:marTop w:val="0"/>
      <w:marBottom w:val="0"/>
      <w:divBdr>
        <w:top w:val="none" w:sz="0" w:space="0" w:color="auto"/>
        <w:left w:val="none" w:sz="0" w:space="0" w:color="auto"/>
        <w:bottom w:val="none" w:sz="0" w:space="0" w:color="auto"/>
        <w:right w:val="none" w:sz="0" w:space="0" w:color="auto"/>
      </w:divBdr>
    </w:div>
    <w:div w:id="1420564142">
      <w:bodyDiv w:val="1"/>
      <w:marLeft w:val="0"/>
      <w:marRight w:val="0"/>
      <w:marTop w:val="0"/>
      <w:marBottom w:val="0"/>
      <w:divBdr>
        <w:top w:val="none" w:sz="0" w:space="0" w:color="auto"/>
        <w:left w:val="none" w:sz="0" w:space="0" w:color="auto"/>
        <w:bottom w:val="none" w:sz="0" w:space="0" w:color="auto"/>
        <w:right w:val="none" w:sz="0" w:space="0" w:color="auto"/>
      </w:divBdr>
    </w:div>
    <w:div w:id="1443761269">
      <w:bodyDiv w:val="1"/>
      <w:marLeft w:val="0"/>
      <w:marRight w:val="0"/>
      <w:marTop w:val="0"/>
      <w:marBottom w:val="0"/>
      <w:divBdr>
        <w:top w:val="none" w:sz="0" w:space="0" w:color="auto"/>
        <w:left w:val="none" w:sz="0" w:space="0" w:color="auto"/>
        <w:bottom w:val="none" w:sz="0" w:space="0" w:color="auto"/>
        <w:right w:val="none" w:sz="0" w:space="0" w:color="auto"/>
      </w:divBdr>
    </w:div>
    <w:div w:id="1481800287">
      <w:bodyDiv w:val="1"/>
      <w:marLeft w:val="0"/>
      <w:marRight w:val="0"/>
      <w:marTop w:val="0"/>
      <w:marBottom w:val="0"/>
      <w:divBdr>
        <w:top w:val="none" w:sz="0" w:space="0" w:color="auto"/>
        <w:left w:val="none" w:sz="0" w:space="0" w:color="auto"/>
        <w:bottom w:val="none" w:sz="0" w:space="0" w:color="auto"/>
        <w:right w:val="none" w:sz="0" w:space="0" w:color="auto"/>
      </w:divBdr>
    </w:div>
    <w:div w:id="1499033756">
      <w:bodyDiv w:val="1"/>
      <w:marLeft w:val="0"/>
      <w:marRight w:val="0"/>
      <w:marTop w:val="0"/>
      <w:marBottom w:val="0"/>
      <w:divBdr>
        <w:top w:val="none" w:sz="0" w:space="0" w:color="auto"/>
        <w:left w:val="none" w:sz="0" w:space="0" w:color="auto"/>
        <w:bottom w:val="none" w:sz="0" w:space="0" w:color="auto"/>
        <w:right w:val="none" w:sz="0" w:space="0" w:color="auto"/>
      </w:divBdr>
    </w:div>
    <w:div w:id="1541239662">
      <w:bodyDiv w:val="1"/>
      <w:marLeft w:val="0"/>
      <w:marRight w:val="0"/>
      <w:marTop w:val="0"/>
      <w:marBottom w:val="0"/>
      <w:divBdr>
        <w:top w:val="none" w:sz="0" w:space="0" w:color="auto"/>
        <w:left w:val="none" w:sz="0" w:space="0" w:color="auto"/>
        <w:bottom w:val="none" w:sz="0" w:space="0" w:color="auto"/>
        <w:right w:val="none" w:sz="0" w:space="0" w:color="auto"/>
      </w:divBdr>
    </w:div>
    <w:div w:id="1682733961">
      <w:bodyDiv w:val="1"/>
      <w:marLeft w:val="0"/>
      <w:marRight w:val="0"/>
      <w:marTop w:val="0"/>
      <w:marBottom w:val="0"/>
      <w:divBdr>
        <w:top w:val="none" w:sz="0" w:space="0" w:color="auto"/>
        <w:left w:val="none" w:sz="0" w:space="0" w:color="auto"/>
        <w:bottom w:val="none" w:sz="0" w:space="0" w:color="auto"/>
        <w:right w:val="none" w:sz="0" w:space="0" w:color="auto"/>
      </w:divBdr>
    </w:div>
    <w:div w:id="1716612810">
      <w:bodyDiv w:val="1"/>
      <w:marLeft w:val="0"/>
      <w:marRight w:val="0"/>
      <w:marTop w:val="0"/>
      <w:marBottom w:val="0"/>
      <w:divBdr>
        <w:top w:val="none" w:sz="0" w:space="0" w:color="auto"/>
        <w:left w:val="none" w:sz="0" w:space="0" w:color="auto"/>
        <w:bottom w:val="none" w:sz="0" w:space="0" w:color="auto"/>
        <w:right w:val="none" w:sz="0" w:space="0" w:color="auto"/>
      </w:divBdr>
    </w:div>
    <w:div w:id="1733195259">
      <w:bodyDiv w:val="1"/>
      <w:marLeft w:val="0"/>
      <w:marRight w:val="0"/>
      <w:marTop w:val="0"/>
      <w:marBottom w:val="0"/>
      <w:divBdr>
        <w:top w:val="none" w:sz="0" w:space="0" w:color="auto"/>
        <w:left w:val="none" w:sz="0" w:space="0" w:color="auto"/>
        <w:bottom w:val="none" w:sz="0" w:space="0" w:color="auto"/>
        <w:right w:val="none" w:sz="0" w:space="0" w:color="auto"/>
      </w:divBdr>
    </w:div>
    <w:div w:id="1773162831">
      <w:bodyDiv w:val="1"/>
      <w:marLeft w:val="0"/>
      <w:marRight w:val="0"/>
      <w:marTop w:val="0"/>
      <w:marBottom w:val="0"/>
      <w:divBdr>
        <w:top w:val="none" w:sz="0" w:space="0" w:color="auto"/>
        <w:left w:val="none" w:sz="0" w:space="0" w:color="auto"/>
        <w:bottom w:val="none" w:sz="0" w:space="0" w:color="auto"/>
        <w:right w:val="none" w:sz="0" w:space="0" w:color="auto"/>
      </w:divBdr>
    </w:div>
    <w:div w:id="1816222567">
      <w:bodyDiv w:val="1"/>
      <w:marLeft w:val="0"/>
      <w:marRight w:val="0"/>
      <w:marTop w:val="0"/>
      <w:marBottom w:val="0"/>
      <w:divBdr>
        <w:top w:val="none" w:sz="0" w:space="0" w:color="auto"/>
        <w:left w:val="none" w:sz="0" w:space="0" w:color="auto"/>
        <w:bottom w:val="none" w:sz="0" w:space="0" w:color="auto"/>
        <w:right w:val="none" w:sz="0" w:space="0" w:color="auto"/>
      </w:divBdr>
    </w:div>
    <w:div w:id="1847212735">
      <w:bodyDiv w:val="1"/>
      <w:marLeft w:val="0"/>
      <w:marRight w:val="0"/>
      <w:marTop w:val="0"/>
      <w:marBottom w:val="0"/>
      <w:divBdr>
        <w:top w:val="none" w:sz="0" w:space="0" w:color="auto"/>
        <w:left w:val="none" w:sz="0" w:space="0" w:color="auto"/>
        <w:bottom w:val="none" w:sz="0" w:space="0" w:color="auto"/>
        <w:right w:val="none" w:sz="0" w:space="0" w:color="auto"/>
      </w:divBdr>
    </w:div>
    <w:div w:id="1875729199">
      <w:bodyDiv w:val="1"/>
      <w:marLeft w:val="0"/>
      <w:marRight w:val="0"/>
      <w:marTop w:val="0"/>
      <w:marBottom w:val="0"/>
      <w:divBdr>
        <w:top w:val="none" w:sz="0" w:space="0" w:color="auto"/>
        <w:left w:val="none" w:sz="0" w:space="0" w:color="auto"/>
        <w:bottom w:val="none" w:sz="0" w:space="0" w:color="auto"/>
        <w:right w:val="none" w:sz="0" w:space="0" w:color="auto"/>
      </w:divBdr>
      <w:divsChild>
        <w:div w:id="1061712533">
          <w:marLeft w:val="1267"/>
          <w:marRight w:val="0"/>
          <w:marTop w:val="96"/>
          <w:marBottom w:val="0"/>
          <w:divBdr>
            <w:top w:val="none" w:sz="0" w:space="0" w:color="auto"/>
            <w:left w:val="none" w:sz="0" w:space="0" w:color="auto"/>
            <w:bottom w:val="none" w:sz="0" w:space="0" w:color="auto"/>
            <w:right w:val="none" w:sz="0" w:space="0" w:color="auto"/>
          </w:divBdr>
        </w:div>
      </w:divsChild>
    </w:div>
    <w:div w:id="1875773472">
      <w:bodyDiv w:val="1"/>
      <w:marLeft w:val="0"/>
      <w:marRight w:val="0"/>
      <w:marTop w:val="0"/>
      <w:marBottom w:val="0"/>
      <w:divBdr>
        <w:top w:val="none" w:sz="0" w:space="0" w:color="auto"/>
        <w:left w:val="none" w:sz="0" w:space="0" w:color="auto"/>
        <w:bottom w:val="none" w:sz="0" w:space="0" w:color="auto"/>
        <w:right w:val="none" w:sz="0" w:space="0" w:color="auto"/>
      </w:divBdr>
    </w:div>
    <w:div w:id="2061706053">
      <w:bodyDiv w:val="1"/>
      <w:marLeft w:val="0"/>
      <w:marRight w:val="0"/>
      <w:marTop w:val="0"/>
      <w:marBottom w:val="0"/>
      <w:divBdr>
        <w:top w:val="none" w:sz="0" w:space="0" w:color="auto"/>
        <w:left w:val="none" w:sz="0" w:space="0" w:color="auto"/>
        <w:bottom w:val="none" w:sz="0" w:space="0" w:color="auto"/>
        <w:right w:val="none" w:sz="0" w:space="0" w:color="auto"/>
      </w:divBdr>
    </w:div>
    <w:div w:id="2091657211">
      <w:bodyDiv w:val="1"/>
      <w:marLeft w:val="0"/>
      <w:marRight w:val="0"/>
      <w:marTop w:val="0"/>
      <w:marBottom w:val="0"/>
      <w:divBdr>
        <w:top w:val="none" w:sz="0" w:space="0" w:color="auto"/>
        <w:left w:val="none" w:sz="0" w:space="0" w:color="auto"/>
        <w:bottom w:val="none" w:sz="0" w:space="0" w:color="auto"/>
        <w:right w:val="none" w:sz="0" w:space="0" w:color="auto"/>
      </w:divBdr>
    </w:div>
    <w:div w:id="213479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Marc_Johnson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rskinemay.parliamen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86548-8E29-4007-A599-EE69EE6B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36</Pages>
  <Words>12953</Words>
  <Characters>73835</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Johnson</dc:creator>
  <cp:lastModifiedBy>Johnson, Marc</cp:lastModifiedBy>
  <cp:revision>13</cp:revision>
  <dcterms:created xsi:type="dcterms:W3CDTF">2020-03-11T16:40:00Z</dcterms:created>
  <dcterms:modified xsi:type="dcterms:W3CDTF">2020-03-23T15:58:00Z</dcterms:modified>
</cp:coreProperties>
</file>