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0743" w14:textId="77777777" w:rsidR="002339BF" w:rsidRPr="00922B89" w:rsidRDefault="002339BF" w:rsidP="002339BF">
      <w:pPr>
        <w:spacing w:after="0" w:line="360" w:lineRule="auto"/>
        <w:rPr>
          <w:rFonts w:ascii="Source Sans Pro" w:hAnsi="Source Sans Pro"/>
          <w:b/>
          <w:bCs/>
          <w:sz w:val="24"/>
          <w:szCs w:val="24"/>
        </w:rPr>
      </w:pPr>
      <w:r w:rsidRPr="00922B89">
        <w:rPr>
          <w:rFonts w:ascii="Source Sans Pro" w:hAnsi="Source Sans Pro"/>
          <w:b/>
          <w:bCs/>
          <w:sz w:val="24"/>
          <w:szCs w:val="24"/>
        </w:rPr>
        <w:t>News</w:t>
      </w:r>
    </w:p>
    <w:p w14:paraId="41737493" w14:textId="3DEAE5C1" w:rsidR="002339BF" w:rsidRPr="00922B89" w:rsidRDefault="002339BF" w:rsidP="002339BF">
      <w:pPr>
        <w:spacing w:after="0" w:line="360" w:lineRule="auto"/>
        <w:jc w:val="center"/>
        <w:rPr>
          <w:rFonts w:ascii="Source Sans Pro" w:hAnsi="Source Sans Pro"/>
          <w:b/>
          <w:bCs/>
        </w:rPr>
      </w:pPr>
      <w:r w:rsidRPr="00922B89">
        <w:rPr>
          <w:rFonts w:ascii="Source Sans Pro" w:hAnsi="Source Sans Pro"/>
          <w:b/>
          <w:bCs/>
        </w:rPr>
        <w:t>The new era of European Association for the Study of Diabetes (EASD) clinical guidance documents</w:t>
      </w:r>
    </w:p>
    <w:p w14:paraId="054C0013" w14:textId="77777777" w:rsidR="002339BF" w:rsidRPr="00922B89" w:rsidRDefault="002339BF" w:rsidP="002339BF">
      <w:pPr>
        <w:spacing w:after="0" w:line="360" w:lineRule="auto"/>
        <w:rPr>
          <w:rFonts w:ascii="Source Sans Pro" w:hAnsi="Source Sans Pro"/>
        </w:rPr>
      </w:pPr>
    </w:p>
    <w:p w14:paraId="4FAB961E" w14:textId="77777777" w:rsidR="002339BF" w:rsidRPr="00922B89" w:rsidRDefault="002339BF" w:rsidP="002339BF">
      <w:pPr>
        <w:spacing w:after="0" w:line="360" w:lineRule="auto"/>
        <w:rPr>
          <w:rFonts w:ascii="Source Sans Pro" w:hAnsi="Source Sans Pro"/>
          <w:lang w:val="pt-PT"/>
        </w:rPr>
      </w:pPr>
      <w:r w:rsidRPr="00922B89">
        <w:rPr>
          <w:rFonts w:ascii="Source Sans Pro" w:hAnsi="Source Sans Pro"/>
          <w:lang w:val="pt-PT"/>
        </w:rPr>
        <w:t>Manuela Meireles</w:t>
      </w:r>
      <w:r w:rsidRPr="00922B89">
        <w:rPr>
          <w:rFonts w:ascii="Source Sans Pro" w:hAnsi="Source Sans Pro"/>
          <w:vertAlign w:val="superscript"/>
          <w:lang w:val="pt-PT"/>
        </w:rPr>
        <w:t>1</w:t>
      </w:r>
      <w:r w:rsidRPr="00922B89">
        <w:rPr>
          <w:rFonts w:ascii="Source Sans Pro" w:hAnsi="Source Sans Pro"/>
          <w:lang w:val="pt-PT"/>
        </w:rPr>
        <w:t>, Richard I. G. Holt</w:t>
      </w:r>
      <w:r w:rsidRPr="00922B89">
        <w:rPr>
          <w:rFonts w:ascii="Source Sans Pro" w:hAnsi="Source Sans Pro"/>
          <w:vertAlign w:val="superscript"/>
          <w:lang w:val="pt-PT"/>
        </w:rPr>
        <w:t>2,3</w:t>
      </w:r>
      <w:r w:rsidRPr="00922B89">
        <w:rPr>
          <w:rFonts w:ascii="Source Sans Pro" w:hAnsi="Source Sans Pro"/>
          <w:lang w:val="pt-PT"/>
        </w:rPr>
        <w:t>, Apostolos Tsapas</w:t>
      </w:r>
      <w:r w:rsidRPr="00922B89">
        <w:rPr>
          <w:rFonts w:ascii="Source Sans Pro" w:hAnsi="Source Sans Pro"/>
          <w:vertAlign w:val="superscript"/>
          <w:lang w:val="pt-PT"/>
        </w:rPr>
        <w:t>4,5</w:t>
      </w:r>
      <w:r w:rsidRPr="00922B89">
        <w:rPr>
          <w:rFonts w:ascii="Source Sans Pro" w:hAnsi="Source Sans Pro"/>
          <w:lang w:val="pt-PT"/>
        </w:rPr>
        <w:t>, Hindrik Mulder</w:t>
      </w:r>
      <w:r w:rsidRPr="00922B89">
        <w:rPr>
          <w:rFonts w:ascii="Source Sans Pro" w:hAnsi="Source Sans Pro"/>
          <w:vertAlign w:val="superscript"/>
          <w:lang w:val="pt-PT"/>
        </w:rPr>
        <w:t>6</w:t>
      </w:r>
      <w:r w:rsidRPr="00922B89">
        <w:rPr>
          <w:rFonts w:ascii="Source Sans Pro" w:hAnsi="Source Sans Pro"/>
          <w:lang w:val="pt-PT"/>
        </w:rPr>
        <w:t>, Chantal Mathieu</w:t>
      </w:r>
      <w:r w:rsidRPr="00922B89">
        <w:rPr>
          <w:rFonts w:ascii="Source Sans Pro" w:hAnsi="Source Sans Pro"/>
          <w:vertAlign w:val="superscript"/>
          <w:lang w:val="pt-PT"/>
        </w:rPr>
        <w:t>7</w:t>
      </w:r>
    </w:p>
    <w:p w14:paraId="04AAE61A" w14:textId="77777777" w:rsidR="002339BF" w:rsidRPr="00922B89" w:rsidRDefault="002339BF" w:rsidP="002339BF">
      <w:pPr>
        <w:spacing w:after="0" w:line="360" w:lineRule="auto"/>
        <w:jc w:val="center"/>
        <w:rPr>
          <w:rFonts w:ascii="Source Sans Pro" w:hAnsi="Source Sans Pro"/>
          <w:lang w:val="pt-PT"/>
        </w:rPr>
      </w:pPr>
    </w:p>
    <w:p w14:paraId="2B4A27D2" w14:textId="77777777" w:rsidR="002339BF" w:rsidRPr="00922B89" w:rsidRDefault="002339BF" w:rsidP="002339BF">
      <w:pPr>
        <w:spacing w:after="0" w:line="360" w:lineRule="auto"/>
        <w:rPr>
          <w:rFonts w:ascii="Source Sans Pro" w:hAnsi="Source Sans Pro"/>
        </w:rPr>
      </w:pPr>
      <w:r w:rsidRPr="00922B89">
        <w:rPr>
          <w:rFonts w:ascii="Source Sans Pro" w:hAnsi="Source Sans Pro"/>
        </w:rPr>
        <w:t>1. European Association for the Study of Diabetes, Düsseldorf, Germany</w:t>
      </w:r>
    </w:p>
    <w:p w14:paraId="56E67BDA" w14:textId="77777777" w:rsidR="002339BF" w:rsidRPr="00922B89" w:rsidRDefault="002339BF" w:rsidP="002339BF">
      <w:pPr>
        <w:spacing w:after="0" w:line="360" w:lineRule="auto"/>
        <w:rPr>
          <w:rFonts w:ascii="Source Sans Pro" w:hAnsi="Source Sans Pro"/>
        </w:rPr>
      </w:pPr>
      <w:r w:rsidRPr="00922B89">
        <w:rPr>
          <w:rFonts w:ascii="Source Sans Pro" w:hAnsi="Source Sans Pro"/>
        </w:rPr>
        <w:t>2. Human Development and Health, Faculty of Medicine, University of Southampton, Southampton, UK</w:t>
      </w:r>
    </w:p>
    <w:p w14:paraId="632A4EDB" w14:textId="4ACCA5C7" w:rsidR="002339BF" w:rsidRPr="00922B89" w:rsidRDefault="002339BF" w:rsidP="002339BF">
      <w:pPr>
        <w:spacing w:after="0" w:line="360" w:lineRule="auto"/>
        <w:rPr>
          <w:rFonts w:ascii="Source Sans Pro" w:hAnsi="Source Sans Pro"/>
        </w:rPr>
      </w:pPr>
      <w:r w:rsidRPr="00922B89">
        <w:rPr>
          <w:rFonts w:ascii="Source Sans Pro" w:hAnsi="Source Sans Pro"/>
        </w:rPr>
        <w:t>3. National Institute for Health and Care Research Southampton Biomedical Research Centre, University Hospital Southampton NHS Foundation Trust, Southampton, UK</w:t>
      </w:r>
    </w:p>
    <w:p w14:paraId="692020A4" w14:textId="77777777" w:rsidR="002339BF" w:rsidRPr="00922B89" w:rsidRDefault="002339BF" w:rsidP="002339BF">
      <w:pPr>
        <w:spacing w:after="0" w:line="360" w:lineRule="auto"/>
        <w:rPr>
          <w:rFonts w:ascii="Source Sans Pro" w:hAnsi="Source Sans Pro"/>
        </w:rPr>
      </w:pPr>
      <w:r w:rsidRPr="00922B89">
        <w:rPr>
          <w:rFonts w:ascii="Source Sans Pro" w:hAnsi="Source Sans Pro"/>
        </w:rPr>
        <w:t>4. Diabetes Centre, Second Medical Department, Aristotle University of Thessaloniki, Thessaloniki, Greece</w:t>
      </w:r>
    </w:p>
    <w:p w14:paraId="109121CD" w14:textId="77777777" w:rsidR="002339BF" w:rsidRPr="00922B89" w:rsidRDefault="002339BF" w:rsidP="002339BF">
      <w:pPr>
        <w:spacing w:after="0" w:line="360" w:lineRule="auto"/>
        <w:rPr>
          <w:rFonts w:ascii="Source Sans Pro" w:hAnsi="Source Sans Pro"/>
        </w:rPr>
      </w:pPr>
      <w:r w:rsidRPr="00922B89">
        <w:rPr>
          <w:rFonts w:ascii="Source Sans Pro" w:hAnsi="Source Sans Pro"/>
        </w:rPr>
        <w:t xml:space="preserve">5. Clinical Research and Evidence-Based Medicine Unit, Second Medical Department, Aristotle University of Thessaloniki, Thessaloniki, Greece </w:t>
      </w:r>
    </w:p>
    <w:p w14:paraId="2ACA705E" w14:textId="77777777" w:rsidR="002339BF" w:rsidRPr="00922B89" w:rsidRDefault="002339BF" w:rsidP="002339BF">
      <w:pPr>
        <w:spacing w:after="0" w:line="360" w:lineRule="auto"/>
        <w:rPr>
          <w:rFonts w:ascii="Source Sans Pro" w:hAnsi="Source Sans Pro"/>
        </w:rPr>
      </w:pPr>
      <w:r w:rsidRPr="00922B89">
        <w:rPr>
          <w:rFonts w:ascii="Source Sans Pro" w:hAnsi="Source Sans Pro"/>
        </w:rPr>
        <w:t>6. Unit of Molecular Metabolism, Lund University Diabetes Centre, Malmö, Sweden</w:t>
      </w:r>
    </w:p>
    <w:p w14:paraId="33459726" w14:textId="38710BDB" w:rsidR="002339BF" w:rsidRPr="00922B89" w:rsidRDefault="002339BF" w:rsidP="002339BF">
      <w:pPr>
        <w:spacing w:after="0" w:line="360" w:lineRule="auto"/>
        <w:rPr>
          <w:rFonts w:ascii="Source Sans Pro" w:hAnsi="Source Sans Pro"/>
          <w:lang w:val="nl-NL"/>
        </w:rPr>
      </w:pPr>
      <w:r w:rsidRPr="00922B89">
        <w:rPr>
          <w:rFonts w:ascii="Source Sans Pro" w:hAnsi="Source Sans Pro"/>
          <w:lang w:val="nl-NL"/>
        </w:rPr>
        <w:t>7. Department of Endocrinology, UZ Gasthuisberg, Katholieke Universiteit Leuven, Leuven, Belgium</w:t>
      </w:r>
    </w:p>
    <w:p w14:paraId="0FC44DD9" w14:textId="77777777" w:rsidR="002339BF" w:rsidRPr="00922B89" w:rsidRDefault="002339BF" w:rsidP="002339BF">
      <w:pPr>
        <w:spacing w:after="0" w:line="360" w:lineRule="auto"/>
        <w:rPr>
          <w:rFonts w:ascii="Source Sans Pro" w:hAnsi="Source Sans Pro"/>
          <w:lang w:val="nl-NL"/>
        </w:rPr>
      </w:pPr>
    </w:p>
    <w:p w14:paraId="78EB246B" w14:textId="77777777" w:rsidR="002339BF" w:rsidRPr="00922B89" w:rsidRDefault="002339BF" w:rsidP="002339BF">
      <w:pPr>
        <w:spacing w:after="0" w:line="360" w:lineRule="auto"/>
        <w:rPr>
          <w:rFonts w:ascii="Source Sans Pro" w:hAnsi="Source Sans Pro"/>
          <w:lang w:val="fr-FR"/>
        </w:rPr>
      </w:pPr>
      <w:r w:rsidRPr="00922B89">
        <w:rPr>
          <w:rFonts w:ascii="Source Sans Pro" w:hAnsi="Source Sans Pro"/>
          <w:lang w:val="fr-FR"/>
        </w:rPr>
        <w:t>Correspondence: Manuela Meireles, manuela.meireles@easd.org</w:t>
      </w:r>
    </w:p>
    <w:p w14:paraId="6FE10B9D" w14:textId="77777777" w:rsidR="002339BF" w:rsidRPr="00922B89" w:rsidRDefault="002339BF" w:rsidP="002339BF">
      <w:pPr>
        <w:spacing w:after="0" w:line="360" w:lineRule="auto"/>
        <w:rPr>
          <w:rFonts w:ascii="Source Sans Pro" w:hAnsi="Source Sans Pro"/>
          <w:lang w:val="fr-FR"/>
        </w:rPr>
      </w:pPr>
    </w:p>
    <w:p w14:paraId="278771DC" w14:textId="77777777" w:rsidR="002339BF" w:rsidRPr="00922B89" w:rsidRDefault="002339BF" w:rsidP="002339BF">
      <w:pPr>
        <w:spacing w:before="120" w:after="0" w:line="360" w:lineRule="auto"/>
        <w:jc w:val="both"/>
        <w:rPr>
          <w:rStyle w:val="Hyperlink"/>
          <w:rFonts w:cstheme="minorHAnsi"/>
          <w:bCs/>
          <w:color w:val="auto"/>
        </w:rPr>
      </w:pPr>
      <w:r w:rsidRPr="00922B89">
        <w:rPr>
          <w:rStyle w:val="Hyperlink"/>
          <w:rFonts w:cstheme="minorHAnsi"/>
          <w:bCs/>
          <w:color w:val="auto"/>
        </w:rPr>
        <w:t>ORCID numbers:</w:t>
      </w:r>
    </w:p>
    <w:p w14:paraId="1227C716" w14:textId="77777777" w:rsidR="002339BF" w:rsidRPr="00922B89" w:rsidRDefault="002339BF" w:rsidP="002339BF">
      <w:pPr>
        <w:spacing w:before="120" w:after="0" w:line="360" w:lineRule="auto"/>
        <w:jc w:val="both"/>
        <w:rPr>
          <w:rFonts w:cstheme="minorHAnsi"/>
          <w:bCs/>
        </w:rPr>
      </w:pPr>
      <w:r w:rsidRPr="00922B89">
        <w:rPr>
          <w:rFonts w:cstheme="minorHAnsi"/>
          <w:bCs/>
        </w:rPr>
        <w:t>Manuela Meireles:</w:t>
      </w:r>
      <w:r w:rsidRPr="00922B89">
        <w:t xml:space="preserve"> </w:t>
      </w:r>
      <w:r w:rsidRPr="00922B89">
        <w:rPr>
          <w:rFonts w:cstheme="minorHAnsi"/>
          <w:bCs/>
        </w:rPr>
        <w:t>0000-0003-3703-0011</w:t>
      </w:r>
    </w:p>
    <w:p w14:paraId="1B0D5962" w14:textId="77777777" w:rsidR="002339BF" w:rsidRPr="00922B89" w:rsidRDefault="002339BF" w:rsidP="002339BF">
      <w:pPr>
        <w:spacing w:before="120" w:after="0" w:line="360" w:lineRule="auto"/>
        <w:jc w:val="both"/>
        <w:rPr>
          <w:rFonts w:cstheme="minorHAnsi"/>
          <w:bCs/>
        </w:rPr>
      </w:pPr>
      <w:r w:rsidRPr="00922B89">
        <w:rPr>
          <w:rFonts w:cstheme="minorHAnsi"/>
          <w:bCs/>
        </w:rPr>
        <w:t>Richard I. G. Holt: 0000-0001-8911-6744</w:t>
      </w:r>
    </w:p>
    <w:p w14:paraId="6A2AB587" w14:textId="77777777" w:rsidR="002339BF" w:rsidRPr="00922B89" w:rsidRDefault="002339BF" w:rsidP="002339BF">
      <w:pPr>
        <w:spacing w:before="120" w:after="0" w:line="360" w:lineRule="auto"/>
        <w:jc w:val="both"/>
        <w:rPr>
          <w:rFonts w:cstheme="minorHAnsi"/>
          <w:bCs/>
          <w:lang w:val="sv-SE"/>
        </w:rPr>
      </w:pPr>
      <w:r w:rsidRPr="00922B89">
        <w:rPr>
          <w:rFonts w:cstheme="minorHAnsi"/>
          <w:bCs/>
          <w:lang w:val="sv-SE"/>
        </w:rPr>
        <w:t>Apostolos Tsapas: 0000-0003-0221-4072</w:t>
      </w:r>
    </w:p>
    <w:p w14:paraId="0382ED57" w14:textId="77777777" w:rsidR="002339BF" w:rsidRPr="00922B89" w:rsidRDefault="002339BF" w:rsidP="002339BF">
      <w:pPr>
        <w:spacing w:before="120" w:after="0" w:line="360" w:lineRule="auto"/>
        <w:jc w:val="both"/>
        <w:rPr>
          <w:rFonts w:cstheme="minorHAnsi"/>
          <w:bCs/>
          <w:lang w:val="sv-SE"/>
        </w:rPr>
      </w:pPr>
      <w:r w:rsidRPr="00922B89">
        <w:rPr>
          <w:rFonts w:cstheme="minorHAnsi"/>
          <w:bCs/>
          <w:lang w:val="sv-SE"/>
        </w:rPr>
        <w:t>Hindrik Mulder:</w:t>
      </w:r>
      <w:r w:rsidRPr="00922B89">
        <w:rPr>
          <w:lang w:val="sv-SE"/>
        </w:rPr>
        <w:t xml:space="preserve"> </w:t>
      </w:r>
      <w:r w:rsidRPr="00922B89">
        <w:rPr>
          <w:rFonts w:cstheme="minorHAnsi"/>
          <w:bCs/>
          <w:lang w:val="sv-SE"/>
        </w:rPr>
        <w:t>0000-0002-6593-8417</w:t>
      </w:r>
    </w:p>
    <w:p w14:paraId="50D7C84B" w14:textId="77777777" w:rsidR="002339BF" w:rsidRPr="00922B89" w:rsidRDefault="002339BF" w:rsidP="002339BF">
      <w:pPr>
        <w:spacing w:before="120" w:after="0" w:line="360" w:lineRule="auto"/>
        <w:jc w:val="both"/>
        <w:rPr>
          <w:rFonts w:cstheme="minorHAnsi"/>
          <w:bCs/>
          <w:vertAlign w:val="superscript"/>
          <w:lang w:val="sv-SE"/>
        </w:rPr>
      </w:pPr>
      <w:r w:rsidRPr="00922B89">
        <w:rPr>
          <w:rFonts w:cstheme="minorHAnsi"/>
          <w:bCs/>
          <w:lang w:val="sv-SE"/>
        </w:rPr>
        <w:t>Chantal Mathieu:</w:t>
      </w:r>
      <w:r w:rsidRPr="00922B89">
        <w:rPr>
          <w:lang w:val="sv-SE"/>
        </w:rPr>
        <w:t xml:space="preserve"> </w:t>
      </w:r>
      <w:r w:rsidRPr="00922B89">
        <w:rPr>
          <w:rFonts w:cstheme="minorHAnsi"/>
          <w:bCs/>
          <w:lang w:val="sv-SE"/>
        </w:rPr>
        <w:t>0000-0002-4055-5233</w:t>
      </w:r>
    </w:p>
    <w:p w14:paraId="012BCD1A" w14:textId="77777777" w:rsidR="002339BF" w:rsidRPr="00922B89" w:rsidRDefault="002339BF" w:rsidP="002339BF">
      <w:pPr>
        <w:spacing w:after="0" w:line="360" w:lineRule="auto"/>
        <w:rPr>
          <w:rFonts w:ascii="Source Sans Pro" w:hAnsi="Source Sans Pro"/>
          <w:lang w:val="sv-SE"/>
        </w:rPr>
      </w:pPr>
    </w:p>
    <w:p w14:paraId="0868087C" w14:textId="24319D1D" w:rsidR="002339BF" w:rsidRPr="00922B89" w:rsidRDefault="002339BF" w:rsidP="002339BF">
      <w:pPr>
        <w:spacing w:after="0" w:line="360" w:lineRule="auto"/>
        <w:rPr>
          <w:rFonts w:ascii="Source Sans Pro" w:hAnsi="Source Sans Pro"/>
        </w:rPr>
      </w:pPr>
      <w:r w:rsidRPr="00922B89">
        <w:rPr>
          <w:rFonts w:ascii="Source Sans Pro" w:hAnsi="Source Sans Pro"/>
        </w:rPr>
        <w:t>Received: 24 February 2025</w:t>
      </w:r>
    </w:p>
    <w:p w14:paraId="1A1A2CB5" w14:textId="77777777" w:rsidR="002339BF" w:rsidRPr="00922B89" w:rsidRDefault="002339BF" w:rsidP="002339BF">
      <w:pPr>
        <w:spacing w:after="0" w:line="360" w:lineRule="auto"/>
        <w:jc w:val="center"/>
        <w:rPr>
          <w:rFonts w:ascii="Source Sans Pro" w:hAnsi="Source Sans Pro"/>
        </w:rPr>
      </w:pPr>
    </w:p>
    <w:p w14:paraId="7931C872" w14:textId="77777777" w:rsidR="002339BF" w:rsidRPr="00922B89" w:rsidRDefault="002339BF" w:rsidP="002339BF">
      <w:pPr>
        <w:rPr>
          <w:rFonts w:ascii="Source Sans Pro" w:hAnsi="Source Sans Pro"/>
        </w:rPr>
      </w:pPr>
      <w:r w:rsidRPr="00922B89">
        <w:rPr>
          <w:rFonts w:ascii="Source Sans Pro" w:hAnsi="Source Sans Pro"/>
        </w:rPr>
        <w:br w:type="page"/>
      </w:r>
    </w:p>
    <w:p w14:paraId="17DADA19" w14:textId="70B7A159" w:rsidR="002339BF" w:rsidRPr="00922B89" w:rsidRDefault="002339BF" w:rsidP="002339BF">
      <w:pPr>
        <w:spacing w:after="0" w:line="360" w:lineRule="auto"/>
        <w:jc w:val="both"/>
        <w:rPr>
          <w:rFonts w:ascii="Source Sans Pro" w:hAnsi="Source Sans Pro"/>
        </w:rPr>
      </w:pPr>
      <w:bookmarkStart w:id="0" w:name="_Hlk189035580"/>
      <w:r w:rsidRPr="00922B89">
        <w:rPr>
          <w:rFonts w:ascii="Source Sans Pro" w:hAnsi="Source Sans Pro"/>
        </w:rPr>
        <w:t xml:space="preserve">The European Association for the Study of Diabetes (EASD) has for decades had a prominent role in co-producing and endorsing clinical guidance documents with other learned societies. </w:t>
      </w:r>
      <w:bookmarkEnd w:id="0"/>
      <w:r w:rsidRPr="00922B89">
        <w:rPr>
          <w:rFonts w:ascii="Source Sans Pro" w:hAnsi="Source Sans Pro"/>
        </w:rPr>
        <w:t>While we recognise the importance of working together on topics that have common relevance to different societies, we have been challenged in the past by proposed joint documents that have arrived at the EASD offices at different stages of preparation; this compromises the concept of joint effort building according to the vison of EASD experts and EASD principles.</w:t>
      </w:r>
    </w:p>
    <w:p w14:paraId="41EDB724" w14:textId="77777777" w:rsidR="002339BF" w:rsidRPr="00922B89" w:rsidRDefault="002339BF" w:rsidP="002339BF">
      <w:pPr>
        <w:spacing w:after="0" w:line="360" w:lineRule="auto"/>
        <w:jc w:val="both"/>
        <w:rPr>
          <w:rFonts w:ascii="Source Sans Pro" w:hAnsi="Source Sans Pro"/>
        </w:rPr>
      </w:pPr>
    </w:p>
    <w:p w14:paraId="5797B38C" w14:textId="2B74FC71" w:rsidR="002339BF" w:rsidRPr="00922B89" w:rsidRDefault="002339BF" w:rsidP="002339BF">
      <w:pPr>
        <w:spacing w:after="0" w:line="360" w:lineRule="auto"/>
        <w:jc w:val="both"/>
        <w:rPr>
          <w:rFonts w:ascii="Source Sans Pro" w:hAnsi="Source Sans Pro"/>
        </w:rPr>
      </w:pPr>
      <w:r w:rsidRPr="00922B89">
        <w:rPr>
          <w:rFonts w:ascii="Source Sans Pro" w:hAnsi="Source Sans Pro"/>
        </w:rPr>
        <w:t xml:space="preserve">The different types of clinical guidance documents produced by the EASD, namely clinical practice guidelines, consensus reports, position statements and expert opinion reports, are defined in an editorial published in this issue of </w:t>
      </w:r>
      <w:r w:rsidRPr="00922B89">
        <w:rPr>
          <w:rFonts w:ascii="Source Sans Pro" w:hAnsi="Source Sans Pro"/>
          <w:i/>
          <w:iCs/>
        </w:rPr>
        <w:t>Diabetologia</w:t>
      </w:r>
      <w:r w:rsidRPr="00922B89">
        <w:rPr>
          <w:rFonts w:ascii="Source Sans Pro" w:hAnsi="Source Sans Pro"/>
        </w:rPr>
        <w:t xml:space="preserve"> [1]. In this news article we provide practical information to expert leaders in diabetes on how to initiate a guidance document in collaboration with or endorsed by the EASD (Table 1). Further information, which will be regularly updated, can also be found on the EASD website (https://www.easd.org/guidelines/guidance-document-types.html). We envisage streamlining the processes involved in seeking EASD involvement in guidance documents, with the goal of improving diabetes care and prevention through the resulting reports. </w:t>
      </w:r>
    </w:p>
    <w:p w14:paraId="13C2B947" w14:textId="77777777" w:rsidR="00934A76" w:rsidRPr="00922B89" w:rsidRDefault="00934A76"/>
    <w:p w14:paraId="18A353D0" w14:textId="77777777" w:rsidR="002339BF" w:rsidRPr="00922B89" w:rsidRDefault="002339BF" w:rsidP="002339BF">
      <w:pPr>
        <w:spacing w:after="0" w:line="360" w:lineRule="auto"/>
        <w:jc w:val="both"/>
        <w:rPr>
          <w:rFonts w:ascii="Source Sans Pro" w:hAnsi="Source Sans Pro"/>
          <w:b/>
          <w:bCs/>
        </w:rPr>
      </w:pPr>
      <w:r w:rsidRPr="00922B89">
        <w:rPr>
          <w:rFonts w:ascii="Source Sans Pro" w:hAnsi="Source Sans Pro"/>
          <w:b/>
          <w:bCs/>
        </w:rPr>
        <w:t>Authors’ relationships and activities</w:t>
      </w:r>
    </w:p>
    <w:p w14:paraId="4CD31027" w14:textId="33DC1034" w:rsidR="002339BF" w:rsidRPr="00922B89" w:rsidRDefault="002339BF" w:rsidP="002339BF">
      <w:pPr>
        <w:spacing w:after="0" w:line="360" w:lineRule="auto"/>
        <w:jc w:val="both"/>
        <w:rPr>
          <w:rFonts w:ascii="Source Sans Pro" w:hAnsi="Source Sans Pro"/>
        </w:rPr>
      </w:pPr>
      <w:r w:rsidRPr="00922B89">
        <w:rPr>
          <w:rFonts w:ascii="Source Sans Pro" w:hAnsi="Source Sans Pro"/>
        </w:rPr>
        <w:t xml:space="preserve">MM is the EASD Chief Scientific Officer. RIGH is the Chair of the EASD Committee on Clinical Affairs. RIGH has received fees for lecturing from Boehringer Ingelheim, EASD, Eli Lilly, Encore, Liberum, Novo Nordisk and ROVI, and funding for conference attendance from Novo Nordisk and Eli Lilly. AT is the Chair of the EASD Guidelines Oversight Committee. AT has received support for attending meetings and/or economy travel from Bayer, Menarini and Novo Nordisk, outside the submitted work. </w:t>
      </w:r>
      <w:bookmarkStart w:id="1" w:name="_Hlk191545167"/>
      <w:r w:rsidRPr="00922B89">
        <w:rPr>
          <w:rFonts w:ascii="Source Sans Pro" w:hAnsi="Source Sans Pro"/>
        </w:rPr>
        <w:t xml:space="preserve">HM is the Editor-in-Chief of </w:t>
      </w:r>
      <w:r w:rsidRPr="00922B89">
        <w:rPr>
          <w:rFonts w:ascii="Source Sans Pro" w:hAnsi="Source Sans Pro"/>
          <w:i/>
          <w:iCs/>
        </w:rPr>
        <w:t>Diabetologia</w:t>
      </w:r>
      <w:bookmarkEnd w:id="1"/>
      <w:r w:rsidRPr="00922B89">
        <w:rPr>
          <w:rFonts w:ascii="Source Sans Pro" w:hAnsi="Source Sans Pro"/>
        </w:rPr>
        <w:t xml:space="preserve"> and CM is the President of the EASD. CM serves or has served on the advisory panels for Novo Nordisk, Sanofi, Eli Lilly, Novartis, Boehringer Ingelheim, Roche, Medtronic, Imcyse, Insulet, Biomea Fusion and Vertex. Financial compensation for these activities has been received by KU Leuven; KU Leuven has received research support for CM from Medtronic, Imcyse, Novo Nordisk, Sanofi and ActoBio Therapeutics. CM serves or has served on the speakers’ bureau for Novo Nordisk, Sanofi, Eli Lilly, Medtronic and Boehringer Ingelheim. Financial compensation for these activities has been received by KU Leuven.</w:t>
      </w:r>
    </w:p>
    <w:p w14:paraId="581F8DD8" w14:textId="77777777" w:rsidR="002339BF" w:rsidRPr="00922B89" w:rsidRDefault="002339BF" w:rsidP="002339BF">
      <w:pPr>
        <w:spacing w:before="120" w:after="0" w:line="360" w:lineRule="auto"/>
        <w:jc w:val="both"/>
        <w:rPr>
          <w:rFonts w:cstheme="minorHAnsi"/>
          <w:bCs/>
          <w:vertAlign w:val="superscript"/>
        </w:rPr>
      </w:pPr>
    </w:p>
    <w:p w14:paraId="47E12CA2" w14:textId="62F6ADC9" w:rsidR="002339BF" w:rsidRPr="00922B89" w:rsidRDefault="002339BF" w:rsidP="002339BF">
      <w:pPr>
        <w:spacing w:after="0" w:line="360" w:lineRule="auto"/>
        <w:jc w:val="both"/>
        <w:rPr>
          <w:rFonts w:ascii="Source Sans Pro" w:hAnsi="Source Sans Pro"/>
          <w:b/>
          <w:bCs/>
        </w:rPr>
      </w:pPr>
      <w:r w:rsidRPr="00922B89">
        <w:rPr>
          <w:rFonts w:ascii="Source Sans Pro" w:hAnsi="Source Sans Pro"/>
          <w:b/>
          <w:bCs/>
        </w:rPr>
        <w:t>Reference</w:t>
      </w:r>
      <w:r w:rsidR="00922B89" w:rsidRPr="00922B89">
        <w:rPr>
          <w:rFonts w:ascii="Source Sans Pro" w:hAnsi="Source Sans Pro"/>
          <w:b/>
          <w:bCs/>
        </w:rPr>
        <w:t>s</w:t>
      </w:r>
    </w:p>
    <w:p w14:paraId="453B75D7" w14:textId="4E9EE274" w:rsidR="002339BF" w:rsidRPr="00922B89" w:rsidRDefault="00F728B1" w:rsidP="00F728B1">
      <w:pPr>
        <w:spacing w:after="0" w:line="360" w:lineRule="auto"/>
        <w:jc w:val="both"/>
        <w:rPr>
          <w:rFonts w:ascii="Source Sans Pro" w:hAnsi="Source Sans Pro"/>
        </w:rPr>
      </w:pPr>
      <w:r w:rsidRPr="00922B89">
        <w:rPr>
          <w:rFonts w:ascii="Source Sans Pro" w:hAnsi="Source Sans Pro"/>
          <w:bCs/>
        </w:rPr>
        <w:t xml:space="preserve">1. </w:t>
      </w:r>
      <w:r w:rsidR="002339BF" w:rsidRPr="00922B89">
        <w:rPr>
          <w:rFonts w:ascii="Source Sans Pro" w:hAnsi="Source Sans Pro"/>
          <w:bCs/>
        </w:rPr>
        <w:t xml:space="preserve">Holt RIG, Tsapas A, Meireles M, Mulder H, Mathieu C (2025) </w:t>
      </w:r>
      <w:r w:rsidR="002339BF" w:rsidRPr="00922B89">
        <w:rPr>
          <w:rFonts w:cstheme="minorHAnsi"/>
          <w:bCs/>
        </w:rPr>
        <w:t xml:space="preserve">Clinical guidelines and guidance from the European Association for the Study of Diabetes (EASD). Diabetologia. </w:t>
      </w:r>
      <w:hyperlink r:id="rId7" w:history="1">
        <w:r w:rsidRPr="00922B89">
          <w:rPr>
            <w:rStyle w:val="Hyperlink"/>
            <w:bCs/>
            <w:color w:val="auto"/>
          </w:rPr>
          <w:t>https</w:t>
        </w:r>
        <w:r w:rsidRPr="00922B89">
          <w:rPr>
            <w:rStyle w:val="Hyperlink"/>
            <w:color w:val="auto"/>
          </w:rPr>
          <w:t>://doi.org/10.1007/s00125-025-06378-7</w:t>
        </w:r>
      </w:hyperlink>
    </w:p>
    <w:p w14:paraId="1524A395" w14:textId="1C665CD4" w:rsidR="002339BF" w:rsidRPr="00922B89" w:rsidRDefault="008F5B5A" w:rsidP="002339BF">
      <w:pPr>
        <w:spacing w:after="0" w:line="360" w:lineRule="auto"/>
        <w:jc w:val="both"/>
        <w:rPr>
          <w:rFonts w:ascii="Source Sans Pro" w:hAnsi="Source Sans Pro"/>
        </w:rPr>
        <w:sectPr w:rsidR="002339BF" w:rsidRPr="00922B89" w:rsidSect="002339BF">
          <w:footerReference w:type="default" r:id="rId8"/>
          <w:pgSz w:w="11906" w:h="16838"/>
          <w:pgMar w:top="1417" w:right="1417" w:bottom="1134" w:left="1417" w:header="708" w:footer="708" w:gutter="0"/>
          <w:cols w:space="708"/>
          <w:docGrid w:linePitch="360"/>
        </w:sectPr>
      </w:pPr>
      <w:r w:rsidRPr="00922B89">
        <w:rPr>
          <w:rFonts w:ascii="Source Sans Pro" w:hAnsi="Source Sans Pro"/>
        </w:rPr>
        <w:t>2</w:t>
      </w:r>
      <w:r w:rsidR="00F728B1" w:rsidRPr="00922B89">
        <w:rPr>
          <w:rFonts w:ascii="Source Sans Pro" w:hAnsi="Source Sans Pro"/>
        </w:rPr>
        <w:t xml:space="preserve">. Karagiannis T, Advani A, Davies MJ et al (2025) European Association for the Study of Diabetes (EASD) Standard Operating Procedure for the development of guidelines. </w:t>
      </w:r>
      <w:r w:rsidR="00F728B1" w:rsidRPr="00922B89">
        <w:rPr>
          <w:rFonts w:ascii="Source Sans Pro" w:hAnsi="Source Sans Pro"/>
          <w:lang w:val="sv-SE"/>
        </w:rPr>
        <w:t>Diabetologia https://doi.org/10.1007/s00125-025-06370-1</w:t>
      </w:r>
    </w:p>
    <w:p w14:paraId="39A442E0" w14:textId="77777777" w:rsidR="002339BF" w:rsidRPr="00922B89" w:rsidRDefault="002339BF" w:rsidP="002339BF">
      <w:pPr>
        <w:spacing w:after="0" w:line="360" w:lineRule="auto"/>
        <w:jc w:val="both"/>
        <w:rPr>
          <w:rFonts w:ascii="Source Sans Pro" w:hAnsi="Source Sans Pro"/>
        </w:rPr>
      </w:pPr>
    </w:p>
    <w:tbl>
      <w:tblPr>
        <w:tblStyle w:val="TableGrid"/>
        <w:tblW w:w="14170" w:type="dxa"/>
        <w:tblLook w:val="04A0" w:firstRow="1" w:lastRow="0" w:firstColumn="1" w:lastColumn="0" w:noHBand="0" w:noVBand="1"/>
      </w:tblPr>
      <w:tblGrid>
        <w:gridCol w:w="1048"/>
        <w:gridCol w:w="2496"/>
        <w:gridCol w:w="4253"/>
        <w:gridCol w:w="3260"/>
        <w:gridCol w:w="3113"/>
      </w:tblGrid>
      <w:tr w:rsidR="00922B89" w:rsidRPr="00922B89" w14:paraId="2454B758" w14:textId="77777777" w:rsidTr="00650CA6">
        <w:tc>
          <w:tcPr>
            <w:tcW w:w="14170" w:type="dxa"/>
            <w:gridSpan w:val="5"/>
            <w:tcBorders>
              <w:top w:val="nil"/>
              <w:left w:val="nil"/>
              <w:bottom w:val="single" w:sz="4" w:space="0" w:color="auto"/>
              <w:right w:val="nil"/>
            </w:tcBorders>
          </w:tcPr>
          <w:p w14:paraId="6DA66A9B" w14:textId="4D68AA92" w:rsidR="002339BF" w:rsidRPr="00922B89" w:rsidRDefault="002339BF" w:rsidP="00650CA6">
            <w:pPr>
              <w:rPr>
                <w:rFonts w:ascii="Source Sans Pro" w:hAnsi="Source Sans Pro"/>
                <w:b/>
                <w:bCs/>
                <w:sz w:val="18"/>
                <w:szCs w:val="18"/>
                <w:lang w:val="en-GB"/>
              </w:rPr>
            </w:pPr>
            <w:r w:rsidRPr="00922B89">
              <w:rPr>
                <w:rFonts w:ascii="Source Sans Pro" w:hAnsi="Source Sans Pro"/>
                <w:b/>
                <w:bCs/>
                <w:sz w:val="18"/>
                <w:szCs w:val="18"/>
                <w:lang w:val="en-GB"/>
              </w:rPr>
              <w:t>Table 1</w:t>
            </w:r>
            <w:r w:rsidRPr="00922B89">
              <w:rPr>
                <w:rFonts w:ascii="Source Sans Pro" w:hAnsi="Source Sans Pro"/>
                <w:sz w:val="18"/>
                <w:szCs w:val="18"/>
                <w:lang w:val="en-GB"/>
              </w:rPr>
              <w:t xml:space="preserve"> Types of EASD clinical guidance documents and how to seek EASD involvement</w:t>
            </w:r>
          </w:p>
        </w:tc>
      </w:tr>
      <w:tr w:rsidR="00922B89" w:rsidRPr="00922B89" w14:paraId="49879C32" w14:textId="77777777" w:rsidTr="00650CA6">
        <w:tc>
          <w:tcPr>
            <w:tcW w:w="1048" w:type="dxa"/>
            <w:tcBorders>
              <w:top w:val="single" w:sz="4" w:space="0" w:color="auto"/>
            </w:tcBorders>
          </w:tcPr>
          <w:p w14:paraId="610A6855" w14:textId="77777777" w:rsidR="002339BF" w:rsidRPr="00922B89" w:rsidRDefault="002339BF" w:rsidP="00650CA6">
            <w:pPr>
              <w:rPr>
                <w:rFonts w:ascii="Source Sans Pro" w:hAnsi="Source Sans Pro"/>
                <w:b/>
                <w:bCs/>
                <w:sz w:val="18"/>
                <w:szCs w:val="18"/>
              </w:rPr>
            </w:pPr>
            <w:r w:rsidRPr="00922B89">
              <w:rPr>
                <w:rFonts w:ascii="Source Sans Pro" w:hAnsi="Source Sans Pro"/>
                <w:b/>
                <w:bCs/>
                <w:sz w:val="18"/>
                <w:szCs w:val="18"/>
              </w:rPr>
              <w:t>Type of document</w:t>
            </w:r>
          </w:p>
        </w:tc>
        <w:tc>
          <w:tcPr>
            <w:tcW w:w="2496" w:type="dxa"/>
            <w:tcBorders>
              <w:top w:val="single" w:sz="4" w:space="0" w:color="auto"/>
            </w:tcBorders>
          </w:tcPr>
          <w:p w14:paraId="67517C03" w14:textId="77777777" w:rsidR="002339BF" w:rsidRPr="00922B89" w:rsidRDefault="002339BF" w:rsidP="00650CA6">
            <w:pPr>
              <w:rPr>
                <w:rFonts w:ascii="Source Sans Pro" w:hAnsi="Source Sans Pro"/>
                <w:b/>
                <w:bCs/>
                <w:sz w:val="18"/>
                <w:szCs w:val="18"/>
              </w:rPr>
            </w:pPr>
            <w:r w:rsidRPr="00922B89">
              <w:rPr>
                <w:rFonts w:ascii="Source Sans Pro" w:hAnsi="Source Sans Pro"/>
                <w:b/>
                <w:bCs/>
                <w:sz w:val="18"/>
                <w:szCs w:val="18"/>
              </w:rPr>
              <w:t>How to initiate</w:t>
            </w:r>
          </w:p>
        </w:tc>
        <w:tc>
          <w:tcPr>
            <w:tcW w:w="4253" w:type="dxa"/>
            <w:tcBorders>
              <w:top w:val="single" w:sz="4" w:space="0" w:color="auto"/>
            </w:tcBorders>
          </w:tcPr>
          <w:p w14:paraId="3C0F77F3" w14:textId="77777777" w:rsidR="002339BF" w:rsidRPr="00922B89" w:rsidRDefault="002339BF" w:rsidP="00650CA6">
            <w:pPr>
              <w:rPr>
                <w:rFonts w:ascii="Source Sans Pro" w:hAnsi="Source Sans Pro"/>
                <w:b/>
                <w:bCs/>
                <w:sz w:val="18"/>
                <w:szCs w:val="18"/>
                <w:lang w:val="en-GB"/>
              </w:rPr>
            </w:pPr>
            <w:r w:rsidRPr="00922B89">
              <w:rPr>
                <w:rFonts w:ascii="Source Sans Pro" w:hAnsi="Source Sans Pro"/>
                <w:b/>
                <w:bCs/>
                <w:sz w:val="18"/>
                <w:szCs w:val="18"/>
                <w:lang w:val="en-GB"/>
              </w:rPr>
              <w:t>What to include in a proposal</w:t>
            </w:r>
          </w:p>
        </w:tc>
        <w:tc>
          <w:tcPr>
            <w:tcW w:w="3260" w:type="dxa"/>
            <w:tcBorders>
              <w:top w:val="single" w:sz="4" w:space="0" w:color="auto"/>
            </w:tcBorders>
          </w:tcPr>
          <w:p w14:paraId="38797E98" w14:textId="77777777" w:rsidR="002339BF" w:rsidRPr="00922B89" w:rsidRDefault="002339BF" w:rsidP="00650CA6">
            <w:pPr>
              <w:rPr>
                <w:rFonts w:ascii="Source Sans Pro" w:hAnsi="Source Sans Pro"/>
                <w:b/>
                <w:bCs/>
                <w:sz w:val="18"/>
                <w:szCs w:val="18"/>
              </w:rPr>
            </w:pPr>
            <w:r w:rsidRPr="00922B89">
              <w:rPr>
                <w:rFonts w:ascii="Source Sans Pro" w:hAnsi="Source Sans Pro"/>
                <w:b/>
                <w:bCs/>
                <w:sz w:val="18"/>
                <w:szCs w:val="18"/>
              </w:rPr>
              <w:t>Criteria for EASD endorsement</w:t>
            </w:r>
          </w:p>
        </w:tc>
        <w:tc>
          <w:tcPr>
            <w:tcW w:w="3113" w:type="dxa"/>
            <w:tcBorders>
              <w:top w:val="single" w:sz="4" w:space="0" w:color="auto"/>
            </w:tcBorders>
          </w:tcPr>
          <w:p w14:paraId="27FA547A" w14:textId="77777777" w:rsidR="002339BF" w:rsidRPr="00922B89" w:rsidRDefault="002339BF" w:rsidP="00650CA6">
            <w:pPr>
              <w:rPr>
                <w:rFonts w:ascii="Source Sans Pro" w:hAnsi="Source Sans Pro"/>
                <w:b/>
                <w:bCs/>
                <w:sz w:val="18"/>
                <w:szCs w:val="18"/>
              </w:rPr>
            </w:pPr>
            <w:r w:rsidRPr="00922B89">
              <w:rPr>
                <w:rFonts w:ascii="Source Sans Pro" w:hAnsi="Source Sans Pro"/>
                <w:b/>
                <w:bCs/>
                <w:sz w:val="18"/>
                <w:szCs w:val="18"/>
              </w:rPr>
              <w:t>Publication</w:t>
            </w:r>
          </w:p>
        </w:tc>
      </w:tr>
      <w:tr w:rsidR="00922B89" w:rsidRPr="00922B89" w14:paraId="6630E55D" w14:textId="77777777" w:rsidTr="00650CA6">
        <w:tc>
          <w:tcPr>
            <w:tcW w:w="1048" w:type="dxa"/>
          </w:tcPr>
          <w:p w14:paraId="727FF5C4" w14:textId="77777777" w:rsidR="002339BF" w:rsidRPr="00922B89" w:rsidRDefault="002339BF" w:rsidP="00650CA6">
            <w:pPr>
              <w:rPr>
                <w:rFonts w:ascii="Source Sans Pro" w:hAnsi="Source Sans Pro"/>
                <w:sz w:val="18"/>
                <w:szCs w:val="18"/>
              </w:rPr>
            </w:pPr>
            <w:r w:rsidRPr="00922B89">
              <w:rPr>
                <w:rFonts w:ascii="Source Sans Pro" w:hAnsi="Source Sans Pro"/>
                <w:sz w:val="18"/>
                <w:szCs w:val="18"/>
              </w:rPr>
              <w:t>Guideline</w:t>
            </w:r>
          </w:p>
        </w:tc>
        <w:tc>
          <w:tcPr>
            <w:tcW w:w="2496" w:type="dxa"/>
          </w:tcPr>
          <w:p w14:paraId="68C8D76E" w14:textId="40CA5E99" w:rsidR="002339BF" w:rsidRPr="00922B89" w:rsidRDefault="002339BF" w:rsidP="00650CA6">
            <w:pPr>
              <w:jc w:val="both"/>
              <w:rPr>
                <w:rFonts w:ascii="Source Sans Pro" w:hAnsi="Source Sans Pro"/>
                <w:sz w:val="18"/>
                <w:szCs w:val="18"/>
                <w:lang w:val="en-GB"/>
              </w:rPr>
            </w:pPr>
            <w:r w:rsidRPr="00922B89">
              <w:rPr>
                <w:rFonts w:ascii="Source Sans Pro" w:hAnsi="Source Sans Pro"/>
                <w:sz w:val="18"/>
                <w:szCs w:val="18"/>
                <w:lang w:val="en-GB"/>
              </w:rPr>
              <w:t xml:space="preserve">Mainly initiated by the EASD according to its SOP for the development of guideline documents published in this issue of </w:t>
            </w:r>
            <w:r w:rsidRPr="00922B89">
              <w:rPr>
                <w:rFonts w:ascii="Source Sans Pro" w:hAnsi="Source Sans Pro"/>
                <w:i/>
                <w:iCs/>
                <w:sz w:val="18"/>
                <w:szCs w:val="18"/>
                <w:lang w:val="en-GB"/>
              </w:rPr>
              <w:t>Diabetologia</w:t>
            </w:r>
            <w:r w:rsidRPr="00922B89">
              <w:rPr>
                <w:rFonts w:ascii="Source Sans Pro" w:hAnsi="Source Sans Pro"/>
                <w:sz w:val="18"/>
                <w:szCs w:val="18"/>
                <w:lang w:val="en-GB"/>
              </w:rPr>
              <w:t xml:space="preserve"> [</w:t>
            </w:r>
            <w:r w:rsidR="008F5B5A" w:rsidRPr="00922B89">
              <w:rPr>
                <w:rFonts w:ascii="Source Sans Pro" w:hAnsi="Source Sans Pro"/>
                <w:sz w:val="18"/>
                <w:szCs w:val="18"/>
                <w:lang w:val="en-GB"/>
              </w:rPr>
              <w:t>2</w:t>
            </w:r>
            <w:r w:rsidRPr="00922B89">
              <w:rPr>
                <w:rFonts w:ascii="Source Sans Pro" w:hAnsi="Source Sans Pro"/>
                <w:sz w:val="18"/>
                <w:szCs w:val="18"/>
                <w:lang w:val="en-GB"/>
              </w:rPr>
              <w:t>]. Joint guidelines initiated by other entities must be willing to adhere to EASD cooperation principles [</w:t>
            </w:r>
            <w:r w:rsidR="008F5B5A" w:rsidRPr="00922B89">
              <w:rPr>
                <w:rFonts w:ascii="Source Sans Pro" w:hAnsi="Source Sans Pro"/>
                <w:sz w:val="18"/>
                <w:szCs w:val="18"/>
                <w:lang w:val="en-GB"/>
              </w:rPr>
              <w:t>2</w:t>
            </w:r>
            <w:r w:rsidRPr="00922B89">
              <w:rPr>
                <w:rFonts w:ascii="Source Sans Pro" w:hAnsi="Source Sans Pro"/>
                <w:sz w:val="18"/>
                <w:szCs w:val="18"/>
                <w:lang w:val="en-GB"/>
              </w:rPr>
              <w:t>]. Prior to development, submit a detailed proposal to the GOC via the EASD Executive Office (clinicalaffairs@easd.org)</w:t>
            </w:r>
            <w:r w:rsidR="008F5B5A" w:rsidRPr="00922B89">
              <w:rPr>
                <w:rFonts w:ascii="Source Sans Pro" w:hAnsi="Source Sans Pro"/>
                <w:sz w:val="18"/>
                <w:szCs w:val="18"/>
                <w:lang w:val="en-GB"/>
              </w:rPr>
              <w:t>.</w:t>
            </w:r>
            <w:r w:rsidRPr="00922B89">
              <w:rPr>
                <w:rFonts w:ascii="Source Sans Pro" w:hAnsi="Source Sans Pro"/>
                <w:sz w:val="18"/>
                <w:szCs w:val="18"/>
                <w:lang w:val="en-GB"/>
              </w:rPr>
              <w:t xml:space="preserve"> </w:t>
            </w:r>
          </w:p>
        </w:tc>
        <w:tc>
          <w:tcPr>
            <w:tcW w:w="4253" w:type="dxa"/>
          </w:tcPr>
          <w:p w14:paraId="7BFD9117" w14:textId="2FBF1099"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(1) The topic and outline of the guideline</w:t>
            </w:r>
          </w:p>
          <w:p w14:paraId="49B42268" w14:textId="3E2FCD4F"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(2) Information on which organisations will be included </w:t>
            </w:r>
          </w:p>
          <w:p w14:paraId="1E98BDC9" w14:textId="69679DBA"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(3) Information on the proposed composition of the writing group (associations/experts involved), including the number of representatives per organisation and the recruitment process</w:t>
            </w:r>
          </w:p>
          <w:p w14:paraId="64B57EDD" w14:textId="62B591E6"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(4)</w:t>
            </w:r>
            <w:r w:rsidRPr="00922B89">
              <w:rPr>
                <w:lang w:val="en-GB"/>
              </w:rPr>
              <w:t xml:space="preserve"> T</w:t>
            </w:r>
            <w:r w:rsidRPr="00922B89">
              <w:rPr>
                <w:rFonts w:ascii="Source Sans Pro" w:hAnsi="Source Sans Pro"/>
                <w:sz w:val="18"/>
                <w:szCs w:val="18"/>
                <w:lang w:val="en-GB"/>
              </w:rPr>
              <w:t>he role(s) and areas of expertise of those directing the guideline exercise, as well as how people with lived experience of diabetes will be involved</w:t>
            </w:r>
          </w:p>
          <w:p w14:paraId="21D0E2FE" w14:textId="5E4866B1"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(5) The envisaged timeline </w:t>
            </w:r>
          </w:p>
          <w:p w14:paraId="65A0E3AB" w14:textId="1A987CE7"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(6)</w:t>
            </w:r>
            <w:r w:rsidRPr="00922B89">
              <w:rPr>
                <w:rFonts w:ascii="Source Sans Pro" w:hAnsi="Source Sans Pro"/>
                <w:lang w:val="en-GB"/>
              </w:rPr>
              <w:t xml:space="preserve"> </w:t>
            </w:r>
            <w:r w:rsidRPr="00922B89">
              <w:rPr>
                <w:rFonts w:ascii="Source Sans Pro" w:hAnsi="Source Sans Pro"/>
                <w:sz w:val="18"/>
                <w:szCs w:val="18"/>
                <w:lang w:val="en-GB"/>
              </w:rPr>
              <w:t>Information on how the group will work together (e.g. number of online or face-to-face meetings)</w:t>
            </w:r>
          </w:p>
          <w:p w14:paraId="684AF634" w14:textId="7B5C71DA"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(7) COI forms for all proposed authors</w:t>
            </w:r>
          </w:p>
        </w:tc>
        <w:tc>
          <w:tcPr>
            <w:tcW w:w="3260" w:type="dxa"/>
            <w:shd w:val="clear" w:color="auto" w:fill="auto"/>
          </w:tcPr>
          <w:p w14:paraId="495C505E" w14:textId="12E0AE1E"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Adherence to the principles described in ‘Cooperation with other associations in guideline documents’ in the SOP [</w:t>
            </w:r>
            <w:r w:rsidR="008F5B5A" w:rsidRPr="00922B89">
              <w:rPr>
                <w:rFonts w:ascii="Source Sans Pro" w:hAnsi="Source Sans Pro"/>
                <w:sz w:val="18"/>
                <w:szCs w:val="18"/>
                <w:lang w:val="en-GB"/>
              </w:rPr>
              <w:t>2</w:t>
            </w:r>
            <w:r w:rsidRPr="00922B89">
              <w:rPr>
                <w:rFonts w:ascii="Source Sans Pro" w:hAnsi="Source Sans Pro"/>
                <w:sz w:val="18"/>
                <w:szCs w:val="18"/>
                <w:lang w:val="en-GB"/>
              </w:rPr>
              <w:t>]. The GOC will review all proposals and recommend endorsement based on the principles described in the SOP.</w:t>
            </w:r>
          </w:p>
        </w:tc>
        <w:tc>
          <w:tcPr>
            <w:tcW w:w="3113" w:type="dxa"/>
            <w:shd w:val="clear" w:color="auto" w:fill="auto"/>
          </w:tcPr>
          <w:p w14:paraId="75840E98" w14:textId="140EEF56"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OA publication in an EASD journal (subject to acceptance by the EIC; OA costs covered by the EASD) + EASD website + EASD dissemination channels.</w:t>
            </w:r>
          </w:p>
        </w:tc>
      </w:tr>
      <w:tr w:rsidR="00922B89" w:rsidRPr="00922B89" w14:paraId="5C41CB02" w14:textId="77777777" w:rsidTr="00650CA6">
        <w:tc>
          <w:tcPr>
            <w:tcW w:w="1048" w:type="dxa"/>
          </w:tcPr>
          <w:p w14:paraId="7CDBFC45" w14:textId="1C00788E" w:rsidR="002339BF" w:rsidRPr="00922B89" w:rsidRDefault="002339BF" w:rsidP="00650CA6">
            <w:pPr>
              <w:rPr>
                <w:rFonts w:ascii="Source Sans Pro" w:hAnsi="Source Sans Pro"/>
                <w:sz w:val="18"/>
                <w:szCs w:val="18"/>
              </w:rPr>
            </w:pPr>
            <w:r w:rsidRPr="00922B89">
              <w:rPr>
                <w:rFonts w:ascii="Source Sans Pro" w:hAnsi="Source Sans Pro"/>
                <w:sz w:val="18"/>
                <w:szCs w:val="18"/>
              </w:rPr>
              <w:t>Consensus report</w:t>
            </w:r>
          </w:p>
        </w:tc>
        <w:tc>
          <w:tcPr>
            <w:tcW w:w="2496" w:type="dxa"/>
          </w:tcPr>
          <w:p w14:paraId="1E69DAF4" w14:textId="7C6779CB"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Prior to development, submit a detailed proposal to the CCA via the EASD Executive Office (clinicalaffairs@easd.org)</w:t>
            </w:r>
            <w:r w:rsidR="008F5B5A" w:rsidRPr="00922B89">
              <w:rPr>
                <w:rFonts w:ascii="Source Sans Pro" w:hAnsi="Source Sans Pro"/>
                <w:sz w:val="18"/>
                <w:szCs w:val="18"/>
                <w:lang w:val="en-GB"/>
              </w:rPr>
              <w:t>.</w:t>
            </w:r>
          </w:p>
        </w:tc>
        <w:tc>
          <w:tcPr>
            <w:tcW w:w="4253" w:type="dxa"/>
          </w:tcPr>
          <w:p w14:paraId="5E018E18" w14:textId="44523D43"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(1) The topic and outline of the consensus report</w:t>
            </w:r>
          </w:p>
          <w:p w14:paraId="7CB5052F" w14:textId="38ABFA4E"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(2) Information on which organisations will be included </w:t>
            </w:r>
          </w:p>
          <w:p w14:paraId="4794CD71" w14:textId="33EAB466"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(3) Information on the proposed composition of the writing group (associations/experts involved), including the number of representatives per organisation and the recruitment process. </w:t>
            </w:r>
          </w:p>
          <w:p w14:paraId="329A3B26" w14:textId="33F0E8B4"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(4)The role(s) and areas of expertise of those directing the consensus exercise, as well as how people with lived experience of diabetes will be involved</w:t>
            </w:r>
          </w:p>
          <w:p w14:paraId="61DBE523" w14:textId="0787672C"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(5) The envisaged timeline</w:t>
            </w:r>
          </w:p>
          <w:p w14:paraId="4BF262BB" w14:textId="3E99C5DB"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(6) Information on how the group will work together (e.g. number of online or face-to-face meetings) and the methods that will be used and the steps that will be taken to gather panellist input and reach consensus (e.g. Delphi method, RAND/UCLA appropriateness method, nominal group technique) </w:t>
            </w:r>
          </w:p>
          <w:p w14:paraId="2CC272CE" w14:textId="4D7BFA53"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(7) COI forms for all proposed authors</w:t>
            </w:r>
          </w:p>
        </w:tc>
        <w:tc>
          <w:tcPr>
            <w:tcW w:w="3260" w:type="dxa"/>
            <w:shd w:val="clear" w:color="auto" w:fill="auto"/>
          </w:tcPr>
          <w:p w14:paraId="1895299D" w14:textId="1AA4D3C3"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The EASD should be involved at an early stage of development and before writing begins. The CCA will review each proposal and recommend endorsement based on novelty, relevance, importance and topicality. Proposals arriving at a later stage in the process will be handled as expert opinion reports. On a case-by-case basis, a request for endorsement by the EASD as an international consensus report may be considered, </w:t>
            </w:r>
            <w:proofErr w:type="gramStart"/>
            <w:r w:rsidRPr="00922B89">
              <w:rPr>
                <w:rFonts w:ascii="Source Sans Pro" w:hAnsi="Source Sans Pro"/>
                <w:sz w:val="18"/>
                <w:szCs w:val="18"/>
                <w:lang w:val="en-GB"/>
              </w:rPr>
              <w:t>provided that</w:t>
            </w:r>
            <w:proofErr w:type="gramEnd"/>
            <w:r w:rsidRPr="00922B89">
              <w:rPr>
                <w:rFonts w:ascii="Source Sans Pro" w:hAnsi="Source Sans Pro"/>
                <w:sz w:val="18"/>
                <w:szCs w:val="18"/>
                <w:lang w:val="en-GB"/>
              </w:rPr>
              <w:t xml:space="preserve"> ACCORD and/or other appropriate methodologies were used in development.</w:t>
            </w:r>
          </w:p>
        </w:tc>
        <w:tc>
          <w:tcPr>
            <w:tcW w:w="3113" w:type="dxa"/>
            <w:shd w:val="clear" w:color="auto" w:fill="auto"/>
          </w:tcPr>
          <w:p w14:paraId="2D6A2608" w14:textId="274DC210"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OA publication in an EASD journal (subject to acceptance by the EIC; OA costs covered by the EASD) + EASD website + EASD dissemination channels. </w:t>
            </w:r>
          </w:p>
        </w:tc>
      </w:tr>
      <w:tr w:rsidR="00922B89" w:rsidRPr="00922B89" w14:paraId="55B26990" w14:textId="77777777" w:rsidTr="00650CA6">
        <w:tc>
          <w:tcPr>
            <w:tcW w:w="1048" w:type="dxa"/>
          </w:tcPr>
          <w:p w14:paraId="6315FE37" w14:textId="350650B4" w:rsidR="002339BF" w:rsidRPr="00922B89" w:rsidRDefault="002339BF" w:rsidP="00650CA6">
            <w:pPr>
              <w:rPr>
                <w:rFonts w:ascii="Source Sans Pro" w:hAnsi="Source Sans Pro"/>
                <w:sz w:val="18"/>
                <w:szCs w:val="18"/>
              </w:rPr>
            </w:pPr>
            <w:r w:rsidRPr="00922B89">
              <w:rPr>
                <w:rFonts w:ascii="Source Sans Pro" w:hAnsi="Source Sans Pro"/>
                <w:sz w:val="18"/>
                <w:szCs w:val="18"/>
              </w:rPr>
              <w:t>Position statement</w:t>
            </w:r>
          </w:p>
        </w:tc>
        <w:tc>
          <w:tcPr>
            <w:tcW w:w="2496" w:type="dxa"/>
          </w:tcPr>
          <w:p w14:paraId="5DC672CC" w14:textId="11EE558B"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Prior to development, submit a detailed proposal to the CCA via the EASD Executive Office (clinicalaffairs@easd.org)</w:t>
            </w:r>
            <w:r w:rsidR="008F5B5A" w:rsidRPr="00922B89">
              <w:rPr>
                <w:rFonts w:ascii="Source Sans Pro" w:hAnsi="Source Sans Pro"/>
                <w:sz w:val="18"/>
                <w:szCs w:val="18"/>
                <w:lang w:val="en-GB"/>
              </w:rPr>
              <w:t>.</w:t>
            </w:r>
            <w:r w:rsidRPr="00922B89">
              <w:rPr>
                <w:rFonts w:ascii="Source Sans Pro" w:hAnsi="Source Sans Pro"/>
                <w:sz w:val="18"/>
                <w:szCs w:val="18"/>
                <w:lang w:val="en-GB"/>
              </w:rPr>
              <w:t xml:space="preserve"> </w:t>
            </w:r>
          </w:p>
        </w:tc>
        <w:tc>
          <w:tcPr>
            <w:tcW w:w="4253" w:type="dxa"/>
          </w:tcPr>
          <w:p w14:paraId="212EEEC0" w14:textId="14805EF0"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(1) The topic and outline of the position statement</w:t>
            </w:r>
          </w:p>
          <w:p w14:paraId="208A1225" w14:textId="34684521"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(2) Information on which organisations will be included </w:t>
            </w:r>
          </w:p>
          <w:p w14:paraId="6BE6D979" w14:textId="5D3E6067"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(3) Information on the composition of the writing group (associations/experts involved), including the number of representatives per organisation. </w:t>
            </w:r>
            <w:bookmarkStart w:id="2" w:name="_Hlk192863644"/>
          </w:p>
          <w:p w14:paraId="1231F477" w14:textId="0D0C181F"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(4) Information on plans to involve people with lived experience of diabetes </w:t>
            </w:r>
            <w:bookmarkEnd w:id="2"/>
          </w:p>
          <w:p w14:paraId="217C364D" w14:textId="67EF12F3"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(5) The envisaged timeline </w:t>
            </w:r>
          </w:p>
          <w:p w14:paraId="353BDCDF" w14:textId="391B4338"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(6) COI forms for all proposed authors</w:t>
            </w:r>
          </w:p>
        </w:tc>
        <w:tc>
          <w:tcPr>
            <w:tcW w:w="3260" w:type="dxa"/>
            <w:shd w:val="clear" w:color="auto" w:fill="auto"/>
          </w:tcPr>
          <w:p w14:paraId="263D50B3" w14:textId="4F553D64"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The EASD should be involved at an early stage of development and before writing begins. The CCA will review each proposal and recommend endorsement based on novelty, relevance, importance and topicality. Proposals arriving at a later stage in the process will be treated as expert opinion reports.</w:t>
            </w:r>
          </w:p>
        </w:tc>
        <w:tc>
          <w:tcPr>
            <w:tcW w:w="3113" w:type="dxa"/>
            <w:shd w:val="clear" w:color="auto" w:fill="auto"/>
          </w:tcPr>
          <w:p w14:paraId="194DB8AC" w14:textId="50B348C0" w:rsidR="002339BF" w:rsidRPr="00922B89" w:rsidRDefault="002339BF" w:rsidP="00650CA6">
            <w:pPr>
              <w:rPr>
                <w:rFonts w:ascii="Source Sans Pro" w:hAnsi="Source Sans Pro"/>
                <w:sz w:val="18"/>
                <w:szCs w:val="18"/>
                <w:highlight w:val="yellow"/>
                <w:lang w:val="en-GB"/>
              </w:rPr>
            </w:pPr>
            <w:r w:rsidRPr="00922B89">
              <w:rPr>
                <w:rFonts w:ascii="Source Sans Pro" w:hAnsi="Source Sans Pro"/>
                <w:sz w:val="18"/>
                <w:szCs w:val="18"/>
                <w:lang w:val="en-GB"/>
              </w:rPr>
              <w:t xml:space="preserve">EASD website + EASD dissemination channels; the CCA/EASD Board will advise on publication (OA costs covered by the EASD). </w:t>
            </w:r>
          </w:p>
        </w:tc>
      </w:tr>
      <w:tr w:rsidR="00922B89" w:rsidRPr="00922B89" w14:paraId="3D648598" w14:textId="77777777" w:rsidTr="00650CA6">
        <w:tc>
          <w:tcPr>
            <w:tcW w:w="1048" w:type="dxa"/>
            <w:tcBorders>
              <w:bottom w:val="single" w:sz="4" w:space="0" w:color="auto"/>
            </w:tcBorders>
          </w:tcPr>
          <w:p w14:paraId="3888934D" w14:textId="17F2DB97" w:rsidR="002339BF" w:rsidRPr="00922B89" w:rsidRDefault="002339BF" w:rsidP="00650CA6">
            <w:pPr>
              <w:rPr>
                <w:rFonts w:ascii="Source Sans Pro" w:hAnsi="Source Sans Pro"/>
                <w:sz w:val="18"/>
                <w:szCs w:val="18"/>
              </w:rPr>
            </w:pPr>
            <w:r w:rsidRPr="00922B89">
              <w:rPr>
                <w:rFonts w:ascii="Source Sans Pro" w:hAnsi="Source Sans Pro"/>
                <w:sz w:val="18"/>
                <w:szCs w:val="18"/>
              </w:rPr>
              <w:t>Expert opinion report</w:t>
            </w:r>
          </w:p>
        </w:tc>
        <w:tc>
          <w:tcPr>
            <w:tcW w:w="2496" w:type="dxa"/>
            <w:tcBorders>
              <w:bottom w:val="single" w:sz="4" w:space="0" w:color="auto"/>
            </w:tcBorders>
          </w:tcPr>
          <w:p w14:paraId="6A87D094" w14:textId="5A8547A3"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Contact the CCA via the EASD Executive Office (clinicalaffairs@easd.org). Submit a proposal prior to development for a higher probability of endorsement.</w:t>
            </w:r>
          </w:p>
        </w:tc>
        <w:tc>
          <w:tcPr>
            <w:tcW w:w="4253" w:type="dxa"/>
            <w:tcBorders>
              <w:bottom w:val="single" w:sz="4" w:space="0" w:color="auto"/>
            </w:tcBorders>
          </w:tcPr>
          <w:p w14:paraId="7759B546" w14:textId="74B16C89"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(1) The topic and outline of the expert opinion report</w:t>
            </w:r>
          </w:p>
          <w:p w14:paraId="478C33C4" w14:textId="559DB3DC"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(2) Information on which organisations will be included </w:t>
            </w:r>
          </w:p>
          <w:p w14:paraId="68AAD16C" w14:textId="7F0651E2"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(3) Information on the composition of the writing group (associations/experts involved), including the number of representatives per organisation. </w:t>
            </w:r>
          </w:p>
          <w:p w14:paraId="02B26B26" w14:textId="2AC365F4"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(4) Information on plans to involve people with lived experience of diabetes </w:t>
            </w:r>
          </w:p>
          <w:p w14:paraId="11C542EF" w14:textId="77777777"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(5) The envisaged timeline</w:t>
            </w:r>
          </w:p>
          <w:p w14:paraId="57A59228" w14:textId="1997651E"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 xml:space="preserve">(6) COI forms for all proposed authors </w:t>
            </w:r>
          </w:p>
        </w:tc>
        <w:tc>
          <w:tcPr>
            <w:tcW w:w="3260" w:type="dxa"/>
            <w:tcBorders>
              <w:bottom w:val="single" w:sz="4" w:space="0" w:color="auto"/>
            </w:tcBorders>
            <w:shd w:val="clear" w:color="auto" w:fill="auto"/>
          </w:tcPr>
          <w:p w14:paraId="3BCCA5A7" w14:textId="7A56C7A2"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The EASD should ideally be involved at an early stage of development. The CCA will review each proposal or document and recommend endorsement based on quality and EASD priorities and ongoing documents.</w:t>
            </w:r>
          </w:p>
        </w:tc>
        <w:tc>
          <w:tcPr>
            <w:tcW w:w="3113" w:type="dxa"/>
            <w:tcBorders>
              <w:bottom w:val="single" w:sz="4" w:space="0" w:color="auto"/>
            </w:tcBorders>
            <w:shd w:val="clear" w:color="auto" w:fill="auto"/>
          </w:tcPr>
          <w:p w14:paraId="34FBDD46" w14:textId="45A681F4" w:rsidR="002339BF" w:rsidRPr="00922B89" w:rsidRDefault="002339BF" w:rsidP="00650CA6">
            <w:pPr>
              <w:rPr>
                <w:rFonts w:ascii="Source Sans Pro" w:hAnsi="Source Sans Pro"/>
                <w:sz w:val="18"/>
                <w:szCs w:val="18"/>
                <w:lang w:val="en-GB"/>
              </w:rPr>
            </w:pPr>
            <w:r w:rsidRPr="00922B89">
              <w:rPr>
                <w:rFonts w:ascii="Source Sans Pro" w:hAnsi="Source Sans Pro"/>
                <w:sz w:val="18"/>
                <w:szCs w:val="18"/>
                <w:lang w:val="en-GB"/>
              </w:rPr>
              <w:t>EASD website + EASD dissemination channels; the CCA/EASD Board will advise on publication.</w:t>
            </w:r>
          </w:p>
        </w:tc>
      </w:tr>
      <w:tr w:rsidR="002339BF" w:rsidRPr="00922B89" w14:paraId="66B912F9" w14:textId="77777777" w:rsidTr="00650CA6">
        <w:tc>
          <w:tcPr>
            <w:tcW w:w="14170" w:type="dxa"/>
            <w:gridSpan w:val="5"/>
            <w:tcBorders>
              <w:top w:val="single" w:sz="4" w:space="0" w:color="auto"/>
              <w:left w:val="nil"/>
              <w:bottom w:val="nil"/>
              <w:right w:val="nil"/>
            </w:tcBorders>
          </w:tcPr>
          <w:p w14:paraId="5465F6C7" w14:textId="3439FDD6" w:rsidR="002339BF" w:rsidRPr="00922B89" w:rsidRDefault="002339BF" w:rsidP="00650CA6">
            <w:pPr>
              <w:rPr>
                <w:rFonts w:ascii="Source Sans Pro" w:hAnsi="Source Sans Pro"/>
                <w:sz w:val="18"/>
                <w:szCs w:val="18"/>
                <w:highlight w:val="yellow"/>
                <w:lang w:val="en-GB"/>
              </w:rPr>
            </w:pPr>
            <w:r w:rsidRPr="00922B89">
              <w:rPr>
                <w:rFonts w:ascii="Source Sans Pro" w:hAnsi="Source Sans Pro"/>
                <w:sz w:val="18"/>
                <w:szCs w:val="18"/>
                <w:lang w:val="en-GB"/>
              </w:rPr>
              <w:t>ACCORD, ACcurate COnsensus Reporting Document; CCA, Committee on Clinical Affairs; COI conflict of interest; EIC, Editor-in-Chief; GOC, Guidelines Oversight Committee; OA, open access; SOP, Standard Operating Procedure</w:t>
            </w:r>
          </w:p>
        </w:tc>
      </w:tr>
    </w:tbl>
    <w:p w14:paraId="6519BCC3" w14:textId="77777777" w:rsidR="002339BF" w:rsidRPr="00922B89" w:rsidRDefault="002339BF" w:rsidP="002339BF">
      <w:pPr>
        <w:spacing w:after="0" w:line="360" w:lineRule="auto"/>
        <w:jc w:val="both"/>
        <w:rPr>
          <w:rFonts w:ascii="Source Sans Pro" w:hAnsi="Source Sans Pro"/>
        </w:rPr>
      </w:pPr>
    </w:p>
    <w:p w14:paraId="276B6AAB" w14:textId="77777777" w:rsidR="002339BF" w:rsidRPr="00922B89" w:rsidRDefault="002339BF" w:rsidP="002339BF">
      <w:pPr>
        <w:spacing w:after="0" w:line="360" w:lineRule="auto"/>
        <w:rPr>
          <w:rFonts w:ascii="Source Sans Pro" w:hAnsi="Source Sans Pro"/>
        </w:rPr>
      </w:pPr>
    </w:p>
    <w:p w14:paraId="5EE7F630" w14:textId="77777777" w:rsidR="002339BF" w:rsidRPr="00922B89" w:rsidRDefault="002339BF" w:rsidP="002339BF">
      <w:pPr>
        <w:spacing w:after="0" w:line="360" w:lineRule="auto"/>
        <w:rPr>
          <w:rFonts w:ascii="Source Sans Pro" w:hAnsi="Source Sans Pro"/>
        </w:rPr>
      </w:pPr>
    </w:p>
    <w:p w14:paraId="512C9AE7" w14:textId="77777777" w:rsidR="002339BF" w:rsidRPr="00922B89" w:rsidRDefault="002339BF"/>
    <w:sectPr w:rsidR="002339BF" w:rsidRPr="00922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5540" w14:textId="77777777" w:rsidR="002E5C91" w:rsidRDefault="002E5C91">
      <w:pPr>
        <w:spacing w:after="0" w:line="240" w:lineRule="auto"/>
      </w:pPr>
      <w:r>
        <w:separator/>
      </w:r>
    </w:p>
  </w:endnote>
  <w:endnote w:type="continuationSeparator" w:id="0">
    <w:p w14:paraId="42DE02B7" w14:textId="77777777" w:rsidR="002E5C91" w:rsidRDefault="002E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535331"/>
      <w:docPartObj>
        <w:docPartGallery w:val="Page Numbers (Bottom of Page)"/>
        <w:docPartUnique/>
      </w:docPartObj>
    </w:sdtPr>
    <w:sdtEndPr/>
    <w:sdtContent>
      <w:p w14:paraId="57631598" w14:textId="77777777" w:rsidR="00B90F89" w:rsidRDefault="00B90F89">
        <w:pPr>
          <w:pStyle w:val="Footer"/>
          <w:jc w:val="right"/>
        </w:pPr>
        <w:r>
          <w:fldChar w:fldCharType="begin"/>
        </w:r>
        <w:r>
          <w:instrText>PAGE   \* MERGEFORMAT</w:instrText>
        </w:r>
        <w:r>
          <w:fldChar w:fldCharType="separate"/>
        </w:r>
        <w:r>
          <w:t>2</w:t>
        </w:r>
        <w:r>
          <w:fldChar w:fldCharType="end"/>
        </w:r>
      </w:p>
    </w:sdtContent>
  </w:sdt>
  <w:p w14:paraId="0F403B64" w14:textId="77777777" w:rsidR="00B90F89" w:rsidRDefault="00B90F89">
    <w:pPr>
      <w:pStyle w:val="Footer"/>
    </w:pPr>
  </w:p>
  <w:p w14:paraId="2E3336A2" w14:textId="77777777" w:rsidR="00B90F89" w:rsidRDefault="00B90F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1DAE" w14:textId="77777777" w:rsidR="002E5C91" w:rsidRDefault="002E5C91">
      <w:pPr>
        <w:spacing w:after="0" w:line="240" w:lineRule="auto"/>
      </w:pPr>
      <w:r>
        <w:separator/>
      </w:r>
    </w:p>
  </w:footnote>
  <w:footnote w:type="continuationSeparator" w:id="0">
    <w:p w14:paraId="6DC44609" w14:textId="77777777" w:rsidR="002E5C91" w:rsidRDefault="002E5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0D9"/>
    <w:multiLevelType w:val="hybridMultilevel"/>
    <w:tmpl w:val="41C2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31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BF"/>
    <w:rsid w:val="00174B1C"/>
    <w:rsid w:val="001A0AB4"/>
    <w:rsid w:val="002339BF"/>
    <w:rsid w:val="002E5C91"/>
    <w:rsid w:val="003E429E"/>
    <w:rsid w:val="004E208E"/>
    <w:rsid w:val="00692A71"/>
    <w:rsid w:val="007365B7"/>
    <w:rsid w:val="007B1D3D"/>
    <w:rsid w:val="008F5B5A"/>
    <w:rsid w:val="00922B89"/>
    <w:rsid w:val="00934A76"/>
    <w:rsid w:val="009C3475"/>
    <w:rsid w:val="00B4525E"/>
    <w:rsid w:val="00B90F89"/>
    <w:rsid w:val="00F1177C"/>
    <w:rsid w:val="00F72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C1CA"/>
  <w15:chartTrackingRefBased/>
  <w15:docId w15:val="{1A4916D1-0EFD-49E9-AEAA-AC8ED7C4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BF"/>
    <w:pPr>
      <w:spacing w:line="259" w:lineRule="auto"/>
    </w:pPr>
    <w:rPr>
      <w:sz w:val="22"/>
      <w:szCs w:val="22"/>
    </w:rPr>
  </w:style>
  <w:style w:type="paragraph" w:styleId="Heading1">
    <w:name w:val="heading 1"/>
    <w:basedOn w:val="Normal"/>
    <w:next w:val="Normal"/>
    <w:link w:val="Heading1Char"/>
    <w:uiPriority w:val="9"/>
    <w:qFormat/>
    <w:rsid w:val="002339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9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9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9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339B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339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339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339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339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9BF"/>
    <w:rPr>
      <w:rFonts w:eastAsiaTheme="majorEastAsia" w:cstheme="majorBidi"/>
      <w:color w:val="272727" w:themeColor="text1" w:themeTint="D8"/>
    </w:rPr>
  </w:style>
  <w:style w:type="paragraph" w:styleId="Title">
    <w:name w:val="Title"/>
    <w:basedOn w:val="Normal"/>
    <w:next w:val="Normal"/>
    <w:link w:val="TitleChar"/>
    <w:uiPriority w:val="10"/>
    <w:qFormat/>
    <w:rsid w:val="00233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9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9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339BF"/>
    <w:rPr>
      <w:i/>
      <w:iCs/>
      <w:color w:val="404040" w:themeColor="text1" w:themeTint="BF"/>
    </w:rPr>
  </w:style>
  <w:style w:type="paragraph" w:styleId="ListParagraph">
    <w:name w:val="List Paragraph"/>
    <w:basedOn w:val="Normal"/>
    <w:uiPriority w:val="34"/>
    <w:qFormat/>
    <w:rsid w:val="002339BF"/>
    <w:pPr>
      <w:spacing w:line="278" w:lineRule="auto"/>
      <w:ind w:left="720"/>
      <w:contextualSpacing/>
    </w:pPr>
    <w:rPr>
      <w:sz w:val="24"/>
      <w:szCs w:val="24"/>
    </w:rPr>
  </w:style>
  <w:style w:type="character" w:styleId="IntenseEmphasis">
    <w:name w:val="Intense Emphasis"/>
    <w:basedOn w:val="DefaultParagraphFont"/>
    <w:uiPriority w:val="21"/>
    <w:qFormat/>
    <w:rsid w:val="002339BF"/>
    <w:rPr>
      <w:i/>
      <w:iCs/>
      <w:color w:val="0F4761" w:themeColor="accent1" w:themeShade="BF"/>
    </w:rPr>
  </w:style>
  <w:style w:type="paragraph" w:styleId="IntenseQuote">
    <w:name w:val="Intense Quote"/>
    <w:basedOn w:val="Normal"/>
    <w:next w:val="Normal"/>
    <w:link w:val="IntenseQuoteChar"/>
    <w:uiPriority w:val="30"/>
    <w:qFormat/>
    <w:rsid w:val="002339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339BF"/>
    <w:rPr>
      <w:i/>
      <w:iCs/>
      <w:color w:val="0F4761" w:themeColor="accent1" w:themeShade="BF"/>
    </w:rPr>
  </w:style>
  <w:style w:type="character" w:styleId="IntenseReference">
    <w:name w:val="Intense Reference"/>
    <w:basedOn w:val="DefaultParagraphFont"/>
    <w:uiPriority w:val="32"/>
    <w:qFormat/>
    <w:rsid w:val="002339BF"/>
    <w:rPr>
      <w:b/>
      <w:bCs/>
      <w:smallCaps/>
      <w:color w:val="0F4761" w:themeColor="accent1" w:themeShade="BF"/>
      <w:spacing w:val="5"/>
    </w:rPr>
  </w:style>
  <w:style w:type="table" w:styleId="TableGrid">
    <w:name w:val="Table Grid"/>
    <w:basedOn w:val="TableNormal"/>
    <w:uiPriority w:val="39"/>
    <w:rsid w:val="002339BF"/>
    <w:pPr>
      <w:spacing w:after="0" w:line="240" w:lineRule="auto"/>
    </w:pPr>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39BF"/>
    <w:rPr>
      <w:sz w:val="16"/>
      <w:szCs w:val="16"/>
    </w:rPr>
  </w:style>
  <w:style w:type="paragraph" w:styleId="CommentText">
    <w:name w:val="annotation text"/>
    <w:basedOn w:val="Normal"/>
    <w:link w:val="CommentTextChar"/>
    <w:uiPriority w:val="99"/>
    <w:unhideWhenUsed/>
    <w:rsid w:val="002339B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339BF"/>
    <w:rPr>
      <w:kern w:val="0"/>
      <w:sz w:val="20"/>
      <w:szCs w:val="20"/>
      <w14:ligatures w14:val="none"/>
    </w:rPr>
  </w:style>
  <w:style w:type="character" w:styleId="Hyperlink">
    <w:name w:val="Hyperlink"/>
    <w:basedOn w:val="DefaultParagraphFont"/>
    <w:uiPriority w:val="99"/>
    <w:unhideWhenUsed/>
    <w:rsid w:val="002339BF"/>
    <w:rPr>
      <w:color w:val="467886" w:themeColor="hyperlink"/>
      <w:u w:val="single"/>
    </w:rPr>
  </w:style>
  <w:style w:type="character" w:customStyle="1" w:styleId="tgc">
    <w:name w:val="_tgc"/>
    <w:basedOn w:val="DefaultParagraphFont"/>
    <w:rsid w:val="002339BF"/>
  </w:style>
  <w:style w:type="paragraph" w:styleId="Footer">
    <w:name w:val="footer"/>
    <w:basedOn w:val="Normal"/>
    <w:link w:val="FooterChar"/>
    <w:uiPriority w:val="99"/>
    <w:unhideWhenUsed/>
    <w:rsid w:val="002339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39BF"/>
    <w:rPr>
      <w:sz w:val="22"/>
      <w:szCs w:val="22"/>
    </w:rPr>
  </w:style>
  <w:style w:type="paragraph" w:styleId="Revision">
    <w:name w:val="Revision"/>
    <w:hidden/>
    <w:uiPriority w:val="99"/>
    <w:semiHidden/>
    <w:rsid w:val="002339BF"/>
    <w:pPr>
      <w:spacing w:after="0" w:line="240" w:lineRule="auto"/>
    </w:pPr>
    <w:rPr>
      <w:sz w:val="22"/>
      <w:szCs w:val="22"/>
    </w:rPr>
  </w:style>
  <w:style w:type="character" w:styleId="UnresolvedMention">
    <w:name w:val="Unresolved Mention"/>
    <w:basedOn w:val="DefaultParagraphFont"/>
    <w:uiPriority w:val="99"/>
    <w:semiHidden/>
    <w:unhideWhenUsed/>
    <w:rsid w:val="00F72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7/s00125-025-063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Bennett</dc:creator>
  <cp:keywords/>
  <dc:description/>
  <cp:lastModifiedBy>Deborah Bennett</cp:lastModifiedBy>
  <cp:revision>4</cp:revision>
  <dcterms:created xsi:type="dcterms:W3CDTF">2025-04-30T10:34:00Z</dcterms:created>
  <dcterms:modified xsi:type="dcterms:W3CDTF">2025-04-30T10:55:00Z</dcterms:modified>
</cp:coreProperties>
</file>