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32732" w14:textId="2CD41167" w:rsidR="00FF334B" w:rsidRPr="003C2011" w:rsidRDefault="00073D2A" w:rsidP="00DC08E8">
      <w:pPr>
        <w:pStyle w:val="Heading2"/>
      </w:pPr>
      <w:r w:rsidRPr="003C2011">
        <w:t>A</w:t>
      </w:r>
      <w:r w:rsidR="00FF334B" w:rsidRPr="003C2011">
        <w:t xml:space="preserve">ppendectomy versus </w:t>
      </w:r>
      <w:r w:rsidR="00C312B6" w:rsidRPr="003C2011">
        <w:t>antibiotics</w:t>
      </w:r>
      <w:r w:rsidRPr="003C2011">
        <w:t xml:space="preserve"> </w:t>
      </w:r>
      <w:r w:rsidR="00FF334B" w:rsidRPr="003C2011">
        <w:t xml:space="preserve">for </w:t>
      </w:r>
      <w:r w:rsidRPr="003C2011">
        <w:t xml:space="preserve">acute uncomplicated </w:t>
      </w:r>
      <w:r w:rsidR="00FF334B" w:rsidRPr="003C2011">
        <w:t>appendicitis in children: A</w:t>
      </w:r>
      <w:r w:rsidR="00200E64" w:rsidRPr="003C2011">
        <w:t xml:space="preserve">n </w:t>
      </w:r>
      <w:r w:rsidR="00797C13" w:rsidRPr="003C2011">
        <w:t xml:space="preserve">open label, </w:t>
      </w:r>
      <w:r w:rsidR="00200E64" w:rsidRPr="003C2011">
        <w:t>international,</w:t>
      </w:r>
      <w:r w:rsidR="00FF334B" w:rsidRPr="003C2011">
        <w:t xml:space="preserve"> multicenter, non-inferiority, randomized trial.</w:t>
      </w:r>
    </w:p>
    <w:p w14:paraId="02635B5F" w14:textId="2F965183" w:rsidR="00FF334B" w:rsidRPr="003C2011" w:rsidRDefault="00FF334B" w:rsidP="00FF334B">
      <w:pPr>
        <w:spacing w:after="0" w:line="480" w:lineRule="auto"/>
        <w:rPr>
          <w:rFonts w:ascii="Times New Roman" w:hAnsi="Times New Roman" w:cs="Times New Roman"/>
          <w:sz w:val="24"/>
          <w:szCs w:val="24"/>
        </w:rPr>
      </w:pPr>
      <w:r w:rsidRPr="003C2011">
        <w:rPr>
          <w:rFonts w:ascii="Times New Roman" w:hAnsi="Times New Roman" w:cs="Times New Roman"/>
          <w:sz w:val="24"/>
          <w:szCs w:val="24"/>
        </w:rPr>
        <w:t>Shawn D St. Peter, MD</w:t>
      </w:r>
      <w:r w:rsidRPr="003C2011">
        <w:rPr>
          <w:rFonts w:ascii="Times New Roman" w:hAnsi="Times New Roman" w:cs="Times New Roman"/>
          <w:bCs/>
          <w:sz w:val="24"/>
          <w:szCs w:val="24"/>
          <w:vertAlign w:val="superscript"/>
        </w:rPr>
        <w:t>1</w:t>
      </w:r>
      <w:r w:rsidR="004800E5" w:rsidRPr="003C2011">
        <w:rPr>
          <w:rFonts w:ascii="Times New Roman" w:hAnsi="Times New Roman" w:cs="Times New Roman"/>
          <w:bCs/>
          <w:sz w:val="24"/>
          <w:szCs w:val="24"/>
          <w:vertAlign w:val="superscript"/>
        </w:rPr>
        <w:t>*</w:t>
      </w:r>
      <w:r w:rsidRPr="003C2011">
        <w:rPr>
          <w:rFonts w:ascii="Times New Roman" w:hAnsi="Times New Roman" w:cs="Times New Roman"/>
          <w:sz w:val="24"/>
          <w:szCs w:val="24"/>
        </w:rPr>
        <w:t>, Janelle R. Noel-MacDonnell,PhD</w:t>
      </w:r>
      <w:r w:rsidRPr="003C2011">
        <w:rPr>
          <w:rFonts w:ascii="Times New Roman" w:hAnsi="Times New Roman" w:cs="Times New Roman"/>
          <w:sz w:val="24"/>
          <w:szCs w:val="24"/>
          <w:vertAlign w:val="superscript"/>
        </w:rPr>
        <w:t>2</w:t>
      </w:r>
      <w:r w:rsidRPr="003C2011">
        <w:rPr>
          <w:rFonts w:ascii="Times New Roman" w:hAnsi="Times New Roman" w:cs="Times New Roman"/>
          <w:sz w:val="24"/>
          <w:szCs w:val="24"/>
        </w:rPr>
        <w:t>, Nigel J Hall, MD, PhD</w:t>
      </w:r>
      <w:r w:rsidR="00AE62CB" w:rsidRPr="003C2011">
        <w:rPr>
          <w:rFonts w:ascii="Times New Roman" w:hAnsi="Times New Roman" w:cs="Times New Roman"/>
          <w:sz w:val="24"/>
          <w:szCs w:val="24"/>
          <w:vertAlign w:val="superscript"/>
        </w:rPr>
        <w:t>3</w:t>
      </w:r>
      <w:r w:rsidR="004F06B2" w:rsidRPr="003C2011">
        <w:rPr>
          <w:rFonts w:ascii="Times New Roman" w:hAnsi="Times New Roman" w:cs="Times New Roman"/>
          <w:sz w:val="24"/>
          <w:szCs w:val="24"/>
          <w:vertAlign w:val="superscript"/>
        </w:rPr>
        <w:t>*</w:t>
      </w:r>
      <w:r w:rsidRPr="003C2011">
        <w:rPr>
          <w:rFonts w:ascii="Times New Roman" w:hAnsi="Times New Roman" w:cs="Times New Roman"/>
          <w:sz w:val="24"/>
          <w:szCs w:val="24"/>
        </w:rPr>
        <w:t>, Simon Eaton</w:t>
      </w:r>
      <w:r w:rsidRPr="003C2011">
        <w:rPr>
          <w:rFonts w:ascii="Times New Roman" w:hAnsi="Times New Roman" w:cs="Times New Roman"/>
          <w:bCs/>
          <w:sz w:val="24"/>
          <w:szCs w:val="24"/>
        </w:rPr>
        <w:t>, PhD</w:t>
      </w:r>
      <w:r w:rsidR="00F32766" w:rsidRPr="003C2011">
        <w:rPr>
          <w:rFonts w:ascii="Times New Roman" w:hAnsi="Times New Roman" w:cs="Times New Roman"/>
          <w:bCs/>
          <w:sz w:val="24"/>
          <w:szCs w:val="24"/>
          <w:vertAlign w:val="superscript"/>
        </w:rPr>
        <w:t>4</w:t>
      </w:r>
      <w:r w:rsidR="004800E5" w:rsidRPr="003C2011">
        <w:rPr>
          <w:rFonts w:ascii="Times New Roman" w:hAnsi="Times New Roman" w:cs="Times New Roman"/>
          <w:bCs/>
          <w:sz w:val="24"/>
          <w:szCs w:val="24"/>
          <w:vertAlign w:val="superscript"/>
        </w:rPr>
        <w:t>*</w:t>
      </w:r>
      <w:r w:rsidRPr="003C2011">
        <w:rPr>
          <w:rFonts w:ascii="Times New Roman" w:hAnsi="Times New Roman" w:cs="Times New Roman"/>
          <w:sz w:val="24"/>
          <w:szCs w:val="24"/>
        </w:rPr>
        <w:t>,</w:t>
      </w:r>
      <w:r w:rsidR="00AE4E68" w:rsidRPr="003C2011">
        <w:rPr>
          <w:rFonts w:ascii="Times New Roman" w:hAnsi="Times New Roman" w:cs="Times New Roman"/>
          <w:sz w:val="24"/>
          <w:szCs w:val="24"/>
        </w:rPr>
        <w:t xml:space="preserve"> </w:t>
      </w:r>
      <w:r w:rsidR="004522F8" w:rsidRPr="003C2011">
        <w:rPr>
          <w:rFonts w:ascii="Times New Roman" w:hAnsi="Times New Roman" w:cs="Times New Roman"/>
          <w:sz w:val="24"/>
          <w:szCs w:val="24"/>
        </w:rPr>
        <w:t xml:space="preserve">Janne </w:t>
      </w:r>
      <w:r w:rsidR="00A25533" w:rsidRPr="003C2011">
        <w:rPr>
          <w:rFonts w:ascii="Times New Roman" w:hAnsi="Times New Roman" w:cs="Times New Roman"/>
          <w:sz w:val="24"/>
          <w:szCs w:val="24"/>
        </w:rPr>
        <w:t xml:space="preserve">S. </w:t>
      </w:r>
      <w:r w:rsidR="004522F8" w:rsidRPr="003C2011">
        <w:rPr>
          <w:rFonts w:ascii="Times New Roman" w:hAnsi="Times New Roman" w:cs="Times New Roman"/>
          <w:sz w:val="24"/>
          <w:szCs w:val="24"/>
        </w:rPr>
        <w:t>Suominen MD</w:t>
      </w:r>
      <w:r w:rsidR="00D26C36" w:rsidRPr="003C2011">
        <w:rPr>
          <w:rFonts w:ascii="Times New Roman" w:hAnsi="Times New Roman" w:cs="Times New Roman"/>
          <w:sz w:val="24"/>
          <w:szCs w:val="24"/>
          <w:vertAlign w:val="superscript"/>
        </w:rPr>
        <w:t>5</w:t>
      </w:r>
      <w:r w:rsidR="00D26C36" w:rsidRPr="003C2011">
        <w:rPr>
          <w:rFonts w:ascii="Times New Roman" w:hAnsi="Times New Roman" w:cs="Times New Roman"/>
          <w:sz w:val="24"/>
          <w:szCs w:val="24"/>
        </w:rPr>
        <w:t xml:space="preserve">, </w:t>
      </w:r>
      <w:r w:rsidR="00AE4E68" w:rsidRPr="003C2011">
        <w:rPr>
          <w:rFonts w:ascii="Times New Roman" w:hAnsi="Times New Roman" w:cs="Times New Roman"/>
          <w:sz w:val="24"/>
          <w:szCs w:val="24"/>
        </w:rPr>
        <w:t>Tomas Wester, MD, PhD</w:t>
      </w:r>
      <w:r w:rsidR="0071416E" w:rsidRPr="003C2011">
        <w:rPr>
          <w:rFonts w:ascii="Times New Roman" w:hAnsi="Times New Roman" w:cs="Times New Roman"/>
          <w:sz w:val="24"/>
          <w:szCs w:val="24"/>
          <w:vertAlign w:val="superscript"/>
        </w:rPr>
        <w:t>6</w:t>
      </w:r>
      <w:r w:rsidR="004800E5" w:rsidRPr="003C2011">
        <w:rPr>
          <w:rFonts w:ascii="Times New Roman" w:hAnsi="Times New Roman" w:cs="Times New Roman"/>
          <w:sz w:val="24"/>
          <w:szCs w:val="24"/>
          <w:vertAlign w:val="superscript"/>
        </w:rPr>
        <w:t>*</w:t>
      </w:r>
      <w:r w:rsidR="00AE4E68" w:rsidRPr="003C2011">
        <w:rPr>
          <w:rFonts w:ascii="Times New Roman" w:hAnsi="Times New Roman" w:cs="Times New Roman"/>
          <w:sz w:val="24"/>
          <w:szCs w:val="24"/>
        </w:rPr>
        <w:t xml:space="preserve">, </w:t>
      </w:r>
      <w:r w:rsidR="00163E36" w:rsidRPr="003C2011">
        <w:rPr>
          <w:rFonts w:ascii="Times New Roman" w:hAnsi="Times New Roman" w:cs="Times New Roman"/>
          <w:sz w:val="24"/>
          <w:szCs w:val="24"/>
        </w:rPr>
        <w:t xml:space="preserve">Jan </w:t>
      </w:r>
      <w:r w:rsidR="00895638" w:rsidRPr="003C2011">
        <w:rPr>
          <w:rFonts w:ascii="Times New Roman" w:hAnsi="Times New Roman" w:cs="Times New Roman"/>
          <w:sz w:val="24"/>
          <w:szCs w:val="24"/>
        </w:rPr>
        <w:t xml:space="preserve">F. </w:t>
      </w:r>
      <w:r w:rsidR="00163E36" w:rsidRPr="003C2011">
        <w:rPr>
          <w:rFonts w:ascii="Times New Roman" w:hAnsi="Times New Roman" w:cs="Times New Roman"/>
          <w:sz w:val="24"/>
          <w:szCs w:val="24"/>
        </w:rPr>
        <w:t xml:space="preserve">Svensson, </w:t>
      </w:r>
      <w:r w:rsidR="00EF6C4E" w:rsidRPr="003C2011">
        <w:rPr>
          <w:rFonts w:ascii="Times New Roman" w:hAnsi="Times New Roman" w:cs="Times New Roman"/>
          <w:sz w:val="24"/>
          <w:szCs w:val="24"/>
        </w:rPr>
        <w:t>MD, PhD</w:t>
      </w:r>
      <w:r w:rsidR="0071416E" w:rsidRPr="003C2011">
        <w:rPr>
          <w:rFonts w:ascii="Times New Roman" w:hAnsi="Times New Roman" w:cs="Times New Roman"/>
          <w:sz w:val="24"/>
          <w:szCs w:val="24"/>
          <w:vertAlign w:val="superscript"/>
        </w:rPr>
        <w:t>6</w:t>
      </w:r>
      <w:r w:rsidR="004800E5" w:rsidRPr="003C2011">
        <w:rPr>
          <w:rFonts w:ascii="Times New Roman" w:hAnsi="Times New Roman" w:cs="Times New Roman"/>
          <w:sz w:val="24"/>
          <w:szCs w:val="24"/>
          <w:vertAlign w:val="superscript"/>
        </w:rPr>
        <w:t>*</w:t>
      </w:r>
      <w:r w:rsidR="00384D64" w:rsidRPr="003C2011">
        <w:rPr>
          <w:rFonts w:ascii="Times New Roman" w:hAnsi="Times New Roman" w:cs="Times New Roman"/>
          <w:sz w:val="24"/>
          <w:szCs w:val="24"/>
        </w:rPr>
        <w:t xml:space="preserve">, </w:t>
      </w:r>
      <w:r w:rsidR="00385870" w:rsidRPr="003C2011">
        <w:rPr>
          <w:rFonts w:ascii="Times New Roman" w:hAnsi="Times New Roman" w:cs="Times New Roman"/>
          <w:sz w:val="24"/>
          <w:szCs w:val="24"/>
        </w:rPr>
        <w:t xml:space="preserve">Markus </w:t>
      </w:r>
      <w:proofErr w:type="spellStart"/>
      <w:r w:rsidR="00385870" w:rsidRPr="003C2011">
        <w:rPr>
          <w:rFonts w:ascii="Times New Roman" w:hAnsi="Times New Roman" w:cs="Times New Roman"/>
          <w:sz w:val="24"/>
          <w:szCs w:val="24"/>
        </w:rPr>
        <w:t>Almström</w:t>
      </w:r>
      <w:proofErr w:type="spellEnd"/>
      <w:r w:rsidR="00385870" w:rsidRPr="003C2011">
        <w:rPr>
          <w:rFonts w:ascii="Times New Roman" w:hAnsi="Times New Roman" w:cs="Times New Roman"/>
          <w:sz w:val="24"/>
          <w:szCs w:val="24"/>
        </w:rPr>
        <w:t xml:space="preserve"> MD,PhD</w:t>
      </w:r>
      <w:r w:rsidR="009E3938" w:rsidRPr="003C2011">
        <w:rPr>
          <w:rFonts w:ascii="Times New Roman" w:hAnsi="Times New Roman" w:cs="Times New Roman"/>
          <w:sz w:val="24"/>
          <w:szCs w:val="24"/>
          <w:vertAlign w:val="superscript"/>
        </w:rPr>
        <w:t>6</w:t>
      </w:r>
      <w:r w:rsidR="009E3938" w:rsidRPr="003C2011">
        <w:rPr>
          <w:rFonts w:ascii="Times New Roman" w:hAnsi="Times New Roman" w:cs="Times New Roman"/>
          <w:sz w:val="24"/>
          <w:szCs w:val="24"/>
        </w:rPr>
        <w:t xml:space="preserve">, </w:t>
      </w:r>
      <w:r w:rsidR="00384D64" w:rsidRPr="003C2011">
        <w:rPr>
          <w:rFonts w:ascii="Times New Roman" w:hAnsi="Times New Roman" w:cs="Times New Roman"/>
          <w:sz w:val="24"/>
          <w:szCs w:val="24"/>
        </w:rPr>
        <w:t xml:space="preserve">E. </w:t>
      </w:r>
      <w:r w:rsidR="00AE4E68" w:rsidRPr="003C2011">
        <w:rPr>
          <w:rFonts w:ascii="Times New Roman" w:hAnsi="Times New Roman" w:cs="Times New Roman"/>
          <w:sz w:val="24"/>
          <w:szCs w:val="24"/>
        </w:rPr>
        <w:t>Pete  Muenks</w:t>
      </w:r>
      <w:r w:rsidR="00863975" w:rsidRPr="003C2011">
        <w:rPr>
          <w:rFonts w:ascii="Times New Roman" w:hAnsi="Times New Roman" w:cs="Times New Roman"/>
          <w:sz w:val="24"/>
          <w:szCs w:val="24"/>
        </w:rPr>
        <w:t xml:space="preserve"> MSc</w:t>
      </w:r>
      <w:r w:rsidR="00AE4E68" w:rsidRPr="003C2011">
        <w:rPr>
          <w:rFonts w:ascii="Times New Roman" w:hAnsi="Times New Roman" w:cs="Times New Roman"/>
          <w:sz w:val="24"/>
          <w:szCs w:val="24"/>
          <w:vertAlign w:val="superscript"/>
        </w:rPr>
        <w:t>1</w:t>
      </w:r>
      <w:r w:rsidR="00AE4E68" w:rsidRPr="003C2011">
        <w:rPr>
          <w:rFonts w:ascii="Times New Roman" w:hAnsi="Times New Roman" w:cs="Times New Roman"/>
          <w:sz w:val="24"/>
          <w:szCs w:val="24"/>
        </w:rPr>
        <w:t xml:space="preserve">, </w:t>
      </w:r>
      <w:r w:rsidRPr="003C2011">
        <w:rPr>
          <w:rFonts w:ascii="Times New Roman" w:hAnsi="Times New Roman" w:cs="Times New Roman"/>
          <w:sz w:val="24"/>
          <w:szCs w:val="24"/>
        </w:rPr>
        <w:t>Marianne Beaudin</w:t>
      </w:r>
      <w:r w:rsidRPr="003C2011">
        <w:rPr>
          <w:rFonts w:ascii="Times New Roman" w:hAnsi="Times New Roman" w:cs="Times New Roman"/>
          <w:bCs/>
          <w:sz w:val="24"/>
          <w:szCs w:val="24"/>
        </w:rPr>
        <w:t>, MD</w:t>
      </w:r>
      <w:r w:rsidR="0076205B" w:rsidRPr="003C2011">
        <w:rPr>
          <w:rFonts w:ascii="Times New Roman" w:hAnsi="Times New Roman" w:cs="Times New Roman"/>
          <w:sz w:val="24"/>
          <w:szCs w:val="24"/>
          <w:vertAlign w:val="superscript"/>
        </w:rPr>
        <w:t>7</w:t>
      </w:r>
      <w:r w:rsidR="000422B0" w:rsidRPr="003C2011">
        <w:rPr>
          <w:rFonts w:ascii="Times New Roman" w:hAnsi="Times New Roman" w:cs="Times New Roman"/>
          <w:sz w:val="24"/>
          <w:szCs w:val="24"/>
          <w:vertAlign w:val="superscript"/>
        </w:rPr>
        <w:t>*</w:t>
      </w:r>
      <w:r w:rsidRPr="003C2011">
        <w:rPr>
          <w:rFonts w:ascii="Times New Roman" w:hAnsi="Times New Roman" w:cs="Times New Roman"/>
          <w:sz w:val="24"/>
          <w:szCs w:val="24"/>
        </w:rPr>
        <w:t xml:space="preserve">, </w:t>
      </w:r>
      <w:r w:rsidR="002C0190" w:rsidRPr="003C2011">
        <w:rPr>
          <w:rFonts w:ascii="Times New Roman" w:hAnsi="Times New Roman" w:cs="Times New Roman"/>
          <w:sz w:val="24"/>
          <w:szCs w:val="24"/>
        </w:rPr>
        <w:t>Nelson Piché</w:t>
      </w:r>
      <w:r w:rsidR="002C0190" w:rsidRPr="003C2011">
        <w:rPr>
          <w:rFonts w:ascii="Times New Roman" w:hAnsi="Times New Roman" w:cs="Times New Roman"/>
          <w:bCs/>
          <w:sz w:val="24"/>
          <w:szCs w:val="24"/>
        </w:rPr>
        <w:t>, MD</w:t>
      </w:r>
      <w:r w:rsidR="002C0190" w:rsidRPr="003C2011">
        <w:rPr>
          <w:rFonts w:ascii="Times New Roman" w:hAnsi="Times New Roman" w:cs="Times New Roman"/>
          <w:bCs/>
          <w:sz w:val="24"/>
          <w:szCs w:val="24"/>
          <w:vertAlign w:val="superscript"/>
        </w:rPr>
        <w:t>7</w:t>
      </w:r>
      <w:r w:rsidR="004800E5" w:rsidRPr="003C2011">
        <w:rPr>
          <w:rFonts w:ascii="Times New Roman" w:hAnsi="Times New Roman" w:cs="Times New Roman"/>
          <w:bCs/>
          <w:sz w:val="24"/>
          <w:szCs w:val="24"/>
          <w:vertAlign w:val="superscript"/>
        </w:rPr>
        <w:t>*</w:t>
      </w:r>
      <w:r w:rsidR="002C0190" w:rsidRPr="003C2011">
        <w:rPr>
          <w:rFonts w:ascii="Times New Roman" w:hAnsi="Times New Roman" w:cs="Times New Roman"/>
          <w:bCs/>
          <w:sz w:val="24"/>
          <w:szCs w:val="24"/>
        </w:rPr>
        <w:t xml:space="preserve">, </w:t>
      </w:r>
      <w:r w:rsidRPr="003C2011">
        <w:rPr>
          <w:rFonts w:ascii="Times New Roman" w:hAnsi="Times New Roman" w:cs="Times New Roman"/>
          <w:sz w:val="24"/>
          <w:szCs w:val="24"/>
        </w:rPr>
        <w:t>Mary Brindle</w:t>
      </w:r>
      <w:r w:rsidRPr="003C2011">
        <w:rPr>
          <w:rFonts w:ascii="Times New Roman" w:hAnsi="Times New Roman" w:cs="Times New Roman"/>
          <w:bCs/>
          <w:sz w:val="24"/>
          <w:szCs w:val="24"/>
        </w:rPr>
        <w:t>, MD, MPH</w:t>
      </w:r>
      <w:r w:rsidR="0076205B" w:rsidRPr="003C2011">
        <w:rPr>
          <w:rFonts w:ascii="Times New Roman" w:hAnsi="Times New Roman" w:cs="Times New Roman"/>
          <w:bCs/>
          <w:sz w:val="24"/>
          <w:szCs w:val="24"/>
          <w:vertAlign w:val="superscript"/>
        </w:rPr>
        <w:t>8</w:t>
      </w:r>
      <w:r w:rsidR="004800E5" w:rsidRPr="003C2011">
        <w:rPr>
          <w:rFonts w:ascii="Times New Roman" w:hAnsi="Times New Roman" w:cs="Times New Roman"/>
          <w:bCs/>
          <w:sz w:val="24"/>
          <w:szCs w:val="24"/>
          <w:vertAlign w:val="superscript"/>
        </w:rPr>
        <w:t>*</w:t>
      </w:r>
      <w:r w:rsidRPr="003C2011">
        <w:rPr>
          <w:rFonts w:ascii="Times New Roman" w:hAnsi="Times New Roman" w:cs="Times New Roman"/>
          <w:sz w:val="24"/>
          <w:szCs w:val="24"/>
        </w:rPr>
        <w:t xml:space="preserve">, </w:t>
      </w:r>
      <w:r w:rsidR="00CA62D3" w:rsidRPr="003C2011">
        <w:rPr>
          <w:rFonts w:ascii="Times New Roman" w:hAnsi="Times New Roman" w:cs="Times New Roman"/>
          <w:sz w:val="24"/>
          <w:szCs w:val="24"/>
        </w:rPr>
        <w:t>Ali MacRobie</w:t>
      </w:r>
      <w:r w:rsidR="00CA62D3" w:rsidRPr="003C2011">
        <w:rPr>
          <w:rFonts w:ascii="Times New Roman" w:hAnsi="Times New Roman" w:cs="Times New Roman"/>
          <w:sz w:val="24"/>
          <w:szCs w:val="24"/>
          <w:vertAlign w:val="superscript"/>
        </w:rPr>
        <w:t>8</w:t>
      </w:r>
      <w:r w:rsidR="00CA62D3" w:rsidRPr="003C2011">
        <w:rPr>
          <w:rFonts w:ascii="Times New Roman" w:hAnsi="Times New Roman" w:cs="Times New Roman"/>
          <w:sz w:val="24"/>
          <w:szCs w:val="24"/>
        </w:rPr>
        <w:t xml:space="preserve">, </w:t>
      </w:r>
      <w:r w:rsidR="0076205B" w:rsidRPr="003C2011">
        <w:rPr>
          <w:rFonts w:ascii="Times New Roman" w:hAnsi="Times New Roman" w:cs="Times New Roman"/>
          <w:sz w:val="24"/>
          <w:szCs w:val="24"/>
        </w:rPr>
        <w:t>Richard Keijzer</w:t>
      </w:r>
      <w:r w:rsidR="0076205B" w:rsidRPr="003C2011">
        <w:rPr>
          <w:rFonts w:ascii="Times New Roman" w:hAnsi="Times New Roman" w:cs="Times New Roman"/>
          <w:bCs/>
          <w:sz w:val="24"/>
          <w:szCs w:val="24"/>
        </w:rPr>
        <w:t>, MD, PhD</w:t>
      </w:r>
      <w:r w:rsidR="0076205B" w:rsidRPr="003C2011">
        <w:rPr>
          <w:rFonts w:ascii="Times New Roman" w:hAnsi="Times New Roman" w:cs="Times New Roman"/>
          <w:bCs/>
          <w:sz w:val="24"/>
          <w:szCs w:val="24"/>
          <w:vertAlign w:val="superscript"/>
        </w:rPr>
        <w:t>9</w:t>
      </w:r>
      <w:r w:rsidR="004800E5" w:rsidRPr="003C2011">
        <w:rPr>
          <w:rFonts w:ascii="Times New Roman" w:hAnsi="Times New Roman" w:cs="Times New Roman"/>
          <w:bCs/>
          <w:sz w:val="24"/>
          <w:szCs w:val="24"/>
          <w:vertAlign w:val="superscript"/>
        </w:rPr>
        <w:t>*</w:t>
      </w:r>
      <w:r w:rsidR="005D58F6" w:rsidRPr="003C2011">
        <w:rPr>
          <w:rFonts w:ascii="Times New Roman" w:hAnsi="Times New Roman" w:cs="Times New Roman"/>
          <w:sz w:val="24"/>
          <w:szCs w:val="24"/>
        </w:rPr>
        <w:t xml:space="preserve">, </w:t>
      </w:r>
      <w:r w:rsidR="000618B4" w:rsidRPr="003C2011">
        <w:rPr>
          <w:rFonts w:ascii="Times New Roman" w:hAnsi="Times New Roman" w:cs="Times New Roman"/>
          <w:sz w:val="24"/>
          <w:szCs w:val="24"/>
        </w:rPr>
        <w:t>Helene Engstrand Lilja, MD, PhD</w:t>
      </w:r>
      <w:r w:rsidR="000618B4" w:rsidRPr="003C2011">
        <w:rPr>
          <w:rFonts w:ascii="Times New Roman" w:hAnsi="Times New Roman" w:cs="Times New Roman"/>
          <w:sz w:val="24"/>
          <w:szCs w:val="24"/>
          <w:vertAlign w:val="superscript"/>
        </w:rPr>
        <w:t>10</w:t>
      </w:r>
      <w:r w:rsidR="004800E5" w:rsidRPr="003C2011">
        <w:rPr>
          <w:rFonts w:ascii="Times New Roman" w:hAnsi="Times New Roman" w:cs="Times New Roman"/>
          <w:sz w:val="24"/>
          <w:szCs w:val="24"/>
          <w:vertAlign w:val="superscript"/>
        </w:rPr>
        <w:t>*</w:t>
      </w:r>
      <w:r w:rsidR="000618B4" w:rsidRPr="003C2011">
        <w:rPr>
          <w:rFonts w:ascii="Times New Roman" w:hAnsi="Times New Roman" w:cs="Times New Roman"/>
          <w:sz w:val="24"/>
          <w:szCs w:val="24"/>
        </w:rPr>
        <w:t xml:space="preserve">, </w:t>
      </w:r>
      <w:r w:rsidR="0047518C" w:rsidRPr="003C2011">
        <w:rPr>
          <w:rFonts w:ascii="Times New Roman" w:hAnsi="Times New Roman" w:cs="Times New Roman"/>
          <w:sz w:val="24"/>
          <w:szCs w:val="24"/>
        </w:rPr>
        <w:t>Ann-Marie Kassa RN, PhD</w:t>
      </w:r>
      <w:r w:rsidR="0047518C" w:rsidRPr="003C2011">
        <w:rPr>
          <w:rFonts w:ascii="Times New Roman" w:hAnsi="Times New Roman" w:cs="Times New Roman"/>
          <w:sz w:val="24"/>
          <w:szCs w:val="24"/>
          <w:vertAlign w:val="superscript"/>
        </w:rPr>
        <w:t>10</w:t>
      </w:r>
      <w:r w:rsidR="0047518C" w:rsidRPr="003C2011">
        <w:rPr>
          <w:rFonts w:ascii="Times New Roman" w:hAnsi="Times New Roman" w:cs="Times New Roman"/>
          <w:sz w:val="24"/>
          <w:szCs w:val="24"/>
        </w:rPr>
        <w:t xml:space="preserve"> </w:t>
      </w:r>
      <w:r w:rsidR="005B514C" w:rsidRPr="003C2011">
        <w:rPr>
          <w:rFonts w:ascii="Times New Roman" w:hAnsi="Times New Roman" w:cs="Times New Roman"/>
          <w:sz w:val="24"/>
          <w:szCs w:val="24"/>
        </w:rPr>
        <w:t>Tim Jancelewicz</w:t>
      </w:r>
      <w:r w:rsidR="00863975" w:rsidRPr="003C2011">
        <w:rPr>
          <w:rFonts w:ascii="Times New Roman" w:hAnsi="Times New Roman" w:cs="Times New Roman"/>
          <w:sz w:val="24"/>
          <w:szCs w:val="24"/>
        </w:rPr>
        <w:t xml:space="preserve"> MD</w:t>
      </w:r>
      <w:r w:rsidR="005B514C" w:rsidRPr="003C2011">
        <w:rPr>
          <w:rFonts w:ascii="Times New Roman" w:hAnsi="Times New Roman" w:cs="Times New Roman"/>
          <w:bCs/>
          <w:sz w:val="24"/>
          <w:szCs w:val="24"/>
          <w:vertAlign w:val="superscript"/>
        </w:rPr>
        <w:t>1</w:t>
      </w:r>
      <w:r w:rsidR="00055D20" w:rsidRPr="003C2011">
        <w:rPr>
          <w:rFonts w:ascii="Times New Roman" w:hAnsi="Times New Roman" w:cs="Times New Roman"/>
          <w:bCs/>
          <w:sz w:val="24"/>
          <w:szCs w:val="24"/>
          <w:vertAlign w:val="superscript"/>
        </w:rPr>
        <w:t>1</w:t>
      </w:r>
      <w:r w:rsidR="00D0403F" w:rsidRPr="003C2011">
        <w:rPr>
          <w:rFonts w:ascii="Times New Roman" w:hAnsi="Times New Roman" w:cs="Times New Roman"/>
          <w:bCs/>
          <w:sz w:val="24"/>
          <w:szCs w:val="24"/>
          <w:vertAlign w:val="superscript"/>
        </w:rPr>
        <w:t>*</w:t>
      </w:r>
      <w:r w:rsidR="005B514C" w:rsidRPr="003C2011">
        <w:rPr>
          <w:rFonts w:ascii="Times New Roman" w:hAnsi="Times New Roman" w:cs="Times New Roman"/>
          <w:sz w:val="24"/>
          <w:szCs w:val="24"/>
        </w:rPr>
        <w:t xml:space="preserve">, </w:t>
      </w:r>
      <w:r w:rsidRPr="003C2011">
        <w:rPr>
          <w:rFonts w:ascii="Times New Roman" w:hAnsi="Times New Roman" w:cs="Times New Roman"/>
          <w:sz w:val="24"/>
          <w:szCs w:val="24"/>
        </w:rPr>
        <w:t>Andreana Butter</w:t>
      </w:r>
      <w:r w:rsidR="00863975" w:rsidRPr="003C2011">
        <w:rPr>
          <w:rFonts w:ascii="Times New Roman" w:hAnsi="Times New Roman" w:cs="Times New Roman"/>
          <w:sz w:val="24"/>
          <w:szCs w:val="24"/>
        </w:rPr>
        <w:t xml:space="preserve"> MD</w:t>
      </w:r>
      <w:r w:rsidRPr="003C2011">
        <w:rPr>
          <w:rFonts w:ascii="Times New Roman" w:hAnsi="Times New Roman" w:cs="Times New Roman"/>
          <w:bCs/>
          <w:sz w:val="24"/>
          <w:szCs w:val="24"/>
          <w:vertAlign w:val="superscript"/>
        </w:rPr>
        <w:t>1</w:t>
      </w:r>
      <w:r w:rsidR="000569EA" w:rsidRPr="003C2011">
        <w:rPr>
          <w:rFonts w:ascii="Times New Roman" w:hAnsi="Times New Roman" w:cs="Times New Roman"/>
          <w:bCs/>
          <w:sz w:val="24"/>
          <w:szCs w:val="24"/>
          <w:vertAlign w:val="superscript"/>
        </w:rPr>
        <w:t>2</w:t>
      </w:r>
      <w:r w:rsidR="00D0403F" w:rsidRPr="003C2011">
        <w:rPr>
          <w:rFonts w:ascii="Times New Roman" w:hAnsi="Times New Roman" w:cs="Times New Roman"/>
          <w:bCs/>
          <w:sz w:val="24"/>
          <w:szCs w:val="24"/>
          <w:vertAlign w:val="superscript"/>
        </w:rPr>
        <w:t>*</w:t>
      </w:r>
      <w:r w:rsidRPr="003C2011">
        <w:rPr>
          <w:rFonts w:ascii="Times New Roman" w:hAnsi="Times New Roman" w:cs="Times New Roman"/>
          <w:sz w:val="24"/>
          <w:szCs w:val="24"/>
        </w:rPr>
        <w:t xml:space="preserve">, </w:t>
      </w:r>
      <w:r w:rsidR="00711F1F" w:rsidRPr="003C2011">
        <w:rPr>
          <w:rFonts w:ascii="Times New Roman" w:hAnsi="Times New Roman" w:cs="Times New Roman"/>
          <w:sz w:val="24"/>
          <w:szCs w:val="24"/>
        </w:rPr>
        <w:t>Jacob Davidson MSc</w:t>
      </w:r>
      <w:r w:rsidR="00711F1F" w:rsidRPr="003C2011">
        <w:rPr>
          <w:rFonts w:ascii="Times New Roman" w:hAnsi="Times New Roman" w:cs="Times New Roman"/>
          <w:sz w:val="24"/>
          <w:szCs w:val="24"/>
          <w:vertAlign w:val="superscript"/>
        </w:rPr>
        <w:t>12</w:t>
      </w:r>
      <w:r w:rsidR="00711F1F" w:rsidRPr="003C2011">
        <w:rPr>
          <w:rFonts w:ascii="Times New Roman" w:hAnsi="Times New Roman" w:cs="Times New Roman"/>
          <w:sz w:val="24"/>
          <w:szCs w:val="24"/>
        </w:rPr>
        <w:t xml:space="preserve">, </w:t>
      </w:r>
      <w:r w:rsidRPr="003C2011">
        <w:rPr>
          <w:rFonts w:ascii="Times New Roman" w:hAnsi="Times New Roman" w:cs="Times New Roman"/>
          <w:sz w:val="24"/>
          <w:szCs w:val="24"/>
        </w:rPr>
        <w:t>Erik Skarsgard</w:t>
      </w:r>
      <w:r w:rsidR="00863975" w:rsidRPr="003C2011">
        <w:rPr>
          <w:rFonts w:ascii="Times New Roman" w:hAnsi="Times New Roman" w:cs="Times New Roman"/>
          <w:sz w:val="24"/>
          <w:szCs w:val="24"/>
        </w:rPr>
        <w:t xml:space="preserve"> MD</w:t>
      </w:r>
      <w:r w:rsidR="00E61509" w:rsidRPr="003C2011">
        <w:rPr>
          <w:rFonts w:ascii="Times New Roman" w:hAnsi="Times New Roman" w:cs="Times New Roman"/>
          <w:bCs/>
          <w:sz w:val="24"/>
          <w:szCs w:val="24"/>
          <w:vertAlign w:val="superscript"/>
        </w:rPr>
        <w:t>13</w:t>
      </w:r>
      <w:r w:rsidR="00D0403F" w:rsidRPr="003C2011">
        <w:rPr>
          <w:rFonts w:ascii="Times New Roman" w:hAnsi="Times New Roman" w:cs="Times New Roman"/>
          <w:bCs/>
          <w:sz w:val="24"/>
          <w:szCs w:val="24"/>
          <w:vertAlign w:val="superscript"/>
        </w:rPr>
        <w:t>*</w:t>
      </w:r>
      <w:r w:rsidRPr="003C2011">
        <w:rPr>
          <w:rFonts w:ascii="Times New Roman" w:hAnsi="Times New Roman" w:cs="Times New Roman"/>
          <w:sz w:val="24"/>
          <w:szCs w:val="24"/>
        </w:rPr>
        <w:t>,</w:t>
      </w:r>
      <w:r w:rsidR="003A4CD2" w:rsidRPr="003C2011">
        <w:rPr>
          <w:rFonts w:ascii="Times New Roman" w:hAnsi="Times New Roman" w:cs="Times New Roman"/>
          <w:sz w:val="24"/>
          <w:szCs w:val="24"/>
        </w:rPr>
        <w:t xml:space="preserve"> Yap </w:t>
      </w:r>
      <w:proofErr w:type="spellStart"/>
      <w:r w:rsidR="003A4CD2" w:rsidRPr="003C2011">
        <w:rPr>
          <w:rFonts w:ascii="Times New Roman" w:hAnsi="Times New Roman" w:cs="Times New Roman"/>
          <w:sz w:val="24"/>
          <w:szCs w:val="24"/>
        </w:rPr>
        <w:t>Te</w:t>
      </w:r>
      <w:proofErr w:type="spellEnd"/>
      <w:r w:rsidR="003A4CD2" w:rsidRPr="003C2011">
        <w:rPr>
          <w:rFonts w:ascii="Times New Roman" w:hAnsi="Times New Roman" w:cs="Times New Roman"/>
          <w:sz w:val="24"/>
          <w:szCs w:val="24"/>
        </w:rPr>
        <w:t xml:space="preserve"> Lu</w:t>
      </w:r>
      <w:r w:rsidR="00863975" w:rsidRPr="003C2011">
        <w:rPr>
          <w:rFonts w:ascii="Times New Roman" w:hAnsi="Times New Roman" w:cs="Times New Roman"/>
          <w:sz w:val="24"/>
          <w:szCs w:val="24"/>
        </w:rPr>
        <w:t xml:space="preserve"> MD</w:t>
      </w:r>
      <w:r w:rsidR="00432522" w:rsidRPr="003C2011">
        <w:rPr>
          <w:rFonts w:ascii="Times New Roman" w:hAnsi="Times New Roman" w:cs="Times New Roman"/>
          <w:sz w:val="28"/>
          <w:szCs w:val="28"/>
          <w:vertAlign w:val="superscript"/>
        </w:rPr>
        <w:t>14</w:t>
      </w:r>
      <w:r w:rsidR="003A4CD2" w:rsidRPr="003C2011">
        <w:rPr>
          <w:rFonts w:ascii="Times New Roman" w:hAnsi="Times New Roman" w:cs="Times New Roman"/>
          <w:sz w:val="24"/>
          <w:szCs w:val="24"/>
        </w:rPr>
        <w:t xml:space="preserve">, </w:t>
      </w:r>
      <w:r w:rsidR="00E63FE2" w:rsidRPr="003C2011">
        <w:rPr>
          <w:rFonts w:ascii="Times New Roman" w:hAnsi="Times New Roman" w:cs="Times New Roman"/>
          <w:sz w:val="24"/>
          <w:szCs w:val="24"/>
        </w:rPr>
        <w:t>Shireen Nah</w:t>
      </w:r>
      <w:r w:rsidR="00863975" w:rsidRPr="003C2011">
        <w:rPr>
          <w:rFonts w:ascii="Times New Roman" w:hAnsi="Times New Roman" w:cs="Times New Roman"/>
          <w:sz w:val="24"/>
          <w:szCs w:val="24"/>
        </w:rPr>
        <w:t xml:space="preserve"> MD</w:t>
      </w:r>
      <w:r w:rsidR="00E63FE2" w:rsidRPr="003C2011">
        <w:rPr>
          <w:rFonts w:ascii="Times New Roman" w:hAnsi="Times New Roman" w:cs="Times New Roman"/>
          <w:sz w:val="24"/>
          <w:szCs w:val="24"/>
          <w:vertAlign w:val="superscript"/>
        </w:rPr>
        <w:t>1</w:t>
      </w:r>
      <w:r w:rsidR="000E4037" w:rsidRPr="003C2011">
        <w:rPr>
          <w:rFonts w:ascii="Times New Roman" w:hAnsi="Times New Roman" w:cs="Times New Roman"/>
          <w:sz w:val="24"/>
          <w:szCs w:val="24"/>
          <w:vertAlign w:val="superscript"/>
        </w:rPr>
        <w:t>5</w:t>
      </w:r>
      <w:r w:rsidR="00E63FE2" w:rsidRPr="003C2011">
        <w:rPr>
          <w:rFonts w:ascii="Times New Roman" w:hAnsi="Times New Roman" w:cs="Times New Roman"/>
          <w:sz w:val="24"/>
          <w:szCs w:val="24"/>
        </w:rPr>
        <w:t xml:space="preserve">, </w:t>
      </w:r>
      <w:r w:rsidR="00150E89" w:rsidRPr="003C2011">
        <w:rPr>
          <w:rFonts w:ascii="Times New Roman" w:hAnsi="Times New Roman" w:cs="Times New Roman"/>
          <w:sz w:val="24"/>
          <w:szCs w:val="24"/>
        </w:rPr>
        <w:t xml:space="preserve">Andrew R </w:t>
      </w:r>
      <w:r w:rsidRPr="003C2011">
        <w:rPr>
          <w:rFonts w:ascii="Times New Roman" w:hAnsi="Times New Roman" w:cs="Times New Roman"/>
          <w:sz w:val="24"/>
          <w:szCs w:val="24"/>
        </w:rPr>
        <w:t>Willan</w:t>
      </w:r>
      <w:r w:rsidRPr="003C2011">
        <w:rPr>
          <w:rFonts w:ascii="Times New Roman" w:hAnsi="Times New Roman" w:cs="Times New Roman"/>
          <w:bCs/>
          <w:sz w:val="24"/>
          <w:szCs w:val="24"/>
        </w:rPr>
        <w:t>, PhD</w:t>
      </w:r>
      <w:r w:rsidR="00402412" w:rsidRPr="003C2011">
        <w:rPr>
          <w:rFonts w:ascii="Times New Roman" w:hAnsi="Times New Roman" w:cs="Times New Roman"/>
          <w:bCs/>
          <w:sz w:val="24"/>
          <w:szCs w:val="24"/>
          <w:vertAlign w:val="superscript"/>
        </w:rPr>
        <w:t>1</w:t>
      </w:r>
      <w:r w:rsidR="000E4037" w:rsidRPr="003C2011">
        <w:rPr>
          <w:rFonts w:ascii="Times New Roman" w:hAnsi="Times New Roman" w:cs="Times New Roman"/>
          <w:bCs/>
          <w:sz w:val="24"/>
          <w:szCs w:val="24"/>
          <w:vertAlign w:val="superscript"/>
        </w:rPr>
        <w:t>6</w:t>
      </w:r>
      <w:r w:rsidR="00D0403F" w:rsidRPr="003C2011">
        <w:rPr>
          <w:rFonts w:ascii="Times New Roman" w:hAnsi="Times New Roman" w:cs="Times New Roman"/>
          <w:bCs/>
          <w:sz w:val="24"/>
          <w:szCs w:val="24"/>
          <w:vertAlign w:val="superscript"/>
        </w:rPr>
        <w:t>*</w:t>
      </w:r>
      <w:r w:rsidRPr="003C2011">
        <w:rPr>
          <w:rFonts w:ascii="Times New Roman" w:hAnsi="Times New Roman" w:cs="Times New Roman"/>
          <w:sz w:val="24"/>
          <w:szCs w:val="24"/>
        </w:rPr>
        <w:t>, Agostino Pierro</w:t>
      </w:r>
      <w:r w:rsidRPr="003C2011">
        <w:rPr>
          <w:rFonts w:ascii="Times New Roman" w:hAnsi="Times New Roman" w:cs="Times New Roman"/>
          <w:bCs/>
          <w:sz w:val="24"/>
          <w:szCs w:val="24"/>
        </w:rPr>
        <w:t>, MD, PhD</w:t>
      </w:r>
      <w:r w:rsidR="00402412" w:rsidRPr="003C2011">
        <w:rPr>
          <w:rFonts w:ascii="Times New Roman" w:hAnsi="Times New Roman" w:cs="Times New Roman"/>
          <w:bCs/>
          <w:sz w:val="24"/>
          <w:szCs w:val="24"/>
          <w:vertAlign w:val="superscript"/>
        </w:rPr>
        <w:t>1</w:t>
      </w:r>
      <w:r w:rsidR="000E4037" w:rsidRPr="003C2011">
        <w:rPr>
          <w:rFonts w:ascii="Times New Roman" w:hAnsi="Times New Roman" w:cs="Times New Roman"/>
          <w:bCs/>
          <w:sz w:val="24"/>
          <w:szCs w:val="24"/>
          <w:vertAlign w:val="superscript"/>
        </w:rPr>
        <w:t>7</w:t>
      </w:r>
      <w:r w:rsidR="00D0403F" w:rsidRPr="003C2011">
        <w:rPr>
          <w:rFonts w:ascii="Times New Roman" w:hAnsi="Times New Roman" w:cs="Times New Roman"/>
          <w:bCs/>
          <w:sz w:val="24"/>
          <w:szCs w:val="24"/>
          <w:vertAlign w:val="superscript"/>
        </w:rPr>
        <w:t>*</w:t>
      </w:r>
      <w:r w:rsidRPr="003C2011">
        <w:rPr>
          <w:rFonts w:ascii="Times New Roman" w:hAnsi="Times New Roman" w:cs="Times New Roman"/>
          <w:bCs/>
          <w:sz w:val="24"/>
          <w:szCs w:val="24"/>
        </w:rPr>
        <w:t xml:space="preserve"> </w:t>
      </w:r>
    </w:p>
    <w:p w14:paraId="008820BE" w14:textId="0A6E5906" w:rsidR="000A39F9" w:rsidRPr="003C2011" w:rsidRDefault="00FF334B" w:rsidP="00FF334B">
      <w:pPr>
        <w:spacing w:after="0" w:line="240" w:lineRule="auto"/>
        <w:jc w:val="both"/>
        <w:rPr>
          <w:rFonts w:ascii="Times New Roman" w:hAnsi="Times New Roman" w:cs="Times New Roman"/>
          <w:sz w:val="24"/>
          <w:szCs w:val="24"/>
        </w:rPr>
      </w:pPr>
      <w:r w:rsidRPr="003C2011">
        <w:rPr>
          <w:rFonts w:ascii="Times New Roman" w:hAnsi="Times New Roman" w:cs="Times New Roman"/>
          <w:sz w:val="24"/>
          <w:szCs w:val="24"/>
          <w:vertAlign w:val="superscript"/>
        </w:rPr>
        <w:t>1</w:t>
      </w:r>
      <w:r w:rsidR="000618BD" w:rsidRPr="003C2011">
        <w:rPr>
          <w:rFonts w:ascii="Times New Roman" w:hAnsi="Times New Roman" w:cs="Times New Roman"/>
          <w:sz w:val="24"/>
          <w:szCs w:val="24"/>
          <w:vertAlign w:val="superscript"/>
        </w:rPr>
        <w:t xml:space="preserve"> </w:t>
      </w:r>
      <w:r w:rsidRPr="003C2011">
        <w:rPr>
          <w:rFonts w:ascii="Times New Roman" w:hAnsi="Times New Roman" w:cs="Times New Roman"/>
          <w:sz w:val="24"/>
          <w:szCs w:val="24"/>
        </w:rPr>
        <w:t>Department of Surgery, Children’s Mercy, Kansas City, MO, USA</w:t>
      </w:r>
    </w:p>
    <w:p w14:paraId="1B16AB28" w14:textId="4CDFDFD6" w:rsidR="00FF334B" w:rsidRPr="003C2011" w:rsidRDefault="00FF334B" w:rsidP="00FF334B">
      <w:pPr>
        <w:spacing w:after="0" w:line="240" w:lineRule="auto"/>
        <w:jc w:val="both"/>
        <w:rPr>
          <w:rFonts w:ascii="Times New Roman" w:hAnsi="Times New Roman" w:cs="Times New Roman"/>
          <w:sz w:val="24"/>
          <w:szCs w:val="24"/>
        </w:rPr>
      </w:pPr>
      <w:r w:rsidRPr="003C2011">
        <w:rPr>
          <w:rFonts w:ascii="Times New Roman" w:hAnsi="Times New Roman" w:cs="Times New Roman"/>
          <w:sz w:val="24"/>
          <w:szCs w:val="24"/>
          <w:vertAlign w:val="superscript"/>
        </w:rPr>
        <w:t>2</w:t>
      </w:r>
      <w:r w:rsidRPr="003C2011">
        <w:rPr>
          <w:rFonts w:ascii="Times New Roman" w:hAnsi="Times New Roman" w:cs="Times New Roman"/>
          <w:sz w:val="24"/>
          <w:szCs w:val="24"/>
        </w:rPr>
        <w:t>Department of Health Services and Outcomes Research, Children’s Mercy, Kansas City, MO, USA</w:t>
      </w:r>
    </w:p>
    <w:p w14:paraId="439AFFE4" w14:textId="1B1A7EC5" w:rsidR="00C100F4" w:rsidRPr="003C2011" w:rsidRDefault="00C100F4" w:rsidP="00FF334B">
      <w:pPr>
        <w:spacing w:after="0" w:line="240" w:lineRule="auto"/>
        <w:jc w:val="both"/>
        <w:rPr>
          <w:rFonts w:ascii="Times New Roman" w:hAnsi="Times New Roman" w:cs="Times New Roman"/>
          <w:sz w:val="24"/>
          <w:szCs w:val="24"/>
        </w:rPr>
      </w:pPr>
      <w:r w:rsidRPr="003C2011">
        <w:rPr>
          <w:rFonts w:ascii="Times New Roman" w:hAnsi="Times New Roman" w:cs="Times New Roman"/>
          <w:sz w:val="24"/>
          <w:szCs w:val="24"/>
          <w:vertAlign w:val="superscript"/>
        </w:rPr>
        <w:t>3</w:t>
      </w:r>
      <w:r w:rsidR="00200E64" w:rsidRPr="003C2011">
        <w:rPr>
          <w:rFonts w:ascii="Times New Roman" w:hAnsi="Times New Roman" w:cs="Times New Roman"/>
          <w:sz w:val="24"/>
          <w:szCs w:val="24"/>
          <w:shd w:val="clear" w:color="auto" w:fill="FFFFFF"/>
        </w:rPr>
        <w:t xml:space="preserve">University Surgery Unit, Faculty of Medicine, University of Southampton, </w:t>
      </w:r>
      <w:r w:rsidR="00D5605D" w:rsidRPr="003C2011">
        <w:rPr>
          <w:rFonts w:ascii="Times New Roman" w:hAnsi="Times New Roman" w:cs="Times New Roman"/>
          <w:sz w:val="24"/>
          <w:szCs w:val="24"/>
          <w:shd w:val="clear" w:color="auto" w:fill="FFFFFF"/>
        </w:rPr>
        <w:t>Southampton, UK.</w:t>
      </w:r>
    </w:p>
    <w:p w14:paraId="3AD1330A" w14:textId="3C5CABAF" w:rsidR="00FA6D3A" w:rsidRPr="003C2011" w:rsidRDefault="00FF334B" w:rsidP="00FA6D3A">
      <w:pPr>
        <w:spacing w:after="0" w:line="240" w:lineRule="auto"/>
        <w:jc w:val="both"/>
        <w:rPr>
          <w:rFonts w:ascii="Times New Roman" w:hAnsi="Times New Roman" w:cs="Times New Roman"/>
          <w:sz w:val="24"/>
          <w:szCs w:val="24"/>
          <w:shd w:val="clear" w:color="auto" w:fill="FFFFFF"/>
          <w:vertAlign w:val="superscript"/>
        </w:rPr>
      </w:pPr>
      <w:r w:rsidRPr="003C2011">
        <w:rPr>
          <w:rFonts w:ascii="Times New Roman" w:hAnsi="Times New Roman" w:cs="Times New Roman"/>
          <w:sz w:val="24"/>
          <w:szCs w:val="24"/>
          <w:vertAlign w:val="superscript"/>
        </w:rPr>
        <w:t>4</w:t>
      </w:r>
      <w:r w:rsidR="00FA6D3A" w:rsidRPr="003C2011">
        <w:rPr>
          <w:rFonts w:ascii="Times New Roman" w:hAnsi="Times New Roman" w:cs="Times New Roman"/>
          <w:sz w:val="24"/>
          <w:szCs w:val="24"/>
          <w:shd w:val="clear" w:color="auto" w:fill="FFFFFF"/>
        </w:rPr>
        <w:t>Department of Pediatric </w:t>
      </w:r>
      <w:r w:rsidR="00FA6D3A" w:rsidRPr="003C2011">
        <w:rPr>
          <w:rStyle w:val="ej-keyword"/>
          <w:rFonts w:ascii="Times New Roman" w:hAnsi="Times New Roman" w:cs="Times New Roman"/>
          <w:sz w:val="24"/>
          <w:szCs w:val="24"/>
          <w:shd w:val="clear" w:color="auto" w:fill="FFFFFF"/>
        </w:rPr>
        <w:t>Surgery</w:t>
      </w:r>
      <w:r w:rsidR="00FA6D3A" w:rsidRPr="003C2011">
        <w:rPr>
          <w:rFonts w:ascii="Times New Roman" w:hAnsi="Times New Roman" w:cs="Times New Roman"/>
          <w:sz w:val="24"/>
          <w:szCs w:val="24"/>
          <w:shd w:val="clear" w:color="auto" w:fill="FFFFFF"/>
        </w:rPr>
        <w:t>, Great Ormond Street Hospital, London, United Kingdom</w:t>
      </w:r>
      <w:r w:rsidR="00FA6D3A" w:rsidRPr="003C2011">
        <w:rPr>
          <w:rFonts w:ascii="Times New Roman" w:hAnsi="Times New Roman" w:cs="Times New Roman"/>
          <w:sz w:val="24"/>
          <w:szCs w:val="24"/>
          <w:shd w:val="clear" w:color="auto" w:fill="FFFFFF"/>
          <w:vertAlign w:val="superscript"/>
        </w:rPr>
        <w:t xml:space="preserve"> </w:t>
      </w:r>
    </w:p>
    <w:p w14:paraId="049FAFDD" w14:textId="1CD16E42" w:rsidR="00D26C36" w:rsidRPr="003C2011" w:rsidRDefault="00D26C36" w:rsidP="00FA6D3A">
      <w:pPr>
        <w:spacing w:after="0" w:line="240" w:lineRule="auto"/>
        <w:jc w:val="both"/>
        <w:rPr>
          <w:rFonts w:ascii="Times New Roman" w:hAnsi="Times New Roman" w:cs="Times New Roman"/>
          <w:sz w:val="24"/>
          <w:szCs w:val="24"/>
          <w:shd w:val="clear" w:color="auto" w:fill="FFFFFF"/>
        </w:rPr>
      </w:pPr>
      <w:r w:rsidRPr="003C2011">
        <w:rPr>
          <w:rFonts w:ascii="Times New Roman" w:hAnsi="Times New Roman" w:cs="Times New Roman"/>
          <w:sz w:val="24"/>
          <w:szCs w:val="24"/>
          <w:shd w:val="clear" w:color="auto" w:fill="FFFFFF"/>
          <w:vertAlign w:val="superscript"/>
        </w:rPr>
        <w:t>5</w:t>
      </w:r>
      <w:r w:rsidR="008B6B0D" w:rsidRPr="003C2011">
        <w:rPr>
          <w:rFonts w:ascii="Times New Roman" w:hAnsi="Times New Roman" w:cs="Times New Roman"/>
          <w:sz w:val="24"/>
          <w:szCs w:val="24"/>
          <w:shd w:val="clear" w:color="auto" w:fill="FFFFFF"/>
        </w:rPr>
        <w:t>Department of Pediatric Surgery, Helsinki University Hospital, University of Helsinki, Helsinki, Finland</w:t>
      </w:r>
    </w:p>
    <w:p w14:paraId="4392D421" w14:textId="5BBFD14E" w:rsidR="00692E88" w:rsidRPr="003C2011" w:rsidRDefault="00076C18" w:rsidP="00692E88">
      <w:pPr>
        <w:spacing w:after="0" w:line="240" w:lineRule="auto"/>
        <w:jc w:val="both"/>
        <w:rPr>
          <w:rFonts w:ascii="Times New Roman" w:hAnsi="Times New Roman" w:cs="Times New Roman"/>
          <w:sz w:val="24"/>
          <w:szCs w:val="24"/>
          <w:shd w:val="clear" w:color="auto" w:fill="FFFFFF"/>
        </w:rPr>
      </w:pPr>
      <w:r w:rsidRPr="003C2011">
        <w:rPr>
          <w:rFonts w:ascii="Times New Roman" w:hAnsi="Times New Roman" w:cs="Times New Roman"/>
          <w:sz w:val="24"/>
          <w:szCs w:val="24"/>
          <w:shd w:val="clear" w:color="auto" w:fill="FFFFFF"/>
          <w:vertAlign w:val="superscript"/>
        </w:rPr>
        <w:t>6</w:t>
      </w:r>
      <w:r w:rsidR="00692E88" w:rsidRPr="003C2011">
        <w:rPr>
          <w:rFonts w:ascii="Times New Roman" w:hAnsi="Times New Roman" w:cs="Times New Roman"/>
          <w:sz w:val="24"/>
          <w:szCs w:val="24"/>
          <w:shd w:val="clear" w:color="auto" w:fill="FFFFFF"/>
        </w:rPr>
        <w:t>Department of Pediatric </w:t>
      </w:r>
      <w:r w:rsidR="00692E88" w:rsidRPr="003C2011">
        <w:rPr>
          <w:rStyle w:val="ej-keyword"/>
          <w:rFonts w:ascii="Times New Roman" w:hAnsi="Times New Roman" w:cs="Times New Roman"/>
          <w:sz w:val="24"/>
          <w:szCs w:val="24"/>
          <w:shd w:val="clear" w:color="auto" w:fill="FFFFFF"/>
        </w:rPr>
        <w:t>Surgery</w:t>
      </w:r>
      <w:r w:rsidR="00692E88" w:rsidRPr="003C2011">
        <w:rPr>
          <w:rFonts w:ascii="Times New Roman" w:hAnsi="Times New Roman" w:cs="Times New Roman"/>
          <w:sz w:val="24"/>
          <w:szCs w:val="24"/>
          <w:shd w:val="clear" w:color="auto" w:fill="FFFFFF"/>
        </w:rPr>
        <w:t>, Astrid Lindgren </w:t>
      </w:r>
      <w:r w:rsidR="00692E88" w:rsidRPr="003C2011">
        <w:rPr>
          <w:rStyle w:val="ej-keyword"/>
          <w:rFonts w:ascii="Times New Roman" w:hAnsi="Times New Roman" w:cs="Times New Roman"/>
          <w:sz w:val="24"/>
          <w:szCs w:val="24"/>
          <w:shd w:val="clear" w:color="auto" w:fill="FFFFFF"/>
        </w:rPr>
        <w:t>Children</w:t>
      </w:r>
      <w:r w:rsidR="00692E88" w:rsidRPr="003C2011">
        <w:rPr>
          <w:rFonts w:ascii="Times New Roman" w:hAnsi="Times New Roman" w:cs="Times New Roman"/>
          <w:sz w:val="24"/>
          <w:szCs w:val="24"/>
          <w:shd w:val="clear" w:color="auto" w:fill="FFFFFF"/>
        </w:rPr>
        <w:t>'s Hospital, Karolinska University Hospital, Stockholm, Sweden</w:t>
      </w:r>
    </w:p>
    <w:p w14:paraId="072AFD3B" w14:textId="31867B4D" w:rsidR="00692E88" w:rsidRPr="003C2011" w:rsidRDefault="00076C18" w:rsidP="00FA6D3A">
      <w:pPr>
        <w:spacing w:after="0" w:line="240" w:lineRule="auto"/>
        <w:jc w:val="both"/>
        <w:rPr>
          <w:rFonts w:ascii="Times New Roman" w:hAnsi="Times New Roman" w:cs="Times New Roman"/>
          <w:sz w:val="24"/>
          <w:szCs w:val="24"/>
          <w:shd w:val="clear" w:color="auto" w:fill="FFFFFF"/>
          <w:lang w:val="fr-CA"/>
        </w:rPr>
      </w:pPr>
      <w:r w:rsidRPr="003C2011">
        <w:rPr>
          <w:rFonts w:ascii="Times New Roman" w:hAnsi="Times New Roman" w:cs="Times New Roman"/>
          <w:sz w:val="24"/>
          <w:szCs w:val="24"/>
          <w:shd w:val="clear" w:color="auto" w:fill="FFFFFF"/>
          <w:vertAlign w:val="superscript"/>
          <w:lang w:val="fr-CA"/>
        </w:rPr>
        <w:t>7</w:t>
      </w:r>
      <w:r w:rsidR="00726270" w:rsidRPr="003C2011">
        <w:rPr>
          <w:rFonts w:ascii="Times New Roman" w:hAnsi="Times New Roman" w:cs="Times New Roman"/>
          <w:sz w:val="24"/>
          <w:szCs w:val="24"/>
          <w:shd w:val="clear" w:color="auto" w:fill="FFFFFF"/>
          <w:lang w:val="fr-CA"/>
        </w:rPr>
        <w:t>Division of Pediatric Surgery, Centre Hospitalier Universitaire Ste-Justine, Université de Montréal, Montréal, Québec, Canada.</w:t>
      </w:r>
    </w:p>
    <w:p w14:paraId="3665FB28" w14:textId="7E62524C" w:rsidR="000569EA" w:rsidRPr="003C2011" w:rsidRDefault="00076C18" w:rsidP="000569EA">
      <w:pPr>
        <w:spacing w:after="0" w:line="240" w:lineRule="auto"/>
        <w:jc w:val="both"/>
        <w:rPr>
          <w:rFonts w:ascii="Times New Roman" w:hAnsi="Times New Roman" w:cs="Times New Roman"/>
          <w:sz w:val="24"/>
          <w:szCs w:val="24"/>
        </w:rPr>
      </w:pPr>
      <w:r w:rsidRPr="003C2011">
        <w:rPr>
          <w:rFonts w:ascii="Times New Roman" w:hAnsi="Times New Roman" w:cs="Times New Roman"/>
          <w:sz w:val="24"/>
          <w:szCs w:val="24"/>
          <w:vertAlign w:val="superscript"/>
        </w:rPr>
        <w:t>8</w:t>
      </w:r>
      <w:r w:rsidR="000569EA" w:rsidRPr="003C2011">
        <w:rPr>
          <w:rFonts w:ascii="Times New Roman" w:hAnsi="Times New Roman" w:cs="Times New Roman"/>
          <w:sz w:val="24"/>
          <w:szCs w:val="24"/>
        </w:rPr>
        <w:t>Department of Surgery, Cumming School of Medicine, University of Calgary, Calgary, Alberta, Canada</w:t>
      </w:r>
    </w:p>
    <w:p w14:paraId="527DE1D6" w14:textId="34D0DD89" w:rsidR="0076205B" w:rsidRPr="003C2011" w:rsidRDefault="0076205B" w:rsidP="0076205B">
      <w:pPr>
        <w:pStyle w:val="CommentText"/>
        <w:rPr>
          <w:sz w:val="24"/>
          <w:szCs w:val="24"/>
        </w:rPr>
      </w:pPr>
      <w:r w:rsidRPr="003C2011">
        <w:rPr>
          <w:sz w:val="24"/>
          <w:szCs w:val="24"/>
          <w:vertAlign w:val="superscript"/>
        </w:rPr>
        <w:t>9</w:t>
      </w:r>
      <w:r w:rsidRPr="003C2011">
        <w:rPr>
          <w:sz w:val="24"/>
          <w:szCs w:val="24"/>
        </w:rPr>
        <w:t xml:space="preserve">Departments of Surgery, Division of Pediatric Surgery, </w:t>
      </w:r>
      <w:proofErr w:type="spellStart"/>
      <w:r w:rsidRPr="003C2011">
        <w:rPr>
          <w:sz w:val="24"/>
          <w:szCs w:val="24"/>
        </w:rPr>
        <w:t>Pediatrics</w:t>
      </w:r>
      <w:proofErr w:type="spellEnd"/>
      <w:r w:rsidRPr="003C2011">
        <w:rPr>
          <w:sz w:val="24"/>
          <w:szCs w:val="24"/>
        </w:rPr>
        <w:t xml:space="preserve"> &amp; Child Health, University of Manitoba, Winnipeg, Manitoba, Canada </w:t>
      </w:r>
    </w:p>
    <w:p w14:paraId="541F5E9F" w14:textId="2BCB269B" w:rsidR="0076205B" w:rsidRPr="003C2011" w:rsidRDefault="005C0BC2" w:rsidP="000569EA">
      <w:pPr>
        <w:spacing w:after="0" w:line="240" w:lineRule="auto"/>
        <w:jc w:val="both"/>
        <w:rPr>
          <w:rFonts w:ascii="Times New Roman" w:hAnsi="Times New Roman" w:cs="Times New Roman"/>
          <w:sz w:val="24"/>
          <w:szCs w:val="24"/>
        </w:rPr>
      </w:pPr>
      <w:r w:rsidRPr="003C2011">
        <w:rPr>
          <w:rFonts w:ascii="Times New Roman" w:hAnsi="Times New Roman" w:cs="Times New Roman"/>
          <w:sz w:val="24"/>
          <w:szCs w:val="24"/>
          <w:vertAlign w:val="superscript"/>
        </w:rPr>
        <w:t>10</w:t>
      </w:r>
      <w:r w:rsidRPr="003C2011">
        <w:rPr>
          <w:rFonts w:ascii="Times New Roman" w:hAnsi="Times New Roman" w:cs="Times New Roman"/>
          <w:sz w:val="24"/>
          <w:szCs w:val="24"/>
        </w:rPr>
        <w:t xml:space="preserve"> </w:t>
      </w:r>
      <w:r w:rsidR="000618B4" w:rsidRPr="003C2011">
        <w:rPr>
          <w:rFonts w:ascii="Times New Roman" w:hAnsi="Times New Roman" w:cs="Times New Roman"/>
          <w:sz w:val="24"/>
          <w:szCs w:val="24"/>
        </w:rPr>
        <w:t xml:space="preserve">Division of Pediatric Surgery, </w:t>
      </w:r>
      <w:r w:rsidRPr="003C2011">
        <w:rPr>
          <w:rFonts w:ascii="Times New Roman" w:hAnsi="Times New Roman" w:cs="Times New Roman"/>
          <w:sz w:val="24"/>
          <w:szCs w:val="24"/>
        </w:rPr>
        <w:t>Up</w:t>
      </w:r>
      <w:r w:rsidR="001F5892" w:rsidRPr="003C2011">
        <w:rPr>
          <w:rFonts w:ascii="Times New Roman" w:hAnsi="Times New Roman" w:cs="Times New Roman"/>
          <w:sz w:val="24"/>
          <w:szCs w:val="24"/>
        </w:rPr>
        <w:t xml:space="preserve">psala </w:t>
      </w:r>
      <w:r w:rsidR="000618B4" w:rsidRPr="003C2011">
        <w:rPr>
          <w:rFonts w:ascii="Times New Roman" w:hAnsi="Times New Roman" w:cs="Times New Roman"/>
          <w:sz w:val="24"/>
          <w:szCs w:val="24"/>
        </w:rPr>
        <w:t>University</w:t>
      </w:r>
    </w:p>
    <w:p w14:paraId="4948FAA5" w14:textId="55476DE0" w:rsidR="00055D20" w:rsidRPr="003C2011" w:rsidRDefault="00055D20" w:rsidP="000569EA">
      <w:pPr>
        <w:spacing w:after="0" w:line="240" w:lineRule="auto"/>
        <w:jc w:val="both"/>
        <w:rPr>
          <w:rFonts w:ascii="Times New Roman" w:hAnsi="Times New Roman" w:cs="Times New Roman"/>
          <w:sz w:val="24"/>
          <w:szCs w:val="24"/>
        </w:rPr>
      </w:pPr>
      <w:r w:rsidRPr="003C2011">
        <w:rPr>
          <w:rFonts w:ascii="Times New Roman" w:hAnsi="Times New Roman" w:cs="Times New Roman"/>
          <w:sz w:val="24"/>
          <w:szCs w:val="24"/>
          <w:vertAlign w:val="superscript"/>
        </w:rPr>
        <w:t>11</w:t>
      </w:r>
      <w:r w:rsidR="003D5489" w:rsidRPr="003C2011">
        <w:rPr>
          <w:rFonts w:ascii="Times New Roman" w:hAnsi="Times New Roman" w:cs="Times New Roman"/>
          <w:sz w:val="24"/>
          <w:szCs w:val="24"/>
        </w:rPr>
        <w:t xml:space="preserve"> Le Bonheur Children’s Hospital, University of Tennessee Health Science Center, Memphis, TN, USA</w:t>
      </w:r>
    </w:p>
    <w:p w14:paraId="3BA069A7" w14:textId="4DD16D48" w:rsidR="0046100C" w:rsidRPr="003C2011" w:rsidRDefault="000569EA" w:rsidP="0046100C">
      <w:pPr>
        <w:pStyle w:val="CommentText"/>
        <w:rPr>
          <w:sz w:val="24"/>
          <w:szCs w:val="24"/>
        </w:rPr>
      </w:pPr>
      <w:r w:rsidRPr="003C2011">
        <w:rPr>
          <w:sz w:val="24"/>
          <w:szCs w:val="24"/>
          <w:vertAlign w:val="superscript"/>
        </w:rPr>
        <w:t>12</w:t>
      </w:r>
      <w:r w:rsidR="0046100C" w:rsidRPr="003C2011">
        <w:t xml:space="preserve"> </w:t>
      </w:r>
      <w:r w:rsidR="0046100C" w:rsidRPr="003C2011">
        <w:rPr>
          <w:sz w:val="24"/>
          <w:szCs w:val="24"/>
        </w:rPr>
        <w:t>Division of Pediatric Surgery, Children’s Hospital, LHSC, London, Ontario, Canada</w:t>
      </w:r>
    </w:p>
    <w:p w14:paraId="29D7EA3D" w14:textId="14020104" w:rsidR="00527E12" w:rsidRPr="003C2011" w:rsidRDefault="00E61509" w:rsidP="00527E12">
      <w:pPr>
        <w:pStyle w:val="CommentText"/>
        <w:rPr>
          <w:sz w:val="24"/>
          <w:szCs w:val="24"/>
        </w:rPr>
      </w:pPr>
      <w:r w:rsidRPr="003C2011">
        <w:rPr>
          <w:sz w:val="24"/>
          <w:szCs w:val="24"/>
          <w:vertAlign w:val="superscript"/>
        </w:rPr>
        <w:t>13</w:t>
      </w:r>
      <w:r w:rsidR="00527E12" w:rsidRPr="003C2011">
        <w:rPr>
          <w:sz w:val="24"/>
          <w:szCs w:val="24"/>
        </w:rPr>
        <w:t>Department of Surgery, British Columbia Children's Hospital, Vancouver, British Columbia, Canada</w:t>
      </w:r>
    </w:p>
    <w:p w14:paraId="30A4E3F3" w14:textId="144136AA" w:rsidR="00527E12" w:rsidRPr="003C2011" w:rsidRDefault="00E61509" w:rsidP="00527E12">
      <w:pPr>
        <w:spacing w:after="0" w:line="240" w:lineRule="auto"/>
        <w:jc w:val="both"/>
        <w:rPr>
          <w:rFonts w:ascii="Times New Roman" w:hAnsi="Times New Roman" w:cs="Times New Roman"/>
          <w:sz w:val="24"/>
          <w:szCs w:val="24"/>
          <w:shd w:val="clear" w:color="auto" w:fill="FFFFFF"/>
        </w:rPr>
      </w:pPr>
      <w:r w:rsidRPr="003C2011">
        <w:rPr>
          <w:rFonts w:ascii="Times New Roman" w:hAnsi="Times New Roman" w:cs="Times New Roman"/>
          <w:sz w:val="24"/>
          <w:szCs w:val="24"/>
          <w:shd w:val="clear" w:color="auto" w:fill="FFFFFF"/>
          <w:vertAlign w:val="superscript"/>
        </w:rPr>
        <w:t>14</w:t>
      </w:r>
      <w:r w:rsidR="00F100BF" w:rsidRPr="003C2011">
        <w:rPr>
          <w:rFonts w:ascii="Times New Roman" w:hAnsi="Times New Roman" w:cs="Times New Roman"/>
          <w:sz w:val="24"/>
          <w:szCs w:val="24"/>
          <w:shd w:val="clear" w:color="auto" w:fill="FFFFFF"/>
        </w:rPr>
        <w:t xml:space="preserve">Division of Pediatric Surgery, KK Women’s </w:t>
      </w:r>
      <w:r w:rsidR="00F454BA" w:rsidRPr="003C2011">
        <w:rPr>
          <w:rFonts w:ascii="Times New Roman" w:hAnsi="Times New Roman" w:cs="Times New Roman"/>
          <w:sz w:val="24"/>
          <w:szCs w:val="24"/>
          <w:shd w:val="clear" w:color="auto" w:fill="FFFFFF"/>
        </w:rPr>
        <w:t xml:space="preserve">and Children’s </w:t>
      </w:r>
      <w:r w:rsidR="00F100BF" w:rsidRPr="003C2011">
        <w:rPr>
          <w:rFonts w:ascii="Times New Roman" w:hAnsi="Times New Roman" w:cs="Times New Roman"/>
          <w:sz w:val="24"/>
          <w:szCs w:val="24"/>
          <w:shd w:val="clear" w:color="auto" w:fill="FFFFFF"/>
        </w:rPr>
        <w:t>Hospital, Singa</w:t>
      </w:r>
      <w:r w:rsidR="00402412" w:rsidRPr="003C2011">
        <w:rPr>
          <w:rFonts w:ascii="Times New Roman" w:hAnsi="Times New Roman" w:cs="Times New Roman"/>
          <w:sz w:val="24"/>
          <w:szCs w:val="24"/>
          <w:shd w:val="clear" w:color="auto" w:fill="FFFFFF"/>
        </w:rPr>
        <w:t xml:space="preserve">pore. </w:t>
      </w:r>
    </w:p>
    <w:p w14:paraId="244FAF89" w14:textId="564280CE" w:rsidR="000E4037" w:rsidRPr="003C2011" w:rsidRDefault="000E4037" w:rsidP="00527E12">
      <w:pPr>
        <w:spacing w:after="0" w:line="240" w:lineRule="auto"/>
        <w:jc w:val="both"/>
        <w:rPr>
          <w:rFonts w:ascii="Times New Roman" w:hAnsi="Times New Roman" w:cs="Times New Roman"/>
          <w:sz w:val="24"/>
          <w:szCs w:val="24"/>
          <w:shd w:val="clear" w:color="auto" w:fill="FFFFFF"/>
        </w:rPr>
      </w:pPr>
      <w:r w:rsidRPr="003C2011">
        <w:rPr>
          <w:rFonts w:ascii="Times New Roman" w:hAnsi="Times New Roman" w:cs="Times New Roman"/>
          <w:sz w:val="24"/>
          <w:szCs w:val="24"/>
          <w:shd w:val="clear" w:color="auto" w:fill="FFFFFF"/>
          <w:vertAlign w:val="superscript"/>
        </w:rPr>
        <w:t>15</w:t>
      </w:r>
      <w:r w:rsidRPr="003C2011">
        <w:rPr>
          <w:rFonts w:ascii="Times New Roman" w:hAnsi="Times New Roman" w:cs="Times New Roman"/>
          <w:sz w:val="24"/>
          <w:szCs w:val="24"/>
          <w:shd w:val="clear" w:color="auto" w:fill="FFFFFF"/>
        </w:rPr>
        <w:t>Faculty of Medicine, University of Malaya, Kuala Lumpur, Malaysia.</w:t>
      </w:r>
    </w:p>
    <w:p w14:paraId="65B6E2AC" w14:textId="48EFA374" w:rsidR="00527E12" w:rsidRPr="003C2011" w:rsidRDefault="00402412" w:rsidP="00527E12">
      <w:pPr>
        <w:pStyle w:val="CommentText"/>
        <w:rPr>
          <w:sz w:val="24"/>
          <w:szCs w:val="24"/>
        </w:rPr>
      </w:pPr>
      <w:r w:rsidRPr="003C2011">
        <w:rPr>
          <w:sz w:val="24"/>
          <w:szCs w:val="24"/>
          <w:vertAlign w:val="superscript"/>
        </w:rPr>
        <w:t>1</w:t>
      </w:r>
      <w:r w:rsidR="000E4037" w:rsidRPr="003C2011">
        <w:rPr>
          <w:sz w:val="24"/>
          <w:szCs w:val="24"/>
          <w:vertAlign w:val="superscript"/>
        </w:rPr>
        <w:t>6</w:t>
      </w:r>
      <w:r w:rsidR="00527E12" w:rsidRPr="003C2011">
        <w:rPr>
          <w:sz w:val="24"/>
          <w:szCs w:val="24"/>
        </w:rPr>
        <w:t>Dalla Lana School of Public Health, University of Toronto, Toronto, Ontario, Canada</w:t>
      </w:r>
    </w:p>
    <w:p w14:paraId="53F0EF9F" w14:textId="0B1CCADE" w:rsidR="0088298B" w:rsidRPr="003C2011" w:rsidRDefault="00402412" w:rsidP="0088298B">
      <w:pPr>
        <w:spacing w:after="0" w:line="240" w:lineRule="auto"/>
        <w:jc w:val="both"/>
        <w:rPr>
          <w:rFonts w:ascii="Times New Roman" w:hAnsi="Times New Roman" w:cs="Times New Roman"/>
          <w:sz w:val="24"/>
          <w:szCs w:val="24"/>
          <w:shd w:val="clear" w:color="auto" w:fill="FFFFFF"/>
        </w:rPr>
      </w:pPr>
      <w:r w:rsidRPr="003C2011">
        <w:rPr>
          <w:rFonts w:ascii="Times New Roman" w:hAnsi="Times New Roman" w:cs="Times New Roman"/>
          <w:sz w:val="24"/>
          <w:szCs w:val="24"/>
          <w:shd w:val="clear" w:color="auto" w:fill="FFFFFF"/>
          <w:vertAlign w:val="superscript"/>
        </w:rPr>
        <w:t>1</w:t>
      </w:r>
      <w:r w:rsidR="000E4037" w:rsidRPr="003C2011">
        <w:rPr>
          <w:rFonts w:ascii="Times New Roman" w:hAnsi="Times New Roman" w:cs="Times New Roman"/>
          <w:sz w:val="24"/>
          <w:szCs w:val="24"/>
          <w:shd w:val="clear" w:color="auto" w:fill="FFFFFF"/>
          <w:vertAlign w:val="superscript"/>
        </w:rPr>
        <w:t>7</w:t>
      </w:r>
      <w:r w:rsidR="0088298B" w:rsidRPr="003C2011">
        <w:rPr>
          <w:rFonts w:ascii="Times New Roman" w:hAnsi="Times New Roman" w:cs="Times New Roman"/>
          <w:sz w:val="24"/>
          <w:szCs w:val="24"/>
          <w:shd w:val="clear" w:color="auto" w:fill="FFFFFF"/>
        </w:rPr>
        <w:t>Division of General and Thoracic </w:t>
      </w:r>
      <w:r w:rsidR="0088298B" w:rsidRPr="003C2011">
        <w:rPr>
          <w:rStyle w:val="ej-keyword"/>
          <w:rFonts w:ascii="Times New Roman" w:hAnsi="Times New Roman" w:cs="Times New Roman"/>
          <w:sz w:val="24"/>
          <w:szCs w:val="24"/>
          <w:shd w:val="clear" w:color="auto" w:fill="FFFFFF"/>
        </w:rPr>
        <w:t>Surgery</w:t>
      </w:r>
      <w:r w:rsidR="0088298B" w:rsidRPr="003C2011">
        <w:rPr>
          <w:rFonts w:ascii="Times New Roman" w:hAnsi="Times New Roman" w:cs="Times New Roman"/>
          <w:sz w:val="24"/>
          <w:szCs w:val="24"/>
          <w:shd w:val="clear" w:color="auto" w:fill="FFFFFF"/>
        </w:rPr>
        <w:t>, Hospital for Sick </w:t>
      </w:r>
      <w:r w:rsidR="0088298B" w:rsidRPr="003C2011">
        <w:rPr>
          <w:rStyle w:val="ej-keyword"/>
          <w:rFonts w:ascii="Times New Roman" w:hAnsi="Times New Roman" w:cs="Times New Roman"/>
          <w:sz w:val="24"/>
          <w:szCs w:val="24"/>
          <w:shd w:val="clear" w:color="auto" w:fill="FFFFFF"/>
        </w:rPr>
        <w:t>Children</w:t>
      </w:r>
      <w:r w:rsidR="0088298B" w:rsidRPr="003C2011">
        <w:rPr>
          <w:rFonts w:ascii="Times New Roman" w:hAnsi="Times New Roman" w:cs="Times New Roman"/>
          <w:sz w:val="24"/>
          <w:szCs w:val="24"/>
          <w:shd w:val="clear" w:color="auto" w:fill="FFFFFF"/>
        </w:rPr>
        <w:t>, Toronto, Ontario, Canada</w:t>
      </w:r>
    </w:p>
    <w:p w14:paraId="6820F8AD" w14:textId="77777777" w:rsidR="0088298B" w:rsidRPr="003C2011" w:rsidRDefault="0088298B" w:rsidP="00527E12">
      <w:pPr>
        <w:pStyle w:val="CommentText"/>
        <w:rPr>
          <w:sz w:val="24"/>
          <w:szCs w:val="24"/>
        </w:rPr>
      </w:pPr>
    </w:p>
    <w:p w14:paraId="41A4AE13" w14:textId="5BE7E982" w:rsidR="00527E12" w:rsidRPr="003C2011" w:rsidRDefault="00D05B66" w:rsidP="00D05B66">
      <w:pPr>
        <w:textAlignment w:val="top"/>
        <w:rPr>
          <w:rFonts w:ascii="Times New Roman" w:eastAsia="Times New Roman" w:hAnsi="Times New Roman" w:cs="Times New Roman"/>
          <w:sz w:val="24"/>
          <w:szCs w:val="24"/>
        </w:rPr>
      </w:pPr>
      <w:r w:rsidRPr="003C2011">
        <w:rPr>
          <w:rFonts w:ascii="Times New Roman" w:eastAsia="Times New Roman" w:hAnsi="Times New Roman" w:cs="Times New Roman"/>
          <w:sz w:val="24"/>
          <w:szCs w:val="24"/>
        </w:rPr>
        <w:t>Full Professor</w:t>
      </w:r>
      <w:r w:rsidR="00D0403F" w:rsidRPr="003C2011">
        <w:rPr>
          <w:rFonts w:ascii="Times New Roman" w:eastAsia="Times New Roman" w:hAnsi="Times New Roman" w:cs="Times New Roman"/>
          <w:sz w:val="24"/>
          <w:szCs w:val="24"/>
        </w:rPr>
        <w:t xml:space="preserve"> - *</w:t>
      </w:r>
    </w:p>
    <w:p w14:paraId="27A69B95" w14:textId="77777777" w:rsidR="00FF334B" w:rsidRPr="003C2011" w:rsidRDefault="00FF334B" w:rsidP="00FF334B">
      <w:pPr>
        <w:spacing w:after="120" w:line="240" w:lineRule="auto"/>
        <w:jc w:val="both"/>
        <w:outlineLvl w:val="0"/>
        <w:rPr>
          <w:rFonts w:ascii="Times New Roman" w:hAnsi="Times New Roman" w:cs="Times New Roman"/>
          <w:b/>
          <w:sz w:val="24"/>
          <w:szCs w:val="24"/>
          <w:u w:val="single"/>
        </w:rPr>
      </w:pPr>
      <w:r w:rsidRPr="003C2011">
        <w:rPr>
          <w:rFonts w:ascii="Times New Roman" w:hAnsi="Times New Roman" w:cs="Times New Roman"/>
          <w:b/>
          <w:sz w:val="24"/>
          <w:szCs w:val="24"/>
          <w:u w:val="single"/>
        </w:rPr>
        <w:lastRenderedPageBreak/>
        <w:t>Corresponding Author</w:t>
      </w:r>
    </w:p>
    <w:p w14:paraId="3DAB6E6F" w14:textId="77777777" w:rsidR="00FF334B" w:rsidRPr="003C2011" w:rsidRDefault="00FF334B" w:rsidP="0042675F">
      <w:pPr>
        <w:spacing w:after="0" w:line="240" w:lineRule="auto"/>
        <w:rPr>
          <w:rFonts w:ascii="Times New Roman" w:hAnsi="Times New Roman" w:cs="Times New Roman"/>
          <w:sz w:val="24"/>
          <w:szCs w:val="24"/>
        </w:rPr>
      </w:pPr>
      <w:r w:rsidRPr="003C2011">
        <w:rPr>
          <w:rFonts w:ascii="Times New Roman" w:hAnsi="Times New Roman" w:cs="Times New Roman"/>
          <w:sz w:val="24"/>
          <w:szCs w:val="24"/>
        </w:rPr>
        <w:t>Shawn D. St. Peter, M.D.</w:t>
      </w:r>
    </w:p>
    <w:p w14:paraId="74B86C5A" w14:textId="74975C9C" w:rsidR="00FF334B" w:rsidRPr="003C2011" w:rsidRDefault="00FF334B" w:rsidP="0042675F">
      <w:pPr>
        <w:spacing w:after="0" w:line="240" w:lineRule="auto"/>
        <w:jc w:val="both"/>
        <w:rPr>
          <w:rFonts w:ascii="Times New Roman" w:hAnsi="Times New Roman" w:cs="Times New Roman"/>
          <w:sz w:val="24"/>
          <w:szCs w:val="24"/>
        </w:rPr>
      </w:pPr>
      <w:r w:rsidRPr="003C2011">
        <w:rPr>
          <w:rFonts w:ascii="Times New Roman" w:hAnsi="Times New Roman" w:cs="Times New Roman"/>
          <w:sz w:val="24"/>
          <w:szCs w:val="24"/>
        </w:rPr>
        <w:t>Surgeon-in-Chief</w:t>
      </w:r>
      <w:r w:rsidR="002F16E6" w:rsidRPr="003C2011">
        <w:rPr>
          <w:rFonts w:ascii="Times New Roman" w:hAnsi="Times New Roman" w:cs="Times New Roman"/>
          <w:sz w:val="24"/>
          <w:szCs w:val="24"/>
        </w:rPr>
        <w:t>/Senior Vice President</w:t>
      </w:r>
    </w:p>
    <w:p w14:paraId="6221C0EA" w14:textId="77777777" w:rsidR="00FF334B" w:rsidRPr="003C2011" w:rsidRDefault="00FF334B" w:rsidP="0042675F">
      <w:pPr>
        <w:spacing w:after="0" w:line="240" w:lineRule="auto"/>
        <w:jc w:val="both"/>
        <w:rPr>
          <w:rFonts w:ascii="Times New Roman" w:hAnsi="Times New Roman" w:cs="Times New Roman"/>
          <w:sz w:val="24"/>
          <w:szCs w:val="24"/>
        </w:rPr>
      </w:pPr>
      <w:r w:rsidRPr="003C2011">
        <w:rPr>
          <w:rFonts w:ascii="Times New Roman" w:hAnsi="Times New Roman" w:cs="Times New Roman"/>
          <w:sz w:val="24"/>
          <w:szCs w:val="24"/>
        </w:rPr>
        <w:t>Children’s Mercy Hospital</w:t>
      </w:r>
    </w:p>
    <w:p w14:paraId="43F2B38A" w14:textId="77777777" w:rsidR="00FF334B" w:rsidRPr="003C2011" w:rsidRDefault="00FF334B" w:rsidP="0042675F">
      <w:pPr>
        <w:spacing w:after="0" w:line="240" w:lineRule="auto"/>
        <w:jc w:val="both"/>
        <w:rPr>
          <w:rFonts w:ascii="Times New Roman" w:hAnsi="Times New Roman" w:cs="Times New Roman"/>
          <w:sz w:val="24"/>
          <w:szCs w:val="24"/>
        </w:rPr>
      </w:pPr>
      <w:r w:rsidRPr="003C2011">
        <w:rPr>
          <w:rFonts w:ascii="Times New Roman" w:hAnsi="Times New Roman" w:cs="Times New Roman"/>
          <w:sz w:val="24"/>
          <w:szCs w:val="24"/>
        </w:rPr>
        <w:t>2401 Gillham Road</w:t>
      </w:r>
    </w:p>
    <w:p w14:paraId="50DE8980" w14:textId="77777777" w:rsidR="00FF334B" w:rsidRPr="003C2011" w:rsidRDefault="00FF334B" w:rsidP="0042675F">
      <w:pPr>
        <w:spacing w:after="0" w:line="240" w:lineRule="auto"/>
        <w:jc w:val="both"/>
        <w:rPr>
          <w:rFonts w:ascii="Times New Roman" w:hAnsi="Times New Roman" w:cs="Times New Roman"/>
          <w:sz w:val="24"/>
          <w:szCs w:val="24"/>
        </w:rPr>
      </w:pPr>
      <w:r w:rsidRPr="003C2011">
        <w:rPr>
          <w:rFonts w:ascii="Times New Roman" w:hAnsi="Times New Roman" w:cs="Times New Roman"/>
          <w:sz w:val="24"/>
          <w:szCs w:val="24"/>
        </w:rPr>
        <w:t>Kansas City, MO 64108</w:t>
      </w:r>
    </w:p>
    <w:p w14:paraId="044DE193" w14:textId="77777777" w:rsidR="00FF334B" w:rsidRPr="003C2011" w:rsidRDefault="00FF334B" w:rsidP="0042675F">
      <w:pPr>
        <w:spacing w:after="0" w:line="240" w:lineRule="auto"/>
        <w:jc w:val="both"/>
        <w:rPr>
          <w:rFonts w:ascii="Times New Roman" w:hAnsi="Times New Roman" w:cs="Times New Roman"/>
          <w:sz w:val="24"/>
          <w:szCs w:val="24"/>
        </w:rPr>
      </w:pPr>
      <w:r w:rsidRPr="003C2011">
        <w:rPr>
          <w:rFonts w:ascii="Times New Roman" w:hAnsi="Times New Roman" w:cs="Times New Roman"/>
          <w:sz w:val="24"/>
          <w:szCs w:val="24"/>
        </w:rPr>
        <w:t>Tel: 816-234-3575</w:t>
      </w:r>
    </w:p>
    <w:p w14:paraId="3AD3715C" w14:textId="77777777" w:rsidR="00FF334B" w:rsidRPr="003C2011" w:rsidRDefault="00FF334B" w:rsidP="0042675F">
      <w:pPr>
        <w:spacing w:after="0" w:line="240" w:lineRule="auto"/>
        <w:jc w:val="both"/>
        <w:rPr>
          <w:rFonts w:ascii="Times New Roman" w:hAnsi="Times New Roman" w:cs="Times New Roman"/>
          <w:sz w:val="24"/>
          <w:szCs w:val="24"/>
        </w:rPr>
      </w:pPr>
      <w:r w:rsidRPr="003C2011">
        <w:rPr>
          <w:rFonts w:ascii="Times New Roman" w:hAnsi="Times New Roman" w:cs="Times New Roman"/>
          <w:sz w:val="24"/>
          <w:szCs w:val="24"/>
        </w:rPr>
        <w:t>Fax: 816-983-6885</w:t>
      </w:r>
    </w:p>
    <w:p w14:paraId="5CB0AFA9" w14:textId="77777777" w:rsidR="00FF334B" w:rsidRPr="003C2011" w:rsidRDefault="00FF334B" w:rsidP="0042675F">
      <w:pPr>
        <w:spacing w:after="0" w:line="240" w:lineRule="auto"/>
        <w:jc w:val="both"/>
        <w:rPr>
          <w:rStyle w:val="Hyperlink"/>
          <w:color w:val="auto"/>
          <w:sz w:val="24"/>
          <w:szCs w:val="24"/>
        </w:rPr>
      </w:pPr>
      <w:r w:rsidRPr="003C2011">
        <w:rPr>
          <w:rFonts w:ascii="Times New Roman" w:hAnsi="Times New Roman" w:cs="Times New Roman"/>
          <w:sz w:val="24"/>
          <w:szCs w:val="24"/>
        </w:rPr>
        <w:t>Email:  sspeter@cmh.edu</w:t>
      </w:r>
    </w:p>
    <w:p w14:paraId="014FCD0D" w14:textId="77777777" w:rsidR="00FF334B" w:rsidRPr="003C2011" w:rsidRDefault="00FF334B" w:rsidP="00FF334B">
      <w:pPr>
        <w:spacing w:line="240" w:lineRule="auto"/>
        <w:jc w:val="both"/>
        <w:rPr>
          <w:rFonts w:ascii="Times New Roman" w:hAnsi="Times New Roman"/>
          <w:szCs w:val="24"/>
        </w:rPr>
      </w:pPr>
    </w:p>
    <w:p w14:paraId="6D7A195A" w14:textId="77777777" w:rsidR="00FF334B" w:rsidRPr="003C2011" w:rsidRDefault="00FF334B" w:rsidP="00FF334B">
      <w:pPr>
        <w:rPr>
          <w:rFonts w:ascii="Times New Roman" w:hAnsi="Times New Roman" w:cs="Times New Roman"/>
          <w:b/>
          <w:sz w:val="24"/>
          <w:szCs w:val="24"/>
        </w:rPr>
      </w:pPr>
      <w:r w:rsidRPr="003C2011">
        <w:rPr>
          <w:rFonts w:ascii="Times New Roman" w:hAnsi="Times New Roman" w:cs="Times New Roman"/>
          <w:b/>
          <w:sz w:val="24"/>
          <w:szCs w:val="24"/>
        </w:rPr>
        <w:t>Disclosure:</w:t>
      </w:r>
    </w:p>
    <w:p w14:paraId="002B834B" w14:textId="2FCB17E4" w:rsidR="00FF334B" w:rsidRPr="003C2011" w:rsidRDefault="006C2809" w:rsidP="00FF334B">
      <w:pPr>
        <w:rPr>
          <w:rFonts w:ascii="Times New Roman" w:hAnsi="Times New Roman" w:cs="Times New Roman"/>
          <w:bCs/>
          <w:sz w:val="24"/>
          <w:szCs w:val="24"/>
        </w:rPr>
      </w:pPr>
      <w:r w:rsidRPr="003C2011">
        <w:rPr>
          <w:rFonts w:ascii="Times New Roman" w:hAnsi="Times New Roman" w:cs="Times New Roman"/>
          <w:b/>
          <w:sz w:val="24"/>
          <w:szCs w:val="24"/>
        </w:rPr>
        <w:tab/>
      </w:r>
      <w:r w:rsidR="008B6B0D" w:rsidRPr="003C2011">
        <w:rPr>
          <w:rFonts w:ascii="Times New Roman" w:hAnsi="Times New Roman" w:cs="Times New Roman"/>
          <w:bCs/>
          <w:sz w:val="24"/>
          <w:szCs w:val="24"/>
        </w:rPr>
        <w:t>N</w:t>
      </w:r>
      <w:r w:rsidRPr="003C2011">
        <w:rPr>
          <w:rFonts w:ascii="Times New Roman" w:hAnsi="Times New Roman" w:cs="Times New Roman"/>
          <w:bCs/>
          <w:sz w:val="24"/>
          <w:szCs w:val="24"/>
        </w:rPr>
        <w:t xml:space="preserve">one of the authors have any disclosures. </w:t>
      </w:r>
    </w:p>
    <w:p w14:paraId="20587AFC" w14:textId="77777777" w:rsidR="00FF334B" w:rsidRPr="003C2011" w:rsidRDefault="00FF334B" w:rsidP="00FF334B">
      <w:pPr>
        <w:rPr>
          <w:rFonts w:ascii="Times New Roman" w:hAnsi="Times New Roman" w:cs="Times New Roman"/>
          <w:b/>
          <w:sz w:val="24"/>
          <w:szCs w:val="24"/>
        </w:rPr>
      </w:pPr>
      <w:r w:rsidRPr="003C2011">
        <w:rPr>
          <w:rFonts w:ascii="Times New Roman" w:hAnsi="Times New Roman" w:cs="Times New Roman"/>
          <w:b/>
          <w:bCs/>
          <w:sz w:val="24"/>
          <w:szCs w:val="24"/>
        </w:rPr>
        <w:t>Running head:</w:t>
      </w:r>
    </w:p>
    <w:p w14:paraId="7CE60EFC" w14:textId="02435098" w:rsidR="00FF334B" w:rsidRPr="003C2011" w:rsidRDefault="001C1675" w:rsidP="00FF334B">
      <w:pPr>
        <w:rPr>
          <w:rFonts w:ascii="Times New Roman" w:hAnsi="Times New Roman" w:cs="Times New Roman"/>
          <w:b/>
          <w:sz w:val="24"/>
          <w:szCs w:val="24"/>
        </w:rPr>
      </w:pPr>
      <w:r w:rsidRPr="003C2011">
        <w:rPr>
          <w:rFonts w:ascii="Times New Roman" w:hAnsi="Times New Roman" w:cs="Times New Roman"/>
          <w:b/>
          <w:sz w:val="24"/>
          <w:szCs w:val="24"/>
        </w:rPr>
        <w:t>APPY Trial</w:t>
      </w:r>
      <w:r w:rsidR="0077493D" w:rsidRPr="003C2011">
        <w:rPr>
          <w:rFonts w:ascii="Times New Roman" w:hAnsi="Times New Roman" w:cs="Times New Roman"/>
          <w:b/>
          <w:sz w:val="24"/>
          <w:szCs w:val="24"/>
        </w:rPr>
        <w:t xml:space="preserve">: </w:t>
      </w:r>
      <w:r w:rsidRPr="003C2011">
        <w:rPr>
          <w:rFonts w:ascii="Times New Roman" w:hAnsi="Times New Roman" w:cs="Times New Roman"/>
          <w:b/>
          <w:sz w:val="24"/>
          <w:szCs w:val="24"/>
        </w:rPr>
        <w:t>-Antibiotics versus appendectomy</w:t>
      </w:r>
      <w:r w:rsidR="00985730" w:rsidRPr="003C2011">
        <w:rPr>
          <w:rFonts w:ascii="Times New Roman" w:hAnsi="Times New Roman" w:cs="Times New Roman"/>
          <w:b/>
          <w:sz w:val="24"/>
          <w:szCs w:val="24"/>
        </w:rPr>
        <w:t xml:space="preserve"> for pediatric appendicitis</w:t>
      </w:r>
    </w:p>
    <w:p w14:paraId="280C6AD8" w14:textId="23D4F670" w:rsidR="00FF334B" w:rsidRPr="003C2011" w:rsidRDefault="00FF334B" w:rsidP="00FF334B">
      <w:pPr>
        <w:spacing w:line="480" w:lineRule="auto"/>
        <w:rPr>
          <w:rFonts w:ascii="Times New Roman" w:hAnsi="Times New Roman" w:cs="Times New Roman"/>
          <w:b/>
          <w:sz w:val="24"/>
          <w:szCs w:val="24"/>
        </w:rPr>
      </w:pPr>
    </w:p>
    <w:p w14:paraId="3DC76F1E" w14:textId="77777777" w:rsidR="00713387" w:rsidRPr="003C2011" w:rsidRDefault="00713387" w:rsidP="00FF334B">
      <w:pPr>
        <w:spacing w:line="480" w:lineRule="auto"/>
        <w:rPr>
          <w:rFonts w:ascii="Times New Roman" w:hAnsi="Times New Roman" w:cs="Times New Roman"/>
          <w:b/>
          <w:sz w:val="24"/>
          <w:szCs w:val="24"/>
        </w:rPr>
      </w:pPr>
    </w:p>
    <w:p w14:paraId="108B604E" w14:textId="77777777" w:rsidR="00713387" w:rsidRPr="003C2011" w:rsidRDefault="00713387" w:rsidP="00FF334B">
      <w:pPr>
        <w:spacing w:line="480" w:lineRule="auto"/>
        <w:rPr>
          <w:rFonts w:ascii="Times New Roman" w:hAnsi="Times New Roman" w:cs="Times New Roman"/>
          <w:b/>
          <w:sz w:val="24"/>
          <w:szCs w:val="24"/>
        </w:rPr>
      </w:pPr>
    </w:p>
    <w:p w14:paraId="155310E0" w14:textId="77777777" w:rsidR="00713387" w:rsidRPr="003C2011" w:rsidRDefault="00713387" w:rsidP="00FF334B">
      <w:pPr>
        <w:spacing w:line="480" w:lineRule="auto"/>
        <w:rPr>
          <w:rFonts w:ascii="Times New Roman" w:hAnsi="Times New Roman" w:cs="Times New Roman"/>
          <w:b/>
          <w:sz w:val="24"/>
          <w:szCs w:val="24"/>
        </w:rPr>
      </w:pPr>
    </w:p>
    <w:p w14:paraId="5B3B33EF" w14:textId="77777777" w:rsidR="00713387" w:rsidRPr="003C2011" w:rsidRDefault="00713387" w:rsidP="00FF334B">
      <w:pPr>
        <w:spacing w:line="480" w:lineRule="auto"/>
        <w:rPr>
          <w:rFonts w:ascii="Times New Roman" w:hAnsi="Times New Roman" w:cs="Times New Roman"/>
          <w:b/>
          <w:sz w:val="24"/>
          <w:szCs w:val="24"/>
        </w:rPr>
      </w:pPr>
    </w:p>
    <w:p w14:paraId="199C4823" w14:textId="77777777" w:rsidR="00713387" w:rsidRPr="003C2011" w:rsidRDefault="00713387" w:rsidP="00FF334B">
      <w:pPr>
        <w:spacing w:line="480" w:lineRule="auto"/>
        <w:rPr>
          <w:rFonts w:ascii="Times New Roman" w:hAnsi="Times New Roman" w:cs="Times New Roman"/>
          <w:b/>
          <w:sz w:val="24"/>
          <w:szCs w:val="24"/>
        </w:rPr>
      </w:pPr>
    </w:p>
    <w:p w14:paraId="51FC7D78" w14:textId="77777777" w:rsidR="00713387" w:rsidRPr="003C2011" w:rsidRDefault="00713387" w:rsidP="00FF334B">
      <w:pPr>
        <w:spacing w:line="480" w:lineRule="auto"/>
        <w:rPr>
          <w:rFonts w:ascii="Times New Roman" w:hAnsi="Times New Roman" w:cs="Times New Roman"/>
          <w:b/>
          <w:sz w:val="24"/>
          <w:szCs w:val="24"/>
        </w:rPr>
      </w:pPr>
    </w:p>
    <w:p w14:paraId="13D7B59A" w14:textId="77777777" w:rsidR="00713387" w:rsidRPr="003C2011" w:rsidRDefault="00713387" w:rsidP="00FF334B">
      <w:pPr>
        <w:spacing w:line="480" w:lineRule="auto"/>
        <w:rPr>
          <w:rFonts w:ascii="Times New Roman" w:hAnsi="Times New Roman" w:cs="Times New Roman"/>
          <w:b/>
          <w:sz w:val="24"/>
          <w:szCs w:val="24"/>
        </w:rPr>
      </w:pPr>
    </w:p>
    <w:p w14:paraId="2892D2AA" w14:textId="77777777" w:rsidR="00713387" w:rsidRPr="003C2011" w:rsidRDefault="00713387" w:rsidP="00FF334B">
      <w:pPr>
        <w:spacing w:line="480" w:lineRule="auto"/>
        <w:rPr>
          <w:rFonts w:ascii="Times New Roman" w:hAnsi="Times New Roman" w:cs="Times New Roman"/>
          <w:b/>
          <w:sz w:val="24"/>
          <w:szCs w:val="24"/>
        </w:rPr>
      </w:pPr>
    </w:p>
    <w:p w14:paraId="13E42897" w14:textId="77777777" w:rsidR="00713387" w:rsidRPr="003C2011" w:rsidRDefault="00713387" w:rsidP="00FF334B">
      <w:pPr>
        <w:spacing w:line="480" w:lineRule="auto"/>
        <w:rPr>
          <w:rFonts w:ascii="Times New Roman" w:hAnsi="Times New Roman" w:cs="Times New Roman"/>
          <w:b/>
          <w:sz w:val="24"/>
          <w:szCs w:val="24"/>
        </w:rPr>
      </w:pPr>
    </w:p>
    <w:p w14:paraId="470376AF" w14:textId="77777777" w:rsidR="00B81D34" w:rsidRPr="003C2011" w:rsidRDefault="00B81D34" w:rsidP="00FF334B">
      <w:pPr>
        <w:spacing w:line="480" w:lineRule="auto"/>
        <w:rPr>
          <w:rFonts w:ascii="Times New Roman" w:hAnsi="Times New Roman" w:cs="Times New Roman"/>
          <w:b/>
          <w:sz w:val="24"/>
          <w:szCs w:val="24"/>
        </w:rPr>
        <w:sectPr w:rsidR="00B81D34" w:rsidRPr="003C2011" w:rsidSect="003C2011">
          <w:footerReference w:type="default" r:id="rId11"/>
          <w:footerReference w:type="first" r:id="rId12"/>
          <w:pgSz w:w="12240" w:h="15840"/>
          <w:pgMar w:top="1440" w:right="1440" w:bottom="1440" w:left="1440" w:header="720" w:footer="720" w:gutter="0"/>
          <w:cols w:space="720"/>
          <w:titlePg/>
          <w:docGrid w:linePitch="360"/>
        </w:sectPr>
      </w:pPr>
    </w:p>
    <w:p w14:paraId="1C2C84E6" w14:textId="77777777" w:rsidR="00713387" w:rsidRPr="003C2011" w:rsidRDefault="00713387" w:rsidP="00FF334B">
      <w:pPr>
        <w:spacing w:line="480" w:lineRule="auto"/>
        <w:rPr>
          <w:rFonts w:ascii="Times New Roman" w:hAnsi="Times New Roman" w:cs="Times New Roman"/>
          <w:b/>
          <w:sz w:val="24"/>
          <w:szCs w:val="24"/>
        </w:rPr>
      </w:pPr>
    </w:p>
    <w:p w14:paraId="7752E109" w14:textId="77777777" w:rsidR="00713387" w:rsidRPr="003C2011" w:rsidRDefault="00713387" w:rsidP="00FF334B">
      <w:pPr>
        <w:spacing w:line="480" w:lineRule="auto"/>
        <w:rPr>
          <w:rFonts w:ascii="Times New Roman" w:hAnsi="Times New Roman" w:cs="Times New Roman"/>
          <w:b/>
          <w:sz w:val="24"/>
          <w:szCs w:val="24"/>
        </w:rPr>
      </w:pPr>
    </w:p>
    <w:p w14:paraId="4F987341" w14:textId="6D8B4210" w:rsidR="00713387" w:rsidRPr="003C2011" w:rsidRDefault="00713387" w:rsidP="00FF334B">
      <w:pPr>
        <w:spacing w:line="480" w:lineRule="auto"/>
        <w:rPr>
          <w:rFonts w:ascii="Times New Roman" w:hAnsi="Times New Roman" w:cs="Times New Roman"/>
          <w:b/>
          <w:sz w:val="24"/>
          <w:szCs w:val="24"/>
        </w:rPr>
      </w:pPr>
      <w:r w:rsidRPr="003C2011">
        <w:rPr>
          <w:rFonts w:ascii="Times New Roman" w:hAnsi="Times New Roman" w:cs="Times New Roman"/>
          <w:b/>
          <w:sz w:val="24"/>
          <w:szCs w:val="24"/>
        </w:rPr>
        <w:t>Abstract</w:t>
      </w:r>
    </w:p>
    <w:p w14:paraId="79F673E3" w14:textId="77777777" w:rsidR="00576C07" w:rsidRPr="003C2011" w:rsidRDefault="00576C07" w:rsidP="00FF334B">
      <w:pPr>
        <w:spacing w:line="480" w:lineRule="auto"/>
        <w:rPr>
          <w:rFonts w:ascii="Times New Roman" w:hAnsi="Times New Roman" w:cs="Times New Roman"/>
          <w:b/>
          <w:sz w:val="24"/>
          <w:szCs w:val="24"/>
        </w:rPr>
      </w:pPr>
      <w:r w:rsidRPr="003C2011">
        <w:rPr>
          <w:rFonts w:ascii="Times New Roman" w:hAnsi="Times New Roman" w:cs="Times New Roman"/>
          <w:b/>
          <w:sz w:val="24"/>
          <w:szCs w:val="24"/>
        </w:rPr>
        <w:t>Background:</w:t>
      </w:r>
    </w:p>
    <w:p w14:paraId="7620A8F9" w14:textId="46460BFB" w:rsidR="00576C07" w:rsidRPr="003C2011" w:rsidRDefault="00576C07" w:rsidP="00FF334B">
      <w:pPr>
        <w:spacing w:line="480" w:lineRule="auto"/>
        <w:rPr>
          <w:rFonts w:ascii="Times New Roman" w:hAnsi="Times New Roman" w:cs="Times New Roman"/>
          <w:sz w:val="24"/>
          <w:szCs w:val="24"/>
        </w:rPr>
      </w:pPr>
      <w:r w:rsidRPr="003C2011">
        <w:rPr>
          <w:rFonts w:ascii="Times New Roman" w:hAnsi="Times New Roman" w:cs="Times New Roman"/>
          <w:sz w:val="24"/>
          <w:szCs w:val="24"/>
        </w:rPr>
        <w:t xml:space="preserve">The support for treatment of </w:t>
      </w:r>
      <w:r w:rsidR="00A02CF5" w:rsidRPr="003C2011">
        <w:rPr>
          <w:rFonts w:ascii="Times New Roman" w:hAnsi="Times New Roman" w:cs="Times New Roman"/>
          <w:sz w:val="24"/>
          <w:szCs w:val="24"/>
        </w:rPr>
        <w:t>uncomplicated</w:t>
      </w:r>
      <w:r w:rsidRPr="003C2011">
        <w:rPr>
          <w:rFonts w:ascii="Times New Roman" w:hAnsi="Times New Roman" w:cs="Times New Roman"/>
          <w:sz w:val="24"/>
          <w:szCs w:val="24"/>
        </w:rPr>
        <w:t xml:space="preserve"> appendicitis with </w:t>
      </w:r>
      <w:r w:rsidR="00A02CF5" w:rsidRPr="003C2011">
        <w:rPr>
          <w:rFonts w:ascii="Times New Roman" w:hAnsi="Times New Roman" w:cs="Times New Roman"/>
          <w:sz w:val="24"/>
          <w:szCs w:val="24"/>
        </w:rPr>
        <w:t xml:space="preserve">non-operative management as opposed to surgery </w:t>
      </w:r>
      <w:r w:rsidRPr="003C2011">
        <w:rPr>
          <w:rFonts w:ascii="Times New Roman" w:hAnsi="Times New Roman" w:cs="Times New Roman"/>
          <w:sz w:val="24"/>
          <w:szCs w:val="24"/>
        </w:rPr>
        <w:t xml:space="preserve">has been building in the literature. We conducted a </w:t>
      </w:r>
      <w:r w:rsidR="00ED6AF1" w:rsidRPr="003C2011">
        <w:rPr>
          <w:rFonts w:ascii="Times New Roman" w:hAnsi="Times New Roman" w:cs="Times New Roman"/>
          <w:sz w:val="24"/>
          <w:szCs w:val="24"/>
        </w:rPr>
        <w:t xml:space="preserve">randomized trial to compare failure rates. </w:t>
      </w:r>
    </w:p>
    <w:p w14:paraId="6A1CD110" w14:textId="77777777" w:rsidR="00576C07" w:rsidRPr="003C2011" w:rsidRDefault="00576C07" w:rsidP="00FF334B">
      <w:pPr>
        <w:spacing w:line="480" w:lineRule="auto"/>
        <w:rPr>
          <w:rFonts w:ascii="Times New Roman" w:hAnsi="Times New Roman" w:cs="Times New Roman"/>
          <w:b/>
          <w:bCs/>
          <w:sz w:val="24"/>
          <w:szCs w:val="24"/>
        </w:rPr>
      </w:pPr>
      <w:r w:rsidRPr="003C2011">
        <w:rPr>
          <w:rFonts w:ascii="Times New Roman" w:hAnsi="Times New Roman" w:cs="Times New Roman"/>
          <w:b/>
          <w:bCs/>
          <w:sz w:val="24"/>
          <w:szCs w:val="24"/>
        </w:rPr>
        <w:t>Methods:</w:t>
      </w:r>
    </w:p>
    <w:p w14:paraId="7F6B9F2E" w14:textId="4D5087CA" w:rsidR="00FF334B" w:rsidRPr="003C2011" w:rsidRDefault="00004C79" w:rsidP="00B46BE9">
      <w:pPr>
        <w:spacing w:line="480" w:lineRule="auto"/>
        <w:rPr>
          <w:rFonts w:ascii="Times New Roman" w:hAnsi="Times New Roman" w:cs="Times New Roman"/>
          <w:sz w:val="24"/>
          <w:szCs w:val="24"/>
        </w:rPr>
      </w:pPr>
      <w:r w:rsidRPr="003C2011">
        <w:rPr>
          <w:rFonts w:ascii="Times New Roman" w:hAnsi="Times New Roman" w:cs="Times New Roman"/>
          <w:sz w:val="24"/>
          <w:szCs w:val="24"/>
        </w:rPr>
        <w:t xml:space="preserve">We conducted a </w:t>
      </w:r>
      <w:r w:rsidR="006303F1" w:rsidRPr="003C2011">
        <w:rPr>
          <w:rFonts w:ascii="Times New Roman" w:hAnsi="Times New Roman" w:cs="Times New Roman"/>
          <w:sz w:val="24"/>
          <w:szCs w:val="24"/>
        </w:rPr>
        <w:t>pragmatic multicenter, parallel-group, unmasked, non-inferiority,</w:t>
      </w:r>
      <w:r w:rsidRPr="003C2011">
        <w:rPr>
          <w:rFonts w:ascii="Times New Roman" w:hAnsi="Times New Roman" w:cs="Times New Roman"/>
          <w:sz w:val="24"/>
          <w:szCs w:val="24"/>
        </w:rPr>
        <w:t xml:space="preserve"> randomized trial </w:t>
      </w:r>
      <w:r w:rsidR="006303F1" w:rsidRPr="003C2011">
        <w:rPr>
          <w:rFonts w:ascii="Times New Roman" w:hAnsi="Times New Roman" w:cs="Times New Roman"/>
          <w:sz w:val="24"/>
          <w:szCs w:val="24"/>
        </w:rPr>
        <w:t xml:space="preserve">completed </w:t>
      </w:r>
      <w:r w:rsidRPr="003C2011">
        <w:rPr>
          <w:rFonts w:ascii="Times New Roman" w:hAnsi="Times New Roman" w:cs="Times New Roman"/>
          <w:sz w:val="24"/>
          <w:szCs w:val="24"/>
        </w:rPr>
        <w:t xml:space="preserve">at </w:t>
      </w:r>
      <w:r w:rsidR="00FF76D7" w:rsidRPr="003C2011">
        <w:rPr>
          <w:rFonts w:ascii="Times New Roman" w:hAnsi="Times New Roman" w:cs="Times New Roman"/>
          <w:sz w:val="24"/>
          <w:szCs w:val="24"/>
        </w:rPr>
        <w:t>11</w:t>
      </w:r>
      <w:r w:rsidRPr="003C2011">
        <w:rPr>
          <w:rFonts w:ascii="Times New Roman" w:hAnsi="Times New Roman" w:cs="Times New Roman"/>
          <w:sz w:val="24"/>
          <w:szCs w:val="24"/>
        </w:rPr>
        <w:t xml:space="preserve"> children’s hospitals </w:t>
      </w:r>
      <w:r w:rsidR="006303F1" w:rsidRPr="003C2011">
        <w:rPr>
          <w:rFonts w:ascii="Times New Roman" w:hAnsi="Times New Roman" w:cs="Times New Roman"/>
          <w:sz w:val="24"/>
          <w:szCs w:val="24"/>
        </w:rPr>
        <w:t>across the globe</w:t>
      </w:r>
      <w:r w:rsidR="004C3038" w:rsidRPr="003C2011">
        <w:rPr>
          <w:rFonts w:ascii="Times New Roman" w:hAnsi="Times New Roman" w:cs="Times New Roman"/>
          <w:sz w:val="24"/>
          <w:szCs w:val="24"/>
        </w:rPr>
        <w:t>.</w:t>
      </w:r>
      <w:r w:rsidR="006303F1" w:rsidRPr="003C2011">
        <w:rPr>
          <w:rFonts w:ascii="Times New Roman" w:hAnsi="Times New Roman" w:cs="Times New Roman"/>
          <w:sz w:val="24"/>
          <w:szCs w:val="24"/>
        </w:rPr>
        <w:t xml:space="preserve"> </w:t>
      </w:r>
      <w:r w:rsidRPr="003C2011">
        <w:rPr>
          <w:rFonts w:ascii="Times New Roman" w:hAnsi="Times New Roman" w:cs="Times New Roman"/>
          <w:sz w:val="24"/>
          <w:szCs w:val="24"/>
        </w:rPr>
        <w:t xml:space="preserve">We used </w:t>
      </w:r>
      <w:r w:rsidR="00576C07" w:rsidRPr="003C2011">
        <w:rPr>
          <w:rFonts w:ascii="Times New Roman" w:hAnsi="Times New Roman" w:cs="Times New Roman"/>
          <w:sz w:val="24"/>
          <w:szCs w:val="24"/>
        </w:rPr>
        <w:t xml:space="preserve">a non-inferiority design </w:t>
      </w:r>
      <w:r w:rsidR="002E4B5B" w:rsidRPr="003C2011">
        <w:rPr>
          <w:rFonts w:ascii="Times New Roman" w:hAnsi="Times New Roman" w:cs="Times New Roman"/>
          <w:sz w:val="24"/>
          <w:szCs w:val="24"/>
        </w:rPr>
        <w:t>with</w:t>
      </w:r>
      <w:r w:rsidR="00576C07" w:rsidRPr="003C2011">
        <w:rPr>
          <w:rFonts w:ascii="Times New Roman" w:hAnsi="Times New Roman" w:cs="Times New Roman"/>
          <w:sz w:val="24"/>
          <w:szCs w:val="24"/>
        </w:rPr>
        <w:t xml:space="preserve"> </w:t>
      </w:r>
      <w:r w:rsidRPr="003C2011">
        <w:rPr>
          <w:rFonts w:ascii="Times New Roman" w:hAnsi="Times New Roman" w:cs="Times New Roman"/>
          <w:sz w:val="24"/>
          <w:szCs w:val="24"/>
        </w:rPr>
        <w:t>a</w:t>
      </w:r>
      <w:r w:rsidR="00576C07" w:rsidRPr="003C2011">
        <w:rPr>
          <w:rFonts w:ascii="Times New Roman" w:hAnsi="Times New Roman" w:cs="Times New Roman"/>
          <w:sz w:val="24"/>
          <w:szCs w:val="24"/>
        </w:rPr>
        <w:t xml:space="preserve"> margin of </w:t>
      </w:r>
      <w:r w:rsidR="00A02CF5" w:rsidRPr="003C2011">
        <w:rPr>
          <w:rFonts w:ascii="Times New Roman" w:hAnsi="Times New Roman" w:cs="Times New Roman"/>
          <w:sz w:val="24"/>
          <w:szCs w:val="24"/>
        </w:rPr>
        <w:t>20%</w:t>
      </w:r>
      <w:r w:rsidR="006303F1" w:rsidRPr="003C2011">
        <w:rPr>
          <w:rFonts w:ascii="Times New Roman" w:hAnsi="Times New Roman" w:cs="Times New Roman"/>
          <w:sz w:val="24"/>
          <w:szCs w:val="24"/>
        </w:rPr>
        <w:t>, and randomized in a 1:1 allocation while stratifying by sex</w:t>
      </w:r>
      <w:r w:rsidR="00F33447" w:rsidRPr="003C2011">
        <w:rPr>
          <w:rFonts w:ascii="Times New Roman" w:hAnsi="Times New Roman" w:cs="Times New Roman"/>
          <w:sz w:val="24"/>
          <w:szCs w:val="24"/>
        </w:rPr>
        <w:t>, institution</w:t>
      </w:r>
      <w:r w:rsidR="006303F1" w:rsidRPr="003C2011">
        <w:rPr>
          <w:rFonts w:ascii="Times New Roman" w:hAnsi="Times New Roman" w:cs="Times New Roman"/>
          <w:sz w:val="24"/>
          <w:szCs w:val="24"/>
        </w:rPr>
        <w:t xml:space="preserve"> and duration of symptoms (≥ 48 hours verses &lt;48 hours)</w:t>
      </w:r>
      <w:r w:rsidR="004C3038" w:rsidRPr="003C2011">
        <w:rPr>
          <w:rFonts w:ascii="Times New Roman" w:hAnsi="Times New Roman" w:cs="Times New Roman"/>
          <w:sz w:val="24"/>
          <w:szCs w:val="24"/>
        </w:rPr>
        <w:t>.</w:t>
      </w:r>
      <w:r w:rsidR="00576C07" w:rsidRPr="003C2011">
        <w:rPr>
          <w:rFonts w:ascii="Times New Roman" w:hAnsi="Times New Roman" w:cs="Times New Roman"/>
          <w:sz w:val="24"/>
          <w:szCs w:val="24"/>
        </w:rPr>
        <w:t xml:space="preserve"> Patients were 5-16 years of age with suspected non-perforated appendicitis. </w:t>
      </w:r>
      <w:r w:rsidRPr="003C2011">
        <w:rPr>
          <w:rFonts w:ascii="Times New Roman" w:hAnsi="Times New Roman" w:cs="Times New Roman"/>
          <w:sz w:val="24"/>
          <w:szCs w:val="24"/>
        </w:rPr>
        <w:t xml:space="preserve">The primary outcome was </w:t>
      </w:r>
      <w:r w:rsidR="00124DDA" w:rsidRPr="003C2011">
        <w:rPr>
          <w:rFonts w:ascii="Times New Roman" w:hAnsi="Times New Roman" w:cs="Times New Roman"/>
          <w:sz w:val="24"/>
          <w:szCs w:val="24"/>
        </w:rPr>
        <w:t>treatment</w:t>
      </w:r>
      <w:r w:rsidRPr="003C2011">
        <w:rPr>
          <w:rFonts w:ascii="Times New Roman" w:hAnsi="Times New Roman" w:cs="Times New Roman"/>
          <w:sz w:val="24"/>
          <w:szCs w:val="24"/>
        </w:rPr>
        <w:t xml:space="preserve"> failure</w:t>
      </w:r>
      <w:r w:rsidR="00C97414" w:rsidRPr="003C2011">
        <w:rPr>
          <w:rFonts w:ascii="Times New Roman" w:hAnsi="Times New Roman" w:cs="Times New Roman"/>
          <w:sz w:val="24"/>
          <w:szCs w:val="24"/>
        </w:rPr>
        <w:t xml:space="preserve"> up to one year following randomization</w:t>
      </w:r>
      <w:r w:rsidR="00124DDA" w:rsidRPr="003C2011">
        <w:rPr>
          <w:rFonts w:ascii="Times New Roman" w:hAnsi="Times New Roman" w:cs="Times New Roman"/>
          <w:sz w:val="24"/>
          <w:szCs w:val="24"/>
        </w:rPr>
        <w:t>.</w:t>
      </w:r>
      <w:r w:rsidR="00576C07" w:rsidRPr="003C2011">
        <w:rPr>
          <w:rFonts w:ascii="Times New Roman" w:hAnsi="Times New Roman" w:cs="Times New Roman"/>
          <w:sz w:val="24"/>
          <w:szCs w:val="24"/>
        </w:rPr>
        <w:t xml:space="preserve"> Failure in the antibiotic arm was </w:t>
      </w:r>
      <w:r w:rsidR="00FF334B" w:rsidRPr="003C2011">
        <w:rPr>
          <w:rFonts w:ascii="Times New Roman" w:hAnsi="Times New Roman" w:cs="Times New Roman"/>
          <w:sz w:val="24"/>
          <w:szCs w:val="24"/>
        </w:rPr>
        <w:t>removal of the appendix</w:t>
      </w:r>
      <w:r w:rsidR="00DE5B81" w:rsidRPr="003C2011">
        <w:rPr>
          <w:rFonts w:ascii="Times New Roman" w:hAnsi="Times New Roman" w:cs="Times New Roman"/>
          <w:sz w:val="24"/>
          <w:szCs w:val="24"/>
        </w:rPr>
        <w:t>,</w:t>
      </w:r>
      <w:r w:rsidR="00576C07" w:rsidRPr="003C2011">
        <w:rPr>
          <w:rFonts w:ascii="Times New Roman" w:hAnsi="Times New Roman" w:cs="Times New Roman"/>
          <w:sz w:val="24"/>
          <w:szCs w:val="24"/>
        </w:rPr>
        <w:t xml:space="preserve"> </w:t>
      </w:r>
      <w:r w:rsidR="009A2867" w:rsidRPr="003C2011">
        <w:rPr>
          <w:rFonts w:ascii="Times New Roman" w:hAnsi="Times New Roman" w:cs="Times New Roman"/>
          <w:sz w:val="24"/>
          <w:szCs w:val="24"/>
        </w:rPr>
        <w:t xml:space="preserve">and failure </w:t>
      </w:r>
      <w:r w:rsidR="00BC28E0" w:rsidRPr="003C2011">
        <w:rPr>
          <w:rFonts w:ascii="Times New Roman" w:hAnsi="Times New Roman" w:cs="Times New Roman"/>
          <w:sz w:val="24"/>
          <w:szCs w:val="24"/>
        </w:rPr>
        <w:t>in the</w:t>
      </w:r>
      <w:r w:rsidR="009A2867" w:rsidRPr="003C2011">
        <w:rPr>
          <w:rFonts w:ascii="Times New Roman" w:hAnsi="Times New Roman" w:cs="Times New Roman"/>
          <w:sz w:val="24"/>
          <w:szCs w:val="24"/>
        </w:rPr>
        <w:t xml:space="preserve"> appendectomy </w:t>
      </w:r>
      <w:r w:rsidR="00BC28E0" w:rsidRPr="003C2011">
        <w:rPr>
          <w:rFonts w:ascii="Times New Roman" w:hAnsi="Times New Roman" w:cs="Times New Roman"/>
          <w:sz w:val="24"/>
          <w:szCs w:val="24"/>
        </w:rPr>
        <w:t xml:space="preserve">arm </w:t>
      </w:r>
      <w:r w:rsidR="009A2867" w:rsidRPr="003C2011">
        <w:rPr>
          <w:rFonts w:ascii="Times New Roman" w:hAnsi="Times New Roman" w:cs="Times New Roman"/>
          <w:sz w:val="24"/>
          <w:szCs w:val="24"/>
        </w:rPr>
        <w:t>was a normal appendix</w:t>
      </w:r>
      <w:r w:rsidR="00DE5B81" w:rsidRPr="003C2011">
        <w:rPr>
          <w:rFonts w:ascii="Times New Roman" w:hAnsi="Times New Roman" w:cs="Times New Roman"/>
          <w:sz w:val="24"/>
          <w:szCs w:val="24"/>
        </w:rPr>
        <w:t xml:space="preserve"> based on pathology</w:t>
      </w:r>
      <w:r w:rsidR="009A2867" w:rsidRPr="003C2011">
        <w:rPr>
          <w:rFonts w:ascii="Times New Roman" w:hAnsi="Times New Roman" w:cs="Times New Roman"/>
          <w:sz w:val="24"/>
          <w:szCs w:val="24"/>
        </w:rPr>
        <w:t>. In both arms, a failure</w:t>
      </w:r>
      <w:r w:rsidR="00D81551" w:rsidRPr="003C2011">
        <w:rPr>
          <w:rFonts w:ascii="Times New Roman" w:hAnsi="Times New Roman" w:cs="Times New Roman"/>
          <w:sz w:val="24"/>
          <w:szCs w:val="24"/>
        </w:rPr>
        <w:t xml:space="preserve"> was counted for an additi</w:t>
      </w:r>
      <w:r w:rsidR="00B14DE2" w:rsidRPr="003C2011">
        <w:rPr>
          <w:rFonts w:ascii="Times New Roman" w:hAnsi="Times New Roman" w:cs="Times New Roman"/>
          <w:sz w:val="24"/>
          <w:szCs w:val="24"/>
        </w:rPr>
        <w:t>onal procedure related to appendicitis requiring general anesthesia.</w:t>
      </w:r>
      <w:r w:rsidR="00255A31" w:rsidRPr="003C2011">
        <w:rPr>
          <w:rFonts w:ascii="Times New Roman" w:hAnsi="Times New Roman" w:cs="Times New Roman"/>
          <w:sz w:val="24"/>
          <w:szCs w:val="24"/>
        </w:rPr>
        <w:t xml:space="preserve"> Interim analysis was performed to determine if inferiority was to be declared at the half-way point.</w:t>
      </w:r>
      <w:r w:rsidR="00B14DE2" w:rsidRPr="003C2011">
        <w:rPr>
          <w:rFonts w:ascii="Times New Roman" w:hAnsi="Times New Roman" w:cs="Times New Roman"/>
          <w:sz w:val="24"/>
          <w:szCs w:val="24"/>
        </w:rPr>
        <w:t xml:space="preserve"> </w:t>
      </w:r>
      <w:r w:rsidR="00DE5B81" w:rsidRPr="003C2011">
        <w:rPr>
          <w:rFonts w:ascii="Times New Roman" w:hAnsi="Times New Roman" w:cs="Times New Roman"/>
          <w:sz w:val="24"/>
          <w:szCs w:val="24"/>
        </w:rPr>
        <w:t xml:space="preserve">The trial was registered at </w:t>
      </w:r>
      <w:r w:rsidR="00C97414" w:rsidRPr="003C2011">
        <w:rPr>
          <w:rFonts w:ascii="Times New Roman" w:hAnsi="Times New Roman" w:cs="Times New Roman"/>
          <w:sz w:val="24"/>
          <w:szCs w:val="24"/>
        </w:rPr>
        <w:t>C</w:t>
      </w:r>
      <w:r w:rsidR="00DE5B81" w:rsidRPr="003C2011">
        <w:rPr>
          <w:rFonts w:ascii="Times New Roman" w:hAnsi="Times New Roman" w:cs="Times New Roman"/>
          <w:sz w:val="24"/>
          <w:szCs w:val="24"/>
        </w:rPr>
        <w:t>linical</w:t>
      </w:r>
      <w:r w:rsidR="00C97414" w:rsidRPr="003C2011">
        <w:rPr>
          <w:rFonts w:ascii="Times New Roman" w:hAnsi="Times New Roman" w:cs="Times New Roman"/>
          <w:sz w:val="24"/>
          <w:szCs w:val="24"/>
        </w:rPr>
        <w:t>T</w:t>
      </w:r>
      <w:r w:rsidR="00DE5B81" w:rsidRPr="003C2011">
        <w:rPr>
          <w:rFonts w:ascii="Times New Roman" w:hAnsi="Times New Roman" w:cs="Times New Roman"/>
          <w:sz w:val="24"/>
          <w:szCs w:val="24"/>
        </w:rPr>
        <w:t>rials.gov (NCT02687464).</w:t>
      </w:r>
    </w:p>
    <w:p w14:paraId="5EC6A92F" w14:textId="03F02788" w:rsidR="00FF334B" w:rsidRPr="003C2011" w:rsidRDefault="006303F1" w:rsidP="00FF334B">
      <w:pPr>
        <w:spacing w:line="480" w:lineRule="auto"/>
        <w:rPr>
          <w:rFonts w:ascii="Times New Roman" w:hAnsi="Times New Roman" w:cs="Times New Roman"/>
          <w:b/>
          <w:sz w:val="24"/>
          <w:szCs w:val="24"/>
        </w:rPr>
      </w:pPr>
      <w:r w:rsidRPr="003C2011">
        <w:rPr>
          <w:rFonts w:ascii="Times New Roman" w:hAnsi="Times New Roman" w:cs="Times New Roman"/>
          <w:b/>
          <w:sz w:val="24"/>
          <w:szCs w:val="24"/>
        </w:rPr>
        <w:t>Findings</w:t>
      </w:r>
      <w:r w:rsidR="00CF3CCA" w:rsidRPr="003C2011">
        <w:rPr>
          <w:rFonts w:ascii="Times New Roman" w:hAnsi="Times New Roman" w:cs="Times New Roman"/>
          <w:b/>
          <w:sz w:val="24"/>
          <w:szCs w:val="24"/>
        </w:rPr>
        <w:t>:</w:t>
      </w:r>
    </w:p>
    <w:p w14:paraId="65D96DE7" w14:textId="77777777" w:rsidR="0067131F" w:rsidRPr="003C2011" w:rsidRDefault="004C3038" w:rsidP="0067131F">
      <w:pPr>
        <w:spacing w:line="480" w:lineRule="auto"/>
        <w:rPr>
          <w:rFonts w:ascii="Times New Roman" w:hAnsi="Times New Roman" w:cs="Times New Roman"/>
          <w:sz w:val="24"/>
          <w:szCs w:val="24"/>
          <w:lang w:val="en-GB"/>
        </w:rPr>
      </w:pPr>
      <w:r w:rsidRPr="003C2011">
        <w:rPr>
          <w:rFonts w:ascii="Times New Roman" w:hAnsi="Times New Roman" w:cs="Times New Roman"/>
          <w:sz w:val="24"/>
          <w:szCs w:val="24"/>
          <w:lang w:val="en-GB"/>
        </w:rPr>
        <w:t xml:space="preserve">Between January, 2016 and December, 2021, </w:t>
      </w:r>
      <w:r w:rsidR="00124DDA" w:rsidRPr="003C2011">
        <w:rPr>
          <w:rFonts w:ascii="Times New Roman" w:hAnsi="Times New Roman" w:cs="Times New Roman"/>
          <w:sz w:val="24"/>
          <w:szCs w:val="24"/>
          <w:lang w:val="en-GB"/>
        </w:rPr>
        <w:t xml:space="preserve"> </w:t>
      </w:r>
      <w:r w:rsidR="00CF3CCA" w:rsidRPr="003C2011">
        <w:rPr>
          <w:rFonts w:ascii="Times New Roman" w:hAnsi="Times New Roman" w:cs="Times New Roman"/>
          <w:sz w:val="24"/>
          <w:szCs w:val="24"/>
          <w:lang w:val="en-GB"/>
        </w:rPr>
        <w:t>93</w:t>
      </w:r>
      <w:r w:rsidR="1D290C7A" w:rsidRPr="003C2011">
        <w:rPr>
          <w:rFonts w:ascii="Times New Roman" w:hAnsi="Times New Roman" w:cs="Times New Roman"/>
          <w:sz w:val="24"/>
          <w:szCs w:val="24"/>
          <w:lang w:val="en-GB"/>
        </w:rPr>
        <w:t>6</w:t>
      </w:r>
      <w:r w:rsidR="00CF3CCA" w:rsidRPr="003C2011">
        <w:rPr>
          <w:rFonts w:ascii="Times New Roman" w:hAnsi="Times New Roman" w:cs="Times New Roman"/>
          <w:sz w:val="24"/>
          <w:szCs w:val="24"/>
          <w:lang w:val="en-GB"/>
        </w:rPr>
        <w:t xml:space="preserve"> patients </w:t>
      </w:r>
      <w:r w:rsidRPr="003C2011">
        <w:rPr>
          <w:rFonts w:ascii="Times New Roman" w:hAnsi="Times New Roman" w:cs="Times New Roman"/>
          <w:sz w:val="24"/>
          <w:szCs w:val="24"/>
          <w:lang w:val="en-GB"/>
        </w:rPr>
        <w:t xml:space="preserve">were </w:t>
      </w:r>
      <w:r w:rsidR="00CF3CCA" w:rsidRPr="003C2011">
        <w:rPr>
          <w:rFonts w:ascii="Times New Roman" w:hAnsi="Times New Roman" w:cs="Times New Roman"/>
          <w:sz w:val="24"/>
          <w:szCs w:val="24"/>
          <w:lang w:val="en-GB"/>
        </w:rPr>
        <w:t>randomized</w:t>
      </w:r>
      <w:r w:rsidRPr="003C2011">
        <w:rPr>
          <w:rFonts w:ascii="Times New Roman" w:hAnsi="Times New Roman" w:cs="Times New Roman"/>
          <w:sz w:val="24"/>
          <w:szCs w:val="24"/>
          <w:lang w:val="en-GB"/>
        </w:rPr>
        <w:t xml:space="preserve"> (459 in </w:t>
      </w:r>
      <w:r w:rsidR="00C97414" w:rsidRPr="003C2011">
        <w:rPr>
          <w:rFonts w:ascii="Times New Roman" w:hAnsi="Times New Roman" w:cs="Times New Roman"/>
          <w:sz w:val="24"/>
          <w:szCs w:val="24"/>
          <w:lang w:val="en-GB"/>
        </w:rPr>
        <w:t>a</w:t>
      </w:r>
      <w:r w:rsidRPr="003C2011">
        <w:rPr>
          <w:rFonts w:ascii="Times New Roman" w:hAnsi="Times New Roman" w:cs="Times New Roman"/>
          <w:sz w:val="24"/>
          <w:szCs w:val="24"/>
          <w:lang w:val="en-GB"/>
        </w:rPr>
        <w:t xml:space="preserve">ppendectomy </w:t>
      </w:r>
      <w:r w:rsidR="00C97414" w:rsidRPr="003C2011">
        <w:rPr>
          <w:rFonts w:ascii="Times New Roman" w:hAnsi="Times New Roman" w:cs="Times New Roman"/>
          <w:sz w:val="24"/>
          <w:szCs w:val="24"/>
          <w:lang w:val="en-GB"/>
        </w:rPr>
        <w:t>a</w:t>
      </w:r>
      <w:r w:rsidRPr="003C2011">
        <w:rPr>
          <w:rFonts w:ascii="Times New Roman" w:hAnsi="Times New Roman" w:cs="Times New Roman"/>
          <w:sz w:val="24"/>
          <w:szCs w:val="24"/>
          <w:lang w:val="en-GB"/>
        </w:rPr>
        <w:t xml:space="preserve">rm and 477 in </w:t>
      </w:r>
      <w:r w:rsidR="00C97414" w:rsidRPr="003C2011">
        <w:rPr>
          <w:rFonts w:ascii="Times New Roman" w:hAnsi="Times New Roman" w:cs="Times New Roman"/>
          <w:sz w:val="24"/>
          <w:szCs w:val="24"/>
          <w:lang w:val="en-GB"/>
        </w:rPr>
        <w:t>a</w:t>
      </w:r>
      <w:r w:rsidRPr="003C2011">
        <w:rPr>
          <w:rFonts w:ascii="Times New Roman" w:hAnsi="Times New Roman" w:cs="Times New Roman"/>
          <w:sz w:val="24"/>
          <w:szCs w:val="24"/>
          <w:lang w:val="en-GB"/>
        </w:rPr>
        <w:t xml:space="preserve">ntibiotic </w:t>
      </w:r>
      <w:r w:rsidR="00C97414" w:rsidRPr="003C2011">
        <w:rPr>
          <w:rFonts w:ascii="Times New Roman" w:hAnsi="Times New Roman" w:cs="Times New Roman"/>
          <w:sz w:val="24"/>
          <w:szCs w:val="24"/>
          <w:lang w:val="en-GB"/>
        </w:rPr>
        <w:t>a</w:t>
      </w:r>
      <w:r w:rsidRPr="003C2011">
        <w:rPr>
          <w:rFonts w:ascii="Times New Roman" w:hAnsi="Times New Roman" w:cs="Times New Roman"/>
          <w:sz w:val="24"/>
          <w:szCs w:val="24"/>
          <w:lang w:val="en-GB"/>
        </w:rPr>
        <w:t>rm)</w:t>
      </w:r>
      <w:r w:rsidR="00CF3CCA" w:rsidRPr="003C2011">
        <w:rPr>
          <w:rFonts w:ascii="Times New Roman" w:hAnsi="Times New Roman" w:cs="Times New Roman"/>
          <w:sz w:val="24"/>
          <w:szCs w:val="24"/>
          <w:lang w:val="en-GB"/>
        </w:rPr>
        <w:t xml:space="preserve">. At 12-month follow-up, </w:t>
      </w:r>
      <w:r w:rsidR="007825BA" w:rsidRPr="003C2011">
        <w:rPr>
          <w:rFonts w:ascii="Times New Roman" w:hAnsi="Times New Roman" w:cs="Times New Roman"/>
          <w:sz w:val="24"/>
          <w:szCs w:val="24"/>
          <w:lang w:val="en-GB"/>
        </w:rPr>
        <w:t xml:space="preserve">primary outcome data </w:t>
      </w:r>
      <w:r w:rsidR="007825BA" w:rsidRPr="003C2011">
        <w:rPr>
          <w:rFonts w:ascii="Times New Roman" w:hAnsi="Times New Roman" w:cs="Times New Roman"/>
          <w:sz w:val="24"/>
          <w:szCs w:val="24"/>
          <w:lang w:val="en-GB"/>
        </w:rPr>
        <w:lastRenderedPageBreak/>
        <w:t>were available for</w:t>
      </w:r>
      <w:r w:rsidR="00004C79" w:rsidRPr="003C2011">
        <w:rPr>
          <w:rFonts w:ascii="Times New Roman" w:hAnsi="Times New Roman" w:cs="Times New Roman"/>
          <w:sz w:val="24"/>
          <w:szCs w:val="24"/>
          <w:lang w:val="en-GB"/>
        </w:rPr>
        <w:t xml:space="preserve"> 846 (90</w:t>
      </w:r>
      <w:r w:rsidR="00C97414" w:rsidRPr="003C2011">
        <w:rPr>
          <w:rFonts w:ascii="Times New Roman" w:hAnsi="Times New Roman" w:cs="Times New Roman"/>
          <w:sz w:val="24"/>
          <w:szCs w:val="24"/>
          <w:lang w:val="en-GB"/>
        </w:rPr>
        <w:t>·</w:t>
      </w:r>
      <w:r w:rsidR="00004C79" w:rsidRPr="003C2011">
        <w:rPr>
          <w:rFonts w:ascii="Times New Roman" w:hAnsi="Times New Roman" w:cs="Times New Roman"/>
          <w:sz w:val="24"/>
          <w:szCs w:val="24"/>
          <w:lang w:val="en-GB"/>
        </w:rPr>
        <w:t>3%)</w:t>
      </w:r>
      <w:r w:rsidR="00CF3CCA" w:rsidRPr="003C2011">
        <w:rPr>
          <w:rFonts w:ascii="Times New Roman" w:hAnsi="Times New Roman" w:cs="Times New Roman"/>
          <w:sz w:val="24"/>
          <w:szCs w:val="24"/>
          <w:lang w:val="en-GB"/>
        </w:rPr>
        <w:t xml:space="preserve">. The failure rate </w:t>
      </w:r>
      <w:r w:rsidR="00A1708D" w:rsidRPr="003C2011">
        <w:rPr>
          <w:rFonts w:ascii="Times New Roman" w:hAnsi="Times New Roman" w:cs="Times New Roman"/>
          <w:sz w:val="24"/>
          <w:szCs w:val="24"/>
          <w:lang w:val="en-GB"/>
        </w:rPr>
        <w:t xml:space="preserve">in the </w:t>
      </w:r>
      <w:r w:rsidR="00CF3CCA" w:rsidRPr="003C2011">
        <w:rPr>
          <w:rFonts w:ascii="Times New Roman" w:hAnsi="Times New Roman" w:cs="Times New Roman"/>
          <w:sz w:val="24"/>
          <w:szCs w:val="24"/>
          <w:lang w:val="en-GB"/>
        </w:rPr>
        <w:t>antibiotic</w:t>
      </w:r>
      <w:r w:rsidR="00A1708D" w:rsidRPr="003C2011">
        <w:rPr>
          <w:rFonts w:ascii="Times New Roman" w:hAnsi="Times New Roman" w:cs="Times New Roman"/>
          <w:sz w:val="24"/>
          <w:szCs w:val="24"/>
          <w:lang w:val="en-GB"/>
        </w:rPr>
        <w:t xml:space="preserve"> arm</w:t>
      </w:r>
      <w:r w:rsidR="00CF3CCA" w:rsidRPr="003C2011">
        <w:rPr>
          <w:rFonts w:ascii="Times New Roman" w:hAnsi="Times New Roman" w:cs="Times New Roman"/>
          <w:sz w:val="24"/>
          <w:szCs w:val="24"/>
          <w:lang w:val="en-GB"/>
        </w:rPr>
        <w:t xml:space="preserve"> </w:t>
      </w:r>
      <w:r w:rsidR="001F1682" w:rsidRPr="003C2011">
        <w:rPr>
          <w:rFonts w:ascii="Times New Roman" w:hAnsi="Times New Roman" w:cs="Times New Roman"/>
          <w:sz w:val="24"/>
          <w:szCs w:val="24"/>
          <w:lang w:val="en-GB"/>
        </w:rPr>
        <w:t xml:space="preserve">was </w:t>
      </w:r>
      <w:r w:rsidR="00CF3CCA" w:rsidRPr="003C2011">
        <w:rPr>
          <w:rFonts w:ascii="Times New Roman" w:hAnsi="Times New Roman" w:cs="Times New Roman"/>
          <w:sz w:val="24"/>
          <w:szCs w:val="24"/>
          <w:lang w:val="en-GB"/>
        </w:rPr>
        <w:t>33</w:t>
      </w:r>
      <w:r w:rsidR="00C97414" w:rsidRPr="003C2011">
        <w:rPr>
          <w:rFonts w:ascii="Times New Roman" w:hAnsi="Times New Roman" w:cs="Times New Roman"/>
          <w:sz w:val="24"/>
          <w:szCs w:val="24"/>
          <w:lang w:val="en-GB"/>
        </w:rPr>
        <w:t>·</w:t>
      </w:r>
      <w:r w:rsidR="00CF3CCA" w:rsidRPr="003C2011">
        <w:rPr>
          <w:rFonts w:ascii="Times New Roman" w:hAnsi="Times New Roman" w:cs="Times New Roman"/>
          <w:sz w:val="24"/>
          <w:szCs w:val="24"/>
          <w:lang w:val="en-GB"/>
        </w:rPr>
        <w:t>8%</w:t>
      </w:r>
      <w:r w:rsidR="001F1682" w:rsidRPr="003C2011">
        <w:rPr>
          <w:rFonts w:ascii="Times New Roman" w:hAnsi="Times New Roman" w:cs="Times New Roman"/>
          <w:sz w:val="24"/>
          <w:szCs w:val="24"/>
          <w:lang w:val="en-GB"/>
        </w:rPr>
        <w:t xml:space="preserve"> compared to 7</w:t>
      </w:r>
      <w:r w:rsidR="00C97414" w:rsidRPr="003C2011">
        <w:rPr>
          <w:rFonts w:ascii="Times New Roman" w:hAnsi="Times New Roman" w:cs="Times New Roman"/>
          <w:sz w:val="24"/>
          <w:szCs w:val="24"/>
          <w:lang w:val="en-GB"/>
        </w:rPr>
        <w:t>·</w:t>
      </w:r>
      <w:r w:rsidR="001F1682" w:rsidRPr="003C2011">
        <w:rPr>
          <w:rFonts w:ascii="Times New Roman" w:hAnsi="Times New Roman" w:cs="Times New Roman"/>
          <w:sz w:val="24"/>
          <w:szCs w:val="24"/>
          <w:lang w:val="en-GB"/>
        </w:rPr>
        <w:t xml:space="preserve">1% </w:t>
      </w:r>
      <w:r w:rsidR="00A1708D" w:rsidRPr="003C2011">
        <w:rPr>
          <w:rFonts w:ascii="Times New Roman" w:hAnsi="Times New Roman" w:cs="Times New Roman"/>
          <w:sz w:val="24"/>
          <w:szCs w:val="24"/>
          <w:lang w:val="en-GB"/>
        </w:rPr>
        <w:t xml:space="preserve">in the </w:t>
      </w:r>
      <w:r w:rsidR="001F1682" w:rsidRPr="003C2011">
        <w:rPr>
          <w:rFonts w:ascii="Times New Roman" w:hAnsi="Times New Roman" w:cs="Times New Roman"/>
          <w:sz w:val="24"/>
          <w:szCs w:val="24"/>
          <w:lang w:val="en-GB"/>
        </w:rPr>
        <w:t>appendectomy</w:t>
      </w:r>
      <w:r w:rsidR="00A1708D" w:rsidRPr="003C2011">
        <w:rPr>
          <w:rFonts w:ascii="Times New Roman" w:hAnsi="Times New Roman" w:cs="Times New Roman"/>
          <w:sz w:val="24"/>
          <w:szCs w:val="24"/>
          <w:lang w:val="en-GB"/>
        </w:rPr>
        <w:t xml:space="preserve"> arm</w:t>
      </w:r>
      <w:r w:rsidR="001F1682" w:rsidRPr="003C2011">
        <w:rPr>
          <w:rFonts w:ascii="Times New Roman" w:hAnsi="Times New Roman" w:cs="Times New Roman"/>
          <w:sz w:val="24"/>
          <w:szCs w:val="24"/>
          <w:lang w:val="en-GB"/>
        </w:rPr>
        <w:t xml:space="preserve">. The difference is </w:t>
      </w:r>
      <w:r w:rsidR="00CF3CCA" w:rsidRPr="003C2011">
        <w:rPr>
          <w:rFonts w:ascii="Times New Roman" w:hAnsi="Times New Roman" w:cs="Times New Roman"/>
          <w:sz w:val="24"/>
          <w:szCs w:val="24"/>
          <w:lang w:val="en-GB"/>
        </w:rPr>
        <w:t>26</w:t>
      </w:r>
      <w:r w:rsidR="00C97414" w:rsidRPr="003C2011">
        <w:rPr>
          <w:rFonts w:ascii="Times New Roman" w:hAnsi="Times New Roman" w:cs="Times New Roman"/>
          <w:sz w:val="24"/>
          <w:szCs w:val="24"/>
          <w:lang w:val="en-GB"/>
        </w:rPr>
        <w:t>·</w:t>
      </w:r>
      <w:r w:rsidR="00CF3CCA" w:rsidRPr="003C2011">
        <w:rPr>
          <w:rFonts w:ascii="Times New Roman" w:hAnsi="Times New Roman" w:cs="Times New Roman"/>
          <w:sz w:val="24"/>
          <w:szCs w:val="24"/>
          <w:lang w:val="en-GB"/>
        </w:rPr>
        <w:t>7% (90% CI: 0</w:t>
      </w:r>
      <w:r w:rsidR="00C97414" w:rsidRPr="003C2011">
        <w:rPr>
          <w:rFonts w:ascii="Times New Roman" w:hAnsi="Times New Roman" w:cs="Times New Roman"/>
          <w:sz w:val="24"/>
          <w:szCs w:val="24"/>
          <w:lang w:val="en-GB"/>
        </w:rPr>
        <w:t>·</w:t>
      </w:r>
      <w:r w:rsidR="00CF3CCA" w:rsidRPr="003C2011">
        <w:rPr>
          <w:rFonts w:ascii="Times New Roman" w:hAnsi="Times New Roman" w:cs="Times New Roman"/>
          <w:sz w:val="24"/>
          <w:szCs w:val="24"/>
          <w:lang w:val="en-GB"/>
        </w:rPr>
        <w:t>22, 0</w:t>
      </w:r>
      <w:r w:rsidR="00C97414" w:rsidRPr="003C2011">
        <w:rPr>
          <w:rFonts w:ascii="Times New Roman" w:hAnsi="Times New Roman" w:cs="Times New Roman"/>
          <w:sz w:val="24"/>
          <w:szCs w:val="24"/>
          <w:lang w:val="en-GB"/>
        </w:rPr>
        <w:t>·</w:t>
      </w:r>
      <w:r w:rsidR="00CF3CCA" w:rsidRPr="003C2011">
        <w:rPr>
          <w:rFonts w:ascii="Times New Roman" w:hAnsi="Times New Roman" w:cs="Times New Roman"/>
          <w:sz w:val="24"/>
          <w:szCs w:val="24"/>
          <w:lang w:val="en-GB"/>
        </w:rPr>
        <w:t xml:space="preserve">31). </w:t>
      </w:r>
    </w:p>
    <w:p w14:paraId="3F6A117D" w14:textId="77D34963" w:rsidR="001F1682" w:rsidRPr="003C2011" w:rsidRDefault="0067131F" w:rsidP="0067131F">
      <w:pPr>
        <w:spacing w:line="480" w:lineRule="auto"/>
        <w:ind w:firstLine="720"/>
        <w:rPr>
          <w:rFonts w:ascii="Times New Roman" w:hAnsi="Times New Roman" w:cs="Times New Roman"/>
          <w:sz w:val="24"/>
          <w:szCs w:val="24"/>
          <w:lang w:val="en-GB"/>
        </w:rPr>
      </w:pPr>
      <w:r w:rsidRPr="003C2011">
        <w:rPr>
          <w:rFonts w:ascii="Times New Roman" w:hAnsi="Times New Roman" w:cs="Times New Roman"/>
          <w:sz w:val="24"/>
          <w:szCs w:val="24"/>
          <w:lang w:val="en-GB"/>
        </w:rPr>
        <w:t>Of the 459 patients who were randomized to appendectomy, 28 (6·5%) had pathology reported as perforated. Of the 72 randomized to antibiotics who failed antibiotics early, 25 (34·7%) were classified as perforation. All but 1 patient that met the definition for treatment failure with appendectomy were negative append</w:t>
      </w:r>
      <w:r w:rsidR="00FF2C21" w:rsidRPr="003C2011">
        <w:rPr>
          <w:rFonts w:ascii="Times New Roman" w:hAnsi="Times New Roman" w:cs="Times New Roman"/>
          <w:sz w:val="24"/>
          <w:szCs w:val="24"/>
          <w:lang w:val="en-GB"/>
        </w:rPr>
        <w:t>e</w:t>
      </w:r>
      <w:r w:rsidRPr="003C2011">
        <w:rPr>
          <w:rFonts w:ascii="Times New Roman" w:hAnsi="Times New Roman" w:cs="Times New Roman"/>
          <w:sz w:val="24"/>
          <w:szCs w:val="24"/>
          <w:lang w:val="en-GB"/>
        </w:rPr>
        <w:t>ctomies. Of those who underwent appendectomy in the antibiotic group, 13 (9·2%) had normal pathology.</w:t>
      </w:r>
    </w:p>
    <w:p w14:paraId="109868AC" w14:textId="62A1DA81" w:rsidR="001F1682" w:rsidRPr="003C2011" w:rsidRDefault="00DE5B81" w:rsidP="00FF334B">
      <w:pPr>
        <w:spacing w:line="480" w:lineRule="auto"/>
        <w:rPr>
          <w:rFonts w:ascii="Times New Roman" w:hAnsi="Times New Roman" w:cs="Times New Roman"/>
          <w:b/>
          <w:bCs/>
          <w:sz w:val="24"/>
          <w:szCs w:val="24"/>
          <w:lang w:val="en-GB"/>
        </w:rPr>
      </w:pPr>
      <w:r w:rsidRPr="003C2011">
        <w:rPr>
          <w:rFonts w:ascii="Times New Roman" w:hAnsi="Times New Roman" w:cs="Times New Roman"/>
          <w:b/>
          <w:bCs/>
          <w:sz w:val="24"/>
          <w:szCs w:val="24"/>
          <w:lang w:val="en-GB"/>
        </w:rPr>
        <w:t>Interpretation</w:t>
      </w:r>
      <w:r w:rsidR="001F1682" w:rsidRPr="003C2011">
        <w:rPr>
          <w:rFonts w:ascii="Times New Roman" w:hAnsi="Times New Roman" w:cs="Times New Roman"/>
          <w:b/>
          <w:bCs/>
          <w:sz w:val="24"/>
          <w:szCs w:val="24"/>
          <w:lang w:val="en-GB"/>
        </w:rPr>
        <w:t>:</w:t>
      </w:r>
    </w:p>
    <w:p w14:paraId="32054CB9" w14:textId="377BE8BC" w:rsidR="001C1675" w:rsidRPr="003C2011" w:rsidRDefault="000F449E" w:rsidP="00FF334B">
      <w:pPr>
        <w:spacing w:line="480" w:lineRule="auto"/>
        <w:rPr>
          <w:rFonts w:ascii="Times New Roman" w:hAnsi="Times New Roman" w:cs="Times New Roman"/>
          <w:sz w:val="24"/>
          <w:szCs w:val="24"/>
        </w:rPr>
      </w:pPr>
      <w:r w:rsidRPr="003C2011">
        <w:rPr>
          <w:rFonts w:ascii="Times New Roman" w:hAnsi="Times New Roman" w:cs="Times New Roman"/>
          <w:sz w:val="24"/>
          <w:szCs w:val="24"/>
          <w:lang w:val="en-GB"/>
        </w:rPr>
        <w:t xml:space="preserve">Based on a 20% non-inferiority margin, </w:t>
      </w:r>
      <w:r w:rsidR="001C1675" w:rsidRPr="003C2011">
        <w:rPr>
          <w:rFonts w:ascii="Times New Roman" w:hAnsi="Times New Roman" w:cs="Times New Roman"/>
          <w:sz w:val="24"/>
          <w:szCs w:val="24"/>
          <w:lang w:val="en-GB"/>
        </w:rPr>
        <w:t xml:space="preserve">antibiotic management of non-perforated appendicitis </w:t>
      </w:r>
      <w:r w:rsidR="00424DDF" w:rsidRPr="003C2011">
        <w:rPr>
          <w:rFonts w:ascii="Times New Roman" w:hAnsi="Times New Roman" w:cs="Times New Roman"/>
          <w:sz w:val="24"/>
          <w:szCs w:val="24"/>
          <w:lang w:val="en-GB"/>
        </w:rPr>
        <w:t xml:space="preserve">is </w:t>
      </w:r>
      <w:r w:rsidR="001C1675" w:rsidRPr="003C2011">
        <w:rPr>
          <w:rFonts w:ascii="Times New Roman" w:hAnsi="Times New Roman" w:cs="Times New Roman"/>
          <w:sz w:val="24"/>
          <w:szCs w:val="24"/>
          <w:lang w:val="en-GB"/>
        </w:rPr>
        <w:t xml:space="preserve">inferior to appendectomy based on cumulative failure rates. </w:t>
      </w:r>
    </w:p>
    <w:p w14:paraId="3B1C0140" w14:textId="6BD7E3B3" w:rsidR="00CF3CCA" w:rsidRPr="003C2011" w:rsidRDefault="00C97414" w:rsidP="00FF334B">
      <w:pPr>
        <w:spacing w:line="480" w:lineRule="auto"/>
        <w:rPr>
          <w:rFonts w:ascii="Times New Roman" w:hAnsi="Times New Roman" w:cs="Times New Roman"/>
          <w:b/>
          <w:sz w:val="24"/>
          <w:szCs w:val="24"/>
        </w:rPr>
      </w:pPr>
      <w:r w:rsidRPr="003C2011">
        <w:rPr>
          <w:rFonts w:ascii="Times New Roman" w:hAnsi="Times New Roman" w:cs="Times New Roman"/>
          <w:b/>
          <w:sz w:val="24"/>
          <w:szCs w:val="24"/>
        </w:rPr>
        <w:t>Funding</w:t>
      </w:r>
      <w:r w:rsidR="00DE5B81" w:rsidRPr="003C2011">
        <w:rPr>
          <w:rFonts w:ascii="Times New Roman" w:hAnsi="Times New Roman" w:cs="Times New Roman"/>
          <w:b/>
          <w:sz w:val="24"/>
          <w:szCs w:val="24"/>
        </w:rPr>
        <w:t xml:space="preserve">: </w:t>
      </w:r>
      <w:r w:rsidR="00A9510A" w:rsidRPr="003C2011">
        <w:rPr>
          <w:rFonts w:ascii="Times New Roman" w:hAnsi="Times New Roman" w:cs="Times New Roman"/>
          <w:sz w:val="24"/>
          <w:szCs w:val="24"/>
        </w:rPr>
        <w:t xml:space="preserve">The overall execution of the trial received no external funding. However, at the Swedish sites, grant funding was secured from the Swedish Research Council and </w:t>
      </w:r>
      <w:proofErr w:type="spellStart"/>
      <w:r w:rsidR="00A9510A" w:rsidRPr="003C2011">
        <w:rPr>
          <w:rFonts w:ascii="Times New Roman" w:hAnsi="Times New Roman" w:cs="Times New Roman"/>
          <w:sz w:val="24"/>
          <w:szCs w:val="24"/>
        </w:rPr>
        <w:t>Stiftelsen</w:t>
      </w:r>
      <w:proofErr w:type="spellEnd"/>
      <w:r w:rsidR="00A9510A" w:rsidRPr="003C2011">
        <w:rPr>
          <w:rFonts w:ascii="Times New Roman" w:hAnsi="Times New Roman" w:cs="Times New Roman"/>
          <w:sz w:val="24"/>
          <w:szCs w:val="24"/>
        </w:rPr>
        <w:t xml:space="preserve"> </w:t>
      </w:r>
      <w:proofErr w:type="spellStart"/>
      <w:r w:rsidR="00A9510A" w:rsidRPr="003C2011">
        <w:rPr>
          <w:rFonts w:ascii="Times New Roman" w:hAnsi="Times New Roman" w:cs="Times New Roman"/>
          <w:sz w:val="24"/>
          <w:szCs w:val="24"/>
        </w:rPr>
        <w:t>Frimurare</w:t>
      </w:r>
      <w:proofErr w:type="spellEnd"/>
      <w:r w:rsidR="00A9510A" w:rsidRPr="003C2011">
        <w:rPr>
          <w:rFonts w:ascii="Times New Roman" w:hAnsi="Times New Roman" w:cs="Times New Roman"/>
          <w:sz w:val="24"/>
          <w:szCs w:val="24"/>
        </w:rPr>
        <w:t xml:space="preserve"> </w:t>
      </w:r>
      <w:proofErr w:type="spellStart"/>
      <w:r w:rsidR="00A9510A" w:rsidRPr="003C2011">
        <w:rPr>
          <w:rFonts w:ascii="Times New Roman" w:hAnsi="Times New Roman" w:cs="Times New Roman"/>
          <w:sz w:val="24"/>
          <w:szCs w:val="24"/>
        </w:rPr>
        <w:t>Barnhuset</w:t>
      </w:r>
      <w:proofErr w:type="spellEnd"/>
      <w:r w:rsidR="00A9510A" w:rsidRPr="003C2011">
        <w:rPr>
          <w:rFonts w:ascii="Times New Roman" w:hAnsi="Times New Roman" w:cs="Times New Roman"/>
          <w:sz w:val="24"/>
          <w:szCs w:val="24"/>
        </w:rPr>
        <w:t xml:space="preserve"> in Stockholm to pay for research nurses in both Stockholm and Uppsala.</w:t>
      </w:r>
      <w:r w:rsidR="0046100C" w:rsidRPr="003C2011">
        <w:rPr>
          <w:rFonts w:ascii="Times New Roman" w:hAnsi="Times New Roman" w:cs="Times New Roman"/>
          <w:sz w:val="24"/>
          <w:szCs w:val="24"/>
        </w:rPr>
        <w:t xml:space="preserve"> At the London ON (Canada) site, grant funding was obtained from the Academic Medical </w:t>
      </w:r>
      <w:proofErr w:type="spellStart"/>
      <w:r w:rsidR="0046100C" w:rsidRPr="003C2011">
        <w:rPr>
          <w:rFonts w:ascii="Times New Roman" w:hAnsi="Times New Roman" w:cs="Times New Roman"/>
          <w:sz w:val="24"/>
          <w:szCs w:val="24"/>
        </w:rPr>
        <w:t>Organisation</w:t>
      </w:r>
      <w:proofErr w:type="spellEnd"/>
      <w:r w:rsidR="0046100C" w:rsidRPr="003C2011">
        <w:rPr>
          <w:rFonts w:ascii="Times New Roman" w:hAnsi="Times New Roman" w:cs="Times New Roman"/>
          <w:sz w:val="24"/>
          <w:szCs w:val="24"/>
        </w:rPr>
        <w:t xml:space="preserve"> of Southwestern Ontario (AMOSO) to partially fund a research coordinator.</w:t>
      </w:r>
    </w:p>
    <w:p w14:paraId="38CA5F81" w14:textId="46BEBB98" w:rsidR="00CD4646" w:rsidRPr="003C2011" w:rsidRDefault="00CD4646" w:rsidP="00FF334B">
      <w:pPr>
        <w:spacing w:line="480" w:lineRule="auto"/>
        <w:rPr>
          <w:rFonts w:ascii="Times New Roman" w:hAnsi="Times New Roman" w:cs="Times New Roman"/>
          <w:sz w:val="24"/>
          <w:szCs w:val="24"/>
        </w:rPr>
      </w:pPr>
    </w:p>
    <w:p w14:paraId="5181367C" w14:textId="77777777" w:rsidR="00CD4646" w:rsidRPr="003C2011" w:rsidRDefault="00CD4646" w:rsidP="00CD4646">
      <w:pPr>
        <w:spacing w:line="480" w:lineRule="auto"/>
        <w:rPr>
          <w:rFonts w:ascii="Times New Roman" w:hAnsi="Times New Roman" w:cs="Times New Roman"/>
          <w:b/>
          <w:sz w:val="24"/>
          <w:szCs w:val="24"/>
        </w:rPr>
        <w:sectPr w:rsidR="00CD4646" w:rsidRPr="003C2011" w:rsidSect="003C2011">
          <w:pgSz w:w="12240" w:h="15840"/>
          <w:pgMar w:top="1440" w:right="1440" w:bottom="1440" w:left="1440" w:header="720" w:footer="720" w:gutter="0"/>
          <w:pgNumType w:start="1"/>
          <w:cols w:space="720"/>
          <w:docGrid w:linePitch="360"/>
        </w:sectPr>
      </w:pPr>
    </w:p>
    <w:p w14:paraId="51EFB7B9" w14:textId="153A4253" w:rsidR="00CD4646" w:rsidRPr="003C2011" w:rsidRDefault="00C71D7C" w:rsidP="00CD4646">
      <w:pPr>
        <w:spacing w:line="480" w:lineRule="auto"/>
        <w:rPr>
          <w:rFonts w:ascii="Times New Roman" w:hAnsi="Times New Roman" w:cs="Times New Roman"/>
          <w:b/>
          <w:sz w:val="24"/>
          <w:szCs w:val="24"/>
        </w:rPr>
      </w:pPr>
      <w:r w:rsidRPr="003C2011">
        <w:rPr>
          <w:rFonts w:ascii="Times New Roman" w:hAnsi="Times New Roman" w:cs="Times New Roman"/>
          <w:b/>
          <w:sz w:val="24"/>
          <w:szCs w:val="24"/>
        </w:rPr>
        <w:lastRenderedPageBreak/>
        <w:t>INTRODUCTION</w:t>
      </w:r>
    </w:p>
    <w:p w14:paraId="746808B9" w14:textId="68F9FF26" w:rsidR="00CD4646" w:rsidRPr="003C2011" w:rsidRDefault="00CD4646" w:rsidP="00CD4646">
      <w:pPr>
        <w:tabs>
          <w:tab w:val="left" w:pos="720"/>
          <w:tab w:val="left" w:pos="1440"/>
          <w:tab w:val="left" w:pos="2160"/>
          <w:tab w:val="left" w:pos="2880"/>
          <w:tab w:val="left" w:pos="3600"/>
          <w:tab w:val="left" w:pos="4320"/>
        </w:tabs>
        <w:spacing w:after="240" w:line="480" w:lineRule="auto"/>
        <w:rPr>
          <w:rFonts w:ascii="Times New Roman" w:eastAsia="Times New Roman" w:hAnsi="Times New Roman" w:cs="Times New Roman"/>
          <w:sz w:val="24"/>
          <w:szCs w:val="24"/>
        </w:rPr>
      </w:pPr>
      <w:r w:rsidRPr="003C2011">
        <w:rPr>
          <w:rFonts w:ascii="Times New Roman" w:eastAsia="Times New Roman" w:hAnsi="Times New Roman" w:cs="Times New Roman"/>
          <w:sz w:val="24"/>
          <w:szCs w:val="24"/>
        </w:rPr>
        <w:t xml:space="preserve">Appendicitis </w:t>
      </w:r>
      <w:r w:rsidR="00624176" w:rsidRPr="003C2011">
        <w:rPr>
          <w:rFonts w:ascii="Times New Roman" w:eastAsia="Times New Roman" w:hAnsi="Times New Roman" w:cs="Times New Roman"/>
          <w:sz w:val="24"/>
          <w:szCs w:val="24"/>
        </w:rPr>
        <w:t xml:space="preserve">is </w:t>
      </w:r>
      <w:r w:rsidRPr="003C2011">
        <w:rPr>
          <w:rFonts w:ascii="Times New Roman" w:eastAsia="Times New Roman" w:hAnsi="Times New Roman" w:cs="Times New Roman"/>
          <w:sz w:val="24"/>
          <w:szCs w:val="24"/>
        </w:rPr>
        <w:t xml:space="preserve">the most common surgical emergency in children with a lifetime risk of 7-8% and a peak incidence in the teenage years </w:t>
      </w:r>
      <w:r w:rsidRPr="003C2011">
        <w:rPr>
          <w:rFonts w:ascii="Times New Roman" w:eastAsia="Times New Roman" w:hAnsi="Times New Roman" w:cs="Times New Roman"/>
          <w:sz w:val="24"/>
          <w:szCs w:val="24"/>
        </w:rPr>
        <w:fldChar w:fldCharType="begin"/>
      </w:r>
      <w:r w:rsidRPr="003C2011">
        <w:rPr>
          <w:rFonts w:ascii="Times New Roman" w:eastAsia="Times New Roman" w:hAnsi="Times New Roman" w:cs="Times New Roman"/>
          <w:sz w:val="24"/>
          <w:szCs w:val="24"/>
        </w:rPr>
        <w:instrText xml:space="preserve"> ADDIN EN.CITE &lt;EndNote&gt;&lt;Cite&gt;&lt;Author&gt;Rentea&lt;/Author&gt;&lt;Year&gt;2017&lt;/Year&gt;&lt;RecNum&gt;1&lt;/RecNum&gt;&lt;DisplayText&gt;(1)&lt;/DisplayText&gt;&lt;record&gt;&lt;rec-number&gt;1&lt;/rec-number&gt;&lt;foreign-keys&gt;&lt;key app="EN" db-id="eepfsa22sdp29tefsdpped0cd5adwzxpx2e2" timestamp="1527797236"&gt;1&lt;/key&gt;&lt;/foreign-keys&gt;&lt;ref-type name="Journal Article"&gt;17&lt;/ref-type&gt;&lt;contributors&gt;&lt;authors&gt;&lt;author&gt;Rentea, R. M.&lt;/author&gt;&lt;author&gt;St Peter, S. D.&lt;/author&gt;&lt;/authors&gt;&lt;/contributors&gt;&lt;auth-address&gt;Department of Surgery, Children&amp;apos;s Mercy Hospital, 2401 Gillham Road, Kansas City, MO 64108, USA.&amp;#xD;Pediatric Surgical Fellowship and Scholars Programs, Department of Surgery, Children&amp;apos;s Mercy Hospital, 2401 Gillham Road, Kansas City, MO 64108, USA. Electronic address: sspeter@cmh.edu.&lt;/auth-address&gt;&lt;titles&gt;&lt;title&gt;Pediatric Appendicitis&lt;/title&gt;&lt;secondary-title&gt;Surg Clin North Am&lt;/secondary-title&gt;&lt;/titles&gt;&lt;periodical&gt;&lt;full-title&gt;Surg Clin North Am&lt;/full-title&gt;&lt;/periodical&gt;&lt;pages&gt;93-112&lt;/pages&gt;&lt;volume&gt;97&lt;/volume&gt;&lt;number&gt;1&lt;/number&gt;&lt;edition&gt;2016/11/30&lt;/edition&gt;&lt;keywords&gt;&lt;keyword&gt;Appendectomy/*methods&lt;/keyword&gt;&lt;keyword&gt;Appendicitis/*surgery&lt;/keyword&gt;&lt;keyword&gt;Child&lt;/keyword&gt;&lt;keyword&gt;Humans&lt;/keyword&gt;&lt;keyword&gt;*Laparoscopy&lt;/keyword&gt;&lt;keyword&gt;Abdominal pain&lt;/keyword&gt;&lt;keyword&gt;Appendectomy&lt;/keyword&gt;&lt;keyword&gt;Appendicitis&lt;/keyword&gt;&lt;keyword&gt;Children&lt;/keyword&gt;&lt;keyword&gt;Nonoperative management&lt;/keyword&gt;&lt;keyword&gt;Right lower quadrant&lt;/keyword&gt;&lt;keyword&gt;Surgery&lt;/keyword&gt;&lt;/keywords&gt;&lt;dates&gt;&lt;year&gt;2017&lt;/year&gt;&lt;pub-dates&gt;&lt;date&gt;Feb&lt;/date&gt;&lt;/pub-dates&gt;&lt;/dates&gt;&lt;isbn&gt;1558-3171 (Electronic)&amp;#xD;0039-6109 (Linking)&lt;/isbn&gt;&lt;accession-num&gt;27894435&lt;/accession-num&gt;&lt;urls&gt;&lt;related-urls&gt;&lt;url&gt;https://www.ncbi.nlm.nih.gov/pubmed/27894435&lt;/url&gt;&lt;/related-urls&gt;&lt;/urls&gt;&lt;electronic-resource-num&gt;10.1016/j.suc.2016.08.009&lt;/electronic-resource-num&gt;&lt;/record&gt;&lt;/Cite&gt;&lt;/EndNote&gt;</w:instrText>
      </w:r>
      <w:r w:rsidRPr="003C2011">
        <w:rPr>
          <w:rFonts w:ascii="Times New Roman" w:eastAsia="Times New Roman" w:hAnsi="Times New Roman" w:cs="Times New Roman"/>
          <w:sz w:val="24"/>
          <w:szCs w:val="24"/>
        </w:rPr>
        <w:fldChar w:fldCharType="separate"/>
      </w:r>
      <w:r w:rsidRPr="003C2011">
        <w:rPr>
          <w:rFonts w:ascii="Times New Roman" w:eastAsia="Times New Roman" w:hAnsi="Times New Roman" w:cs="Times New Roman"/>
          <w:noProof/>
          <w:sz w:val="24"/>
          <w:szCs w:val="24"/>
        </w:rPr>
        <w:t>(1)</w:t>
      </w:r>
      <w:r w:rsidRPr="003C2011">
        <w:rPr>
          <w:rFonts w:ascii="Times New Roman" w:eastAsia="Times New Roman" w:hAnsi="Times New Roman" w:cs="Times New Roman"/>
          <w:sz w:val="24"/>
          <w:szCs w:val="24"/>
        </w:rPr>
        <w:fldChar w:fldCharType="end"/>
      </w:r>
      <w:r w:rsidRPr="003C2011">
        <w:rPr>
          <w:rFonts w:ascii="Times New Roman" w:eastAsia="Times New Roman" w:hAnsi="Times New Roman" w:cs="Times New Roman"/>
          <w:sz w:val="24"/>
          <w:szCs w:val="24"/>
        </w:rPr>
        <w:t xml:space="preserve">.  </w:t>
      </w:r>
      <w:r w:rsidRPr="003C2011">
        <w:rPr>
          <w:rFonts w:ascii="Times New Roman" w:hAnsi="Times New Roman" w:cs="Times New Roman"/>
          <w:sz w:val="24"/>
          <w:szCs w:val="24"/>
        </w:rPr>
        <w:t xml:space="preserve">The standard of care has been appendectomy since the </w:t>
      </w:r>
      <w:r w:rsidR="1E31CDD8" w:rsidRPr="003C2011">
        <w:rPr>
          <w:rFonts w:ascii="Times New Roman" w:hAnsi="Times New Roman" w:cs="Times New Roman"/>
          <w:sz w:val="24"/>
          <w:szCs w:val="24"/>
        </w:rPr>
        <w:t xml:space="preserve">operation was first </w:t>
      </w:r>
      <w:r w:rsidRPr="003C2011">
        <w:rPr>
          <w:rFonts w:ascii="Times New Roman" w:hAnsi="Times New Roman" w:cs="Times New Roman"/>
          <w:sz w:val="24"/>
          <w:szCs w:val="24"/>
        </w:rPr>
        <w:t xml:space="preserve">described in 1886 (2). Although there have long been examples of treating </w:t>
      </w:r>
      <w:r w:rsidR="41B59352" w:rsidRPr="003C2011">
        <w:rPr>
          <w:rFonts w:ascii="Times New Roman" w:hAnsi="Times New Roman" w:cs="Times New Roman"/>
          <w:sz w:val="24"/>
          <w:szCs w:val="24"/>
        </w:rPr>
        <w:t xml:space="preserve">appendicitis </w:t>
      </w:r>
      <w:r w:rsidR="00AE5EA3" w:rsidRPr="003C2011">
        <w:rPr>
          <w:rFonts w:ascii="Times New Roman" w:hAnsi="Times New Roman" w:cs="Times New Roman"/>
          <w:sz w:val="24"/>
          <w:szCs w:val="24"/>
        </w:rPr>
        <w:t xml:space="preserve">without surgery but </w:t>
      </w:r>
      <w:r w:rsidRPr="003C2011">
        <w:rPr>
          <w:rFonts w:ascii="Times New Roman" w:hAnsi="Times New Roman" w:cs="Times New Roman"/>
          <w:sz w:val="24"/>
          <w:szCs w:val="24"/>
        </w:rPr>
        <w:t xml:space="preserve">with antibiotics alone (3), this strategy has </w:t>
      </w:r>
      <w:r w:rsidR="41B59352" w:rsidRPr="003C2011">
        <w:rPr>
          <w:rFonts w:ascii="Times New Roman" w:hAnsi="Times New Roman" w:cs="Times New Roman"/>
          <w:sz w:val="24"/>
          <w:szCs w:val="24"/>
        </w:rPr>
        <w:t xml:space="preserve">only </w:t>
      </w:r>
      <w:r w:rsidRPr="003C2011">
        <w:rPr>
          <w:rFonts w:ascii="Times New Roman" w:hAnsi="Times New Roman" w:cs="Times New Roman"/>
          <w:sz w:val="24"/>
          <w:szCs w:val="24"/>
        </w:rPr>
        <w:t>recently be</w:t>
      </w:r>
      <w:r w:rsidR="001619B0" w:rsidRPr="003C2011">
        <w:rPr>
          <w:rFonts w:ascii="Times New Roman" w:hAnsi="Times New Roman" w:cs="Times New Roman"/>
          <w:sz w:val="24"/>
          <w:szCs w:val="24"/>
        </w:rPr>
        <w:t>gun to be</w:t>
      </w:r>
      <w:r w:rsidRPr="003C2011">
        <w:rPr>
          <w:rFonts w:ascii="Times New Roman" w:hAnsi="Times New Roman" w:cs="Times New Roman"/>
          <w:sz w:val="24"/>
          <w:szCs w:val="24"/>
        </w:rPr>
        <w:t xml:space="preserve"> </w:t>
      </w:r>
      <w:r w:rsidR="00AE5EA3" w:rsidRPr="003C2011">
        <w:rPr>
          <w:rFonts w:ascii="Times New Roman" w:hAnsi="Times New Roman" w:cs="Times New Roman"/>
          <w:sz w:val="24"/>
          <w:szCs w:val="24"/>
        </w:rPr>
        <w:t xml:space="preserve">formally </w:t>
      </w:r>
      <w:r w:rsidRPr="003C2011">
        <w:rPr>
          <w:rFonts w:ascii="Times New Roman" w:hAnsi="Times New Roman" w:cs="Times New Roman"/>
          <w:sz w:val="24"/>
          <w:szCs w:val="24"/>
        </w:rPr>
        <w:t xml:space="preserve">compared to appendectomy in adults and children. </w:t>
      </w:r>
      <w:r w:rsidR="096D8CE0" w:rsidRPr="003C2011">
        <w:rPr>
          <w:rFonts w:ascii="Times New Roman" w:hAnsi="Times New Roman" w:cs="Times New Roman"/>
          <w:sz w:val="24"/>
          <w:szCs w:val="24"/>
        </w:rPr>
        <w:t>Laparoscopic appendectomy for non-perforated appendicitis has a low risk of complications</w:t>
      </w:r>
      <w:r w:rsidR="003D5489" w:rsidRPr="003C2011">
        <w:rPr>
          <w:rFonts w:ascii="Times New Roman" w:hAnsi="Times New Roman" w:cs="Times New Roman"/>
          <w:sz w:val="24"/>
          <w:szCs w:val="24"/>
        </w:rPr>
        <w:t>;</w:t>
      </w:r>
      <w:r w:rsidR="096D8CE0" w:rsidRPr="003C2011">
        <w:rPr>
          <w:rFonts w:ascii="Times New Roman" w:hAnsi="Times New Roman" w:cs="Times New Roman"/>
          <w:sz w:val="24"/>
          <w:szCs w:val="24"/>
        </w:rPr>
        <w:t xml:space="preserve"> however, it is an abdominal operation requiring general anesthesia</w:t>
      </w:r>
      <w:r w:rsidR="00A9362C" w:rsidRPr="003C2011">
        <w:rPr>
          <w:rFonts w:ascii="Times New Roman" w:hAnsi="Times New Roman" w:cs="Times New Roman"/>
          <w:sz w:val="24"/>
          <w:szCs w:val="24"/>
        </w:rPr>
        <w:t xml:space="preserve"> and hence exposes the child inevitably to a risk of complications of these</w:t>
      </w:r>
      <w:r w:rsidR="096D8CE0" w:rsidRPr="003C2011">
        <w:rPr>
          <w:rFonts w:ascii="Times New Roman" w:hAnsi="Times New Roman" w:cs="Times New Roman"/>
          <w:sz w:val="24"/>
          <w:szCs w:val="24"/>
        </w:rPr>
        <w:t xml:space="preserve">. </w:t>
      </w:r>
      <w:r w:rsidRPr="003C2011">
        <w:rPr>
          <w:rFonts w:ascii="Times New Roman" w:eastAsia="Times New Roman" w:hAnsi="Times New Roman" w:cs="Times New Roman"/>
          <w:sz w:val="24"/>
          <w:szCs w:val="24"/>
        </w:rPr>
        <w:t xml:space="preserve">Even with current imaging methods, it can be expected that around </w:t>
      </w:r>
      <w:r w:rsidR="41B59352" w:rsidRPr="003C2011">
        <w:rPr>
          <w:rFonts w:ascii="Times New Roman" w:eastAsia="Times New Roman" w:hAnsi="Times New Roman" w:cs="Times New Roman"/>
          <w:sz w:val="24"/>
          <w:szCs w:val="24"/>
        </w:rPr>
        <w:t>five percent</w:t>
      </w:r>
      <w:r w:rsidRPr="003C2011">
        <w:rPr>
          <w:rFonts w:ascii="Times New Roman" w:eastAsia="Times New Roman" w:hAnsi="Times New Roman" w:cs="Times New Roman"/>
          <w:sz w:val="24"/>
          <w:szCs w:val="24"/>
        </w:rPr>
        <w:t xml:space="preserve"> of patients undergoing appendectomy will be found to have a normal appendix</w:t>
      </w:r>
      <w:r w:rsidR="41B59352" w:rsidRPr="003C2011">
        <w:rPr>
          <w:rFonts w:ascii="Times New Roman" w:eastAsia="Times New Roman" w:hAnsi="Times New Roman" w:cs="Times New Roman"/>
          <w:sz w:val="24"/>
          <w:szCs w:val="24"/>
        </w:rPr>
        <w:t>,</w:t>
      </w:r>
      <w:r w:rsidRPr="003C2011">
        <w:rPr>
          <w:rFonts w:ascii="Times New Roman" w:eastAsia="Times New Roman" w:hAnsi="Times New Roman" w:cs="Times New Roman"/>
          <w:sz w:val="24"/>
          <w:szCs w:val="24"/>
        </w:rPr>
        <w:t xml:space="preserve"> and thus </w:t>
      </w:r>
      <w:r w:rsidR="6AD937A9" w:rsidRPr="003C2011">
        <w:rPr>
          <w:rFonts w:ascii="Times New Roman" w:eastAsia="Times New Roman" w:hAnsi="Times New Roman" w:cs="Times New Roman"/>
          <w:sz w:val="24"/>
          <w:szCs w:val="24"/>
        </w:rPr>
        <w:t xml:space="preserve">they underwent </w:t>
      </w:r>
      <w:r w:rsidRPr="003C2011">
        <w:rPr>
          <w:rFonts w:ascii="Times New Roman" w:eastAsia="Times New Roman" w:hAnsi="Times New Roman" w:cs="Times New Roman"/>
          <w:sz w:val="24"/>
          <w:szCs w:val="24"/>
        </w:rPr>
        <w:t>an unnecessary operation (4).</w:t>
      </w:r>
    </w:p>
    <w:p w14:paraId="56239D36" w14:textId="71A01921" w:rsidR="00CD4646" w:rsidRPr="003C2011" w:rsidRDefault="00CD4646" w:rsidP="00B46BE9">
      <w:pPr>
        <w:spacing w:after="0" w:line="480" w:lineRule="auto"/>
        <w:rPr>
          <w:rFonts w:ascii="Times New Roman" w:hAnsi="Times New Roman" w:cs="Times New Roman"/>
          <w:sz w:val="24"/>
          <w:szCs w:val="24"/>
        </w:rPr>
      </w:pPr>
      <w:r w:rsidRPr="003C2011">
        <w:rPr>
          <w:rFonts w:ascii="Times New Roman" w:hAnsi="Times New Roman" w:cs="Times New Roman"/>
          <w:sz w:val="24"/>
          <w:szCs w:val="24"/>
        </w:rPr>
        <w:t>Several studies have documented antibiotic therapy alone is</w:t>
      </w:r>
      <w:r w:rsidR="006D0B00" w:rsidRPr="003C2011">
        <w:rPr>
          <w:rFonts w:ascii="Times New Roman" w:hAnsi="Times New Roman" w:cs="Times New Roman"/>
          <w:sz w:val="24"/>
          <w:szCs w:val="24"/>
        </w:rPr>
        <w:t xml:space="preserve"> highly</w:t>
      </w:r>
      <w:r w:rsidRPr="003C2011">
        <w:rPr>
          <w:rFonts w:ascii="Times New Roman" w:hAnsi="Times New Roman" w:cs="Times New Roman"/>
          <w:sz w:val="24"/>
          <w:szCs w:val="24"/>
        </w:rPr>
        <w:t xml:space="preserve"> </w:t>
      </w:r>
      <w:r w:rsidR="006D0B00" w:rsidRPr="003C2011">
        <w:rPr>
          <w:rFonts w:ascii="Times New Roman" w:hAnsi="Times New Roman" w:cs="Times New Roman"/>
          <w:sz w:val="24"/>
          <w:szCs w:val="24"/>
        </w:rPr>
        <w:t>successful as initial treatment of appendicitis and is associated with more rapid return to normal activity than surgery</w:t>
      </w:r>
      <w:r w:rsidR="00284459" w:rsidRPr="003C2011">
        <w:rPr>
          <w:rFonts w:ascii="Times New Roman" w:hAnsi="Times New Roman" w:cs="Times New Roman"/>
          <w:sz w:val="24"/>
          <w:szCs w:val="24"/>
        </w:rPr>
        <w:t xml:space="preserve"> </w:t>
      </w:r>
      <w:r w:rsidR="006D0B00" w:rsidRPr="003C2011">
        <w:rPr>
          <w:rFonts w:ascii="Times New Roman" w:hAnsi="Times New Roman" w:cs="Times New Roman"/>
          <w:sz w:val="24"/>
          <w:szCs w:val="24"/>
        </w:rPr>
        <w:t xml:space="preserve">(5-9). </w:t>
      </w:r>
      <w:r w:rsidRPr="003C2011">
        <w:rPr>
          <w:rFonts w:ascii="Times New Roman" w:hAnsi="Times New Roman" w:cs="Times New Roman"/>
          <w:sz w:val="24"/>
          <w:szCs w:val="24"/>
        </w:rPr>
        <w:t xml:space="preserve">The Midwest Pediatric Surgery Consortium </w:t>
      </w:r>
      <w:r w:rsidR="009423F3" w:rsidRPr="003C2011">
        <w:rPr>
          <w:rFonts w:ascii="Times New Roman" w:hAnsi="Times New Roman" w:cs="Times New Roman"/>
          <w:sz w:val="24"/>
          <w:szCs w:val="24"/>
        </w:rPr>
        <w:t xml:space="preserve">performed </w:t>
      </w:r>
      <w:r w:rsidRPr="003C2011">
        <w:rPr>
          <w:rFonts w:ascii="Times New Roman" w:hAnsi="Times New Roman" w:cs="Times New Roman"/>
          <w:sz w:val="24"/>
          <w:szCs w:val="24"/>
        </w:rPr>
        <w:t xml:space="preserve">a non-randomized patient preference trial in 1,068 </w:t>
      </w:r>
      <w:r w:rsidR="00290F15" w:rsidRPr="003C2011">
        <w:rPr>
          <w:rFonts w:ascii="Times New Roman" w:hAnsi="Times New Roman" w:cs="Times New Roman"/>
          <w:sz w:val="24"/>
          <w:szCs w:val="24"/>
        </w:rPr>
        <w:t>children</w:t>
      </w:r>
      <w:r w:rsidRPr="003C2011">
        <w:rPr>
          <w:rFonts w:ascii="Times New Roman" w:hAnsi="Times New Roman" w:cs="Times New Roman"/>
          <w:sz w:val="24"/>
          <w:szCs w:val="24"/>
        </w:rPr>
        <w:t xml:space="preserve"> demonstrating about two-thirds </w:t>
      </w:r>
      <w:r w:rsidR="002F1898" w:rsidRPr="003C2011">
        <w:rPr>
          <w:rFonts w:ascii="Times New Roman" w:hAnsi="Times New Roman" w:cs="Times New Roman"/>
          <w:sz w:val="24"/>
          <w:szCs w:val="24"/>
        </w:rPr>
        <w:t xml:space="preserve">of patients treated with antibiotics avoided an operation at </w:t>
      </w:r>
      <w:r w:rsidR="00B30CD7" w:rsidRPr="003C2011">
        <w:rPr>
          <w:rFonts w:ascii="Times New Roman" w:hAnsi="Times New Roman" w:cs="Times New Roman"/>
          <w:sz w:val="24"/>
          <w:szCs w:val="24"/>
        </w:rPr>
        <w:t xml:space="preserve">one </w:t>
      </w:r>
      <w:r w:rsidR="002F1898" w:rsidRPr="003C2011">
        <w:rPr>
          <w:rFonts w:ascii="Times New Roman" w:hAnsi="Times New Roman" w:cs="Times New Roman"/>
          <w:sz w:val="24"/>
          <w:szCs w:val="24"/>
        </w:rPr>
        <w:t>year and those patients had</w:t>
      </w:r>
      <w:r w:rsidRPr="003C2011">
        <w:rPr>
          <w:rFonts w:ascii="Times New Roman" w:hAnsi="Times New Roman" w:cs="Times New Roman"/>
          <w:sz w:val="24"/>
          <w:szCs w:val="24"/>
        </w:rPr>
        <w:t xml:space="preserve"> fewer disability days compared to primary laparoscopic appendectomy (9). </w:t>
      </w:r>
    </w:p>
    <w:p w14:paraId="2F531223" w14:textId="52EE0F2B" w:rsidR="00CD4646" w:rsidRPr="003C2011" w:rsidRDefault="009B7F9B" w:rsidP="00B46BE9">
      <w:pPr>
        <w:spacing w:after="0" w:line="480" w:lineRule="auto"/>
        <w:rPr>
          <w:rFonts w:ascii="Times New Roman" w:hAnsi="Times New Roman" w:cs="Times New Roman"/>
          <w:sz w:val="24"/>
          <w:szCs w:val="24"/>
        </w:rPr>
      </w:pPr>
      <w:r w:rsidRPr="003C2011">
        <w:rPr>
          <w:rFonts w:ascii="Times New Roman" w:hAnsi="Times New Roman" w:cs="Times New Roman"/>
          <w:sz w:val="24"/>
          <w:szCs w:val="24"/>
        </w:rPr>
        <w:t>L</w:t>
      </w:r>
      <w:r w:rsidR="00CD4646" w:rsidRPr="003C2011">
        <w:rPr>
          <w:rFonts w:ascii="Times New Roman" w:hAnsi="Times New Roman" w:cs="Times New Roman"/>
          <w:sz w:val="24"/>
          <w:szCs w:val="24"/>
        </w:rPr>
        <w:t>arge, multicenter randomized trial</w:t>
      </w:r>
      <w:r w:rsidR="00DC08E8" w:rsidRPr="003C2011">
        <w:rPr>
          <w:rFonts w:ascii="Times New Roman" w:hAnsi="Times New Roman" w:cs="Times New Roman"/>
          <w:sz w:val="24"/>
          <w:szCs w:val="24"/>
        </w:rPr>
        <w:t>s</w:t>
      </w:r>
      <w:r w:rsidR="00CD4646" w:rsidRPr="003C2011">
        <w:rPr>
          <w:rFonts w:ascii="Times New Roman" w:hAnsi="Times New Roman" w:cs="Times New Roman"/>
          <w:sz w:val="24"/>
          <w:szCs w:val="24"/>
        </w:rPr>
        <w:t xml:space="preserve"> ha</w:t>
      </w:r>
      <w:r w:rsidR="00BF555B" w:rsidRPr="003C2011">
        <w:rPr>
          <w:rFonts w:ascii="Times New Roman" w:hAnsi="Times New Roman" w:cs="Times New Roman"/>
          <w:sz w:val="24"/>
          <w:szCs w:val="24"/>
        </w:rPr>
        <w:t>ve</w:t>
      </w:r>
      <w:r w:rsidR="00CD4646" w:rsidRPr="003C2011">
        <w:rPr>
          <w:rFonts w:ascii="Times New Roman" w:hAnsi="Times New Roman" w:cs="Times New Roman"/>
          <w:sz w:val="24"/>
          <w:szCs w:val="24"/>
        </w:rPr>
        <w:t xml:space="preserve"> been performed in adults</w:t>
      </w:r>
      <w:r w:rsidR="00BF555B" w:rsidRPr="003C2011">
        <w:rPr>
          <w:rFonts w:ascii="Times New Roman" w:hAnsi="Times New Roman" w:cs="Times New Roman"/>
          <w:sz w:val="24"/>
          <w:szCs w:val="24"/>
        </w:rPr>
        <w:t>, such as that</w:t>
      </w:r>
      <w:r w:rsidR="00EE5ACA" w:rsidRPr="003C2011">
        <w:rPr>
          <w:rFonts w:ascii="Times New Roman" w:hAnsi="Times New Roman" w:cs="Times New Roman"/>
          <w:sz w:val="24"/>
          <w:szCs w:val="24"/>
        </w:rPr>
        <w:t xml:space="preserve"> by the</w:t>
      </w:r>
      <w:r w:rsidR="00DE7D8C" w:rsidRPr="003C2011">
        <w:rPr>
          <w:rFonts w:ascii="Times New Roman" w:hAnsi="Times New Roman" w:cs="Times New Roman"/>
          <w:sz w:val="24"/>
          <w:szCs w:val="24"/>
        </w:rPr>
        <w:t xml:space="preserve"> CODA </w:t>
      </w:r>
      <w:r w:rsidR="00EE5ACA" w:rsidRPr="003C2011">
        <w:rPr>
          <w:rFonts w:ascii="Times New Roman" w:hAnsi="Times New Roman" w:cs="Times New Roman"/>
          <w:sz w:val="24"/>
          <w:szCs w:val="24"/>
        </w:rPr>
        <w:t>collaborative (Comparison of Outcomes of antibiotic Drugs and Appendectomy)</w:t>
      </w:r>
      <w:r w:rsidR="00CD4646" w:rsidRPr="003C2011">
        <w:rPr>
          <w:rFonts w:ascii="Times New Roman" w:hAnsi="Times New Roman" w:cs="Times New Roman"/>
          <w:sz w:val="24"/>
          <w:szCs w:val="24"/>
        </w:rPr>
        <w:t xml:space="preserve"> (10)</w:t>
      </w:r>
      <w:r w:rsidR="00DE7D8C" w:rsidRPr="003C2011">
        <w:rPr>
          <w:rFonts w:ascii="Times New Roman" w:hAnsi="Times New Roman" w:cs="Times New Roman"/>
          <w:sz w:val="24"/>
          <w:szCs w:val="24"/>
        </w:rPr>
        <w:t>. In t</w:t>
      </w:r>
      <w:r w:rsidR="00EE5ACA" w:rsidRPr="003C2011">
        <w:rPr>
          <w:rFonts w:ascii="Times New Roman" w:hAnsi="Times New Roman" w:cs="Times New Roman"/>
          <w:sz w:val="24"/>
          <w:szCs w:val="24"/>
        </w:rPr>
        <w:t>he CODA trial</w:t>
      </w:r>
      <w:r w:rsidR="00DE7D8C" w:rsidRPr="003C2011">
        <w:rPr>
          <w:rFonts w:ascii="Times New Roman" w:hAnsi="Times New Roman" w:cs="Times New Roman"/>
          <w:sz w:val="24"/>
          <w:szCs w:val="24"/>
        </w:rPr>
        <w:t xml:space="preserve">, </w:t>
      </w:r>
      <w:r w:rsidR="00EE5ACA" w:rsidRPr="003C2011">
        <w:rPr>
          <w:rFonts w:ascii="Times New Roman" w:hAnsi="Times New Roman" w:cs="Times New Roman"/>
          <w:sz w:val="24"/>
          <w:szCs w:val="24"/>
        </w:rPr>
        <w:t>1</w:t>
      </w:r>
      <w:r w:rsidR="00BE173E" w:rsidRPr="003C2011">
        <w:rPr>
          <w:rFonts w:ascii="Times New Roman" w:hAnsi="Times New Roman" w:cs="Times New Roman"/>
          <w:sz w:val="24"/>
          <w:szCs w:val="24"/>
        </w:rPr>
        <w:t>,</w:t>
      </w:r>
      <w:r w:rsidR="00EE5ACA" w:rsidRPr="003C2011">
        <w:rPr>
          <w:rFonts w:ascii="Times New Roman" w:hAnsi="Times New Roman" w:cs="Times New Roman"/>
          <w:sz w:val="24"/>
          <w:szCs w:val="24"/>
        </w:rPr>
        <w:t>552 patient</w:t>
      </w:r>
      <w:r w:rsidR="009423F3" w:rsidRPr="003C2011">
        <w:rPr>
          <w:rFonts w:ascii="Times New Roman" w:hAnsi="Times New Roman" w:cs="Times New Roman"/>
          <w:sz w:val="24"/>
          <w:szCs w:val="24"/>
        </w:rPr>
        <w:t>s</w:t>
      </w:r>
      <w:r w:rsidR="00EE5ACA" w:rsidRPr="003C2011">
        <w:rPr>
          <w:rFonts w:ascii="Times New Roman" w:hAnsi="Times New Roman" w:cs="Times New Roman"/>
          <w:sz w:val="24"/>
          <w:szCs w:val="24"/>
        </w:rPr>
        <w:t xml:space="preserve"> were randomized to compare the primary outcome of 30</w:t>
      </w:r>
      <w:r w:rsidR="006E6DF7" w:rsidRPr="003C2011">
        <w:rPr>
          <w:rFonts w:ascii="Times New Roman" w:hAnsi="Times New Roman" w:cs="Times New Roman"/>
          <w:sz w:val="24"/>
          <w:szCs w:val="24"/>
        </w:rPr>
        <w:t>-</w:t>
      </w:r>
      <w:r w:rsidR="00EE5ACA" w:rsidRPr="003C2011">
        <w:rPr>
          <w:rFonts w:ascii="Times New Roman" w:hAnsi="Times New Roman" w:cs="Times New Roman"/>
          <w:sz w:val="24"/>
          <w:szCs w:val="24"/>
        </w:rPr>
        <w:t xml:space="preserve">day European Quality of Life – </w:t>
      </w:r>
      <w:r w:rsidR="00BE173E" w:rsidRPr="003C2011">
        <w:rPr>
          <w:rFonts w:ascii="Times New Roman" w:hAnsi="Times New Roman" w:cs="Times New Roman"/>
          <w:sz w:val="24"/>
          <w:szCs w:val="24"/>
        </w:rPr>
        <w:t xml:space="preserve">five </w:t>
      </w:r>
      <w:r w:rsidR="00EE5ACA" w:rsidRPr="003C2011">
        <w:rPr>
          <w:rFonts w:ascii="Times New Roman" w:hAnsi="Times New Roman" w:cs="Times New Roman"/>
          <w:sz w:val="24"/>
          <w:szCs w:val="24"/>
        </w:rPr>
        <w:t>dimension</w:t>
      </w:r>
      <w:r w:rsidR="009423F3" w:rsidRPr="003C2011">
        <w:rPr>
          <w:rFonts w:ascii="Times New Roman" w:hAnsi="Times New Roman" w:cs="Times New Roman"/>
          <w:sz w:val="24"/>
          <w:szCs w:val="24"/>
        </w:rPr>
        <w:t>s</w:t>
      </w:r>
      <w:r w:rsidR="00EE5ACA" w:rsidRPr="003C2011">
        <w:rPr>
          <w:rFonts w:ascii="Times New Roman" w:hAnsi="Times New Roman" w:cs="Times New Roman"/>
          <w:sz w:val="24"/>
          <w:szCs w:val="24"/>
        </w:rPr>
        <w:t xml:space="preserve"> score. They concluded that antibiotics were non-inferior </w:t>
      </w:r>
      <w:r w:rsidR="009A0794" w:rsidRPr="003C2011">
        <w:rPr>
          <w:rFonts w:ascii="Times New Roman" w:hAnsi="Times New Roman" w:cs="Times New Roman"/>
          <w:sz w:val="24"/>
          <w:szCs w:val="24"/>
        </w:rPr>
        <w:t>according to</w:t>
      </w:r>
      <w:r w:rsidR="00EE5ACA" w:rsidRPr="003C2011">
        <w:rPr>
          <w:rFonts w:ascii="Times New Roman" w:hAnsi="Times New Roman" w:cs="Times New Roman"/>
          <w:sz w:val="24"/>
          <w:szCs w:val="24"/>
        </w:rPr>
        <w:t xml:space="preserve"> this metric. However, the failure rate with antibiotics was near 30%. </w:t>
      </w:r>
      <w:r w:rsidR="003E4EFE" w:rsidRPr="003C2011">
        <w:rPr>
          <w:rFonts w:ascii="Times New Roman" w:hAnsi="Times New Roman" w:cs="Times New Roman"/>
          <w:sz w:val="24"/>
          <w:szCs w:val="24"/>
        </w:rPr>
        <w:t xml:space="preserve">Although there have been two prospective randomized controlled trials </w:t>
      </w:r>
      <w:r w:rsidR="003A34B6" w:rsidRPr="003C2011">
        <w:rPr>
          <w:rFonts w:ascii="Times New Roman" w:hAnsi="Times New Roman" w:cs="Times New Roman"/>
          <w:sz w:val="24"/>
          <w:szCs w:val="24"/>
        </w:rPr>
        <w:t xml:space="preserve">in children, both have </w:t>
      </w:r>
      <w:r w:rsidR="003A34B6" w:rsidRPr="003C2011">
        <w:rPr>
          <w:rFonts w:ascii="Times New Roman" w:hAnsi="Times New Roman" w:cs="Times New Roman"/>
          <w:sz w:val="24"/>
          <w:szCs w:val="24"/>
        </w:rPr>
        <w:lastRenderedPageBreak/>
        <w:t>been small pilot/feasibility studies</w:t>
      </w:r>
      <w:r w:rsidR="003A34B6" w:rsidRPr="003C2011">
        <w:rPr>
          <w:rFonts w:ascii="Times New Roman" w:hAnsi="Times New Roman" w:cs="Times New Roman"/>
          <w:sz w:val="24"/>
          <w:szCs w:val="24"/>
          <w:vertAlign w:val="superscript"/>
        </w:rPr>
        <w:t xml:space="preserve"> </w:t>
      </w:r>
      <w:r w:rsidR="003A34B6" w:rsidRPr="003C2011">
        <w:rPr>
          <w:rFonts w:ascii="Times New Roman" w:hAnsi="Times New Roman" w:cs="Times New Roman"/>
          <w:sz w:val="24"/>
          <w:szCs w:val="24"/>
        </w:rPr>
        <w:t>(</w:t>
      </w:r>
      <w:r w:rsidR="008332D4" w:rsidRPr="003C2011">
        <w:rPr>
          <w:rFonts w:ascii="Times New Roman" w:hAnsi="Times New Roman" w:cs="Times New Roman"/>
          <w:sz w:val="24"/>
          <w:szCs w:val="24"/>
        </w:rPr>
        <w:t xml:space="preserve">7,11), </w:t>
      </w:r>
      <w:r w:rsidR="00BA720E" w:rsidRPr="003C2011">
        <w:rPr>
          <w:rFonts w:ascii="Times New Roman" w:hAnsi="Times New Roman" w:cs="Times New Roman"/>
          <w:sz w:val="24"/>
          <w:szCs w:val="24"/>
        </w:rPr>
        <w:t>so there has been no large</w:t>
      </w:r>
      <w:r w:rsidR="00885275" w:rsidRPr="003C2011">
        <w:rPr>
          <w:rFonts w:ascii="Times New Roman" w:hAnsi="Times New Roman" w:cs="Times New Roman"/>
          <w:sz w:val="24"/>
          <w:szCs w:val="24"/>
        </w:rPr>
        <w:t>-</w:t>
      </w:r>
      <w:r w:rsidR="00BA720E" w:rsidRPr="003C2011">
        <w:rPr>
          <w:rFonts w:ascii="Times New Roman" w:hAnsi="Times New Roman" w:cs="Times New Roman"/>
          <w:sz w:val="24"/>
          <w:szCs w:val="24"/>
        </w:rPr>
        <w:t xml:space="preserve">scale </w:t>
      </w:r>
      <w:r w:rsidR="004E73F5" w:rsidRPr="003C2011">
        <w:rPr>
          <w:rFonts w:ascii="Times New Roman" w:hAnsi="Times New Roman" w:cs="Times New Roman"/>
          <w:sz w:val="24"/>
          <w:szCs w:val="24"/>
        </w:rPr>
        <w:t xml:space="preserve">randomized study </w:t>
      </w:r>
      <w:r w:rsidR="00BA720E" w:rsidRPr="003C2011">
        <w:rPr>
          <w:rFonts w:ascii="Times New Roman" w:hAnsi="Times New Roman" w:cs="Times New Roman"/>
          <w:sz w:val="24"/>
          <w:szCs w:val="24"/>
        </w:rPr>
        <w:t xml:space="preserve">in children </w:t>
      </w:r>
      <w:r w:rsidR="003B7033" w:rsidRPr="003C2011">
        <w:rPr>
          <w:rFonts w:ascii="Times New Roman" w:hAnsi="Times New Roman" w:cs="Times New Roman"/>
          <w:sz w:val="24"/>
          <w:szCs w:val="24"/>
        </w:rPr>
        <w:t>allowing a</w:t>
      </w:r>
      <w:r w:rsidR="0034501A" w:rsidRPr="003C2011">
        <w:rPr>
          <w:rFonts w:ascii="Times New Roman" w:hAnsi="Times New Roman" w:cs="Times New Roman"/>
          <w:sz w:val="24"/>
          <w:szCs w:val="24"/>
        </w:rPr>
        <w:t>n</w:t>
      </w:r>
      <w:r w:rsidR="003B7033" w:rsidRPr="003C2011">
        <w:rPr>
          <w:rFonts w:ascii="Times New Roman" w:hAnsi="Times New Roman" w:cs="Times New Roman"/>
          <w:sz w:val="24"/>
          <w:szCs w:val="24"/>
        </w:rPr>
        <w:t xml:space="preserve"> </w:t>
      </w:r>
      <w:r w:rsidR="00956201" w:rsidRPr="003C2011">
        <w:rPr>
          <w:rFonts w:ascii="Times New Roman" w:hAnsi="Times New Roman" w:cs="Times New Roman"/>
          <w:sz w:val="24"/>
          <w:szCs w:val="24"/>
        </w:rPr>
        <w:t xml:space="preserve">unbiased </w:t>
      </w:r>
      <w:r w:rsidR="003B7033" w:rsidRPr="003C2011">
        <w:rPr>
          <w:rFonts w:ascii="Times New Roman" w:hAnsi="Times New Roman" w:cs="Times New Roman"/>
          <w:sz w:val="24"/>
          <w:szCs w:val="24"/>
        </w:rPr>
        <w:t>comparison of outcomes between these two very different treatment strategies</w:t>
      </w:r>
      <w:r w:rsidR="00956201" w:rsidRPr="003C2011">
        <w:rPr>
          <w:rFonts w:ascii="Times New Roman" w:hAnsi="Times New Roman" w:cs="Times New Roman"/>
          <w:sz w:val="24"/>
          <w:szCs w:val="24"/>
        </w:rPr>
        <w:t>.</w:t>
      </w:r>
      <w:r w:rsidR="003B7033" w:rsidRPr="003C2011">
        <w:rPr>
          <w:rFonts w:ascii="Times New Roman" w:hAnsi="Times New Roman" w:cs="Times New Roman"/>
          <w:sz w:val="24"/>
          <w:szCs w:val="24"/>
        </w:rPr>
        <w:t xml:space="preserve"> We therefore</w:t>
      </w:r>
      <w:r w:rsidR="00371171" w:rsidRPr="003C2011">
        <w:rPr>
          <w:rFonts w:ascii="Times New Roman" w:hAnsi="Times New Roman" w:cs="Times New Roman"/>
          <w:sz w:val="24"/>
          <w:szCs w:val="24"/>
        </w:rPr>
        <w:t xml:space="preserve"> </w:t>
      </w:r>
      <w:r w:rsidR="00956201" w:rsidRPr="003C2011">
        <w:rPr>
          <w:rFonts w:ascii="Times New Roman" w:hAnsi="Times New Roman" w:cs="Times New Roman"/>
          <w:sz w:val="24"/>
          <w:szCs w:val="24"/>
        </w:rPr>
        <w:t xml:space="preserve">designed and </w:t>
      </w:r>
      <w:r w:rsidR="00371171" w:rsidRPr="003C2011">
        <w:rPr>
          <w:rFonts w:ascii="Times New Roman" w:hAnsi="Times New Roman" w:cs="Times New Roman"/>
          <w:sz w:val="24"/>
          <w:szCs w:val="24"/>
        </w:rPr>
        <w:t xml:space="preserve">conducted </w:t>
      </w:r>
      <w:r w:rsidR="00956201" w:rsidRPr="003C2011">
        <w:rPr>
          <w:rFonts w:ascii="Times New Roman" w:hAnsi="Times New Roman" w:cs="Times New Roman"/>
          <w:sz w:val="24"/>
          <w:szCs w:val="24"/>
        </w:rPr>
        <w:t>the APPY trial</w:t>
      </w:r>
      <w:r w:rsidR="0034501A" w:rsidRPr="003C2011">
        <w:rPr>
          <w:rFonts w:ascii="Times New Roman" w:hAnsi="Times New Roman" w:cs="Times New Roman"/>
          <w:sz w:val="24"/>
          <w:szCs w:val="24"/>
        </w:rPr>
        <w:t xml:space="preserve"> - </w:t>
      </w:r>
      <w:r w:rsidR="00371171" w:rsidRPr="003C2011">
        <w:rPr>
          <w:rFonts w:ascii="Times New Roman" w:hAnsi="Times New Roman" w:cs="Times New Roman"/>
          <w:sz w:val="24"/>
          <w:szCs w:val="24"/>
        </w:rPr>
        <w:t>a</w:t>
      </w:r>
      <w:r w:rsidR="00CD4646" w:rsidRPr="003C2011">
        <w:rPr>
          <w:rFonts w:ascii="Times New Roman" w:hAnsi="Times New Roman" w:cs="Times New Roman"/>
          <w:sz w:val="24"/>
          <w:szCs w:val="24"/>
        </w:rPr>
        <w:t xml:space="preserve"> multicenter, randomized trial compar</w:t>
      </w:r>
      <w:r w:rsidR="00371171" w:rsidRPr="003C2011">
        <w:rPr>
          <w:rFonts w:ascii="Times New Roman" w:hAnsi="Times New Roman" w:cs="Times New Roman"/>
          <w:sz w:val="24"/>
          <w:szCs w:val="24"/>
        </w:rPr>
        <w:t>ing</w:t>
      </w:r>
      <w:r w:rsidR="00CD4646" w:rsidRPr="003C2011">
        <w:rPr>
          <w:rFonts w:ascii="Times New Roman" w:hAnsi="Times New Roman" w:cs="Times New Roman"/>
          <w:sz w:val="24"/>
          <w:szCs w:val="24"/>
        </w:rPr>
        <w:t xml:space="preserve"> laparoscopic appendectomy to antibiotics alone </w:t>
      </w:r>
      <w:r w:rsidR="00371171" w:rsidRPr="003C2011">
        <w:rPr>
          <w:rFonts w:ascii="Times New Roman" w:hAnsi="Times New Roman" w:cs="Times New Roman"/>
          <w:sz w:val="24"/>
          <w:szCs w:val="24"/>
        </w:rPr>
        <w:t xml:space="preserve">in children with </w:t>
      </w:r>
      <w:r w:rsidR="002704D4" w:rsidRPr="003C2011">
        <w:rPr>
          <w:rFonts w:ascii="Times New Roman" w:hAnsi="Times New Roman" w:cs="Times New Roman"/>
          <w:sz w:val="24"/>
          <w:szCs w:val="24"/>
        </w:rPr>
        <w:t>uncomplicated</w:t>
      </w:r>
      <w:r w:rsidR="00371171" w:rsidRPr="003C2011">
        <w:rPr>
          <w:rFonts w:ascii="Times New Roman" w:hAnsi="Times New Roman" w:cs="Times New Roman"/>
          <w:sz w:val="24"/>
          <w:szCs w:val="24"/>
        </w:rPr>
        <w:t xml:space="preserve"> appendicitis</w:t>
      </w:r>
      <w:r w:rsidR="002704D4" w:rsidRPr="003C2011">
        <w:rPr>
          <w:rFonts w:ascii="Times New Roman" w:hAnsi="Times New Roman" w:cs="Times New Roman"/>
          <w:sz w:val="24"/>
          <w:szCs w:val="24"/>
        </w:rPr>
        <w:t xml:space="preserve">. </w:t>
      </w:r>
    </w:p>
    <w:p w14:paraId="1898AF66" w14:textId="77777777" w:rsidR="00C71D7C" w:rsidRPr="003C2011" w:rsidRDefault="00C71D7C" w:rsidP="00CD4646">
      <w:pPr>
        <w:spacing w:after="0" w:line="480" w:lineRule="auto"/>
        <w:ind w:firstLine="446"/>
        <w:rPr>
          <w:rFonts w:ascii="Times New Roman" w:hAnsi="Times New Roman" w:cs="Times New Roman"/>
          <w:sz w:val="24"/>
          <w:szCs w:val="24"/>
        </w:rPr>
      </w:pPr>
    </w:p>
    <w:p w14:paraId="20EB8350" w14:textId="325647AE" w:rsidR="00CD4646" w:rsidRPr="003C2011" w:rsidRDefault="00CD4646" w:rsidP="00CD4646">
      <w:pPr>
        <w:spacing w:line="480" w:lineRule="auto"/>
        <w:rPr>
          <w:rFonts w:ascii="Times New Roman" w:hAnsi="Times New Roman" w:cs="Times New Roman"/>
          <w:b/>
          <w:sz w:val="24"/>
          <w:szCs w:val="24"/>
        </w:rPr>
      </w:pPr>
      <w:r w:rsidRPr="003C2011">
        <w:rPr>
          <w:rFonts w:ascii="Times New Roman" w:hAnsi="Times New Roman" w:cs="Times New Roman"/>
          <w:b/>
          <w:sz w:val="24"/>
          <w:szCs w:val="24"/>
        </w:rPr>
        <w:t>METHODS</w:t>
      </w:r>
    </w:p>
    <w:p w14:paraId="01668F72" w14:textId="4955E125" w:rsidR="00AE516F" w:rsidRPr="003C2011" w:rsidRDefault="0065512C" w:rsidP="00C71D7C">
      <w:pPr>
        <w:rPr>
          <w:rFonts w:ascii="Times New Roman" w:hAnsi="Times New Roman" w:cs="Times New Roman"/>
          <w:b/>
          <w:bCs/>
          <w:i/>
          <w:iCs/>
        </w:rPr>
      </w:pPr>
      <w:r w:rsidRPr="003C2011">
        <w:rPr>
          <w:rFonts w:ascii="Times New Roman" w:hAnsi="Times New Roman" w:cs="Times New Roman"/>
          <w:b/>
          <w:bCs/>
          <w:i/>
          <w:iCs/>
        </w:rPr>
        <w:t xml:space="preserve">Study </w:t>
      </w:r>
      <w:r w:rsidR="00AE516F" w:rsidRPr="003C2011">
        <w:rPr>
          <w:rFonts w:ascii="Times New Roman" w:hAnsi="Times New Roman" w:cs="Times New Roman"/>
          <w:b/>
          <w:bCs/>
          <w:i/>
          <w:iCs/>
        </w:rPr>
        <w:t>design</w:t>
      </w:r>
    </w:p>
    <w:p w14:paraId="06194931" w14:textId="0B9F5EE6" w:rsidR="00CD4646" w:rsidRPr="003C2011" w:rsidRDefault="00BD5E6D" w:rsidP="00C0607D">
      <w:pPr>
        <w:spacing w:before="240" w:after="0" w:line="480" w:lineRule="auto"/>
        <w:ind w:firstLine="720"/>
        <w:rPr>
          <w:rFonts w:ascii="Times New Roman" w:hAnsi="Times New Roman" w:cs="Times New Roman"/>
          <w:sz w:val="24"/>
          <w:szCs w:val="24"/>
        </w:rPr>
      </w:pPr>
      <w:r w:rsidRPr="003C2011">
        <w:rPr>
          <w:rFonts w:ascii="Times New Roman" w:hAnsi="Times New Roman"/>
          <w:sz w:val="24"/>
          <w:szCs w:val="24"/>
        </w:rPr>
        <w:t>We conducted</w:t>
      </w:r>
      <w:r w:rsidR="00CD4646" w:rsidRPr="003C2011">
        <w:rPr>
          <w:rFonts w:ascii="Times New Roman" w:hAnsi="Times New Roman"/>
          <w:sz w:val="24"/>
          <w:szCs w:val="24"/>
        </w:rPr>
        <w:t xml:space="preserve"> a</w:t>
      </w:r>
      <w:r w:rsidR="0067131F" w:rsidRPr="003C2011">
        <w:rPr>
          <w:rFonts w:ascii="Times New Roman" w:hAnsi="Times New Roman"/>
          <w:sz w:val="24"/>
          <w:szCs w:val="24"/>
        </w:rPr>
        <w:t>n open label,</w:t>
      </w:r>
      <w:r w:rsidR="00CD4646" w:rsidRPr="003C2011">
        <w:rPr>
          <w:rFonts w:ascii="Times New Roman" w:hAnsi="Times New Roman"/>
          <w:sz w:val="24"/>
          <w:szCs w:val="24"/>
        </w:rPr>
        <w:t xml:space="preserve"> pragmatic</w:t>
      </w:r>
      <w:r w:rsidR="0067131F" w:rsidRPr="003C2011">
        <w:rPr>
          <w:rFonts w:ascii="Times New Roman" w:hAnsi="Times New Roman"/>
          <w:sz w:val="24"/>
          <w:szCs w:val="24"/>
        </w:rPr>
        <w:t>,</w:t>
      </w:r>
      <w:r w:rsidR="00CD4646" w:rsidRPr="003C2011">
        <w:rPr>
          <w:rFonts w:ascii="Times New Roman" w:hAnsi="Times New Roman"/>
          <w:sz w:val="24"/>
          <w:szCs w:val="24"/>
        </w:rPr>
        <w:t xml:space="preserve"> non-inferiority,</w:t>
      </w:r>
      <w:r w:rsidR="00F0215D" w:rsidRPr="003C2011">
        <w:rPr>
          <w:rFonts w:ascii="Times New Roman" w:hAnsi="Times New Roman"/>
          <w:sz w:val="24"/>
          <w:szCs w:val="24"/>
        </w:rPr>
        <w:t xml:space="preserve"> non-blinded, parallel,</w:t>
      </w:r>
      <w:r w:rsidR="00CD4646" w:rsidRPr="003C2011">
        <w:rPr>
          <w:rFonts w:ascii="Times New Roman" w:hAnsi="Times New Roman"/>
          <w:sz w:val="24"/>
          <w:szCs w:val="24"/>
        </w:rPr>
        <w:t xml:space="preserve"> multicenter randomized trial. The protocol </w:t>
      </w:r>
      <w:r w:rsidRPr="003C2011">
        <w:rPr>
          <w:rFonts w:ascii="Times New Roman" w:hAnsi="Times New Roman"/>
          <w:sz w:val="24"/>
          <w:szCs w:val="24"/>
        </w:rPr>
        <w:t>was</w:t>
      </w:r>
      <w:r w:rsidR="00CD4646" w:rsidRPr="003C2011">
        <w:rPr>
          <w:rFonts w:ascii="Times New Roman" w:hAnsi="Times New Roman"/>
          <w:sz w:val="24"/>
          <w:szCs w:val="24"/>
        </w:rPr>
        <w:t xml:space="preserve"> developed in accordance with the SPIRIT guideline</w:t>
      </w:r>
      <w:r w:rsidR="00200EFD" w:rsidRPr="003C2011">
        <w:rPr>
          <w:rFonts w:ascii="Times New Roman" w:hAnsi="Times New Roman"/>
          <w:sz w:val="24"/>
          <w:szCs w:val="24"/>
        </w:rPr>
        <w:t>s</w:t>
      </w:r>
      <w:r w:rsidR="00CD4646" w:rsidRPr="003C2011">
        <w:rPr>
          <w:rFonts w:ascii="Times New Roman" w:hAnsi="Times New Roman"/>
          <w:sz w:val="24"/>
          <w:szCs w:val="24"/>
        </w:rPr>
        <w:t xml:space="preserve"> (1</w:t>
      </w:r>
      <w:r w:rsidR="005F5C51" w:rsidRPr="003C2011">
        <w:rPr>
          <w:rFonts w:ascii="Times New Roman" w:hAnsi="Times New Roman"/>
          <w:sz w:val="24"/>
          <w:szCs w:val="24"/>
        </w:rPr>
        <w:t>2</w:t>
      </w:r>
      <w:r w:rsidR="00CD4646" w:rsidRPr="003C2011">
        <w:rPr>
          <w:rFonts w:ascii="Times New Roman" w:hAnsi="Times New Roman"/>
          <w:sz w:val="24"/>
          <w:szCs w:val="24"/>
        </w:rPr>
        <w:t>)</w:t>
      </w:r>
      <w:r w:rsidR="00B277A7" w:rsidRPr="003C2011">
        <w:rPr>
          <w:rFonts w:ascii="Times New Roman" w:hAnsi="Times New Roman"/>
          <w:sz w:val="24"/>
          <w:szCs w:val="24"/>
        </w:rPr>
        <w:t xml:space="preserve"> and has been previously published</w:t>
      </w:r>
      <w:r w:rsidR="00DC4D14" w:rsidRPr="003C2011">
        <w:rPr>
          <w:rFonts w:ascii="Times New Roman" w:hAnsi="Times New Roman"/>
          <w:sz w:val="24"/>
          <w:szCs w:val="24"/>
        </w:rPr>
        <w:t xml:space="preserve"> (</w:t>
      </w:r>
      <w:r w:rsidR="002D5CE0" w:rsidRPr="003C2011">
        <w:rPr>
          <w:rFonts w:ascii="Times New Roman" w:hAnsi="Times New Roman"/>
          <w:sz w:val="24"/>
          <w:szCs w:val="24"/>
        </w:rPr>
        <w:t>1</w:t>
      </w:r>
      <w:r w:rsidR="005F5C51" w:rsidRPr="003C2011">
        <w:rPr>
          <w:rFonts w:ascii="Times New Roman" w:hAnsi="Times New Roman"/>
          <w:sz w:val="24"/>
          <w:szCs w:val="24"/>
        </w:rPr>
        <w:t>3</w:t>
      </w:r>
      <w:r w:rsidR="00C0607D" w:rsidRPr="003C2011">
        <w:rPr>
          <w:rFonts w:ascii="Times New Roman" w:hAnsi="Times New Roman"/>
          <w:sz w:val="24"/>
          <w:szCs w:val="24"/>
        </w:rPr>
        <w:t>).</w:t>
      </w:r>
      <w:r w:rsidR="00EF0F01" w:rsidRPr="003C2011">
        <w:t xml:space="preserve"> </w:t>
      </w:r>
      <w:r w:rsidR="00EF0F01" w:rsidRPr="003C2011">
        <w:rPr>
          <w:rFonts w:ascii="Times New Roman" w:hAnsi="Times New Roman"/>
          <w:sz w:val="24"/>
          <w:szCs w:val="24"/>
        </w:rPr>
        <w:t xml:space="preserve">There were no important changes made to the originally </w:t>
      </w:r>
      <w:r w:rsidR="00C0607D" w:rsidRPr="003C2011">
        <w:rPr>
          <w:rFonts w:ascii="Times New Roman" w:hAnsi="Times New Roman"/>
          <w:sz w:val="24"/>
          <w:szCs w:val="24"/>
        </w:rPr>
        <w:t>i</w:t>
      </w:r>
      <w:r w:rsidR="00EF0F01" w:rsidRPr="003C2011">
        <w:rPr>
          <w:rFonts w:ascii="Times New Roman" w:hAnsi="Times New Roman"/>
          <w:sz w:val="24"/>
          <w:szCs w:val="24"/>
        </w:rPr>
        <w:t>mplemented protocol across the study period.</w:t>
      </w:r>
      <w:r w:rsidR="00797C13" w:rsidRPr="003C2011">
        <w:rPr>
          <w:rFonts w:ascii="Times New Roman" w:hAnsi="Times New Roman"/>
          <w:sz w:val="24"/>
          <w:szCs w:val="24"/>
        </w:rPr>
        <w:t xml:space="preserve"> </w:t>
      </w:r>
      <w:r w:rsidR="00CD4646" w:rsidRPr="003C2011">
        <w:rPr>
          <w:rFonts w:ascii="Times New Roman" w:hAnsi="Times New Roman" w:cs="Times New Roman"/>
          <w:sz w:val="24"/>
          <w:szCs w:val="24"/>
        </w:rPr>
        <w:t xml:space="preserve">Approval was obtained from the local institutional ethics board for each enrolling site. Patients were enrolled after obtaining </w:t>
      </w:r>
      <w:r w:rsidR="00D61380" w:rsidRPr="003C2011">
        <w:rPr>
          <w:rFonts w:ascii="Times New Roman" w:hAnsi="Times New Roman" w:cs="Times New Roman"/>
          <w:sz w:val="24"/>
          <w:szCs w:val="24"/>
        </w:rPr>
        <w:t xml:space="preserve">informed </w:t>
      </w:r>
      <w:r w:rsidR="00E47440" w:rsidRPr="003C2011">
        <w:rPr>
          <w:rFonts w:ascii="Times New Roman" w:hAnsi="Times New Roman" w:cs="Times New Roman"/>
          <w:sz w:val="24"/>
          <w:szCs w:val="24"/>
        </w:rPr>
        <w:t xml:space="preserve">consent </w:t>
      </w:r>
      <w:r w:rsidR="00CD4646" w:rsidRPr="003C2011">
        <w:rPr>
          <w:rFonts w:ascii="Times New Roman" w:hAnsi="Times New Roman" w:cs="Times New Roman"/>
          <w:sz w:val="24"/>
          <w:szCs w:val="24"/>
        </w:rPr>
        <w:t xml:space="preserve">from the patient’s legal guardian. </w:t>
      </w:r>
    </w:p>
    <w:p w14:paraId="131987F6" w14:textId="2B450ED5" w:rsidR="00CD4646" w:rsidRPr="003C2011" w:rsidRDefault="00A2531C" w:rsidP="00C71D7C">
      <w:pPr>
        <w:rPr>
          <w:rFonts w:ascii="Times New Roman" w:hAnsi="Times New Roman" w:cs="Times New Roman"/>
          <w:b/>
          <w:bCs/>
          <w:i/>
          <w:iCs/>
          <w:sz w:val="24"/>
          <w:szCs w:val="24"/>
        </w:rPr>
      </w:pPr>
      <w:r w:rsidRPr="003C2011">
        <w:rPr>
          <w:rFonts w:ascii="Times New Roman" w:hAnsi="Times New Roman" w:cs="Times New Roman"/>
          <w:b/>
          <w:bCs/>
          <w:i/>
          <w:iCs/>
          <w:sz w:val="24"/>
          <w:szCs w:val="24"/>
        </w:rPr>
        <w:t>Participants</w:t>
      </w:r>
    </w:p>
    <w:p w14:paraId="5581B3D2" w14:textId="431B0E42" w:rsidR="00CD4646" w:rsidRPr="003C2011" w:rsidRDefault="00CD4646" w:rsidP="00CD4646">
      <w:pPr>
        <w:spacing w:after="0" w:line="480" w:lineRule="auto"/>
        <w:rPr>
          <w:rFonts w:ascii="Times New Roman" w:hAnsi="Times New Roman" w:cs="Times New Roman"/>
          <w:sz w:val="24"/>
          <w:szCs w:val="24"/>
        </w:rPr>
      </w:pPr>
      <w:r w:rsidRPr="003C2011">
        <w:rPr>
          <w:rFonts w:ascii="Times New Roman" w:hAnsi="Times New Roman" w:cs="Times New Roman"/>
          <w:sz w:val="24"/>
          <w:szCs w:val="24"/>
        </w:rPr>
        <w:t xml:space="preserve">The study population consisted of children between the ages of </w:t>
      </w:r>
      <w:r w:rsidR="0046100C" w:rsidRPr="003C2011">
        <w:rPr>
          <w:rFonts w:ascii="Times New Roman" w:hAnsi="Times New Roman" w:cs="Times New Roman"/>
          <w:sz w:val="24"/>
          <w:szCs w:val="24"/>
        </w:rPr>
        <w:t xml:space="preserve">5 </w:t>
      </w:r>
      <w:r w:rsidRPr="003C2011">
        <w:rPr>
          <w:rFonts w:ascii="Times New Roman" w:hAnsi="Times New Roman" w:cs="Times New Roman"/>
          <w:sz w:val="24"/>
          <w:szCs w:val="24"/>
        </w:rPr>
        <w:t xml:space="preserve">and 16 years diagnosed with </w:t>
      </w:r>
      <w:r w:rsidR="00106638" w:rsidRPr="003C2011">
        <w:rPr>
          <w:rFonts w:ascii="Times New Roman" w:hAnsi="Times New Roman" w:cs="Times New Roman"/>
          <w:sz w:val="24"/>
          <w:szCs w:val="24"/>
        </w:rPr>
        <w:t xml:space="preserve">simple </w:t>
      </w:r>
      <w:r w:rsidRPr="003C2011">
        <w:rPr>
          <w:rFonts w:ascii="Times New Roman" w:hAnsi="Times New Roman" w:cs="Times New Roman"/>
          <w:sz w:val="24"/>
          <w:szCs w:val="24"/>
        </w:rPr>
        <w:t xml:space="preserve">appendicitis. </w:t>
      </w:r>
      <w:r w:rsidR="004F517C" w:rsidRPr="003C2011">
        <w:rPr>
          <w:rFonts w:ascii="Times New Roman" w:hAnsi="Times New Roman" w:cs="Times New Roman"/>
          <w:sz w:val="24"/>
          <w:szCs w:val="24"/>
        </w:rPr>
        <w:t>Families were offered enrollment into the trial or</w:t>
      </w:r>
      <w:r w:rsidR="00EA24C8" w:rsidRPr="003C2011">
        <w:rPr>
          <w:rFonts w:ascii="Times New Roman" w:hAnsi="Times New Roman" w:cs="Times New Roman"/>
          <w:sz w:val="24"/>
          <w:szCs w:val="24"/>
        </w:rPr>
        <w:t xml:space="preserve"> to</w:t>
      </w:r>
      <w:r w:rsidR="004F517C" w:rsidRPr="003C2011">
        <w:rPr>
          <w:rFonts w:ascii="Times New Roman" w:hAnsi="Times New Roman" w:cs="Times New Roman"/>
          <w:sz w:val="24"/>
          <w:szCs w:val="24"/>
        </w:rPr>
        <w:t xml:space="preserve"> proceed with appendectomy per local center standard of care</w:t>
      </w:r>
      <w:r w:rsidR="005F440C" w:rsidRPr="003C2011">
        <w:rPr>
          <w:rFonts w:ascii="Times New Roman" w:hAnsi="Times New Roman" w:cs="Times New Roman"/>
          <w:sz w:val="24"/>
          <w:szCs w:val="24"/>
        </w:rPr>
        <w:t xml:space="preserve">. </w:t>
      </w:r>
      <w:r w:rsidR="007B5FCC" w:rsidRPr="003C2011">
        <w:rPr>
          <w:rFonts w:ascii="Times New Roman" w:hAnsi="Times New Roman" w:cs="Times New Roman"/>
          <w:sz w:val="24"/>
          <w:szCs w:val="24"/>
        </w:rPr>
        <w:t>The enrollment process occurred after the diagnosis of appendicitis was made.</w:t>
      </w:r>
    </w:p>
    <w:p w14:paraId="7ED2BE7A" w14:textId="25963538" w:rsidR="00CD4646" w:rsidRPr="003C2011" w:rsidRDefault="00CD4646" w:rsidP="00CD4646">
      <w:pPr>
        <w:spacing w:after="0" w:line="240" w:lineRule="auto"/>
        <w:rPr>
          <w:rFonts w:ascii="Times New Roman" w:hAnsi="Times New Roman"/>
          <w:sz w:val="24"/>
          <w:szCs w:val="24"/>
        </w:rPr>
      </w:pPr>
      <w:r w:rsidRPr="003C2011">
        <w:rPr>
          <w:rFonts w:ascii="Times New Roman" w:hAnsi="Times New Roman"/>
          <w:sz w:val="24"/>
          <w:szCs w:val="24"/>
          <w:u w:val="single"/>
        </w:rPr>
        <w:t>Inclusion criteria</w:t>
      </w:r>
    </w:p>
    <w:p w14:paraId="75E247C7" w14:textId="77777777" w:rsidR="00CD4646" w:rsidRPr="003C2011" w:rsidRDefault="00CD4646" w:rsidP="00CD4646">
      <w:pPr>
        <w:numPr>
          <w:ilvl w:val="0"/>
          <w:numId w:val="6"/>
        </w:numPr>
        <w:spacing w:after="0" w:line="240" w:lineRule="auto"/>
        <w:rPr>
          <w:rFonts w:ascii="Times New Roman" w:hAnsi="Times New Roman"/>
          <w:sz w:val="24"/>
          <w:szCs w:val="24"/>
        </w:rPr>
      </w:pPr>
      <w:r w:rsidRPr="003C2011">
        <w:rPr>
          <w:rFonts w:ascii="Times New Roman" w:hAnsi="Times New Roman"/>
          <w:sz w:val="24"/>
          <w:szCs w:val="24"/>
        </w:rPr>
        <w:t xml:space="preserve">Diagnosis of non-perforated appendicitis </w:t>
      </w:r>
    </w:p>
    <w:p w14:paraId="04E88812" w14:textId="77777777" w:rsidR="00CD4646" w:rsidRPr="003C2011" w:rsidRDefault="00CD4646" w:rsidP="00CD4646">
      <w:pPr>
        <w:numPr>
          <w:ilvl w:val="0"/>
          <w:numId w:val="6"/>
        </w:numPr>
        <w:spacing w:after="0" w:line="240" w:lineRule="auto"/>
        <w:rPr>
          <w:rFonts w:ascii="Times New Roman" w:hAnsi="Times New Roman"/>
          <w:sz w:val="24"/>
          <w:szCs w:val="24"/>
        </w:rPr>
      </w:pPr>
      <w:r w:rsidRPr="003C2011">
        <w:rPr>
          <w:rFonts w:ascii="Times New Roman" w:hAnsi="Times New Roman"/>
          <w:sz w:val="24"/>
          <w:szCs w:val="24"/>
        </w:rPr>
        <w:t>Written informed parental permission</w:t>
      </w:r>
    </w:p>
    <w:p w14:paraId="36D88BBB" w14:textId="6CB53714" w:rsidR="00CD4646" w:rsidRPr="003C2011" w:rsidRDefault="00CD4646" w:rsidP="00CD4646">
      <w:pPr>
        <w:numPr>
          <w:ilvl w:val="0"/>
          <w:numId w:val="6"/>
        </w:numPr>
        <w:spacing w:after="0" w:line="240" w:lineRule="auto"/>
        <w:rPr>
          <w:rFonts w:ascii="Times New Roman" w:hAnsi="Times New Roman"/>
          <w:sz w:val="24"/>
          <w:szCs w:val="24"/>
        </w:rPr>
      </w:pPr>
      <w:r w:rsidRPr="003C2011">
        <w:rPr>
          <w:rFonts w:ascii="Times New Roman" w:hAnsi="Times New Roman"/>
          <w:sz w:val="24"/>
          <w:szCs w:val="24"/>
        </w:rPr>
        <w:t>Written informed child assent in accordance with local institutional policy</w:t>
      </w:r>
    </w:p>
    <w:p w14:paraId="2C7556FB" w14:textId="77777777" w:rsidR="00CD4646" w:rsidRPr="003C2011" w:rsidRDefault="00CD4646" w:rsidP="00CD4646">
      <w:pPr>
        <w:spacing w:line="240" w:lineRule="auto"/>
        <w:rPr>
          <w:rFonts w:ascii="Times New Roman" w:hAnsi="Times New Roman"/>
        </w:rPr>
      </w:pPr>
    </w:p>
    <w:p w14:paraId="2C96B10E" w14:textId="77777777" w:rsidR="00CD4646" w:rsidRPr="003C2011" w:rsidRDefault="00CD4646" w:rsidP="00CD4646">
      <w:pPr>
        <w:spacing w:after="0" w:line="240" w:lineRule="auto"/>
        <w:rPr>
          <w:rFonts w:ascii="Times New Roman" w:hAnsi="Times New Roman"/>
          <w:sz w:val="24"/>
          <w:szCs w:val="24"/>
          <w:u w:val="single"/>
        </w:rPr>
      </w:pPr>
      <w:r w:rsidRPr="003C2011">
        <w:rPr>
          <w:rFonts w:ascii="Times New Roman" w:hAnsi="Times New Roman"/>
          <w:sz w:val="24"/>
          <w:szCs w:val="24"/>
          <w:u w:val="single"/>
        </w:rPr>
        <w:t>Exclusion criteria</w:t>
      </w:r>
    </w:p>
    <w:p w14:paraId="2C131FB5" w14:textId="58069B1B" w:rsidR="00CD4646" w:rsidRPr="003C2011" w:rsidRDefault="00CD4646" w:rsidP="00CD4646">
      <w:pPr>
        <w:numPr>
          <w:ilvl w:val="0"/>
          <w:numId w:val="7"/>
        </w:numPr>
        <w:spacing w:after="0" w:line="240" w:lineRule="auto"/>
        <w:rPr>
          <w:rFonts w:ascii="Times New Roman" w:hAnsi="Times New Roman"/>
          <w:sz w:val="24"/>
          <w:szCs w:val="24"/>
        </w:rPr>
      </w:pPr>
      <w:r w:rsidRPr="003C2011">
        <w:rPr>
          <w:rFonts w:ascii="Times New Roman" w:hAnsi="Times New Roman"/>
          <w:sz w:val="24"/>
          <w:szCs w:val="24"/>
        </w:rPr>
        <w:t>Suspicion of perforated appendicitis</w:t>
      </w:r>
      <w:r w:rsidR="004170BE" w:rsidRPr="003C2011">
        <w:rPr>
          <w:rFonts w:ascii="Times New Roman" w:hAnsi="Times New Roman"/>
          <w:sz w:val="24"/>
          <w:szCs w:val="24"/>
        </w:rPr>
        <w:t xml:space="preserve"> based on clinical or radiological grounds</w:t>
      </w:r>
    </w:p>
    <w:p w14:paraId="081B7066" w14:textId="7C8DFD29" w:rsidR="00A62A87" w:rsidRPr="003C2011" w:rsidRDefault="00A62A87" w:rsidP="00CD4646">
      <w:pPr>
        <w:numPr>
          <w:ilvl w:val="0"/>
          <w:numId w:val="7"/>
        </w:numPr>
        <w:spacing w:after="0" w:line="240" w:lineRule="auto"/>
        <w:rPr>
          <w:rFonts w:ascii="Times New Roman" w:hAnsi="Times New Roman"/>
          <w:sz w:val="24"/>
          <w:szCs w:val="24"/>
        </w:rPr>
      </w:pPr>
      <w:r w:rsidRPr="003C2011">
        <w:rPr>
          <w:rFonts w:ascii="Times New Roman" w:hAnsi="Times New Roman"/>
          <w:sz w:val="24"/>
          <w:szCs w:val="24"/>
        </w:rPr>
        <w:t>Appendix mass or phlegmon</w:t>
      </w:r>
    </w:p>
    <w:p w14:paraId="74B43060" w14:textId="499C3148" w:rsidR="00CD4646" w:rsidRPr="003C2011" w:rsidRDefault="00CD4646" w:rsidP="00CD4646">
      <w:pPr>
        <w:numPr>
          <w:ilvl w:val="0"/>
          <w:numId w:val="7"/>
        </w:numPr>
        <w:spacing w:after="0" w:line="240" w:lineRule="auto"/>
        <w:rPr>
          <w:rFonts w:ascii="Times New Roman" w:hAnsi="Times New Roman"/>
          <w:sz w:val="24"/>
          <w:szCs w:val="24"/>
        </w:rPr>
      </w:pPr>
      <w:r w:rsidRPr="003C2011">
        <w:rPr>
          <w:rFonts w:ascii="Times New Roman" w:hAnsi="Times New Roman"/>
          <w:sz w:val="24"/>
          <w:szCs w:val="24"/>
        </w:rPr>
        <w:lastRenderedPageBreak/>
        <w:t>Prior antibiotic treatment to at least a second dose</w:t>
      </w:r>
    </w:p>
    <w:p w14:paraId="495D10A3" w14:textId="2B6C0609" w:rsidR="00511CE8" w:rsidRPr="003C2011" w:rsidRDefault="00511CE8" w:rsidP="00CD4646">
      <w:pPr>
        <w:numPr>
          <w:ilvl w:val="0"/>
          <w:numId w:val="7"/>
        </w:numPr>
        <w:spacing w:after="0" w:line="240" w:lineRule="auto"/>
        <w:rPr>
          <w:rFonts w:ascii="Times New Roman" w:hAnsi="Times New Roman"/>
          <w:sz w:val="24"/>
          <w:szCs w:val="24"/>
        </w:rPr>
      </w:pPr>
      <w:r w:rsidRPr="003C2011">
        <w:rPr>
          <w:rFonts w:ascii="Times New Roman" w:hAnsi="Times New Roman"/>
          <w:sz w:val="24"/>
          <w:szCs w:val="24"/>
        </w:rPr>
        <w:t>Positive pregnancy test</w:t>
      </w:r>
    </w:p>
    <w:p w14:paraId="3FB0D9F9" w14:textId="20A38D92" w:rsidR="00CD4646" w:rsidRPr="003C2011" w:rsidRDefault="00CD4646" w:rsidP="00CD4646">
      <w:pPr>
        <w:numPr>
          <w:ilvl w:val="0"/>
          <w:numId w:val="7"/>
        </w:numPr>
        <w:spacing w:after="0" w:line="240" w:lineRule="auto"/>
        <w:rPr>
          <w:rFonts w:ascii="Times New Roman" w:hAnsi="Times New Roman"/>
          <w:sz w:val="24"/>
          <w:szCs w:val="24"/>
        </w:rPr>
      </w:pPr>
      <w:r w:rsidRPr="003C2011">
        <w:rPr>
          <w:rFonts w:ascii="Times New Roman" w:hAnsi="Times New Roman"/>
          <w:sz w:val="24"/>
          <w:szCs w:val="24"/>
        </w:rPr>
        <w:t xml:space="preserve">Previous episode of appendicitis </w:t>
      </w:r>
      <w:r w:rsidR="00FE6647" w:rsidRPr="003C2011">
        <w:rPr>
          <w:rFonts w:ascii="Times New Roman" w:hAnsi="Times New Roman"/>
          <w:sz w:val="24"/>
          <w:szCs w:val="24"/>
        </w:rPr>
        <w:t xml:space="preserve">or appendix mass/ phlegmon </w:t>
      </w:r>
      <w:r w:rsidRPr="003C2011">
        <w:rPr>
          <w:rFonts w:ascii="Times New Roman" w:hAnsi="Times New Roman"/>
          <w:sz w:val="24"/>
          <w:szCs w:val="24"/>
        </w:rPr>
        <w:t>treated non-operatively</w:t>
      </w:r>
    </w:p>
    <w:p w14:paraId="7EA6EC1C" w14:textId="5909EA0F" w:rsidR="00CD4646" w:rsidRPr="003C2011" w:rsidRDefault="00CD4646" w:rsidP="00CD4646">
      <w:pPr>
        <w:numPr>
          <w:ilvl w:val="0"/>
          <w:numId w:val="7"/>
        </w:numPr>
        <w:spacing w:after="0" w:line="240" w:lineRule="auto"/>
        <w:rPr>
          <w:rFonts w:ascii="Times New Roman" w:hAnsi="Times New Roman"/>
          <w:sz w:val="24"/>
          <w:szCs w:val="24"/>
        </w:rPr>
      </w:pPr>
      <w:r w:rsidRPr="003C2011">
        <w:rPr>
          <w:rFonts w:ascii="Times New Roman" w:hAnsi="Times New Roman"/>
          <w:sz w:val="24"/>
          <w:szCs w:val="24"/>
        </w:rPr>
        <w:t>Current treatment for malignancy</w:t>
      </w:r>
      <w:r w:rsidR="007639A4" w:rsidRPr="003C2011">
        <w:rPr>
          <w:rFonts w:ascii="Times New Roman" w:hAnsi="Times New Roman"/>
          <w:sz w:val="24"/>
          <w:szCs w:val="24"/>
        </w:rPr>
        <w:t xml:space="preserve"> or presence of co-morbid condition that would alter length of stay</w:t>
      </w:r>
    </w:p>
    <w:p w14:paraId="40B837B0" w14:textId="77777777" w:rsidR="00CD4646" w:rsidRPr="003C2011" w:rsidRDefault="00CD4646" w:rsidP="00CD4646">
      <w:pPr>
        <w:spacing w:after="0" w:line="240" w:lineRule="auto"/>
        <w:rPr>
          <w:rFonts w:ascii="Times New Roman" w:hAnsi="Times New Roman"/>
        </w:rPr>
      </w:pPr>
    </w:p>
    <w:p w14:paraId="763D23EA" w14:textId="77777777" w:rsidR="00CD4646" w:rsidRPr="003C2011" w:rsidRDefault="00CD4646" w:rsidP="00CD4646">
      <w:pPr>
        <w:spacing w:after="0" w:line="240" w:lineRule="auto"/>
        <w:rPr>
          <w:rFonts w:ascii="Times New Roman" w:hAnsi="Times New Roman"/>
        </w:rPr>
      </w:pPr>
    </w:p>
    <w:p w14:paraId="2297C511" w14:textId="429176A5" w:rsidR="00CD4646" w:rsidRPr="003C2011" w:rsidRDefault="0046100C" w:rsidP="00E00F43">
      <w:pPr>
        <w:rPr>
          <w:rFonts w:ascii="Times New Roman" w:hAnsi="Times New Roman" w:cs="Times New Roman"/>
          <w:b/>
          <w:bCs/>
          <w:i/>
          <w:iCs/>
          <w:sz w:val="24"/>
          <w:szCs w:val="24"/>
        </w:rPr>
      </w:pPr>
      <w:r w:rsidRPr="003C2011">
        <w:rPr>
          <w:rFonts w:ascii="Times New Roman" w:hAnsi="Times New Roman" w:cs="Times New Roman"/>
          <w:b/>
          <w:bCs/>
          <w:i/>
          <w:iCs/>
          <w:sz w:val="24"/>
          <w:szCs w:val="24"/>
        </w:rPr>
        <w:t>Randomization</w:t>
      </w:r>
    </w:p>
    <w:p w14:paraId="336FD6CC" w14:textId="5F6165A6" w:rsidR="00CD4646" w:rsidRPr="003C2011" w:rsidRDefault="00CD4646" w:rsidP="00713387">
      <w:pPr>
        <w:spacing w:after="0" w:line="480" w:lineRule="auto"/>
        <w:rPr>
          <w:rFonts w:ascii="Times New Roman" w:hAnsi="Times New Roman"/>
          <w:sz w:val="24"/>
          <w:szCs w:val="24"/>
        </w:rPr>
      </w:pPr>
      <w:r w:rsidRPr="003C2011">
        <w:rPr>
          <w:rFonts w:ascii="Times New Roman" w:hAnsi="Times New Roman"/>
          <w:sz w:val="24"/>
          <w:szCs w:val="24"/>
        </w:rPr>
        <w:t xml:space="preserve">After signed informed </w:t>
      </w:r>
      <w:r w:rsidR="00822F5F" w:rsidRPr="003C2011">
        <w:rPr>
          <w:rFonts w:ascii="Times New Roman" w:hAnsi="Times New Roman"/>
          <w:sz w:val="24"/>
          <w:szCs w:val="24"/>
        </w:rPr>
        <w:t>consent</w:t>
      </w:r>
      <w:r w:rsidRPr="003C2011">
        <w:rPr>
          <w:rFonts w:ascii="Times New Roman" w:hAnsi="Times New Roman"/>
          <w:sz w:val="24"/>
          <w:szCs w:val="24"/>
        </w:rPr>
        <w:t>/assent, patients enrolled in the study were randomized using an online stratified randomization tool provided by randomize.net (</w:t>
      </w:r>
      <w:proofErr w:type="spellStart"/>
      <w:r w:rsidR="005E3521" w:rsidRPr="003C2011">
        <w:rPr>
          <w:rFonts w:ascii="Times New Roman" w:hAnsi="Times New Roman"/>
          <w:sz w:val="24"/>
          <w:szCs w:val="24"/>
        </w:rPr>
        <w:t>Interrand</w:t>
      </w:r>
      <w:proofErr w:type="spellEnd"/>
      <w:r w:rsidR="005E3521" w:rsidRPr="003C2011">
        <w:rPr>
          <w:rFonts w:ascii="Times New Roman" w:hAnsi="Times New Roman"/>
          <w:sz w:val="24"/>
          <w:szCs w:val="24"/>
        </w:rPr>
        <w:t xml:space="preserve"> Inc., </w:t>
      </w:r>
      <w:r w:rsidR="0046100C" w:rsidRPr="003C2011">
        <w:rPr>
          <w:rFonts w:ascii="Times New Roman" w:hAnsi="Times New Roman"/>
          <w:sz w:val="24"/>
          <w:szCs w:val="24"/>
        </w:rPr>
        <w:t>Ottawa</w:t>
      </w:r>
      <w:r w:rsidRPr="003C2011">
        <w:rPr>
          <w:rFonts w:ascii="Times New Roman" w:hAnsi="Times New Roman"/>
          <w:sz w:val="24"/>
          <w:szCs w:val="24"/>
        </w:rPr>
        <w:t xml:space="preserve">, Ontario). </w:t>
      </w:r>
      <w:r w:rsidR="005E3521" w:rsidRPr="003C2011">
        <w:rPr>
          <w:rFonts w:ascii="Times New Roman" w:hAnsi="Times New Roman"/>
          <w:sz w:val="24"/>
          <w:szCs w:val="24"/>
        </w:rPr>
        <w:t xml:space="preserve">Parameters were set to provide study arm assignments for the proposed sample size based on a 1:1 ratio with concealment of </w:t>
      </w:r>
      <w:r w:rsidR="0002626F" w:rsidRPr="003C2011">
        <w:rPr>
          <w:rFonts w:ascii="Times New Roman" w:hAnsi="Times New Roman"/>
          <w:sz w:val="24"/>
          <w:szCs w:val="24"/>
        </w:rPr>
        <w:t>allocation and</w:t>
      </w:r>
      <w:r w:rsidR="00AC7A25" w:rsidRPr="003C2011">
        <w:rPr>
          <w:rFonts w:ascii="Times New Roman" w:hAnsi="Times New Roman"/>
          <w:sz w:val="24"/>
          <w:szCs w:val="24"/>
        </w:rPr>
        <w:t xml:space="preserve"> </w:t>
      </w:r>
      <w:r w:rsidR="00406D0B" w:rsidRPr="003C2011">
        <w:rPr>
          <w:rFonts w:ascii="Times New Roman" w:hAnsi="Times New Roman"/>
          <w:sz w:val="24"/>
          <w:szCs w:val="24"/>
        </w:rPr>
        <w:t xml:space="preserve">stratified by </w:t>
      </w:r>
      <w:r w:rsidRPr="003C2011">
        <w:rPr>
          <w:rFonts w:ascii="Times New Roman" w:hAnsi="Times New Roman"/>
          <w:sz w:val="24"/>
          <w:szCs w:val="24"/>
        </w:rPr>
        <w:t xml:space="preserve">sex, duration of symptoms </w:t>
      </w:r>
      <w:r w:rsidR="00406D0B" w:rsidRPr="003C2011">
        <w:rPr>
          <w:rFonts w:ascii="Times New Roman" w:hAnsi="Times New Roman"/>
          <w:sz w:val="24"/>
          <w:szCs w:val="24"/>
        </w:rPr>
        <w:t>(</w:t>
      </w:r>
      <w:r w:rsidR="009C5AAD" w:rsidRPr="003C2011">
        <w:rPr>
          <w:rFonts w:ascii="Times New Roman" w:hAnsi="Times New Roman"/>
          <w:sz w:val="24"/>
          <w:szCs w:val="24"/>
          <w:u w:val="single"/>
        </w:rPr>
        <w:t>&gt;</w:t>
      </w:r>
      <w:r w:rsidR="009C5AAD" w:rsidRPr="003C2011">
        <w:rPr>
          <w:rFonts w:ascii="Times New Roman" w:hAnsi="Times New Roman"/>
          <w:sz w:val="24"/>
          <w:szCs w:val="24"/>
        </w:rPr>
        <w:t xml:space="preserve"> </w:t>
      </w:r>
      <w:r w:rsidR="00AC7A25" w:rsidRPr="003C2011">
        <w:rPr>
          <w:rFonts w:ascii="Times New Roman" w:hAnsi="Times New Roman"/>
          <w:sz w:val="24"/>
          <w:szCs w:val="24"/>
        </w:rPr>
        <w:t>48 hours versus</w:t>
      </w:r>
      <w:r w:rsidRPr="003C2011">
        <w:rPr>
          <w:rFonts w:ascii="Times New Roman" w:hAnsi="Times New Roman"/>
          <w:sz w:val="24"/>
          <w:szCs w:val="24"/>
        </w:rPr>
        <w:t xml:space="preserve"> </w:t>
      </w:r>
      <w:r w:rsidR="009C5AAD" w:rsidRPr="003C2011">
        <w:rPr>
          <w:rFonts w:ascii="Times New Roman" w:hAnsi="Times New Roman"/>
          <w:sz w:val="24"/>
          <w:szCs w:val="24"/>
        </w:rPr>
        <w:t>&lt;</w:t>
      </w:r>
      <w:r w:rsidRPr="003C2011">
        <w:rPr>
          <w:rFonts w:ascii="Times New Roman" w:hAnsi="Times New Roman"/>
          <w:sz w:val="24"/>
          <w:szCs w:val="24"/>
        </w:rPr>
        <w:t xml:space="preserve"> 48 hours</w:t>
      </w:r>
      <w:r w:rsidR="00406D0B" w:rsidRPr="003C2011">
        <w:rPr>
          <w:rFonts w:ascii="Times New Roman" w:hAnsi="Times New Roman"/>
          <w:sz w:val="24"/>
          <w:szCs w:val="24"/>
        </w:rPr>
        <w:t>)</w:t>
      </w:r>
      <w:r w:rsidR="00690C5B" w:rsidRPr="003C2011">
        <w:rPr>
          <w:rFonts w:ascii="Times New Roman" w:hAnsi="Times New Roman"/>
          <w:sz w:val="24"/>
          <w:szCs w:val="24"/>
        </w:rPr>
        <w:t xml:space="preserve"> and </w:t>
      </w:r>
      <w:r w:rsidR="007D3BD1" w:rsidRPr="003C2011">
        <w:rPr>
          <w:rFonts w:ascii="Times New Roman" w:hAnsi="Times New Roman"/>
          <w:sz w:val="24"/>
          <w:szCs w:val="24"/>
        </w:rPr>
        <w:t>trial site</w:t>
      </w:r>
      <w:r w:rsidR="009A4B0C" w:rsidRPr="003C2011">
        <w:rPr>
          <w:rFonts w:ascii="Times New Roman" w:hAnsi="Times New Roman"/>
          <w:sz w:val="24"/>
          <w:szCs w:val="24"/>
        </w:rPr>
        <w:t>.</w:t>
      </w:r>
      <w:r w:rsidR="0067131F" w:rsidRPr="003C2011">
        <w:rPr>
          <w:rFonts w:ascii="Times New Roman" w:hAnsi="Times New Roman"/>
          <w:sz w:val="24"/>
          <w:szCs w:val="24"/>
        </w:rPr>
        <w:t xml:space="preserve"> </w:t>
      </w:r>
    </w:p>
    <w:p w14:paraId="64901DBC" w14:textId="1BE66E55" w:rsidR="00CD4646" w:rsidRPr="003C2011" w:rsidRDefault="00FF5786" w:rsidP="00E00F43">
      <w:pPr>
        <w:rPr>
          <w:rFonts w:ascii="Times New Roman" w:hAnsi="Times New Roman" w:cs="Times New Roman"/>
          <w:b/>
          <w:bCs/>
          <w:i/>
          <w:iCs/>
          <w:sz w:val="24"/>
          <w:szCs w:val="24"/>
        </w:rPr>
      </w:pPr>
      <w:r w:rsidRPr="003C2011">
        <w:rPr>
          <w:rFonts w:ascii="Times New Roman" w:hAnsi="Times New Roman" w:cs="Times New Roman"/>
          <w:b/>
          <w:bCs/>
          <w:i/>
          <w:iCs/>
          <w:sz w:val="24"/>
          <w:szCs w:val="24"/>
        </w:rPr>
        <w:t>Interventions</w:t>
      </w:r>
    </w:p>
    <w:p w14:paraId="0E75777E" w14:textId="44AA7B7A" w:rsidR="00CD4646" w:rsidRPr="003C2011" w:rsidRDefault="00EE1EDF" w:rsidP="00713387">
      <w:pPr>
        <w:spacing w:after="0" w:line="480" w:lineRule="auto"/>
        <w:rPr>
          <w:rFonts w:ascii="Times New Roman" w:hAnsi="Times New Roman" w:cs="Times New Roman"/>
          <w:sz w:val="24"/>
          <w:szCs w:val="24"/>
          <w:lang w:val="en-GB"/>
        </w:rPr>
      </w:pPr>
      <w:r w:rsidRPr="003C2011">
        <w:rPr>
          <w:rFonts w:ascii="Times New Roman" w:hAnsi="Times New Roman" w:cs="Times New Roman"/>
          <w:sz w:val="24"/>
          <w:szCs w:val="24"/>
          <w:u w:val="single"/>
          <w:lang w:val="en-GB"/>
        </w:rPr>
        <w:t>Antibiotic</w:t>
      </w:r>
      <w:r w:rsidR="00CF3CCA" w:rsidRPr="003C2011">
        <w:rPr>
          <w:rFonts w:ascii="Times New Roman" w:hAnsi="Times New Roman" w:cs="Times New Roman"/>
          <w:sz w:val="24"/>
          <w:szCs w:val="24"/>
          <w:u w:val="single"/>
          <w:lang w:val="en-GB"/>
        </w:rPr>
        <w:t xml:space="preserve"> </w:t>
      </w:r>
      <w:r w:rsidR="001571B5" w:rsidRPr="003C2011">
        <w:rPr>
          <w:rFonts w:ascii="Times New Roman" w:hAnsi="Times New Roman" w:cs="Times New Roman"/>
          <w:sz w:val="24"/>
          <w:szCs w:val="24"/>
          <w:u w:val="single"/>
          <w:lang w:val="en-GB"/>
        </w:rPr>
        <w:t>group</w:t>
      </w:r>
      <w:r w:rsidR="00CD4646" w:rsidRPr="003C2011">
        <w:rPr>
          <w:rFonts w:ascii="Times New Roman" w:hAnsi="Times New Roman" w:cs="Times New Roman"/>
          <w:sz w:val="24"/>
          <w:szCs w:val="24"/>
          <w:lang w:val="en-GB"/>
        </w:rPr>
        <w:t xml:space="preserve">: All patients randomized to this study arm were defined as the </w:t>
      </w:r>
      <w:r w:rsidR="00662A4D" w:rsidRPr="003C2011">
        <w:rPr>
          <w:rFonts w:ascii="Times New Roman" w:hAnsi="Times New Roman" w:cs="Times New Roman"/>
          <w:sz w:val="24"/>
          <w:szCs w:val="24"/>
          <w:lang w:val="en-GB"/>
        </w:rPr>
        <w:t>‘</w:t>
      </w:r>
      <w:r w:rsidR="00CD4646" w:rsidRPr="003C2011">
        <w:rPr>
          <w:rFonts w:ascii="Times New Roman" w:hAnsi="Times New Roman" w:cs="Times New Roman"/>
          <w:sz w:val="24"/>
          <w:szCs w:val="24"/>
          <w:lang w:val="en-GB"/>
        </w:rPr>
        <w:t>antibiotic group</w:t>
      </w:r>
      <w:r w:rsidR="00662A4D" w:rsidRPr="003C2011">
        <w:rPr>
          <w:rFonts w:ascii="Times New Roman" w:hAnsi="Times New Roman" w:cs="Times New Roman"/>
          <w:sz w:val="24"/>
          <w:szCs w:val="24"/>
          <w:lang w:val="en-GB"/>
        </w:rPr>
        <w:t>’</w:t>
      </w:r>
      <w:r w:rsidR="00CD4646" w:rsidRPr="003C2011">
        <w:rPr>
          <w:rFonts w:ascii="Times New Roman" w:hAnsi="Times New Roman" w:cs="Times New Roman"/>
          <w:sz w:val="24"/>
          <w:szCs w:val="24"/>
          <w:lang w:val="en-GB"/>
        </w:rPr>
        <w:t>. Patients were started on intravenous fluids</w:t>
      </w:r>
      <w:r w:rsidR="008D1ED7" w:rsidRPr="003C2011">
        <w:rPr>
          <w:rFonts w:ascii="Times New Roman" w:hAnsi="Times New Roman" w:cs="Times New Roman"/>
          <w:sz w:val="24"/>
          <w:szCs w:val="24"/>
          <w:lang w:val="en-GB"/>
        </w:rPr>
        <w:t>,</w:t>
      </w:r>
      <w:r w:rsidR="00CD4646" w:rsidRPr="003C2011">
        <w:rPr>
          <w:rFonts w:ascii="Times New Roman" w:hAnsi="Times New Roman" w:cs="Times New Roman"/>
          <w:sz w:val="24"/>
          <w:szCs w:val="24"/>
          <w:lang w:val="en-GB"/>
        </w:rPr>
        <w:t xml:space="preserve"> antibiotics</w:t>
      </w:r>
      <w:r w:rsidR="003D5489" w:rsidRPr="003C2011">
        <w:rPr>
          <w:rFonts w:ascii="Times New Roman" w:hAnsi="Times New Roman" w:cs="Times New Roman"/>
          <w:sz w:val="24"/>
          <w:szCs w:val="24"/>
          <w:lang w:val="en-GB"/>
        </w:rPr>
        <w:t>,</w:t>
      </w:r>
      <w:r w:rsidR="008D1ED7" w:rsidRPr="003C2011">
        <w:rPr>
          <w:rFonts w:ascii="Times New Roman" w:hAnsi="Times New Roman" w:cs="Times New Roman"/>
          <w:sz w:val="24"/>
          <w:szCs w:val="24"/>
          <w:lang w:val="en-GB"/>
        </w:rPr>
        <w:t xml:space="preserve"> analgesia</w:t>
      </w:r>
      <w:r w:rsidR="00211F1C" w:rsidRPr="003C2011">
        <w:rPr>
          <w:rFonts w:ascii="Times New Roman" w:hAnsi="Times New Roman" w:cs="Times New Roman"/>
          <w:sz w:val="24"/>
          <w:szCs w:val="24"/>
          <w:lang w:val="en-GB"/>
        </w:rPr>
        <w:t>,</w:t>
      </w:r>
      <w:r w:rsidR="00CD4646" w:rsidRPr="003C2011">
        <w:rPr>
          <w:rFonts w:ascii="Times New Roman" w:hAnsi="Times New Roman" w:cs="Times New Roman"/>
          <w:sz w:val="24"/>
          <w:szCs w:val="24"/>
          <w:lang w:val="en-GB"/>
        </w:rPr>
        <w:t xml:space="preserve"> </w:t>
      </w:r>
      <w:r w:rsidR="00E126FB" w:rsidRPr="003C2011">
        <w:rPr>
          <w:rFonts w:ascii="Times New Roman" w:hAnsi="Times New Roman" w:cs="Times New Roman"/>
          <w:sz w:val="24"/>
          <w:szCs w:val="24"/>
          <w:lang w:val="en-GB"/>
        </w:rPr>
        <w:t xml:space="preserve">and </w:t>
      </w:r>
      <w:r w:rsidR="00CD4646" w:rsidRPr="003C2011">
        <w:rPr>
          <w:rFonts w:ascii="Times New Roman" w:hAnsi="Times New Roman" w:cs="Times New Roman"/>
          <w:sz w:val="24"/>
          <w:szCs w:val="24"/>
          <w:lang w:val="en-GB"/>
        </w:rPr>
        <w:t xml:space="preserve">admitted to the hospital for observation. The choice of antibiotics was dependent on the standards for treating appendicitis at the </w:t>
      </w:r>
      <w:r w:rsidR="00F0215D" w:rsidRPr="003C2011">
        <w:rPr>
          <w:rFonts w:ascii="Times New Roman" w:hAnsi="Times New Roman" w:cs="Times New Roman"/>
          <w:sz w:val="24"/>
          <w:szCs w:val="24"/>
          <w:lang w:val="en-GB"/>
        </w:rPr>
        <w:t xml:space="preserve">local </w:t>
      </w:r>
      <w:proofErr w:type="spellStart"/>
      <w:r w:rsidR="00F0215D" w:rsidRPr="003C2011">
        <w:rPr>
          <w:rFonts w:ascii="Times New Roman" w:hAnsi="Times New Roman" w:cs="Times New Roman"/>
          <w:sz w:val="24"/>
          <w:szCs w:val="24"/>
          <w:lang w:val="en-GB"/>
        </w:rPr>
        <w:t>center</w:t>
      </w:r>
      <w:proofErr w:type="spellEnd"/>
      <w:r w:rsidR="00466AC5" w:rsidRPr="003C2011">
        <w:rPr>
          <w:rFonts w:ascii="Times New Roman" w:hAnsi="Times New Roman" w:cs="Times New Roman"/>
          <w:sz w:val="24"/>
          <w:szCs w:val="24"/>
          <w:lang w:val="en-GB"/>
        </w:rPr>
        <w:t>.</w:t>
      </w:r>
      <w:r w:rsidR="00CD4646" w:rsidRPr="003C2011">
        <w:rPr>
          <w:rFonts w:ascii="Times New Roman" w:hAnsi="Times New Roman" w:cs="Times New Roman"/>
          <w:sz w:val="24"/>
          <w:szCs w:val="24"/>
          <w:lang w:val="en-GB"/>
        </w:rPr>
        <w:t xml:space="preserve"> Patients were allowed </w:t>
      </w:r>
      <w:r w:rsidR="009336FA" w:rsidRPr="003C2011">
        <w:rPr>
          <w:rFonts w:ascii="Times New Roman" w:hAnsi="Times New Roman" w:cs="Times New Roman"/>
          <w:sz w:val="24"/>
          <w:szCs w:val="24"/>
          <w:lang w:val="en-GB"/>
        </w:rPr>
        <w:t xml:space="preserve">a </w:t>
      </w:r>
      <w:r w:rsidR="00CD4646" w:rsidRPr="003C2011">
        <w:rPr>
          <w:rFonts w:ascii="Times New Roman" w:hAnsi="Times New Roman" w:cs="Times New Roman"/>
          <w:sz w:val="24"/>
          <w:szCs w:val="24"/>
          <w:lang w:val="en-GB"/>
        </w:rPr>
        <w:t xml:space="preserve">clear liquid diet. </w:t>
      </w:r>
      <w:r w:rsidR="004F517C" w:rsidRPr="003C2011">
        <w:rPr>
          <w:rFonts w:ascii="Times New Roman" w:hAnsi="Times New Roman" w:cs="Times New Roman"/>
          <w:sz w:val="24"/>
          <w:szCs w:val="24"/>
          <w:lang w:val="en-GB"/>
        </w:rPr>
        <w:t>If liquids were tolerated and they were progressing as expected, th</w:t>
      </w:r>
      <w:r w:rsidR="00CD4646" w:rsidRPr="003C2011">
        <w:rPr>
          <w:rFonts w:ascii="Times New Roman" w:hAnsi="Times New Roman" w:cs="Times New Roman"/>
          <w:sz w:val="24"/>
          <w:szCs w:val="24"/>
          <w:lang w:val="en-GB"/>
        </w:rPr>
        <w:t xml:space="preserve">en regular diet was allowed. </w:t>
      </w:r>
      <w:r w:rsidR="004F517C" w:rsidRPr="003C2011">
        <w:rPr>
          <w:rFonts w:ascii="Times New Roman" w:hAnsi="Times New Roman" w:cs="Times New Roman"/>
          <w:sz w:val="24"/>
          <w:szCs w:val="24"/>
          <w:lang w:val="en-GB"/>
        </w:rPr>
        <w:t>Patients</w:t>
      </w:r>
      <w:r w:rsidR="00CD4646" w:rsidRPr="003C2011">
        <w:rPr>
          <w:rFonts w:ascii="Times New Roman" w:hAnsi="Times New Roman" w:cs="Times New Roman"/>
          <w:sz w:val="24"/>
          <w:szCs w:val="24"/>
          <w:lang w:val="en-GB"/>
        </w:rPr>
        <w:t xml:space="preserve"> were discharged</w:t>
      </w:r>
      <w:r w:rsidR="00C66A46" w:rsidRPr="003C2011">
        <w:rPr>
          <w:rFonts w:ascii="Times New Roman" w:hAnsi="Times New Roman" w:cs="Times New Roman"/>
          <w:sz w:val="24"/>
          <w:szCs w:val="24"/>
          <w:lang w:val="en-GB"/>
        </w:rPr>
        <w:t xml:space="preserve"> after a minimum of 12 hours intravenous antibiotic therapy</w:t>
      </w:r>
      <w:r w:rsidR="00CD4646" w:rsidRPr="003C2011">
        <w:rPr>
          <w:rFonts w:ascii="Times New Roman" w:hAnsi="Times New Roman" w:cs="Times New Roman"/>
          <w:sz w:val="24"/>
          <w:szCs w:val="24"/>
          <w:lang w:val="en-GB"/>
        </w:rPr>
        <w:t xml:space="preserve"> </w:t>
      </w:r>
      <w:r w:rsidR="004F517C" w:rsidRPr="003C2011">
        <w:rPr>
          <w:rFonts w:ascii="Times New Roman" w:hAnsi="Times New Roman" w:cs="Times New Roman"/>
          <w:sz w:val="24"/>
          <w:szCs w:val="24"/>
          <w:lang w:val="en-GB"/>
        </w:rPr>
        <w:t>if tolerating a regular diet with good pain control</w:t>
      </w:r>
      <w:r w:rsidR="00C66A46" w:rsidRPr="003C2011">
        <w:rPr>
          <w:rFonts w:ascii="Times New Roman" w:hAnsi="Times New Roman" w:cs="Times New Roman"/>
          <w:sz w:val="24"/>
          <w:szCs w:val="24"/>
          <w:lang w:val="en-GB"/>
        </w:rPr>
        <w:t xml:space="preserve"> and </w:t>
      </w:r>
      <w:r w:rsidR="00B277A7" w:rsidRPr="003C2011">
        <w:rPr>
          <w:rFonts w:ascii="Times New Roman" w:hAnsi="Times New Roman" w:cs="Times New Roman"/>
          <w:sz w:val="24"/>
          <w:szCs w:val="24"/>
          <w:lang w:val="en-GB"/>
        </w:rPr>
        <w:t>vital signs within normal limits</w:t>
      </w:r>
      <w:r w:rsidR="00CD4646" w:rsidRPr="003C2011">
        <w:rPr>
          <w:rFonts w:ascii="Times New Roman" w:hAnsi="Times New Roman" w:cs="Times New Roman"/>
          <w:sz w:val="24"/>
          <w:szCs w:val="24"/>
          <w:lang w:val="en-GB"/>
        </w:rPr>
        <w:t>. If the patient was not improving enough to advance and prepare for discharge</w:t>
      </w:r>
      <w:r w:rsidR="004F517C" w:rsidRPr="003C2011">
        <w:rPr>
          <w:rFonts w:ascii="Times New Roman" w:hAnsi="Times New Roman" w:cs="Times New Roman"/>
          <w:sz w:val="24"/>
          <w:szCs w:val="24"/>
          <w:lang w:val="en-GB"/>
        </w:rPr>
        <w:t xml:space="preserve"> on the day after admission</w:t>
      </w:r>
      <w:r w:rsidR="00CD4646" w:rsidRPr="003C2011">
        <w:rPr>
          <w:rFonts w:ascii="Times New Roman" w:hAnsi="Times New Roman" w:cs="Times New Roman"/>
          <w:sz w:val="24"/>
          <w:szCs w:val="24"/>
          <w:lang w:val="en-GB"/>
        </w:rPr>
        <w:t>, then they were allowed another day of antibiotics or scheduled for next available appendectomy</w:t>
      </w:r>
      <w:r w:rsidR="00D76F79" w:rsidRPr="003C2011">
        <w:rPr>
          <w:rFonts w:ascii="Times New Roman" w:hAnsi="Times New Roman" w:cs="Times New Roman"/>
          <w:sz w:val="24"/>
          <w:szCs w:val="24"/>
          <w:lang w:val="en-GB"/>
        </w:rPr>
        <w:t>.</w:t>
      </w:r>
      <w:r w:rsidR="00CD4646" w:rsidRPr="003C2011">
        <w:rPr>
          <w:rFonts w:ascii="Times New Roman" w:hAnsi="Times New Roman" w:cs="Times New Roman"/>
          <w:sz w:val="24"/>
          <w:szCs w:val="24"/>
          <w:lang w:val="en-GB"/>
        </w:rPr>
        <w:t xml:space="preserve"> This was a joint decision between the patient/family and care team. If the clinical condition had deteriorated on the first day, then they were taken for appendectomy. If the patient was not </w:t>
      </w:r>
      <w:r w:rsidR="00C22483" w:rsidRPr="003C2011">
        <w:rPr>
          <w:rFonts w:ascii="Times New Roman" w:hAnsi="Times New Roman" w:cs="Times New Roman"/>
          <w:sz w:val="24"/>
          <w:szCs w:val="24"/>
          <w:lang w:val="en-GB"/>
        </w:rPr>
        <w:t>improving</w:t>
      </w:r>
      <w:r w:rsidR="00CD4646" w:rsidRPr="003C2011">
        <w:rPr>
          <w:rFonts w:ascii="Times New Roman" w:hAnsi="Times New Roman" w:cs="Times New Roman"/>
          <w:sz w:val="24"/>
          <w:szCs w:val="24"/>
          <w:lang w:val="en-GB"/>
        </w:rPr>
        <w:t xml:space="preserve"> by the second day after admission, they were scheduled for appendectomy. Upon discharge, patients were </w:t>
      </w:r>
      <w:r w:rsidR="008F6C0D" w:rsidRPr="003C2011">
        <w:rPr>
          <w:rFonts w:ascii="Times New Roman" w:hAnsi="Times New Roman" w:cs="Times New Roman"/>
          <w:sz w:val="24"/>
          <w:szCs w:val="24"/>
          <w:lang w:val="en-GB"/>
        </w:rPr>
        <w:t>prescribed</w:t>
      </w:r>
      <w:r w:rsidR="00CD4646" w:rsidRPr="003C2011">
        <w:rPr>
          <w:rFonts w:ascii="Times New Roman" w:hAnsi="Times New Roman" w:cs="Times New Roman"/>
          <w:sz w:val="24"/>
          <w:szCs w:val="24"/>
          <w:lang w:val="en-GB"/>
        </w:rPr>
        <w:t xml:space="preserve"> 10 days of oral </w:t>
      </w:r>
      <w:r w:rsidR="004F517C" w:rsidRPr="003C2011">
        <w:rPr>
          <w:rFonts w:ascii="Times New Roman" w:hAnsi="Times New Roman" w:cs="Times New Roman"/>
          <w:sz w:val="24"/>
          <w:szCs w:val="24"/>
          <w:lang w:val="en-GB"/>
        </w:rPr>
        <w:t>a</w:t>
      </w:r>
      <w:r w:rsidR="1A6B6A1A" w:rsidRPr="003C2011">
        <w:rPr>
          <w:rFonts w:ascii="Times New Roman" w:hAnsi="Times New Roman" w:cs="Times New Roman"/>
          <w:sz w:val="24"/>
          <w:szCs w:val="24"/>
          <w:lang w:val="en-GB"/>
        </w:rPr>
        <w:t xml:space="preserve">moxicillin/clavulanic acid </w:t>
      </w:r>
      <w:r w:rsidR="004F517C" w:rsidRPr="003C2011">
        <w:rPr>
          <w:rFonts w:ascii="Times New Roman" w:hAnsi="Times New Roman" w:cs="Times New Roman"/>
          <w:sz w:val="24"/>
          <w:szCs w:val="24"/>
          <w:lang w:val="en-GB"/>
        </w:rPr>
        <w:t>or ciprofloxacin and metronidazole.</w:t>
      </w:r>
      <w:r w:rsidR="00856319" w:rsidRPr="003C2011">
        <w:rPr>
          <w:rFonts w:ascii="Times New Roman" w:hAnsi="Times New Roman" w:cs="Times New Roman"/>
          <w:sz w:val="24"/>
          <w:szCs w:val="24"/>
          <w:lang w:val="en-GB"/>
        </w:rPr>
        <w:t xml:space="preserve"> </w:t>
      </w:r>
      <w:r w:rsidR="00856319" w:rsidRPr="003C2011">
        <w:rPr>
          <w:rFonts w:ascii="Times New Roman" w:hAnsi="Times New Roman" w:cs="Times New Roman"/>
          <w:sz w:val="24"/>
          <w:szCs w:val="24"/>
          <w:lang w:val="en-GB"/>
        </w:rPr>
        <w:lastRenderedPageBreak/>
        <w:t xml:space="preserve">Patients taking at least </w:t>
      </w:r>
      <w:r w:rsidR="006A44D2" w:rsidRPr="003C2011">
        <w:rPr>
          <w:rFonts w:ascii="Times New Roman" w:hAnsi="Times New Roman" w:cs="Times New Roman"/>
          <w:sz w:val="24"/>
          <w:szCs w:val="24"/>
          <w:lang w:val="en-GB"/>
        </w:rPr>
        <w:t xml:space="preserve">seven </w:t>
      </w:r>
      <w:r w:rsidR="00856319" w:rsidRPr="003C2011">
        <w:rPr>
          <w:rFonts w:ascii="Times New Roman" w:hAnsi="Times New Roman" w:cs="Times New Roman"/>
          <w:sz w:val="24"/>
          <w:szCs w:val="24"/>
          <w:lang w:val="en-GB"/>
        </w:rPr>
        <w:t>days were classified as completing the course.</w:t>
      </w:r>
      <w:r w:rsidR="004F517C" w:rsidRPr="003C2011">
        <w:rPr>
          <w:rFonts w:ascii="Times New Roman" w:hAnsi="Times New Roman" w:cs="Times New Roman"/>
          <w:sz w:val="24"/>
          <w:szCs w:val="24"/>
          <w:lang w:val="en-GB"/>
        </w:rPr>
        <w:t xml:space="preserve"> </w:t>
      </w:r>
      <w:r w:rsidR="00CD4646" w:rsidRPr="003C2011">
        <w:rPr>
          <w:rFonts w:ascii="Times New Roman" w:hAnsi="Times New Roman" w:cs="Times New Roman"/>
          <w:sz w:val="24"/>
          <w:szCs w:val="24"/>
          <w:lang w:val="en-GB"/>
        </w:rPr>
        <w:t xml:space="preserve">Following discharge, children were not offered elective appendectomy. Families were counselled that recurrence of appendicitis within </w:t>
      </w:r>
      <w:r w:rsidR="00470741" w:rsidRPr="003C2011">
        <w:rPr>
          <w:rFonts w:ascii="Times New Roman" w:hAnsi="Times New Roman" w:cs="Times New Roman"/>
          <w:sz w:val="24"/>
          <w:szCs w:val="24"/>
          <w:lang w:val="en-GB"/>
        </w:rPr>
        <w:t>12 months</w:t>
      </w:r>
      <w:r w:rsidR="00CD4646" w:rsidRPr="003C2011">
        <w:rPr>
          <w:rFonts w:ascii="Times New Roman" w:hAnsi="Times New Roman" w:cs="Times New Roman"/>
          <w:sz w:val="24"/>
          <w:szCs w:val="24"/>
          <w:lang w:val="en-GB"/>
        </w:rPr>
        <w:t xml:space="preserve"> </w:t>
      </w:r>
      <w:r w:rsidR="004974F7" w:rsidRPr="003C2011">
        <w:rPr>
          <w:rFonts w:ascii="Times New Roman" w:hAnsi="Times New Roman" w:cs="Times New Roman"/>
          <w:sz w:val="24"/>
          <w:szCs w:val="24"/>
          <w:lang w:val="en-GB"/>
        </w:rPr>
        <w:t xml:space="preserve">would </w:t>
      </w:r>
      <w:r w:rsidR="00CD4646" w:rsidRPr="003C2011">
        <w:rPr>
          <w:rFonts w:ascii="Times New Roman" w:hAnsi="Times New Roman" w:cs="Times New Roman"/>
          <w:sz w:val="24"/>
          <w:szCs w:val="24"/>
          <w:lang w:val="en-GB"/>
        </w:rPr>
        <w:t>be treated with appendectomy without another attempt at antibiotic treatment.</w:t>
      </w:r>
    </w:p>
    <w:p w14:paraId="6D25D26E" w14:textId="1C9150EA" w:rsidR="00E12D4E" w:rsidRPr="003C2011" w:rsidRDefault="00470741" w:rsidP="00CD4646">
      <w:pPr>
        <w:spacing w:after="0" w:line="480" w:lineRule="auto"/>
        <w:rPr>
          <w:rFonts w:ascii="Times New Roman" w:hAnsi="Times New Roman" w:cs="Times New Roman"/>
          <w:sz w:val="24"/>
          <w:szCs w:val="24"/>
          <w:lang w:val="en-GB"/>
        </w:rPr>
      </w:pPr>
      <w:r w:rsidRPr="003C2011">
        <w:rPr>
          <w:rFonts w:ascii="Times New Roman" w:hAnsi="Times New Roman" w:cs="Times New Roman"/>
          <w:sz w:val="24"/>
          <w:szCs w:val="24"/>
          <w:u w:val="single"/>
          <w:lang w:val="en-GB"/>
        </w:rPr>
        <w:t>Appendectomy</w:t>
      </w:r>
      <w:r w:rsidR="00CF3CCA" w:rsidRPr="003C2011">
        <w:rPr>
          <w:rFonts w:ascii="Times New Roman" w:hAnsi="Times New Roman" w:cs="Times New Roman"/>
          <w:sz w:val="24"/>
          <w:szCs w:val="24"/>
          <w:u w:val="single"/>
          <w:lang w:val="en-GB"/>
        </w:rPr>
        <w:t xml:space="preserve"> </w:t>
      </w:r>
      <w:r w:rsidR="001571B5" w:rsidRPr="003C2011">
        <w:rPr>
          <w:rFonts w:ascii="Times New Roman" w:hAnsi="Times New Roman" w:cs="Times New Roman"/>
          <w:sz w:val="24"/>
          <w:szCs w:val="24"/>
          <w:u w:val="single"/>
          <w:lang w:val="en-GB"/>
        </w:rPr>
        <w:t>group</w:t>
      </w:r>
      <w:r w:rsidR="00CD4646" w:rsidRPr="003C2011">
        <w:rPr>
          <w:rFonts w:ascii="Times New Roman" w:hAnsi="Times New Roman" w:cs="Times New Roman"/>
          <w:sz w:val="24"/>
          <w:szCs w:val="24"/>
          <w:u w:val="single"/>
          <w:lang w:val="en-GB"/>
        </w:rPr>
        <w:t>:</w:t>
      </w:r>
      <w:r w:rsidR="00CD4646" w:rsidRPr="003C2011">
        <w:rPr>
          <w:rFonts w:ascii="Times New Roman" w:hAnsi="Times New Roman" w:cs="Times New Roman"/>
          <w:sz w:val="24"/>
          <w:szCs w:val="24"/>
          <w:lang w:val="en-GB"/>
        </w:rPr>
        <w:t xml:space="preserve">  </w:t>
      </w:r>
      <w:r w:rsidR="0063683F" w:rsidRPr="003C2011">
        <w:rPr>
          <w:rFonts w:ascii="Times New Roman" w:hAnsi="Times New Roman" w:cs="Times New Roman"/>
          <w:sz w:val="24"/>
          <w:szCs w:val="24"/>
          <w:lang w:val="en-GB"/>
        </w:rPr>
        <w:t xml:space="preserve">All patients randomized to this study arm were defined as the </w:t>
      </w:r>
      <w:r w:rsidR="0010738D" w:rsidRPr="003C2011">
        <w:rPr>
          <w:rFonts w:ascii="Times New Roman" w:hAnsi="Times New Roman" w:cs="Times New Roman"/>
          <w:sz w:val="24"/>
          <w:szCs w:val="24"/>
          <w:lang w:val="en-GB"/>
        </w:rPr>
        <w:t>‘</w:t>
      </w:r>
      <w:r w:rsidR="0063683F" w:rsidRPr="003C2011">
        <w:rPr>
          <w:rFonts w:ascii="Times New Roman" w:hAnsi="Times New Roman" w:cs="Times New Roman"/>
          <w:sz w:val="24"/>
          <w:szCs w:val="24"/>
          <w:lang w:val="en-GB"/>
        </w:rPr>
        <w:t>appendectomy group</w:t>
      </w:r>
      <w:r w:rsidR="0010738D" w:rsidRPr="003C2011">
        <w:rPr>
          <w:rFonts w:ascii="Times New Roman" w:hAnsi="Times New Roman" w:cs="Times New Roman"/>
          <w:sz w:val="24"/>
          <w:szCs w:val="24"/>
          <w:lang w:val="en-GB"/>
        </w:rPr>
        <w:t>’</w:t>
      </w:r>
      <w:r w:rsidR="0063683F" w:rsidRPr="003C2011">
        <w:rPr>
          <w:rFonts w:ascii="Times New Roman" w:hAnsi="Times New Roman" w:cs="Times New Roman"/>
          <w:sz w:val="24"/>
          <w:szCs w:val="24"/>
          <w:lang w:val="en-GB"/>
        </w:rPr>
        <w:t xml:space="preserve">. </w:t>
      </w:r>
      <w:r w:rsidR="002C03DA" w:rsidRPr="003C2011">
        <w:rPr>
          <w:rFonts w:ascii="Times New Roman" w:hAnsi="Times New Roman" w:cs="Times New Roman"/>
          <w:sz w:val="24"/>
          <w:szCs w:val="24"/>
          <w:lang w:val="en-GB"/>
        </w:rPr>
        <w:t>Patients</w:t>
      </w:r>
      <w:r w:rsidR="00CD4646" w:rsidRPr="003C2011">
        <w:rPr>
          <w:rFonts w:ascii="Times New Roman" w:hAnsi="Times New Roman" w:cs="Times New Roman"/>
          <w:sz w:val="24"/>
          <w:szCs w:val="24"/>
          <w:lang w:val="en-GB"/>
        </w:rPr>
        <w:t xml:space="preserve"> were also started on intravenous fluids</w:t>
      </w:r>
      <w:r w:rsidR="00E12D4E" w:rsidRPr="003C2011">
        <w:rPr>
          <w:rFonts w:ascii="Times New Roman" w:hAnsi="Times New Roman" w:cs="Times New Roman"/>
          <w:sz w:val="24"/>
          <w:szCs w:val="24"/>
          <w:lang w:val="en-GB"/>
        </w:rPr>
        <w:t xml:space="preserve"> and </w:t>
      </w:r>
      <w:r w:rsidR="00867FAA" w:rsidRPr="003C2011">
        <w:rPr>
          <w:rFonts w:ascii="Times New Roman" w:hAnsi="Times New Roman" w:cs="Times New Roman"/>
          <w:sz w:val="24"/>
          <w:szCs w:val="24"/>
          <w:lang w:val="en-GB"/>
        </w:rPr>
        <w:t>antibiotics but</w:t>
      </w:r>
      <w:r w:rsidR="00CD4646" w:rsidRPr="003C2011">
        <w:rPr>
          <w:rFonts w:ascii="Times New Roman" w:hAnsi="Times New Roman" w:cs="Times New Roman"/>
          <w:sz w:val="24"/>
          <w:szCs w:val="24"/>
          <w:lang w:val="en-GB"/>
        </w:rPr>
        <w:t xml:space="preserve"> scheduled for laparoscopic appendectomy in the next available slot </w:t>
      </w:r>
      <w:r w:rsidR="0010738D" w:rsidRPr="003C2011">
        <w:rPr>
          <w:rFonts w:ascii="Times New Roman" w:hAnsi="Times New Roman" w:cs="Times New Roman"/>
          <w:sz w:val="24"/>
          <w:szCs w:val="24"/>
          <w:lang w:val="en-GB"/>
        </w:rPr>
        <w:t xml:space="preserve">in the operating room </w:t>
      </w:r>
      <w:r w:rsidR="00CD4646" w:rsidRPr="003C2011">
        <w:rPr>
          <w:rFonts w:ascii="Times New Roman" w:hAnsi="Times New Roman" w:cs="Times New Roman"/>
          <w:sz w:val="24"/>
          <w:szCs w:val="24"/>
          <w:lang w:val="en-GB"/>
        </w:rPr>
        <w:t xml:space="preserve">depending on the typical operating standards within each </w:t>
      </w:r>
      <w:proofErr w:type="spellStart"/>
      <w:r w:rsidR="00CD4646" w:rsidRPr="003C2011">
        <w:rPr>
          <w:rFonts w:ascii="Times New Roman" w:hAnsi="Times New Roman" w:cs="Times New Roman"/>
          <w:sz w:val="24"/>
          <w:szCs w:val="24"/>
          <w:lang w:val="en-GB"/>
        </w:rPr>
        <w:t>center</w:t>
      </w:r>
      <w:proofErr w:type="spellEnd"/>
      <w:r w:rsidR="00CD4646" w:rsidRPr="003C2011">
        <w:rPr>
          <w:rFonts w:ascii="Times New Roman" w:hAnsi="Times New Roman" w:cs="Times New Roman"/>
          <w:sz w:val="24"/>
          <w:szCs w:val="24"/>
          <w:lang w:val="en-GB"/>
        </w:rPr>
        <w:t>. If no perforation of the appendix was identified, then no further antibiotics were given after the operation and patients were discharged when able</w:t>
      </w:r>
      <w:r w:rsidR="00ED2B8B" w:rsidRPr="003C2011">
        <w:rPr>
          <w:rFonts w:ascii="Times New Roman" w:hAnsi="Times New Roman" w:cs="Times New Roman"/>
          <w:sz w:val="24"/>
          <w:szCs w:val="24"/>
          <w:lang w:val="en-GB"/>
        </w:rPr>
        <w:t>,</w:t>
      </w:r>
      <w:r w:rsidR="00D57BDC" w:rsidRPr="003C2011">
        <w:rPr>
          <w:rFonts w:ascii="Times New Roman" w:hAnsi="Times New Roman" w:cs="Times New Roman"/>
          <w:sz w:val="24"/>
          <w:szCs w:val="24"/>
          <w:lang w:val="en-GB"/>
        </w:rPr>
        <w:t xml:space="preserve"> including</w:t>
      </w:r>
      <w:r w:rsidR="004F517C" w:rsidRPr="003C2011">
        <w:rPr>
          <w:rFonts w:ascii="Times New Roman" w:hAnsi="Times New Roman" w:cs="Times New Roman"/>
          <w:sz w:val="24"/>
          <w:szCs w:val="24"/>
          <w:lang w:val="en-GB"/>
        </w:rPr>
        <w:t xml:space="preserve"> </w:t>
      </w:r>
      <w:r w:rsidR="003D2040" w:rsidRPr="003C2011">
        <w:rPr>
          <w:rFonts w:ascii="Times New Roman" w:hAnsi="Times New Roman" w:cs="Times New Roman"/>
          <w:sz w:val="24"/>
          <w:szCs w:val="24"/>
          <w:lang w:val="en-GB"/>
        </w:rPr>
        <w:t xml:space="preserve">the </w:t>
      </w:r>
      <w:r w:rsidR="004F517C" w:rsidRPr="003C2011">
        <w:rPr>
          <w:rFonts w:ascii="Times New Roman" w:hAnsi="Times New Roman" w:cs="Times New Roman"/>
          <w:sz w:val="24"/>
          <w:szCs w:val="24"/>
          <w:lang w:val="en-GB"/>
        </w:rPr>
        <w:t>same day</w:t>
      </w:r>
      <w:r w:rsidR="00CD4646" w:rsidRPr="003C2011">
        <w:rPr>
          <w:rFonts w:ascii="Times New Roman" w:hAnsi="Times New Roman" w:cs="Times New Roman"/>
          <w:sz w:val="24"/>
          <w:szCs w:val="24"/>
          <w:lang w:val="en-GB"/>
        </w:rPr>
        <w:t xml:space="preserve">. Children with perforated appendicitis were treated according to local protocol. The type of antibiotics utilized was </w:t>
      </w:r>
      <w:proofErr w:type="spellStart"/>
      <w:r w:rsidR="00CD4646" w:rsidRPr="003C2011">
        <w:rPr>
          <w:rFonts w:ascii="Times New Roman" w:hAnsi="Times New Roman" w:cs="Times New Roman"/>
          <w:sz w:val="24"/>
          <w:szCs w:val="24"/>
          <w:lang w:val="en-GB"/>
        </w:rPr>
        <w:t>center</w:t>
      </w:r>
      <w:proofErr w:type="spellEnd"/>
      <w:r w:rsidR="00CD4646" w:rsidRPr="003C2011">
        <w:rPr>
          <w:rFonts w:ascii="Times New Roman" w:hAnsi="Times New Roman" w:cs="Times New Roman"/>
          <w:sz w:val="24"/>
          <w:szCs w:val="24"/>
          <w:lang w:val="en-GB"/>
        </w:rPr>
        <w:t xml:space="preserve">-dependent and the same as those used in the </w:t>
      </w:r>
      <w:r w:rsidR="007F0FC4" w:rsidRPr="003C2011">
        <w:rPr>
          <w:rFonts w:ascii="Times New Roman" w:hAnsi="Times New Roman" w:cs="Times New Roman"/>
          <w:sz w:val="24"/>
          <w:szCs w:val="24"/>
          <w:lang w:val="en-GB"/>
        </w:rPr>
        <w:t>antibiotic</w:t>
      </w:r>
      <w:r w:rsidR="00CD4646" w:rsidRPr="003C2011">
        <w:rPr>
          <w:rFonts w:ascii="Times New Roman" w:hAnsi="Times New Roman" w:cs="Times New Roman"/>
          <w:sz w:val="24"/>
          <w:szCs w:val="24"/>
          <w:lang w:val="en-GB"/>
        </w:rPr>
        <w:t xml:space="preserve"> group.</w:t>
      </w:r>
    </w:p>
    <w:p w14:paraId="72AEA538" w14:textId="5CA9CABD" w:rsidR="00CD4646" w:rsidRPr="003C2011" w:rsidRDefault="002F595D" w:rsidP="00C71D7C">
      <w:pPr>
        <w:rPr>
          <w:rFonts w:ascii="Times New Roman" w:hAnsi="Times New Roman" w:cs="Times New Roman"/>
          <w:b/>
          <w:bCs/>
          <w:i/>
          <w:iCs/>
          <w:sz w:val="24"/>
          <w:szCs w:val="24"/>
        </w:rPr>
      </w:pPr>
      <w:r w:rsidRPr="003C2011">
        <w:rPr>
          <w:rFonts w:ascii="Times New Roman" w:hAnsi="Times New Roman" w:cs="Times New Roman"/>
          <w:b/>
          <w:bCs/>
          <w:i/>
          <w:iCs/>
          <w:sz w:val="24"/>
          <w:szCs w:val="24"/>
        </w:rPr>
        <w:t>Outcomes</w:t>
      </w:r>
    </w:p>
    <w:p w14:paraId="7D43A3B2" w14:textId="1FB6309A" w:rsidR="7B463564" w:rsidRPr="003C2011" w:rsidRDefault="7B463564" w:rsidP="00011DB0">
      <w:pPr>
        <w:spacing w:after="0" w:line="480" w:lineRule="auto"/>
        <w:rPr>
          <w:rFonts w:ascii="Times New Roman" w:hAnsi="Times New Roman" w:cs="Times New Roman"/>
          <w:sz w:val="24"/>
          <w:szCs w:val="24"/>
        </w:rPr>
      </w:pPr>
      <w:r w:rsidRPr="003C2011">
        <w:rPr>
          <w:rFonts w:ascii="Times New Roman" w:hAnsi="Times New Roman" w:cs="Times New Roman"/>
          <w:sz w:val="24"/>
          <w:szCs w:val="24"/>
        </w:rPr>
        <w:t xml:space="preserve">The primary outcome was treatment failure. In the </w:t>
      </w:r>
      <w:r w:rsidR="38895532" w:rsidRPr="003C2011">
        <w:rPr>
          <w:rFonts w:ascii="Times New Roman" w:hAnsi="Times New Roman" w:cs="Times New Roman"/>
          <w:sz w:val="24"/>
          <w:szCs w:val="24"/>
        </w:rPr>
        <w:t xml:space="preserve">antibiotic </w:t>
      </w:r>
      <w:r w:rsidR="001571B5" w:rsidRPr="003C2011">
        <w:rPr>
          <w:rFonts w:ascii="Times New Roman" w:hAnsi="Times New Roman" w:cs="Times New Roman"/>
          <w:sz w:val="24"/>
          <w:szCs w:val="24"/>
        </w:rPr>
        <w:t>group</w:t>
      </w:r>
      <w:r w:rsidR="38895532" w:rsidRPr="003C2011">
        <w:rPr>
          <w:rFonts w:ascii="Times New Roman" w:hAnsi="Times New Roman" w:cs="Times New Roman"/>
          <w:sz w:val="24"/>
          <w:szCs w:val="24"/>
        </w:rPr>
        <w:t xml:space="preserve">, this was the need for appendectomy within </w:t>
      </w:r>
      <w:r w:rsidR="00E57790" w:rsidRPr="003C2011">
        <w:rPr>
          <w:rFonts w:ascii="Times New Roman" w:hAnsi="Times New Roman" w:cs="Times New Roman"/>
          <w:sz w:val="24"/>
          <w:szCs w:val="24"/>
        </w:rPr>
        <w:t xml:space="preserve">one </w:t>
      </w:r>
      <w:r w:rsidR="38895532" w:rsidRPr="003C2011">
        <w:rPr>
          <w:rFonts w:ascii="Times New Roman" w:hAnsi="Times New Roman" w:cs="Times New Roman"/>
          <w:sz w:val="24"/>
          <w:szCs w:val="24"/>
        </w:rPr>
        <w:t xml:space="preserve">year. </w:t>
      </w:r>
      <w:r w:rsidRPr="003C2011">
        <w:rPr>
          <w:rFonts w:ascii="Times New Roman" w:hAnsi="Times New Roman" w:cs="Times New Roman"/>
          <w:sz w:val="24"/>
          <w:szCs w:val="24"/>
        </w:rPr>
        <w:t xml:space="preserve">In the appendectomy </w:t>
      </w:r>
      <w:r w:rsidR="001571B5" w:rsidRPr="003C2011">
        <w:rPr>
          <w:rFonts w:ascii="Times New Roman" w:hAnsi="Times New Roman" w:cs="Times New Roman"/>
          <w:sz w:val="24"/>
          <w:szCs w:val="24"/>
        </w:rPr>
        <w:t>group</w:t>
      </w:r>
      <w:r w:rsidRPr="003C2011">
        <w:rPr>
          <w:rFonts w:ascii="Times New Roman" w:hAnsi="Times New Roman" w:cs="Times New Roman"/>
          <w:sz w:val="24"/>
          <w:szCs w:val="24"/>
        </w:rPr>
        <w:t>, this was defined either a negative appendec</w:t>
      </w:r>
      <w:r w:rsidR="34758643" w:rsidRPr="003C2011">
        <w:rPr>
          <w:rFonts w:ascii="Times New Roman" w:hAnsi="Times New Roman" w:cs="Times New Roman"/>
          <w:sz w:val="24"/>
          <w:szCs w:val="24"/>
        </w:rPr>
        <w:t>tomy or</w:t>
      </w:r>
      <w:r w:rsidRPr="003C2011">
        <w:rPr>
          <w:rFonts w:ascii="Times New Roman" w:hAnsi="Times New Roman" w:cs="Times New Roman"/>
          <w:sz w:val="24"/>
          <w:szCs w:val="24"/>
        </w:rPr>
        <w:t xml:space="preserve"> </w:t>
      </w:r>
      <w:r w:rsidR="00C22483" w:rsidRPr="003C2011">
        <w:rPr>
          <w:rFonts w:ascii="Times New Roman" w:hAnsi="Times New Roman" w:cs="Times New Roman"/>
          <w:sz w:val="24"/>
          <w:szCs w:val="24"/>
        </w:rPr>
        <w:t>a complication related to appendicitis requiring</w:t>
      </w:r>
      <w:r w:rsidRPr="003C2011">
        <w:rPr>
          <w:rFonts w:ascii="Times New Roman" w:hAnsi="Times New Roman" w:cs="Times New Roman"/>
          <w:sz w:val="24"/>
          <w:szCs w:val="24"/>
        </w:rPr>
        <w:t xml:space="preserve"> a general anesthetic </w:t>
      </w:r>
      <w:r w:rsidR="5A28D05B" w:rsidRPr="003C2011">
        <w:rPr>
          <w:rFonts w:ascii="Times New Roman" w:hAnsi="Times New Roman" w:cs="Times New Roman"/>
          <w:sz w:val="24"/>
          <w:szCs w:val="24"/>
        </w:rPr>
        <w:t xml:space="preserve">within </w:t>
      </w:r>
      <w:r w:rsidR="00E57790" w:rsidRPr="003C2011">
        <w:rPr>
          <w:rFonts w:ascii="Times New Roman" w:hAnsi="Times New Roman" w:cs="Times New Roman"/>
          <w:sz w:val="24"/>
          <w:szCs w:val="24"/>
        </w:rPr>
        <w:t xml:space="preserve">one </w:t>
      </w:r>
      <w:r w:rsidR="5A28D05B" w:rsidRPr="003C2011">
        <w:rPr>
          <w:rFonts w:ascii="Times New Roman" w:hAnsi="Times New Roman" w:cs="Times New Roman"/>
          <w:sz w:val="24"/>
          <w:szCs w:val="24"/>
        </w:rPr>
        <w:t xml:space="preserve">year. </w:t>
      </w:r>
    </w:p>
    <w:p w14:paraId="1FCC424B" w14:textId="662FED3E" w:rsidR="00260C12" w:rsidRPr="003C2011" w:rsidRDefault="00D05EED" w:rsidP="00713387">
      <w:pPr>
        <w:spacing w:after="0" w:line="480" w:lineRule="auto"/>
        <w:rPr>
          <w:rFonts w:ascii="Times New Roman" w:hAnsi="Times New Roman" w:cs="Times New Roman"/>
          <w:sz w:val="24"/>
          <w:szCs w:val="24"/>
        </w:rPr>
      </w:pPr>
      <w:r w:rsidRPr="003C2011">
        <w:rPr>
          <w:rFonts w:ascii="Times New Roman" w:hAnsi="Times New Roman" w:cs="Times New Roman"/>
          <w:sz w:val="24"/>
          <w:szCs w:val="24"/>
        </w:rPr>
        <w:t>In addition to each component of the primary outcome,</w:t>
      </w:r>
      <w:r w:rsidR="00625E4C" w:rsidRPr="003C2011">
        <w:rPr>
          <w:rFonts w:ascii="Times New Roman" w:hAnsi="Times New Roman" w:cs="Times New Roman"/>
          <w:sz w:val="24"/>
          <w:szCs w:val="24"/>
        </w:rPr>
        <w:t xml:space="preserve"> further</w:t>
      </w:r>
      <w:r w:rsidRPr="003C2011">
        <w:rPr>
          <w:rFonts w:ascii="Times New Roman" w:hAnsi="Times New Roman" w:cs="Times New Roman"/>
          <w:sz w:val="24"/>
          <w:szCs w:val="24"/>
        </w:rPr>
        <w:t xml:space="preserve"> s</w:t>
      </w:r>
      <w:r w:rsidR="00260C12" w:rsidRPr="003C2011">
        <w:rPr>
          <w:rFonts w:ascii="Times New Roman" w:hAnsi="Times New Roman" w:cs="Times New Roman"/>
          <w:sz w:val="24"/>
          <w:szCs w:val="24"/>
        </w:rPr>
        <w:t>econdary outcomes were selected as being important measures of treatment</w:t>
      </w:r>
      <w:r w:rsidR="009841A3" w:rsidRPr="003C2011">
        <w:rPr>
          <w:rFonts w:ascii="Times New Roman" w:hAnsi="Times New Roman" w:cs="Times New Roman"/>
          <w:sz w:val="24"/>
          <w:szCs w:val="24"/>
        </w:rPr>
        <w:t xml:space="preserve"> </w:t>
      </w:r>
      <w:r w:rsidR="00260C12" w:rsidRPr="003C2011">
        <w:rPr>
          <w:rFonts w:ascii="Times New Roman" w:hAnsi="Times New Roman" w:cs="Times New Roman"/>
          <w:sz w:val="24"/>
          <w:szCs w:val="24"/>
        </w:rPr>
        <w:t>efficacy that fulfil important core areas of relevance to</w:t>
      </w:r>
      <w:r w:rsidR="009841A3" w:rsidRPr="003C2011">
        <w:rPr>
          <w:rFonts w:ascii="Times New Roman" w:hAnsi="Times New Roman" w:cs="Times New Roman"/>
          <w:sz w:val="24"/>
          <w:szCs w:val="24"/>
        </w:rPr>
        <w:t xml:space="preserve"> </w:t>
      </w:r>
      <w:r w:rsidR="00260C12" w:rsidRPr="003C2011">
        <w:rPr>
          <w:rFonts w:ascii="Times New Roman" w:hAnsi="Times New Roman" w:cs="Times New Roman"/>
          <w:sz w:val="24"/>
          <w:szCs w:val="24"/>
        </w:rPr>
        <w:t xml:space="preserve">clinicians and patients </w:t>
      </w:r>
      <w:r w:rsidR="007628CC" w:rsidRPr="003C2011">
        <w:rPr>
          <w:rFonts w:ascii="Times New Roman" w:hAnsi="Times New Roman" w:cs="Times New Roman"/>
          <w:sz w:val="24"/>
          <w:szCs w:val="24"/>
        </w:rPr>
        <w:t xml:space="preserve">including </w:t>
      </w:r>
      <w:r w:rsidR="00260C12" w:rsidRPr="003C2011">
        <w:rPr>
          <w:rFonts w:ascii="Times New Roman" w:hAnsi="Times New Roman" w:cs="Times New Roman"/>
          <w:sz w:val="24"/>
          <w:szCs w:val="24"/>
        </w:rPr>
        <w:t>pathophysiological manifestations,</w:t>
      </w:r>
      <w:r w:rsidR="00625E4C" w:rsidRPr="003C2011">
        <w:rPr>
          <w:rFonts w:ascii="Times New Roman" w:hAnsi="Times New Roman" w:cs="Times New Roman"/>
          <w:sz w:val="24"/>
          <w:szCs w:val="24"/>
        </w:rPr>
        <w:t xml:space="preserve"> </w:t>
      </w:r>
      <w:r w:rsidR="00260C12" w:rsidRPr="003C2011">
        <w:rPr>
          <w:rFonts w:ascii="Times New Roman" w:hAnsi="Times New Roman" w:cs="Times New Roman"/>
          <w:sz w:val="24"/>
          <w:szCs w:val="24"/>
        </w:rPr>
        <w:t>life impact, resource use</w:t>
      </w:r>
      <w:r w:rsidR="003D5489" w:rsidRPr="003C2011">
        <w:rPr>
          <w:rFonts w:ascii="Times New Roman" w:hAnsi="Times New Roman" w:cs="Times New Roman"/>
          <w:sz w:val="24"/>
          <w:szCs w:val="24"/>
        </w:rPr>
        <w:t>,</w:t>
      </w:r>
      <w:r w:rsidR="00260C12" w:rsidRPr="003C2011">
        <w:rPr>
          <w:rFonts w:ascii="Times New Roman" w:hAnsi="Times New Roman" w:cs="Times New Roman"/>
          <w:sz w:val="24"/>
          <w:szCs w:val="24"/>
        </w:rPr>
        <w:t xml:space="preserve"> and death</w:t>
      </w:r>
      <w:r w:rsidR="007628CC" w:rsidRPr="003C2011">
        <w:rPr>
          <w:rFonts w:ascii="Times New Roman" w:hAnsi="Times New Roman" w:cs="Times New Roman"/>
          <w:sz w:val="24"/>
          <w:szCs w:val="24"/>
        </w:rPr>
        <w:t xml:space="preserve">. These </w:t>
      </w:r>
      <w:r w:rsidR="005E254E" w:rsidRPr="003C2011">
        <w:rPr>
          <w:rFonts w:ascii="Times New Roman" w:hAnsi="Times New Roman" w:cs="Times New Roman"/>
          <w:sz w:val="24"/>
          <w:szCs w:val="24"/>
        </w:rPr>
        <w:t xml:space="preserve">were recorded up to </w:t>
      </w:r>
      <w:r w:rsidR="00E57790" w:rsidRPr="003C2011">
        <w:rPr>
          <w:rFonts w:ascii="Times New Roman" w:hAnsi="Times New Roman" w:cs="Times New Roman"/>
          <w:sz w:val="24"/>
          <w:szCs w:val="24"/>
        </w:rPr>
        <w:t xml:space="preserve">one </w:t>
      </w:r>
      <w:r w:rsidR="005E254E" w:rsidRPr="003C2011">
        <w:rPr>
          <w:rFonts w:ascii="Times New Roman" w:hAnsi="Times New Roman" w:cs="Times New Roman"/>
          <w:sz w:val="24"/>
          <w:szCs w:val="24"/>
        </w:rPr>
        <w:t>year following randomization</w:t>
      </w:r>
      <w:r w:rsidR="00C320F5" w:rsidRPr="003C2011">
        <w:rPr>
          <w:rFonts w:ascii="Times New Roman" w:hAnsi="Times New Roman" w:cs="Times New Roman"/>
          <w:sz w:val="24"/>
          <w:szCs w:val="24"/>
        </w:rPr>
        <w:t xml:space="preserve"> or until an endpoint was met</w:t>
      </w:r>
      <w:r w:rsidR="005E254E" w:rsidRPr="003C2011">
        <w:rPr>
          <w:rFonts w:ascii="Times New Roman" w:hAnsi="Times New Roman" w:cs="Times New Roman"/>
          <w:sz w:val="24"/>
          <w:szCs w:val="24"/>
        </w:rPr>
        <w:t xml:space="preserve">. </w:t>
      </w:r>
      <w:r w:rsidR="00BB6CD0" w:rsidRPr="003C2011">
        <w:rPr>
          <w:rFonts w:ascii="Times New Roman" w:hAnsi="Times New Roman" w:cs="Times New Roman"/>
          <w:sz w:val="24"/>
          <w:szCs w:val="24"/>
        </w:rPr>
        <w:t>These were defined a priori as</w:t>
      </w:r>
      <w:r w:rsidR="007628CC" w:rsidRPr="003C2011">
        <w:rPr>
          <w:rFonts w:ascii="Times New Roman" w:hAnsi="Times New Roman" w:cs="Times New Roman"/>
          <w:sz w:val="24"/>
          <w:szCs w:val="24"/>
        </w:rPr>
        <w:t>:</w:t>
      </w:r>
      <w:r w:rsidR="00BB6CD0" w:rsidRPr="003C2011">
        <w:rPr>
          <w:rFonts w:ascii="Times New Roman" w:hAnsi="Times New Roman" w:cs="Times New Roman"/>
          <w:sz w:val="24"/>
          <w:szCs w:val="24"/>
        </w:rPr>
        <w:t xml:space="preserve"> </w:t>
      </w:r>
    </w:p>
    <w:p w14:paraId="266D7A63" w14:textId="456D068A" w:rsidR="00260C12" w:rsidRPr="003C2011" w:rsidRDefault="005E6C4D" w:rsidP="00260C12">
      <w:pPr>
        <w:spacing w:after="0" w:line="480" w:lineRule="auto"/>
        <w:rPr>
          <w:rFonts w:ascii="Times New Roman" w:hAnsi="Times New Roman" w:cs="Times New Roman"/>
          <w:sz w:val="24"/>
          <w:szCs w:val="24"/>
        </w:rPr>
      </w:pPr>
      <w:r w:rsidRPr="003C2011">
        <w:rPr>
          <w:rFonts w:ascii="Times New Roman" w:hAnsi="Times New Roman" w:cs="Times New Roman"/>
          <w:sz w:val="24"/>
          <w:szCs w:val="24"/>
        </w:rPr>
        <w:t>-</w:t>
      </w:r>
      <w:r w:rsidR="00260C12" w:rsidRPr="003C2011">
        <w:rPr>
          <w:rFonts w:ascii="Times New Roman" w:hAnsi="Times New Roman" w:cs="Times New Roman"/>
          <w:sz w:val="24"/>
          <w:szCs w:val="24"/>
        </w:rPr>
        <w:t xml:space="preserve"> complications: adverse events related to either nonoperative</w:t>
      </w:r>
      <w:r w:rsidR="00BB6CD0" w:rsidRPr="003C2011">
        <w:rPr>
          <w:rFonts w:ascii="Times New Roman" w:hAnsi="Times New Roman" w:cs="Times New Roman"/>
          <w:sz w:val="24"/>
          <w:szCs w:val="24"/>
        </w:rPr>
        <w:t xml:space="preserve"> </w:t>
      </w:r>
      <w:r w:rsidR="00260C12" w:rsidRPr="003C2011">
        <w:rPr>
          <w:rFonts w:ascii="Times New Roman" w:hAnsi="Times New Roman" w:cs="Times New Roman"/>
          <w:sz w:val="24"/>
          <w:szCs w:val="24"/>
        </w:rPr>
        <w:t>treatment of appendicitis or appendectomy</w:t>
      </w:r>
      <w:r w:rsidR="00BB6CD0" w:rsidRPr="003C2011">
        <w:rPr>
          <w:rFonts w:ascii="Times New Roman" w:hAnsi="Times New Roman" w:cs="Times New Roman"/>
          <w:sz w:val="24"/>
          <w:szCs w:val="24"/>
        </w:rPr>
        <w:t xml:space="preserve"> </w:t>
      </w:r>
      <w:r w:rsidR="00260C12" w:rsidRPr="003C2011">
        <w:rPr>
          <w:rFonts w:ascii="Times New Roman" w:hAnsi="Times New Roman" w:cs="Times New Roman"/>
          <w:sz w:val="24"/>
          <w:szCs w:val="24"/>
        </w:rPr>
        <w:t>which require additional interventions without</w:t>
      </w:r>
      <w:r w:rsidR="005E254E" w:rsidRPr="003C2011">
        <w:rPr>
          <w:rFonts w:ascii="Times New Roman" w:hAnsi="Times New Roman" w:cs="Times New Roman"/>
          <w:sz w:val="24"/>
          <w:szCs w:val="24"/>
        </w:rPr>
        <w:t xml:space="preserve"> </w:t>
      </w:r>
      <w:r w:rsidR="00260C12" w:rsidRPr="003C2011">
        <w:rPr>
          <w:rFonts w:ascii="Times New Roman" w:hAnsi="Times New Roman" w:cs="Times New Roman"/>
          <w:sz w:val="24"/>
          <w:szCs w:val="24"/>
        </w:rPr>
        <w:t>general anesthesia</w:t>
      </w:r>
      <w:r w:rsidR="007628CC" w:rsidRPr="003C2011">
        <w:rPr>
          <w:rFonts w:ascii="Times New Roman" w:hAnsi="Times New Roman" w:cs="Times New Roman"/>
          <w:sz w:val="24"/>
          <w:szCs w:val="24"/>
        </w:rPr>
        <w:t>.</w:t>
      </w:r>
    </w:p>
    <w:p w14:paraId="11A05706" w14:textId="47136325" w:rsidR="00260C12" w:rsidRPr="003C2011" w:rsidRDefault="005E6C4D" w:rsidP="00260C12">
      <w:pPr>
        <w:spacing w:after="0" w:line="480" w:lineRule="auto"/>
        <w:rPr>
          <w:rFonts w:ascii="Times New Roman" w:hAnsi="Times New Roman" w:cs="Times New Roman"/>
          <w:sz w:val="24"/>
          <w:szCs w:val="24"/>
        </w:rPr>
      </w:pPr>
      <w:r w:rsidRPr="003C2011">
        <w:rPr>
          <w:rFonts w:ascii="Times New Roman" w:hAnsi="Times New Roman" w:cs="Times New Roman"/>
          <w:sz w:val="24"/>
          <w:szCs w:val="24"/>
        </w:rPr>
        <w:lastRenderedPageBreak/>
        <w:t>-</w:t>
      </w:r>
      <w:r w:rsidR="00260C12" w:rsidRPr="003C2011">
        <w:rPr>
          <w:rFonts w:ascii="Times New Roman" w:hAnsi="Times New Roman" w:cs="Times New Roman"/>
          <w:sz w:val="24"/>
          <w:szCs w:val="24"/>
        </w:rPr>
        <w:t xml:space="preserve"> time to discharge home after </w:t>
      </w:r>
      <w:r w:rsidR="00A00CBC" w:rsidRPr="003C2011">
        <w:rPr>
          <w:rFonts w:ascii="Times New Roman" w:hAnsi="Times New Roman" w:cs="Times New Roman"/>
          <w:sz w:val="24"/>
          <w:szCs w:val="24"/>
        </w:rPr>
        <w:t>randomization</w:t>
      </w:r>
    </w:p>
    <w:p w14:paraId="64B403BF" w14:textId="07D8268C" w:rsidR="00260C12" w:rsidRPr="003C2011" w:rsidRDefault="005E6C4D" w:rsidP="00260C12">
      <w:pPr>
        <w:spacing w:after="0" w:line="480" w:lineRule="auto"/>
        <w:rPr>
          <w:rFonts w:ascii="Times New Roman" w:hAnsi="Times New Roman" w:cs="Times New Roman"/>
          <w:sz w:val="24"/>
          <w:szCs w:val="24"/>
        </w:rPr>
      </w:pPr>
      <w:r w:rsidRPr="003C2011">
        <w:rPr>
          <w:rFonts w:ascii="Times New Roman" w:hAnsi="Times New Roman" w:cs="Times New Roman"/>
          <w:sz w:val="24"/>
          <w:szCs w:val="24"/>
        </w:rPr>
        <w:t>-</w:t>
      </w:r>
      <w:r w:rsidR="00260C12" w:rsidRPr="003C2011">
        <w:rPr>
          <w:rFonts w:ascii="Times New Roman" w:hAnsi="Times New Roman" w:cs="Times New Roman"/>
          <w:sz w:val="24"/>
          <w:szCs w:val="24"/>
        </w:rPr>
        <w:t xml:space="preserve"> duration of hospital admissions</w:t>
      </w:r>
      <w:r w:rsidR="00A00CBC" w:rsidRPr="003C2011">
        <w:rPr>
          <w:rFonts w:ascii="Times New Roman" w:hAnsi="Times New Roman" w:cs="Times New Roman"/>
          <w:sz w:val="24"/>
          <w:szCs w:val="24"/>
        </w:rPr>
        <w:t xml:space="preserve"> </w:t>
      </w:r>
      <w:r w:rsidR="00260C12" w:rsidRPr="003C2011">
        <w:rPr>
          <w:rFonts w:ascii="Times New Roman" w:hAnsi="Times New Roman" w:cs="Times New Roman"/>
          <w:sz w:val="24"/>
          <w:szCs w:val="24"/>
        </w:rPr>
        <w:t>related to appendicitis, appendectomy</w:t>
      </w:r>
      <w:r w:rsidR="003D5489" w:rsidRPr="003C2011">
        <w:rPr>
          <w:rFonts w:ascii="Times New Roman" w:hAnsi="Times New Roman" w:cs="Times New Roman"/>
          <w:sz w:val="24"/>
          <w:szCs w:val="24"/>
        </w:rPr>
        <w:t>,</w:t>
      </w:r>
      <w:r w:rsidR="00260C12" w:rsidRPr="003C2011">
        <w:rPr>
          <w:rFonts w:ascii="Times New Roman" w:hAnsi="Times New Roman" w:cs="Times New Roman"/>
          <w:sz w:val="24"/>
          <w:szCs w:val="24"/>
        </w:rPr>
        <w:t xml:space="preserve"> or their</w:t>
      </w:r>
      <w:r w:rsidR="00A12665" w:rsidRPr="003C2011">
        <w:rPr>
          <w:rFonts w:ascii="Times New Roman" w:hAnsi="Times New Roman" w:cs="Times New Roman"/>
          <w:sz w:val="24"/>
          <w:szCs w:val="24"/>
        </w:rPr>
        <w:t xml:space="preserve"> </w:t>
      </w:r>
      <w:r w:rsidR="00260C12" w:rsidRPr="003C2011">
        <w:rPr>
          <w:rFonts w:ascii="Times New Roman" w:hAnsi="Times New Roman" w:cs="Times New Roman"/>
          <w:sz w:val="24"/>
          <w:szCs w:val="24"/>
        </w:rPr>
        <w:t>complications</w:t>
      </w:r>
      <w:r w:rsidR="00E57790" w:rsidRPr="003C2011">
        <w:rPr>
          <w:rFonts w:ascii="Times New Roman" w:hAnsi="Times New Roman" w:cs="Times New Roman"/>
          <w:sz w:val="24"/>
          <w:szCs w:val="24"/>
        </w:rPr>
        <w:t>.</w:t>
      </w:r>
      <w:r w:rsidR="00260C12" w:rsidRPr="003C2011">
        <w:rPr>
          <w:rFonts w:ascii="Times New Roman" w:hAnsi="Times New Roman" w:cs="Times New Roman"/>
          <w:sz w:val="24"/>
          <w:szCs w:val="24"/>
        </w:rPr>
        <w:t xml:space="preserve"> </w:t>
      </w:r>
    </w:p>
    <w:p w14:paraId="1F5632F3" w14:textId="77777777" w:rsidR="008329EA" w:rsidRPr="003C2011" w:rsidRDefault="008329EA" w:rsidP="005E6C4D">
      <w:pPr>
        <w:pStyle w:val="Heading3"/>
        <w:rPr>
          <w:color w:val="auto"/>
          <w:lang w:val="en-GB"/>
        </w:rPr>
      </w:pPr>
    </w:p>
    <w:p w14:paraId="04C5225B" w14:textId="3E9BFFA2" w:rsidR="005E6C4D" w:rsidRPr="003C2011" w:rsidRDefault="005E6C4D">
      <w:pPr>
        <w:rPr>
          <w:rFonts w:ascii="Times New Roman" w:hAnsi="Times New Roman" w:cs="Times New Roman"/>
          <w:b/>
          <w:bCs/>
          <w:i/>
          <w:iCs/>
          <w:sz w:val="24"/>
          <w:szCs w:val="24"/>
          <w:lang w:val="en-GB"/>
        </w:rPr>
      </w:pPr>
      <w:r w:rsidRPr="003C2011">
        <w:rPr>
          <w:rFonts w:ascii="Times New Roman" w:hAnsi="Times New Roman" w:cs="Times New Roman"/>
          <w:b/>
          <w:bCs/>
          <w:i/>
          <w:iCs/>
          <w:sz w:val="24"/>
          <w:szCs w:val="24"/>
          <w:lang w:val="en-GB"/>
        </w:rPr>
        <w:t>Follow-up</w:t>
      </w:r>
    </w:p>
    <w:p w14:paraId="19C3AF57" w14:textId="0228DF7C" w:rsidR="005E6C4D" w:rsidRPr="003C2011" w:rsidRDefault="0067131F" w:rsidP="00713387">
      <w:pPr>
        <w:spacing w:after="0" w:line="480" w:lineRule="auto"/>
        <w:rPr>
          <w:rFonts w:ascii="Times New Roman" w:hAnsi="Times New Roman" w:cs="Times New Roman"/>
          <w:sz w:val="24"/>
          <w:szCs w:val="24"/>
          <w:lang w:val="en-GB"/>
        </w:rPr>
      </w:pPr>
      <w:r w:rsidRPr="003C2011">
        <w:rPr>
          <w:rFonts w:ascii="Times New Roman" w:hAnsi="Times New Roman" w:cs="Times New Roman"/>
          <w:sz w:val="24"/>
          <w:szCs w:val="24"/>
          <w:lang w:val="en-GB"/>
        </w:rPr>
        <w:t xml:space="preserve">This was a triple unblinded study. </w:t>
      </w:r>
      <w:r w:rsidR="00CF26D2" w:rsidRPr="003C2011">
        <w:rPr>
          <w:rFonts w:ascii="Times New Roman" w:hAnsi="Times New Roman" w:cs="Times New Roman"/>
          <w:sz w:val="24"/>
          <w:szCs w:val="24"/>
          <w:lang w:val="en-GB"/>
        </w:rPr>
        <w:t>P</w:t>
      </w:r>
      <w:r w:rsidR="005E6C4D" w:rsidRPr="003C2011">
        <w:rPr>
          <w:rFonts w:ascii="Times New Roman" w:hAnsi="Times New Roman" w:cs="Times New Roman"/>
          <w:sz w:val="24"/>
          <w:szCs w:val="24"/>
          <w:lang w:val="en-GB"/>
        </w:rPr>
        <w:t xml:space="preserve">atients were given a diary to document their medication schedule and time to return to activity, school, and sporting level of activity. They were seen in early follow-up within </w:t>
      </w:r>
      <w:r w:rsidR="005E6C4D" w:rsidRPr="003C2011" w:rsidDel="00962207">
        <w:rPr>
          <w:rFonts w:ascii="Times New Roman" w:hAnsi="Times New Roman" w:cs="Times New Roman"/>
          <w:sz w:val="24"/>
          <w:szCs w:val="24"/>
          <w:lang w:val="en-GB"/>
        </w:rPr>
        <w:t xml:space="preserve">6 </w:t>
      </w:r>
      <w:r w:rsidR="005E6C4D" w:rsidRPr="003C2011">
        <w:rPr>
          <w:rFonts w:ascii="Times New Roman" w:hAnsi="Times New Roman" w:cs="Times New Roman"/>
          <w:sz w:val="24"/>
          <w:szCs w:val="24"/>
          <w:lang w:val="en-GB"/>
        </w:rPr>
        <w:t xml:space="preserve">weeks or reached by phone. </w:t>
      </w:r>
      <w:r w:rsidR="00CF26D2" w:rsidRPr="003C2011">
        <w:rPr>
          <w:rFonts w:ascii="Times New Roman" w:hAnsi="Times New Roman" w:cs="Times New Roman"/>
          <w:sz w:val="24"/>
          <w:szCs w:val="24"/>
          <w:lang w:val="en-GB"/>
        </w:rPr>
        <w:t>P</w:t>
      </w:r>
      <w:r w:rsidR="005E6C4D" w:rsidRPr="003C2011">
        <w:rPr>
          <w:rFonts w:ascii="Times New Roman" w:hAnsi="Times New Roman" w:cs="Times New Roman"/>
          <w:sz w:val="24"/>
          <w:szCs w:val="24"/>
          <w:lang w:val="en-GB"/>
        </w:rPr>
        <w:t>atients who hadn’t reached a failure endpoint were called at a minimum of 12 months from enrolment to be sure they hadn’t developed a</w:t>
      </w:r>
      <w:r w:rsidR="007E46E0" w:rsidRPr="003C2011">
        <w:rPr>
          <w:rFonts w:ascii="Times New Roman" w:hAnsi="Times New Roman" w:cs="Times New Roman"/>
          <w:sz w:val="24"/>
          <w:szCs w:val="24"/>
          <w:lang w:val="en-GB"/>
        </w:rPr>
        <w:t xml:space="preserve"> failure</w:t>
      </w:r>
      <w:r w:rsidR="005E6C4D" w:rsidRPr="003C2011">
        <w:rPr>
          <w:rFonts w:ascii="Times New Roman" w:hAnsi="Times New Roman" w:cs="Times New Roman"/>
          <w:sz w:val="24"/>
          <w:szCs w:val="24"/>
          <w:lang w:val="en-GB"/>
        </w:rPr>
        <w:t xml:space="preserve"> endpoint, and to ascertain their satisfaction with their assigned treatment.</w:t>
      </w:r>
    </w:p>
    <w:p w14:paraId="1A72741E" w14:textId="6F93300C" w:rsidR="00CA65DE" w:rsidRPr="003C2011" w:rsidRDefault="00CA65DE" w:rsidP="00C71D7C">
      <w:pPr>
        <w:rPr>
          <w:rFonts w:ascii="Times New Roman" w:hAnsi="Times New Roman" w:cs="Times New Roman"/>
          <w:b/>
          <w:bCs/>
          <w:i/>
          <w:iCs/>
          <w:sz w:val="24"/>
          <w:szCs w:val="24"/>
          <w:lang w:val="en-GB"/>
        </w:rPr>
      </w:pPr>
      <w:r w:rsidRPr="003C2011">
        <w:rPr>
          <w:rFonts w:ascii="Times New Roman" w:hAnsi="Times New Roman" w:cs="Times New Roman"/>
          <w:b/>
          <w:bCs/>
          <w:i/>
          <w:iCs/>
          <w:sz w:val="24"/>
          <w:szCs w:val="24"/>
          <w:lang w:val="en-GB"/>
        </w:rPr>
        <w:t>Sample size calculation</w:t>
      </w:r>
    </w:p>
    <w:p w14:paraId="32B1773A" w14:textId="201F1A56" w:rsidR="00503C9B" w:rsidRPr="003C2011" w:rsidRDefault="00CA65DE" w:rsidP="00713387">
      <w:pPr>
        <w:spacing w:after="0" w:line="480" w:lineRule="auto"/>
        <w:rPr>
          <w:rFonts w:ascii="Times New Roman" w:hAnsi="Times New Roman" w:cs="Times New Roman"/>
          <w:sz w:val="24"/>
          <w:szCs w:val="24"/>
          <w:lang w:val="en-GB"/>
        </w:rPr>
      </w:pPr>
      <w:r w:rsidRPr="003C2011">
        <w:rPr>
          <w:rFonts w:ascii="Times New Roman" w:hAnsi="Times New Roman" w:cs="Times New Roman"/>
          <w:sz w:val="24"/>
          <w:szCs w:val="24"/>
          <w:lang w:val="en-GB"/>
        </w:rPr>
        <w:t>Assumptions underlying the sample size calculation have been previous</w:t>
      </w:r>
      <w:r w:rsidR="00B55F4F" w:rsidRPr="003C2011">
        <w:rPr>
          <w:rFonts w:ascii="Times New Roman" w:hAnsi="Times New Roman" w:cs="Times New Roman"/>
          <w:sz w:val="24"/>
          <w:szCs w:val="24"/>
          <w:lang w:val="en-GB"/>
        </w:rPr>
        <w:t>ly</w:t>
      </w:r>
      <w:r w:rsidRPr="003C2011">
        <w:rPr>
          <w:rFonts w:ascii="Times New Roman" w:hAnsi="Times New Roman" w:cs="Times New Roman"/>
          <w:sz w:val="24"/>
          <w:szCs w:val="24"/>
          <w:lang w:val="en-GB"/>
        </w:rPr>
        <w:t xml:space="preserve"> reported (</w:t>
      </w:r>
      <w:r w:rsidR="007628CC" w:rsidRPr="003C2011">
        <w:rPr>
          <w:rFonts w:ascii="Times New Roman" w:hAnsi="Times New Roman" w:cs="Times New Roman"/>
          <w:sz w:val="24"/>
          <w:szCs w:val="24"/>
          <w:lang w:val="en-GB"/>
        </w:rPr>
        <w:t>1</w:t>
      </w:r>
      <w:r w:rsidR="003A1194" w:rsidRPr="003C2011">
        <w:rPr>
          <w:rFonts w:ascii="Times New Roman" w:hAnsi="Times New Roman" w:cs="Times New Roman"/>
          <w:sz w:val="24"/>
          <w:szCs w:val="24"/>
          <w:lang w:val="en-GB"/>
        </w:rPr>
        <w:t>3</w:t>
      </w:r>
      <w:r w:rsidRPr="003C2011">
        <w:rPr>
          <w:rFonts w:ascii="Times New Roman" w:hAnsi="Times New Roman" w:cs="Times New Roman"/>
          <w:sz w:val="24"/>
          <w:szCs w:val="24"/>
          <w:lang w:val="en-GB"/>
        </w:rPr>
        <w:t>) with contributing data arising</w:t>
      </w:r>
      <w:r w:rsidR="007628CC" w:rsidRPr="003C2011">
        <w:rPr>
          <w:rFonts w:ascii="Times New Roman" w:hAnsi="Times New Roman" w:cs="Times New Roman"/>
          <w:sz w:val="24"/>
          <w:szCs w:val="24"/>
          <w:lang w:val="en-GB"/>
        </w:rPr>
        <w:t xml:space="preserve"> </w:t>
      </w:r>
      <w:r w:rsidR="00503C9B" w:rsidRPr="003C2011">
        <w:rPr>
          <w:rFonts w:ascii="Times New Roman" w:hAnsi="Times New Roman" w:cs="Times New Roman"/>
          <w:sz w:val="24"/>
          <w:szCs w:val="24"/>
          <w:lang w:val="en-GB"/>
        </w:rPr>
        <w:t xml:space="preserve">from a pilot study conducted by some members </w:t>
      </w:r>
      <w:r w:rsidR="00F0780D" w:rsidRPr="003C2011">
        <w:rPr>
          <w:rFonts w:ascii="Times New Roman" w:hAnsi="Times New Roman" w:cs="Times New Roman"/>
          <w:sz w:val="24"/>
          <w:szCs w:val="24"/>
          <w:lang w:val="en-GB"/>
        </w:rPr>
        <w:t xml:space="preserve">of the current investigator </w:t>
      </w:r>
      <w:r w:rsidR="00EE52FF" w:rsidRPr="003C2011">
        <w:rPr>
          <w:rFonts w:ascii="Times New Roman" w:hAnsi="Times New Roman" w:cs="Times New Roman"/>
          <w:sz w:val="24"/>
          <w:szCs w:val="24"/>
          <w:lang w:val="en-GB"/>
        </w:rPr>
        <w:t>team</w:t>
      </w:r>
      <w:r w:rsidR="005C757D" w:rsidRPr="003C2011">
        <w:rPr>
          <w:rFonts w:ascii="Times New Roman" w:hAnsi="Times New Roman" w:cs="Times New Roman"/>
          <w:sz w:val="24"/>
          <w:szCs w:val="24"/>
          <w:lang w:val="en-GB"/>
        </w:rPr>
        <w:t xml:space="preserve"> </w:t>
      </w:r>
      <w:r w:rsidR="00503C9B" w:rsidRPr="003C2011">
        <w:rPr>
          <w:rFonts w:ascii="Times New Roman" w:hAnsi="Times New Roman" w:cs="Times New Roman"/>
          <w:sz w:val="24"/>
          <w:szCs w:val="24"/>
          <w:lang w:val="en-GB"/>
        </w:rPr>
        <w:t>(1</w:t>
      </w:r>
      <w:r w:rsidR="003A1194" w:rsidRPr="003C2011">
        <w:rPr>
          <w:rFonts w:ascii="Times New Roman" w:hAnsi="Times New Roman" w:cs="Times New Roman"/>
          <w:sz w:val="24"/>
          <w:szCs w:val="24"/>
          <w:lang w:val="en-GB"/>
        </w:rPr>
        <w:t>1</w:t>
      </w:r>
      <w:r w:rsidR="00503C9B" w:rsidRPr="003C2011">
        <w:rPr>
          <w:rFonts w:ascii="Times New Roman" w:hAnsi="Times New Roman" w:cs="Times New Roman"/>
          <w:sz w:val="24"/>
          <w:szCs w:val="24"/>
          <w:lang w:val="en-GB"/>
        </w:rPr>
        <w:t>), and the existing literature up to 2015 prior to the start of this trial (14-</w:t>
      </w:r>
      <w:r w:rsidR="0E06A626" w:rsidRPr="003C2011">
        <w:rPr>
          <w:rFonts w:ascii="Times New Roman" w:hAnsi="Times New Roman" w:cs="Times New Roman"/>
          <w:sz w:val="24"/>
          <w:szCs w:val="24"/>
          <w:lang w:val="en-GB"/>
        </w:rPr>
        <w:t>2</w:t>
      </w:r>
      <w:r w:rsidR="00154FF1" w:rsidRPr="003C2011">
        <w:rPr>
          <w:rFonts w:ascii="Times New Roman" w:hAnsi="Times New Roman" w:cs="Times New Roman"/>
          <w:sz w:val="24"/>
          <w:szCs w:val="24"/>
          <w:lang w:val="en-GB"/>
        </w:rPr>
        <w:t>2</w:t>
      </w:r>
      <w:r w:rsidR="00503C9B" w:rsidRPr="003C2011">
        <w:rPr>
          <w:rFonts w:ascii="Times New Roman" w:hAnsi="Times New Roman" w:cs="Times New Roman"/>
          <w:sz w:val="24"/>
          <w:szCs w:val="24"/>
          <w:lang w:val="en-GB"/>
        </w:rPr>
        <w:t xml:space="preserve">). </w:t>
      </w:r>
      <w:r w:rsidRPr="003C2011">
        <w:rPr>
          <w:rFonts w:ascii="Times New Roman" w:hAnsi="Times New Roman" w:cs="Times New Roman"/>
          <w:sz w:val="24"/>
          <w:szCs w:val="24"/>
          <w:lang w:val="en-GB"/>
        </w:rPr>
        <w:t>We assumed a f</w:t>
      </w:r>
      <w:r w:rsidR="00EB26D3" w:rsidRPr="003C2011">
        <w:rPr>
          <w:rFonts w:ascii="Times New Roman" w:hAnsi="Times New Roman" w:cs="Times New Roman"/>
          <w:sz w:val="24"/>
          <w:szCs w:val="24"/>
          <w:lang w:val="en-GB"/>
        </w:rPr>
        <w:t xml:space="preserve">ailure rate in the appendectomy </w:t>
      </w:r>
      <w:r w:rsidR="00EE52FF" w:rsidRPr="003C2011">
        <w:rPr>
          <w:rFonts w:ascii="Times New Roman" w:hAnsi="Times New Roman" w:cs="Times New Roman"/>
          <w:sz w:val="24"/>
          <w:szCs w:val="24"/>
          <w:lang w:val="en-GB"/>
        </w:rPr>
        <w:t>group</w:t>
      </w:r>
      <w:r w:rsidR="00EB26D3" w:rsidRPr="003C2011">
        <w:rPr>
          <w:rFonts w:ascii="Times New Roman" w:hAnsi="Times New Roman" w:cs="Times New Roman"/>
          <w:sz w:val="24"/>
          <w:szCs w:val="24"/>
          <w:lang w:val="en-GB"/>
        </w:rPr>
        <w:t xml:space="preserve"> of 7%</w:t>
      </w:r>
      <w:r w:rsidR="00FB4EE4" w:rsidRPr="003C2011">
        <w:rPr>
          <w:rFonts w:ascii="Times New Roman" w:hAnsi="Times New Roman" w:cs="Times New Roman"/>
          <w:sz w:val="24"/>
          <w:szCs w:val="24"/>
          <w:lang w:val="en-GB"/>
        </w:rPr>
        <w:t xml:space="preserve"> with a </w:t>
      </w:r>
      <w:r w:rsidR="00503C9B" w:rsidRPr="003C2011">
        <w:rPr>
          <w:rFonts w:ascii="Times New Roman" w:hAnsi="Times New Roman" w:cs="Times New Roman"/>
          <w:sz w:val="24"/>
          <w:szCs w:val="24"/>
          <w:lang w:val="en-GB"/>
        </w:rPr>
        <w:t xml:space="preserve">5% negative appendectomy rate and 2% </w:t>
      </w:r>
      <w:r w:rsidR="002151AE" w:rsidRPr="003C2011">
        <w:rPr>
          <w:rFonts w:ascii="Times New Roman" w:hAnsi="Times New Roman" w:cs="Times New Roman"/>
          <w:sz w:val="24"/>
          <w:szCs w:val="24"/>
          <w:lang w:val="en-GB"/>
        </w:rPr>
        <w:t xml:space="preserve">additional </w:t>
      </w:r>
      <w:r w:rsidR="00503C9B" w:rsidRPr="003C2011">
        <w:rPr>
          <w:rFonts w:ascii="Times New Roman" w:hAnsi="Times New Roman" w:cs="Times New Roman"/>
          <w:sz w:val="24"/>
          <w:szCs w:val="24"/>
          <w:lang w:val="en-GB"/>
        </w:rPr>
        <w:t>intervention requiring general anaesthesia</w:t>
      </w:r>
      <w:r w:rsidR="00FB4EE4" w:rsidRPr="003C2011">
        <w:rPr>
          <w:rFonts w:ascii="Times New Roman" w:hAnsi="Times New Roman" w:cs="Times New Roman"/>
          <w:sz w:val="24"/>
          <w:szCs w:val="24"/>
          <w:lang w:val="en-GB"/>
        </w:rPr>
        <w:t xml:space="preserve">. </w:t>
      </w:r>
      <w:r w:rsidR="00503C9B" w:rsidRPr="003C2011">
        <w:rPr>
          <w:rFonts w:ascii="Times New Roman" w:hAnsi="Times New Roman" w:cs="Times New Roman"/>
          <w:sz w:val="24"/>
          <w:szCs w:val="24"/>
          <w:lang w:val="en-GB"/>
        </w:rPr>
        <w:t>In the antibiotic</w:t>
      </w:r>
      <w:r w:rsidR="00F0215D" w:rsidRPr="003C2011">
        <w:rPr>
          <w:rFonts w:ascii="Times New Roman" w:hAnsi="Times New Roman" w:cs="Times New Roman"/>
          <w:sz w:val="24"/>
          <w:szCs w:val="24"/>
          <w:lang w:val="en-GB"/>
        </w:rPr>
        <w:t xml:space="preserve"> </w:t>
      </w:r>
      <w:r w:rsidR="00EE52FF" w:rsidRPr="003C2011">
        <w:rPr>
          <w:rFonts w:ascii="Times New Roman" w:hAnsi="Times New Roman" w:cs="Times New Roman"/>
          <w:sz w:val="24"/>
          <w:szCs w:val="24"/>
          <w:lang w:val="en-GB"/>
        </w:rPr>
        <w:t>group</w:t>
      </w:r>
      <w:r w:rsidR="002151AE" w:rsidRPr="003C2011">
        <w:rPr>
          <w:rFonts w:ascii="Times New Roman" w:hAnsi="Times New Roman" w:cs="Times New Roman"/>
          <w:sz w:val="24"/>
          <w:szCs w:val="24"/>
          <w:lang w:val="en-GB"/>
        </w:rPr>
        <w:t>,</w:t>
      </w:r>
      <w:r w:rsidR="003F16A6" w:rsidRPr="003C2011">
        <w:rPr>
          <w:rFonts w:ascii="Times New Roman" w:hAnsi="Times New Roman" w:cs="Times New Roman"/>
          <w:sz w:val="24"/>
          <w:szCs w:val="24"/>
          <w:lang w:val="en-GB"/>
        </w:rPr>
        <w:t xml:space="preserve"> we assumed</w:t>
      </w:r>
      <w:r w:rsidR="002151AE" w:rsidRPr="003C2011">
        <w:rPr>
          <w:rFonts w:ascii="Times New Roman" w:hAnsi="Times New Roman" w:cs="Times New Roman"/>
          <w:sz w:val="24"/>
          <w:szCs w:val="24"/>
          <w:lang w:val="en-GB"/>
        </w:rPr>
        <w:t xml:space="preserve"> </w:t>
      </w:r>
      <w:r w:rsidR="00EB26D3" w:rsidRPr="003C2011">
        <w:rPr>
          <w:rFonts w:ascii="Times New Roman" w:hAnsi="Times New Roman" w:cs="Times New Roman"/>
          <w:sz w:val="24"/>
          <w:szCs w:val="24"/>
          <w:lang w:val="en-GB"/>
        </w:rPr>
        <w:t xml:space="preserve">a </w:t>
      </w:r>
      <w:r w:rsidR="0049534E" w:rsidRPr="003C2011">
        <w:rPr>
          <w:rFonts w:ascii="Times New Roman" w:hAnsi="Times New Roman" w:cs="Times New Roman"/>
          <w:sz w:val="24"/>
          <w:szCs w:val="24"/>
          <w:lang w:val="en-GB"/>
        </w:rPr>
        <w:t xml:space="preserve">total </w:t>
      </w:r>
      <w:r w:rsidR="00EB26D3" w:rsidRPr="003C2011">
        <w:rPr>
          <w:rFonts w:ascii="Times New Roman" w:hAnsi="Times New Roman" w:cs="Times New Roman"/>
          <w:sz w:val="24"/>
          <w:szCs w:val="24"/>
          <w:lang w:val="en-GB"/>
        </w:rPr>
        <w:t xml:space="preserve">failure </w:t>
      </w:r>
      <w:r w:rsidR="0049534E" w:rsidRPr="003C2011">
        <w:rPr>
          <w:rFonts w:ascii="Times New Roman" w:hAnsi="Times New Roman" w:cs="Times New Roman"/>
          <w:sz w:val="24"/>
          <w:szCs w:val="24"/>
          <w:lang w:val="en-GB"/>
        </w:rPr>
        <w:t>r</w:t>
      </w:r>
      <w:r w:rsidR="00EB26D3" w:rsidRPr="003C2011">
        <w:rPr>
          <w:rFonts w:ascii="Times New Roman" w:hAnsi="Times New Roman" w:cs="Times New Roman"/>
          <w:sz w:val="24"/>
          <w:szCs w:val="24"/>
          <w:lang w:val="en-GB"/>
        </w:rPr>
        <w:t>ate</w:t>
      </w:r>
      <w:r w:rsidR="00FB4EE4" w:rsidRPr="003C2011">
        <w:rPr>
          <w:rFonts w:ascii="Times New Roman" w:hAnsi="Times New Roman" w:cs="Times New Roman"/>
          <w:sz w:val="24"/>
          <w:szCs w:val="24"/>
          <w:lang w:val="en-GB"/>
        </w:rPr>
        <w:t xml:space="preserve"> </w:t>
      </w:r>
      <w:r w:rsidR="00154FF1" w:rsidRPr="003C2011">
        <w:rPr>
          <w:rFonts w:ascii="Times New Roman" w:hAnsi="Times New Roman" w:cs="Times New Roman"/>
          <w:sz w:val="24"/>
          <w:szCs w:val="24"/>
        </w:rPr>
        <w:t>of 20%</w:t>
      </w:r>
      <w:r w:rsidR="00B92110" w:rsidRPr="003C2011">
        <w:rPr>
          <w:rFonts w:ascii="Times New Roman" w:hAnsi="Times New Roman" w:cs="Times New Roman"/>
          <w:sz w:val="24"/>
          <w:szCs w:val="24"/>
        </w:rPr>
        <w:t>.</w:t>
      </w:r>
    </w:p>
    <w:p w14:paraId="303A97F4" w14:textId="7E18722C" w:rsidR="00CD4646" w:rsidRPr="003C2011" w:rsidRDefault="00CD4646" w:rsidP="00713387">
      <w:pPr>
        <w:spacing w:after="0" w:line="480" w:lineRule="auto"/>
        <w:rPr>
          <w:rFonts w:ascii="Times New Roman" w:hAnsi="Times New Roman" w:cs="Times New Roman"/>
          <w:sz w:val="24"/>
          <w:szCs w:val="24"/>
          <w:lang w:val="en-GB"/>
        </w:rPr>
      </w:pPr>
      <w:r w:rsidRPr="003C2011">
        <w:rPr>
          <w:rFonts w:ascii="Times New Roman" w:hAnsi="Times New Roman" w:cs="Times New Roman"/>
          <w:sz w:val="24"/>
          <w:szCs w:val="24"/>
          <w:lang w:val="en-GB"/>
        </w:rPr>
        <w:t xml:space="preserve">The sample size was calculated to test the null hypothesis that </w:t>
      </w:r>
      <w:r w:rsidR="00854DAA" w:rsidRPr="003C2011">
        <w:rPr>
          <w:rFonts w:ascii="Times New Roman" w:hAnsi="Times New Roman" w:cs="Times New Roman"/>
          <w:sz w:val="24"/>
          <w:szCs w:val="24"/>
          <w:lang w:val="en-GB"/>
        </w:rPr>
        <w:t>antibiotic</w:t>
      </w:r>
      <w:r w:rsidRPr="003C2011">
        <w:rPr>
          <w:rFonts w:ascii="Times New Roman" w:hAnsi="Times New Roman" w:cs="Times New Roman"/>
          <w:sz w:val="24"/>
          <w:szCs w:val="24"/>
          <w:lang w:val="en-GB"/>
        </w:rPr>
        <w:t xml:space="preserve"> treatment </w:t>
      </w:r>
      <w:r w:rsidR="00854DAA" w:rsidRPr="003C2011">
        <w:rPr>
          <w:rFonts w:ascii="Times New Roman" w:hAnsi="Times New Roman" w:cs="Times New Roman"/>
          <w:sz w:val="24"/>
          <w:szCs w:val="24"/>
          <w:lang w:val="en-GB"/>
        </w:rPr>
        <w:t xml:space="preserve">alone </w:t>
      </w:r>
      <w:r w:rsidRPr="003C2011">
        <w:rPr>
          <w:rFonts w:ascii="Times New Roman" w:hAnsi="Times New Roman" w:cs="Times New Roman"/>
          <w:sz w:val="24"/>
          <w:szCs w:val="24"/>
          <w:lang w:val="en-GB"/>
        </w:rPr>
        <w:t>is inferior to appendectomy</w:t>
      </w:r>
      <w:r w:rsidR="00ED151D" w:rsidRPr="003C2011">
        <w:rPr>
          <w:rFonts w:ascii="Times New Roman" w:hAnsi="Times New Roman" w:cs="Times New Roman"/>
          <w:sz w:val="24"/>
          <w:szCs w:val="24"/>
          <w:lang w:val="en-GB"/>
        </w:rPr>
        <w:t xml:space="preserve"> by more than 20 percentage points</w:t>
      </w:r>
      <w:r w:rsidR="00ED7BC5" w:rsidRPr="003C2011">
        <w:rPr>
          <w:rFonts w:ascii="Times New Roman" w:hAnsi="Times New Roman" w:cs="Times New Roman"/>
          <w:sz w:val="24"/>
          <w:szCs w:val="24"/>
          <w:lang w:val="en-GB"/>
        </w:rPr>
        <w:t xml:space="preserve"> implying surgeons and patients would be content with failure being within 20%</w:t>
      </w:r>
      <w:r w:rsidRPr="003C2011">
        <w:rPr>
          <w:rFonts w:ascii="Times New Roman" w:hAnsi="Times New Roman" w:cs="Times New Roman"/>
          <w:sz w:val="24"/>
          <w:szCs w:val="24"/>
          <w:lang w:val="en-GB"/>
        </w:rPr>
        <w:t>.</w:t>
      </w:r>
      <w:r w:rsidR="00052BAF" w:rsidRPr="003C2011">
        <w:rPr>
          <w:rFonts w:ascii="Times New Roman" w:hAnsi="Times New Roman" w:cs="Times New Roman"/>
          <w:sz w:val="24"/>
          <w:szCs w:val="24"/>
          <w:lang w:val="en-GB"/>
        </w:rPr>
        <w:t xml:space="preserve"> </w:t>
      </w:r>
      <w:r w:rsidR="00ED151D" w:rsidRPr="003C2011">
        <w:rPr>
          <w:rFonts w:ascii="Times New Roman" w:hAnsi="Times New Roman" w:cs="Times New Roman"/>
          <w:sz w:val="24"/>
          <w:szCs w:val="24"/>
          <w:lang w:val="en-GB"/>
        </w:rPr>
        <w:t xml:space="preserve">The </w:t>
      </w:r>
      <w:r w:rsidR="00115DBF" w:rsidRPr="003C2011">
        <w:rPr>
          <w:rFonts w:ascii="Times New Roman" w:hAnsi="Times New Roman" w:cs="Times New Roman"/>
          <w:sz w:val="24"/>
          <w:szCs w:val="24"/>
          <w:lang w:val="en-GB"/>
        </w:rPr>
        <w:t>non-inferiority margin was</w:t>
      </w:r>
      <w:r w:rsidR="00854DAA" w:rsidRPr="003C2011">
        <w:rPr>
          <w:rFonts w:ascii="Times New Roman" w:hAnsi="Times New Roman" w:cs="Times New Roman"/>
          <w:sz w:val="24"/>
          <w:szCs w:val="24"/>
          <w:lang w:val="en-GB"/>
        </w:rPr>
        <w:t xml:space="preserve"> </w:t>
      </w:r>
      <w:r w:rsidR="00115DBF" w:rsidRPr="003C2011">
        <w:rPr>
          <w:rFonts w:ascii="Times New Roman" w:hAnsi="Times New Roman" w:cs="Times New Roman"/>
          <w:sz w:val="24"/>
          <w:szCs w:val="24"/>
          <w:lang w:val="en-GB"/>
        </w:rPr>
        <w:t xml:space="preserve">determined by trial investigators </w:t>
      </w:r>
      <w:r w:rsidR="00DC7FC6" w:rsidRPr="003C2011">
        <w:rPr>
          <w:rFonts w:ascii="Times New Roman" w:hAnsi="Times New Roman" w:cs="Times New Roman"/>
          <w:sz w:val="24"/>
          <w:szCs w:val="24"/>
          <w:lang w:val="en-GB"/>
        </w:rPr>
        <w:t xml:space="preserve">as a compromise between a margin which may be acceptable to patients </w:t>
      </w:r>
      <w:r w:rsidR="0096398B" w:rsidRPr="003C2011">
        <w:rPr>
          <w:rFonts w:ascii="Times New Roman" w:hAnsi="Times New Roman" w:cs="Times New Roman"/>
          <w:sz w:val="24"/>
          <w:szCs w:val="24"/>
          <w:lang w:val="en-GB"/>
        </w:rPr>
        <w:t xml:space="preserve">and their families (who may </w:t>
      </w:r>
      <w:r w:rsidR="0024517B" w:rsidRPr="003C2011">
        <w:rPr>
          <w:rFonts w:ascii="Times New Roman" w:hAnsi="Times New Roman" w:cs="Times New Roman"/>
          <w:sz w:val="24"/>
          <w:szCs w:val="24"/>
          <w:lang w:val="en-GB"/>
        </w:rPr>
        <w:t xml:space="preserve">find a wider margin acceptable) </w:t>
      </w:r>
      <w:r w:rsidR="0096398B" w:rsidRPr="003C2011">
        <w:rPr>
          <w:rFonts w:ascii="Times New Roman" w:hAnsi="Times New Roman" w:cs="Times New Roman"/>
          <w:sz w:val="24"/>
          <w:szCs w:val="24"/>
          <w:lang w:val="en-GB"/>
        </w:rPr>
        <w:t>and that which may be acceptable to surgeons treating children (who would likely tolerate a lower margin)</w:t>
      </w:r>
      <w:r w:rsidR="0024517B" w:rsidRPr="003C2011">
        <w:rPr>
          <w:rFonts w:ascii="Times New Roman" w:hAnsi="Times New Roman" w:cs="Times New Roman"/>
          <w:sz w:val="24"/>
          <w:szCs w:val="24"/>
          <w:lang w:val="en-GB"/>
        </w:rPr>
        <w:t xml:space="preserve"> and is </w:t>
      </w:r>
      <w:r w:rsidR="00191DB1" w:rsidRPr="003C2011">
        <w:rPr>
          <w:rFonts w:ascii="Times New Roman" w:hAnsi="Times New Roman" w:cs="Times New Roman"/>
          <w:sz w:val="24"/>
          <w:szCs w:val="24"/>
          <w:lang w:val="en-GB"/>
        </w:rPr>
        <w:t>consistent</w:t>
      </w:r>
      <w:r w:rsidR="0024517B" w:rsidRPr="003C2011">
        <w:rPr>
          <w:rFonts w:ascii="Times New Roman" w:hAnsi="Times New Roman" w:cs="Times New Roman"/>
          <w:sz w:val="24"/>
          <w:szCs w:val="24"/>
          <w:lang w:val="en-GB"/>
        </w:rPr>
        <w:t xml:space="preserve"> with opinion within the literature (</w:t>
      </w:r>
      <w:r w:rsidR="00FB4EE4" w:rsidRPr="003C2011">
        <w:rPr>
          <w:rFonts w:ascii="Times New Roman" w:hAnsi="Times New Roman" w:cs="Times New Roman"/>
          <w:sz w:val="24"/>
          <w:szCs w:val="24"/>
          <w:lang w:val="en-GB"/>
        </w:rPr>
        <w:t>26</w:t>
      </w:r>
      <w:r w:rsidR="0024517B" w:rsidRPr="003C2011">
        <w:rPr>
          <w:rFonts w:ascii="Times New Roman" w:hAnsi="Times New Roman" w:cs="Times New Roman"/>
          <w:sz w:val="24"/>
          <w:szCs w:val="24"/>
          <w:lang w:val="en-GB"/>
        </w:rPr>
        <w:t>).</w:t>
      </w:r>
      <w:r w:rsidR="0024517B" w:rsidRPr="003C2011" w:rsidDel="0024517B">
        <w:rPr>
          <w:rFonts w:ascii="Times New Roman" w:hAnsi="Times New Roman" w:cs="Times New Roman"/>
          <w:sz w:val="24"/>
          <w:szCs w:val="24"/>
          <w:lang w:val="en-GB"/>
        </w:rPr>
        <w:t xml:space="preserve"> </w:t>
      </w:r>
      <w:r w:rsidR="0024517B" w:rsidRPr="003C2011">
        <w:rPr>
          <w:rFonts w:ascii="Times New Roman" w:hAnsi="Times New Roman" w:cs="Times New Roman"/>
          <w:sz w:val="24"/>
          <w:szCs w:val="24"/>
          <w:lang w:val="en-GB"/>
        </w:rPr>
        <w:t xml:space="preserve">Using a </w:t>
      </w:r>
      <w:r w:rsidR="00E57790" w:rsidRPr="003C2011">
        <w:rPr>
          <w:rFonts w:ascii="Times New Roman" w:hAnsi="Times New Roman" w:cs="Times New Roman"/>
          <w:sz w:val="24"/>
          <w:szCs w:val="24"/>
          <w:lang w:val="en-GB"/>
        </w:rPr>
        <w:t>one</w:t>
      </w:r>
      <w:r w:rsidR="00FB4EE4" w:rsidRPr="003C2011">
        <w:rPr>
          <w:rFonts w:ascii="Times New Roman" w:hAnsi="Times New Roman" w:cs="Times New Roman"/>
          <w:sz w:val="24"/>
          <w:szCs w:val="24"/>
          <w:lang w:val="en-GB"/>
        </w:rPr>
        <w:t>-</w:t>
      </w:r>
      <w:r w:rsidR="0024517B" w:rsidRPr="003C2011">
        <w:rPr>
          <w:rFonts w:ascii="Times New Roman" w:hAnsi="Times New Roman" w:cs="Times New Roman"/>
          <w:sz w:val="24"/>
          <w:szCs w:val="24"/>
          <w:lang w:val="en-GB"/>
        </w:rPr>
        <w:t xml:space="preserve">sided </w:t>
      </w:r>
      <w:r w:rsidR="00F14227" w:rsidRPr="003C2011">
        <w:rPr>
          <w:rFonts w:ascii="Times New Roman" w:hAnsi="Times New Roman" w:cs="Times New Roman"/>
          <w:sz w:val="24"/>
          <w:szCs w:val="24"/>
          <w:lang w:val="en-GB"/>
        </w:rPr>
        <w:t xml:space="preserve">test at 5% </w:t>
      </w:r>
      <w:r w:rsidRPr="003C2011">
        <w:rPr>
          <w:rFonts w:ascii="Times New Roman" w:hAnsi="Times New Roman" w:cs="Times New Roman"/>
          <w:sz w:val="24"/>
          <w:szCs w:val="24"/>
          <w:lang w:val="en-GB"/>
        </w:rPr>
        <w:t>level of significance</w:t>
      </w:r>
      <w:r w:rsidR="00F14227" w:rsidRPr="003C2011">
        <w:rPr>
          <w:rFonts w:ascii="Times New Roman" w:hAnsi="Times New Roman" w:cs="Times New Roman"/>
          <w:sz w:val="24"/>
          <w:szCs w:val="24"/>
          <w:lang w:val="en-GB"/>
        </w:rPr>
        <w:t xml:space="preserve"> and 90% power</w:t>
      </w:r>
      <w:r w:rsidR="00FC41A6" w:rsidRPr="003C2011">
        <w:rPr>
          <w:rFonts w:ascii="Times New Roman" w:hAnsi="Times New Roman" w:cs="Times New Roman"/>
          <w:sz w:val="24"/>
          <w:szCs w:val="24"/>
          <w:lang w:val="en-GB"/>
        </w:rPr>
        <w:t xml:space="preserve"> for the alternative that antibiotic treatment alone is inferior to appendectomy by 13 </w:t>
      </w:r>
      <w:r w:rsidR="00FC41A6" w:rsidRPr="003C2011">
        <w:rPr>
          <w:rFonts w:ascii="Times New Roman" w:hAnsi="Times New Roman" w:cs="Times New Roman"/>
          <w:sz w:val="24"/>
          <w:szCs w:val="24"/>
          <w:lang w:val="en-GB"/>
        </w:rPr>
        <w:lastRenderedPageBreak/>
        <w:t>percentage points or less</w:t>
      </w:r>
      <w:r w:rsidR="00F14227" w:rsidRPr="003C2011">
        <w:rPr>
          <w:rFonts w:ascii="Times New Roman" w:hAnsi="Times New Roman" w:cs="Times New Roman"/>
          <w:sz w:val="24"/>
          <w:szCs w:val="24"/>
          <w:lang w:val="en-GB"/>
        </w:rPr>
        <w:t xml:space="preserve">, required </w:t>
      </w:r>
      <w:r w:rsidRPr="003C2011">
        <w:rPr>
          <w:rFonts w:ascii="Times New Roman" w:hAnsi="Times New Roman" w:cs="Times New Roman"/>
          <w:sz w:val="24"/>
          <w:szCs w:val="24"/>
          <w:lang w:val="en-GB"/>
        </w:rPr>
        <w:t xml:space="preserve">a sample </w:t>
      </w:r>
      <w:r w:rsidR="002D5CE0" w:rsidRPr="003C2011">
        <w:rPr>
          <w:rFonts w:ascii="Times New Roman" w:hAnsi="Times New Roman" w:cs="Times New Roman"/>
          <w:sz w:val="24"/>
          <w:szCs w:val="24"/>
          <w:lang w:val="en-GB"/>
        </w:rPr>
        <w:t xml:space="preserve">of </w:t>
      </w:r>
      <w:r w:rsidRPr="003C2011">
        <w:rPr>
          <w:rFonts w:ascii="Times New Roman" w:hAnsi="Times New Roman" w:cs="Times New Roman"/>
          <w:sz w:val="24"/>
          <w:szCs w:val="24"/>
          <w:lang w:val="en-GB"/>
        </w:rPr>
        <w:t xml:space="preserve">880 children </w:t>
      </w:r>
      <w:r w:rsidR="002D5CE0" w:rsidRPr="003C2011">
        <w:rPr>
          <w:rFonts w:ascii="Times New Roman" w:hAnsi="Times New Roman" w:cs="Times New Roman"/>
          <w:sz w:val="24"/>
          <w:szCs w:val="24"/>
          <w:lang w:val="en-GB"/>
        </w:rPr>
        <w:t xml:space="preserve">with </w:t>
      </w:r>
      <w:r w:rsidRPr="003C2011">
        <w:rPr>
          <w:rFonts w:ascii="Times New Roman" w:hAnsi="Times New Roman" w:cs="Times New Roman"/>
          <w:sz w:val="24"/>
          <w:szCs w:val="24"/>
          <w:lang w:val="en-GB"/>
        </w:rPr>
        <w:t>two equal groups of 440. Assuming a combined 10% drop out and loss to follow-up, we</w:t>
      </w:r>
      <w:r w:rsidR="00F0215D" w:rsidRPr="003C2011">
        <w:rPr>
          <w:rFonts w:ascii="Times New Roman" w:hAnsi="Times New Roman" w:cs="Times New Roman"/>
          <w:sz w:val="24"/>
          <w:szCs w:val="24"/>
          <w:lang w:val="en-GB"/>
        </w:rPr>
        <w:t xml:space="preserve"> </w:t>
      </w:r>
      <w:r w:rsidR="00546064" w:rsidRPr="003C2011">
        <w:rPr>
          <w:rFonts w:ascii="Times New Roman" w:hAnsi="Times New Roman" w:cs="Times New Roman"/>
          <w:sz w:val="24"/>
          <w:szCs w:val="24"/>
          <w:lang w:val="en-GB"/>
        </w:rPr>
        <w:t xml:space="preserve">aimed </w:t>
      </w:r>
      <w:r w:rsidR="00F0215D" w:rsidRPr="003C2011">
        <w:rPr>
          <w:rFonts w:ascii="Times New Roman" w:hAnsi="Times New Roman" w:cs="Times New Roman"/>
          <w:sz w:val="24"/>
          <w:szCs w:val="24"/>
          <w:lang w:val="en-GB"/>
        </w:rPr>
        <w:t xml:space="preserve">to </w:t>
      </w:r>
      <w:r w:rsidRPr="003C2011">
        <w:rPr>
          <w:rFonts w:ascii="Times New Roman" w:hAnsi="Times New Roman" w:cs="Times New Roman"/>
          <w:sz w:val="24"/>
          <w:szCs w:val="24"/>
          <w:lang w:val="en-GB"/>
        </w:rPr>
        <w:t xml:space="preserve">recruit 978 patients. </w:t>
      </w:r>
    </w:p>
    <w:p w14:paraId="0E345369" w14:textId="6409FCE7" w:rsidR="00CD4646" w:rsidRPr="003C2011" w:rsidRDefault="00C71D7C" w:rsidP="00CD4646">
      <w:pPr>
        <w:spacing w:after="0" w:line="480" w:lineRule="auto"/>
        <w:rPr>
          <w:rFonts w:ascii="Times New Roman" w:hAnsi="Times New Roman" w:cs="Times New Roman"/>
          <w:b/>
          <w:bCs/>
          <w:i/>
          <w:sz w:val="24"/>
          <w:szCs w:val="24"/>
        </w:rPr>
      </w:pPr>
      <w:r w:rsidRPr="003C2011">
        <w:rPr>
          <w:rFonts w:ascii="Times New Roman" w:hAnsi="Times New Roman" w:cs="Times New Roman"/>
          <w:b/>
          <w:bCs/>
          <w:i/>
          <w:sz w:val="24"/>
          <w:szCs w:val="24"/>
        </w:rPr>
        <w:t>Analysis</w:t>
      </w:r>
    </w:p>
    <w:p w14:paraId="0870A4C9" w14:textId="1EFC3121" w:rsidR="00CD4646" w:rsidRPr="003C2011" w:rsidRDefault="00CD4646" w:rsidP="00CD4646">
      <w:pPr>
        <w:tabs>
          <w:tab w:val="left" w:pos="720"/>
          <w:tab w:val="left" w:pos="1440"/>
          <w:tab w:val="left" w:pos="2160"/>
          <w:tab w:val="left" w:pos="2880"/>
          <w:tab w:val="left" w:pos="3600"/>
          <w:tab w:val="left" w:pos="4320"/>
        </w:tabs>
        <w:spacing w:after="240" w:line="480" w:lineRule="auto"/>
        <w:rPr>
          <w:rFonts w:ascii="Times New Roman" w:hAnsi="Times New Roman" w:cs="Times New Roman"/>
          <w:sz w:val="24"/>
          <w:szCs w:val="24"/>
          <w:lang w:val="en-GB"/>
        </w:rPr>
      </w:pPr>
      <w:r w:rsidRPr="003C2011">
        <w:rPr>
          <w:rFonts w:ascii="Times New Roman" w:hAnsi="Times New Roman" w:cs="Times New Roman"/>
          <w:sz w:val="24"/>
          <w:szCs w:val="24"/>
          <w:lang w:val="en-GB"/>
        </w:rPr>
        <w:tab/>
      </w:r>
      <w:bookmarkStart w:id="0" w:name="_Hlk140494831"/>
      <w:r w:rsidRPr="003C2011">
        <w:rPr>
          <w:rFonts w:ascii="Times New Roman" w:hAnsi="Times New Roman" w:cs="Times New Roman"/>
          <w:sz w:val="24"/>
          <w:szCs w:val="24"/>
          <w:lang w:val="en-GB"/>
        </w:rPr>
        <w:t xml:space="preserve">All participants in the two </w:t>
      </w:r>
      <w:r w:rsidR="004E3C6F" w:rsidRPr="003C2011">
        <w:rPr>
          <w:rFonts w:ascii="Times New Roman" w:hAnsi="Times New Roman" w:cs="Times New Roman"/>
          <w:sz w:val="24"/>
          <w:szCs w:val="24"/>
          <w:lang w:val="en-GB"/>
        </w:rPr>
        <w:t xml:space="preserve">study arms </w:t>
      </w:r>
      <w:r w:rsidRPr="003C2011">
        <w:rPr>
          <w:rFonts w:ascii="Times New Roman" w:hAnsi="Times New Roman" w:cs="Times New Roman"/>
          <w:sz w:val="24"/>
          <w:szCs w:val="24"/>
          <w:lang w:val="en-GB"/>
        </w:rPr>
        <w:t xml:space="preserve">were descriptively summarized. The primary outcome was analysed by </w:t>
      </w:r>
      <w:r w:rsidR="00846226" w:rsidRPr="003C2011">
        <w:rPr>
          <w:rFonts w:ascii="Times New Roman" w:hAnsi="Times New Roman" w:cs="Times New Roman"/>
          <w:sz w:val="24"/>
          <w:szCs w:val="24"/>
          <w:lang w:val="en-GB"/>
        </w:rPr>
        <w:t xml:space="preserve">comparing </w:t>
      </w:r>
      <w:r w:rsidR="004E3C6F" w:rsidRPr="003C2011">
        <w:rPr>
          <w:rFonts w:ascii="Times New Roman" w:hAnsi="Times New Roman" w:cs="Times New Roman"/>
          <w:sz w:val="24"/>
          <w:szCs w:val="24"/>
          <w:lang w:val="en-GB"/>
        </w:rPr>
        <w:t xml:space="preserve">the difference </w:t>
      </w:r>
      <w:r w:rsidR="0029093B" w:rsidRPr="003C2011">
        <w:rPr>
          <w:rFonts w:ascii="Times New Roman" w:hAnsi="Times New Roman" w:cs="Times New Roman"/>
          <w:sz w:val="24"/>
          <w:szCs w:val="24"/>
          <w:lang w:val="en-GB"/>
        </w:rPr>
        <w:t xml:space="preserve">in proportion of </w:t>
      </w:r>
      <w:r w:rsidR="00846226" w:rsidRPr="003C2011">
        <w:rPr>
          <w:rFonts w:ascii="Times New Roman" w:hAnsi="Times New Roman" w:cs="Times New Roman"/>
          <w:sz w:val="24"/>
          <w:szCs w:val="24"/>
          <w:lang w:val="en-GB"/>
        </w:rPr>
        <w:t>failures</w:t>
      </w:r>
      <w:r w:rsidR="0029093B" w:rsidRPr="003C2011">
        <w:rPr>
          <w:rFonts w:ascii="Times New Roman" w:hAnsi="Times New Roman" w:cs="Times New Roman"/>
          <w:sz w:val="24"/>
          <w:szCs w:val="24"/>
          <w:lang w:val="en-GB"/>
        </w:rPr>
        <w:t xml:space="preserve"> in each treatment</w:t>
      </w:r>
      <w:r w:rsidR="00846226" w:rsidRPr="003C2011">
        <w:rPr>
          <w:rFonts w:ascii="Times New Roman" w:hAnsi="Times New Roman" w:cs="Times New Roman"/>
          <w:sz w:val="24"/>
          <w:szCs w:val="24"/>
          <w:lang w:val="en-GB"/>
        </w:rPr>
        <w:t xml:space="preserve"> </w:t>
      </w:r>
      <w:r w:rsidR="0029093B" w:rsidRPr="003C2011">
        <w:rPr>
          <w:rFonts w:ascii="Times New Roman" w:hAnsi="Times New Roman" w:cs="Times New Roman"/>
          <w:sz w:val="24"/>
          <w:szCs w:val="24"/>
          <w:lang w:val="en-GB"/>
        </w:rPr>
        <w:t>group</w:t>
      </w:r>
      <w:r w:rsidR="004E3C6F" w:rsidRPr="003C2011">
        <w:rPr>
          <w:rFonts w:ascii="Times New Roman" w:hAnsi="Times New Roman" w:cs="Times New Roman"/>
          <w:sz w:val="24"/>
          <w:szCs w:val="24"/>
          <w:lang w:val="en-GB"/>
        </w:rPr>
        <w:t xml:space="preserve">. </w:t>
      </w:r>
      <w:r w:rsidRPr="003C2011">
        <w:rPr>
          <w:rFonts w:ascii="Times New Roman" w:hAnsi="Times New Roman" w:cs="Times New Roman"/>
          <w:sz w:val="24"/>
          <w:szCs w:val="24"/>
          <w:lang w:val="en-GB"/>
        </w:rPr>
        <w:t xml:space="preserve">To facilitate this, the 90% confidence interval for </w:t>
      </w:r>
      <w:r w:rsidR="00846226" w:rsidRPr="003C2011">
        <w:rPr>
          <w:rFonts w:ascii="Times New Roman" w:hAnsi="Times New Roman" w:cs="Times New Roman"/>
          <w:sz w:val="24"/>
          <w:szCs w:val="24"/>
          <w:lang w:val="en-GB"/>
        </w:rPr>
        <w:t>the difference</w:t>
      </w:r>
      <w:r w:rsidR="007E2F3F" w:rsidRPr="003C2011">
        <w:rPr>
          <w:rFonts w:ascii="Times New Roman" w:hAnsi="Times New Roman" w:cs="Times New Roman"/>
          <w:sz w:val="24"/>
          <w:szCs w:val="24"/>
          <w:lang w:val="en-GB"/>
        </w:rPr>
        <w:t xml:space="preserve"> (antibiotics – appendectomy)</w:t>
      </w:r>
      <w:r w:rsidR="00846226" w:rsidRPr="003C2011">
        <w:rPr>
          <w:rFonts w:ascii="Times New Roman" w:hAnsi="Times New Roman" w:cs="Times New Roman"/>
          <w:sz w:val="24"/>
          <w:szCs w:val="24"/>
          <w:lang w:val="en-GB"/>
        </w:rPr>
        <w:t xml:space="preserve"> </w:t>
      </w:r>
      <w:r w:rsidRPr="003C2011">
        <w:rPr>
          <w:rFonts w:ascii="Times New Roman" w:hAnsi="Times New Roman" w:cs="Times New Roman"/>
          <w:sz w:val="24"/>
          <w:szCs w:val="24"/>
          <w:lang w:val="en-GB"/>
        </w:rPr>
        <w:t>was constructed</w:t>
      </w:r>
      <w:r w:rsidR="000439F6" w:rsidRPr="003C2011">
        <w:rPr>
          <w:rFonts w:ascii="Times New Roman" w:hAnsi="Times New Roman" w:cs="Times New Roman"/>
          <w:sz w:val="24"/>
          <w:szCs w:val="24"/>
          <w:lang w:val="en-GB"/>
        </w:rPr>
        <w:t>, so that i</w:t>
      </w:r>
      <w:r w:rsidRPr="003C2011">
        <w:rPr>
          <w:rFonts w:ascii="Times New Roman" w:hAnsi="Times New Roman" w:cs="Times New Roman"/>
          <w:sz w:val="24"/>
          <w:szCs w:val="24"/>
          <w:lang w:val="en-GB"/>
        </w:rPr>
        <w:t xml:space="preserve">f the upper-bound of the confidence interval </w:t>
      </w:r>
      <w:r w:rsidR="00D05A1E" w:rsidRPr="003C2011">
        <w:rPr>
          <w:rFonts w:ascii="Times New Roman" w:hAnsi="Times New Roman" w:cs="Times New Roman"/>
          <w:sz w:val="24"/>
          <w:szCs w:val="24"/>
          <w:lang w:val="en-GB"/>
        </w:rPr>
        <w:t xml:space="preserve">was </w:t>
      </w:r>
      <w:r w:rsidRPr="003C2011">
        <w:rPr>
          <w:rFonts w:ascii="Times New Roman" w:hAnsi="Times New Roman" w:cs="Times New Roman"/>
          <w:sz w:val="24"/>
          <w:szCs w:val="24"/>
          <w:lang w:val="en-GB"/>
        </w:rPr>
        <w:t>less than 0</w:t>
      </w:r>
      <w:r w:rsidR="001A61D5" w:rsidRPr="003C2011">
        <w:rPr>
          <w:rFonts w:ascii="Times New Roman" w:hAnsi="Times New Roman" w:cs="Times New Roman"/>
          <w:sz w:val="24"/>
          <w:szCs w:val="24"/>
          <w:lang w:val="en-GB"/>
        </w:rPr>
        <w:t>·</w:t>
      </w:r>
      <w:r w:rsidRPr="003C2011">
        <w:rPr>
          <w:rFonts w:ascii="Times New Roman" w:hAnsi="Times New Roman" w:cs="Times New Roman"/>
          <w:sz w:val="24"/>
          <w:szCs w:val="24"/>
          <w:lang w:val="en-GB"/>
        </w:rPr>
        <w:t>2</w:t>
      </w:r>
      <w:r w:rsidR="00FB7564" w:rsidRPr="003C2011">
        <w:rPr>
          <w:rFonts w:ascii="Times New Roman" w:hAnsi="Times New Roman" w:cs="Times New Roman"/>
          <w:sz w:val="24"/>
          <w:szCs w:val="24"/>
          <w:lang w:val="en-GB"/>
        </w:rPr>
        <w:t xml:space="preserve"> (i.e. the 20% non-inferiority margin)</w:t>
      </w:r>
      <w:r w:rsidRPr="003C2011">
        <w:rPr>
          <w:rFonts w:ascii="Times New Roman" w:hAnsi="Times New Roman" w:cs="Times New Roman"/>
          <w:sz w:val="24"/>
          <w:szCs w:val="24"/>
          <w:lang w:val="en-GB"/>
        </w:rPr>
        <w:t xml:space="preserve">, the null hypothesis </w:t>
      </w:r>
      <w:r w:rsidR="001832EC" w:rsidRPr="003C2011">
        <w:rPr>
          <w:rFonts w:ascii="Times New Roman" w:hAnsi="Times New Roman" w:cs="Times New Roman"/>
          <w:sz w:val="24"/>
          <w:szCs w:val="24"/>
          <w:lang w:val="en-GB"/>
        </w:rPr>
        <w:t>would be</w:t>
      </w:r>
      <w:r w:rsidR="00D05A1E" w:rsidRPr="003C2011">
        <w:rPr>
          <w:rFonts w:ascii="Times New Roman" w:hAnsi="Times New Roman" w:cs="Times New Roman"/>
          <w:sz w:val="24"/>
          <w:szCs w:val="24"/>
          <w:lang w:val="en-GB"/>
        </w:rPr>
        <w:t xml:space="preserve"> </w:t>
      </w:r>
      <w:r w:rsidR="007436B7" w:rsidRPr="003C2011">
        <w:rPr>
          <w:rFonts w:ascii="Times New Roman" w:hAnsi="Times New Roman" w:cs="Times New Roman"/>
          <w:sz w:val="24"/>
          <w:szCs w:val="24"/>
          <w:lang w:val="en-GB"/>
        </w:rPr>
        <w:t>rejected,</w:t>
      </w:r>
      <w:r w:rsidRPr="003C2011">
        <w:rPr>
          <w:rFonts w:ascii="Times New Roman" w:hAnsi="Times New Roman" w:cs="Times New Roman"/>
          <w:sz w:val="24"/>
          <w:szCs w:val="24"/>
          <w:lang w:val="en-GB"/>
        </w:rPr>
        <w:t xml:space="preserve"> and the </w:t>
      </w:r>
      <w:r w:rsidR="003677F9" w:rsidRPr="003C2011">
        <w:rPr>
          <w:rFonts w:ascii="Times New Roman" w:hAnsi="Times New Roman" w:cs="Times New Roman"/>
          <w:sz w:val="24"/>
          <w:szCs w:val="24"/>
          <w:lang w:val="en-GB"/>
        </w:rPr>
        <w:t>antibiotic</w:t>
      </w:r>
      <w:r w:rsidRPr="003C2011">
        <w:rPr>
          <w:rFonts w:ascii="Times New Roman" w:hAnsi="Times New Roman" w:cs="Times New Roman"/>
          <w:sz w:val="24"/>
          <w:szCs w:val="24"/>
          <w:lang w:val="en-GB"/>
        </w:rPr>
        <w:t xml:space="preserve"> arm declared non-inferior.</w:t>
      </w:r>
    </w:p>
    <w:p w14:paraId="7B0B600C" w14:textId="18811237" w:rsidR="00CD4646" w:rsidRPr="003C2011" w:rsidRDefault="00CD4646" w:rsidP="00CD4646">
      <w:pPr>
        <w:tabs>
          <w:tab w:val="left" w:pos="720"/>
          <w:tab w:val="left" w:pos="1440"/>
          <w:tab w:val="left" w:pos="2160"/>
          <w:tab w:val="left" w:pos="2880"/>
          <w:tab w:val="left" w:pos="3600"/>
          <w:tab w:val="left" w:pos="4320"/>
        </w:tabs>
        <w:spacing w:after="240" w:line="480" w:lineRule="auto"/>
        <w:rPr>
          <w:rFonts w:ascii="Times New Roman" w:hAnsi="Times New Roman" w:cs="Times New Roman"/>
          <w:sz w:val="24"/>
          <w:szCs w:val="24"/>
          <w:lang w:val="en-GB"/>
        </w:rPr>
      </w:pPr>
      <w:r w:rsidRPr="003C2011">
        <w:rPr>
          <w:rFonts w:ascii="Times New Roman" w:hAnsi="Times New Roman" w:cs="Times New Roman"/>
          <w:sz w:val="24"/>
          <w:szCs w:val="24"/>
          <w:lang w:val="en-GB"/>
        </w:rPr>
        <w:t xml:space="preserve">Time to discharge was compared between treatment arms using a Mann-Whitney U-test to account for right skewing from most patients spending a short time in the hospital with few and widely variable protracted stays. </w:t>
      </w:r>
      <w:r w:rsidR="00F0215D" w:rsidRPr="003C2011">
        <w:rPr>
          <w:rFonts w:ascii="Times New Roman" w:hAnsi="Times New Roman" w:cs="Times New Roman"/>
          <w:sz w:val="24"/>
          <w:szCs w:val="24"/>
          <w:lang w:val="en-GB"/>
        </w:rPr>
        <w:t>T</w:t>
      </w:r>
      <w:r w:rsidRPr="003C2011">
        <w:rPr>
          <w:rFonts w:ascii="Times New Roman" w:hAnsi="Times New Roman" w:cs="Times New Roman"/>
          <w:sz w:val="24"/>
          <w:szCs w:val="24"/>
          <w:lang w:val="en-GB"/>
        </w:rPr>
        <w:t xml:space="preserve">otal duration of hospital admissions in the first year following randomization was compared between treatment arms </w:t>
      </w:r>
      <w:r w:rsidR="00937F19" w:rsidRPr="003C2011">
        <w:rPr>
          <w:rFonts w:ascii="Times New Roman" w:hAnsi="Times New Roman" w:cs="Times New Roman"/>
          <w:sz w:val="24"/>
          <w:szCs w:val="24"/>
          <w:lang w:val="en-GB"/>
        </w:rPr>
        <w:t xml:space="preserve">also </w:t>
      </w:r>
      <w:r w:rsidRPr="003C2011">
        <w:rPr>
          <w:rFonts w:ascii="Times New Roman" w:hAnsi="Times New Roman" w:cs="Times New Roman"/>
          <w:sz w:val="24"/>
          <w:szCs w:val="24"/>
          <w:lang w:val="en-GB"/>
        </w:rPr>
        <w:t>using a Mann-Whitney U-test</w:t>
      </w:r>
      <w:r w:rsidR="00937F19" w:rsidRPr="003C2011">
        <w:rPr>
          <w:rFonts w:ascii="Times New Roman" w:hAnsi="Times New Roman" w:cs="Times New Roman"/>
          <w:sz w:val="24"/>
          <w:szCs w:val="24"/>
          <w:lang w:val="en-GB"/>
        </w:rPr>
        <w:t xml:space="preserve">. A zero-inflated Poisson regression was completed to assess differences in the number of </w:t>
      </w:r>
      <w:r w:rsidR="006E618E" w:rsidRPr="003C2011">
        <w:rPr>
          <w:rFonts w:ascii="Times New Roman" w:hAnsi="Times New Roman" w:cs="Times New Roman"/>
          <w:sz w:val="24"/>
          <w:szCs w:val="24"/>
          <w:lang w:val="en-GB"/>
        </w:rPr>
        <w:t xml:space="preserve">emergency visits </w:t>
      </w:r>
      <w:r w:rsidR="00937F19" w:rsidRPr="003C2011">
        <w:rPr>
          <w:rFonts w:ascii="Times New Roman" w:hAnsi="Times New Roman" w:cs="Times New Roman"/>
          <w:sz w:val="24"/>
          <w:szCs w:val="24"/>
          <w:lang w:val="en-GB"/>
        </w:rPr>
        <w:t>between study arms.</w:t>
      </w:r>
      <w:r w:rsidRPr="003C2011">
        <w:rPr>
          <w:rFonts w:ascii="Times New Roman" w:hAnsi="Times New Roman" w:cs="Times New Roman"/>
          <w:sz w:val="24"/>
          <w:szCs w:val="24"/>
          <w:lang w:val="en-GB"/>
        </w:rPr>
        <w:t xml:space="preserve"> All outcomes were analysed on an intention-to-treat basis</w:t>
      </w:r>
      <w:r w:rsidR="005F66B3" w:rsidRPr="003C2011">
        <w:rPr>
          <w:rFonts w:ascii="Times New Roman" w:hAnsi="Times New Roman" w:cs="Times New Roman"/>
          <w:sz w:val="24"/>
          <w:szCs w:val="24"/>
          <w:lang w:val="en-GB"/>
        </w:rPr>
        <w:t xml:space="preserve"> and missing data are described in the results</w:t>
      </w:r>
      <w:r w:rsidRPr="003C2011">
        <w:rPr>
          <w:rFonts w:ascii="Times New Roman" w:hAnsi="Times New Roman" w:cs="Times New Roman"/>
          <w:sz w:val="24"/>
          <w:szCs w:val="24"/>
          <w:lang w:val="en-GB"/>
        </w:rPr>
        <w:t xml:space="preserve">. </w:t>
      </w:r>
      <w:r w:rsidR="00797C13" w:rsidRPr="003C2011">
        <w:rPr>
          <w:rFonts w:ascii="Times New Roman" w:hAnsi="Times New Roman" w:cs="Times New Roman"/>
          <w:sz w:val="24"/>
          <w:szCs w:val="24"/>
          <w:lang w:val="en-GB"/>
        </w:rPr>
        <w:t xml:space="preserve">Data were collected at each local site and shared with the primary site. </w:t>
      </w:r>
      <w:r w:rsidR="009373F7" w:rsidRPr="003C2011">
        <w:rPr>
          <w:rFonts w:ascii="Times New Roman" w:hAnsi="Times New Roman" w:cs="Times New Roman"/>
          <w:sz w:val="24"/>
          <w:szCs w:val="24"/>
          <w:lang w:val="en-GB"/>
        </w:rPr>
        <w:t xml:space="preserve">All statistical analysis was </w:t>
      </w:r>
      <w:r w:rsidR="00937907" w:rsidRPr="003C2011">
        <w:rPr>
          <w:rFonts w:ascii="Times New Roman" w:hAnsi="Times New Roman" w:cs="Times New Roman"/>
          <w:sz w:val="24"/>
          <w:szCs w:val="24"/>
          <w:lang w:val="en-GB"/>
        </w:rPr>
        <w:t xml:space="preserve">conducted using </w:t>
      </w:r>
      <w:r w:rsidR="009373F7" w:rsidRPr="003C2011">
        <w:rPr>
          <w:rFonts w:ascii="Times New Roman" w:hAnsi="Times New Roman" w:cs="Times New Roman"/>
          <w:sz w:val="24"/>
          <w:szCs w:val="24"/>
          <w:lang w:val="en-GB"/>
        </w:rPr>
        <w:t>SAS Version 9</w:t>
      </w:r>
      <w:r w:rsidR="001A61D5" w:rsidRPr="003C2011">
        <w:rPr>
          <w:rFonts w:ascii="Times New Roman" w:hAnsi="Times New Roman" w:cs="Times New Roman"/>
          <w:sz w:val="24"/>
          <w:szCs w:val="24"/>
          <w:lang w:val="en-GB"/>
        </w:rPr>
        <w:t>·</w:t>
      </w:r>
      <w:r w:rsidR="009373F7" w:rsidRPr="003C2011">
        <w:rPr>
          <w:rFonts w:ascii="Times New Roman" w:hAnsi="Times New Roman" w:cs="Times New Roman"/>
          <w:sz w:val="24"/>
          <w:szCs w:val="24"/>
          <w:lang w:val="en-GB"/>
        </w:rPr>
        <w:t>4 (SAS Institute, Cary, NC, USA).</w:t>
      </w:r>
    </w:p>
    <w:p w14:paraId="7E709B06" w14:textId="0A5484D4" w:rsidR="00CD4646" w:rsidRPr="003C2011" w:rsidRDefault="00CD4646" w:rsidP="00CD4646">
      <w:pPr>
        <w:spacing w:after="0" w:line="480" w:lineRule="auto"/>
        <w:rPr>
          <w:rFonts w:ascii="Times New Roman" w:hAnsi="Times New Roman" w:cs="Times New Roman"/>
          <w:b/>
          <w:bCs/>
          <w:iCs/>
          <w:sz w:val="24"/>
          <w:szCs w:val="24"/>
        </w:rPr>
      </w:pPr>
      <w:r w:rsidRPr="003C2011">
        <w:rPr>
          <w:rFonts w:ascii="Times New Roman" w:hAnsi="Times New Roman" w:cs="Times New Roman"/>
          <w:b/>
          <w:bCs/>
          <w:iCs/>
          <w:sz w:val="24"/>
          <w:szCs w:val="24"/>
        </w:rPr>
        <w:t>Oversight</w:t>
      </w:r>
    </w:p>
    <w:p w14:paraId="0CC3CFAD" w14:textId="1D4ED072" w:rsidR="00434436" w:rsidRPr="003C2011" w:rsidRDefault="00CD4646" w:rsidP="00CD4646">
      <w:pPr>
        <w:tabs>
          <w:tab w:val="left" w:pos="720"/>
          <w:tab w:val="left" w:pos="1440"/>
          <w:tab w:val="left" w:pos="2160"/>
          <w:tab w:val="left" w:pos="2880"/>
          <w:tab w:val="left" w:pos="3600"/>
          <w:tab w:val="left" w:pos="4320"/>
        </w:tabs>
        <w:spacing w:after="240" w:line="480" w:lineRule="auto"/>
        <w:rPr>
          <w:rFonts w:ascii="Times New Roman" w:hAnsi="Times New Roman" w:cs="Times New Roman"/>
          <w:sz w:val="24"/>
          <w:szCs w:val="24"/>
          <w:lang w:val="en-GB"/>
        </w:rPr>
      </w:pPr>
      <w:r w:rsidRPr="003C2011">
        <w:rPr>
          <w:rFonts w:ascii="Times New Roman" w:hAnsi="Times New Roman" w:cs="Times New Roman"/>
          <w:sz w:val="24"/>
          <w:szCs w:val="24"/>
          <w:lang w:val="en-GB"/>
        </w:rPr>
        <w:tab/>
        <w:t>A</w:t>
      </w:r>
      <w:r w:rsidR="006D5A5E" w:rsidRPr="003C2011">
        <w:rPr>
          <w:rFonts w:ascii="Times New Roman" w:hAnsi="Times New Roman" w:cs="Times New Roman"/>
          <w:sz w:val="24"/>
          <w:szCs w:val="24"/>
          <w:lang w:val="en-GB"/>
        </w:rPr>
        <w:t>n independent</w:t>
      </w:r>
      <w:r w:rsidRPr="003C2011">
        <w:rPr>
          <w:rFonts w:ascii="Times New Roman" w:hAnsi="Times New Roman" w:cs="Times New Roman"/>
          <w:sz w:val="24"/>
          <w:szCs w:val="24"/>
          <w:lang w:val="en-GB"/>
        </w:rPr>
        <w:t xml:space="preserve"> Trial Steering Committee (TSC) </w:t>
      </w:r>
      <w:r w:rsidR="006D5A5E" w:rsidRPr="003C2011">
        <w:rPr>
          <w:rFonts w:ascii="Times New Roman" w:hAnsi="Times New Roman" w:cs="Times New Roman"/>
          <w:sz w:val="24"/>
          <w:szCs w:val="24"/>
          <w:lang w:val="en-GB"/>
        </w:rPr>
        <w:t xml:space="preserve">and </w:t>
      </w:r>
      <w:r w:rsidRPr="003C2011">
        <w:rPr>
          <w:rFonts w:ascii="Times New Roman" w:hAnsi="Times New Roman" w:cs="Times New Roman"/>
          <w:sz w:val="24"/>
          <w:szCs w:val="24"/>
          <w:lang w:val="en-GB"/>
        </w:rPr>
        <w:t>Data Monitoring Committee (DMC)</w:t>
      </w:r>
      <w:r w:rsidR="006D5A5E" w:rsidRPr="003C2011">
        <w:rPr>
          <w:rFonts w:ascii="Times New Roman" w:hAnsi="Times New Roman" w:cs="Times New Roman"/>
          <w:sz w:val="24"/>
          <w:szCs w:val="24"/>
          <w:lang w:val="en-GB"/>
        </w:rPr>
        <w:t xml:space="preserve"> were establ</w:t>
      </w:r>
      <w:r w:rsidR="00AF22AB" w:rsidRPr="003C2011">
        <w:rPr>
          <w:rFonts w:ascii="Times New Roman" w:hAnsi="Times New Roman" w:cs="Times New Roman"/>
          <w:sz w:val="24"/>
          <w:szCs w:val="24"/>
          <w:lang w:val="en-GB"/>
        </w:rPr>
        <w:t>ished to oversee the trial</w:t>
      </w:r>
      <w:r w:rsidRPr="003C2011">
        <w:rPr>
          <w:rFonts w:ascii="Times New Roman" w:hAnsi="Times New Roman" w:cs="Times New Roman"/>
          <w:sz w:val="24"/>
          <w:szCs w:val="24"/>
          <w:lang w:val="en-GB"/>
        </w:rPr>
        <w:t xml:space="preserve">. </w:t>
      </w:r>
      <w:r w:rsidR="00AF22AB" w:rsidRPr="003C2011">
        <w:rPr>
          <w:rFonts w:ascii="Times New Roman" w:hAnsi="Times New Roman" w:cs="Times New Roman"/>
          <w:sz w:val="24"/>
          <w:szCs w:val="24"/>
          <w:lang w:val="en-GB"/>
        </w:rPr>
        <w:t>Members</w:t>
      </w:r>
      <w:r w:rsidR="00D873E7" w:rsidRPr="003C2011">
        <w:rPr>
          <w:rFonts w:ascii="Times New Roman" w:hAnsi="Times New Roman" w:cs="Times New Roman"/>
          <w:sz w:val="24"/>
          <w:szCs w:val="24"/>
          <w:lang w:val="en-GB"/>
        </w:rPr>
        <w:t xml:space="preserve"> had no direct investment or participation</w:t>
      </w:r>
      <w:r w:rsidR="00B55F4F" w:rsidRPr="003C2011">
        <w:rPr>
          <w:rFonts w:ascii="Times New Roman" w:hAnsi="Times New Roman" w:cs="Times New Roman"/>
          <w:sz w:val="24"/>
          <w:szCs w:val="24"/>
          <w:lang w:val="en-GB"/>
        </w:rPr>
        <w:t xml:space="preserve"> in</w:t>
      </w:r>
      <w:r w:rsidR="00D873E7" w:rsidRPr="003C2011">
        <w:rPr>
          <w:rFonts w:ascii="Times New Roman" w:hAnsi="Times New Roman" w:cs="Times New Roman"/>
          <w:sz w:val="24"/>
          <w:szCs w:val="24"/>
          <w:lang w:val="en-GB"/>
        </w:rPr>
        <w:t xml:space="preserve"> the study. </w:t>
      </w:r>
      <w:r w:rsidRPr="003C2011">
        <w:rPr>
          <w:rFonts w:ascii="Times New Roman" w:hAnsi="Times New Roman" w:cs="Times New Roman"/>
          <w:sz w:val="24"/>
          <w:szCs w:val="24"/>
          <w:lang w:val="en-GB"/>
        </w:rPr>
        <w:t xml:space="preserve">Terms of reference and a </w:t>
      </w:r>
      <w:r w:rsidR="00AF22AB" w:rsidRPr="003C2011">
        <w:rPr>
          <w:rFonts w:ascii="Times New Roman" w:hAnsi="Times New Roman" w:cs="Times New Roman"/>
          <w:sz w:val="24"/>
          <w:szCs w:val="24"/>
          <w:lang w:val="en-GB"/>
        </w:rPr>
        <w:t xml:space="preserve">DMC </w:t>
      </w:r>
      <w:r w:rsidRPr="003C2011">
        <w:rPr>
          <w:rFonts w:ascii="Times New Roman" w:hAnsi="Times New Roman" w:cs="Times New Roman"/>
          <w:sz w:val="24"/>
          <w:szCs w:val="24"/>
          <w:lang w:val="en-GB"/>
        </w:rPr>
        <w:t>charter was developed, based on the DAMOCLES (</w:t>
      </w:r>
      <w:proofErr w:type="spellStart"/>
      <w:r w:rsidRPr="003C2011">
        <w:rPr>
          <w:rFonts w:ascii="Times New Roman" w:hAnsi="Times New Roman" w:cs="Times New Roman"/>
          <w:sz w:val="24"/>
          <w:szCs w:val="24"/>
          <w:lang w:val="en-GB"/>
        </w:rPr>
        <w:t>DAta</w:t>
      </w:r>
      <w:proofErr w:type="spellEnd"/>
      <w:r w:rsidRPr="003C2011">
        <w:rPr>
          <w:rFonts w:ascii="Times New Roman" w:hAnsi="Times New Roman" w:cs="Times New Roman"/>
          <w:sz w:val="24"/>
          <w:szCs w:val="24"/>
          <w:lang w:val="en-GB"/>
        </w:rPr>
        <w:t xml:space="preserve"> Monitoring Committees: Lessons, Ethics, Statistics) Study Group (</w:t>
      </w:r>
      <w:r w:rsidR="16223E41" w:rsidRPr="003C2011">
        <w:rPr>
          <w:rFonts w:ascii="Times New Roman" w:hAnsi="Times New Roman" w:cs="Times New Roman"/>
          <w:sz w:val="24"/>
          <w:szCs w:val="24"/>
          <w:lang w:val="en-GB"/>
        </w:rPr>
        <w:t>2</w:t>
      </w:r>
      <w:r w:rsidR="002D5CE0" w:rsidRPr="003C2011">
        <w:rPr>
          <w:rFonts w:ascii="Times New Roman" w:hAnsi="Times New Roman" w:cs="Times New Roman"/>
          <w:sz w:val="24"/>
          <w:szCs w:val="24"/>
          <w:lang w:val="en-GB"/>
        </w:rPr>
        <w:t>4</w:t>
      </w:r>
      <w:r w:rsidRPr="003C2011">
        <w:rPr>
          <w:rFonts w:ascii="Times New Roman" w:hAnsi="Times New Roman" w:cs="Times New Roman"/>
          <w:sz w:val="24"/>
          <w:szCs w:val="24"/>
          <w:lang w:val="en-GB"/>
        </w:rPr>
        <w:t xml:space="preserve">). A </w:t>
      </w:r>
      <w:r w:rsidR="00AF22AB" w:rsidRPr="003C2011">
        <w:rPr>
          <w:rFonts w:ascii="Times New Roman" w:hAnsi="Times New Roman" w:cs="Times New Roman"/>
          <w:sz w:val="24"/>
          <w:szCs w:val="24"/>
          <w:lang w:val="en-GB"/>
        </w:rPr>
        <w:t xml:space="preserve">planned interim </w:t>
      </w:r>
      <w:r w:rsidR="00AF22AB" w:rsidRPr="003C2011">
        <w:rPr>
          <w:rFonts w:ascii="Times New Roman" w:hAnsi="Times New Roman" w:cs="Times New Roman"/>
          <w:sz w:val="24"/>
          <w:szCs w:val="24"/>
          <w:lang w:val="en-GB"/>
        </w:rPr>
        <w:lastRenderedPageBreak/>
        <w:t>analysis</w:t>
      </w:r>
      <w:r w:rsidR="00177AB7" w:rsidRPr="003C2011">
        <w:rPr>
          <w:rFonts w:ascii="Times New Roman" w:hAnsi="Times New Roman" w:cs="Times New Roman"/>
          <w:sz w:val="24"/>
          <w:szCs w:val="24"/>
          <w:lang w:val="en-GB"/>
        </w:rPr>
        <w:t xml:space="preserve"> testing for inferiority</w:t>
      </w:r>
      <w:r w:rsidR="00AF22AB" w:rsidRPr="003C2011">
        <w:rPr>
          <w:rFonts w:ascii="Times New Roman" w:hAnsi="Times New Roman" w:cs="Times New Roman"/>
          <w:sz w:val="24"/>
          <w:szCs w:val="24"/>
          <w:lang w:val="en-GB"/>
        </w:rPr>
        <w:t xml:space="preserve"> was undertaken </w:t>
      </w:r>
      <w:r w:rsidR="00D00657" w:rsidRPr="003C2011">
        <w:rPr>
          <w:rFonts w:ascii="Times New Roman" w:hAnsi="Times New Roman" w:cs="Times New Roman"/>
          <w:sz w:val="24"/>
          <w:szCs w:val="24"/>
          <w:lang w:val="en-GB"/>
        </w:rPr>
        <w:t xml:space="preserve">once half of the planned sample size had been recruited. The interim analysis was based on a modified primary outcome with a </w:t>
      </w:r>
      <w:r w:rsidR="00B30CD7" w:rsidRPr="003C2011">
        <w:rPr>
          <w:rFonts w:ascii="Times New Roman" w:hAnsi="Times New Roman" w:cs="Times New Roman"/>
          <w:sz w:val="24"/>
          <w:szCs w:val="24"/>
          <w:lang w:val="en-GB"/>
        </w:rPr>
        <w:t>three</w:t>
      </w:r>
      <w:r w:rsidR="00D00657" w:rsidRPr="003C2011">
        <w:rPr>
          <w:rFonts w:ascii="Times New Roman" w:hAnsi="Times New Roman" w:cs="Times New Roman"/>
          <w:sz w:val="24"/>
          <w:szCs w:val="24"/>
          <w:lang w:val="en-GB"/>
        </w:rPr>
        <w:t>-month follow-up period</w:t>
      </w:r>
      <w:r w:rsidR="00B76A88" w:rsidRPr="003C2011">
        <w:rPr>
          <w:rFonts w:ascii="Times New Roman" w:hAnsi="Times New Roman" w:cs="Times New Roman"/>
          <w:sz w:val="24"/>
          <w:szCs w:val="24"/>
          <w:lang w:val="en-GB"/>
        </w:rPr>
        <w:t xml:space="preserve"> without bias adjustments</w:t>
      </w:r>
      <w:r w:rsidR="00FB4EE4" w:rsidRPr="003C2011">
        <w:rPr>
          <w:rFonts w:ascii="Times New Roman" w:hAnsi="Times New Roman" w:cs="Times New Roman"/>
          <w:sz w:val="24"/>
          <w:szCs w:val="24"/>
          <w:lang w:val="en-GB"/>
        </w:rPr>
        <w:t>.</w:t>
      </w:r>
      <w:r w:rsidR="00D00657" w:rsidRPr="003C2011">
        <w:rPr>
          <w:rFonts w:ascii="Times New Roman" w:hAnsi="Times New Roman" w:cs="Times New Roman"/>
          <w:sz w:val="24"/>
          <w:szCs w:val="24"/>
          <w:lang w:val="en-GB"/>
        </w:rPr>
        <w:t xml:space="preserve"> In this way, if stopping the study was recommended, we wouldn’t have many that were already enrolled and in the active follow-up period. A stopping rule was set such that </w:t>
      </w:r>
      <w:r w:rsidR="00082711" w:rsidRPr="003C2011">
        <w:rPr>
          <w:rFonts w:ascii="Times New Roman" w:hAnsi="Times New Roman" w:cs="Times New Roman"/>
          <w:sz w:val="24"/>
          <w:szCs w:val="24"/>
          <w:lang w:val="en-GB"/>
        </w:rPr>
        <w:t>if a modified primary outcome (</w:t>
      </w:r>
      <w:r w:rsidR="00B40771" w:rsidRPr="003C2011">
        <w:rPr>
          <w:rFonts w:ascii="Times New Roman" w:hAnsi="Times New Roman" w:cs="Times New Roman"/>
          <w:sz w:val="24"/>
          <w:szCs w:val="24"/>
          <w:lang w:val="en-GB"/>
        </w:rPr>
        <w:t xml:space="preserve">failure at </w:t>
      </w:r>
      <w:r w:rsidR="00B30CD7" w:rsidRPr="003C2011">
        <w:rPr>
          <w:rFonts w:ascii="Times New Roman" w:hAnsi="Times New Roman" w:cs="Times New Roman"/>
          <w:sz w:val="24"/>
          <w:szCs w:val="24"/>
          <w:lang w:val="en-GB"/>
        </w:rPr>
        <w:t xml:space="preserve">three </w:t>
      </w:r>
      <w:r w:rsidR="00082711" w:rsidRPr="003C2011">
        <w:rPr>
          <w:rFonts w:ascii="Times New Roman" w:hAnsi="Times New Roman" w:cs="Times New Roman"/>
          <w:sz w:val="24"/>
          <w:szCs w:val="24"/>
          <w:lang w:val="en-GB"/>
        </w:rPr>
        <w:t xml:space="preserve">months follow-up) </w:t>
      </w:r>
      <w:r w:rsidR="00B40771" w:rsidRPr="003C2011">
        <w:rPr>
          <w:rFonts w:ascii="Times New Roman" w:hAnsi="Times New Roman" w:cs="Times New Roman"/>
          <w:sz w:val="24"/>
          <w:szCs w:val="24"/>
          <w:lang w:val="en-GB"/>
        </w:rPr>
        <w:t>in the antibiotic arm exceeded that in the appendectomy arm by over 33%</w:t>
      </w:r>
      <w:r w:rsidR="002947A2" w:rsidRPr="003C2011">
        <w:rPr>
          <w:rFonts w:ascii="Times New Roman" w:hAnsi="Times New Roman" w:cs="Times New Roman"/>
          <w:sz w:val="24"/>
          <w:szCs w:val="24"/>
          <w:lang w:val="en-GB"/>
        </w:rPr>
        <w:t>, the DMC would recommend to the TSC that recruitment be terminated.</w:t>
      </w:r>
      <w:r w:rsidR="00BC3C84" w:rsidRPr="003C2011">
        <w:rPr>
          <w:rFonts w:ascii="Times New Roman" w:hAnsi="Times New Roman" w:cs="Times New Roman"/>
          <w:sz w:val="24"/>
          <w:szCs w:val="24"/>
          <w:lang w:val="en-GB"/>
        </w:rPr>
        <w:t xml:space="preserve"> The DMC also at this time point </w:t>
      </w:r>
      <w:r w:rsidR="00BC29E4" w:rsidRPr="003C2011">
        <w:rPr>
          <w:rFonts w:ascii="Times New Roman" w:hAnsi="Times New Roman" w:cs="Times New Roman"/>
          <w:sz w:val="24"/>
          <w:szCs w:val="24"/>
          <w:lang w:val="en-GB"/>
        </w:rPr>
        <w:t>reviewed adverse events in each trial arm.</w:t>
      </w:r>
      <w:r w:rsidR="001A61D5" w:rsidRPr="003C2011">
        <w:rPr>
          <w:rFonts w:ascii="Times New Roman" w:hAnsi="Times New Roman" w:cs="Times New Roman"/>
          <w:sz w:val="24"/>
          <w:szCs w:val="24"/>
          <w:lang w:val="en-GB"/>
        </w:rPr>
        <w:t xml:space="preserve"> </w:t>
      </w:r>
      <w:r w:rsidR="001A61D5" w:rsidRPr="003C2011">
        <w:rPr>
          <w:rFonts w:ascii="Times New Roman" w:hAnsi="Times New Roman" w:cs="Times New Roman"/>
          <w:sz w:val="24"/>
          <w:szCs w:val="24"/>
        </w:rPr>
        <w:t>The study was registered with ClinicalTrials.gov on January 13, 2016 (NCT02687464) and is reported in accordance with CONSORT guidelines.</w:t>
      </w:r>
    </w:p>
    <w:p w14:paraId="34A4A393" w14:textId="505DB1C3" w:rsidR="00E57790" w:rsidRPr="003C2011" w:rsidRDefault="00E57790" w:rsidP="00CD4646">
      <w:pPr>
        <w:tabs>
          <w:tab w:val="left" w:pos="720"/>
          <w:tab w:val="left" w:pos="1440"/>
          <w:tab w:val="left" w:pos="2160"/>
          <w:tab w:val="left" w:pos="2880"/>
          <w:tab w:val="left" w:pos="3600"/>
          <w:tab w:val="left" w:pos="4320"/>
        </w:tabs>
        <w:spacing w:after="240" w:line="480" w:lineRule="auto"/>
        <w:rPr>
          <w:rFonts w:ascii="Times New Roman" w:hAnsi="Times New Roman" w:cs="Times New Roman"/>
          <w:sz w:val="24"/>
          <w:szCs w:val="24"/>
          <w:lang w:val="en-GB"/>
        </w:rPr>
      </w:pPr>
      <w:r w:rsidRPr="003C2011">
        <w:rPr>
          <w:rFonts w:ascii="Times New Roman" w:hAnsi="Times New Roman" w:cs="Times New Roman"/>
          <w:b/>
          <w:bCs/>
          <w:i/>
          <w:iCs/>
          <w:sz w:val="24"/>
          <w:szCs w:val="24"/>
          <w:lang w:val="en-GB"/>
        </w:rPr>
        <w:t>Role of Funding Source</w:t>
      </w:r>
    </w:p>
    <w:p w14:paraId="6EC07D52" w14:textId="27744CEA" w:rsidR="00E57790" w:rsidRPr="003C2011" w:rsidRDefault="00E57790" w:rsidP="0046100C">
      <w:pPr>
        <w:spacing w:after="0" w:line="480" w:lineRule="auto"/>
        <w:rPr>
          <w:rFonts w:ascii="Times New Roman" w:hAnsi="Times New Roman" w:cs="Times New Roman"/>
          <w:sz w:val="24"/>
          <w:szCs w:val="24"/>
        </w:rPr>
      </w:pPr>
      <w:r w:rsidRPr="003C2011">
        <w:rPr>
          <w:rFonts w:ascii="Times New Roman" w:hAnsi="Times New Roman" w:cs="Times New Roman"/>
          <w:sz w:val="24"/>
          <w:szCs w:val="24"/>
        </w:rPr>
        <w:t xml:space="preserve">The overall execution of the trial received no external funding. In Sweden, grant funding was secured from the Swedish Research Council and </w:t>
      </w:r>
      <w:proofErr w:type="spellStart"/>
      <w:r w:rsidRPr="003C2011">
        <w:rPr>
          <w:rFonts w:ascii="Times New Roman" w:hAnsi="Times New Roman" w:cs="Times New Roman"/>
          <w:sz w:val="24"/>
          <w:szCs w:val="24"/>
        </w:rPr>
        <w:t>Stiftelsen</w:t>
      </w:r>
      <w:proofErr w:type="spellEnd"/>
      <w:r w:rsidRPr="003C2011">
        <w:rPr>
          <w:rFonts w:ascii="Times New Roman" w:hAnsi="Times New Roman" w:cs="Times New Roman"/>
          <w:sz w:val="24"/>
          <w:szCs w:val="24"/>
        </w:rPr>
        <w:t xml:space="preserve"> </w:t>
      </w:r>
      <w:proofErr w:type="spellStart"/>
      <w:r w:rsidRPr="003C2011">
        <w:rPr>
          <w:rFonts w:ascii="Times New Roman" w:hAnsi="Times New Roman" w:cs="Times New Roman"/>
          <w:sz w:val="24"/>
          <w:szCs w:val="24"/>
        </w:rPr>
        <w:t>Frimurare</w:t>
      </w:r>
      <w:proofErr w:type="spellEnd"/>
      <w:r w:rsidRPr="003C2011">
        <w:rPr>
          <w:rFonts w:ascii="Times New Roman" w:hAnsi="Times New Roman" w:cs="Times New Roman"/>
          <w:sz w:val="24"/>
          <w:szCs w:val="24"/>
        </w:rPr>
        <w:t xml:space="preserve"> </w:t>
      </w:r>
      <w:proofErr w:type="spellStart"/>
      <w:r w:rsidRPr="003C2011">
        <w:rPr>
          <w:rFonts w:ascii="Times New Roman" w:hAnsi="Times New Roman" w:cs="Times New Roman"/>
          <w:sz w:val="24"/>
          <w:szCs w:val="24"/>
        </w:rPr>
        <w:t>Barnhuset</w:t>
      </w:r>
      <w:proofErr w:type="spellEnd"/>
      <w:r w:rsidRPr="003C2011">
        <w:rPr>
          <w:rFonts w:ascii="Times New Roman" w:hAnsi="Times New Roman" w:cs="Times New Roman"/>
          <w:sz w:val="24"/>
          <w:szCs w:val="24"/>
        </w:rPr>
        <w:t xml:space="preserve"> in Stockholm. The grants were used to pay for research nurses in both Stockholm and Uppsala.</w:t>
      </w:r>
      <w:r w:rsidR="0046100C" w:rsidRPr="003C2011">
        <w:rPr>
          <w:rFonts w:ascii="Times New Roman" w:hAnsi="Times New Roman" w:cs="Times New Roman"/>
          <w:sz w:val="24"/>
          <w:szCs w:val="24"/>
        </w:rPr>
        <w:t xml:space="preserve"> At the London ON (Canada) site, grant funding was obtained from the Academic Medical </w:t>
      </w:r>
      <w:proofErr w:type="spellStart"/>
      <w:r w:rsidR="0046100C" w:rsidRPr="003C2011">
        <w:rPr>
          <w:rFonts w:ascii="Times New Roman" w:hAnsi="Times New Roman" w:cs="Times New Roman"/>
          <w:sz w:val="24"/>
          <w:szCs w:val="24"/>
        </w:rPr>
        <w:t>Organisation</w:t>
      </w:r>
      <w:proofErr w:type="spellEnd"/>
      <w:r w:rsidR="0046100C" w:rsidRPr="003C2011">
        <w:rPr>
          <w:rFonts w:ascii="Times New Roman" w:hAnsi="Times New Roman" w:cs="Times New Roman"/>
          <w:sz w:val="24"/>
          <w:szCs w:val="24"/>
        </w:rPr>
        <w:t xml:space="preserve"> of Southwestern Ontario (AMOSO) to partially fund a research coordinator.</w:t>
      </w:r>
    </w:p>
    <w:p w14:paraId="0EC86F78" w14:textId="77777777" w:rsidR="00CD4646" w:rsidRPr="003C2011" w:rsidRDefault="00CD4646" w:rsidP="00CD4646">
      <w:pPr>
        <w:tabs>
          <w:tab w:val="left" w:pos="720"/>
          <w:tab w:val="left" w:pos="1440"/>
          <w:tab w:val="left" w:pos="2160"/>
          <w:tab w:val="left" w:pos="2880"/>
          <w:tab w:val="left" w:pos="3600"/>
          <w:tab w:val="left" w:pos="4320"/>
        </w:tabs>
        <w:spacing w:after="240" w:line="480" w:lineRule="auto"/>
        <w:rPr>
          <w:rFonts w:ascii="Times New Roman" w:hAnsi="Times New Roman" w:cs="Times New Roman"/>
          <w:b/>
          <w:bCs/>
          <w:sz w:val="24"/>
          <w:szCs w:val="24"/>
          <w:lang w:val="en-GB"/>
        </w:rPr>
      </w:pPr>
      <w:r w:rsidRPr="003C2011">
        <w:rPr>
          <w:rFonts w:ascii="Times New Roman" w:hAnsi="Times New Roman" w:cs="Times New Roman"/>
          <w:b/>
          <w:bCs/>
          <w:sz w:val="24"/>
          <w:szCs w:val="24"/>
          <w:lang w:val="en-GB"/>
        </w:rPr>
        <w:t>RESULTS</w:t>
      </w:r>
    </w:p>
    <w:p w14:paraId="3A6914BA" w14:textId="77777777" w:rsidR="00CD4646" w:rsidRPr="003C2011" w:rsidRDefault="00CD4646" w:rsidP="00CD4646">
      <w:pPr>
        <w:tabs>
          <w:tab w:val="left" w:pos="720"/>
          <w:tab w:val="left" w:pos="1440"/>
          <w:tab w:val="left" w:pos="2160"/>
          <w:tab w:val="left" w:pos="2880"/>
          <w:tab w:val="left" w:pos="3600"/>
          <w:tab w:val="left" w:pos="4320"/>
        </w:tabs>
        <w:spacing w:after="240" w:line="480" w:lineRule="auto"/>
        <w:rPr>
          <w:rFonts w:ascii="Times New Roman" w:hAnsi="Times New Roman" w:cs="Times New Roman"/>
          <w:b/>
          <w:bCs/>
          <w:i/>
          <w:iCs/>
          <w:sz w:val="24"/>
          <w:szCs w:val="24"/>
          <w:lang w:val="en-GB"/>
        </w:rPr>
      </w:pPr>
      <w:r w:rsidRPr="003C2011">
        <w:rPr>
          <w:rFonts w:ascii="Times New Roman" w:hAnsi="Times New Roman" w:cs="Times New Roman"/>
          <w:b/>
          <w:bCs/>
          <w:i/>
          <w:iCs/>
          <w:sz w:val="24"/>
          <w:szCs w:val="24"/>
          <w:lang w:val="en-GB"/>
        </w:rPr>
        <w:t>Study Population</w:t>
      </w:r>
    </w:p>
    <w:p w14:paraId="60B975C8" w14:textId="1B1065CE" w:rsidR="00CD4646" w:rsidRPr="003C2011" w:rsidRDefault="00EB0B26" w:rsidP="00CD4646">
      <w:pPr>
        <w:tabs>
          <w:tab w:val="left" w:pos="720"/>
          <w:tab w:val="left" w:pos="1440"/>
          <w:tab w:val="left" w:pos="2160"/>
          <w:tab w:val="left" w:pos="2880"/>
          <w:tab w:val="left" w:pos="3600"/>
          <w:tab w:val="left" w:pos="4320"/>
        </w:tabs>
        <w:spacing w:after="240" w:line="480" w:lineRule="auto"/>
        <w:rPr>
          <w:rFonts w:ascii="Times New Roman" w:hAnsi="Times New Roman" w:cs="Times New Roman"/>
          <w:sz w:val="24"/>
          <w:szCs w:val="24"/>
          <w:lang w:val="en-GB"/>
        </w:rPr>
      </w:pPr>
      <w:r w:rsidRPr="003C2011">
        <w:rPr>
          <w:rFonts w:ascii="Times New Roman" w:hAnsi="Times New Roman" w:cs="Times New Roman"/>
          <w:sz w:val="24"/>
          <w:szCs w:val="24"/>
          <w:lang w:val="en-GB"/>
        </w:rPr>
        <w:t xml:space="preserve">Recruitment </w:t>
      </w:r>
      <w:r w:rsidR="00074238" w:rsidRPr="003C2011">
        <w:rPr>
          <w:rFonts w:ascii="Times New Roman" w:hAnsi="Times New Roman" w:cs="Times New Roman"/>
          <w:sz w:val="24"/>
          <w:szCs w:val="24"/>
          <w:lang w:val="en-GB"/>
        </w:rPr>
        <w:t xml:space="preserve">began on </w:t>
      </w:r>
      <w:r w:rsidR="009B5673" w:rsidRPr="003C2011">
        <w:rPr>
          <w:rFonts w:ascii="Times New Roman" w:hAnsi="Times New Roman" w:cs="Times New Roman"/>
          <w:sz w:val="24"/>
          <w:szCs w:val="24"/>
          <w:lang w:val="en-GB"/>
        </w:rPr>
        <w:t>January 20,</w:t>
      </w:r>
      <w:r w:rsidR="00CD4646" w:rsidRPr="003C2011">
        <w:rPr>
          <w:rFonts w:ascii="Times New Roman" w:hAnsi="Times New Roman" w:cs="Times New Roman"/>
          <w:sz w:val="24"/>
          <w:szCs w:val="24"/>
          <w:lang w:val="en-GB"/>
        </w:rPr>
        <w:t xml:space="preserve"> 2016 </w:t>
      </w:r>
      <w:r w:rsidR="00074238" w:rsidRPr="003C2011">
        <w:rPr>
          <w:rFonts w:ascii="Times New Roman" w:hAnsi="Times New Roman" w:cs="Times New Roman"/>
          <w:sz w:val="24"/>
          <w:szCs w:val="24"/>
          <w:lang w:val="en-GB"/>
        </w:rPr>
        <w:t xml:space="preserve">and continued </w:t>
      </w:r>
      <w:r w:rsidR="00CD4646" w:rsidRPr="003C2011">
        <w:rPr>
          <w:rFonts w:ascii="Times New Roman" w:hAnsi="Times New Roman" w:cs="Times New Roman"/>
          <w:sz w:val="24"/>
          <w:szCs w:val="24"/>
          <w:lang w:val="en-GB"/>
        </w:rPr>
        <w:t>to December</w:t>
      </w:r>
      <w:r w:rsidR="00563A3F" w:rsidRPr="003C2011">
        <w:rPr>
          <w:rFonts w:ascii="Times New Roman" w:hAnsi="Times New Roman" w:cs="Times New Roman"/>
          <w:sz w:val="24"/>
          <w:szCs w:val="24"/>
          <w:lang w:val="en-GB"/>
        </w:rPr>
        <w:t xml:space="preserve"> 3</w:t>
      </w:r>
      <w:r w:rsidR="009B5673" w:rsidRPr="003C2011">
        <w:rPr>
          <w:rFonts w:ascii="Times New Roman" w:hAnsi="Times New Roman" w:cs="Times New Roman"/>
          <w:sz w:val="24"/>
          <w:szCs w:val="24"/>
          <w:lang w:val="en-GB"/>
        </w:rPr>
        <w:t xml:space="preserve">, </w:t>
      </w:r>
      <w:r w:rsidR="00CD4646" w:rsidRPr="003C2011">
        <w:rPr>
          <w:rFonts w:ascii="Times New Roman" w:hAnsi="Times New Roman" w:cs="Times New Roman"/>
          <w:sz w:val="24"/>
          <w:szCs w:val="24"/>
          <w:lang w:val="en-GB"/>
        </w:rPr>
        <w:t xml:space="preserve">2021, </w:t>
      </w:r>
      <w:r w:rsidR="00074238" w:rsidRPr="003C2011">
        <w:rPr>
          <w:rFonts w:ascii="Times New Roman" w:hAnsi="Times New Roman" w:cs="Times New Roman"/>
          <w:sz w:val="24"/>
          <w:szCs w:val="24"/>
          <w:lang w:val="en-GB"/>
        </w:rPr>
        <w:t xml:space="preserve">at which point the total of </w:t>
      </w:r>
      <w:r w:rsidR="00CD4646" w:rsidRPr="003C2011">
        <w:rPr>
          <w:rFonts w:ascii="Times New Roman" w:hAnsi="Times New Roman" w:cs="Times New Roman"/>
          <w:sz w:val="24"/>
          <w:szCs w:val="24"/>
          <w:lang w:val="en-GB"/>
        </w:rPr>
        <w:t>9</w:t>
      </w:r>
      <w:r w:rsidR="00EA6825" w:rsidRPr="003C2011">
        <w:rPr>
          <w:rFonts w:ascii="Times New Roman" w:hAnsi="Times New Roman" w:cs="Times New Roman"/>
          <w:sz w:val="24"/>
          <w:szCs w:val="24"/>
          <w:lang w:val="en-GB"/>
        </w:rPr>
        <w:t>78</w:t>
      </w:r>
      <w:r w:rsidR="00CD4646" w:rsidRPr="003C2011">
        <w:rPr>
          <w:rFonts w:ascii="Times New Roman" w:hAnsi="Times New Roman" w:cs="Times New Roman"/>
          <w:sz w:val="24"/>
          <w:szCs w:val="24"/>
          <w:lang w:val="en-GB"/>
        </w:rPr>
        <w:t xml:space="preserve"> patients</w:t>
      </w:r>
      <w:r w:rsidR="00C22483" w:rsidRPr="003C2011">
        <w:rPr>
          <w:rFonts w:ascii="Times New Roman" w:hAnsi="Times New Roman" w:cs="Times New Roman"/>
          <w:sz w:val="24"/>
          <w:szCs w:val="24"/>
          <w:lang w:val="en-GB"/>
        </w:rPr>
        <w:t xml:space="preserve"> were</w:t>
      </w:r>
      <w:r w:rsidR="00CD4646" w:rsidRPr="003C2011">
        <w:rPr>
          <w:rFonts w:ascii="Times New Roman" w:hAnsi="Times New Roman" w:cs="Times New Roman"/>
          <w:sz w:val="24"/>
          <w:szCs w:val="24"/>
          <w:lang w:val="en-GB"/>
        </w:rPr>
        <w:t xml:space="preserve"> </w:t>
      </w:r>
      <w:r w:rsidR="00EA6825" w:rsidRPr="003C2011">
        <w:rPr>
          <w:rFonts w:ascii="Times New Roman" w:hAnsi="Times New Roman" w:cs="Times New Roman"/>
          <w:sz w:val="24"/>
          <w:szCs w:val="24"/>
          <w:lang w:val="en-GB"/>
        </w:rPr>
        <w:t>enrolled</w:t>
      </w:r>
      <w:r w:rsidR="00F61A99" w:rsidRPr="003C2011">
        <w:rPr>
          <w:rFonts w:ascii="Times New Roman" w:hAnsi="Times New Roman" w:cs="Times New Roman"/>
          <w:sz w:val="24"/>
          <w:szCs w:val="24"/>
          <w:lang w:val="en-GB"/>
        </w:rPr>
        <w:t xml:space="preserve"> </w:t>
      </w:r>
      <w:r w:rsidR="004007CB" w:rsidRPr="003C2011">
        <w:rPr>
          <w:rFonts w:ascii="Times New Roman" w:hAnsi="Times New Roman" w:cs="Times New Roman"/>
          <w:sz w:val="24"/>
          <w:szCs w:val="24"/>
          <w:lang w:val="en-GB"/>
        </w:rPr>
        <w:t>a</w:t>
      </w:r>
      <w:r w:rsidR="00C22483" w:rsidRPr="003C2011">
        <w:rPr>
          <w:rFonts w:ascii="Times New Roman" w:hAnsi="Times New Roman" w:cs="Times New Roman"/>
          <w:sz w:val="24"/>
          <w:szCs w:val="24"/>
          <w:lang w:val="en-GB"/>
        </w:rPr>
        <w:t>cross</w:t>
      </w:r>
      <w:r w:rsidR="004007CB" w:rsidRPr="003C2011">
        <w:rPr>
          <w:rFonts w:ascii="Times New Roman" w:hAnsi="Times New Roman" w:cs="Times New Roman"/>
          <w:sz w:val="24"/>
          <w:szCs w:val="24"/>
          <w:lang w:val="en-GB"/>
        </w:rPr>
        <w:t xml:space="preserve"> 11 centres</w:t>
      </w:r>
      <w:r w:rsidR="00D61331" w:rsidRPr="003C2011">
        <w:rPr>
          <w:rFonts w:ascii="Times New Roman" w:hAnsi="Times New Roman" w:cs="Times New Roman"/>
          <w:sz w:val="24"/>
          <w:szCs w:val="24"/>
          <w:lang w:val="en-GB"/>
        </w:rPr>
        <w:t xml:space="preserve"> (Table 1)</w:t>
      </w:r>
      <w:r w:rsidR="004007CB" w:rsidRPr="003C2011">
        <w:rPr>
          <w:rFonts w:ascii="Times New Roman" w:hAnsi="Times New Roman" w:cs="Times New Roman"/>
          <w:sz w:val="24"/>
          <w:szCs w:val="24"/>
          <w:lang w:val="en-GB"/>
        </w:rPr>
        <w:t xml:space="preserve">. </w:t>
      </w:r>
      <w:r w:rsidR="00C90F1C" w:rsidRPr="003C2011">
        <w:rPr>
          <w:rFonts w:ascii="Times New Roman" w:hAnsi="Times New Roman" w:cs="Times New Roman"/>
          <w:sz w:val="24"/>
          <w:szCs w:val="24"/>
          <w:lang w:val="en-GB"/>
        </w:rPr>
        <w:t>There were 42 patients who withdrew consent</w:t>
      </w:r>
      <w:r w:rsidR="00BC101B" w:rsidRPr="003C2011">
        <w:rPr>
          <w:rFonts w:ascii="Times New Roman" w:hAnsi="Times New Roman" w:cs="Times New Roman"/>
          <w:sz w:val="24"/>
          <w:szCs w:val="24"/>
          <w:lang w:val="en-GB"/>
        </w:rPr>
        <w:t xml:space="preserve"> and</w:t>
      </w:r>
      <w:r w:rsidR="00C90F1C" w:rsidRPr="003C2011">
        <w:rPr>
          <w:rFonts w:ascii="Times New Roman" w:hAnsi="Times New Roman" w:cs="Times New Roman"/>
          <w:sz w:val="24"/>
          <w:szCs w:val="24"/>
          <w:lang w:val="en-GB"/>
        </w:rPr>
        <w:t xml:space="preserve"> did not have their data retained.</w:t>
      </w:r>
      <w:r w:rsidR="00BC101B" w:rsidRPr="003C2011">
        <w:rPr>
          <w:rFonts w:ascii="Times New Roman" w:hAnsi="Times New Roman" w:cs="Times New Roman"/>
          <w:sz w:val="24"/>
          <w:szCs w:val="24"/>
          <w:lang w:val="en-GB"/>
        </w:rPr>
        <w:t xml:space="preserve"> </w:t>
      </w:r>
      <w:r w:rsidR="004007CB" w:rsidRPr="003C2011">
        <w:rPr>
          <w:rFonts w:ascii="Times New Roman" w:hAnsi="Times New Roman" w:cs="Times New Roman"/>
          <w:sz w:val="24"/>
          <w:szCs w:val="24"/>
          <w:lang w:val="en-GB"/>
        </w:rPr>
        <w:t xml:space="preserve">An interim analysis was performed in </w:t>
      </w:r>
      <w:r w:rsidR="00FB4EE4" w:rsidRPr="003C2011">
        <w:rPr>
          <w:rFonts w:ascii="Times New Roman" w:hAnsi="Times New Roman" w:cs="Times New Roman"/>
          <w:sz w:val="24"/>
          <w:szCs w:val="24"/>
          <w:lang w:val="en-GB"/>
        </w:rPr>
        <w:t>June, 2019,</w:t>
      </w:r>
      <w:r w:rsidR="004007CB" w:rsidRPr="003C2011">
        <w:rPr>
          <w:rFonts w:ascii="Times New Roman" w:hAnsi="Times New Roman" w:cs="Times New Roman"/>
          <w:sz w:val="24"/>
          <w:szCs w:val="24"/>
          <w:lang w:val="en-GB"/>
        </w:rPr>
        <w:t xml:space="preserve"> and </w:t>
      </w:r>
      <w:r w:rsidR="00F2037E" w:rsidRPr="003C2011">
        <w:rPr>
          <w:rFonts w:ascii="Times New Roman" w:hAnsi="Times New Roman" w:cs="Times New Roman"/>
          <w:sz w:val="24"/>
          <w:szCs w:val="24"/>
          <w:lang w:val="en-GB"/>
        </w:rPr>
        <w:t xml:space="preserve">the TSC recommended that recruitment continue to achieve the full sample size. </w:t>
      </w:r>
      <w:r w:rsidR="002D5CE0" w:rsidRPr="003C2011">
        <w:rPr>
          <w:rFonts w:ascii="Times New Roman" w:hAnsi="Times New Roman" w:cs="Times New Roman"/>
          <w:sz w:val="24"/>
          <w:szCs w:val="24"/>
          <w:lang w:val="en-GB"/>
        </w:rPr>
        <w:t>Overall,</w:t>
      </w:r>
      <w:r w:rsidR="00F2037E" w:rsidRPr="003C2011">
        <w:rPr>
          <w:rFonts w:ascii="Times New Roman" w:hAnsi="Times New Roman" w:cs="Times New Roman"/>
          <w:sz w:val="24"/>
          <w:szCs w:val="24"/>
          <w:lang w:val="en-GB"/>
        </w:rPr>
        <w:t xml:space="preserve"> </w:t>
      </w:r>
      <w:r w:rsidR="00CD4646" w:rsidRPr="003C2011">
        <w:rPr>
          <w:rFonts w:ascii="Times New Roman" w:hAnsi="Times New Roman" w:cs="Times New Roman"/>
          <w:sz w:val="24"/>
          <w:szCs w:val="24"/>
          <w:lang w:val="en-GB"/>
        </w:rPr>
        <w:t>459 (49%)</w:t>
      </w:r>
      <w:r w:rsidR="00F2037E" w:rsidRPr="003C2011">
        <w:rPr>
          <w:rFonts w:ascii="Times New Roman" w:hAnsi="Times New Roman" w:cs="Times New Roman"/>
          <w:sz w:val="24"/>
          <w:szCs w:val="24"/>
          <w:lang w:val="en-GB"/>
        </w:rPr>
        <w:t xml:space="preserve"> were randomi</w:t>
      </w:r>
      <w:r w:rsidR="005C778D" w:rsidRPr="003C2011">
        <w:rPr>
          <w:rFonts w:ascii="Times New Roman" w:hAnsi="Times New Roman" w:cs="Times New Roman"/>
          <w:sz w:val="24"/>
          <w:szCs w:val="24"/>
          <w:lang w:val="en-GB"/>
        </w:rPr>
        <w:t>zed to</w:t>
      </w:r>
      <w:r w:rsidR="00CD4646" w:rsidRPr="003C2011">
        <w:rPr>
          <w:rFonts w:ascii="Times New Roman" w:hAnsi="Times New Roman" w:cs="Times New Roman"/>
          <w:sz w:val="24"/>
          <w:szCs w:val="24"/>
          <w:lang w:val="en-GB"/>
        </w:rPr>
        <w:t xml:space="preserve"> the appendectomy group and 47</w:t>
      </w:r>
      <w:r w:rsidR="00563A3F" w:rsidRPr="003C2011">
        <w:rPr>
          <w:rFonts w:ascii="Times New Roman" w:hAnsi="Times New Roman" w:cs="Times New Roman"/>
          <w:sz w:val="24"/>
          <w:szCs w:val="24"/>
          <w:lang w:val="en-GB"/>
        </w:rPr>
        <w:t>7</w:t>
      </w:r>
      <w:r w:rsidR="00CD4646" w:rsidRPr="003C2011">
        <w:rPr>
          <w:rFonts w:ascii="Times New Roman" w:hAnsi="Times New Roman" w:cs="Times New Roman"/>
          <w:sz w:val="24"/>
          <w:szCs w:val="24"/>
          <w:lang w:val="en-GB"/>
        </w:rPr>
        <w:t xml:space="preserve"> (51%) </w:t>
      </w:r>
      <w:r w:rsidR="005C778D" w:rsidRPr="003C2011">
        <w:rPr>
          <w:rFonts w:ascii="Times New Roman" w:hAnsi="Times New Roman" w:cs="Times New Roman"/>
          <w:sz w:val="24"/>
          <w:szCs w:val="24"/>
          <w:lang w:val="en-GB"/>
        </w:rPr>
        <w:t>to</w:t>
      </w:r>
      <w:r w:rsidR="00CD4646" w:rsidRPr="003C2011">
        <w:rPr>
          <w:rFonts w:ascii="Times New Roman" w:hAnsi="Times New Roman" w:cs="Times New Roman"/>
          <w:sz w:val="24"/>
          <w:szCs w:val="24"/>
          <w:lang w:val="en-GB"/>
        </w:rPr>
        <w:t xml:space="preserve"> the antibiotic </w:t>
      </w:r>
      <w:r w:rsidR="00CD4646" w:rsidRPr="003C2011">
        <w:rPr>
          <w:rFonts w:ascii="Times New Roman" w:hAnsi="Times New Roman" w:cs="Times New Roman"/>
          <w:sz w:val="24"/>
          <w:szCs w:val="24"/>
          <w:lang w:val="en-GB"/>
        </w:rPr>
        <w:lastRenderedPageBreak/>
        <w:t xml:space="preserve">group. At the 12-month </w:t>
      </w:r>
      <w:r w:rsidR="007436B7" w:rsidRPr="003C2011">
        <w:rPr>
          <w:rFonts w:ascii="Times New Roman" w:hAnsi="Times New Roman" w:cs="Times New Roman"/>
          <w:sz w:val="24"/>
          <w:szCs w:val="24"/>
          <w:lang w:val="en-GB"/>
        </w:rPr>
        <w:t>follow up</w:t>
      </w:r>
      <w:r w:rsidR="00CD4646" w:rsidRPr="003C2011">
        <w:rPr>
          <w:rFonts w:ascii="Times New Roman" w:hAnsi="Times New Roman" w:cs="Times New Roman"/>
          <w:sz w:val="24"/>
          <w:szCs w:val="24"/>
          <w:lang w:val="en-GB"/>
        </w:rPr>
        <w:t xml:space="preserve">, </w:t>
      </w:r>
      <w:r w:rsidR="009C3FB4" w:rsidRPr="003C2011">
        <w:rPr>
          <w:rFonts w:ascii="Times New Roman" w:hAnsi="Times New Roman" w:cs="Times New Roman"/>
          <w:sz w:val="24"/>
          <w:szCs w:val="24"/>
          <w:lang w:val="en-GB"/>
        </w:rPr>
        <w:t>data were available for 846 (90.3%)</w:t>
      </w:r>
      <w:r w:rsidR="00DE363D" w:rsidRPr="003C2011">
        <w:rPr>
          <w:rFonts w:ascii="Times New Roman" w:hAnsi="Times New Roman" w:cs="Times New Roman"/>
          <w:sz w:val="24"/>
          <w:szCs w:val="24"/>
          <w:lang w:val="en-GB"/>
        </w:rPr>
        <w:t xml:space="preserve"> of whom </w:t>
      </w:r>
      <w:r w:rsidR="00CD4646" w:rsidRPr="003C2011">
        <w:rPr>
          <w:rFonts w:ascii="Times New Roman" w:hAnsi="Times New Roman" w:cs="Times New Roman"/>
          <w:sz w:val="24"/>
          <w:szCs w:val="24"/>
          <w:lang w:val="en-GB"/>
        </w:rPr>
        <w:t xml:space="preserve">394 </w:t>
      </w:r>
      <w:r w:rsidR="00857F3E" w:rsidRPr="003C2011">
        <w:rPr>
          <w:rFonts w:ascii="Times New Roman" w:hAnsi="Times New Roman" w:cs="Times New Roman"/>
          <w:sz w:val="24"/>
          <w:szCs w:val="24"/>
          <w:lang w:val="en-GB"/>
        </w:rPr>
        <w:t xml:space="preserve">were </w:t>
      </w:r>
      <w:r w:rsidR="00CD4646" w:rsidRPr="003C2011">
        <w:rPr>
          <w:rFonts w:ascii="Times New Roman" w:hAnsi="Times New Roman" w:cs="Times New Roman"/>
          <w:sz w:val="24"/>
          <w:szCs w:val="24"/>
          <w:lang w:val="en-GB"/>
        </w:rPr>
        <w:t>in the appendectomy group and 45</w:t>
      </w:r>
      <w:r w:rsidR="006C1822" w:rsidRPr="003C2011">
        <w:rPr>
          <w:rFonts w:ascii="Times New Roman" w:hAnsi="Times New Roman" w:cs="Times New Roman"/>
          <w:sz w:val="24"/>
          <w:szCs w:val="24"/>
          <w:lang w:val="en-GB"/>
        </w:rPr>
        <w:t>2</w:t>
      </w:r>
      <w:r w:rsidR="00CD4646" w:rsidRPr="003C2011">
        <w:rPr>
          <w:rFonts w:ascii="Times New Roman" w:hAnsi="Times New Roman" w:cs="Times New Roman"/>
          <w:sz w:val="24"/>
          <w:szCs w:val="24"/>
          <w:lang w:val="en-GB"/>
        </w:rPr>
        <w:t xml:space="preserve"> in the antibiotic group</w:t>
      </w:r>
      <w:r w:rsidR="00857F3E" w:rsidRPr="003C2011">
        <w:rPr>
          <w:rFonts w:ascii="Times New Roman" w:hAnsi="Times New Roman" w:cs="Times New Roman"/>
          <w:sz w:val="24"/>
          <w:szCs w:val="24"/>
          <w:lang w:val="en-GB"/>
        </w:rPr>
        <w:t>.</w:t>
      </w:r>
      <w:r w:rsidR="00720BF9" w:rsidRPr="003C2011">
        <w:rPr>
          <w:rFonts w:ascii="Times New Roman" w:hAnsi="Times New Roman" w:cs="Times New Roman"/>
          <w:sz w:val="24"/>
          <w:szCs w:val="24"/>
          <w:lang w:val="en-GB"/>
        </w:rPr>
        <w:t xml:space="preserve"> The remainder of cases </w:t>
      </w:r>
      <w:r w:rsidR="00373DFB" w:rsidRPr="003C2011">
        <w:rPr>
          <w:rFonts w:ascii="Times New Roman" w:hAnsi="Times New Roman" w:cs="Times New Roman"/>
          <w:sz w:val="24"/>
          <w:szCs w:val="24"/>
          <w:lang w:val="en-GB"/>
        </w:rPr>
        <w:t>could not be contacted to ascertain their treatment failure status.</w:t>
      </w:r>
      <w:r w:rsidR="00857F3E" w:rsidRPr="003C2011">
        <w:rPr>
          <w:rFonts w:ascii="Times New Roman" w:hAnsi="Times New Roman" w:cs="Times New Roman"/>
          <w:sz w:val="24"/>
          <w:szCs w:val="24"/>
          <w:lang w:val="en-GB"/>
        </w:rPr>
        <w:t xml:space="preserve"> </w:t>
      </w:r>
      <w:r w:rsidR="00CD4646" w:rsidRPr="003C2011">
        <w:rPr>
          <w:rFonts w:ascii="Times New Roman" w:hAnsi="Times New Roman" w:cs="Times New Roman"/>
          <w:sz w:val="24"/>
          <w:szCs w:val="24"/>
          <w:lang w:val="en-GB"/>
        </w:rPr>
        <w:t xml:space="preserve">See CONSORT flow diagram for details (Figure 1). </w:t>
      </w:r>
    </w:p>
    <w:p w14:paraId="45E85897" w14:textId="7C427F18" w:rsidR="00CD4646" w:rsidRPr="003C2011" w:rsidRDefault="00CD4646" w:rsidP="00CD4646">
      <w:pPr>
        <w:tabs>
          <w:tab w:val="left" w:pos="720"/>
          <w:tab w:val="left" w:pos="1440"/>
          <w:tab w:val="left" w:pos="2160"/>
          <w:tab w:val="left" w:pos="2880"/>
          <w:tab w:val="left" w:pos="3600"/>
          <w:tab w:val="left" w:pos="4320"/>
        </w:tabs>
        <w:spacing w:after="240" w:line="480" w:lineRule="auto"/>
        <w:rPr>
          <w:rFonts w:ascii="Times New Roman" w:hAnsi="Times New Roman" w:cs="Times New Roman"/>
          <w:sz w:val="24"/>
          <w:szCs w:val="24"/>
          <w:lang w:val="en-GB"/>
        </w:rPr>
      </w:pPr>
      <w:r w:rsidRPr="003C2011">
        <w:rPr>
          <w:rFonts w:ascii="Times New Roman" w:hAnsi="Times New Roman" w:cs="Times New Roman"/>
          <w:sz w:val="24"/>
          <w:szCs w:val="24"/>
          <w:lang w:val="en-GB"/>
        </w:rPr>
        <w:t>At initial presentation, patient demographics</w:t>
      </w:r>
      <w:r w:rsidR="00A27EF9" w:rsidRPr="003C2011">
        <w:rPr>
          <w:rFonts w:ascii="Times New Roman" w:hAnsi="Times New Roman" w:cs="Times New Roman"/>
          <w:sz w:val="24"/>
          <w:szCs w:val="24"/>
          <w:lang w:val="en-GB"/>
        </w:rPr>
        <w:t xml:space="preserve"> includ</w:t>
      </w:r>
      <w:r w:rsidR="003367AC" w:rsidRPr="003C2011">
        <w:rPr>
          <w:rFonts w:ascii="Times New Roman" w:hAnsi="Times New Roman" w:cs="Times New Roman"/>
          <w:sz w:val="24"/>
          <w:szCs w:val="24"/>
          <w:lang w:val="en-GB"/>
        </w:rPr>
        <w:t>ing</w:t>
      </w:r>
      <w:r w:rsidR="00A27EF9" w:rsidRPr="003C2011">
        <w:rPr>
          <w:rFonts w:ascii="Times New Roman" w:hAnsi="Times New Roman" w:cs="Times New Roman"/>
          <w:sz w:val="24"/>
          <w:szCs w:val="24"/>
          <w:lang w:val="en-GB"/>
        </w:rPr>
        <w:t xml:space="preserve"> age at admission, weight, body mass index, and </w:t>
      </w:r>
      <w:r w:rsidR="00F80208" w:rsidRPr="003C2011">
        <w:rPr>
          <w:rFonts w:ascii="Times New Roman" w:hAnsi="Times New Roman" w:cs="Times New Roman"/>
          <w:sz w:val="24"/>
          <w:szCs w:val="24"/>
          <w:lang w:val="en-GB"/>
        </w:rPr>
        <w:t>sex</w:t>
      </w:r>
      <w:r w:rsidR="00A27EF9" w:rsidRPr="003C2011">
        <w:rPr>
          <w:rFonts w:ascii="Times New Roman" w:hAnsi="Times New Roman" w:cs="Times New Roman"/>
          <w:sz w:val="24"/>
          <w:szCs w:val="24"/>
          <w:lang w:val="en-GB"/>
        </w:rPr>
        <w:t xml:space="preserve"> </w:t>
      </w:r>
      <w:r w:rsidR="003367AC" w:rsidRPr="003C2011">
        <w:rPr>
          <w:rFonts w:ascii="Times New Roman" w:hAnsi="Times New Roman" w:cs="Times New Roman"/>
          <w:sz w:val="24"/>
          <w:szCs w:val="24"/>
          <w:lang w:val="en-GB"/>
        </w:rPr>
        <w:t xml:space="preserve">were similar in both groups </w:t>
      </w:r>
      <w:r w:rsidRPr="003C2011">
        <w:rPr>
          <w:rFonts w:ascii="Times New Roman" w:hAnsi="Times New Roman" w:cs="Times New Roman"/>
          <w:sz w:val="24"/>
          <w:szCs w:val="24"/>
          <w:lang w:val="en-GB"/>
        </w:rPr>
        <w:t xml:space="preserve">(Table </w:t>
      </w:r>
      <w:r w:rsidR="009E70D1" w:rsidRPr="003C2011">
        <w:rPr>
          <w:rFonts w:ascii="Times New Roman" w:hAnsi="Times New Roman" w:cs="Times New Roman"/>
          <w:sz w:val="24"/>
          <w:szCs w:val="24"/>
          <w:lang w:val="en-GB"/>
        </w:rPr>
        <w:t>1</w:t>
      </w:r>
      <w:r w:rsidRPr="003C2011">
        <w:rPr>
          <w:rFonts w:ascii="Times New Roman" w:hAnsi="Times New Roman" w:cs="Times New Roman"/>
          <w:sz w:val="24"/>
          <w:szCs w:val="24"/>
          <w:lang w:val="en-GB"/>
        </w:rPr>
        <w:t xml:space="preserve">). In addition, </w:t>
      </w:r>
      <w:r w:rsidR="003367AC" w:rsidRPr="003C2011">
        <w:rPr>
          <w:rFonts w:ascii="Times New Roman" w:hAnsi="Times New Roman" w:cs="Times New Roman"/>
          <w:sz w:val="24"/>
          <w:szCs w:val="24"/>
          <w:lang w:val="en-GB"/>
        </w:rPr>
        <w:t xml:space="preserve">baseline clinical and radiological </w:t>
      </w:r>
      <w:r w:rsidR="00D411BB" w:rsidRPr="003C2011">
        <w:rPr>
          <w:rFonts w:ascii="Times New Roman" w:hAnsi="Times New Roman" w:cs="Times New Roman"/>
          <w:sz w:val="24"/>
          <w:szCs w:val="24"/>
          <w:lang w:val="en-GB"/>
        </w:rPr>
        <w:t>characteristics including</w:t>
      </w:r>
      <w:r w:rsidRPr="003C2011">
        <w:rPr>
          <w:rFonts w:ascii="Times New Roman" w:hAnsi="Times New Roman" w:cs="Times New Roman"/>
          <w:sz w:val="24"/>
          <w:szCs w:val="24"/>
          <w:lang w:val="en-GB"/>
        </w:rPr>
        <w:t xml:space="preserve"> the presence of a fecalith on imaging </w:t>
      </w:r>
      <w:r w:rsidR="00D84235" w:rsidRPr="003C2011">
        <w:rPr>
          <w:rFonts w:ascii="Times New Roman" w:hAnsi="Times New Roman" w:cs="Times New Roman"/>
          <w:sz w:val="24"/>
          <w:szCs w:val="24"/>
          <w:lang w:val="en-GB"/>
        </w:rPr>
        <w:t xml:space="preserve">were similar </w:t>
      </w:r>
      <w:r w:rsidRPr="003C2011">
        <w:rPr>
          <w:rFonts w:ascii="Times New Roman" w:hAnsi="Times New Roman" w:cs="Times New Roman"/>
          <w:sz w:val="24"/>
          <w:szCs w:val="24"/>
          <w:lang w:val="en-GB"/>
        </w:rPr>
        <w:t xml:space="preserve">(Table </w:t>
      </w:r>
      <w:r w:rsidR="005867C3" w:rsidRPr="003C2011">
        <w:rPr>
          <w:rFonts w:ascii="Times New Roman" w:hAnsi="Times New Roman" w:cs="Times New Roman"/>
          <w:sz w:val="24"/>
          <w:szCs w:val="24"/>
          <w:lang w:val="en-GB"/>
        </w:rPr>
        <w:t>1</w:t>
      </w:r>
      <w:r w:rsidRPr="003C2011">
        <w:rPr>
          <w:rFonts w:ascii="Times New Roman" w:hAnsi="Times New Roman" w:cs="Times New Roman"/>
          <w:sz w:val="24"/>
          <w:szCs w:val="24"/>
          <w:lang w:val="en-GB"/>
        </w:rPr>
        <w:t>)</w:t>
      </w:r>
      <w:r w:rsidR="00C22483" w:rsidRPr="003C2011">
        <w:rPr>
          <w:rFonts w:ascii="Times New Roman" w:hAnsi="Times New Roman" w:cs="Times New Roman"/>
          <w:sz w:val="24"/>
          <w:szCs w:val="24"/>
          <w:lang w:val="en-GB"/>
        </w:rPr>
        <w:t>.</w:t>
      </w:r>
      <w:r w:rsidRPr="003C2011">
        <w:rPr>
          <w:rFonts w:ascii="Times New Roman" w:hAnsi="Times New Roman" w:cs="Times New Roman"/>
          <w:sz w:val="24"/>
          <w:szCs w:val="24"/>
          <w:lang w:val="en-GB"/>
        </w:rPr>
        <w:t xml:space="preserve"> </w:t>
      </w:r>
    </w:p>
    <w:p w14:paraId="06B4A759" w14:textId="77777777" w:rsidR="00CD4646" w:rsidRPr="003C2011" w:rsidRDefault="00CD4646" w:rsidP="00CD4646">
      <w:pPr>
        <w:tabs>
          <w:tab w:val="left" w:pos="720"/>
          <w:tab w:val="left" w:pos="1440"/>
          <w:tab w:val="left" w:pos="2160"/>
          <w:tab w:val="left" w:pos="2880"/>
          <w:tab w:val="left" w:pos="3600"/>
          <w:tab w:val="left" w:pos="4320"/>
        </w:tabs>
        <w:spacing w:after="240" w:line="480" w:lineRule="auto"/>
        <w:rPr>
          <w:rFonts w:ascii="Times New Roman" w:hAnsi="Times New Roman" w:cs="Times New Roman"/>
          <w:b/>
          <w:bCs/>
          <w:i/>
          <w:sz w:val="24"/>
          <w:szCs w:val="24"/>
          <w:lang w:val="en-GB"/>
        </w:rPr>
      </w:pPr>
      <w:r w:rsidRPr="003C2011">
        <w:rPr>
          <w:rFonts w:ascii="Times New Roman" w:hAnsi="Times New Roman" w:cs="Times New Roman"/>
          <w:b/>
          <w:bCs/>
          <w:i/>
          <w:iCs/>
          <w:sz w:val="24"/>
          <w:szCs w:val="24"/>
          <w:lang w:val="en-GB"/>
        </w:rPr>
        <w:t xml:space="preserve">Primary Outcome </w:t>
      </w:r>
    </w:p>
    <w:p w14:paraId="5B84B51B" w14:textId="7A41A49C" w:rsidR="00CD4646" w:rsidRPr="003C2011" w:rsidRDefault="00650D7E" w:rsidP="00CD4646">
      <w:pPr>
        <w:tabs>
          <w:tab w:val="left" w:pos="720"/>
          <w:tab w:val="left" w:pos="1440"/>
          <w:tab w:val="left" w:pos="2160"/>
          <w:tab w:val="left" w:pos="2880"/>
          <w:tab w:val="left" w:pos="3600"/>
          <w:tab w:val="left" w:pos="4320"/>
        </w:tabs>
        <w:spacing w:after="240" w:line="480" w:lineRule="auto"/>
        <w:rPr>
          <w:rFonts w:ascii="Times New Roman" w:hAnsi="Times New Roman" w:cs="Times New Roman"/>
          <w:sz w:val="24"/>
          <w:szCs w:val="24"/>
          <w:lang w:val="en-GB"/>
        </w:rPr>
      </w:pPr>
      <w:r w:rsidRPr="003C2011">
        <w:rPr>
          <w:rFonts w:ascii="Times New Roman" w:hAnsi="Times New Roman" w:cs="Times New Roman"/>
          <w:sz w:val="24"/>
          <w:szCs w:val="24"/>
          <w:lang w:val="en-GB"/>
        </w:rPr>
        <w:t xml:space="preserve">Primary outcome was assessed in those with </w:t>
      </w:r>
      <w:r w:rsidR="00A73B23" w:rsidRPr="003C2011">
        <w:rPr>
          <w:rFonts w:ascii="Times New Roman" w:hAnsi="Times New Roman" w:cs="Times New Roman"/>
          <w:sz w:val="24"/>
          <w:szCs w:val="24"/>
          <w:lang w:val="en-GB"/>
        </w:rPr>
        <w:t>12-month</w:t>
      </w:r>
      <w:r w:rsidRPr="003C2011">
        <w:rPr>
          <w:rFonts w:ascii="Times New Roman" w:hAnsi="Times New Roman" w:cs="Times New Roman"/>
          <w:sz w:val="24"/>
          <w:szCs w:val="24"/>
          <w:lang w:val="en-GB"/>
        </w:rPr>
        <w:t xml:space="preserve"> </w:t>
      </w:r>
      <w:r w:rsidR="00B00260" w:rsidRPr="003C2011">
        <w:rPr>
          <w:rFonts w:ascii="Times New Roman" w:hAnsi="Times New Roman" w:cs="Times New Roman"/>
          <w:sz w:val="24"/>
          <w:szCs w:val="24"/>
          <w:lang w:val="en-GB"/>
        </w:rPr>
        <w:t xml:space="preserve">follow-up. </w:t>
      </w:r>
      <w:r w:rsidR="001A7B03" w:rsidRPr="003C2011">
        <w:rPr>
          <w:rFonts w:ascii="Times New Roman" w:hAnsi="Times New Roman" w:cs="Times New Roman"/>
          <w:sz w:val="24"/>
          <w:szCs w:val="24"/>
          <w:lang w:val="en-GB"/>
        </w:rPr>
        <w:t xml:space="preserve">Treatment failure occurred in </w:t>
      </w:r>
      <w:r w:rsidRPr="003C2011">
        <w:rPr>
          <w:rFonts w:ascii="Times New Roman" w:hAnsi="Times New Roman" w:cs="Times New Roman"/>
          <w:sz w:val="24"/>
          <w:szCs w:val="24"/>
          <w:lang w:val="en-GB"/>
        </w:rPr>
        <w:t>7</w:t>
      </w:r>
      <w:r w:rsidR="00D411BB" w:rsidRPr="003C2011">
        <w:rPr>
          <w:rFonts w:ascii="Times New Roman" w:hAnsi="Times New Roman" w:cs="Times New Roman"/>
          <w:sz w:val="24"/>
          <w:szCs w:val="24"/>
          <w:lang w:val="en-GB"/>
        </w:rPr>
        <w:t>·</w:t>
      </w:r>
      <w:r w:rsidRPr="003C2011">
        <w:rPr>
          <w:rFonts w:ascii="Times New Roman" w:hAnsi="Times New Roman" w:cs="Times New Roman"/>
          <w:sz w:val="24"/>
          <w:szCs w:val="24"/>
          <w:lang w:val="en-GB"/>
        </w:rPr>
        <w:t xml:space="preserve">1% </w:t>
      </w:r>
      <w:r w:rsidR="00DA78C9" w:rsidRPr="003C2011">
        <w:rPr>
          <w:rFonts w:ascii="Times New Roman" w:hAnsi="Times New Roman" w:cs="Times New Roman"/>
          <w:sz w:val="24"/>
          <w:szCs w:val="24"/>
          <w:lang w:val="en-GB"/>
        </w:rPr>
        <w:t xml:space="preserve">(28/394) </w:t>
      </w:r>
      <w:r w:rsidRPr="003C2011">
        <w:rPr>
          <w:rFonts w:ascii="Times New Roman" w:hAnsi="Times New Roman" w:cs="Times New Roman"/>
          <w:sz w:val="24"/>
          <w:szCs w:val="24"/>
          <w:lang w:val="en-GB"/>
        </w:rPr>
        <w:t>of those in the appendectomy group</w:t>
      </w:r>
      <w:r w:rsidR="00716A44" w:rsidRPr="003C2011">
        <w:rPr>
          <w:rFonts w:ascii="Times New Roman" w:hAnsi="Times New Roman" w:cs="Times New Roman"/>
          <w:sz w:val="24"/>
          <w:szCs w:val="24"/>
          <w:lang w:val="en-GB"/>
        </w:rPr>
        <w:t xml:space="preserve"> and in </w:t>
      </w:r>
      <w:r w:rsidR="00DA78C9" w:rsidRPr="003C2011">
        <w:rPr>
          <w:rFonts w:ascii="Times New Roman" w:hAnsi="Times New Roman" w:cs="Times New Roman"/>
          <w:sz w:val="24"/>
          <w:szCs w:val="24"/>
          <w:lang w:val="en-GB"/>
        </w:rPr>
        <w:t>33</w:t>
      </w:r>
      <w:r w:rsidR="00D411BB" w:rsidRPr="003C2011">
        <w:rPr>
          <w:rFonts w:ascii="Times New Roman" w:hAnsi="Times New Roman" w:cs="Times New Roman"/>
          <w:sz w:val="24"/>
          <w:szCs w:val="24"/>
          <w:lang w:val="en-GB"/>
        </w:rPr>
        <w:t>·</w:t>
      </w:r>
      <w:r w:rsidR="00DA78C9" w:rsidRPr="003C2011">
        <w:rPr>
          <w:rFonts w:ascii="Times New Roman" w:hAnsi="Times New Roman" w:cs="Times New Roman"/>
          <w:sz w:val="24"/>
          <w:szCs w:val="24"/>
          <w:lang w:val="en-GB"/>
        </w:rPr>
        <w:t>8% (153/452) of those in the antibiotic</w:t>
      </w:r>
      <w:r w:rsidR="00EE52FF" w:rsidRPr="003C2011">
        <w:rPr>
          <w:rFonts w:ascii="Times New Roman" w:hAnsi="Times New Roman" w:cs="Times New Roman"/>
          <w:sz w:val="24"/>
          <w:szCs w:val="24"/>
          <w:lang w:val="en-GB"/>
        </w:rPr>
        <w:t xml:space="preserve"> group</w:t>
      </w:r>
      <w:r w:rsidR="00DA78C9" w:rsidRPr="003C2011">
        <w:rPr>
          <w:rFonts w:ascii="Times New Roman" w:hAnsi="Times New Roman" w:cs="Times New Roman"/>
          <w:sz w:val="24"/>
          <w:szCs w:val="24"/>
          <w:lang w:val="en-GB"/>
        </w:rPr>
        <w:t xml:space="preserve"> (Table </w:t>
      </w:r>
      <w:r w:rsidR="009E70D1" w:rsidRPr="003C2011">
        <w:rPr>
          <w:rFonts w:ascii="Times New Roman" w:hAnsi="Times New Roman" w:cs="Times New Roman"/>
          <w:sz w:val="24"/>
          <w:szCs w:val="24"/>
          <w:lang w:val="en-GB"/>
        </w:rPr>
        <w:t>2</w:t>
      </w:r>
      <w:r w:rsidR="00DA78C9" w:rsidRPr="003C2011">
        <w:rPr>
          <w:rFonts w:ascii="Times New Roman" w:hAnsi="Times New Roman" w:cs="Times New Roman"/>
          <w:sz w:val="24"/>
          <w:szCs w:val="24"/>
          <w:lang w:val="en-GB"/>
        </w:rPr>
        <w:t xml:space="preserve">). </w:t>
      </w:r>
      <w:r w:rsidR="009B299B" w:rsidRPr="003C2011">
        <w:rPr>
          <w:rFonts w:ascii="Times New Roman" w:hAnsi="Times New Roman" w:cs="Times New Roman"/>
          <w:sz w:val="24"/>
          <w:szCs w:val="24"/>
          <w:lang w:val="en-GB"/>
        </w:rPr>
        <w:t>The difference in proportion of treatment failures between trial arms</w:t>
      </w:r>
      <w:r w:rsidR="000E3741" w:rsidRPr="003C2011">
        <w:rPr>
          <w:rFonts w:ascii="Times New Roman" w:hAnsi="Times New Roman" w:cs="Times New Roman"/>
          <w:sz w:val="24"/>
          <w:szCs w:val="24"/>
          <w:lang w:val="en-GB"/>
        </w:rPr>
        <w:t xml:space="preserve"> (</w:t>
      </w:r>
      <w:r w:rsidR="00693D92" w:rsidRPr="003C2011">
        <w:rPr>
          <w:rFonts w:ascii="Times New Roman" w:hAnsi="Times New Roman" w:cs="Times New Roman"/>
          <w:sz w:val="24"/>
          <w:szCs w:val="24"/>
          <w:lang w:val="en-GB"/>
        </w:rPr>
        <w:t>antibiotics – appendectomy)</w:t>
      </w:r>
      <w:r w:rsidR="009B299B" w:rsidRPr="003C2011">
        <w:rPr>
          <w:rFonts w:ascii="Times New Roman" w:hAnsi="Times New Roman" w:cs="Times New Roman"/>
          <w:sz w:val="24"/>
          <w:szCs w:val="24"/>
          <w:lang w:val="en-GB"/>
        </w:rPr>
        <w:t xml:space="preserve"> was</w:t>
      </w:r>
      <w:r w:rsidR="00CD4646" w:rsidRPr="003C2011">
        <w:rPr>
          <w:rFonts w:ascii="Times New Roman" w:hAnsi="Times New Roman" w:cs="Times New Roman"/>
          <w:sz w:val="24"/>
          <w:szCs w:val="24"/>
          <w:lang w:val="en-GB"/>
        </w:rPr>
        <w:t xml:space="preserve"> 26</w:t>
      </w:r>
      <w:r w:rsidR="00D411BB" w:rsidRPr="003C2011">
        <w:rPr>
          <w:rFonts w:ascii="Times New Roman" w:hAnsi="Times New Roman" w:cs="Times New Roman"/>
          <w:sz w:val="24"/>
          <w:szCs w:val="24"/>
          <w:lang w:val="en-GB"/>
        </w:rPr>
        <w:t>·</w:t>
      </w:r>
      <w:r w:rsidR="00CD4646" w:rsidRPr="003C2011">
        <w:rPr>
          <w:rFonts w:ascii="Times New Roman" w:hAnsi="Times New Roman" w:cs="Times New Roman"/>
          <w:sz w:val="24"/>
          <w:szCs w:val="24"/>
          <w:lang w:val="en-GB"/>
        </w:rPr>
        <w:t>7%</w:t>
      </w:r>
      <w:r w:rsidR="00E11015" w:rsidRPr="003C2011">
        <w:rPr>
          <w:rFonts w:ascii="Times New Roman" w:hAnsi="Times New Roman" w:cs="Times New Roman"/>
          <w:sz w:val="24"/>
          <w:szCs w:val="24"/>
          <w:lang w:val="en-GB"/>
        </w:rPr>
        <w:t xml:space="preserve"> (90% CI: </w:t>
      </w:r>
      <w:r w:rsidR="004C1563" w:rsidRPr="003C2011">
        <w:rPr>
          <w:rFonts w:ascii="Times New Roman" w:hAnsi="Times New Roman" w:cs="Times New Roman"/>
          <w:sz w:val="24"/>
          <w:szCs w:val="24"/>
          <w:lang w:val="en-GB"/>
        </w:rPr>
        <w:t>22</w:t>
      </w:r>
      <w:r w:rsidR="00D411BB" w:rsidRPr="003C2011">
        <w:rPr>
          <w:rFonts w:ascii="Times New Roman" w:hAnsi="Times New Roman" w:cs="Times New Roman"/>
          <w:sz w:val="24"/>
          <w:szCs w:val="24"/>
          <w:lang w:val="en-GB"/>
        </w:rPr>
        <w:t>·</w:t>
      </w:r>
      <w:r w:rsidR="004C1563" w:rsidRPr="003C2011">
        <w:rPr>
          <w:rFonts w:ascii="Times New Roman" w:hAnsi="Times New Roman" w:cs="Times New Roman"/>
          <w:sz w:val="24"/>
          <w:szCs w:val="24"/>
          <w:lang w:val="en-GB"/>
        </w:rPr>
        <w:t>4%</w:t>
      </w:r>
      <w:r w:rsidR="00E11015" w:rsidRPr="003C2011">
        <w:rPr>
          <w:rFonts w:ascii="Times New Roman" w:hAnsi="Times New Roman" w:cs="Times New Roman"/>
          <w:sz w:val="24"/>
          <w:szCs w:val="24"/>
          <w:lang w:val="en-GB"/>
        </w:rPr>
        <w:t>, 3</w:t>
      </w:r>
      <w:r w:rsidR="004C1563" w:rsidRPr="003C2011">
        <w:rPr>
          <w:rFonts w:ascii="Times New Roman" w:hAnsi="Times New Roman" w:cs="Times New Roman"/>
          <w:sz w:val="24"/>
          <w:szCs w:val="24"/>
          <w:lang w:val="en-GB"/>
        </w:rPr>
        <w:t>0</w:t>
      </w:r>
      <w:r w:rsidR="00D411BB" w:rsidRPr="003C2011">
        <w:rPr>
          <w:rFonts w:ascii="Times New Roman" w:hAnsi="Times New Roman" w:cs="Times New Roman"/>
          <w:sz w:val="24"/>
          <w:szCs w:val="24"/>
          <w:lang w:val="en-GB"/>
        </w:rPr>
        <w:t>·</w:t>
      </w:r>
      <w:r w:rsidR="004C1563" w:rsidRPr="003C2011">
        <w:rPr>
          <w:rFonts w:ascii="Times New Roman" w:hAnsi="Times New Roman" w:cs="Times New Roman"/>
          <w:sz w:val="24"/>
          <w:szCs w:val="24"/>
          <w:lang w:val="en-GB"/>
        </w:rPr>
        <w:t>9%</w:t>
      </w:r>
      <w:r w:rsidR="00E11015" w:rsidRPr="003C2011">
        <w:rPr>
          <w:rFonts w:ascii="Times New Roman" w:hAnsi="Times New Roman" w:cs="Times New Roman"/>
          <w:sz w:val="24"/>
          <w:szCs w:val="24"/>
          <w:lang w:val="en-GB"/>
        </w:rPr>
        <w:t>)</w:t>
      </w:r>
      <w:r w:rsidR="00CD4646" w:rsidRPr="003C2011">
        <w:rPr>
          <w:rFonts w:ascii="Times New Roman" w:hAnsi="Times New Roman" w:cs="Times New Roman"/>
          <w:sz w:val="24"/>
          <w:szCs w:val="24"/>
          <w:lang w:val="en-GB"/>
        </w:rPr>
        <w:t>.</w:t>
      </w:r>
      <w:r w:rsidR="00693D92" w:rsidRPr="003C2011">
        <w:rPr>
          <w:rFonts w:ascii="Times New Roman" w:hAnsi="Times New Roman" w:cs="Times New Roman"/>
          <w:sz w:val="24"/>
          <w:szCs w:val="24"/>
          <w:lang w:val="en-GB"/>
        </w:rPr>
        <w:t xml:space="preserve"> Since the upper bound of the confidence interval (30</w:t>
      </w:r>
      <w:r w:rsidR="00D411BB" w:rsidRPr="003C2011">
        <w:rPr>
          <w:rFonts w:ascii="Times New Roman" w:hAnsi="Times New Roman" w:cs="Times New Roman"/>
          <w:sz w:val="24"/>
          <w:szCs w:val="24"/>
          <w:lang w:val="en-GB"/>
        </w:rPr>
        <w:t>·</w:t>
      </w:r>
      <w:r w:rsidR="00693D92" w:rsidRPr="003C2011">
        <w:rPr>
          <w:rFonts w:ascii="Times New Roman" w:hAnsi="Times New Roman" w:cs="Times New Roman"/>
          <w:sz w:val="24"/>
          <w:szCs w:val="24"/>
          <w:lang w:val="en-GB"/>
        </w:rPr>
        <w:t xml:space="preserve">9) was greater than the inferiority margin (20), inferiority </w:t>
      </w:r>
      <w:r w:rsidR="009C4698" w:rsidRPr="003C2011">
        <w:rPr>
          <w:rFonts w:ascii="Times New Roman" w:hAnsi="Times New Roman" w:cs="Times New Roman"/>
          <w:sz w:val="24"/>
          <w:szCs w:val="24"/>
          <w:lang w:val="en-GB"/>
        </w:rPr>
        <w:t>cannot</w:t>
      </w:r>
      <w:r w:rsidR="00693D92" w:rsidRPr="003C2011">
        <w:rPr>
          <w:rFonts w:ascii="Times New Roman" w:hAnsi="Times New Roman" w:cs="Times New Roman"/>
          <w:sz w:val="24"/>
          <w:szCs w:val="24"/>
          <w:lang w:val="en-GB"/>
        </w:rPr>
        <w:t xml:space="preserve"> be rejected.</w:t>
      </w:r>
      <w:r w:rsidR="00CD4646" w:rsidRPr="003C2011">
        <w:rPr>
          <w:rFonts w:ascii="Times New Roman" w:hAnsi="Times New Roman" w:cs="Times New Roman"/>
          <w:sz w:val="24"/>
          <w:szCs w:val="24"/>
          <w:lang w:val="en-GB"/>
        </w:rPr>
        <w:t xml:space="preserve"> Of those who </w:t>
      </w:r>
      <w:r w:rsidR="00D84235" w:rsidRPr="003C2011">
        <w:rPr>
          <w:rFonts w:ascii="Times New Roman" w:hAnsi="Times New Roman" w:cs="Times New Roman"/>
          <w:sz w:val="24"/>
          <w:szCs w:val="24"/>
          <w:lang w:val="en-GB"/>
        </w:rPr>
        <w:t xml:space="preserve">met the definition for treatment </w:t>
      </w:r>
      <w:r w:rsidR="00CD4646" w:rsidRPr="003C2011">
        <w:rPr>
          <w:rFonts w:ascii="Times New Roman" w:hAnsi="Times New Roman" w:cs="Times New Roman"/>
          <w:sz w:val="24"/>
          <w:szCs w:val="24"/>
          <w:lang w:val="en-GB"/>
        </w:rPr>
        <w:t>fail</w:t>
      </w:r>
      <w:r w:rsidR="00D84235" w:rsidRPr="003C2011">
        <w:rPr>
          <w:rFonts w:ascii="Times New Roman" w:hAnsi="Times New Roman" w:cs="Times New Roman"/>
          <w:sz w:val="24"/>
          <w:szCs w:val="24"/>
          <w:lang w:val="en-GB"/>
        </w:rPr>
        <w:t>ure</w:t>
      </w:r>
      <w:r w:rsidR="00CD4646" w:rsidRPr="003C2011">
        <w:rPr>
          <w:rFonts w:ascii="Times New Roman" w:hAnsi="Times New Roman" w:cs="Times New Roman"/>
          <w:sz w:val="24"/>
          <w:szCs w:val="24"/>
          <w:lang w:val="en-GB"/>
        </w:rPr>
        <w:t xml:space="preserve"> in the antibiotic group, 72 occurred during the index admission and 81 occurred after discharge. In the appendectomy group </w:t>
      </w:r>
      <w:r w:rsidR="009531F8" w:rsidRPr="003C2011">
        <w:rPr>
          <w:rFonts w:ascii="Times New Roman" w:hAnsi="Times New Roman" w:cs="Times New Roman"/>
          <w:sz w:val="24"/>
          <w:szCs w:val="24"/>
          <w:lang w:val="en-GB"/>
        </w:rPr>
        <w:t xml:space="preserve">the majority of cases </w:t>
      </w:r>
      <w:r w:rsidR="00B57780" w:rsidRPr="003C2011">
        <w:rPr>
          <w:rFonts w:ascii="Times New Roman" w:hAnsi="Times New Roman" w:cs="Times New Roman"/>
          <w:sz w:val="24"/>
          <w:szCs w:val="24"/>
          <w:lang w:val="en-GB"/>
        </w:rPr>
        <w:t xml:space="preserve">(27/28) </w:t>
      </w:r>
      <w:r w:rsidR="009531F8" w:rsidRPr="003C2011">
        <w:rPr>
          <w:rFonts w:ascii="Times New Roman" w:hAnsi="Times New Roman" w:cs="Times New Roman"/>
          <w:sz w:val="24"/>
          <w:szCs w:val="24"/>
          <w:lang w:val="en-GB"/>
        </w:rPr>
        <w:t xml:space="preserve">that met the definition for treatment failure were negative appendectomies </w:t>
      </w:r>
      <w:r w:rsidR="00EB4C33" w:rsidRPr="003C2011">
        <w:rPr>
          <w:rFonts w:ascii="Times New Roman" w:hAnsi="Times New Roman" w:cs="Times New Roman"/>
          <w:sz w:val="24"/>
          <w:szCs w:val="24"/>
          <w:lang w:val="en-GB"/>
        </w:rPr>
        <w:t xml:space="preserve">and </w:t>
      </w:r>
      <w:r w:rsidR="00CD4646" w:rsidRPr="003C2011">
        <w:rPr>
          <w:rFonts w:ascii="Times New Roman" w:hAnsi="Times New Roman" w:cs="Times New Roman"/>
          <w:sz w:val="24"/>
          <w:szCs w:val="24"/>
          <w:lang w:val="en-GB"/>
        </w:rPr>
        <w:t xml:space="preserve">there was </w:t>
      </w:r>
      <w:r w:rsidR="00D411BB" w:rsidRPr="003C2011">
        <w:rPr>
          <w:rFonts w:ascii="Times New Roman" w:hAnsi="Times New Roman" w:cs="Times New Roman"/>
          <w:sz w:val="24"/>
          <w:szCs w:val="24"/>
          <w:lang w:val="en-GB"/>
        </w:rPr>
        <w:t xml:space="preserve">one </w:t>
      </w:r>
      <w:r w:rsidR="00EB4C33" w:rsidRPr="003C2011">
        <w:rPr>
          <w:rFonts w:ascii="Times New Roman" w:hAnsi="Times New Roman" w:cs="Times New Roman"/>
          <w:sz w:val="24"/>
          <w:szCs w:val="24"/>
          <w:lang w:val="en-GB"/>
        </w:rPr>
        <w:t xml:space="preserve">patient </w:t>
      </w:r>
      <w:r w:rsidR="00CD4646" w:rsidRPr="003C2011">
        <w:rPr>
          <w:rFonts w:ascii="Times New Roman" w:hAnsi="Times New Roman" w:cs="Times New Roman"/>
          <w:sz w:val="24"/>
          <w:szCs w:val="24"/>
          <w:lang w:val="en-GB"/>
        </w:rPr>
        <w:t xml:space="preserve">who returned to the operating room </w:t>
      </w:r>
      <w:r w:rsidR="003F10B7" w:rsidRPr="003C2011">
        <w:rPr>
          <w:rFonts w:ascii="Times New Roman" w:hAnsi="Times New Roman" w:cs="Times New Roman"/>
          <w:sz w:val="24"/>
          <w:szCs w:val="24"/>
          <w:lang w:val="en-GB"/>
        </w:rPr>
        <w:t xml:space="preserve">for a related procedure under general </w:t>
      </w:r>
      <w:r w:rsidR="00940016" w:rsidRPr="003C2011">
        <w:rPr>
          <w:rFonts w:ascii="Times New Roman" w:hAnsi="Times New Roman" w:cs="Times New Roman"/>
          <w:sz w:val="24"/>
          <w:szCs w:val="24"/>
          <w:lang w:val="en-GB"/>
        </w:rPr>
        <w:t>anaesthesia</w:t>
      </w:r>
      <w:r w:rsidR="00EB4C33" w:rsidRPr="003C2011">
        <w:rPr>
          <w:rFonts w:ascii="Times New Roman" w:hAnsi="Times New Roman" w:cs="Times New Roman"/>
          <w:sz w:val="24"/>
          <w:szCs w:val="24"/>
          <w:lang w:val="en-GB"/>
        </w:rPr>
        <w:t>.</w:t>
      </w:r>
      <w:r w:rsidR="009E70D1" w:rsidRPr="003C2011">
        <w:rPr>
          <w:rFonts w:ascii="Times New Roman" w:hAnsi="Times New Roman" w:cs="Times New Roman"/>
          <w:sz w:val="24"/>
          <w:szCs w:val="24"/>
          <w:lang w:val="en-GB"/>
        </w:rPr>
        <w:t xml:space="preserve"> Primary outcome by stratification factors is demonstrated in </w:t>
      </w:r>
      <w:r w:rsidR="00777757" w:rsidRPr="003C2011">
        <w:rPr>
          <w:rFonts w:ascii="Times New Roman" w:hAnsi="Times New Roman" w:cs="Times New Roman"/>
          <w:sz w:val="24"/>
          <w:szCs w:val="24"/>
          <w:lang w:val="en-GB"/>
        </w:rPr>
        <w:t>S</w:t>
      </w:r>
      <w:r w:rsidR="009E70D1" w:rsidRPr="003C2011">
        <w:rPr>
          <w:rFonts w:ascii="Times New Roman" w:hAnsi="Times New Roman" w:cs="Times New Roman"/>
          <w:sz w:val="24"/>
          <w:szCs w:val="24"/>
          <w:lang w:val="en-GB"/>
        </w:rPr>
        <w:t xml:space="preserve">upplemental </w:t>
      </w:r>
      <w:r w:rsidR="00777757" w:rsidRPr="003C2011">
        <w:rPr>
          <w:rFonts w:ascii="Times New Roman" w:hAnsi="Times New Roman" w:cs="Times New Roman"/>
          <w:sz w:val="24"/>
          <w:szCs w:val="24"/>
          <w:lang w:val="en-GB"/>
        </w:rPr>
        <w:t>F</w:t>
      </w:r>
      <w:r w:rsidR="009E70D1" w:rsidRPr="003C2011">
        <w:rPr>
          <w:rFonts w:ascii="Times New Roman" w:hAnsi="Times New Roman" w:cs="Times New Roman"/>
          <w:sz w:val="24"/>
          <w:szCs w:val="24"/>
          <w:lang w:val="en-GB"/>
        </w:rPr>
        <w:t>igure 1.</w:t>
      </w:r>
      <w:r w:rsidR="00CD4646" w:rsidRPr="003C2011">
        <w:rPr>
          <w:rFonts w:ascii="Times New Roman" w:hAnsi="Times New Roman" w:cs="Times New Roman"/>
          <w:sz w:val="24"/>
          <w:szCs w:val="24"/>
          <w:lang w:val="en-GB"/>
        </w:rPr>
        <w:t xml:space="preserve"> </w:t>
      </w:r>
      <w:r w:rsidR="00B61179" w:rsidRPr="003C2011">
        <w:rPr>
          <w:rFonts w:ascii="Times New Roman" w:hAnsi="Times New Roman" w:cs="Times New Roman"/>
          <w:sz w:val="24"/>
          <w:szCs w:val="24"/>
          <w:lang w:val="en-GB"/>
        </w:rPr>
        <w:t>Time to failure in the antibiotic</w:t>
      </w:r>
      <w:r w:rsidR="00EE52FF" w:rsidRPr="003C2011">
        <w:rPr>
          <w:rFonts w:ascii="Times New Roman" w:hAnsi="Times New Roman" w:cs="Times New Roman"/>
          <w:sz w:val="24"/>
          <w:szCs w:val="24"/>
          <w:lang w:val="en-GB"/>
        </w:rPr>
        <w:t xml:space="preserve"> group</w:t>
      </w:r>
      <w:r w:rsidR="00B61179" w:rsidRPr="003C2011">
        <w:rPr>
          <w:rFonts w:ascii="Times New Roman" w:hAnsi="Times New Roman" w:cs="Times New Roman"/>
          <w:sz w:val="24"/>
          <w:szCs w:val="24"/>
          <w:lang w:val="en-GB"/>
        </w:rPr>
        <w:t xml:space="preserve"> is demonstrated in </w:t>
      </w:r>
      <w:r w:rsidR="00777757" w:rsidRPr="003C2011">
        <w:rPr>
          <w:rFonts w:ascii="Times New Roman" w:hAnsi="Times New Roman" w:cs="Times New Roman"/>
          <w:sz w:val="24"/>
          <w:szCs w:val="24"/>
          <w:lang w:val="en-GB"/>
        </w:rPr>
        <w:t>S</w:t>
      </w:r>
      <w:r w:rsidR="009E70D1" w:rsidRPr="003C2011">
        <w:rPr>
          <w:rFonts w:ascii="Times New Roman" w:hAnsi="Times New Roman" w:cs="Times New Roman"/>
          <w:sz w:val="24"/>
          <w:szCs w:val="24"/>
          <w:lang w:val="en-GB"/>
        </w:rPr>
        <w:t xml:space="preserve">upplemental </w:t>
      </w:r>
      <w:r w:rsidR="00B61179" w:rsidRPr="003C2011">
        <w:rPr>
          <w:rFonts w:ascii="Times New Roman" w:hAnsi="Times New Roman" w:cs="Times New Roman"/>
          <w:sz w:val="24"/>
          <w:szCs w:val="24"/>
          <w:lang w:val="en-GB"/>
        </w:rPr>
        <w:t xml:space="preserve">Figure 2. </w:t>
      </w:r>
    </w:p>
    <w:p w14:paraId="6DD9176B" w14:textId="481B6FF0" w:rsidR="000476D0" w:rsidRPr="003C2011" w:rsidRDefault="00B942FF" w:rsidP="000476D0">
      <w:pPr>
        <w:tabs>
          <w:tab w:val="left" w:pos="720"/>
          <w:tab w:val="left" w:pos="1440"/>
          <w:tab w:val="left" w:pos="2160"/>
          <w:tab w:val="left" w:pos="2880"/>
          <w:tab w:val="left" w:pos="3600"/>
          <w:tab w:val="left" w:pos="4320"/>
        </w:tabs>
        <w:spacing w:after="240" w:line="480" w:lineRule="auto"/>
        <w:rPr>
          <w:rFonts w:ascii="Times New Roman" w:hAnsi="Times New Roman" w:cs="Times New Roman"/>
          <w:sz w:val="24"/>
          <w:szCs w:val="24"/>
          <w:lang w:val="en-GB"/>
        </w:rPr>
      </w:pPr>
      <w:r w:rsidRPr="003C2011">
        <w:rPr>
          <w:rFonts w:ascii="Times New Roman" w:hAnsi="Times New Roman" w:cs="Times New Roman"/>
          <w:sz w:val="24"/>
          <w:szCs w:val="24"/>
          <w:lang w:val="en-GB"/>
        </w:rPr>
        <w:lastRenderedPageBreak/>
        <w:t>Since we did not have complete follow-up</w:t>
      </w:r>
      <w:r w:rsidR="00DB2790" w:rsidRPr="003C2011">
        <w:rPr>
          <w:rFonts w:ascii="Times New Roman" w:hAnsi="Times New Roman" w:cs="Times New Roman"/>
          <w:sz w:val="24"/>
          <w:szCs w:val="24"/>
          <w:lang w:val="en-GB"/>
        </w:rPr>
        <w:t>,</w:t>
      </w:r>
      <w:r w:rsidRPr="003C2011">
        <w:rPr>
          <w:rFonts w:ascii="Times New Roman" w:hAnsi="Times New Roman" w:cs="Times New Roman"/>
          <w:sz w:val="24"/>
          <w:szCs w:val="24"/>
          <w:lang w:val="en-GB"/>
        </w:rPr>
        <w:t xml:space="preserve"> </w:t>
      </w:r>
      <w:r w:rsidR="00E57D2D" w:rsidRPr="003C2011">
        <w:rPr>
          <w:rFonts w:ascii="Times New Roman" w:hAnsi="Times New Roman" w:cs="Times New Roman"/>
          <w:sz w:val="24"/>
          <w:szCs w:val="24"/>
          <w:lang w:val="en-GB"/>
        </w:rPr>
        <w:t>we</w:t>
      </w:r>
      <w:r w:rsidR="00C974AA" w:rsidRPr="003C2011">
        <w:rPr>
          <w:rFonts w:ascii="Times New Roman" w:hAnsi="Times New Roman" w:cs="Times New Roman"/>
          <w:sz w:val="24"/>
          <w:szCs w:val="24"/>
          <w:lang w:val="en-GB"/>
        </w:rPr>
        <w:t xml:space="preserve"> consider</w:t>
      </w:r>
      <w:r w:rsidR="00E57D2D" w:rsidRPr="003C2011">
        <w:rPr>
          <w:rFonts w:ascii="Times New Roman" w:hAnsi="Times New Roman" w:cs="Times New Roman"/>
          <w:sz w:val="24"/>
          <w:szCs w:val="24"/>
          <w:lang w:val="en-GB"/>
        </w:rPr>
        <w:t>ed</w:t>
      </w:r>
      <w:r w:rsidR="00C974AA" w:rsidRPr="003C2011">
        <w:rPr>
          <w:rFonts w:ascii="Times New Roman" w:hAnsi="Times New Roman" w:cs="Times New Roman"/>
          <w:sz w:val="24"/>
          <w:szCs w:val="24"/>
          <w:lang w:val="en-GB"/>
        </w:rPr>
        <w:t xml:space="preserve"> the impact of missing data.</w:t>
      </w:r>
      <w:r w:rsidR="00E9106F" w:rsidRPr="003C2011">
        <w:rPr>
          <w:rFonts w:ascii="Times New Roman" w:hAnsi="Times New Roman" w:cs="Times New Roman"/>
          <w:sz w:val="24"/>
          <w:szCs w:val="24"/>
          <w:lang w:val="en-GB"/>
        </w:rPr>
        <w:t xml:space="preserve"> </w:t>
      </w:r>
      <w:r w:rsidR="00C974AA" w:rsidRPr="003C2011">
        <w:rPr>
          <w:rFonts w:ascii="Times New Roman" w:hAnsi="Times New Roman" w:cs="Times New Roman"/>
          <w:sz w:val="24"/>
          <w:szCs w:val="24"/>
          <w:lang w:val="en-GB"/>
        </w:rPr>
        <w:t>The proportion of missing data wa</w:t>
      </w:r>
      <w:r w:rsidR="00DE588A" w:rsidRPr="003C2011">
        <w:rPr>
          <w:rFonts w:ascii="Times New Roman" w:hAnsi="Times New Roman" w:cs="Times New Roman"/>
          <w:sz w:val="24"/>
          <w:szCs w:val="24"/>
          <w:lang w:val="en-GB"/>
        </w:rPr>
        <w:t>s</w:t>
      </w:r>
      <w:r w:rsidR="00C974AA" w:rsidRPr="003C2011">
        <w:rPr>
          <w:rFonts w:ascii="Times New Roman" w:hAnsi="Times New Roman" w:cs="Times New Roman"/>
          <w:sz w:val="24"/>
          <w:szCs w:val="24"/>
          <w:lang w:val="en-GB"/>
        </w:rPr>
        <w:t xml:space="preserve"> higher in the appendectomy group</w:t>
      </w:r>
      <w:r w:rsidR="00DE588A" w:rsidRPr="003C2011">
        <w:rPr>
          <w:rFonts w:ascii="Times New Roman" w:hAnsi="Times New Roman" w:cs="Times New Roman"/>
          <w:sz w:val="24"/>
          <w:szCs w:val="24"/>
          <w:lang w:val="en-GB"/>
        </w:rPr>
        <w:t xml:space="preserve"> </w:t>
      </w:r>
      <w:r w:rsidR="00E9106F" w:rsidRPr="003C2011">
        <w:rPr>
          <w:rFonts w:ascii="Times New Roman" w:hAnsi="Times New Roman" w:cs="Times New Roman"/>
          <w:sz w:val="24"/>
          <w:szCs w:val="24"/>
          <w:lang w:val="en-GB"/>
        </w:rPr>
        <w:t>(1</w:t>
      </w:r>
      <w:r w:rsidR="00E57D2D" w:rsidRPr="003C2011">
        <w:rPr>
          <w:rFonts w:ascii="Times New Roman" w:hAnsi="Times New Roman" w:cs="Times New Roman"/>
          <w:sz w:val="24"/>
          <w:szCs w:val="24"/>
          <w:lang w:val="en-GB"/>
        </w:rPr>
        <w:t>4</w:t>
      </w:r>
      <w:r w:rsidR="00D411BB" w:rsidRPr="003C2011">
        <w:rPr>
          <w:rFonts w:ascii="Times New Roman" w:hAnsi="Times New Roman" w:cs="Times New Roman"/>
          <w:sz w:val="24"/>
          <w:szCs w:val="24"/>
          <w:lang w:val="en-GB"/>
        </w:rPr>
        <w:t>·</w:t>
      </w:r>
      <w:r w:rsidR="00E57D2D" w:rsidRPr="003C2011">
        <w:rPr>
          <w:rFonts w:ascii="Times New Roman" w:hAnsi="Times New Roman" w:cs="Times New Roman"/>
          <w:sz w:val="24"/>
          <w:szCs w:val="24"/>
          <w:lang w:val="en-GB"/>
        </w:rPr>
        <w:t>1</w:t>
      </w:r>
      <w:r w:rsidR="00E9106F" w:rsidRPr="003C2011">
        <w:rPr>
          <w:rFonts w:ascii="Times New Roman" w:hAnsi="Times New Roman" w:cs="Times New Roman"/>
          <w:sz w:val="24"/>
          <w:szCs w:val="24"/>
          <w:lang w:val="en-GB"/>
        </w:rPr>
        <w:t>%)</w:t>
      </w:r>
      <w:r w:rsidR="00C974AA" w:rsidRPr="003C2011">
        <w:rPr>
          <w:rFonts w:ascii="Times New Roman" w:hAnsi="Times New Roman" w:cs="Times New Roman"/>
          <w:sz w:val="24"/>
          <w:szCs w:val="24"/>
          <w:lang w:val="en-GB"/>
        </w:rPr>
        <w:t xml:space="preserve"> </w:t>
      </w:r>
      <w:r w:rsidR="00DE588A" w:rsidRPr="003C2011">
        <w:rPr>
          <w:rFonts w:ascii="Times New Roman" w:hAnsi="Times New Roman" w:cs="Times New Roman"/>
          <w:sz w:val="24"/>
          <w:szCs w:val="24"/>
          <w:lang w:val="en-GB"/>
        </w:rPr>
        <w:t>than the antibiotic group</w:t>
      </w:r>
      <w:r w:rsidR="00E9106F" w:rsidRPr="003C2011">
        <w:rPr>
          <w:rFonts w:ascii="Times New Roman" w:hAnsi="Times New Roman" w:cs="Times New Roman"/>
          <w:sz w:val="24"/>
          <w:szCs w:val="24"/>
          <w:lang w:val="en-GB"/>
        </w:rPr>
        <w:t xml:space="preserve"> </w:t>
      </w:r>
      <w:r w:rsidR="001145BD" w:rsidRPr="003C2011">
        <w:rPr>
          <w:rFonts w:ascii="Times New Roman" w:hAnsi="Times New Roman" w:cs="Times New Roman"/>
          <w:sz w:val="24"/>
          <w:szCs w:val="24"/>
          <w:lang w:val="en-GB"/>
        </w:rPr>
        <w:t>(5</w:t>
      </w:r>
      <w:r w:rsidR="00D411BB" w:rsidRPr="003C2011">
        <w:rPr>
          <w:rFonts w:ascii="Times New Roman" w:hAnsi="Times New Roman" w:cs="Times New Roman"/>
          <w:sz w:val="24"/>
          <w:szCs w:val="24"/>
          <w:lang w:val="en-GB"/>
        </w:rPr>
        <w:t>·</w:t>
      </w:r>
      <w:r w:rsidR="001145BD" w:rsidRPr="003C2011">
        <w:rPr>
          <w:rFonts w:ascii="Times New Roman" w:hAnsi="Times New Roman" w:cs="Times New Roman"/>
          <w:sz w:val="24"/>
          <w:szCs w:val="24"/>
          <w:lang w:val="en-GB"/>
        </w:rPr>
        <w:t>2%)</w:t>
      </w:r>
      <w:r w:rsidR="00DE588A" w:rsidRPr="003C2011">
        <w:rPr>
          <w:rFonts w:ascii="Times New Roman" w:hAnsi="Times New Roman" w:cs="Times New Roman"/>
          <w:sz w:val="24"/>
          <w:szCs w:val="24"/>
          <w:lang w:val="en-GB"/>
        </w:rPr>
        <w:t xml:space="preserve">. </w:t>
      </w:r>
      <w:r w:rsidR="009201D8" w:rsidRPr="003C2011">
        <w:rPr>
          <w:rFonts w:ascii="Times New Roman" w:hAnsi="Times New Roman" w:cs="Times New Roman"/>
          <w:sz w:val="24"/>
          <w:szCs w:val="24"/>
          <w:lang w:val="en-GB"/>
        </w:rPr>
        <w:t>If we assume that the incidence of treatment failure in cases with complete data and cases with missing data is the same</w:t>
      </w:r>
      <w:r w:rsidR="00C974AA" w:rsidRPr="003C2011">
        <w:rPr>
          <w:rFonts w:ascii="Times New Roman" w:hAnsi="Times New Roman" w:cs="Times New Roman"/>
          <w:sz w:val="24"/>
          <w:szCs w:val="24"/>
          <w:lang w:val="en-GB"/>
        </w:rPr>
        <w:t xml:space="preserve"> </w:t>
      </w:r>
      <w:r w:rsidR="000C3FC9" w:rsidRPr="003C2011">
        <w:rPr>
          <w:rFonts w:ascii="Times New Roman" w:hAnsi="Times New Roman" w:cs="Times New Roman"/>
          <w:sz w:val="24"/>
          <w:szCs w:val="24"/>
          <w:lang w:val="en-GB"/>
        </w:rPr>
        <w:t>then the overall trial results remain similar: 32</w:t>
      </w:r>
      <w:r w:rsidR="00D411BB" w:rsidRPr="003C2011">
        <w:rPr>
          <w:rFonts w:ascii="Times New Roman" w:hAnsi="Times New Roman" w:cs="Times New Roman"/>
          <w:sz w:val="24"/>
          <w:szCs w:val="24"/>
          <w:lang w:val="en-GB"/>
        </w:rPr>
        <w:t>·</w:t>
      </w:r>
      <w:r w:rsidR="000C3FC9" w:rsidRPr="003C2011">
        <w:rPr>
          <w:rFonts w:ascii="Times New Roman" w:hAnsi="Times New Roman" w:cs="Times New Roman"/>
          <w:sz w:val="24"/>
          <w:szCs w:val="24"/>
          <w:lang w:val="en-GB"/>
        </w:rPr>
        <w:t>2% fail</w:t>
      </w:r>
      <w:r w:rsidR="00464A30" w:rsidRPr="003C2011">
        <w:rPr>
          <w:rFonts w:ascii="Times New Roman" w:hAnsi="Times New Roman" w:cs="Times New Roman"/>
          <w:sz w:val="24"/>
          <w:szCs w:val="24"/>
          <w:lang w:val="en-GB"/>
        </w:rPr>
        <w:t>u</w:t>
      </w:r>
      <w:r w:rsidR="000C3FC9" w:rsidRPr="003C2011">
        <w:rPr>
          <w:rFonts w:ascii="Times New Roman" w:hAnsi="Times New Roman" w:cs="Times New Roman"/>
          <w:sz w:val="24"/>
          <w:szCs w:val="24"/>
          <w:lang w:val="en-GB"/>
        </w:rPr>
        <w:t xml:space="preserve">re rate in the antibiotic </w:t>
      </w:r>
      <w:r w:rsidR="00EE52FF" w:rsidRPr="003C2011">
        <w:rPr>
          <w:rFonts w:ascii="Times New Roman" w:hAnsi="Times New Roman" w:cs="Times New Roman"/>
          <w:sz w:val="24"/>
          <w:szCs w:val="24"/>
          <w:lang w:val="en-GB"/>
        </w:rPr>
        <w:t>group</w:t>
      </w:r>
      <w:r w:rsidR="00121992" w:rsidRPr="003C2011">
        <w:rPr>
          <w:rFonts w:ascii="Times New Roman" w:hAnsi="Times New Roman" w:cs="Times New Roman"/>
          <w:sz w:val="24"/>
          <w:szCs w:val="24"/>
          <w:lang w:val="en-GB"/>
        </w:rPr>
        <w:t xml:space="preserve"> and </w:t>
      </w:r>
      <w:r w:rsidR="000C3FC9" w:rsidRPr="003C2011">
        <w:rPr>
          <w:rFonts w:ascii="Times New Roman" w:hAnsi="Times New Roman" w:cs="Times New Roman"/>
          <w:sz w:val="24"/>
          <w:szCs w:val="24"/>
          <w:lang w:val="en-GB"/>
        </w:rPr>
        <w:t>6</w:t>
      </w:r>
      <w:r w:rsidR="00D411BB" w:rsidRPr="003C2011">
        <w:rPr>
          <w:rFonts w:ascii="Times New Roman" w:hAnsi="Times New Roman" w:cs="Times New Roman"/>
          <w:sz w:val="24"/>
          <w:szCs w:val="24"/>
          <w:lang w:val="en-GB"/>
        </w:rPr>
        <w:t>·</w:t>
      </w:r>
      <w:r w:rsidR="000C3FC9" w:rsidRPr="003C2011">
        <w:rPr>
          <w:rFonts w:ascii="Times New Roman" w:hAnsi="Times New Roman" w:cs="Times New Roman"/>
          <w:sz w:val="24"/>
          <w:szCs w:val="24"/>
          <w:lang w:val="en-GB"/>
        </w:rPr>
        <w:t xml:space="preserve">1% </w:t>
      </w:r>
      <w:r w:rsidR="00121992" w:rsidRPr="003C2011">
        <w:rPr>
          <w:rFonts w:ascii="Times New Roman" w:hAnsi="Times New Roman" w:cs="Times New Roman"/>
          <w:sz w:val="24"/>
          <w:szCs w:val="24"/>
          <w:lang w:val="en-GB"/>
        </w:rPr>
        <w:t xml:space="preserve">failure rate in the </w:t>
      </w:r>
      <w:r w:rsidR="000C3FC9" w:rsidRPr="003C2011">
        <w:rPr>
          <w:rFonts w:ascii="Times New Roman" w:hAnsi="Times New Roman" w:cs="Times New Roman"/>
          <w:sz w:val="24"/>
          <w:szCs w:val="24"/>
          <w:lang w:val="en-GB"/>
        </w:rPr>
        <w:t xml:space="preserve">appendectomy </w:t>
      </w:r>
      <w:r w:rsidR="00EE52FF" w:rsidRPr="003C2011">
        <w:rPr>
          <w:rFonts w:ascii="Times New Roman" w:hAnsi="Times New Roman" w:cs="Times New Roman"/>
          <w:sz w:val="24"/>
          <w:szCs w:val="24"/>
          <w:lang w:val="en-GB"/>
        </w:rPr>
        <w:t>group</w:t>
      </w:r>
      <w:r w:rsidR="000C3FC9" w:rsidRPr="003C2011">
        <w:rPr>
          <w:rFonts w:ascii="Times New Roman" w:hAnsi="Times New Roman" w:cs="Times New Roman"/>
          <w:sz w:val="24"/>
          <w:szCs w:val="24"/>
          <w:lang w:val="en-GB"/>
        </w:rPr>
        <w:t>,</w:t>
      </w:r>
      <w:r w:rsidR="00121992" w:rsidRPr="003C2011">
        <w:rPr>
          <w:rFonts w:ascii="Times New Roman" w:hAnsi="Times New Roman" w:cs="Times New Roman"/>
          <w:sz w:val="24"/>
          <w:szCs w:val="24"/>
          <w:lang w:val="en-GB"/>
        </w:rPr>
        <w:t xml:space="preserve"> </w:t>
      </w:r>
      <w:r w:rsidR="000C3FC9" w:rsidRPr="003C2011">
        <w:rPr>
          <w:rFonts w:ascii="Times New Roman" w:hAnsi="Times New Roman" w:cs="Times New Roman"/>
          <w:sz w:val="24"/>
          <w:szCs w:val="24"/>
          <w:lang w:val="en-GB"/>
        </w:rPr>
        <w:t xml:space="preserve">and difference </w:t>
      </w:r>
      <w:r w:rsidR="00121992" w:rsidRPr="003C2011">
        <w:rPr>
          <w:rFonts w:ascii="Times New Roman" w:hAnsi="Times New Roman" w:cs="Times New Roman"/>
          <w:sz w:val="24"/>
          <w:szCs w:val="24"/>
          <w:lang w:val="en-GB"/>
        </w:rPr>
        <w:t xml:space="preserve">between trial arms </w:t>
      </w:r>
      <w:r w:rsidR="000C3FC9" w:rsidRPr="003C2011">
        <w:rPr>
          <w:rFonts w:ascii="Times New Roman" w:hAnsi="Times New Roman" w:cs="Times New Roman"/>
          <w:sz w:val="24"/>
          <w:szCs w:val="24"/>
          <w:lang w:val="en-GB"/>
        </w:rPr>
        <w:t>of 26</w:t>
      </w:r>
      <w:r w:rsidR="00D411BB" w:rsidRPr="003C2011">
        <w:rPr>
          <w:rFonts w:ascii="Times New Roman" w:hAnsi="Times New Roman" w:cs="Times New Roman"/>
          <w:sz w:val="24"/>
          <w:szCs w:val="24"/>
          <w:lang w:val="en-GB"/>
        </w:rPr>
        <w:t>·</w:t>
      </w:r>
      <w:r w:rsidR="000C3FC9" w:rsidRPr="003C2011">
        <w:rPr>
          <w:rFonts w:ascii="Times New Roman" w:hAnsi="Times New Roman" w:cs="Times New Roman"/>
          <w:sz w:val="24"/>
          <w:szCs w:val="24"/>
          <w:lang w:val="en-GB"/>
        </w:rPr>
        <w:t>1%</w:t>
      </w:r>
      <w:r w:rsidR="000476D0" w:rsidRPr="003C2011">
        <w:rPr>
          <w:rFonts w:ascii="Times New Roman" w:hAnsi="Times New Roman" w:cs="Times New Roman"/>
          <w:sz w:val="24"/>
          <w:szCs w:val="24"/>
          <w:lang w:val="en-GB"/>
        </w:rPr>
        <w:t xml:space="preserve"> (90% CI: </w:t>
      </w:r>
      <w:r w:rsidR="008C34DF" w:rsidRPr="003C2011">
        <w:rPr>
          <w:rFonts w:ascii="Times New Roman" w:hAnsi="Times New Roman" w:cs="Times New Roman"/>
          <w:sz w:val="24"/>
          <w:szCs w:val="24"/>
          <w:lang w:val="en-GB"/>
        </w:rPr>
        <w:t>22</w:t>
      </w:r>
      <w:r w:rsidR="00D411BB" w:rsidRPr="003C2011">
        <w:rPr>
          <w:rFonts w:ascii="Times New Roman" w:hAnsi="Times New Roman" w:cs="Times New Roman"/>
          <w:sz w:val="24"/>
          <w:szCs w:val="24"/>
          <w:lang w:val="en-GB"/>
        </w:rPr>
        <w:t>·</w:t>
      </w:r>
      <w:r w:rsidR="00B21420" w:rsidRPr="003C2011">
        <w:rPr>
          <w:rFonts w:ascii="Times New Roman" w:hAnsi="Times New Roman" w:cs="Times New Roman"/>
          <w:sz w:val="24"/>
          <w:szCs w:val="24"/>
          <w:lang w:val="en-GB"/>
        </w:rPr>
        <w:t>2%</w:t>
      </w:r>
      <w:r w:rsidR="000476D0" w:rsidRPr="003C2011">
        <w:rPr>
          <w:rFonts w:ascii="Times New Roman" w:hAnsi="Times New Roman" w:cs="Times New Roman"/>
          <w:sz w:val="24"/>
          <w:szCs w:val="24"/>
          <w:lang w:val="en-GB"/>
        </w:rPr>
        <w:t>, 3</w:t>
      </w:r>
      <w:r w:rsidR="00B21420" w:rsidRPr="003C2011">
        <w:rPr>
          <w:rFonts w:ascii="Times New Roman" w:hAnsi="Times New Roman" w:cs="Times New Roman"/>
          <w:sz w:val="24"/>
          <w:szCs w:val="24"/>
          <w:lang w:val="en-GB"/>
        </w:rPr>
        <w:t>0</w:t>
      </w:r>
      <w:r w:rsidR="00D411BB" w:rsidRPr="003C2011">
        <w:rPr>
          <w:rFonts w:ascii="Times New Roman" w:hAnsi="Times New Roman" w:cs="Times New Roman"/>
          <w:sz w:val="24"/>
          <w:szCs w:val="24"/>
          <w:lang w:val="en-GB"/>
        </w:rPr>
        <w:t>·</w:t>
      </w:r>
      <w:r w:rsidR="00B21420" w:rsidRPr="003C2011">
        <w:rPr>
          <w:rFonts w:ascii="Times New Roman" w:hAnsi="Times New Roman" w:cs="Times New Roman"/>
          <w:sz w:val="24"/>
          <w:szCs w:val="24"/>
          <w:lang w:val="en-GB"/>
        </w:rPr>
        <w:t>1%</w:t>
      </w:r>
      <w:r w:rsidR="000476D0" w:rsidRPr="003C2011">
        <w:rPr>
          <w:rFonts w:ascii="Times New Roman" w:hAnsi="Times New Roman" w:cs="Times New Roman"/>
          <w:sz w:val="24"/>
          <w:szCs w:val="24"/>
          <w:lang w:val="en-GB"/>
        </w:rPr>
        <w:t>)</w:t>
      </w:r>
      <w:r w:rsidR="000D0AA3" w:rsidRPr="003C2011">
        <w:rPr>
          <w:rFonts w:ascii="Times New Roman" w:hAnsi="Times New Roman" w:cs="Times New Roman"/>
          <w:sz w:val="24"/>
          <w:szCs w:val="24"/>
          <w:lang w:val="en-GB"/>
        </w:rPr>
        <w:t xml:space="preserve">. We believe this assumption is justified since </w:t>
      </w:r>
      <w:r w:rsidR="002D4669" w:rsidRPr="003C2011">
        <w:rPr>
          <w:rFonts w:ascii="Times New Roman" w:hAnsi="Times New Roman" w:cs="Times New Roman"/>
          <w:sz w:val="24"/>
          <w:szCs w:val="24"/>
          <w:lang w:val="en-GB"/>
        </w:rPr>
        <w:t>o</w:t>
      </w:r>
      <w:r w:rsidR="00CD4646" w:rsidRPr="003C2011">
        <w:rPr>
          <w:rFonts w:ascii="Times New Roman" w:hAnsi="Times New Roman" w:cs="Times New Roman"/>
          <w:sz w:val="24"/>
          <w:szCs w:val="24"/>
          <w:lang w:val="en-GB"/>
        </w:rPr>
        <w:t xml:space="preserve">f those who we were able to contact, there were no patients who had undergone appendectomy or </w:t>
      </w:r>
      <w:r w:rsidR="001F014A" w:rsidRPr="003C2011">
        <w:rPr>
          <w:rFonts w:ascii="Times New Roman" w:hAnsi="Times New Roman" w:cs="Times New Roman"/>
          <w:sz w:val="24"/>
          <w:szCs w:val="24"/>
          <w:lang w:val="en-GB"/>
        </w:rPr>
        <w:t xml:space="preserve">had </w:t>
      </w:r>
      <w:r w:rsidR="00CD4646" w:rsidRPr="003C2011">
        <w:rPr>
          <w:rFonts w:ascii="Times New Roman" w:hAnsi="Times New Roman" w:cs="Times New Roman"/>
          <w:sz w:val="24"/>
          <w:szCs w:val="24"/>
          <w:lang w:val="en-GB"/>
        </w:rPr>
        <w:t xml:space="preserve">a </w:t>
      </w:r>
      <w:r w:rsidR="00427E06" w:rsidRPr="003C2011">
        <w:rPr>
          <w:rFonts w:ascii="Times New Roman" w:hAnsi="Times New Roman" w:cs="Times New Roman"/>
          <w:sz w:val="24"/>
          <w:szCs w:val="24"/>
          <w:lang w:val="en-GB"/>
        </w:rPr>
        <w:t xml:space="preserve">further related procedure under general anaesthesia </w:t>
      </w:r>
      <w:r w:rsidR="00CD4646" w:rsidRPr="003C2011">
        <w:rPr>
          <w:rFonts w:ascii="Times New Roman" w:hAnsi="Times New Roman" w:cs="Times New Roman"/>
          <w:sz w:val="24"/>
          <w:szCs w:val="24"/>
          <w:lang w:val="en-GB"/>
        </w:rPr>
        <w:t>elsewhere.</w:t>
      </w:r>
    </w:p>
    <w:p w14:paraId="5EB41C37" w14:textId="51835698" w:rsidR="00096EA9" w:rsidRPr="003C2011" w:rsidRDefault="00036D2D" w:rsidP="00CD4646">
      <w:pPr>
        <w:tabs>
          <w:tab w:val="left" w:pos="720"/>
          <w:tab w:val="left" w:pos="1440"/>
          <w:tab w:val="left" w:pos="2160"/>
          <w:tab w:val="left" w:pos="2880"/>
          <w:tab w:val="left" w:pos="3600"/>
          <w:tab w:val="left" w:pos="4320"/>
        </w:tabs>
        <w:spacing w:after="240" w:line="480" w:lineRule="auto"/>
        <w:rPr>
          <w:rFonts w:ascii="Times New Roman" w:hAnsi="Times New Roman" w:cs="Times New Roman"/>
          <w:b/>
          <w:bCs/>
          <w:i/>
          <w:iCs/>
          <w:sz w:val="24"/>
          <w:szCs w:val="24"/>
          <w:lang w:val="en-GB"/>
        </w:rPr>
      </w:pPr>
      <w:r w:rsidRPr="003C2011">
        <w:rPr>
          <w:rFonts w:ascii="Times New Roman" w:hAnsi="Times New Roman" w:cs="Times New Roman"/>
          <w:b/>
          <w:bCs/>
          <w:i/>
          <w:iCs/>
          <w:sz w:val="24"/>
          <w:szCs w:val="24"/>
          <w:lang w:val="en-GB"/>
        </w:rPr>
        <w:t>Secondary outcomes</w:t>
      </w:r>
    </w:p>
    <w:p w14:paraId="2EBEDB0D" w14:textId="0EA9D0AD" w:rsidR="004C657D" w:rsidRPr="003C2011" w:rsidRDefault="000476D0" w:rsidP="004C657D">
      <w:pPr>
        <w:tabs>
          <w:tab w:val="left" w:pos="720"/>
          <w:tab w:val="left" w:pos="1440"/>
          <w:tab w:val="left" w:pos="2160"/>
          <w:tab w:val="left" w:pos="2880"/>
          <w:tab w:val="left" w:pos="3600"/>
          <w:tab w:val="left" w:pos="4320"/>
        </w:tabs>
        <w:spacing w:after="240" w:line="480" w:lineRule="auto"/>
        <w:rPr>
          <w:rFonts w:ascii="Times New Roman" w:hAnsi="Times New Roman" w:cs="Times New Roman"/>
          <w:sz w:val="24"/>
          <w:szCs w:val="24"/>
          <w:u w:val="single"/>
          <w:lang w:val="en-GB"/>
        </w:rPr>
      </w:pPr>
      <w:r w:rsidRPr="003C2011">
        <w:rPr>
          <w:rFonts w:ascii="Times New Roman" w:hAnsi="Times New Roman" w:cs="Times New Roman"/>
          <w:sz w:val="24"/>
          <w:szCs w:val="24"/>
          <w:u w:val="single"/>
          <w:lang w:val="en-GB"/>
        </w:rPr>
        <w:t>Pathology</w:t>
      </w:r>
    </w:p>
    <w:p w14:paraId="4E376DA9" w14:textId="5B73EDED" w:rsidR="000476D0" w:rsidRPr="003C2011" w:rsidRDefault="004C657D" w:rsidP="00713387">
      <w:pPr>
        <w:tabs>
          <w:tab w:val="left" w:pos="720"/>
          <w:tab w:val="left" w:pos="1440"/>
          <w:tab w:val="left" w:pos="2160"/>
          <w:tab w:val="left" w:pos="2880"/>
          <w:tab w:val="left" w:pos="3600"/>
          <w:tab w:val="left" w:pos="4320"/>
        </w:tabs>
        <w:spacing w:after="240" w:line="480" w:lineRule="auto"/>
        <w:rPr>
          <w:rFonts w:ascii="Times New Roman" w:eastAsia="Times New Roman" w:hAnsi="Times New Roman" w:cs="Times New Roman"/>
          <w:sz w:val="24"/>
          <w:szCs w:val="24"/>
        </w:rPr>
      </w:pPr>
      <w:r w:rsidRPr="003C2011">
        <w:rPr>
          <w:rFonts w:ascii="Times New Roman" w:hAnsi="Times New Roman" w:cs="Times New Roman"/>
          <w:sz w:val="24"/>
          <w:szCs w:val="24"/>
          <w:lang w:val="en-GB"/>
        </w:rPr>
        <w:t>Of the 459 patients who were randomized to appendectomy, 28 (6</w:t>
      </w:r>
      <w:r w:rsidR="00D411BB" w:rsidRPr="003C2011">
        <w:rPr>
          <w:rFonts w:ascii="Times New Roman" w:hAnsi="Times New Roman" w:cs="Times New Roman"/>
          <w:sz w:val="24"/>
          <w:szCs w:val="24"/>
          <w:lang w:val="en-GB"/>
        </w:rPr>
        <w:t>·</w:t>
      </w:r>
      <w:r w:rsidRPr="003C2011">
        <w:rPr>
          <w:rFonts w:ascii="Times New Roman" w:hAnsi="Times New Roman" w:cs="Times New Roman"/>
          <w:sz w:val="24"/>
          <w:szCs w:val="24"/>
          <w:lang w:val="en-GB"/>
        </w:rPr>
        <w:t xml:space="preserve">5%) had pathology reported as perforated. Of the 72 </w:t>
      </w:r>
      <w:r w:rsidR="0012457F" w:rsidRPr="003C2011">
        <w:rPr>
          <w:rFonts w:ascii="Times New Roman" w:hAnsi="Times New Roman" w:cs="Times New Roman"/>
          <w:sz w:val="24"/>
          <w:szCs w:val="24"/>
          <w:lang w:val="en-GB"/>
        </w:rPr>
        <w:t xml:space="preserve">randomized to antibiotics </w:t>
      </w:r>
      <w:r w:rsidRPr="003C2011">
        <w:rPr>
          <w:rFonts w:ascii="Times New Roman" w:hAnsi="Times New Roman" w:cs="Times New Roman"/>
          <w:sz w:val="24"/>
          <w:szCs w:val="24"/>
          <w:lang w:val="en-GB"/>
        </w:rPr>
        <w:t>who failed antibiotics early,</w:t>
      </w:r>
      <w:r w:rsidRPr="003C2011">
        <w:rPr>
          <w:rFonts w:ascii="Times New Roman" w:eastAsia="Times New Roman" w:hAnsi="Times New Roman" w:cs="Times New Roman"/>
          <w:sz w:val="24"/>
          <w:szCs w:val="24"/>
        </w:rPr>
        <w:t xml:space="preserve"> 25 (34</w:t>
      </w:r>
      <w:r w:rsidR="00D411BB" w:rsidRPr="003C2011">
        <w:rPr>
          <w:rFonts w:ascii="Times New Roman" w:eastAsia="Times New Roman" w:hAnsi="Times New Roman" w:cs="Times New Roman"/>
          <w:sz w:val="24"/>
          <w:szCs w:val="24"/>
        </w:rPr>
        <w:t>·</w:t>
      </w:r>
      <w:r w:rsidRPr="003C2011">
        <w:rPr>
          <w:rFonts w:ascii="Times New Roman" w:eastAsia="Times New Roman" w:hAnsi="Times New Roman" w:cs="Times New Roman"/>
          <w:sz w:val="24"/>
          <w:szCs w:val="24"/>
        </w:rPr>
        <w:t xml:space="preserve">7%) were classified as perforation. </w:t>
      </w:r>
      <w:r w:rsidR="00A60DE8" w:rsidRPr="003C2011">
        <w:rPr>
          <w:rFonts w:ascii="Times New Roman" w:eastAsia="Times New Roman" w:hAnsi="Times New Roman" w:cs="Times New Roman"/>
          <w:sz w:val="24"/>
          <w:szCs w:val="24"/>
        </w:rPr>
        <w:t>O</w:t>
      </w:r>
      <w:r w:rsidRPr="003C2011">
        <w:rPr>
          <w:rFonts w:ascii="Times New Roman" w:eastAsia="Times New Roman" w:hAnsi="Times New Roman" w:cs="Times New Roman"/>
          <w:sz w:val="24"/>
          <w:szCs w:val="24"/>
        </w:rPr>
        <w:t>f those who recurred and returned for appendectomy, 4/81 (4</w:t>
      </w:r>
      <w:r w:rsidR="00D411BB" w:rsidRPr="003C2011">
        <w:rPr>
          <w:rFonts w:ascii="Times New Roman" w:eastAsia="Times New Roman" w:hAnsi="Times New Roman" w:cs="Times New Roman"/>
          <w:sz w:val="24"/>
          <w:szCs w:val="24"/>
        </w:rPr>
        <w:t>·</w:t>
      </w:r>
      <w:r w:rsidRPr="003C2011">
        <w:rPr>
          <w:rFonts w:ascii="Times New Roman" w:eastAsia="Times New Roman" w:hAnsi="Times New Roman" w:cs="Times New Roman"/>
          <w:sz w:val="24"/>
          <w:szCs w:val="24"/>
        </w:rPr>
        <w:t>9%) were considered perforated.</w:t>
      </w:r>
      <w:r w:rsidRPr="003C2011">
        <w:rPr>
          <w:rFonts w:ascii="Times New Roman" w:eastAsia="Times New Roman" w:hAnsi="Times New Roman" w:cs="Times New Roman"/>
        </w:rPr>
        <w:t xml:space="preserve"> </w:t>
      </w:r>
      <w:r w:rsidR="000476D0" w:rsidRPr="003C2011">
        <w:rPr>
          <w:rFonts w:ascii="Times New Roman" w:eastAsia="Times New Roman" w:hAnsi="Times New Roman" w:cs="Times New Roman"/>
          <w:sz w:val="24"/>
          <w:szCs w:val="24"/>
        </w:rPr>
        <w:t>Of those who underwent appendectomy in the antibiotic group, 13 (9</w:t>
      </w:r>
      <w:r w:rsidR="00D411BB" w:rsidRPr="003C2011">
        <w:rPr>
          <w:rFonts w:ascii="Times New Roman" w:eastAsia="Times New Roman" w:hAnsi="Times New Roman" w:cs="Times New Roman"/>
          <w:sz w:val="24"/>
          <w:szCs w:val="24"/>
        </w:rPr>
        <w:t>·</w:t>
      </w:r>
      <w:r w:rsidR="000476D0" w:rsidRPr="003C2011">
        <w:rPr>
          <w:rFonts w:ascii="Times New Roman" w:eastAsia="Times New Roman" w:hAnsi="Times New Roman" w:cs="Times New Roman"/>
          <w:sz w:val="24"/>
          <w:szCs w:val="24"/>
        </w:rPr>
        <w:t xml:space="preserve">2%) had normal pathology. </w:t>
      </w:r>
    </w:p>
    <w:p w14:paraId="2810855E" w14:textId="679B5213" w:rsidR="00025958" w:rsidRPr="003C2011" w:rsidRDefault="00282E8B" w:rsidP="00025958">
      <w:pPr>
        <w:tabs>
          <w:tab w:val="left" w:pos="720"/>
          <w:tab w:val="left" w:pos="1440"/>
          <w:tab w:val="left" w:pos="2160"/>
          <w:tab w:val="left" w:pos="2880"/>
          <w:tab w:val="left" w:pos="3600"/>
          <w:tab w:val="left" w:pos="4320"/>
        </w:tabs>
        <w:spacing w:after="240" w:line="480" w:lineRule="auto"/>
        <w:rPr>
          <w:rFonts w:ascii="Times New Roman" w:eastAsia="Times New Roman" w:hAnsi="Times New Roman" w:cs="Times New Roman"/>
          <w:sz w:val="24"/>
          <w:szCs w:val="24"/>
          <w:u w:val="single"/>
        </w:rPr>
      </w:pPr>
      <w:r w:rsidRPr="003C2011">
        <w:rPr>
          <w:rFonts w:ascii="Times New Roman" w:eastAsia="Times New Roman" w:hAnsi="Times New Roman" w:cs="Times New Roman"/>
          <w:sz w:val="24"/>
          <w:szCs w:val="24"/>
          <w:u w:val="single"/>
        </w:rPr>
        <w:t>Adverse Events</w:t>
      </w:r>
    </w:p>
    <w:p w14:paraId="4CA88954" w14:textId="520B24AB" w:rsidR="006866A4" w:rsidRPr="003C2011" w:rsidRDefault="006F7130" w:rsidP="00025958">
      <w:pPr>
        <w:tabs>
          <w:tab w:val="left" w:pos="720"/>
          <w:tab w:val="left" w:pos="1440"/>
          <w:tab w:val="left" w:pos="2160"/>
          <w:tab w:val="left" w:pos="2880"/>
          <w:tab w:val="left" w:pos="3600"/>
          <w:tab w:val="left" w:pos="4320"/>
        </w:tabs>
        <w:spacing w:after="240" w:line="480" w:lineRule="auto"/>
        <w:rPr>
          <w:rFonts w:ascii="Times New Roman" w:eastAsia="Times New Roman" w:hAnsi="Times New Roman" w:cs="Times New Roman"/>
          <w:sz w:val="24"/>
          <w:szCs w:val="24"/>
        </w:rPr>
      </w:pPr>
      <w:bookmarkStart w:id="1" w:name="_Hlk146702423"/>
      <w:r w:rsidRPr="003C2011">
        <w:rPr>
          <w:rFonts w:ascii="Times New Roman" w:eastAsia="Times New Roman" w:hAnsi="Times New Roman" w:cs="Times New Roman"/>
          <w:sz w:val="24"/>
          <w:szCs w:val="24"/>
        </w:rPr>
        <w:t xml:space="preserve">There were no deaths in either group. </w:t>
      </w:r>
      <w:r w:rsidR="007B1A82" w:rsidRPr="003C2011">
        <w:rPr>
          <w:rFonts w:ascii="Times New Roman" w:eastAsia="Times New Roman" w:hAnsi="Times New Roman" w:cs="Times New Roman"/>
          <w:sz w:val="24"/>
          <w:szCs w:val="24"/>
        </w:rPr>
        <w:t xml:space="preserve">The relative risk of having an adverse event in the antibiotic group compared to the appendectomy group was 4·3 (95% CI: 2·1, 8·7; P&lt;0·0001) (Supplemental Table 1). </w:t>
      </w:r>
      <w:r w:rsidRPr="003C2011">
        <w:rPr>
          <w:rFonts w:ascii="Times New Roman" w:eastAsia="Times New Roman" w:hAnsi="Times New Roman" w:cs="Times New Roman"/>
          <w:sz w:val="24"/>
          <w:szCs w:val="24"/>
        </w:rPr>
        <w:t>In the antibiotic group, adverse effects were recorded in 40 patients (8</w:t>
      </w:r>
      <w:r w:rsidR="00D411BB" w:rsidRPr="003C2011">
        <w:rPr>
          <w:rFonts w:ascii="Times New Roman" w:eastAsia="Times New Roman" w:hAnsi="Times New Roman" w:cs="Times New Roman"/>
          <w:sz w:val="24"/>
          <w:szCs w:val="24"/>
        </w:rPr>
        <w:t>·</w:t>
      </w:r>
      <w:r w:rsidRPr="003C2011">
        <w:rPr>
          <w:rFonts w:ascii="Times New Roman" w:eastAsia="Times New Roman" w:hAnsi="Times New Roman" w:cs="Times New Roman"/>
          <w:sz w:val="24"/>
          <w:szCs w:val="24"/>
        </w:rPr>
        <w:t xml:space="preserve">4%). These were mostly gastrointestinal distress, however, only </w:t>
      </w:r>
      <w:r w:rsidR="00D411BB" w:rsidRPr="003C2011">
        <w:rPr>
          <w:rFonts w:ascii="Times New Roman" w:eastAsia="Times New Roman" w:hAnsi="Times New Roman" w:cs="Times New Roman"/>
          <w:sz w:val="24"/>
          <w:szCs w:val="24"/>
        </w:rPr>
        <w:t xml:space="preserve">four </w:t>
      </w:r>
      <w:r w:rsidRPr="003C2011">
        <w:rPr>
          <w:rFonts w:ascii="Times New Roman" w:eastAsia="Times New Roman" w:hAnsi="Times New Roman" w:cs="Times New Roman"/>
          <w:sz w:val="24"/>
          <w:szCs w:val="24"/>
        </w:rPr>
        <w:t>required re</w:t>
      </w:r>
      <w:r w:rsidR="00042DFA" w:rsidRPr="003C2011">
        <w:rPr>
          <w:rFonts w:ascii="Times New Roman" w:eastAsia="Times New Roman" w:hAnsi="Times New Roman" w:cs="Times New Roman"/>
          <w:sz w:val="24"/>
          <w:szCs w:val="24"/>
        </w:rPr>
        <w:t>-</w:t>
      </w:r>
      <w:r w:rsidRPr="003C2011">
        <w:rPr>
          <w:rFonts w:ascii="Times New Roman" w:eastAsia="Times New Roman" w:hAnsi="Times New Roman" w:cs="Times New Roman"/>
          <w:sz w:val="24"/>
          <w:szCs w:val="24"/>
        </w:rPr>
        <w:t xml:space="preserve">admission. One with Clostridium infection, one with </w:t>
      </w:r>
      <w:r w:rsidR="00042DFA" w:rsidRPr="003C2011">
        <w:rPr>
          <w:rFonts w:ascii="Times New Roman" w:eastAsia="Times New Roman" w:hAnsi="Times New Roman" w:cs="Times New Roman"/>
          <w:sz w:val="24"/>
          <w:szCs w:val="24"/>
        </w:rPr>
        <w:t>hematemesis</w:t>
      </w:r>
      <w:r w:rsidRPr="003C2011">
        <w:rPr>
          <w:rFonts w:ascii="Times New Roman" w:eastAsia="Times New Roman" w:hAnsi="Times New Roman" w:cs="Times New Roman"/>
          <w:sz w:val="24"/>
          <w:szCs w:val="24"/>
        </w:rPr>
        <w:t xml:space="preserve">, one allergic reaction, and one for </w:t>
      </w:r>
      <w:r w:rsidRPr="003C2011">
        <w:rPr>
          <w:rFonts w:ascii="Times New Roman" w:eastAsia="Times New Roman" w:hAnsi="Times New Roman" w:cs="Times New Roman"/>
          <w:sz w:val="24"/>
          <w:szCs w:val="24"/>
        </w:rPr>
        <w:lastRenderedPageBreak/>
        <w:t xml:space="preserve">gastroenteritis. There were </w:t>
      </w:r>
      <w:r w:rsidR="00D411BB" w:rsidRPr="003C2011">
        <w:rPr>
          <w:rFonts w:ascii="Times New Roman" w:eastAsia="Times New Roman" w:hAnsi="Times New Roman" w:cs="Times New Roman"/>
          <w:sz w:val="24"/>
          <w:szCs w:val="24"/>
        </w:rPr>
        <w:t xml:space="preserve">two </w:t>
      </w:r>
      <w:r w:rsidRPr="003C2011">
        <w:rPr>
          <w:rFonts w:ascii="Times New Roman" w:eastAsia="Times New Roman" w:hAnsi="Times New Roman" w:cs="Times New Roman"/>
          <w:sz w:val="24"/>
          <w:szCs w:val="24"/>
        </w:rPr>
        <w:t xml:space="preserve">patients </w:t>
      </w:r>
      <w:r w:rsidR="00042DFA" w:rsidRPr="003C2011">
        <w:rPr>
          <w:rFonts w:ascii="Times New Roman" w:eastAsia="Times New Roman" w:hAnsi="Times New Roman" w:cs="Times New Roman"/>
          <w:sz w:val="24"/>
          <w:szCs w:val="24"/>
        </w:rPr>
        <w:t>in the antibiotic group who</w:t>
      </w:r>
      <w:r w:rsidRPr="003C2011">
        <w:rPr>
          <w:rFonts w:ascii="Times New Roman" w:eastAsia="Times New Roman" w:hAnsi="Times New Roman" w:cs="Times New Roman"/>
          <w:sz w:val="24"/>
          <w:szCs w:val="24"/>
        </w:rPr>
        <w:t xml:space="preserve"> underwent appendectomy and developed a surgical site infection. In the appendectomy group,</w:t>
      </w:r>
      <w:r w:rsidR="00042DFA" w:rsidRPr="003C2011">
        <w:rPr>
          <w:rFonts w:ascii="Times New Roman" w:eastAsia="Times New Roman" w:hAnsi="Times New Roman" w:cs="Times New Roman"/>
          <w:sz w:val="24"/>
          <w:szCs w:val="24"/>
        </w:rPr>
        <w:t xml:space="preserve"> adverse events were recorded in </w:t>
      </w:r>
      <w:r w:rsidR="00D411BB" w:rsidRPr="003C2011">
        <w:rPr>
          <w:rFonts w:ascii="Times New Roman" w:eastAsia="Times New Roman" w:hAnsi="Times New Roman" w:cs="Times New Roman"/>
          <w:sz w:val="24"/>
          <w:szCs w:val="24"/>
        </w:rPr>
        <w:t xml:space="preserve">nine </w:t>
      </w:r>
      <w:r w:rsidR="00042DFA" w:rsidRPr="003C2011">
        <w:rPr>
          <w:rFonts w:ascii="Times New Roman" w:eastAsia="Times New Roman" w:hAnsi="Times New Roman" w:cs="Times New Roman"/>
          <w:sz w:val="24"/>
          <w:szCs w:val="24"/>
        </w:rPr>
        <w:t>patients</w:t>
      </w:r>
      <w:r w:rsidR="00940016" w:rsidRPr="003C2011">
        <w:rPr>
          <w:rFonts w:ascii="Times New Roman" w:eastAsia="Times New Roman" w:hAnsi="Times New Roman" w:cs="Times New Roman"/>
          <w:sz w:val="24"/>
          <w:szCs w:val="24"/>
        </w:rPr>
        <w:t xml:space="preserve"> (2</w:t>
      </w:r>
      <w:r w:rsidR="00D411BB" w:rsidRPr="003C2011">
        <w:rPr>
          <w:rFonts w:ascii="Times New Roman" w:eastAsia="Times New Roman" w:hAnsi="Times New Roman" w:cs="Times New Roman"/>
          <w:sz w:val="24"/>
          <w:szCs w:val="24"/>
        </w:rPr>
        <w:t>·</w:t>
      </w:r>
      <w:r w:rsidR="00940016" w:rsidRPr="003C2011">
        <w:rPr>
          <w:rFonts w:ascii="Times New Roman" w:eastAsia="Times New Roman" w:hAnsi="Times New Roman" w:cs="Times New Roman"/>
          <w:sz w:val="24"/>
          <w:szCs w:val="24"/>
        </w:rPr>
        <w:t xml:space="preserve">0%). One was discussed in the primary outcome with re-operation and the other </w:t>
      </w:r>
      <w:r w:rsidR="00D411BB" w:rsidRPr="003C2011">
        <w:rPr>
          <w:rFonts w:ascii="Times New Roman" w:eastAsia="Times New Roman" w:hAnsi="Times New Roman" w:cs="Times New Roman"/>
          <w:sz w:val="24"/>
          <w:szCs w:val="24"/>
        </w:rPr>
        <w:t xml:space="preserve">eight </w:t>
      </w:r>
      <w:r w:rsidRPr="003C2011">
        <w:rPr>
          <w:rFonts w:ascii="Times New Roman" w:eastAsia="Times New Roman" w:hAnsi="Times New Roman" w:cs="Times New Roman"/>
          <w:sz w:val="24"/>
          <w:szCs w:val="24"/>
        </w:rPr>
        <w:t xml:space="preserve">patients had </w:t>
      </w:r>
      <w:r w:rsidR="00940016" w:rsidRPr="003C2011">
        <w:rPr>
          <w:rFonts w:ascii="Times New Roman" w:eastAsia="Times New Roman" w:hAnsi="Times New Roman" w:cs="Times New Roman"/>
          <w:sz w:val="24"/>
          <w:szCs w:val="24"/>
        </w:rPr>
        <w:t xml:space="preserve">a </w:t>
      </w:r>
      <w:r w:rsidRPr="003C2011">
        <w:rPr>
          <w:rFonts w:ascii="Times New Roman" w:eastAsia="Times New Roman" w:hAnsi="Times New Roman" w:cs="Times New Roman"/>
          <w:sz w:val="24"/>
          <w:szCs w:val="24"/>
        </w:rPr>
        <w:t>surgical site infection (</w:t>
      </w:r>
      <w:r w:rsidR="00042DFA" w:rsidRPr="003C2011">
        <w:rPr>
          <w:rFonts w:ascii="Times New Roman" w:eastAsia="Times New Roman" w:hAnsi="Times New Roman" w:cs="Times New Roman"/>
          <w:sz w:val="24"/>
          <w:szCs w:val="24"/>
        </w:rPr>
        <w:t>1</w:t>
      </w:r>
      <w:r w:rsidR="00D411BB" w:rsidRPr="003C2011">
        <w:rPr>
          <w:rFonts w:ascii="Times New Roman" w:eastAsia="Times New Roman" w:hAnsi="Times New Roman" w:cs="Times New Roman"/>
          <w:sz w:val="24"/>
          <w:szCs w:val="24"/>
        </w:rPr>
        <w:t>·</w:t>
      </w:r>
      <w:r w:rsidR="00042DFA" w:rsidRPr="003C2011">
        <w:rPr>
          <w:rFonts w:ascii="Times New Roman" w:eastAsia="Times New Roman" w:hAnsi="Times New Roman" w:cs="Times New Roman"/>
          <w:sz w:val="24"/>
          <w:szCs w:val="24"/>
        </w:rPr>
        <w:t>7</w:t>
      </w:r>
      <w:r w:rsidRPr="003C2011">
        <w:rPr>
          <w:rFonts w:ascii="Times New Roman" w:eastAsia="Times New Roman" w:hAnsi="Times New Roman" w:cs="Times New Roman"/>
          <w:sz w:val="24"/>
          <w:szCs w:val="24"/>
        </w:rPr>
        <w:t xml:space="preserve">%). </w:t>
      </w:r>
      <w:r w:rsidR="00F33447" w:rsidRPr="003C2011">
        <w:rPr>
          <w:rFonts w:ascii="Times New Roman" w:eastAsia="Times New Roman" w:hAnsi="Times New Roman" w:cs="Times New Roman"/>
          <w:sz w:val="24"/>
          <w:szCs w:val="24"/>
        </w:rPr>
        <w:t xml:space="preserve">Of those, </w:t>
      </w:r>
      <w:r w:rsidR="00D411BB" w:rsidRPr="003C2011">
        <w:rPr>
          <w:rFonts w:ascii="Times New Roman" w:eastAsia="Times New Roman" w:hAnsi="Times New Roman" w:cs="Times New Roman"/>
          <w:sz w:val="24"/>
          <w:szCs w:val="24"/>
        </w:rPr>
        <w:t xml:space="preserve">three </w:t>
      </w:r>
      <w:r w:rsidRPr="003C2011">
        <w:rPr>
          <w:rFonts w:ascii="Times New Roman" w:eastAsia="Times New Roman" w:hAnsi="Times New Roman" w:cs="Times New Roman"/>
          <w:sz w:val="24"/>
          <w:szCs w:val="24"/>
        </w:rPr>
        <w:t xml:space="preserve">patients developed an abscess, </w:t>
      </w:r>
      <w:r w:rsidR="00F33447" w:rsidRPr="003C2011">
        <w:rPr>
          <w:rFonts w:ascii="Times New Roman" w:eastAsia="Times New Roman" w:hAnsi="Times New Roman" w:cs="Times New Roman"/>
          <w:sz w:val="24"/>
          <w:szCs w:val="24"/>
        </w:rPr>
        <w:t xml:space="preserve">of which </w:t>
      </w:r>
      <w:r w:rsidR="00D411BB" w:rsidRPr="003C2011">
        <w:rPr>
          <w:rFonts w:ascii="Times New Roman" w:eastAsia="Times New Roman" w:hAnsi="Times New Roman" w:cs="Times New Roman"/>
          <w:sz w:val="24"/>
          <w:szCs w:val="24"/>
        </w:rPr>
        <w:t xml:space="preserve">two </w:t>
      </w:r>
      <w:r w:rsidR="00042DFA" w:rsidRPr="003C2011">
        <w:rPr>
          <w:rFonts w:ascii="Times New Roman" w:eastAsia="Times New Roman" w:hAnsi="Times New Roman" w:cs="Times New Roman"/>
          <w:sz w:val="24"/>
          <w:szCs w:val="24"/>
        </w:rPr>
        <w:t>had</w:t>
      </w:r>
      <w:r w:rsidRPr="003C2011">
        <w:rPr>
          <w:rFonts w:ascii="Times New Roman" w:eastAsia="Times New Roman" w:hAnsi="Times New Roman" w:cs="Times New Roman"/>
          <w:sz w:val="24"/>
          <w:szCs w:val="24"/>
        </w:rPr>
        <w:t xml:space="preserve"> perforated appendicitis. </w:t>
      </w:r>
    </w:p>
    <w:bookmarkEnd w:id="1"/>
    <w:p w14:paraId="444DF515" w14:textId="0DD3C807" w:rsidR="004C657D" w:rsidRPr="003C2011" w:rsidRDefault="004C657D" w:rsidP="00096EA9">
      <w:pPr>
        <w:tabs>
          <w:tab w:val="left" w:pos="720"/>
          <w:tab w:val="left" w:pos="1440"/>
          <w:tab w:val="left" w:pos="2160"/>
          <w:tab w:val="left" w:pos="2880"/>
          <w:tab w:val="left" w:pos="3600"/>
          <w:tab w:val="left" w:pos="4320"/>
        </w:tabs>
        <w:spacing w:after="240" w:line="480" w:lineRule="auto"/>
        <w:rPr>
          <w:rFonts w:ascii="Times New Roman" w:hAnsi="Times New Roman" w:cs="Times New Roman"/>
          <w:sz w:val="24"/>
          <w:szCs w:val="24"/>
          <w:u w:val="single"/>
          <w:lang w:val="en-GB"/>
        </w:rPr>
      </w:pPr>
      <w:r w:rsidRPr="003C2011">
        <w:rPr>
          <w:rFonts w:ascii="Times New Roman" w:hAnsi="Times New Roman" w:cs="Times New Roman"/>
          <w:sz w:val="24"/>
          <w:szCs w:val="24"/>
          <w:u w:val="single"/>
          <w:lang w:val="en-GB"/>
        </w:rPr>
        <w:t xml:space="preserve">Length of </w:t>
      </w:r>
      <w:r w:rsidR="00D505EB" w:rsidRPr="003C2011">
        <w:rPr>
          <w:rFonts w:ascii="Times New Roman" w:hAnsi="Times New Roman" w:cs="Times New Roman"/>
          <w:sz w:val="24"/>
          <w:szCs w:val="24"/>
          <w:u w:val="single"/>
          <w:lang w:val="en-GB"/>
        </w:rPr>
        <w:t>H</w:t>
      </w:r>
      <w:r w:rsidRPr="003C2011">
        <w:rPr>
          <w:rFonts w:ascii="Times New Roman" w:hAnsi="Times New Roman" w:cs="Times New Roman"/>
          <w:sz w:val="24"/>
          <w:szCs w:val="24"/>
          <w:u w:val="single"/>
          <w:lang w:val="en-GB"/>
        </w:rPr>
        <w:t xml:space="preserve">ospital </w:t>
      </w:r>
      <w:r w:rsidR="00D505EB" w:rsidRPr="003C2011">
        <w:rPr>
          <w:rFonts w:ascii="Times New Roman" w:hAnsi="Times New Roman" w:cs="Times New Roman"/>
          <w:sz w:val="24"/>
          <w:szCs w:val="24"/>
          <w:u w:val="single"/>
          <w:lang w:val="en-GB"/>
        </w:rPr>
        <w:t>S</w:t>
      </w:r>
      <w:r w:rsidRPr="003C2011">
        <w:rPr>
          <w:rFonts w:ascii="Times New Roman" w:hAnsi="Times New Roman" w:cs="Times New Roman"/>
          <w:sz w:val="24"/>
          <w:szCs w:val="24"/>
          <w:u w:val="single"/>
          <w:lang w:val="en-GB"/>
        </w:rPr>
        <w:t>tay</w:t>
      </w:r>
    </w:p>
    <w:p w14:paraId="60847DC7" w14:textId="4DC56E6B" w:rsidR="00096EA9" w:rsidRPr="003C2011" w:rsidRDefault="00C44B76" w:rsidP="00096EA9">
      <w:pPr>
        <w:tabs>
          <w:tab w:val="left" w:pos="720"/>
          <w:tab w:val="left" w:pos="1440"/>
          <w:tab w:val="left" w:pos="2160"/>
          <w:tab w:val="left" w:pos="2880"/>
          <w:tab w:val="left" w:pos="3600"/>
          <w:tab w:val="left" w:pos="4320"/>
        </w:tabs>
        <w:spacing w:after="240" w:line="480" w:lineRule="auto"/>
        <w:rPr>
          <w:rFonts w:ascii="Times New Roman" w:hAnsi="Times New Roman" w:cs="Times New Roman"/>
          <w:sz w:val="24"/>
          <w:szCs w:val="24"/>
        </w:rPr>
      </w:pPr>
      <w:r w:rsidRPr="003C2011">
        <w:rPr>
          <w:rFonts w:ascii="Times New Roman" w:hAnsi="Times New Roman" w:cs="Times New Roman"/>
          <w:sz w:val="24"/>
          <w:szCs w:val="24"/>
          <w:lang w:val="en-GB"/>
        </w:rPr>
        <w:t xml:space="preserve">During the initial hospitalization, median length of stay </w:t>
      </w:r>
      <w:r w:rsidR="003C12CE" w:rsidRPr="003C2011">
        <w:rPr>
          <w:rFonts w:ascii="Times New Roman" w:hAnsi="Times New Roman" w:cs="Times New Roman"/>
          <w:sz w:val="24"/>
          <w:szCs w:val="24"/>
          <w:lang w:val="en-GB"/>
        </w:rPr>
        <w:t>for the</w:t>
      </w:r>
      <w:r w:rsidRPr="003C2011">
        <w:rPr>
          <w:rFonts w:ascii="Times New Roman" w:hAnsi="Times New Roman" w:cs="Times New Roman"/>
          <w:sz w:val="24"/>
          <w:szCs w:val="24"/>
          <w:lang w:val="en-GB"/>
        </w:rPr>
        <w:t xml:space="preserve"> a</w:t>
      </w:r>
      <w:proofErr w:type="spellStart"/>
      <w:r w:rsidRPr="003C2011">
        <w:rPr>
          <w:rFonts w:ascii="Times New Roman" w:hAnsi="Times New Roman" w:cs="Times New Roman"/>
          <w:sz w:val="24"/>
          <w:szCs w:val="24"/>
        </w:rPr>
        <w:t>ppendectomy</w:t>
      </w:r>
      <w:proofErr w:type="spellEnd"/>
      <w:r w:rsidRPr="003C2011">
        <w:rPr>
          <w:rFonts w:ascii="Times New Roman" w:hAnsi="Times New Roman" w:cs="Times New Roman"/>
          <w:sz w:val="24"/>
          <w:szCs w:val="24"/>
        </w:rPr>
        <w:t xml:space="preserve"> </w:t>
      </w:r>
      <w:r w:rsidR="003C12CE" w:rsidRPr="003C2011">
        <w:rPr>
          <w:rFonts w:ascii="Times New Roman" w:hAnsi="Times New Roman" w:cs="Times New Roman"/>
          <w:sz w:val="24"/>
          <w:szCs w:val="24"/>
        </w:rPr>
        <w:t xml:space="preserve">group </w:t>
      </w:r>
      <w:r w:rsidRPr="003C2011">
        <w:rPr>
          <w:rFonts w:ascii="Times New Roman" w:hAnsi="Times New Roman" w:cs="Times New Roman"/>
          <w:sz w:val="24"/>
          <w:szCs w:val="24"/>
        </w:rPr>
        <w:t>was 1</w:t>
      </w:r>
      <w:r w:rsidR="00D411BB" w:rsidRPr="003C2011">
        <w:rPr>
          <w:rFonts w:ascii="Times New Roman" w:hAnsi="Times New Roman" w:cs="Times New Roman"/>
          <w:sz w:val="24"/>
          <w:szCs w:val="24"/>
        </w:rPr>
        <w:t>·</w:t>
      </w:r>
      <w:r w:rsidRPr="003C2011">
        <w:rPr>
          <w:rFonts w:ascii="Times New Roman" w:hAnsi="Times New Roman" w:cs="Times New Roman"/>
          <w:sz w:val="24"/>
          <w:szCs w:val="24"/>
        </w:rPr>
        <w:t>0 days (IQR: 0</w:t>
      </w:r>
      <w:r w:rsidR="00D411BB" w:rsidRPr="003C2011">
        <w:rPr>
          <w:rFonts w:ascii="Times New Roman" w:hAnsi="Times New Roman" w:cs="Times New Roman"/>
          <w:sz w:val="24"/>
          <w:szCs w:val="24"/>
        </w:rPr>
        <w:t>·</w:t>
      </w:r>
      <w:r w:rsidRPr="003C2011">
        <w:rPr>
          <w:rFonts w:ascii="Times New Roman" w:hAnsi="Times New Roman" w:cs="Times New Roman"/>
          <w:sz w:val="24"/>
          <w:szCs w:val="24"/>
        </w:rPr>
        <w:t>76, 1</w:t>
      </w:r>
      <w:r w:rsidR="00D411BB" w:rsidRPr="003C2011">
        <w:rPr>
          <w:rFonts w:ascii="Times New Roman" w:hAnsi="Times New Roman" w:cs="Times New Roman"/>
          <w:sz w:val="24"/>
          <w:szCs w:val="24"/>
        </w:rPr>
        <w:t>·</w:t>
      </w:r>
      <w:r w:rsidRPr="003C2011">
        <w:rPr>
          <w:rFonts w:ascii="Times New Roman" w:hAnsi="Times New Roman" w:cs="Times New Roman"/>
          <w:sz w:val="24"/>
          <w:szCs w:val="24"/>
        </w:rPr>
        <w:t>68), compared to 1</w:t>
      </w:r>
      <w:r w:rsidR="00D411BB" w:rsidRPr="003C2011">
        <w:rPr>
          <w:rFonts w:ascii="Times New Roman" w:hAnsi="Times New Roman" w:cs="Times New Roman"/>
          <w:sz w:val="24"/>
          <w:szCs w:val="24"/>
        </w:rPr>
        <w:t>·</w:t>
      </w:r>
      <w:r w:rsidRPr="003C2011">
        <w:rPr>
          <w:rFonts w:ascii="Times New Roman" w:hAnsi="Times New Roman" w:cs="Times New Roman"/>
          <w:sz w:val="24"/>
          <w:szCs w:val="24"/>
        </w:rPr>
        <w:t>25 days (IQR: 0</w:t>
      </w:r>
      <w:r w:rsidR="00D411BB" w:rsidRPr="003C2011">
        <w:rPr>
          <w:rFonts w:ascii="Times New Roman" w:hAnsi="Times New Roman" w:cs="Times New Roman"/>
          <w:sz w:val="24"/>
          <w:szCs w:val="24"/>
        </w:rPr>
        <w:t>·</w:t>
      </w:r>
      <w:r w:rsidRPr="003C2011">
        <w:rPr>
          <w:rFonts w:ascii="Times New Roman" w:hAnsi="Times New Roman" w:cs="Times New Roman"/>
          <w:sz w:val="24"/>
          <w:szCs w:val="24"/>
        </w:rPr>
        <w:t>92, 2</w:t>
      </w:r>
      <w:r w:rsidR="00D411BB" w:rsidRPr="003C2011">
        <w:rPr>
          <w:rFonts w:ascii="Times New Roman" w:hAnsi="Times New Roman" w:cs="Times New Roman"/>
          <w:sz w:val="24"/>
          <w:szCs w:val="24"/>
        </w:rPr>
        <w:t>·</w:t>
      </w:r>
      <w:r w:rsidRPr="003C2011">
        <w:rPr>
          <w:rFonts w:ascii="Times New Roman" w:hAnsi="Times New Roman" w:cs="Times New Roman"/>
          <w:sz w:val="24"/>
          <w:szCs w:val="24"/>
        </w:rPr>
        <w:t xml:space="preserve">09) </w:t>
      </w:r>
      <w:r w:rsidR="003C12CE" w:rsidRPr="003C2011">
        <w:rPr>
          <w:rFonts w:ascii="Times New Roman" w:hAnsi="Times New Roman" w:cs="Times New Roman"/>
          <w:sz w:val="24"/>
          <w:szCs w:val="24"/>
        </w:rPr>
        <w:t>for</w:t>
      </w:r>
      <w:r w:rsidRPr="003C2011">
        <w:rPr>
          <w:rFonts w:ascii="Times New Roman" w:hAnsi="Times New Roman" w:cs="Times New Roman"/>
          <w:sz w:val="24"/>
          <w:szCs w:val="24"/>
        </w:rPr>
        <w:t xml:space="preserve"> the antibiotic group  (P&lt;0</w:t>
      </w:r>
      <w:r w:rsidR="00D411BB" w:rsidRPr="003C2011">
        <w:rPr>
          <w:rFonts w:ascii="Times New Roman" w:hAnsi="Times New Roman" w:cs="Times New Roman"/>
          <w:sz w:val="24"/>
          <w:szCs w:val="24"/>
        </w:rPr>
        <w:t>·</w:t>
      </w:r>
      <w:r w:rsidRPr="003C2011">
        <w:rPr>
          <w:rFonts w:ascii="Times New Roman" w:hAnsi="Times New Roman" w:cs="Times New Roman"/>
          <w:sz w:val="24"/>
          <w:szCs w:val="24"/>
        </w:rPr>
        <w:t xml:space="preserve">001). </w:t>
      </w:r>
      <w:r w:rsidR="00135108" w:rsidRPr="003C2011">
        <w:rPr>
          <w:rFonts w:ascii="Times New Roman" w:hAnsi="Times New Roman" w:cs="Times New Roman"/>
          <w:sz w:val="24"/>
          <w:szCs w:val="24"/>
        </w:rPr>
        <w:t>Patients in t</w:t>
      </w:r>
      <w:r w:rsidR="00096EA9" w:rsidRPr="003C2011">
        <w:rPr>
          <w:rFonts w:ascii="Times New Roman" w:hAnsi="Times New Roman" w:cs="Times New Roman"/>
          <w:sz w:val="24"/>
          <w:szCs w:val="24"/>
          <w:lang w:val="en-GB"/>
        </w:rPr>
        <w:t xml:space="preserve">he antibiotic group </w:t>
      </w:r>
      <w:r w:rsidRPr="003C2011">
        <w:rPr>
          <w:rFonts w:ascii="Times New Roman" w:hAnsi="Times New Roman" w:cs="Times New Roman"/>
          <w:sz w:val="24"/>
          <w:szCs w:val="24"/>
          <w:lang w:val="en-GB"/>
        </w:rPr>
        <w:t xml:space="preserve">also </w:t>
      </w:r>
      <w:r w:rsidR="00096EA9" w:rsidRPr="003C2011">
        <w:rPr>
          <w:rFonts w:ascii="Times New Roman" w:hAnsi="Times New Roman" w:cs="Times New Roman"/>
          <w:sz w:val="24"/>
          <w:szCs w:val="24"/>
          <w:lang w:val="en-GB"/>
        </w:rPr>
        <w:t xml:space="preserve">spent more total time in the hospital </w:t>
      </w:r>
      <w:r w:rsidR="009B7512" w:rsidRPr="003C2011">
        <w:rPr>
          <w:rFonts w:ascii="Times New Roman" w:hAnsi="Times New Roman" w:cs="Times New Roman"/>
          <w:sz w:val="24"/>
          <w:szCs w:val="24"/>
          <w:lang w:val="en-GB"/>
        </w:rPr>
        <w:t xml:space="preserve">during the 12 month follow-up period </w:t>
      </w:r>
      <w:r w:rsidR="00096EA9" w:rsidRPr="003C2011">
        <w:rPr>
          <w:rFonts w:ascii="Times New Roman" w:hAnsi="Times New Roman" w:cs="Times New Roman"/>
          <w:sz w:val="24"/>
          <w:szCs w:val="24"/>
          <w:lang w:val="en-GB"/>
        </w:rPr>
        <w:t xml:space="preserve">at </w:t>
      </w:r>
      <w:r w:rsidR="006C3130" w:rsidRPr="003C2011">
        <w:rPr>
          <w:rFonts w:ascii="Times New Roman" w:hAnsi="Times New Roman" w:cs="Times New Roman"/>
          <w:sz w:val="24"/>
          <w:szCs w:val="24"/>
          <w:lang w:val="en-GB"/>
        </w:rPr>
        <w:t xml:space="preserve">a </w:t>
      </w:r>
      <w:r w:rsidR="00036D2D" w:rsidRPr="003C2011">
        <w:rPr>
          <w:rFonts w:ascii="Times New Roman" w:hAnsi="Times New Roman" w:cs="Times New Roman"/>
          <w:sz w:val="24"/>
          <w:szCs w:val="24"/>
          <w:lang w:val="en-GB"/>
        </w:rPr>
        <w:t xml:space="preserve">median </w:t>
      </w:r>
      <w:r w:rsidR="006C3130" w:rsidRPr="003C2011">
        <w:rPr>
          <w:rFonts w:ascii="Times New Roman" w:hAnsi="Times New Roman" w:cs="Times New Roman"/>
          <w:sz w:val="24"/>
          <w:szCs w:val="24"/>
          <w:lang w:val="en-GB"/>
        </w:rPr>
        <w:t xml:space="preserve">of </w:t>
      </w:r>
      <w:r w:rsidR="00096EA9" w:rsidRPr="003C2011" w:rsidDel="00832789">
        <w:rPr>
          <w:rFonts w:ascii="Times New Roman" w:hAnsi="Times New Roman" w:cs="Times New Roman"/>
          <w:sz w:val="24"/>
          <w:szCs w:val="24"/>
          <w:lang w:val="en-GB"/>
        </w:rPr>
        <w:t>1</w:t>
      </w:r>
      <w:r w:rsidR="00D411BB" w:rsidRPr="003C2011">
        <w:rPr>
          <w:rFonts w:ascii="Times New Roman" w:hAnsi="Times New Roman" w:cs="Times New Roman"/>
          <w:sz w:val="24"/>
          <w:szCs w:val="24"/>
          <w:lang w:val="en-GB"/>
        </w:rPr>
        <w:t>·</w:t>
      </w:r>
      <w:r w:rsidR="00096EA9" w:rsidRPr="003C2011" w:rsidDel="00832789">
        <w:rPr>
          <w:rFonts w:ascii="Times New Roman" w:hAnsi="Times New Roman" w:cs="Times New Roman"/>
          <w:sz w:val="24"/>
          <w:szCs w:val="24"/>
          <w:lang w:val="en-GB"/>
        </w:rPr>
        <w:t xml:space="preserve">6 </w:t>
      </w:r>
      <w:r w:rsidR="00096EA9" w:rsidRPr="003C2011">
        <w:rPr>
          <w:rFonts w:ascii="Times New Roman" w:hAnsi="Times New Roman" w:cs="Times New Roman"/>
          <w:sz w:val="24"/>
          <w:szCs w:val="24"/>
          <w:lang w:val="en-GB"/>
        </w:rPr>
        <w:t>days (IQR: 1, 2</w:t>
      </w:r>
      <w:r w:rsidR="00D411BB" w:rsidRPr="003C2011">
        <w:rPr>
          <w:rFonts w:ascii="Times New Roman" w:hAnsi="Times New Roman" w:cs="Times New Roman"/>
          <w:sz w:val="24"/>
          <w:szCs w:val="24"/>
          <w:lang w:val="en-GB"/>
        </w:rPr>
        <w:t>·</w:t>
      </w:r>
      <w:r w:rsidR="00096EA9" w:rsidRPr="003C2011">
        <w:rPr>
          <w:rFonts w:ascii="Times New Roman" w:hAnsi="Times New Roman" w:cs="Times New Roman"/>
          <w:sz w:val="24"/>
          <w:szCs w:val="24"/>
          <w:lang w:val="en-GB"/>
        </w:rPr>
        <w:t xml:space="preserve">6) compared to </w:t>
      </w:r>
      <w:r w:rsidR="00D411BB" w:rsidRPr="003C2011">
        <w:rPr>
          <w:rFonts w:ascii="Times New Roman" w:hAnsi="Times New Roman" w:cs="Times New Roman"/>
          <w:sz w:val="24"/>
          <w:szCs w:val="24"/>
          <w:lang w:val="en-GB"/>
        </w:rPr>
        <w:t xml:space="preserve">one </w:t>
      </w:r>
      <w:r w:rsidR="00096EA9" w:rsidRPr="003C2011">
        <w:rPr>
          <w:rFonts w:ascii="Times New Roman" w:hAnsi="Times New Roman" w:cs="Times New Roman"/>
          <w:sz w:val="24"/>
          <w:szCs w:val="24"/>
          <w:lang w:val="en-GB"/>
        </w:rPr>
        <w:t>day (IQR: 0</w:t>
      </w:r>
      <w:r w:rsidR="00D411BB" w:rsidRPr="003C2011">
        <w:rPr>
          <w:rFonts w:ascii="Times New Roman" w:hAnsi="Times New Roman" w:cs="Times New Roman"/>
          <w:sz w:val="24"/>
          <w:szCs w:val="24"/>
          <w:lang w:val="en-GB"/>
        </w:rPr>
        <w:t>·</w:t>
      </w:r>
      <w:r w:rsidR="00096EA9" w:rsidRPr="003C2011">
        <w:rPr>
          <w:rFonts w:ascii="Times New Roman" w:hAnsi="Times New Roman" w:cs="Times New Roman"/>
          <w:sz w:val="24"/>
          <w:szCs w:val="24"/>
          <w:lang w:val="en-GB"/>
        </w:rPr>
        <w:t>75, 1</w:t>
      </w:r>
      <w:r w:rsidR="00D411BB" w:rsidRPr="003C2011">
        <w:rPr>
          <w:rFonts w:ascii="Times New Roman" w:hAnsi="Times New Roman" w:cs="Times New Roman"/>
          <w:sz w:val="24"/>
          <w:szCs w:val="24"/>
          <w:lang w:val="en-GB"/>
        </w:rPr>
        <w:t>·</w:t>
      </w:r>
      <w:r w:rsidR="00096EA9" w:rsidRPr="003C2011">
        <w:rPr>
          <w:rFonts w:ascii="Times New Roman" w:hAnsi="Times New Roman" w:cs="Times New Roman"/>
          <w:sz w:val="24"/>
          <w:szCs w:val="24"/>
          <w:lang w:val="en-GB"/>
        </w:rPr>
        <w:t>7) in the appendectomy group (P &lt; 0</w:t>
      </w:r>
      <w:r w:rsidR="00D411BB" w:rsidRPr="003C2011">
        <w:rPr>
          <w:rFonts w:ascii="Times New Roman" w:hAnsi="Times New Roman" w:cs="Times New Roman"/>
          <w:sz w:val="24"/>
          <w:szCs w:val="24"/>
          <w:lang w:val="en-GB"/>
        </w:rPr>
        <w:t>·</w:t>
      </w:r>
      <w:r w:rsidR="00096EA9" w:rsidRPr="003C2011">
        <w:rPr>
          <w:rFonts w:ascii="Times New Roman" w:hAnsi="Times New Roman" w:cs="Times New Roman"/>
          <w:sz w:val="24"/>
          <w:szCs w:val="24"/>
          <w:lang w:val="en-GB"/>
        </w:rPr>
        <w:t>001).</w:t>
      </w:r>
    </w:p>
    <w:p w14:paraId="214A6845" w14:textId="77777777" w:rsidR="00CD4646" w:rsidRPr="003C2011" w:rsidRDefault="00CD4646" w:rsidP="00CD4646">
      <w:pPr>
        <w:tabs>
          <w:tab w:val="left" w:pos="720"/>
          <w:tab w:val="left" w:pos="1440"/>
          <w:tab w:val="left" w:pos="2160"/>
          <w:tab w:val="left" w:pos="2880"/>
          <w:tab w:val="left" w:pos="3600"/>
          <w:tab w:val="left" w:pos="4320"/>
        </w:tabs>
        <w:spacing w:after="240" w:line="480" w:lineRule="auto"/>
        <w:rPr>
          <w:rFonts w:ascii="Times New Roman" w:hAnsi="Times New Roman" w:cs="Times New Roman"/>
          <w:sz w:val="24"/>
          <w:szCs w:val="24"/>
          <w:u w:val="single"/>
          <w:lang w:val="en-GB"/>
        </w:rPr>
      </w:pPr>
      <w:r w:rsidRPr="003C2011">
        <w:rPr>
          <w:rFonts w:ascii="Times New Roman" w:hAnsi="Times New Roman" w:cs="Times New Roman"/>
          <w:sz w:val="24"/>
          <w:szCs w:val="24"/>
          <w:u w:val="single"/>
          <w:lang w:val="en-GB"/>
        </w:rPr>
        <w:t>Emergency Return Visits</w:t>
      </w:r>
    </w:p>
    <w:p w14:paraId="0D16468D" w14:textId="19D5FE06" w:rsidR="00CD4646" w:rsidRPr="003C2011" w:rsidRDefault="00937F19" w:rsidP="00611F07">
      <w:pPr>
        <w:tabs>
          <w:tab w:val="left" w:pos="720"/>
          <w:tab w:val="left" w:pos="1440"/>
          <w:tab w:val="left" w:pos="2160"/>
          <w:tab w:val="left" w:pos="2880"/>
          <w:tab w:val="left" w:pos="3600"/>
          <w:tab w:val="left" w:pos="4320"/>
        </w:tabs>
        <w:spacing w:after="240" w:line="480" w:lineRule="auto"/>
        <w:rPr>
          <w:rFonts w:ascii="Times New Roman" w:hAnsi="Times New Roman" w:cs="Times New Roman"/>
          <w:sz w:val="24"/>
          <w:szCs w:val="24"/>
        </w:rPr>
      </w:pPr>
      <w:r w:rsidRPr="003C2011">
        <w:rPr>
          <w:rFonts w:ascii="Times New Roman" w:hAnsi="Times New Roman" w:cs="Times New Roman"/>
          <w:sz w:val="24"/>
          <w:szCs w:val="24"/>
        </w:rPr>
        <w:t xml:space="preserve">In the antibiotic group, approximately 46% (52/112) of visits occurred within the first six weeks following initial discharge after randomization. The number of return visits to the emergency department relating to appendicitis during the study period were no different when comparing study arms (β=0·38; 95% CI: -0·01, 0·77; P=0·057) in the zero-inflated Poisson regression model. </w:t>
      </w:r>
      <w:r w:rsidR="00814295" w:rsidRPr="003C2011">
        <w:rPr>
          <w:rFonts w:ascii="Times New Roman" w:hAnsi="Times New Roman" w:cs="Times New Roman"/>
          <w:sz w:val="24"/>
          <w:szCs w:val="24"/>
        </w:rPr>
        <w:t>However, the odds of a patient in the antibiotic group having one or more emergency department visits increased by 58% (odds ratio (OR) =1·58; 95% CI: 1·05, 2·42; P=0·031).</w:t>
      </w:r>
    </w:p>
    <w:p w14:paraId="2A9D3D74" w14:textId="77777777" w:rsidR="00CD4646" w:rsidRPr="003C2011" w:rsidRDefault="00CD4646" w:rsidP="00CD4646">
      <w:pPr>
        <w:tabs>
          <w:tab w:val="left" w:pos="720"/>
          <w:tab w:val="left" w:pos="1440"/>
          <w:tab w:val="left" w:pos="2160"/>
          <w:tab w:val="left" w:pos="2880"/>
          <w:tab w:val="left" w:pos="3600"/>
          <w:tab w:val="left" w:pos="4320"/>
        </w:tabs>
        <w:spacing w:after="240" w:line="480" w:lineRule="auto"/>
        <w:rPr>
          <w:u w:val="single"/>
        </w:rPr>
      </w:pPr>
      <w:r w:rsidRPr="003C2011">
        <w:rPr>
          <w:rFonts w:ascii="Times New Roman" w:hAnsi="Times New Roman" w:cs="Times New Roman"/>
          <w:sz w:val="24"/>
          <w:szCs w:val="24"/>
          <w:u w:val="single"/>
          <w:lang w:val="en-GB"/>
        </w:rPr>
        <w:t>Convalescence</w:t>
      </w:r>
    </w:p>
    <w:p w14:paraId="00D81E13" w14:textId="33346CD7" w:rsidR="00CD4646" w:rsidRPr="003C2011" w:rsidRDefault="00E66260" w:rsidP="00CD4646">
      <w:pPr>
        <w:tabs>
          <w:tab w:val="left" w:pos="720"/>
          <w:tab w:val="left" w:pos="1440"/>
          <w:tab w:val="left" w:pos="2160"/>
          <w:tab w:val="left" w:pos="2880"/>
          <w:tab w:val="left" w:pos="3600"/>
          <w:tab w:val="left" w:pos="4320"/>
        </w:tabs>
        <w:spacing w:after="240" w:line="480" w:lineRule="auto"/>
        <w:rPr>
          <w:rFonts w:ascii="Times New Roman" w:hAnsi="Times New Roman" w:cs="Times New Roman"/>
          <w:sz w:val="24"/>
          <w:szCs w:val="24"/>
          <w:lang w:val="en-GB"/>
        </w:rPr>
      </w:pPr>
      <w:r w:rsidRPr="003C2011">
        <w:rPr>
          <w:rFonts w:ascii="Times New Roman" w:hAnsi="Times New Roman" w:cs="Times New Roman"/>
          <w:sz w:val="24"/>
          <w:szCs w:val="24"/>
          <w:lang w:val="en-GB"/>
        </w:rPr>
        <w:t>Approximately, one-third of participants had at least one day’s entry in their 14-day diary (33</w:t>
      </w:r>
      <w:r w:rsidR="002D58C5" w:rsidRPr="003C2011">
        <w:rPr>
          <w:rFonts w:ascii="Times New Roman" w:hAnsi="Times New Roman" w:cs="Times New Roman"/>
          <w:sz w:val="24"/>
          <w:szCs w:val="24"/>
          <w:lang w:val="en-GB"/>
        </w:rPr>
        <w:t>·</w:t>
      </w:r>
      <w:r w:rsidRPr="003C2011">
        <w:rPr>
          <w:rFonts w:ascii="Times New Roman" w:hAnsi="Times New Roman" w:cs="Times New Roman"/>
          <w:sz w:val="24"/>
          <w:szCs w:val="24"/>
          <w:lang w:val="en-GB"/>
        </w:rPr>
        <w:t>6% in the appendectomy arm and 37</w:t>
      </w:r>
      <w:r w:rsidR="002D58C5" w:rsidRPr="003C2011">
        <w:rPr>
          <w:rFonts w:ascii="Times New Roman" w:hAnsi="Times New Roman" w:cs="Times New Roman"/>
          <w:sz w:val="24"/>
          <w:szCs w:val="24"/>
          <w:lang w:val="en-GB"/>
        </w:rPr>
        <w:t>·</w:t>
      </w:r>
      <w:r w:rsidRPr="003C2011">
        <w:rPr>
          <w:rFonts w:ascii="Times New Roman" w:hAnsi="Times New Roman" w:cs="Times New Roman"/>
          <w:sz w:val="24"/>
          <w:szCs w:val="24"/>
          <w:lang w:val="en-GB"/>
        </w:rPr>
        <w:t xml:space="preserve">7% in the antibiotic arm). </w:t>
      </w:r>
      <w:r w:rsidR="00512AE0" w:rsidRPr="003C2011">
        <w:rPr>
          <w:rFonts w:ascii="Times New Roman" w:hAnsi="Times New Roman" w:cs="Times New Roman"/>
          <w:sz w:val="24"/>
          <w:szCs w:val="24"/>
          <w:lang w:val="en-GB"/>
        </w:rPr>
        <w:t xml:space="preserve">Approximately 90% of these </w:t>
      </w:r>
      <w:r w:rsidR="00512AE0" w:rsidRPr="003C2011">
        <w:rPr>
          <w:rFonts w:ascii="Times New Roman" w:hAnsi="Times New Roman" w:cs="Times New Roman"/>
          <w:sz w:val="24"/>
          <w:szCs w:val="24"/>
          <w:lang w:val="en-GB"/>
        </w:rPr>
        <w:lastRenderedPageBreak/>
        <w:t xml:space="preserve">individuals completed all 14 days of the diary.  </w:t>
      </w:r>
      <w:r w:rsidR="009318FF" w:rsidRPr="003C2011">
        <w:rPr>
          <w:rFonts w:ascii="Times New Roman" w:hAnsi="Times New Roman" w:cs="Times New Roman"/>
          <w:sz w:val="24"/>
          <w:szCs w:val="24"/>
          <w:lang w:val="en-GB"/>
        </w:rPr>
        <w:t>D</w:t>
      </w:r>
      <w:r w:rsidR="00512AE0" w:rsidRPr="003C2011">
        <w:rPr>
          <w:rFonts w:ascii="Times New Roman" w:hAnsi="Times New Roman" w:cs="Times New Roman"/>
          <w:sz w:val="24"/>
          <w:szCs w:val="24"/>
          <w:lang w:val="en-GB"/>
        </w:rPr>
        <w:t>ays t</w:t>
      </w:r>
      <w:r w:rsidR="009318FF" w:rsidRPr="003C2011">
        <w:rPr>
          <w:rFonts w:ascii="Times New Roman" w:hAnsi="Times New Roman" w:cs="Times New Roman"/>
          <w:sz w:val="24"/>
          <w:szCs w:val="24"/>
          <w:lang w:val="en-GB"/>
        </w:rPr>
        <w:t>aken</w:t>
      </w:r>
      <w:r w:rsidR="00512AE0" w:rsidRPr="003C2011">
        <w:rPr>
          <w:rFonts w:ascii="Times New Roman" w:hAnsi="Times New Roman" w:cs="Times New Roman"/>
          <w:sz w:val="24"/>
          <w:szCs w:val="24"/>
          <w:lang w:val="en-GB"/>
        </w:rPr>
        <w:t xml:space="preserve"> to return to normal activity and </w:t>
      </w:r>
      <w:r w:rsidR="009318FF" w:rsidRPr="003C2011">
        <w:rPr>
          <w:rFonts w:ascii="Times New Roman" w:hAnsi="Times New Roman" w:cs="Times New Roman"/>
          <w:sz w:val="24"/>
          <w:szCs w:val="24"/>
          <w:lang w:val="en-GB"/>
        </w:rPr>
        <w:t xml:space="preserve">to </w:t>
      </w:r>
      <w:r w:rsidR="00512AE0" w:rsidRPr="003C2011">
        <w:rPr>
          <w:rFonts w:ascii="Times New Roman" w:hAnsi="Times New Roman" w:cs="Times New Roman"/>
          <w:sz w:val="24"/>
          <w:szCs w:val="24"/>
          <w:lang w:val="en-GB"/>
        </w:rPr>
        <w:t xml:space="preserve">school </w:t>
      </w:r>
      <w:r w:rsidR="009318FF" w:rsidRPr="003C2011">
        <w:rPr>
          <w:rFonts w:ascii="Times New Roman" w:hAnsi="Times New Roman" w:cs="Times New Roman"/>
          <w:sz w:val="24"/>
          <w:szCs w:val="24"/>
          <w:lang w:val="en-GB"/>
        </w:rPr>
        <w:t xml:space="preserve">were fewer </w:t>
      </w:r>
      <w:r w:rsidR="002C583C" w:rsidRPr="003C2011">
        <w:rPr>
          <w:rFonts w:ascii="Times New Roman" w:hAnsi="Times New Roman" w:cs="Times New Roman"/>
          <w:sz w:val="24"/>
          <w:szCs w:val="24"/>
          <w:lang w:val="en-GB"/>
        </w:rPr>
        <w:t>in the antibiotic group compared to the appendectomy group (</w:t>
      </w:r>
      <w:r w:rsidR="00892B7B" w:rsidRPr="003C2011">
        <w:rPr>
          <w:rFonts w:ascii="Times New Roman" w:hAnsi="Times New Roman" w:cs="Times New Roman"/>
          <w:sz w:val="24"/>
          <w:szCs w:val="24"/>
          <w:lang w:val="en-GB"/>
        </w:rPr>
        <w:t>b</w:t>
      </w:r>
      <w:r w:rsidR="002C583C" w:rsidRPr="003C2011">
        <w:rPr>
          <w:rFonts w:ascii="Times New Roman" w:hAnsi="Times New Roman" w:cs="Times New Roman"/>
          <w:sz w:val="24"/>
          <w:szCs w:val="24"/>
          <w:lang w:val="en-GB"/>
        </w:rPr>
        <w:t xml:space="preserve">oth </w:t>
      </w:r>
      <w:r w:rsidR="00512AE0" w:rsidRPr="003C2011">
        <w:rPr>
          <w:rFonts w:ascii="Times New Roman" w:hAnsi="Times New Roman" w:cs="Times New Roman"/>
          <w:sz w:val="24"/>
          <w:szCs w:val="24"/>
          <w:lang w:val="en-GB"/>
        </w:rPr>
        <w:t>P&lt;0</w:t>
      </w:r>
      <w:r w:rsidR="001F1801" w:rsidRPr="003C2011">
        <w:rPr>
          <w:rFonts w:ascii="Times New Roman" w:hAnsi="Times New Roman" w:cs="Times New Roman"/>
          <w:sz w:val="24"/>
          <w:szCs w:val="24"/>
          <w:lang w:val="en-GB"/>
        </w:rPr>
        <w:t>·</w:t>
      </w:r>
      <w:r w:rsidR="00512AE0" w:rsidRPr="003C2011">
        <w:rPr>
          <w:rFonts w:ascii="Times New Roman" w:hAnsi="Times New Roman" w:cs="Times New Roman"/>
          <w:sz w:val="24"/>
          <w:szCs w:val="24"/>
          <w:lang w:val="en-GB"/>
        </w:rPr>
        <w:t>0001</w:t>
      </w:r>
      <w:r w:rsidR="00892B7B" w:rsidRPr="003C2011">
        <w:rPr>
          <w:rFonts w:ascii="Times New Roman" w:hAnsi="Times New Roman" w:cs="Times New Roman"/>
          <w:sz w:val="24"/>
          <w:szCs w:val="24"/>
          <w:lang w:val="en-GB"/>
        </w:rPr>
        <w:t>;</w:t>
      </w:r>
      <w:r w:rsidR="00512AE0" w:rsidRPr="003C2011">
        <w:rPr>
          <w:rFonts w:ascii="Times New Roman" w:hAnsi="Times New Roman" w:cs="Times New Roman"/>
          <w:sz w:val="24"/>
          <w:szCs w:val="24"/>
          <w:lang w:val="en-GB"/>
        </w:rPr>
        <w:t>(</w:t>
      </w:r>
      <w:r w:rsidR="00667A12" w:rsidRPr="003C2011">
        <w:rPr>
          <w:rFonts w:ascii="Times New Roman" w:hAnsi="Times New Roman" w:cs="Times New Roman"/>
          <w:sz w:val="24"/>
          <w:szCs w:val="24"/>
          <w:lang w:val="en-GB"/>
        </w:rPr>
        <w:t xml:space="preserve"> </w:t>
      </w:r>
      <w:r w:rsidR="00512AE0" w:rsidRPr="003C2011">
        <w:rPr>
          <w:rFonts w:ascii="Times New Roman" w:hAnsi="Times New Roman" w:cs="Times New Roman"/>
          <w:sz w:val="24"/>
          <w:szCs w:val="24"/>
          <w:lang w:val="en-GB"/>
        </w:rPr>
        <w:t xml:space="preserve">Table </w:t>
      </w:r>
      <w:r w:rsidR="00850FDB" w:rsidRPr="003C2011">
        <w:rPr>
          <w:rFonts w:ascii="Times New Roman" w:hAnsi="Times New Roman" w:cs="Times New Roman"/>
          <w:sz w:val="24"/>
          <w:szCs w:val="24"/>
          <w:lang w:val="en-GB"/>
        </w:rPr>
        <w:t>3</w:t>
      </w:r>
      <w:r w:rsidR="00512AE0" w:rsidRPr="003C2011">
        <w:rPr>
          <w:rFonts w:ascii="Times New Roman" w:hAnsi="Times New Roman" w:cs="Times New Roman"/>
          <w:sz w:val="24"/>
          <w:szCs w:val="24"/>
          <w:lang w:val="en-GB"/>
        </w:rPr>
        <w:t>)</w:t>
      </w:r>
      <w:r w:rsidR="00850FDB" w:rsidRPr="003C2011">
        <w:rPr>
          <w:rFonts w:ascii="Times New Roman" w:hAnsi="Times New Roman" w:cs="Times New Roman"/>
          <w:sz w:val="24"/>
          <w:szCs w:val="24"/>
          <w:lang w:val="en-GB"/>
        </w:rPr>
        <w:t>)</w:t>
      </w:r>
      <w:r w:rsidR="00512AE0" w:rsidRPr="003C2011">
        <w:rPr>
          <w:rFonts w:ascii="Times New Roman" w:hAnsi="Times New Roman" w:cs="Times New Roman"/>
          <w:sz w:val="24"/>
          <w:szCs w:val="24"/>
          <w:lang w:val="en-GB"/>
        </w:rPr>
        <w:t xml:space="preserve">. </w:t>
      </w:r>
      <w:r w:rsidR="002C583C" w:rsidRPr="003C2011">
        <w:rPr>
          <w:rFonts w:ascii="Times New Roman" w:hAnsi="Times New Roman" w:cs="Times New Roman"/>
          <w:sz w:val="24"/>
          <w:szCs w:val="24"/>
          <w:lang w:val="en-GB"/>
        </w:rPr>
        <w:t>F</w:t>
      </w:r>
      <w:r w:rsidR="00780554" w:rsidRPr="003C2011">
        <w:rPr>
          <w:rFonts w:ascii="Times New Roman" w:hAnsi="Times New Roman" w:cs="Times New Roman"/>
          <w:sz w:val="24"/>
          <w:szCs w:val="24"/>
          <w:lang w:val="en-GB"/>
        </w:rPr>
        <w:t>u</w:t>
      </w:r>
      <w:r w:rsidR="002C583C" w:rsidRPr="003C2011">
        <w:rPr>
          <w:rFonts w:ascii="Times New Roman" w:hAnsi="Times New Roman" w:cs="Times New Roman"/>
          <w:sz w:val="24"/>
          <w:szCs w:val="24"/>
          <w:lang w:val="en-GB"/>
        </w:rPr>
        <w:t>rthermore</w:t>
      </w:r>
      <w:r w:rsidR="008F1F16" w:rsidRPr="003C2011">
        <w:rPr>
          <w:rFonts w:ascii="Times New Roman" w:hAnsi="Times New Roman" w:cs="Times New Roman"/>
          <w:sz w:val="24"/>
          <w:szCs w:val="24"/>
          <w:lang w:val="en-GB"/>
        </w:rPr>
        <w:t>,</w:t>
      </w:r>
      <w:r w:rsidR="002C583C" w:rsidRPr="003C2011">
        <w:rPr>
          <w:rFonts w:ascii="Times New Roman" w:hAnsi="Times New Roman" w:cs="Times New Roman"/>
          <w:sz w:val="24"/>
          <w:szCs w:val="24"/>
          <w:lang w:val="en-GB"/>
        </w:rPr>
        <w:t xml:space="preserve"> </w:t>
      </w:r>
      <w:r w:rsidR="00780554" w:rsidRPr="003C2011">
        <w:rPr>
          <w:rFonts w:ascii="Times New Roman" w:hAnsi="Times New Roman" w:cs="Times New Roman"/>
          <w:sz w:val="24"/>
          <w:szCs w:val="24"/>
          <w:lang w:val="en-GB"/>
        </w:rPr>
        <w:t>t</w:t>
      </w:r>
      <w:r w:rsidR="00512AE0" w:rsidRPr="003C2011">
        <w:rPr>
          <w:rFonts w:ascii="Times New Roman" w:hAnsi="Times New Roman" w:cs="Times New Roman"/>
          <w:sz w:val="24"/>
          <w:szCs w:val="24"/>
          <w:lang w:val="en-GB"/>
        </w:rPr>
        <w:t>he median</w:t>
      </w:r>
      <w:r w:rsidR="003D5489" w:rsidRPr="003C2011">
        <w:rPr>
          <w:rFonts w:ascii="Times New Roman" w:hAnsi="Times New Roman" w:cs="Times New Roman"/>
          <w:sz w:val="24"/>
          <w:szCs w:val="24"/>
          <w:lang w:val="en-GB"/>
        </w:rPr>
        <w:t xml:space="preserve"> </w:t>
      </w:r>
      <w:r w:rsidR="00003D8D" w:rsidRPr="003C2011">
        <w:rPr>
          <w:rFonts w:ascii="Times New Roman" w:hAnsi="Times New Roman" w:cs="Times New Roman"/>
          <w:sz w:val="24"/>
          <w:szCs w:val="24"/>
          <w:lang w:val="en-GB"/>
        </w:rPr>
        <w:t>duration of pain medication use</w:t>
      </w:r>
      <w:r w:rsidR="00512AE0" w:rsidRPr="003C2011">
        <w:rPr>
          <w:rFonts w:ascii="Times New Roman" w:hAnsi="Times New Roman" w:cs="Times New Roman"/>
          <w:sz w:val="24"/>
          <w:szCs w:val="24"/>
          <w:lang w:val="en-GB"/>
        </w:rPr>
        <w:t xml:space="preserve"> in the appendectomy </w:t>
      </w:r>
      <w:r w:rsidR="00780554" w:rsidRPr="003C2011">
        <w:rPr>
          <w:rFonts w:ascii="Times New Roman" w:hAnsi="Times New Roman" w:cs="Times New Roman"/>
          <w:sz w:val="24"/>
          <w:szCs w:val="24"/>
          <w:lang w:val="en-GB"/>
        </w:rPr>
        <w:t>group</w:t>
      </w:r>
      <w:r w:rsidR="00512AE0" w:rsidRPr="003C2011">
        <w:rPr>
          <w:rFonts w:ascii="Times New Roman" w:hAnsi="Times New Roman" w:cs="Times New Roman"/>
          <w:sz w:val="24"/>
          <w:szCs w:val="24"/>
          <w:lang w:val="en-GB"/>
        </w:rPr>
        <w:t xml:space="preserve"> was three days</w:t>
      </w:r>
      <w:r w:rsidR="00124C67" w:rsidRPr="003C2011">
        <w:rPr>
          <w:rFonts w:ascii="Times New Roman" w:hAnsi="Times New Roman" w:cs="Times New Roman"/>
          <w:sz w:val="24"/>
          <w:szCs w:val="24"/>
          <w:lang w:val="en-GB"/>
        </w:rPr>
        <w:t xml:space="preserve">, while </w:t>
      </w:r>
      <w:r w:rsidR="00780554" w:rsidRPr="003C2011">
        <w:rPr>
          <w:rFonts w:ascii="Times New Roman" w:hAnsi="Times New Roman" w:cs="Times New Roman"/>
          <w:sz w:val="24"/>
          <w:szCs w:val="24"/>
          <w:lang w:val="en-GB"/>
        </w:rPr>
        <w:t xml:space="preserve">patients in </w:t>
      </w:r>
      <w:r w:rsidR="00124C67" w:rsidRPr="003C2011">
        <w:rPr>
          <w:rFonts w:ascii="Times New Roman" w:hAnsi="Times New Roman" w:cs="Times New Roman"/>
          <w:sz w:val="24"/>
          <w:szCs w:val="24"/>
          <w:lang w:val="en-GB"/>
        </w:rPr>
        <w:t xml:space="preserve">the antibiotic </w:t>
      </w:r>
      <w:r w:rsidR="00780554" w:rsidRPr="003C2011">
        <w:rPr>
          <w:rFonts w:ascii="Times New Roman" w:hAnsi="Times New Roman" w:cs="Times New Roman"/>
          <w:sz w:val="24"/>
          <w:szCs w:val="24"/>
          <w:lang w:val="en-GB"/>
        </w:rPr>
        <w:t xml:space="preserve">group </w:t>
      </w:r>
      <w:r w:rsidR="00124C67" w:rsidRPr="003C2011">
        <w:rPr>
          <w:rFonts w:ascii="Times New Roman" w:hAnsi="Times New Roman" w:cs="Times New Roman"/>
          <w:sz w:val="24"/>
          <w:szCs w:val="24"/>
          <w:lang w:val="en-GB"/>
        </w:rPr>
        <w:t>generally did not require pain medications</w:t>
      </w:r>
      <w:r w:rsidR="00780554" w:rsidRPr="003C2011">
        <w:rPr>
          <w:rFonts w:ascii="Times New Roman" w:hAnsi="Times New Roman" w:cs="Times New Roman"/>
          <w:sz w:val="24"/>
          <w:szCs w:val="24"/>
          <w:lang w:val="en-GB"/>
        </w:rPr>
        <w:t xml:space="preserve"> (P&lt;0</w:t>
      </w:r>
      <w:r w:rsidR="001F1801" w:rsidRPr="003C2011">
        <w:rPr>
          <w:rFonts w:ascii="Times New Roman" w:hAnsi="Times New Roman" w:cs="Times New Roman"/>
          <w:sz w:val="24"/>
          <w:szCs w:val="24"/>
          <w:lang w:val="en-GB"/>
        </w:rPr>
        <w:t>·</w:t>
      </w:r>
      <w:r w:rsidR="00780554" w:rsidRPr="003C2011">
        <w:rPr>
          <w:rFonts w:ascii="Times New Roman" w:hAnsi="Times New Roman" w:cs="Times New Roman"/>
          <w:sz w:val="24"/>
          <w:szCs w:val="24"/>
          <w:lang w:val="en-GB"/>
        </w:rPr>
        <w:t xml:space="preserve">0001; Table </w:t>
      </w:r>
      <w:r w:rsidR="00850FDB" w:rsidRPr="003C2011">
        <w:rPr>
          <w:rFonts w:ascii="Times New Roman" w:hAnsi="Times New Roman" w:cs="Times New Roman"/>
          <w:sz w:val="24"/>
          <w:szCs w:val="24"/>
          <w:lang w:val="en-GB"/>
        </w:rPr>
        <w:t>3</w:t>
      </w:r>
      <w:r w:rsidR="00780554" w:rsidRPr="003C2011">
        <w:rPr>
          <w:rFonts w:ascii="Times New Roman" w:hAnsi="Times New Roman" w:cs="Times New Roman"/>
          <w:sz w:val="24"/>
          <w:szCs w:val="24"/>
          <w:lang w:val="en-GB"/>
        </w:rPr>
        <w:t>)</w:t>
      </w:r>
      <w:r w:rsidR="00512AE0" w:rsidRPr="003C2011">
        <w:rPr>
          <w:rFonts w:ascii="Times New Roman" w:hAnsi="Times New Roman" w:cs="Times New Roman"/>
          <w:sz w:val="24"/>
          <w:szCs w:val="24"/>
          <w:lang w:val="en-GB"/>
        </w:rPr>
        <w:t xml:space="preserve">. </w:t>
      </w:r>
      <w:r w:rsidR="00780554" w:rsidRPr="003C2011">
        <w:rPr>
          <w:rFonts w:ascii="Times New Roman" w:hAnsi="Times New Roman" w:cs="Times New Roman"/>
          <w:sz w:val="24"/>
          <w:szCs w:val="24"/>
          <w:lang w:val="en-GB"/>
        </w:rPr>
        <w:t>Eighty</w:t>
      </w:r>
      <w:r w:rsidR="00850FDB" w:rsidRPr="003C2011">
        <w:rPr>
          <w:rFonts w:ascii="Times New Roman" w:hAnsi="Times New Roman" w:cs="Times New Roman"/>
          <w:sz w:val="24"/>
          <w:szCs w:val="24"/>
          <w:lang w:val="en-GB"/>
        </w:rPr>
        <w:t>-</w:t>
      </w:r>
      <w:r w:rsidR="00780554" w:rsidRPr="003C2011">
        <w:rPr>
          <w:rFonts w:ascii="Times New Roman" w:hAnsi="Times New Roman" w:cs="Times New Roman"/>
          <w:sz w:val="24"/>
          <w:szCs w:val="24"/>
          <w:lang w:val="en-GB"/>
        </w:rPr>
        <w:t xml:space="preserve">two percent of patients </w:t>
      </w:r>
      <w:r w:rsidR="00512AE0" w:rsidRPr="003C2011">
        <w:rPr>
          <w:rFonts w:ascii="Times New Roman" w:hAnsi="Times New Roman" w:cs="Times New Roman"/>
          <w:sz w:val="24"/>
          <w:szCs w:val="24"/>
          <w:lang w:val="en-GB"/>
        </w:rPr>
        <w:t xml:space="preserve">in the antibiotics </w:t>
      </w:r>
      <w:r w:rsidR="00780554" w:rsidRPr="003C2011">
        <w:rPr>
          <w:rFonts w:ascii="Times New Roman" w:hAnsi="Times New Roman" w:cs="Times New Roman"/>
          <w:sz w:val="24"/>
          <w:szCs w:val="24"/>
          <w:lang w:val="en-GB"/>
        </w:rPr>
        <w:t xml:space="preserve">group </w:t>
      </w:r>
      <w:r w:rsidR="00512AE0" w:rsidRPr="003C2011">
        <w:rPr>
          <w:rFonts w:ascii="Times New Roman" w:hAnsi="Times New Roman" w:cs="Times New Roman"/>
          <w:sz w:val="24"/>
          <w:szCs w:val="24"/>
          <w:lang w:val="en-GB"/>
        </w:rPr>
        <w:t xml:space="preserve">took a full course of antibiotics with most taking </w:t>
      </w:r>
      <w:r w:rsidR="001F1801" w:rsidRPr="003C2011">
        <w:rPr>
          <w:rFonts w:ascii="Times New Roman" w:hAnsi="Times New Roman" w:cs="Times New Roman"/>
          <w:sz w:val="24"/>
          <w:szCs w:val="24"/>
          <w:lang w:val="en-GB"/>
        </w:rPr>
        <w:t>nine</w:t>
      </w:r>
      <w:r w:rsidR="003D5489" w:rsidRPr="003C2011">
        <w:rPr>
          <w:rFonts w:ascii="Times New Roman" w:hAnsi="Times New Roman" w:cs="Times New Roman"/>
          <w:sz w:val="24"/>
          <w:szCs w:val="24"/>
          <w:lang w:val="en-GB"/>
        </w:rPr>
        <w:t xml:space="preserve"> or </w:t>
      </w:r>
      <w:r w:rsidR="001F1801" w:rsidRPr="003C2011">
        <w:rPr>
          <w:rFonts w:ascii="Times New Roman" w:hAnsi="Times New Roman" w:cs="Times New Roman"/>
          <w:sz w:val="24"/>
          <w:szCs w:val="24"/>
          <w:lang w:val="en-GB"/>
        </w:rPr>
        <w:t>ten</w:t>
      </w:r>
      <w:r w:rsidR="00512AE0" w:rsidRPr="003C2011">
        <w:rPr>
          <w:rFonts w:ascii="Times New Roman" w:hAnsi="Times New Roman" w:cs="Times New Roman"/>
          <w:sz w:val="24"/>
          <w:szCs w:val="24"/>
          <w:lang w:val="en-GB"/>
        </w:rPr>
        <w:t xml:space="preserve"> days of antibiotics.</w:t>
      </w:r>
    </w:p>
    <w:p w14:paraId="7E0672F9" w14:textId="77777777" w:rsidR="00CD4646" w:rsidRPr="003C2011" w:rsidRDefault="00CD4646" w:rsidP="00CD4646">
      <w:pPr>
        <w:tabs>
          <w:tab w:val="left" w:pos="720"/>
          <w:tab w:val="left" w:pos="1440"/>
          <w:tab w:val="left" w:pos="2160"/>
          <w:tab w:val="left" w:pos="2880"/>
          <w:tab w:val="left" w:pos="3600"/>
          <w:tab w:val="left" w:pos="4320"/>
        </w:tabs>
        <w:spacing w:after="240" w:line="480" w:lineRule="auto"/>
        <w:rPr>
          <w:rFonts w:ascii="Times New Roman" w:hAnsi="Times New Roman" w:cs="Times New Roman"/>
          <w:sz w:val="24"/>
          <w:szCs w:val="24"/>
          <w:u w:val="single"/>
          <w:lang w:val="en-GB"/>
        </w:rPr>
      </w:pPr>
      <w:r w:rsidRPr="003C2011">
        <w:rPr>
          <w:rFonts w:ascii="Times New Roman" w:hAnsi="Times New Roman" w:cs="Times New Roman"/>
          <w:sz w:val="24"/>
          <w:szCs w:val="24"/>
          <w:u w:val="single"/>
          <w:lang w:val="en-GB"/>
        </w:rPr>
        <w:t xml:space="preserve"> Patient Satisfaction </w:t>
      </w:r>
    </w:p>
    <w:p w14:paraId="63BEF7F8" w14:textId="6CD89DA7" w:rsidR="0047518C" w:rsidRPr="003C2011" w:rsidRDefault="0047518C" w:rsidP="00713387">
      <w:pPr>
        <w:tabs>
          <w:tab w:val="left" w:pos="720"/>
          <w:tab w:val="left" w:pos="1440"/>
          <w:tab w:val="left" w:pos="2160"/>
          <w:tab w:val="left" w:pos="2880"/>
          <w:tab w:val="left" w:pos="3600"/>
          <w:tab w:val="left" w:pos="4320"/>
        </w:tabs>
        <w:spacing w:after="240" w:line="480" w:lineRule="auto"/>
        <w:rPr>
          <w:rFonts w:ascii="Times New Roman" w:hAnsi="Times New Roman" w:cs="Times New Roman"/>
          <w:sz w:val="24"/>
          <w:szCs w:val="24"/>
          <w:lang w:val="en-GB"/>
        </w:rPr>
      </w:pPr>
      <w:r w:rsidRPr="003C2011">
        <w:rPr>
          <w:rFonts w:ascii="Times New Roman" w:hAnsi="Times New Roman" w:cs="Times New Roman"/>
          <w:sz w:val="24"/>
          <w:szCs w:val="24"/>
          <w:lang w:val="en-GB"/>
        </w:rPr>
        <w:t>During the final follow-up, families were asked if they were satisfied with their treatment allocation and to explain why. In the antibiotic group, 214 (214/293=73</w:t>
      </w:r>
      <w:r w:rsidR="000D603A" w:rsidRPr="003C2011">
        <w:rPr>
          <w:rFonts w:ascii="Times New Roman" w:hAnsi="Times New Roman" w:cs="Times New Roman"/>
          <w:sz w:val="24"/>
          <w:szCs w:val="24"/>
          <w:lang w:val="en-GB"/>
        </w:rPr>
        <w:t>·</w:t>
      </w:r>
      <w:r w:rsidRPr="003C2011">
        <w:rPr>
          <w:rFonts w:ascii="Times New Roman" w:hAnsi="Times New Roman" w:cs="Times New Roman"/>
          <w:sz w:val="24"/>
          <w:szCs w:val="24"/>
          <w:lang w:val="en-GB"/>
        </w:rPr>
        <w:t>0%</w:t>
      </w:r>
      <w:r w:rsidR="0078357F" w:rsidRPr="003C2011">
        <w:rPr>
          <w:rFonts w:ascii="Times New Roman" w:hAnsi="Times New Roman" w:cs="Times New Roman"/>
          <w:sz w:val="24"/>
          <w:szCs w:val="24"/>
          <w:lang w:val="en-GB"/>
        </w:rPr>
        <w:t>; 95% CI: 0·68, 0·78</w:t>
      </w:r>
      <w:r w:rsidRPr="003C2011">
        <w:rPr>
          <w:rFonts w:ascii="Times New Roman" w:hAnsi="Times New Roman" w:cs="Times New Roman"/>
          <w:sz w:val="24"/>
          <w:szCs w:val="24"/>
          <w:lang w:val="en-GB"/>
        </w:rPr>
        <w:t>) were satisfied. The most common reason was they wanted to avoid surgery (147/21</w:t>
      </w:r>
      <w:r w:rsidR="00A661AA" w:rsidRPr="003C2011">
        <w:rPr>
          <w:rFonts w:ascii="Times New Roman" w:hAnsi="Times New Roman" w:cs="Times New Roman"/>
          <w:sz w:val="24"/>
          <w:szCs w:val="24"/>
          <w:lang w:val="en-GB"/>
        </w:rPr>
        <w:t>4</w:t>
      </w:r>
      <w:r w:rsidRPr="003C2011">
        <w:rPr>
          <w:rFonts w:ascii="Times New Roman" w:hAnsi="Times New Roman" w:cs="Times New Roman"/>
          <w:sz w:val="24"/>
          <w:szCs w:val="24"/>
          <w:lang w:val="en-GB"/>
        </w:rPr>
        <w:t>=67</w:t>
      </w:r>
      <w:r w:rsidR="000D603A" w:rsidRPr="003C2011">
        <w:rPr>
          <w:rFonts w:ascii="Times New Roman" w:hAnsi="Times New Roman" w:cs="Times New Roman"/>
          <w:sz w:val="24"/>
          <w:szCs w:val="24"/>
          <w:lang w:val="en-GB"/>
        </w:rPr>
        <w:t>·</w:t>
      </w:r>
      <w:r w:rsidRPr="003C2011">
        <w:rPr>
          <w:rFonts w:ascii="Times New Roman" w:hAnsi="Times New Roman" w:cs="Times New Roman"/>
          <w:sz w:val="24"/>
          <w:szCs w:val="24"/>
          <w:lang w:val="en-GB"/>
        </w:rPr>
        <w:t>1%). Of the 79 (27</w:t>
      </w:r>
      <w:r w:rsidR="000D603A" w:rsidRPr="003C2011">
        <w:rPr>
          <w:rFonts w:ascii="Times New Roman" w:hAnsi="Times New Roman" w:cs="Times New Roman"/>
          <w:sz w:val="24"/>
          <w:szCs w:val="24"/>
          <w:lang w:val="en-GB"/>
        </w:rPr>
        <w:t>·</w:t>
      </w:r>
      <w:r w:rsidRPr="003C2011">
        <w:rPr>
          <w:rFonts w:ascii="Times New Roman" w:hAnsi="Times New Roman" w:cs="Times New Roman"/>
          <w:sz w:val="24"/>
          <w:szCs w:val="24"/>
          <w:lang w:val="en-GB"/>
        </w:rPr>
        <w:t>0%) unsatisfied, the common reason was they were concerned about recurrence (41/79=51</w:t>
      </w:r>
      <w:r w:rsidR="000D603A" w:rsidRPr="003C2011">
        <w:rPr>
          <w:rFonts w:ascii="Times New Roman" w:hAnsi="Times New Roman" w:cs="Times New Roman"/>
          <w:sz w:val="24"/>
          <w:szCs w:val="24"/>
          <w:lang w:val="en-GB"/>
        </w:rPr>
        <w:t>·</w:t>
      </w:r>
      <w:r w:rsidRPr="003C2011">
        <w:rPr>
          <w:rFonts w:ascii="Times New Roman" w:hAnsi="Times New Roman" w:cs="Times New Roman"/>
          <w:sz w:val="24"/>
          <w:szCs w:val="24"/>
          <w:lang w:val="en-GB"/>
        </w:rPr>
        <w:t>9%). In the appendectomy</w:t>
      </w:r>
      <w:r w:rsidR="00517783" w:rsidRPr="003C2011">
        <w:rPr>
          <w:rFonts w:ascii="Times New Roman" w:hAnsi="Times New Roman" w:cs="Times New Roman"/>
          <w:sz w:val="24"/>
          <w:szCs w:val="24"/>
          <w:lang w:val="en-GB"/>
        </w:rPr>
        <w:t xml:space="preserve"> group</w:t>
      </w:r>
      <w:r w:rsidRPr="003C2011">
        <w:rPr>
          <w:rFonts w:ascii="Times New Roman" w:hAnsi="Times New Roman" w:cs="Times New Roman"/>
          <w:sz w:val="24"/>
          <w:szCs w:val="24"/>
          <w:lang w:val="en-GB"/>
        </w:rPr>
        <w:t>, 213 (213/291=73</w:t>
      </w:r>
      <w:r w:rsidR="000D603A" w:rsidRPr="003C2011">
        <w:rPr>
          <w:rFonts w:ascii="Times New Roman" w:hAnsi="Times New Roman" w:cs="Times New Roman"/>
          <w:sz w:val="24"/>
          <w:szCs w:val="24"/>
          <w:lang w:val="en-GB"/>
        </w:rPr>
        <w:t>·</w:t>
      </w:r>
      <w:r w:rsidRPr="003C2011">
        <w:rPr>
          <w:rFonts w:ascii="Times New Roman" w:hAnsi="Times New Roman" w:cs="Times New Roman"/>
          <w:sz w:val="24"/>
          <w:szCs w:val="24"/>
          <w:lang w:val="en-GB"/>
        </w:rPr>
        <w:t>2%</w:t>
      </w:r>
      <w:r w:rsidR="0078357F" w:rsidRPr="003C2011">
        <w:rPr>
          <w:rFonts w:ascii="Times New Roman" w:hAnsi="Times New Roman" w:cs="Times New Roman"/>
          <w:sz w:val="24"/>
          <w:szCs w:val="24"/>
          <w:lang w:val="en-GB"/>
        </w:rPr>
        <w:t>; 95% CI: 0·68, 0·78</w:t>
      </w:r>
      <w:r w:rsidRPr="003C2011">
        <w:rPr>
          <w:rFonts w:ascii="Times New Roman" w:hAnsi="Times New Roman" w:cs="Times New Roman"/>
          <w:sz w:val="24"/>
          <w:szCs w:val="24"/>
          <w:lang w:val="en-GB"/>
        </w:rPr>
        <w:t>) were satisfied, which was not different from the antibiotic group (P = 0</w:t>
      </w:r>
      <w:r w:rsidR="000D603A" w:rsidRPr="003C2011">
        <w:rPr>
          <w:rFonts w:ascii="Times New Roman" w:hAnsi="Times New Roman" w:cs="Times New Roman"/>
          <w:sz w:val="24"/>
          <w:szCs w:val="24"/>
          <w:lang w:val="en-GB"/>
        </w:rPr>
        <w:t>·</w:t>
      </w:r>
      <w:r w:rsidRPr="003C2011">
        <w:rPr>
          <w:rFonts w:ascii="Times New Roman" w:hAnsi="Times New Roman" w:cs="Times New Roman"/>
          <w:sz w:val="24"/>
          <w:szCs w:val="24"/>
          <w:lang w:val="en-GB"/>
        </w:rPr>
        <w:t>96). The most common reasons were the effectiveness of surgery/satisfied with outcome (102/213=47</w:t>
      </w:r>
      <w:r w:rsidR="000D603A" w:rsidRPr="003C2011">
        <w:rPr>
          <w:rFonts w:ascii="Times New Roman" w:hAnsi="Times New Roman" w:cs="Times New Roman"/>
          <w:sz w:val="24"/>
          <w:szCs w:val="24"/>
          <w:lang w:val="en-GB"/>
        </w:rPr>
        <w:t>·</w:t>
      </w:r>
      <w:r w:rsidRPr="003C2011">
        <w:rPr>
          <w:rFonts w:ascii="Times New Roman" w:hAnsi="Times New Roman" w:cs="Times New Roman"/>
          <w:sz w:val="24"/>
          <w:szCs w:val="24"/>
          <w:lang w:val="en-GB"/>
        </w:rPr>
        <w:t>9%) and they were happy to avoid the risk of recurrence (61/213=28</w:t>
      </w:r>
      <w:r w:rsidR="000D603A" w:rsidRPr="003C2011">
        <w:rPr>
          <w:rFonts w:ascii="Times New Roman" w:hAnsi="Times New Roman" w:cs="Times New Roman"/>
          <w:sz w:val="24"/>
          <w:szCs w:val="24"/>
          <w:lang w:val="en-GB"/>
        </w:rPr>
        <w:t>·</w:t>
      </w:r>
      <w:r w:rsidRPr="003C2011">
        <w:rPr>
          <w:rFonts w:ascii="Times New Roman" w:hAnsi="Times New Roman" w:cs="Times New Roman"/>
          <w:sz w:val="24"/>
          <w:szCs w:val="24"/>
          <w:lang w:val="en-GB"/>
        </w:rPr>
        <w:t>6%). Of the 78 (26</w:t>
      </w:r>
      <w:r w:rsidR="000D603A" w:rsidRPr="003C2011">
        <w:rPr>
          <w:rFonts w:ascii="Times New Roman" w:hAnsi="Times New Roman" w:cs="Times New Roman"/>
          <w:sz w:val="24"/>
          <w:szCs w:val="24"/>
          <w:lang w:val="en-GB"/>
        </w:rPr>
        <w:t>·</w:t>
      </w:r>
      <w:r w:rsidRPr="003C2011">
        <w:rPr>
          <w:rFonts w:ascii="Times New Roman" w:hAnsi="Times New Roman" w:cs="Times New Roman"/>
          <w:sz w:val="24"/>
          <w:szCs w:val="24"/>
          <w:lang w:val="en-GB"/>
        </w:rPr>
        <w:t xml:space="preserve">8%) </w:t>
      </w:r>
      <w:r w:rsidR="00C14A30" w:rsidRPr="003C2011">
        <w:rPr>
          <w:rFonts w:ascii="Times New Roman" w:hAnsi="Times New Roman" w:cs="Times New Roman"/>
          <w:sz w:val="24"/>
          <w:szCs w:val="24"/>
          <w:lang w:val="en-GB"/>
        </w:rPr>
        <w:t xml:space="preserve">in the </w:t>
      </w:r>
      <w:r w:rsidRPr="003C2011">
        <w:rPr>
          <w:rFonts w:ascii="Times New Roman" w:hAnsi="Times New Roman" w:cs="Times New Roman"/>
          <w:sz w:val="24"/>
          <w:szCs w:val="24"/>
          <w:lang w:val="en-GB"/>
        </w:rPr>
        <w:t>appendectomy</w:t>
      </w:r>
      <w:r w:rsidR="00C14A30" w:rsidRPr="003C2011">
        <w:rPr>
          <w:rFonts w:ascii="Times New Roman" w:hAnsi="Times New Roman" w:cs="Times New Roman"/>
          <w:sz w:val="24"/>
          <w:szCs w:val="24"/>
          <w:lang w:val="en-GB"/>
        </w:rPr>
        <w:t xml:space="preserve"> group who were not satisfied</w:t>
      </w:r>
      <w:r w:rsidRPr="003C2011">
        <w:rPr>
          <w:rFonts w:ascii="Times New Roman" w:hAnsi="Times New Roman" w:cs="Times New Roman"/>
          <w:sz w:val="24"/>
          <w:szCs w:val="24"/>
          <w:lang w:val="en-GB"/>
        </w:rPr>
        <w:t>, most had wanted to avoid surgery (64/78=82</w:t>
      </w:r>
      <w:r w:rsidR="000D603A" w:rsidRPr="003C2011">
        <w:rPr>
          <w:rFonts w:ascii="Times New Roman" w:hAnsi="Times New Roman" w:cs="Times New Roman"/>
          <w:sz w:val="24"/>
          <w:szCs w:val="24"/>
          <w:lang w:val="en-GB"/>
        </w:rPr>
        <w:t>·</w:t>
      </w:r>
      <w:r w:rsidRPr="003C2011">
        <w:rPr>
          <w:rFonts w:ascii="Times New Roman" w:hAnsi="Times New Roman" w:cs="Times New Roman"/>
          <w:sz w:val="24"/>
          <w:szCs w:val="24"/>
          <w:lang w:val="en-GB"/>
        </w:rPr>
        <w:t>0%).</w:t>
      </w:r>
    </w:p>
    <w:p w14:paraId="4D452557" w14:textId="77777777" w:rsidR="00CD4646" w:rsidRPr="003C2011" w:rsidRDefault="00CD4646" w:rsidP="00CD4646">
      <w:pPr>
        <w:tabs>
          <w:tab w:val="left" w:pos="720"/>
          <w:tab w:val="left" w:pos="1440"/>
          <w:tab w:val="left" w:pos="2160"/>
          <w:tab w:val="left" w:pos="2880"/>
          <w:tab w:val="left" w:pos="3600"/>
          <w:tab w:val="left" w:pos="4320"/>
        </w:tabs>
        <w:spacing w:after="240" w:line="480" w:lineRule="auto"/>
        <w:rPr>
          <w:rFonts w:ascii="Times New Roman" w:hAnsi="Times New Roman" w:cs="Times New Roman"/>
          <w:sz w:val="24"/>
          <w:szCs w:val="24"/>
          <w:lang w:val="en-GB"/>
        </w:rPr>
      </w:pPr>
    </w:p>
    <w:bookmarkEnd w:id="0"/>
    <w:p w14:paraId="70B65198" w14:textId="7986BA39" w:rsidR="00CD4646" w:rsidRPr="003C2011" w:rsidRDefault="00922BD8" w:rsidP="00CD4646">
      <w:pPr>
        <w:tabs>
          <w:tab w:val="left" w:pos="720"/>
          <w:tab w:val="left" w:pos="1440"/>
          <w:tab w:val="left" w:pos="2160"/>
          <w:tab w:val="left" w:pos="2880"/>
          <w:tab w:val="left" w:pos="3600"/>
          <w:tab w:val="left" w:pos="4320"/>
        </w:tabs>
        <w:spacing w:after="240" w:line="480" w:lineRule="auto"/>
        <w:rPr>
          <w:rFonts w:ascii="Times New Roman" w:hAnsi="Times New Roman" w:cs="Times New Roman"/>
          <w:sz w:val="24"/>
          <w:szCs w:val="24"/>
        </w:rPr>
      </w:pPr>
      <w:r w:rsidRPr="003C2011">
        <w:rPr>
          <w:rFonts w:ascii="Times New Roman" w:hAnsi="Times New Roman" w:cs="Times New Roman"/>
          <w:b/>
          <w:sz w:val="24"/>
          <w:szCs w:val="24"/>
        </w:rPr>
        <w:t>DISCUSSION</w:t>
      </w:r>
    </w:p>
    <w:p w14:paraId="4D36170B" w14:textId="274FD006" w:rsidR="00943C56" w:rsidRPr="003C2011" w:rsidRDefault="00CD706C" w:rsidP="00CD4646">
      <w:pPr>
        <w:tabs>
          <w:tab w:val="left" w:pos="720"/>
          <w:tab w:val="left" w:pos="1440"/>
          <w:tab w:val="left" w:pos="2160"/>
          <w:tab w:val="left" w:pos="2880"/>
          <w:tab w:val="left" w:pos="3600"/>
          <w:tab w:val="left" w:pos="4320"/>
        </w:tabs>
        <w:spacing w:after="240" w:line="480" w:lineRule="auto"/>
        <w:rPr>
          <w:rFonts w:ascii="Times New Roman" w:hAnsi="Times New Roman" w:cs="Times New Roman"/>
          <w:sz w:val="24"/>
          <w:szCs w:val="24"/>
        </w:rPr>
      </w:pPr>
      <w:r w:rsidRPr="003C2011">
        <w:rPr>
          <w:rFonts w:ascii="Times New Roman" w:hAnsi="Times New Roman" w:cs="Times New Roman"/>
          <w:sz w:val="24"/>
          <w:szCs w:val="24"/>
        </w:rPr>
        <w:t>With a building interest in treating children with uncomplicated appendicitis without surgery, it is important to consider the co</w:t>
      </w:r>
      <w:r w:rsidR="002F1CA3" w:rsidRPr="003C2011">
        <w:rPr>
          <w:rFonts w:ascii="Times New Roman" w:hAnsi="Times New Roman" w:cs="Times New Roman"/>
          <w:sz w:val="24"/>
          <w:szCs w:val="24"/>
        </w:rPr>
        <w:t>m</w:t>
      </w:r>
      <w:r w:rsidRPr="003C2011">
        <w:rPr>
          <w:rFonts w:ascii="Times New Roman" w:hAnsi="Times New Roman" w:cs="Times New Roman"/>
          <w:sz w:val="24"/>
          <w:szCs w:val="24"/>
        </w:rPr>
        <w:t xml:space="preserve">parative </w:t>
      </w:r>
      <w:r w:rsidR="002F1CA3" w:rsidRPr="003C2011">
        <w:rPr>
          <w:rFonts w:ascii="Times New Roman" w:hAnsi="Times New Roman" w:cs="Times New Roman"/>
          <w:sz w:val="24"/>
          <w:szCs w:val="24"/>
        </w:rPr>
        <w:t>o</w:t>
      </w:r>
      <w:r w:rsidRPr="003C2011">
        <w:rPr>
          <w:rFonts w:ascii="Times New Roman" w:hAnsi="Times New Roman" w:cs="Times New Roman"/>
          <w:sz w:val="24"/>
          <w:szCs w:val="24"/>
        </w:rPr>
        <w:t>utcomes of</w:t>
      </w:r>
      <w:r w:rsidR="002F1CA3" w:rsidRPr="003C2011">
        <w:rPr>
          <w:rFonts w:ascii="Times New Roman" w:hAnsi="Times New Roman" w:cs="Times New Roman"/>
          <w:sz w:val="24"/>
          <w:szCs w:val="24"/>
        </w:rPr>
        <w:t xml:space="preserve"> </w:t>
      </w:r>
      <w:r w:rsidRPr="003C2011">
        <w:rPr>
          <w:rFonts w:ascii="Times New Roman" w:hAnsi="Times New Roman" w:cs="Times New Roman"/>
          <w:sz w:val="24"/>
          <w:szCs w:val="24"/>
        </w:rPr>
        <w:t xml:space="preserve">these two very different treatment approaches </w:t>
      </w:r>
      <w:r w:rsidR="008B738C" w:rsidRPr="003C2011">
        <w:rPr>
          <w:rFonts w:ascii="Times New Roman" w:hAnsi="Times New Roman" w:cs="Times New Roman"/>
          <w:sz w:val="24"/>
          <w:szCs w:val="24"/>
        </w:rPr>
        <w:t>to guide treatment decisions. Whil</w:t>
      </w:r>
      <w:r w:rsidR="00B61179" w:rsidRPr="003C2011">
        <w:rPr>
          <w:rFonts w:ascii="Times New Roman" w:hAnsi="Times New Roman" w:cs="Times New Roman"/>
          <w:sz w:val="24"/>
          <w:szCs w:val="24"/>
        </w:rPr>
        <w:t>e</w:t>
      </w:r>
      <w:r w:rsidR="008B738C" w:rsidRPr="003C2011">
        <w:rPr>
          <w:rFonts w:ascii="Times New Roman" w:hAnsi="Times New Roman" w:cs="Times New Roman"/>
          <w:sz w:val="24"/>
          <w:szCs w:val="24"/>
        </w:rPr>
        <w:t xml:space="preserve"> previous studies have described </w:t>
      </w:r>
      <w:r w:rsidR="002F1CA3" w:rsidRPr="003C2011">
        <w:rPr>
          <w:rFonts w:ascii="Times New Roman" w:hAnsi="Times New Roman" w:cs="Times New Roman"/>
          <w:sz w:val="24"/>
          <w:szCs w:val="24"/>
        </w:rPr>
        <w:t xml:space="preserve">populations of </w:t>
      </w:r>
      <w:r w:rsidR="002F1CA3" w:rsidRPr="003C2011">
        <w:rPr>
          <w:rFonts w:ascii="Times New Roman" w:hAnsi="Times New Roman" w:cs="Times New Roman"/>
          <w:sz w:val="24"/>
          <w:szCs w:val="24"/>
        </w:rPr>
        <w:lastRenderedPageBreak/>
        <w:t xml:space="preserve">children treated with </w:t>
      </w:r>
      <w:r w:rsidR="00AE2A1E" w:rsidRPr="003C2011">
        <w:rPr>
          <w:rFonts w:ascii="Times New Roman" w:hAnsi="Times New Roman" w:cs="Times New Roman"/>
          <w:sz w:val="24"/>
          <w:szCs w:val="24"/>
        </w:rPr>
        <w:t>either surgery or antibiotics</w:t>
      </w:r>
      <w:r w:rsidR="004C7622" w:rsidRPr="003C2011">
        <w:rPr>
          <w:rFonts w:ascii="Times New Roman" w:hAnsi="Times New Roman" w:cs="Times New Roman"/>
          <w:sz w:val="24"/>
          <w:szCs w:val="24"/>
        </w:rPr>
        <w:t>,</w:t>
      </w:r>
      <w:r w:rsidR="00AE2A1E" w:rsidRPr="003C2011">
        <w:rPr>
          <w:rFonts w:ascii="Times New Roman" w:hAnsi="Times New Roman" w:cs="Times New Roman"/>
          <w:sz w:val="24"/>
          <w:szCs w:val="24"/>
        </w:rPr>
        <w:t xml:space="preserve"> there has not been a large</w:t>
      </w:r>
      <w:r w:rsidR="00DD519E" w:rsidRPr="003C2011">
        <w:rPr>
          <w:rFonts w:ascii="Times New Roman" w:hAnsi="Times New Roman" w:cs="Times New Roman"/>
          <w:sz w:val="24"/>
          <w:szCs w:val="24"/>
        </w:rPr>
        <w:t>,</w:t>
      </w:r>
      <w:r w:rsidR="00AE2A1E" w:rsidRPr="003C2011">
        <w:rPr>
          <w:rFonts w:ascii="Times New Roman" w:hAnsi="Times New Roman" w:cs="Times New Roman"/>
          <w:sz w:val="24"/>
          <w:szCs w:val="24"/>
        </w:rPr>
        <w:t xml:space="preserve"> randomized study</w:t>
      </w:r>
      <w:r w:rsidR="00D07A61" w:rsidRPr="003C2011">
        <w:rPr>
          <w:rFonts w:ascii="Times New Roman" w:hAnsi="Times New Roman" w:cs="Times New Roman"/>
          <w:sz w:val="24"/>
          <w:szCs w:val="24"/>
        </w:rPr>
        <w:t xml:space="preserve"> with the benefit of removing the possibility of selection </w:t>
      </w:r>
      <w:r w:rsidR="00396D21" w:rsidRPr="003C2011">
        <w:rPr>
          <w:rFonts w:ascii="Times New Roman" w:hAnsi="Times New Roman" w:cs="Times New Roman"/>
          <w:sz w:val="24"/>
          <w:szCs w:val="24"/>
        </w:rPr>
        <w:t xml:space="preserve">or other </w:t>
      </w:r>
      <w:r w:rsidR="00D07A61" w:rsidRPr="003C2011">
        <w:rPr>
          <w:rFonts w:ascii="Times New Roman" w:hAnsi="Times New Roman" w:cs="Times New Roman"/>
          <w:sz w:val="24"/>
          <w:szCs w:val="24"/>
        </w:rPr>
        <w:t>bias</w:t>
      </w:r>
      <w:r w:rsidR="0099347D" w:rsidRPr="003C2011">
        <w:rPr>
          <w:rFonts w:ascii="Times New Roman" w:hAnsi="Times New Roman" w:cs="Times New Roman"/>
          <w:sz w:val="24"/>
          <w:szCs w:val="24"/>
        </w:rPr>
        <w:t xml:space="preserve">. </w:t>
      </w:r>
      <w:r w:rsidR="00DB7745" w:rsidRPr="003C2011">
        <w:rPr>
          <w:rFonts w:ascii="Times New Roman" w:hAnsi="Times New Roman" w:cs="Times New Roman"/>
          <w:sz w:val="24"/>
          <w:szCs w:val="24"/>
        </w:rPr>
        <w:t>O</w:t>
      </w:r>
      <w:r w:rsidR="0099347D" w:rsidRPr="003C2011">
        <w:rPr>
          <w:rFonts w:ascii="Times New Roman" w:hAnsi="Times New Roman" w:cs="Times New Roman"/>
          <w:sz w:val="24"/>
          <w:szCs w:val="24"/>
        </w:rPr>
        <w:t xml:space="preserve">ur key motivation to performing the APPY trial was to </w:t>
      </w:r>
      <w:r w:rsidR="00DB7745" w:rsidRPr="003C2011">
        <w:rPr>
          <w:rFonts w:ascii="Times New Roman" w:hAnsi="Times New Roman" w:cs="Times New Roman"/>
          <w:sz w:val="24"/>
          <w:szCs w:val="24"/>
        </w:rPr>
        <w:t xml:space="preserve">generate </w:t>
      </w:r>
      <w:r w:rsidR="0099347D" w:rsidRPr="003C2011">
        <w:rPr>
          <w:rFonts w:ascii="Times New Roman" w:hAnsi="Times New Roman" w:cs="Times New Roman"/>
          <w:sz w:val="24"/>
          <w:szCs w:val="24"/>
        </w:rPr>
        <w:t>this unbiased dataset</w:t>
      </w:r>
      <w:r w:rsidR="00DB7745" w:rsidRPr="003C2011">
        <w:rPr>
          <w:rFonts w:ascii="Times New Roman" w:hAnsi="Times New Roman" w:cs="Times New Roman"/>
          <w:sz w:val="24"/>
          <w:szCs w:val="24"/>
        </w:rPr>
        <w:t>.</w:t>
      </w:r>
      <w:r w:rsidR="004B67CB" w:rsidRPr="003C2011">
        <w:rPr>
          <w:rFonts w:ascii="Times New Roman" w:hAnsi="Times New Roman" w:cs="Times New Roman"/>
          <w:sz w:val="24"/>
          <w:szCs w:val="24"/>
        </w:rPr>
        <w:t xml:space="preserve"> </w:t>
      </w:r>
      <w:r w:rsidR="00C27D25" w:rsidRPr="003C2011">
        <w:rPr>
          <w:rFonts w:ascii="Times New Roman" w:hAnsi="Times New Roman" w:cs="Times New Roman"/>
          <w:sz w:val="24"/>
          <w:szCs w:val="24"/>
        </w:rPr>
        <w:t>Our study was designed as a non-inferiority trial</w:t>
      </w:r>
      <w:r w:rsidR="009A364E" w:rsidRPr="003C2011">
        <w:rPr>
          <w:rFonts w:ascii="Times New Roman" w:hAnsi="Times New Roman" w:cs="Times New Roman"/>
          <w:sz w:val="24"/>
          <w:szCs w:val="24"/>
        </w:rPr>
        <w:t xml:space="preserve"> since we recognized that there was no realistic possibility of antibiotics being superior to </w:t>
      </w:r>
      <w:r w:rsidR="00DE10F4" w:rsidRPr="003C2011">
        <w:rPr>
          <w:rFonts w:ascii="Times New Roman" w:hAnsi="Times New Roman" w:cs="Times New Roman"/>
          <w:sz w:val="24"/>
          <w:szCs w:val="24"/>
        </w:rPr>
        <w:t xml:space="preserve">appendectomy but equally recognized that there was an acceptance that there may be </w:t>
      </w:r>
      <w:r w:rsidR="002003FC" w:rsidRPr="003C2011">
        <w:rPr>
          <w:rFonts w:ascii="Times New Roman" w:hAnsi="Times New Roman" w:cs="Times New Roman"/>
          <w:sz w:val="24"/>
          <w:szCs w:val="24"/>
        </w:rPr>
        <w:t>benefits to non-operative treatment that patients and surgeons may be willing to accept if surgery could be avoided</w:t>
      </w:r>
      <w:r w:rsidR="00EF66EC" w:rsidRPr="003C2011">
        <w:rPr>
          <w:rFonts w:ascii="Times New Roman" w:hAnsi="Times New Roman" w:cs="Times New Roman"/>
          <w:sz w:val="24"/>
          <w:szCs w:val="24"/>
        </w:rPr>
        <w:t>.</w:t>
      </w:r>
      <w:r w:rsidR="00667A12" w:rsidRPr="003C2011">
        <w:rPr>
          <w:rFonts w:ascii="Times New Roman" w:hAnsi="Times New Roman" w:cs="Times New Roman"/>
          <w:sz w:val="24"/>
          <w:szCs w:val="24"/>
        </w:rPr>
        <w:t xml:space="preserve"> </w:t>
      </w:r>
      <w:r w:rsidR="00134909" w:rsidRPr="003C2011">
        <w:rPr>
          <w:rFonts w:ascii="Times New Roman" w:hAnsi="Times New Roman" w:cs="Times New Roman"/>
          <w:sz w:val="24"/>
          <w:szCs w:val="24"/>
        </w:rPr>
        <w:t>At the trial design stage, we set a non-inferiority margin at 20%. Within this framework, our study demonstrates that antibiotic management is inferior to appendectomy.</w:t>
      </w:r>
    </w:p>
    <w:p w14:paraId="7F668571" w14:textId="705CC176" w:rsidR="006B6D87" w:rsidRPr="003C2011" w:rsidRDefault="002374E7" w:rsidP="00CD4646">
      <w:pPr>
        <w:tabs>
          <w:tab w:val="left" w:pos="720"/>
          <w:tab w:val="left" w:pos="1440"/>
          <w:tab w:val="left" w:pos="2160"/>
          <w:tab w:val="left" w:pos="2880"/>
          <w:tab w:val="left" w:pos="3600"/>
          <w:tab w:val="left" w:pos="4320"/>
        </w:tabs>
        <w:spacing w:after="240" w:line="480" w:lineRule="auto"/>
        <w:rPr>
          <w:rFonts w:ascii="Times New Roman" w:hAnsi="Times New Roman" w:cs="Times New Roman"/>
          <w:sz w:val="24"/>
          <w:szCs w:val="24"/>
        </w:rPr>
      </w:pPr>
      <w:r w:rsidRPr="003C2011">
        <w:rPr>
          <w:rFonts w:ascii="Times New Roman" w:hAnsi="Times New Roman" w:cs="Times New Roman"/>
          <w:sz w:val="24"/>
          <w:szCs w:val="24"/>
        </w:rPr>
        <w:t>T</w:t>
      </w:r>
      <w:r w:rsidR="00CD4646" w:rsidRPr="003C2011">
        <w:rPr>
          <w:rFonts w:ascii="Times New Roman" w:hAnsi="Times New Roman" w:cs="Times New Roman"/>
          <w:sz w:val="24"/>
          <w:szCs w:val="24"/>
        </w:rPr>
        <w:t>h</w:t>
      </w:r>
      <w:r w:rsidRPr="003C2011">
        <w:rPr>
          <w:rFonts w:ascii="Times New Roman" w:hAnsi="Times New Roman" w:cs="Times New Roman"/>
          <w:sz w:val="24"/>
          <w:szCs w:val="24"/>
        </w:rPr>
        <w:t xml:space="preserve">e threshold for </w:t>
      </w:r>
      <w:r w:rsidR="00943C56" w:rsidRPr="003C2011">
        <w:rPr>
          <w:rFonts w:ascii="Times New Roman" w:hAnsi="Times New Roman" w:cs="Times New Roman"/>
          <w:sz w:val="24"/>
          <w:szCs w:val="24"/>
        </w:rPr>
        <w:t xml:space="preserve">this </w:t>
      </w:r>
      <w:r w:rsidRPr="003C2011">
        <w:rPr>
          <w:rFonts w:ascii="Times New Roman" w:hAnsi="Times New Roman" w:cs="Times New Roman"/>
          <w:sz w:val="24"/>
          <w:szCs w:val="24"/>
        </w:rPr>
        <w:t xml:space="preserve">declaration may </w:t>
      </w:r>
      <w:r w:rsidR="00CD4646" w:rsidRPr="003C2011">
        <w:rPr>
          <w:rFonts w:ascii="Times New Roman" w:hAnsi="Times New Roman" w:cs="Times New Roman"/>
          <w:sz w:val="24"/>
          <w:szCs w:val="24"/>
        </w:rPr>
        <w:t>serve as fodder for debate among</w:t>
      </w:r>
      <w:r w:rsidR="00E319D2" w:rsidRPr="003C2011">
        <w:rPr>
          <w:rFonts w:ascii="Times New Roman" w:hAnsi="Times New Roman" w:cs="Times New Roman"/>
          <w:sz w:val="24"/>
          <w:szCs w:val="24"/>
        </w:rPr>
        <w:t>st</w:t>
      </w:r>
      <w:r w:rsidR="00CD4646" w:rsidRPr="003C2011">
        <w:rPr>
          <w:rFonts w:ascii="Times New Roman" w:hAnsi="Times New Roman" w:cs="Times New Roman"/>
          <w:sz w:val="24"/>
          <w:szCs w:val="24"/>
        </w:rPr>
        <w:t xml:space="preserve"> </w:t>
      </w:r>
      <w:r w:rsidR="00943C56" w:rsidRPr="003C2011">
        <w:rPr>
          <w:rFonts w:ascii="Times New Roman" w:hAnsi="Times New Roman" w:cs="Times New Roman"/>
          <w:sz w:val="24"/>
          <w:szCs w:val="24"/>
        </w:rPr>
        <w:t xml:space="preserve">clinicians and </w:t>
      </w:r>
      <w:r w:rsidR="00CD4646" w:rsidRPr="003C2011">
        <w:rPr>
          <w:rFonts w:ascii="Times New Roman" w:hAnsi="Times New Roman" w:cs="Times New Roman"/>
          <w:sz w:val="24"/>
          <w:szCs w:val="24"/>
        </w:rPr>
        <w:t xml:space="preserve">researchers. </w:t>
      </w:r>
      <w:r w:rsidR="00943C56" w:rsidRPr="003C2011">
        <w:rPr>
          <w:rFonts w:ascii="Times New Roman" w:hAnsi="Times New Roman" w:cs="Times New Roman"/>
          <w:sz w:val="24"/>
          <w:szCs w:val="24"/>
        </w:rPr>
        <w:t xml:space="preserve">The implication of </w:t>
      </w:r>
      <w:r w:rsidR="00630A64" w:rsidRPr="003C2011">
        <w:rPr>
          <w:rFonts w:ascii="Times New Roman" w:hAnsi="Times New Roman" w:cs="Times New Roman"/>
          <w:sz w:val="24"/>
          <w:szCs w:val="24"/>
        </w:rPr>
        <w:t xml:space="preserve">the 20% non-inferiority margin in this trial </w:t>
      </w:r>
      <w:r w:rsidR="00943C56" w:rsidRPr="003C2011">
        <w:rPr>
          <w:rFonts w:ascii="Times New Roman" w:hAnsi="Times New Roman" w:cs="Times New Roman"/>
          <w:sz w:val="24"/>
          <w:szCs w:val="24"/>
        </w:rPr>
        <w:t>is an underlying assumption that patients or surgeons would be willing to accept a failure rate with antibiotics that is 20% higher than that with surgery</w:t>
      </w:r>
      <w:r w:rsidR="00114EBF" w:rsidRPr="003C2011">
        <w:rPr>
          <w:rFonts w:ascii="Times New Roman" w:hAnsi="Times New Roman" w:cs="Times New Roman"/>
          <w:sz w:val="24"/>
          <w:szCs w:val="24"/>
        </w:rPr>
        <w:t xml:space="preserve"> to realize</w:t>
      </w:r>
      <w:r w:rsidR="00943C56" w:rsidRPr="003C2011">
        <w:rPr>
          <w:rFonts w:ascii="Times New Roman" w:hAnsi="Times New Roman" w:cs="Times New Roman"/>
          <w:sz w:val="24"/>
          <w:szCs w:val="24"/>
        </w:rPr>
        <w:t xml:space="preserve"> the potential benefits of avoiding surgery. </w:t>
      </w:r>
      <w:r w:rsidRPr="003C2011">
        <w:rPr>
          <w:rFonts w:ascii="Times New Roman" w:hAnsi="Times New Roman" w:cs="Times New Roman"/>
          <w:sz w:val="24"/>
          <w:szCs w:val="24"/>
        </w:rPr>
        <w:t>At the time of trial de</w:t>
      </w:r>
      <w:r w:rsidR="00366A35" w:rsidRPr="003C2011">
        <w:rPr>
          <w:rFonts w:ascii="Times New Roman" w:hAnsi="Times New Roman" w:cs="Times New Roman"/>
          <w:sz w:val="24"/>
          <w:szCs w:val="24"/>
        </w:rPr>
        <w:t>velopment</w:t>
      </w:r>
      <w:r w:rsidRPr="003C2011">
        <w:rPr>
          <w:rFonts w:ascii="Times New Roman" w:hAnsi="Times New Roman" w:cs="Times New Roman"/>
          <w:sz w:val="24"/>
          <w:szCs w:val="24"/>
        </w:rPr>
        <w:t xml:space="preserve"> nearly </w:t>
      </w:r>
      <w:r w:rsidR="00B30CD7" w:rsidRPr="003C2011">
        <w:rPr>
          <w:rFonts w:ascii="Times New Roman" w:hAnsi="Times New Roman" w:cs="Times New Roman"/>
          <w:sz w:val="24"/>
          <w:szCs w:val="24"/>
        </w:rPr>
        <w:t xml:space="preserve">ten </w:t>
      </w:r>
      <w:r w:rsidRPr="003C2011">
        <w:rPr>
          <w:rFonts w:ascii="Times New Roman" w:hAnsi="Times New Roman" w:cs="Times New Roman"/>
          <w:sz w:val="24"/>
          <w:szCs w:val="24"/>
        </w:rPr>
        <w:t>years previously, there was an</w:t>
      </w:r>
      <w:r w:rsidR="004D52D1" w:rsidRPr="003C2011">
        <w:rPr>
          <w:rFonts w:ascii="Times New Roman" w:hAnsi="Times New Roman" w:cs="Times New Roman"/>
          <w:sz w:val="24"/>
          <w:szCs w:val="24"/>
        </w:rPr>
        <w:t xml:space="preserve"> </w:t>
      </w:r>
      <w:r w:rsidRPr="003C2011">
        <w:rPr>
          <w:rFonts w:ascii="Times New Roman" w:hAnsi="Times New Roman" w:cs="Times New Roman"/>
          <w:sz w:val="24"/>
          <w:szCs w:val="24"/>
        </w:rPr>
        <w:t xml:space="preserve">adult </w:t>
      </w:r>
      <w:r w:rsidR="004D52D1" w:rsidRPr="003C2011">
        <w:rPr>
          <w:rFonts w:ascii="Times New Roman" w:hAnsi="Times New Roman" w:cs="Times New Roman"/>
          <w:sz w:val="24"/>
          <w:szCs w:val="24"/>
        </w:rPr>
        <w:t>non-inferiority trial</w:t>
      </w:r>
      <w:r w:rsidRPr="003C2011">
        <w:rPr>
          <w:rFonts w:ascii="Times New Roman" w:hAnsi="Times New Roman" w:cs="Times New Roman"/>
          <w:sz w:val="24"/>
          <w:szCs w:val="24"/>
        </w:rPr>
        <w:t xml:space="preserve"> criticize</w:t>
      </w:r>
      <w:r w:rsidR="004D52D1" w:rsidRPr="003C2011">
        <w:rPr>
          <w:rFonts w:ascii="Times New Roman" w:hAnsi="Times New Roman" w:cs="Times New Roman"/>
          <w:sz w:val="24"/>
          <w:szCs w:val="24"/>
        </w:rPr>
        <w:t>d</w:t>
      </w:r>
      <w:r w:rsidRPr="003C2011">
        <w:rPr>
          <w:rFonts w:ascii="Times New Roman" w:hAnsi="Times New Roman" w:cs="Times New Roman"/>
          <w:sz w:val="24"/>
          <w:szCs w:val="24"/>
        </w:rPr>
        <w:t xml:space="preserve"> </w:t>
      </w:r>
      <w:r w:rsidR="004D52D1" w:rsidRPr="003C2011">
        <w:rPr>
          <w:rFonts w:ascii="Times New Roman" w:hAnsi="Times New Roman" w:cs="Times New Roman"/>
          <w:sz w:val="24"/>
          <w:szCs w:val="24"/>
        </w:rPr>
        <w:t xml:space="preserve">for using a too narrow </w:t>
      </w:r>
      <w:r w:rsidRPr="003C2011">
        <w:rPr>
          <w:rFonts w:ascii="Times New Roman" w:hAnsi="Times New Roman" w:cs="Times New Roman"/>
          <w:sz w:val="24"/>
          <w:szCs w:val="24"/>
        </w:rPr>
        <w:t>margin of 10%</w:t>
      </w:r>
      <w:r w:rsidR="004D52D1" w:rsidRPr="003C2011">
        <w:rPr>
          <w:rFonts w:ascii="Times New Roman" w:hAnsi="Times New Roman" w:cs="Times New Roman"/>
          <w:sz w:val="24"/>
          <w:szCs w:val="24"/>
        </w:rPr>
        <w:t>. (</w:t>
      </w:r>
      <w:r w:rsidR="002D5CE0" w:rsidRPr="003C2011">
        <w:rPr>
          <w:rFonts w:ascii="Times New Roman" w:hAnsi="Times New Roman" w:cs="Times New Roman"/>
          <w:sz w:val="24"/>
          <w:szCs w:val="24"/>
        </w:rPr>
        <w:t>23,</w:t>
      </w:r>
      <w:r w:rsidR="2D135B31" w:rsidRPr="003C2011">
        <w:rPr>
          <w:rFonts w:ascii="Times New Roman" w:hAnsi="Times New Roman" w:cs="Times New Roman"/>
          <w:sz w:val="24"/>
          <w:szCs w:val="24"/>
        </w:rPr>
        <w:t>2</w:t>
      </w:r>
      <w:r w:rsidR="00AD15AC" w:rsidRPr="003C2011">
        <w:rPr>
          <w:rFonts w:ascii="Times New Roman" w:hAnsi="Times New Roman" w:cs="Times New Roman"/>
          <w:sz w:val="24"/>
          <w:szCs w:val="24"/>
        </w:rPr>
        <w:t>5</w:t>
      </w:r>
      <w:r w:rsidR="004D52D1" w:rsidRPr="003C2011">
        <w:rPr>
          <w:rFonts w:ascii="Times New Roman" w:hAnsi="Times New Roman" w:cs="Times New Roman"/>
          <w:sz w:val="24"/>
          <w:szCs w:val="24"/>
        </w:rPr>
        <w:t>)</w:t>
      </w:r>
      <w:r w:rsidRPr="003C2011">
        <w:rPr>
          <w:rFonts w:ascii="Times New Roman" w:hAnsi="Times New Roman" w:cs="Times New Roman"/>
          <w:sz w:val="24"/>
          <w:szCs w:val="24"/>
        </w:rPr>
        <w:t xml:space="preserve"> A Cochrane review </w:t>
      </w:r>
      <w:r w:rsidR="004D52D1" w:rsidRPr="003C2011">
        <w:rPr>
          <w:rFonts w:ascii="Times New Roman" w:hAnsi="Times New Roman" w:cs="Times New Roman"/>
          <w:sz w:val="24"/>
          <w:szCs w:val="24"/>
        </w:rPr>
        <w:t>at the time</w:t>
      </w:r>
      <w:r w:rsidRPr="003C2011">
        <w:rPr>
          <w:rFonts w:ascii="Times New Roman" w:hAnsi="Times New Roman" w:cs="Times New Roman"/>
          <w:sz w:val="24"/>
          <w:szCs w:val="24"/>
        </w:rPr>
        <w:t xml:space="preserve"> proposed a non-inferiority margin of 20%</w:t>
      </w:r>
      <w:r w:rsidR="004D52D1" w:rsidRPr="003C2011">
        <w:rPr>
          <w:rFonts w:ascii="Times New Roman" w:hAnsi="Times New Roman" w:cs="Times New Roman"/>
          <w:sz w:val="24"/>
          <w:szCs w:val="24"/>
        </w:rPr>
        <w:t xml:space="preserve"> holding the balance between antibiotics being </w:t>
      </w:r>
      <w:r w:rsidRPr="003C2011">
        <w:rPr>
          <w:rFonts w:ascii="Times New Roman" w:hAnsi="Times New Roman" w:cs="Times New Roman"/>
          <w:sz w:val="24"/>
          <w:szCs w:val="24"/>
        </w:rPr>
        <w:t xml:space="preserve">less effective but </w:t>
      </w:r>
      <w:r w:rsidR="004D52D1" w:rsidRPr="003C2011">
        <w:rPr>
          <w:rFonts w:ascii="Times New Roman" w:hAnsi="Times New Roman" w:cs="Times New Roman"/>
          <w:sz w:val="24"/>
          <w:szCs w:val="24"/>
        </w:rPr>
        <w:t>also less invasive (</w:t>
      </w:r>
      <w:r w:rsidR="6551A9FE" w:rsidRPr="003C2011">
        <w:rPr>
          <w:rFonts w:ascii="Times New Roman" w:hAnsi="Times New Roman" w:cs="Times New Roman"/>
          <w:sz w:val="24"/>
          <w:szCs w:val="24"/>
        </w:rPr>
        <w:t>2</w:t>
      </w:r>
      <w:r w:rsidR="63300C9D" w:rsidRPr="003C2011">
        <w:rPr>
          <w:rFonts w:ascii="Times New Roman" w:hAnsi="Times New Roman" w:cs="Times New Roman"/>
          <w:sz w:val="24"/>
          <w:szCs w:val="24"/>
        </w:rPr>
        <w:t>6</w:t>
      </w:r>
      <w:r w:rsidR="004D52D1" w:rsidRPr="003C2011">
        <w:rPr>
          <w:rFonts w:ascii="Times New Roman" w:hAnsi="Times New Roman" w:cs="Times New Roman"/>
          <w:sz w:val="24"/>
          <w:szCs w:val="24"/>
        </w:rPr>
        <w:t xml:space="preserve">). </w:t>
      </w:r>
      <w:r w:rsidR="004018D5" w:rsidRPr="003C2011">
        <w:rPr>
          <w:rFonts w:ascii="Times New Roman" w:hAnsi="Times New Roman" w:cs="Times New Roman"/>
          <w:sz w:val="24"/>
          <w:szCs w:val="24"/>
        </w:rPr>
        <w:t>Following discussion amongst our investigator group, we elected to use a 20% margin but recognized that patients and parents may be willing to accept a wider margin whereas many clinicians may only be willing to accept a</w:t>
      </w:r>
      <w:r w:rsidR="00114EBF" w:rsidRPr="003C2011">
        <w:rPr>
          <w:rFonts w:ascii="Times New Roman" w:hAnsi="Times New Roman" w:cs="Times New Roman"/>
          <w:sz w:val="24"/>
          <w:szCs w:val="24"/>
        </w:rPr>
        <w:t xml:space="preserve"> </w:t>
      </w:r>
      <w:r w:rsidR="004018D5" w:rsidRPr="003C2011">
        <w:rPr>
          <w:rFonts w:ascii="Times New Roman" w:hAnsi="Times New Roman" w:cs="Times New Roman"/>
          <w:sz w:val="24"/>
          <w:szCs w:val="24"/>
        </w:rPr>
        <w:t>narrow</w:t>
      </w:r>
      <w:r w:rsidR="00114EBF" w:rsidRPr="003C2011">
        <w:rPr>
          <w:rFonts w:ascii="Times New Roman" w:hAnsi="Times New Roman" w:cs="Times New Roman"/>
          <w:sz w:val="24"/>
          <w:szCs w:val="24"/>
        </w:rPr>
        <w:t>er</w:t>
      </w:r>
      <w:r w:rsidR="004018D5" w:rsidRPr="003C2011">
        <w:rPr>
          <w:rFonts w:ascii="Times New Roman" w:hAnsi="Times New Roman" w:cs="Times New Roman"/>
          <w:sz w:val="24"/>
          <w:szCs w:val="24"/>
        </w:rPr>
        <w:t xml:space="preserve"> margin.</w:t>
      </w:r>
      <w:r w:rsidRPr="003C2011">
        <w:rPr>
          <w:rFonts w:ascii="Times New Roman" w:hAnsi="Times New Roman" w:cs="Times New Roman"/>
          <w:sz w:val="24"/>
          <w:szCs w:val="24"/>
        </w:rPr>
        <w:t xml:space="preserve"> </w:t>
      </w:r>
      <w:r w:rsidR="007F60F0" w:rsidRPr="003C2011">
        <w:rPr>
          <w:rFonts w:ascii="Times New Roman" w:hAnsi="Times New Roman" w:cs="Times New Roman"/>
          <w:sz w:val="24"/>
          <w:szCs w:val="24"/>
        </w:rPr>
        <w:t xml:space="preserve">Ultimately the difference in failure rate between treatment arms was larger than 20% and inferiority declared since </w:t>
      </w:r>
      <w:r w:rsidR="002A5C0A" w:rsidRPr="003C2011">
        <w:rPr>
          <w:rFonts w:ascii="Times New Roman" w:hAnsi="Times New Roman" w:cs="Times New Roman"/>
          <w:sz w:val="24"/>
          <w:szCs w:val="24"/>
        </w:rPr>
        <w:t>the</w:t>
      </w:r>
      <w:r w:rsidR="00C64DF8" w:rsidRPr="003C2011">
        <w:rPr>
          <w:rFonts w:ascii="Times New Roman" w:hAnsi="Times New Roman" w:cs="Times New Roman"/>
          <w:sz w:val="24"/>
          <w:szCs w:val="24"/>
        </w:rPr>
        <w:t xml:space="preserve"> entirety of the</w:t>
      </w:r>
      <w:r w:rsidR="002A5C0A" w:rsidRPr="003C2011">
        <w:rPr>
          <w:rFonts w:ascii="Times New Roman" w:hAnsi="Times New Roman" w:cs="Times New Roman"/>
          <w:sz w:val="24"/>
          <w:szCs w:val="24"/>
        </w:rPr>
        <w:t xml:space="preserve"> 95%</w:t>
      </w:r>
      <w:r w:rsidR="003D5489" w:rsidRPr="003C2011">
        <w:rPr>
          <w:rFonts w:ascii="Times New Roman" w:hAnsi="Times New Roman" w:cs="Times New Roman"/>
          <w:sz w:val="24"/>
          <w:szCs w:val="24"/>
        </w:rPr>
        <w:t xml:space="preserve"> </w:t>
      </w:r>
      <w:r w:rsidR="002A5C0A" w:rsidRPr="003C2011">
        <w:rPr>
          <w:rFonts w:ascii="Times New Roman" w:hAnsi="Times New Roman" w:cs="Times New Roman"/>
          <w:sz w:val="24"/>
          <w:szCs w:val="24"/>
        </w:rPr>
        <w:t>CI of the difference i</w:t>
      </w:r>
      <w:r w:rsidR="00C64DF8" w:rsidRPr="003C2011">
        <w:rPr>
          <w:rFonts w:ascii="Times New Roman" w:hAnsi="Times New Roman" w:cs="Times New Roman"/>
          <w:sz w:val="24"/>
          <w:szCs w:val="24"/>
        </w:rPr>
        <w:t xml:space="preserve">s </w:t>
      </w:r>
      <w:r w:rsidR="00E40EBD" w:rsidRPr="003C2011">
        <w:rPr>
          <w:rFonts w:ascii="Times New Roman" w:hAnsi="Times New Roman" w:cs="Times New Roman"/>
          <w:sz w:val="24"/>
          <w:szCs w:val="24"/>
        </w:rPr>
        <w:t xml:space="preserve">greater </w:t>
      </w:r>
      <w:r w:rsidR="002A5C0A" w:rsidRPr="003C2011">
        <w:rPr>
          <w:rFonts w:ascii="Times New Roman" w:hAnsi="Times New Roman" w:cs="Times New Roman"/>
          <w:sz w:val="24"/>
          <w:szCs w:val="24"/>
        </w:rPr>
        <w:t xml:space="preserve">than 20%. </w:t>
      </w:r>
      <w:r w:rsidR="00E40EBD" w:rsidRPr="003C2011">
        <w:rPr>
          <w:rFonts w:ascii="Times New Roman" w:hAnsi="Times New Roman" w:cs="Times New Roman"/>
          <w:sz w:val="24"/>
          <w:szCs w:val="24"/>
        </w:rPr>
        <w:t>Despite this</w:t>
      </w:r>
      <w:r w:rsidR="00C64DF8" w:rsidRPr="003C2011">
        <w:rPr>
          <w:rFonts w:ascii="Times New Roman" w:hAnsi="Times New Roman" w:cs="Times New Roman"/>
          <w:sz w:val="24"/>
          <w:szCs w:val="24"/>
        </w:rPr>
        <w:t>,</w:t>
      </w:r>
      <w:r w:rsidR="00E40EBD" w:rsidRPr="003C2011">
        <w:rPr>
          <w:rFonts w:ascii="Times New Roman" w:hAnsi="Times New Roman" w:cs="Times New Roman"/>
          <w:sz w:val="24"/>
          <w:szCs w:val="24"/>
        </w:rPr>
        <w:t xml:space="preserve"> we suspect</w:t>
      </w:r>
      <w:r w:rsidR="00AE532A" w:rsidRPr="003C2011">
        <w:rPr>
          <w:rFonts w:ascii="Times New Roman" w:hAnsi="Times New Roman" w:cs="Times New Roman"/>
          <w:sz w:val="24"/>
          <w:szCs w:val="24"/>
        </w:rPr>
        <w:t xml:space="preserve"> </w:t>
      </w:r>
      <w:r w:rsidR="00804D2D" w:rsidRPr="003C2011">
        <w:rPr>
          <w:rFonts w:ascii="Times New Roman" w:hAnsi="Times New Roman" w:cs="Times New Roman"/>
          <w:sz w:val="24"/>
          <w:szCs w:val="24"/>
        </w:rPr>
        <w:t>this difference will</w:t>
      </w:r>
      <w:r w:rsidR="00AE532A" w:rsidRPr="003C2011">
        <w:rPr>
          <w:rFonts w:ascii="Times New Roman" w:hAnsi="Times New Roman" w:cs="Times New Roman"/>
          <w:sz w:val="24"/>
          <w:szCs w:val="24"/>
        </w:rPr>
        <w:t xml:space="preserve"> </w:t>
      </w:r>
      <w:r w:rsidR="00EA208D" w:rsidRPr="003C2011">
        <w:rPr>
          <w:rFonts w:ascii="Times New Roman" w:hAnsi="Times New Roman" w:cs="Times New Roman"/>
          <w:sz w:val="24"/>
          <w:szCs w:val="24"/>
        </w:rPr>
        <w:t>continue to</w:t>
      </w:r>
      <w:r w:rsidR="00E40EBD" w:rsidRPr="003C2011">
        <w:rPr>
          <w:rFonts w:ascii="Times New Roman" w:hAnsi="Times New Roman" w:cs="Times New Roman"/>
          <w:sz w:val="24"/>
          <w:szCs w:val="24"/>
        </w:rPr>
        <w:t xml:space="preserve"> </w:t>
      </w:r>
      <w:r w:rsidR="00AE532A" w:rsidRPr="003C2011">
        <w:rPr>
          <w:rFonts w:ascii="Times New Roman" w:hAnsi="Times New Roman" w:cs="Times New Roman"/>
          <w:sz w:val="24"/>
          <w:szCs w:val="24"/>
        </w:rPr>
        <w:t xml:space="preserve">be interpreted from opposite </w:t>
      </w:r>
      <w:r w:rsidR="00EA208D" w:rsidRPr="003C2011">
        <w:rPr>
          <w:rFonts w:ascii="Times New Roman" w:hAnsi="Times New Roman" w:cs="Times New Roman"/>
          <w:sz w:val="24"/>
          <w:szCs w:val="24"/>
        </w:rPr>
        <w:t>viewpoints</w:t>
      </w:r>
      <w:r w:rsidR="00AE532A" w:rsidRPr="003C2011">
        <w:rPr>
          <w:rFonts w:ascii="Times New Roman" w:hAnsi="Times New Roman" w:cs="Times New Roman"/>
          <w:sz w:val="24"/>
          <w:szCs w:val="24"/>
        </w:rPr>
        <w:t>. Those most interested in avoiding an operation</w:t>
      </w:r>
      <w:r w:rsidR="002C1B37" w:rsidRPr="003C2011">
        <w:rPr>
          <w:rFonts w:ascii="Times New Roman" w:hAnsi="Times New Roman" w:cs="Times New Roman"/>
          <w:sz w:val="24"/>
          <w:szCs w:val="24"/>
        </w:rPr>
        <w:t xml:space="preserve"> </w:t>
      </w:r>
      <w:r w:rsidR="00AE532A" w:rsidRPr="003C2011">
        <w:rPr>
          <w:rFonts w:ascii="Times New Roman" w:hAnsi="Times New Roman" w:cs="Times New Roman"/>
          <w:sz w:val="24"/>
          <w:szCs w:val="24"/>
        </w:rPr>
        <w:t>will see these data as providing hope</w:t>
      </w:r>
      <w:r w:rsidR="000A4C3C" w:rsidRPr="003C2011">
        <w:rPr>
          <w:rFonts w:ascii="Times New Roman" w:hAnsi="Times New Roman" w:cs="Times New Roman"/>
          <w:sz w:val="24"/>
          <w:szCs w:val="24"/>
        </w:rPr>
        <w:t xml:space="preserve"> </w:t>
      </w:r>
      <w:r w:rsidR="00AE532A" w:rsidRPr="003C2011">
        <w:rPr>
          <w:rFonts w:ascii="Times New Roman" w:hAnsi="Times New Roman" w:cs="Times New Roman"/>
          <w:sz w:val="24"/>
          <w:szCs w:val="24"/>
        </w:rPr>
        <w:t xml:space="preserve">while those most interested in avoiding </w:t>
      </w:r>
      <w:r w:rsidR="002A5D8F" w:rsidRPr="003C2011">
        <w:rPr>
          <w:rFonts w:ascii="Times New Roman" w:hAnsi="Times New Roman" w:cs="Times New Roman"/>
          <w:sz w:val="24"/>
          <w:szCs w:val="24"/>
        </w:rPr>
        <w:t xml:space="preserve">initial treatment failure </w:t>
      </w:r>
      <w:r w:rsidR="00192E13" w:rsidRPr="003C2011">
        <w:rPr>
          <w:rFonts w:ascii="Times New Roman" w:hAnsi="Times New Roman" w:cs="Times New Roman"/>
          <w:sz w:val="24"/>
          <w:szCs w:val="24"/>
        </w:rPr>
        <w:t>or recurrence</w:t>
      </w:r>
      <w:r w:rsidR="002A5D8F" w:rsidRPr="003C2011">
        <w:rPr>
          <w:rFonts w:ascii="Times New Roman" w:hAnsi="Times New Roman" w:cs="Times New Roman"/>
          <w:sz w:val="24"/>
          <w:szCs w:val="24"/>
        </w:rPr>
        <w:t xml:space="preserve"> </w:t>
      </w:r>
      <w:r w:rsidR="00AE532A" w:rsidRPr="003C2011">
        <w:rPr>
          <w:rFonts w:ascii="Times New Roman" w:hAnsi="Times New Roman" w:cs="Times New Roman"/>
          <w:sz w:val="24"/>
          <w:szCs w:val="24"/>
        </w:rPr>
        <w:t>will see the failure rate as unacceptably high.</w:t>
      </w:r>
      <w:r w:rsidR="00EA208D" w:rsidRPr="003C2011">
        <w:rPr>
          <w:rFonts w:ascii="Times New Roman" w:hAnsi="Times New Roman" w:cs="Times New Roman"/>
          <w:sz w:val="24"/>
          <w:szCs w:val="24"/>
        </w:rPr>
        <w:t xml:space="preserve"> </w:t>
      </w:r>
      <w:r w:rsidR="00EA208D" w:rsidRPr="003C2011">
        <w:rPr>
          <w:rFonts w:ascii="Times New Roman" w:hAnsi="Times New Roman" w:cs="Times New Roman"/>
          <w:sz w:val="24"/>
          <w:szCs w:val="24"/>
        </w:rPr>
        <w:lastRenderedPageBreak/>
        <w:t>Either way</w:t>
      </w:r>
      <w:r w:rsidR="00CA1AC1" w:rsidRPr="003C2011">
        <w:rPr>
          <w:rFonts w:ascii="Times New Roman" w:hAnsi="Times New Roman" w:cs="Times New Roman"/>
          <w:sz w:val="24"/>
          <w:szCs w:val="24"/>
        </w:rPr>
        <w:t>,</w:t>
      </w:r>
      <w:r w:rsidR="00EA208D" w:rsidRPr="003C2011">
        <w:rPr>
          <w:rFonts w:ascii="Times New Roman" w:hAnsi="Times New Roman" w:cs="Times New Roman"/>
          <w:sz w:val="24"/>
          <w:szCs w:val="24"/>
        </w:rPr>
        <w:t xml:space="preserve"> we believe the data we have generated </w:t>
      </w:r>
      <w:r w:rsidR="00CA1AC1" w:rsidRPr="003C2011">
        <w:rPr>
          <w:rFonts w:ascii="Times New Roman" w:hAnsi="Times New Roman" w:cs="Times New Roman"/>
          <w:sz w:val="24"/>
          <w:szCs w:val="24"/>
        </w:rPr>
        <w:t>advance</w:t>
      </w:r>
      <w:r w:rsidR="004C7622" w:rsidRPr="003C2011">
        <w:rPr>
          <w:rFonts w:ascii="Times New Roman" w:hAnsi="Times New Roman" w:cs="Times New Roman"/>
          <w:sz w:val="24"/>
          <w:szCs w:val="24"/>
        </w:rPr>
        <w:t xml:space="preserve"> </w:t>
      </w:r>
      <w:r w:rsidR="00CA1AC1" w:rsidRPr="003C2011">
        <w:rPr>
          <w:rFonts w:ascii="Times New Roman" w:hAnsi="Times New Roman" w:cs="Times New Roman"/>
          <w:sz w:val="24"/>
          <w:szCs w:val="24"/>
        </w:rPr>
        <w:t>our knowledge of the comparative outcomes of these two different treatment modalities and will inform future shared decision making.</w:t>
      </w:r>
    </w:p>
    <w:p w14:paraId="25A15CC6" w14:textId="1A85DAD4" w:rsidR="000779D4" w:rsidRPr="003C2011" w:rsidRDefault="00124C67" w:rsidP="00CD4646">
      <w:pPr>
        <w:tabs>
          <w:tab w:val="left" w:pos="720"/>
          <w:tab w:val="left" w:pos="1440"/>
          <w:tab w:val="left" w:pos="2160"/>
          <w:tab w:val="left" w:pos="2880"/>
          <w:tab w:val="left" w:pos="3600"/>
          <w:tab w:val="left" w:pos="4320"/>
        </w:tabs>
        <w:spacing w:after="240" w:line="480" w:lineRule="auto"/>
        <w:rPr>
          <w:rFonts w:ascii="Times New Roman" w:hAnsi="Times New Roman" w:cs="Times New Roman"/>
          <w:sz w:val="24"/>
          <w:szCs w:val="24"/>
        </w:rPr>
      </w:pPr>
      <w:r w:rsidRPr="003C2011">
        <w:rPr>
          <w:rFonts w:ascii="Times New Roman" w:hAnsi="Times New Roman" w:cs="Times New Roman"/>
          <w:sz w:val="24"/>
          <w:szCs w:val="24"/>
        </w:rPr>
        <w:t>We found a</w:t>
      </w:r>
      <w:r w:rsidR="00CD4646" w:rsidRPr="003C2011">
        <w:rPr>
          <w:rFonts w:ascii="Times New Roman" w:hAnsi="Times New Roman" w:cs="Times New Roman"/>
          <w:sz w:val="24"/>
          <w:szCs w:val="24"/>
        </w:rPr>
        <w:t xml:space="preserve"> raw failure rate for antibiotics</w:t>
      </w:r>
      <w:r w:rsidRPr="003C2011">
        <w:rPr>
          <w:rFonts w:ascii="Times New Roman" w:hAnsi="Times New Roman" w:cs="Times New Roman"/>
          <w:sz w:val="24"/>
          <w:szCs w:val="24"/>
        </w:rPr>
        <w:t xml:space="preserve"> of approximately</w:t>
      </w:r>
      <w:r w:rsidR="00CD4646" w:rsidRPr="003C2011">
        <w:rPr>
          <w:rFonts w:ascii="Times New Roman" w:hAnsi="Times New Roman" w:cs="Times New Roman"/>
          <w:sz w:val="24"/>
          <w:szCs w:val="24"/>
        </w:rPr>
        <w:t xml:space="preserve"> </w:t>
      </w:r>
      <w:r w:rsidR="00C750AF" w:rsidRPr="003C2011">
        <w:rPr>
          <w:rFonts w:ascii="Times New Roman" w:hAnsi="Times New Roman" w:cs="Times New Roman"/>
          <w:sz w:val="24"/>
          <w:szCs w:val="24"/>
        </w:rPr>
        <w:t>one-thir</w:t>
      </w:r>
      <w:r w:rsidRPr="003C2011">
        <w:rPr>
          <w:rFonts w:ascii="Times New Roman" w:hAnsi="Times New Roman" w:cs="Times New Roman"/>
          <w:sz w:val="24"/>
          <w:szCs w:val="24"/>
        </w:rPr>
        <w:t>d</w:t>
      </w:r>
      <w:r w:rsidR="00CD4646" w:rsidRPr="003C2011">
        <w:rPr>
          <w:rFonts w:ascii="Times New Roman" w:hAnsi="Times New Roman" w:cs="Times New Roman"/>
          <w:sz w:val="24"/>
          <w:szCs w:val="24"/>
        </w:rPr>
        <w:t xml:space="preserve"> at </w:t>
      </w:r>
      <w:r w:rsidR="00FE3B8B" w:rsidRPr="003C2011">
        <w:rPr>
          <w:rFonts w:ascii="Times New Roman" w:hAnsi="Times New Roman" w:cs="Times New Roman"/>
          <w:sz w:val="24"/>
          <w:szCs w:val="24"/>
        </w:rPr>
        <w:t>one</w:t>
      </w:r>
      <w:r w:rsidR="00CD4646" w:rsidRPr="003C2011">
        <w:rPr>
          <w:rFonts w:ascii="Times New Roman" w:hAnsi="Times New Roman" w:cs="Times New Roman"/>
          <w:sz w:val="24"/>
          <w:szCs w:val="24"/>
        </w:rPr>
        <w:t xml:space="preserve"> year</w:t>
      </w:r>
      <w:r w:rsidR="00AE532A" w:rsidRPr="003C2011">
        <w:rPr>
          <w:rFonts w:ascii="Times New Roman" w:hAnsi="Times New Roman" w:cs="Times New Roman"/>
          <w:sz w:val="24"/>
          <w:szCs w:val="24"/>
        </w:rPr>
        <w:t xml:space="preserve">, </w:t>
      </w:r>
      <w:r w:rsidR="00E642EB" w:rsidRPr="003C2011">
        <w:rPr>
          <w:rFonts w:ascii="Times New Roman" w:hAnsi="Times New Roman" w:cs="Times New Roman"/>
          <w:sz w:val="24"/>
          <w:szCs w:val="24"/>
        </w:rPr>
        <w:t>which gave us a 26% difference compared to the 20% expected difference. This overall failure rate</w:t>
      </w:r>
      <w:r w:rsidR="00AE532A" w:rsidRPr="003C2011">
        <w:rPr>
          <w:rFonts w:ascii="Times New Roman" w:hAnsi="Times New Roman" w:cs="Times New Roman"/>
          <w:sz w:val="24"/>
          <w:szCs w:val="24"/>
        </w:rPr>
        <w:t xml:space="preserve"> </w:t>
      </w:r>
      <w:r w:rsidR="00CD4646" w:rsidRPr="003C2011">
        <w:rPr>
          <w:rFonts w:ascii="Times New Roman" w:hAnsi="Times New Roman" w:cs="Times New Roman"/>
          <w:sz w:val="24"/>
          <w:szCs w:val="24"/>
        </w:rPr>
        <w:t xml:space="preserve">is nearly identical to the failure rate found in the Midwest Pediatric Surgery Consortium patient choice study [9]. This is an important finding because the Consortium study </w:t>
      </w:r>
      <w:r w:rsidR="00506E7C" w:rsidRPr="003C2011">
        <w:rPr>
          <w:rFonts w:ascii="Times New Roman" w:hAnsi="Times New Roman" w:cs="Times New Roman"/>
          <w:sz w:val="24"/>
          <w:szCs w:val="24"/>
        </w:rPr>
        <w:t xml:space="preserve">used </w:t>
      </w:r>
      <w:r w:rsidR="00CD4646" w:rsidRPr="003C2011">
        <w:rPr>
          <w:rFonts w:ascii="Times New Roman" w:hAnsi="Times New Roman" w:cs="Times New Roman"/>
          <w:sz w:val="24"/>
          <w:szCs w:val="24"/>
        </w:rPr>
        <w:t xml:space="preserve">restrictive </w:t>
      </w:r>
      <w:r w:rsidR="005A0351" w:rsidRPr="003C2011">
        <w:rPr>
          <w:rFonts w:ascii="Times New Roman" w:hAnsi="Times New Roman" w:cs="Times New Roman"/>
          <w:sz w:val="24"/>
          <w:szCs w:val="24"/>
        </w:rPr>
        <w:t>inclusion criteria</w:t>
      </w:r>
      <w:r w:rsidRPr="003C2011">
        <w:rPr>
          <w:rFonts w:ascii="Times New Roman" w:hAnsi="Times New Roman" w:cs="Times New Roman"/>
          <w:sz w:val="24"/>
          <w:szCs w:val="24"/>
        </w:rPr>
        <w:t xml:space="preserve"> while our study was overtly pragmatic</w:t>
      </w:r>
      <w:r w:rsidR="005A0351" w:rsidRPr="003C2011">
        <w:rPr>
          <w:rFonts w:ascii="Times New Roman" w:hAnsi="Times New Roman" w:cs="Times New Roman"/>
          <w:sz w:val="24"/>
          <w:szCs w:val="24"/>
        </w:rPr>
        <w:t>.</w:t>
      </w:r>
      <w:r w:rsidR="009C05C8" w:rsidRPr="003C2011">
        <w:t xml:space="preserve"> </w:t>
      </w:r>
      <w:r w:rsidR="009C05C8" w:rsidRPr="003C2011">
        <w:rPr>
          <w:rFonts w:ascii="Times New Roman" w:hAnsi="Times New Roman" w:cs="Times New Roman"/>
          <w:sz w:val="24"/>
          <w:szCs w:val="24"/>
        </w:rPr>
        <w:t xml:space="preserve">Patients </w:t>
      </w:r>
      <w:r w:rsidRPr="003C2011">
        <w:rPr>
          <w:rFonts w:ascii="Times New Roman" w:hAnsi="Times New Roman" w:cs="Times New Roman"/>
          <w:sz w:val="24"/>
          <w:szCs w:val="24"/>
        </w:rPr>
        <w:t xml:space="preserve">in the Consortium study </w:t>
      </w:r>
      <w:r w:rsidR="009C05C8" w:rsidRPr="003C2011">
        <w:rPr>
          <w:rFonts w:ascii="Times New Roman" w:hAnsi="Times New Roman" w:cs="Times New Roman"/>
          <w:sz w:val="24"/>
          <w:szCs w:val="24"/>
        </w:rPr>
        <w:t>needed to have imaging-confirmed uncomplicated appendicitis by ultrasound, computed tomography (CT), or magnetic resonance imaging of an appendix with a diameter of 1</w:t>
      </w:r>
      <w:r w:rsidR="000D603A" w:rsidRPr="003C2011">
        <w:rPr>
          <w:rFonts w:ascii="Times New Roman" w:hAnsi="Times New Roman" w:cs="Times New Roman"/>
          <w:sz w:val="24"/>
          <w:szCs w:val="24"/>
        </w:rPr>
        <w:t>·</w:t>
      </w:r>
      <w:r w:rsidR="009C05C8" w:rsidRPr="003C2011">
        <w:rPr>
          <w:rFonts w:ascii="Times New Roman" w:hAnsi="Times New Roman" w:cs="Times New Roman"/>
          <w:sz w:val="24"/>
          <w:szCs w:val="24"/>
        </w:rPr>
        <w:t>1 cm or less and no abscess, fecalith, or phlegmon. In addition</w:t>
      </w:r>
      <w:r w:rsidR="00AE532A" w:rsidRPr="003C2011">
        <w:rPr>
          <w:rFonts w:ascii="Times New Roman" w:hAnsi="Times New Roman" w:cs="Times New Roman"/>
          <w:sz w:val="24"/>
          <w:szCs w:val="24"/>
        </w:rPr>
        <w:t>,</w:t>
      </w:r>
      <w:r w:rsidR="009C05C8" w:rsidRPr="003C2011">
        <w:rPr>
          <w:rFonts w:ascii="Times New Roman" w:hAnsi="Times New Roman" w:cs="Times New Roman"/>
          <w:sz w:val="24"/>
          <w:szCs w:val="24"/>
        </w:rPr>
        <w:t xml:space="preserve"> they needed a white blood cell count between 5</w:t>
      </w:r>
      <w:r w:rsidR="00092368" w:rsidRPr="003C2011">
        <w:rPr>
          <w:rFonts w:ascii="Times New Roman" w:hAnsi="Times New Roman" w:cs="Times New Roman"/>
          <w:sz w:val="24"/>
          <w:szCs w:val="24"/>
        </w:rPr>
        <w:t>,</w:t>
      </w:r>
      <w:r w:rsidR="009C05C8" w:rsidRPr="003C2011">
        <w:rPr>
          <w:rFonts w:ascii="Times New Roman" w:hAnsi="Times New Roman" w:cs="Times New Roman"/>
          <w:sz w:val="24"/>
          <w:szCs w:val="24"/>
        </w:rPr>
        <w:t>000/</w:t>
      </w:r>
      <w:proofErr w:type="spellStart"/>
      <w:r w:rsidR="009C05C8" w:rsidRPr="003C2011">
        <w:rPr>
          <w:rFonts w:ascii="Times New Roman" w:hAnsi="Times New Roman" w:cs="Times New Roman"/>
          <w:sz w:val="24"/>
          <w:szCs w:val="24"/>
        </w:rPr>
        <w:t>μL</w:t>
      </w:r>
      <w:proofErr w:type="spellEnd"/>
      <w:r w:rsidR="009C05C8" w:rsidRPr="003C2011">
        <w:rPr>
          <w:rFonts w:ascii="Times New Roman" w:hAnsi="Times New Roman" w:cs="Times New Roman"/>
          <w:sz w:val="24"/>
          <w:szCs w:val="24"/>
        </w:rPr>
        <w:t xml:space="preserve"> and 18</w:t>
      </w:r>
      <w:r w:rsidR="00092368" w:rsidRPr="003C2011">
        <w:rPr>
          <w:rFonts w:ascii="Times New Roman" w:hAnsi="Times New Roman" w:cs="Times New Roman"/>
          <w:sz w:val="24"/>
          <w:szCs w:val="24"/>
        </w:rPr>
        <w:t>,</w:t>
      </w:r>
      <w:r w:rsidR="009C05C8" w:rsidRPr="003C2011">
        <w:rPr>
          <w:rFonts w:ascii="Times New Roman" w:hAnsi="Times New Roman" w:cs="Times New Roman"/>
          <w:sz w:val="24"/>
          <w:szCs w:val="24"/>
        </w:rPr>
        <w:t>000/</w:t>
      </w:r>
      <w:proofErr w:type="spellStart"/>
      <w:r w:rsidR="009C05C8" w:rsidRPr="003C2011">
        <w:rPr>
          <w:rFonts w:ascii="Times New Roman" w:hAnsi="Times New Roman" w:cs="Times New Roman"/>
          <w:sz w:val="24"/>
          <w:szCs w:val="24"/>
        </w:rPr>
        <w:t>μL</w:t>
      </w:r>
      <w:proofErr w:type="spellEnd"/>
      <w:r w:rsidR="005A0351" w:rsidRPr="003C2011">
        <w:rPr>
          <w:rFonts w:ascii="Times New Roman" w:hAnsi="Times New Roman" w:cs="Times New Roman"/>
          <w:sz w:val="24"/>
          <w:szCs w:val="24"/>
        </w:rPr>
        <w:t>,</w:t>
      </w:r>
      <w:r w:rsidR="009C05C8" w:rsidRPr="003C2011">
        <w:rPr>
          <w:rFonts w:ascii="Times New Roman" w:hAnsi="Times New Roman" w:cs="Times New Roman"/>
          <w:sz w:val="24"/>
          <w:szCs w:val="24"/>
        </w:rPr>
        <w:t xml:space="preserve"> and abdominal pain for less than 48 hours prior to the start of antibiotics</w:t>
      </w:r>
      <w:r w:rsidR="00AE532A" w:rsidRPr="003C2011">
        <w:rPr>
          <w:rFonts w:ascii="Times New Roman" w:hAnsi="Times New Roman" w:cs="Times New Roman"/>
          <w:sz w:val="24"/>
          <w:szCs w:val="24"/>
        </w:rPr>
        <w:t>.</w:t>
      </w:r>
      <w:r w:rsidR="0088629C" w:rsidRPr="003C2011">
        <w:rPr>
          <w:rFonts w:ascii="Times New Roman" w:hAnsi="Times New Roman" w:cs="Times New Roman"/>
          <w:sz w:val="24"/>
          <w:szCs w:val="24"/>
        </w:rPr>
        <w:t xml:space="preserve"> We </w:t>
      </w:r>
      <w:r w:rsidR="00441CC6" w:rsidRPr="003C2011">
        <w:rPr>
          <w:rFonts w:ascii="Times New Roman" w:hAnsi="Times New Roman" w:cs="Times New Roman"/>
          <w:sz w:val="24"/>
          <w:szCs w:val="24"/>
        </w:rPr>
        <w:t>only excluded those with suspected perforated appendicitis. We also didn’t specify the modalities employed to diagnose appendicitis and clarify the population to approach for the study. Th</w:t>
      </w:r>
      <w:r w:rsidR="007436B7" w:rsidRPr="003C2011">
        <w:rPr>
          <w:rFonts w:ascii="Times New Roman" w:hAnsi="Times New Roman" w:cs="Times New Roman"/>
          <w:sz w:val="24"/>
          <w:szCs w:val="24"/>
        </w:rPr>
        <w:t>e</w:t>
      </w:r>
      <w:r w:rsidR="002947F8" w:rsidRPr="003C2011">
        <w:rPr>
          <w:rFonts w:ascii="Times New Roman" w:hAnsi="Times New Roman" w:cs="Times New Roman"/>
          <w:sz w:val="24"/>
          <w:szCs w:val="24"/>
        </w:rPr>
        <w:t>se</w:t>
      </w:r>
      <w:r w:rsidR="007436B7" w:rsidRPr="003C2011">
        <w:rPr>
          <w:rFonts w:ascii="Times New Roman" w:hAnsi="Times New Roman" w:cs="Times New Roman"/>
          <w:sz w:val="24"/>
          <w:szCs w:val="24"/>
        </w:rPr>
        <w:t xml:space="preserve"> liberal </w:t>
      </w:r>
      <w:r w:rsidR="002947F8" w:rsidRPr="003C2011">
        <w:rPr>
          <w:rFonts w:ascii="Times New Roman" w:hAnsi="Times New Roman" w:cs="Times New Roman"/>
          <w:sz w:val="24"/>
          <w:szCs w:val="24"/>
        </w:rPr>
        <w:t xml:space="preserve">inclusion </w:t>
      </w:r>
      <w:r w:rsidR="007436B7" w:rsidRPr="003C2011">
        <w:rPr>
          <w:rFonts w:ascii="Times New Roman" w:hAnsi="Times New Roman" w:cs="Times New Roman"/>
          <w:sz w:val="24"/>
          <w:szCs w:val="24"/>
        </w:rPr>
        <w:t>criteria</w:t>
      </w:r>
      <w:r w:rsidR="00441CC6" w:rsidRPr="003C2011">
        <w:rPr>
          <w:rFonts w:ascii="Times New Roman" w:hAnsi="Times New Roman" w:cs="Times New Roman"/>
          <w:sz w:val="24"/>
          <w:szCs w:val="24"/>
        </w:rPr>
        <w:t xml:space="preserve"> </w:t>
      </w:r>
      <w:r w:rsidR="002947F8" w:rsidRPr="003C2011">
        <w:rPr>
          <w:rFonts w:ascii="Times New Roman" w:hAnsi="Times New Roman" w:cs="Times New Roman"/>
          <w:sz w:val="24"/>
          <w:szCs w:val="24"/>
        </w:rPr>
        <w:t xml:space="preserve">likely </w:t>
      </w:r>
      <w:r w:rsidR="00441CC6" w:rsidRPr="003C2011">
        <w:rPr>
          <w:rFonts w:ascii="Times New Roman" w:hAnsi="Times New Roman" w:cs="Times New Roman"/>
          <w:sz w:val="24"/>
          <w:szCs w:val="24"/>
        </w:rPr>
        <w:t xml:space="preserve">account for the 7% incidence of perforation found at the time of appendectomy in the appendectomy arm. </w:t>
      </w:r>
      <w:r w:rsidR="000779D4" w:rsidRPr="003C2011">
        <w:rPr>
          <w:rFonts w:ascii="Times New Roman" w:hAnsi="Times New Roman" w:cs="Times New Roman"/>
          <w:sz w:val="24"/>
          <w:szCs w:val="24"/>
        </w:rPr>
        <w:t xml:space="preserve">This number is a surrogate for the overall perforation </w:t>
      </w:r>
      <w:r w:rsidR="00B51334" w:rsidRPr="003C2011">
        <w:rPr>
          <w:rFonts w:ascii="Times New Roman" w:hAnsi="Times New Roman" w:cs="Times New Roman"/>
          <w:sz w:val="24"/>
          <w:szCs w:val="24"/>
        </w:rPr>
        <w:t xml:space="preserve">rate </w:t>
      </w:r>
      <w:r w:rsidR="000779D4" w:rsidRPr="003C2011">
        <w:rPr>
          <w:rFonts w:ascii="Times New Roman" w:hAnsi="Times New Roman" w:cs="Times New Roman"/>
          <w:sz w:val="24"/>
          <w:szCs w:val="24"/>
        </w:rPr>
        <w:t>at presenta</w:t>
      </w:r>
      <w:r w:rsidR="00635F29" w:rsidRPr="003C2011">
        <w:rPr>
          <w:rFonts w:ascii="Times New Roman" w:hAnsi="Times New Roman" w:cs="Times New Roman"/>
          <w:sz w:val="24"/>
          <w:szCs w:val="24"/>
        </w:rPr>
        <w:t>tion</w:t>
      </w:r>
      <w:r w:rsidR="000779D4" w:rsidRPr="003C2011">
        <w:rPr>
          <w:rFonts w:ascii="Times New Roman" w:hAnsi="Times New Roman" w:cs="Times New Roman"/>
          <w:sz w:val="24"/>
          <w:szCs w:val="24"/>
        </w:rPr>
        <w:t xml:space="preserve"> in the antibiotics arm, since we will never know of those who recovered and did not get an appendectomy. Although the high rate of perforation seen in those who failed early suggests our pragmatic trial design </w:t>
      </w:r>
      <w:r w:rsidR="00DA0309" w:rsidRPr="003C2011">
        <w:rPr>
          <w:rFonts w:ascii="Times New Roman" w:hAnsi="Times New Roman" w:cs="Times New Roman"/>
          <w:sz w:val="24"/>
          <w:szCs w:val="24"/>
        </w:rPr>
        <w:t xml:space="preserve">likely </w:t>
      </w:r>
      <w:r w:rsidR="000779D4" w:rsidRPr="003C2011">
        <w:rPr>
          <w:rFonts w:ascii="Times New Roman" w:hAnsi="Times New Roman" w:cs="Times New Roman"/>
          <w:sz w:val="24"/>
          <w:szCs w:val="24"/>
        </w:rPr>
        <w:t>contributed to the antibiotic</w:t>
      </w:r>
      <w:r w:rsidR="00635F29" w:rsidRPr="003C2011">
        <w:rPr>
          <w:rFonts w:ascii="Times New Roman" w:hAnsi="Times New Roman" w:cs="Times New Roman"/>
          <w:sz w:val="24"/>
          <w:szCs w:val="24"/>
        </w:rPr>
        <w:t xml:space="preserve"> </w:t>
      </w:r>
      <w:r w:rsidR="000779D4" w:rsidRPr="003C2011">
        <w:rPr>
          <w:rFonts w:ascii="Times New Roman" w:hAnsi="Times New Roman" w:cs="Times New Roman"/>
          <w:sz w:val="24"/>
          <w:szCs w:val="24"/>
        </w:rPr>
        <w:t xml:space="preserve">failures, </w:t>
      </w:r>
      <w:r w:rsidR="007436B7" w:rsidRPr="003C2011">
        <w:rPr>
          <w:rFonts w:ascii="Times New Roman" w:hAnsi="Times New Roman" w:cs="Times New Roman"/>
          <w:sz w:val="24"/>
          <w:szCs w:val="24"/>
        </w:rPr>
        <w:t xml:space="preserve">the overall </w:t>
      </w:r>
      <w:r w:rsidR="00635F29" w:rsidRPr="003C2011">
        <w:rPr>
          <w:rFonts w:ascii="Times New Roman" w:hAnsi="Times New Roman" w:cs="Times New Roman"/>
          <w:sz w:val="24"/>
          <w:szCs w:val="24"/>
        </w:rPr>
        <w:t xml:space="preserve">failure </w:t>
      </w:r>
      <w:r w:rsidR="000779D4" w:rsidRPr="003C2011">
        <w:rPr>
          <w:rFonts w:ascii="Times New Roman" w:hAnsi="Times New Roman" w:cs="Times New Roman"/>
          <w:sz w:val="24"/>
          <w:szCs w:val="24"/>
        </w:rPr>
        <w:t xml:space="preserve">rate was the same as more conservative designs. </w:t>
      </w:r>
      <w:r w:rsidR="00DA0309" w:rsidRPr="003C2011">
        <w:rPr>
          <w:rFonts w:ascii="Times New Roman" w:hAnsi="Times New Roman" w:cs="Times New Roman"/>
          <w:sz w:val="24"/>
          <w:szCs w:val="24"/>
        </w:rPr>
        <w:t>One benefit of our pragmatic design is that it improves the generalizability of our findings</w:t>
      </w:r>
      <w:r w:rsidR="00AC6FA0" w:rsidRPr="003C2011">
        <w:rPr>
          <w:rFonts w:ascii="Times New Roman" w:hAnsi="Times New Roman" w:cs="Times New Roman"/>
          <w:sz w:val="24"/>
          <w:szCs w:val="24"/>
        </w:rPr>
        <w:t xml:space="preserve">. </w:t>
      </w:r>
    </w:p>
    <w:p w14:paraId="198D40AD" w14:textId="0E6FD4DB" w:rsidR="00611F07" w:rsidRPr="003C2011" w:rsidRDefault="00B55BC2" w:rsidP="00CD4646">
      <w:pPr>
        <w:tabs>
          <w:tab w:val="left" w:pos="720"/>
          <w:tab w:val="left" w:pos="1440"/>
          <w:tab w:val="left" w:pos="2160"/>
          <w:tab w:val="left" w:pos="2880"/>
          <w:tab w:val="left" w:pos="3600"/>
          <w:tab w:val="left" w:pos="4320"/>
        </w:tabs>
        <w:spacing w:after="240" w:line="480" w:lineRule="auto"/>
        <w:rPr>
          <w:rFonts w:ascii="Times New Roman" w:hAnsi="Times New Roman" w:cs="Times New Roman"/>
          <w:sz w:val="24"/>
          <w:szCs w:val="24"/>
        </w:rPr>
      </w:pPr>
      <w:r w:rsidRPr="003C2011">
        <w:rPr>
          <w:rFonts w:ascii="Times New Roman" w:hAnsi="Times New Roman" w:cs="Times New Roman"/>
          <w:sz w:val="24"/>
          <w:szCs w:val="24"/>
        </w:rPr>
        <w:t xml:space="preserve">The appendectomy </w:t>
      </w:r>
      <w:r w:rsidR="00CA01A4" w:rsidRPr="003C2011">
        <w:rPr>
          <w:rFonts w:ascii="Times New Roman" w:hAnsi="Times New Roman" w:cs="Times New Roman"/>
          <w:sz w:val="24"/>
          <w:szCs w:val="24"/>
        </w:rPr>
        <w:t>group</w:t>
      </w:r>
      <w:r w:rsidRPr="003C2011">
        <w:rPr>
          <w:rFonts w:ascii="Times New Roman" w:hAnsi="Times New Roman" w:cs="Times New Roman"/>
          <w:sz w:val="24"/>
          <w:szCs w:val="24"/>
        </w:rPr>
        <w:t xml:space="preserve"> had a significantly shorter length of stay. This was due to </w:t>
      </w:r>
      <w:r w:rsidR="00072946" w:rsidRPr="003C2011">
        <w:rPr>
          <w:rFonts w:ascii="Times New Roman" w:hAnsi="Times New Roman" w:cs="Times New Roman"/>
          <w:sz w:val="24"/>
          <w:szCs w:val="24"/>
        </w:rPr>
        <w:t xml:space="preserve">the </w:t>
      </w:r>
      <w:r w:rsidRPr="003C2011">
        <w:rPr>
          <w:rFonts w:ascii="Times New Roman" w:hAnsi="Times New Roman" w:cs="Times New Roman"/>
          <w:sz w:val="24"/>
          <w:szCs w:val="24"/>
        </w:rPr>
        <w:t>period of observation</w:t>
      </w:r>
      <w:r w:rsidR="00715211" w:rsidRPr="003C2011">
        <w:rPr>
          <w:rFonts w:ascii="Times New Roman" w:hAnsi="Times New Roman" w:cs="Times New Roman"/>
          <w:sz w:val="24"/>
          <w:szCs w:val="24"/>
        </w:rPr>
        <w:t xml:space="preserve"> in hospital</w:t>
      </w:r>
      <w:r w:rsidRPr="003C2011">
        <w:rPr>
          <w:rFonts w:ascii="Times New Roman" w:hAnsi="Times New Roman" w:cs="Times New Roman"/>
          <w:sz w:val="24"/>
          <w:szCs w:val="24"/>
        </w:rPr>
        <w:t xml:space="preserve"> for those treated with antibiotics while many appendectomy patients </w:t>
      </w:r>
      <w:r w:rsidRPr="003C2011">
        <w:rPr>
          <w:rFonts w:ascii="Times New Roman" w:hAnsi="Times New Roman" w:cs="Times New Roman"/>
          <w:sz w:val="24"/>
          <w:szCs w:val="24"/>
        </w:rPr>
        <w:lastRenderedPageBreak/>
        <w:t xml:space="preserve">could be discharged after the operation. </w:t>
      </w:r>
      <w:r w:rsidR="00F0215D" w:rsidRPr="003C2011">
        <w:rPr>
          <w:rFonts w:ascii="Times New Roman" w:hAnsi="Times New Roman" w:cs="Times New Roman"/>
          <w:sz w:val="24"/>
          <w:szCs w:val="24"/>
        </w:rPr>
        <w:t xml:space="preserve">In addition, the total length of stay was increased in the antibiotic group from the 17% who returned to the hospital for an appendectomy later. </w:t>
      </w:r>
      <w:r w:rsidR="00072946" w:rsidRPr="003C2011">
        <w:rPr>
          <w:rFonts w:ascii="Times New Roman" w:hAnsi="Times New Roman" w:cs="Times New Roman"/>
          <w:sz w:val="24"/>
          <w:szCs w:val="24"/>
        </w:rPr>
        <w:t>M</w:t>
      </w:r>
      <w:r w:rsidRPr="003C2011">
        <w:rPr>
          <w:rFonts w:ascii="Times New Roman" w:hAnsi="Times New Roman" w:cs="Times New Roman"/>
          <w:sz w:val="24"/>
          <w:szCs w:val="24"/>
        </w:rPr>
        <w:t>ost comparative trials have found the same</w:t>
      </w:r>
      <w:r w:rsidR="00B50F64" w:rsidRPr="003C2011">
        <w:rPr>
          <w:rFonts w:ascii="Times New Roman" w:hAnsi="Times New Roman" w:cs="Times New Roman"/>
          <w:sz w:val="24"/>
          <w:szCs w:val="24"/>
        </w:rPr>
        <w:t xml:space="preserve"> </w:t>
      </w:r>
      <w:r w:rsidR="00111486" w:rsidRPr="003C2011">
        <w:rPr>
          <w:rFonts w:ascii="Times New Roman" w:hAnsi="Times New Roman" w:cs="Times New Roman"/>
          <w:sz w:val="24"/>
          <w:szCs w:val="24"/>
        </w:rPr>
        <w:t xml:space="preserve">difference </w:t>
      </w:r>
      <w:r w:rsidR="00B50F64" w:rsidRPr="003C2011">
        <w:rPr>
          <w:rFonts w:ascii="Times New Roman" w:hAnsi="Times New Roman" w:cs="Times New Roman"/>
          <w:sz w:val="24"/>
          <w:szCs w:val="24"/>
        </w:rPr>
        <w:t xml:space="preserve">as </w:t>
      </w:r>
      <w:r w:rsidR="000D603A" w:rsidRPr="003C2011">
        <w:rPr>
          <w:rFonts w:ascii="Times New Roman" w:hAnsi="Times New Roman" w:cs="Times New Roman"/>
          <w:sz w:val="24"/>
          <w:szCs w:val="24"/>
        </w:rPr>
        <w:t xml:space="preserve">two </w:t>
      </w:r>
      <w:r w:rsidR="00B50F64" w:rsidRPr="003C2011">
        <w:rPr>
          <w:rFonts w:ascii="Times New Roman" w:hAnsi="Times New Roman" w:cs="Times New Roman"/>
          <w:sz w:val="24"/>
          <w:szCs w:val="24"/>
        </w:rPr>
        <w:t>recent meta</w:t>
      </w:r>
      <w:r w:rsidR="008439FB" w:rsidRPr="003C2011">
        <w:rPr>
          <w:rFonts w:ascii="Times New Roman" w:hAnsi="Times New Roman" w:cs="Times New Roman"/>
          <w:sz w:val="24"/>
          <w:szCs w:val="24"/>
        </w:rPr>
        <w:t>-</w:t>
      </w:r>
      <w:r w:rsidR="00B50F64" w:rsidRPr="003C2011">
        <w:rPr>
          <w:rFonts w:ascii="Times New Roman" w:hAnsi="Times New Roman" w:cs="Times New Roman"/>
          <w:sz w:val="24"/>
          <w:szCs w:val="24"/>
        </w:rPr>
        <w:t xml:space="preserve">analyses of </w:t>
      </w:r>
      <w:r w:rsidRPr="003C2011">
        <w:rPr>
          <w:rFonts w:ascii="Times New Roman" w:hAnsi="Times New Roman" w:cs="Times New Roman"/>
          <w:sz w:val="24"/>
          <w:szCs w:val="24"/>
        </w:rPr>
        <w:t>adult trials</w:t>
      </w:r>
      <w:r w:rsidR="004F46FB" w:rsidRPr="003C2011">
        <w:rPr>
          <w:rFonts w:ascii="Times New Roman" w:hAnsi="Times New Roman" w:cs="Times New Roman"/>
          <w:sz w:val="24"/>
          <w:szCs w:val="24"/>
        </w:rPr>
        <w:t xml:space="preserve"> concluded a longer stay with antibiotics,</w:t>
      </w:r>
      <w:r w:rsidRPr="003C2011">
        <w:rPr>
          <w:rFonts w:ascii="Times New Roman" w:hAnsi="Times New Roman" w:cs="Times New Roman"/>
          <w:sz w:val="24"/>
          <w:szCs w:val="24"/>
        </w:rPr>
        <w:t xml:space="preserve"> </w:t>
      </w:r>
      <w:r w:rsidR="00BC1A78" w:rsidRPr="003C2011">
        <w:rPr>
          <w:rFonts w:ascii="Times New Roman" w:hAnsi="Times New Roman" w:cs="Times New Roman"/>
          <w:sz w:val="24"/>
          <w:szCs w:val="24"/>
        </w:rPr>
        <w:t xml:space="preserve">documenting </w:t>
      </w:r>
      <w:r w:rsidRPr="003C2011">
        <w:rPr>
          <w:rFonts w:ascii="Times New Roman" w:hAnsi="Times New Roman" w:cs="Times New Roman"/>
          <w:sz w:val="24"/>
          <w:szCs w:val="24"/>
        </w:rPr>
        <w:t xml:space="preserve">an average </w:t>
      </w:r>
      <w:r w:rsidR="00072946" w:rsidRPr="003C2011">
        <w:rPr>
          <w:rFonts w:ascii="Times New Roman" w:hAnsi="Times New Roman" w:cs="Times New Roman"/>
          <w:sz w:val="24"/>
          <w:szCs w:val="24"/>
        </w:rPr>
        <w:t>increase</w:t>
      </w:r>
      <w:r w:rsidRPr="003C2011">
        <w:rPr>
          <w:rFonts w:ascii="Times New Roman" w:hAnsi="Times New Roman" w:cs="Times New Roman"/>
          <w:sz w:val="24"/>
          <w:szCs w:val="24"/>
        </w:rPr>
        <w:t xml:space="preserve"> of 0</w:t>
      </w:r>
      <w:r w:rsidR="000D603A" w:rsidRPr="003C2011">
        <w:rPr>
          <w:rFonts w:ascii="Times New Roman" w:hAnsi="Times New Roman" w:cs="Times New Roman"/>
          <w:sz w:val="24"/>
          <w:szCs w:val="24"/>
        </w:rPr>
        <w:t>·</w:t>
      </w:r>
      <w:r w:rsidRPr="003C2011">
        <w:rPr>
          <w:rFonts w:ascii="Times New Roman" w:hAnsi="Times New Roman" w:cs="Times New Roman"/>
          <w:sz w:val="24"/>
          <w:szCs w:val="24"/>
        </w:rPr>
        <w:t xml:space="preserve">53 days with </w:t>
      </w:r>
      <w:r w:rsidR="00072946" w:rsidRPr="003C2011">
        <w:rPr>
          <w:rFonts w:ascii="Times New Roman" w:hAnsi="Times New Roman" w:cs="Times New Roman"/>
          <w:sz w:val="24"/>
          <w:szCs w:val="24"/>
        </w:rPr>
        <w:t>antibiotics</w:t>
      </w:r>
      <w:r w:rsidRPr="003C2011">
        <w:rPr>
          <w:rFonts w:ascii="Times New Roman" w:hAnsi="Times New Roman" w:cs="Times New Roman"/>
          <w:sz w:val="24"/>
          <w:szCs w:val="24"/>
        </w:rPr>
        <w:t xml:space="preserve"> (</w:t>
      </w:r>
      <w:r w:rsidR="0F91FC6F" w:rsidRPr="003C2011">
        <w:rPr>
          <w:rFonts w:ascii="Times New Roman" w:hAnsi="Times New Roman" w:cs="Times New Roman"/>
          <w:sz w:val="24"/>
          <w:szCs w:val="24"/>
        </w:rPr>
        <w:t>2</w:t>
      </w:r>
      <w:r w:rsidR="06ED4850" w:rsidRPr="003C2011">
        <w:rPr>
          <w:rFonts w:ascii="Times New Roman" w:hAnsi="Times New Roman" w:cs="Times New Roman"/>
          <w:sz w:val="24"/>
          <w:szCs w:val="24"/>
        </w:rPr>
        <w:t>7</w:t>
      </w:r>
      <w:r w:rsidR="0F91FC6F" w:rsidRPr="003C2011">
        <w:rPr>
          <w:rFonts w:ascii="Times New Roman" w:hAnsi="Times New Roman" w:cs="Times New Roman"/>
          <w:sz w:val="24"/>
          <w:szCs w:val="24"/>
        </w:rPr>
        <w:t>,2</w:t>
      </w:r>
      <w:r w:rsidR="12CF8947" w:rsidRPr="003C2011">
        <w:rPr>
          <w:rFonts w:ascii="Times New Roman" w:hAnsi="Times New Roman" w:cs="Times New Roman"/>
          <w:sz w:val="24"/>
          <w:szCs w:val="24"/>
        </w:rPr>
        <w:t>8</w:t>
      </w:r>
      <w:r w:rsidRPr="003C2011">
        <w:rPr>
          <w:rFonts w:ascii="Times New Roman" w:hAnsi="Times New Roman" w:cs="Times New Roman"/>
          <w:sz w:val="24"/>
          <w:szCs w:val="24"/>
        </w:rPr>
        <w:t>)</w:t>
      </w:r>
      <w:r w:rsidR="00111486" w:rsidRPr="003C2011">
        <w:rPr>
          <w:rFonts w:ascii="Times New Roman" w:hAnsi="Times New Roman" w:cs="Times New Roman"/>
          <w:sz w:val="24"/>
          <w:szCs w:val="24"/>
        </w:rPr>
        <w:t>.</w:t>
      </w:r>
      <w:r w:rsidRPr="003C2011">
        <w:rPr>
          <w:rFonts w:ascii="Times New Roman" w:hAnsi="Times New Roman" w:cs="Times New Roman"/>
          <w:sz w:val="24"/>
          <w:szCs w:val="24"/>
        </w:rPr>
        <w:t xml:space="preserve"> This was the same </w:t>
      </w:r>
      <w:r w:rsidR="00FF082D" w:rsidRPr="003C2011">
        <w:rPr>
          <w:rFonts w:ascii="Times New Roman" w:hAnsi="Times New Roman" w:cs="Times New Roman"/>
          <w:sz w:val="24"/>
          <w:szCs w:val="24"/>
        </w:rPr>
        <w:t>magnitude of difference</w:t>
      </w:r>
      <w:r w:rsidRPr="003C2011">
        <w:rPr>
          <w:rFonts w:ascii="Times New Roman" w:hAnsi="Times New Roman" w:cs="Times New Roman"/>
          <w:sz w:val="24"/>
          <w:szCs w:val="24"/>
        </w:rPr>
        <w:t xml:space="preserve"> we documented in this trial</w:t>
      </w:r>
      <w:r w:rsidR="00FF082D" w:rsidRPr="003C2011">
        <w:rPr>
          <w:rFonts w:ascii="Times New Roman" w:hAnsi="Times New Roman" w:cs="Times New Roman"/>
          <w:sz w:val="24"/>
          <w:szCs w:val="24"/>
        </w:rPr>
        <w:t>,</w:t>
      </w:r>
      <w:r w:rsidR="00EE5ACA" w:rsidRPr="003C2011">
        <w:rPr>
          <w:rFonts w:ascii="Times New Roman" w:hAnsi="Times New Roman" w:cs="Times New Roman"/>
          <w:sz w:val="24"/>
          <w:szCs w:val="24"/>
        </w:rPr>
        <w:t xml:space="preserve"> wh</w:t>
      </w:r>
      <w:r w:rsidR="00FF082D" w:rsidRPr="003C2011">
        <w:rPr>
          <w:rFonts w:ascii="Times New Roman" w:hAnsi="Times New Roman" w:cs="Times New Roman"/>
          <w:sz w:val="24"/>
          <w:szCs w:val="24"/>
        </w:rPr>
        <w:t>ich was found to be</w:t>
      </w:r>
      <w:r w:rsidR="00EE5ACA" w:rsidRPr="003C2011">
        <w:rPr>
          <w:rFonts w:ascii="Times New Roman" w:hAnsi="Times New Roman" w:cs="Times New Roman"/>
          <w:sz w:val="24"/>
          <w:szCs w:val="24"/>
        </w:rPr>
        <w:t xml:space="preserve"> a 0</w:t>
      </w:r>
      <w:r w:rsidR="000D603A" w:rsidRPr="003C2011">
        <w:rPr>
          <w:rFonts w:ascii="Times New Roman" w:hAnsi="Times New Roman" w:cs="Times New Roman"/>
          <w:sz w:val="24"/>
          <w:szCs w:val="24"/>
        </w:rPr>
        <w:t>·</w:t>
      </w:r>
      <w:r w:rsidR="00EE5ACA" w:rsidRPr="003C2011">
        <w:rPr>
          <w:rFonts w:ascii="Times New Roman" w:hAnsi="Times New Roman" w:cs="Times New Roman"/>
          <w:sz w:val="24"/>
          <w:szCs w:val="24"/>
        </w:rPr>
        <w:t xml:space="preserve">6 day difference </w:t>
      </w:r>
      <w:r w:rsidR="00D30637" w:rsidRPr="003C2011">
        <w:rPr>
          <w:rFonts w:ascii="Times New Roman" w:hAnsi="Times New Roman" w:cs="Times New Roman"/>
          <w:sz w:val="24"/>
          <w:szCs w:val="24"/>
        </w:rPr>
        <w:t xml:space="preserve">between medians </w:t>
      </w:r>
      <w:r w:rsidR="00EE5ACA" w:rsidRPr="003C2011">
        <w:rPr>
          <w:rFonts w:ascii="Times New Roman" w:hAnsi="Times New Roman" w:cs="Times New Roman"/>
          <w:sz w:val="24"/>
          <w:szCs w:val="24"/>
        </w:rPr>
        <w:t>in favor of appendectomy</w:t>
      </w:r>
      <w:r w:rsidRPr="003C2011">
        <w:rPr>
          <w:rFonts w:ascii="Times New Roman" w:hAnsi="Times New Roman" w:cs="Times New Roman"/>
          <w:sz w:val="24"/>
          <w:szCs w:val="24"/>
        </w:rPr>
        <w:t xml:space="preserve">. However, moving forward without a strict protocol, patients could be treated much more aggressively up to discharge from the emergency department. </w:t>
      </w:r>
      <w:r w:rsidR="00CE516B" w:rsidRPr="003C2011">
        <w:rPr>
          <w:rFonts w:ascii="Times New Roman" w:hAnsi="Times New Roman" w:cs="Times New Roman"/>
          <w:sz w:val="24"/>
          <w:szCs w:val="24"/>
        </w:rPr>
        <w:t>The following</w:t>
      </w:r>
      <w:r w:rsidRPr="003C2011">
        <w:rPr>
          <w:rFonts w:ascii="Times New Roman" w:hAnsi="Times New Roman" w:cs="Times New Roman"/>
          <w:sz w:val="24"/>
          <w:szCs w:val="24"/>
        </w:rPr>
        <w:t xml:space="preserve"> step of progression</w:t>
      </w:r>
      <w:r w:rsidR="00CE516B" w:rsidRPr="003C2011">
        <w:rPr>
          <w:rFonts w:ascii="Times New Roman" w:hAnsi="Times New Roman" w:cs="Times New Roman"/>
          <w:sz w:val="24"/>
          <w:szCs w:val="24"/>
        </w:rPr>
        <w:t xml:space="preserve"> </w:t>
      </w:r>
      <w:r w:rsidRPr="003C2011">
        <w:rPr>
          <w:rFonts w:ascii="Times New Roman" w:hAnsi="Times New Roman" w:cs="Times New Roman"/>
          <w:sz w:val="24"/>
          <w:szCs w:val="24"/>
        </w:rPr>
        <w:t xml:space="preserve">could be </w:t>
      </w:r>
      <w:r w:rsidR="00CE516B" w:rsidRPr="003C2011">
        <w:rPr>
          <w:rFonts w:ascii="Times New Roman" w:hAnsi="Times New Roman" w:cs="Times New Roman"/>
          <w:sz w:val="24"/>
          <w:szCs w:val="24"/>
        </w:rPr>
        <w:t xml:space="preserve">patients </w:t>
      </w:r>
      <w:r w:rsidRPr="003C2011">
        <w:rPr>
          <w:rFonts w:ascii="Times New Roman" w:hAnsi="Times New Roman" w:cs="Times New Roman"/>
          <w:sz w:val="24"/>
          <w:szCs w:val="24"/>
        </w:rPr>
        <w:t xml:space="preserve">diagnosed in the </w:t>
      </w:r>
      <w:r w:rsidR="00B576AC" w:rsidRPr="003C2011">
        <w:rPr>
          <w:rFonts w:ascii="Times New Roman" w:hAnsi="Times New Roman" w:cs="Times New Roman"/>
          <w:sz w:val="24"/>
          <w:szCs w:val="24"/>
        </w:rPr>
        <w:t>pediatrician’s</w:t>
      </w:r>
      <w:r w:rsidRPr="003C2011">
        <w:rPr>
          <w:rFonts w:ascii="Times New Roman" w:hAnsi="Times New Roman" w:cs="Times New Roman"/>
          <w:sz w:val="24"/>
          <w:szCs w:val="24"/>
        </w:rPr>
        <w:t xml:space="preserve"> office or urgent care </w:t>
      </w:r>
      <w:r w:rsidR="00CE516B" w:rsidRPr="003C2011">
        <w:rPr>
          <w:rFonts w:ascii="Times New Roman" w:hAnsi="Times New Roman" w:cs="Times New Roman"/>
          <w:sz w:val="24"/>
          <w:szCs w:val="24"/>
        </w:rPr>
        <w:t>are</w:t>
      </w:r>
      <w:r w:rsidRPr="003C2011">
        <w:rPr>
          <w:rFonts w:ascii="Times New Roman" w:hAnsi="Times New Roman" w:cs="Times New Roman"/>
          <w:sz w:val="24"/>
          <w:szCs w:val="24"/>
        </w:rPr>
        <w:t xml:space="preserve"> sent home on oral antibiotics with instructions to return with worsening pain. </w:t>
      </w:r>
    </w:p>
    <w:p w14:paraId="3E288AB5" w14:textId="336384D2" w:rsidR="00611F07" w:rsidRPr="003C2011" w:rsidRDefault="00B55BC2" w:rsidP="00CD4646">
      <w:pPr>
        <w:tabs>
          <w:tab w:val="left" w:pos="720"/>
          <w:tab w:val="left" w:pos="1440"/>
          <w:tab w:val="left" w:pos="2160"/>
          <w:tab w:val="left" w:pos="2880"/>
          <w:tab w:val="left" w:pos="3600"/>
          <w:tab w:val="left" w:pos="4320"/>
        </w:tabs>
        <w:spacing w:after="240" w:line="480" w:lineRule="auto"/>
        <w:rPr>
          <w:rFonts w:ascii="Times New Roman" w:hAnsi="Times New Roman" w:cs="Times New Roman"/>
          <w:sz w:val="24"/>
          <w:szCs w:val="24"/>
        </w:rPr>
      </w:pPr>
      <w:r w:rsidRPr="003C2011">
        <w:rPr>
          <w:rFonts w:ascii="Times New Roman" w:hAnsi="Times New Roman" w:cs="Times New Roman"/>
          <w:sz w:val="24"/>
          <w:szCs w:val="24"/>
        </w:rPr>
        <w:t>Once patients were discharged from the hospital, those in the antibiotic</w:t>
      </w:r>
      <w:r w:rsidR="001D72B6" w:rsidRPr="003C2011">
        <w:rPr>
          <w:rFonts w:ascii="Times New Roman" w:hAnsi="Times New Roman" w:cs="Times New Roman"/>
          <w:sz w:val="24"/>
          <w:szCs w:val="24"/>
        </w:rPr>
        <w:t xml:space="preserve"> group</w:t>
      </w:r>
      <w:r w:rsidRPr="003C2011">
        <w:rPr>
          <w:rFonts w:ascii="Times New Roman" w:hAnsi="Times New Roman" w:cs="Times New Roman"/>
          <w:sz w:val="24"/>
          <w:szCs w:val="24"/>
        </w:rPr>
        <w:t xml:space="preserve"> were</w:t>
      </w:r>
      <w:r w:rsidR="00372790" w:rsidRPr="003C2011">
        <w:rPr>
          <w:rFonts w:ascii="Times New Roman" w:hAnsi="Times New Roman" w:cs="Times New Roman"/>
          <w:sz w:val="24"/>
          <w:szCs w:val="24"/>
        </w:rPr>
        <w:t xml:space="preserve"> left with the risk of recurrence. However, patients </w:t>
      </w:r>
      <w:r w:rsidR="00D27F91" w:rsidRPr="003C2011">
        <w:rPr>
          <w:rFonts w:ascii="Times New Roman" w:hAnsi="Times New Roman" w:cs="Times New Roman"/>
          <w:sz w:val="24"/>
          <w:szCs w:val="24"/>
        </w:rPr>
        <w:t>in the antibiotic</w:t>
      </w:r>
      <w:r w:rsidR="005C1C85" w:rsidRPr="003C2011">
        <w:rPr>
          <w:rFonts w:ascii="Times New Roman" w:hAnsi="Times New Roman" w:cs="Times New Roman"/>
          <w:sz w:val="24"/>
          <w:szCs w:val="24"/>
        </w:rPr>
        <w:t xml:space="preserve"> group</w:t>
      </w:r>
      <w:r w:rsidR="00D27F91" w:rsidRPr="003C2011">
        <w:rPr>
          <w:rFonts w:ascii="Times New Roman" w:hAnsi="Times New Roman" w:cs="Times New Roman"/>
          <w:sz w:val="24"/>
          <w:szCs w:val="24"/>
        </w:rPr>
        <w:t xml:space="preserve"> </w:t>
      </w:r>
      <w:r w:rsidR="00372790" w:rsidRPr="003C2011">
        <w:rPr>
          <w:rFonts w:ascii="Times New Roman" w:hAnsi="Times New Roman" w:cs="Times New Roman"/>
          <w:sz w:val="24"/>
          <w:szCs w:val="24"/>
        </w:rPr>
        <w:t>enjoyed earlier return to activity, school</w:t>
      </w:r>
      <w:r w:rsidR="00AC6FA0" w:rsidRPr="003C2011">
        <w:rPr>
          <w:rFonts w:ascii="Times New Roman" w:hAnsi="Times New Roman" w:cs="Times New Roman"/>
          <w:sz w:val="24"/>
          <w:szCs w:val="24"/>
        </w:rPr>
        <w:t>,</w:t>
      </w:r>
      <w:r w:rsidR="00372790" w:rsidRPr="003C2011">
        <w:rPr>
          <w:rFonts w:ascii="Times New Roman" w:hAnsi="Times New Roman" w:cs="Times New Roman"/>
          <w:sz w:val="24"/>
          <w:szCs w:val="24"/>
        </w:rPr>
        <w:t xml:space="preserve"> and sports. This was also expected since their pain begins to improve rapidly with antibiotics</w:t>
      </w:r>
      <w:r w:rsidR="00AC6FA0" w:rsidRPr="003C2011">
        <w:rPr>
          <w:rFonts w:ascii="Times New Roman" w:hAnsi="Times New Roman" w:cs="Times New Roman"/>
          <w:sz w:val="24"/>
          <w:szCs w:val="24"/>
        </w:rPr>
        <w:t>,</w:t>
      </w:r>
      <w:r w:rsidR="00372790" w:rsidRPr="003C2011">
        <w:rPr>
          <w:rFonts w:ascii="Times New Roman" w:hAnsi="Times New Roman" w:cs="Times New Roman"/>
          <w:sz w:val="24"/>
          <w:szCs w:val="24"/>
        </w:rPr>
        <w:t xml:space="preserve"> and they have no somatic injury from which to recover. Effectively by the second day, it is akin to comparing patients who’ve had an umbilical repair (app</w:t>
      </w:r>
      <w:r w:rsidR="00B5493E" w:rsidRPr="003C2011">
        <w:rPr>
          <w:rFonts w:ascii="Times New Roman" w:hAnsi="Times New Roman" w:cs="Times New Roman"/>
          <w:sz w:val="24"/>
          <w:szCs w:val="24"/>
        </w:rPr>
        <w:t>endectom</w:t>
      </w:r>
      <w:r w:rsidR="00372790" w:rsidRPr="003C2011">
        <w:rPr>
          <w:rFonts w:ascii="Times New Roman" w:hAnsi="Times New Roman" w:cs="Times New Roman"/>
          <w:sz w:val="24"/>
          <w:szCs w:val="24"/>
        </w:rPr>
        <w:t>y</w:t>
      </w:r>
      <w:r w:rsidR="00DF56F5" w:rsidRPr="003C2011">
        <w:rPr>
          <w:rFonts w:ascii="Times New Roman" w:hAnsi="Times New Roman" w:cs="Times New Roman"/>
          <w:sz w:val="24"/>
          <w:szCs w:val="24"/>
        </w:rPr>
        <w:t xml:space="preserve"> </w:t>
      </w:r>
      <w:r w:rsidR="005C1C85" w:rsidRPr="003C2011">
        <w:rPr>
          <w:rFonts w:ascii="Times New Roman" w:hAnsi="Times New Roman" w:cs="Times New Roman"/>
          <w:sz w:val="24"/>
          <w:szCs w:val="24"/>
        </w:rPr>
        <w:t>group</w:t>
      </w:r>
      <w:r w:rsidR="00372790" w:rsidRPr="003C2011">
        <w:rPr>
          <w:rFonts w:ascii="Times New Roman" w:hAnsi="Times New Roman" w:cs="Times New Roman"/>
          <w:sz w:val="24"/>
          <w:szCs w:val="24"/>
        </w:rPr>
        <w:t>) to those who are recovering from a minor gastrointestinal illness</w:t>
      </w:r>
      <w:r w:rsidR="00BE5BB7" w:rsidRPr="003C2011">
        <w:rPr>
          <w:rFonts w:ascii="Times New Roman" w:hAnsi="Times New Roman" w:cs="Times New Roman"/>
          <w:sz w:val="24"/>
          <w:szCs w:val="24"/>
        </w:rPr>
        <w:t xml:space="preserve"> (antibiotic</w:t>
      </w:r>
      <w:r w:rsidR="00DF56F5" w:rsidRPr="003C2011">
        <w:rPr>
          <w:rFonts w:ascii="Times New Roman" w:hAnsi="Times New Roman" w:cs="Times New Roman"/>
          <w:sz w:val="24"/>
          <w:szCs w:val="24"/>
        </w:rPr>
        <w:t xml:space="preserve"> </w:t>
      </w:r>
      <w:r w:rsidR="005C1C85" w:rsidRPr="003C2011">
        <w:rPr>
          <w:rFonts w:ascii="Times New Roman" w:hAnsi="Times New Roman" w:cs="Times New Roman"/>
          <w:sz w:val="24"/>
          <w:szCs w:val="24"/>
        </w:rPr>
        <w:t>group</w:t>
      </w:r>
      <w:r w:rsidR="00DF56F5" w:rsidRPr="003C2011">
        <w:rPr>
          <w:rFonts w:ascii="Times New Roman" w:hAnsi="Times New Roman" w:cs="Times New Roman"/>
          <w:sz w:val="24"/>
          <w:szCs w:val="24"/>
        </w:rPr>
        <w:t>)</w:t>
      </w:r>
      <w:r w:rsidR="00372790" w:rsidRPr="003C2011">
        <w:rPr>
          <w:rFonts w:ascii="Times New Roman" w:hAnsi="Times New Roman" w:cs="Times New Roman"/>
          <w:sz w:val="24"/>
          <w:szCs w:val="24"/>
        </w:rPr>
        <w:t xml:space="preserve"> </w:t>
      </w:r>
      <w:r w:rsidR="00F60F7F" w:rsidRPr="003C2011">
        <w:rPr>
          <w:rFonts w:ascii="Times New Roman" w:hAnsi="Times New Roman" w:cs="Times New Roman"/>
          <w:sz w:val="24"/>
          <w:szCs w:val="24"/>
        </w:rPr>
        <w:t xml:space="preserve">two </w:t>
      </w:r>
      <w:r w:rsidR="00372790" w:rsidRPr="003C2011">
        <w:rPr>
          <w:rFonts w:ascii="Times New Roman" w:hAnsi="Times New Roman" w:cs="Times New Roman"/>
          <w:sz w:val="24"/>
          <w:szCs w:val="24"/>
        </w:rPr>
        <w:t xml:space="preserve">days prior. </w:t>
      </w:r>
      <w:r w:rsidR="00804D2D" w:rsidRPr="003C2011">
        <w:rPr>
          <w:rFonts w:ascii="Times New Roman" w:hAnsi="Times New Roman" w:cs="Times New Roman"/>
          <w:sz w:val="24"/>
          <w:szCs w:val="24"/>
        </w:rPr>
        <w:t>This more rapid return to normalcy with antibiotic treatment has</w:t>
      </w:r>
      <w:r w:rsidR="00DF56F5" w:rsidRPr="003C2011">
        <w:rPr>
          <w:rFonts w:ascii="Times New Roman" w:hAnsi="Times New Roman" w:cs="Times New Roman"/>
          <w:sz w:val="24"/>
          <w:szCs w:val="24"/>
        </w:rPr>
        <w:t xml:space="preserve"> also</w:t>
      </w:r>
      <w:r w:rsidR="00804D2D" w:rsidRPr="003C2011">
        <w:rPr>
          <w:rFonts w:ascii="Times New Roman" w:hAnsi="Times New Roman" w:cs="Times New Roman"/>
          <w:sz w:val="24"/>
          <w:szCs w:val="24"/>
        </w:rPr>
        <w:t xml:space="preserve"> been documented in all comparative studies with this focus (</w:t>
      </w:r>
      <w:r w:rsidR="00C47D43" w:rsidRPr="003C2011">
        <w:rPr>
          <w:rFonts w:ascii="Times New Roman" w:hAnsi="Times New Roman" w:cs="Times New Roman"/>
          <w:sz w:val="24"/>
          <w:szCs w:val="24"/>
        </w:rPr>
        <w:t>5-</w:t>
      </w:r>
      <w:r w:rsidR="00804D2D" w:rsidRPr="003C2011">
        <w:rPr>
          <w:rFonts w:ascii="Times New Roman" w:hAnsi="Times New Roman" w:cs="Times New Roman"/>
          <w:sz w:val="24"/>
          <w:szCs w:val="24"/>
        </w:rPr>
        <w:t>9</w:t>
      </w:r>
      <w:r w:rsidR="00C47D43" w:rsidRPr="003C2011">
        <w:rPr>
          <w:rFonts w:ascii="Times New Roman" w:hAnsi="Times New Roman" w:cs="Times New Roman"/>
          <w:sz w:val="24"/>
          <w:szCs w:val="24"/>
        </w:rPr>
        <w:t>)</w:t>
      </w:r>
      <w:r w:rsidR="00AC6FA0" w:rsidRPr="003C2011">
        <w:rPr>
          <w:rFonts w:ascii="Times New Roman" w:hAnsi="Times New Roman" w:cs="Times New Roman"/>
          <w:sz w:val="24"/>
          <w:szCs w:val="24"/>
        </w:rPr>
        <w:t>.</w:t>
      </w:r>
      <w:r w:rsidR="00EF66EC" w:rsidRPr="003C2011">
        <w:rPr>
          <w:rFonts w:ascii="Times New Roman" w:hAnsi="Times New Roman" w:cs="Times New Roman"/>
          <w:sz w:val="24"/>
          <w:szCs w:val="24"/>
        </w:rPr>
        <w:t xml:space="preserve"> It </w:t>
      </w:r>
      <w:r w:rsidR="0016777F" w:rsidRPr="003C2011">
        <w:rPr>
          <w:rFonts w:ascii="Times New Roman" w:hAnsi="Times New Roman" w:cs="Times New Roman"/>
          <w:sz w:val="24"/>
          <w:szCs w:val="24"/>
        </w:rPr>
        <w:t xml:space="preserve">is </w:t>
      </w:r>
      <w:r w:rsidR="00EF66EC" w:rsidRPr="003C2011">
        <w:rPr>
          <w:rFonts w:ascii="Times New Roman" w:hAnsi="Times New Roman" w:cs="Times New Roman"/>
          <w:sz w:val="24"/>
          <w:szCs w:val="24"/>
        </w:rPr>
        <w:t xml:space="preserve">also noteworthy, that the need for appendectomy in </w:t>
      </w:r>
      <w:r w:rsidR="00EA6665" w:rsidRPr="003C2011">
        <w:rPr>
          <w:rFonts w:ascii="Times New Roman" w:hAnsi="Times New Roman" w:cs="Times New Roman"/>
          <w:sz w:val="24"/>
          <w:szCs w:val="24"/>
        </w:rPr>
        <w:t xml:space="preserve">the </w:t>
      </w:r>
      <w:r w:rsidR="00EF66EC" w:rsidRPr="003C2011">
        <w:rPr>
          <w:rFonts w:ascii="Times New Roman" w:hAnsi="Times New Roman" w:cs="Times New Roman"/>
          <w:sz w:val="24"/>
          <w:szCs w:val="24"/>
        </w:rPr>
        <w:t>antibiotics arm occurred early with the majority of failures occurring within the first 100 days (Figure 2). This is also similar to the CODA trial</w:t>
      </w:r>
      <w:r w:rsidR="008F1F16" w:rsidRPr="003C2011">
        <w:rPr>
          <w:rFonts w:ascii="Times New Roman" w:hAnsi="Times New Roman" w:cs="Times New Roman"/>
          <w:sz w:val="24"/>
          <w:szCs w:val="24"/>
        </w:rPr>
        <w:t xml:space="preserve"> (10)</w:t>
      </w:r>
      <w:r w:rsidR="00EF66EC" w:rsidRPr="003C2011">
        <w:rPr>
          <w:rFonts w:ascii="Times New Roman" w:hAnsi="Times New Roman" w:cs="Times New Roman"/>
          <w:sz w:val="24"/>
          <w:szCs w:val="24"/>
        </w:rPr>
        <w:t xml:space="preserve">. </w:t>
      </w:r>
    </w:p>
    <w:p w14:paraId="1811E8B5" w14:textId="1E3AF539" w:rsidR="00611F07" w:rsidRPr="003C2011" w:rsidRDefault="00DE7D8C" w:rsidP="00CD4646">
      <w:pPr>
        <w:tabs>
          <w:tab w:val="left" w:pos="720"/>
          <w:tab w:val="left" w:pos="1440"/>
          <w:tab w:val="left" w:pos="2160"/>
          <w:tab w:val="left" w:pos="2880"/>
          <w:tab w:val="left" w:pos="3600"/>
          <w:tab w:val="left" w:pos="4320"/>
        </w:tabs>
        <w:spacing w:after="240" w:line="480" w:lineRule="auto"/>
        <w:rPr>
          <w:rFonts w:ascii="Times New Roman" w:hAnsi="Times New Roman" w:cs="Times New Roman"/>
          <w:sz w:val="24"/>
          <w:szCs w:val="24"/>
        </w:rPr>
      </w:pPr>
      <w:r w:rsidRPr="003C2011">
        <w:rPr>
          <w:rFonts w:ascii="Times New Roman" w:hAnsi="Times New Roman" w:cs="Times New Roman"/>
          <w:sz w:val="24"/>
          <w:szCs w:val="24"/>
        </w:rPr>
        <w:t>In the CODA trial, adult patients expressed greater regret and dissatisfaction when allocated to the antibiotic arm (</w:t>
      </w:r>
      <w:r w:rsidR="6C9425B2" w:rsidRPr="003C2011">
        <w:rPr>
          <w:rFonts w:ascii="Times New Roman" w:hAnsi="Times New Roman" w:cs="Times New Roman"/>
          <w:sz w:val="24"/>
          <w:szCs w:val="24"/>
        </w:rPr>
        <w:t>29</w:t>
      </w:r>
      <w:r w:rsidRPr="003C2011">
        <w:rPr>
          <w:rFonts w:ascii="Times New Roman" w:hAnsi="Times New Roman" w:cs="Times New Roman"/>
          <w:sz w:val="24"/>
          <w:szCs w:val="24"/>
        </w:rPr>
        <w:t>)</w:t>
      </w:r>
      <w:r w:rsidR="00AC6FA0" w:rsidRPr="003C2011">
        <w:rPr>
          <w:rFonts w:ascii="Times New Roman" w:hAnsi="Times New Roman" w:cs="Times New Roman"/>
          <w:sz w:val="24"/>
          <w:szCs w:val="24"/>
        </w:rPr>
        <w:t>.</w:t>
      </w:r>
      <w:r w:rsidRPr="003C2011">
        <w:rPr>
          <w:rFonts w:ascii="Times New Roman" w:hAnsi="Times New Roman" w:cs="Times New Roman"/>
          <w:sz w:val="24"/>
          <w:szCs w:val="24"/>
        </w:rPr>
        <w:t xml:space="preserve"> This seems intuitive</w:t>
      </w:r>
      <w:r w:rsidR="00372790" w:rsidRPr="003C2011">
        <w:rPr>
          <w:rFonts w:ascii="Times New Roman" w:hAnsi="Times New Roman" w:cs="Times New Roman"/>
          <w:sz w:val="24"/>
          <w:szCs w:val="24"/>
        </w:rPr>
        <w:t xml:space="preserve"> with </w:t>
      </w:r>
      <w:r w:rsidRPr="003C2011">
        <w:rPr>
          <w:rFonts w:ascii="Times New Roman" w:hAnsi="Times New Roman" w:cs="Times New Roman"/>
          <w:sz w:val="24"/>
          <w:szCs w:val="24"/>
        </w:rPr>
        <w:t xml:space="preserve">the </w:t>
      </w:r>
      <w:r w:rsidR="00372790" w:rsidRPr="003C2011">
        <w:rPr>
          <w:rFonts w:ascii="Times New Roman" w:hAnsi="Times New Roman" w:cs="Times New Roman"/>
          <w:sz w:val="24"/>
          <w:szCs w:val="24"/>
        </w:rPr>
        <w:t xml:space="preserve">potential stress of recurrence as opposed to the appendectomy </w:t>
      </w:r>
      <w:r w:rsidRPr="003C2011">
        <w:rPr>
          <w:rFonts w:ascii="Times New Roman" w:hAnsi="Times New Roman" w:cs="Times New Roman"/>
          <w:sz w:val="24"/>
          <w:szCs w:val="24"/>
        </w:rPr>
        <w:t xml:space="preserve">group. However, in </w:t>
      </w:r>
      <w:r w:rsidR="00C47D43" w:rsidRPr="003C2011">
        <w:rPr>
          <w:rFonts w:ascii="Times New Roman" w:hAnsi="Times New Roman" w:cs="Times New Roman"/>
          <w:sz w:val="24"/>
          <w:szCs w:val="24"/>
        </w:rPr>
        <w:t>our</w:t>
      </w:r>
      <w:r w:rsidRPr="003C2011">
        <w:rPr>
          <w:rFonts w:ascii="Times New Roman" w:hAnsi="Times New Roman" w:cs="Times New Roman"/>
          <w:sz w:val="24"/>
          <w:szCs w:val="24"/>
        </w:rPr>
        <w:t xml:space="preserve"> study</w:t>
      </w:r>
      <w:r w:rsidR="00C47D43" w:rsidRPr="003C2011">
        <w:rPr>
          <w:rFonts w:ascii="Times New Roman" w:hAnsi="Times New Roman" w:cs="Times New Roman"/>
          <w:sz w:val="24"/>
          <w:szCs w:val="24"/>
        </w:rPr>
        <w:t>,</w:t>
      </w:r>
      <w:r w:rsidR="00372790" w:rsidRPr="003C2011">
        <w:rPr>
          <w:rFonts w:ascii="Times New Roman" w:hAnsi="Times New Roman" w:cs="Times New Roman"/>
          <w:sz w:val="24"/>
          <w:szCs w:val="24"/>
        </w:rPr>
        <w:t xml:space="preserve"> the</w:t>
      </w:r>
      <w:r w:rsidRPr="003C2011">
        <w:rPr>
          <w:rFonts w:ascii="Times New Roman" w:hAnsi="Times New Roman" w:cs="Times New Roman"/>
          <w:sz w:val="24"/>
          <w:szCs w:val="24"/>
        </w:rPr>
        <w:t xml:space="preserve"> one-year </w:t>
      </w:r>
      <w:r w:rsidR="00372790" w:rsidRPr="003C2011">
        <w:rPr>
          <w:rFonts w:ascii="Times New Roman" w:hAnsi="Times New Roman" w:cs="Times New Roman"/>
          <w:sz w:val="24"/>
          <w:szCs w:val="24"/>
        </w:rPr>
        <w:t xml:space="preserve">satisfaction with </w:t>
      </w:r>
      <w:r w:rsidRPr="003C2011">
        <w:rPr>
          <w:rFonts w:ascii="Times New Roman" w:hAnsi="Times New Roman" w:cs="Times New Roman"/>
          <w:sz w:val="24"/>
          <w:szCs w:val="24"/>
        </w:rPr>
        <w:t>a</w:t>
      </w:r>
      <w:r w:rsidR="00372790" w:rsidRPr="003C2011">
        <w:rPr>
          <w:rFonts w:ascii="Times New Roman" w:hAnsi="Times New Roman" w:cs="Times New Roman"/>
          <w:sz w:val="24"/>
          <w:szCs w:val="24"/>
        </w:rPr>
        <w:t xml:space="preserve">llotment was the </w:t>
      </w:r>
      <w:r w:rsidR="00372790" w:rsidRPr="003C2011">
        <w:rPr>
          <w:rFonts w:ascii="Times New Roman" w:hAnsi="Times New Roman" w:cs="Times New Roman"/>
          <w:sz w:val="24"/>
          <w:szCs w:val="24"/>
        </w:rPr>
        <w:lastRenderedPageBreak/>
        <w:t xml:space="preserve">same </w:t>
      </w:r>
      <w:r w:rsidRPr="003C2011">
        <w:rPr>
          <w:rFonts w:ascii="Times New Roman" w:hAnsi="Times New Roman" w:cs="Times New Roman"/>
          <w:sz w:val="24"/>
          <w:szCs w:val="24"/>
        </w:rPr>
        <w:t>between groups</w:t>
      </w:r>
      <w:r w:rsidR="00372790" w:rsidRPr="003C2011">
        <w:rPr>
          <w:rFonts w:ascii="Times New Roman" w:hAnsi="Times New Roman" w:cs="Times New Roman"/>
          <w:sz w:val="24"/>
          <w:szCs w:val="24"/>
        </w:rPr>
        <w:t>. The most rational explanation elevating the satisfaction</w:t>
      </w:r>
      <w:r w:rsidR="00C47D43" w:rsidRPr="003C2011">
        <w:rPr>
          <w:rFonts w:ascii="Times New Roman" w:hAnsi="Times New Roman" w:cs="Times New Roman"/>
          <w:sz w:val="24"/>
          <w:szCs w:val="24"/>
        </w:rPr>
        <w:t xml:space="preserve"> with antibiotics</w:t>
      </w:r>
      <w:r w:rsidR="00372790" w:rsidRPr="003C2011">
        <w:rPr>
          <w:rFonts w:ascii="Times New Roman" w:hAnsi="Times New Roman" w:cs="Times New Roman"/>
          <w:sz w:val="24"/>
          <w:szCs w:val="24"/>
        </w:rPr>
        <w:t xml:space="preserve"> and decreasing the satisfaction </w:t>
      </w:r>
      <w:r w:rsidR="00C47D43" w:rsidRPr="003C2011">
        <w:rPr>
          <w:rFonts w:ascii="Times New Roman" w:hAnsi="Times New Roman" w:cs="Times New Roman"/>
          <w:sz w:val="24"/>
          <w:szCs w:val="24"/>
        </w:rPr>
        <w:t>with</w:t>
      </w:r>
      <w:r w:rsidR="00372790" w:rsidRPr="003C2011">
        <w:rPr>
          <w:rFonts w:ascii="Times New Roman" w:hAnsi="Times New Roman" w:cs="Times New Roman"/>
          <w:sz w:val="24"/>
          <w:szCs w:val="24"/>
        </w:rPr>
        <w:t xml:space="preserve"> appendectomy might lie in the fact that most people who consented to the study did so in hopes of avoiding the operation. Since our default was to perform appendectomy in those not participating in the trial, the study was the </w:t>
      </w:r>
      <w:r w:rsidR="006B76AE" w:rsidRPr="003C2011">
        <w:rPr>
          <w:rFonts w:ascii="Times New Roman" w:hAnsi="Times New Roman" w:cs="Times New Roman"/>
          <w:sz w:val="24"/>
          <w:szCs w:val="24"/>
        </w:rPr>
        <w:t xml:space="preserve">only </w:t>
      </w:r>
      <w:r w:rsidR="00372790" w:rsidRPr="003C2011">
        <w:rPr>
          <w:rFonts w:ascii="Times New Roman" w:hAnsi="Times New Roman" w:cs="Times New Roman"/>
          <w:sz w:val="24"/>
          <w:szCs w:val="24"/>
        </w:rPr>
        <w:t xml:space="preserve">opportunity for antibiotics alone. </w:t>
      </w:r>
    </w:p>
    <w:p w14:paraId="45429847" w14:textId="08F8C44A" w:rsidR="004D52D1" w:rsidRPr="003C2011" w:rsidRDefault="004D52D1" w:rsidP="00CD4646">
      <w:pPr>
        <w:tabs>
          <w:tab w:val="left" w:pos="720"/>
          <w:tab w:val="left" w:pos="1440"/>
          <w:tab w:val="left" w:pos="2160"/>
          <w:tab w:val="left" w:pos="2880"/>
          <w:tab w:val="left" w:pos="3600"/>
          <w:tab w:val="left" w:pos="4320"/>
        </w:tabs>
        <w:spacing w:after="240" w:line="480" w:lineRule="auto"/>
        <w:rPr>
          <w:rFonts w:ascii="Times New Roman" w:hAnsi="Times New Roman" w:cs="Times New Roman"/>
          <w:sz w:val="24"/>
          <w:szCs w:val="24"/>
        </w:rPr>
      </w:pPr>
      <w:r w:rsidRPr="003C2011">
        <w:rPr>
          <w:rFonts w:ascii="Times New Roman" w:hAnsi="Times New Roman" w:cs="Times New Roman"/>
          <w:sz w:val="24"/>
          <w:szCs w:val="24"/>
        </w:rPr>
        <w:t>Limitations include our inability to precisely track the declined consents and reasons</w:t>
      </w:r>
      <w:r w:rsidR="00B50F64" w:rsidRPr="003C2011">
        <w:rPr>
          <w:rFonts w:ascii="Times New Roman" w:hAnsi="Times New Roman" w:cs="Times New Roman"/>
          <w:sz w:val="24"/>
          <w:szCs w:val="24"/>
        </w:rPr>
        <w:t xml:space="preserve"> for refusal. Although </w:t>
      </w:r>
      <w:r w:rsidR="00506E7C" w:rsidRPr="003C2011">
        <w:rPr>
          <w:rFonts w:ascii="Times New Roman" w:hAnsi="Times New Roman" w:cs="Times New Roman"/>
          <w:sz w:val="24"/>
          <w:szCs w:val="24"/>
        </w:rPr>
        <w:t>we</w:t>
      </w:r>
      <w:r w:rsidR="00B50F64" w:rsidRPr="003C2011">
        <w:rPr>
          <w:rFonts w:ascii="Times New Roman" w:hAnsi="Times New Roman" w:cs="Times New Roman"/>
          <w:sz w:val="24"/>
          <w:szCs w:val="24"/>
        </w:rPr>
        <w:t xml:space="preserve"> initially </w:t>
      </w:r>
      <w:r w:rsidR="00506E7C" w:rsidRPr="003C2011">
        <w:rPr>
          <w:rFonts w:ascii="Times New Roman" w:hAnsi="Times New Roman" w:cs="Times New Roman"/>
          <w:sz w:val="24"/>
          <w:szCs w:val="24"/>
        </w:rPr>
        <w:t xml:space="preserve">intended </w:t>
      </w:r>
      <w:r w:rsidR="00B50F64" w:rsidRPr="003C2011">
        <w:rPr>
          <w:rFonts w:ascii="Times New Roman" w:hAnsi="Times New Roman" w:cs="Times New Roman"/>
          <w:sz w:val="24"/>
          <w:szCs w:val="24"/>
        </w:rPr>
        <w:t>to do so, with the ultimate lack of funding</w:t>
      </w:r>
      <w:r w:rsidR="00222136" w:rsidRPr="003C2011">
        <w:rPr>
          <w:rFonts w:ascii="Times New Roman" w:hAnsi="Times New Roman" w:cs="Times New Roman"/>
          <w:sz w:val="24"/>
          <w:szCs w:val="24"/>
        </w:rPr>
        <w:t>,</w:t>
      </w:r>
      <w:r w:rsidR="00B50F64" w:rsidRPr="003C2011">
        <w:rPr>
          <w:rFonts w:ascii="Times New Roman" w:hAnsi="Times New Roman" w:cs="Times New Roman"/>
          <w:sz w:val="24"/>
          <w:szCs w:val="24"/>
        </w:rPr>
        <w:t xml:space="preserve"> the consenting process fell on the resident teams across all sites</w:t>
      </w:r>
      <w:r w:rsidR="00D761F4" w:rsidRPr="003C2011">
        <w:rPr>
          <w:rFonts w:ascii="Times New Roman" w:hAnsi="Times New Roman" w:cs="Times New Roman"/>
          <w:sz w:val="24"/>
          <w:szCs w:val="24"/>
        </w:rPr>
        <w:t xml:space="preserve"> and reasons for non-enrollment became impossible to capture at scale</w:t>
      </w:r>
      <w:r w:rsidR="00B50F64" w:rsidRPr="003C2011">
        <w:rPr>
          <w:rFonts w:ascii="Times New Roman" w:hAnsi="Times New Roman" w:cs="Times New Roman"/>
          <w:sz w:val="24"/>
          <w:szCs w:val="24"/>
        </w:rPr>
        <w:t>.</w:t>
      </w:r>
      <w:r w:rsidR="00114EBF" w:rsidRPr="003C2011">
        <w:rPr>
          <w:rFonts w:ascii="Times New Roman" w:hAnsi="Times New Roman" w:cs="Times New Roman"/>
          <w:sz w:val="24"/>
          <w:szCs w:val="24"/>
        </w:rPr>
        <w:t xml:space="preserve"> </w:t>
      </w:r>
      <w:r w:rsidR="00B50F64" w:rsidRPr="003C2011">
        <w:rPr>
          <w:rFonts w:ascii="Times New Roman" w:hAnsi="Times New Roman" w:cs="Times New Roman"/>
          <w:sz w:val="24"/>
          <w:szCs w:val="24"/>
        </w:rPr>
        <w:t xml:space="preserve">There were other datapoints that were also unfeasible to track </w:t>
      </w:r>
      <w:r w:rsidR="00971547" w:rsidRPr="003C2011">
        <w:rPr>
          <w:rFonts w:ascii="Times New Roman" w:hAnsi="Times New Roman" w:cs="Times New Roman"/>
          <w:sz w:val="24"/>
          <w:szCs w:val="24"/>
        </w:rPr>
        <w:t>such as</w:t>
      </w:r>
      <w:r w:rsidR="00B50F64" w:rsidRPr="003C2011">
        <w:rPr>
          <w:rFonts w:ascii="Times New Roman" w:hAnsi="Times New Roman" w:cs="Times New Roman"/>
          <w:sz w:val="24"/>
          <w:szCs w:val="24"/>
        </w:rPr>
        <w:t xml:space="preserve"> total healthcare visits and subsequent tests. </w:t>
      </w:r>
      <w:r w:rsidR="007436B7" w:rsidRPr="003C2011">
        <w:rPr>
          <w:rFonts w:ascii="Times New Roman" w:hAnsi="Times New Roman" w:cs="Times New Roman"/>
          <w:sz w:val="24"/>
          <w:szCs w:val="24"/>
        </w:rPr>
        <w:t xml:space="preserve">Another limitation </w:t>
      </w:r>
      <w:r w:rsidR="007D3843" w:rsidRPr="003C2011">
        <w:rPr>
          <w:rFonts w:ascii="Times New Roman" w:hAnsi="Times New Roman" w:cs="Times New Roman"/>
          <w:sz w:val="24"/>
          <w:szCs w:val="24"/>
        </w:rPr>
        <w:t xml:space="preserve">is our 10% missing data with </w:t>
      </w:r>
      <w:r w:rsidR="003E2C10" w:rsidRPr="003C2011">
        <w:rPr>
          <w:rFonts w:ascii="Times New Roman" w:hAnsi="Times New Roman" w:cs="Times New Roman"/>
          <w:sz w:val="24"/>
          <w:szCs w:val="24"/>
        </w:rPr>
        <w:t xml:space="preserve">higher proportion of missing data in the </w:t>
      </w:r>
      <w:r w:rsidR="007436B7" w:rsidRPr="003C2011">
        <w:rPr>
          <w:rFonts w:ascii="Times New Roman" w:hAnsi="Times New Roman" w:cs="Times New Roman"/>
          <w:sz w:val="24"/>
          <w:szCs w:val="24"/>
        </w:rPr>
        <w:t xml:space="preserve">appendectomy arm. </w:t>
      </w:r>
      <w:r w:rsidR="003E2C10" w:rsidRPr="003C2011">
        <w:rPr>
          <w:rFonts w:ascii="Times New Roman" w:hAnsi="Times New Roman" w:cs="Times New Roman"/>
          <w:sz w:val="24"/>
          <w:szCs w:val="24"/>
        </w:rPr>
        <w:t>I</w:t>
      </w:r>
      <w:r w:rsidR="007436B7" w:rsidRPr="003C2011">
        <w:rPr>
          <w:rFonts w:ascii="Times New Roman" w:hAnsi="Times New Roman" w:cs="Times New Roman"/>
          <w:sz w:val="24"/>
          <w:szCs w:val="24"/>
        </w:rPr>
        <w:t xml:space="preserve">n the final analysis we only included </w:t>
      </w:r>
      <w:r w:rsidR="003E2C10" w:rsidRPr="003C2011">
        <w:rPr>
          <w:rFonts w:ascii="Times New Roman" w:hAnsi="Times New Roman" w:cs="Times New Roman"/>
          <w:sz w:val="24"/>
          <w:szCs w:val="24"/>
        </w:rPr>
        <w:t xml:space="preserve">patients </w:t>
      </w:r>
      <w:r w:rsidR="007436B7" w:rsidRPr="003C2011">
        <w:rPr>
          <w:rFonts w:ascii="Times New Roman" w:hAnsi="Times New Roman" w:cs="Times New Roman"/>
          <w:sz w:val="24"/>
          <w:szCs w:val="24"/>
        </w:rPr>
        <w:t xml:space="preserve">who we </w:t>
      </w:r>
      <w:r w:rsidR="00AD6220" w:rsidRPr="003C2011">
        <w:rPr>
          <w:rFonts w:ascii="Times New Roman" w:hAnsi="Times New Roman" w:cs="Times New Roman"/>
          <w:sz w:val="24"/>
          <w:szCs w:val="24"/>
        </w:rPr>
        <w:t xml:space="preserve">had been able to </w:t>
      </w:r>
      <w:r w:rsidR="00AD58EB" w:rsidRPr="003C2011">
        <w:rPr>
          <w:rFonts w:ascii="Times New Roman" w:hAnsi="Times New Roman" w:cs="Times New Roman"/>
          <w:sz w:val="24"/>
          <w:szCs w:val="24"/>
        </w:rPr>
        <w:t>contact</w:t>
      </w:r>
      <w:r w:rsidR="007436B7" w:rsidRPr="003C2011">
        <w:rPr>
          <w:rFonts w:ascii="Times New Roman" w:hAnsi="Times New Roman" w:cs="Times New Roman"/>
          <w:sz w:val="24"/>
          <w:szCs w:val="24"/>
        </w:rPr>
        <w:t xml:space="preserve"> at </w:t>
      </w:r>
      <w:r w:rsidR="002575D5" w:rsidRPr="003C2011">
        <w:rPr>
          <w:rFonts w:ascii="Times New Roman" w:hAnsi="Times New Roman" w:cs="Times New Roman"/>
          <w:sz w:val="24"/>
          <w:szCs w:val="24"/>
        </w:rPr>
        <w:t>12-month</w:t>
      </w:r>
      <w:r w:rsidR="002A3B91" w:rsidRPr="003C2011">
        <w:rPr>
          <w:rFonts w:ascii="Times New Roman" w:hAnsi="Times New Roman" w:cs="Times New Roman"/>
          <w:sz w:val="24"/>
          <w:szCs w:val="24"/>
        </w:rPr>
        <w:t>s</w:t>
      </w:r>
      <w:r w:rsidR="007436B7" w:rsidRPr="003C2011">
        <w:rPr>
          <w:rFonts w:ascii="Times New Roman" w:hAnsi="Times New Roman" w:cs="Times New Roman"/>
          <w:sz w:val="24"/>
          <w:szCs w:val="24"/>
        </w:rPr>
        <w:t xml:space="preserve"> to confirm the</w:t>
      </w:r>
      <w:r w:rsidR="00AD6220" w:rsidRPr="003C2011">
        <w:rPr>
          <w:rFonts w:ascii="Times New Roman" w:hAnsi="Times New Roman" w:cs="Times New Roman"/>
          <w:sz w:val="24"/>
          <w:szCs w:val="24"/>
        </w:rPr>
        <w:t>ir failure status</w:t>
      </w:r>
      <w:r w:rsidR="00026D05" w:rsidRPr="003C2011">
        <w:rPr>
          <w:rFonts w:ascii="Times New Roman" w:hAnsi="Times New Roman" w:cs="Times New Roman"/>
          <w:sz w:val="24"/>
          <w:szCs w:val="24"/>
        </w:rPr>
        <w:t xml:space="preserve">, specifically that they </w:t>
      </w:r>
      <w:r w:rsidR="007436B7" w:rsidRPr="003C2011">
        <w:rPr>
          <w:rFonts w:ascii="Times New Roman" w:hAnsi="Times New Roman" w:cs="Times New Roman"/>
          <w:sz w:val="24"/>
          <w:szCs w:val="24"/>
        </w:rPr>
        <w:t>hadn’t had a complication</w:t>
      </w:r>
      <w:r w:rsidR="00985897" w:rsidRPr="003C2011">
        <w:rPr>
          <w:rFonts w:ascii="Times New Roman" w:hAnsi="Times New Roman" w:cs="Times New Roman"/>
          <w:sz w:val="24"/>
          <w:szCs w:val="24"/>
        </w:rPr>
        <w:t xml:space="preserve"> related to appendicitis </w:t>
      </w:r>
      <w:r w:rsidR="00026D05" w:rsidRPr="003C2011">
        <w:rPr>
          <w:rFonts w:ascii="Times New Roman" w:hAnsi="Times New Roman" w:cs="Times New Roman"/>
          <w:sz w:val="24"/>
          <w:szCs w:val="24"/>
        </w:rPr>
        <w:t xml:space="preserve">treated at a different institution. </w:t>
      </w:r>
      <w:r w:rsidR="00345D3A" w:rsidRPr="003C2011">
        <w:rPr>
          <w:rFonts w:ascii="Times New Roman" w:hAnsi="Times New Roman" w:cs="Times New Roman"/>
          <w:sz w:val="24"/>
          <w:szCs w:val="24"/>
        </w:rPr>
        <w:t>F</w:t>
      </w:r>
      <w:r w:rsidR="00985897" w:rsidRPr="003C2011">
        <w:rPr>
          <w:rFonts w:ascii="Times New Roman" w:hAnsi="Times New Roman" w:cs="Times New Roman"/>
          <w:sz w:val="24"/>
          <w:szCs w:val="24"/>
        </w:rPr>
        <w:t>or most centers, it would be unlikely that patients would have had complications present elsewhere as most are the dominant pediatric center in the region.</w:t>
      </w:r>
      <w:r w:rsidR="00795B4E" w:rsidRPr="003C2011">
        <w:rPr>
          <w:rFonts w:ascii="Times New Roman" w:hAnsi="Times New Roman" w:cs="Times New Roman"/>
          <w:sz w:val="24"/>
          <w:szCs w:val="24"/>
        </w:rPr>
        <w:t xml:space="preserve"> It is noteworthy</w:t>
      </w:r>
      <w:r w:rsidR="00C22BE4" w:rsidRPr="003C2011">
        <w:rPr>
          <w:rFonts w:ascii="Times New Roman" w:hAnsi="Times New Roman" w:cs="Times New Roman"/>
          <w:sz w:val="24"/>
          <w:szCs w:val="24"/>
        </w:rPr>
        <w:t xml:space="preserve"> that of </w:t>
      </w:r>
      <w:r w:rsidR="00795B4E" w:rsidRPr="003C2011">
        <w:rPr>
          <w:rFonts w:ascii="Times New Roman" w:hAnsi="Times New Roman" w:cs="Times New Roman"/>
          <w:sz w:val="24"/>
          <w:szCs w:val="24"/>
        </w:rPr>
        <w:t xml:space="preserve">all the </w:t>
      </w:r>
      <w:r w:rsidR="00AC6FA0" w:rsidRPr="003C2011">
        <w:rPr>
          <w:rFonts w:ascii="Times New Roman" w:hAnsi="Times New Roman" w:cs="Times New Roman"/>
          <w:sz w:val="24"/>
          <w:szCs w:val="24"/>
        </w:rPr>
        <w:t>families</w:t>
      </w:r>
      <w:r w:rsidR="00C22BE4" w:rsidRPr="003C2011">
        <w:rPr>
          <w:rFonts w:ascii="Times New Roman" w:hAnsi="Times New Roman" w:cs="Times New Roman"/>
          <w:sz w:val="24"/>
          <w:szCs w:val="24"/>
        </w:rPr>
        <w:t xml:space="preserve"> </w:t>
      </w:r>
      <w:r w:rsidR="00795B4E" w:rsidRPr="003C2011">
        <w:rPr>
          <w:rFonts w:ascii="Times New Roman" w:hAnsi="Times New Roman" w:cs="Times New Roman"/>
          <w:sz w:val="24"/>
          <w:szCs w:val="24"/>
        </w:rPr>
        <w:t>we</w:t>
      </w:r>
      <w:r w:rsidR="002B3498" w:rsidRPr="003C2011">
        <w:rPr>
          <w:rFonts w:ascii="Times New Roman" w:hAnsi="Times New Roman" w:cs="Times New Roman"/>
          <w:sz w:val="24"/>
          <w:szCs w:val="24"/>
        </w:rPr>
        <w:t xml:space="preserve"> contacted in both groups</w:t>
      </w:r>
      <w:r w:rsidR="008C654E" w:rsidRPr="003C2011">
        <w:rPr>
          <w:rFonts w:ascii="Times New Roman" w:hAnsi="Times New Roman" w:cs="Times New Roman"/>
          <w:sz w:val="24"/>
          <w:szCs w:val="24"/>
        </w:rPr>
        <w:t>, we</w:t>
      </w:r>
      <w:r w:rsidR="002B3498" w:rsidRPr="003C2011">
        <w:rPr>
          <w:rFonts w:ascii="Times New Roman" w:hAnsi="Times New Roman" w:cs="Times New Roman"/>
          <w:sz w:val="24"/>
          <w:szCs w:val="24"/>
        </w:rPr>
        <w:t xml:space="preserve"> did not uncover a single patient who had reached an endpoint at an outside hospital that we hadn’t already captured.</w:t>
      </w:r>
      <w:r w:rsidR="00985897" w:rsidRPr="003C2011">
        <w:rPr>
          <w:rFonts w:ascii="Times New Roman" w:hAnsi="Times New Roman" w:cs="Times New Roman"/>
          <w:sz w:val="24"/>
          <w:szCs w:val="24"/>
        </w:rPr>
        <w:t xml:space="preserve"> </w:t>
      </w:r>
      <w:r w:rsidR="00345D3A" w:rsidRPr="003C2011">
        <w:rPr>
          <w:rFonts w:ascii="Times New Roman" w:hAnsi="Times New Roman" w:cs="Times New Roman"/>
          <w:sz w:val="24"/>
          <w:szCs w:val="24"/>
        </w:rPr>
        <w:t xml:space="preserve">Our sensitivity analysis </w:t>
      </w:r>
      <w:r w:rsidR="00612AFE" w:rsidRPr="003C2011">
        <w:rPr>
          <w:rFonts w:ascii="Times New Roman" w:hAnsi="Times New Roman" w:cs="Times New Roman"/>
          <w:sz w:val="24"/>
          <w:szCs w:val="24"/>
        </w:rPr>
        <w:t xml:space="preserve">indicates that if we assume identical event rates in the </w:t>
      </w:r>
      <w:r w:rsidR="002A7213" w:rsidRPr="003C2011">
        <w:rPr>
          <w:rFonts w:ascii="Times New Roman" w:hAnsi="Times New Roman" w:cs="Times New Roman"/>
          <w:sz w:val="24"/>
          <w:szCs w:val="24"/>
        </w:rPr>
        <w:t xml:space="preserve">cases with missing data to those with complete data then the trial conclusion remains unchanged. </w:t>
      </w:r>
      <w:r w:rsidR="00ED7BC5" w:rsidRPr="003C2011">
        <w:rPr>
          <w:rFonts w:ascii="Times New Roman" w:hAnsi="Times New Roman" w:cs="Times New Roman"/>
          <w:sz w:val="24"/>
          <w:szCs w:val="24"/>
        </w:rPr>
        <w:t>Given that we did not capture ethnicity or include countries with greater resource constraints, the results do not give us insight into those populations.</w:t>
      </w:r>
    </w:p>
    <w:p w14:paraId="4AF84048" w14:textId="53D37158" w:rsidR="00372790" w:rsidRPr="003C2011" w:rsidRDefault="004F517C" w:rsidP="00CD4646">
      <w:pPr>
        <w:tabs>
          <w:tab w:val="left" w:pos="720"/>
          <w:tab w:val="left" w:pos="1440"/>
          <w:tab w:val="left" w:pos="2160"/>
          <w:tab w:val="left" w:pos="2880"/>
          <w:tab w:val="left" w:pos="3600"/>
          <w:tab w:val="left" w:pos="4320"/>
        </w:tabs>
        <w:spacing w:after="240" w:line="480" w:lineRule="auto"/>
        <w:rPr>
          <w:rFonts w:ascii="Times New Roman" w:hAnsi="Times New Roman" w:cs="Times New Roman"/>
          <w:b/>
          <w:bCs/>
          <w:sz w:val="24"/>
          <w:szCs w:val="24"/>
        </w:rPr>
      </w:pPr>
      <w:r w:rsidRPr="003C2011">
        <w:rPr>
          <w:rFonts w:ascii="Times New Roman" w:hAnsi="Times New Roman" w:cs="Times New Roman"/>
          <w:b/>
          <w:bCs/>
          <w:sz w:val="24"/>
          <w:szCs w:val="24"/>
        </w:rPr>
        <w:t>CONCLUSIONS</w:t>
      </w:r>
    </w:p>
    <w:p w14:paraId="1EA64CFE" w14:textId="226D97EF" w:rsidR="00372790" w:rsidRPr="003C2011" w:rsidRDefault="00387110" w:rsidP="00CD4646">
      <w:pPr>
        <w:tabs>
          <w:tab w:val="left" w:pos="720"/>
          <w:tab w:val="left" w:pos="1440"/>
          <w:tab w:val="left" w:pos="2160"/>
          <w:tab w:val="left" w:pos="2880"/>
          <w:tab w:val="left" w:pos="3600"/>
          <w:tab w:val="left" w:pos="4320"/>
        </w:tabs>
        <w:spacing w:after="240" w:line="480" w:lineRule="auto"/>
        <w:rPr>
          <w:rFonts w:ascii="Times New Roman" w:hAnsi="Times New Roman" w:cs="Times New Roman"/>
          <w:sz w:val="24"/>
          <w:szCs w:val="24"/>
        </w:rPr>
      </w:pPr>
      <w:r w:rsidRPr="003C2011">
        <w:rPr>
          <w:rFonts w:ascii="Times New Roman" w:hAnsi="Times New Roman" w:cs="Times New Roman"/>
          <w:sz w:val="24"/>
          <w:szCs w:val="24"/>
        </w:rPr>
        <w:lastRenderedPageBreak/>
        <w:t>In the context of a permitted 20% non-inferior</w:t>
      </w:r>
      <w:r w:rsidR="000A4C3C" w:rsidRPr="003C2011">
        <w:rPr>
          <w:rFonts w:ascii="Times New Roman" w:hAnsi="Times New Roman" w:cs="Times New Roman"/>
          <w:sz w:val="24"/>
          <w:szCs w:val="24"/>
        </w:rPr>
        <w:t>i</w:t>
      </w:r>
      <w:r w:rsidRPr="003C2011">
        <w:rPr>
          <w:rFonts w:ascii="Times New Roman" w:hAnsi="Times New Roman" w:cs="Times New Roman"/>
          <w:sz w:val="24"/>
          <w:szCs w:val="24"/>
        </w:rPr>
        <w:t>ty margin, a</w:t>
      </w:r>
      <w:r w:rsidR="00372790" w:rsidRPr="003C2011">
        <w:rPr>
          <w:rFonts w:ascii="Times New Roman" w:hAnsi="Times New Roman" w:cs="Times New Roman"/>
          <w:sz w:val="24"/>
          <w:szCs w:val="24"/>
        </w:rPr>
        <w:t xml:space="preserve">ntibiotic treatment for </w:t>
      </w:r>
      <w:r w:rsidRPr="003C2011">
        <w:rPr>
          <w:rFonts w:ascii="Times New Roman" w:hAnsi="Times New Roman" w:cs="Times New Roman"/>
          <w:sz w:val="24"/>
          <w:szCs w:val="24"/>
        </w:rPr>
        <w:t xml:space="preserve">uncomplicated </w:t>
      </w:r>
      <w:r w:rsidR="00372790" w:rsidRPr="003C2011">
        <w:rPr>
          <w:rFonts w:ascii="Times New Roman" w:hAnsi="Times New Roman" w:cs="Times New Roman"/>
          <w:sz w:val="24"/>
          <w:szCs w:val="24"/>
        </w:rPr>
        <w:t xml:space="preserve">appendicitis </w:t>
      </w:r>
      <w:r w:rsidRPr="003C2011">
        <w:rPr>
          <w:rFonts w:ascii="Times New Roman" w:hAnsi="Times New Roman" w:cs="Times New Roman"/>
          <w:sz w:val="24"/>
          <w:szCs w:val="24"/>
        </w:rPr>
        <w:t xml:space="preserve">in children </w:t>
      </w:r>
      <w:r w:rsidR="00372790" w:rsidRPr="003C2011">
        <w:rPr>
          <w:rFonts w:ascii="Times New Roman" w:hAnsi="Times New Roman" w:cs="Times New Roman"/>
          <w:sz w:val="24"/>
          <w:szCs w:val="24"/>
        </w:rPr>
        <w:t>was inferior to appendectomy in this trial. Duration of hospitalization was shorter with appendectomy</w:t>
      </w:r>
      <w:r w:rsidR="00220F2C" w:rsidRPr="003C2011">
        <w:rPr>
          <w:rFonts w:ascii="Times New Roman" w:hAnsi="Times New Roman" w:cs="Times New Roman"/>
          <w:sz w:val="24"/>
          <w:szCs w:val="24"/>
        </w:rPr>
        <w:t>,</w:t>
      </w:r>
      <w:r w:rsidR="00372790" w:rsidRPr="003C2011">
        <w:rPr>
          <w:rFonts w:ascii="Times New Roman" w:hAnsi="Times New Roman" w:cs="Times New Roman"/>
          <w:sz w:val="24"/>
          <w:szCs w:val="24"/>
        </w:rPr>
        <w:t xml:space="preserve"> but antibiotic treatment led to a shorter period of convalescence</w:t>
      </w:r>
      <w:r w:rsidR="002F2E1F" w:rsidRPr="003C2011">
        <w:rPr>
          <w:rFonts w:ascii="Times New Roman" w:hAnsi="Times New Roman" w:cs="Times New Roman"/>
          <w:sz w:val="24"/>
          <w:szCs w:val="24"/>
        </w:rPr>
        <w:t xml:space="preserve"> and more rapid return to normal function</w:t>
      </w:r>
      <w:r w:rsidR="00372790" w:rsidRPr="003C2011">
        <w:rPr>
          <w:rFonts w:ascii="Times New Roman" w:hAnsi="Times New Roman" w:cs="Times New Roman"/>
          <w:sz w:val="24"/>
          <w:szCs w:val="24"/>
        </w:rPr>
        <w:t xml:space="preserve">. </w:t>
      </w:r>
    </w:p>
    <w:p w14:paraId="2AC10A39" w14:textId="77777777" w:rsidR="009A0FE5" w:rsidRPr="003C2011" w:rsidRDefault="00611F07">
      <w:pPr>
        <w:rPr>
          <w:rFonts w:ascii="Times New Roman" w:hAnsi="Times New Roman" w:cs="Times New Roman"/>
          <w:sz w:val="24"/>
          <w:szCs w:val="24"/>
        </w:rPr>
      </w:pPr>
      <w:r w:rsidRPr="003C2011">
        <w:rPr>
          <w:rFonts w:ascii="Times New Roman" w:hAnsi="Times New Roman" w:cs="Times New Roman"/>
          <w:sz w:val="24"/>
          <w:szCs w:val="24"/>
        </w:rPr>
        <w:tab/>
      </w:r>
      <w:bookmarkStart w:id="2" w:name="_Hlk143613172"/>
    </w:p>
    <w:p w14:paraId="06D1090A" w14:textId="68078FD2" w:rsidR="00387110" w:rsidRPr="003C2011" w:rsidRDefault="00387110">
      <w:pPr>
        <w:rPr>
          <w:rFonts w:ascii="Times New Roman" w:hAnsi="Times New Roman" w:cs="Times New Roman"/>
          <w:sz w:val="24"/>
          <w:szCs w:val="24"/>
        </w:rPr>
      </w:pPr>
      <w:r w:rsidRPr="003C2011">
        <w:rPr>
          <w:rFonts w:ascii="Times New Roman" w:hAnsi="Times New Roman" w:cs="Times New Roman"/>
          <w:sz w:val="24"/>
          <w:szCs w:val="24"/>
        </w:rPr>
        <w:br w:type="page"/>
      </w:r>
    </w:p>
    <w:bookmarkEnd w:id="2"/>
    <w:p w14:paraId="1E2F86FE" w14:textId="703D1A98" w:rsidR="00CD4646" w:rsidRPr="003C2011" w:rsidRDefault="004C343E" w:rsidP="00FF334B">
      <w:pPr>
        <w:spacing w:line="480" w:lineRule="auto"/>
        <w:rPr>
          <w:rFonts w:ascii="Times New Roman" w:hAnsi="Times New Roman" w:cs="Times New Roman"/>
          <w:b/>
          <w:bCs/>
          <w:sz w:val="24"/>
          <w:szCs w:val="24"/>
        </w:rPr>
      </w:pPr>
      <w:r w:rsidRPr="003C2011">
        <w:rPr>
          <w:rFonts w:ascii="Times New Roman" w:hAnsi="Times New Roman" w:cs="Times New Roman"/>
          <w:b/>
          <w:bCs/>
          <w:sz w:val="24"/>
          <w:szCs w:val="24"/>
        </w:rPr>
        <w:lastRenderedPageBreak/>
        <w:t>References:</w:t>
      </w:r>
    </w:p>
    <w:p w14:paraId="68A0D841" w14:textId="349A6C6A" w:rsidR="004C343E" w:rsidRPr="003C2011" w:rsidRDefault="004C343E" w:rsidP="004C343E">
      <w:pPr>
        <w:pStyle w:val="EndNoteBibliography"/>
        <w:numPr>
          <w:ilvl w:val="0"/>
          <w:numId w:val="9"/>
        </w:numPr>
        <w:spacing w:after="0"/>
        <w:rPr>
          <w:rFonts w:ascii="Times New Roman" w:hAnsi="Times New Roman" w:cs="Times New Roman"/>
          <w:sz w:val="24"/>
          <w:szCs w:val="24"/>
        </w:rPr>
      </w:pPr>
      <w:r w:rsidRPr="003C2011">
        <w:rPr>
          <w:rFonts w:ascii="Times New Roman" w:hAnsi="Times New Roman" w:cs="Times New Roman"/>
          <w:sz w:val="24"/>
          <w:szCs w:val="24"/>
        </w:rPr>
        <w:t xml:space="preserve">Rentea RM, St Peter SD. Pediatric Appendicitis. </w:t>
      </w:r>
      <w:r w:rsidRPr="003C2011">
        <w:rPr>
          <w:rFonts w:ascii="Times New Roman" w:hAnsi="Times New Roman" w:cs="Times New Roman"/>
          <w:i/>
          <w:iCs/>
          <w:sz w:val="24"/>
          <w:szCs w:val="24"/>
        </w:rPr>
        <w:t>Surg Clin North Am</w:t>
      </w:r>
      <w:r w:rsidRPr="003C2011">
        <w:rPr>
          <w:rFonts w:ascii="Times New Roman" w:hAnsi="Times New Roman" w:cs="Times New Roman"/>
          <w:sz w:val="24"/>
          <w:szCs w:val="24"/>
        </w:rPr>
        <w:t>. 2017;97(1):93-112.</w:t>
      </w:r>
    </w:p>
    <w:p w14:paraId="233DF378" w14:textId="77777777" w:rsidR="00D11150" w:rsidRPr="003C2011" w:rsidRDefault="00D11150" w:rsidP="00D11150">
      <w:pPr>
        <w:pStyle w:val="EndNoteBibliography"/>
        <w:spacing w:after="0"/>
        <w:ind w:left="720"/>
        <w:rPr>
          <w:rFonts w:ascii="Times New Roman" w:hAnsi="Times New Roman" w:cs="Times New Roman"/>
          <w:sz w:val="24"/>
          <w:szCs w:val="24"/>
        </w:rPr>
      </w:pPr>
    </w:p>
    <w:p w14:paraId="7D951658" w14:textId="1AB20C70" w:rsidR="004C343E" w:rsidRPr="003C2011" w:rsidRDefault="004C343E" w:rsidP="004C343E">
      <w:pPr>
        <w:pStyle w:val="EndNoteBibliography"/>
        <w:numPr>
          <w:ilvl w:val="0"/>
          <w:numId w:val="9"/>
        </w:numPr>
        <w:spacing w:after="0"/>
        <w:rPr>
          <w:rFonts w:ascii="Times New Roman" w:hAnsi="Times New Roman" w:cs="Times New Roman"/>
          <w:sz w:val="24"/>
          <w:szCs w:val="24"/>
        </w:rPr>
      </w:pPr>
      <w:r w:rsidRPr="003C2011">
        <w:rPr>
          <w:rFonts w:ascii="Times New Roman" w:hAnsi="Times New Roman" w:cs="Times New Roman"/>
          <w:sz w:val="24"/>
          <w:szCs w:val="24"/>
        </w:rPr>
        <w:t xml:space="preserve">Fitz RH. Perforation inflammation of the vermiform appendix with special reference to its early diagnosis and treatment. </w:t>
      </w:r>
      <w:r w:rsidRPr="003C2011">
        <w:rPr>
          <w:rFonts w:ascii="Times New Roman" w:hAnsi="Times New Roman" w:cs="Times New Roman"/>
          <w:i/>
          <w:iCs/>
          <w:sz w:val="24"/>
          <w:szCs w:val="24"/>
        </w:rPr>
        <w:t>Transactions fo</w:t>
      </w:r>
      <w:r w:rsidR="00DD2D4A" w:rsidRPr="003C2011">
        <w:rPr>
          <w:rFonts w:ascii="Times New Roman" w:hAnsi="Times New Roman" w:cs="Times New Roman"/>
          <w:i/>
          <w:iCs/>
          <w:sz w:val="24"/>
          <w:szCs w:val="24"/>
        </w:rPr>
        <w:t>r</w:t>
      </w:r>
      <w:r w:rsidRPr="003C2011">
        <w:rPr>
          <w:rFonts w:ascii="Times New Roman" w:hAnsi="Times New Roman" w:cs="Times New Roman"/>
          <w:i/>
          <w:iCs/>
          <w:sz w:val="24"/>
          <w:szCs w:val="24"/>
        </w:rPr>
        <w:t xml:space="preserve"> the Association of American Physicians</w:t>
      </w:r>
      <w:r w:rsidRPr="003C2011">
        <w:rPr>
          <w:rFonts w:ascii="Times New Roman" w:hAnsi="Times New Roman" w:cs="Times New Roman"/>
          <w:sz w:val="24"/>
          <w:szCs w:val="24"/>
        </w:rPr>
        <w:t>. 1886;1:107-144.</w:t>
      </w:r>
    </w:p>
    <w:p w14:paraId="3B93EB9C" w14:textId="77777777" w:rsidR="00D11150" w:rsidRPr="003C2011" w:rsidRDefault="00D11150" w:rsidP="00D11150">
      <w:pPr>
        <w:pStyle w:val="EndNoteBibliography"/>
        <w:spacing w:after="0"/>
        <w:rPr>
          <w:rFonts w:ascii="Times New Roman" w:hAnsi="Times New Roman" w:cs="Times New Roman"/>
          <w:sz w:val="24"/>
          <w:szCs w:val="24"/>
        </w:rPr>
      </w:pPr>
    </w:p>
    <w:p w14:paraId="5B871AEA" w14:textId="25369E71" w:rsidR="004C343E" w:rsidRPr="003C2011" w:rsidRDefault="004C343E" w:rsidP="004C343E">
      <w:pPr>
        <w:pStyle w:val="EndNoteBibliography"/>
        <w:numPr>
          <w:ilvl w:val="0"/>
          <w:numId w:val="9"/>
        </w:numPr>
        <w:spacing w:after="0"/>
        <w:rPr>
          <w:rFonts w:ascii="Times New Roman" w:hAnsi="Times New Roman" w:cs="Times New Roman"/>
          <w:sz w:val="24"/>
          <w:szCs w:val="24"/>
        </w:rPr>
      </w:pPr>
      <w:r w:rsidRPr="003C2011">
        <w:rPr>
          <w:rFonts w:ascii="Times New Roman" w:hAnsi="Times New Roman" w:cs="Times New Roman"/>
          <w:sz w:val="24"/>
          <w:szCs w:val="24"/>
        </w:rPr>
        <w:t xml:space="preserve">Coldrey E. Treatment of acute appenicitis. </w:t>
      </w:r>
      <w:r w:rsidRPr="003C2011">
        <w:rPr>
          <w:rFonts w:ascii="Times New Roman" w:hAnsi="Times New Roman" w:cs="Times New Roman"/>
          <w:i/>
          <w:iCs/>
          <w:sz w:val="24"/>
          <w:szCs w:val="24"/>
        </w:rPr>
        <w:t>Br Med J</w:t>
      </w:r>
      <w:r w:rsidRPr="003C2011">
        <w:rPr>
          <w:rFonts w:ascii="Times New Roman" w:hAnsi="Times New Roman" w:cs="Times New Roman"/>
          <w:sz w:val="24"/>
          <w:szCs w:val="24"/>
        </w:rPr>
        <w:t xml:space="preserve"> 1956;2:1458-1461.</w:t>
      </w:r>
    </w:p>
    <w:p w14:paraId="3B69211B" w14:textId="77777777" w:rsidR="00D11150" w:rsidRPr="003C2011" w:rsidRDefault="00D11150" w:rsidP="00D11150">
      <w:pPr>
        <w:pStyle w:val="EndNoteBibliography"/>
        <w:spacing w:after="0"/>
        <w:rPr>
          <w:rFonts w:ascii="Times New Roman" w:hAnsi="Times New Roman" w:cs="Times New Roman"/>
          <w:sz w:val="24"/>
          <w:szCs w:val="24"/>
        </w:rPr>
      </w:pPr>
    </w:p>
    <w:p w14:paraId="6920610A" w14:textId="50889602" w:rsidR="004C343E" w:rsidRPr="003C2011" w:rsidRDefault="004C343E" w:rsidP="004C343E">
      <w:pPr>
        <w:pStyle w:val="EndNoteBibliography"/>
        <w:numPr>
          <w:ilvl w:val="0"/>
          <w:numId w:val="9"/>
        </w:numPr>
        <w:spacing w:after="0"/>
        <w:rPr>
          <w:rFonts w:ascii="Times New Roman" w:hAnsi="Times New Roman" w:cs="Times New Roman"/>
          <w:sz w:val="24"/>
          <w:szCs w:val="24"/>
        </w:rPr>
      </w:pPr>
      <w:r w:rsidRPr="003C2011">
        <w:rPr>
          <w:rFonts w:ascii="Times New Roman" w:hAnsi="Times New Roman" w:cs="Times New Roman"/>
          <w:sz w:val="24"/>
          <w:szCs w:val="24"/>
        </w:rPr>
        <w:t xml:space="preserve">Cheong LH, Emil S. Outcomes of pediatric appendicitis: an international comparison of the United States and Canada. </w:t>
      </w:r>
      <w:r w:rsidRPr="003C2011">
        <w:rPr>
          <w:rFonts w:ascii="Times New Roman" w:hAnsi="Times New Roman" w:cs="Times New Roman"/>
          <w:i/>
          <w:iCs/>
          <w:sz w:val="24"/>
          <w:szCs w:val="24"/>
        </w:rPr>
        <w:t>JAMA Surg</w:t>
      </w:r>
      <w:r w:rsidRPr="003C2011">
        <w:rPr>
          <w:rFonts w:ascii="Times New Roman" w:hAnsi="Times New Roman" w:cs="Times New Roman"/>
          <w:sz w:val="24"/>
          <w:szCs w:val="24"/>
        </w:rPr>
        <w:t>. 2014;149(1):50-5.</w:t>
      </w:r>
    </w:p>
    <w:p w14:paraId="22EFA0BF" w14:textId="77777777" w:rsidR="00D11150" w:rsidRPr="003C2011" w:rsidRDefault="00D11150" w:rsidP="00D11150">
      <w:pPr>
        <w:pStyle w:val="EndNoteBibliography"/>
        <w:spacing w:after="0"/>
        <w:rPr>
          <w:rFonts w:ascii="Times New Roman" w:hAnsi="Times New Roman" w:cs="Times New Roman"/>
          <w:sz w:val="24"/>
          <w:szCs w:val="24"/>
        </w:rPr>
      </w:pPr>
    </w:p>
    <w:p w14:paraId="1A37BB44" w14:textId="55A3B74C" w:rsidR="004C343E" w:rsidRPr="003C2011" w:rsidRDefault="004C343E" w:rsidP="004C343E">
      <w:pPr>
        <w:pStyle w:val="EndNoteBibliography"/>
        <w:numPr>
          <w:ilvl w:val="0"/>
          <w:numId w:val="9"/>
        </w:numPr>
        <w:spacing w:after="0"/>
        <w:rPr>
          <w:rFonts w:ascii="Times New Roman" w:hAnsi="Times New Roman" w:cs="Times New Roman"/>
          <w:sz w:val="24"/>
          <w:szCs w:val="24"/>
        </w:rPr>
      </w:pPr>
      <w:r w:rsidRPr="003C2011">
        <w:rPr>
          <w:rFonts w:ascii="Times New Roman" w:hAnsi="Times New Roman" w:cs="Times New Roman"/>
          <w:sz w:val="24"/>
          <w:szCs w:val="24"/>
          <w:lang w:val="fr-CA"/>
        </w:rPr>
        <w:t xml:space="preserve">Findlay JM, Kafsi JE, Hammer C, Gilmour J, Gillies RS, Maynard ND. </w:t>
      </w:r>
      <w:r w:rsidRPr="003C2011">
        <w:rPr>
          <w:rFonts w:ascii="Times New Roman" w:hAnsi="Times New Roman" w:cs="Times New Roman"/>
          <w:sz w:val="24"/>
          <w:szCs w:val="24"/>
        </w:rPr>
        <w:t xml:space="preserve">Nonoperative Management of Appendicitis in Adults: A Systematic Review and Meta-Analysis of Randomized Controlled Trials. </w:t>
      </w:r>
      <w:r w:rsidRPr="003C2011">
        <w:rPr>
          <w:rFonts w:ascii="Times New Roman" w:hAnsi="Times New Roman" w:cs="Times New Roman"/>
          <w:i/>
          <w:iCs/>
          <w:sz w:val="24"/>
          <w:szCs w:val="24"/>
        </w:rPr>
        <w:t>J Am Coll Surg</w:t>
      </w:r>
      <w:r w:rsidRPr="003C2011">
        <w:rPr>
          <w:rFonts w:ascii="Times New Roman" w:hAnsi="Times New Roman" w:cs="Times New Roman"/>
          <w:sz w:val="24"/>
          <w:szCs w:val="24"/>
        </w:rPr>
        <w:t>. 2016;223(6):814-24 e2.</w:t>
      </w:r>
    </w:p>
    <w:p w14:paraId="04BBC018" w14:textId="77777777" w:rsidR="00D11150" w:rsidRPr="003C2011" w:rsidRDefault="00D11150" w:rsidP="00D11150">
      <w:pPr>
        <w:pStyle w:val="EndNoteBibliography"/>
        <w:spacing w:after="0"/>
        <w:rPr>
          <w:rFonts w:ascii="Times New Roman" w:hAnsi="Times New Roman" w:cs="Times New Roman"/>
          <w:sz w:val="24"/>
          <w:szCs w:val="24"/>
        </w:rPr>
      </w:pPr>
    </w:p>
    <w:p w14:paraId="5122A287" w14:textId="785FE986" w:rsidR="00D11150" w:rsidRPr="003C2011" w:rsidRDefault="004C343E" w:rsidP="00D11150">
      <w:pPr>
        <w:pStyle w:val="ListParagraph"/>
        <w:numPr>
          <w:ilvl w:val="0"/>
          <w:numId w:val="9"/>
        </w:numPr>
        <w:ind w:leftChars="0"/>
        <w:rPr>
          <w:rFonts w:ascii="Times New Roman" w:hAnsi="Times New Roman" w:cs="Times New Roman"/>
          <w:sz w:val="24"/>
          <w:szCs w:val="24"/>
        </w:rPr>
      </w:pPr>
      <w:r w:rsidRPr="003C2011">
        <w:rPr>
          <w:rFonts w:ascii="Times New Roman" w:hAnsi="Times New Roman" w:cs="Times New Roman"/>
          <w:sz w:val="24"/>
          <w:szCs w:val="24"/>
        </w:rPr>
        <w:t xml:space="preserve">Mason RJ, </w:t>
      </w:r>
      <w:proofErr w:type="spellStart"/>
      <w:r w:rsidRPr="003C2011">
        <w:rPr>
          <w:rFonts w:ascii="Times New Roman" w:hAnsi="Times New Roman" w:cs="Times New Roman"/>
          <w:sz w:val="24"/>
          <w:szCs w:val="24"/>
        </w:rPr>
        <w:t>Moazzez</w:t>
      </w:r>
      <w:proofErr w:type="spellEnd"/>
      <w:r w:rsidRPr="003C2011">
        <w:rPr>
          <w:rFonts w:ascii="Times New Roman" w:hAnsi="Times New Roman" w:cs="Times New Roman"/>
          <w:sz w:val="24"/>
          <w:szCs w:val="24"/>
        </w:rPr>
        <w:t xml:space="preserve"> A, Sohn H, </w:t>
      </w:r>
      <w:proofErr w:type="spellStart"/>
      <w:r w:rsidRPr="003C2011">
        <w:rPr>
          <w:rFonts w:ascii="Times New Roman" w:hAnsi="Times New Roman" w:cs="Times New Roman"/>
          <w:sz w:val="24"/>
          <w:szCs w:val="24"/>
        </w:rPr>
        <w:t>Katkhouda</w:t>
      </w:r>
      <w:proofErr w:type="spellEnd"/>
      <w:r w:rsidRPr="003C2011">
        <w:rPr>
          <w:rFonts w:ascii="Times New Roman" w:hAnsi="Times New Roman" w:cs="Times New Roman"/>
          <w:sz w:val="24"/>
          <w:szCs w:val="24"/>
        </w:rPr>
        <w:t xml:space="preserve"> N. Meta-analysis of randomized trials comparing antibiotic therapy with appendectomy for acute uncomplicated (no abscess or phlegmon) appendicitis. </w:t>
      </w:r>
      <w:r w:rsidRPr="003C2011">
        <w:rPr>
          <w:rFonts w:ascii="Times New Roman" w:hAnsi="Times New Roman" w:cs="Times New Roman"/>
          <w:i/>
          <w:iCs/>
          <w:sz w:val="24"/>
          <w:szCs w:val="24"/>
        </w:rPr>
        <w:t>Surg Infect (</w:t>
      </w:r>
      <w:proofErr w:type="spellStart"/>
      <w:r w:rsidRPr="003C2011">
        <w:rPr>
          <w:rFonts w:ascii="Times New Roman" w:hAnsi="Times New Roman" w:cs="Times New Roman"/>
          <w:i/>
          <w:iCs/>
          <w:sz w:val="24"/>
          <w:szCs w:val="24"/>
        </w:rPr>
        <w:t>Larchmt</w:t>
      </w:r>
      <w:proofErr w:type="spellEnd"/>
      <w:r w:rsidRPr="003C2011">
        <w:rPr>
          <w:rFonts w:ascii="Times New Roman" w:hAnsi="Times New Roman" w:cs="Times New Roman"/>
          <w:i/>
          <w:iCs/>
          <w:sz w:val="24"/>
          <w:szCs w:val="24"/>
        </w:rPr>
        <w:t>)</w:t>
      </w:r>
      <w:r w:rsidRPr="003C2011">
        <w:rPr>
          <w:rFonts w:ascii="Times New Roman" w:hAnsi="Times New Roman" w:cs="Times New Roman"/>
          <w:sz w:val="24"/>
          <w:szCs w:val="24"/>
        </w:rPr>
        <w:t>. 2012;13(2):74-84</w:t>
      </w:r>
    </w:p>
    <w:p w14:paraId="128EB1DE" w14:textId="77777777" w:rsidR="00D11150" w:rsidRPr="003C2011" w:rsidRDefault="00D11150" w:rsidP="00D11150">
      <w:pPr>
        <w:rPr>
          <w:rFonts w:ascii="Times New Roman" w:hAnsi="Times New Roman" w:cs="Times New Roman"/>
          <w:sz w:val="24"/>
          <w:szCs w:val="24"/>
        </w:rPr>
      </w:pPr>
    </w:p>
    <w:p w14:paraId="6C88310A" w14:textId="100E062B" w:rsidR="00DD2D4A" w:rsidRPr="003C2011" w:rsidRDefault="00230F93" w:rsidP="00DD2D4A">
      <w:pPr>
        <w:pStyle w:val="ListParagraph"/>
        <w:numPr>
          <w:ilvl w:val="0"/>
          <w:numId w:val="9"/>
        </w:numPr>
        <w:ind w:leftChars="0"/>
        <w:rPr>
          <w:rFonts w:ascii="Times New Roman" w:hAnsi="Times New Roman" w:cs="Times New Roman"/>
          <w:sz w:val="24"/>
          <w:szCs w:val="24"/>
        </w:rPr>
      </w:pPr>
      <w:r w:rsidRPr="003C2011">
        <w:rPr>
          <w:rFonts w:ascii="Times New Roman" w:hAnsi="Times New Roman" w:cs="Times New Roman"/>
          <w:sz w:val="24"/>
          <w:szCs w:val="24"/>
        </w:rPr>
        <w:t xml:space="preserve">Hall NJ, Sherratt FC, Eaton S, Walker E, Chorozoglou M, Beasant L, Stanton M, Corbett H, Rex D, Hutchings N, Dixon E, Crawley E, Blazeby J, Young B, Reading I. </w:t>
      </w:r>
      <w:r w:rsidR="00DD2D4A" w:rsidRPr="003C2011">
        <w:rPr>
          <w:rFonts w:ascii="Times New Roman" w:hAnsi="Times New Roman" w:cs="Times New Roman"/>
          <w:sz w:val="24"/>
          <w:szCs w:val="24"/>
        </w:rPr>
        <w:t>Patient-</w:t>
      </w:r>
      <w:proofErr w:type="spellStart"/>
      <w:r w:rsidR="00DD2D4A" w:rsidRPr="003C2011">
        <w:rPr>
          <w:rFonts w:ascii="Times New Roman" w:hAnsi="Times New Roman" w:cs="Times New Roman"/>
          <w:sz w:val="24"/>
          <w:szCs w:val="24"/>
        </w:rPr>
        <w:t>centred</w:t>
      </w:r>
      <w:proofErr w:type="spellEnd"/>
      <w:r w:rsidR="00DD2D4A" w:rsidRPr="003C2011">
        <w:rPr>
          <w:rFonts w:ascii="Times New Roman" w:hAnsi="Times New Roman" w:cs="Times New Roman"/>
          <w:sz w:val="24"/>
          <w:szCs w:val="24"/>
        </w:rPr>
        <w:t xml:space="preserve"> outcomes following non-operative treatment or </w:t>
      </w:r>
      <w:proofErr w:type="spellStart"/>
      <w:r w:rsidR="00DD2D4A" w:rsidRPr="003C2011">
        <w:rPr>
          <w:rFonts w:ascii="Times New Roman" w:hAnsi="Times New Roman" w:cs="Times New Roman"/>
          <w:sz w:val="24"/>
          <w:szCs w:val="24"/>
        </w:rPr>
        <w:t>appendicetomy</w:t>
      </w:r>
      <w:proofErr w:type="spellEnd"/>
      <w:r w:rsidR="00DD2D4A" w:rsidRPr="003C2011">
        <w:rPr>
          <w:rFonts w:ascii="Times New Roman" w:hAnsi="Times New Roman" w:cs="Times New Roman"/>
          <w:sz w:val="24"/>
          <w:szCs w:val="24"/>
        </w:rPr>
        <w:t xml:space="preserve"> for uncomplicated acute appendicitis in children.</w:t>
      </w:r>
      <w:r w:rsidRPr="003C2011">
        <w:rPr>
          <w:rFonts w:ascii="Times New Roman" w:hAnsi="Times New Roman" w:cs="Times New Roman"/>
          <w:sz w:val="24"/>
          <w:szCs w:val="24"/>
        </w:rPr>
        <w:t xml:space="preserve"> </w:t>
      </w:r>
      <w:r w:rsidRPr="003C2011">
        <w:rPr>
          <w:rFonts w:ascii="Times New Roman" w:hAnsi="Times New Roman" w:cs="Times New Roman"/>
          <w:i/>
          <w:iCs/>
          <w:sz w:val="24"/>
          <w:szCs w:val="24"/>
        </w:rPr>
        <w:t xml:space="preserve">BMJ </w:t>
      </w:r>
      <w:proofErr w:type="spellStart"/>
      <w:r w:rsidRPr="003C2011">
        <w:rPr>
          <w:rFonts w:ascii="Times New Roman" w:hAnsi="Times New Roman" w:cs="Times New Roman"/>
          <w:i/>
          <w:iCs/>
          <w:sz w:val="24"/>
          <w:szCs w:val="24"/>
        </w:rPr>
        <w:t>Paediatr</w:t>
      </w:r>
      <w:proofErr w:type="spellEnd"/>
      <w:r w:rsidRPr="003C2011">
        <w:rPr>
          <w:rFonts w:ascii="Times New Roman" w:hAnsi="Times New Roman" w:cs="Times New Roman"/>
          <w:i/>
          <w:iCs/>
          <w:sz w:val="24"/>
          <w:szCs w:val="24"/>
        </w:rPr>
        <w:t xml:space="preserve"> Open</w:t>
      </w:r>
      <w:r w:rsidRPr="003C2011">
        <w:rPr>
          <w:rFonts w:ascii="Times New Roman" w:hAnsi="Times New Roman" w:cs="Times New Roman"/>
          <w:sz w:val="24"/>
          <w:szCs w:val="24"/>
        </w:rPr>
        <w:t xml:space="preserve">. 2023 Feb;7(1):e001673. </w:t>
      </w:r>
    </w:p>
    <w:p w14:paraId="050F5E7D" w14:textId="77777777" w:rsidR="00D11150" w:rsidRPr="003C2011" w:rsidRDefault="00D11150" w:rsidP="00D11150">
      <w:pPr>
        <w:rPr>
          <w:rFonts w:ascii="Times New Roman" w:hAnsi="Times New Roman" w:cs="Times New Roman"/>
          <w:sz w:val="24"/>
          <w:szCs w:val="24"/>
        </w:rPr>
      </w:pPr>
    </w:p>
    <w:p w14:paraId="71F09AC0" w14:textId="46AC1EBB" w:rsidR="00DD2D4A" w:rsidRPr="003C2011" w:rsidRDefault="00DD2D4A" w:rsidP="00DD2D4A">
      <w:pPr>
        <w:pStyle w:val="ListParagraph"/>
        <w:numPr>
          <w:ilvl w:val="0"/>
          <w:numId w:val="9"/>
        </w:numPr>
        <w:ind w:leftChars="0"/>
        <w:rPr>
          <w:rFonts w:ascii="Times New Roman" w:hAnsi="Times New Roman" w:cs="Times New Roman"/>
          <w:sz w:val="24"/>
          <w:szCs w:val="24"/>
        </w:rPr>
      </w:pPr>
      <w:r w:rsidRPr="003C2011">
        <w:rPr>
          <w:rFonts w:ascii="Times New Roman" w:hAnsi="Times New Roman" w:cs="Times New Roman"/>
          <w:sz w:val="24"/>
          <w:szCs w:val="24"/>
        </w:rPr>
        <w:t xml:space="preserve">Minneci PC, </w:t>
      </w:r>
      <w:proofErr w:type="spellStart"/>
      <w:r w:rsidRPr="003C2011">
        <w:rPr>
          <w:rFonts w:ascii="Times New Roman" w:hAnsi="Times New Roman" w:cs="Times New Roman"/>
          <w:sz w:val="24"/>
          <w:szCs w:val="24"/>
        </w:rPr>
        <w:t>Mahida</w:t>
      </w:r>
      <w:proofErr w:type="spellEnd"/>
      <w:r w:rsidRPr="003C2011">
        <w:rPr>
          <w:rFonts w:ascii="Times New Roman" w:hAnsi="Times New Roman" w:cs="Times New Roman"/>
          <w:sz w:val="24"/>
          <w:szCs w:val="24"/>
        </w:rPr>
        <w:t xml:space="preserve"> JB, Lodwick DL, Sulkowski JP, </w:t>
      </w:r>
      <w:proofErr w:type="spellStart"/>
      <w:r w:rsidRPr="003C2011">
        <w:rPr>
          <w:rFonts w:ascii="Times New Roman" w:hAnsi="Times New Roman" w:cs="Times New Roman"/>
          <w:sz w:val="24"/>
          <w:szCs w:val="24"/>
        </w:rPr>
        <w:t>Nacion</w:t>
      </w:r>
      <w:proofErr w:type="spellEnd"/>
      <w:r w:rsidRPr="003C2011">
        <w:rPr>
          <w:rFonts w:ascii="Times New Roman" w:hAnsi="Times New Roman" w:cs="Times New Roman"/>
          <w:sz w:val="24"/>
          <w:szCs w:val="24"/>
        </w:rPr>
        <w:t xml:space="preserve"> KM, Cooper JN, </w:t>
      </w:r>
      <w:proofErr w:type="spellStart"/>
      <w:r w:rsidRPr="003C2011">
        <w:rPr>
          <w:rFonts w:ascii="Times New Roman" w:hAnsi="Times New Roman" w:cs="Times New Roman"/>
          <w:sz w:val="24"/>
          <w:szCs w:val="24"/>
        </w:rPr>
        <w:t>Ambeba</w:t>
      </w:r>
      <w:proofErr w:type="spellEnd"/>
      <w:r w:rsidRPr="003C2011">
        <w:rPr>
          <w:rFonts w:ascii="Times New Roman" w:hAnsi="Times New Roman" w:cs="Times New Roman"/>
          <w:sz w:val="24"/>
          <w:szCs w:val="24"/>
        </w:rPr>
        <w:t xml:space="preserve"> EJ, Moss RL, Deans KJ. Effectiveness of Patient Choice in Nonoperative vs. Surgical Management of Pediatric Uncomplicated Acute Appendicitis. </w:t>
      </w:r>
      <w:r w:rsidRPr="003C2011">
        <w:rPr>
          <w:rFonts w:ascii="Times New Roman" w:hAnsi="Times New Roman" w:cs="Times New Roman"/>
          <w:i/>
          <w:iCs/>
          <w:sz w:val="24"/>
          <w:szCs w:val="24"/>
        </w:rPr>
        <w:t>JAMA Surg</w:t>
      </w:r>
      <w:r w:rsidRPr="003C2011">
        <w:rPr>
          <w:rFonts w:ascii="Times New Roman" w:hAnsi="Times New Roman" w:cs="Times New Roman"/>
          <w:sz w:val="24"/>
          <w:szCs w:val="24"/>
        </w:rPr>
        <w:t>. 2016 May 1;151(5):408-15.</w:t>
      </w:r>
    </w:p>
    <w:p w14:paraId="5423D7D4" w14:textId="77777777" w:rsidR="00D11150" w:rsidRPr="003C2011" w:rsidRDefault="00D11150" w:rsidP="00D11150">
      <w:pPr>
        <w:rPr>
          <w:rFonts w:ascii="Times New Roman" w:hAnsi="Times New Roman" w:cs="Times New Roman"/>
          <w:sz w:val="24"/>
          <w:szCs w:val="24"/>
        </w:rPr>
      </w:pPr>
    </w:p>
    <w:p w14:paraId="6864CB13" w14:textId="49EB5554" w:rsidR="00D11150" w:rsidRPr="003C2011" w:rsidRDefault="00DD2D4A" w:rsidP="00DD2D4A">
      <w:pPr>
        <w:pStyle w:val="ListParagraph"/>
        <w:numPr>
          <w:ilvl w:val="0"/>
          <w:numId w:val="9"/>
        </w:numPr>
        <w:shd w:val="clear" w:color="auto" w:fill="FFFFFF"/>
        <w:ind w:leftChars="0"/>
        <w:rPr>
          <w:rFonts w:ascii="Times New Roman" w:hAnsi="Times New Roman" w:cs="Times New Roman"/>
          <w:sz w:val="24"/>
          <w:szCs w:val="24"/>
        </w:rPr>
      </w:pPr>
      <w:r w:rsidRPr="003C2011">
        <w:rPr>
          <w:rFonts w:ascii="Times New Roman" w:hAnsi="Times New Roman" w:cs="Times New Roman"/>
          <w:sz w:val="24"/>
          <w:szCs w:val="24"/>
        </w:rPr>
        <w:t xml:space="preserve">Minneci PC, Hade EM, Lawrence AE, </w:t>
      </w:r>
      <w:proofErr w:type="spellStart"/>
      <w:r w:rsidRPr="003C2011">
        <w:rPr>
          <w:rFonts w:ascii="Times New Roman" w:hAnsi="Times New Roman" w:cs="Times New Roman"/>
          <w:sz w:val="24"/>
          <w:szCs w:val="24"/>
        </w:rPr>
        <w:t>Sebastião</w:t>
      </w:r>
      <w:proofErr w:type="spellEnd"/>
      <w:r w:rsidRPr="003C2011">
        <w:rPr>
          <w:rFonts w:ascii="Times New Roman" w:hAnsi="Times New Roman" w:cs="Times New Roman"/>
          <w:sz w:val="24"/>
          <w:szCs w:val="24"/>
        </w:rPr>
        <w:t xml:space="preserve"> YV, Saito JM, Mak GZ, Fox C, Hirschl RB, Gadepalli S, Helmrath MA, Kohler JE, Leys CM, Sato TT, Lal DR, Landman MP, Kabre R, Fallat ME, Cooper JN, Deans KJ; Midwest Pediatric Surgery Consortium. Association of Nonoperative Management Using antibiotic Therapy vs Laparoscopic Appendectomy With Treatment Success and Disability Days in Children With Uncomplicated Appendicitis. </w:t>
      </w:r>
      <w:r w:rsidRPr="003C2011">
        <w:rPr>
          <w:rFonts w:ascii="Times New Roman" w:hAnsi="Times New Roman" w:cs="Times New Roman"/>
          <w:i/>
          <w:iCs/>
          <w:sz w:val="24"/>
          <w:szCs w:val="24"/>
        </w:rPr>
        <w:t>JAMA</w:t>
      </w:r>
      <w:r w:rsidRPr="003C2011">
        <w:rPr>
          <w:rFonts w:ascii="Times New Roman" w:hAnsi="Times New Roman" w:cs="Times New Roman"/>
          <w:sz w:val="24"/>
          <w:szCs w:val="24"/>
        </w:rPr>
        <w:t>. 2020 Aug 11;324(6):581-593.</w:t>
      </w:r>
    </w:p>
    <w:p w14:paraId="6435479D" w14:textId="77777777" w:rsidR="00D11150" w:rsidRPr="003C2011" w:rsidRDefault="00D11150" w:rsidP="00D11150">
      <w:pPr>
        <w:shd w:val="clear" w:color="auto" w:fill="FFFFFF"/>
        <w:rPr>
          <w:rFonts w:ascii="Times New Roman" w:hAnsi="Times New Roman" w:cs="Times New Roman"/>
          <w:sz w:val="24"/>
          <w:szCs w:val="24"/>
        </w:rPr>
      </w:pPr>
    </w:p>
    <w:p w14:paraId="117921FC" w14:textId="12DBB09E" w:rsidR="00D11150" w:rsidRPr="003C2011" w:rsidRDefault="147B7628" w:rsidP="17A5DC9B">
      <w:pPr>
        <w:pStyle w:val="ListParagraph"/>
        <w:numPr>
          <w:ilvl w:val="0"/>
          <w:numId w:val="9"/>
        </w:numPr>
        <w:shd w:val="clear" w:color="auto" w:fill="FFFFFF" w:themeFill="background1"/>
        <w:ind w:leftChars="0"/>
        <w:rPr>
          <w:rFonts w:ascii="Times New Roman" w:eastAsia="Times New Roman" w:hAnsi="Times New Roman" w:cs="Times New Roman"/>
          <w:sz w:val="24"/>
          <w:szCs w:val="24"/>
        </w:rPr>
      </w:pPr>
      <w:r w:rsidRPr="003C2011">
        <w:rPr>
          <w:rFonts w:ascii="Times New Roman" w:eastAsia="Times New Roman" w:hAnsi="Times New Roman" w:cs="Times New Roman"/>
          <w:sz w:val="24"/>
          <w:szCs w:val="24"/>
        </w:rPr>
        <w:t xml:space="preserve">CODA Collaborative; Flum DR, Davidson GH, </w:t>
      </w:r>
      <w:proofErr w:type="spellStart"/>
      <w:r w:rsidRPr="003C2011">
        <w:rPr>
          <w:rFonts w:ascii="Times New Roman" w:eastAsia="Times New Roman" w:hAnsi="Times New Roman" w:cs="Times New Roman"/>
          <w:sz w:val="24"/>
          <w:szCs w:val="24"/>
        </w:rPr>
        <w:t>Monsell</w:t>
      </w:r>
      <w:proofErr w:type="spellEnd"/>
      <w:r w:rsidRPr="003C2011">
        <w:rPr>
          <w:rFonts w:ascii="Times New Roman" w:eastAsia="Times New Roman" w:hAnsi="Times New Roman" w:cs="Times New Roman"/>
          <w:sz w:val="24"/>
          <w:szCs w:val="24"/>
        </w:rPr>
        <w:t xml:space="preserve"> SE, Shapiro NI, Odom SR, Sanchez SE, Drake FT, </w:t>
      </w:r>
      <w:proofErr w:type="spellStart"/>
      <w:r w:rsidRPr="003C2011">
        <w:rPr>
          <w:rFonts w:ascii="Times New Roman" w:eastAsia="Times New Roman" w:hAnsi="Times New Roman" w:cs="Times New Roman"/>
          <w:sz w:val="24"/>
          <w:szCs w:val="24"/>
        </w:rPr>
        <w:t>Fischkoff</w:t>
      </w:r>
      <w:proofErr w:type="spellEnd"/>
      <w:r w:rsidRPr="003C2011">
        <w:rPr>
          <w:rFonts w:ascii="Times New Roman" w:eastAsia="Times New Roman" w:hAnsi="Times New Roman" w:cs="Times New Roman"/>
          <w:sz w:val="24"/>
          <w:szCs w:val="24"/>
        </w:rPr>
        <w:t xml:space="preserve"> K, Johnson J, Patton JH, Evans H, </w:t>
      </w:r>
      <w:proofErr w:type="spellStart"/>
      <w:r w:rsidRPr="003C2011">
        <w:rPr>
          <w:rFonts w:ascii="Times New Roman" w:eastAsia="Times New Roman" w:hAnsi="Times New Roman" w:cs="Times New Roman"/>
          <w:sz w:val="24"/>
          <w:szCs w:val="24"/>
        </w:rPr>
        <w:t>Cuschieri</w:t>
      </w:r>
      <w:proofErr w:type="spellEnd"/>
      <w:r w:rsidRPr="003C2011">
        <w:rPr>
          <w:rFonts w:ascii="Times New Roman" w:eastAsia="Times New Roman" w:hAnsi="Times New Roman" w:cs="Times New Roman"/>
          <w:sz w:val="24"/>
          <w:szCs w:val="24"/>
        </w:rPr>
        <w:t xml:space="preserve"> J, </w:t>
      </w:r>
      <w:proofErr w:type="spellStart"/>
      <w:r w:rsidRPr="003C2011">
        <w:rPr>
          <w:rFonts w:ascii="Times New Roman" w:eastAsia="Times New Roman" w:hAnsi="Times New Roman" w:cs="Times New Roman"/>
          <w:sz w:val="24"/>
          <w:szCs w:val="24"/>
        </w:rPr>
        <w:t>Sabbatini</w:t>
      </w:r>
      <w:proofErr w:type="spellEnd"/>
      <w:r w:rsidRPr="003C2011">
        <w:rPr>
          <w:rFonts w:ascii="Times New Roman" w:eastAsia="Times New Roman" w:hAnsi="Times New Roman" w:cs="Times New Roman"/>
          <w:sz w:val="24"/>
          <w:szCs w:val="24"/>
        </w:rPr>
        <w:t xml:space="preserve"> AK, </w:t>
      </w:r>
      <w:proofErr w:type="spellStart"/>
      <w:r w:rsidRPr="003C2011">
        <w:rPr>
          <w:rFonts w:ascii="Times New Roman" w:eastAsia="Times New Roman" w:hAnsi="Times New Roman" w:cs="Times New Roman"/>
          <w:sz w:val="24"/>
          <w:szCs w:val="24"/>
        </w:rPr>
        <w:t>Faine</w:t>
      </w:r>
      <w:proofErr w:type="spellEnd"/>
      <w:r w:rsidRPr="003C2011">
        <w:rPr>
          <w:rFonts w:ascii="Times New Roman" w:eastAsia="Times New Roman" w:hAnsi="Times New Roman" w:cs="Times New Roman"/>
          <w:sz w:val="24"/>
          <w:szCs w:val="24"/>
        </w:rPr>
        <w:t xml:space="preserve"> BA, </w:t>
      </w:r>
      <w:proofErr w:type="spellStart"/>
      <w:r w:rsidRPr="003C2011">
        <w:rPr>
          <w:rFonts w:ascii="Times New Roman" w:eastAsia="Times New Roman" w:hAnsi="Times New Roman" w:cs="Times New Roman"/>
          <w:sz w:val="24"/>
          <w:szCs w:val="24"/>
        </w:rPr>
        <w:t>Skeete</w:t>
      </w:r>
      <w:proofErr w:type="spellEnd"/>
      <w:r w:rsidRPr="003C2011">
        <w:rPr>
          <w:rFonts w:ascii="Times New Roman" w:eastAsia="Times New Roman" w:hAnsi="Times New Roman" w:cs="Times New Roman"/>
          <w:sz w:val="24"/>
          <w:szCs w:val="24"/>
        </w:rPr>
        <w:t xml:space="preserve"> DA, Liang MK, Sohn V, McGrane K, Kutcher ME, Chung B, Carter DW, </w:t>
      </w:r>
      <w:proofErr w:type="spellStart"/>
      <w:r w:rsidRPr="003C2011">
        <w:rPr>
          <w:rFonts w:ascii="Times New Roman" w:eastAsia="Times New Roman" w:hAnsi="Times New Roman" w:cs="Times New Roman"/>
          <w:sz w:val="24"/>
          <w:szCs w:val="24"/>
        </w:rPr>
        <w:t>Ayoung</w:t>
      </w:r>
      <w:proofErr w:type="spellEnd"/>
      <w:r w:rsidRPr="003C2011">
        <w:rPr>
          <w:rFonts w:ascii="Times New Roman" w:eastAsia="Times New Roman" w:hAnsi="Times New Roman" w:cs="Times New Roman"/>
          <w:sz w:val="24"/>
          <w:szCs w:val="24"/>
        </w:rPr>
        <w:t xml:space="preserve">-Chee P, Chiang W, Rushing A, Steinberg S, Foster CS, </w:t>
      </w:r>
      <w:proofErr w:type="spellStart"/>
      <w:r w:rsidRPr="003C2011">
        <w:rPr>
          <w:rFonts w:ascii="Times New Roman" w:eastAsia="Times New Roman" w:hAnsi="Times New Roman" w:cs="Times New Roman"/>
          <w:sz w:val="24"/>
          <w:szCs w:val="24"/>
        </w:rPr>
        <w:t>Schaetzel</w:t>
      </w:r>
      <w:proofErr w:type="spellEnd"/>
      <w:r w:rsidRPr="003C2011">
        <w:rPr>
          <w:rFonts w:ascii="Times New Roman" w:eastAsia="Times New Roman" w:hAnsi="Times New Roman" w:cs="Times New Roman"/>
          <w:sz w:val="24"/>
          <w:szCs w:val="24"/>
        </w:rPr>
        <w:t xml:space="preserve"> SM, Price TP, Mandell KA, Ferrigno L, </w:t>
      </w:r>
      <w:proofErr w:type="spellStart"/>
      <w:r w:rsidRPr="003C2011">
        <w:rPr>
          <w:rFonts w:ascii="Times New Roman" w:eastAsia="Times New Roman" w:hAnsi="Times New Roman" w:cs="Times New Roman"/>
          <w:sz w:val="24"/>
          <w:szCs w:val="24"/>
        </w:rPr>
        <w:t>Salzberg</w:t>
      </w:r>
      <w:proofErr w:type="spellEnd"/>
      <w:r w:rsidRPr="003C2011">
        <w:rPr>
          <w:rFonts w:ascii="Times New Roman" w:eastAsia="Times New Roman" w:hAnsi="Times New Roman" w:cs="Times New Roman"/>
          <w:sz w:val="24"/>
          <w:szCs w:val="24"/>
        </w:rPr>
        <w:t xml:space="preserve"> M, </w:t>
      </w:r>
      <w:proofErr w:type="spellStart"/>
      <w:r w:rsidRPr="003C2011">
        <w:rPr>
          <w:rFonts w:ascii="Times New Roman" w:eastAsia="Times New Roman" w:hAnsi="Times New Roman" w:cs="Times New Roman"/>
          <w:sz w:val="24"/>
          <w:szCs w:val="24"/>
        </w:rPr>
        <w:t>DeUgarte</w:t>
      </w:r>
      <w:proofErr w:type="spellEnd"/>
      <w:r w:rsidRPr="003C2011">
        <w:rPr>
          <w:rFonts w:ascii="Times New Roman" w:eastAsia="Times New Roman" w:hAnsi="Times New Roman" w:cs="Times New Roman"/>
          <w:sz w:val="24"/>
          <w:szCs w:val="24"/>
        </w:rPr>
        <w:t xml:space="preserve"> DA, </w:t>
      </w:r>
      <w:proofErr w:type="spellStart"/>
      <w:r w:rsidRPr="003C2011">
        <w:rPr>
          <w:rFonts w:ascii="Times New Roman" w:eastAsia="Times New Roman" w:hAnsi="Times New Roman" w:cs="Times New Roman"/>
          <w:sz w:val="24"/>
          <w:szCs w:val="24"/>
        </w:rPr>
        <w:t>Kaji</w:t>
      </w:r>
      <w:proofErr w:type="spellEnd"/>
      <w:r w:rsidRPr="003C2011">
        <w:rPr>
          <w:rFonts w:ascii="Times New Roman" w:eastAsia="Times New Roman" w:hAnsi="Times New Roman" w:cs="Times New Roman"/>
          <w:sz w:val="24"/>
          <w:szCs w:val="24"/>
        </w:rPr>
        <w:t xml:space="preserve"> AH, Moran GJ, Saltzman </w:t>
      </w:r>
      <w:r w:rsidRPr="003C2011">
        <w:rPr>
          <w:rFonts w:ascii="Times New Roman" w:eastAsia="Times New Roman" w:hAnsi="Times New Roman" w:cs="Times New Roman"/>
          <w:sz w:val="24"/>
          <w:szCs w:val="24"/>
        </w:rPr>
        <w:lastRenderedPageBreak/>
        <w:t xml:space="preserve">D, Alam HB, Park PK, Kao LS, Thompson CM, Self WH, Yu JT, </w:t>
      </w:r>
      <w:proofErr w:type="spellStart"/>
      <w:r w:rsidRPr="003C2011">
        <w:rPr>
          <w:rFonts w:ascii="Times New Roman" w:eastAsia="Times New Roman" w:hAnsi="Times New Roman" w:cs="Times New Roman"/>
          <w:sz w:val="24"/>
          <w:szCs w:val="24"/>
        </w:rPr>
        <w:t>Wiebusch</w:t>
      </w:r>
      <w:proofErr w:type="spellEnd"/>
      <w:r w:rsidRPr="003C2011">
        <w:rPr>
          <w:rFonts w:ascii="Times New Roman" w:eastAsia="Times New Roman" w:hAnsi="Times New Roman" w:cs="Times New Roman"/>
          <w:sz w:val="24"/>
          <w:szCs w:val="24"/>
        </w:rPr>
        <w:t xml:space="preserve"> A, Winchell RJ, Clark S, </w:t>
      </w:r>
      <w:proofErr w:type="spellStart"/>
      <w:r w:rsidRPr="003C2011">
        <w:rPr>
          <w:rFonts w:ascii="Times New Roman" w:eastAsia="Times New Roman" w:hAnsi="Times New Roman" w:cs="Times New Roman"/>
          <w:sz w:val="24"/>
          <w:szCs w:val="24"/>
        </w:rPr>
        <w:t>Krishnadasan</w:t>
      </w:r>
      <w:proofErr w:type="spellEnd"/>
      <w:r w:rsidRPr="003C2011">
        <w:rPr>
          <w:rFonts w:ascii="Times New Roman" w:eastAsia="Times New Roman" w:hAnsi="Times New Roman" w:cs="Times New Roman"/>
          <w:sz w:val="24"/>
          <w:szCs w:val="24"/>
        </w:rPr>
        <w:t xml:space="preserve"> A, </w:t>
      </w:r>
      <w:proofErr w:type="spellStart"/>
      <w:r w:rsidRPr="003C2011">
        <w:rPr>
          <w:rFonts w:ascii="Times New Roman" w:eastAsia="Times New Roman" w:hAnsi="Times New Roman" w:cs="Times New Roman"/>
          <w:sz w:val="24"/>
          <w:szCs w:val="24"/>
        </w:rPr>
        <w:t>Fannon</w:t>
      </w:r>
      <w:proofErr w:type="spellEnd"/>
      <w:r w:rsidRPr="003C2011">
        <w:rPr>
          <w:rFonts w:ascii="Times New Roman" w:eastAsia="Times New Roman" w:hAnsi="Times New Roman" w:cs="Times New Roman"/>
          <w:sz w:val="24"/>
          <w:szCs w:val="24"/>
        </w:rPr>
        <w:t xml:space="preserve"> E, Lavallee DC, Comstock BA, Bizzell B, </w:t>
      </w:r>
      <w:proofErr w:type="spellStart"/>
      <w:r w:rsidRPr="003C2011">
        <w:rPr>
          <w:rFonts w:ascii="Times New Roman" w:eastAsia="Times New Roman" w:hAnsi="Times New Roman" w:cs="Times New Roman"/>
          <w:sz w:val="24"/>
          <w:szCs w:val="24"/>
        </w:rPr>
        <w:t>Heagerty</w:t>
      </w:r>
      <w:proofErr w:type="spellEnd"/>
      <w:r w:rsidRPr="003C2011">
        <w:rPr>
          <w:rFonts w:ascii="Times New Roman" w:eastAsia="Times New Roman" w:hAnsi="Times New Roman" w:cs="Times New Roman"/>
          <w:sz w:val="24"/>
          <w:szCs w:val="24"/>
        </w:rPr>
        <w:t xml:space="preserve"> PJ, Kessler LG, Talan D</w:t>
      </w:r>
      <w:r w:rsidR="2F039E2C" w:rsidRPr="003C2011">
        <w:rPr>
          <w:rFonts w:ascii="Times New Roman" w:eastAsia="Times New Roman" w:hAnsi="Times New Roman" w:cs="Times New Roman"/>
          <w:sz w:val="24"/>
          <w:szCs w:val="24"/>
        </w:rPr>
        <w:t>A.</w:t>
      </w:r>
      <w:r w:rsidR="26E80611" w:rsidRPr="003C2011">
        <w:rPr>
          <w:rFonts w:ascii="Times New Roman" w:eastAsia="Times New Roman" w:hAnsi="Times New Roman" w:cs="Times New Roman"/>
          <w:sz w:val="24"/>
          <w:szCs w:val="24"/>
        </w:rPr>
        <w:t xml:space="preserve"> A Randomized Trial Comparing Antibiotics with Appendectomy for Appendicitis. </w:t>
      </w:r>
      <w:r w:rsidRPr="003C2011">
        <w:rPr>
          <w:rFonts w:ascii="Times New Roman" w:eastAsia="Times New Roman" w:hAnsi="Times New Roman" w:cs="Times New Roman"/>
          <w:sz w:val="24"/>
          <w:szCs w:val="24"/>
        </w:rPr>
        <w:t xml:space="preserve">N Engl J Med. 2020 Nov 12;383(20):1907-1919. </w:t>
      </w:r>
      <w:proofErr w:type="spellStart"/>
      <w:r w:rsidRPr="003C2011">
        <w:rPr>
          <w:rFonts w:ascii="Times New Roman" w:eastAsia="Times New Roman" w:hAnsi="Times New Roman" w:cs="Times New Roman"/>
          <w:sz w:val="24"/>
          <w:szCs w:val="24"/>
        </w:rPr>
        <w:t>doi</w:t>
      </w:r>
      <w:proofErr w:type="spellEnd"/>
      <w:r w:rsidRPr="003C2011">
        <w:rPr>
          <w:rFonts w:ascii="Times New Roman" w:eastAsia="Times New Roman" w:hAnsi="Times New Roman" w:cs="Times New Roman"/>
          <w:sz w:val="24"/>
          <w:szCs w:val="24"/>
        </w:rPr>
        <w:t xml:space="preserve">: 10.1056/NEJMoa2014320. </w:t>
      </w:r>
      <w:proofErr w:type="spellStart"/>
      <w:r w:rsidRPr="003C2011">
        <w:rPr>
          <w:rFonts w:ascii="Times New Roman" w:eastAsia="Times New Roman" w:hAnsi="Times New Roman" w:cs="Times New Roman"/>
          <w:sz w:val="24"/>
          <w:szCs w:val="24"/>
        </w:rPr>
        <w:t>Epub</w:t>
      </w:r>
      <w:proofErr w:type="spellEnd"/>
      <w:r w:rsidRPr="003C2011">
        <w:rPr>
          <w:rFonts w:ascii="Times New Roman" w:eastAsia="Times New Roman" w:hAnsi="Times New Roman" w:cs="Times New Roman"/>
          <w:sz w:val="24"/>
          <w:szCs w:val="24"/>
        </w:rPr>
        <w:t xml:space="preserve"> 2020 Oct 5.</w:t>
      </w:r>
    </w:p>
    <w:p w14:paraId="3FB0CD44" w14:textId="77777777" w:rsidR="009F11B1" w:rsidRPr="003C2011" w:rsidRDefault="009F11B1" w:rsidP="009F11B1">
      <w:pPr>
        <w:pStyle w:val="ListParagraph"/>
        <w:ind w:left="880"/>
        <w:rPr>
          <w:rFonts w:ascii="Times New Roman" w:eastAsia="Times New Roman" w:hAnsi="Times New Roman" w:cs="Times New Roman"/>
          <w:sz w:val="24"/>
          <w:szCs w:val="24"/>
        </w:rPr>
      </w:pPr>
    </w:p>
    <w:p w14:paraId="7350D32B" w14:textId="17CD9DFA" w:rsidR="00D11150" w:rsidRPr="003C2011" w:rsidRDefault="009F11B1" w:rsidP="7E4F605B">
      <w:pPr>
        <w:pStyle w:val="ListParagraph"/>
        <w:numPr>
          <w:ilvl w:val="0"/>
          <w:numId w:val="9"/>
        </w:numPr>
        <w:shd w:val="clear" w:color="auto" w:fill="FFFFFF" w:themeFill="background1"/>
        <w:ind w:leftChars="0"/>
        <w:rPr>
          <w:rFonts w:ascii="Times New Roman" w:eastAsia="Times New Roman" w:hAnsi="Times New Roman" w:cs="Times New Roman"/>
          <w:sz w:val="24"/>
          <w:szCs w:val="24"/>
        </w:rPr>
      </w:pPr>
      <w:r w:rsidRPr="003C2011">
        <w:rPr>
          <w:rFonts w:ascii="Times New Roman" w:eastAsia="Times New Roman" w:hAnsi="Times New Roman" w:cs="Times New Roman"/>
          <w:sz w:val="24"/>
          <w:szCs w:val="24"/>
        </w:rPr>
        <w:t xml:space="preserve">Svensson JF, </w:t>
      </w:r>
      <w:proofErr w:type="spellStart"/>
      <w:r w:rsidRPr="003C2011">
        <w:rPr>
          <w:rFonts w:ascii="Times New Roman" w:eastAsia="Times New Roman" w:hAnsi="Times New Roman" w:cs="Times New Roman"/>
          <w:sz w:val="24"/>
          <w:szCs w:val="24"/>
        </w:rPr>
        <w:t>Patkova</w:t>
      </w:r>
      <w:proofErr w:type="spellEnd"/>
      <w:r w:rsidRPr="003C2011">
        <w:rPr>
          <w:rFonts w:ascii="Times New Roman" w:eastAsia="Times New Roman" w:hAnsi="Times New Roman" w:cs="Times New Roman"/>
          <w:sz w:val="24"/>
          <w:szCs w:val="24"/>
        </w:rPr>
        <w:t xml:space="preserve"> B, </w:t>
      </w:r>
      <w:proofErr w:type="spellStart"/>
      <w:r w:rsidRPr="003C2011">
        <w:rPr>
          <w:rFonts w:ascii="Times New Roman" w:eastAsia="Times New Roman" w:hAnsi="Times New Roman" w:cs="Times New Roman"/>
          <w:sz w:val="24"/>
          <w:szCs w:val="24"/>
        </w:rPr>
        <w:t>Almstrom</w:t>
      </w:r>
      <w:proofErr w:type="spellEnd"/>
      <w:r w:rsidRPr="003C2011">
        <w:rPr>
          <w:rFonts w:ascii="Times New Roman" w:eastAsia="Times New Roman" w:hAnsi="Times New Roman" w:cs="Times New Roman"/>
          <w:sz w:val="24"/>
          <w:szCs w:val="24"/>
        </w:rPr>
        <w:t xml:space="preserve"> M, </w:t>
      </w:r>
      <w:proofErr w:type="spellStart"/>
      <w:r w:rsidRPr="003C2011">
        <w:rPr>
          <w:rFonts w:ascii="Times New Roman" w:eastAsia="Times New Roman" w:hAnsi="Times New Roman" w:cs="Times New Roman"/>
          <w:sz w:val="24"/>
          <w:szCs w:val="24"/>
        </w:rPr>
        <w:t>Naji</w:t>
      </w:r>
      <w:proofErr w:type="spellEnd"/>
      <w:r w:rsidRPr="003C2011">
        <w:rPr>
          <w:rFonts w:ascii="Times New Roman" w:eastAsia="Times New Roman" w:hAnsi="Times New Roman" w:cs="Times New Roman"/>
          <w:sz w:val="24"/>
          <w:szCs w:val="24"/>
        </w:rPr>
        <w:t xml:space="preserve"> H, Hall NJ, Eaton S, Pierro A, Wester T. Nonoperative Treatment with Antibiotics Versus Surgery for Acute Nonperforated Appendicitis in Children: A Pilot Randomized Controlled Trial. Ann Surg. 2014. Jan;261(1):67-71.</w:t>
      </w:r>
    </w:p>
    <w:p w14:paraId="1319CBEB" w14:textId="77777777" w:rsidR="009F11B1" w:rsidRPr="003C2011" w:rsidRDefault="009F11B1" w:rsidP="009F11B1">
      <w:pPr>
        <w:shd w:val="clear" w:color="auto" w:fill="FFFFFF" w:themeFill="background1"/>
        <w:rPr>
          <w:rFonts w:ascii="Times New Roman" w:eastAsia="Times New Roman" w:hAnsi="Times New Roman" w:cs="Times New Roman"/>
          <w:sz w:val="24"/>
          <w:szCs w:val="24"/>
        </w:rPr>
      </w:pPr>
    </w:p>
    <w:p w14:paraId="79D3A82E" w14:textId="77777777" w:rsidR="00D11150" w:rsidRPr="003C2011" w:rsidRDefault="00DD2D4A" w:rsidP="00D11150">
      <w:pPr>
        <w:pStyle w:val="ListParagraph"/>
        <w:numPr>
          <w:ilvl w:val="0"/>
          <w:numId w:val="9"/>
        </w:numPr>
        <w:shd w:val="clear" w:color="auto" w:fill="FFFFFF"/>
        <w:ind w:leftChars="0"/>
        <w:rPr>
          <w:rFonts w:ascii="Times New Roman" w:hAnsi="Times New Roman" w:cs="Times New Roman"/>
          <w:sz w:val="24"/>
          <w:szCs w:val="24"/>
        </w:rPr>
      </w:pPr>
      <w:r w:rsidRPr="003C2011">
        <w:rPr>
          <w:rFonts w:ascii="Times New Roman" w:hAnsi="Times New Roman" w:cs="Times New Roman"/>
          <w:sz w:val="24"/>
          <w:szCs w:val="24"/>
        </w:rPr>
        <w:t xml:space="preserve">Chan AW, </w:t>
      </w:r>
      <w:proofErr w:type="spellStart"/>
      <w:r w:rsidRPr="003C2011">
        <w:rPr>
          <w:rFonts w:ascii="Times New Roman" w:hAnsi="Times New Roman" w:cs="Times New Roman"/>
          <w:sz w:val="24"/>
          <w:szCs w:val="24"/>
        </w:rPr>
        <w:t>Tetzlaff</w:t>
      </w:r>
      <w:proofErr w:type="spellEnd"/>
      <w:r w:rsidRPr="003C2011">
        <w:rPr>
          <w:rFonts w:ascii="Times New Roman" w:hAnsi="Times New Roman" w:cs="Times New Roman"/>
          <w:sz w:val="24"/>
          <w:szCs w:val="24"/>
        </w:rPr>
        <w:t xml:space="preserve"> JM, Altman DG, </w:t>
      </w:r>
      <w:proofErr w:type="spellStart"/>
      <w:r w:rsidRPr="003C2011">
        <w:rPr>
          <w:rFonts w:ascii="Times New Roman" w:hAnsi="Times New Roman" w:cs="Times New Roman"/>
          <w:sz w:val="24"/>
          <w:szCs w:val="24"/>
        </w:rPr>
        <w:t>Laupacis</w:t>
      </w:r>
      <w:proofErr w:type="spellEnd"/>
      <w:r w:rsidRPr="003C2011">
        <w:rPr>
          <w:rFonts w:ascii="Times New Roman" w:hAnsi="Times New Roman" w:cs="Times New Roman"/>
          <w:sz w:val="24"/>
          <w:szCs w:val="24"/>
        </w:rPr>
        <w:t xml:space="preserve"> A, </w:t>
      </w:r>
      <w:proofErr w:type="spellStart"/>
      <w:r w:rsidRPr="003C2011">
        <w:rPr>
          <w:rFonts w:ascii="Times New Roman" w:hAnsi="Times New Roman" w:cs="Times New Roman"/>
          <w:sz w:val="24"/>
          <w:szCs w:val="24"/>
        </w:rPr>
        <w:t>Gotzsche</w:t>
      </w:r>
      <w:proofErr w:type="spellEnd"/>
      <w:r w:rsidRPr="003C2011">
        <w:rPr>
          <w:rFonts w:ascii="Times New Roman" w:hAnsi="Times New Roman" w:cs="Times New Roman"/>
          <w:sz w:val="24"/>
          <w:szCs w:val="24"/>
        </w:rPr>
        <w:t xml:space="preserve"> PC, </w:t>
      </w:r>
      <w:proofErr w:type="spellStart"/>
      <w:r w:rsidRPr="003C2011">
        <w:rPr>
          <w:rFonts w:ascii="Times New Roman" w:hAnsi="Times New Roman" w:cs="Times New Roman"/>
          <w:sz w:val="24"/>
          <w:szCs w:val="24"/>
        </w:rPr>
        <w:t>Krleza-Jeric</w:t>
      </w:r>
      <w:proofErr w:type="spellEnd"/>
      <w:r w:rsidRPr="003C2011">
        <w:rPr>
          <w:rFonts w:ascii="Times New Roman" w:hAnsi="Times New Roman" w:cs="Times New Roman"/>
          <w:sz w:val="24"/>
          <w:szCs w:val="24"/>
        </w:rPr>
        <w:t xml:space="preserve"> K, et al. SPIRIT 2013 statement: defining standard protocol items for clinical trials. </w:t>
      </w:r>
      <w:r w:rsidRPr="003C2011">
        <w:rPr>
          <w:rFonts w:ascii="Times New Roman" w:hAnsi="Times New Roman" w:cs="Times New Roman"/>
          <w:i/>
          <w:iCs/>
          <w:sz w:val="24"/>
          <w:szCs w:val="24"/>
        </w:rPr>
        <w:t>Ann Intern Med.</w:t>
      </w:r>
      <w:r w:rsidRPr="003C2011">
        <w:rPr>
          <w:rFonts w:ascii="Times New Roman" w:hAnsi="Times New Roman" w:cs="Times New Roman"/>
          <w:sz w:val="24"/>
          <w:szCs w:val="24"/>
        </w:rPr>
        <w:t xml:space="preserve"> 2013;158(3):200-7</w:t>
      </w:r>
    </w:p>
    <w:p w14:paraId="47E7F2FB" w14:textId="77777777" w:rsidR="00D11150" w:rsidRPr="003C2011" w:rsidRDefault="00D11150" w:rsidP="00D11150">
      <w:pPr>
        <w:pStyle w:val="ListParagraph"/>
        <w:ind w:left="880"/>
        <w:rPr>
          <w:rStyle w:val="docsum-authors"/>
          <w:rFonts w:ascii="Segoe UI" w:hAnsi="Segoe UI" w:cs="Segoe UI"/>
          <w:b/>
          <w:bCs/>
          <w:sz w:val="24"/>
          <w:szCs w:val="24"/>
        </w:rPr>
      </w:pPr>
    </w:p>
    <w:p w14:paraId="255B707E" w14:textId="211A179C" w:rsidR="00DD2D4A" w:rsidRPr="003C2011" w:rsidRDefault="00DD2D4A" w:rsidP="17A5DC9B">
      <w:pPr>
        <w:pStyle w:val="ListParagraph"/>
        <w:numPr>
          <w:ilvl w:val="0"/>
          <w:numId w:val="9"/>
        </w:numPr>
        <w:shd w:val="clear" w:color="auto" w:fill="FFFFFF" w:themeFill="background1"/>
        <w:ind w:leftChars="0"/>
        <w:rPr>
          <w:rFonts w:ascii="Times New Roman" w:hAnsi="Times New Roman" w:cs="Times New Roman"/>
          <w:sz w:val="24"/>
          <w:szCs w:val="24"/>
        </w:rPr>
      </w:pPr>
      <w:r w:rsidRPr="003C2011">
        <w:rPr>
          <w:rFonts w:ascii="Times New Roman" w:hAnsi="Times New Roman" w:cs="Times New Roman"/>
          <w:sz w:val="24"/>
          <w:szCs w:val="24"/>
        </w:rPr>
        <w:t xml:space="preserve">Hall NJ, Eaton S, </w:t>
      </w:r>
      <w:proofErr w:type="spellStart"/>
      <w:r w:rsidRPr="003C2011">
        <w:rPr>
          <w:rFonts w:ascii="Times New Roman" w:hAnsi="Times New Roman" w:cs="Times New Roman"/>
          <w:sz w:val="24"/>
          <w:szCs w:val="24"/>
        </w:rPr>
        <w:t>Abbo</w:t>
      </w:r>
      <w:proofErr w:type="spellEnd"/>
      <w:r w:rsidRPr="003C2011">
        <w:rPr>
          <w:rFonts w:ascii="Times New Roman" w:hAnsi="Times New Roman" w:cs="Times New Roman"/>
          <w:sz w:val="24"/>
          <w:szCs w:val="24"/>
        </w:rPr>
        <w:t xml:space="preserve"> O, Arnaud AP, Beaudin M, Brindle M, </w:t>
      </w:r>
      <w:proofErr w:type="spellStart"/>
      <w:r w:rsidRPr="003C2011">
        <w:rPr>
          <w:rFonts w:ascii="Times New Roman" w:hAnsi="Times New Roman" w:cs="Times New Roman"/>
          <w:sz w:val="24"/>
          <w:szCs w:val="24"/>
        </w:rPr>
        <w:t>Bütter</w:t>
      </w:r>
      <w:proofErr w:type="spellEnd"/>
      <w:r w:rsidRPr="003C2011">
        <w:rPr>
          <w:rFonts w:ascii="Times New Roman" w:hAnsi="Times New Roman" w:cs="Times New Roman"/>
          <w:sz w:val="24"/>
          <w:szCs w:val="24"/>
        </w:rPr>
        <w:t xml:space="preserve"> A, Davies D, Jancelewicz T, Johnson K, Keijzer R, Lapidus-Krol E, Offringa M, Piché N, Rintala R, Skarsgard E, Svensson JF, Ungar WJ, Wester T, Willan AR, Zani A, St Peter SD, Pierro A.</w:t>
      </w:r>
      <w:r w:rsidR="00D11150" w:rsidRPr="003C2011">
        <w:rPr>
          <w:rFonts w:ascii="Times New Roman" w:hAnsi="Times New Roman" w:cs="Times New Roman"/>
          <w:sz w:val="24"/>
          <w:szCs w:val="24"/>
        </w:rPr>
        <w:t xml:space="preserve"> </w:t>
      </w:r>
      <w:hyperlink r:id="rId13">
        <w:r w:rsidR="00D11150" w:rsidRPr="003C2011">
          <w:rPr>
            <w:rFonts w:ascii="Times New Roman" w:hAnsi="Times New Roman" w:cs="Times New Roman"/>
            <w:sz w:val="24"/>
            <w:szCs w:val="24"/>
          </w:rPr>
          <w:t xml:space="preserve">Appendectomy versus non-operative treatment for acute uncomplicated appendicitis in children: study protocol for a </w:t>
        </w:r>
        <w:proofErr w:type="spellStart"/>
        <w:r w:rsidR="00D11150" w:rsidRPr="003C2011">
          <w:rPr>
            <w:rFonts w:ascii="Times New Roman" w:hAnsi="Times New Roman" w:cs="Times New Roman"/>
            <w:sz w:val="24"/>
            <w:szCs w:val="24"/>
          </w:rPr>
          <w:t>multicentre</w:t>
        </w:r>
        <w:proofErr w:type="spellEnd"/>
        <w:r w:rsidR="00D11150" w:rsidRPr="003C2011">
          <w:rPr>
            <w:rFonts w:ascii="Times New Roman" w:hAnsi="Times New Roman" w:cs="Times New Roman"/>
            <w:sz w:val="24"/>
            <w:szCs w:val="24"/>
          </w:rPr>
          <w:t xml:space="preserve">, open-label, non-inferiority, </w:t>
        </w:r>
        <w:proofErr w:type="spellStart"/>
        <w:r w:rsidR="00D11150" w:rsidRPr="003C2011">
          <w:rPr>
            <w:rFonts w:ascii="Times New Roman" w:hAnsi="Times New Roman" w:cs="Times New Roman"/>
            <w:sz w:val="24"/>
            <w:szCs w:val="24"/>
          </w:rPr>
          <w:t>randomised</w:t>
        </w:r>
        <w:proofErr w:type="spellEnd"/>
        <w:r w:rsidR="00D11150" w:rsidRPr="003C2011">
          <w:rPr>
            <w:rFonts w:ascii="Times New Roman" w:hAnsi="Times New Roman" w:cs="Times New Roman"/>
            <w:sz w:val="24"/>
            <w:szCs w:val="24"/>
          </w:rPr>
          <w:t xml:space="preserve"> controlled trial.</w:t>
        </w:r>
      </w:hyperlink>
      <w:r w:rsidR="00D11150" w:rsidRPr="003C2011">
        <w:rPr>
          <w:rFonts w:ascii="Times New Roman" w:hAnsi="Times New Roman" w:cs="Times New Roman"/>
          <w:sz w:val="24"/>
          <w:szCs w:val="24"/>
        </w:rPr>
        <w:t xml:space="preserve"> </w:t>
      </w:r>
      <w:r w:rsidRPr="003C2011">
        <w:rPr>
          <w:rFonts w:ascii="Times New Roman" w:hAnsi="Times New Roman" w:cs="Times New Roman"/>
          <w:i/>
          <w:iCs/>
          <w:sz w:val="24"/>
          <w:szCs w:val="24"/>
        </w:rPr>
        <w:t xml:space="preserve">BMJ </w:t>
      </w:r>
      <w:proofErr w:type="spellStart"/>
      <w:r w:rsidRPr="003C2011">
        <w:rPr>
          <w:rFonts w:ascii="Times New Roman" w:hAnsi="Times New Roman" w:cs="Times New Roman"/>
          <w:i/>
          <w:iCs/>
          <w:sz w:val="24"/>
          <w:szCs w:val="24"/>
        </w:rPr>
        <w:t>Paediatr</w:t>
      </w:r>
      <w:proofErr w:type="spellEnd"/>
      <w:r w:rsidRPr="003C2011">
        <w:rPr>
          <w:rFonts w:ascii="Times New Roman" w:hAnsi="Times New Roman" w:cs="Times New Roman"/>
          <w:i/>
          <w:iCs/>
          <w:sz w:val="24"/>
          <w:szCs w:val="24"/>
        </w:rPr>
        <w:t xml:space="preserve"> Open</w:t>
      </w:r>
      <w:r w:rsidRPr="003C2011">
        <w:rPr>
          <w:rFonts w:ascii="Times New Roman" w:hAnsi="Times New Roman" w:cs="Times New Roman"/>
          <w:sz w:val="24"/>
          <w:szCs w:val="24"/>
        </w:rPr>
        <w:t>. 2017 May 18;1(1):bmjpo-2017-000028.</w:t>
      </w:r>
    </w:p>
    <w:p w14:paraId="63CC55E9" w14:textId="303ED0B0" w:rsidR="17A5DC9B" w:rsidRPr="003C2011" w:rsidRDefault="17A5DC9B" w:rsidP="17A5DC9B">
      <w:pPr>
        <w:pStyle w:val="EndNoteBibliography"/>
        <w:shd w:val="clear" w:color="auto" w:fill="FFFFFF" w:themeFill="background1"/>
        <w:rPr>
          <w:rFonts w:eastAsia="Calibri"/>
          <w:sz w:val="21"/>
          <w:szCs w:val="21"/>
        </w:rPr>
      </w:pPr>
    </w:p>
    <w:p w14:paraId="5FD901C8" w14:textId="429A5580" w:rsidR="69A8B7F7" w:rsidRPr="003C2011" w:rsidRDefault="69A8B7F7" w:rsidP="17A5DC9B">
      <w:pPr>
        <w:pStyle w:val="EndNoteBibliography"/>
        <w:numPr>
          <w:ilvl w:val="0"/>
          <w:numId w:val="9"/>
        </w:numPr>
        <w:spacing w:after="0"/>
        <w:rPr>
          <w:rFonts w:ascii="Times New Roman" w:eastAsia="Times New Roman" w:hAnsi="Times New Roman" w:cs="Times New Roman"/>
          <w:sz w:val="24"/>
          <w:szCs w:val="24"/>
        </w:rPr>
      </w:pPr>
      <w:r w:rsidRPr="003C2011">
        <w:rPr>
          <w:rFonts w:ascii="Times New Roman" w:eastAsia="Times New Roman" w:hAnsi="Times New Roman" w:cs="Times New Roman"/>
          <w:sz w:val="24"/>
          <w:szCs w:val="24"/>
        </w:rPr>
        <w:t>Abes M, Petik B, Kazil S. Nonoperative treatment of acute appendicitis in children. J Pediatr Surg. 2007;42(8):1439-42.</w:t>
      </w:r>
    </w:p>
    <w:p w14:paraId="2ED3F70F" w14:textId="1A497E16" w:rsidR="17A5DC9B" w:rsidRPr="003C2011" w:rsidRDefault="17A5DC9B" w:rsidP="17A5DC9B">
      <w:pPr>
        <w:pStyle w:val="EndNoteBibliography"/>
        <w:spacing w:after="0"/>
        <w:rPr>
          <w:rFonts w:ascii="Times New Roman" w:eastAsia="Times New Roman" w:hAnsi="Times New Roman" w:cs="Times New Roman"/>
          <w:sz w:val="24"/>
          <w:szCs w:val="24"/>
        </w:rPr>
      </w:pPr>
    </w:p>
    <w:p w14:paraId="705D7D17" w14:textId="46975813" w:rsidR="69A8B7F7" w:rsidRPr="003C2011" w:rsidRDefault="69A8B7F7" w:rsidP="17A5DC9B">
      <w:pPr>
        <w:pStyle w:val="ListParagraph"/>
        <w:numPr>
          <w:ilvl w:val="0"/>
          <w:numId w:val="9"/>
        </w:numPr>
        <w:ind w:leftChars="0"/>
        <w:rPr>
          <w:rFonts w:ascii="Times New Roman" w:eastAsia="Times New Roman" w:hAnsi="Times New Roman" w:cs="Times New Roman"/>
          <w:sz w:val="24"/>
          <w:szCs w:val="24"/>
        </w:rPr>
      </w:pPr>
      <w:r w:rsidRPr="003C2011">
        <w:rPr>
          <w:rFonts w:ascii="Times New Roman" w:eastAsia="Times New Roman" w:hAnsi="Times New Roman" w:cs="Times New Roman"/>
          <w:sz w:val="24"/>
          <w:szCs w:val="24"/>
        </w:rPr>
        <w:t xml:space="preserve">Armstrong J, Merritt N, Jones S, Scott L, Butter A. Non-operative management of early, acute appendicitis in children: is it safe and effective? J </w:t>
      </w:r>
      <w:proofErr w:type="spellStart"/>
      <w:r w:rsidRPr="003C2011">
        <w:rPr>
          <w:rFonts w:ascii="Times New Roman" w:eastAsia="Times New Roman" w:hAnsi="Times New Roman" w:cs="Times New Roman"/>
          <w:sz w:val="24"/>
          <w:szCs w:val="24"/>
        </w:rPr>
        <w:t>Pediatr</w:t>
      </w:r>
      <w:proofErr w:type="spellEnd"/>
      <w:r w:rsidRPr="003C2011">
        <w:rPr>
          <w:rFonts w:ascii="Times New Roman" w:eastAsia="Times New Roman" w:hAnsi="Times New Roman" w:cs="Times New Roman"/>
          <w:sz w:val="24"/>
          <w:szCs w:val="24"/>
        </w:rPr>
        <w:t xml:space="preserve"> Surg. 2014;49(5):782-5.</w:t>
      </w:r>
    </w:p>
    <w:p w14:paraId="71482C98" w14:textId="44488B3F" w:rsidR="17A5DC9B" w:rsidRPr="003C2011" w:rsidRDefault="17A5DC9B" w:rsidP="17A5DC9B">
      <w:pPr>
        <w:pStyle w:val="EndNoteBibliography"/>
        <w:spacing w:after="0"/>
        <w:rPr>
          <w:rFonts w:eastAsia="Calibri"/>
          <w:sz w:val="24"/>
          <w:szCs w:val="24"/>
        </w:rPr>
      </w:pPr>
    </w:p>
    <w:p w14:paraId="07336287" w14:textId="65D1A1D2" w:rsidR="4CD2CCC1" w:rsidRPr="003C2011" w:rsidRDefault="4CD2CCC1" w:rsidP="17A5DC9B">
      <w:pPr>
        <w:pStyle w:val="EndNoteBibliography"/>
        <w:numPr>
          <w:ilvl w:val="0"/>
          <w:numId w:val="9"/>
        </w:numPr>
        <w:spacing w:after="0"/>
        <w:rPr>
          <w:rFonts w:ascii="Times New Roman" w:eastAsia="Times New Roman" w:hAnsi="Times New Roman" w:cs="Times New Roman"/>
          <w:sz w:val="24"/>
          <w:szCs w:val="24"/>
        </w:rPr>
      </w:pPr>
      <w:r w:rsidRPr="003C2011">
        <w:rPr>
          <w:rFonts w:ascii="Times New Roman" w:eastAsia="Times New Roman" w:hAnsi="Times New Roman" w:cs="Times New Roman"/>
          <w:sz w:val="24"/>
          <w:szCs w:val="24"/>
        </w:rPr>
        <w:t>Minneci PC, Sulkowski JP, Nacion KM, Mahida JB, Cooper JN, Moss RL, et al. Feasibility of a nonoperative management strategy for uncomplicated acute appendicitis in children. J Am Coll Surg. 2014;219(2):272-9.</w:t>
      </w:r>
    </w:p>
    <w:p w14:paraId="4279439B" w14:textId="3C7BD918" w:rsidR="17A5DC9B" w:rsidRPr="003C2011" w:rsidRDefault="17A5DC9B" w:rsidP="17A5DC9B">
      <w:pPr>
        <w:pStyle w:val="EndNoteBibliography"/>
        <w:spacing w:after="0"/>
        <w:rPr>
          <w:rFonts w:eastAsia="Calibri"/>
          <w:sz w:val="24"/>
          <w:szCs w:val="24"/>
        </w:rPr>
      </w:pPr>
    </w:p>
    <w:p w14:paraId="2D18E869" w14:textId="25D7A9D3" w:rsidR="04FADE47" w:rsidRPr="003C2011" w:rsidRDefault="04FADE47" w:rsidP="17A5DC9B">
      <w:pPr>
        <w:pStyle w:val="EndNoteBibliography"/>
        <w:numPr>
          <w:ilvl w:val="0"/>
          <w:numId w:val="9"/>
        </w:numPr>
        <w:spacing w:after="0"/>
        <w:rPr>
          <w:rFonts w:ascii="Times New Roman" w:hAnsi="Times New Roman" w:cs="Times New Roman"/>
          <w:sz w:val="24"/>
          <w:szCs w:val="24"/>
        </w:rPr>
      </w:pPr>
      <w:r w:rsidRPr="003C2011">
        <w:rPr>
          <w:rFonts w:ascii="Times New Roman" w:hAnsi="Times New Roman" w:cs="Times New Roman"/>
          <w:sz w:val="24"/>
          <w:szCs w:val="24"/>
        </w:rPr>
        <w:t xml:space="preserve">Minneci PC, Mahida JB, Lodwick DL, Sulkowski JP, Nacion KM, Cooper JN, et al. Effectiveness of Patient Choice in Nonoperative vs Surgical Management of Pediatric Uncomplicated Acute Appendicitis. </w:t>
      </w:r>
      <w:r w:rsidRPr="003C2011">
        <w:rPr>
          <w:rFonts w:ascii="Times New Roman" w:hAnsi="Times New Roman" w:cs="Times New Roman"/>
          <w:i/>
          <w:iCs/>
          <w:sz w:val="24"/>
          <w:szCs w:val="24"/>
        </w:rPr>
        <w:t>JAMA Surg.</w:t>
      </w:r>
      <w:r w:rsidRPr="003C2011">
        <w:rPr>
          <w:rFonts w:ascii="Times New Roman" w:hAnsi="Times New Roman" w:cs="Times New Roman"/>
          <w:sz w:val="24"/>
          <w:szCs w:val="24"/>
        </w:rPr>
        <w:t xml:space="preserve"> 2015:1-8.</w:t>
      </w:r>
    </w:p>
    <w:p w14:paraId="66E977FE" w14:textId="213F8278" w:rsidR="17A5DC9B" w:rsidRPr="003C2011" w:rsidRDefault="17A5DC9B" w:rsidP="17A5DC9B">
      <w:pPr>
        <w:pStyle w:val="EndNoteBibliography"/>
        <w:spacing w:after="0"/>
        <w:rPr>
          <w:rFonts w:eastAsia="Calibri"/>
          <w:sz w:val="24"/>
          <w:szCs w:val="24"/>
        </w:rPr>
      </w:pPr>
    </w:p>
    <w:p w14:paraId="019D2592" w14:textId="7D6A6E26" w:rsidR="0D827404" w:rsidRPr="003C2011" w:rsidRDefault="0D827404" w:rsidP="17A5DC9B">
      <w:pPr>
        <w:pStyle w:val="EndNoteBibliography"/>
        <w:numPr>
          <w:ilvl w:val="0"/>
          <w:numId w:val="9"/>
        </w:numPr>
        <w:spacing w:after="0"/>
        <w:rPr>
          <w:rFonts w:ascii="Times New Roman" w:hAnsi="Times New Roman" w:cs="Times New Roman"/>
          <w:sz w:val="24"/>
          <w:szCs w:val="24"/>
        </w:rPr>
      </w:pPr>
      <w:r w:rsidRPr="003C2011">
        <w:rPr>
          <w:rFonts w:ascii="Times New Roman" w:hAnsi="Times New Roman" w:cs="Times New Roman"/>
          <w:sz w:val="24"/>
          <w:szCs w:val="24"/>
        </w:rPr>
        <w:t xml:space="preserve">Gorter RR, van der Lee JH, Cense HA, Kneepkens CM, Wijnen MH, In 't Hof KH, et al. Initial antibiotic treatment for acute simple appendicitis in children is safe: Short-term results from a multicenter, prospective cohort study. </w:t>
      </w:r>
      <w:r w:rsidRPr="003C2011">
        <w:rPr>
          <w:rFonts w:ascii="Times New Roman" w:hAnsi="Times New Roman" w:cs="Times New Roman"/>
          <w:i/>
          <w:iCs/>
          <w:sz w:val="24"/>
          <w:szCs w:val="24"/>
        </w:rPr>
        <w:t>Surgery.</w:t>
      </w:r>
      <w:r w:rsidRPr="003C2011">
        <w:rPr>
          <w:rFonts w:ascii="Times New Roman" w:hAnsi="Times New Roman" w:cs="Times New Roman"/>
          <w:sz w:val="24"/>
          <w:szCs w:val="24"/>
        </w:rPr>
        <w:t xml:space="preserve"> 2015;157(5):916-23.</w:t>
      </w:r>
    </w:p>
    <w:p w14:paraId="669D3D81" w14:textId="77777777" w:rsidR="17A5DC9B" w:rsidRPr="003C2011" w:rsidRDefault="17A5DC9B" w:rsidP="17A5DC9B">
      <w:pPr>
        <w:pStyle w:val="EndNoteBibliography"/>
        <w:spacing w:after="0"/>
        <w:rPr>
          <w:rFonts w:ascii="Times New Roman" w:hAnsi="Times New Roman" w:cs="Times New Roman"/>
          <w:sz w:val="24"/>
          <w:szCs w:val="24"/>
        </w:rPr>
      </w:pPr>
    </w:p>
    <w:p w14:paraId="1DC802D9" w14:textId="4B4DFF76" w:rsidR="04FADE47" w:rsidRPr="003C2011" w:rsidRDefault="04FADE47" w:rsidP="17A5DC9B">
      <w:pPr>
        <w:pStyle w:val="EndNoteBibliography"/>
        <w:numPr>
          <w:ilvl w:val="0"/>
          <w:numId w:val="9"/>
        </w:numPr>
        <w:spacing w:after="0"/>
        <w:rPr>
          <w:rFonts w:ascii="Times New Roman" w:hAnsi="Times New Roman" w:cs="Times New Roman"/>
          <w:sz w:val="24"/>
          <w:szCs w:val="24"/>
        </w:rPr>
      </w:pPr>
      <w:r w:rsidRPr="003C2011">
        <w:rPr>
          <w:rFonts w:ascii="Times New Roman" w:hAnsi="Times New Roman" w:cs="Times New Roman"/>
          <w:sz w:val="24"/>
          <w:szCs w:val="24"/>
        </w:rPr>
        <w:t xml:space="preserve">Steiner Z, Buklan G, Stackievicz R, Gutermacher M, Erez I. A role for conservative antibiotic treatment in early appendicitis in children. </w:t>
      </w:r>
      <w:r w:rsidRPr="003C2011">
        <w:rPr>
          <w:rFonts w:ascii="Times New Roman" w:hAnsi="Times New Roman" w:cs="Times New Roman"/>
          <w:i/>
          <w:iCs/>
          <w:sz w:val="24"/>
          <w:szCs w:val="24"/>
        </w:rPr>
        <w:t>J Pediatr Surg</w:t>
      </w:r>
      <w:r w:rsidRPr="003C2011">
        <w:rPr>
          <w:rFonts w:ascii="Times New Roman" w:hAnsi="Times New Roman" w:cs="Times New Roman"/>
          <w:sz w:val="24"/>
          <w:szCs w:val="24"/>
        </w:rPr>
        <w:t>. 2015.</w:t>
      </w:r>
    </w:p>
    <w:p w14:paraId="2C0D66DA" w14:textId="77777777" w:rsidR="17A5DC9B" w:rsidRPr="003C2011" w:rsidRDefault="17A5DC9B" w:rsidP="17A5DC9B">
      <w:pPr>
        <w:pStyle w:val="EndNoteBibliography"/>
        <w:spacing w:after="0"/>
        <w:rPr>
          <w:rFonts w:ascii="Times New Roman" w:hAnsi="Times New Roman" w:cs="Times New Roman"/>
          <w:sz w:val="24"/>
          <w:szCs w:val="24"/>
        </w:rPr>
      </w:pPr>
    </w:p>
    <w:p w14:paraId="7157AF1E" w14:textId="03A6FB37" w:rsidR="04FADE47" w:rsidRPr="003C2011" w:rsidRDefault="04FADE47" w:rsidP="17A5DC9B">
      <w:pPr>
        <w:pStyle w:val="EndNoteBibliography"/>
        <w:numPr>
          <w:ilvl w:val="0"/>
          <w:numId w:val="9"/>
        </w:numPr>
        <w:spacing w:after="0"/>
        <w:rPr>
          <w:rFonts w:ascii="Times New Roman" w:hAnsi="Times New Roman" w:cs="Times New Roman"/>
          <w:sz w:val="24"/>
          <w:szCs w:val="24"/>
        </w:rPr>
      </w:pPr>
      <w:r w:rsidRPr="003C2011">
        <w:rPr>
          <w:rFonts w:ascii="Times New Roman" w:hAnsi="Times New Roman" w:cs="Times New Roman"/>
          <w:sz w:val="24"/>
          <w:szCs w:val="24"/>
        </w:rPr>
        <w:lastRenderedPageBreak/>
        <w:t xml:space="preserve">Tanaka Y, Uchida H, Kawashima H, Fujiogi M, Takazawa S, Deie K, et al. Long-term outcomes of operative versus nonoperative treatment for uncomplicated appendicitis. </w:t>
      </w:r>
      <w:r w:rsidRPr="003C2011">
        <w:rPr>
          <w:rFonts w:ascii="Times New Roman" w:hAnsi="Times New Roman" w:cs="Times New Roman"/>
          <w:i/>
          <w:iCs/>
          <w:sz w:val="24"/>
          <w:szCs w:val="24"/>
        </w:rPr>
        <w:t>J Pediatr Surg</w:t>
      </w:r>
      <w:r w:rsidRPr="003C2011">
        <w:rPr>
          <w:rFonts w:ascii="Times New Roman" w:hAnsi="Times New Roman" w:cs="Times New Roman"/>
          <w:sz w:val="24"/>
          <w:szCs w:val="24"/>
        </w:rPr>
        <w:t>. 2015;50(11):1893-7.</w:t>
      </w:r>
    </w:p>
    <w:p w14:paraId="04E22475" w14:textId="115D3E9A" w:rsidR="17A5DC9B" w:rsidRPr="003C2011" w:rsidRDefault="17A5DC9B" w:rsidP="17A5DC9B">
      <w:pPr>
        <w:pStyle w:val="EndNoteBibliography"/>
        <w:spacing w:after="0"/>
        <w:rPr>
          <w:rFonts w:eastAsia="Calibri"/>
          <w:sz w:val="24"/>
          <w:szCs w:val="24"/>
        </w:rPr>
      </w:pPr>
    </w:p>
    <w:p w14:paraId="655F9B62" w14:textId="26B610FB" w:rsidR="04FADE47" w:rsidRPr="003C2011" w:rsidRDefault="04FADE47" w:rsidP="347EC281">
      <w:pPr>
        <w:pStyle w:val="ListParagraph"/>
        <w:numPr>
          <w:ilvl w:val="0"/>
          <w:numId w:val="9"/>
        </w:numPr>
        <w:shd w:val="clear" w:color="auto" w:fill="FFFFFF" w:themeFill="background1"/>
        <w:ind w:leftChars="0"/>
        <w:rPr>
          <w:rFonts w:eastAsia="Calibri"/>
          <w:noProof/>
        </w:rPr>
      </w:pPr>
      <w:r w:rsidRPr="003C2011">
        <w:rPr>
          <w:rFonts w:ascii="Times New Roman" w:hAnsi="Times New Roman" w:cs="Times New Roman"/>
          <w:noProof/>
          <w:sz w:val="24"/>
          <w:szCs w:val="24"/>
          <w:lang w:eastAsia="en-US"/>
        </w:rPr>
        <w:t xml:space="preserve">Koike Y, Uchida K, Matsushita K, Otake K, Nakazawa M, Inoue M, et al. Intraluminal appendiceal fluid is a predictive factor for recurrent appendicitis after initial successful non-operative management of uncomplicated appendicitis in pediatric patients. </w:t>
      </w:r>
      <w:r w:rsidRPr="003C2011">
        <w:rPr>
          <w:rFonts w:ascii="Times New Roman" w:hAnsi="Times New Roman" w:cs="Times New Roman"/>
          <w:i/>
          <w:iCs/>
          <w:noProof/>
          <w:sz w:val="24"/>
          <w:szCs w:val="24"/>
          <w:lang w:eastAsia="en-US"/>
        </w:rPr>
        <w:t>J Pediatr Surg</w:t>
      </w:r>
      <w:r w:rsidRPr="003C2011">
        <w:rPr>
          <w:rFonts w:ascii="Times New Roman" w:hAnsi="Times New Roman" w:cs="Times New Roman"/>
          <w:noProof/>
          <w:sz w:val="24"/>
          <w:szCs w:val="24"/>
          <w:lang w:eastAsia="en-US"/>
        </w:rPr>
        <w:t>. 2014;49(7):1116-21</w:t>
      </w:r>
      <w:r w:rsidR="345FB0F4" w:rsidRPr="003C2011">
        <w:rPr>
          <w:rFonts w:ascii="Times New Roman" w:hAnsi="Times New Roman" w:cs="Times New Roman"/>
          <w:noProof/>
          <w:sz w:val="24"/>
          <w:szCs w:val="24"/>
          <w:lang w:eastAsia="en-US"/>
        </w:rPr>
        <w:t xml:space="preserve">. </w:t>
      </w:r>
    </w:p>
    <w:p w14:paraId="10A70C72" w14:textId="443C85EE" w:rsidR="347EC281" w:rsidRPr="003C2011" w:rsidRDefault="347EC281" w:rsidP="347EC281">
      <w:pPr>
        <w:shd w:val="clear" w:color="auto" w:fill="FFFFFF" w:themeFill="background1"/>
        <w:rPr>
          <w:rFonts w:ascii="Calibri" w:eastAsia="Calibri" w:hAnsi="Calibri" w:cs="Calibri"/>
          <w:noProof/>
          <w:sz w:val="21"/>
          <w:szCs w:val="21"/>
        </w:rPr>
      </w:pPr>
    </w:p>
    <w:p w14:paraId="2E48F6EC" w14:textId="76DB1406" w:rsidR="345FB0F4" w:rsidRPr="003C2011" w:rsidRDefault="00000000" w:rsidP="17A5DC9B">
      <w:pPr>
        <w:pStyle w:val="ListParagraph"/>
        <w:numPr>
          <w:ilvl w:val="0"/>
          <w:numId w:val="9"/>
        </w:numPr>
        <w:shd w:val="clear" w:color="auto" w:fill="FFFFFF" w:themeFill="background1"/>
        <w:ind w:leftChars="0"/>
        <w:rPr>
          <w:rFonts w:ascii="Times New Roman" w:eastAsia="Times New Roman" w:hAnsi="Times New Roman" w:cs="Times New Roman"/>
          <w:noProof/>
          <w:sz w:val="24"/>
          <w:szCs w:val="24"/>
        </w:rPr>
      </w:pPr>
      <w:hyperlink r:id="rId14">
        <w:r w:rsidR="345FB0F4" w:rsidRPr="003C2011">
          <w:rPr>
            <w:rStyle w:val="Hyperlink"/>
            <w:rFonts w:ascii="Times New Roman" w:eastAsia="Times New Roman" w:hAnsi="Times New Roman" w:cs="Times New Roman"/>
            <w:noProof/>
            <w:color w:val="auto"/>
            <w:sz w:val="24"/>
            <w:szCs w:val="24"/>
            <w:u w:val="none"/>
          </w:rPr>
          <w:t>J F Svensson</w:t>
        </w:r>
      </w:hyperlink>
      <w:r w:rsidR="345FB0F4" w:rsidRPr="003C2011">
        <w:rPr>
          <w:rFonts w:ascii="Times New Roman" w:eastAsia="Times New Roman" w:hAnsi="Times New Roman" w:cs="Times New Roman"/>
          <w:noProof/>
          <w:sz w:val="24"/>
          <w:szCs w:val="24"/>
        </w:rPr>
        <w:t xml:space="preserve">, </w:t>
      </w:r>
      <w:hyperlink r:id="rId15">
        <w:r w:rsidR="345FB0F4" w:rsidRPr="003C2011">
          <w:rPr>
            <w:rStyle w:val="Hyperlink"/>
            <w:rFonts w:ascii="Times New Roman" w:eastAsia="Times New Roman" w:hAnsi="Times New Roman" w:cs="Times New Roman"/>
            <w:noProof/>
            <w:color w:val="auto"/>
            <w:sz w:val="24"/>
            <w:szCs w:val="24"/>
            <w:u w:val="none"/>
          </w:rPr>
          <w:t>N J Hall</w:t>
        </w:r>
      </w:hyperlink>
      <w:r w:rsidR="345FB0F4" w:rsidRPr="003C2011">
        <w:rPr>
          <w:rFonts w:ascii="Times New Roman" w:eastAsia="Times New Roman" w:hAnsi="Times New Roman" w:cs="Times New Roman"/>
          <w:noProof/>
          <w:sz w:val="24"/>
          <w:szCs w:val="24"/>
        </w:rPr>
        <w:t xml:space="preserve">, </w:t>
      </w:r>
      <w:hyperlink r:id="rId16">
        <w:r w:rsidR="345FB0F4" w:rsidRPr="003C2011">
          <w:rPr>
            <w:rStyle w:val="Hyperlink"/>
            <w:rFonts w:ascii="Times New Roman" w:eastAsia="Times New Roman" w:hAnsi="Times New Roman" w:cs="Times New Roman"/>
            <w:noProof/>
            <w:color w:val="auto"/>
            <w:sz w:val="24"/>
            <w:szCs w:val="24"/>
            <w:u w:val="none"/>
          </w:rPr>
          <w:t>S Eaton</w:t>
        </w:r>
      </w:hyperlink>
      <w:r w:rsidR="345FB0F4" w:rsidRPr="003C2011">
        <w:rPr>
          <w:rFonts w:ascii="Times New Roman" w:eastAsia="Times New Roman" w:hAnsi="Times New Roman" w:cs="Times New Roman"/>
          <w:noProof/>
          <w:sz w:val="24"/>
          <w:szCs w:val="24"/>
        </w:rPr>
        <w:t xml:space="preserve">, </w:t>
      </w:r>
      <w:hyperlink r:id="rId17">
        <w:r w:rsidR="345FB0F4" w:rsidRPr="003C2011">
          <w:rPr>
            <w:rStyle w:val="Hyperlink"/>
            <w:rFonts w:ascii="Times New Roman" w:eastAsia="Times New Roman" w:hAnsi="Times New Roman" w:cs="Times New Roman"/>
            <w:noProof/>
            <w:color w:val="auto"/>
            <w:sz w:val="24"/>
            <w:szCs w:val="24"/>
            <w:u w:val="none"/>
          </w:rPr>
          <w:t>A Pierro</w:t>
        </w:r>
      </w:hyperlink>
      <w:r w:rsidR="345FB0F4" w:rsidRPr="003C2011">
        <w:rPr>
          <w:rFonts w:ascii="Times New Roman" w:eastAsia="Times New Roman" w:hAnsi="Times New Roman" w:cs="Times New Roman"/>
          <w:noProof/>
          <w:sz w:val="24"/>
          <w:szCs w:val="24"/>
        </w:rPr>
        <w:t xml:space="preserve">, </w:t>
      </w:r>
      <w:hyperlink r:id="rId18">
        <w:r w:rsidR="345FB0F4" w:rsidRPr="003C2011">
          <w:rPr>
            <w:rStyle w:val="Hyperlink"/>
            <w:rFonts w:ascii="Times New Roman" w:eastAsia="Times New Roman" w:hAnsi="Times New Roman" w:cs="Times New Roman"/>
            <w:noProof/>
            <w:color w:val="auto"/>
            <w:sz w:val="24"/>
            <w:szCs w:val="24"/>
            <w:u w:val="none"/>
          </w:rPr>
          <w:t>T Wester.</w:t>
        </w:r>
      </w:hyperlink>
      <w:r w:rsidR="345FB0F4" w:rsidRPr="003C2011">
        <w:rPr>
          <w:rFonts w:ascii="Times New Roman" w:eastAsia="Times New Roman" w:hAnsi="Times New Roman" w:cs="Times New Roman"/>
          <w:noProof/>
          <w:sz w:val="24"/>
          <w:szCs w:val="24"/>
        </w:rPr>
        <w:t xml:space="preserve"> A review of conservative treatment of acute appendicitis. Eur J Pediatr Surg 2012 Jun;22(3):185-94.</w:t>
      </w:r>
    </w:p>
    <w:p w14:paraId="7A242E01" w14:textId="77777777" w:rsidR="002D5CE0" w:rsidRPr="003C2011" w:rsidRDefault="002D5CE0" w:rsidP="002D5CE0">
      <w:pPr>
        <w:pStyle w:val="ListParagraph"/>
        <w:ind w:left="880"/>
        <w:rPr>
          <w:rFonts w:ascii="Times New Roman" w:eastAsia="Times New Roman" w:hAnsi="Times New Roman" w:cs="Times New Roman"/>
          <w:noProof/>
          <w:sz w:val="24"/>
          <w:szCs w:val="24"/>
        </w:rPr>
      </w:pPr>
    </w:p>
    <w:p w14:paraId="4D9C242A" w14:textId="03008392" w:rsidR="002D5CE0" w:rsidRPr="003C2011" w:rsidRDefault="002D5CE0" w:rsidP="17A5DC9B">
      <w:pPr>
        <w:pStyle w:val="ListParagraph"/>
        <w:numPr>
          <w:ilvl w:val="0"/>
          <w:numId w:val="9"/>
        </w:numPr>
        <w:shd w:val="clear" w:color="auto" w:fill="FFFFFF" w:themeFill="background1"/>
        <w:ind w:leftChars="0"/>
        <w:rPr>
          <w:rFonts w:ascii="Times New Roman" w:eastAsia="Times New Roman" w:hAnsi="Times New Roman" w:cs="Times New Roman"/>
          <w:noProof/>
          <w:sz w:val="24"/>
          <w:szCs w:val="24"/>
        </w:rPr>
      </w:pPr>
      <w:r w:rsidRPr="003C2011">
        <w:rPr>
          <w:rFonts w:ascii="Times New Roman" w:eastAsia="Times New Roman" w:hAnsi="Times New Roman" w:cs="Times New Roman"/>
          <w:sz w:val="24"/>
          <w:szCs w:val="24"/>
        </w:rPr>
        <w:t>Mason RJ. Appendicitis: is surgery the best option? Lancet. 2011;377(9777):1545-6.</w:t>
      </w:r>
    </w:p>
    <w:p w14:paraId="0DE2FA03" w14:textId="54BA21A8" w:rsidR="17A5DC9B" w:rsidRPr="003C2011" w:rsidRDefault="17A5DC9B" w:rsidP="17A5DC9B">
      <w:pPr>
        <w:shd w:val="clear" w:color="auto" w:fill="FFFFFF" w:themeFill="background1"/>
        <w:rPr>
          <w:rFonts w:ascii="Calibri" w:eastAsia="Calibri" w:hAnsi="Calibri" w:cs="Calibri"/>
          <w:noProof/>
          <w:sz w:val="21"/>
          <w:szCs w:val="21"/>
        </w:rPr>
      </w:pPr>
    </w:p>
    <w:p w14:paraId="7F36D279" w14:textId="10C6A9BC" w:rsidR="361844AF" w:rsidRPr="003C2011" w:rsidRDefault="361844AF" w:rsidP="17A5DC9B">
      <w:pPr>
        <w:pStyle w:val="ListParagraph"/>
        <w:numPr>
          <w:ilvl w:val="0"/>
          <w:numId w:val="9"/>
        </w:numPr>
        <w:shd w:val="clear" w:color="auto" w:fill="FFFFFF" w:themeFill="background1"/>
        <w:ind w:leftChars="0"/>
        <w:rPr>
          <w:rFonts w:ascii="Times New Roman" w:hAnsi="Times New Roman" w:cs="Times New Roman"/>
          <w:sz w:val="24"/>
          <w:szCs w:val="24"/>
        </w:rPr>
      </w:pPr>
      <w:r w:rsidRPr="003C2011">
        <w:rPr>
          <w:rFonts w:ascii="Times New Roman" w:hAnsi="Times New Roman" w:cs="Times New Roman"/>
          <w:sz w:val="24"/>
          <w:szCs w:val="24"/>
        </w:rPr>
        <w:t xml:space="preserve">DAMOCLES Study Group. A proposed charter for clinical trial data monitoring committees: helping them to do their job well. </w:t>
      </w:r>
      <w:r w:rsidRPr="003C2011">
        <w:rPr>
          <w:rFonts w:ascii="Times New Roman" w:hAnsi="Times New Roman" w:cs="Times New Roman"/>
          <w:i/>
          <w:iCs/>
          <w:sz w:val="24"/>
          <w:szCs w:val="24"/>
        </w:rPr>
        <w:t xml:space="preserve">Lancet. </w:t>
      </w:r>
      <w:r w:rsidRPr="003C2011">
        <w:rPr>
          <w:rFonts w:ascii="Times New Roman" w:hAnsi="Times New Roman" w:cs="Times New Roman"/>
          <w:sz w:val="24"/>
          <w:szCs w:val="24"/>
        </w:rPr>
        <w:t>2005;365(9460):711-22.</w:t>
      </w:r>
    </w:p>
    <w:p w14:paraId="6C0A5EE7" w14:textId="7699C21A" w:rsidR="347EC281" w:rsidRPr="003C2011" w:rsidRDefault="347EC281" w:rsidP="347EC281">
      <w:pPr>
        <w:shd w:val="clear" w:color="auto" w:fill="FFFFFF" w:themeFill="background1"/>
        <w:rPr>
          <w:rFonts w:ascii="Calibri" w:eastAsia="Calibri" w:hAnsi="Calibri" w:cs="Calibri"/>
          <w:sz w:val="21"/>
          <w:szCs w:val="21"/>
          <w:lang w:eastAsia="ja-JP"/>
        </w:rPr>
      </w:pPr>
    </w:p>
    <w:p w14:paraId="51009BDC" w14:textId="532BEF03" w:rsidR="5C8ECEE3" w:rsidRPr="003C2011" w:rsidRDefault="5C8ECEE3" w:rsidP="347EC281">
      <w:pPr>
        <w:pStyle w:val="ListParagraph"/>
        <w:numPr>
          <w:ilvl w:val="0"/>
          <w:numId w:val="9"/>
        </w:numPr>
        <w:shd w:val="clear" w:color="auto" w:fill="FFFFFF" w:themeFill="background1"/>
        <w:ind w:leftChars="0"/>
        <w:jc w:val="left"/>
        <w:rPr>
          <w:rFonts w:ascii="Times New Roman" w:eastAsia="Times New Roman" w:hAnsi="Times New Roman" w:cs="Times New Roman"/>
          <w:sz w:val="24"/>
          <w:szCs w:val="24"/>
        </w:rPr>
      </w:pPr>
      <w:proofErr w:type="spellStart"/>
      <w:r w:rsidRPr="003C2011">
        <w:rPr>
          <w:rFonts w:ascii="Times New Roman" w:eastAsia="Times New Roman" w:hAnsi="Times New Roman" w:cs="Times New Roman"/>
          <w:sz w:val="24"/>
          <w:szCs w:val="24"/>
          <w:lang w:val="fr-CA"/>
        </w:rPr>
        <w:t>Vons</w:t>
      </w:r>
      <w:proofErr w:type="spellEnd"/>
      <w:r w:rsidRPr="003C2011">
        <w:rPr>
          <w:rFonts w:ascii="Times New Roman" w:eastAsia="Times New Roman" w:hAnsi="Times New Roman" w:cs="Times New Roman"/>
          <w:sz w:val="24"/>
          <w:szCs w:val="24"/>
          <w:lang w:val="fr-CA"/>
        </w:rPr>
        <w:t xml:space="preserve"> C, Barry C, Maitre S, </w:t>
      </w:r>
      <w:proofErr w:type="spellStart"/>
      <w:r w:rsidRPr="003C2011">
        <w:rPr>
          <w:rFonts w:ascii="Times New Roman" w:eastAsia="Times New Roman" w:hAnsi="Times New Roman" w:cs="Times New Roman"/>
          <w:sz w:val="24"/>
          <w:szCs w:val="24"/>
          <w:lang w:val="fr-CA"/>
        </w:rPr>
        <w:t>Pautrat</w:t>
      </w:r>
      <w:proofErr w:type="spellEnd"/>
      <w:r w:rsidRPr="003C2011">
        <w:rPr>
          <w:rFonts w:ascii="Times New Roman" w:eastAsia="Times New Roman" w:hAnsi="Times New Roman" w:cs="Times New Roman"/>
          <w:sz w:val="24"/>
          <w:szCs w:val="24"/>
          <w:lang w:val="fr-CA"/>
        </w:rPr>
        <w:t xml:space="preserve"> K, Leconte M, </w:t>
      </w:r>
      <w:proofErr w:type="spellStart"/>
      <w:r w:rsidRPr="003C2011">
        <w:rPr>
          <w:rFonts w:ascii="Times New Roman" w:eastAsia="Times New Roman" w:hAnsi="Times New Roman" w:cs="Times New Roman"/>
          <w:sz w:val="24"/>
          <w:szCs w:val="24"/>
          <w:lang w:val="fr-CA"/>
        </w:rPr>
        <w:t>Costaglioli</w:t>
      </w:r>
      <w:proofErr w:type="spellEnd"/>
      <w:r w:rsidRPr="003C2011">
        <w:rPr>
          <w:rFonts w:ascii="Times New Roman" w:eastAsia="Times New Roman" w:hAnsi="Times New Roman" w:cs="Times New Roman"/>
          <w:sz w:val="24"/>
          <w:szCs w:val="24"/>
          <w:lang w:val="fr-CA"/>
        </w:rPr>
        <w:t xml:space="preserve"> B, et al. </w:t>
      </w:r>
      <w:r w:rsidRPr="003C2011">
        <w:rPr>
          <w:rFonts w:ascii="Times New Roman" w:eastAsia="Times New Roman" w:hAnsi="Times New Roman" w:cs="Times New Roman"/>
          <w:sz w:val="24"/>
          <w:szCs w:val="24"/>
        </w:rPr>
        <w:t xml:space="preserve">Amoxicillin plus clavulanic acid versus appendicectomy for treatment of acute uncomplicated appendicitis: an open-label, non-inferiority, </w:t>
      </w:r>
      <w:proofErr w:type="spellStart"/>
      <w:r w:rsidRPr="003C2011">
        <w:rPr>
          <w:rFonts w:ascii="Times New Roman" w:eastAsia="Times New Roman" w:hAnsi="Times New Roman" w:cs="Times New Roman"/>
          <w:sz w:val="24"/>
          <w:szCs w:val="24"/>
        </w:rPr>
        <w:t>randomised</w:t>
      </w:r>
      <w:proofErr w:type="spellEnd"/>
      <w:r w:rsidRPr="003C2011">
        <w:rPr>
          <w:rFonts w:ascii="Times New Roman" w:eastAsia="Times New Roman" w:hAnsi="Times New Roman" w:cs="Times New Roman"/>
          <w:sz w:val="24"/>
          <w:szCs w:val="24"/>
        </w:rPr>
        <w:t xml:space="preserve"> controlled trial. Lancet. 2011;377(9777):1573-9.</w:t>
      </w:r>
    </w:p>
    <w:p w14:paraId="39D15BFB" w14:textId="7FE42B1A" w:rsidR="347EC281" w:rsidRPr="003C2011" w:rsidRDefault="347EC281" w:rsidP="002D5CE0">
      <w:pPr>
        <w:shd w:val="clear" w:color="auto" w:fill="FFFFFF" w:themeFill="background1"/>
        <w:rPr>
          <w:rFonts w:ascii="Times New Roman" w:eastAsia="Times New Roman" w:hAnsi="Times New Roman" w:cs="Times New Roman"/>
          <w:sz w:val="24"/>
          <w:szCs w:val="24"/>
        </w:rPr>
      </w:pPr>
    </w:p>
    <w:p w14:paraId="44A990B5" w14:textId="04538D44" w:rsidR="191D911A" w:rsidRPr="003C2011" w:rsidRDefault="191D911A" w:rsidP="347EC281">
      <w:pPr>
        <w:pStyle w:val="ListParagraph"/>
        <w:numPr>
          <w:ilvl w:val="0"/>
          <w:numId w:val="9"/>
        </w:numPr>
        <w:shd w:val="clear" w:color="auto" w:fill="FFFFFF" w:themeFill="background1"/>
        <w:ind w:leftChars="0"/>
        <w:jc w:val="left"/>
        <w:rPr>
          <w:rFonts w:ascii="Times New Roman" w:eastAsia="Times New Roman" w:hAnsi="Times New Roman" w:cs="Times New Roman"/>
          <w:sz w:val="24"/>
          <w:szCs w:val="24"/>
        </w:rPr>
      </w:pPr>
      <w:r w:rsidRPr="003C2011">
        <w:rPr>
          <w:rFonts w:ascii="Times New Roman" w:eastAsia="Times New Roman" w:hAnsi="Times New Roman" w:cs="Times New Roman"/>
          <w:sz w:val="24"/>
          <w:szCs w:val="24"/>
          <w:lang w:val="fr-CA"/>
        </w:rPr>
        <w:t xml:space="preserve">Wilms IM, de </w:t>
      </w:r>
      <w:proofErr w:type="spellStart"/>
      <w:r w:rsidRPr="003C2011">
        <w:rPr>
          <w:rFonts w:ascii="Times New Roman" w:eastAsia="Times New Roman" w:hAnsi="Times New Roman" w:cs="Times New Roman"/>
          <w:sz w:val="24"/>
          <w:szCs w:val="24"/>
          <w:lang w:val="fr-CA"/>
        </w:rPr>
        <w:t>Hoog</w:t>
      </w:r>
      <w:proofErr w:type="spellEnd"/>
      <w:r w:rsidRPr="003C2011">
        <w:rPr>
          <w:rFonts w:ascii="Times New Roman" w:eastAsia="Times New Roman" w:hAnsi="Times New Roman" w:cs="Times New Roman"/>
          <w:sz w:val="24"/>
          <w:szCs w:val="24"/>
          <w:lang w:val="fr-CA"/>
        </w:rPr>
        <w:t xml:space="preserve"> DE, de Visser DC, </w:t>
      </w:r>
      <w:proofErr w:type="spellStart"/>
      <w:r w:rsidRPr="003C2011">
        <w:rPr>
          <w:rFonts w:ascii="Times New Roman" w:eastAsia="Times New Roman" w:hAnsi="Times New Roman" w:cs="Times New Roman"/>
          <w:sz w:val="24"/>
          <w:szCs w:val="24"/>
          <w:lang w:val="fr-CA"/>
        </w:rPr>
        <w:t>Janzing</w:t>
      </w:r>
      <w:proofErr w:type="spellEnd"/>
      <w:r w:rsidRPr="003C2011">
        <w:rPr>
          <w:rFonts w:ascii="Times New Roman" w:eastAsia="Times New Roman" w:hAnsi="Times New Roman" w:cs="Times New Roman"/>
          <w:sz w:val="24"/>
          <w:szCs w:val="24"/>
          <w:lang w:val="fr-CA"/>
        </w:rPr>
        <w:t xml:space="preserve"> HM. </w:t>
      </w:r>
      <w:r w:rsidRPr="003C2011">
        <w:rPr>
          <w:rFonts w:ascii="Times New Roman" w:eastAsia="Times New Roman" w:hAnsi="Times New Roman" w:cs="Times New Roman"/>
          <w:sz w:val="24"/>
          <w:szCs w:val="24"/>
        </w:rPr>
        <w:t>Appendectomy versus antibiotic treatment for acute appendicitis. Cochrane Database Syst Rev. 2011(11):CD008359.</w:t>
      </w:r>
    </w:p>
    <w:p w14:paraId="6DAA2F5F" w14:textId="76E7A59C" w:rsidR="347EC281" w:rsidRPr="003C2011" w:rsidRDefault="347EC281" w:rsidP="347EC281">
      <w:pPr>
        <w:shd w:val="clear" w:color="auto" w:fill="FFFFFF" w:themeFill="background1"/>
        <w:rPr>
          <w:rFonts w:ascii="Times New Roman" w:eastAsia="Times New Roman" w:hAnsi="Times New Roman" w:cs="Times New Roman"/>
          <w:sz w:val="24"/>
          <w:szCs w:val="24"/>
        </w:rPr>
      </w:pPr>
    </w:p>
    <w:p w14:paraId="5D957F6E" w14:textId="36D49A49" w:rsidR="4B10D3EC" w:rsidRPr="003C2011" w:rsidRDefault="4B10D3EC" w:rsidP="347EC281">
      <w:pPr>
        <w:pStyle w:val="ListParagraph"/>
        <w:numPr>
          <w:ilvl w:val="0"/>
          <w:numId w:val="9"/>
        </w:numPr>
        <w:shd w:val="clear" w:color="auto" w:fill="FFFFFF" w:themeFill="background1"/>
        <w:ind w:leftChars="0"/>
        <w:jc w:val="left"/>
        <w:rPr>
          <w:rFonts w:ascii="Times New Roman" w:eastAsia="Times New Roman" w:hAnsi="Times New Roman" w:cs="Times New Roman"/>
          <w:sz w:val="24"/>
          <w:szCs w:val="24"/>
        </w:rPr>
      </w:pPr>
      <w:proofErr w:type="spellStart"/>
      <w:r w:rsidRPr="003C2011">
        <w:rPr>
          <w:rStyle w:val="docsum-authors"/>
          <w:rFonts w:ascii="Times New Roman" w:eastAsia="Times New Roman" w:hAnsi="Times New Roman" w:cs="Times New Roman"/>
          <w:sz w:val="24"/>
          <w:szCs w:val="24"/>
        </w:rPr>
        <w:t>Zagales</w:t>
      </w:r>
      <w:proofErr w:type="spellEnd"/>
      <w:r w:rsidRPr="003C2011">
        <w:rPr>
          <w:rStyle w:val="docsum-authors"/>
          <w:rFonts w:ascii="Times New Roman" w:eastAsia="Times New Roman" w:hAnsi="Times New Roman" w:cs="Times New Roman"/>
          <w:sz w:val="24"/>
          <w:szCs w:val="24"/>
        </w:rPr>
        <w:t xml:space="preserve"> I, Sauder M, </w:t>
      </w:r>
      <w:proofErr w:type="spellStart"/>
      <w:r w:rsidRPr="003C2011">
        <w:rPr>
          <w:rStyle w:val="docsum-authors"/>
          <w:rFonts w:ascii="Times New Roman" w:eastAsia="Times New Roman" w:hAnsi="Times New Roman" w:cs="Times New Roman"/>
          <w:sz w:val="24"/>
          <w:szCs w:val="24"/>
        </w:rPr>
        <w:t>Selvakumar</w:t>
      </w:r>
      <w:proofErr w:type="spellEnd"/>
      <w:r w:rsidRPr="003C2011">
        <w:rPr>
          <w:rStyle w:val="docsum-authors"/>
          <w:rFonts w:ascii="Times New Roman" w:eastAsia="Times New Roman" w:hAnsi="Times New Roman" w:cs="Times New Roman"/>
          <w:sz w:val="24"/>
          <w:szCs w:val="24"/>
        </w:rPr>
        <w:t xml:space="preserve"> S, </w:t>
      </w:r>
      <w:proofErr w:type="spellStart"/>
      <w:r w:rsidRPr="003C2011">
        <w:rPr>
          <w:rStyle w:val="docsum-authors"/>
          <w:rFonts w:ascii="Times New Roman" w:eastAsia="Times New Roman" w:hAnsi="Times New Roman" w:cs="Times New Roman"/>
          <w:sz w:val="24"/>
          <w:szCs w:val="24"/>
        </w:rPr>
        <w:t>Spardy</w:t>
      </w:r>
      <w:proofErr w:type="spellEnd"/>
      <w:r w:rsidRPr="003C2011">
        <w:rPr>
          <w:rStyle w:val="docsum-authors"/>
          <w:rFonts w:ascii="Times New Roman" w:eastAsia="Times New Roman" w:hAnsi="Times New Roman" w:cs="Times New Roman"/>
          <w:sz w:val="24"/>
          <w:szCs w:val="24"/>
        </w:rPr>
        <w:t xml:space="preserve"> J, Santos RG, Cruz J, </w:t>
      </w:r>
      <w:proofErr w:type="spellStart"/>
      <w:r w:rsidRPr="003C2011">
        <w:rPr>
          <w:rStyle w:val="docsum-authors"/>
          <w:rFonts w:ascii="Times New Roman" w:eastAsia="Times New Roman" w:hAnsi="Times New Roman" w:cs="Times New Roman"/>
          <w:sz w:val="24"/>
          <w:szCs w:val="24"/>
        </w:rPr>
        <w:t>Bilski</w:t>
      </w:r>
      <w:proofErr w:type="spellEnd"/>
      <w:r w:rsidRPr="003C2011">
        <w:rPr>
          <w:rStyle w:val="docsum-authors"/>
          <w:rFonts w:ascii="Times New Roman" w:eastAsia="Times New Roman" w:hAnsi="Times New Roman" w:cs="Times New Roman"/>
          <w:sz w:val="24"/>
          <w:szCs w:val="24"/>
        </w:rPr>
        <w:t xml:space="preserve"> T, </w:t>
      </w:r>
      <w:proofErr w:type="spellStart"/>
      <w:r w:rsidRPr="003C2011">
        <w:rPr>
          <w:rStyle w:val="docsum-authors"/>
          <w:rFonts w:ascii="Times New Roman" w:eastAsia="Times New Roman" w:hAnsi="Times New Roman" w:cs="Times New Roman"/>
          <w:sz w:val="24"/>
          <w:szCs w:val="24"/>
        </w:rPr>
        <w:t>Elkbuli</w:t>
      </w:r>
      <w:proofErr w:type="spellEnd"/>
      <w:r w:rsidRPr="003C2011">
        <w:rPr>
          <w:rStyle w:val="docsum-authors"/>
          <w:rFonts w:ascii="Times New Roman" w:eastAsia="Times New Roman" w:hAnsi="Times New Roman" w:cs="Times New Roman"/>
          <w:sz w:val="24"/>
          <w:szCs w:val="24"/>
        </w:rPr>
        <w:t xml:space="preserve"> A. </w:t>
      </w:r>
      <w:hyperlink r:id="rId19">
        <w:r w:rsidR="64ED4AA5" w:rsidRPr="003C2011">
          <w:rPr>
            <w:rStyle w:val="Hyperlink"/>
            <w:rFonts w:ascii="Times New Roman" w:eastAsia="Times New Roman" w:hAnsi="Times New Roman" w:cs="Times New Roman"/>
            <w:color w:val="auto"/>
            <w:sz w:val="24"/>
            <w:szCs w:val="24"/>
            <w:u w:val="none"/>
          </w:rPr>
          <w:t>Comparing Outcomes of Appendectomy Versus Non-operative Antibiotic Therapy for Acute Appendicitis: A Systematic Review and Meta-Analysis of Randomized Clinical Trials.</w:t>
        </w:r>
      </w:hyperlink>
      <w:r w:rsidR="41A48EEA" w:rsidRPr="003C2011">
        <w:rPr>
          <w:rStyle w:val="docsum-journal-citation"/>
          <w:rFonts w:ascii="Times New Roman" w:eastAsia="Times New Roman" w:hAnsi="Times New Roman" w:cs="Times New Roman"/>
          <w:sz w:val="24"/>
          <w:szCs w:val="24"/>
        </w:rPr>
        <w:t xml:space="preserve"> </w:t>
      </w:r>
      <w:r w:rsidR="64ED4AA5" w:rsidRPr="003C2011">
        <w:rPr>
          <w:rStyle w:val="docsum-journal-citation"/>
          <w:rFonts w:ascii="Times New Roman" w:eastAsia="Times New Roman" w:hAnsi="Times New Roman" w:cs="Times New Roman"/>
          <w:sz w:val="24"/>
          <w:szCs w:val="24"/>
        </w:rPr>
        <w:t xml:space="preserve">Am Surg. 2023 Jun;89(6):2644-2655. </w:t>
      </w:r>
      <w:proofErr w:type="spellStart"/>
      <w:r w:rsidR="64ED4AA5" w:rsidRPr="003C2011">
        <w:rPr>
          <w:rStyle w:val="docsum-journal-citation"/>
          <w:rFonts w:ascii="Times New Roman" w:eastAsia="Times New Roman" w:hAnsi="Times New Roman" w:cs="Times New Roman"/>
          <w:sz w:val="24"/>
          <w:szCs w:val="24"/>
        </w:rPr>
        <w:t>doi</w:t>
      </w:r>
      <w:proofErr w:type="spellEnd"/>
      <w:r w:rsidR="64ED4AA5" w:rsidRPr="003C2011">
        <w:rPr>
          <w:rStyle w:val="docsum-journal-citation"/>
          <w:rFonts w:ascii="Times New Roman" w:eastAsia="Times New Roman" w:hAnsi="Times New Roman" w:cs="Times New Roman"/>
          <w:sz w:val="24"/>
          <w:szCs w:val="24"/>
        </w:rPr>
        <w:t>: 10.1177/00031348221114045. </w:t>
      </w:r>
    </w:p>
    <w:p w14:paraId="72651097" w14:textId="28B87708" w:rsidR="347EC281" w:rsidRPr="003C2011" w:rsidRDefault="347EC281" w:rsidP="347EC281">
      <w:pPr>
        <w:pStyle w:val="EndNoteBibliography"/>
        <w:spacing w:after="0"/>
        <w:rPr>
          <w:rFonts w:ascii="Times New Roman" w:eastAsia="Times New Roman" w:hAnsi="Times New Roman" w:cs="Times New Roman"/>
          <w:sz w:val="24"/>
          <w:szCs w:val="24"/>
        </w:rPr>
      </w:pPr>
    </w:p>
    <w:p w14:paraId="0D35103B" w14:textId="6683202F" w:rsidR="3AB27890" w:rsidRPr="003C2011" w:rsidRDefault="3AB27890" w:rsidP="347EC281">
      <w:pPr>
        <w:pStyle w:val="ListParagraph"/>
        <w:numPr>
          <w:ilvl w:val="0"/>
          <w:numId w:val="9"/>
        </w:numPr>
        <w:ind w:leftChars="0"/>
        <w:jc w:val="left"/>
        <w:rPr>
          <w:rFonts w:ascii="Times New Roman" w:eastAsia="Times New Roman" w:hAnsi="Times New Roman" w:cs="Times New Roman"/>
          <w:sz w:val="24"/>
          <w:szCs w:val="24"/>
        </w:rPr>
      </w:pPr>
      <w:r w:rsidRPr="003C2011">
        <w:rPr>
          <w:rStyle w:val="docsum-authors"/>
          <w:rFonts w:ascii="Times New Roman" w:eastAsia="Times New Roman" w:hAnsi="Times New Roman" w:cs="Times New Roman"/>
          <w:sz w:val="24"/>
          <w:szCs w:val="24"/>
        </w:rPr>
        <w:t xml:space="preserve">de Almeida </w:t>
      </w:r>
      <w:proofErr w:type="spellStart"/>
      <w:r w:rsidRPr="003C2011">
        <w:rPr>
          <w:rStyle w:val="docsum-authors"/>
          <w:rFonts w:ascii="Times New Roman" w:eastAsia="Times New Roman" w:hAnsi="Times New Roman" w:cs="Times New Roman"/>
          <w:sz w:val="24"/>
          <w:szCs w:val="24"/>
        </w:rPr>
        <w:t>Leite</w:t>
      </w:r>
      <w:proofErr w:type="spellEnd"/>
      <w:r w:rsidRPr="003C2011">
        <w:rPr>
          <w:rStyle w:val="docsum-authors"/>
          <w:rFonts w:ascii="Times New Roman" w:eastAsia="Times New Roman" w:hAnsi="Times New Roman" w:cs="Times New Roman"/>
          <w:sz w:val="24"/>
          <w:szCs w:val="24"/>
        </w:rPr>
        <w:t xml:space="preserve"> RM, Seo DJ, Gomez-</w:t>
      </w:r>
      <w:proofErr w:type="spellStart"/>
      <w:r w:rsidRPr="003C2011">
        <w:rPr>
          <w:rStyle w:val="docsum-authors"/>
          <w:rFonts w:ascii="Times New Roman" w:eastAsia="Times New Roman" w:hAnsi="Times New Roman" w:cs="Times New Roman"/>
          <w:sz w:val="24"/>
          <w:szCs w:val="24"/>
        </w:rPr>
        <w:t>Eslava</w:t>
      </w:r>
      <w:proofErr w:type="spellEnd"/>
      <w:r w:rsidRPr="003C2011">
        <w:rPr>
          <w:rStyle w:val="docsum-authors"/>
          <w:rFonts w:ascii="Times New Roman" w:eastAsia="Times New Roman" w:hAnsi="Times New Roman" w:cs="Times New Roman"/>
          <w:sz w:val="24"/>
          <w:szCs w:val="24"/>
        </w:rPr>
        <w:t xml:space="preserve"> B, Hossain S, </w:t>
      </w:r>
      <w:proofErr w:type="spellStart"/>
      <w:r w:rsidRPr="003C2011">
        <w:rPr>
          <w:rStyle w:val="docsum-authors"/>
          <w:rFonts w:ascii="Times New Roman" w:eastAsia="Times New Roman" w:hAnsi="Times New Roman" w:cs="Times New Roman"/>
          <w:sz w:val="24"/>
          <w:szCs w:val="24"/>
        </w:rPr>
        <w:t>Lesegretain</w:t>
      </w:r>
      <w:proofErr w:type="spellEnd"/>
      <w:r w:rsidRPr="003C2011">
        <w:rPr>
          <w:rStyle w:val="docsum-authors"/>
          <w:rFonts w:ascii="Times New Roman" w:eastAsia="Times New Roman" w:hAnsi="Times New Roman" w:cs="Times New Roman"/>
          <w:sz w:val="24"/>
          <w:szCs w:val="24"/>
        </w:rPr>
        <w:t xml:space="preserve"> A, de Souza AV, Bay CP, </w:t>
      </w:r>
      <w:proofErr w:type="spellStart"/>
      <w:r w:rsidRPr="003C2011">
        <w:rPr>
          <w:rStyle w:val="docsum-authors"/>
          <w:rFonts w:ascii="Times New Roman" w:eastAsia="Times New Roman" w:hAnsi="Times New Roman" w:cs="Times New Roman"/>
          <w:sz w:val="24"/>
          <w:szCs w:val="24"/>
        </w:rPr>
        <w:t>Zilberstein</w:t>
      </w:r>
      <w:proofErr w:type="spellEnd"/>
      <w:r w:rsidRPr="003C2011">
        <w:rPr>
          <w:rStyle w:val="docsum-authors"/>
          <w:rFonts w:ascii="Times New Roman" w:eastAsia="Times New Roman" w:hAnsi="Times New Roman" w:cs="Times New Roman"/>
          <w:sz w:val="24"/>
          <w:szCs w:val="24"/>
        </w:rPr>
        <w:t xml:space="preserve"> B, </w:t>
      </w:r>
      <w:proofErr w:type="spellStart"/>
      <w:r w:rsidRPr="003C2011">
        <w:rPr>
          <w:rStyle w:val="docsum-authors"/>
          <w:rFonts w:ascii="Times New Roman" w:eastAsia="Times New Roman" w:hAnsi="Times New Roman" w:cs="Times New Roman"/>
          <w:sz w:val="24"/>
          <w:szCs w:val="24"/>
        </w:rPr>
        <w:t>Marchi</w:t>
      </w:r>
      <w:proofErr w:type="spellEnd"/>
      <w:r w:rsidRPr="003C2011">
        <w:rPr>
          <w:rStyle w:val="docsum-authors"/>
          <w:rFonts w:ascii="Times New Roman" w:eastAsia="Times New Roman" w:hAnsi="Times New Roman" w:cs="Times New Roman"/>
          <w:sz w:val="24"/>
          <w:szCs w:val="24"/>
        </w:rPr>
        <w:t xml:space="preserve"> E, Machado RB, </w:t>
      </w:r>
      <w:proofErr w:type="spellStart"/>
      <w:r w:rsidRPr="003C2011">
        <w:rPr>
          <w:rStyle w:val="docsum-authors"/>
          <w:rFonts w:ascii="Times New Roman" w:eastAsia="Times New Roman" w:hAnsi="Times New Roman" w:cs="Times New Roman"/>
          <w:sz w:val="24"/>
          <w:szCs w:val="24"/>
        </w:rPr>
        <w:t>Barchi</w:t>
      </w:r>
      <w:proofErr w:type="spellEnd"/>
      <w:r w:rsidRPr="003C2011">
        <w:rPr>
          <w:rStyle w:val="docsum-authors"/>
          <w:rFonts w:ascii="Times New Roman" w:eastAsia="Times New Roman" w:hAnsi="Times New Roman" w:cs="Times New Roman"/>
          <w:sz w:val="24"/>
          <w:szCs w:val="24"/>
        </w:rPr>
        <w:t xml:space="preserve"> LC, Ricciardi R. </w:t>
      </w:r>
      <w:hyperlink r:id="rId20">
        <w:r w:rsidR="64ED4AA5" w:rsidRPr="003C2011">
          <w:rPr>
            <w:rStyle w:val="Hyperlink"/>
            <w:rFonts w:ascii="Times New Roman" w:eastAsia="Times New Roman" w:hAnsi="Times New Roman" w:cs="Times New Roman"/>
            <w:color w:val="auto"/>
            <w:sz w:val="24"/>
            <w:szCs w:val="24"/>
            <w:u w:val="none"/>
          </w:rPr>
          <w:t>Nonoperative vs Operative Management of Uncomplicated Acute Appendicitis: A Systematic Review and Meta-analysis.</w:t>
        </w:r>
      </w:hyperlink>
      <w:r w:rsidR="4E2AC760" w:rsidRPr="003C2011">
        <w:rPr>
          <w:rStyle w:val="docsum-journal-citation"/>
          <w:rFonts w:ascii="Times New Roman" w:eastAsia="Times New Roman" w:hAnsi="Times New Roman" w:cs="Times New Roman"/>
          <w:sz w:val="24"/>
          <w:szCs w:val="24"/>
        </w:rPr>
        <w:t xml:space="preserve"> </w:t>
      </w:r>
      <w:r w:rsidR="64ED4AA5" w:rsidRPr="003C2011">
        <w:rPr>
          <w:rStyle w:val="docsum-journal-citation"/>
          <w:rFonts w:ascii="Times New Roman" w:eastAsia="Times New Roman" w:hAnsi="Times New Roman" w:cs="Times New Roman"/>
          <w:sz w:val="24"/>
          <w:szCs w:val="24"/>
        </w:rPr>
        <w:t>JAMA Surg. 2022 Sep 1;157(9):828-834.</w:t>
      </w:r>
    </w:p>
    <w:p w14:paraId="27F864AB" w14:textId="213CC0D2" w:rsidR="347EC281" w:rsidRPr="003C2011" w:rsidRDefault="347EC281" w:rsidP="347EC281">
      <w:pPr>
        <w:rPr>
          <w:rFonts w:ascii="Times New Roman" w:eastAsia="Times New Roman" w:hAnsi="Times New Roman" w:cs="Times New Roman"/>
          <w:sz w:val="24"/>
          <w:szCs w:val="24"/>
        </w:rPr>
      </w:pPr>
    </w:p>
    <w:p w14:paraId="2850A6EB" w14:textId="7CDCA5E1" w:rsidR="258C3931" w:rsidRPr="003C2011" w:rsidRDefault="258C3931" w:rsidP="347EC281">
      <w:pPr>
        <w:pStyle w:val="ListParagraph"/>
        <w:numPr>
          <w:ilvl w:val="0"/>
          <w:numId w:val="9"/>
        </w:numPr>
        <w:ind w:leftChars="0"/>
        <w:jc w:val="left"/>
        <w:rPr>
          <w:rFonts w:ascii="Times New Roman" w:eastAsia="Times New Roman" w:hAnsi="Times New Roman" w:cs="Times New Roman"/>
          <w:sz w:val="24"/>
          <w:szCs w:val="24"/>
        </w:rPr>
      </w:pPr>
      <w:r w:rsidRPr="003C2011">
        <w:rPr>
          <w:rStyle w:val="docsum-authors"/>
          <w:rFonts w:ascii="Times New Roman" w:eastAsia="Times New Roman" w:hAnsi="Times New Roman" w:cs="Times New Roman"/>
          <w:sz w:val="24"/>
          <w:szCs w:val="24"/>
        </w:rPr>
        <w:t xml:space="preserve">Thompson CM, </w:t>
      </w:r>
      <w:proofErr w:type="spellStart"/>
      <w:r w:rsidRPr="003C2011">
        <w:rPr>
          <w:rStyle w:val="docsum-authors"/>
          <w:rFonts w:ascii="Times New Roman" w:eastAsia="Times New Roman" w:hAnsi="Times New Roman" w:cs="Times New Roman"/>
          <w:sz w:val="24"/>
          <w:szCs w:val="24"/>
        </w:rPr>
        <w:t>Voldal</w:t>
      </w:r>
      <w:proofErr w:type="spellEnd"/>
      <w:r w:rsidRPr="003C2011">
        <w:rPr>
          <w:rStyle w:val="docsum-authors"/>
          <w:rFonts w:ascii="Times New Roman" w:eastAsia="Times New Roman" w:hAnsi="Times New Roman" w:cs="Times New Roman"/>
          <w:sz w:val="24"/>
          <w:szCs w:val="24"/>
        </w:rPr>
        <w:t xml:space="preserve"> EC, Davidson GH, Sanchez SE, </w:t>
      </w:r>
      <w:proofErr w:type="spellStart"/>
      <w:r w:rsidRPr="003C2011">
        <w:rPr>
          <w:rStyle w:val="docsum-authors"/>
          <w:rFonts w:ascii="Times New Roman" w:eastAsia="Times New Roman" w:hAnsi="Times New Roman" w:cs="Times New Roman"/>
          <w:sz w:val="24"/>
          <w:szCs w:val="24"/>
        </w:rPr>
        <w:t>Ayoung</w:t>
      </w:r>
      <w:proofErr w:type="spellEnd"/>
      <w:r w:rsidRPr="003C2011">
        <w:rPr>
          <w:rStyle w:val="docsum-authors"/>
          <w:rFonts w:ascii="Times New Roman" w:eastAsia="Times New Roman" w:hAnsi="Times New Roman" w:cs="Times New Roman"/>
          <w:sz w:val="24"/>
          <w:szCs w:val="24"/>
        </w:rPr>
        <w:t xml:space="preserve">-Chee P, Victory J, </w:t>
      </w:r>
      <w:proofErr w:type="spellStart"/>
      <w:r w:rsidRPr="003C2011">
        <w:rPr>
          <w:rStyle w:val="docsum-authors"/>
          <w:rFonts w:ascii="Times New Roman" w:eastAsia="Times New Roman" w:hAnsi="Times New Roman" w:cs="Times New Roman"/>
          <w:sz w:val="24"/>
          <w:szCs w:val="24"/>
        </w:rPr>
        <w:t>Guiden</w:t>
      </w:r>
      <w:proofErr w:type="spellEnd"/>
      <w:r w:rsidRPr="003C2011">
        <w:rPr>
          <w:rStyle w:val="docsum-authors"/>
          <w:rFonts w:ascii="Times New Roman" w:eastAsia="Times New Roman" w:hAnsi="Times New Roman" w:cs="Times New Roman"/>
          <w:sz w:val="24"/>
          <w:szCs w:val="24"/>
        </w:rPr>
        <w:t xml:space="preserve"> M, Bizzell B, Glaser J, </w:t>
      </w:r>
      <w:proofErr w:type="spellStart"/>
      <w:r w:rsidRPr="003C2011">
        <w:rPr>
          <w:rStyle w:val="docsum-authors"/>
          <w:rFonts w:ascii="Times New Roman" w:eastAsia="Times New Roman" w:hAnsi="Times New Roman" w:cs="Times New Roman"/>
          <w:sz w:val="24"/>
          <w:szCs w:val="24"/>
        </w:rPr>
        <w:t>Hults</w:t>
      </w:r>
      <w:proofErr w:type="spellEnd"/>
      <w:r w:rsidRPr="003C2011">
        <w:rPr>
          <w:rStyle w:val="docsum-authors"/>
          <w:rFonts w:ascii="Times New Roman" w:eastAsia="Times New Roman" w:hAnsi="Times New Roman" w:cs="Times New Roman"/>
          <w:sz w:val="24"/>
          <w:szCs w:val="24"/>
        </w:rPr>
        <w:t xml:space="preserve"> C, Price TP, </w:t>
      </w:r>
      <w:proofErr w:type="spellStart"/>
      <w:r w:rsidRPr="003C2011">
        <w:rPr>
          <w:rStyle w:val="docsum-authors"/>
          <w:rFonts w:ascii="Times New Roman" w:eastAsia="Times New Roman" w:hAnsi="Times New Roman" w:cs="Times New Roman"/>
          <w:sz w:val="24"/>
          <w:szCs w:val="24"/>
        </w:rPr>
        <w:t>Siparsky</w:t>
      </w:r>
      <w:proofErr w:type="spellEnd"/>
      <w:r w:rsidRPr="003C2011">
        <w:rPr>
          <w:rStyle w:val="docsum-authors"/>
          <w:rFonts w:ascii="Times New Roman" w:eastAsia="Times New Roman" w:hAnsi="Times New Roman" w:cs="Times New Roman"/>
          <w:sz w:val="24"/>
          <w:szCs w:val="24"/>
        </w:rPr>
        <w:t xml:space="preserve"> N, </w:t>
      </w:r>
      <w:proofErr w:type="spellStart"/>
      <w:r w:rsidRPr="003C2011">
        <w:rPr>
          <w:rStyle w:val="docsum-authors"/>
          <w:rFonts w:ascii="Times New Roman" w:eastAsia="Times New Roman" w:hAnsi="Times New Roman" w:cs="Times New Roman"/>
          <w:sz w:val="24"/>
          <w:szCs w:val="24"/>
        </w:rPr>
        <w:t>Ohe</w:t>
      </w:r>
      <w:proofErr w:type="spellEnd"/>
      <w:r w:rsidRPr="003C2011">
        <w:rPr>
          <w:rStyle w:val="docsum-authors"/>
          <w:rFonts w:ascii="Times New Roman" w:eastAsia="Times New Roman" w:hAnsi="Times New Roman" w:cs="Times New Roman"/>
          <w:sz w:val="24"/>
          <w:szCs w:val="24"/>
        </w:rPr>
        <w:t xml:space="preserve"> K, Mandell KA, </w:t>
      </w:r>
      <w:proofErr w:type="spellStart"/>
      <w:r w:rsidRPr="003C2011">
        <w:rPr>
          <w:rStyle w:val="docsum-authors"/>
          <w:rFonts w:ascii="Times New Roman" w:eastAsia="Times New Roman" w:hAnsi="Times New Roman" w:cs="Times New Roman"/>
          <w:sz w:val="24"/>
          <w:szCs w:val="24"/>
        </w:rPr>
        <w:t>DeUgarte</w:t>
      </w:r>
      <w:proofErr w:type="spellEnd"/>
      <w:r w:rsidRPr="003C2011">
        <w:rPr>
          <w:rStyle w:val="docsum-authors"/>
          <w:rFonts w:ascii="Times New Roman" w:eastAsia="Times New Roman" w:hAnsi="Times New Roman" w:cs="Times New Roman"/>
          <w:sz w:val="24"/>
          <w:szCs w:val="24"/>
        </w:rPr>
        <w:t xml:space="preserve"> DA, </w:t>
      </w:r>
      <w:proofErr w:type="spellStart"/>
      <w:r w:rsidRPr="003C2011">
        <w:rPr>
          <w:rStyle w:val="docsum-authors"/>
          <w:rFonts w:ascii="Times New Roman" w:eastAsia="Times New Roman" w:hAnsi="Times New Roman" w:cs="Times New Roman"/>
          <w:sz w:val="24"/>
          <w:szCs w:val="24"/>
        </w:rPr>
        <w:t>Kaji</w:t>
      </w:r>
      <w:proofErr w:type="spellEnd"/>
      <w:r w:rsidRPr="003C2011">
        <w:rPr>
          <w:rStyle w:val="docsum-authors"/>
          <w:rFonts w:ascii="Times New Roman" w:eastAsia="Times New Roman" w:hAnsi="Times New Roman" w:cs="Times New Roman"/>
          <w:sz w:val="24"/>
          <w:szCs w:val="24"/>
        </w:rPr>
        <w:t xml:space="preserve"> AH, Uribe L, Kao LS, </w:t>
      </w:r>
      <w:proofErr w:type="spellStart"/>
      <w:r w:rsidRPr="003C2011">
        <w:rPr>
          <w:rStyle w:val="docsum-authors"/>
          <w:rFonts w:ascii="Times New Roman" w:eastAsia="Times New Roman" w:hAnsi="Times New Roman" w:cs="Times New Roman"/>
          <w:sz w:val="24"/>
          <w:szCs w:val="24"/>
        </w:rPr>
        <w:t>Mueck</w:t>
      </w:r>
      <w:proofErr w:type="spellEnd"/>
      <w:r w:rsidRPr="003C2011">
        <w:rPr>
          <w:rStyle w:val="docsum-authors"/>
          <w:rFonts w:ascii="Times New Roman" w:eastAsia="Times New Roman" w:hAnsi="Times New Roman" w:cs="Times New Roman"/>
          <w:sz w:val="24"/>
          <w:szCs w:val="24"/>
        </w:rPr>
        <w:t xml:space="preserve"> KM, </w:t>
      </w:r>
      <w:proofErr w:type="spellStart"/>
      <w:r w:rsidRPr="003C2011">
        <w:rPr>
          <w:rStyle w:val="docsum-authors"/>
          <w:rFonts w:ascii="Times New Roman" w:eastAsia="Times New Roman" w:hAnsi="Times New Roman" w:cs="Times New Roman"/>
          <w:sz w:val="24"/>
          <w:szCs w:val="24"/>
        </w:rPr>
        <w:t>Farjah</w:t>
      </w:r>
      <w:proofErr w:type="spellEnd"/>
      <w:r w:rsidRPr="003C2011">
        <w:rPr>
          <w:rStyle w:val="docsum-authors"/>
          <w:rFonts w:ascii="Times New Roman" w:eastAsia="Times New Roman" w:hAnsi="Times New Roman" w:cs="Times New Roman"/>
          <w:sz w:val="24"/>
          <w:szCs w:val="24"/>
        </w:rPr>
        <w:t xml:space="preserve"> F, Self WH, Clark S, Drake FT, </w:t>
      </w:r>
      <w:proofErr w:type="spellStart"/>
      <w:r w:rsidRPr="003C2011">
        <w:rPr>
          <w:rStyle w:val="docsum-authors"/>
          <w:rFonts w:ascii="Times New Roman" w:eastAsia="Times New Roman" w:hAnsi="Times New Roman" w:cs="Times New Roman"/>
          <w:sz w:val="24"/>
          <w:szCs w:val="24"/>
        </w:rPr>
        <w:t>Fischkoff</w:t>
      </w:r>
      <w:proofErr w:type="spellEnd"/>
      <w:r w:rsidRPr="003C2011">
        <w:rPr>
          <w:rStyle w:val="docsum-authors"/>
          <w:rFonts w:ascii="Times New Roman" w:eastAsia="Times New Roman" w:hAnsi="Times New Roman" w:cs="Times New Roman"/>
          <w:sz w:val="24"/>
          <w:szCs w:val="24"/>
        </w:rPr>
        <w:t xml:space="preserve"> K, </w:t>
      </w:r>
      <w:proofErr w:type="spellStart"/>
      <w:r w:rsidRPr="003C2011">
        <w:rPr>
          <w:rStyle w:val="docsum-authors"/>
          <w:rFonts w:ascii="Times New Roman" w:eastAsia="Times New Roman" w:hAnsi="Times New Roman" w:cs="Times New Roman"/>
          <w:sz w:val="24"/>
          <w:szCs w:val="24"/>
        </w:rPr>
        <w:t>Minko</w:t>
      </w:r>
      <w:proofErr w:type="spellEnd"/>
      <w:r w:rsidRPr="003C2011">
        <w:rPr>
          <w:rStyle w:val="docsum-authors"/>
          <w:rFonts w:ascii="Times New Roman" w:eastAsia="Times New Roman" w:hAnsi="Times New Roman" w:cs="Times New Roman"/>
          <w:sz w:val="24"/>
          <w:szCs w:val="24"/>
        </w:rPr>
        <w:t xml:space="preserve"> E, </w:t>
      </w:r>
      <w:proofErr w:type="spellStart"/>
      <w:r w:rsidRPr="003C2011">
        <w:rPr>
          <w:rStyle w:val="docsum-authors"/>
          <w:rFonts w:ascii="Times New Roman" w:eastAsia="Times New Roman" w:hAnsi="Times New Roman" w:cs="Times New Roman"/>
          <w:sz w:val="24"/>
          <w:szCs w:val="24"/>
        </w:rPr>
        <w:t>Cuschieri</w:t>
      </w:r>
      <w:proofErr w:type="spellEnd"/>
      <w:r w:rsidRPr="003C2011">
        <w:rPr>
          <w:rStyle w:val="docsum-authors"/>
          <w:rFonts w:ascii="Times New Roman" w:eastAsia="Times New Roman" w:hAnsi="Times New Roman" w:cs="Times New Roman"/>
          <w:sz w:val="24"/>
          <w:szCs w:val="24"/>
        </w:rPr>
        <w:t xml:space="preserve"> J, </w:t>
      </w:r>
      <w:proofErr w:type="spellStart"/>
      <w:r w:rsidRPr="003C2011">
        <w:rPr>
          <w:rStyle w:val="docsum-authors"/>
          <w:rFonts w:ascii="Times New Roman" w:eastAsia="Times New Roman" w:hAnsi="Times New Roman" w:cs="Times New Roman"/>
          <w:sz w:val="24"/>
          <w:szCs w:val="24"/>
        </w:rPr>
        <w:t>Faine</w:t>
      </w:r>
      <w:proofErr w:type="spellEnd"/>
      <w:r w:rsidRPr="003C2011">
        <w:rPr>
          <w:rStyle w:val="docsum-authors"/>
          <w:rFonts w:ascii="Times New Roman" w:eastAsia="Times New Roman" w:hAnsi="Times New Roman" w:cs="Times New Roman"/>
          <w:sz w:val="24"/>
          <w:szCs w:val="24"/>
        </w:rPr>
        <w:t xml:space="preserve"> B, </w:t>
      </w:r>
      <w:proofErr w:type="spellStart"/>
      <w:r w:rsidRPr="003C2011">
        <w:rPr>
          <w:rStyle w:val="docsum-authors"/>
          <w:rFonts w:ascii="Times New Roman" w:eastAsia="Times New Roman" w:hAnsi="Times New Roman" w:cs="Times New Roman"/>
          <w:sz w:val="24"/>
          <w:szCs w:val="24"/>
        </w:rPr>
        <w:t>Skeete</w:t>
      </w:r>
      <w:proofErr w:type="spellEnd"/>
      <w:r w:rsidRPr="003C2011">
        <w:rPr>
          <w:rStyle w:val="docsum-authors"/>
          <w:rFonts w:ascii="Times New Roman" w:eastAsia="Times New Roman" w:hAnsi="Times New Roman" w:cs="Times New Roman"/>
          <w:sz w:val="24"/>
          <w:szCs w:val="24"/>
        </w:rPr>
        <w:t xml:space="preserve"> DA, Dhanani N, Liang MK, </w:t>
      </w:r>
      <w:proofErr w:type="spellStart"/>
      <w:r w:rsidRPr="003C2011">
        <w:rPr>
          <w:rStyle w:val="docsum-authors"/>
          <w:rFonts w:ascii="Times New Roman" w:eastAsia="Times New Roman" w:hAnsi="Times New Roman" w:cs="Times New Roman"/>
          <w:sz w:val="24"/>
          <w:szCs w:val="24"/>
        </w:rPr>
        <w:t>Krishnadasan</w:t>
      </w:r>
      <w:proofErr w:type="spellEnd"/>
      <w:r w:rsidRPr="003C2011">
        <w:rPr>
          <w:rStyle w:val="docsum-authors"/>
          <w:rFonts w:ascii="Times New Roman" w:eastAsia="Times New Roman" w:hAnsi="Times New Roman" w:cs="Times New Roman"/>
          <w:sz w:val="24"/>
          <w:szCs w:val="24"/>
        </w:rPr>
        <w:t xml:space="preserve"> A, Talan DA, </w:t>
      </w:r>
      <w:proofErr w:type="spellStart"/>
      <w:r w:rsidRPr="003C2011">
        <w:rPr>
          <w:rStyle w:val="docsum-authors"/>
          <w:rFonts w:ascii="Times New Roman" w:eastAsia="Times New Roman" w:hAnsi="Times New Roman" w:cs="Times New Roman"/>
          <w:sz w:val="24"/>
          <w:szCs w:val="24"/>
        </w:rPr>
        <w:t>Fannon</w:t>
      </w:r>
      <w:proofErr w:type="spellEnd"/>
      <w:r w:rsidRPr="003C2011">
        <w:rPr>
          <w:rStyle w:val="docsum-authors"/>
          <w:rFonts w:ascii="Times New Roman" w:eastAsia="Times New Roman" w:hAnsi="Times New Roman" w:cs="Times New Roman"/>
          <w:sz w:val="24"/>
          <w:szCs w:val="24"/>
        </w:rPr>
        <w:t xml:space="preserve"> E, Kessler LG, Comstock BA, </w:t>
      </w:r>
      <w:proofErr w:type="spellStart"/>
      <w:r w:rsidRPr="003C2011">
        <w:rPr>
          <w:rStyle w:val="docsum-authors"/>
          <w:rFonts w:ascii="Times New Roman" w:eastAsia="Times New Roman" w:hAnsi="Times New Roman" w:cs="Times New Roman"/>
          <w:sz w:val="24"/>
          <w:szCs w:val="24"/>
        </w:rPr>
        <w:t>Heagerty</w:t>
      </w:r>
      <w:proofErr w:type="spellEnd"/>
      <w:r w:rsidRPr="003C2011">
        <w:rPr>
          <w:rStyle w:val="docsum-authors"/>
          <w:rFonts w:ascii="Times New Roman" w:eastAsia="Times New Roman" w:hAnsi="Times New Roman" w:cs="Times New Roman"/>
          <w:sz w:val="24"/>
          <w:szCs w:val="24"/>
        </w:rPr>
        <w:t xml:space="preserve"> PJ, </w:t>
      </w:r>
      <w:proofErr w:type="spellStart"/>
      <w:r w:rsidRPr="003C2011">
        <w:rPr>
          <w:rStyle w:val="docsum-authors"/>
          <w:rFonts w:ascii="Times New Roman" w:eastAsia="Times New Roman" w:hAnsi="Times New Roman" w:cs="Times New Roman"/>
          <w:sz w:val="24"/>
          <w:szCs w:val="24"/>
        </w:rPr>
        <w:t>Monsell</w:t>
      </w:r>
      <w:proofErr w:type="spellEnd"/>
      <w:r w:rsidRPr="003C2011">
        <w:rPr>
          <w:rStyle w:val="docsum-authors"/>
          <w:rFonts w:ascii="Times New Roman" w:eastAsia="Times New Roman" w:hAnsi="Times New Roman" w:cs="Times New Roman"/>
          <w:sz w:val="24"/>
          <w:szCs w:val="24"/>
        </w:rPr>
        <w:t xml:space="preserve"> SE, Lawrence SO, Flum DR, Lavallee DC; Writing Group for the CODA Collaborative:.</w:t>
      </w:r>
      <w:r w:rsidRPr="003C2011">
        <w:rPr>
          <w:rStyle w:val="Hyperlink"/>
          <w:rFonts w:ascii="Times New Roman" w:eastAsia="Times New Roman" w:hAnsi="Times New Roman" w:cs="Times New Roman"/>
          <w:color w:val="auto"/>
          <w:sz w:val="24"/>
          <w:szCs w:val="24"/>
          <w:u w:val="none"/>
        </w:rPr>
        <w:t xml:space="preserve"> </w:t>
      </w:r>
      <w:hyperlink r:id="rId21">
        <w:r w:rsidRPr="003C2011">
          <w:rPr>
            <w:rStyle w:val="Hyperlink"/>
            <w:rFonts w:ascii="Times New Roman" w:eastAsia="Times New Roman" w:hAnsi="Times New Roman" w:cs="Times New Roman"/>
            <w:color w:val="auto"/>
            <w:sz w:val="24"/>
            <w:szCs w:val="24"/>
            <w:u w:val="none"/>
          </w:rPr>
          <w:t xml:space="preserve">Perception of Treatment Success and Impact on Function with Antibiotics </w:t>
        </w:r>
        <w:r w:rsidRPr="003C2011">
          <w:rPr>
            <w:rStyle w:val="Hyperlink"/>
            <w:rFonts w:ascii="Times New Roman" w:eastAsia="Times New Roman" w:hAnsi="Times New Roman" w:cs="Times New Roman"/>
            <w:color w:val="auto"/>
            <w:sz w:val="24"/>
            <w:szCs w:val="24"/>
            <w:u w:val="none"/>
          </w:rPr>
          <w:lastRenderedPageBreak/>
          <w:t>or Appendectomy for Appendicitis: A Randomized Clinical Trial with an Observational Cohort.</w:t>
        </w:r>
      </w:hyperlink>
      <w:r w:rsidRPr="003C2011">
        <w:rPr>
          <w:rStyle w:val="docsum-journal-citation"/>
          <w:rFonts w:ascii="Times New Roman" w:eastAsia="Times New Roman" w:hAnsi="Times New Roman" w:cs="Times New Roman"/>
          <w:sz w:val="24"/>
          <w:szCs w:val="24"/>
        </w:rPr>
        <w:t xml:space="preserve"> Ann Surg. 2022 Jul 11;277(6):886-93. </w:t>
      </w:r>
      <w:proofErr w:type="spellStart"/>
      <w:r w:rsidRPr="003C2011">
        <w:rPr>
          <w:rStyle w:val="docsum-journal-citation"/>
          <w:rFonts w:ascii="Times New Roman" w:eastAsia="Times New Roman" w:hAnsi="Times New Roman" w:cs="Times New Roman"/>
          <w:sz w:val="24"/>
          <w:szCs w:val="24"/>
        </w:rPr>
        <w:t>doi</w:t>
      </w:r>
      <w:proofErr w:type="spellEnd"/>
      <w:r w:rsidRPr="003C2011">
        <w:rPr>
          <w:rStyle w:val="docsum-journal-citation"/>
          <w:rFonts w:ascii="Times New Roman" w:eastAsia="Times New Roman" w:hAnsi="Times New Roman" w:cs="Times New Roman"/>
          <w:sz w:val="24"/>
          <w:szCs w:val="24"/>
        </w:rPr>
        <w:t>: 10.1097/SLA.0000000000005458. </w:t>
      </w:r>
    </w:p>
    <w:p w14:paraId="5E0EA11E" w14:textId="280A6AFB" w:rsidR="347EC281" w:rsidRPr="003C2011" w:rsidRDefault="347EC281" w:rsidP="347EC281">
      <w:pPr>
        <w:shd w:val="clear" w:color="auto" w:fill="FFFFFF" w:themeFill="background1"/>
        <w:rPr>
          <w:rFonts w:ascii="Times New Roman" w:eastAsia="Times New Roman" w:hAnsi="Times New Roman" w:cs="Times New Roman"/>
          <w:sz w:val="24"/>
          <w:szCs w:val="24"/>
        </w:rPr>
      </w:pPr>
    </w:p>
    <w:p w14:paraId="0067CCD6" w14:textId="51CF55DE" w:rsidR="347EC281" w:rsidRPr="003C2011" w:rsidRDefault="347EC281" w:rsidP="347EC281">
      <w:pPr>
        <w:shd w:val="clear" w:color="auto" w:fill="FFFFFF" w:themeFill="background1"/>
        <w:rPr>
          <w:rFonts w:ascii="Calibri" w:eastAsia="Calibri" w:hAnsi="Calibri" w:cs="Calibri"/>
          <w:sz w:val="21"/>
          <w:szCs w:val="21"/>
          <w:lang w:eastAsia="ja-JP"/>
        </w:rPr>
      </w:pPr>
    </w:p>
    <w:p w14:paraId="2F9FB892" w14:textId="77777777" w:rsidR="009A0FE5" w:rsidRPr="003C2011" w:rsidRDefault="009A0FE5" w:rsidP="347EC281">
      <w:pPr>
        <w:shd w:val="clear" w:color="auto" w:fill="FFFFFF" w:themeFill="background1"/>
        <w:rPr>
          <w:rFonts w:ascii="Calibri" w:eastAsia="Calibri" w:hAnsi="Calibri" w:cs="Calibri"/>
          <w:sz w:val="21"/>
          <w:szCs w:val="21"/>
          <w:lang w:eastAsia="ja-JP"/>
        </w:rPr>
      </w:pPr>
    </w:p>
    <w:p w14:paraId="34D5BCDA" w14:textId="77777777" w:rsidR="009A0FE5" w:rsidRPr="003C2011" w:rsidRDefault="009A0FE5" w:rsidP="347EC281">
      <w:pPr>
        <w:shd w:val="clear" w:color="auto" w:fill="FFFFFF" w:themeFill="background1"/>
        <w:rPr>
          <w:rFonts w:ascii="Calibri" w:eastAsia="Calibri" w:hAnsi="Calibri" w:cs="Calibri"/>
          <w:sz w:val="21"/>
          <w:szCs w:val="21"/>
          <w:lang w:eastAsia="ja-JP"/>
        </w:rPr>
      </w:pPr>
    </w:p>
    <w:p w14:paraId="46F80331" w14:textId="77777777" w:rsidR="009A0FE5" w:rsidRPr="003C2011" w:rsidRDefault="009A0FE5" w:rsidP="347EC281">
      <w:pPr>
        <w:shd w:val="clear" w:color="auto" w:fill="FFFFFF" w:themeFill="background1"/>
        <w:rPr>
          <w:rFonts w:ascii="Calibri" w:eastAsia="Calibri" w:hAnsi="Calibri" w:cs="Calibri"/>
          <w:sz w:val="21"/>
          <w:szCs w:val="21"/>
          <w:lang w:eastAsia="ja-JP"/>
        </w:rPr>
      </w:pPr>
    </w:p>
    <w:p w14:paraId="029E1724" w14:textId="77777777" w:rsidR="009A0FE5" w:rsidRPr="003C2011" w:rsidRDefault="009A0FE5" w:rsidP="347EC281">
      <w:pPr>
        <w:shd w:val="clear" w:color="auto" w:fill="FFFFFF" w:themeFill="background1"/>
        <w:rPr>
          <w:rFonts w:ascii="Calibri" w:eastAsia="Calibri" w:hAnsi="Calibri" w:cs="Calibri"/>
          <w:sz w:val="21"/>
          <w:szCs w:val="21"/>
          <w:lang w:eastAsia="ja-JP"/>
        </w:rPr>
      </w:pPr>
    </w:p>
    <w:p w14:paraId="0C2F597B" w14:textId="77777777" w:rsidR="009A0FE5" w:rsidRPr="003C2011" w:rsidRDefault="009A0FE5" w:rsidP="347EC281">
      <w:pPr>
        <w:shd w:val="clear" w:color="auto" w:fill="FFFFFF" w:themeFill="background1"/>
        <w:rPr>
          <w:rFonts w:ascii="Calibri" w:eastAsia="Calibri" w:hAnsi="Calibri" w:cs="Calibri"/>
          <w:sz w:val="21"/>
          <w:szCs w:val="21"/>
          <w:lang w:eastAsia="ja-JP"/>
        </w:rPr>
      </w:pPr>
    </w:p>
    <w:p w14:paraId="04637227" w14:textId="77777777" w:rsidR="009A0FE5" w:rsidRPr="003C2011" w:rsidRDefault="009A0FE5" w:rsidP="347EC281">
      <w:pPr>
        <w:shd w:val="clear" w:color="auto" w:fill="FFFFFF" w:themeFill="background1"/>
        <w:rPr>
          <w:rFonts w:ascii="Calibri" w:eastAsia="Calibri" w:hAnsi="Calibri" w:cs="Calibri"/>
          <w:sz w:val="21"/>
          <w:szCs w:val="21"/>
          <w:lang w:eastAsia="ja-JP"/>
        </w:rPr>
      </w:pPr>
    </w:p>
    <w:p w14:paraId="1AFF40EC" w14:textId="77777777" w:rsidR="009A0FE5" w:rsidRPr="003C2011" w:rsidRDefault="009A0FE5" w:rsidP="347EC281">
      <w:pPr>
        <w:shd w:val="clear" w:color="auto" w:fill="FFFFFF" w:themeFill="background1"/>
        <w:rPr>
          <w:rFonts w:ascii="Calibri" w:eastAsia="Calibri" w:hAnsi="Calibri" w:cs="Calibri"/>
          <w:sz w:val="21"/>
          <w:szCs w:val="21"/>
          <w:lang w:eastAsia="ja-JP"/>
        </w:rPr>
      </w:pPr>
    </w:p>
    <w:p w14:paraId="01E59FDD" w14:textId="77777777" w:rsidR="009A0FE5" w:rsidRPr="003C2011" w:rsidRDefault="009A0FE5" w:rsidP="347EC281">
      <w:pPr>
        <w:shd w:val="clear" w:color="auto" w:fill="FFFFFF" w:themeFill="background1"/>
        <w:rPr>
          <w:rFonts w:ascii="Calibri" w:eastAsia="Calibri" w:hAnsi="Calibri" w:cs="Calibri"/>
          <w:sz w:val="21"/>
          <w:szCs w:val="21"/>
          <w:lang w:eastAsia="ja-JP"/>
        </w:rPr>
      </w:pPr>
    </w:p>
    <w:p w14:paraId="6C25D2A6" w14:textId="77777777" w:rsidR="009A0FE5" w:rsidRPr="003C2011" w:rsidRDefault="009A0FE5" w:rsidP="347EC281">
      <w:pPr>
        <w:shd w:val="clear" w:color="auto" w:fill="FFFFFF" w:themeFill="background1"/>
        <w:rPr>
          <w:rFonts w:ascii="Calibri" w:eastAsia="Calibri" w:hAnsi="Calibri" w:cs="Calibri"/>
          <w:sz w:val="21"/>
          <w:szCs w:val="21"/>
          <w:lang w:eastAsia="ja-JP"/>
        </w:rPr>
      </w:pPr>
    </w:p>
    <w:p w14:paraId="1B03ED38" w14:textId="77777777" w:rsidR="009A0FE5" w:rsidRPr="003C2011" w:rsidRDefault="009A0FE5" w:rsidP="347EC281">
      <w:pPr>
        <w:shd w:val="clear" w:color="auto" w:fill="FFFFFF" w:themeFill="background1"/>
        <w:rPr>
          <w:rFonts w:ascii="Calibri" w:eastAsia="Calibri" w:hAnsi="Calibri" w:cs="Calibri"/>
          <w:sz w:val="21"/>
          <w:szCs w:val="21"/>
          <w:lang w:eastAsia="ja-JP"/>
        </w:rPr>
      </w:pPr>
    </w:p>
    <w:p w14:paraId="05B4C9C8" w14:textId="77777777" w:rsidR="009A0FE5" w:rsidRPr="003C2011" w:rsidRDefault="009A0FE5" w:rsidP="347EC281">
      <w:pPr>
        <w:shd w:val="clear" w:color="auto" w:fill="FFFFFF" w:themeFill="background1"/>
        <w:rPr>
          <w:rFonts w:ascii="Calibri" w:eastAsia="Calibri" w:hAnsi="Calibri" w:cs="Calibri"/>
          <w:sz w:val="21"/>
          <w:szCs w:val="21"/>
          <w:lang w:eastAsia="ja-JP"/>
        </w:rPr>
      </w:pPr>
    </w:p>
    <w:p w14:paraId="3A9C3512" w14:textId="77777777" w:rsidR="009A0FE5" w:rsidRPr="003C2011" w:rsidRDefault="009A0FE5" w:rsidP="347EC281">
      <w:pPr>
        <w:shd w:val="clear" w:color="auto" w:fill="FFFFFF" w:themeFill="background1"/>
        <w:rPr>
          <w:rFonts w:ascii="Calibri" w:eastAsia="Calibri" w:hAnsi="Calibri" w:cs="Calibri"/>
          <w:sz w:val="21"/>
          <w:szCs w:val="21"/>
          <w:lang w:eastAsia="ja-JP"/>
        </w:rPr>
      </w:pPr>
    </w:p>
    <w:p w14:paraId="214EEDF5" w14:textId="77777777" w:rsidR="009A0FE5" w:rsidRPr="003C2011" w:rsidRDefault="009A0FE5" w:rsidP="347EC281">
      <w:pPr>
        <w:shd w:val="clear" w:color="auto" w:fill="FFFFFF" w:themeFill="background1"/>
        <w:rPr>
          <w:rFonts w:ascii="Calibri" w:eastAsia="Calibri" w:hAnsi="Calibri" w:cs="Calibri"/>
          <w:sz w:val="21"/>
          <w:szCs w:val="21"/>
          <w:lang w:eastAsia="ja-JP"/>
        </w:rPr>
      </w:pPr>
    </w:p>
    <w:p w14:paraId="13D0940D" w14:textId="77777777" w:rsidR="009A0FE5" w:rsidRPr="003C2011" w:rsidRDefault="009A0FE5" w:rsidP="347EC281">
      <w:pPr>
        <w:shd w:val="clear" w:color="auto" w:fill="FFFFFF" w:themeFill="background1"/>
        <w:rPr>
          <w:rFonts w:ascii="Calibri" w:eastAsia="Calibri" w:hAnsi="Calibri" w:cs="Calibri"/>
          <w:sz w:val="21"/>
          <w:szCs w:val="21"/>
          <w:lang w:eastAsia="ja-JP"/>
        </w:rPr>
      </w:pPr>
    </w:p>
    <w:p w14:paraId="17E44C3B" w14:textId="77777777" w:rsidR="009A0FE5" w:rsidRPr="003C2011" w:rsidRDefault="009A0FE5" w:rsidP="347EC281">
      <w:pPr>
        <w:shd w:val="clear" w:color="auto" w:fill="FFFFFF" w:themeFill="background1"/>
        <w:rPr>
          <w:rFonts w:ascii="Calibri" w:eastAsia="Calibri" w:hAnsi="Calibri" w:cs="Calibri"/>
          <w:sz w:val="21"/>
          <w:szCs w:val="21"/>
          <w:lang w:eastAsia="ja-JP"/>
        </w:rPr>
      </w:pPr>
    </w:p>
    <w:p w14:paraId="2986AB8A" w14:textId="77777777" w:rsidR="009A0FE5" w:rsidRPr="003C2011" w:rsidRDefault="009A0FE5" w:rsidP="347EC281">
      <w:pPr>
        <w:shd w:val="clear" w:color="auto" w:fill="FFFFFF" w:themeFill="background1"/>
        <w:rPr>
          <w:rFonts w:ascii="Calibri" w:eastAsia="Calibri" w:hAnsi="Calibri" w:cs="Calibri"/>
          <w:sz w:val="21"/>
          <w:szCs w:val="21"/>
          <w:lang w:eastAsia="ja-JP"/>
        </w:rPr>
      </w:pPr>
    </w:p>
    <w:p w14:paraId="0912966A" w14:textId="77777777" w:rsidR="009A0FE5" w:rsidRPr="003C2011" w:rsidRDefault="009A0FE5" w:rsidP="347EC281">
      <w:pPr>
        <w:shd w:val="clear" w:color="auto" w:fill="FFFFFF" w:themeFill="background1"/>
        <w:rPr>
          <w:rFonts w:ascii="Calibri" w:eastAsia="Calibri" w:hAnsi="Calibri" w:cs="Calibri"/>
          <w:sz w:val="21"/>
          <w:szCs w:val="21"/>
          <w:lang w:eastAsia="ja-JP"/>
        </w:rPr>
      </w:pPr>
    </w:p>
    <w:p w14:paraId="73CC4A71" w14:textId="77777777" w:rsidR="009A0FE5" w:rsidRPr="003C2011" w:rsidRDefault="009A0FE5" w:rsidP="347EC281">
      <w:pPr>
        <w:shd w:val="clear" w:color="auto" w:fill="FFFFFF" w:themeFill="background1"/>
        <w:rPr>
          <w:rFonts w:ascii="Calibri" w:eastAsia="Calibri" w:hAnsi="Calibri" w:cs="Calibri"/>
          <w:sz w:val="21"/>
          <w:szCs w:val="21"/>
          <w:lang w:eastAsia="ja-JP"/>
        </w:rPr>
      </w:pPr>
    </w:p>
    <w:p w14:paraId="5959094B" w14:textId="77777777" w:rsidR="009A0FE5" w:rsidRPr="003C2011" w:rsidRDefault="009A0FE5" w:rsidP="347EC281">
      <w:pPr>
        <w:shd w:val="clear" w:color="auto" w:fill="FFFFFF" w:themeFill="background1"/>
        <w:rPr>
          <w:rFonts w:ascii="Calibri" w:eastAsia="Calibri" w:hAnsi="Calibri" w:cs="Calibri"/>
          <w:sz w:val="21"/>
          <w:szCs w:val="21"/>
          <w:lang w:eastAsia="ja-JP"/>
        </w:rPr>
      </w:pPr>
    </w:p>
    <w:p w14:paraId="1F490F5B" w14:textId="77777777" w:rsidR="009A0FE5" w:rsidRPr="003C2011" w:rsidRDefault="009A0FE5" w:rsidP="347EC281">
      <w:pPr>
        <w:shd w:val="clear" w:color="auto" w:fill="FFFFFF" w:themeFill="background1"/>
        <w:rPr>
          <w:rFonts w:ascii="Calibri" w:eastAsia="Calibri" w:hAnsi="Calibri" w:cs="Calibri"/>
          <w:sz w:val="21"/>
          <w:szCs w:val="21"/>
          <w:lang w:eastAsia="ja-JP"/>
        </w:rPr>
      </w:pPr>
    </w:p>
    <w:p w14:paraId="12026F1C" w14:textId="77777777" w:rsidR="009A0FE5" w:rsidRPr="003C2011" w:rsidRDefault="009A0FE5" w:rsidP="347EC281">
      <w:pPr>
        <w:shd w:val="clear" w:color="auto" w:fill="FFFFFF" w:themeFill="background1"/>
        <w:rPr>
          <w:rFonts w:ascii="Calibri" w:eastAsia="Calibri" w:hAnsi="Calibri" w:cs="Calibri"/>
          <w:sz w:val="21"/>
          <w:szCs w:val="21"/>
          <w:lang w:eastAsia="ja-JP"/>
        </w:rPr>
      </w:pPr>
    </w:p>
    <w:p w14:paraId="36FFDD7D" w14:textId="77777777" w:rsidR="009A0FE5" w:rsidRPr="003C2011" w:rsidRDefault="009A0FE5" w:rsidP="347EC281">
      <w:pPr>
        <w:shd w:val="clear" w:color="auto" w:fill="FFFFFF" w:themeFill="background1"/>
        <w:rPr>
          <w:rFonts w:ascii="Calibri" w:eastAsia="Calibri" w:hAnsi="Calibri" w:cs="Calibri"/>
          <w:sz w:val="21"/>
          <w:szCs w:val="21"/>
          <w:lang w:eastAsia="ja-JP"/>
        </w:rPr>
      </w:pPr>
    </w:p>
    <w:p w14:paraId="1DEEE399" w14:textId="77777777" w:rsidR="009A0FE5" w:rsidRPr="003C2011" w:rsidRDefault="009A0FE5" w:rsidP="347EC281">
      <w:pPr>
        <w:shd w:val="clear" w:color="auto" w:fill="FFFFFF" w:themeFill="background1"/>
        <w:rPr>
          <w:rFonts w:ascii="Calibri" w:eastAsia="Calibri" w:hAnsi="Calibri" w:cs="Calibri"/>
          <w:sz w:val="21"/>
          <w:szCs w:val="21"/>
          <w:lang w:eastAsia="ja-JP"/>
        </w:rPr>
      </w:pPr>
    </w:p>
    <w:p w14:paraId="00C232F0" w14:textId="77777777" w:rsidR="009A0FE5" w:rsidRPr="003C2011" w:rsidRDefault="009A0FE5" w:rsidP="347EC281">
      <w:pPr>
        <w:shd w:val="clear" w:color="auto" w:fill="FFFFFF" w:themeFill="background1"/>
        <w:rPr>
          <w:rFonts w:ascii="Calibri" w:eastAsia="Calibri" w:hAnsi="Calibri" w:cs="Calibri"/>
          <w:sz w:val="21"/>
          <w:szCs w:val="21"/>
          <w:lang w:eastAsia="ja-JP"/>
        </w:rPr>
      </w:pPr>
    </w:p>
    <w:p w14:paraId="7A5690B9" w14:textId="77777777" w:rsidR="009A0FE5" w:rsidRPr="003C2011" w:rsidRDefault="009A0FE5" w:rsidP="347EC281">
      <w:pPr>
        <w:shd w:val="clear" w:color="auto" w:fill="FFFFFF" w:themeFill="background1"/>
        <w:rPr>
          <w:rFonts w:ascii="Calibri" w:eastAsia="Calibri" w:hAnsi="Calibri" w:cs="Calibri"/>
          <w:sz w:val="21"/>
          <w:szCs w:val="21"/>
          <w:lang w:eastAsia="ja-JP"/>
        </w:rPr>
      </w:pPr>
    </w:p>
    <w:p w14:paraId="3F8AE936" w14:textId="77777777" w:rsidR="00D11150" w:rsidRPr="003C2011" w:rsidRDefault="00D11150" w:rsidP="00D11150">
      <w:pPr>
        <w:pStyle w:val="ListParagraph"/>
        <w:ind w:left="880"/>
        <w:rPr>
          <w:rStyle w:val="docsum-journal-citation"/>
          <w:rFonts w:ascii="Times New Roman" w:hAnsi="Times New Roman" w:cs="Times New Roman"/>
          <w:sz w:val="24"/>
          <w:szCs w:val="24"/>
        </w:rPr>
      </w:pPr>
    </w:p>
    <w:p w14:paraId="01088960" w14:textId="77777777" w:rsidR="00D11150" w:rsidRPr="003C2011" w:rsidRDefault="00D11150" w:rsidP="00D11150">
      <w:pPr>
        <w:pStyle w:val="ListParagraph"/>
        <w:shd w:val="clear" w:color="auto" w:fill="FFFFFF"/>
        <w:ind w:leftChars="0" w:left="720"/>
        <w:rPr>
          <w:rStyle w:val="docsum-journal-citation"/>
          <w:rFonts w:ascii="Times New Roman" w:hAnsi="Times New Roman" w:cs="Times New Roman"/>
          <w:sz w:val="24"/>
          <w:szCs w:val="24"/>
        </w:rPr>
      </w:pPr>
    </w:p>
    <w:p w14:paraId="071F164E" w14:textId="77777777" w:rsidR="009A0FE5" w:rsidRPr="003C2011" w:rsidRDefault="002512AA" w:rsidP="009A0FE5">
      <w:pPr>
        <w:spacing w:after="240" w:line="480" w:lineRule="auto"/>
        <w:ind w:firstLine="446"/>
        <w:rPr>
          <w:rFonts w:ascii="Times New Roman" w:hAnsi="Times New Roman" w:cs="Times New Roman"/>
          <w:sz w:val="24"/>
          <w:szCs w:val="24"/>
        </w:rPr>
      </w:pPr>
      <w:r w:rsidRPr="003C2011">
        <w:rPr>
          <w:rFonts w:ascii="Segoe UI" w:hAnsi="Segoe UI" w:cs="Segoe UI"/>
        </w:rPr>
        <w:lastRenderedPageBreak/>
        <w:t> </w:t>
      </w:r>
      <w:r w:rsidR="009A0FE5" w:rsidRPr="003C2011">
        <w:rPr>
          <w:rFonts w:ascii="Times New Roman" w:hAnsi="Times New Roman" w:cs="Times New Roman"/>
          <w:sz w:val="24"/>
          <w:szCs w:val="24"/>
        </w:rPr>
        <w:t>Table 1. Enrollment by Study Site and Study Arm</w:t>
      </w:r>
    </w:p>
    <w:tbl>
      <w:tblPr>
        <w:tblW w:w="10382" w:type="dxa"/>
        <w:tblLayout w:type="fixed"/>
        <w:tblCellMar>
          <w:left w:w="0" w:type="dxa"/>
          <w:right w:w="0" w:type="dxa"/>
        </w:tblCellMar>
        <w:tblLook w:val="04A0" w:firstRow="1" w:lastRow="0" w:firstColumn="1" w:lastColumn="0" w:noHBand="0" w:noVBand="1"/>
      </w:tblPr>
      <w:tblGrid>
        <w:gridCol w:w="2674"/>
        <w:gridCol w:w="1146"/>
        <w:gridCol w:w="3438"/>
        <w:gridCol w:w="3124"/>
      </w:tblGrid>
      <w:tr w:rsidR="003C2011" w:rsidRPr="003C2011" w14:paraId="2FF151DD" w14:textId="77777777" w:rsidTr="009E70D1">
        <w:trPr>
          <w:trHeight w:val="1017"/>
        </w:trPr>
        <w:tc>
          <w:tcPr>
            <w:tcW w:w="2674" w:type="dxa"/>
            <w:tcBorders>
              <w:top w:val="nil"/>
              <w:left w:val="nil"/>
              <w:bottom w:val="single" w:sz="8" w:space="0" w:color="000000" w:themeColor="text1"/>
              <w:right w:val="nil"/>
            </w:tcBorders>
            <w:tcMar>
              <w:top w:w="0" w:type="dxa"/>
              <w:left w:w="108" w:type="dxa"/>
              <w:bottom w:w="0" w:type="dxa"/>
              <w:right w:w="108" w:type="dxa"/>
            </w:tcMar>
            <w:vAlign w:val="center"/>
          </w:tcPr>
          <w:p w14:paraId="4EA76602" w14:textId="7728C600" w:rsidR="009A0FE5" w:rsidRPr="003C2011" w:rsidRDefault="009A0FE5" w:rsidP="00E618DB">
            <w:pPr>
              <w:spacing w:after="0" w:line="240" w:lineRule="auto"/>
              <w:jc w:val="center"/>
              <w:rPr>
                <w:rFonts w:ascii="Times New Roman" w:hAnsi="Times New Roman" w:cs="Times New Roman"/>
                <w:b/>
              </w:rPr>
            </w:pPr>
            <w:bookmarkStart w:id="3" w:name="_Hlk158912950"/>
          </w:p>
        </w:tc>
        <w:tc>
          <w:tcPr>
            <w:tcW w:w="1146" w:type="dxa"/>
            <w:tcBorders>
              <w:top w:val="nil"/>
              <w:left w:val="nil"/>
              <w:bottom w:val="single" w:sz="8" w:space="0" w:color="000000" w:themeColor="text1"/>
              <w:right w:val="nil"/>
            </w:tcBorders>
            <w:tcMar>
              <w:top w:w="0" w:type="dxa"/>
              <w:left w:w="108" w:type="dxa"/>
              <w:bottom w:w="0" w:type="dxa"/>
              <w:right w:w="108" w:type="dxa"/>
            </w:tcMar>
            <w:vAlign w:val="center"/>
          </w:tcPr>
          <w:p w14:paraId="540E1310" w14:textId="02AE636C" w:rsidR="009A0FE5" w:rsidRPr="003C2011" w:rsidRDefault="009A0FE5" w:rsidP="00E618DB">
            <w:pPr>
              <w:spacing w:after="0" w:line="240" w:lineRule="auto"/>
              <w:jc w:val="center"/>
              <w:rPr>
                <w:rFonts w:ascii="Times New Roman" w:hAnsi="Times New Roman" w:cs="Times New Roman"/>
                <w:b/>
              </w:rPr>
            </w:pPr>
          </w:p>
        </w:tc>
        <w:tc>
          <w:tcPr>
            <w:tcW w:w="3438" w:type="dxa"/>
            <w:tcBorders>
              <w:top w:val="nil"/>
              <w:left w:val="nil"/>
              <w:bottom w:val="single" w:sz="8" w:space="0" w:color="000000" w:themeColor="text1"/>
              <w:right w:val="nil"/>
            </w:tcBorders>
            <w:tcMar>
              <w:top w:w="0" w:type="dxa"/>
              <w:left w:w="108" w:type="dxa"/>
              <w:bottom w:w="0" w:type="dxa"/>
              <w:right w:w="108" w:type="dxa"/>
            </w:tcMar>
            <w:vAlign w:val="center"/>
          </w:tcPr>
          <w:p w14:paraId="3BE4E554" w14:textId="40D2B693" w:rsidR="009A0FE5" w:rsidRPr="003C2011" w:rsidRDefault="009A0FE5" w:rsidP="00E618DB">
            <w:pPr>
              <w:spacing w:after="0" w:line="240" w:lineRule="auto"/>
              <w:jc w:val="center"/>
              <w:rPr>
                <w:rFonts w:ascii="Times New Roman" w:hAnsi="Times New Roman" w:cs="Times New Roman"/>
                <w:b/>
              </w:rPr>
            </w:pPr>
          </w:p>
        </w:tc>
        <w:tc>
          <w:tcPr>
            <w:tcW w:w="3124" w:type="dxa"/>
            <w:tcBorders>
              <w:top w:val="nil"/>
              <w:left w:val="nil"/>
              <w:bottom w:val="single" w:sz="8" w:space="0" w:color="000000" w:themeColor="text1"/>
              <w:right w:val="nil"/>
            </w:tcBorders>
            <w:tcMar>
              <w:top w:w="0" w:type="dxa"/>
              <w:left w:w="108" w:type="dxa"/>
              <w:bottom w:w="0" w:type="dxa"/>
              <w:right w:w="108" w:type="dxa"/>
            </w:tcMar>
            <w:vAlign w:val="center"/>
          </w:tcPr>
          <w:p w14:paraId="25790CEB" w14:textId="27BEDF83" w:rsidR="009A0FE5" w:rsidRPr="003C2011" w:rsidRDefault="009A0FE5" w:rsidP="00E618DB">
            <w:pPr>
              <w:spacing w:after="0" w:line="240" w:lineRule="auto"/>
              <w:jc w:val="center"/>
              <w:rPr>
                <w:rFonts w:ascii="Times New Roman" w:hAnsi="Times New Roman" w:cs="Times New Roman"/>
                <w:b/>
              </w:rPr>
            </w:pPr>
          </w:p>
        </w:tc>
      </w:tr>
      <w:tr w:rsidR="003C2011" w:rsidRPr="003C2011" w14:paraId="42F85325" w14:textId="77777777" w:rsidTr="009E70D1">
        <w:trPr>
          <w:trHeight w:val="20"/>
        </w:trPr>
        <w:tc>
          <w:tcPr>
            <w:tcW w:w="2674" w:type="dxa"/>
            <w:tcMar>
              <w:top w:w="0" w:type="dxa"/>
              <w:left w:w="108" w:type="dxa"/>
              <w:bottom w:w="0" w:type="dxa"/>
              <w:right w:w="108" w:type="dxa"/>
            </w:tcMar>
            <w:vAlign w:val="center"/>
          </w:tcPr>
          <w:p w14:paraId="57DE517E" w14:textId="693CE08A" w:rsidR="009A0FE5" w:rsidRPr="003C2011" w:rsidRDefault="009A0FE5" w:rsidP="00E618DB">
            <w:pPr>
              <w:jc w:val="center"/>
              <w:rPr>
                <w:rFonts w:ascii="Times New Roman" w:hAnsi="Times New Roman" w:cs="Times New Roman"/>
              </w:rPr>
            </w:pPr>
          </w:p>
        </w:tc>
        <w:tc>
          <w:tcPr>
            <w:tcW w:w="1146" w:type="dxa"/>
            <w:tcMar>
              <w:top w:w="0" w:type="dxa"/>
              <w:left w:w="108" w:type="dxa"/>
              <w:bottom w:w="0" w:type="dxa"/>
              <w:right w:w="108" w:type="dxa"/>
            </w:tcMar>
            <w:vAlign w:val="center"/>
          </w:tcPr>
          <w:p w14:paraId="06E9302F" w14:textId="2D1DBF33" w:rsidR="009A0FE5" w:rsidRPr="003C2011" w:rsidRDefault="009A0FE5" w:rsidP="00E618DB">
            <w:pPr>
              <w:jc w:val="center"/>
              <w:rPr>
                <w:rFonts w:ascii="Times New Roman" w:hAnsi="Times New Roman" w:cs="Times New Roman"/>
              </w:rPr>
            </w:pPr>
          </w:p>
        </w:tc>
        <w:tc>
          <w:tcPr>
            <w:tcW w:w="3438" w:type="dxa"/>
            <w:tcMar>
              <w:top w:w="0" w:type="dxa"/>
              <w:left w:w="108" w:type="dxa"/>
              <w:bottom w:w="0" w:type="dxa"/>
              <w:right w:w="108" w:type="dxa"/>
            </w:tcMar>
            <w:vAlign w:val="center"/>
          </w:tcPr>
          <w:p w14:paraId="3AEA33A5" w14:textId="40162888" w:rsidR="009A0FE5" w:rsidRPr="003C2011" w:rsidRDefault="009A0FE5" w:rsidP="00E618DB">
            <w:pPr>
              <w:jc w:val="center"/>
              <w:rPr>
                <w:rFonts w:ascii="Times New Roman" w:hAnsi="Times New Roman" w:cs="Times New Roman"/>
              </w:rPr>
            </w:pPr>
          </w:p>
        </w:tc>
        <w:tc>
          <w:tcPr>
            <w:tcW w:w="3124" w:type="dxa"/>
            <w:tcMar>
              <w:top w:w="0" w:type="dxa"/>
              <w:left w:w="108" w:type="dxa"/>
              <w:bottom w:w="0" w:type="dxa"/>
              <w:right w:w="108" w:type="dxa"/>
            </w:tcMar>
            <w:vAlign w:val="center"/>
          </w:tcPr>
          <w:p w14:paraId="45CC201A" w14:textId="7240EECD" w:rsidR="009A0FE5" w:rsidRPr="003C2011" w:rsidRDefault="009A0FE5" w:rsidP="00E618DB">
            <w:pPr>
              <w:jc w:val="center"/>
              <w:rPr>
                <w:rFonts w:ascii="Times New Roman" w:hAnsi="Times New Roman" w:cs="Times New Roman"/>
              </w:rPr>
            </w:pPr>
          </w:p>
        </w:tc>
      </w:tr>
      <w:tr w:rsidR="003C2011" w:rsidRPr="003C2011" w14:paraId="3F2D70BE" w14:textId="77777777" w:rsidTr="009E70D1">
        <w:trPr>
          <w:trHeight w:val="20"/>
        </w:trPr>
        <w:tc>
          <w:tcPr>
            <w:tcW w:w="2674" w:type="dxa"/>
            <w:tcMar>
              <w:top w:w="0" w:type="dxa"/>
              <w:left w:w="108" w:type="dxa"/>
              <w:bottom w:w="0" w:type="dxa"/>
              <w:right w:w="108" w:type="dxa"/>
            </w:tcMar>
            <w:vAlign w:val="center"/>
          </w:tcPr>
          <w:p w14:paraId="4B9A9A24" w14:textId="6B8BDD61" w:rsidR="009A0FE5" w:rsidRPr="003C2011" w:rsidRDefault="009A0FE5" w:rsidP="00E618DB">
            <w:pPr>
              <w:jc w:val="center"/>
              <w:rPr>
                <w:rFonts w:ascii="Times New Roman" w:hAnsi="Times New Roman" w:cs="Times New Roman"/>
              </w:rPr>
            </w:pPr>
          </w:p>
        </w:tc>
        <w:tc>
          <w:tcPr>
            <w:tcW w:w="1146" w:type="dxa"/>
            <w:tcMar>
              <w:top w:w="0" w:type="dxa"/>
              <w:left w:w="108" w:type="dxa"/>
              <w:bottom w:w="0" w:type="dxa"/>
              <w:right w:w="108" w:type="dxa"/>
            </w:tcMar>
            <w:vAlign w:val="center"/>
          </w:tcPr>
          <w:p w14:paraId="05183FE8" w14:textId="78A1A034" w:rsidR="009A0FE5" w:rsidRPr="003C2011" w:rsidRDefault="009A0FE5" w:rsidP="00E618DB">
            <w:pPr>
              <w:jc w:val="center"/>
              <w:rPr>
                <w:rFonts w:ascii="Times New Roman" w:hAnsi="Times New Roman" w:cs="Times New Roman"/>
              </w:rPr>
            </w:pPr>
          </w:p>
        </w:tc>
        <w:tc>
          <w:tcPr>
            <w:tcW w:w="3438" w:type="dxa"/>
            <w:tcMar>
              <w:top w:w="0" w:type="dxa"/>
              <w:left w:w="108" w:type="dxa"/>
              <w:bottom w:w="0" w:type="dxa"/>
              <w:right w:w="108" w:type="dxa"/>
            </w:tcMar>
            <w:vAlign w:val="center"/>
          </w:tcPr>
          <w:p w14:paraId="0E585F2E" w14:textId="271F58E2" w:rsidR="009A0FE5" w:rsidRPr="003C2011" w:rsidRDefault="009A0FE5" w:rsidP="00E618DB">
            <w:pPr>
              <w:jc w:val="center"/>
              <w:rPr>
                <w:rFonts w:ascii="Times New Roman" w:hAnsi="Times New Roman" w:cs="Times New Roman"/>
              </w:rPr>
            </w:pPr>
          </w:p>
        </w:tc>
        <w:tc>
          <w:tcPr>
            <w:tcW w:w="3124" w:type="dxa"/>
            <w:tcMar>
              <w:top w:w="0" w:type="dxa"/>
              <w:left w:w="108" w:type="dxa"/>
              <w:bottom w:w="0" w:type="dxa"/>
              <w:right w:w="108" w:type="dxa"/>
            </w:tcMar>
            <w:vAlign w:val="center"/>
          </w:tcPr>
          <w:p w14:paraId="6F482E84" w14:textId="5F7F063E" w:rsidR="009A0FE5" w:rsidRPr="003C2011" w:rsidRDefault="009A0FE5" w:rsidP="00E618DB">
            <w:pPr>
              <w:jc w:val="center"/>
              <w:rPr>
                <w:rFonts w:ascii="Times New Roman" w:hAnsi="Times New Roman" w:cs="Times New Roman"/>
              </w:rPr>
            </w:pPr>
          </w:p>
        </w:tc>
      </w:tr>
      <w:tr w:rsidR="003C2011" w:rsidRPr="003C2011" w14:paraId="0ACE57C9" w14:textId="77777777" w:rsidTr="00E618DB">
        <w:trPr>
          <w:trHeight w:val="20"/>
        </w:trPr>
        <w:tc>
          <w:tcPr>
            <w:tcW w:w="2674" w:type="dxa"/>
            <w:tcMar>
              <w:top w:w="0" w:type="dxa"/>
              <w:left w:w="108" w:type="dxa"/>
              <w:bottom w:w="0" w:type="dxa"/>
              <w:right w:w="108" w:type="dxa"/>
            </w:tcMar>
            <w:vAlign w:val="center"/>
          </w:tcPr>
          <w:p w14:paraId="4D4B0D5A" w14:textId="19753A88" w:rsidR="009A0FE5" w:rsidRPr="003C2011" w:rsidRDefault="009A0FE5" w:rsidP="00E618DB">
            <w:pPr>
              <w:jc w:val="center"/>
              <w:rPr>
                <w:rFonts w:ascii="Times New Roman" w:hAnsi="Times New Roman" w:cs="Times New Roman"/>
              </w:rPr>
            </w:pPr>
          </w:p>
        </w:tc>
        <w:tc>
          <w:tcPr>
            <w:tcW w:w="1146" w:type="dxa"/>
            <w:tcMar>
              <w:top w:w="0" w:type="dxa"/>
              <w:left w:w="108" w:type="dxa"/>
              <w:bottom w:w="0" w:type="dxa"/>
              <w:right w:w="108" w:type="dxa"/>
            </w:tcMar>
            <w:vAlign w:val="center"/>
          </w:tcPr>
          <w:p w14:paraId="534C17DA" w14:textId="48D11DE8" w:rsidR="009A0FE5" w:rsidRPr="003C2011" w:rsidRDefault="009A0FE5" w:rsidP="00E618DB">
            <w:pPr>
              <w:jc w:val="center"/>
              <w:rPr>
                <w:rFonts w:ascii="Times New Roman" w:hAnsi="Times New Roman" w:cs="Times New Roman"/>
              </w:rPr>
            </w:pPr>
          </w:p>
        </w:tc>
        <w:tc>
          <w:tcPr>
            <w:tcW w:w="3438" w:type="dxa"/>
            <w:tcMar>
              <w:top w:w="0" w:type="dxa"/>
              <w:left w:w="108" w:type="dxa"/>
              <w:bottom w:w="0" w:type="dxa"/>
              <w:right w:w="108" w:type="dxa"/>
            </w:tcMar>
            <w:vAlign w:val="center"/>
          </w:tcPr>
          <w:p w14:paraId="293BDE17" w14:textId="1DD328CE" w:rsidR="009A0FE5" w:rsidRPr="003C2011" w:rsidRDefault="009A0FE5" w:rsidP="00E618DB">
            <w:pPr>
              <w:jc w:val="center"/>
              <w:rPr>
                <w:rFonts w:ascii="Times New Roman" w:hAnsi="Times New Roman" w:cs="Times New Roman"/>
              </w:rPr>
            </w:pPr>
          </w:p>
        </w:tc>
        <w:tc>
          <w:tcPr>
            <w:tcW w:w="3124" w:type="dxa"/>
            <w:tcMar>
              <w:top w:w="0" w:type="dxa"/>
              <w:left w:w="108" w:type="dxa"/>
              <w:bottom w:w="0" w:type="dxa"/>
              <w:right w:w="108" w:type="dxa"/>
            </w:tcMar>
            <w:vAlign w:val="center"/>
          </w:tcPr>
          <w:p w14:paraId="78C3CE4D" w14:textId="6FB8C10E" w:rsidR="009A0FE5" w:rsidRPr="003C2011" w:rsidRDefault="009A0FE5" w:rsidP="00E618DB">
            <w:pPr>
              <w:jc w:val="center"/>
              <w:rPr>
                <w:rFonts w:ascii="Times New Roman" w:hAnsi="Times New Roman" w:cs="Times New Roman"/>
              </w:rPr>
            </w:pPr>
          </w:p>
        </w:tc>
      </w:tr>
      <w:tr w:rsidR="003C2011" w:rsidRPr="003C2011" w14:paraId="12859C84" w14:textId="77777777" w:rsidTr="009E70D1">
        <w:trPr>
          <w:trHeight w:val="20"/>
        </w:trPr>
        <w:tc>
          <w:tcPr>
            <w:tcW w:w="2674" w:type="dxa"/>
            <w:tcMar>
              <w:top w:w="0" w:type="dxa"/>
              <w:left w:w="108" w:type="dxa"/>
              <w:bottom w:w="0" w:type="dxa"/>
              <w:right w:w="108" w:type="dxa"/>
            </w:tcMar>
            <w:vAlign w:val="center"/>
          </w:tcPr>
          <w:p w14:paraId="290A7E95" w14:textId="1BD09C94" w:rsidR="009A0FE5" w:rsidRPr="003C2011" w:rsidRDefault="009A0FE5" w:rsidP="00E618DB">
            <w:pPr>
              <w:jc w:val="center"/>
              <w:rPr>
                <w:rFonts w:ascii="Times New Roman" w:hAnsi="Times New Roman" w:cs="Times New Roman"/>
              </w:rPr>
            </w:pPr>
          </w:p>
        </w:tc>
        <w:tc>
          <w:tcPr>
            <w:tcW w:w="1146" w:type="dxa"/>
            <w:tcMar>
              <w:top w:w="0" w:type="dxa"/>
              <w:left w:w="108" w:type="dxa"/>
              <w:bottom w:w="0" w:type="dxa"/>
              <w:right w:w="108" w:type="dxa"/>
            </w:tcMar>
            <w:vAlign w:val="center"/>
          </w:tcPr>
          <w:p w14:paraId="12A6D553" w14:textId="64C95BB8" w:rsidR="009A0FE5" w:rsidRPr="003C2011" w:rsidRDefault="009A0FE5" w:rsidP="00E618DB">
            <w:pPr>
              <w:jc w:val="center"/>
              <w:rPr>
                <w:rFonts w:ascii="Times New Roman" w:hAnsi="Times New Roman" w:cs="Times New Roman"/>
              </w:rPr>
            </w:pPr>
          </w:p>
        </w:tc>
        <w:tc>
          <w:tcPr>
            <w:tcW w:w="3438" w:type="dxa"/>
            <w:tcMar>
              <w:top w:w="0" w:type="dxa"/>
              <w:left w:w="108" w:type="dxa"/>
              <w:bottom w:w="0" w:type="dxa"/>
              <w:right w:w="108" w:type="dxa"/>
            </w:tcMar>
            <w:vAlign w:val="center"/>
          </w:tcPr>
          <w:p w14:paraId="255297A9" w14:textId="2D1048E6" w:rsidR="009A0FE5" w:rsidRPr="003C2011" w:rsidRDefault="009A0FE5" w:rsidP="00E618DB">
            <w:pPr>
              <w:jc w:val="center"/>
              <w:rPr>
                <w:rFonts w:ascii="Times New Roman" w:hAnsi="Times New Roman" w:cs="Times New Roman"/>
              </w:rPr>
            </w:pPr>
          </w:p>
        </w:tc>
        <w:tc>
          <w:tcPr>
            <w:tcW w:w="3124" w:type="dxa"/>
            <w:tcMar>
              <w:top w:w="0" w:type="dxa"/>
              <w:left w:w="108" w:type="dxa"/>
              <w:bottom w:w="0" w:type="dxa"/>
              <w:right w:w="108" w:type="dxa"/>
            </w:tcMar>
            <w:vAlign w:val="center"/>
          </w:tcPr>
          <w:p w14:paraId="6C91054F" w14:textId="41532070" w:rsidR="009A0FE5" w:rsidRPr="003C2011" w:rsidRDefault="009A0FE5" w:rsidP="00E618DB">
            <w:pPr>
              <w:jc w:val="center"/>
              <w:rPr>
                <w:rFonts w:ascii="Times New Roman" w:hAnsi="Times New Roman" w:cs="Times New Roman"/>
              </w:rPr>
            </w:pPr>
          </w:p>
        </w:tc>
      </w:tr>
      <w:tr w:rsidR="003C2011" w:rsidRPr="003C2011" w14:paraId="7A512772" w14:textId="77777777" w:rsidTr="00E618DB">
        <w:trPr>
          <w:trHeight w:val="20"/>
        </w:trPr>
        <w:tc>
          <w:tcPr>
            <w:tcW w:w="2674" w:type="dxa"/>
            <w:tcMar>
              <w:top w:w="0" w:type="dxa"/>
              <w:left w:w="108" w:type="dxa"/>
              <w:bottom w:w="0" w:type="dxa"/>
              <w:right w:w="108" w:type="dxa"/>
            </w:tcMar>
            <w:vAlign w:val="center"/>
          </w:tcPr>
          <w:p w14:paraId="2AD22E53" w14:textId="4A7E048F" w:rsidR="009A0FE5" w:rsidRPr="003C2011" w:rsidRDefault="009A0FE5" w:rsidP="00E618DB">
            <w:pPr>
              <w:jc w:val="center"/>
              <w:rPr>
                <w:rFonts w:ascii="Times New Roman" w:hAnsi="Times New Roman" w:cs="Times New Roman"/>
              </w:rPr>
            </w:pPr>
          </w:p>
        </w:tc>
        <w:tc>
          <w:tcPr>
            <w:tcW w:w="1146" w:type="dxa"/>
            <w:tcMar>
              <w:top w:w="0" w:type="dxa"/>
              <w:left w:w="108" w:type="dxa"/>
              <w:bottom w:w="0" w:type="dxa"/>
              <w:right w:w="108" w:type="dxa"/>
            </w:tcMar>
            <w:vAlign w:val="center"/>
          </w:tcPr>
          <w:p w14:paraId="5C47ECBC" w14:textId="0EFAE709" w:rsidR="009A0FE5" w:rsidRPr="003C2011" w:rsidRDefault="009A0FE5" w:rsidP="00E618DB">
            <w:pPr>
              <w:jc w:val="center"/>
              <w:rPr>
                <w:rFonts w:ascii="Times New Roman" w:hAnsi="Times New Roman" w:cs="Times New Roman"/>
              </w:rPr>
            </w:pPr>
          </w:p>
        </w:tc>
        <w:tc>
          <w:tcPr>
            <w:tcW w:w="3438" w:type="dxa"/>
            <w:tcMar>
              <w:top w:w="0" w:type="dxa"/>
              <w:left w:w="108" w:type="dxa"/>
              <w:bottom w:w="0" w:type="dxa"/>
              <w:right w:w="108" w:type="dxa"/>
            </w:tcMar>
            <w:vAlign w:val="center"/>
          </w:tcPr>
          <w:p w14:paraId="4E51C62E" w14:textId="65267246" w:rsidR="009A0FE5" w:rsidRPr="003C2011" w:rsidRDefault="009A0FE5" w:rsidP="00E618DB">
            <w:pPr>
              <w:jc w:val="center"/>
              <w:rPr>
                <w:rFonts w:ascii="Times New Roman" w:hAnsi="Times New Roman" w:cs="Times New Roman"/>
              </w:rPr>
            </w:pPr>
          </w:p>
        </w:tc>
        <w:tc>
          <w:tcPr>
            <w:tcW w:w="3124" w:type="dxa"/>
            <w:tcMar>
              <w:top w:w="0" w:type="dxa"/>
              <w:left w:w="108" w:type="dxa"/>
              <w:bottom w:w="0" w:type="dxa"/>
              <w:right w:w="108" w:type="dxa"/>
            </w:tcMar>
            <w:vAlign w:val="center"/>
          </w:tcPr>
          <w:p w14:paraId="322CC367" w14:textId="2D13A179" w:rsidR="009A0FE5" w:rsidRPr="003C2011" w:rsidRDefault="009A0FE5" w:rsidP="00E618DB">
            <w:pPr>
              <w:jc w:val="center"/>
              <w:rPr>
                <w:rFonts w:ascii="Times New Roman" w:hAnsi="Times New Roman" w:cs="Times New Roman"/>
              </w:rPr>
            </w:pPr>
          </w:p>
        </w:tc>
      </w:tr>
      <w:tr w:rsidR="003C2011" w:rsidRPr="003C2011" w14:paraId="09FAC146" w14:textId="77777777" w:rsidTr="00E618DB">
        <w:trPr>
          <w:trHeight w:val="20"/>
        </w:trPr>
        <w:tc>
          <w:tcPr>
            <w:tcW w:w="2674" w:type="dxa"/>
            <w:tcMar>
              <w:top w:w="0" w:type="dxa"/>
              <w:left w:w="108" w:type="dxa"/>
              <w:bottom w:w="0" w:type="dxa"/>
              <w:right w:w="108" w:type="dxa"/>
            </w:tcMar>
            <w:vAlign w:val="center"/>
          </w:tcPr>
          <w:p w14:paraId="1663493C" w14:textId="4CA946BB" w:rsidR="009A0FE5" w:rsidRPr="003C2011" w:rsidRDefault="009A0FE5" w:rsidP="00E618DB">
            <w:pPr>
              <w:jc w:val="center"/>
              <w:rPr>
                <w:rFonts w:ascii="Times New Roman" w:hAnsi="Times New Roman" w:cs="Times New Roman"/>
              </w:rPr>
            </w:pPr>
          </w:p>
        </w:tc>
        <w:tc>
          <w:tcPr>
            <w:tcW w:w="1146" w:type="dxa"/>
            <w:tcMar>
              <w:top w:w="0" w:type="dxa"/>
              <w:left w:w="108" w:type="dxa"/>
              <w:bottom w:w="0" w:type="dxa"/>
              <w:right w:w="108" w:type="dxa"/>
            </w:tcMar>
            <w:vAlign w:val="center"/>
          </w:tcPr>
          <w:p w14:paraId="79FD5058" w14:textId="0E96DD02" w:rsidR="009A0FE5" w:rsidRPr="003C2011" w:rsidRDefault="009A0FE5" w:rsidP="00E618DB">
            <w:pPr>
              <w:jc w:val="center"/>
              <w:rPr>
                <w:rFonts w:ascii="Times New Roman" w:hAnsi="Times New Roman" w:cs="Times New Roman"/>
              </w:rPr>
            </w:pPr>
          </w:p>
        </w:tc>
        <w:tc>
          <w:tcPr>
            <w:tcW w:w="3438" w:type="dxa"/>
            <w:tcMar>
              <w:top w:w="0" w:type="dxa"/>
              <w:left w:w="108" w:type="dxa"/>
              <w:bottom w:w="0" w:type="dxa"/>
              <w:right w:w="108" w:type="dxa"/>
            </w:tcMar>
            <w:vAlign w:val="center"/>
          </w:tcPr>
          <w:p w14:paraId="0600401A" w14:textId="0E2DD025" w:rsidR="009A0FE5" w:rsidRPr="003C2011" w:rsidRDefault="009A0FE5" w:rsidP="00E618DB">
            <w:pPr>
              <w:jc w:val="center"/>
              <w:rPr>
                <w:rFonts w:ascii="Times New Roman" w:hAnsi="Times New Roman" w:cs="Times New Roman"/>
              </w:rPr>
            </w:pPr>
          </w:p>
        </w:tc>
        <w:tc>
          <w:tcPr>
            <w:tcW w:w="3124" w:type="dxa"/>
            <w:tcMar>
              <w:top w:w="0" w:type="dxa"/>
              <w:left w:w="108" w:type="dxa"/>
              <w:bottom w:w="0" w:type="dxa"/>
              <w:right w:w="108" w:type="dxa"/>
            </w:tcMar>
            <w:vAlign w:val="center"/>
          </w:tcPr>
          <w:p w14:paraId="52A7C9EF" w14:textId="5F81B5F1" w:rsidR="009A0FE5" w:rsidRPr="003C2011" w:rsidRDefault="009A0FE5" w:rsidP="00E618DB">
            <w:pPr>
              <w:jc w:val="center"/>
              <w:rPr>
                <w:rFonts w:ascii="Times New Roman" w:hAnsi="Times New Roman" w:cs="Times New Roman"/>
              </w:rPr>
            </w:pPr>
          </w:p>
        </w:tc>
      </w:tr>
      <w:tr w:rsidR="003C2011" w:rsidRPr="003C2011" w14:paraId="38DCD867" w14:textId="77777777" w:rsidTr="009E70D1">
        <w:trPr>
          <w:trHeight w:val="20"/>
        </w:trPr>
        <w:tc>
          <w:tcPr>
            <w:tcW w:w="2674" w:type="dxa"/>
            <w:tcBorders>
              <w:top w:val="nil"/>
              <w:left w:val="nil"/>
              <w:right w:val="nil"/>
            </w:tcBorders>
            <w:tcMar>
              <w:top w:w="0" w:type="dxa"/>
              <w:left w:w="108" w:type="dxa"/>
              <w:bottom w:w="0" w:type="dxa"/>
              <w:right w:w="108" w:type="dxa"/>
            </w:tcMar>
            <w:vAlign w:val="center"/>
          </w:tcPr>
          <w:p w14:paraId="73D56009" w14:textId="18C13B0D" w:rsidR="009A0FE5" w:rsidRPr="003C2011" w:rsidRDefault="009A0FE5" w:rsidP="00E618DB">
            <w:pPr>
              <w:jc w:val="center"/>
              <w:rPr>
                <w:rFonts w:ascii="Times New Roman" w:hAnsi="Times New Roman" w:cs="Times New Roman"/>
              </w:rPr>
            </w:pPr>
          </w:p>
        </w:tc>
        <w:tc>
          <w:tcPr>
            <w:tcW w:w="1146" w:type="dxa"/>
            <w:tcBorders>
              <w:top w:val="nil"/>
              <w:left w:val="nil"/>
              <w:right w:val="nil"/>
            </w:tcBorders>
            <w:tcMar>
              <w:top w:w="0" w:type="dxa"/>
              <w:left w:w="108" w:type="dxa"/>
              <w:bottom w:w="0" w:type="dxa"/>
              <w:right w:w="108" w:type="dxa"/>
            </w:tcMar>
            <w:vAlign w:val="center"/>
          </w:tcPr>
          <w:p w14:paraId="5BD22FA8" w14:textId="6FB1F2EC" w:rsidR="009A0FE5" w:rsidRPr="003C2011" w:rsidRDefault="009A0FE5" w:rsidP="00E618DB">
            <w:pPr>
              <w:jc w:val="center"/>
              <w:rPr>
                <w:rFonts w:ascii="Times New Roman" w:hAnsi="Times New Roman" w:cs="Times New Roman"/>
              </w:rPr>
            </w:pPr>
          </w:p>
        </w:tc>
        <w:tc>
          <w:tcPr>
            <w:tcW w:w="3438" w:type="dxa"/>
            <w:tcBorders>
              <w:top w:val="nil"/>
              <w:left w:val="nil"/>
              <w:right w:val="nil"/>
            </w:tcBorders>
            <w:tcMar>
              <w:top w:w="0" w:type="dxa"/>
              <w:left w:w="108" w:type="dxa"/>
              <w:bottom w:w="0" w:type="dxa"/>
              <w:right w:w="108" w:type="dxa"/>
            </w:tcMar>
            <w:vAlign w:val="center"/>
          </w:tcPr>
          <w:p w14:paraId="297B1992" w14:textId="6C82C44F" w:rsidR="009A0FE5" w:rsidRPr="003C2011" w:rsidRDefault="009A0FE5" w:rsidP="00E618DB">
            <w:pPr>
              <w:jc w:val="center"/>
              <w:rPr>
                <w:rFonts w:ascii="Times New Roman" w:hAnsi="Times New Roman" w:cs="Times New Roman"/>
              </w:rPr>
            </w:pPr>
          </w:p>
        </w:tc>
        <w:tc>
          <w:tcPr>
            <w:tcW w:w="3124" w:type="dxa"/>
            <w:tcBorders>
              <w:top w:val="nil"/>
              <w:left w:val="nil"/>
              <w:right w:val="nil"/>
            </w:tcBorders>
            <w:tcMar>
              <w:top w:w="0" w:type="dxa"/>
              <w:left w:w="108" w:type="dxa"/>
              <w:bottom w:w="0" w:type="dxa"/>
              <w:right w:w="108" w:type="dxa"/>
            </w:tcMar>
            <w:vAlign w:val="center"/>
          </w:tcPr>
          <w:p w14:paraId="7290D233" w14:textId="150B45D5" w:rsidR="009A0FE5" w:rsidRPr="003C2011" w:rsidRDefault="009A0FE5" w:rsidP="00E618DB">
            <w:pPr>
              <w:jc w:val="center"/>
              <w:rPr>
                <w:rFonts w:ascii="Times New Roman" w:hAnsi="Times New Roman" w:cs="Times New Roman"/>
              </w:rPr>
            </w:pPr>
          </w:p>
        </w:tc>
      </w:tr>
      <w:tr w:rsidR="003C2011" w:rsidRPr="003C2011" w14:paraId="3EEA213F" w14:textId="77777777" w:rsidTr="00E618DB">
        <w:trPr>
          <w:trHeight w:val="20"/>
        </w:trPr>
        <w:tc>
          <w:tcPr>
            <w:tcW w:w="2674" w:type="dxa"/>
            <w:tcBorders>
              <w:top w:val="nil"/>
              <w:left w:val="nil"/>
              <w:right w:val="nil"/>
            </w:tcBorders>
            <w:tcMar>
              <w:top w:w="0" w:type="dxa"/>
              <w:left w:w="108" w:type="dxa"/>
              <w:bottom w:w="0" w:type="dxa"/>
              <w:right w:w="108" w:type="dxa"/>
            </w:tcMar>
            <w:vAlign w:val="center"/>
          </w:tcPr>
          <w:p w14:paraId="0B66B439" w14:textId="1F4D3660" w:rsidR="009A0FE5" w:rsidRPr="003C2011" w:rsidRDefault="009A0FE5" w:rsidP="00E618DB">
            <w:pPr>
              <w:jc w:val="center"/>
              <w:rPr>
                <w:rFonts w:ascii="Times New Roman" w:hAnsi="Times New Roman" w:cs="Times New Roman"/>
              </w:rPr>
            </w:pPr>
          </w:p>
        </w:tc>
        <w:tc>
          <w:tcPr>
            <w:tcW w:w="1146" w:type="dxa"/>
            <w:tcBorders>
              <w:top w:val="nil"/>
              <w:left w:val="nil"/>
              <w:right w:val="nil"/>
            </w:tcBorders>
            <w:tcMar>
              <w:top w:w="0" w:type="dxa"/>
              <w:left w:w="108" w:type="dxa"/>
              <w:bottom w:w="0" w:type="dxa"/>
              <w:right w:w="108" w:type="dxa"/>
            </w:tcMar>
            <w:vAlign w:val="center"/>
          </w:tcPr>
          <w:p w14:paraId="7E1CA926" w14:textId="13F7AA4E" w:rsidR="009A0FE5" w:rsidRPr="003C2011" w:rsidRDefault="009A0FE5" w:rsidP="00E618DB">
            <w:pPr>
              <w:jc w:val="center"/>
              <w:rPr>
                <w:rFonts w:ascii="Times New Roman" w:hAnsi="Times New Roman" w:cs="Times New Roman"/>
              </w:rPr>
            </w:pPr>
          </w:p>
        </w:tc>
        <w:tc>
          <w:tcPr>
            <w:tcW w:w="3438" w:type="dxa"/>
            <w:tcBorders>
              <w:top w:val="nil"/>
              <w:left w:val="nil"/>
              <w:right w:val="nil"/>
            </w:tcBorders>
            <w:tcMar>
              <w:top w:w="0" w:type="dxa"/>
              <w:left w:w="108" w:type="dxa"/>
              <w:bottom w:w="0" w:type="dxa"/>
              <w:right w:w="108" w:type="dxa"/>
            </w:tcMar>
            <w:vAlign w:val="center"/>
          </w:tcPr>
          <w:p w14:paraId="2C920AB8" w14:textId="3C75F2FD" w:rsidR="009A0FE5" w:rsidRPr="003C2011" w:rsidRDefault="009A0FE5" w:rsidP="00E618DB">
            <w:pPr>
              <w:jc w:val="center"/>
              <w:rPr>
                <w:rFonts w:ascii="Times New Roman" w:hAnsi="Times New Roman" w:cs="Times New Roman"/>
              </w:rPr>
            </w:pPr>
          </w:p>
        </w:tc>
        <w:tc>
          <w:tcPr>
            <w:tcW w:w="3124" w:type="dxa"/>
            <w:tcBorders>
              <w:top w:val="nil"/>
              <w:left w:val="nil"/>
              <w:right w:val="nil"/>
            </w:tcBorders>
            <w:tcMar>
              <w:top w:w="0" w:type="dxa"/>
              <w:left w:w="108" w:type="dxa"/>
              <w:bottom w:w="0" w:type="dxa"/>
              <w:right w:w="108" w:type="dxa"/>
            </w:tcMar>
            <w:vAlign w:val="center"/>
          </w:tcPr>
          <w:p w14:paraId="79B20EAE" w14:textId="48032A2E" w:rsidR="009A0FE5" w:rsidRPr="003C2011" w:rsidRDefault="009A0FE5" w:rsidP="00E618DB">
            <w:pPr>
              <w:jc w:val="center"/>
              <w:rPr>
                <w:rFonts w:ascii="Times New Roman" w:hAnsi="Times New Roman" w:cs="Times New Roman"/>
              </w:rPr>
            </w:pPr>
          </w:p>
        </w:tc>
      </w:tr>
      <w:tr w:rsidR="003C2011" w:rsidRPr="003C2011" w14:paraId="5C515612" w14:textId="77777777" w:rsidTr="009E70D1">
        <w:trPr>
          <w:trHeight w:val="20"/>
        </w:trPr>
        <w:tc>
          <w:tcPr>
            <w:tcW w:w="2674" w:type="dxa"/>
            <w:tcMar>
              <w:top w:w="0" w:type="dxa"/>
              <w:left w:w="108" w:type="dxa"/>
              <w:bottom w:w="0" w:type="dxa"/>
              <w:right w:w="108" w:type="dxa"/>
            </w:tcMar>
            <w:vAlign w:val="center"/>
          </w:tcPr>
          <w:p w14:paraId="370A476D" w14:textId="136689CE" w:rsidR="009A0FE5" w:rsidRPr="003C2011" w:rsidRDefault="009A0FE5" w:rsidP="00E618DB">
            <w:pPr>
              <w:jc w:val="center"/>
              <w:rPr>
                <w:rFonts w:ascii="Times New Roman" w:hAnsi="Times New Roman" w:cs="Times New Roman"/>
              </w:rPr>
            </w:pPr>
          </w:p>
        </w:tc>
        <w:tc>
          <w:tcPr>
            <w:tcW w:w="1146" w:type="dxa"/>
            <w:tcMar>
              <w:top w:w="0" w:type="dxa"/>
              <w:left w:w="108" w:type="dxa"/>
              <w:bottom w:w="0" w:type="dxa"/>
              <w:right w:w="108" w:type="dxa"/>
            </w:tcMar>
            <w:vAlign w:val="center"/>
          </w:tcPr>
          <w:p w14:paraId="2062FCC3" w14:textId="7B8AB59F" w:rsidR="009A0FE5" w:rsidRPr="003C2011" w:rsidRDefault="009A0FE5" w:rsidP="00E618DB">
            <w:pPr>
              <w:jc w:val="center"/>
              <w:rPr>
                <w:rFonts w:ascii="Times New Roman" w:hAnsi="Times New Roman" w:cs="Times New Roman"/>
              </w:rPr>
            </w:pPr>
          </w:p>
        </w:tc>
        <w:tc>
          <w:tcPr>
            <w:tcW w:w="3438" w:type="dxa"/>
            <w:tcMar>
              <w:top w:w="0" w:type="dxa"/>
              <w:left w:w="108" w:type="dxa"/>
              <w:bottom w:w="0" w:type="dxa"/>
              <w:right w:w="108" w:type="dxa"/>
            </w:tcMar>
            <w:vAlign w:val="center"/>
          </w:tcPr>
          <w:p w14:paraId="1087885A" w14:textId="574B3706" w:rsidR="009A0FE5" w:rsidRPr="003C2011" w:rsidRDefault="009A0FE5" w:rsidP="00E618DB">
            <w:pPr>
              <w:jc w:val="center"/>
              <w:rPr>
                <w:rFonts w:ascii="Times New Roman" w:hAnsi="Times New Roman" w:cs="Times New Roman"/>
              </w:rPr>
            </w:pPr>
          </w:p>
        </w:tc>
        <w:tc>
          <w:tcPr>
            <w:tcW w:w="3124" w:type="dxa"/>
            <w:tcMar>
              <w:top w:w="0" w:type="dxa"/>
              <w:left w:w="108" w:type="dxa"/>
              <w:bottom w:w="0" w:type="dxa"/>
              <w:right w:w="108" w:type="dxa"/>
            </w:tcMar>
            <w:vAlign w:val="center"/>
          </w:tcPr>
          <w:p w14:paraId="3A86B16C" w14:textId="702BB1A7" w:rsidR="009A0FE5" w:rsidRPr="003C2011" w:rsidRDefault="009A0FE5" w:rsidP="00E618DB">
            <w:pPr>
              <w:jc w:val="center"/>
              <w:rPr>
                <w:rFonts w:ascii="Times New Roman" w:hAnsi="Times New Roman" w:cs="Times New Roman"/>
              </w:rPr>
            </w:pPr>
          </w:p>
        </w:tc>
      </w:tr>
      <w:tr w:rsidR="003C2011" w:rsidRPr="003C2011" w14:paraId="63C89898" w14:textId="77777777" w:rsidTr="009E70D1">
        <w:trPr>
          <w:trHeight w:val="20"/>
        </w:trPr>
        <w:tc>
          <w:tcPr>
            <w:tcW w:w="2674" w:type="dxa"/>
            <w:tcMar>
              <w:top w:w="0" w:type="dxa"/>
              <w:left w:w="108" w:type="dxa"/>
              <w:bottom w:w="0" w:type="dxa"/>
              <w:right w:w="108" w:type="dxa"/>
            </w:tcMar>
            <w:vAlign w:val="center"/>
          </w:tcPr>
          <w:p w14:paraId="375FE893" w14:textId="2A5E93C7" w:rsidR="009A0FE5" w:rsidRPr="003C2011" w:rsidRDefault="009A0FE5" w:rsidP="00E618DB">
            <w:pPr>
              <w:jc w:val="center"/>
              <w:rPr>
                <w:rFonts w:ascii="Times New Roman" w:hAnsi="Times New Roman" w:cs="Times New Roman"/>
              </w:rPr>
            </w:pPr>
          </w:p>
        </w:tc>
        <w:tc>
          <w:tcPr>
            <w:tcW w:w="1146" w:type="dxa"/>
            <w:tcMar>
              <w:top w:w="0" w:type="dxa"/>
              <w:left w:w="108" w:type="dxa"/>
              <w:bottom w:w="0" w:type="dxa"/>
              <w:right w:w="108" w:type="dxa"/>
            </w:tcMar>
            <w:vAlign w:val="center"/>
          </w:tcPr>
          <w:p w14:paraId="756A28CA" w14:textId="284641FF" w:rsidR="009A0FE5" w:rsidRPr="003C2011" w:rsidRDefault="009A0FE5" w:rsidP="00E618DB">
            <w:pPr>
              <w:jc w:val="center"/>
              <w:rPr>
                <w:rFonts w:ascii="Times New Roman" w:hAnsi="Times New Roman" w:cs="Times New Roman"/>
              </w:rPr>
            </w:pPr>
          </w:p>
        </w:tc>
        <w:tc>
          <w:tcPr>
            <w:tcW w:w="3438" w:type="dxa"/>
            <w:tcMar>
              <w:top w:w="0" w:type="dxa"/>
              <w:left w:w="108" w:type="dxa"/>
              <w:bottom w:w="0" w:type="dxa"/>
              <w:right w:w="108" w:type="dxa"/>
            </w:tcMar>
            <w:vAlign w:val="center"/>
          </w:tcPr>
          <w:p w14:paraId="04ABC1FA" w14:textId="15ACFBD8" w:rsidR="009A0FE5" w:rsidRPr="003C2011" w:rsidRDefault="009A0FE5" w:rsidP="00E618DB">
            <w:pPr>
              <w:jc w:val="center"/>
              <w:rPr>
                <w:rFonts w:ascii="Times New Roman" w:hAnsi="Times New Roman" w:cs="Times New Roman"/>
              </w:rPr>
            </w:pPr>
          </w:p>
        </w:tc>
        <w:tc>
          <w:tcPr>
            <w:tcW w:w="3124" w:type="dxa"/>
            <w:tcMar>
              <w:top w:w="0" w:type="dxa"/>
              <w:left w:w="108" w:type="dxa"/>
              <w:bottom w:w="0" w:type="dxa"/>
              <w:right w:w="108" w:type="dxa"/>
            </w:tcMar>
            <w:vAlign w:val="center"/>
          </w:tcPr>
          <w:p w14:paraId="4C3D3936" w14:textId="5FC14CD2" w:rsidR="009A0FE5" w:rsidRPr="003C2011" w:rsidRDefault="009A0FE5" w:rsidP="00E618DB">
            <w:pPr>
              <w:jc w:val="center"/>
              <w:rPr>
                <w:rFonts w:ascii="Times New Roman" w:hAnsi="Times New Roman" w:cs="Times New Roman"/>
              </w:rPr>
            </w:pPr>
          </w:p>
        </w:tc>
      </w:tr>
      <w:tr w:rsidR="009A0FE5" w:rsidRPr="003C2011" w14:paraId="1EFBA1A2" w14:textId="77777777" w:rsidTr="00E618DB">
        <w:trPr>
          <w:trHeight w:val="20"/>
        </w:trPr>
        <w:tc>
          <w:tcPr>
            <w:tcW w:w="2674" w:type="dxa"/>
            <w:tcBorders>
              <w:top w:val="nil"/>
              <w:left w:val="nil"/>
              <w:bottom w:val="single" w:sz="8" w:space="0" w:color="000000" w:themeColor="text1"/>
              <w:right w:val="nil"/>
            </w:tcBorders>
            <w:tcMar>
              <w:top w:w="0" w:type="dxa"/>
              <w:left w:w="108" w:type="dxa"/>
              <w:bottom w:w="0" w:type="dxa"/>
              <w:right w:w="108" w:type="dxa"/>
            </w:tcMar>
            <w:vAlign w:val="center"/>
          </w:tcPr>
          <w:p w14:paraId="2192E01A" w14:textId="4A2B75BC" w:rsidR="009A0FE5" w:rsidRPr="003C2011" w:rsidRDefault="009A0FE5" w:rsidP="00E618DB">
            <w:pPr>
              <w:jc w:val="center"/>
              <w:rPr>
                <w:rFonts w:ascii="Times New Roman" w:hAnsi="Times New Roman" w:cs="Times New Roman"/>
              </w:rPr>
            </w:pPr>
          </w:p>
        </w:tc>
        <w:tc>
          <w:tcPr>
            <w:tcW w:w="1146" w:type="dxa"/>
            <w:tcBorders>
              <w:top w:val="nil"/>
              <w:left w:val="nil"/>
              <w:bottom w:val="single" w:sz="8" w:space="0" w:color="000000" w:themeColor="text1"/>
              <w:right w:val="nil"/>
            </w:tcBorders>
            <w:tcMar>
              <w:top w:w="0" w:type="dxa"/>
              <w:left w:w="108" w:type="dxa"/>
              <w:bottom w:w="0" w:type="dxa"/>
              <w:right w:w="108" w:type="dxa"/>
            </w:tcMar>
            <w:vAlign w:val="center"/>
          </w:tcPr>
          <w:p w14:paraId="1AAC19F8" w14:textId="69DC796F" w:rsidR="009A0FE5" w:rsidRPr="003C2011" w:rsidRDefault="009A0FE5" w:rsidP="00E618DB">
            <w:pPr>
              <w:jc w:val="center"/>
              <w:rPr>
                <w:rFonts w:ascii="Times New Roman" w:hAnsi="Times New Roman" w:cs="Times New Roman"/>
              </w:rPr>
            </w:pPr>
          </w:p>
        </w:tc>
        <w:tc>
          <w:tcPr>
            <w:tcW w:w="3438" w:type="dxa"/>
            <w:tcBorders>
              <w:top w:val="nil"/>
              <w:left w:val="nil"/>
              <w:bottom w:val="single" w:sz="8" w:space="0" w:color="000000" w:themeColor="text1"/>
              <w:right w:val="nil"/>
            </w:tcBorders>
            <w:tcMar>
              <w:top w:w="0" w:type="dxa"/>
              <w:left w:w="108" w:type="dxa"/>
              <w:bottom w:w="0" w:type="dxa"/>
              <w:right w:w="108" w:type="dxa"/>
            </w:tcMar>
            <w:vAlign w:val="center"/>
          </w:tcPr>
          <w:p w14:paraId="576CEE5F" w14:textId="0FEBF32B" w:rsidR="009A0FE5" w:rsidRPr="003C2011" w:rsidRDefault="009A0FE5" w:rsidP="00E618DB">
            <w:pPr>
              <w:jc w:val="center"/>
              <w:rPr>
                <w:rFonts w:ascii="Times New Roman" w:hAnsi="Times New Roman" w:cs="Times New Roman"/>
              </w:rPr>
            </w:pPr>
          </w:p>
        </w:tc>
        <w:tc>
          <w:tcPr>
            <w:tcW w:w="3124" w:type="dxa"/>
            <w:tcBorders>
              <w:top w:val="nil"/>
              <w:left w:val="nil"/>
              <w:bottom w:val="single" w:sz="8" w:space="0" w:color="000000" w:themeColor="text1"/>
              <w:right w:val="nil"/>
            </w:tcBorders>
            <w:tcMar>
              <w:top w:w="0" w:type="dxa"/>
              <w:left w:w="108" w:type="dxa"/>
              <w:bottom w:w="0" w:type="dxa"/>
              <w:right w:w="108" w:type="dxa"/>
            </w:tcMar>
            <w:vAlign w:val="center"/>
          </w:tcPr>
          <w:p w14:paraId="0901A3F5" w14:textId="0957FF5B" w:rsidR="009A0FE5" w:rsidRPr="003C2011" w:rsidRDefault="009A0FE5" w:rsidP="00E618DB">
            <w:pPr>
              <w:jc w:val="center"/>
              <w:rPr>
                <w:rFonts w:ascii="Times New Roman" w:hAnsi="Times New Roman" w:cs="Times New Roman"/>
              </w:rPr>
            </w:pPr>
          </w:p>
        </w:tc>
      </w:tr>
      <w:bookmarkEnd w:id="3"/>
    </w:tbl>
    <w:p w14:paraId="36747D19" w14:textId="77777777" w:rsidR="009A0FE5" w:rsidRPr="003C2011" w:rsidRDefault="009A0FE5" w:rsidP="009A0FE5"/>
    <w:p w14:paraId="66FA4D27" w14:textId="77777777" w:rsidR="009A0FE5" w:rsidRPr="003C2011" w:rsidRDefault="009A0FE5" w:rsidP="009A0FE5"/>
    <w:p w14:paraId="518EC748" w14:textId="77777777" w:rsidR="009A0FE5" w:rsidRPr="003C2011" w:rsidRDefault="009A0FE5" w:rsidP="009A0FE5"/>
    <w:p w14:paraId="638FB54F" w14:textId="77777777" w:rsidR="009A0FE5" w:rsidRPr="003C2011" w:rsidRDefault="009A0FE5" w:rsidP="009A0FE5"/>
    <w:p w14:paraId="72134EBA" w14:textId="77777777" w:rsidR="009A0FE5" w:rsidRPr="003C2011" w:rsidRDefault="009A0FE5" w:rsidP="009A0FE5"/>
    <w:p w14:paraId="0A8EA4B4" w14:textId="77777777" w:rsidR="009A0FE5" w:rsidRPr="003C2011" w:rsidRDefault="009A0FE5" w:rsidP="009A0FE5"/>
    <w:p w14:paraId="4FC546BE" w14:textId="77777777" w:rsidR="009A0FE5" w:rsidRPr="003C2011" w:rsidRDefault="009A0FE5" w:rsidP="009A0FE5"/>
    <w:p w14:paraId="1F8F2630" w14:textId="77777777" w:rsidR="009A0FE5" w:rsidRPr="003C2011" w:rsidRDefault="009A0FE5" w:rsidP="009A0FE5"/>
    <w:p w14:paraId="3760D969" w14:textId="77777777" w:rsidR="009A0FE5" w:rsidRPr="003C2011" w:rsidRDefault="009A0FE5" w:rsidP="009A0FE5"/>
    <w:p w14:paraId="14D83863" w14:textId="77777777" w:rsidR="009A0FE5" w:rsidRPr="003C2011" w:rsidRDefault="009A0FE5" w:rsidP="009A0FE5"/>
    <w:p w14:paraId="514E60B2" w14:textId="77777777" w:rsidR="009A0FE5" w:rsidRPr="003C2011" w:rsidRDefault="009A0FE5" w:rsidP="009A0FE5"/>
    <w:p w14:paraId="2C6CB625" w14:textId="77777777" w:rsidR="009A0FE5" w:rsidRPr="003C2011" w:rsidRDefault="009A0FE5" w:rsidP="009A0FE5"/>
    <w:p w14:paraId="1804A3C6" w14:textId="77777777" w:rsidR="009A0FE5" w:rsidRPr="003C2011" w:rsidRDefault="009A0FE5" w:rsidP="009A0FE5"/>
    <w:p w14:paraId="3ADE21EB" w14:textId="77777777" w:rsidR="009A0FE5" w:rsidRPr="003C2011" w:rsidRDefault="009A0FE5" w:rsidP="009A0FE5"/>
    <w:p w14:paraId="2DEFF93B" w14:textId="694185D2" w:rsidR="009A0FE5" w:rsidRPr="003C2011" w:rsidRDefault="009A0FE5" w:rsidP="009A0FE5">
      <w:pPr>
        <w:rPr>
          <w:rFonts w:ascii="Times New Roman" w:eastAsia="Calibri" w:hAnsi="Times New Roman" w:cs="Times New Roman"/>
          <w:sz w:val="24"/>
          <w:szCs w:val="24"/>
        </w:rPr>
      </w:pPr>
      <w:r w:rsidRPr="003C2011">
        <w:rPr>
          <w:rFonts w:ascii="Times New Roman" w:eastAsia="Calibri" w:hAnsi="Times New Roman" w:cs="Times New Roman"/>
          <w:b/>
          <w:bCs/>
          <w:sz w:val="24"/>
          <w:szCs w:val="24"/>
        </w:rPr>
        <w:lastRenderedPageBreak/>
        <w:t xml:space="preserve">Table </w:t>
      </w:r>
      <w:r w:rsidR="009E70D1" w:rsidRPr="003C2011">
        <w:rPr>
          <w:rFonts w:ascii="Times New Roman" w:eastAsia="Calibri" w:hAnsi="Times New Roman" w:cs="Times New Roman"/>
          <w:b/>
          <w:bCs/>
          <w:sz w:val="24"/>
          <w:szCs w:val="24"/>
        </w:rPr>
        <w:t>1</w:t>
      </w:r>
      <w:r w:rsidRPr="003C2011">
        <w:rPr>
          <w:rFonts w:ascii="Times New Roman" w:eastAsia="Calibri" w:hAnsi="Times New Roman" w:cs="Times New Roman"/>
          <w:b/>
          <w:bCs/>
          <w:sz w:val="24"/>
          <w:szCs w:val="24"/>
        </w:rPr>
        <w:t>.</w:t>
      </w:r>
      <w:r w:rsidRPr="003C2011">
        <w:rPr>
          <w:rFonts w:ascii="Times New Roman" w:eastAsia="Calibri" w:hAnsi="Times New Roman" w:cs="Times New Roman"/>
          <w:sz w:val="24"/>
          <w:szCs w:val="24"/>
        </w:rPr>
        <w:t xml:space="preserve"> </w:t>
      </w:r>
      <w:r w:rsidR="009E70D1" w:rsidRPr="003C2011">
        <w:rPr>
          <w:rFonts w:ascii="Times New Roman" w:eastAsia="Calibri" w:hAnsi="Times New Roman" w:cs="Times New Roman"/>
          <w:b/>
          <w:bCs/>
          <w:sz w:val="24"/>
          <w:szCs w:val="24"/>
        </w:rPr>
        <w:t>Enrollment, Patient Demographics and Presenting Signs and Symptoms by Study Arm</w:t>
      </w:r>
    </w:p>
    <w:p w14:paraId="6A391B68" w14:textId="77777777" w:rsidR="009A0FE5" w:rsidRPr="003C2011" w:rsidRDefault="009A0FE5" w:rsidP="009A0FE5">
      <w:pPr>
        <w:rPr>
          <w:rFonts w:ascii="Times New Roman" w:eastAsia="Calibri" w:hAnsi="Times New Roman" w:cs="Times New Roman"/>
        </w:rPr>
      </w:pPr>
    </w:p>
    <w:tbl>
      <w:tblPr>
        <w:tblStyle w:val="TableGrid"/>
        <w:tblW w:w="9985" w:type="dxa"/>
        <w:tblLook w:val="04A0" w:firstRow="1" w:lastRow="0" w:firstColumn="1" w:lastColumn="0" w:noHBand="0" w:noVBand="1"/>
      </w:tblPr>
      <w:tblGrid>
        <w:gridCol w:w="2875"/>
        <w:gridCol w:w="1700"/>
        <w:gridCol w:w="1634"/>
        <w:gridCol w:w="1708"/>
        <w:gridCol w:w="2068"/>
      </w:tblGrid>
      <w:tr w:rsidR="003C2011" w:rsidRPr="003C2011" w14:paraId="1349D3FC" w14:textId="77777777" w:rsidTr="004D7BD9">
        <w:trPr>
          <w:trHeight w:hRule="exact" w:val="1500"/>
        </w:trPr>
        <w:tc>
          <w:tcPr>
            <w:tcW w:w="2875" w:type="dxa"/>
            <w:vMerge w:val="restart"/>
            <w:vAlign w:val="center"/>
          </w:tcPr>
          <w:p w14:paraId="5A28B8D3" w14:textId="77777777" w:rsidR="009E70D1" w:rsidRPr="003C2011" w:rsidRDefault="009E70D1" w:rsidP="004D7BD9">
            <w:pPr>
              <w:rPr>
                <w:rFonts w:ascii="Times New Roman" w:eastAsia="Calibri" w:hAnsi="Times New Roman" w:cs="Times New Roman"/>
              </w:rPr>
            </w:pPr>
          </w:p>
        </w:tc>
        <w:tc>
          <w:tcPr>
            <w:tcW w:w="3334" w:type="dxa"/>
            <w:gridSpan w:val="2"/>
            <w:vAlign w:val="center"/>
          </w:tcPr>
          <w:p w14:paraId="67474FF7" w14:textId="77777777" w:rsidR="009E70D1" w:rsidRPr="003C2011" w:rsidRDefault="009E70D1" w:rsidP="004D7BD9">
            <w:pPr>
              <w:jc w:val="center"/>
              <w:rPr>
                <w:rFonts w:ascii="Times New Roman" w:eastAsia="Calibri" w:hAnsi="Times New Roman" w:cs="Times New Roman"/>
                <w:b/>
                <w:bCs/>
              </w:rPr>
            </w:pPr>
            <w:r w:rsidRPr="003C2011">
              <w:rPr>
                <w:rFonts w:ascii="Times New Roman" w:eastAsia="Calibri" w:hAnsi="Times New Roman" w:cs="Times New Roman"/>
                <w:b/>
                <w:bCs/>
              </w:rPr>
              <w:t>Randomized</w:t>
            </w:r>
          </w:p>
          <w:p w14:paraId="35D3A45A" w14:textId="77777777" w:rsidR="009E70D1" w:rsidRPr="003C2011" w:rsidRDefault="009E70D1" w:rsidP="004D7BD9">
            <w:pPr>
              <w:jc w:val="center"/>
              <w:rPr>
                <w:rFonts w:ascii="Times New Roman" w:eastAsia="Calibri" w:hAnsi="Times New Roman" w:cs="Times New Roman"/>
                <w:b/>
              </w:rPr>
            </w:pPr>
            <w:r w:rsidRPr="003C2011">
              <w:rPr>
                <w:rFonts w:ascii="Times New Roman" w:eastAsia="Calibri" w:hAnsi="Times New Roman" w:cs="Times New Roman"/>
                <w:b/>
              </w:rPr>
              <w:t>(n=936)</w:t>
            </w:r>
          </w:p>
        </w:tc>
        <w:tc>
          <w:tcPr>
            <w:tcW w:w="3776" w:type="dxa"/>
            <w:gridSpan w:val="2"/>
            <w:vAlign w:val="center"/>
          </w:tcPr>
          <w:p w14:paraId="1354E092" w14:textId="77777777" w:rsidR="009E70D1" w:rsidRPr="003C2011" w:rsidRDefault="009E70D1" w:rsidP="004D7BD9">
            <w:pPr>
              <w:jc w:val="center"/>
              <w:rPr>
                <w:rFonts w:ascii="Times New Roman" w:eastAsia="Calibri" w:hAnsi="Times New Roman" w:cs="Times New Roman"/>
                <w:b/>
                <w:bCs/>
              </w:rPr>
            </w:pPr>
            <w:r w:rsidRPr="003C2011">
              <w:rPr>
                <w:rFonts w:ascii="Times New Roman" w:eastAsia="Calibri" w:hAnsi="Times New Roman" w:cs="Times New Roman"/>
                <w:b/>
                <w:bCs/>
              </w:rPr>
              <w:t>12-Month Follow-Up or Endpoint Recorded</w:t>
            </w:r>
          </w:p>
          <w:p w14:paraId="3A380CA4" w14:textId="77777777" w:rsidR="009E70D1" w:rsidRPr="003C2011" w:rsidRDefault="009E70D1" w:rsidP="004D7BD9">
            <w:pPr>
              <w:jc w:val="center"/>
              <w:rPr>
                <w:rFonts w:ascii="Times New Roman" w:eastAsia="Calibri" w:hAnsi="Times New Roman" w:cs="Times New Roman"/>
                <w:b/>
                <w:bCs/>
              </w:rPr>
            </w:pPr>
            <w:r w:rsidRPr="003C2011">
              <w:rPr>
                <w:rFonts w:ascii="Times New Roman" w:eastAsia="Calibri" w:hAnsi="Times New Roman" w:cs="Times New Roman"/>
                <w:b/>
                <w:bCs/>
              </w:rPr>
              <w:t>(N=846)</w:t>
            </w:r>
          </w:p>
        </w:tc>
      </w:tr>
      <w:tr w:rsidR="003C2011" w:rsidRPr="003C2011" w14:paraId="7BE77E96" w14:textId="77777777" w:rsidTr="004D7BD9">
        <w:trPr>
          <w:trHeight w:hRule="exact" w:val="1587"/>
        </w:trPr>
        <w:tc>
          <w:tcPr>
            <w:tcW w:w="2875" w:type="dxa"/>
            <w:vMerge/>
          </w:tcPr>
          <w:p w14:paraId="12562D50" w14:textId="77777777" w:rsidR="009E70D1" w:rsidRPr="003C2011" w:rsidRDefault="009E70D1" w:rsidP="004D7BD9">
            <w:pPr>
              <w:rPr>
                <w:rFonts w:ascii="Times New Roman" w:eastAsia="Calibri" w:hAnsi="Times New Roman" w:cs="Times New Roman"/>
              </w:rPr>
            </w:pPr>
          </w:p>
        </w:tc>
        <w:tc>
          <w:tcPr>
            <w:tcW w:w="1700" w:type="dxa"/>
            <w:vAlign w:val="center"/>
          </w:tcPr>
          <w:p w14:paraId="0F150379" w14:textId="77777777" w:rsidR="009E70D1" w:rsidRPr="003C2011" w:rsidRDefault="009E70D1" w:rsidP="004D7BD9">
            <w:pPr>
              <w:jc w:val="center"/>
              <w:rPr>
                <w:rFonts w:ascii="Times New Roman" w:eastAsia="Calibri" w:hAnsi="Times New Roman" w:cs="Times New Roman"/>
                <w:b/>
              </w:rPr>
            </w:pPr>
            <w:r w:rsidRPr="003C2011">
              <w:rPr>
                <w:rFonts w:ascii="Times New Roman" w:eastAsia="Calibri" w:hAnsi="Times New Roman" w:cs="Times New Roman"/>
                <w:b/>
              </w:rPr>
              <w:t>Antibiotics Group</w:t>
            </w:r>
          </w:p>
          <w:p w14:paraId="3432EF48" w14:textId="77777777" w:rsidR="009E70D1" w:rsidRPr="003C2011" w:rsidRDefault="009E70D1" w:rsidP="004D7BD9">
            <w:pPr>
              <w:jc w:val="center"/>
              <w:rPr>
                <w:rFonts w:ascii="Times New Roman" w:eastAsia="Calibri" w:hAnsi="Times New Roman" w:cs="Times New Roman"/>
              </w:rPr>
            </w:pPr>
            <w:r w:rsidRPr="003C2011">
              <w:rPr>
                <w:rFonts w:ascii="Times New Roman" w:eastAsia="Calibri" w:hAnsi="Times New Roman" w:cs="Times New Roman"/>
                <w:b/>
              </w:rPr>
              <w:t>(n=477)</w:t>
            </w:r>
          </w:p>
        </w:tc>
        <w:tc>
          <w:tcPr>
            <w:tcW w:w="1634" w:type="dxa"/>
            <w:vAlign w:val="center"/>
          </w:tcPr>
          <w:p w14:paraId="21126B15" w14:textId="77777777" w:rsidR="009E70D1" w:rsidRPr="003C2011" w:rsidRDefault="009E70D1" w:rsidP="004D7BD9">
            <w:pPr>
              <w:jc w:val="center"/>
              <w:rPr>
                <w:rFonts w:ascii="Times New Roman" w:eastAsia="Calibri" w:hAnsi="Times New Roman" w:cs="Times New Roman"/>
                <w:b/>
              </w:rPr>
            </w:pPr>
            <w:r w:rsidRPr="003C2011">
              <w:rPr>
                <w:rFonts w:ascii="Times New Roman" w:eastAsia="Calibri" w:hAnsi="Times New Roman" w:cs="Times New Roman"/>
                <w:b/>
              </w:rPr>
              <w:t>Appendectomy Group</w:t>
            </w:r>
          </w:p>
          <w:p w14:paraId="5AA2DADF" w14:textId="77777777" w:rsidR="009E70D1" w:rsidRPr="003C2011" w:rsidRDefault="009E70D1" w:rsidP="004D7BD9">
            <w:pPr>
              <w:jc w:val="center"/>
              <w:rPr>
                <w:rFonts w:ascii="Times New Roman" w:eastAsia="Calibri" w:hAnsi="Times New Roman" w:cs="Times New Roman"/>
                <w:b/>
              </w:rPr>
            </w:pPr>
            <w:r w:rsidRPr="003C2011">
              <w:rPr>
                <w:rFonts w:ascii="Times New Roman" w:eastAsia="Calibri" w:hAnsi="Times New Roman" w:cs="Times New Roman"/>
                <w:b/>
              </w:rPr>
              <w:t>(n=459)</w:t>
            </w:r>
          </w:p>
        </w:tc>
        <w:tc>
          <w:tcPr>
            <w:tcW w:w="1708" w:type="dxa"/>
            <w:vAlign w:val="center"/>
          </w:tcPr>
          <w:p w14:paraId="34B37979" w14:textId="77777777" w:rsidR="009E70D1" w:rsidRPr="003C2011" w:rsidRDefault="009E70D1" w:rsidP="004D7BD9">
            <w:pPr>
              <w:jc w:val="center"/>
              <w:rPr>
                <w:rFonts w:ascii="Times New Roman" w:eastAsia="Calibri" w:hAnsi="Times New Roman" w:cs="Times New Roman"/>
                <w:b/>
              </w:rPr>
            </w:pPr>
            <w:r w:rsidRPr="003C2011">
              <w:rPr>
                <w:rFonts w:ascii="Times New Roman" w:eastAsia="Calibri" w:hAnsi="Times New Roman" w:cs="Times New Roman"/>
                <w:b/>
              </w:rPr>
              <w:t>Antibiotics Group</w:t>
            </w:r>
          </w:p>
          <w:p w14:paraId="6447F657" w14:textId="77777777" w:rsidR="009E70D1" w:rsidRPr="003C2011" w:rsidRDefault="009E70D1" w:rsidP="004D7BD9">
            <w:pPr>
              <w:jc w:val="center"/>
              <w:rPr>
                <w:rFonts w:ascii="Times New Roman" w:eastAsia="Calibri" w:hAnsi="Times New Roman" w:cs="Times New Roman"/>
              </w:rPr>
            </w:pPr>
            <w:r w:rsidRPr="003C2011">
              <w:rPr>
                <w:rFonts w:ascii="Times New Roman" w:eastAsia="Calibri" w:hAnsi="Times New Roman" w:cs="Times New Roman"/>
                <w:b/>
              </w:rPr>
              <w:t>(n=452)</w:t>
            </w:r>
          </w:p>
        </w:tc>
        <w:tc>
          <w:tcPr>
            <w:tcW w:w="2068" w:type="dxa"/>
            <w:vAlign w:val="center"/>
          </w:tcPr>
          <w:p w14:paraId="37C24A36" w14:textId="77777777" w:rsidR="009E70D1" w:rsidRPr="003C2011" w:rsidRDefault="009E70D1" w:rsidP="004D7BD9">
            <w:pPr>
              <w:jc w:val="center"/>
              <w:rPr>
                <w:rFonts w:ascii="Times New Roman" w:eastAsia="Calibri" w:hAnsi="Times New Roman" w:cs="Times New Roman"/>
                <w:b/>
              </w:rPr>
            </w:pPr>
            <w:r w:rsidRPr="003C2011">
              <w:rPr>
                <w:rFonts w:ascii="Times New Roman" w:eastAsia="Calibri" w:hAnsi="Times New Roman" w:cs="Times New Roman"/>
                <w:b/>
              </w:rPr>
              <w:t>Appendectomy Group</w:t>
            </w:r>
          </w:p>
          <w:p w14:paraId="33A5D4F5" w14:textId="77777777" w:rsidR="009E70D1" w:rsidRPr="003C2011" w:rsidRDefault="009E70D1" w:rsidP="004D7BD9">
            <w:pPr>
              <w:jc w:val="center"/>
              <w:rPr>
                <w:rFonts w:ascii="Times New Roman" w:eastAsia="Calibri" w:hAnsi="Times New Roman" w:cs="Times New Roman"/>
              </w:rPr>
            </w:pPr>
            <w:r w:rsidRPr="003C2011">
              <w:rPr>
                <w:rFonts w:ascii="Times New Roman" w:eastAsia="Calibri" w:hAnsi="Times New Roman" w:cs="Times New Roman"/>
                <w:b/>
              </w:rPr>
              <w:t>(n=394)</w:t>
            </w:r>
          </w:p>
        </w:tc>
      </w:tr>
      <w:tr w:rsidR="003C2011" w:rsidRPr="003C2011" w14:paraId="3980AAFF" w14:textId="77777777" w:rsidTr="004D7BD9">
        <w:trPr>
          <w:trHeight w:hRule="exact" w:val="3070"/>
        </w:trPr>
        <w:tc>
          <w:tcPr>
            <w:tcW w:w="2875" w:type="dxa"/>
            <w:vAlign w:val="center"/>
          </w:tcPr>
          <w:p w14:paraId="7AF03A8C" w14:textId="77777777" w:rsidR="009E70D1" w:rsidRPr="003C2011" w:rsidRDefault="009E70D1" w:rsidP="004D7BD9">
            <w:pPr>
              <w:rPr>
                <w:rFonts w:ascii="Times New Roman" w:eastAsia="Calibri" w:hAnsi="Times New Roman" w:cs="Times New Roman"/>
              </w:rPr>
            </w:pPr>
            <w:r w:rsidRPr="003C2011">
              <w:rPr>
                <w:rFonts w:ascii="Times New Roman" w:eastAsia="Calibri" w:hAnsi="Times New Roman" w:cs="Times New Roman"/>
              </w:rPr>
              <w:t>Study Site</w:t>
            </w:r>
          </w:p>
          <w:p w14:paraId="6D030903" w14:textId="77777777" w:rsidR="009E70D1" w:rsidRPr="003C2011" w:rsidRDefault="009E70D1" w:rsidP="004D7BD9">
            <w:pPr>
              <w:ind w:left="240" w:hanging="240"/>
              <w:rPr>
                <w:rFonts w:ascii="Times New Roman" w:eastAsia="Calibri" w:hAnsi="Times New Roman" w:cs="Times New Roman"/>
                <w:sz w:val="21"/>
                <w:szCs w:val="21"/>
              </w:rPr>
            </w:pPr>
            <w:r w:rsidRPr="003C2011">
              <w:rPr>
                <w:rFonts w:ascii="Times New Roman" w:eastAsia="Calibri" w:hAnsi="Times New Roman" w:cs="Times New Roman"/>
                <w:sz w:val="21"/>
                <w:szCs w:val="21"/>
              </w:rPr>
              <w:t xml:space="preserve">     Kansas City (USA)</w:t>
            </w:r>
          </w:p>
          <w:p w14:paraId="287DB78B" w14:textId="77777777" w:rsidR="009E70D1" w:rsidRPr="003C2011" w:rsidRDefault="009E70D1" w:rsidP="004D7BD9">
            <w:pPr>
              <w:ind w:left="240" w:hanging="240"/>
              <w:rPr>
                <w:rFonts w:ascii="Times New Roman" w:eastAsia="Calibri" w:hAnsi="Times New Roman" w:cs="Times New Roman"/>
                <w:sz w:val="21"/>
                <w:szCs w:val="21"/>
              </w:rPr>
            </w:pPr>
            <w:r w:rsidRPr="003C2011">
              <w:rPr>
                <w:rFonts w:ascii="Times New Roman" w:eastAsia="Calibri" w:hAnsi="Times New Roman" w:cs="Times New Roman"/>
                <w:sz w:val="21"/>
                <w:szCs w:val="21"/>
              </w:rPr>
              <w:t xml:space="preserve">     Helsinki (Finland)</w:t>
            </w:r>
          </w:p>
          <w:p w14:paraId="79F72848" w14:textId="77777777" w:rsidR="009E70D1" w:rsidRPr="003C2011" w:rsidRDefault="009E70D1" w:rsidP="004D7BD9">
            <w:pPr>
              <w:ind w:left="240" w:hanging="240"/>
              <w:rPr>
                <w:rFonts w:ascii="Times New Roman" w:eastAsia="Calibri" w:hAnsi="Times New Roman" w:cs="Times New Roman"/>
                <w:sz w:val="21"/>
                <w:szCs w:val="21"/>
              </w:rPr>
            </w:pPr>
            <w:r w:rsidRPr="003C2011">
              <w:rPr>
                <w:rFonts w:ascii="Times New Roman" w:eastAsia="Calibri" w:hAnsi="Times New Roman" w:cs="Times New Roman"/>
                <w:sz w:val="21"/>
                <w:szCs w:val="21"/>
              </w:rPr>
              <w:t xml:space="preserve">     Stockholm (Sweden)</w:t>
            </w:r>
          </w:p>
          <w:p w14:paraId="19D15BBA" w14:textId="77777777" w:rsidR="009E70D1" w:rsidRPr="003C2011" w:rsidRDefault="009E70D1" w:rsidP="004D7BD9">
            <w:pPr>
              <w:ind w:left="240" w:hanging="240"/>
              <w:rPr>
                <w:rFonts w:ascii="Times New Roman" w:eastAsia="Calibri" w:hAnsi="Times New Roman" w:cs="Times New Roman"/>
                <w:sz w:val="21"/>
                <w:szCs w:val="21"/>
              </w:rPr>
            </w:pPr>
            <w:r w:rsidRPr="003C2011">
              <w:rPr>
                <w:rFonts w:ascii="Times New Roman" w:eastAsia="Calibri" w:hAnsi="Times New Roman" w:cs="Times New Roman"/>
                <w:sz w:val="21"/>
                <w:szCs w:val="21"/>
              </w:rPr>
              <w:t xml:space="preserve">     Montreal (Canada)</w:t>
            </w:r>
          </w:p>
          <w:p w14:paraId="0FB8B4EE" w14:textId="77777777" w:rsidR="009E70D1" w:rsidRPr="003C2011" w:rsidRDefault="009E70D1" w:rsidP="004D7BD9">
            <w:pPr>
              <w:ind w:left="240" w:hanging="240"/>
              <w:rPr>
                <w:rFonts w:ascii="Times New Roman" w:eastAsia="Calibri" w:hAnsi="Times New Roman" w:cs="Times New Roman"/>
                <w:sz w:val="21"/>
                <w:szCs w:val="21"/>
              </w:rPr>
            </w:pPr>
            <w:r w:rsidRPr="003C2011">
              <w:rPr>
                <w:rFonts w:ascii="Times New Roman" w:eastAsia="Calibri" w:hAnsi="Times New Roman" w:cs="Times New Roman"/>
                <w:sz w:val="21"/>
                <w:szCs w:val="21"/>
              </w:rPr>
              <w:t xml:space="preserve">     Calgary (Canada)</w:t>
            </w:r>
          </w:p>
          <w:p w14:paraId="3C01D771" w14:textId="77777777" w:rsidR="009E70D1" w:rsidRPr="003C2011" w:rsidRDefault="009E70D1" w:rsidP="004D7BD9">
            <w:pPr>
              <w:ind w:left="240" w:hanging="240"/>
              <w:rPr>
                <w:rFonts w:ascii="Times New Roman" w:eastAsia="Calibri" w:hAnsi="Times New Roman" w:cs="Times New Roman"/>
                <w:sz w:val="21"/>
                <w:szCs w:val="21"/>
              </w:rPr>
            </w:pPr>
            <w:r w:rsidRPr="003C2011">
              <w:rPr>
                <w:rFonts w:ascii="Times New Roman" w:eastAsia="Calibri" w:hAnsi="Times New Roman" w:cs="Times New Roman"/>
                <w:sz w:val="21"/>
                <w:szCs w:val="21"/>
              </w:rPr>
              <w:t xml:space="preserve">    Winnipeg (Canada)</w:t>
            </w:r>
          </w:p>
          <w:p w14:paraId="2DB2E0BF" w14:textId="77777777" w:rsidR="009E70D1" w:rsidRPr="003C2011" w:rsidRDefault="009E70D1" w:rsidP="004D7BD9">
            <w:pPr>
              <w:ind w:left="240" w:hanging="240"/>
              <w:rPr>
                <w:rFonts w:ascii="Times New Roman" w:eastAsia="Calibri" w:hAnsi="Times New Roman" w:cs="Times New Roman"/>
                <w:sz w:val="21"/>
                <w:szCs w:val="21"/>
              </w:rPr>
            </w:pPr>
            <w:r w:rsidRPr="003C2011">
              <w:rPr>
                <w:rFonts w:ascii="Times New Roman" w:eastAsia="Calibri" w:hAnsi="Times New Roman" w:cs="Times New Roman"/>
                <w:sz w:val="21"/>
                <w:szCs w:val="21"/>
              </w:rPr>
              <w:t xml:space="preserve">    Uppsala (Sweden)</w:t>
            </w:r>
          </w:p>
          <w:p w14:paraId="4264B8EF" w14:textId="77777777" w:rsidR="009E70D1" w:rsidRPr="003C2011" w:rsidRDefault="009E70D1" w:rsidP="004D7BD9">
            <w:pPr>
              <w:ind w:left="240" w:hanging="240"/>
              <w:rPr>
                <w:rFonts w:ascii="Times New Roman" w:eastAsia="Calibri" w:hAnsi="Times New Roman" w:cs="Times New Roman"/>
                <w:sz w:val="21"/>
                <w:szCs w:val="21"/>
              </w:rPr>
            </w:pPr>
            <w:r w:rsidRPr="003C2011">
              <w:rPr>
                <w:rFonts w:ascii="Times New Roman" w:eastAsia="Calibri" w:hAnsi="Times New Roman" w:cs="Times New Roman"/>
                <w:sz w:val="21"/>
                <w:szCs w:val="21"/>
              </w:rPr>
              <w:t xml:space="preserve">    Memphis (USA)</w:t>
            </w:r>
          </w:p>
          <w:p w14:paraId="2D176F7C" w14:textId="77777777" w:rsidR="009E70D1" w:rsidRPr="003C2011" w:rsidRDefault="009E70D1" w:rsidP="004D7BD9">
            <w:pPr>
              <w:ind w:left="240" w:hanging="240"/>
              <w:rPr>
                <w:rFonts w:ascii="Times New Roman" w:eastAsia="Calibri" w:hAnsi="Times New Roman" w:cs="Times New Roman"/>
                <w:sz w:val="21"/>
                <w:szCs w:val="21"/>
              </w:rPr>
            </w:pPr>
            <w:r w:rsidRPr="003C2011">
              <w:rPr>
                <w:rFonts w:ascii="Times New Roman" w:eastAsia="Calibri" w:hAnsi="Times New Roman" w:cs="Times New Roman"/>
                <w:sz w:val="21"/>
                <w:szCs w:val="21"/>
              </w:rPr>
              <w:t xml:space="preserve">    London, Ontario (Canada)</w:t>
            </w:r>
          </w:p>
          <w:p w14:paraId="771CA689" w14:textId="77777777" w:rsidR="009E70D1" w:rsidRPr="003C2011" w:rsidRDefault="009E70D1" w:rsidP="004D7BD9">
            <w:pPr>
              <w:ind w:left="240" w:hanging="240"/>
              <w:rPr>
                <w:rFonts w:ascii="Times New Roman" w:eastAsia="Calibri" w:hAnsi="Times New Roman" w:cs="Times New Roman"/>
                <w:sz w:val="21"/>
                <w:szCs w:val="21"/>
              </w:rPr>
            </w:pPr>
            <w:r w:rsidRPr="003C2011">
              <w:rPr>
                <w:rFonts w:ascii="Times New Roman" w:eastAsia="Calibri" w:hAnsi="Times New Roman" w:cs="Times New Roman"/>
                <w:sz w:val="21"/>
                <w:szCs w:val="21"/>
              </w:rPr>
              <w:t xml:space="preserve">    Vancouver (Canada)</w:t>
            </w:r>
          </w:p>
          <w:p w14:paraId="212DC258" w14:textId="77777777" w:rsidR="009E70D1" w:rsidRPr="003C2011" w:rsidRDefault="009E70D1" w:rsidP="004D7BD9">
            <w:pPr>
              <w:ind w:left="240" w:hanging="240"/>
              <w:rPr>
                <w:rFonts w:ascii="Times New Roman" w:eastAsia="Calibri" w:hAnsi="Times New Roman" w:cs="Times New Roman"/>
              </w:rPr>
            </w:pPr>
            <w:r w:rsidRPr="003C2011">
              <w:rPr>
                <w:rFonts w:ascii="Times New Roman" w:eastAsia="Calibri" w:hAnsi="Times New Roman" w:cs="Times New Roman"/>
                <w:sz w:val="21"/>
                <w:szCs w:val="21"/>
              </w:rPr>
              <w:t xml:space="preserve">    Singapore</w:t>
            </w:r>
          </w:p>
        </w:tc>
        <w:tc>
          <w:tcPr>
            <w:tcW w:w="1700" w:type="dxa"/>
            <w:vAlign w:val="center"/>
          </w:tcPr>
          <w:p w14:paraId="73856516" w14:textId="77777777" w:rsidR="009E70D1" w:rsidRPr="003C2011" w:rsidRDefault="009E70D1" w:rsidP="004D7BD9">
            <w:pPr>
              <w:jc w:val="center"/>
              <w:rPr>
                <w:rFonts w:ascii="Times New Roman" w:eastAsia="Calibri" w:hAnsi="Times New Roman" w:cs="Times New Roman"/>
                <w:sz w:val="21"/>
                <w:szCs w:val="21"/>
              </w:rPr>
            </w:pPr>
          </w:p>
          <w:p w14:paraId="5F83E2E5" w14:textId="77777777" w:rsidR="009E70D1" w:rsidRPr="003C2011" w:rsidRDefault="009E70D1" w:rsidP="004D7BD9">
            <w:pPr>
              <w:jc w:val="center"/>
              <w:rPr>
                <w:rFonts w:ascii="Times New Roman" w:eastAsia="Calibri" w:hAnsi="Times New Roman" w:cs="Times New Roman"/>
                <w:sz w:val="21"/>
                <w:szCs w:val="21"/>
              </w:rPr>
            </w:pPr>
            <w:r w:rsidRPr="003C2011">
              <w:rPr>
                <w:rFonts w:ascii="Times New Roman" w:eastAsia="Calibri" w:hAnsi="Times New Roman" w:cs="Times New Roman"/>
                <w:sz w:val="21"/>
                <w:szCs w:val="21"/>
              </w:rPr>
              <w:t>107 (22·4%)</w:t>
            </w:r>
          </w:p>
          <w:p w14:paraId="61A4463A" w14:textId="77777777" w:rsidR="009E70D1" w:rsidRPr="003C2011" w:rsidRDefault="009E70D1" w:rsidP="004D7BD9">
            <w:pPr>
              <w:jc w:val="center"/>
              <w:rPr>
                <w:rFonts w:ascii="Times New Roman" w:eastAsia="Calibri" w:hAnsi="Times New Roman" w:cs="Times New Roman"/>
                <w:sz w:val="21"/>
                <w:szCs w:val="21"/>
              </w:rPr>
            </w:pPr>
            <w:r w:rsidRPr="003C2011">
              <w:rPr>
                <w:rFonts w:ascii="Times New Roman" w:eastAsia="Calibri" w:hAnsi="Times New Roman" w:cs="Times New Roman"/>
                <w:sz w:val="21"/>
                <w:szCs w:val="21"/>
              </w:rPr>
              <w:t>91 (19·1%)</w:t>
            </w:r>
          </w:p>
          <w:p w14:paraId="76271382" w14:textId="77777777" w:rsidR="009E70D1" w:rsidRPr="003C2011" w:rsidRDefault="009E70D1" w:rsidP="004D7BD9">
            <w:pPr>
              <w:jc w:val="center"/>
              <w:rPr>
                <w:rFonts w:ascii="Times New Roman" w:eastAsia="Calibri" w:hAnsi="Times New Roman" w:cs="Times New Roman"/>
                <w:sz w:val="21"/>
                <w:szCs w:val="21"/>
              </w:rPr>
            </w:pPr>
            <w:r w:rsidRPr="003C2011">
              <w:rPr>
                <w:rFonts w:ascii="Times New Roman" w:eastAsia="Calibri" w:hAnsi="Times New Roman" w:cs="Times New Roman"/>
                <w:sz w:val="21"/>
                <w:szCs w:val="21"/>
              </w:rPr>
              <w:t>73 (15·3)</w:t>
            </w:r>
          </w:p>
          <w:p w14:paraId="54244668" w14:textId="77777777" w:rsidR="009E70D1" w:rsidRPr="003C2011" w:rsidRDefault="009E70D1" w:rsidP="004D7BD9">
            <w:pPr>
              <w:jc w:val="center"/>
              <w:rPr>
                <w:rFonts w:ascii="Times New Roman" w:eastAsia="Calibri" w:hAnsi="Times New Roman" w:cs="Times New Roman"/>
                <w:sz w:val="21"/>
                <w:szCs w:val="21"/>
              </w:rPr>
            </w:pPr>
            <w:r w:rsidRPr="003C2011">
              <w:rPr>
                <w:rFonts w:ascii="Times New Roman" w:eastAsia="Calibri" w:hAnsi="Times New Roman" w:cs="Times New Roman"/>
                <w:sz w:val="21"/>
                <w:szCs w:val="21"/>
              </w:rPr>
              <w:t>47 (9·9%)</w:t>
            </w:r>
          </w:p>
          <w:p w14:paraId="0EADD814" w14:textId="77777777" w:rsidR="009E70D1" w:rsidRPr="003C2011" w:rsidRDefault="009E70D1" w:rsidP="004D7BD9">
            <w:pPr>
              <w:jc w:val="center"/>
              <w:rPr>
                <w:rFonts w:ascii="Times New Roman" w:eastAsia="Calibri" w:hAnsi="Times New Roman" w:cs="Times New Roman"/>
                <w:sz w:val="21"/>
                <w:szCs w:val="21"/>
              </w:rPr>
            </w:pPr>
            <w:r w:rsidRPr="003C2011">
              <w:rPr>
                <w:rFonts w:ascii="Times New Roman" w:eastAsia="Calibri" w:hAnsi="Times New Roman" w:cs="Times New Roman"/>
                <w:sz w:val="21"/>
                <w:szCs w:val="21"/>
              </w:rPr>
              <w:t>41 (8·6%)</w:t>
            </w:r>
          </w:p>
          <w:p w14:paraId="3E473801" w14:textId="77777777" w:rsidR="009E70D1" w:rsidRPr="003C2011" w:rsidRDefault="009E70D1" w:rsidP="004D7BD9">
            <w:pPr>
              <w:jc w:val="center"/>
              <w:rPr>
                <w:rFonts w:ascii="Times New Roman" w:eastAsia="Calibri" w:hAnsi="Times New Roman" w:cs="Times New Roman"/>
                <w:sz w:val="21"/>
                <w:szCs w:val="21"/>
              </w:rPr>
            </w:pPr>
            <w:r w:rsidRPr="003C2011">
              <w:rPr>
                <w:rFonts w:ascii="Times New Roman" w:eastAsia="Calibri" w:hAnsi="Times New Roman" w:cs="Times New Roman"/>
                <w:sz w:val="21"/>
                <w:szCs w:val="21"/>
              </w:rPr>
              <w:t>31 (6·5%)</w:t>
            </w:r>
          </w:p>
          <w:p w14:paraId="4D3C55CE" w14:textId="77777777" w:rsidR="009E70D1" w:rsidRPr="003C2011" w:rsidRDefault="009E70D1" w:rsidP="004D7BD9">
            <w:pPr>
              <w:jc w:val="center"/>
              <w:rPr>
                <w:rFonts w:ascii="Times New Roman" w:eastAsia="Calibri" w:hAnsi="Times New Roman" w:cs="Times New Roman"/>
                <w:sz w:val="21"/>
                <w:szCs w:val="21"/>
              </w:rPr>
            </w:pPr>
            <w:r w:rsidRPr="003C2011">
              <w:rPr>
                <w:rFonts w:ascii="Times New Roman" w:eastAsia="Calibri" w:hAnsi="Times New Roman" w:cs="Times New Roman"/>
                <w:sz w:val="21"/>
                <w:szCs w:val="21"/>
              </w:rPr>
              <w:t>25 (5·2%)</w:t>
            </w:r>
          </w:p>
          <w:p w14:paraId="1EB498B4" w14:textId="77777777" w:rsidR="009E70D1" w:rsidRPr="003C2011" w:rsidRDefault="009E70D1" w:rsidP="004D7BD9">
            <w:pPr>
              <w:jc w:val="center"/>
              <w:rPr>
                <w:rFonts w:ascii="Times New Roman" w:eastAsia="Calibri" w:hAnsi="Times New Roman" w:cs="Times New Roman"/>
                <w:sz w:val="21"/>
                <w:szCs w:val="21"/>
              </w:rPr>
            </w:pPr>
            <w:r w:rsidRPr="003C2011">
              <w:rPr>
                <w:rFonts w:ascii="Times New Roman" w:eastAsia="Calibri" w:hAnsi="Times New Roman" w:cs="Times New Roman"/>
                <w:sz w:val="21"/>
                <w:szCs w:val="21"/>
              </w:rPr>
              <w:t>21 (4·4%)</w:t>
            </w:r>
          </w:p>
          <w:p w14:paraId="1152F534" w14:textId="77777777" w:rsidR="009E70D1" w:rsidRPr="003C2011" w:rsidRDefault="009E70D1" w:rsidP="004D7BD9">
            <w:pPr>
              <w:jc w:val="center"/>
              <w:rPr>
                <w:rFonts w:ascii="Times New Roman" w:eastAsia="Calibri" w:hAnsi="Times New Roman" w:cs="Times New Roman"/>
                <w:sz w:val="21"/>
                <w:szCs w:val="21"/>
              </w:rPr>
            </w:pPr>
            <w:r w:rsidRPr="003C2011">
              <w:rPr>
                <w:rFonts w:ascii="Times New Roman" w:eastAsia="Calibri" w:hAnsi="Times New Roman" w:cs="Times New Roman"/>
                <w:sz w:val="21"/>
                <w:szCs w:val="21"/>
              </w:rPr>
              <w:t>16 (3·4%)</w:t>
            </w:r>
          </w:p>
          <w:p w14:paraId="36958E21" w14:textId="77777777" w:rsidR="009E70D1" w:rsidRPr="003C2011" w:rsidRDefault="009E70D1" w:rsidP="004D7BD9">
            <w:pPr>
              <w:jc w:val="center"/>
              <w:rPr>
                <w:rFonts w:ascii="Times New Roman" w:eastAsia="Calibri" w:hAnsi="Times New Roman" w:cs="Times New Roman"/>
                <w:sz w:val="21"/>
                <w:szCs w:val="21"/>
              </w:rPr>
            </w:pPr>
            <w:r w:rsidRPr="003C2011">
              <w:rPr>
                <w:rFonts w:ascii="Times New Roman" w:eastAsia="Calibri" w:hAnsi="Times New Roman" w:cs="Times New Roman"/>
                <w:sz w:val="21"/>
                <w:szCs w:val="21"/>
              </w:rPr>
              <w:t>16 (3·4%)</w:t>
            </w:r>
          </w:p>
          <w:p w14:paraId="227A5158" w14:textId="77777777" w:rsidR="009E70D1" w:rsidRPr="003C2011" w:rsidRDefault="009E70D1" w:rsidP="004D7BD9">
            <w:pPr>
              <w:jc w:val="center"/>
              <w:rPr>
                <w:rFonts w:ascii="Times New Roman" w:eastAsia="Calibri" w:hAnsi="Times New Roman" w:cs="Times New Roman"/>
                <w:sz w:val="21"/>
                <w:szCs w:val="21"/>
              </w:rPr>
            </w:pPr>
            <w:r w:rsidRPr="003C2011">
              <w:rPr>
                <w:rFonts w:ascii="Times New Roman" w:eastAsia="Calibri" w:hAnsi="Times New Roman" w:cs="Times New Roman"/>
                <w:sz w:val="21"/>
                <w:szCs w:val="21"/>
              </w:rPr>
              <w:t>9 (1·8%)</w:t>
            </w:r>
          </w:p>
        </w:tc>
        <w:tc>
          <w:tcPr>
            <w:tcW w:w="1634" w:type="dxa"/>
            <w:vAlign w:val="center"/>
          </w:tcPr>
          <w:p w14:paraId="498F7024" w14:textId="77777777" w:rsidR="009E70D1" w:rsidRPr="003C2011" w:rsidRDefault="009E70D1" w:rsidP="004D7BD9">
            <w:pPr>
              <w:jc w:val="center"/>
              <w:rPr>
                <w:rFonts w:ascii="Times New Roman" w:eastAsia="Calibri" w:hAnsi="Times New Roman" w:cs="Times New Roman"/>
                <w:sz w:val="21"/>
                <w:szCs w:val="21"/>
              </w:rPr>
            </w:pPr>
          </w:p>
          <w:p w14:paraId="1ECDE062" w14:textId="77777777" w:rsidR="009E70D1" w:rsidRPr="003C2011" w:rsidRDefault="009E70D1" w:rsidP="004D7BD9">
            <w:pPr>
              <w:jc w:val="center"/>
              <w:rPr>
                <w:rFonts w:ascii="Times New Roman" w:eastAsia="Calibri" w:hAnsi="Times New Roman" w:cs="Times New Roman"/>
                <w:sz w:val="21"/>
                <w:szCs w:val="21"/>
              </w:rPr>
            </w:pPr>
            <w:r w:rsidRPr="003C2011">
              <w:rPr>
                <w:rFonts w:ascii="Times New Roman" w:eastAsia="Calibri" w:hAnsi="Times New Roman" w:cs="Times New Roman"/>
                <w:sz w:val="21"/>
                <w:szCs w:val="21"/>
              </w:rPr>
              <w:t>107 (23·3%)</w:t>
            </w:r>
          </w:p>
          <w:p w14:paraId="5B25D821" w14:textId="77777777" w:rsidR="009E70D1" w:rsidRPr="003C2011" w:rsidRDefault="009E70D1" w:rsidP="004D7BD9">
            <w:pPr>
              <w:jc w:val="center"/>
              <w:rPr>
                <w:rFonts w:ascii="Times New Roman" w:eastAsia="Calibri" w:hAnsi="Times New Roman" w:cs="Times New Roman"/>
                <w:sz w:val="21"/>
                <w:szCs w:val="21"/>
              </w:rPr>
            </w:pPr>
            <w:r w:rsidRPr="003C2011">
              <w:rPr>
                <w:rFonts w:ascii="Times New Roman" w:eastAsia="Calibri" w:hAnsi="Times New Roman" w:cs="Times New Roman"/>
                <w:sz w:val="21"/>
                <w:szCs w:val="21"/>
              </w:rPr>
              <w:t>86 (18·7%)</w:t>
            </w:r>
          </w:p>
          <w:p w14:paraId="55E16399" w14:textId="77777777" w:rsidR="009E70D1" w:rsidRPr="003C2011" w:rsidRDefault="009E70D1" w:rsidP="004D7BD9">
            <w:pPr>
              <w:jc w:val="center"/>
              <w:rPr>
                <w:rFonts w:ascii="Times New Roman" w:eastAsia="Calibri" w:hAnsi="Times New Roman" w:cs="Times New Roman"/>
                <w:sz w:val="21"/>
                <w:szCs w:val="21"/>
              </w:rPr>
            </w:pPr>
            <w:r w:rsidRPr="003C2011">
              <w:rPr>
                <w:rFonts w:ascii="Times New Roman" w:eastAsia="Calibri" w:hAnsi="Times New Roman" w:cs="Times New Roman"/>
                <w:sz w:val="21"/>
                <w:szCs w:val="21"/>
              </w:rPr>
              <w:t>61 (13·3%)</w:t>
            </w:r>
          </w:p>
          <w:p w14:paraId="42B6B6DA" w14:textId="77777777" w:rsidR="009E70D1" w:rsidRPr="003C2011" w:rsidRDefault="009E70D1" w:rsidP="004D7BD9">
            <w:pPr>
              <w:jc w:val="center"/>
              <w:rPr>
                <w:rFonts w:ascii="Times New Roman" w:eastAsia="Calibri" w:hAnsi="Times New Roman" w:cs="Times New Roman"/>
                <w:sz w:val="21"/>
                <w:szCs w:val="21"/>
              </w:rPr>
            </w:pPr>
            <w:r w:rsidRPr="003C2011">
              <w:rPr>
                <w:rFonts w:ascii="Times New Roman" w:eastAsia="Calibri" w:hAnsi="Times New Roman" w:cs="Times New Roman"/>
                <w:sz w:val="21"/>
                <w:szCs w:val="21"/>
              </w:rPr>
              <w:t>49 (10·7%)</w:t>
            </w:r>
          </w:p>
          <w:p w14:paraId="7691B3F7" w14:textId="77777777" w:rsidR="009E70D1" w:rsidRPr="003C2011" w:rsidRDefault="009E70D1" w:rsidP="004D7BD9">
            <w:pPr>
              <w:jc w:val="center"/>
              <w:rPr>
                <w:rFonts w:ascii="Times New Roman" w:eastAsia="Calibri" w:hAnsi="Times New Roman" w:cs="Times New Roman"/>
                <w:sz w:val="21"/>
                <w:szCs w:val="21"/>
              </w:rPr>
            </w:pPr>
            <w:r w:rsidRPr="003C2011">
              <w:rPr>
                <w:rFonts w:ascii="Times New Roman" w:eastAsia="Calibri" w:hAnsi="Times New Roman" w:cs="Times New Roman"/>
                <w:sz w:val="21"/>
                <w:szCs w:val="21"/>
              </w:rPr>
              <w:t>40 (8·7%)</w:t>
            </w:r>
          </w:p>
          <w:p w14:paraId="4EB204B7" w14:textId="77777777" w:rsidR="009E70D1" w:rsidRPr="003C2011" w:rsidRDefault="009E70D1" w:rsidP="004D7BD9">
            <w:pPr>
              <w:jc w:val="center"/>
              <w:rPr>
                <w:rFonts w:ascii="Times New Roman" w:eastAsia="Calibri" w:hAnsi="Times New Roman" w:cs="Times New Roman"/>
                <w:sz w:val="21"/>
                <w:szCs w:val="21"/>
              </w:rPr>
            </w:pPr>
            <w:r w:rsidRPr="003C2011">
              <w:rPr>
                <w:rFonts w:ascii="Times New Roman" w:eastAsia="Calibri" w:hAnsi="Times New Roman" w:cs="Times New Roman"/>
                <w:sz w:val="21"/>
                <w:szCs w:val="21"/>
              </w:rPr>
              <w:t>26 (5·7%)</w:t>
            </w:r>
          </w:p>
          <w:p w14:paraId="1E6BAF3C" w14:textId="77777777" w:rsidR="009E70D1" w:rsidRPr="003C2011" w:rsidRDefault="009E70D1" w:rsidP="004D7BD9">
            <w:pPr>
              <w:jc w:val="center"/>
              <w:rPr>
                <w:rFonts w:ascii="Times New Roman" w:eastAsia="Calibri" w:hAnsi="Times New Roman" w:cs="Times New Roman"/>
                <w:sz w:val="21"/>
                <w:szCs w:val="21"/>
              </w:rPr>
            </w:pPr>
            <w:r w:rsidRPr="003C2011">
              <w:rPr>
                <w:rFonts w:ascii="Times New Roman" w:eastAsia="Calibri" w:hAnsi="Times New Roman" w:cs="Times New Roman"/>
                <w:sz w:val="21"/>
                <w:szCs w:val="21"/>
              </w:rPr>
              <w:t>27 (5·9%)</w:t>
            </w:r>
          </w:p>
          <w:p w14:paraId="242E409A" w14:textId="77777777" w:rsidR="009E70D1" w:rsidRPr="003C2011" w:rsidRDefault="009E70D1" w:rsidP="004D7BD9">
            <w:pPr>
              <w:jc w:val="center"/>
              <w:rPr>
                <w:rFonts w:ascii="Times New Roman" w:eastAsia="Calibri" w:hAnsi="Times New Roman" w:cs="Times New Roman"/>
                <w:sz w:val="21"/>
                <w:szCs w:val="21"/>
              </w:rPr>
            </w:pPr>
            <w:r w:rsidRPr="003C2011">
              <w:rPr>
                <w:rFonts w:ascii="Times New Roman" w:eastAsia="Calibri" w:hAnsi="Times New Roman" w:cs="Times New Roman"/>
                <w:sz w:val="21"/>
                <w:szCs w:val="21"/>
              </w:rPr>
              <w:t>20 (4·3%)</w:t>
            </w:r>
          </w:p>
          <w:p w14:paraId="1D712971" w14:textId="77777777" w:rsidR="009E70D1" w:rsidRPr="003C2011" w:rsidRDefault="009E70D1" w:rsidP="004D7BD9">
            <w:pPr>
              <w:jc w:val="center"/>
              <w:rPr>
                <w:rFonts w:ascii="Times New Roman" w:eastAsia="Calibri" w:hAnsi="Times New Roman" w:cs="Times New Roman"/>
                <w:sz w:val="21"/>
                <w:szCs w:val="21"/>
              </w:rPr>
            </w:pPr>
            <w:r w:rsidRPr="003C2011">
              <w:rPr>
                <w:rFonts w:ascii="Times New Roman" w:eastAsia="Calibri" w:hAnsi="Times New Roman" w:cs="Times New Roman"/>
                <w:sz w:val="21"/>
                <w:szCs w:val="21"/>
              </w:rPr>
              <w:t>20 (4·3%)</w:t>
            </w:r>
          </w:p>
          <w:p w14:paraId="194F9132" w14:textId="77777777" w:rsidR="009E70D1" w:rsidRPr="003C2011" w:rsidRDefault="009E70D1" w:rsidP="004D7BD9">
            <w:pPr>
              <w:jc w:val="center"/>
              <w:rPr>
                <w:rFonts w:ascii="Times New Roman" w:eastAsia="Calibri" w:hAnsi="Times New Roman" w:cs="Times New Roman"/>
                <w:sz w:val="21"/>
                <w:szCs w:val="21"/>
              </w:rPr>
            </w:pPr>
            <w:r w:rsidRPr="003C2011">
              <w:rPr>
                <w:rFonts w:ascii="Times New Roman" w:eastAsia="Calibri" w:hAnsi="Times New Roman" w:cs="Times New Roman"/>
                <w:sz w:val="21"/>
                <w:szCs w:val="21"/>
              </w:rPr>
              <w:t>16 (3·6%)</w:t>
            </w:r>
          </w:p>
          <w:p w14:paraId="1C81E709" w14:textId="77777777" w:rsidR="009E70D1" w:rsidRPr="003C2011" w:rsidRDefault="009E70D1" w:rsidP="004D7BD9">
            <w:pPr>
              <w:jc w:val="center"/>
              <w:rPr>
                <w:rFonts w:ascii="Times New Roman" w:eastAsia="Calibri" w:hAnsi="Times New Roman" w:cs="Times New Roman"/>
                <w:sz w:val="21"/>
                <w:szCs w:val="21"/>
              </w:rPr>
            </w:pPr>
            <w:r w:rsidRPr="003C2011">
              <w:rPr>
                <w:rFonts w:ascii="Times New Roman" w:eastAsia="Calibri" w:hAnsi="Times New Roman" w:cs="Times New Roman"/>
                <w:sz w:val="21"/>
                <w:szCs w:val="21"/>
              </w:rPr>
              <w:t>7 (1·5%)</w:t>
            </w:r>
          </w:p>
        </w:tc>
        <w:tc>
          <w:tcPr>
            <w:tcW w:w="1708" w:type="dxa"/>
            <w:vAlign w:val="center"/>
          </w:tcPr>
          <w:p w14:paraId="3E88FCC4" w14:textId="77777777" w:rsidR="009E70D1" w:rsidRPr="003C2011" w:rsidRDefault="009E70D1" w:rsidP="004D7BD9">
            <w:pPr>
              <w:jc w:val="center"/>
              <w:rPr>
                <w:rFonts w:ascii="Times New Roman" w:eastAsia="Calibri" w:hAnsi="Times New Roman" w:cs="Times New Roman"/>
                <w:sz w:val="21"/>
                <w:szCs w:val="21"/>
              </w:rPr>
            </w:pPr>
          </w:p>
          <w:p w14:paraId="2855C365" w14:textId="77777777" w:rsidR="009E70D1" w:rsidRPr="003C2011" w:rsidRDefault="009E70D1" w:rsidP="004D7BD9">
            <w:pPr>
              <w:jc w:val="center"/>
              <w:rPr>
                <w:rFonts w:ascii="Times New Roman" w:eastAsia="Calibri" w:hAnsi="Times New Roman" w:cs="Times New Roman"/>
                <w:sz w:val="21"/>
                <w:szCs w:val="21"/>
              </w:rPr>
            </w:pPr>
            <w:r w:rsidRPr="003C2011">
              <w:rPr>
                <w:rFonts w:ascii="Times New Roman" w:eastAsia="Calibri" w:hAnsi="Times New Roman" w:cs="Times New Roman"/>
                <w:sz w:val="21"/>
                <w:szCs w:val="21"/>
              </w:rPr>
              <w:t>99 (21·9%)</w:t>
            </w:r>
          </w:p>
          <w:p w14:paraId="7D35CB82" w14:textId="77777777" w:rsidR="009E70D1" w:rsidRPr="003C2011" w:rsidRDefault="009E70D1" w:rsidP="004D7BD9">
            <w:pPr>
              <w:jc w:val="center"/>
              <w:rPr>
                <w:rFonts w:ascii="Times New Roman" w:eastAsia="Calibri" w:hAnsi="Times New Roman" w:cs="Times New Roman"/>
                <w:sz w:val="21"/>
                <w:szCs w:val="21"/>
              </w:rPr>
            </w:pPr>
            <w:r w:rsidRPr="003C2011">
              <w:rPr>
                <w:rFonts w:ascii="Times New Roman" w:eastAsia="Calibri" w:hAnsi="Times New Roman" w:cs="Times New Roman"/>
                <w:sz w:val="21"/>
                <w:szCs w:val="21"/>
              </w:rPr>
              <w:t>87 (19·3%)</w:t>
            </w:r>
          </w:p>
          <w:p w14:paraId="13CD47EB" w14:textId="77777777" w:rsidR="009E70D1" w:rsidRPr="003C2011" w:rsidRDefault="009E70D1" w:rsidP="004D7BD9">
            <w:pPr>
              <w:jc w:val="center"/>
              <w:rPr>
                <w:rFonts w:ascii="Times New Roman" w:eastAsia="Calibri" w:hAnsi="Times New Roman" w:cs="Times New Roman"/>
                <w:sz w:val="21"/>
                <w:szCs w:val="21"/>
              </w:rPr>
            </w:pPr>
            <w:r w:rsidRPr="003C2011">
              <w:rPr>
                <w:rFonts w:ascii="Times New Roman" w:eastAsia="Calibri" w:hAnsi="Times New Roman" w:cs="Times New Roman"/>
                <w:sz w:val="21"/>
                <w:szCs w:val="21"/>
              </w:rPr>
              <w:t>69 (15·3%)</w:t>
            </w:r>
          </w:p>
          <w:p w14:paraId="454CC86E" w14:textId="77777777" w:rsidR="009E70D1" w:rsidRPr="003C2011" w:rsidRDefault="009E70D1" w:rsidP="004D7BD9">
            <w:pPr>
              <w:jc w:val="center"/>
              <w:rPr>
                <w:rFonts w:ascii="Times New Roman" w:eastAsia="Calibri" w:hAnsi="Times New Roman" w:cs="Times New Roman"/>
                <w:sz w:val="21"/>
                <w:szCs w:val="21"/>
              </w:rPr>
            </w:pPr>
            <w:r w:rsidRPr="003C2011">
              <w:rPr>
                <w:rFonts w:ascii="Times New Roman" w:eastAsia="Calibri" w:hAnsi="Times New Roman" w:cs="Times New Roman"/>
                <w:sz w:val="21"/>
                <w:szCs w:val="21"/>
              </w:rPr>
              <w:t>45 (9·9%)</w:t>
            </w:r>
          </w:p>
          <w:p w14:paraId="2DB1F76F" w14:textId="77777777" w:rsidR="009E70D1" w:rsidRPr="003C2011" w:rsidRDefault="009E70D1" w:rsidP="004D7BD9">
            <w:pPr>
              <w:jc w:val="center"/>
              <w:rPr>
                <w:rFonts w:ascii="Times New Roman" w:eastAsia="Calibri" w:hAnsi="Times New Roman" w:cs="Times New Roman"/>
                <w:sz w:val="21"/>
                <w:szCs w:val="21"/>
              </w:rPr>
            </w:pPr>
            <w:r w:rsidRPr="003C2011">
              <w:rPr>
                <w:rFonts w:ascii="Times New Roman" w:eastAsia="Calibri" w:hAnsi="Times New Roman" w:cs="Times New Roman"/>
                <w:sz w:val="21"/>
                <w:szCs w:val="21"/>
              </w:rPr>
              <w:t>41 (9·1%)</w:t>
            </w:r>
          </w:p>
          <w:p w14:paraId="1F6E1E24" w14:textId="77777777" w:rsidR="009E70D1" w:rsidRPr="003C2011" w:rsidRDefault="009E70D1" w:rsidP="004D7BD9">
            <w:pPr>
              <w:jc w:val="center"/>
              <w:rPr>
                <w:rFonts w:ascii="Times New Roman" w:eastAsia="Calibri" w:hAnsi="Times New Roman" w:cs="Times New Roman"/>
                <w:sz w:val="21"/>
                <w:szCs w:val="21"/>
              </w:rPr>
            </w:pPr>
            <w:r w:rsidRPr="003C2011">
              <w:rPr>
                <w:rFonts w:ascii="Times New Roman" w:eastAsia="Calibri" w:hAnsi="Times New Roman" w:cs="Times New Roman"/>
                <w:sz w:val="21"/>
                <w:szCs w:val="21"/>
              </w:rPr>
              <w:t>31 (6·9%)</w:t>
            </w:r>
          </w:p>
          <w:p w14:paraId="5E87031F" w14:textId="77777777" w:rsidR="009E70D1" w:rsidRPr="003C2011" w:rsidRDefault="009E70D1" w:rsidP="004D7BD9">
            <w:pPr>
              <w:jc w:val="center"/>
              <w:rPr>
                <w:rFonts w:ascii="Times New Roman" w:eastAsia="Calibri" w:hAnsi="Times New Roman" w:cs="Times New Roman"/>
                <w:sz w:val="21"/>
                <w:szCs w:val="21"/>
              </w:rPr>
            </w:pPr>
            <w:r w:rsidRPr="003C2011">
              <w:rPr>
                <w:rFonts w:ascii="Times New Roman" w:eastAsia="Calibri" w:hAnsi="Times New Roman" w:cs="Times New Roman"/>
                <w:sz w:val="21"/>
                <w:szCs w:val="21"/>
              </w:rPr>
              <w:t>25 (5·5%)</w:t>
            </w:r>
          </w:p>
          <w:p w14:paraId="7C8FB75E" w14:textId="77777777" w:rsidR="009E70D1" w:rsidRPr="003C2011" w:rsidRDefault="009E70D1" w:rsidP="004D7BD9">
            <w:pPr>
              <w:jc w:val="center"/>
              <w:rPr>
                <w:rFonts w:ascii="Times New Roman" w:eastAsia="Calibri" w:hAnsi="Times New Roman" w:cs="Times New Roman"/>
                <w:sz w:val="21"/>
                <w:szCs w:val="21"/>
              </w:rPr>
            </w:pPr>
            <w:r w:rsidRPr="003C2011">
              <w:rPr>
                <w:rFonts w:ascii="Times New Roman" w:eastAsia="Calibri" w:hAnsi="Times New Roman" w:cs="Times New Roman"/>
                <w:sz w:val="21"/>
                <w:szCs w:val="21"/>
              </w:rPr>
              <w:t>20 (4·4%)</w:t>
            </w:r>
          </w:p>
          <w:p w14:paraId="307A7BB3" w14:textId="77777777" w:rsidR="009E70D1" w:rsidRPr="003C2011" w:rsidRDefault="009E70D1" w:rsidP="004D7BD9">
            <w:pPr>
              <w:jc w:val="center"/>
              <w:rPr>
                <w:rFonts w:ascii="Times New Roman" w:eastAsia="Calibri" w:hAnsi="Times New Roman" w:cs="Times New Roman"/>
                <w:sz w:val="21"/>
                <w:szCs w:val="21"/>
              </w:rPr>
            </w:pPr>
            <w:r w:rsidRPr="003C2011">
              <w:rPr>
                <w:rFonts w:ascii="Times New Roman" w:eastAsia="Calibri" w:hAnsi="Times New Roman" w:cs="Times New Roman"/>
                <w:sz w:val="21"/>
                <w:szCs w:val="21"/>
              </w:rPr>
              <w:t>13 (2·8%)</w:t>
            </w:r>
          </w:p>
          <w:p w14:paraId="65E840E4" w14:textId="77777777" w:rsidR="009E70D1" w:rsidRPr="003C2011" w:rsidRDefault="009E70D1" w:rsidP="004D7BD9">
            <w:pPr>
              <w:jc w:val="center"/>
              <w:rPr>
                <w:rFonts w:ascii="Times New Roman" w:eastAsia="Calibri" w:hAnsi="Times New Roman" w:cs="Times New Roman"/>
                <w:sz w:val="21"/>
                <w:szCs w:val="21"/>
              </w:rPr>
            </w:pPr>
            <w:r w:rsidRPr="003C2011">
              <w:rPr>
                <w:rFonts w:ascii="Times New Roman" w:eastAsia="Calibri" w:hAnsi="Times New Roman" w:cs="Times New Roman"/>
                <w:sz w:val="21"/>
                <w:szCs w:val="21"/>
              </w:rPr>
              <w:t>14 (3·1%)</w:t>
            </w:r>
          </w:p>
          <w:p w14:paraId="1A0E53E1" w14:textId="77777777" w:rsidR="009E70D1" w:rsidRPr="003C2011" w:rsidRDefault="009E70D1" w:rsidP="004D7BD9">
            <w:pPr>
              <w:jc w:val="center"/>
              <w:rPr>
                <w:rFonts w:ascii="Times New Roman" w:eastAsia="Calibri" w:hAnsi="Times New Roman" w:cs="Times New Roman"/>
                <w:sz w:val="21"/>
                <w:szCs w:val="21"/>
              </w:rPr>
            </w:pPr>
            <w:r w:rsidRPr="003C2011">
              <w:rPr>
                <w:rFonts w:ascii="Times New Roman" w:eastAsia="Calibri" w:hAnsi="Times New Roman" w:cs="Times New Roman"/>
                <w:sz w:val="21"/>
                <w:szCs w:val="21"/>
              </w:rPr>
              <w:t>8 (1·8%)</w:t>
            </w:r>
          </w:p>
        </w:tc>
        <w:tc>
          <w:tcPr>
            <w:tcW w:w="2068" w:type="dxa"/>
            <w:vAlign w:val="center"/>
          </w:tcPr>
          <w:p w14:paraId="32B4AB8A" w14:textId="77777777" w:rsidR="009E70D1" w:rsidRPr="003C2011" w:rsidRDefault="009E70D1" w:rsidP="004D7BD9">
            <w:pPr>
              <w:jc w:val="center"/>
              <w:rPr>
                <w:rFonts w:ascii="Times New Roman" w:eastAsia="Calibri" w:hAnsi="Times New Roman" w:cs="Times New Roman"/>
                <w:sz w:val="21"/>
                <w:szCs w:val="21"/>
              </w:rPr>
            </w:pPr>
          </w:p>
          <w:p w14:paraId="5825ADF0" w14:textId="77777777" w:rsidR="009E70D1" w:rsidRPr="003C2011" w:rsidRDefault="009E70D1" w:rsidP="004D7BD9">
            <w:pPr>
              <w:jc w:val="center"/>
              <w:rPr>
                <w:rFonts w:ascii="Times New Roman" w:eastAsia="Calibri" w:hAnsi="Times New Roman" w:cs="Times New Roman"/>
                <w:sz w:val="21"/>
                <w:szCs w:val="21"/>
              </w:rPr>
            </w:pPr>
            <w:r w:rsidRPr="003C2011">
              <w:rPr>
                <w:rFonts w:ascii="Times New Roman" w:eastAsia="Calibri" w:hAnsi="Times New Roman" w:cs="Times New Roman"/>
                <w:sz w:val="21"/>
                <w:szCs w:val="21"/>
              </w:rPr>
              <w:t>74 (18·8%)</w:t>
            </w:r>
          </w:p>
          <w:p w14:paraId="388EC41A" w14:textId="77777777" w:rsidR="009E70D1" w:rsidRPr="003C2011" w:rsidRDefault="009E70D1" w:rsidP="004D7BD9">
            <w:pPr>
              <w:jc w:val="center"/>
              <w:rPr>
                <w:rFonts w:ascii="Times New Roman" w:eastAsia="Calibri" w:hAnsi="Times New Roman" w:cs="Times New Roman"/>
                <w:sz w:val="21"/>
                <w:szCs w:val="21"/>
              </w:rPr>
            </w:pPr>
            <w:r w:rsidRPr="003C2011">
              <w:rPr>
                <w:rFonts w:ascii="Times New Roman" w:eastAsia="Calibri" w:hAnsi="Times New Roman" w:cs="Times New Roman"/>
                <w:sz w:val="21"/>
                <w:szCs w:val="21"/>
              </w:rPr>
              <w:t>81 (20·6%)</w:t>
            </w:r>
          </w:p>
          <w:p w14:paraId="5805F335" w14:textId="77777777" w:rsidR="009E70D1" w:rsidRPr="003C2011" w:rsidRDefault="009E70D1" w:rsidP="004D7BD9">
            <w:pPr>
              <w:jc w:val="center"/>
              <w:rPr>
                <w:rFonts w:ascii="Times New Roman" w:eastAsia="Calibri" w:hAnsi="Times New Roman" w:cs="Times New Roman"/>
                <w:sz w:val="21"/>
                <w:szCs w:val="21"/>
              </w:rPr>
            </w:pPr>
            <w:r w:rsidRPr="003C2011">
              <w:rPr>
                <w:rFonts w:ascii="Times New Roman" w:eastAsia="Calibri" w:hAnsi="Times New Roman" w:cs="Times New Roman"/>
                <w:sz w:val="21"/>
                <w:szCs w:val="21"/>
              </w:rPr>
              <w:t>57 (14·5%)</w:t>
            </w:r>
          </w:p>
          <w:p w14:paraId="77502951" w14:textId="77777777" w:rsidR="009E70D1" w:rsidRPr="003C2011" w:rsidRDefault="009E70D1" w:rsidP="004D7BD9">
            <w:pPr>
              <w:jc w:val="center"/>
              <w:rPr>
                <w:rFonts w:ascii="Times New Roman" w:eastAsia="Calibri" w:hAnsi="Times New Roman" w:cs="Times New Roman"/>
                <w:sz w:val="21"/>
                <w:szCs w:val="21"/>
              </w:rPr>
            </w:pPr>
            <w:r w:rsidRPr="003C2011">
              <w:rPr>
                <w:rFonts w:ascii="Times New Roman" w:eastAsia="Calibri" w:hAnsi="Times New Roman" w:cs="Times New Roman"/>
                <w:sz w:val="21"/>
                <w:szCs w:val="21"/>
              </w:rPr>
              <w:t>47 (11·9%)</w:t>
            </w:r>
          </w:p>
          <w:p w14:paraId="594E0C4C" w14:textId="77777777" w:rsidR="009E70D1" w:rsidRPr="003C2011" w:rsidRDefault="009E70D1" w:rsidP="004D7BD9">
            <w:pPr>
              <w:jc w:val="center"/>
              <w:rPr>
                <w:rFonts w:ascii="Times New Roman" w:eastAsia="Calibri" w:hAnsi="Times New Roman" w:cs="Times New Roman"/>
                <w:sz w:val="21"/>
                <w:szCs w:val="21"/>
              </w:rPr>
            </w:pPr>
            <w:r w:rsidRPr="003C2011">
              <w:rPr>
                <w:rFonts w:ascii="Times New Roman" w:eastAsia="Calibri" w:hAnsi="Times New Roman" w:cs="Times New Roman"/>
                <w:sz w:val="21"/>
                <w:szCs w:val="21"/>
              </w:rPr>
              <w:t>38 (9·6%)</w:t>
            </w:r>
          </w:p>
          <w:p w14:paraId="223AB3D3" w14:textId="77777777" w:rsidR="009E70D1" w:rsidRPr="003C2011" w:rsidRDefault="009E70D1" w:rsidP="004D7BD9">
            <w:pPr>
              <w:jc w:val="center"/>
              <w:rPr>
                <w:rFonts w:ascii="Times New Roman" w:eastAsia="Calibri" w:hAnsi="Times New Roman" w:cs="Times New Roman"/>
                <w:sz w:val="21"/>
                <w:szCs w:val="21"/>
              </w:rPr>
            </w:pPr>
            <w:r w:rsidRPr="003C2011">
              <w:rPr>
                <w:rFonts w:ascii="Times New Roman" w:eastAsia="Calibri" w:hAnsi="Times New Roman" w:cs="Times New Roman"/>
                <w:sz w:val="21"/>
                <w:szCs w:val="21"/>
              </w:rPr>
              <w:t>21 (5·3%)</w:t>
            </w:r>
          </w:p>
          <w:p w14:paraId="411174ED" w14:textId="77777777" w:rsidR="009E70D1" w:rsidRPr="003C2011" w:rsidRDefault="009E70D1" w:rsidP="004D7BD9">
            <w:pPr>
              <w:jc w:val="center"/>
              <w:rPr>
                <w:rFonts w:ascii="Times New Roman" w:eastAsia="Calibri" w:hAnsi="Times New Roman" w:cs="Times New Roman"/>
                <w:sz w:val="21"/>
                <w:szCs w:val="21"/>
              </w:rPr>
            </w:pPr>
            <w:r w:rsidRPr="003C2011">
              <w:rPr>
                <w:rFonts w:ascii="Times New Roman" w:eastAsia="Calibri" w:hAnsi="Times New Roman" w:cs="Times New Roman"/>
                <w:sz w:val="21"/>
                <w:szCs w:val="21"/>
              </w:rPr>
              <w:t>27 (6·9%)</w:t>
            </w:r>
          </w:p>
          <w:p w14:paraId="55BF88AE" w14:textId="77777777" w:rsidR="009E70D1" w:rsidRPr="003C2011" w:rsidRDefault="009E70D1" w:rsidP="004D7BD9">
            <w:pPr>
              <w:jc w:val="center"/>
              <w:rPr>
                <w:rFonts w:ascii="Times New Roman" w:eastAsia="Calibri" w:hAnsi="Times New Roman" w:cs="Times New Roman"/>
                <w:sz w:val="21"/>
                <w:szCs w:val="21"/>
              </w:rPr>
            </w:pPr>
            <w:r w:rsidRPr="003C2011">
              <w:rPr>
                <w:rFonts w:ascii="Times New Roman" w:eastAsia="Calibri" w:hAnsi="Times New Roman" w:cs="Times New Roman"/>
                <w:sz w:val="21"/>
                <w:szCs w:val="21"/>
              </w:rPr>
              <w:t>15 (3·8%)</w:t>
            </w:r>
          </w:p>
          <w:p w14:paraId="2FEB5A39" w14:textId="77777777" w:rsidR="009E70D1" w:rsidRPr="003C2011" w:rsidRDefault="009E70D1" w:rsidP="004D7BD9">
            <w:pPr>
              <w:jc w:val="center"/>
              <w:rPr>
                <w:rFonts w:ascii="Times New Roman" w:eastAsia="Calibri" w:hAnsi="Times New Roman" w:cs="Times New Roman"/>
                <w:sz w:val="21"/>
                <w:szCs w:val="21"/>
              </w:rPr>
            </w:pPr>
            <w:r w:rsidRPr="003C2011">
              <w:rPr>
                <w:rFonts w:ascii="Times New Roman" w:eastAsia="Calibri" w:hAnsi="Times New Roman" w:cs="Times New Roman"/>
                <w:sz w:val="21"/>
                <w:szCs w:val="21"/>
              </w:rPr>
              <w:t>13 (3·3%)</w:t>
            </w:r>
          </w:p>
          <w:p w14:paraId="72F0FC78" w14:textId="77777777" w:rsidR="009E70D1" w:rsidRPr="003C2011" w:rsidRDefault="009E70D1" w:rsidP="004D7BD9">
            <w:pPr>
              <w:jc w:val="center"/>
              <w:rPr>
                <w:rFonts w:ascii="Times New Roman" w:eastAsia="Calibri" w:hAnsi="Times New Roman" w:cs="Times New Roman"/>
                <w:sz w:val="21"/>
                <w:szCs w:val="21"/>
              </w:rPr>
            </w:pPr>
            <w:r w:rsidRPr="003C2011">
              <w:rPr>
                <w:rFonts w:ascii="Times New Roman" w:eastAsia="Calibri" w:hAnsi="Times New Roman" w:cs="Times New Roman"/>
                <w:sz w:val="21"/>
                <w:szCs w:val="21"/>
              </w:rPr>
              <w:t>14 (3·6%)</w:t>
            </w:r>
          </w:p>
          <w:p w14:paraId="2212778A" w14:textId="77777777" w:rsidR="009E70D1" w:rsidRPr="003C2011" w:rsidRDefault="009E70D1" w:rsidP="004D7BD9">
            <w:pPr>
              <w:jc w:val="center"/>
              <w:rPr>
                <w:rFonts w:ascii="Times New Roman" w:eastAsia="Calibri" w:hAnsi="Times New Roman" w:cs="Times New Roman"/>
                <w:sz w:val="21"/>
                <w:szCs w:val="21"/>
              </w:rPr>
            </w:pPr>
            <w:r w:rsidRPr="003C2011">
              <w:rPr>
                <w:rFonts w:ascii="Times New Roman" w:eastAsia="Calibri" w:hAnsi="Times New Roman" w:cs="Times New Roman"/>
                <w:sz w:val="21"/>
                <w:szCs w:val="21"/>
              </w:rPr>
              <w:t>7 (1·7%)</w:t>
            </w:r>
          </w:p>
        </w:tc>
      </w:tr>
      <w:tr w:rsidR="003C2011" w:rsidRPr="003C2011" w14:paraId="453D3123" w14:textId="77777777" w:rsidTr="004D7BD9">
        <w:trPr>
          <w:trHeight w:hRule="exact" w:val="831"/>
        </w:trPr>
        <w:tc>
          <w:tcPr>
            <w:tcW w:w="2875" w:type="dxa"/>
            <w:vAlign w:val="center"/>
          </w:tcPr>
          <w:p w14:paraId="182CC584" w14:textId="77777777" w:rsidR="009E70D1" w:rsidRPr="003C2011" w:rsidRDefault="009E70D1" w:rsidP="004D7BD9">
            <w:pPr>
              <w:rPr>
                <w:rFonts w:ascii="Times New Roman" w:eastAsia="Calibri" w:hAnsi="Times New Roman" w:cs="Times New Roman"/>
              </w:rPr>
            </w:pPr>
            <w:r w:rsidRPr="003C2011">
              <w:rPr>
                <w:rFonts w:ascii="Times New Roman" w:eastAsia="Calibri" w:hAnsi="Times New Roman" w:cs="Times New Roman"/>
              </w:rPr>
              <w:t>Age at Admission (years)</w:t>
            </w:r>
            <w:r w:rsidRPr="003C2011">
              <w:rPr>
                <w:rFonts w:ascii="Times New Roman" w:eastAsia="Calibri" w:hAnsi="Times New Roman" w:cs="Times New Roman"/>
              </w:rPr>
              <w:tab/>
            </w:r>
          </w:p>
        </w:tc>
        <w:tc>
          <w:tcPr>
            <w:tcW w:w="1700" w:type="dxa"/>
            <w:vAlign w:val="center"/>
          </w:tcPr>
          <w:p w14:paraId="08A21A5F" w14:textId="77777777" w:rsidR="009E70D1" w:rsidRPr="003C2011" w:rsidRDefault="009E70D1" w:rsidP="004D7BD9">
            <w:pPr>
              <w:jc w:val="center"/>
              <w:rPr>
                <w:rFonts w:ascii="Times New Roman" w:eastAsia="Calibri" w:hAnsi="Times New Roman" w:cs="Times New Roman"/>
                <w:sz w:val="21"/>
                <w:szCs w:val="21"/>
              </w:rPr>
            </w:pPr>
            <w:r w:rsidRPr="003C2011">
              <w:rPr>
                <w:rFonts w:ascii="Times New Roman" w:eastAsia="Calibri" w:hAnsi="Times New Roman" w:cs="Times New Roman"/>
                <w:sz w:val="21"/>
                <w:szCs w:val="21"/>
              </w:rPr>
              <w:t>10·6 (8·7, 12·9)</w:t>
            </w:r>
          </w:p>
        </w:tc>
        <w:tc>
          <w:tcPr>
            <w:tcW w:w="1634" w:type="dxa"/>
            <w:vAlign w:val="center"/>
          </w:tcPr>
          <w:p w14:paraId="4DDA5194" w14:textId="77777777" w:rsidR="009E70D1" w:rsidRPr="003C2011" w:rsidRDefault="009E70D1" w:rsidP="004D7BD9">
            <w:pPr>
              <w:jc w:val="center"/>
              <w:rPr>
                <w:rFonts w:ascii="Times New Roman" w:eastAsia="Calibri" w:hAnsi="Times New Roman" w:cs="Times New Roman"/>
                <w:sz w:val="21"/>
                <w:szCs w:val="21"/>
              </w:rPr>
            </w:pPr>
            <w:r w:rsidRPr="003C2011">
              <w:rPr>
                <w:rFonts w:ascii="Times New Roman" w:eastAsia="Calibri" w:hAnsi="Times New Roman" w:cs="Times New Roman"/>
                <w:sz w:val="21"/>
                <w:szCs w:val="21"/>
              </w:rPr>
              <w:t>10·9 (8·7, 13·5)</w:t>
            </w:r>
          </w:p>
        </w:tc>
        <w:tc>
          <w:tcPr>
            <w:tcW w:w="1708" w:type="dxa"/>
            <w:vAlign w:val="center"/>
          </w:tcPr>
          <w:p w14:paraId="4B7874E7" w14:textId="77777777" w:rsidR="009E70D1" w:rsidRPr="003C2011" w:rsidRDefault="009E70D1" w:rsidP="004D7BD9">
            <w:pPr>
              <w:jc w:val="center"/>
              <w:rPr>
                <w:rFonts w:ascii="Times New Roman" w:eastAsia="Calibri" w:hAnsi="Times New Roman" w:cs="Times New Roman"/>
                <w:sz w:val="21"/>
                <w:szCs w:val="21"/>
              </w:rPr>
            </w:pPr>
            <w:r w:rsidRPr="003C2011">
              <w:rPr>
                <w:rFonts w:ascii="Times New Roman" w:eastAsia="Calibri" w:hAnsi="Times New Roman" w:cs="Times New Roman"/>
                <w:sz w:val="21"/>
                <w:szCs w:val="21"/>
              </w:rPr>
              <w:t>10·7 (8·7, 12·9)</w:t>
            </w:r>
          </w:p>
        </w:tc>
        <w:tc>
          <w:tcPr>
            <w:tcW w:w="2068" w:type="dxa"/>
            <w:vAlign w:val="center"/>
          </w:tcPr>
          <w:p w14:paraId="6729AF76" w14:textId="77777777" w:rsidR="009E70D1" w:rsidRPr="003C2011" w:rsidRDefault="009E70D1" w:rsidP="004D7BD9">
            <w:pPr>
              <w:jc w:val="center"/>
              <w:rPr>
                <w:rFonts w:ascii="Times New Roman" w:eastAsia="Calibri" w:hAnsi="Times New Roman" w:cs="Times New Roman"/>
                <w:sz w:val="21"/>
                <w:szCs w:val="21"/>
              </w:rPr>
            </w:pPr>
            <w:r w:rsidRPr="003C2011">
              <w:rPr>
                <w:rFonts w:ascii="Times New Roman" w:eastAsia="Calibri" w:hAnsi="Times New Roman" w:cs="Times New Roman"/>
                <w:sz w:val="21"/>
                <w:szCs w:val="21"/>
              </w:rPr>
              <w:t>10·8 (8·7, 13·2)</w:t>
            </w:r>
          </w:p>
        </w:tc>
      </w:tr>
      <w:tr w:rsidR="003C2011" w:rsidRPr="003C2011" w14:paraId="3788590B" w14:textId="77777777" w:rsidTr="004D7BD9">
        <w:trPr>
          <w:trHeight w:hRule="exact" w:val="831"/>
        </w:trPr>
        <w:tc>
          <w:tcPr>
            <w:tcW w:w="2875" w:type="dxa"/>
            <w:vAlign w:val="center"/>
          </w:tcPr>
          <w:p w14:paraId="5792DB70" w14:textId="77777777" w:rsidR="009E70D1" w:rsidRPr="003C2011" w:rsidRDefault="009E70D1" w:rsidP="004D7BD9">
            <w:pPr>
              <w:rPr>
                <w:rFonts w:ascii="Times New Roman" w:eastAsia="Calibri" w:hAnsi="Times New Roman" w:cs="Times New Roman"/>
              </w:rPr>
            </w:pPr>
            <w:r w:rsidRPr="003C2011">
              <w:rPr>
                <w:rFonts w:ascii="Times New Roman" w:eastAsia="Calibri" w:hAnsi="Times New Roman" w:cs="Times New Roman"/>
              </w:rPr>
              <w:t>Weight (kilogram)</w:t>
            </w:r>
          </w:p>
        </w:tc>
        <w:tc>
          <w:tcPr>
            <w:tcW w:w="1700" w:type="dxa"/>
            <w:vAlign w:val="center"/>
          </w:tcPr>
          <w:p w14:paraId="37F93BB8" w14:textId="77777777" w:rsidR="009E70D1" w:rsidRPr="003C2011" w:rsidRDefault="009E70D1" w:rsidP="004D7BD9">
            <w:pPr>
              <w:jc w:val="center"/>
              <w:rPr>
                <w:rFonts w:ascii="Times New Roman" w:eastAsia="Calibri" w:hAnsi="Times New Roman" w:cs="Times New Roman"/>
                <w:sz w:val="21"/>
                <w:szCs w:val="21"/>
              </w:rPr>
            </w:pPr>
            <w:r w:rsidRPr="003C2011">
              <w:rPr>
                <w:rFonts w:ascii="Times New Roman" w:eastAsia="Calibri" w:hAnsi="Times New Roman" w:cs="Times New Roman"/>
                <w:sz w:val="21"/>
                <w:szCs w:val="21"/>
              </w:rPr>
              <w:t>38·0 (28·5, 51·0)</w:t>
            </w:r>
          </w:p>
        </w:tc>
        <w:tc>
          <w:tcPr>
            <w:tcW w:w="1634" w:type="dxa"/>
            <w:vAlign w:val="center"/>
          </w:tcPr>
          <w:p w14:paraId="6F74C820" w14:textId="77777777" w:rsidR="009E70D1" w:rsidRPr="003C2011" w:rsidRDefault="009E70D1" w:rsidP="004D7BD9">
            <w:pPr>
              <w:jc w:val="center"/>
              <w:rPr>
                <w:rFonts w:ascii="Times New Roman" w:eastAsia="Calibri" w:hAnsi="Times New Roman" w:cs="Times New Roman"/>
                <w:sz w:val="21"/>
                <w:szCs w:val="21"/>
              </w:rPr>
            </w:pPr>
            <w:r w:rsidRPr="003C2011">
              <w:rPr>
                <w:rFonts w:ascii="Times New Roman" w:eastAsia="Calibri" w:hAnsi="Times New Roman" w:cs="Times New Roman"/>
                <w:sz w:val="21"/>
                <w:szCs w:val="21"/>
              </w:rPr>
              <w:t>38·0 (28·8, 53·0)</w:t>
            </w:r>
          </w:p>
        </w:tc>
        <w:tc>
          <w:tcPr>
            <w:tcW w:w="1708" w:type="dxa"/>
            <w:vAlign w:val="center"/>
          </w:tcPr>
          <w:p w14:paraId="6E2E5BFF" w14:textId="77777777" w:rsidR="009E70D1" w:rsidRPr="003C2011" w:rsidRDefault="009E70D1" w:rsidP="004D7BD9">
            <w:pPr>
              <w:jc w:val="center"/>
              <w:rPr>
                <w:rFonts w:ascii="Times New Roman" w:eastAsia="Calibri" w:hAnsi="Times New Roman" w:cs="Times New Roman"/>
                <w:sz w:val="21"/>
                <w:szCs w:val="21"/>
              </w:rPr>
            </w:pPr>
            <w:r w:rsidRPr="003C2011">
              <w:rPr>
                <w:rFonts w:ascii="Times New Roman" w:eastAsia="Calibri" w:hAnsi="Times New Roman" w:cs="Times New Roman"/>
                <w:sz w:val="21"/>
                <w:szCs w:val="21"/>
              </w:rPr>
              <w:t>38·0 (28·7, 51·0)</w:t>
            </w:r>
          </w:p>
        </w:tc>
        <w:tc>
          <w:tcPr>
            <w:tcW w:w="2068" w:type="dxa"/>
            <w:vAlign w:val="center"/>
          </w:tcPr>
          <w:p w14:paraId="038C46E4" w14:textId="77777777" w:rsidR="009E70D1" w:rsidRPr="003C2011" w:rsidRDefault="009E70D1" w:rsidP="004D7BD9">
            <w:pPr>
              <w:jc w:val="center"/>
              <w:rPr>
                <w:rFonts w:ascii="Times New Roman" w:eastAsia="Calibri" w:hAnsi="Times New Roman" w:cs="Times New Roman"/>
                <w:sz w:val="21"/>
                <w:szCs w:val="21"/>
              </w:rPr>
            </w:pPr>
            <w:r w:rsidRPr="003C2011">
              <w:rPr>
                <w:rFonts w:ascii="Times New Roman" w:eastAsia="Calibri" w:hAnsi="Times New Roman" w:cs="Times New Roman"/>
                <w:sz w:val="21"/>
                <w:szCs w:val="21"/>
              </w:rPr>
              <w:t>37·3 (28·6, 51·5)</w:t>
            </w:r>
          </w:p>
        </w:tc>
      </w:tr>
      <w:tr w:rsidR="003C2011" w:rsidRPr="003C2011" w14:paraId="5E6F761E" w14:textId="77777777" w:rsidTr="004D7BD9">
        <w:trPr>
          <w:trHeight w:hRule="exact" w:val="831"/>
        </w:trPr>
        <w:tc>
          <w:tcPr>
            <w:tcW w:w="2875" w:type="dxa"/>
            <w:vAlign w:val="center"/>
          </w:tcPr>
          <w:p w14:paraId="04CCC807" w14:textId="77777777" w:rsidR="009E70D1" w:rsidRPr="003C2011" w:rsidRDefault="009E70D1" w:rsidP="004D7BD9">
            <w:pPr>
              <w:rPr>
                <w:rFonts w:ascii="Times New Roman" w:eastAsia="Calibri" w:hAnsi="Times New Roman" w:cs="Times New Roman"/>
              </w:rPr>
            </w:pPr>
            <w:r w:rsidRPr="003C2011">
              <w:rPr>
                <w:rFonts w:ascii="Times New Roman" w:eastAsia="Calibri" w:hAnsi="Times New Roman" w:cs="Times New Roman"/>
              </w:rPr>
              <w:t>Body Mass Index Percentile</w:t>
            </w:r>
          </w:p>
        </w:tc>
        <w:tc>
          <w:tcPr>
            <w:tcW w:w="1700" w:type="dxa"/>
            <w:vAlign w:val="center"/>
          </w:tcPr>
          <w:p w14:paraId="3F225D87" w14:textId="77777777" w:rsidR="009E70D1" w:rsidRPr="003C2011" w:rsidRDefault="009E70D1" w:rsidP="004D7BD9">
            <w:pPr>
              <w:jc w:val="center"/>
              <w:rPr>
                <w:rFonts w:ascii="Times New Roman" w:eastAsia="Calibri" w:hAnsi="Times New Roman" w:cs="Times New Roman"/>
                <w:sz w:val="21"/>
                <w:szCs w:val="21"/>
              </w:rPr>
            </w:pPr>
            <w:r w:rsidRPr="003C2011">
              <w:rPr>
                <w:rFonts w:ascii="Times New Roman" w:eastAsia="Calibri" w:hAnsi="Times New Roman" w:cs="Times New Roman"/>
                <w:sz w:val="21"/>
                <w:szCs w:val="21"/>
              </w:rPr>
              <w:t>19·0 (16·4, 22·3)</w:t>
            </w:r>
          </w:p>
        </w:tc>
        <w:tc>
          <w:tcPr>
            <w:tcW w:w="1634" w:type="dxa"/>
            <w:vAlign w:val="center"/>
          </w:tcPr>
          <w:p w14:paraId="246AEB99" w14:textId="77777777" w:rsidR="009E70D1" w:rsidRPr="003C2011" w:rsidRDefault="009E70D1" w:rsidP="004D7BD9">
            <w:pPr>
              <w:jc w:val="center"/>
              <w:rPr>
                <w:rFonts w:ascii="Times New Roman" w:eastAsia="Calibri" w:hAnsi="Times New Roman" w:cs="Times New Roman"/>
                <w:sz w:val="21"/>
                <w:szCs w:val="21"/>
              </w:rPr>
            </w:pPr>
            <w:r w:rsidRPr="003C2011">
              <w:rPr>
                <w:rFonts w:ascii="Times New Roman" w:eastAsia="Calibri" w:hAnsi="Times New Roman" w:cs="Times New Roman"/>
                <w:sz w:val="21"/>
                <w:szCs w:val="21"/>
              </w:rPr>
              <w:t>18·0 (15·2, 22·7)</w:t>
            </w:r>
          </w:p>
        </w:tc>
        <w:tc>
          <w:tcPr>
            <w:tcW w:w="1708" w:type="dxa"/>
            <w:vAlign w:val="center"/>
          </w:tcPr>
          <w:p w14:paraId="34DD011C" w14:textId="77777777" w:rsidR="009E70D1" w:rsidRPr="003C2011" w:rsidRDefault="009E70D1" w:rsidP="004D7BD9">
            <w:pPr>
              <w:jc w:val="center"/>
              <w:rPr>
                <w:rFonts w:ascii="Times New Roman" w:eastAsia="Calibri" w:hAnsi="Times New Roman" w:cs="Times New Roman"/>
                <w:sz w:val="21"/>
                <w:szCs w:val="21"/>
              </w:rPr>
            </w:pPr>
            <w:r w:rsidRPr="003C2011">
              <w:rPr>
                <w:rFonts w:ascii="Times New Roman" w:eastAsia="Calibri" w:hAnsi="Times New Roman" w:cs="Times New Roman"/>
                <w:sz w:val="21"/>
                <w:szCs w:val="21"/>
              </w:rPr>
              <w:t>19 (16·5, 22·3)</w:t>
            </w:r>
          </w:p>
        </w:tc>
        <w:tc>
          <w:tcPr>
            <w:tcW w:w="2068" w:type="dxa"/>
            <w:vAlign w:val="center"/>
          </w:tcPr>
          <w:p w14:paraId="1D804F50" w14:textId="77777777" w:rsidR="009E70D1" w:rsidRPr="003C2011" w:rsidRDefault="009E70D1" w:rsidP="004D7BD9">
            <w:pPr>
              <w:jc w:val="center"/>
              <w:rPr>
                <w:rFonts w:ascii="Times New Roman" w:eastAsia="Calibri" w:hAnsi="Times New Roman" w:cs="Times New Roman"/>
                <w:sz w:val="21"/>
                <w:szCs w:val="21"/>
              </w:rPr>
            </w:pPr>
            <w:r w:rsidRPr="003C2011">
              <w:rPr>
                <w:rFonts w:ascii="Times New Roman" w:eastAsia="Calibri" w:hAnsi="Times New Roman" w:cs="Times New Roman"/>
                <w:sz w:val="21"/>
                <w:szCs w:val="21"/>
              </w:rPr>
              <w:t>17·7 (15·0, 21·8)</w:t>
            </w:r>
          </w:p>
        </w:tc>
      </w:tr>
      <w:tr w:rsidR="003C2011" w:rsidRPr="003C2011" w14:paraId="571ECF87" w14:textId="77777777" w:rsidTr="004D7BD9">
        <w:trPr>
          <w:trHeight w:hRule="exact" w:val="831"/>
        </w:trPr>
        <w:tc>
          <w:tcPr>
            <w:tcW w:w="2875" w:type="dxa"/>
            <w:vAlign w:val="center"/>
          </w:tcPr>
          <w:p w14:paraId="751356BB" w14:textId="77777777" w:rsidR="009E70D1" w:rsidRPr="003C2011" w:rsidRDefault="009E70D1" w:rsidP="004D7BD9">
            <w:pPr>
              <w:rPr>
                <w:rFonts w:ascii="Times New Roman" w:eastAsia="Calibri" w:hAnsi="Times New Roman" w:cs="Times New Roman"/>
              </w:rPr>
            </w:pPr>
            <w:r w:rsidRPr="003C2011">
              <w:rPr>
                <w:rFonts w:ascii="Times New Roman" w:eastAsia="Calibri" w:hAnsi="Times New Roman" w:cs="Times New Roman"/>
              </w:rPr>
              <w:t>Gender (Male), n (%)</w:t>
            </w:r>
          </w:p>
        </w:tc>
        <w:tc>
          <w:tcPr>
            <w:tcW w:w="1700" w:type="dxa"/>
            <w:vAlign w:val="center"/>
          </w:tcPr>
          <w:p w14:paraId="01F32B1D" w14:textId="77777777" w:rsidR="009E70D1" w:rsidRPr="003C2011" w:rsidRDefault="009E70D1" w:rsidP="004D7BD9">
            <w:pPr>
              <w:jc w:val="center"/>
              <w:rPr>
                <w:rFonts w:ascii="Times New Roman" w:eastAsia="Calibri" w:hAnsi="Times New Roman" w:cs="Times New Roman"/>
                <w:sz w:val="21"/>
                <w:szCs w:val="21"/>
              </w:rPr>
            </w:pPr>
            <w:r w:rsidRPr="003C2011">
              <w:rPr>
                <w:rFonts w:ascii="Times New Roman" w:eastAsia="Calibri" w:hAnsi="Times New Roman" w:cs="Times New Roman"/>
                <w:sz w:val="21"/>
                <w:szCs w:val="21"/>
              </w:rPr>
              <w:t>300 (62·9%)</w:t>
            </w:r>
          </w:p>
        </w:tc>
        <w:tc>
          <w:tcPr>
            <w:tcW w:w="1634" w:type="dxa"/>
            <w:vAlign w:val="center"/>
          </w:tcPr>
          <w:p w14:paraId="68C9AFA7" w14:textId="77777777" w:rsidR="009E70D1" w:rsidRPr="003C2011" w:rsidRDefault="009E70D1" w:rsidP="004D7BD9">
            <w:pPr>
              <w:jc w:val="center"/>
              <w:rPr>
                <w:rFonts w:ascii="Times New Roman" w:eastAsia="Calibri" w:hAnsi="Times New Roman" w:cs="Times New Roman"/>
                <w:sz w:val="21"/>
                <w:szCs w:val="21"/>
              </w:rPr>
            </w:pPr>
            <w:r w:rsidRPr="003C2011">
              <w:rPr>
                <w:rFonts w:ascii="Times New Roman" w:eastAsia="Calibri" w:hAnsi="Times New Roman" w:cs="Times New Roman"/>
                <w:sz w:val="21"/>
                <w:szCs w:val="21"/>
              </w:rPr>
              <w:t>295 (64·4%)</w:t>
            </w:r>
          </w:p>
        </w:tc>
        <w:tc>
          <w:tcPr>
            <w:tcW w:w="1708" w:type="dxa"/>
            <w:vAlign w:val="center"/>
          </w:tcPr>
          <w:p w14:paraId="1C649BC0" w14:textId="77777777" w:rsidR="009E70D1" w:rsidRPr="003C2011" w:rsidRDefault="009E70D1" w:rsidP="004D7BD9">
            <w:pPr>
              <w:jc w:val="center"/>
              <w:rPr>
                <w:rFonts w:ascii="Times New Roman" w:eastAsia="Calibri" w:hAnsi="Times New Roman" w:cs="Times New Roman"/>
                <w:sz w:val="21"/>
                <w:szCs w:val="21"/>
              </w:rPr>
            </w:pPr>
            <w:r w:rsidRPr="003C2011">
              <w:rPr>
                <w:rFonts w:ascii="Times New Roman" w:eastAsia="Calibri" w:hAnsi="Times New Roman" w:cs="Times New Roman"/>
                <w:sz w:val="21"/>
                <w:szCs w:val="21"/>
              </w:rPr>
              <w:t>288 (63·6%)</w:t>
            </w:r>
          </w:p>
        </w:tc>
        <w:tc>
          <w:tcPr>
            <w:tcW w:w="2068" w:type="dxa"/>
            <w:vAlign w:val="center"/>
          </w:tcPr>
          <w:p w14:paraId="5AB7C574" w14:textId="77777777" w:rsidR="009E70D1" w:rsidRPr="003C2011" w:rsidRDefault="009E70D1" w:rsidP="004D7BD9">
            <w:pPr>
              <w:jc w:val="center"/>
              <w:rPr>
                <w:rFonts w:ascii="Times New Roman" w:eastAsia="Calibri" w:hAnsi="Times New Roman" w:cs="Times New Roman"/>
                <w:sz w:val="21"/>
                <w:szCs w:val="21"/>
              </w:rPr>
            </w:pPr>
            <w:r w:rsidRPr="003C2011">
              <w:rPr>
                <w:rFonts w:ascii="Times New Roman" w:eastAsia="Calibri" w:hAnsi="Times New Roman" w:cs="Times New Roman"/>
                <w:sz w:val="21"/>
                <w:szCs w:val="21"/>
              </w:rPr>
              <w:t>256 (65·0%)</w:t>
            </w:r>
          </w:p>
        </w:tc>
      </w:tr>
      <w:tr w:rsidR="003C2011" w:rsidRPr="003C2011" w14:paraId="6C1655CA" w14:textId="77777777" w:rsidTr="004D7BD9">
        <w:trPr>
          <w:trHeight w:hRule="exact" w:val="831"/>
        </w:trPr>
        <w:tc>
          <w:tcPr>
            <w:tcW w:w="2875" w:type="dxa"/>
            <w:vAlign w:val="center"/>
          </w:tcPr>
          <w:p w14:paraId="540C4675" w14:textId="77777777" w:rsidR="009E70D1" w:rsidRPr="003C2011" w:rsidRDefault="009E70D1" w:rsidP="004D7BD9">
            <w:pPr>
              <w:rPr>
                <w:rFonts w:ascii="Times New Roman" w:eastAsia="Calibri" w:hAnsi="Times New Roman" w:cs="Times New Roman"/>
              </w:rPr>
            </w:pPr>
            <w:r w:rsidRPr="003C2011">
              <w:rPr>
                <w:rFonts w:ascii="Times New Roman" w:eastAsia="Calibri" w:hAnsi="Times New Roman" w:cs="Times New Roman"/>
              </w:rPr>
              <w:t>Duration of Symptoms (days)</w:t>
            </w:r>
          </w:p>
        </w:tc>
        <w:tc>
          <w:tcPr>
            <w:tcW w:w="1700" w:type="dxa"/>
            <w:vAlign w:val="center"/>
          </w:tcPr>
          <w:p w14:paraId="75F7DD3A" w14:textId="77777777" w:rsidR="009E70D1" w:rsidRPr="003C2011" w:rsidRDefault="009E70D1" w:rsidP="004D7BD9">
            <w:pPr>
              <w:jc w:val="center"/>
              <w:rPr>
                <w:rFonts w:ascii="Times New Roman" w:eastAsia="Calibri" w:hAnsi="Times New Roman" w:cs="Times New Roman"/>
                <w:sz w:val="21"/>
                <w:szCs w:val="21"/>
              </w:rPr>
            </w:pPr>
            <w:r w:rsidRPr="003C2011">
              <w:rPr>
                <w:rFonts w:ascii="Times New Roman" w:eastAsia="Calibri" w:hAnsi="Times New Roman" w:cs="Times New Roman"/>
                <w:sz w:val="21"/>
                <w:szCs w:val="21"/>
              </w:rPr>
              <w:t>1 (1, 2)</w:t>
            </w:r>
          </w:p>
        </w:tc>
        <w:tc>
          <w:tcPr>
            <w:tcW w:w="1634" w:type="dxa"/>
            <w:vAlign w:val="center"/>
          </w:tcPr>
          <w:p w14:paraId="40EEFB66" w14:textId="77777777" w:rsidR="009E70D1" w:rsidRPr="003C2011" w:rsidRDefault="009E70D1" w:rsidP="004D7BD9">
            <w:pPr>
              <w:jc w:val="center"/>
              <w:rPr>
                <w:rFonts w:ascii="Times New Roman" w:eastAsia="Calibri" w:hAnsi="Times New Roman" w:cs="Times New Roman"/>
                <w:sz w:val="21"/>
                <w:szCs w:val="21"/>
              </w:rPr>
            </w:pPr>
            <w:r w:rsidRPr="003C2011">
              <w:rPr>
                <w:rFonts w:ascii="Times New Roman" w:eastAsia="Calibri" w:hAnsi="Times New Roman" w:cs="Times New Roman"/>
                <w:sz w:val="21"/>
                <w:szCs w:val="21"/>
              </w:rPr>
              <w:t>1 (0, 2)</w:t>
            </w:r>
          </w:p>
        </w:tc>
        <w:tc>
          <w:tcPr>
            <w:tcW w:w="1708" w:type="dxa"/>
            <w:vAlign w:val="center"/>
          </w:tcPr>
          <w:p w14:paraId="2B2F3F50" w14:textId="77777777" w:rsidR="009E70D1" w:rsidRPr="003C2011" w:rsidRDefault="009E70D1" w:rsidP="004D7BD9">
            <w:pPr>
              <w:jc w:val="center"/>
              <w:rPr>
                <w:rFonts w:ascii="Times New Roman" w:eastAsia="Calibri" w:hAnsi="Times New Roman" w:cs="Times New Roman"/>
                <w:sz w:val="21"/>
                <w:szCs w:val="21"/>
              </w:rPr>
            </w:pPr>
            <w:r w:rsidRPr="003C2011">
              <w:rPr>
                <w:rFonts w:ascii="Times New Roman" w:eastAsia="Calibri" w:hAnsi="Times New Roman" w:cs="Times New Roman"/>
                <w:sz w:val="21"/>
                <w:szCs w:val="21"/>
              </w:rPr>
              <w:t>1 (1, 2)</w:t>
            </w:r>
          </w:p>
        </w:tc>
        <w:tc>
          <w:tcPr>
            <w:tcW w:w="2068" w:type="dxa"/>
            <w:vAlign w:val="center"/>
          </w:tcPr>
          <w:p w14:paraId="4E9CAFEF" w14:textId="77777777" w:rsidR="009E70D1" w:rsidRPr="003C2011" w:rsidRDefault="009E70D1" w:rsidP="004D7BD9">
            <w:pPr>
              <w:jc w:val="center"/>
              <w:rPr>
                <w:rFonts w:ascii="Times New Roman" w:eastAsia="Calibri" w:hAnsi="Times New Roman" w:cs="Times New Roman"/>
                <w:sz w:val="21"/>
                <w:szCs w:val="21"/>
              </w:rPr>
            </w:pPr>
            <w:r w:rsidRPr="003C2011">
              <w:rPr>
                <w:rFonts w:ascii="Times New Roman" w:eastAsia="Calibri" w:hAnsi="Times New Roman" w:cs="Times New Roman"/>
                <w:sz w:val="21"/>
                <w:szCs w:val="21"/>
              </w:rPr>
              <w:t>1 (0, 2)</w:t>
            </w:r>
          </w:p>
        </w:tc>
      </w:tr>
      <w:tr w:rsidR="003C2011" w:rsidRPr="003C2011" w14:paraId="1D84DF96" w14:textId="77777777" w:rsidTr="004D7BD9">
        <w:trPr>
          <w:trHeight w:hRule="exact" w:val="831"/>
        </w:trPr>
        <w:tc>
          <w:tcPr>
            <w:tcW w:w="2875" w:type="dxa"/>
            <w:vAlign w:val="center"/>
          </w:tcPr>
          <w:p w14:paraId="2FE60ACA" w14:textId="77777777" w:rsidR="009E70D1" w:rsidRPr="003C2011" w:rsidRDefault="009E70D1" w:rsidP="004D7BD9">
            <w:pPr>
              <w:rPr>
                <w:rFonts w:ascii="Times New Roman" w:eastAsia="Calibri" w:hAnsi="Times New Roman" w:cs="Times New Roman"/>
              </w:rPr>
            </w:pPr>
            <w:r w:rsidRPr="003C2011">
              <w:rPr>
                <w:rFonts w:ascii="Times New Roman" w:eastAsia="Calibri" w:hAnsi="Times New Roman" w:cs="Times New Roman"/>
              </w:rPr>
              <w:t>Temperature at Admission (℃)</w:t>
            </w:r>
          </w:p>
        </w:tc>
        <w:tc>
          <w:tcPr>
            <w:tcW w:w="1700" w:type="dxa"/>
            <w:vAlign w:val="center"/>
          </w:tcPr>
          <w:p w14:paraId="2738AA25" w14:textId="77777777" w:rsidR="009E70D1" w:rsidRPr="003C2011" w:rsidRDefault="009E70D1" w:rsidP="004D7BD9">
            <w:pPr>
              <w:jc w:val="center"/>
              <w:rPr>
                <w:rFonts w:ascii="Times New Roman" w:eastAsia="Calibri" w:hAnsi="Times New Roman" w:cs="Times New Roman"/>
                <w:sz w:val="21"/>
                <w:szCs w:val="21"/>
              </w:rPr>
            </w:pPr>
            <w:r w:rsidRPr="003C2011">
              <w:rPr>
                <w:rFonts w:ascii="Times New Roman" w:eastAsia="Calibri" w:hAnsi="Times New Roman" w:cs="Times New Roman"/>
                <w:sz w:val="21"/>
                <w:szCs w:val="21"/>
              </w:rPr>
              <w:t>37·0 (36·7, 37·5)</w:t>
            </w:r>
          </w:p>
        </w:tc>
        <w:tc>
          <w:tcPr>
            <w:tcW w:w="1634" w:type="dxa"/>
            <w:vAlign w:val="center"/>
          </w:tcPr>
          <w:p w14:paraId="43E42136" w14:textId="77777777" w:rsidR="009E70D1" w:rsidRPr="003C2011" w:rsidRDefault="009E70D1" w:rsidP="004D7BD9">
            <w:pPr>
              <w:jc w:val="center"/>
              <w:rPr>
                <w:rFonts w:ascii="Times New Roman" w:eastAsia="Calibri" w:hAnsi="Times New Roman" w:cs="Times New Roman"/>
                <w:sz w:val="21"/>
                <w:szCs w:val="21"/>
              </w:rPr>
            </w:pPr>
            <w:r w:rsidRPr="003C2011">
              <w:rPr>
                <w:rFonts w:ascii="Times New Roman" w:eastAsia="Calibri" w:hAnsi="Times New Roman" w:cs="Times New Roman"/>
                <w:sz w:val="21"/>
                <w:szCs w:val="21"/>
              </w:rPr>
              <w:t>37·1 (36·8, 37·6)</w:t>
            </w:r>
          </w:p>
        </w:tc>
        <w:tc>
          <w:tcPr>
            <w:tcW w:w="1708" w:type="dxa"/>
            <w:vAlign w:val="center"/>
          </w:tcPr>
          <w:p w14:paraId="21DAF14E" w14:textId="77777777" w:rsidR="009E70D1" w:rsidRPr="003C2011" w:rsidRDefault="009E70D1" w:rsidP="004D7BD9">
            <w:pPr>
              <w:jc w:val="center"/>
              <w:rPr>
                <w:rFonts w:ascii="Times New Roman" w:eastAsia="Calibri" w:hAnsi="Times New Roman" w:cs="Times New Roman"/>
                <w:sz w:val="21"/>
                <w:szCs w:val="21"/>
              </w:rPr>
            </w:pPr>
            <w:r w:rsidRPr="003C2011">
              <w:rPr>
                <w:rFonts w:ascii="Times New Roman" w:eastAsia="Calibri" w:hAnsi="Times New Roman" w:cs="Times New Roman"/>
                <w:sz w:val="21"/>
                <w:szCs w:val="21"/>
              </w:rPr>
              <w:t>37·0 (36·7, 37·6)</w:t>
            </w:r>
          </w:p>
        </w:tc>
        <w:tc>
          <w:tcPr>
            <w:tcW w:w="2068" w:type="dxa"/>
            <w:vAlign w:val="center"/>
          </w:tcPr>
          <w:p w14:paraId="67680B42" w14:textId="77777777" w:rsidR="009E70D1" w:rsidRPr="003C2011" w:rsidRDefault="009E70D1" w:rsidP="004D7BD9">
            <w:pPr>
              <w:jc w:val="center"/>
              <w:rPr>
                <w:rFonts w:ascii="Times New Roman" w:eastAsia="Calibri" w:hAnsi="Times New Roman" w:cs="Times New Roman"/>
                <w:sz w:val="21"/>
                <w:szCs w:val="21"/>
              </w:rPr>
            </w:pPr>
            <w:r w:rsidRPr="003C2011">
              <w:rPr>
                <w:rFonts w:ascii="Times New Roman" w:eastAsia="Calibri" w:hAnsi="Times New Roman" w:cs="Times New Roman"/>
                <w:sz w:val="21"/>
                <w:szCs w:val="21"/>
              </w:rPr>
              <w:t>37·1 (36·8, 37·6)</w:t>
            </w:r>
          </w:p>
        </w:tc>
      </w:tr>
      <w:tr w:rsidR="003C2011" w:rsidRPr="003C2011" w14:paraId="21649053" w14:textId="77777777" w:rsidTr="004D7BD9">
        <w:trPr>
          <w:trHeight w:hRule="exact" w:val="831"/>
        </w:trPr>
        <w:tc>
          <w:tcPr>
            <w:tcW w:w="2875" w:type="dxa"/>
            <w:vAlign w:val="center"/>
          </w:tcPr>
          <w:p w14:paraId="0D823398" w14:textId="77777777" w:rsidR="009E70D1" w:rsidRPr="003C2011" w:rsidRDefault="009E70D1" w:rsidP="004D7BD9">
            <w:pPr>
              <w:rPr>
                <w:rFonts w:ascii="Times New Roman" w:eastAsia="Calibri" w:hAnsi="Times New Roman" w:cs="Times New Roman"/>
              </w:rPr>
            </w:pPr>
            <w:r w:rsidRPr="003C2011">
              <w:rPr>
                <w:rFonts w:ascii="Times New Roman" w:eastAsia="Calibri" w:hAnsi="Times New Roman" w:cs="Times New Roman"/>
              </w:rPr>
              <w:lastRenderedPageBreak/>
              <w:t>White Blood Cells (K/ml)</w:t>
            </w:r>
          </w:p>
        </w:tc>
        <w:tc>
          <w:tcPr>
            <w:tcW w:w="1700" w:type="dxa"/>
            <w:vAlign w:val="center"/>
          </w:tcPr>
          <w:p w14:paraId="5702073D" w14:textId="77777777" w:rsidR="009E70D1" w:rsidRPr="003C2011" w:rsidRDefault="009E70D1" w:rsidP="004D7BD9">
            <w:pPr>
              <w:jc w:val="center"/>
              <w:rPr>
                <w:rFonts w:ascii="Times New Roman" w:eastAsia="Calibri" w:hAnsi="Times New Roman" w:cs="Times New Roman"/>
                <w:sz w:val="21"/>
                <w:szCs w:val="21"/>
              </w:rPr>
            </w:pPr>
            <w:r w:rsidRPr="003C2011">
              <w:rPr>
                <w:rFonts w:ascii="Times New Roman" w:eastAsia="Calibri" w:hAnsi="Times New Roman" w:cs="Times New Roman"/>
                <w:sz w:val="21"/>
                <w:szCs w:val="21"/>
              </w:rPr>
              <w:t>13·4 (9·9, 16·9)</w:t>
            </w:r>
          </w:p>
        </w:tc>
        <w:tc>
          <w:tcPr>
            <w:tcW w:w="1634" w:type="dxa"/>
            <w:vAlign w:val="center"/>
          </w:tcPr>
          <w:p w14:paraId="03DC91C5" w14:textId="77777777" w:rsidR="009E70D1" w:rsidRPr="003C2011" w:rsidRDefault="009E70D1" w:rsidP="004D7BD9">
            <w:pPr>
              <w:jc w:val="center"/>
              <w:rPr>
                <w:rFonts w:ascii="Times New Roman" w:eastAsia="Calibri" w:hAnsi="Times New Roman" w:cs="Times New Roman"/>
                <w:sz w:val="21"/>
                <w:szCs w:val="21"/>
              </w:rPr>
            </w:pPr>
            <w:r w:rsidRPr="003C2011">
              <w:rPr>
                <w:rFonts w:ascii="Times New Roman" w:eastAsia="Calibri" w:hAnsi="Times New Roman" w:cs="Times New Roman"/>
                <w:sz w:val="21"/>
                <w:szCs w:val="21"/>
              </w:rPr>
              <w:t>13·4 (10·2, 17·0)</w:t>
            </w:r>
          </w:p>
        </w:tc>
        <w:tc>
          <w:tcPr>
            <w:tcW w:w="1708" w:type="dxa"/>
            <w:vAlign w:val="center"/>
          </w:tcPr>
          <w:p w14:paraId="3FD0E78B" w14:textId="77777777" w:rsidR="009E70D1" w:rsidRPr="003C2011" w:rsidRDefault="009E70D1" w:rsidP="004D7BD9">
            <w:pPr>
              <w:jc w:val="center"/>
              <w:rPr>
                <w:rFonts w:ascii="Times New Roman" w:eastAsia="Calibri" w:hAnsi="Times New Roman" w:cs="Times New Roman"/>
                <w:sz w:val="21"/>
                <w:szCs w:val="21"/>
              </w:rPr>
            </w:pPr>
            <w:r w:rsidRPr="003C2011">
              <w:rPr>
                <w:rFonts w:ascii="Times New Roman" w:eastAsia="Calibri" w:hAnsi="Times New Roman" w:cs="Times New Roman"/>
                <w:sz w:val="21"/>
                <w:szCs w:val="21"/>
              </w:rPr>
              <w:t>13·5 (9·8, 16·9)</w:t>
            </w:r>
          </w:p>
        </w:tc>
        <w:tc>
          <w:tcPr>
            <w:tcW w:w="2068" w:type="dxa"/>
            <w:vAlign w:val="center"/>
          </w:tcPr>
          <w:p w14:paraId="4C4F8315" w14:textId="77777777" w:rsidR="009E70D1" w:rsidRPr="003C2011" w:rsidRDefault="009E70D1" w:rsidP="004D7BD9">
            <w:pPr>
              <w:jc w:val="center"/>
              <w:rPr>
                <w:rFonts w:ascii="Times New Roman" w:eastAsia="Calibri" w:hAnsi="Times New Roman" w:cs="Times New Roman"/>
                <w:sz w:val="21"/>
                <w:szCs w:val="21"/>
              </w:rPr>
            </w:pPr>
            <w:r w:rsidRPr="003C2011">
              <w:rPr>
                <w:rFonts w:ascii="Times New Roman" w:eastAsia="Calibri" w:hAnsi="Times New Roman" w:cs="Times New Roman"/>
                <w:sz w:val="21"/>
                <w:szCs w:val="21"/>
              </w:rPr>
              <w:t>13·3 (10·2, 16·8)</w:t>
            </w:r>
          </w:p>
        </w:tc>
      </w:tr>
      <w:tr w:rsidR="003C2011" w:rsidRPr="003C2011" w14:paraId="0899AD4D" w14:textId="77777777" w:rsidTr="004D7BD9">
        <w:trPr>
          <w:trHeight w:hRule="exact" w:val="831"/>
        </w:trPr>
        <w:tc>
          <w:tcPr>
            <w:tcW w:w="2875" w:type="dxa"/>
            <w:vAlign w:val="center"/>
          </w:tcPr>
          <w:p w14:paraId="2A0195DF" w14:textId="77777777" w:rsidR="009E70D1" w:rsidRPr="003C2011" w:rsidRDefault="009E70D1" w:rsidP="004D7BD9">
            <w:pPr>
              <w:rPr>
                <w:rFonts w:ascii="Times New Roman" w:eastAsia="Calibri" w:hAnsi="Times New Roman" w:cs="Times New Roman"/>
              </w:rPr>
            </w:pPr>
            <w:r w:rsidRPr="003C2011">
              <w:rPr>
                <w:rFonts w:ascii="Times New Roman" w:eastAsia="Calibri" w:hAnsi="Times New Roman" w:cs="Times New Roman"/>
              </w:rPr>
              <w:t>Symptoms ≥ 48 hours, n (%)</w:t>
            </w:r>
          </w:p>
        </w:tc>
        <w:tc>
          <w:tcPr>
            <w:tcW w:w="1700" w:type="dxa"/>
            <w:vAlign w:val="center"/>
          </w:tcPr>
          <w:p w14:paraId="19DF5E10" w14:textId="77777777" w:rsidR="009E70D1" w:rsidRPr="003C2011" w:rsidRDefault="009E70D1" w:rsidP="004D7BD9">
            <w:pPr>
              <w:jc w:val="center"/>
              <w:rPr>
                <w:rFonts w:ascii="Times New Roman" w:eastAsia="Calibri" w:hAnsi="Times New Roman" w:cs="Times New Roman"/>
                <w:sz w:val="21"/>
                <w:szCs w:val="21"/>
              </w:rPr>
            </w:pPr>
            <w:r w:rsidRPr="003C2011">
              <w:rPr>
                <w:rFonts w:ascii="Times New Roman" w:eastAsia="Calibri" w:hAnsi="Times New Roman" w:cs="Times New Roman"/>
                <w:sz w:val="21"/>
                <w:szCs w:val="21"/>
              </w:rPr>
              <w:t>135 (28·3%)</w:t>
            </w:r>
          </w:p>
        </w:tc>
        <w:tc>
          <w:tcPr>
            <w:tcW w:w="1634" w:type="dxa"/>
            <w:vAlign w:val="center"/>
          </w:tcPr>
          <w:p w14:paraId="29283B52" w14:textId="77777777" w:rsidR="009E70D1" w:rsidRPr="003C2011" w:rsidRDefault="009E70D1" w:rsidP="004D7BD9">
            <w:pPr>
              <w:jc w:val="center"/>
              <w:rPr>
                <w:rFonts w:ascii="Times New Roman" w:eastAsia="Calibri" w:hAnsi="Times New Roman" w:cs="Times New Roman"/>
                <w:sz w:val="21"/>
                <w:szCs w:val="21"/>
              </w:rPr>
            </w:pPr>
            <w:r w:rsidRPr="003C2011">
              <w:rPr>
                <w:rFonts w:ascii="Times New Roman" w:eastAsia="Calibri" w:hAnsi="Times New Roman" w:cs="Times New Roman"/>
                <w:sz w:val="21"/>
                <w:szCs w:val="21"/>
              </w:rPr>
              <w:t>129 (28·2%)</w:t>
            </w:r>
          </w:p>
        </w:tc>
        <w:tc>
          <w:tcPr>
            <w:tcW w:w="1708" w:type="dxa"/>
            <w:vAlign w:val="center"/>
          </w:tcPr>
          <w:p w14:paraId="0778726A" w14:textId="77777777" w:rsidR="009E70D1" w:rsidRPr="003C2011" w:rsidRDefault="009E70D1" w:rsidP="004D7BD9">
            <w:pPr>
              <w:jc w:val="center"/>
              <w:rPr>
                <w:rFonts w:ascii="Times New Roman" w:eastAsia="Calibri" w:hAnsi="Times New Roman" w:cs="Times New Roman"/>
                <w:sz w:val="21"/>
                <w:szCs w:val="21"/>
              </w:rPr>
            </w:pPr>
            <w:r w:rsidRPr="003C2011">
              <w:rPr>
                <w:rFonts w:ascii="Times New Roman" w:eastAsia="Calibri" w:hAnsi="Times New Roman" w:cs="Times New Roman"/>
                <w:sz w:val="21"/>
                <w:szCs w:val="21"/>
              </w:rPr>
              <w:t>127 (15·3%)</w:t>
            </w:r>
          </w:p>
        </w:tc>
        <w:tc>
          <w:tcPr>
            <w:tcW w:w="2068" w:type="dxa"/>
            <w:vAlign w:val="center"/>
          </w:tcPr>
          <w:p w14:paraId="32C9F3C5" w14:textId="77777777" w:rsidR="009E70D1" w:rsidRPr="003C2011" w:rsidRDefault="009E70D1" w:rsidP="004D7BD9">
            <w:pPr>
              <w:jc w:val="center"/>
              <w:rPr>
                <w:rFonts w:ascii="Times New Roman" w:eastAsia="Calibri" w:hAnsi="Times New Roman" w:cs="Times New Roman"/>
                <w:sz w:val="21"/>
                <w:szCs w:val="21"/>
              </w:rPr>
            </w:pPr>
            <w:r w:rsidRPr="003C2011">
              <w:rPr>
                <w:rFonts w:ascii="Times New Roman" w:eastAsia="Calibri" w:hAnsi="Times New Roman" w:cs="Times New Roman"/>
                <w:sz w:val="21"/>
                <w:szCs w:val="21"/>
              </w:rPr>
              <w:t>106 (12·8%)</w:t>
            </w:r>
          </w:p>
        </w:tc>
      </w:tr>
      <w:tr w:rsidR="003C2011" w:rsidRPr="003C2011" w14:paraId="6985D69C" w14:textId="77777777" w:rsidTr="004D7BD9">
        <w:trPr>
          <w:trHeight w:hRule="exact" w:val="831"/>
        </w:trPr>
        <w:tc>
          <w:tcPr>
            <w:tcW w:w="2875" w:type="dxa"/>
            <w:vAlign w:val="center"/>
          </w:tcPr>
          <w:p w14:paraId="0A9A298F" w14:textId="77777777" w:rsidR="009E70D1" w:rsidRPr="003C2011" w:rsidRDefault="009E70D1" w:rsidP="004D7BD9">
            <w:pPr>
              <w:rPr>
                <w:rFonts w:ascii="Times New Roman" w:eastAsia="Calibri" w:hAnsi="Times New Roman" w:cs="Times New Roman"/>
              </w:rPr>
            </w:pPr>
            <w:r w:rsidRPr="003C2011">
              <w:rPr>
                <w:rFonts w:ascii="Times New Roman" w:eastAsia="Calibri" w:hAnsi="Times New Roman" w:cs="Times New Roman"/>
              </w:rPr>
              <w:t>Fecalith on Imaging, n (%)</w:t>
            </w:r>
          </w:p>
        </w:tc>
        <w:tc>
          <w:tcPr>
            <w:tcW w:w="1700" w:type="dxa"/>
            <w:vAlign w:val="center"/>
          </w:tcPr>
          <w:p w14:paraId="57390A78" w14:textId="77777777" w:rsidR="009E70D1" w:rsidRPr="003C2011" w:rsidRDefault="009E70D1" w:rsidP="004D7BD9">
            <w:pPr>
              <w:jc w:val="center"/>
              <w:rPr>
                <w:rFonts w:ascii="Times New Roman" w:eastAsia="Calibri" w:hAnsi="Times New Roman" w:cs="Times New Roman"/>
                <w:sz w:val="21"/>
                <w:szCs w:val="21"/>
              </w:rPr>
            </w:pPr>
            <w:r w:rsidRPr="003C2011">
              <w:rPr>
                <w:rFonts w:ascii="Times New Roman" w:eastAsia="Calibri" w:hAnsi="Times New Roman" w:cs="Times New Roman"/>
                <w:sz w:val="21"/>
                <w:szCs w:val="21"/>
              </w:rPr>
              <w:t>62 (13·0%)</w:t>
            </w:r>
          </w:p>
        </w:tc>
        <w:tc>
          <w:tcPr>
            <w:tcW w:w="1634" w:type="dxa"/>
            <w:vAlign w:val="center"/>
          </w:tcPr>
          <w:p w14:paraId="42538E49" w14:textId="77777777" w:rsidR="009E70D1" w:rsidRPr="003C2011" w:rsidRDefault="009E70D1" w:rsidP="004D7BD9">
            <w:pPr>
              <w:jc w:val="center"/>
              <w:rPr>
                <w:rFonts w:ascii="Times New Roman" w:eastAsia="Calibri" w:hAnsi="Times New Roman" w:cs="Times New Roman"/>
                <w:sz w:val="21"/>
                <w:szCs w:val="21"/>
              </w:rPr>
            </w:pPr>
            <w:r w:rsidRPr="003C2011">
              <w:rPr>
                <w:rFonts w:ascii="Times New Roman" w:eastAsia="Calibri" w:hAnsi="Times New Roman" w:cs="Times New Roman"/>
                <w:sz w:val="21"/>
                <w:szCs w:val="21"/>
              </w:rPr>
              <w:t>52 (11·3%)</w:t>
            </w:r>
          </w:p>
        </w:tc>
        <w:tc>
          <w:tcPr>
            <w:tcW w:w="1708" w:type="dxa"/>
            <w:vAlign w:val="center"/>
          </w:tcPr>
          <w:p w14:paraId="1A86678E" w14:textId="77777777" w:rsidR="009E70D1" w:rsidRPr="003C2011" w:rsidRDefault="009E70D1" w:rsidP="004D7BD9">
            <w:pPr>
              <w:jc w:val="center"/>
              <w:rPr>
                <w:rFonts w:ascii="Times New Roman" w:eastAsia="Calibri" w:hAnsi="Times New Roman" w:cs="Times New Roman"/>
                <w:sz w:val="21"/>
                <w:szCs w:val="21"/>
              </w:rPr>
            </w:pPr>
            <w:r w:rsidRPr="003C2011">
              <w:rPr>
                <w:rFonts w:ascii="Times New Roman" w:eastAsia="Calibri" w:hAnsi="Times New Roman" w:cs="Times New Roman"/>
                <w:sz w:val="21"/>
                <w:szCs w:val="21"/>
              </w:rPr>
              <w:t>58 (12·8%)</w:t>
            </w:r>
          </w:p>
        </w:tc>
        <w:tc>
          <w:tcPr>
            <w:tcW w:w="2068" w:type="dxa"/>
            <w:vAlign w:val="center"/>
          </w:tcPr>
          <w:p w14:paraId="313F6EAE" w14:textId="77777777" w:rsidR="009E70D1" w:rsidRPr="003C2011" w:rsidRDefault="009E70D1" w:rsidP="004D7BD9">
            <w:pPr>
              <w:jc w:val="center"/>
              <w:rPr>
                <w:rFonts w:ascii="Times New Roman" w:eastAsia="Calibri" w:hAnsi="Times New Roman" w:cs="Times New Roman"/>
                <w:sz w:val="21"/>
                <w:szCs w:val="21"/>
              </w:rPr>
            </w:pPr>
            <w:r w:rsidRPr="003C2011">
              <w:rPr>
                <w:rFonts w:ascii="Times New Roman" w:eastAsia="Calibri" w:hAnsi="Times New Roman" w:cs="Times New Roman"/>
                <w:sz w:val="21"/>
                <w:szCs w:val="21"/>
              </w:rPr>
              <w:t>48 (12·2%)</w:t>
            </w:r>
          </w:p>
        </w:tc>
      </w:tr>
    </w:tbl>
    <w:p w14:paraId="37BCDE8E" w14:textId="77777777" w:rsidR="009E70D1" w:rsidRPr="003C2011" w:rsidRDefault="009E70D1" w:rsidP="009E70D1">
      <w:pPr>
        <w:rPr>
          <w:rFonts w:ascii="Times New Roman" w:eastAsia="Calibri" w:hAnsi="Times New Roman" w:cs="Times New Roman"/>
          <w:sz w:val="24"/>
          <w:szCs w:val="24"/>
        </w:rPr>
      </w:pPr>
      <w:r w:rsidRPr="003C2011">
        <w:rPr>
          <w:rFonts w:ascii="Times New Roman" w:eastAsia="Calibri" w:hAnsi="Times New Roman" w:cs="Times New Roman"/>
          <w:sz w:val="24"/>
          <w:szCs w:val="24"/>
        </w:rPr>
        <w:t>Continuous variables are expressed as median (interquartile range), and categorical variables are expressed as frequencies (n) and percentages (%). Both the randomized sample and the 12-month follow-up pertain to the intent-to-treat population.</w:t>
      </w:r>
    </w:p>
    <w:p w14:paraId="038F8D5B" w14:textId="77777777" w:rsidR="009A0FE5" w:rsidRPr="003C2011" w:rsidRDefault="009A0FE5" w:rsidP="009A0FE5">
      <w:pPr>
        <w:spacing w:after="240" w:line="480" w:lineRule="auto"/>
        <w:ind w:firstLine="446"/>
        <w:rPr>
          <w:rFonts w:ascii="Times New Roman" w:hAnsi="Times New Roman" w:cs="Times New Roman"/>
          <w:sz w:val="24"/>
          <w:szCs w:val="24"/>
        </w:rPr>
      </w:pPr>
    </w:p>
    <w:p w14:paraId="4D859C92" w14:textId="77777777" w:rsidR="009A0FE5" w:rsidRPr="003C2011" w:rsidRDefault="009A0FE5" w:rsidP="009A0FE5">
      <w:pPr>
        <w:spacing w:after="240" w:line="480" w:lineRule="auto"/>
        <w:ind w:firstLine="446"/>
        <w:rPr>
          <w:rFonts w:ascii="Times New Roman" w:hAnsi="Times New Roman" w:cs="Times New Roman"/>
          <w:sz w:val="24"/>
          <w:szCs w:val="24"/>
        </w:rPr>
      </w:pPr>
    </w:p>
    <w:p w14:paraId="352E8FAF" w14:textId="41832F40" w:rsidR="009A0FE5" w:rsidRPr="003C2011" w:rsidRDefault="009A0FE5" w:rsidP="009E70D1">
      <w:pPr>
        <w:spacing w:after="240" w:line="480" w:lineRule="auto"/>
        <w:rPr>
          <w:rFonts w:ascii="Times New Roman" w:hAnsi="Times New Roman" w:cs="Times New Roman"/>
          <w:b/>
          <w:bCs/>
          <w:sz w:val="24"/>
          <w:szCs w:val="24"/>
        </w:rPr>
      </w:pPr>
      <w:r w:rsidRPr="003C2011">
        <w:rPr>
          <w:rFonts w:ascii="Times New Roman" w:hAnsi="Times New Roman" w:cs="Times New Roman"/>
          <w:b/>
          <w:bCs/>
          <w:sz w:val="24"/>
          <w:szCs w:val="24"/>
        </w:rPr>
        <w:t xml:space="preserve">Table </w:t>
      </w:r>
      <w:r w:rsidR="009E70D1" w:rsidRPr="003C2011">
        <w:rPr>
          <w:rFonts w:ascii="Times New Roman" w:hAnsi="Times New Roman" w:cs="Times New Roman"/>
          <w:b/>
          <w:bCs/>
          <w:sz w:val="24"/>
          <w:szCs w:val="24"/>
        </w:rPr>
        <w:t>2</w:t>
      </w:r>
      <w:r w:rsidRPr="003C2011">
        <w:rPr>
          <w:rFonts w:ascii="Times New Roman" w:hAnsi="Times New Roman" w:cs="Times New Roman"/>
          <w:b/>
          <w:bCs/>
          <w:sz w:val="24"/>
          <w:szCs w:val="24"/>
        </w:rPr>
        <w:t>. Trial Outcomes</w:t>
      </w:r>
    </w:p>
    <w:p w14:paraId="564B0C2F" w14:textId="77777777" w:rsidR="009A0FE5" w:rsidRPr="003C2011" w:rsidRDefault="009A0FE5" w:rsidP="009A0FE5">
      <w:pPr>
        <w:spacing w:after="0" w:line="240" w:lineRule="auto"/>
        <w:textAlignment w:val="baseline"/>
        <w:rPr>
          <w:rFonts w:ascii="Segoe UI" w:eastAsia="Times New Roman" w:hAnsi="Segoe UI" w:cs="Segoe UI"/>
          <w:sz w:val="18"/>
          <w:szCs w:val="18"/>
        </w:rPr>
      </w:pPr>
      <w:r w:rsidRPr="003C2011">
        <w:rPr>
          <w:rFonts w:ascii="Times New Roman" w:eastAsia="Times New Roman" w:hAnsi="Times New Roman" w:cs="Times New Roman"/>
        </w:rPr>
        <w:t> </w:t>
      </w:r>
    </w:p>
    <w:tbl>
      <w:tblPr>
        <w:tblW w:w="98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62"/>
        <w:gridCol w:w="2070"/>
        <w:gridCol w:w="5760"/>
      </w:tblGrid>
      <w:tr w:rsidR="003C2011" w:rsidRPr="003C2011" w14:paraId="00BCB1B0" w14:textId="77777777" w:rsidTr="00E618DB">
        <w:trPr>
          <w:trHeight w:val="240"/>
        </w:trPr>
        <w:tc>
          <w:tcPr>
            <w:tcW w:w="9892" w:type="dxa"/>
            <w:gridSpan w:val="3"/>
            <w:tcBorders>
              <w:top w:val="single" w:sz="6" w:space="0" w:color="auto"/>
              <w:left w:val="single" w:sz="6" w:space="0" w:color="auto"/>
              <w:bottom w:val="single" w:sz="6" w:space="0" w:color="auto"/>
              <w:right w:val="single" w:sz="6" w:space="0" w:color="auto"/>
            </w:tcBorders>
            <w:shd w:val="clear" w:color="auto" w:fill="auto"/>
            <w:hideMark/>
          </w:tcPr>
          <w:p w14:paraId="181F3839" w14:textId="77777777" w:rsidR="009A0FE5" w:rsidRPr="003C2011" w:rsidRDefault="009A0FE5" w:rsidP="00E618DB">
            <w:pPr>
              <w:spacing w:after="0" w:line="240" w:lineRule="auto"/>
              <w:jc w:val="center"/>
              <w:textAlignment w:val="baseline"/>
              <w:rPr>
                <w:rFonts w:ascii="Times New Roman" w:eastAsia="Times New Roman" w:hAnsi="Times New Roman" w:cs="Times New Roman"/>
                <w:sz w:val="24"/>
                <w:szCs w:val="24"/>
              </w:rPr>
            </w:pPr>
            <w:r w:rsidRPr="003C2011">
              <w:rPr>
                <w:rFonts w:ascii="Times New Roman" w:eastAsia="Times New Roman" w:hAnsi="Times New Roman" w:cs="Times New Roman"/>
                <w:b/>
                <w:bCs/>
              </w:rPr>
              <w:t>12-Month Endpoint (n=847)</w:t>
            </w:r>
            <w:r w:rsidRPr="003C2011">
              <w:rPr>
                <w:rFonts w:ascii="Times New Roman" w:eastAsia="Times New Roman" w:hAnsi="Times New Roman" w:cs="Times New Roman"/>
              </w:rPr>
              <w:t> </w:t>
            </w:r>
          </w:p>
        </w:tc>
      </w:tr>
      <w:tr w:rsidR="003C2011" w:rsidRPr="003C2011" w14:paraId="626460B4" w14:textId="77777777" w:rsidTr="00E618DB">
        <w:trPr>
          <w:trHeight w:val="240"/>
        </w:trPr>
        <w:tc>
          <w:tcPr>
            <w:tcW w:w="20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F94B48" w14:textId="77777777" w:rsidR="009A0FE5" w:rsidRPr="003C2011" w:rsidRDefault="009A0FE5" w:rsidP="00E618DB">
            <w:pPr>
              <w:spacing w:after="0" w:line="240" w:lineRule="auto"/>
              <w:jc w:val="center"/>
              <w:textAlignment w:val="baseline"/>
              <w:rPr>
                <w:rFonts w:ascii="Times New Roman" w:eastAsia="Times New Roman" w:hAnsi="Times New Roman" w:cs="Times New Roman"/>
                <w:sz w:val="24"/>
                <w:szCs w:val="24"/>
              </w:rPr>
            </w:pPr>
            <w:r w:rsidRPr="003C2011">
              <w:rPr>
                <w:rFonts w:ascii="Times New Roman" w:eastAsia="Times New Roman" w:hAnsi="Times New Roman" w:cs="Times New Roman"/>
                <w:b/>
                <w:bCs/>
              </w:rPr>
              <w:t>Study Arm</w:t>
            </w:r>
            <w:r w:rsidRPr="003C2011">
              <w:rPr>
                <w:rFonts w:ascii="Times New Roman" w:eastAsia="Times New Roman" w:hAnsi="Times New Roman" w:cs="Times New Roman"/>
              </w:rPr>
              <w:t> </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C9F8A7" w14:textId="77777777" w:rsidR="009A0FE5" w:rsidRPr="003C2011" w:rsidRDefault="009A0FE5" w:rsidP="00E618DB">
            <w:pPr>
              <w:spacing w:after="0" w:line="240" w:lineRule="auto"/>
              <w:jc w:val="center"/>
              <w:textAlignment w:val="baseline"/>
              <w:rPr>
                <w:rFonts w:ascii="Times New Roman" w:eastAsia="Times New Roman" w:hAnsi="Times New Roman" w:cs="Times New Roman"/>
                <w:sz w:val="24"/>
                <w:szCs w:val="24"/>
              </w:rPr>
            </w:pPr>
            <w:r w:rsidRPr="003C2011">
              <w:rPr>
                <w:rFonts w:ascii="Times New Roman" w:eastAsia="Times New Roman" w:hAnsi="Times New Roman" w:cs="Times New Roman"/>
                <w:b/>
                <w:bCs/>
              </w:rPr>
              <w:t>Failure N (%)</w:t>
            </w:r>
            <w:r w:rsidRPr="003C2011">
              <w:rPr>
                <w:rFonts w:ascii="Times New Roman" w:eastAsia="Times New Roman" w:hAnsi="Times New Roman" w:cs="Times New Roman"/>
              </w:rPr>
              <w:t> </w:t>
            </w:r>
          </w:p>
        </w:tc>
        <w:tc>
          <w:tcPr>
            <w:tcW w:w="57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654E865" w14:textId="77777777" w:rsidR="009A0FE5" w:rsidRPr="003C2011" w:rsidRDefault="009A0FE5" w:rsidP="00E618DB">
            <w:pPr>
              <w:spacing w:after="0" w:line="240" w:lineRule="auto"/>
              <w:jc w:val="center"/>
              <w:textAlignment w:val="baseline"/>
              <w:rPr>
                <w:rFonts w:ascii="Times New Roman" w:eastAsia="Times New Roman" w:hAnsi="Times New Roman" w:cs="Times New Roman"/>
                <w:sz w:val="24"/>
                <w:szCs w:val="24"/>
              </w:rPr>
            </w:pPr>
            <w:r w:rsidRPr="003C2011">
              <w:rPr>
                <w:rFonts w:ascii="Times New Roman" w:eastAsia="Times New Roman" w:hAnsi="Times New Roman" w:cs="Times New Roman"/>
                <w:b/>
                <w:bCs/>
              </w:rPr>
              <w:t>Failure Breakdown</w:t>
            </w:r>
            <w:r w:rsidRPr="003C2011">
              <w:rPr>
                <w:rFonts w:ascii="Times New Roman" w:eastAsia="Times New Roman" w:hAnsi="Times New Roman" w:cs="Times New Roman"/>
              </w:rPr>
              <w:t> </w:t>
            </w:r>
          </w:p>
        </w:tc>
      </w:tr>
      <w:tr w:rsidR="003C2011" w:rsidRPr="003C2011" w14:paraId="006E739B" w14:textId="77777777" w:rsidTr="00E618DB">
        <w:trPr>
          <w:trHeight w:val="240"/>
        </w:trPr>
        <w:tc>
          <w:tcPr>
            <w:tcW w:w="20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FDEB674" w14:textId="77777777" w:rsidR="009A0FE5" w:rsidRPr="003C2011" w:rsidRDefault="009A0FE5" w:rsidP="00E618DB">
            <w:pPr>
              <w:spacing w:after="0" w:line="240" w:lineRule="auto"/>
              <w:jc w:val="center"/>
              <w:textAlignment w:val="baseline"/>
              <w:rPr>
                <w:rFonts w:ascii="Times New Roman" w:eastAsia="Times New Roman" w:hAnsi="Times New Roman" w:cs="Times New Roman"/>
                <w:sz w:val="24"/>
                <w:szCs w:val="24"/>
              </w:rPr>
            </w:pPr>
            <w:r w:rsidRPr="003C2011">
              <w:rPr>
                <w:rFonts w:ascii="Times New Roman" w:eastAsia="Times New Roman" w:hAnsi="Times New Roman" w:cs="Times New Roman"/>
              </w:rPr>
              <w:t>Appendectomy Group</w:t>
            </w:r>
          </w:p>
          <w:p w14:paraId="5E0A4A8B" w14:textId="77777777" w:rsidR="009A0FE5" w:rsidRPr="003C2011" w:rsidRDefault="009A0FE5" w:rsidP="00E618DB">
            <w:pPr>
              <w:spacing w:after="0" w:line="240" w:lineRule="auto"/>
              <w:jc w:val="center"/>
              <w:textAlignment w:val="baseline"/>
              <w:rPr>
                <w:rFonts w:ascii="Times New Roman" w:eastAsia="Times New Roman" w:hAnsi="Times New Roman" w:cs="Times New Roman"/>
                <w:sz w:val="24"/>
                <w:szCs w:val="24"/>
              </w:rPr>
            </w:pPr>
            <w:r w:rsidRPr="003C2011">
              <w:rPr>
                <w:rFonts w:ascii="Times New Roman" w:eastAsia="Times New Roman" w:hAnsi="Times New Roman" w:cs="Times New Roman"/>
              </w:rPr>
              <w:t>N=394 </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BDA9E7F" w14:textId="77777777" w:rsidR="009A0FE5" w:rsidRPr="003C2011" w:rsidRDefault="009A0FE5" w:rsidP="00E618DB">
            <w:pPr>
              <w:spacing w:after="0" w:line="240" w:lineRule="auto"/>
              <w:jc w:val="center"/>
              <w:textAlignment w:val="baseline"/>
              <w:rPr>
                <w:rFonts w:ascii="Times New Roman" w:eastAsia="Times New Roman" w:hAnsi="Times New Roman" w:cs="Times New Roman"/>
              </w:rPr>
            </w:pPr>
            <w:r w:rsidRPr="003C2011">
              <w:rPr>
                <w:rFonts w:ascii="Times New Roman" w:eastAsia="Times New Roman" w:hAnsi="Times New Roman" w:cs="Times New Roman"/>
              </w:rPr>
              <w:t>28 (7.1%)</w:t>
            </w:r>
          </w:p>
        </w:tc>
        <w:tc>
          <w:tcPr>
            <w:tcW w:w="5760" w:type="dxa"/>
            <w:tcBorders>
              <w:top w:val="single" w:sz="6" w:space="0" w:color="auto"/>
              <w:left w:val="single" w:sz="6" w:space="0" w:color="auto"/>
              <w:bottom w:val="single" w:sz="6" w:space="0" w:color="auto"/>
              <w:right w:val="single" w:sz="6" w:space="0" w:color="auto"/>
            </w:tcBorders>
            <w:shd w:val="clear" w:color="auto" w:fill="auto"/>
            <w:hideMark/>
          </w:tcPr>
          <w:p w14:paraId="1CFF4C79" w14:textId="77777777" w:rsidR="009A0FE5" w:rsidRPr="003C2011" w:rsidRDefault="009A0FE5" w:rsidP="00E618DB">
            <w:pPr>
              <w:spacing w:after="0" w:line="240" w:lineRule="auto"/>
              <w:jc w:val="center"/>
              <w:textAlignment w:val="baseline"/>
              <w:rPr>
                <w:rFonts w:ascii="Times New Roman" w:eastAsia="Times New Roman" w:hAnsi="Times New Roman" w:cs="Times New Roman"/>
              </w:rPr>
            </w:pPr>
            <w:r w:rsidRPr="003C2011">
              <w:rPr>
                <w:rFonts w:ascii="Times New Roman" w:eastAsia="Times New Roman" w:hAnsi="Times New Roman" w:cs="Times New Roman"/>
              </w:rPr>
              <w:t xml:space="preserve">27 (6.9%) – Normal pathology </w:t>
            </w:r>
          </w:p>
          <w:p w14:paraId="09258BBC" w14:textId="77777777" w:rsidR="009A0FE5" w:rsidRPr="003C2011" w:rsidRDefault="009A0FE5" w:rsidP="00E618DB">
            <w:pPr>
              <w:spacing w:after="0" w:line="240" w:lineRule="auto"/>
              <w:jc w:val="center"/>
              <w:textAlignment w:val="baseline"/>
              <w:rPr>
                <w:rFonts w:ascii="Times New Roman" w:eastAsia="Times New Roman" w:hAnsi="Times New Roman" w:cs="Times New Roman"/>
                <w:sz w:val="24"/>
                <w:szCs w:val="24"/>
              </w:rPr>
            </w:pPr>
            <w:r w:rsidRPr="003C2011">
              <w:rPr>
                <w:rFonts w:ascii="Times New Roman" w:eastAsia="Times New Roman" w:hAnsi="Times New Roman" w:cs="Times New Roman"/>
              </w:rPr>
              <w:t>1 (0.2%) - Returned for laparoscopic evacuation of hematoma</w:t>
            </w:r>
          </w:p>
        </w:tc>
      </w:tr>
      <w:tr w:rsidR="003C2011" w:rsidRPr="003C2011" w14:paraId="02672098" w14:textId="77777777" w:rsidTr="00E618DB">
        <w:trPr>
          <w:trHeight w:val="240"/>
        </w:trPr>
        <w:tc>
          <w:tcPr>
            <w:tcW w:w="2062" w:type="dxa"/>
            <w:tcBorders>
              <w:top w:val="single" w:sz="6" w:space="0" w:color="auto"/>
              <w:left w:val="single" w:sz="6" w:space="0" w:color="auto"/>
              <w:bottom w:val="single" w:sz="6" w:space="0" w:color="auto"/>
              <w:right w:val="single" w:sz="6" w:space="0" w:color="auto"/>
            </w:tcBorders>
            <w:shd w:val="clear" w:color="auto" w:fill="auto"/>
            <w:hideMark/>
          </w:tcPr>
          <w:p w14:paraId="2855BFA7" w14:textId="77777777" w:rsidR="009A0FE5" w:rsidRPr="003C2011" w:rsidRDefault="009A0FE5" w:rsidP="00E618DB">
            <w:pPr>
              <w:spacing w:after="0" w:line="240" w:lineRule="auto"/>
              <w:jc w:val="center"/>
              <w:textAlignment w:val="baseline"/>
              <w:rPr>
                <w:rFonts w:ascii="Times New Roman" w:eastAsia="Times New Roman" w:hAnsi="Times New Roman" w:cs="Times New Roman"/>
                <w:sz w:val="24"/>
                <w:szCs w:val="24"/>
              </w:rPr>
            </w:pPr>
            <w:r w:rsidRPr="003C2011">
              <w:rPr>
                <w:rFonts w:ascii="Times New Roman" w:eastAsia="Times New Roman" w:hAnsi="Times New Roman" w:cs="Times New Roman"/>
              </w:rPr>
              <w:t>Antibiotics Group</w:t>
            </w:r>
          </w:p>
          <w:p w14:paraId="7CA621F0" w14:textId="77777777" w:rsidR="009A0FE5" w:rsidRPr="003C2011" w:rsidRDefault="009A0FE5" w:rsidP="00E618DB">
            <w:pPr>
              <w:spacing w:after="0" w:line="240" w:lineRule="auto"/>
              <w:jc w:val="center"/>
              <w:textAlignment w:val="baseline"/>
              <w:rPr>
                <w:rFonts w:ascii="Times New Roman" w:eastAsia="Times New Roman" w:hAnsi="Times New Roman" w:cs="Times New Roman"/>
                <w:sz w:val="24"/>
                <w:szCs w:val="24"/>
              </w:rPr>
            </w:pPr>
            <w:r w:rsidRPr="003C2011">
              <w:rPr>
                <w:rFonts w:ascii="Times New Roman" w:eastAsia="Times New Roman" w:hAnsi="Times New Roman" w:cs="Times New Roman"/>
              </w:rPr>
              <w:t>N=452 </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70E957" w14:textId="77777777" w:rsidR="009A0FE5" w:rsidRPr="003C2011" w:rsidRDefault="009A0FE5" w:rsidP="00E618DB">
            <w:pPr>
              <w:spacing w:after="0" w:line="240" w:lineRule="auto"/>
              <w:jc w:val="center"/>
              <w:textAlignment w:val="baseline"/>
              <w:rPr>
                <w:rFonts w:ascii="Times New Roman" w:eastAsia="Times New Roman" w:hAnsi="Times New Roman" w:cs="Times New Roman"/>
              </w:rPr>
            </w:pPr>
            <w:r w:rsidRPr="003C2011">
              <w:rPr>
                <w:rFonts w:ascii="Times New Roman" w:eastAsia="Times New Roman" w:hAnsi="Times New Roman" w:cs="Times New Roman"/>
              </w:rPr>
              <w:t>153 (33.8%)</w:t>
            </w:r>
          </w:p>
        </w:tc>
        <w:tc>
          <w:tcPr>
            <w:tcW w:w="5760" w:type="dxa"/>
            <w:tcBorders>
              <w:top w:val="single" w:sz="6" w:space="0" w:color="auto"/>
              <w:left w:val="single" w:sz="6" w:space="0" w:color="auto"/>
              <w:bottom w:val="single" w:sz="6" w:space="0" w:color="auto"/>
              <w:right w:val="single" w:sz="6" w:space="0" w:color="auto"/>
            </w:tcBorders>
            <w:shd w:val="clear" w:color="auto" w:fill="auto"/>
            <w:hideMark/>
          </w:tcPr>
          <w:p w14:paraId="62B4751C" w14:textId="77777777" w:rsidR="009A0FE5" w:rsidRPr="003C2011" w:rsidRDefault="009A0FE5" w:rsidP="00E618DB">
            <w:pPr>
              <w:spacing w:after="0" w:line="240" w:lineRule="auto"/>
              <w:jc w:val="center"/>
              <w:textAlignment w:val="baseline"/>
              <w:rPr>
                <w:rFonts w:ascii="Times New Roman" w:eastAsia="Times New Roman" w:hAnsi="Times New Roman" w:cs="Times New Roman"/>
                <w:sz w:val="24"/>
                <w:szCs w:val="24"/>
              </w:rPr>
            </w:pPr>
            <w:r w:rsidRPr="003C2011">
              <w:rPr>
                <w:rFonts w:ascii="Times New Roman" w:eastAsia="Times New Roman" w:hAnsi="Times New Roman" w:cs="Times New Roman"/>
              </w:rPr>
              <w:t>72 (15.9%) – Failed initial antibiotic treatment </w:t>
            </w:r>
          </w:p>
          <w:p w14:paraId="3FFDB074" w14:textId="77777777" w:rsidR="009A0FE5" w:rsidRPr="003C2011" w:rsidRDefault="009A0FE5" w:rsidP="00E618DB">
            <w:pPr>
              <w:spacing w:after="0" w:line="240" w:lineRule="auto"/>
              <w:jc w:val="center"/>
              <w:textAlignment w:val="baseline"/>
              <w:rPr>
                <w:rFonts w:ascii="Times New Roman" w:eastAsia="Times New Roman" w:hAnsi="Times New Roman" w:cs="Times New Roman"/>
                <w:sz w:val="24"/>
                <w:szCs w:val="24"/>
              </w:rPr>
            </w:pPr>
            <w:r w:rsidRPr="003C2011">
              <w:rPr>
                <w:rFonts w:ascii="Times New Roman" w:eastAsia="Times New Roman" w:hAnsi="Times New Roman" w:cs="Times New Roman"/>
              </w:rPr>
              <w:t>81 (17.9%) – Recurred, underwent appendectomy </w:t>
            </w:r>
          </w:p>
        </w:tc>
      </w:tr>
    </w:tbl>
    <w:p w14:paraId="710D4BD2" w14:textId="3898826D" w:rsidR="009A0FE5" w:rsidRPr="003C2011" w:rsidRDefault="009A0FE5" w:rsidP="00A93EA3">
      <w:pPr>
        <w:textAlignment w:val="baseline"/>
        <w:rPr>
          <w:rFonts w:ascii="Times New Roman" w:eastAsia="Calibri" w:hAnsi="Times New Roman" w:cs="Times New Roman"/>
          <w:sz w:val="24"/>
          <w:szCs w:val="24"/>
        </w:rPr>
      </w:pPr>
      <w:r w:rsidRPr="003C2011">
        <w:rPr>
          <w:rFonts w:ascii="Times New Roman" w:eastAsia="Times New Roman" w:hAnsi="Times New Roman" w:cs="Times New Roman"/>
        </w:rPr>
        <w:t> </w:t>
      </w:r>
      <w:r w:rsidR="009E70D1" w:rsidRPr="003C2011">
        <w:rPr>
          <w:rFonts w:ascii="Times New Roman" w:eastAsia="Times New Roman" w:hAnsi="Times New Roman" w:cs="Times New Roman"/>
        </w:rPr>
        <w:t> </w:t>
      </w:r>
      <w:r w:rsidR="009E70D1" w:rsidRPr="003C2011">
        <w:rPr>
          <w:rFonts w:ascii="Times New Roman" w:hAnsi="Times New Roman" w:cs="Times New Roman"/>
          <w:sz w:val="24"/>
          <w:szCs w:val="24"/>
        </w:rPr>
        <w:t>Data are</w:t>
      </w:r>
      <w:r w:rsidR="009E70D1" w:rsidRPr="003C2011">
        <w:rPr>
          <w:rFonts w:ascii="Times New Roman" w:eastAsia="Calibri" w:hAnsi="Times New Roman" w:cs="Times New Roman"/>
          <w:sz w:val="24"/>
          <w:szCs w:val="24"/>
        </w:rPr>
        <w:t xml:space="preserve"> reported as frequencies and percentages using the intent-to-treat population.</w:t>
      </w:r>
    </w:p>
    <w:p w14:paraId="2622B180" w14:textId="37662487" w:rsidR="009A0FE5" w:rsidRPr="003C2011" w:rsidRDefault="009A0FE5" w:rsidP="009A0FE5">
      <w:pPr>
        <w:spacing w:after="240" w:line="240" w:lineRule="auto"/>
        <w:ind w:firstLine="446"/>
        <w:rPr>
          <w:rFonts w:ascii="Times New Roman" w:hAnsi="Times New Roman" w:cs="Times New Roman"/>
          <w:b/>
          <w:bCs/>
          <w:sz w:val="24"/>
          <w:szCs w:val="24"/>
        </w:rPr>
      </w:pPr>
      <w:r w:rsidRPr="003C2011">
        <w:rPr>
          <w:rFonts w:ascii="Times New Roman" w:hAnsi="Times New Roman" w:cs="Times New Roman"/>
          <w:b/>
          <w:bCs/>
          <w:sz w:val="24"/>
          <w:szCs w:val="24"/>
        </w:rPr>
        <w:t xml:space="preserve">Table </w:t>
      </w:r>
      <w:r w:rsidR="00A93EA3" w:rsidRPr="003C2011">
        <w:rPr>
          <w:rFonts w:ascii="Times New Roman" w:hAnsi="Times New Roman" w:cs="Times New Roman"/>
          <w:b/>
          <w:bCs/>
          <w:sz w:val="24"/>
          <w:szCs w:val="24"/>
        </w:rPr>
        <w:t>3</w:t>
      </w:r>
      <w:r w:rsidRPr="003C2011">
        <w:rPr>
          <w:rFonts w:ascii="Times New Roman" w:hAnsi="Times New Roman" w:cs="Times New Roman"/>
          <w:b/>
          <w:bCs/>
          <w:sz w:val="24"/>
          <w:szCs w:val="24"/>
        </w:rPr>
        <w:t>. Patient Reported Diary Summary</w:t>
      </w:r>
    </w:p>
    <w:tbl>
      <w:tblPr>
        <w:tblStyle w:val="TableGrid"/>
        <w:tblW w:w="0" w:type="auto"/>
        <w:tblLook w:val="04A0" w:firstRow="1" w:lastRow="0" w:firstColumn="1" w:lastColumn="0" w:noHBand="0" w:noVBand="1"/>
      </w:tblPr>
      <w:tblGrid>
        <w:gridCol w:w="2885"/>
        <w:gridCol w:w="2281"/>
        <w:gridCol w:w="2517"/>
        <w:gridCol w:w="1667"/>
      </w:tblGrid>
      <w:tr w:rsidR="003C2011" w:rsidRPr="003C2011" w14:paraId="2497D30D" w14:textId="77777777" w:rsidTr="009E70D1">
        <w:trPr>
          <w:trHeight w:val="444"/>
        </w:trPr>
        <w:tc>
          <w:tcPr>
            <w:tcW w:w="2885" w:type="dxa"/>
          </w:tcPr>
          <w:p w14:paraId="1C0038DE" w14:textId="77777777" w:rsidR="009A0FE5" w:rsidRPr="003C2011" w:rsidRDefault="009A0FE5" w:rsidP="00E618DB">
            <w:pPr>
              <w:rPr>
                <w:rFonts w:ascii="Times New Roman" w:hAnsi="Times New Roman" w:cs="Times New Roman"/>
              </w:rPr>
            </w:pPr>
          </w:p>
        </w:tc>
        <w:tc>
          <w:tcPr>
            <w:tcW w:w="2281" w:type="dxa"/>
            <w:vAlign w:val="center"/>
          </w:tcPr>
          <w:p w14:paraId="4F926D6C" w14:textId="77777777" w:rsidR="009A0FE5" w:rsidRPr="003C2011" w:rsidRDefault="009A0FE5" w:rsidP="00E618DB">
            <w:pPr>
              <w:jc w:val="center"/>
              <w:rPr>
                <w:rFonts w:ascii="Times New Roman" w:hAnsi="Times New Roman" w:cs="Times New Roman"/>
                <w:b/>
              </w:rPr>
            </w:pPr>
            <w:r w:rsidRPr="003C2011">
              <w:rPr>
                <w:rFonts w:ascii="Times New Roman" w:hAnsi="Times New Roman" w:cs="Times New Roman"/>
                <w:b/>
              </w:rPr>
              <w:t>Antibiotics Arm</w:t>
            </w:r>
          </w:p>
          <w:p w14:paraId="3F7C9ABB" w14:textId="77777777" w:rsidR="009A0FE5" w:rsidRPr="003C2011" w:rsidRDefault="009A0FE5" w:rsidP="00E618DB">
            <w:pPr>
              <w:jc w:val="center"/>
              <w:rPr>
                <w:rFonts w:ascii="Times New Roman" w:hAnsi="Times New Roman" w:cs="Times New Roman"/>
                <w:b/>
              </w:rPr>
            </w:pPr>
            <w:r w:rsidRPr="003C2011">
              <w:rPr>
                <w:rFonts w:ascii="Times New Roman" w:hAnsi="Times New Roman" w:cs="Times New Roman"/>
                <w:b/>
              </w:rPr>
              <w:t>(n=179)</w:t>
            </w:r>
          </w:p>
        </w:tc>
        <w:tc>
          <w:tcPr>
            <w:tcW w:w="2517" w:type="dxa"/>
            <w:vAlign w:val="center"/>
          </w:tcPr>
          <w:p w14:paraId="2A48D140" w14:textId="77777777" w:rsidR="009A0FE5" w:rsidRPr="003C2011" w:rsidRDefault="009A0FE5" w:rsidP="00E618DB">
            <w:pPr>
              <w:jc w:val="center"/>
              <w:rPr>
                <w:rFonts w:ascii="Times New Roman" w:hAnsi="Times New Roman" w:cs="Times New Roman"/>
                <w:b/>
              </w:rPr>
            </w:pPr>
            <w:r w:rsidRPr="003C2011">
              <w:rPr>
                <w:rFonts w:ascii="Times New Roman" w:hAnsi="Times New Roman" w:cs="Times New Roman"/>
                <w:b/>
              </w:rPr>
              <w:t>Appendectomy Arm</w:t>
            </w:r>
          </w:p>
          <w:p w14:paraId="46904B82" w14:textId="77777777" w:rsidR="009A0FE5" w:rsidRPr="003C2011" w:rsidRDefault="009A0FE5" w:rsidP="00E618DB">
            <w:pPr>
              <w:jc w:val="center"/>
              <w:rPr>
                <w:rFonts w:ascii="Times New Roman" w:hAnsi="Times New Roman" w:cs="Times New Roman"/>
                <w:b/>
              </w:rPr>
            </w:pPr>
            <w:r w:rsidRPr="003C2011">
              <w:rPr>
                <w:rFonts w:ascii="Times New Roman" w:hAnsi="Times New Roman" w:cs="Times New Roman"/>
                <w:b/>
              </w:rPr>
              <w:t>(n=154)</w:t>
            </w:r>
          </w:p>
        </w:tc>
        <w:tc>
          <w:tcPr>
            <w:tcW w:w="1667" w:type="dxa"/>
            <w:vAlign w:val="center"/>
          </w:tcPr>
          <w:p w14:paraId="28AD8A1A" w14:textId="77777777" w:rsidR="009A0FE5" w:rsidRPr="003C2011" w:rsidRDefault="009A0FE5" w:rsidP="00E618DB">
            <w:pPr>
              <w:jc w:val="center"/>
              <w:rPr>
                <w:rFonts w:ascii="Times New Roman" w:hAnsi="Times New Roman" w:cs="Times New Roman"/>
                <w:b/>
              </w:rPr>
            </w:pPr>
            <w:r w:rsidRPr="003C2011">
              <w:rPr>
                <w:rFonts w:ascii="Times New Roman" w:eastAsia="Calibri" w:hAnsi="Times New Roman" w:cs="Times New Roman"/>
                <w:b/>
                <w:bCs/>
              </w:rPr>
              <w:t>p-value</w:t>
            </w:r>
          </w:p>
        </w:tc>
      </w:tr>
      <w:tr w:rsidR="003C2011" w:rsidRPr="003C2011" w14:paraId="2267E341" w14:textId="77777777" w:rsidTr="009E70D1">
        <w:trPr>
          <w:trHeight w:val="444"/>
        </w:trPr>
        <w:tc>
          <w:tcPr>
            <w:tcW w:w="2885" w:type="dxa"/>
            <w:vAlign w:val="center"/>
          </w:tcPr>
          <w:p w14:paraId="6F8857C3" w14:textId="77777777" w:rsidR="009A0FE5" w:rsidRPr="003C2011" w:rsidRDefault="009A0FE5" w:rsidP="00E618DB">
            <w:pPr>
              <w:rPr>
                <w:rFonts w:ascii="Times New Roman" w:hAnsi="Times New Roman" w:cs="Times New Roman"/>
              </w:rPr>
            </w:pPr>
            <w:r w:rsidRPr="003C2011">
              <w:rPr>
                <w:rFonts w:ascii="Times New Roman" w:hAnsi="Times New Roman" w:cs="Times New Roman"/>
              </w:rPr>
              <w:t>Days Until Back to Normal Activity</w:t>
            </w:r>
          </w:p>
        </w:tc>
        <w:tc>
          <w:tcPr>
            <w:tcW w:w="2281" w:type="dxa"/>
            <w:vAlign w:val="center"/>
          </w:tcPr>
          <w:p w14:paraId="5C9BBCF6" w14:textId="77777777" w:rsidR="009A0FE5" w:rsidRPr="003C2011" w:rsidRDefault="009A0FE5" w:rsidP="00E618DB">
            <w:pPr>
              <w:jc w:val="center"/>
              <w:rPr>
                <w:rFonts w:ascii="Times New Roman" w:hAnsi="Times New Roman" w:cs="Times New Roman"/>
              </w:rPr>
            </w:pPr>
            <w:r w:rsidRPr="003C2011">
              <w:rPr>
                <w:rFonts w:ascii="Times New Roman" w:hAnsi="Times New Roman" w:cs="Times New Roman"/>
              </w:rPr>
              <w:t>1 (1, 3)</w:t>
            </w:r>
          </w:p>
        </w:tc>
        <w:tc>
          <w:tcPr>
            <w:tcW w:w="2517" w:type="dxa"/>
            <w:vAlign w:val="center"/>
          </w:tcPr>
          <w:p w14:paraId="5DAD2393" w14:textId="77777777" w:rsidR="009A0FE5" w:rsidRPr="003C2011" w:rsidRDefault="009A0FE5" w:rsidP="00E618DB">
            <w:pPr>
              <w:jc w:val="center"/>
              <w:rPr>
                <w:rFonts w:ascii="Times New Roman" w:hAnsi="Times New Roman" w:cs="Times New Roman"/>
              </w:rPr>
            </w:pPr>
            <w:r w:rsidRPr="003C2011">
              <w:rPr>
                <w:rFonts w:ascii="Times New Roman" w:hAnsi="Times New Roman" w:cs="Times New Roman"/>
              </w:rPr>
              <w:t>4 (2, 5)</w:t>
            </w:r>
          </w:p>
        </w:tc>
        <w:tc>
          <w:tcPr>
            <w:tcW w:w="1667" w:type="dxa"/>
            <w:vAlign w:val="center"/>
          </w:tcPr>
          <w:p w14:paraId="563AA20E" w14:textId="77777777" w:rsidR="009A0FE5" w:rsidRPr="003C2011" w:rsidRDefault="009A0FE5" w:rsidP="00E618DB">
            <w:pPr>
              <w:jc w:val="center"/>
              <w:rPr>
                <w:rFonts w:ascii="Times New Roman" w:hAnsi="Times New Roman" w:cs="Times New Roman"/>
              </w:rPr>
            </w:pPr>
            <w:r w:rsidRPr="003C2011">
              <w:rPr>
                <w:rFonts w:ascii="Times New Roman" w:hAnsi="Times New Roman" w:cs="Times New Roman"/>
              </w:rPr>
              <w:t>&lt;0.0001</w:t>
            </w:r>
          </w:p>
        </w:tc>
      </w:tr>
      <w:tr w:rsidR="003C2011" w:rsidRPr="003C2011" w14:paraId="2F129A9C" w14:textId="77777777" w:rsidTr="009E70D1">
        <w:trPr>
          <w:trHeight w:val="444"/>
        </w:trPr>
        <w:tc>
          <w:tcPr>
            <w:tcW w:w="2885" w:type="dxa"/>
            <w:vAlign w:val="center"/>
          </w:tcPr>
          <w:p w14:paraId="06860B3C" w14:textId="77777777" w:rsidR="009A0FE5" w:rsidRPr="003C2011" w:rsidRDefault="009A0FE5" w:rsidP="00E618DB">
            <w:pPr>
              <w:rPr>
                <w:rFonts w:ascii="Times New Roman" w:hAnsi="Times New Roman" w:cs="Times New Roman"/>
              </w:rPr>
            </w:pPr>
            <w:r w:rsidRPr="003C2011">
              <w:rPr>
                <w:rFonts w:ascii="Times New Roman" w:hAnsi="Times New Roman" w:cs="Times New Roman"/>
              </w:rPr>
              <w:t>Days Until Back at School</w:t>
            </w:r>
          </w:p>
        </w:tc>
        <w:tc>
          <w:tcPr>
            <w:tcW w:w="2281" w:type="dxa"/>
            <w:vAlign w:val="center"/>
          </w:tcPr>
          <w:p w14:paraId="5F69AF5F" w14:textId="77777777" w:rsidR="009A0FE5" w:rsidRPr="003C2011" w:rsidRDefault="009A0FE5" w:rsidP="00E618DB">
            <w:pPr>
              <w:jc w:val="center"/>
              <w:rPr>
                <w:rFonts w:ascii="Times New Roman" w:hAnsi="Times New Roman" w:cs="Times New Roman"/>
              </w:rPr>
            </w:pPr>
            <w:r w:rsidRPr="003C2011">
              <w:rPr>
                <w:rFonts w:ascii="Times New Roman" w:hAnsi="Times New Roman" w:cs="Times New Roman"/>
              </w:rPr>
              <w:t>2 (2, 4)</w:t>
            </w:r>
          </w:p>
        </w:tc>
        <w:tc>
          <w:tcPr>
            <w:tcW w:w="2517" w:type="dxa"/>
            <w:vAlign w:val="center"/>
          </w:tcPr>
          <w:p w14:paraId="7479C0A7" w14:textId="77777777" w:rsidR="009A0FE5" w:rsidRPr="003C2011" w:rsidRDefault="009A0FE5" w:rsidP="00E618DB">
            <w:pPr>
              <w:jc w:val="center"/>
              <w:rPr>
                <w:rFonts w:ascii="Times New Roman" w:hAnsi="Times New Roman" w:cs="Times New Roman"/>
              </w:rPr>
            </w:pPr>
            <w:r w:rsidRPr="003C2011">
              <w:rPr>
                <w:rFonts w:ascii="Times New Roman" w:hAnsi="Times New Roman" w:cs="Times New Roman"/>
              </w:rPr>
              <w:t>3 (2, 5)</w:t>
            </w:r>
          </w:p>
        </w:tc>
        <w:tc>
          <w:tcPr>
            <w:tcW w:w="1667" w:type="dxa"/>
            <w:vAlign w:val="center"/>
          </w:tcPr>
          <w:p w14:paraId="7DE0AB25" w14:textId="77777777" w:rsidR="009A0FE5" w:rsidRPr="003C2011" w:rsidRDefault="009A0FE5" w:rsidP="00E618DB">
            <w:pPr>
              <w:jc w:val="center"/>
              <w:rPr>
                <w:rFonts w:ascii="Times New Roman" w:hAnsi="Times New Roman" w:cs="Times New Roman"/>
              </w:rPr>
            </w:pPr>
            <w:r w:rsidRPr="003C2011">
              <w:rPr>
                <w:rFonts w:ascii="Times New Roman" w:hAnsi="Times New Roman" w:cs="Times New Roman"/>
              </w:rPr>
              <w:t>&lt;0.0001</w:t>
            </w:r>
          </w:p>
        </w:tc>
      </w:tr>
      <w:tr w:rsidR="003C2011" w:rsidRPr="003C2011" w14:paraId="0942E506" w14:textId="77777777" w:rsidTr="009E70D1">
        <w:trPr>
          <w:trHeight w:val="444"/>
        </w:trPr>
        <w:tc>
          <w:tcPr>
            <w:tcW w:w="2885" w:type="dxa"/>
            <w:vAlign w:val="center"/>
          </w:tcPr>
          <w:p w14:paraId="77C2295C" w14:textId="77777777" w:rsidR="009A0FE5" w:rsidRPr="003C2011" w:rsidRDefault="009A0FE5" w:rsidP="00E618DB">
            <w:pPr>
              <w:rPr>
                <w:rFonts w:ascii="Times New Roman" w:hAnsi="Times New Roman" w:cs="Times New Roman"/>
              </w:rPr>
            </w:pPr>
            <w:r w:rsidRPr="003C2011">
              <w:rPr>
                <w:rFonts w:ascii="Times New Roman" w:hAnsi="Times New Roman" w:cs="Times New Roman"/>
              </w:rPr>
              <w:t>Days Taking Pain Medicine</w:t>
            </w:r>
          </w:p>
        </w:tc>
        <w:tc>
          <w:tcPr>
            <w:tcW w:w="2281" w:type="dxa"/>
            <w:vAlign w:val="center"/>
          </w:tcPr>
          <w:p w14:paraId="6EB9B4B1" w14:textId="77777777" w:rsidR="009A0FE5" w:rsidRPr="003C2011" w:rsidRDefault="009A0FE5" w:rsidP="00E618DB">
            <w:pPr>
              <w:jc w:val="center"/>
              <w:rPr>
                <w:rFonts w:ascii="Times New Roman" w:hAnsi="Times New Roman" w:cs="Times New Roman"/>
              </w:rPr>
            </w:pPr>
            <w:r w:rsidRPr="003C2011">
              <w:rPr>
                <w:rFonts w:ascii="Times New Roman" w:hAnsi="Times New Roman" w:cs="Times New Roman"/>
              </w:rPr>
              <w:t>0 (0, 1)</w:t>
            </w:r>
          </w:p>
        </w:tc>
        <w:tc>
          <w:tcPr>
            <w:tcW w:w="2517" w:type="dxa"/>
            <w:vAlign w:val="center"/>
          </w:tcPr>
          <w:p w14:paraId="6555D752" w14:textId="77777777" w:rsidR="009A0FE5" w:rsidRPr="003C2011" w:rsidRDefault="009A0FE5" w:rsidP="00E618DB">
            <w:pPr>
              <w:jc w:val="center"/>
              <w:rPr>
                <w:rFonts w:ascii="Times New Roman" w:hAnsi="Times New Roman" w:cs="Times New Roman"/>
              </w:rPr>
            </w:pPr>
            <w:r w:rsidRPr="003C2011">
              <w:rPr>
                <w:rFonts w:ascii="Times New Roman" w:hAnsi="Times New Roman" w:cs="Times New Roman"/>
              </w:rPr>
              <w:t>3 (1, 5)</w:t>
            </w:r>
          </w:p>
        </w:tc>
        <w:tc>
          <w:tcPr>
            <w:tcW w:w="1667" w:type="dxa"/>
            <w:vAlign w:val="center"/>
          </w:tcPr>
          <w:p w14:paraId="293249B8" w14:textId="77777777" w:rsidR="009A0FE5" w:rsidRPr="003C2011" w:rsidRDefault="009A0FE5" w:rsidP="00E618DB">
            <w:pPr>
              <w:jc w:val="center"/>
              <w:rPr>
                <w:rFonts w:ascii="Times New Roman" w:hAnsi="Times New Roman" w:cs="Times New Roman"/>
              </w:rPr>
            </w:pPr>
            <w:r w:rsidRPr="003C2011">
              <w:rPr>
                <w:rFonts w:ascii="Times New Roman" w:hAnsi="Times New Roman" w:cs="Times New Roman"/>
              </w:rPr>
              <w:t>&lt;0.0001</w:t>
            </w:r>
          </w:p>
        </w:tc>
      </w:tr>
      <w:tr w:rsidR="003C2011" w:rsidRPr="003C2011" w14:paraId="0244ECB4" w14:textId="77777777" w:rsidTr="009E70D1">
        <w:trPr>
          <w:trHeight w:val="444"/>
        </w:trPr>
        <w:tc>
          <w:tcPr>
            <w:tcW w:w="2885" w:type="dxa"/>
            <w:vAlign w:val="center"/>
          </w:tcPr>
          <w:p w14:paraId="6658CE1A" w14:textId="77777777" w:rsidR="009A0FE5" w:rsidRPr="003C2011" w:rsidRDefault="009A0FE5" w:rsidP="00E618DB">
            <w:pPr>
              <w:rPr>
                <w:rFonts w:ascii="Times New Roman" w:hAnsi="Times New Roman" w:cs="Times New Roman"/>
              </w:rPr>
            </w:pPr>
            <w:r w:rsidRPr="003C2011">
              <w:rPr>
                <w:rFonts w:ascii="Times New Roman" w:hAnsi="Times New Roman" w:cs="Times New Roman"/>
              </w:rPr>
              <w:t>Days Taking Antibiotics</w:t>
            </w:r>
          </w:p>
        </w:tc>
        <w:tc>
          <w:tcPr>
            <w:tcW w:w="2281" w:type="dxa"/>
            <w:vAlign w:val="center"/>
          </w:tcPr>
          <w:p w14:paraId="77E79AC0" w14:textId="77777777" w:rsidR="009A0FE5" w:rsidRPr="003C2011" w:rsidRDefault="009A0FE5" w:rsidP="00E618DB">
            <w:pPr>
              <w:jc w:val="center"/>
              <w:rPr>
                <w:rFonts w:ascii="Times New Roman" w:hAnsi="Times New Roman" w:cs="Times New Roman"/>
              </w:rPr>
            </w:pPr>
            <w:r w:rsidRPr="003C2011">
              <w:rPr>
                <w:rFonts w:ascii="Times New Roman" w:hAnsi="Times New Roman" w:cs="Times New Roman"/>
              </w:rPr>
              <w:t>9 (8, 10)</w:t>
            </w:r>
          </w:p>
        </w:tc>
        <w:tc>
          <w:tcPr>
            <w:tcW w:w="2517" w:type="dxa"/>
            <w:vAlign w:val="center"/>
          </w:tcPr>
          <w:p w14:paraId="0B28B9C1" w14:textId="77777777" w:rsidR="009A0FE5" w:rsidRPr="003C2011" w:rsidRDefault="009A0FE5" w:rsidP="00E618DB">
            <w:pPr>
              <w:jc w:val="center"/>
              <w:rPr>
                <w:rFonts w:ascii="Times New Roman" w:hAnsi="Times New Roman" w:cs="Times New Roman"/>
              </w:rPr>
            </w:pPr>
            <w:r w:rsidRPr="003C2011">
              <w:rPr>
                <w:rFonts w:ascii="Times New Roman" w:hAnsi="Times New Roman" w:cs="Times New Roman"/>
              </w:rPr>
              <w:t>NA</w:t>
            </w:r>
          </w:p>
        </w:tc>
        <w:tc>
          <w:tcPr>
            <w:tcW w:w="1667" w:type="dxa"/>
            <w:vAlign w:val="center"/>
          </w:tcPr>
          <w:p w14:paraId="346ADA49" w14:textId="77777777" w:rsidR="009A0FE5" w:rsidRPr="003C2011" w:rsidRDefault="009A0FE5" w:rsidP="00E618DB">
            <w:pPr>
              <w:jc w:val="center"/>
              <w:rPr>
                <w:rFonts w:ascii="Times New Roman" w:hAnsi="Times New Roman" w:cs="Times New Roman"/>
              </w:rPr>
            </w:pPr>
            <w:r w:rsidRPr="003C2011">
              <w:rPr>
                <w:rFonts w:ascii="Times New Roman" w:hAnsi="Times New Roman" w:cs="Times New Roman"/>
              </w:rPr>
              <w:t>NA</w:t>
            </w:r>
          </w:p>
        </w:tc>
      </w:tr>
      <w:tr w:rsidR="003C2011" w:rsidRPr="003C2011" w14:paraId="2609832A" w14:textId="77777777" w:rsidTr="009E70D1">
        <w:trPr>
          <w:trHeight w:val="444"/>
        </w:trPr>
        <w:tc>
          <w:tcPr>
            <w:tcW w:w="2885" w:type="dxa"/>
            <w:vAlign w:val="center"/>
          </w:tcPr>
          <w:p w14:paraId="29396220" w14:textId="77777777" w:rsidR="009A0FE5" w:rsidRPr="003C2011" w:rsidRDefault="009A0FE5" w:rsidP="00E618DB">
            <w:pPr>
              <w:rPr>
                <w:rFonts w:ascii="Times New Roman" w:hAnsi="Times New Roman" w:cs="Times New Roman"/>
              </w:rPr>
            </w:pPr>
            <w:r w:rsidRPr="003C2011">
              <w:rPr>
                <w:rFonts w:ascii="Times New Roman" w:hAnsi="Times New Roman" w:cs="Times New Roman"/>
              </w:rPr>
              <w:t>Did Individual Take Full Course of Antibiotic</w:t>
            </w:r>
          </w:p>
        </w:tc>
        <w:tc>
          <w:tcPr>
            <w:tcW w:w="2281" w:type="dxa"/>
            <w:vAlign w:val="center"/>
          </w:tcPr>
          <w:p w14:paraId="197629F7" w14:textId="77777777" w:rsidR="009A0FE5" w:rsidRPr="003C2011" w:rsidRDefault="009A0FE5" w:rsidP="00E618DB">
            <w:pPr>
              <w:jc w:val="center"/>
              <w:rPr>
                <w:rFonts w:ascii="Times New Roman" w:hAnsi="Times New Roman" w:cs="Times New Roman"/>
              </w:rPr>
            </w:pPr>
            <w:r w:rsidRPr="003C2011">
              <w:rPr>
                <w:rFonts w:ascii="Times New Roman" w:hAnsi="Times New Roman" w:cs="Times New Roman"/>
              </w:rPr>
              <w:t>82.6%</w:t>
            </w:r>
          </w:p>
        </w:tc>
        <w:tc>
          <w:tcPr>
            <w:tcW w:w="2517" w:type="dxa"/>
            <w:vAlign w:val="center"/>
          </w:tcPr>
          <w:p w14:paraId="6534A605" w14:textId="77777777" w:rsidR="009A0FE5" w:rsidRPr="003C2011" w:rsidRDefault="009A0FE5" w:rsidP="00E618DB">
            <w:pPr>
              <w:jc w:val="center"/>
              <w:rPr>
                <w:rFonts w:ascii="Times New Roman" w:hAnsi="Times New Roman" w:cs="Times New Roman"/>
              </w:rPr>
            </w:pPr>
            <w:r w:rsidRPr="003C2011">
              <w:rPr>
                <w:rFonts w:ascii="Times New Roman" w:hAnsi="Times New Roman" w:cs="Times New Roman"/>
              </w:rPr>
              <w:t>NA</w:t>
            </w:r>
          </w:p>
        </w:tc>
        <w:tc>
          <w:tcPr>
            <w:tcW w:w="1667" w:type="dxa"/>
            <w:vAlign w:val="center"/>
          </w:tcPr>
          <w:p w14:paraId="2FD1FDFC" w14:textId="77777777" w:rsidR="009A0FE5" w:rsidRPr="003C2011" w:rsidRDefault="009A0FE5" w:rsidP="00E618DB">
            <w:pPr>
              <w:jc w:val="center"/>
              <w:rPr>
                <w:rFonts w:ascii="Times New Roman" w:hAnsi="Times New Roman" w:cs="Times New Roman"/>
              </w:rPr>
            </w:pPr>
            <w:r w:rsidRPr="003C2011">
              <w:rPr>
                <w:rFonts w:ascii="Times New Roman" w:hAnsi="Times New Roman" w:cs="Times New Roman"/>
              </w:rPr>
              <w:t>NA</w:t>
            </w:r>
          </w:p>
        </w:tc>
      </w:tr>
    </w:tbl>
    <w:p w14:paraId="2BEDD0DD" w14:textId="77777777" w:rsidR="009E70D1" w:rsidRPr="003C2011" w:rsidRDefault="009E70D1" w:rsidP="009E70D1">
      <w:pPr>
        <w:rPr>
          <w:rFonts w:ascii="Times New Roman" w:eastAsia="Calibri" w:hAnsi="Times New Roman" w:cs="Times New Roman"/>
          <w:sz w:val="24"/>
          <w:szCs w:val="24"/>
        </w:rPr>
      </w:pPr>
      <w:r w:rsidRPr="003C2011">
        <w:rPr>
          <w:rFonts w:ascii="Times New Roman" w:eastAsia="Calibri" w:hAnsi="Times New Roman" w:cs="Times New Roman"/>
          <w:sz w:val="24"/>
          <w:szCs w:val="24"/>
        </w:rPr>
        <w:t>Continuous variables are expressed as median (interquartile range), and categorical variables are expressed as frequencies (n) and percentages (%). Data are from the intent-to-treat population that filled out their 14-day diary.</w:t>
      </w:r>
    </w:p>
    <w:p w14:paraId="55F9BB32" w14:textId="77777777" w:rsidR="009A0FE5" w:rsidRPr="003C2011" w:rsidRDefault="009A0FE5" w:rsidP="009A0FE5">
      <w:pPr>
        <w:spacing w:after="240" w:line="240" w:lineRule="auto"/>
        <w:ind w:firstLine="446"/>
        <w:rPr>
          <w:rFonts w:ascii="Times New Roman" w:hAnsi="Times New Roman" w:cs="Times New Roman"/>
          <w:sz w:val="24"/>
          <w:szCs w:val="24"/>
        </w:rPr>
      </w:pPr>
    </w:p>
    <w:p w14:paraId="688F5E4E" w14:textId="77777777" w:rsidR="009A0FE5" w:rsidRPr="003C2011" w:rsidRDefault="009A0FE5" w:rsidP="009A0FE5">
      <w:pPr>
        <w:spacing w:after="240" w:line="240" w:lineRule="auto"/>
        <w:ind w:firstLine="446"/>
        <w:rPr>
          <w:rFonts w:ascii="Times New Roman" w:hAnsi="Times New Roman" w:cs="Times New Roman"/>
          <w:sz w:val="24"/>
          <w:szCs w:val="24"/>
        </w:rPr>
      </w:pPr>
    </w:p>
    <w:p w14:paraId="5F21BAD0" w14:textId="77777777" w:rsidR="009A0FE5" w:rsidRPr="003C2011" w:rsidRDefault="009A0FE5" w:rsidP="009A0FE5">
      <w:pPr>
        <w:spacing w:after="240" w:line="240" w:lineRule="auto"/>
        <w:ind w:firstLine="446"/>
        <w:rPr>
          <w:rFonts w:ascii="Times New Roman" w:hAnsi="Times New Roman" w:cs="Times New Roman"/>
          <w:sz w:val="24"/>
          <w:szCs w:val="24"/>
        </w:rPr>
      </w:pPr>
    </w:p>
    <w:p w14:paraId="165EEC8E" w14:textId="77777777" w:rsidR="009A0FE5" w:rsidRPr="003C2011" w:rsidRDefault="009A0FE5" w:rsidP="009A0FE5">
      <w:pPr>
        <w:spacing w:after="240" w:line="240" w:lineRule="auto"/>
        <w:ind w:firstLine="446"/>
        <w:rPr>
          <w:rFonts w:ascii="Times New Roman" w:hAnsi="Times New Roman" w:cs="Times New Roman"/>
          <w:sz w:val="24"/>
          <w:szCs w:val="24"/>
        </w:rPr>
      </w:pPr>
    </w:p>
    <w:p w14:paraId="52A5BE41" w14:textId="77777777" w:rsidR="009A0FE5" w:rsidRPr="003C2011" w:rsidRDefault="009A0FE5" w:rsidP="009A0FE5">
      <w:pPr>
        <w:spacing w:after="240" w:line="240" w:lineRule="auto"/>
        <w:ind w:firstLine="446"/>
        <w:rPr>
          <w:rFonts w:ascii="Times New Roman" w:hAnsi="Times New Roman" w:cs="Times New Roman"/>
          <w:sz w:val="24"/>
          <w:szCs w:val="24"/>
        </w:rPr>
        <w:sectPr w:rsidR="009A0FE5" w:rsidRPr="003C2011" w:rsidSect="003C2011">
          <w:pgSz w:w="12240" w:h="15840"/>
          <w:pgMar w:top="1440" w:right="1440" w:bottom="1440" w:left="1440" w:header="720" w:footer="720" w:gutter="0"/>
          <w:cols w:space="720"/>
          <w:docGrid w:linePitch="360"/>
        </w:sectPr>
      </w:pPr>
    </w:p>
    <w:p w14:paraId="2C2DC2D3" w14:textId="77777777" w:rsidR="009E70D1" w:rsidRPr="003C2011" w:rsidRDefault="009E70D1" w:rsidP="009E70D1">
      <w:pPr>
        <w:spacing w:after="240"/>
        <w:rPr>
          <w:rFonts w:ascii="Times New Roman" w:hAnsi="Times New Roman" w:cs="Times New Roman"/>
          <w:sz w:val="24"/>
          <w:szCs w:val="24"/>
        </w:rPr>
      </w:pPr>
      <w:r w:rsidRPr="003C2011">
        <w:rPr>
          <w:rFonts w:ascii="Times New Roman" w:hAnsi="Times New Roman" w:cs="Times New Roman"/>
          <w:b/>
          <w:bCs/>
          <w:i/>
          <w:iCs/>
          <w:sz w:val="24"/>
          <w:szCs w:val="24"/>
        </w:rPr>
        <w:lastRenderedPageBreak/>
        <w:t>Supplemental Figure 1:</w:t>
      </w:r>
      <w:r w:rsidRPr="003C2011">
        <w:rPr>
          <w:rFonts w:ascii="Times New Roman" w:hAnsi="Times New Roman" w:cs="Times New Roman"/>
          <w:b/>
          <w:bCs/>
          <w:sz w:val="24"/>
          <w:szCs w:val="24"/>
        </w:rPr>
        <w:t xml:space="preserve"> Primary outcome by stratification factors from randomization by study arm.</w:t>
      </w:r>
      <w:r w:rsidRPr="003C2011">
        <w:rPr>
          <w:rFonts w:ascii="Times New Roman" w:hAnsi="Times New Roman" w:cs="Times New Roman"/>
          <w:sz w:val="24"/>
          <w:szCs w:val="24"/>
        </w:rPr>
        <w:t xml:space="preserve"> Odds ratios are presented along with their 95% confidence intervals. Kansas City (USA) was used as the reference group for all other participating sites.</w:t>
      </w:r>
    </w:p>
    <w:p w14:paraId="7297EBF8" w14:textId="77777777" w:rsidR="009E70D1" w:rsidRPr="003C2011" w:rsidRDefault="009E70D1" w:rsidP="009E70D1">
      <w:pPr>
        <w:spacing w:after="240"/>
        <w:rPr>
          <w:rFonts w:ascii="Times New Roman" w:hAnsi="Times New Roman" w:cs="Times New Roman"/>
          <w:sz w:val="24"/>
          <w:szCs w:val="24"/>
        </w:rPr>
      </w:pPr>
      <w:r w:rsidRPr="003C2011">
        <w:rPr>
          <w:rFonts w:ascii="Times New Roman" w:hAnsi="Times New Roman" w:cs="Times New Roman"/>
          <w:b/>
          <w:bCs/>
          <w:i/>
          <w:iCs/>
          <w:sz w:val="24"/>
          <w:szCs w:val="24"/>
        </w:rPr>
        <w:t>Supplemental Figure 2:</w:t>
      </w:r>
      <w:r w:rsidRPr="003C2011">
        <w:rPr>
          <w:rFonts w:ascii="Times New Roman" w:hAnsi="Times New Roman" w:cs="Times New Roman"/>
          <w:sz w:val="24"/>
          <w:szCs w:val="24"/>
        </w:rPr>
        <w:t xml:space="preserve"> </w:t>
      </w:r>
      <w:r w:rsidRPr="003C2011">
        <w:rPr>
          <w:rFonts w:ascii="Times New Roman" w:hAnsi="Times New Roman" w:cs="Times New Roman"/>
          <w:b/>
          <w:bCs/>
          <w:sz w:val="24"/>
          <w:szCs w:val="24"/>
        </w:rPr>
        <w:t>Time to appendectomy in the antibiotics arm.</w:t>
      </w:r>
      <w:r w:rsidRPr="003C2011">
        <w:rPr>
          <w:rFonts w:ascii="Times New Roman" w:hAnsi="Times New Roman" w:cs="Times New Roman"/>
          <w:sz w:val="24"/>
          <w:szCs w:val="24"/>
        </w:rPr>
        <w:t xml:space="preserve"> Percent incidence of appendectomy with 95% confidence intervals at 7, 14, and 100 days post-randomization.</w:t>
      </w:r>
    </w:p>
    <w:p w14:paraId="5C18D6E9" w14:textId="19D6E522" w:rsidR="002512AA" w:rsidRPr="003C2011" w:rsidRDefault="002512AA" w:rsidP="009E70D1">
      <w:pPr>
        <w:spacing w:after="240" w:line="240" w:lineRule="auto"/>
        <w:ind w:firstLine="446"/>
        <w:rPr>
          <w:rStyle w:val="citation-doi"/>
          <w:rFonts w:ascii="Segoe UI" w:hAnsi="Segoe UI" w:cs="Segoe UI"/>
        </w:rPr>
      </w:pPr>
    </w:p>
    <w:p w14:paraId="37B83787" w14:textId="705850A1" w:rsidR="00E9651D" w:rsidRPr="003C2011" w:rsidRDefault="00E9651D" w:rsidP="009E70D1">
      <w:pPr>
        <w:spacing w:after="240" w:line="240" w:lineRule="auto"/>
        <w:ind w:firstLine="446"/>
        <w:rPr>
          <w:rStyle w:val="citation-doi"/>
          <w:rFonts w:ascii="Segoe UI" w:hAnsi="Segoe UI" w:cs="Segoe UI"/>
        </w:rPr>
      </w:pPr>
      <w:r w:rsidRPr="003C2011">
        <w:rPr>
          <w:rStyle w:val="citation-doi"/>
          <w:rFonts w:ascii="Segoe UI" w:hAnsi="Segoe UI" w:cs="Segoe UI"/>
        </w:rPr>
        <w:t>D</w:t>
      </w:r>
      <w:r w:rsidR="008E33E8" w:rsidRPr="003C2011">
        <w:rPr>
          <w:rStyle w:val="citation-doi"/>
          <w:rFonts w:ascii="Segoe UI" w:hAnsi="Segoe UI" w:cs="Segoe UI"/>
        </w:rPr>
        <w:t xml:space="preserve">ata Sharing: </w:t>
      </w:r>
      <w:r w:rsidR="008E33E8" w:rsidRPr="003C2011">
        <w:t>De-identified individual participant data collected during the APPY trial will be available beginning 1 year and ending 3 years following the article publication. Proposals should be directed to the corresponding author to gain access. Proposal will need to be reviewed by all authors/centers. If approved, requestor(s) will need to sign a data use agreement and decide on reasonable environments to make data available</w:t>
      </w:r>
    </w:p>
    <w:sectPr w:rsidR="00E9651D" w:rsidRPr="003C2011" w:rsidSect="003C20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B9FBB" w14:textId="77777777" w:rsidR="00A062BE" w:rsidRDefault="00A062BE" w:rsidP="00B61179">
      <w:pPr>
        <w:spacing w:after="0" w:line="240" w:lineRule="auto"/>
      </w:pPr>
      <w:r>
        <w:separator/>
      </w:r>
    </w:p>
  </w:endnote>
  <w:endnote w:type="continuationSeparator" w:id="0">
    <w:p w14:paraId="4067D919" w14:textId="77777777" w:rsidR="00A062BE" w:rsidRDefault="00A062BE" w:rsidP="00B61179">
      <w:pPr>
        <w:spacing w:after="0" w:line="240" w:lineRule="auto"/>
      </w:pPr>
      <w:r>
        <w:continuationSeparator/>
      </w:r>
    </w:p>
  </w:endnote>
  <w:endnote w:type="continuationNotice" w:id="1">
    <w:p w14:paraId="096EF4F4" w14:textId="77777777" w:rsidR="00A062BE" w:rsidRDefault="00A062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28E6C" w14:textId="0B43D2F7" w:rsidR="004D6227" w:rsidRDefault="004D6227">
    <w:pPr>
      <w:pStyle w:val="Footer"/>
      <w:jc w:val="right"/>
    </w:pPr>
  </w:p>
  <w:p w14:paraId="255D6ED1" w14:textId="77777777" w:rsidR="00B81D34" w:rsidRDefault="00B81D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058F7" w14:textId="134C2800" w:rsidR="004D6227" w:rsidRDefault="004D6227">
    <w:pPr>
      <w:pStyle w:val="Footer"/>
      <w:jc w:val="right"/>
    </w:pPr>
  </w:p>
  <w:p w14:paraId="57C9BFCF" w14:textId="77777777" w:rsidR="004D6227" w:rsidRDefault="004D62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4F988" w14:textId="77777777" w:rsidR="00A062BE" w:rsidRDefault="00A062BE" w:rsidP="00B61179">
      <w:pPr>
        <w:spacing w:after="0" w:line="240" w:lineRule="auto"/>
      </w:pPr>
      <w:r>
        <w:separator/>
      </w:r>
    </w:p>
  </w:footnote>
  <w:footnote w:type="continuationSeparator" w:id="0">
    <w:p w14:paraId="0015FDBE" w14:textId="77777777" w:rsidR="00A062BE" w:rsidRDefault="00A062BE" w:rsidP="00B61179">
      <w:pPr>
        <w:spacing w:after="0" w:line="240" w:lineRule="auto"/>
      </w:pPr>
      <w:r>
        <w:continuationSeparator/>
      </w:r>
    </w:p>
  </w:footnote>
  <w:footnote w:type="continuationNotice" w:id="1">
    <w:p w14:paraId="23E6557B" w14:textId="77777777" w:rsidR="00A062BE" w:rsidRDefault="00A062B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80421"/>
    <w:multiLevelType w:val="hybridMultilevel"/>
    <w:tmpl w:val="E716EAE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2F3686"/>
    <w:multiLevelType w:val="hybridMultilevel"/>
    <w:tmpl w:val="CE2AC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4F581D"/>
    <w:multiLevelType w:val="hybridMultilevel"/>
    <w:tmpl w:val="1C08D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494D8C"/>
    <w:multiLevelType w:val="hybridMultilevel"/>
    <w:tmpl w:val="4FB8E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DF4E38"/>
    <w:multiLevelType w:val="multilevel"/>
    <w:tmpl w:val="ED5A2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6461F0"/>
    <w:multiLevelType w:val="hybridMultilevel"/>
    <w:tmpl w:val="83EEC502"/>
    <w:lvl w:ilvl="0" w:tplc="8BE8CF4C">
      <w:start w:val="1"/>
      <w:numFmt w:val="bullet"/>
      <w:lvlText w:val=""/>
      <w:lvlJc w:val="left"/>
      <w:pPr>
        <w:ind w:left="720" w:hanging="360"/>
      </w:pPr>
      <w:rPr>
        <w:rFonts w:ascii="Symbol" w:hAnsi="Symbol" w:hint="default"/>
      </w:rPr>
    </w:lvl>
    <w:lvl w:ilvl="1" w:tplc="5382034A">
      <w:start w:val="1"/>
      <w:numFmt w:val="bullet"/>
      <w:lvlText w:val="o"/>
      <w:lvlJc w:val="left"/>
      <w:pPr>
        <w:ind w:left="1440" w:hanging="360"/>
      </w:pPr>
      <w:rPr>
        <w:rFonts w:ascii="Courier New" w:hAnsi="Courier New" w:hint="default"/>
      </w:rPr>
    </w:lvl>
    <w:lvl w:ilvl="2" w:tplc="998CF890">
      <w:start w:val="1"/>
      <w:numFmt w:val="bullet"/>
      <w:lvlText w:val=""/>
      <w:lvlJc w:val="left"/>
      <w:pPr>
        <w:ind w:left="2160" w:hanging="360"/>
      </w:pPr>
      <w:rPr>
        <w:rFonts w:ascii="Wingdings" w:hAnsi="Wingdings" w:hint="default"/>
      </w:rPr>
    </w:lvl>
    <w:lvl w:ilvl="3" w:tplc="3C9A44A0">
      <w:start w:val="1"/>
      <w:numFmt w:val="bullet"/>
      <w:lvlText w:val=""/>
      <w:lvlJc w:val="left"/>
      <w:pPr>
        <w:ind w:left="2880" w:hanging="360"/>
      </w:pPr>
      <w:rPr>
        <w:rFonts w:ascii="Symbol" w:hAnsi="Symbol" w:hint="default"/>
      </w:rPr>
    </w:lvl>
    <w:lvl w:ilvl="4" w:tplc="04DCDB24">
      <w:start w:val="1"/>
      <w:numFmt w:val="bullet"/>
      <w:lvlText w:val="o"/>
      <w:lvlJc w:val="left"/>
      <w:pPr>
        <w:ind w:left="3600" w:hanging="360"/>
      </w:pPr>
      <w:rPr>
        <w:rFonts w:ascii="Courier New" w:hAnsi="Courier New" w:hint="default"/>
      </w:rPr>
    </w:lvl>
    <w:lvl w:ilvl="5" w:tplc="AE2AFBC8">
      <w:start w:val="1"/>
      <w:numFmt w:val="bullet"/>
      <w:lvlText w:val=""/>
      <w:lvlJc w:val="left"/>
      <w:pPr>
        <w:ind w:left="4320" w:hanging="360"/>
      </w:pPr>
      <w:rPr>
        <w:rFonts w:ascii="Wingdings" w:hAnsi="Wingdings" w:hint="default"/>
      </w:rPr>
    </w:lvl>
    <w:lvl w:ilvl="6" w:tplc="E9AC10B4">
      <w:start w:val="1"/>
      <w:numFmt w:val="bullet"/>
      <w:lvlText w:val=""/>
      <w:lvlJc w:val="left"/>
      <w:pPr>
        <w:ind w:left="5040" w:hanging="360"/>
      </w:pPr>
      <w:rPr>
        <w:rFonts w:ascii="Symbol" w:hAnsi="Symbol" w:hint="default"/>
      </w:rPr>
    </w:lvl>
    <w:lvl w:ilvl="7" w:tplc="0A164DC8">
      <w:start w:val="1"/>
      <w:numFmt w:val="bullet"/>
      <w:lvlText w:val="o"/>
      <w:lvlJc w:val="left"/>
      <w:pPr>
        <w:ind w:left="5760" w:hanging="360"/>
      </w:pPr>
      <w:rPr>
        <w:rFonts w:ascii="Courier New" w:hAnsi="Courier New" w:hint="default"/>
      </w:rPr>
    </w:lvl>
    <w:lvl w:ilvl="8" w:tplc="5F687AFE">
      <w:start w:val="1"/>
      <w:numFmt w:val="bullet"/>
      <w:lvlText w:val=""/>
      <w:lvlJc w:val="left"/>
      <w:pPr>
        <w:ind w:left="6480" w:hanging="360"/>
      </w:pPr>
      <w:rPr>
        <w:rFonts w:ascii="Wingdings" w:hAnsi="Wingdings" w:hint="default"/>
      </w:rPr>
    </w:lvl>
  </w:abstractNum>
  <w:abstractNum w:abstractNumId="6" w15:restartNumberingAfterBreak="0">
    <w:nsid w:val="34C656A6"/>
    <w:multiLevelType w:val="hybridMultilevel"/>
    <w:tmpl w:val="D506F9E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CF67402"/>
    <w:multiLevelType w:val="hybridMultilevel"/>
    <w:tmpl w:val="564C1FEE"/>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F06FD7"/>
    <w:multiLevelType w:val="multilevel"/>
    <w:tmpl w:val="D1AA23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4DDA6C66"/>
    <w:multiLevelType w:val="hybridMultilevel"/>
    <w:tmpl w:val="96B64354"/>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74058A"/>
    <w:multiLevelType w:val="multilevel"/>
    <w:tmpl w:val="76F06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1423FC"/>
    <w:multiLevelType w:val="multilevel"/>
    <w:tmpl w:val="837A5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2E71D9"/>
    <w:multiLevelType w:val="hybridMultilevel"/>
    <w:tmpl w:val="E4A4E5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A83650"/>
    <w:multiLevelType w:val="hybridMultilevel"/>
    <w:tmpl w:val="B218C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A90281F"/>
    <w:multiLevelType w:val="hybridMultilevel"/>
    <w:tmpl w:val="885475CA"/>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593B7B"/>
    <w:multiLevelType w:val="multilevel"/>
    <w:tmpl w:val="33B031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083527969">
    <w:abstractNumId w:val="5"/>
  </w:num>
  <w:num w:numId="2" w16cid:durableId="312415287">
    <w:abstractNumId w:val="8"/>
    <w:lvlOverride w:ilvl="0">
      <w:lvl w:ilvl="0">
        <w:numFmt w:val="bullet"/>
        <w:lvlText w:val=""/>
        <w:lvlJc w:val="left"/>
        <w:pPr>
          <w:tabs>
            <w:tab w:val="num" w:pos="720"/>
          </w:tabs>
          <w:ind w:left="720" w:hanging="360"/>
        </w:pPr>
        <w:rPr>
          <w:rFonts w:ascii="Symbol" w:hAnsi="Symbol" w:hint="default"/>
          <w:sz w:val="20"/>
        </w:rPr>
      </w:lvl>
    </w:lvlOverride>
  </w:num>
  <w:num w:numId="3" w16cid:durableId="894320080">
    <w:abstractNumId w:val="15"/>
    <w:lvlOverride w:ilvl="0">
      <w:lvl w:ilvl="0">
        <w:numFmt w:val="bullet"/>
        <w:lvlText w:val=""/>
        <w:lvlJc w:val="left"/>
        <w:pPr>
          <w:tabs>
            <w:tab w:val="num" w:pos="720"/>
          </w:tabs>
          <w:ind w:left="720" w:hanging="360"/>
        </w:pPr>
        <w:rPr>
          <w:rFonts w:ascii="Symbol" w:hAnsi="Symbol" w:hint="default"/>
          <w:sz w:val="20"/>
        </w:rPr>
      </w:lvl>
    </w:lvlOverride>
  </w:num>
  <w:num w:numId="4" w16cid:durableId="899826063">
    <w:abstractNumId w:val="6"/>
  </w:num>
  <w:num w:numId="5" w16cid:durableId="1480532060">
    <w:abstractNumId w:val="10"/>
  </w:num>
  <w:num w:numId="6" w16cid:durableId="384833416">
    <w:abstractNumId w:val="3"/>
  </w:num>
  <w:num w:numId="7" w16cid:durableId="2033452924">
    <w:abstractNumId w:val="2"/>
  </w:num>
  <w:num w:numId="8" w16cid:durableId="1859387707">
    <w:abstractNumId w:val="13"/>
  </w:num>
  <w:num w:numId="9" w16cid:durableId="1529484441">
    <w:abstractNumId w:val="0"/>
  </w:num>
  <w:num w:numId="10" w16cid:durableId="56321301">
    <w:abstractNumId w:val="1"/>
  </w:num>
  <w:num w:numId="11" w16cid:durableId="1481773886">
    <w:abstractNumId w:val="4"/>
  </w:num>
  <w:num w:numId="12" w16cid:durableId="1953902440">
    <w:abstractNumId w:val="12"/>
  </w:num>
  <w:num w:numId="13" w16cid:durableId="891044142">
    <w:abstractNumId w:val="11"/>
  </w:num>
  <w:num w:numId="14" w16cid:durableId="837421127">
    <w:abstractNumId w:val="7"/>
  </w:num>
  <w:num w:numId="15" w16cid:durableId="14621422">
    <w:abstractNumId w:val="9"/>
  </w:num>
  <w:num w:numId="16" w16cid:durableId="105743278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34B"/>
    <w:rsid w:val="00003B4A"/>
    <w:rsid w:val="00003D8D"/>
    <w:rsid w:val="00004C79"/>
    <w:rsid w:val="00007B0F"/>
    <w:rsid w:val="0001138D"/>
    <w:rsid w:val="00011DB0"/>
    <w:rsid w:val="00017C60"/>
    <w:rsid w:val="00024B84"/>
    <w:rsid w:val="00025958"/>
    <w:rsid w:val="0002626F"/>
    <w:rsid w:val="00026D05"/>
    <w:rsid w:val="000273F5"/>
    <w:rsid w:val="00036D2D"/>
    <w:rsid w:val="000422B0"/>
    <w:rsid w:val="00042DFA"/>
    <w:rsid w:val="000439F6"/>
    <w:rsid w:val="00045F82"/>
    <w:rsid w:val="00046BB6"/>
    <w:rsid w:val="000476D0"/>
    <w:rsid w:val="00047F0A"/>
    <w:rsid w:val="00052BAF"/>
    <w:rsid w:val="00055D20"/>
    <w:rsid w:val="00056597"/>
    <w:rsid w:val="000569EA"/>
    <w:rsid w:val="00056F71"/>
    <w:rsid w:val="000618B4"/>
    <w:rsid w:val="000618BD"/>
    <w:rsid w:val="000624E4"/>
    <w:rsid w:val="00062BF8"/>
    <w:rsid w:val="00063D76"/>
    <w:rsid w:val="00072946"/>
    <w:rsid w:val="00073807"/>
    <w:rsid w:val="00073D2A"/>
    <w:rsid w:val="00074238"/>
    <w:rsid w:val="000762A9"/>
    <w:rsid w:val="00076C18"/>
    <w:rsid w:val="000779D4"/>
    <w:rsid w:val="00081B0A"/>
    <w:rsid w:val="00082711"/>
    <w:rsid w:val="00091C7B"/>
    <w:rsid w:val="00092368"/>
    <w:rsid w:val="0009667E"/>
    <w:rsid w:val="00096EA9"/>
    <w:rsid w:val="000A39F9"/>
    <w:rsid w:val="000A4C3C"/>
    <w:rsid w:val="000B549E"/>
    <w:rsid w:val="000B61C1"/>
    <w:rsid w:val="000B6543"/>
    <w:rsid w:val="000B7BB5"/>
    <w:rsid w:val="000C3FC9"/>
    <w:rsid w:val="000C7C7D"/>
    <w:rsid w:val="000D0AA3"/>
    <w:rsid w:val="000D25FF"/>
    <w:rsid w:val="000D3280"/>
    <w:rsid w:val="000D3855"/>
    <w:rsid w:val="000D603A"/>
    <w:rsid w:val="000D6205"/>
    <w:rsid w:val="000D7B02"/>
    <w:rsid w:val="000E1F66"/>
    <w:rsid w:val="000E3741"/>
    <w:rsid w:val="000E4037"/>
    <w:rsid w:val="000E4D3C"/>
    <w:rsid w:val="000E68FE"/>
    <w:rsid w:val="000F0BE5"/>
    <w:rsid w:val="000F449E"/>
    <w:rsid w:val="0010555B"/>
    <w:rsid w:val="00105574"/>
    <w:rsid w:val="00106638"/>
    <w:rsid w:val="0010738D"/>
    <w:rsid w:val="00111486"/>
    <w:rsid w:val="00111E4B"/>
    <w:rsid w:val="001145BD"/>
    <w:rsid w:val="00114EBF"/>
    <w:rsid w:val="00115DBF"/>
    <w:rsid w:val="00121992"/>
    <w:rsid w:val="0012457F"/>
    <w:rsid w:val="00124C67"/>
    <w:rsid w:val="00124DDA"/>
    <w:rsid w:val="001305BC"/>
    <w:rsid w:val="001332F7"/>
    <w:rsid w:val="00134052"/>
    <w:rsid w:val="00134909"/>
    <w:rsid w:val="00135108"/>
    <w:rsid w:val="00143949"/>
    <w:rsid w:val="00147C25"/>
    <w:rsid w:val="00150E89"/>
    <w:rsid w:val="0015148B"/>
    <w:rsid w:val="001541FE"/>
    <w:rsid w:val="00154FB3"/>
    <w:rsid w:val="00154FF1"/>
    <w:rsid w:val="001571B5"/>
    <w:rsid w:val="001572B3"/>
    <w:rsid w:val="00161260"/>
    <w:rsid w:val="001619B0"/>
    <w:rsid w:val="00163E36"/>
    <w:rsid w:val="0016777F"/>
    <w:rsid w:val="001706D0"/>
    <w:rsid w:val="00172C98"/>
    <w:rsid w:val="00175B40"/>
    <w:rsid w:val="00177AB7"/>
    <w:rsid w:val="00182719"/>
    <w:rsid w:val="001832EC"/>
    <w:rsid w:val="001852BA"/>
    <w:rsid w:val="00191692"/>
    <w:rsid w:val="00191DB1"/>
    <w:rsid w:val="00192E13"/>
    <w:rsid w:val="00196508"/>
    <w:rsid w:val="00196A55"/>
    <w:rsid w:val="00197FDD"/>
    <w:rsid w:val="001A2AD6"/>
    <w:rsid w:val="001A3067"/>
    <w:rsid w:val="001A61D5"/>
    <w:rsid w:val="001A6781"/>
    <w:rsid w:val="001A7B03"/>
    <w:rsid w:val="001B3443"/>
    <w:rsid w:val="001B6BD4"/>
    <w:rsid w:val="001C1675"/>
    <w:rsid w:val="001C6F6B"/>
    <w:rsid w:val="001C7731"/>
    <w:rsid w:val="001C7C27"/>
    <w:rsid w:val="001D0F98"/>
    <w:rsid w:val="001D72B6"/>
    <w:rsid w:val="001E0225"/>
    <w:rsid w:val="001E0E4C"/>
    <w:rsid w:val="001E5DA2"/>
    <w:rsid w:val="001F014A"/>
    <w:rsid w:val="001F1682"/>
    <w:rsid w:val="001F1801"/>
    <w:rsid w:val="001F224D"/>
    <w:rsid w:val="001F4B33"/>
    <w:rsid w:val="001F5892"/>
    <w:rsid w:val="002003FC"/>
    <w:rsid w:val="00200E64"/>
    <w:rsid w:val="00200EFD"/>
    <w:rsid w:val="002015C5"/>
    <w:rsid w:val="00203A0B"/>
    <w:rsid w:val="00206466"/>
    <w:rsid w:val="002106A4"/>
    <w:rsid w:val="00211F1C"/>
    <w:rsid w:val="00212820"/>
    <w:rsid w:val="002151AE"/>
    <w:rsid w:val="00215D9F"/>
    <w:rsid w:val="00220CC5"/>
    <w:rsid w:val="00220F2C"/>
    <w:rsid w:val="00222136"/>
    <w:rsid w:val="0022292B"/>
    <w:rsid w:val="00230F93"/>
    <w:rsid w:val="00233068"/>
    <w:rsid w:val="00237133"/>
    <w:rsid w:val="002374E7"/>
    <w:rsid w:val="00243014"/>
    <w:rsid w:val="0024517B"/>
    <w:rsid w:val="00247158"/>
    <w:rsid w:val="00250F8B"/>
    <w:rsid w:val="002512AA"/>
    <w:rsid w:val="00251734"/>
    <w:rsid w:val="00253864"/>
    <w:rsid w:val="002540CD"/>
    <w:rsid w:val="00255A31"/>
    <w:rsid w:val="002575D5"/>
    <w:rsid w:val="00260C12"/>
    <w:rsid w:val="00264FEB"/>
    <w:rsid w:val="002659B3"/>
    <w:rsid w:val="00266447"/>
    <w:rsid w:val="002704D4"/>
    <w:rsid w:val="0027071D"/>
    <w:rsid w:val="00271F45"/>
    <w:rsid w:val="002728E6"/>
    <w:rsid w:val="00274153"/>
    <w:rsid w:val="00276F16"/>
    <w:rsid w:val="00282E8B"/>
    <w:rsid w:val="00284459"/>
    <w:rsid w:val="002867C8"/>
    <w:rsid w:val="0029093B"/>
    <w:rsid w:val="00290F15"/>
    <w:rsid w:val="002947A2"/>
    <w:rsid w:val="002947F8"/>
    <w:rsid w:val="002A08B5"/>
    <w:rsid w:val="002A3B91"/>
    <w:rsid w:val="002A5C0A"/>
    <w:rsid w:val="002A5D8F"/>
    <w:rsid w:val="002A7213"/>
    <w:rsid w:val="002B2967"/>
    <w:rsid w:val="002B3498"/>
    <w:rsid w:val="002B4F09"/>
    <w:rsid w:val="002B67AC"/>
    <w:rsid w:val="002C0190"/>
    <w:rsid w:val="002C03DA"/>
    <w:rsid w:val="002C12D9"/>
    <w:rsid w:val="002C1B37"/>
    <w:rsid w:val="002C583C"/>
    <w:rsid w:val="002D207A"/>
    <w:rsid w:val="002D4669"/>
    <w:rsid w:val="002D4E92"/>
    <w:rsid w:val="002D58C5"/>
    <w:rsid w:val="002D5CE0"/>
    <w:rsid w:val="002D6811"/>
    <w:rsid w:val="002E240F"/>
    <w:rsid w:val="002E48E6"/>
    <w:rsid w:val="002E4B5B"/>
    <w:rsid w:val="002E5D27"/>
    <w:rsid w:val="002F16E6"/>
    <w:rsid w:val="002F1898"/>
    <w:rsid w:val="002F1CA3"/>
    <w:rsid w:val="002F2E1F"/>
    <w:rsid w:val="002F3AA0"/>
    <w:rsid w:val="002F595D"/>
    <w:rsid w:val="002F69FC"/>
    <w:rsid w:val="002F7D65"/>
    <w:rsid w:val="003014D7"/>
    <w:rsid w:val="003067C0"/>
    <w:rsid w:val="00322D90"/>
    <w:rsid w:val="0032348B"/>
    <w:rsid w:val="00323E9A"/>
    <w:rsid w:val="00325E8B"/>
    <w:rsid w:val="0032634C"/>
    <w:rsid w:val="0032772C"/>
    <w:rsid w:val="00334E11"/>
    <w:rsid w:val="003367AC"/>
    <w:rsid w:val="0034501A"/>
    <w:rsid w:val="00345D3A"/>
    <w:rsid w:val="00351449"/>
    <w:rsid w:val="00352610"/>
    <w:rsid w:val="00363211"/>
    <w:rsid w:val="00364499"/>
    <w:rsid w:val="0036455C"/>
    <w:rsid w:val="00366A35"/>
    <w:rsid w:val="003677F9"/>
    <w:rsid w:val="00371171"/>
    <w:rsid w:val="00372790"/>
    <w:rsid w:val="00373DFB"/>
    <w:rsid w:val="0038051A"/>
    <w:rsid w:val="00384837"/>
    <w:rsid w:val="00384D64"/>
    <w:rsid w:val="00385870"/>
    <w:rsid w:val="0038667C"/>
    <w:rsid w:val="003867C5"/>
    <w:rsid w:val="00387110"/>
    <w:rsid w:val="00387C63"/>
    <w:rsid w:val="00393D05"/>
    <w:rsid w:val="00394441"/>
    <w:rsid w:val="0039503D"/>
    <w:rsid w:val="00396D21"/>
    <w:rsid w:val="003A07A3"/>
    <w:rsid w:val="003A1194"/>
    <w:rsid w:val="003A34B6"/>
    <w:rsid w:val="003A3539"/>
    <w:rsid w:val="003A48D8"/>
    <w:rsid w:val="003A4CD2"/>
    <w:rsid w:val="003A57CE"/>
    <w:rsid w:val="003A796A"/>
    <w:rsid w:val="003B12BD"/>
    <w:rsid w:val="003B7033"/>
    <w:rsid w:val="003C00E7"/>
    <w:rsid w:val="003C0513"/>
    <w:rsid w:val="003C12CE"/>
    <w:rsid w:val="003C2011"/>
    <w:rsid w:val="003C4359"/>
    <w:rsid w:val="003D2040"/>
    <w:rsid w:val="003D3AE9"/>
    <w:rsid w:val="003D5489"/>
    <w:rsid w:val="003D5B23"/>
    <w:rsid w:val="003D6BE3"/>
    <w:rsid w:val="003E1AB1"/>
    <w:rsid w:val="003E2A77"/>
    <w:rsid w:val="003E2C10"/>
    <w:rsid w:val="003E4530"/>
    <w:rsid w:val="003E4EFE"/>
    <w:rsid w:val="003F10B7"/>
    <w:rsid w:val="003F16A6"/>
    <w:rsid w:val="003F2567"/>
    <w:rsid w:val="004007CB"/>
    <w:rsid w:val="004018D5"/>
    <w:rsid w:val="00402412"/>
    <w:rsid w:val="0040382E"/>
    <w:rsid w:val="00406D0B"/>
    <w:rsid w:val="004073F3"/>
    <w:rsid w:val="004124C0"/>
    <w:rsid w:val="00416571"/>
    <w:rsid w:val="004170BE"/>
    <w:rsid w:val="004178E7"/>
    <w:rsid w:val="004218B5"/>
    <w:rsid w:val="004223C9"/>
    <w:rsid w:val="00423C05"/>
    <w:rsid w:val="00424DDF"/>
    <w:rsid w:val="00425F14"/>
    <w:rsid w:val="0042675F"/>
    <w:rsid w:val="00426D46"/>
    <w:rsid w:val="00427E06"/>
    <w:rsid w:val="00427FAB"/>
    <w:rsid w:val="00432522"/>
    <w:rsid w:val="00434436"/>
    <w:rsid w:val="00441CC6"/>
    <w:rsid w:val="004430FA"/>
    <w:rsid w:val="004467DE"/>
    <w:rsid w:val="00447BEE"/>
    <w:rsid w:val="004522F8"/>
    <w:rsid w:val="0046100C"/>
    <w:rsid w:val="00464A30"/>
    <w:rsid w:val="00464E00"/>
    <w:rsid w:val="00466AC5"/>
    <w:rsid w:val="00470741"/>
    <w:rsid w:val="00471989"/>
    <w:rsid w:val="0047518C"/>
    <w:rsid w:val="004800E5"/>
    <w:rsid w:val="004869D3"/>
    <w:rsid w:val="00492D03"/>
    <w:rsid w:val="0049534E"/>
    <w:rsid w:val="004974F7"/>
    <w:rsid w:val="004A06B2"/>
    <w:rsid w:val="004A296D"/>
    <w:rsid w:val="004A3C86"/>
    <w:rsid w:val="004B0E59"/>
    <w:rsid w:val="004B385E"/>
    <w:rsid w:val="004B3B62"/>
    <w:rsid w:val="004B67CB"/>
    <w:rsid w:val="004C1563"/>
    <w:rsid w:val="004C3038"/>
    <w:rsid w:val="004C343E"/>
    <w:rsid w:val="004C657D"/>
    <w:rsid w:val="004C7622"/>
    <w:rsid w:val="004D2A3E"/>
    <w:rsid w:val="004D52D1"/>
    <w:rsid w:val="004D6227"/>
    <w:rsid w:val="004E34A5"/>
    <w:rsid w:val="004E3C6F"/>
    <w:rsid w:val="004E7034"/>
    <w:rsid w:val="004E73F5"/>
    <w:rsid w:val="004F06B2"/>
    <w:rsid w:val="004F2DF4"/>
    <w:rsid w:val="004F46FB"/>
    <w:rsid w:val="004F4D0C"/>
    <w:rsid w:val="004F50C5"/>
    <w:rsid w:val="004F517C"/>
    <w:rsid w:val="004F5254"/>
    <w:rsid w:val="004F5778"/>
    <w:rsid w:val="004F7087"/>
    <w:rsid w:val="005017B0"/>
    <w:rsid w:val="00503898"/>
    <w:rsid w:val="00503C9B"/>
    <w:rsid w:val="00506E7C"/>
    <w:rsid w:val="005119D5"/>
    <w:rsid w:val="00511CE8"/>
    <w:rsid w:val="00512AE0"/>
    <w:rsid w:val="00517783"/>
    <w:rsid w:val="005228EE"/>
    <w:rsid w:val="005237FF"/>
    <w:rsid w:val="00527E12"/>
    <w:rsid w:val="005301A2"/>
    <w:rsid w:val="005322C8"/>
    <w:rsid w:val="00535BAD"/>
    <w:rsid w:val="00536D00"/>
    <w:rsid w:val="00542145"/>
    <w:rsid w:val="00546064"/>
    <w:rsid w:val="005470F5"/>
    <w:rsid w:val="00547626"/>
    <w:rsid w:val="00553A33"/>
    <w:rsid w:val="005600C6"/>
    <w:rsid w:val="00563A3F"/>
    <w:rsid w:val="00567585"/>
    <w:rsid w:val="0057289A"/>
    <w:rsid w:val="0057382E"/>
    <w:rsid w:val="00576C07"/>
    <w:rsid w:val="005822AF"/>
    <w:rsid w:val="005867C3"/>
    <w:rsid w:val="00587EAB"/>
    <w:rsid w:val="00591E63"/>
    <w:rsid w:val="00592B39"/>
    <w:rsid w:val="005A0351"/>
    <w:rsid w:val="005A06C1"/>
    <w:rsid w:val="005A14A6"/>
    <w:rsid w:val="005A1996"/>
    <w:rsid w:val="005A1C73"/>
    <w:rsid w:val="005A2FF5"/>
    <w:rsid w:val="005A4519"/>
    <w:rsid w:val="005A778D"/>
    <w:rsid w:val="005B1ACC"/>
    <w:rsid w:val="005B34FA"/>
    <w:rsid w:val="005B514C"/>
    <w:rsid w:val="005B55CB"/>
    <w:rsid w:val="005B7695"/>
    <w:rsid w:val="005C0BC2"/>
    <w:rsid w:val="005C1C85"/>
    <w:rsid w:val="005C1C9D"/>
    <w:rsid w:val="005C476F"/>
    <w:rsid w:val="005C6850"/>
    <w:rsid w:val="005C757D"/>
    <w:rsid w:val="005C778D"/>
    <w:rsid w:val="005D51DE"/>
    <w:rsid w:val="005D58F6"/>
    <w:rsid w:val="005E0EEC"/>
    <w:rsid w:val="005E254E"/>
    <w:rsid w:val="005E3521"/>
    <w:rsid w:val="005E5A50"/>
    <w:rsid w:val="005E6228"/>
    <w:rsid w:val="005E6C4D"/>
    <w:rsid w:val="005F2916"/>
    <w:rsid w:val="005F440C"/>
    <w:rsid w:val="005F5C51"/>
    <w:rsid w:val="005F66B3"/>
    <w:rsid w:val="00604C17"/>
    <w:rsid w:val="00610541"/>
    <w:rsid w:val="00611F07"/>
    <w:rsid w:val="00612AFE"/>
    <w:rsid w:val="00616080"/>
    <w:rsid w:val="00616EE4"/>
    <w:rsid w:val="0061719B"/>
    <w:rsid w:val="00624176"/>
    <w:rsid w:val="00625E4C"/>
    <w:rsid w:val="006303F1"/>
    <w:rsid w:val="00630A64"/>
    <w:rsid w:val="0063123B"/>
    <w:rsid w:val="0063271B"/>
    <w:rsid w:val="0063378D"/>
    <w:rsid w:val="00633F21"/>
    <w:rsid w:val="00635F29"/>
    <w:rsid w:val="0063683F"/>
    <w:rsid w:val="00650102"/>
    <w:rsid w:val="00650D7E"/>
    <w:rsid w:val="0065116B"/>
    <w:rsid w:val="00651F2B"/>
    <w:rsid w:val="006531B2"/>
    <w:rsid w:val="0065512C"/>
    <w:rsid w:val="00662308"/>
    <w:rsid w:val="00662A4D"/>
    <w:rsid w:val="00666110"/>
    <w:rsid w:val="00667A12"/>
    <w:rsid w:val="0067131F"/>
    <w:rsid w:val="00672C50"/>
    <w:rsid w:val="006810A8"/>
    <w:rsid w:val="00681DAB"/>
    <w:rsid w:val="0068389E"/>
    <w:rsid w:val="00684F84"/>
    <w:rsid w:val="006866A4"/>
    <w:rsid w:val="00687591"/>
    <w:rsid w:val="00687BBD"/>
    <w:rsid w:val="00690C5B"/>
    <w:rsid w:val="006915B7"/>
    <w:rsid w:val="00692E88"/>
    <w:rsid w:val="00693D92"/>
    <w:rsid w:val="0069515E"/>
    <w:rsid w:val="006A019F"/>
    <w:rsid w:val="006A44D2"/>
    <w:rsid w:val="006A5A23"/>
    <w:rsid w:val="006B2932"/>
    <w:rsid w:val="006B6D87"/>
    <w:rsid w:val="006B76AE"/>
    <w:rsid w:val="006C1822"/>
    <w:rsid w:val="006C2414"/>
    <w:rsid w:val="006C2809"/>
    <w:rsid w:val="006C3130"/>
    <w:rsid w:val="006C5C96"/>
    <w:rsid w:val="006D0B00"/>
    <w:rsid w:val="006D1F11"/>
    <w:rsid w:val="006D5A5E"/>
    <w:rsid w:val="006E0C34"/>
    <w:rsid w:val="006E1959"/>
    <w:rsid w:val="006E274E"/>
    <w:rsid w:val="006E35FA"/>
    <w:rsid w:val="006E618E"/>
    <w:rsid w:val="006E6DF7"/>
    <w:rsid w:val="006E7D9D"/>
    <w:rsid w:val="006F0655"/>
    <w:rsid w:val="006F24CA"/>
    <w:rsid w:val="006F26E7"/>
    <w:rsid w:val="006F339D"/>
    <w:rsid w:val="006F3AA0"/>
    <w:rsid w:val="006F3F0D"/>
    <w:rsid w:val="006F7130"/>
    <w:rsid w:val="00701292"/>
    <w:rsid w:val="00703627"/>
    <w:rsid w:val="00704046"/>
    <w:rsid w:val="00711395"/>
    <w:rsid w:val="00711F1F"/>
    <w:rsid w:val="00713387"/>
    <w:rsid w:val="007136F5"/>
    <w:rsid w:val="0071416E"/>
    <w:rsid w:val="00715211"/>
    <w:rsid w:val="00716A44"/>
    <w:rsid w:val="00720BF9"/>
    <w:rsid w:val="0072412A"/>
    <w:rsid w:val="00726270"/>
    <w:rsid w:val="00726846"/>
    <w:rsid w:val="00726DE7"/>
    <w:rsid w:val="007301AB"/>
    <w:rsid w:val="00731255"/>
    <w:rsid w:val="007336BC"/>
    <w:rsid w:val="007436B7"/>
    <w:rsid w:val="00746F98"/>
    <w:rsid w:val="007515E6"/>
    <w:rsid w:val="00752262"/>
    <w:rsid w:val="0075451D"/>
    <w:rsid w:val="0076205B"/>
    <w:rsid w:val="007628CC"/>
    <w:rsid w:val="00762B6A"/>
    <w:rsid w:val="007639A4"/>
    <w:rsid w:val="00767671"/>
    <w:rsid w:val="00770933"/>
    <w:rsid w:val="0077493D"/>
    <w:rsid w:val="00774E11"/>
    <w:rsid w:val="0077685D"/>
    <w:rsid w:val="00777757"/>
    <w:rsid w:val="00780368"/>
    <w:rsid w:val="00780554"/>
    <w:rsid w:val="00781269"/>
    <w:rsid w:val="007825BA"/>
    <w:rsid w:val="0078357F"/>
    <w:rsid w:val="00784B1B"/>
    <w:rsid w:val="00785342"/>
    <w:rsid w:val="00792EED"/>
    <w:rsid w:val="00795478"/>
    <w:rsid w:val="00795B4E"/>
    <w:rsid w:val="00797C13"/>
    <w:rsid w:val="007B1A82"/>
    <w:rsid w:val="007B5FCC"/>
    <w:rsid w:val="007C0869"/>
    <w:rsid w:val="007C60E7"/>
    <w:rsid w:val="007C65DB"/>
    <w:rsid w:val="007C6A1A"/>
    <w:rsid w:val="007D1521"/>
    <w:rsid w:val="007D170B"/>
    <w:rsid w:val="007D3843"/>
    <w:rsid w:val="007D3BD1"/>
    <w:rsid w:val="007D47D0"/>
    <w:rsid w:val="007D6A3B"/>
    <w:rsid w:val="007D74A4"/>
    <w:rsid w:val="007E2F3F"/>
    <w:rsid w:val="007E46E0"/>
    <w:rsid w:val="007E7259"/>
    <w:rsid w:val="007F0FC4"/>
    <w:rsid w:val="007F321B"/>
    <w:rsid w:val="007F60F0"/>
    <w:rsid w:val="00804D2D"/>
    <w:rsid w:val="00804F30"/>
    <w:rsid w:val="00805228"/>
    <w:rsid w:val="008056FA"/>
    <w:rsid w:val="00806A7F"/>
    <w:rsid w:val="00811ACD"/>
    <w:rsid w:val="00814295"/>
    <w:rsid w:val="008171CA"/>
    <w:rsid w:val="00822F5F"/>
    <w:rsid w:val="00825D92"/>
    <w:rsid w:val="00826ED9"/>
    <w:rsid w:val="00832789"/>
    <w:rsid w:val="008329EA"/>
    <w:rsid w:val="00832D93"/>
    <w:rsid w:val="008332D4"/>
    <w:rsid w:val="008407A8"/>
    <w:rsid w:val="0084082A"/>
    <w:rsid w:val="008439FB"/>
    <w:rsid w:val="00846226"/>
    <w:rsid w:val="0084699D"/>
    <w:rsid w:val="00850FDB"/>
    <w:rsid w:val="00852C44"/>
    <w:rsid w:val="00854901"/>
    <w:rsid w:val="00854DAA"/>
    <w:rsid w:val="00856319"/>
    <w:rsid w:val="00857F3E"/>
    <w:rsid w:val="00860C5D"/>
    <w:rsid w:val="00862E09"/>
    <w:rsid w:val="00863975"/>
    <w:rsid w:val="0086577C"/>
    <w:rsid w:val="00867FAA"/>
    <w:rsid w:val="00870378"/>
    <w:rsid w:val="00876A14"/>
    <w:rsid w:val="0088298B"/>
    <w:rsid w:val="008829CD"/>
    <w:rsid w:val="00885275"/>
    <w:rsid w:val="0088629C"/>
    <w:rsid w:val="00891D32"/>
    <w:rsid w:val="00892B7B"/>
    <w:rsid w:val="00895638"/>
    <w:rsid w:val="00895C17"/>
    <w:rsid w:val="008A5D76"/>
    <w:rsid w:val="008B1E0D"/>
    <w:rsid w:val="008B3B91"/>
    <w:rsid w:val="008B53BD"/>
    <w:rsid w:val="008B5D0C"/>
    <w:rsid w:val="008B6B0D"/>
    <w:rsid w:val="008B738C"/>
    <w:rsid w:val="008B7B4E"/>
    <w:rsid w:val="008C23D6"/>
    <w:rsid w:val="008C34DF"/>
    <w:rsid w:val="008C654E"/>
    <w:rsid w:val="008C7261"/>
    <w:rsid w:val="008D1ED7"/>
    <w:rsid w:val="008D39D0"/>
    <w:rsid w:val="008E33E8"/>
    <w:rsid w:val="008E5308"/>
    <w:rsid w:val="008E5691"/>
    <w:rsid w:val="008F1F16"/>
    <w:rsid w:val="008F6C0D"/>
    <w:rsid w:val="009013E5"/>
    <w:rsid w:val="00901FF0"/>
    <w:rsid w:val="00913C91"/>
    <w:rsid w:val="00917B8F"/>
    <w:rsid w:val="009201D8"/>
    <w:rsid w:val="00920382"/>
    <w:rsid w:val="00922336"/>
    <w:rsid w:val="00922BD8"/>
    <w:rsid w:val="00926487"/>
    <w:rsid w:val="009318FF"/>
    <w:rsid w:val="009336FA"/>
    <w:rsid w:val="009373F7"/>
    <w:rsid w:val="0093748A"/>
    <w:rsid w:val="00937907"/>
    <w:rsid w:val="00937F19"/>
    <w:rsid w:val="00940016"/>
    <w:rsid w:val="00941771"/>
    <w:rsid w:val="009420BB"/>
    <w:rsid w:val="009423F3"/>
    <w:rsid w:val="00943C56"/>
    <w:rsid w:val="009531F8"/>
    <w:rsid w:val="00956201"/>
    <w:rsid w:val="00960A9D"/>
    <w:rsid w:val="00962207"/>
    <w:rsid w:val="0096398B"/>
    <w:rsid w:val="00963BDB"/>
    <w:rsid w:val="00971547"/>
    <w:rsid w:val="00975357"/>
    <w:rsid w:val="009770BE"/>
    <w:rsid w:val="009841A3"/>
    <w:rsid w:val="00984449"/>
    <w:rsid w:val="00985730"/>
    <w:rsid w:val="00985897"/>
    <w:rsid w:val="0099347D"/>
    <w:rsid w:val="00997315"/>
    <w:rsid w:val="009A0794"/>
    <w:rsid w:val="009A0FE5"/>
    <w:rsid w:val="009A2867"/>
    <w:rsid w:val="009A364E"/>
    <w:rsid w:val="009A4B0C"/>
    <w:rsid w:val="009A7D1D"/>
    <w:rsid w:val="009B299B"/>
    <w:rsid w:val="009B31EE"/>
    <w:rsid w:val="009B5673"/>
    <w:rsid w:val="009B7512"/>
    <w:rsid w:val="009B7F9B"/>
    <w:rsid w:val="009C05C8"/>
    <w:rsid w:val="009C0B5B"/>
    <w:rsid w:val="009C0E8A"/>
    <w:rsid w:val="009C3FB4"/>
    <w:rsid w:val="009C4698"/>
    <w:rsid w:val="009C5AAD"/>
    <w:rsid w:val="009C619B"/>
    <w:rsid w:val="009D07BF"/>
    <w:rsid w:val="009D1B51"/>
    <w:rsid w:val="009D6A8E"/>
    <w:rsid w:val="009E000C"/>
    <w:rsid w:val="009E1655"/>
    <w:rsid w:val="009E32E9"/>
    <w:rsid w:val="009E3938"/>
    <w:rsid w:val="009E4A1F"/>
    <w:rsid w:val="009E52DD"/>
    <w:rsid w:val="009E5F95"/>
    <w:rsid w:val="009E70D1"/>
    <w:rsid w:val="009F11B1"/>
    <w:rsid w:val="009F39DC"/>
    <w:rsid w:val="009F443E"/>
    <w:rsid w:val="00A00CBC"/>
    <w:rsid w:val="00A02CF5"/>
    <w:rsid w:val="00A0506A"/>
    <w:rsid w:val="00A060CA"/>
    <w:rsid w:val="00A062BE"/>
    <w:rsid w:val="00A12665"/>
    <w:rsid w:val="00A13273"/>
    <w:rsid w:val="00A1406C"/>
    <w:rsid w:val="00A1418E"/>
    <w:rsid w:val="00A1708D"/>
    <w:rsid w:val="00A221FF"/>
    <w:rsid w:val="00A22AF2"/>
    <w:rsid w:val="00A2531C"/>
    <w:rsid w:val="00A25533"/>
    <w:rsid w:val="00A275E0"/>
    <w:rsid w:val="00A27EF9"/>
    <w:rsid w:val="00A36228"/>
    <w:rsid w:val="00A37E67"/>
    <w:rsid w:val="00A431C7"/>
    <w:rsid w:val="00A46D32"/>
    <w:rsid w:val="00A52AB4"/>
    <w:rsid w:val="00A60DE8"/>
    <w:rsid w:val="00A61022"/>
    <w:rsid w:val="00A6269B"/>
    <w:rsid w:val="00A62A87"/>
    <w:rsid w:val="00A661AA"/>
    <w:rsid w:val="00A71D9A"/>
    <w:rsid w:val="00A73B23"/>
    <w:rsid w:val="00A82192"/>
    <w:rsid w:val="00A8560D"/>
    <w:rsid w:val="00A921DF"/>
    <w:rsid w:val="00A92D8B"/>
    <w:rsid w:val="00A9362C"/>
    <w:rsid w:val="00A93EA3"/>
    <w:rsid w:val="00A9510A"/>
    <w:rsid w:val="00AA5ABE"/>
    <w:rsid w:val="00AB1EDD"/>
    <w:rsid w:val="00AB26D3"/>
    <w:rsid w:val="00AB4306"/>
    <w:rsid w:val="00AB7B75"/>
    <w:rsid w:val="00AB7F3C"/>
    <w:rsid w:val="00AC0352"/>
    <w:rsid w:val="00AC6FA0"/>
    <w:rsid w:val="00AC7A25"/>
    <w:rsid w:val="00AD15AC"/>
    <w:rsid w:val="00AD281B"/>
    <w:rsid w:val="00AD466C"/>
    <w:rsid w:val="00AD58EB"/>
    <w:rsid w:val="00AD6220"/>
    <w:rsid w:val="00AE163A"/>
    <w:rsid w:val="00AE2A1E"/>
    <w:rsid w:val="00AE4E68"/>
    <w:rsid w:val="00AE516F"/>
    <w:rsid w:val="00AE532A"/>
    <w:rsid w:val="00AE5EA3"/>
    <w:rsid w:val="00AE62CB"/>
    <w:rsid w:val="00AF03C3"/>
    <w:rsid w:val="00AF2265"/>
    <w:rsid w:val="00AF22AB"/>
    <w:rsid w:val="00AF708C"/>
    <w:rsid w:val="00AF75DF"/>
    <w:rsid w:val="00B00260"/>
    <w:rsid w:val="00B01B50"/>
    <w:rsid w:val="00B022E9"/>
    <w:rsid w:val="00B06913"/>
    <w:rsid w:val="00B1124E"/>
    <w:rsid w:val="00B1135A"/>
    <w:rsid w:val="00B14DE2"/>
    <w:rsid w:val="00B14FC2"/>
    <w:rsid w:val="00B157CA"/>
    <w:rsid w:val="00B17563"/>
    <w:rsid w:val="00B21420"/>
    <w:rsid w:val="00B2501E"/>
    <w:rsid w:val="00B277A7"/>
    <w:rsid w:val="00B30CD7"/>
    <w:rsid w:val="00B37327"/>
    <w:rsid w:val="00B40771"/>
    <w:rsid w:val="00B41829"/>
    <w:rsid w:val="00B43372"/>
    <w:rsid w:val="00B46BE9"/>
    <w:rsid w:val="00B50B53"/>
    <w:rsid w:val="00B50F64"/>
    <w:rsid w:val="00B51334"/>
    <w:rsid w:val="00B5165B"/>
    <w:rsid w:val="00B5493E"/>
    <w:rsid w:val="00B5594A"/>
    <w:rsid w:val="00B55BC2"/>
    <w:rsid w:val="00B55F4F"/>
    <w:rsid w:val="00B576AC"/>
    <w:rsid w:val="00B57780"/>
    <w:rsid w:val="00B603AE"/>
    <w:rsid w:val="00B61179"/>
    <w:rsid w:val="00B678E0"/>
    <w:rsid w:val="00B73253"/>
    <w:rsid w:val="00B7482E"/>
    <w:rsid w:val="00B760B4"/>
    <w:rsid w:val="00B76A88"/>
    <w:rsid w:val="00B81CD6"/>
    <w:rsid w:val="00B81D34"/>
    <w:rsid w:val="00B920BC"/>
    <w:rsid w:val="00B92110"/>
    <w:rsid w:val="00B942FF"/>
    <w:rsid w:val="00B94877"/>
    <w:rsid w:val="00B95D1E"/>
    <w:rsid w:val="00B96593"/>
    <w:rsid w:val="00B97B21"/>
    <w:rsid w:val="00BA167F"/>
    <w:rsid w:val="00BA5B46"/>
    <w:rsid w:val="00BA680F"/>
    <w:rsid w:val="00BA720E"/>
    <w:rsid w:val="00BA79E1"/>
    <w:rsid w:val="00BB0B34"/>
    <w:rsid w:val="00BB2990"/>
    <w:rsid w:val="00BB3CC1"/>
    <w:rsid w:val="00BB6B8B"/>
    <w:rsid w:val="00BB6CD0"/>
    <w:rsid w:val="00BC101B"/>
    <w:rsid w:val="00BC1A78"/>
    <w:rsid w:val="00BC28E0"/>
    <w:rsid w:val="00BC29E4"/>
    <w:rsid w:val="00BC3C84"/>
    <w:rsid w:val="00BC63D4"/>
    <w:rsid w:val="00BD070E"/>
    <w:rsid w:val="00BD1005"/>
    <w:rsid w:val="00BD5E6D"/>
    <w:rsid w:val="00BD6575"/>
    <w:rsid w:val="00BD7E83"/>
    <w:rsid w:val="00BE0D70"/>
    <w:rsid w:val="00BE173E"/>
    <w:rsid w:val="00BE2561"/>
    <w:rsid w:val="00BE5BB7"/>
    <w:rsid w:val="00BE67A1"/>
    <w:rsid w:val="00BE6D30"/>
    <w:rsid w:val="00BF142C"/>
    <w:rsid w:val="00BF555B"/>
    <w:rsid w:val="00C00FB6"/>
    <w:rsid w:val="00C0607D"/>
    <w:rsid w:val="00C075A4"/>
    <w:rsid w:val="00C100F4"/>
    <w:rsid w:val="00C1223C"/>
    <w:rsid w:val="00C14A30"/>
    <w:rsid w:val="00C17445"/>
    <w:rsid w:val="00C22483"/>
    <w:rsid w:val="00C22BE4"/>
    <w:rsid w:val="00C250C6"/>
    <w:rsid w:val="00C2526E"/>
    <w:rsid w:val="00C27D25"/>
    <w:rsid w:val="00C312B6"/>
    <w:rsid w:val="00C31671"/>
    <w:rsid w:val="00C31F44"/>
    <w:rsid w:val="00C320F5"/>
    <w:rsid w:val="00C37628"/>
    <w:rsid w:val="00C44B76"/>
    <w:rsid w:val="00C4537B"/>
    <w:rsid w:val="00C47958"/>
    <w:rsid w:val="00C47D43"/>
    <w:rsid w:val="00C50FAF"/>
    <w:rsid w:val="00C64DF8"/>
    <w:rsid w:val="00C66A46"/>
    <w:rsid w:val="00C66FFF"/>
    <w:rsid w:val="00C71D7C"/>
    <w:rsid w:val="00C750AF"/>
    <w:rsid w:val="00C81CC7"/>
    <w:rsid w:val="00C843D4"/>
    <w:rsid w:val="00C90F1C"/>
    <w:rsid w:val="00C94F19"/>
    <w:rsid w:val="00C95CBE"/>
    <w:rsid w:val="00C97414"/>
    <w:rsid w:val="00C974AA"/>
    <w:rsid w:val="00C977E5"/>
    <w:rsid w:val="00C97A29"/>
    <w:rsid w:val="00CA01A4"/>
    <w:rsid w:val="00CA0B1D"/>
    <w:rsid w:val="00CA1AC1"/>
    <w:rsid w:val="00CA31D8"/>
    <w:rsid w:val="00CA349B"/>
    <w:rsid w:val="00CA5CAE"/>
    <w:rsid w:val="00CA62D3"/>
    <w:rsid w:val="00CA65DE"/>
    <w:rsid w:val="00CB3E03"/>
    <w:rsid w:val="00CB6555"/>
    <w:rsid w:val="00CC02BA"/>
    <w:rsid w:val="00CC35B8"/>
    <w:rsid w:val="00CC3C34"/>
    <w:rsid w:val="00CC442B"/>
    <w:rsid w:val="00CC633C"/>
    <w:rsid w:val="00CD4646"/>
    <w:rsid w:val="00CD706C"/>
    <w:rsid w:val="00CD72ED"/>
    <w:rsid w:val="00CE326F"/>
    <w:rsid w:val="00CE516B"/>
    <w:rsid w:val="00CF26D2"/>
    <w:rsid w:val="00CF3CCA"/>
    <w:rsid w:val="00CF493C"/>
    <w:rsid w:val="00D00657"/>
    <w:rsid w:val="00D0403F"/>
    <w:rsid w:val="00D05A1E"/>
    <w:rsid w:val="00D05B66"/>
    <w:rsid w:val="00D05EED"/>
    <w:rsid w:val="00D07A61"/>
    <w:rsid w:val="00D11150"/>
    <w:rsid w:val="00D12FD4"/>
    <w:rsid w:val="00D16970"/>
    <w:rsid w:val="00D17019"/>
    <w:rsid w:val="00D17147"/>
    <w:rsid w:val="00D2179F"/>
    <w:rsid w:val="00D26C36"/>
    <w:rsid w:val="00D27F91"/>
    <w:rsid w:val="00D30637"/>
    <w:rsid w:val="00D37A9E"/>
    <w:rsid w:val="00D411BB"/>
    <w:rsid w:val="00D425C6"/>
    <w:rsid w:val="00D505EB"/>
    <w:rsid w:val="00D514EC"/>
    <w:rsid w:val="00D530E1"/>
    <w:rsid w:val="00D5605D"/>
    <w:rsid w:val="00D56CB7"/>
    <w:rsid w:val="00D57BDC"/>
    <w:rsid w:val="00D600DF"/>
    <w:rsid w:val="00D60B41"/>
    <w:rsid w:val="00D61331"/>
    <w:rsid w:val="00D61380"/>
    <w:rsid w:val="00D70469"/>
    <w:rsid w:val="00D74EE9"/>
    <w:rsid w:val="00D75E11"/>
    <w:rsid w:val="00D761F4"/>
    <w:rsid w:val="00D766D4"/>
    <w:rsid w:val="00D76F79"/>
    <w:rsid w:val="00D81551"/>
    <w:rsid w:val="00D84235"/>
    <w:rsid w:val="00D873E7"/>
    <w:rsid w:val="00D959AE"/>
    <w:rsid w:val="00D96C08"/>
    <w:rsid w:val="00DA0309"/>
    <w:rsid w:val="00DA490F"/>
    <w:rsid w:val="00DA66FF"/>
    <w:rsid w:val="00DA78C9"/>
    <w:rsid w:val="00DB2790"/>
    <w:rsid w:val="00DB5CDA"/>
    <w:rsid w:val="00DB61C0"/>
    <w:rsid w:val="00DB7745"/>
    <w:rsid w:val="00DC08E8"/>
    <w:rsid w:val="00DC0CC9"/>
    <w:rsid w:val="00DC30BD"/>
    <w:rsid w:val="00DC4D14"/>
    <w:rsid w:val="00DC72FC"/>
    <w:rsid w:val="00DC7FC6"/>
    <w:rsid w:val="00DD228E"/>
    <w:rsid w:val="00DD2D4A"/>
    <w:rsid w:val="00DD3ED5"/>
    <w:rsid w:val="00DD519E"/>
    <w:rsid w:val="00DD528A"/>
    <w:rsid w:val="00DD795E"/>
    <w:rsid w:val="00DE10F4"/>
    <w:rsid w:val="00DE2B61"/>
    <w:rsid w:val="00DE363D"/>
    <w:rsid w:val="00DE588A"/>
    <w:rsid w:val="00DE5B81"/>
    <w:rsid w:val="00DE7D8C"/>
    <w:rsid w:val="00DF56F5"/>
    <w:rsid w:val="00DF7460"/>
    <w:rsid w:val="00E00F43"/>
    <w:rsid w:val="00E02FD1"/>
    <w:rsid w:val="00E06A99"/>
    <w:rsid w:val="00E10AE9"/>
    <w:rsid w:val="00E11015"/>
    <w:rsid w:val="00E11A64"/>
    <w:rsid w:val="00E126FB"/>
    <w:rsid w:val="00E12D4E"/>
    <w:rsid w:val="00E2081E"/>
    <w:rsid w:val="00E25327"/>
    <w:rsid w:val="00E30932"/>
    <w:rsid w:val="00E319D2"/>
    <w:rsid w:val="00E31CBD"/>
    <w:rsid w:val="00E31E4E"/>
    <w:rsid w:val="00E332EB"/>
    <w:rsid w:val="00E40EBD"/>
    <w:rsid w:val="00E41A4D"/>
    <w:rsid w:val="00E42C46"/>
    <w:rsid w:val="00E46FF8"/>
    <w:rsid w:val="00E47440"/>
    <w:rsid w:val="00E555B2"/>
    <w:rsid w:val="00E55BE8"/>
    <w:rsid w:val="00E57790"/>
    <w:rsid w:val="00E57D2D"/>
    <w:rsid w:val="00E605FC"/>
    <w:rsid w:val="00E61509"/>
    <w:rsid w:val="00E6216C"/>
    <w:rsid w:val="00E633E4"/>
    <w:rsid w:val="00E63FE2"/>
    <w:rsid w:val="00E642EB"/>
    <w:rsid w:val="00E66260"/>
    <w:rsid w:val="00E6670C"/>
    <w:rsid w:val="00E7171B"/>
    <w:rsid w:val="00E80454"/>
    <w:rsid w:val="00E83768"/>
    <w:rsid w:val="00E84F3A"/>
    <w:rsid w:val="00E9106F"/>
    <w:rsid w:val="00E952A9"/>
    <w:rsid w:val="00E9651D"/>
    <w:rsid w:val="00EA208D"/>
    <w:rsid w:val="00EA20FE"/>
    <w:rsid w:val="00EA24C8"/>
    <w:rsid w:val="00EA4CE3"/>
    <w:rsid w:val="00EA6665"/>
    <w:rsid w:val="00EA6825"/>
    <w:rsid w:val="00EA6A76"/>
    <w:rsid w:val="00EB0746"/>
    <w:rsid w:val="00EB0B26"/>
    <w:rsid w:val="00EB26D3"/>
    <w:rsid w:val="00EB3A1C"/>
    <w:rsid w:val="00EB4C33"/>
    <w:rsid w:val="00EC7BF4"/>
    <w:rsid w:val="00ED151D"/>
    <w:rsid w:val="00ED2A59"/>
    <w:rsid w:val="00ED2B8B"/>
    <w:rsid w:val="00ED636D"/>
    <w:rsid w:val="00ED6AF1"/>
    <w:rsid w:val="00ED6DD8"/>
    <w:rsid w:val="00ED7425"/>
    <w:rsid w:val="00ED7BC5"/>
    <w:rsid w:val="00EE0CDC"/>
    <w:rsid w:val="00EE1EDF"/>
    <w:rsid w:val="00EE241A"/>
    <w:rsid w:val="00EE52FF"/>
    <w:rsid w:val="00EE5ACA"/>
    <w:rsid w:val="00EE6F4F"/>
    <w:rsid w:val="00EF0F01"/>
    <w:rsid w:val="00EF47BD"/>
    <w:rsid w:val="00EF5B55"/>
    <w:rsid w:val="00EF66EC"/>
    <w:rsid w:val="00EF6BD0"/>
    <w:rsid w:val="00EF6C4E"/>
    <w:rsid w:val="00F01AB3"/>
    <w:rsid w:val="00F0215D"/>
    <w:rsid w:val="00F04519"/>
    <w:rsid w:val="00F06D6B"/>
    <w:rsid w:val="00F070C5"/>
    <w:rsid w:val="00F0780D"/>
    <w:rsid w:val="00F100BF"/>
    <w:rsid w:val="00F14227"/>
    <w:rsid w:val="00F2037E"/>
    <w:rsid w:val="00F25299"/>
    <w:rsid w:val="00F32766"/>
    <w:rsid w:val="00F33447"/>
    <w:rsid w:val="00F35C6B"/>
    <w:rsid w:val="00F4015A"/>
    <w:rsid w:val="00F454BA"/>
    <w:rsid w:val="00F54825"/>
    <w:rsid w:val="00F60F7F"/>
    <w:rsid w:val="00F61615"/>
    <w:rsid w:val="00F61A99"/>
    <w:rsid w:val="00F65C02"/>
    <w:rsid w:val="00F71EED"/>
    <w:rsid w:val="00F80208"/>
    <w:rsid w:val="00F80862"/>
    <w:rsid w:val="00F82650"/>
    <w:rsid w:val="00F862B6"/>
    <w:rsid w:val="00F9164C"/>
    <w:rsid w:val="00F91C7D"/>
    <w:rsid w:val="00F96196"/>
    <w:rsid w:val="00F97090"/>
    <w:rsid w:val="00FA1C8E"/>
    <w:rsid w:val="00FA6D3A"/>
    <w:rsid w:val="00FB10F9"/>
    <w:rsid w:val="00FB2D0F"/>
    <w:rsid w:val="00FB3A79"/>
    <w:rsid w:val="00FB4EE4"/>
    <w:rsid w:val="00FB5795"/>
    <w:rsid w:val="00FB7564"/>
    <w:rsid w:val="00FB76D7"/>
    <w:rsid w:val="00FC121F"/>
    <w:rsid w:val="00FC41A6"/>
    <w:rsid w:val="00FD2174"/>
    <w:rsid w:val="00FD2BAE"/>
    <w:rsid w:val="00FD5C97"/>
    <w:rsid w:val="00FE3B8B"/>
    <w:rsid w:val="00FE565E"/>
    <w:rsid w:val="00FE6647"/>
    <w:rsid w:val="00FF082D"/>
    <w:rsid w:val="00FF2C21"/>
    <w:rsid w:val="00FF334B"/>
    <w:rsid w:val="00FF5786"/>
    <w:rsid w:val="00FF76D7"/>
    <w:rsid w:val="00FF7D70"/>
    <w:rsid w:val="01344452"/>
    <w:rsid w:val="01BDFEA6"/>
    <w:rsid w:val="04FADE47"/>
    <w:rsid w:val="05906AA2"/>
    <w:rsid w:val="06710467"/>
    <w:rsid w:val="06ED4850"/>
    <w:rsid w:val="096D8CE0"/>
    <w:rsid w:val="0BA8BD57"/>
    <w:rsid w:val="0C9A84B3"/>
    <w:rsid w:val="0D5B88A8"/>
    <w:rsid w:val="0D827404"/>
    <w:rsid w:val="0D9E865E"/>
    <w:rsid w:val="0DB06813"/>
    <w:rsid w:val="0DC4B437"/>
    <w:rsid w:val="0E06A626"/>
    <w:rsid w:val="0F91FC6F"/>
    <w:rsid w:val="0FF2409C"/>
    <w:rsid w:val="12A77B64"/>
    <w:rsid w:val="12CF8947"/>
    <w:rsid w:val="147B7628"/>
    <w:rsid w:val="147FEF24"/>
    <w:rsid w:val="14E1D6B3"/>
    <w:rsid w:val="16223E41"/>
    <w:rsid w:val="16AB8FA2"/>
    <w:rsid w:val="1712BF58"/>
    <w:rsid w:val="17A5DC9B"/>
    <w:rsid w:val="17E5AA4A"/>
    <w:rsid w:val="1815E366"/>
    <w:rsid w:val="184B517A"/>
    <w:rsid w:val="187889AB"/>
    <w:rsid w:val="18EC81ED"/>
    <w:rsid w:val="191D911A"/>
    <w:rsid w:val="19E3A32A"/>
    <w:rsid w:val="1A6B6A1A"/>
    <w:rsid w:val="1D290C7A"/>
    <w:rsid w:val="1D60D642"/>
    <w:rsid w:val="1E31CDD8"/>
    <w:rsid w:val="21FE930F"/>
    <w:rsid w:val="22804F83"/>
    <w:rsid w:val="23435F27"/>
    <w:rsid w:val="23D77BB5"/>
    <w:rsid w:val="258C3931"/>
    <w:rsid w:val="26E80611"/>
    <w:rsid w:val="2A114C6C"/>
    <w:rsid w:val="2C31EB73"/>
    <w:rsid w:val="2D135B31"/>
    <w:rsid w:val="2F039E2C"/>
    <w:rsid w:val="2F05DC7F"/>
    <w:rsid w:val="302B9522"/>
    <w:rsid w:val="30443A56"/>
    <w:rsid w:val="30D9A329"/>
    <w:rsid w:val="3246DE5F"/>
    <w:rsid w:val="345FB0F4"/>
    <w:rsid w:val="34758643"/>
    <w:rsid w:val="347EC281"/>
    <w:rsid w:val="352ACBFE"/>
    <w:rsid w:val="361844AF"/>
    <w:rsid w:val="38895532"/>
    <w:rsid w:val="3A1787BA"/>
    <w:rsid w:val="3A3791B8"/>
    <w:rsid w:val="3AB27890"/>
    <w:rsid w:val="3B9A0D82"/>
    <w:rsid w:val="3CE8A6D5"/>
    <w:rsid w:val="3D5B9765"/>
    <w:rsid w:val="3F3C2E42"/>
    <w:rsid w:val="3FEA9341"/>
    <w:rsid w:val="40FF8BDF"/>
    <w:rsid w:val="41A48EEA"/>
    <w:rsid w:val="41B59352"/>
    <w:rsid w:val="4265FEDC"/>
    <w:rsid w:val="432E3BA1"/>
    <w:rsid w:val="45EFC4A5"/>
    <w:rsid w:val="4634B2BB"/>
    <w:rsid w:val="468B0FDC"/>
    <w:rsid w:val="46FCEC63"/>
    <w:rsid w:val="477B9159"/>
    <w:rsid w:val="4848631E"/>
    <w:rsid w:val="4875A506"/>
    <w:rsid w:val="4A6AD71B"/>
    <w:rsid w:val="4B10D3EC"/>
    <w:rsid w:val="4CD2CCC1"/>
    <w:rsid w:val="4E2AC760"/>
    <w:rsid w:val="4EB0CE05"/>
    <w:rsid w:val="5175F9DF"/>
    <w:rsid w:val="51A9F6BE"/>
    <w:rsid w:val="52B51F50"/>
    <w:rsid w:val="54D390B6"/>
    <w:rsid w:val="550EA1E1"/>
    <w:rsid w:val="553BC9FA"/>
    <w:rsid w:val="561993F8"/>
    <w:rsid w:val="56D6D012"/>
    <w:rsid w:val="57F64E26"/>
    <w:rsid w:val="5809ED6D"/>
    <w:rsid w:val="5A28D05B"/>
    <w:rsid w:val="5C431717"/>
    <w:rsid w:val="5C8ECEE3"/>
    <w:rsid w:val="5D32FCE6"/>
    <w:rsid w:val="5D68C34A"/>
    <w:rsid w:val="5E009200"/>
    <w:rsid w:val="606A9DA8"/>
    <w:rsid w:val="60D044D8"/>
    <w:rsid w:val="6184080F"/>
    <w:rsid w:val="62A024E1"/>
    <w:rsid w:val="63013376"/>
    <w:rsid w:val="63300C9D"/>
    <w:rsid w:val="6403F423"/>
    <w:rsid w:val="64E518BF"/>
    <w:rsid w:val="64ED4AA5"/>
    <w:rsid w:val="6551A9FE"/>
    <w:rsid w:val="65D53400"/>
    <w:rsid w:val="677F5CE4"/>
    <w:rsid w:val="69A8B7F7"/>
    <w:rsid w:val="6AD937A9"/>
    <w:rsid w:val="6AE80010"/>
    <w:rsid w:val="6AEC9139"/>
    <w:rsid w:val="6BA884BA"/>
    <w:rsid w:val="6C7EA889"/>
    <w:rsid w:val="6C9425B2"/>
    <w:rsid w:val="6E701956"/>
    <w:rsid w:val="6FB22184"/>
    <w:rsid w:val="6FC6F2C8"/>
    <w:rsid w:val="72610CCB"/>
    <w:rsid w:val="771E75AA"/>
    <w:rsid w:val="776316BD"/>
    <w:rsid w:val="78F58A07"/>
    <w:rsid w:val="79FE4EB1"/>
    <w:rsid w:val="7A33F1F4"/>
    <w:rsid w:val="7B463564"/>
    <w:rsid w:val="7BB1A1CA"/>
    <w:rsid w:val="7C15F8F5"/>
    <w:rsid w:val="7C673D77"/>
    <w:rsid w:val="7E429BE3"/>
    <w:rsid w:val="7E4F605B"/>
    <w:rsid w:val="7E54E146"/>
    <w:rsid w:val="7F84E4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BC263"/>
  <w15:docId w15:val="{385F5D74-20F1-4166-9756-D2E611D11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34B"/>
  </w:style>
  <w:style w:type="paragraph" w:styleId="Heading1">
    <w:name w:val="heading 1"/>
    <w:basedOn w:val="Normal"/>
    <w:next w:val="Normal"/>
    <w:link w:val="Heading1Char"/>
    <w:uiPriority w:val="9"/>
    <w:qFormat/>
    <w:rsid w:val="00CD464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CD464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CD464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F334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F334B"/>
    <w:rPr>
      <w:color w:val="0000FF"/>
      <w:u w:val="single"/>
    </w:rPr>
  </w:style>
  <w:style w:type="paragraph" w:styleId="CommentText">
    <w:name w:val="annotation text"/>
    <w:basedOn w:val="Normal"/>
    <w:link w:val="CommentTextChar"/>
    <w:uiPriority w:val="99"/>
    <w:rsid w:val="00FF334B"/>
    <w:pPr>
      <w:spacing w:after="0" w:line="240" w:lineRule="auto"/>
    </w:pPr>
    <w:rPr>
      <w:rFonts w:ascii="Times New Roman" w:eastAsia="Times New Roman" w:hAnsi="Times New Roman" w:cs="Times New Roman"/>
      <w:sz w:val="20"/>
      <w:szCs w:val="20"/>
      <w:lang w:val="en-GB" w:eastAsia="en-CA"/>
    </w:rPr>
  </w:style>
  <w:style w:type="character" w:customStyle="1" w:styleId="CommentTextChar">
    <w:name w:val="Comment Text Char"/>
    <w:basedOn w:val="DefaultParagraphFont"/>
    <w:link w:val="CommentText"/>
    <w:uiPriority w:val="99"/>
    <w:rsid w:val="00FF334B"/>
    <w:rPr>
      <w:rFonts w:ascii="Times New Roman" w:eastAsia="Times New Roman" w:hAnsi="Times New Roman" w:cs="Times New Roman"/>
      <w:sz w:val="20"/>
      <w:szCs w:val="20"/>
      <w:lang w:val="en-GB" w:eastAsia="en-CA"/>
    </w:rPr>
  </w:style>
  <w:style w:type="character" w:styleId="CommentReference">
    <w:name w:val="annotation reference"/>
    <w:uiPriority w:val="99"/>
    <w:semiHidden/>
    <w:unhideWhenUsed/>
    <w:rsid w:val="00FF334B"/>
    <w:rPr>
      <w:sz w:val="16"/>
      <w:szCs w:val="16"/>
    </w:rPr>
  </w:style>
  <w:style w:type="character" w:customStyle="1" w:styleId="ej-keyword">
    <w:name w:val="ej-keyword"/>
    <w:basedOn w:val="DefaultParagraphFont"/>
    <w:rsid w:val="00FF334B"/>
  </w:style>
  <w:style w:type="paragraph" w:styleId="Revision">
    <w:name w:val="Revision"/>
    <w:hidden/>
    <w:uiPriority w:val="99"/>
    <w:semiHidden/>
    <w:rsid w:val="00527E12"/>
    <w:pPr>
      <w:spacing w:after="0" w:line="240" w:lineRule="auto"/>
    </w:pPr>
  </w:style>
  <w:style w:type="character" w:customStyle="1" w:styleId="Heading1Char">
    <w:name w:val="Heading 1 Char"/>
    <w:basedOn w:val="DefaultParagraphFont"/>
    <w:link w:val="Heading1"/>
    <w:uiPriority w:val="9"/>
    <w:rsid w:val="00CD464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D464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D4646"/>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CD4646"/>
    <w:pPr>
      <w:spacing w:after="0" w:line="240" w:lineRule="auto"/>
      <w:ind w:leftChars="400" w:left="840"/>
      <w:jc w:val="both"/>
    </w:pPr>
    <w:rPr>
      <w:rFonts w:ascii="Calibri" w:hAnsi="Calibri" w:cs="Calibri"/>
      <w:sz w:val="21"/>
      <w:szCs w:val="21"/>
      <w:lang w:eastAsia="ja-JP"/>
    </w:rPr>
  </w:style>
  <w:style w:type="paragraph" w:customStyle="1" w:styleId="EndNoteBibliographyTitle">
    <w:name w:val="EndNote Bibliography Title"/>
    <w:basedOn w:val="Normal"/>
    <w:link w:val="EndNoteBibliographyTitleChar"/>
    <w:rsid w:val="00CD4646"/>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CD4646"/>
    <w:rPr>
      <w:rFonts w:ascii="Calibri" w:hAnsi="Calibri" w:cs="Calibri"/>
      <w:noProof/>
    </w:rPr>
  </w:style>
  <w:style w:type="paragraph" w:customStyle="1" w:styleId="EndNoteBibliography">
    <w:name w:val="EndNote Bibliography"/>
    <w:basedOn w:val="Normal"/>
    <w:link w:val="EndNoteBibliographyChar"/>
    <w:rsid w:val="00CD4646"/>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CD4646"/>
    <w:rPr>
      <w:rFonts w:ascii="Calibri" w:hAnsi="Calibri" w:cs="Calibri"/>
      <w:noProof/>
    </w:rPr>
  </w:style>
  <w:style w:type="paragraph" w:customStyle="1" w:styleId="Body">
    <w:name w:val="Body"/>
    <w:rsid w:val="00CD4646"/>
    <w:pPr>
      <w:pBdr>
        <w:top w:val="nil"/>
        <w:left w:val="nil"/>
        <w:bottom w:val="nil"/>
        <w:right w:val="nil"/>
        <w:between w:val="nil"/>
        <w:bar w:val="nil"/>
      </w:pBdr>
      <w:spacing w:after="200" w:line="276" w:lineRule="auto"/>
    </w:pPr>
    <w:rPr>
      <w:rFonts w:ascii="Calibri" w:eastAsia="Calibri" w:hAnsi="Calibri" w:cs="Calibri"/>
      <w:color w:val="000000"/>
      <w:u w:color="000000"/>
      <w:bdr w:val="nil"/>
    </w:rPr>
  </w:style>
  <w:style w:type="character" w:customStyle="1" w:styleId="docsum-authors">
    <w:name w:val="docsum-authors"/>
    <w:basedOn w:val="DefaultParagraphFont"/>
    <w:rsid w:val="00CD4646"/>
  </w:style>
  <w:style w:type="character" w:customStyle="1" w:styleId="docsum-journal-citation">
    <w:name w:val="docsum-journal-citation"/>
    <w:basedOn w:val="DefaultParagraphFont"/>
    <w:rsid w:val="00CD4646"/>
  </w:style>
  <w:style w:type="character" w:customStyle="1" w:styleId="citation-part">
    <w:name w:val="citation-part"/>
    <w:basedOn w:val="DefaultParagraphFont"/>
    <w:rsid w:val="00CD4646"/>
  </w:style>
  <w:style w:type="character" w:customStyle="1" w:styleId="docsum-pmid">
    <w:name w:val="docsum-pmid"/>
    <w:basedOn w:val="DefaultParagraphFont"/>
    <w:rsid w:val="00CD4646"/>
  </w:style>
  <w:style w:type="character" w:customStyle="1" w:styleId="period">
    <w:name w:val="period"/>
    <w:basedOn w:val="DefaultParagraphFont"/>
    <w:rsid w:val="00CD4646"/>
  </w:style>
  <w:style w:type="character" w:customStyle="1" w:styleId="cit">
    <w:name w:val="cit"/>
    <w:basedOn w:val="DefaultParagraphFont"/>
    <w:rsid w:val="00CD4646"/>
  </w:style>
  <w:style w:type="character" w:customStyle="1" w:styleId="citation-doi">
    <w:name w:val="citation-doi"/>
    <w:basedOn w:val="DefaultParagraphFont"/>
    <w:rsid w:val="00CD4646"/>
  </w:style>
  <w:style w:type="character" w:customStyle="1" w:styleId="secondary-date">
    <w:name w:val="secondary-date"/>
    <w:basedOn w:val="DefaultParagraphFont"/>
    <w:rsid w:val="00CD4646"/>
  </w:style>
  <w:style w:type="character" w:customStyle="1" w:styleId="authors-list-item">
    <w:name w:val="authors-list-item"/>
    <w:basedOn w:val="DefaultParagraphFont"/>
    <w:rsid w:val="00CD4646"/>
  </w:style>
  <w:style w:type="character" w:customStyle="1" w:styleId="author-sup-separator">
    <w:name w:val="author-sup-separator"/>
    <w:basedOn w:val="DefaultParagraphFont"/>
    <w:rsid w:val="00CD4646"/>
  </w:style>
  <w:style w:type="character" w:customStyle="1" w:styleId="comma">
    <w:name w:val="comma"/>
    <w:basedOn w:val="DefaultParagraphFont"/>
    <w:rsid w:val="00CD4646"/>
  </w:style>
  <w:style w:type="table" w:styleId="TableGrid">
    <w:name w:val="Table Grid"/>
    <w:basedOn w:val="TableNormal"/>
    <w:uiPriority w:val="39"/>
    <w:rsid w:val="00CD46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D46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CD4646"/>
  </w:style>
  <w:style w:type="character" w:customStyle="1" w:styleId="normaltextrun">
    <w:name w:val="normaltextrun"/>
    <w:basedOn w:val="DefaultParagraphFont"/>
    <w:rsid w:val="00CD4646"/>
  </w:style>
  <w:style w:type="character" w:customStyle="1" w:styleId="mathspan">
    <w:name w:val="mathspan"/>
    <w:basedOn w:val="DefaultParagraphFont"/>
    <w:rsid w:val="00CD4646"/>
  </w:style>
  <w:style w:type="character" w:customStyle="1" w:styleId="mi">
    <w:name w:val="mi"/>
    <w:basedOn w:val="DefaultParagraphFont"/>
    <w:rsid w:val="00CD4646"/>
  </w:style>
  <w:style w:type="character" w:customStyle="1" w:styleId="mo">
    <w:name w:val="mo"/>
    <w:basedOn w:val="DefaultParagraphFont"/>
    <w:rsid w:val="00CD4646"/>
  </w:style>
  <w:style w:type="character" w:customStyle="1" w:styleId="mjxassistivemathml">
    <w:name w:val="mjx_assistive_mathml"/>
    <w:basedOn w:val="DefaultParagraphFont"/>
    <w:rsid w:val="00CD4646"/>
  </w:style>
  <w:style w:type="paragraph" w:styleId="CommentSubject">
    <w:name w:val="annotation subject"/>
    <w:basedOn w:val="CommentText"/>
    <w:next w:val="CommentText"/>
    <w:link w:val="CommentSubjectChar"/>
    <w:uiPriority w:val="99"/>
    <w:semiHidden/>
    <w:unhideWhenUsed/>
    <w:rsid w:val="00CD4646"/>
    <w:pPr>
      <w:spacing w:after="160"/>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CD4646"/>
    <w:rPr>
      <w:rFonts w:ascii="Times New Roman" w:eastAsia="Times New Roman" w:hAnsi="Times New Roman" w:cs="Times New Roman"/>
      <w:b/>
      <w:bCs/>
      <w:sz w:val="20"/>
      <w:szCs w:val="20"/>
      <w:lang w:val="en-GB" w:eastAsia="en-CA"/>
    </w:rPr>
  </w:style>
  <w:style w:type="character" w:styleId="UnresolvedMention">
    <w:name w:val="Unresolved Mention"/>
    <w:basedOn w:val="DefaultParagraphFont"/>
    <w:uiPriority w:val="99"/>
    <w:unhideWhenUsed/>
    <w:rsid w:val="00CD4646"/>
    <w:rPr>
      <w:color w:val="605E5C"/>
      <w:shd w:val="clear" w:color="auto" w:fill="E1DFDD"/>
    </w:rPr>
  </w:style>
  <w:style w:type="character" w:styleId="Emphasis">
    <w:name w:val="Emphasis"/>
    <w:basedOn w:val="DefaultParagraphFont"/>
    <w:uiPriority w:val="20"/>
    <w:qFormat/>
    <w:rsid w:val="00CD4646"/>
    <w:rPr>
      <w:i/>
      <w:iCs/>
    </w:rPr>
  </w:style>
  <w:style w:type="character" w:styleId="Mention">
    <w:name w:val="Mention"/>
    <w:basedOn w:val="DefaultParagraphFont"/>
    <w:uiPriority w:val="99"/>
    <w:unhideWhenUsed/>
    <w:rsid w:val="00CD4646"/>
    <w:rPr>
      <w:color w:val="2B579A"/>
      <w:shd w:val="clear" w:color="auto" w:fill="E1DFDD"/>
    </w:rPr>
  </w:style>
  <w:style w:type="character" w:customStyle="1" w:styleId="cf01">
    <w:name w:val="cf01"/>
    <w:basedOn w:val="DefaultParagraphFont"/>
    <w:rsid w:val="009C05C8"/>
    <w:rPr>
      <w:rFonts w:ascii="Segoe UI" w:hAnsi="Segoe UI" w:cs="Segoe UI" w:hint="default"/>
      <w:sz w:val="18"/>
      <w:szCs w:val="18"/>
    </w:rPr>
  </w:style>
  <w:style w:type="paragraph" w:styleId="Header">
    <w:name w:val="header"/>
    <w:basedOn w:val="Normal"/>
    <w:link w:val="HeaderChar"/>
    <w:uiPriority w:val="99"/>
    <w:unhideWhenUsed/>
    <w:rsid w:val="00B611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179"/>
  </w:style>
  <w:style w:type="paragraph" w:styleId="Footer">
    <w:name w:val="footer"/>
    <w:basedOn w:val="Normal"/>
    <w:link w:val="FooterChar"/>
    <w:uiPriority w:val="99"/>
    <w:unhideWhenUsed/>
    <w:rsid w:val="00B611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179"/>
  </w:style>
  <w:style w:type="character" w:styleId="LineNumber">
    <w:name w:val="line number"/>
    <w:basedOn w:val="DefaultParagraphFont"/>
    <w:uiPriority w:val="99"/>
    <w:semiHidden/>
    <w:unhideWhenUsed/>
    <w:rsid w:val="00197FDD"/>
  </w:style>
  <w:style w:type="character" w:customStyle="1" w:styleId="cf11">
    <w:name w:val="cf11"/>
    <w:basedOn w:val="DefaultParagraphFont"/>
    <w:rsid w:val="00937F1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684200">
      <w:bodyDiv w:val="1"/>
      <w:marLeft w:val="0"/>
      <w:marRight w:val="0"/>
      <w:marTop w:val="0"/>
      <w:marBottom w:val="0"/>
      <w:divBdr>
        <w:top w:val="none" w:sz="0" w:space="0" w:color="auto"/>
        <w:left w:val="none" w:sz="0" w:space="0" w:color="auto"/>
        <w:bottom w:val="none" w:sz="0" w:space="0" w:color="auto"/>
        <w:right w:val="none" w:sz="0" w:space="0" w:color="auto"/>
      </w:divBdr>
    </w:div>
    <w:div w:id="223955010">
      <w:bodyDiv w:val="1"/>
      <w:marLeft w:val="0"/>
      <w:marRight w:val="0"/>
      <w:marTop w:val="0"/>
      <w:marBottom w:val="0"/>
      <w:divBdr>
        <w:top w:val="none" w:sz="0" w:space="0" w:color="auto"/>
        <w:left w:val="none" w:sz="0" w:space="0" w:color="auto"/>
        <w:bottom w:val="none" w:sz="0" w:space="0" w:color="auto"/>
        <w:right w:val="none" w:sz="0" w:space="0" w:color="auto"/>
      </w:divBdr>
      <w:divsChild>
        <w:div w:id="1652178622">
          <w:marLeft w:val="0"/>
          <w:marRight w:val="0"/>
          <w:marTop w:val="0"/>
          <w:marBottom w:val="0"/>
          <w:divBdr>
            <w:top w:val="none" w:sz="0" w:space="0" w:color="auto"/>
            <w:left w:val="none" w:sz="0" w:space="0" w:color="auto"/>
            <w:bottom w:val="none" w:sz="0" w:space="0" w:color="auto"/>
            <w:right w:val="none" w:sz="0" w:space="0" w:color="auto"/>
          </w:divBdr>
        </w:div>
      </w:divsChild>
    </w:div>
    <w:div w:id="365374933">
      <w:bodyDiv w:val="1"/>
      <w:marLeft w:val="0"/>
      <w:marRight w:val="0"/>
      <w:marTop w:val="0"/>
      <w:marBottom w:val="0"/>
      <w:divBdr>
        <w:top w:val="none" w:sz="0" w:space="0" w:color="auto"/>
        <w:left w:val="none" w:sz="0" w:space="0" w:color="auto"/>
        <w:bottom w:val="none" w:sz="0" w:space="0" w:color="auto"/>
        <w:right w:val="none" w:sz="0" w:space="0" w:color="auto"/>
      </w:divBdr>
    </w:div>
    <w:div w:id="1024745578">
      <w:bodyDiv w:val="1"/>
      <w:marLeft w:val="0"/>
      <w:marRight w:val="0"/>
      <w:marTop w:val="0"/>
      <w:marBottom w:val="0"/>
      <w:divBdr>
        <w:top w:val="none" w:sz="0" w:space="0" w:color="auto"/>
        <w:left w:val="none" w:sz="0" w:space="0" w:color="auto"/>
        <w:bottom w:val="none" w:sz="0" w:space="0" w:color="auto"/>
        <w:right w:val="none" w:sz="0" w:space="0" w:color="auto"/>
      </w:divBdr>
    </w:div>
    <w:div w:id="1092429379">
      <w:bodyDiv w:val="1"/>
      <w:marLeft w:val="0"/>
      <w:marRight w:val="0"/>
      <w:marTop w:val="0"/>
      <w:marBottom w:val="0"/>
      <w:divBdr>
        <w:top w:val="none" w:sz="0" w:space="0" w:color="auto"/>
        <w:left w:val="none" w:sz="0" w:space="0" w:color="auto"/>
        <w:bottom w:val="none" w:sz="0" w:space="0" w:color="auto"/>
        <w:right w:val="none" w:sz="0" w:space="0" w:color="auto"/>
      </w:divBdr>
    </w:div>
    <w:div w:id="1647971833">
      <w:bodyDiv w:val="1"/>
      <w:marLeft w:val="0"/>
      <w:marRight w:val="0"/>
      <w:marTop w:val="0"/>
      <w:marBottom w:val="0"/>
      <w:divBdr>
        <w:top w:val="none" w:sz="0" w:space="0" w:color="auto"/>
        <w:left w:val="none" w:sz="0" w:space="0" w:color="auto"/>
        <w:bottom w:val="none" w:sz="0" w:space="0" w:color="auto"/>
        <w:right w:val="none" w:sz="0" w:space="0" w:color="auto"/>
      </w:divBdr>
    </w:div>
    <w:div w:id="1704087040">
      <w:bodyDiv w:val="1"/>
      <w:marLeft w:val="0"/>
      <w:marRight w:val="0"/>
      <w:marTop w:val="0"/>
      <w:marBottom w:val="0"/>
      <w:divBdr>
        <w:top w:val="none" w:sz="0" w:space="0" w:color="auto"/>
        <w:left w:val="none" w:sz="0" w:space="0" w:color="auto"/>
        <w:bottom w:val="none" w:sz="0" w:space="0" w:color="auto"/>
        <w:right w:val="none" w:sz="0" w:space="0" w:color="auto"/>
      </w:divBdr>
      <w:divsChild>
        <w:div w:id="674461146">
          <w:marLeft w:val="0"/>
          <w:marRight w:val="0"/>
          <w:marTop w:val="0"/>
          <w:marBottom w:val="0"/>
          <w:divBdr>
            <w:top w:val="none" w:sz="0" w:space="0" w:color="auto"/>
            <w:left w:val="none" w:sz="0" w:space="0" w:color="auto"/>
            <w:bottom w:val="none" w:sz="0" w:space="0" w:color="auto"/>
            <w:right w:val="none" w:sz="0" w:space="0" w:color="auto"/>
          </w:divBdr>
        </w:div>
      </w:divsChild>
    </w:div>
    <w:div w:id="1741512404">
      <w:bodyDiv w:val="1"/>
      <w:marLeft w:val="0"/>
      <w:marRight w:val="0"/>
      <w:marTop w:val="0"/>
      <w:marBottom w:val="0"/>
      <w:divBdr>
        <w:top w:val="none" w:sz="0" w:space="0" w:color="auto"/>
        <w:left w:val="none" w:sz="0" w:space="0" w:color="auto"/>
        <w:bottom w:val="none" w:sz="0" w:space="0" w:color="auto"/>
        <w:right w:val="none" w:sz="0" w:space="0" w:color="auto"/>
      </w:divBdr>
      <w:divsChild>
        <w:div w:id="736712322">
          <w:marLeft w:val="0"/>
          <w:marRight w:val="0"/>
          <w:marTop w:val="0"/>
          <w:marBottom w:val="0"/>
          <w:divBdr>
            <w:top w:val="none" w:sz="0" w:space="0" w:color="auto"/>
            <w:left w:val="none" w:sz="0" w:space="0" w:color="auto"/>
            <w:bottom w:val="none" w:sz="0" w:space="0" w:color="auto"/>
            <w:right w:val="none" w:sz="0" w:space="0" w:color="auto"/>
          </w:divBdr>
          <w:divsChild>
            <w:div w:id="208918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21407">
      <w:bodyDiv w:val="1"/>
      <w:marLeft w:val="0"/>
      <w:marRight w:val="0"/>
      <w:marTop w:val="0"/>
      <w:marBottom w:val="0"/>
      <w:divBdr>
        <w:top w:val="none" w:sz="0" w:space="0" w:color="auto"/>
        <w:left w:val="none" w:sz="0" w:space="0" w:color="auto"/>
        <w:bottom w:val="none" w:sz="0" w:space="0" w:color="auto"/>
        <w:right w:val="none" w:sz="0" w:space="0" w:color="auto"/>
      </w:divBdr>
      <w:divsChild>
        <w:div w:id="1004355958">
          <w:marLeft w:val="0"/>
          <w:marRight w:val="0"/>
          <w:marTop w:val="0"/>
          <w:marBottom w:val="0"/>
          <w:divBdr>
            <w:top w:val="none" w:sz="0" w:space="0" w:color="auto"/>
            <w:left w:val="none" w:sz="0" w:space="0" w:color="auto"/>
            <w:bottom w:val="none" w:sz="0" w:space="0" w:color="auto"/>
            <w:right w:val="none" w:sz="0" w:space="0" w:color="auto"/>
          </w:divBdr>
        </w:div>
      </w:divsChild>
    </w:div>
    <w:div w:id="1804735749">
      <w:bodyDiv w:val="1"/>
      <w:marLeft w:val="0"/>
      <w:marRight w:val="0"/>
      <w:marTop w:val="0"/>
      <w:marBottom w:val="0"/>
      <w:divBdr>
        <w:top w:val="none" w:sz="0" w:space="0" w:color="auto"/>
        <w:left w:val="none" w:sz="0" w:space="0" w:color="auto"/>
        <w:bottom w:val="none" w:sz="0" w:space="0" w:color="auto"/>
        <w:right w:val="none" w:sz="0" w:space="0" w:color="auto"/>
      </w:divBdr>
      <w:divsChild>
        <w:div w:id="1894078029">
          <w:marLeft w:val="0"/>
          <w:marRight w:val="0"/>
          <w:marTop w:val="0"/>
          <w:marBottom w:val="0"/>
          <w:divBdr>
            <w:top w:val="none" w:sz="0" w:space="0" w:color="auto"/>
            <w:left w:val="none" w:sz="0" w:space="0" w:color="auto"/>
            <w:bottom w:val="none" w:sz="0" w:space="0" w:color="auto"/>
            <w:right w:val="none" w:sz="0" w:space="0" w:color="auto"/>
          </w:divBdr>
        </w:div>
      </w:divsChild>
    </w:div>
    <w:div w:id="1988705976">
      <w:bodyDiv w:val="1"/>
      <w:marLeft w:val="0"/>
      <w:marRight w:val="0"/>
      <w:marTop w:val="0"/>
      <w:marBottom w:val="0"/>
      <w:divBdr>
        <w:top w:val="none" w:sz="0" w:space="0" w:color="auto"/>
        <w:left w:val="none" w:sz="0" w:space="0" w:color="auto"/>
        <w:bottom w:val="none" w:sz="0" w:space="0" w:color="auto"/>
        <w:right w:val="none" w:sz="0" w:space="0" w:color="auto"/>
      </w:divBdr>
      <w:divsChild>
        <w:div w:id="457139799">
          <w:marLeft w:val="0"/>
          <w:marRight w:val="0"/>
          <w:marTop w:val="0"/>
          <w:marBottom w:val="0"/>
          <w:divBdr>
            <w:top w:val="none" w:sz="0" w:space="0" w:color="auto"/>
            <w:left w:val="none" w:sz="0" w:space="0" w:color="auto"/>
            <w:bottom w:val="none" w:sz="0" w:space="0" w:color="auto"/>
            <w:right w:val="none" w:sz="0" w:space="0" w:color="auto"/>
          </w:divBdr>
          <w:divsChild>
            <w:div w:id="234439885">
              <w:marLeft w:val="0"/>
              <w:marRight w:val="0"/>
              <w:marTop w:val="0"/>
              <w:marBottom w:val="0"/>
              <w:divBdr>
                <w:top w:val="none" w:sz="0" w:space="0" w:color="auto"/>
                <w:left w:val="none" w:sz="0" w:space="0" w:color="auto"/>
                <w:bottom w:val="none" w:sz="0" w:space="0" w:color="auto"/>
                <w:right w:val="none" w:sz="0" w:space="0" w:color="auto"/>
              </w:divBdr>
              <w:divsChild>
                <w:div w:id="245844661">
                  <w:marLeft w:val="0"/>
                  <w:marRight w:val="0"/>
                  <w:marTop w:val="0"/>
                  <w:marBottom w:val="0"/>
                  <w:divBdr>
                    <w:top w:val="none" w:sz="0" w:space="0" w:color="auto"/>
                    <w:left w:val="none" w:sz="0" w:space="0" w:color="auto"/>
                    <w:bottom w:val="none" w:sz="0" w:space="0" w:color="auto"/>
                    <w:right w:val="none" w:sz="0" w:space="0" w:color="auto"/>
                  </w:divBdr>
                  <w:divsChild>
                    <w:div w:id="131322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510316">
          <w:marLeft w:val="0"/>
          <w:marRight w:val="0"/>
          <w:marTop w:val="0"/>
          <w:marBottom w:val="0"/>
          <w:divBdr>
            <w:top w:val="none" w:sz="0" w:space="0" w:color="auto"/>
            <w:left w:val="none" w:sz="0" w:space="0" w:color="auto"/>
            <w:bottom w:val="none" w:sz="0" w:space="0" w:color="auto"/>
            <w:right w:val="none" w:sz="0" w:space="0" w:color="auto"/>
          </w:divBdr>
          <w:divsChild>
            <w:div w:id="984092654">
              <w:marLeft w:val="0"/>
              <w:marRight w:val="0"/>
              <w:marTop w:val="0"/>
              <w:marBottom w:val="0"/>
              <w:divBdr>
                <w:top w:val="none" w:sz="0" w:space="0" w:color="auto"/>
                <w:left w:val="none" w:sz="0" w:space="0" w:color="auto"/>
                <w:bottom w:val="none" w:sz="0" w:space="0" w:color="auto"/>
                <w:right w:val="none" w:sz="0" w:space="0" w:color="auto"/>
              </w:divBdr>
              <w:divsChild>
                <w:div w:id="88174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ubmed.ncbi.nlm.nih.gov/29637088/" TargetMode="External"/><Relationship Id="rId18" Type="http://schemas.openxmlformats.org/officeDocument/2006/relationships/hyperlink" Target="https://pubmed.ncbi.nlm.nih.gov/?sort=date&amp;term=Wester+T&amp;cauthor_id=22767171" TargetMode="External"/><Relationship Id="rId3" Type="http://schemas.openxmlformats.org/officeDocument/2006/relationships/customXml" Target="../customXml/item3.xml"/><Relationship Id="rId21" Type="http://schemas.openxmlformats.org/officeDocument/2006/relationships/hyperlink" Target="https://pubmed.ncbi.nlm.nih.gov/35815898/" TargetMode="Externa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pubmed.ncbi.nlm.nih.gov/?sort=date&amp;term=Pierro+A&amp;cauthor_id=22767171" TargetMode="External"/><Relationship Id="rId2" Type="http://schemas.openxmlformats.org/officeDocument/2006/relationships/customXml" Target="../customXml/item2.xml"/><Relationship Id="rId16" Type="http://schemas.openxmlformats.org/officeDocument/2006/relationships/hyperlink" Target="https://pubmed.ncbi.nlm.nih.gov/?sort=date&amp;term=Eaton+S&amp;cauthor_id=22767171" TargetMode="External"/><Relationship Id="rId20" Type="http://schemas.openxmlformats.org/officeDocument/2006/relationships/hyperlink" Target="https://pubmed.ncbi.nlm.nih.gov/3589507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pubmed.ncbi.nlm.nih.gov/?sort=date&amp;term=Hall+NJ&amp;cauthor_id=22767171"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pubmed.ncbi.nlm.nih.gov/3581892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ubmed.ncbi.nlm.nih.gov/?sort=date&amp;term=Svensson+JF&amp;cauthor_id=22767171"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3C8DF222A2D3499C680F13BF2EF43D" ma:contentTypeVersion="11" ma:contentTypeDescription="Create a new document." ma:contentTypeScope="" ma:versionID="44c89b4cf7ad969923c91b17a2ba7097">
  <xsd:schema xmlns:xsd="http://www.w3.org/2001/XMLSchema" xmlns:xs="http://www.w3.org/2001/XMLSchema" xmlns:p="http://schemas.microsoft.com/office/2006/metadata/properties" xmlns:ns2="0c9b6bde-27d0-4212-a638-25e88d607010" xmlns:ns3="d88dde5f-9cce-44f4-a0a8-40e2ba23a771" targetNamespace="http://schemas.microsoft.com/office/2006/metadata/properties" ma:root="true" ma:fieldsID="6403004111fd0f73034d0f1701eafc88" ns2:_="" ns3:_="">
    <xsd:import namespace="0c9b6bde-27d0-4212-a638-25e88d607010"/>
    <xsd:import namespace="d88dde5f-9cce-44f4-a0a8-40e2ba23a77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9b6bde-27d0-4212-a638-25e88d60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79b820a-a2ee-403a-bd2e-0f675df7d7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8dde5f-9cce-44f4-a0a8-40e2ba23a77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4060ebb-3220-4e71-9796-4642f870c940}" ma:internalName="TaxCatchAll" ma:showField="CatchAllData" ma:web="d88dde5f-9cce-44f4-a0a8-40e2ba23a771">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8dde5f-9cce-44f4-a0a8-40e2ba23a771" xsi:nil="true"/>
    <lcf76f155ced4ddcb4097134ff3c332f xmlns="0c9b6bde-27d0-4212-a638-25e88d60701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B9818-09B5-4AB1-8D0C-60CD0E28D9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9b6bde-27d0-4212-a638-25e88d607010"/>
    <ds:schemaRef ds:uri="d88dde5f-9cce-44f4-a0a8-40e2ba23a7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82C81F-E9C8-4E6E-89F7-D4F15765C324}">
  <ds:schemaRefs>
    <ds:schemaRef ds:uri="http://schemas.microsoft.com/sharepoint/v3/contenttype/forms"/>
  </ds:schemaRefs>
</ds:datastoreItem>
</file>

<file path=customXml/itemProps3.xml><?xml version="1.0" encoding="utf-8"?>
<ds:datastoreItem xmlns:ds="http://schemas.openxmlformats.org/officeDocument/2006/customXml" ds:itemID="{1FB3A02A-8B5D-4537-953A-818999370543}">
  <ds:schemaRefs>
    <ds:schemaRef ds:uri="http://schemas.microsoft.com/office/2006/metadata/properties"/>
    <ds:schemaRef ds:uri="http://schemas.microsoft.com/office/infopath/2007/PartnerControls"/>
    <ds:schemaRef ds:uri="d88dde5f-9cce-44f4-a0a8-40e2ba23a771"/>
    <ds:schemaRef ds:uri="0c9b6bde-27d0-4212-a638-25e88d607010"/>
  </ds:schemaRefs>
</ds:datastoreItem>
</file>

<file path=customXml/itemProps4.xml><?xml version="1.0" encoding="utf-8"?>
<ds:datastoreItem xmlns:ds="http://schemas.openxmlformats.org/officeDocument/2006/customXml" ds:itemID="{26658B49-A16A-4E27-84DE-08358CA31330}">
  <ds:schemaRefs>
    <ds:schemaRef ds:uri="http://schemas.openxmlformats.org/officeDocument/2006/bibliography"/>
  </ds:schemaRefs>
</ds:datastoreItem>
</file>

<file path=docMetadata/LabelInfo.xml><?xml version="1.0" encoding="utf-8"?>
<clbl:labelList xmlns:clbl="http://schemas.microsoft.com/office/2020/mipLabelMetadata">
  <clbl:label id="{fcdc7058-dd48-4a81-90b6-281159ae72e0}" enabled="0" method="" siteId="{fcdc7058-dd48-4a81-90b6-281159ae72e0}" removed="1"/>
</clbl:labelList>
</file>

<file path=docProps/app.xml><?xml version="1.0" encoding="utf-8"?>
<Properties xmlns="http://schemas.openxmlformats.org/officeDocument/2006/extended-properties" xmlns:vt="http://schemas.openxmlformats.org/officeDocument/2006/docPropsVTypes">
  <Template>Normal</Template>
  <TotalTime>4</TotalTime>
  <Pages>29</Pages>
  <Words>7054</Words>
  <Characters>40214</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47174</CharactersWithSpaces>
  <SharedDoc>false</SharedDoc>
  <HLinks>
    <vt:vector size="54" baseType="variant">
      <vt:variant>
        <vt:i4>917504</vt:i4>
      </vt:variant>
      <vt:variant>
        <vt:i4>27</vt:i4>
      </vt:variant>
      <vt:variant>
        <vt:i4>0</vt:i4>
      </vt:variant>
      <vt:variant>
        <vt:i4>5</vt:i4>
      </vt:variant>
      <vt:variant>
        <vt:lpwstr>https://pubmed.ncbi.nlm.nih.gov/35815898/</vt:lpwstr>
      </vt:variant>
      <vt:variant>
        <vt:lpwstr/>
      </vt:variant>
      <vt:variant>
        <vt:i4>327694</vt:i4>
      </vt:variant>
      <vt:variant>
        <vt:i4>24</vt:i4>
      </vt:variant>
      <vt:variant>
        <vt:i4>0</vt:i4>
      </vt:variant>
      <vt:variant>
        <vt:i4>5</vt:i4>
      </vt:variant>
      <vt:variant>
        <vt:lpwstr>https://pubmed.ncbi.nlm.nih.gov/35895073/</vt:lpwstr>
      </vt:variant>
      <vt:variant>
        <vt:lpwstr/>
      </vt:variant>
      <vt:variant>
        <vt:i4>6</vt:i4>
      </vt:variant>
      <vt:variant>
        <vt:i4>21</vt:i4>
      </vt:variant>
      <vt:variant>
        <vt:i4>0</vt:i4>
      </vt:variant>
      <vt:variant>
        <vt:i4>5</vt:i4>
      </vt:variant>
      <vt:variant>
        <vt:lpwstr>https://pubmed.ncbi.nlm.nih.gov/35818927/</vt:lpwstr>
      </vt:variant>
      <vt:variant>
        <vt:lpwstr/>
      </vt:variant>
      <vt:variant>
        <vt:i4>4325429</vt:i4>
      </vt:variant>
      <vt:variant>
        <vt:i4>18</vt:i4>
      </vt:variant>
      <vt:variant>
        <vt:i4>0</vt:i4>
      </vt:variant>
      <vt:variant>
        <vt:i4>5</vt:i4>
      </vt:variant>
      <vt:variant>
        <vt:lpwstr>https://pubmed.ncbi.nlm.nih.gov/?sort=date&amp;term=Wester+T&amp;cauthor_id=22767171</vt:lpwstr>
      </vt:variant>
      <vt:variant>
        <vt:lpwstr/>
      </vt:variant>
      <vt:variant>
        <vt:i4>4194355</vt:i4>
      </vt:variant>
      <vt:variant>
        <vt:i4>15</vt:i4>
      </vt:variant>
      <vt:variant>
        <vt:i4>0</vt:i4>
      </vt:variant>
      <vt:variant>
        <vt:i4>5</vt:i4>
      </vt:variant>
      <vt:variant>
        <vt:lpwstr>https://pubmed.ncbi.nlm.nih.gov/?sort=date&amp;term=Pierro+A&amp;cauthor_id=22767171</vt:lpwstr>
      </vt:variant>
      <vt:variant>
        <vt:lpwstr/>
      </vt:variant>
      <vt:variant>
        <vt:i4>5111932</vt:i4>
      </vt:variant>
      <vt:variant>
        <vt:i4>12</vt:i4>
      </vt:variant>
      <vt:variant>
        <vt:i4>0</vt:i4>
      </vt:variant>
      <vt:variant>
        <vt:i4>5</vt:i4>
      </vt:variant>
      <vt:variant>
        <vt:lpwstr>https://pubmed.ncbi.nlm.nih.gov/?sort=date&amp;term=Eaton+S&amp;cauthor_id=22767171</vt:lpwstr>
      </vt:variant>
      <vt:variant>
        <vt:lpwstr/>
      </vt:variant>
      <vt:variant>
        <vt:i4>524341</vt:i4>
      </vt:variant>
      <vt:variant>
        <vt:i4>9</vt:i4>
      </vt:variant>
      <vt:variant>
        <vt:i4>0</vt:i4>
      </vt:variant>
      <vt:variant>
        <vt:i4>5</vt:i4>
      </vt:variant>
      <vt:variant>
        <vt:lpwstr>https://pubmed.ncbi.nlm.nih.gov/?sort=date&amp;term=Hall+NJ&amp;cauthor_id=22767171</vt:lpwstr>
      </vt:variant>
      <vt:variant>
        <vt:lpwstr/>
      </vt:variant>
      <vt:variant>
        <vt:i4>262199</vt:i4>
      </vt:variant>
      <vt:variant>
        <vt:i4>6</vt:i4>
      </vt:variant>
      <vt:variant>
        <vt:i4>0</vt:i4>
      </vt:variant>
      <vt:variant>
        <vt:i4>5</vt:i4>
      </vt:variant>
      <vt:variant>
        <vt:lpwstr>https://pubmed.ncbi.nlm.nih.gov/?sort=date&amp;term=Svensson+JF&amp;cauthor_id=22767171</vt:lpwstr>
      </vt:variant>
      <vt:variant>
        <vt:lpwstr/>
      </vt:variant>
      <vt:variant>
        <vt:i4>524300</vt:i4>
      </vt:variant>
      <vt:variant>
        <vt:i4>3</vt:i4>
      </vt:variant>
      <vt:variant>
        <vt:i4>0</vt:i4>
      </vt:variant>
      <vt:variant>
        <vt:i4>5</vt:i4>
      </vt:variant>
      <vt:variant>
        <vt:lpwstr>https://pubmed.ncbi.nlm.nih.gov/29637088/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Noel-Macdonnell, Janelle, R</dc:creator>
  <cp:keywords/>
  <dc:description/>
  <cp:lastModifiedBy>St Peter, Shawn, D</cp:lastModifiedBy>
  <cp:revision>3</cp:revision>
  <cp:lastPrinted>2024-05-06T20:51:00Z</cp:lastPrinted>
  <dcterms:created xsi:type="dcterms:W3CDTF">2024-09-16T21:27:00Z</dcterms:created>
  <dcterms:modified xsi:type="dcterms:W3CDTF">2024-09-16T23:02:00Z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0x010100023C8DF222A2D3499C680F13BF2EF43D</vt:lpwstr>
  </property>
  <property fmtid="{D5CDD505-2E9C-101B-9397-08002B2CF9AE}" pid="3" name="MediaServiceImageTags">
    <vt:lpwstr/>
  </property>
</Properties>
</file>