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5812" w14:textId="5BF0AABF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</w:t>
      </w:r>
      <w:r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Time to appendectomy in the antibiotics arm. Values are percent incidence of appendectomy with 95% confidence intervals at </w:t>
      </w:r>
      <w:proofErr w:type="gramStart"/>
      <w:r>
        <w:rPr>
          <w:rFonts w:ascii="Times New Roman" w:hAnsi="Times New Roman" w:cs="Times New Roman"/>
          <w:sz w:val="24"/>
          <w:szCs w:val="24"/>
        </w:rPr>
        <w:t>7, 14, and 100 days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post-randomization.</w:t>
      </w:r>
    </w:p>
    <w:p w14:paraId="363675FE" w14:textId="77777777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sz w:val="24"/>
          <w:szCs w:val="24"/>
        </w:rPr>
      </w:pPr>
    </w:p>
    <w:p w14:paraId="625967BD" w14:textId="77777777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128440" wp14:editId="326834C3">
            <wp:extent cx="5943600" cy="507936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7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EDAF07" w14:textId="77777777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07291" w14:textId="77777777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7E20B" w14:textId="77777777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790C4" w14:textId="77777777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9A811" w14:textId="77777777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14721" w14:textId="77777777" w:rsidR="004C29B5" w:rsidRDefault="004C29B5" w:rsidP="004C29B5">
      <w:pPr>
        <w:shd w:val="clear" w:color="auto" w:fill="FFFFFF" w:themeFill="background1"/>
        <w:rPr>
          <w:rStyle w:val="citation-doi"/>
          <w:rFonts w:ascii="Segoe UI" w:hAnsi="Segoe UI" w:cs="Segoe UI"/>
          <w:color w:val="5B616B"/>
        </w:rPr>
      </w:pPr>
    </w:p>
    <w:p w14:paraId="37815C35" w14:textId="77777777" w:rsidR="00922606" w:rsidRDefault="00922606"/>
    <w:sectPr w:rsidR="00922606" w:rsidSect="004C2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B5"/>
    <w:rsid w:val="004C29B5"/>
    <w:rsid w:val="0092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4E93"/>
  <w15:chartTrackingRefBased/>
  <w15:docId w15:val="{2456AFF2-F6D5-4031-B42A-7EF9EEB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9B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tion-doi">
    <w:name w:val="citation-doi"/>
    <w:basedOn w:val="DefaultParagraphFont"/>
    <w:rsid w:val="004C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Peter, Shawn, D</dc:creator>
  <cp:keywords/>
  <dc:description/>
  <cp:lastModifiedBy>St Peter, Shawn, D</cp:lastModifiedBy>
  <cp:revision>1</cp:revision>
  <dcterms:created xsi:type="dcterms:W3CDTF">2024-09-02T20:29:00Z</dcterms:created>
  <dcterms:modified xsi:type="dcterms:W3CDTF">2024-09-02T20:32:00Z</dcterms:modified>
</cp:coreProperties>
</file>