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95EAD" w14:textId="76396C55" w:rsidR="00483FE0" w:rsidRPr="00990874" w:rsidRDefault="00FD2AAA" w:rsidP="00053429">
      <w:pPr>
        <w:jc w:val="center"/>
        <w:rPr>
          <w:b/>
          <w:bCs/>
          <w:sz w:val="40"/>
          <w:szCs w:val="40"/>
        </w:rPr>
      </w:pPr>
      <w:r w:rsidRPr="00990874">
        <w:rPr>
          <w:b/>
          <w:bCs/>
          <w:sz w:val="40"/>
          <w:szCs w:val="40"/>
        </w:rPr>
        <w:t>ERGO</w:t>
      </w:r>
      <w:r w:rsidR="00053429">
        <w:rPr>
          <w:b/>
          <w:bCs/>
          <w:sz w:val="40"/>
          <w:szCs w:val="40"/>
        </w:rPr>
        <w:t xml:space="preserve"> II</w:t>
      </w:r>
      <w:r w:rsidRPr="00990874">
        <w:rPr>
          <w:b/>
          <w:bCs/>
          <w:sz w:val="40"/>
          <w:szCs w:val="40"/>
        </w:rPr>
        <w:t xml:space="preserve"> Ethics application form</w:t>
      </w:r>
      <w:r w:rsidR="00053429">
        <w:rPr>
          <w:b/>
          <w:bCs/>
          <w:sz w:val="40"/>
          <w:szCs w:val="40"/>
        </w:rPr>
        <w:t xml:space="preserve"> –</w:t>
      </w:r>
      <w:r w:rsidR="0082262E">
        <w:rPr>
          <w:b/>
          <w:bCs/>
          <w:sz w:val="40"/>
          <w:szCs w:val="40"/>
        </w:rPr>
        <w:t xml:space="preserve"> </w:t>
      </w:r>
      <w:r w:rsidR="002A717C">
        <w:rPr>
          <w:b/>
          <w:bCs/>
          <w:sz w:val="40"/>
          <w:szCs w:val="40"/>
        </w:rPr>
        <w:t xml:space="preserve">Psychology </w:t>
      </w:r>
      <w:r w:rsidR="00053429">
        <w:rPr>
          <w:b/>
          <w:bCs/>
          <w:sz w:val="40"/>
          <w:szCs w:val="40"/>
        </w:rPr>
        <w:t>Committee</w:t>
      </w:r>
    </w:p>
    <w:p w14:paraId="3891C640" w14:textId="77777777" w:rsidR="00A16C95" w:rsidRPr="0022533D" w:rsidRDefault="00A16C95" w:rsidP="00A16C95">
      <w:pPr>
        <w:pStyle w:val="ListParagraph"/>
        <w:numPr>
          <w:ilvl w:val="0"/>
          <w:numId w:val="1"/>
        </w:numPr>
        <w:rPr>
          <w:b/>
          <w:bCs/>
          <w:sz w:val="24"/>
          <w:szCs w:val="24"/>
        </w:rPr>
      </w:pPr>
      <w:r w:rsidRPr="0022533D">
        <w:rPr>
          <w:b/>
          <w:bCs/>
          <w:sz w:val="24"/>
          <w:szCs w:val="24"/>
        </w:rPr>
        <w:t>Applicant Details</w:t>
      </w:r>
    </w:p>
    <w:tbl>
      <w:tblPr>
        <w:tblStyle w:val="TableGrid"/>
        <w:tblW w:w="9085" w:type="dxa"/>
        <w:tblLook w:val="04A0" w:firstRow="1" w:lastRow="0" w:firstColumn="1" w:lastColumn="0" w:noHBand="0" w:noVBand="1"/>
      </w:tblPr>
      <w:tblGrid>
        <w:gridCol w:w="3080"/>
        <w:gridCol w:w="6005"/>
      </w:tblGrid>
      <w:tr w:rsidR="00A16C95" w:rsidRPr="0022533D" w14:paraId="2B13A305" w14:textId="77777777" w:rsidTr="00053429">
        <w:trPr>
          <w:trHeight w:val="458"/>
        </w:trPr>
        <w:tc>
          <w:tcPr>
            <w:tcW w:w="3080" w:type="dxa"/>
          </w:tcPr>
          <w:p w14:paraId="4B6F4FF4" w14:textId="4F9D562B" w:rsidR="00A16C95" w:rsidRPr="0022533D" w:rsidRDefault="00A16C95" w:rsidP="00FD2AAA">
            <w:pPr>
              <w:rPr>
                <w:b/>
                <w:bCs/>
                <w:sz w:val="24"/>
                <w:szCs w:val="24"/>
              </w:rPr>
            </w:pPr>
            <w:r w:rsidRPr="0022533D">
              <w:rPr>
                <w:b/>
                <w:bCs/>
                <w:sz w:val="24"/>
                <w:szCs w:val="24"/>
              </w:rPr>
              <w:t>1.1 Applicant name</w:t>
            </w:r>
            <w:r w:rsidR="0022533D">
              <w:rPr>
                <w:b/>
                <w:bCs/>
                <w:sz w:val="24"/>
                <w:szCs w:val="24"/>
              </w:rPr>
              <w:t xml:space="preserve"> </w:t>
            </w:r>
          </w:p>
        </w:tc>
        <w:tc>
          <w:tcPr>
            <w:tcW w:w="6005" w:type="dxa"/>
          </w:tcPr>
          <w:p w14:paraId="085B2128" w14:textId="76A784D3" w:rsidR="00A16C95" w:rsidRPr="00FC2EE6" w:rsidRDefault="00CF46C2" w:rsidP="00FD2AAA">
            <w:pPr>
              <w:rPr>
                <w:sz w:val="24"/>
                <w:szCs w:val="24"/>
              </w:rPr>
            </w:pPr>
            <w:r w:rsidRPr="00FC2EE6">
              <w:rPr>
                <w:sz w:val="24"/>
                <w:szCs w:val="24"/>
              </w:rPr>
              <w:t>Amy Brockwell</w:t>
            </w:r>
            <w:r w:rsidR="00EF60ED">
              <w:rPr>
                <w:sz w:val="24"/>
                <w:szCs w:val="24"/>
              </w:rPr>
              <w:t xml:space="preserve"> – </w:t>
            </w:r>
            <w:hyperlink r:id="rId7" w:history="1">
              <w:r w:rsidR="00EF60ED" w:rsidRPr="007E7B13">
                <w:rPr>
                  <w:rStyle w:val="Hyperlink"/>
                  <w:sz w:val="24"/>
                  <w:szCs w:val="24"/>
                </w:rPr>
                <w:t>ab27g12@soton.ac.uk</w:t>
              </w:r>
            </w:hyperlink>
            <w:r w:rsidR="00EF60ED">
              <w:rPr>
                <w:sz w:val="24"/>
                <w:szCs w:val="24"/>
              </w:rPr>
              <w:t xml:space="preserve"> </w:t>
            </w:r>
          </w:p>
        </w:tc>
      </w:tr>
      <w:tr w:rsidR="00A16C95" w:rsidRPr="0022533D" w14:paraId="553D1632" w14:textId="77777777" w:rsidTr="00053429">
        <w:trPr>
          <w:trHeight w:val="458"/>
        </w:trPr>
        <w:tc>
          <w:tcPr>
            <w:tcW w:w="3080" w:type="dxa"/>
          </w:tcPr>
          <w:p w14:paraId="2B61C618" w14:textId="77777777" w:rsidR="00A16C95" w:rsidRPr="0022533D" w:rsidRDefault="00A16C95" w:rsidP="00FD2AAA">
            <w:pPr>
              <w:rPr>
                <w:b/>
                <w:bCs/>
                <w:sz w:val="24"/>
                <w:szCs w:val="24"/>
              </w:rPr>
            </w:pPr>
            <w:r w:rsidRPr="0022533D">
              <w:rPr>
                <w:b/>
                <w:bCs/>
                <w:sz w:val="24"/>
                <w:szCs w:val="24"/>
              </w:rPr>
              <w:t>1.2 Supervisor</w:t>
            </w:r>
          </w:p>
        </w:tc>
        <w:tc>
          <w:tcPr>
            <w:tcW w:w="6005" w:type="dxa"/>
          </w:tcPr>
          <w:p w14:paraId="60F940F0" w14:textId="699FA830" w:rsidR="00A16C95" w:rsidRPr="00FC2EE6" w:rsidRDefault="00CF46C2" w:rsidP="00FD2AAA">
            <w:pPr>
              <w:rPr>
                <w:sz w:val="24"/>
                <w:szCs w:val="24"/>
              </w:rPr>
            </w:pPr>
            <w:r w:rsidRPr="00FC2EE6">
              <w:rPr>
                <w:sz w:val="24"/>
                <w:szCs w:val="24"/>
              </w:rPr>
              <w:t>Cora Sargeant</w:t>
            </w:r>
            <w:r w:rsidR="00812BB0">
              <w:rPr>
                <w:sz w:val="24"/>
                <w:szCs w:val="24"/>
              </w:rPr>
              <w:t xml:space="preserve"> - </w:t>
            </w:r>
            <w:hyperlink r:id="rId8" w:history="1">
              <w:r w:rsidR="00EF60ED" w:rsidRPr="007E7B13">
                <w:rPr>
                  <w:rStyle w:val="Hyperlink"/>
                  <w:sz w:val="24"/>
                  <w:szCs w:val="24"/>
                </w:rPr>
                <w:t>c.c.sargeant@soton.ac.uk</w:t>
              </w:r>
            </w:hyperlink>
            <w:r w:rsidR="00EF60ED">
              <w:rPr>
                <w:sz w:val="24"/>
                <w:szCs w:val="24"/>
              </w:rPr>
              <w:t xml:space="preserve"> </w:t>
            </w:r>
          </w:p>
        </w:tc>
      </w:tr>
      <w:tr w:rsidR="00A16C95" w:rsidRPr="0022533D" w14:paraId="7602A6BA" w14:textId="77777777" w:rsidTr="009F0D7A">
        <w:trPr>
          <w:trHeight w:val="872"/>
        </w:trPr>
        <w:tc>
          <w:tcPr>
            <w:tcW w:w="3080" w:type="dxa"/>
          </w:tcPr>
          <w:p w14:paraId="2389624B" w14:textId="77777777" w:rsidR="00A16C95" w:rsidRPr="0022533D" w:rsidRDefault="00A16C95" w:rsidP="008F7ADA">
            <w:pPr>
              <w:rPr>
                <w:b/>
                <w:bCs/>
                <w:sz w:val="24"/>
                <w:szCs w:val="24"/>
              </w:rPr>
            </w:pPr>
            <w:r w:rsidRPr="0022533D">
              <w:rPr>
                <w:b/>
                <w:bCs/>
                <w:sz w:val="24"/>
                <w:szCs w:val="24"/>
              </w:rPr>
              <w:t xml:space="preserve">1.3 </w:t>
            </w:r>
            <w:r w:rsidR="00742788">
              <w:rPr>
                <w:b/>
                <w:bCs/>
                <w:sz w:val="24"/>
                <w:szCs w:val="24"/>
              </w:rPr>
              <w:t>O</w:t>
            </w:r>
            <w:r w:rsidRPr="0022533D">
              <w:rPr>
                <w:b/>
                <w:bCs/>
                <w:sz w:val="24"/>
                <w:szCs w:val="24"/>
              </w:rPr>
              <w:t xml:space="preserve">ther researchers </w:t>
            </w:r>
            <w:r w:rsidR="00742788">
              <w:rPr>
                <w:b/>
                <w:bCs/>
                <w:sz w:val="24"/>
                <w:szCs w:val="24"/>
              </w:rPr>
              <w:t xml:space="preserve">/ collaborators (if applicable): </w:t>
            </w:r>
            <w:r w:rsidR="00742788" w:rsidRPr="00742788">
              <w:rPr>
                <w:bCs/>
                <w:i/>
                <w:sz w:val="24"/>
                <w:szCs w:val="24"/>
              </w:rPr>
              <w:t>Name</w:t>
            </w:r>
            <w:r w:rsidR="00742788">
              <w:rPr>
                <w:bCs/>
                <w:i/>
                <w:sz w:val="24"/>
                <w:szCs w:val="24"/>
              </w:rPr>
              <w:t>, address, email</w:t>
            </w:r>
          </w:p>
        </w:tc>
        <w:tc>
          <w:tcPr>
            <w:tcW w:w="6005" w:type="dxa"/>
          </w:tcPr>
          <w:p w14:paraId="688CA0D3" w14:textId="01D97282" w:rsidR="00A16C95" w:rsidRPr="00FC2EE6" w:rsidRDefault="00AE4A25" w:rsidP="00FD2AAA">
            <w:pPr>
              <w:rPr>
                <w:sz w:val="24"/>
                <w:szCs w:val="24"/>
              </w:rPr>
            </w:pPr>
            <w:r>
              <w:rPr>
                <w:sz w:val="24"/>
                <w:szCs w:val="24"/>
              </w:rPr>
              <w:t>Sarah Wright</w:t>
            </w:r>
            <w:r w:rsidR="006515B2">
              <w:rPr>
                <w:sz w:val="24"/>
                <w:szCs w:val="24"/>
              </w:rPr>
              <w:t xml:space="preserve"> - </w:t>
            </w:r>
            <w:hyperlink r:id="rId9" w:history="1">
              <w:r w:rsidR="00812BB0" w:rsidRPr="007E7B13">
                <w:rPr>
                  <w:rStyle w:val="Hyperlink"/>
                  <w:sz w:val="24"/>
                  <w:szCs w:val="24"/>
                </w:rPr>
                <w:t>s.f.wright@soton.ac.uk</w:t>
              </w:r>
            </w:hyperlink>
            <w:r w:rsidR="00812BB0">
              <w:rPr>
                <w:sz w:val="24"/>
                <w:szCs w:val="24"/>
              </w:rPr>
              <w:t xml:space="preserve"> </w:t>
            </w:r>
          </w:p>
        </w:tc>
      </w:tr>
    </w:tbl>
    <w:p w14:paraId="5EC312DF" w14:textId="77777777" w:rsidR="00A16C95" w:rsidRPr="0022533D" w:rsidRDefault="00A16C95" w:rsidP="00FD2AAA">
      <w:pPr>
        <w:rPr>
          <w:b/>
          <w:bCs/>
          <w:sz w:val="24"/>
          <w:szCs w:val="24"/>
        </w:rPr>
      </w:pPr>
    </w:p>
    <w:p w14:paraId="7CB7E507" w14:textId="77777777" w:rsidR="00A16C95" w:rsidRPr="0022533D" w:rsidRDefault="00A16C95" w:rsidP="00A16C95">
      <w:pPr>
        <w:pStyle w:val="ListParagraph"/>
        <w:numPr>
          <w:ilvl w:val="0"/>
          <w:numId w:val="1"/>
        </w:numPr>
        <w:rPr>
          <w:b/>
          <w:bCs/>
          <w:sz w:val="24"/>
          <w:szCs w:val="24"/>
        </w:rPr>
      </w:pPr>
      <w:r w:rsidRPr="0022533D">
        <w:rPr>
          <w:b/>
          <w:bCs/>
          <w:sz w:val="24"/>
          <w:szCs w:val="24"/>
        </w:rPr>
        <w:t>Study Details</w:t>
      </w:r>
    </w:p>
    <w:tbl>
      <w:tblPr>
        <w:tblStyle w:val="TableGrid"/>
        <w:tblW w:w="0" w:type="auto"/>
        <w:tblLook w:val="04A0" w:firstRow="1" w:lastRow="0" w:firstColumn="1" w:lastColumn="0" w:noHBand="0" w:noVBand="1"/>
      </w:tblPr>
      <w:tblGrid>
        <w:gridCol w:w="4531"/>
        <w:gridCol w:w="4485"/>
      </w:tblGrid>
      <w:tr w:rsidR="00A16C95" w:rsidRPr="0022533D" w14:paraId="654F119E" w14:textId="77777777" w:rsidTr="008147D6">
        <w:trPr>
          <w:trHeight w:val="318"/>
        </w:trPr>
        <w:tc>
          <w:tcPr>
            <w:tcW w:w="4531" w:type="dxa"/>
          </w:tcPr>
          <w:p w14:paraId="35DA2C96" w14:textId="77777777" w:rsidR="00A16C95" w:rsidRPr="0022533D" w:rsidRDefault="00A16C95" w:rsidP="00A16C95">
            <w:pPr>
              <w:rPr>
                <w:b/>
                <w:bCs/>
                <w:sz w:val="24"/>
                <w:szCs w:val="24"/>
              </w:rPr>
            </w:pPr>
            <w:r w:rsidRPr="0022533D">
              <w:rPr>
                <w:b/>
                <w:bCs/>
                <w:sz w:val="24"/>
                <w:szCs w:val="24"/>
              </w:rPr>
              <w:t>2.1 Title</w:t>
            </w:r>
            <w:r w:rsidR="00742788">
              <w:rPr>
                <w:b/>
                <w:bCs/>
                <w:sz w:val="24"/>
                <w:szCs w:val="24"/>
              </w:rPr>
              <w:t xml:space="preserve"> of study</w:t>
            </w:r>
          </w:p>
        </w:tc>
        <w:tc>
          <w:tcPr>
            <w:tcW w:w="4485" w:type="dxa"/>
          </w:tcPr>
          <w:p w14:paraId="0DED57D4" w14:textId="634E0E2F" w:rsidR="00A16C95" w:rsidRPr="0022533D" w:rsidRDefault="00FC2EE6" w:rsidP="00A16C95">
            <w:pPr>
              <w:rPr>
                <w:b/>
                <w:bCs/>
                <w:sz w:val="24"/>
                <w:szCs w:val="24"/>
              </w:rPr>
            </w:pPr>
            <w:r>
              <w:rPr>
                <w:lang w:val="en-US"/>
              </w:rPr>
              <w:t>Exploring gender-diverse young people’s experiences of microaffirmations</w:t>
            </w:r>
          </w:p>
        </w:tc>
      </w:tr>
      <w:tr w:rsidR="00A16C95" w:rsidRPr="0022533D" w14:paraId="3E5937FE" w14:textId="77777777" w:rsidTr="008147D6">
        <w:trPr>
          <w:trHeight w:val="638"/>
        </w:trPr>
        <w:tc>
          <w:tcPr>
            <w:tcW w:w="4531" w:type="dxa"/>
          </w:tcPr>
          <w:p w14:paraId="2563BDAE" w14:textId="56532AD9" w:rsidR="00A16C95" w:rsidRPr="0022533D" w:rsidRDefault="00A16C95" w:rsidP="00F461D5">
            <w:pPr>
              <w:rPr>
                <w:b/>
                <w:bCs/>
                <w:sz w:val="24"/>
                <w:szCs w:val="24"/>
              </w:rPr>
            </w:pPr>
            <w:r w:rsidRPr="0022533D">
              <w:rPr>
                <w:b/>
                <w:bCs/>
                <w:sz w:val="24"/>
                <w:szCs w:val="24"/>
              </w:rPr>
              <w:t xml:space="preserve">2.2 Type of </w:t>
            </w:r>
            <w:r w:rsidR="00F461D5">
              <w:rPr>
                <w:b/>
                <w:bCs/>
                <w:sz w:val="24"/>
                <w:szCs w:val="24"/>
              </w:rPr>
              <w:t>project</w:t>
            </w:r>
            <w:r w:rsidR="00742788">
              <w:rPr>
                <w:b/>
                <w:bCs/>
                <w:sz w:val="24"/>
                <w:szCs w:val="24"/>
              </w:rPr>
              <w:t xml:space="preserve"> </w:t>
            </w:r>
            <w:r w:rsidR="00742788" w:rsidRPr="00742788">
              <w:rPr>
                <w:bCs/>
                <w:sz w:val="24"/>
                <w:szCs w:val="24"/>
              </w:rPr>
              <w:t xml:space="preserve">(e.g. undergraduate, Masters, Doctorate, </w:t>
            </w:r>
            <w:r w:rsidR="00F461D5">
              <w:rPr>
                <w:bCs/>
                <w:sz w:val="24"/>
                <w:szCs w:val="24"/>
              </w:rPr>
              <w:t>s</w:t>
            </w:r>
            <w:r w:rsidR="00742788" w:rsidRPr="00742788">
              <w:rPr>
                <w:bCs/>
                <w:sz w:val="24"/>
                <w:szCs w:val="24"/>
              </w:rPr>
              <w:t>taff)</w:t>
            </w:r>
            <w:r w:rsidR="00742788">
              <w:rPr>
                <w:b/>
                <w:bCs/>
                <w:sz w:val="24"/>
                <w:szCs w:val="24"/>
              </w:rPr>
              <w:t xml:space="preserve"> </w:t>
            </w:r>
          </w:p>
        </w:tc>
        <w:tc>
          <w:tcPr>
            <w:tcW w:w="4485" w:type="dxa"/>
          </w:tcPr>
          <w:p w14:paraId="7E708989" w14:textId="167A2677" w:rsidR="00A16C95" w:rsidRPr="00FC2EE6" w:rsidRDefault="00FC2EE6" w:rsidP="00A16C95">
            <w:pPr>
              <w:rPr>
                <w:sz w:val="24"/>
                <w:szCs w:val="24"/>
              </w:rPr>
            </w:pPr>
            <w:r w:rsidRPr="00FC2EE6">
              <w:rPr>
                <w:sz w:val="24"/>
                <w:szCs w:val="24"/>
              </w:rPr>
              <w:t>Doctorate</w:t>
            </w:r>
          </w:p>
        </w:tc>
      </w:tr>
    </w:tbl>
    <w:p w14:paraId="52B5A141" w14:textId="77777777" w:rsidR="00A16C95" w:rsidRPr="0022533D" w:rsidRDefault="00A16C95" w:rsidP="00A16C95">
      <w:pPr>
        <w:rPr>
          <w:b/>
          <w:bCs/>
          <w:sz w:val="24"/>
          <w:szCs w:val="24"/>
        </w:rPr>
      </w:pPr>
    </w:p>
    <w:tbl>
      <w:tblPr>
        <w:tblStyle w:val="TableGrid"/>
        <w:tblW w:w="0" w:type="auto"/>
        <w:tblLook w:val="04A0" w:firstRow="1" w:lastRow="0" w:firstColumn="1" w:lastColumn="0" w:noHBand="0" w:noVBand="1"/>
      </w:tblPr>
      <w:tblGrid>
        <w:gridCol w:w="9016"/>
      </w:tblGrid>
      <w:tr w:rsidR="00A16C95" w:rsidRPr="0022533D" w14:paraId="75FE833F" w14:textId="77777777" w:rsidTr="0013288A">
        <w:trPr>
          <w:trHeight w:val="269"/>
        </w:trPr>
        <w:tc>
          <w:tcPr>
            <w:tcW w:w="9242" w:type="dxa"/>
          </w:tcPr>
          <w:p w14:paraId="1CF8205E" w14:textId="526815B7" w:rsidR="00A16C95" w:rsidRPr="0022533D" w:rsidRDefault="002A68C5" w:rsidP="008147D6">
            <w:pPr>
              <w:rPr>
                <w:b/>
                <w:bCs/>
                <w:sz w:val="24"/>
                <w:szCs w:val="24"/>
              </w:rPr>
            </w:pPr>
            <w:r>
              <w:rPr>
                <w:b/>
                <w:bCs/>
                <w:sz w:val="24"/>
                <w:szCs w:val="24"/>
              </w:rPr>
              <w:t>2.</w:t>
            </w:r>
            <w:r w:rsidR="008147D6">
              <w:rPr>
                <w:b/>
                <w:bCs/>
                <w:sz w:val="24"/>
                <w:szCs w:val="24"/>
              </w:rPr>
              <w:t>3</w:t>
            </w:r>
            <w:r w:rsidR="00A16C95" w:rsidRPr="0022533D">
              <w:rPr>
                <w:b/>
                <w:bCs/>
                <w:sz w:val="24"/>
                <w:szCs w:val="24"/>
              </w:rPr>
              <w:t xml:space="preserve"> </w:t>
            </w:r>
            <w:r w:rsidR="00BD1AAE">
              <w:rPr>
                <w:b/>
                <w:bCs/>
                <w:sz w:val="24"/>
                <w:szCs w:val="24"/>
              </w:rPr>
              <w:t>Briefly describe the rationale for carrying out this project and its specific</w:t>
            </w:r>
            <w:r w:rsidR="00742788">
              <w:rPr>
                <w:b/>
                <w:bCs/>
                <w:sz w:val="24"/>
                <w:szCs w:val="24"/>
              </w:rPr>
              <w:t xml:space="preserve"> a</w:t>
            </w:r>
            <w:r w:rsidR="00A16C95" w:rsidRPr="0022533D">
              <w:rPr>
                <w:b/>
                <w:bCs/>
                <w:sz w:val="24"/>
                <w:szCs w:val="24"/>
              </w:rPr>
              <w:t>ims and objectives</w:t>
            </w:r>
            <w:r w:rsidR="00BD1AAE">
              <w:rPr>
                <w:b/>
                <w:bCs/>
                <w:sz w:val="24"/>
                <w:szCs w:val="24"/>
              </w:rPr>
              <w:t>.</w:t>
            </w:r>
          </w:p>
        </w:tc>
      </w:tr>
      <w:tr w:rsidR="00A16C95" w:rsidRPr="0022533D" w14:paraId="5D7D7112" w14:textId="77777777" w:rsidTr="009F0D7A">
        <w:trPr>
          <w:trHeight w:val="125"/>
        </w:trPr>
        <w:tc>
          <w:tcPr>
            <w:tcW w:w="9242" w:type="dxa"/>
          </w:tcPr>
          <w:p w14:paraId="3C8CA3C4" w14:textId="4EF1972B" w:rsidR="003C1AB5" w:rsidRDefault="003C1AB5" w:rsidP="003C1AB5">
            <w:pPr>
              <w:rPr>
                <w:lang w:val="en-US"/>
              </w:rPr>
            </w:pPr>
            <w:r>
              <w:rPr>
                <w:lang w:val="en-US"/>
              </w:rPr>
              <w:t xml:space="preserve">The concept of microaffirmations originated in workplace research, in which they were defined as </w:t>
            </w:r>
            <w:r w:rsidRPr="00C33DC6">
              <w:rPr>
                <w:lang w:val="en-US"/>
              </w:rPr>
              <w:t xml:space="preserve">“small acts, which are ephemeral and [often times] hard-to-see, events that are public or private, often unconscious but very effective, which occur wherever people </w:t>
            </w:r>
            <w:r>
              <w:rPr>
                <w:lang w:val="en-US"/>
              </w:rPr>
              <w:t>w</w:t>
            </w:r>
            <w:r w:rsidRPr="00C33DC6">
              <w:rPr>
                <w:lang w:val="en-US"/>
              </w:rPr>
              <w:t xml:space="preserve">ish to help others to succeed” </w:t>
            </w:r>
            <w:r>
              <w:rPr>
                <w:lang w:val="en-US"/>
              </w:rPr>
              <w:fldChar w:fldCharType="begin"/>
            </w:r>
            <w:r>
              <w:rPr>
                <w:lang w:val="en-US"/>
              </w:rPr>
              <w:instrText xml:space="preserve"> ADDIN ZOTERO_ITEM CSL_CITATION {"citationID":"jclmffRE","properties":{"formattedCitation":"(Rowe, 2008)","plainCitation":"(Rowe, 2008)","dontUpdate":true,"noteIndex":0},"citationItems":[{"id":1911,"uris":["http://zotero.org/users/10191846/items/4ATTPQIX"],"itemData":{"id":1911,"type":"article-journal","language":"en","source":"Zotero","title":"Micro-affirmations &amp; Micro-inequities","author":[{"family":"Rowe","given":"Mary"}],"issued":{"date-parts":[["2008"]]}}}],"schema":"https://github.com/citation-style-language/schema/raw/master/csl-citation.json"} </w:instrText>
            </w:r>
            <w:r>
              <w:rPr>
                <w:lang w:val="en-US"/>
              </w:rPr>
              <w:fldChar w:fldCharType="separate"/>
            </w:r>
            <w:r w:rsidRPr="00760E74">
              <w:rPr>
                <w:rFonts w:ascii="Calibri" w:hAnsi="Calibri" w:cs="Calibri"/>
              </w:rPr>
              <w:t>(Rowe, 2008</w:t>
            </w:r>
            <w:r>
              <w:rPr>
                <w:rFonts w:ascii="Calibri" w:hAnsi="Calibri" w:cs="Calibri"/>
              </w:rPr>
              <w:t>, p. 46</w:t>
            </w:r>
            <w:r w:rsidRPr="00760E74">
              <w:rPr>
                <w:rFonts w:ascii="Calibri" w:hAnsi="Calibri" w:cs="Calibri"/>
              </w:rPr>
              <w:t>)</w:t>
            </w:r>
            <w:r>
              <w:rPr>
                <w:lang w:val="en-US"/>
              </w:rPr>
              <w:fldChar w:fldCharType="end"/>
            </w:r>
            <w:r w:rsidRPr="00C33DC6">
              <w:rPr>
                <w:lang w:val="en-US"/>
              </w:rPr>
              <w:t>.</w:t>
            </w:r>
            <w:r>
              <w:rPr>
                <w:lang w:val="en-US"/>
              </w:rPr>
              <w:t xml:space="preserve"> Since then, the concept of microaffirmations has been expanded to other fields including race, disability and LGBTQ+. </w:t>
            </w:r>
          </w:p>
          <w:p w14:paraId="25413539" w14:textId="77777777" w:rsidR="00421FFB" w:rsidRDefault="00421FFB" w:rsidP="003C1AB5">
            <w:pPr>
              <w:rPr>
                <w:lang w:val="en-US"/>
              </w:rPr>
            </w:pPr>
          </w:p>
          <w:p w14:paraId="7A737236" w14:textId="77777777" w:rsidR="003C1AB5" w:rsidRDefault="003C1AB5" w:rsidP="003C1AB5">
            <w:pPr>
              <w:rPr>
                <w:color w:val="000000" w:themeColor="text1"/>
                <w:lang w:val="en-US"/>
              </w:rPr>
            </w:pPr>
            <w:r>
              <w:rPr>
                <w:lang w:val="en-US"/>
              </w:rPr>
              <w:t xml:space="preserve">Research exploring the experiences of </w:t>
            </w:r>
            <w:r w:rsidRPr="000232BD">
              <w:rPr>
                <w:lang w:val="en-US"/>
              </w:rPr>
              <w:t>gender-diverse young people</w:t>
            </w:r>
            <w:r>
              <w:rPr>
                <w:lang w:val="en-US"/>
              </w:rPr>
              <w:t xml:space="preserve"> </w:t>
            </w:r>
            <w:r w:rsidRPr="000232BD">
              <w:rPr>
                <w:lang w:val="en-US"/>
              </w:rPr>
              <w:t xml:space="preserve">(GDYP) </w:t>
            </w:r>
            <w:r>
              <w:rPr>
                <w:lang w:val="en-US"/>
              </w:rPr>
              <w:t xml:space="preserve">tends to focus on </w:t>
            </w:r>
            <w:r w:rsidRPr="000232BD">
              <w:rPr>
                <w:lang w:val="en-US"/>
              </w:rPr>
              <w:t xml:space="preserve">negative experiences and the </w:t>
            </w:r>
            <w:r w:rsidRPr="00563917">
              <w:rPr>
                <w:color w:val="000000" w:themeColor="text1"/>
                <w:lang w:val="en-US"/>
              </w:rPr>
              <w:t>impact of these. This has been important for understanding GDYP’s lived experiences and the impact of this. Recently</w:t>
            </w:r>
            <w:r>
              <w:rPr>
                <w:color w:val="000000" w:themeColor="text1"/>
                <w:lang w:val="en-US"/>
              </w:rPr>
              <w:t xml:space="preserve">, </w:t>
            </w:r>
            <w:r w:rsidRPr="00563917">
              <w:rPr>
                <w:color w:val="000000" w:themeColor="text1"/>
                <w:lang w:val="en-US"/>
              </w:rPr>
              <w:t xml:space="preserve">literature </w:t>
            </w:r>
            <w:r>
              <w:rPr>
                <w:color w:val="000000" w:themeColor="text1"/>
                <w:lang w:val="en-US"/>
              </w:rPr>
              <w:t xml:space="preserve">has begun to </w:t>
            </w:r>
            <w:r w:rsidRPr="00563917">
              <w:rPr>
                <w:color w:val="000000" w:themeColor="text1"/>
                <w:lang w:val="en-US"/>
              </w:rPr>
              <w:t>explor</w:t>
            </w:r>
            <w:r>
              <w:rPr>
                <w:color w:val="000000" w:themeColor="text1"/>
                <w:lang w:val="en-US"/>
              </w:rPr>
              <w:t xml:space="preserve">e the </w:t>
            </w:r>
            <w:r w:rsidRPr="00563917">
              <w:rPr>
                <w:color w:val="000000" w:themeColor="text1"/>
                <w:lang w:val="en-US"/>
              </w:rPr>
              <w:t>protective factors than might facilitate post-traumatic growth</w:t>
            </w:r>
            <w:r>
              <w:rPr>
                <w:color w:val="000000" w:themeColor="text1"/>
                <w:lang w:val="en-US"/>
              </w:rPr>
              <w:t xml:space="preserve"> in gender diverse individuals. Through identification of these protective factors, service provision can be informed to reduce </w:t>
            </w:r>
            <w:r w:rsidRPr="00563917">
              <w:rPr>
                <w:color w:val="000000" w:themeColor="text1"/>
                <w:lang w:val="en-US"/>
              </w:rPr>
              <w:t>psychological distress</w:t>
            </w:r>
            <w:r>
              <w:rPr>
                <w:color w:val="000000" w:themeColor="text1"/>
                <w:lang w:val="en-US"/>
              </w:rPr>
              <w:t xml:space="preserve"> initially</w:t>
            </w:r>
            <w:r w:rsidRPr="00563917">
              <w:rPr>
                <w:color w:val="000000" w:themeColor="text1"/>
                <w:lang w:val="en-US"/>
              </w:rPr>
              <w:t xml:space="preserve"> </w:t>
            </w:r>
            <w:r w:rsidRPr="00563917">
              <w:rPr>
                <w:color w:val="000000" w:themeColor="text1"/>
                <w:lang w:val="en-US"/>
              </w:rPr>
              <w:fldChar w:fldCharType="begin"/>
            </w:r>
            <w:r w:rsidRPr="00563917">
              <w:rPr>
                <w:color w:val="000000" w:themeColor="text1"/>
                <w:lang w:val="en-US"/>
              </w:rPr>
              <w:instrText xml:space="preserve"> ADDIN ZOTERO_ITEM CSL_CITATION {"citationID":"KBWY2r9X","properties":{"formattedCitation":"(Counselman-Carpenter &amp; Redcay, 2023)","plainCitation":"(Counselman-Carpenter &amp; Redcay, 2023)","noteIndex":0},"citationItems":[{"id":2854,"uris":["http://zotero.org/users/10191846/items/5KP88FI8"],"itemData":{"id":2854,"type":"article-journal","abstract":"This study examines the impact of a marginalized sexual orientation identity and gender identity on family support, socialization, spirituality, psychological distress, and suicide risk using secondary data analysis of the 2015 United States Transgender survey. Findings include recommendations to facilitate posttraumatic growth and for further research speciﬁcally related to individuals who identify as both genderqueer/nonbinary and transgender.","container-title":"Psychology of Sexual Orientation and Gender Diversity","DOI":"10.1037/sgd0000415","ISSN":"2329-0390, 2329-0382","issue":"3","journalAbbreviation":"Psychology of Sexual Orientation and Gender Diversity","language":"en","page":"429-439","source":"DOI.org (Crossref)","title":"Deepening understanding of nuanced identity within the transgender community through an exploration of posttraumatic growth.","volume":"10","author":[{"family":"Counselman-Carpenter","given":"Elisabeth"},{"family":"Redcay","given":"Alex"}],"issued":{"date-parts":[["2023",9]]}}}],"schema":"https://github.com/citation-style-language/schema/raw/master/csl-citation.json"} </w:instrText>
            </w:r>
            <w:r w:rsidRPr="00563917">
              <w:rPr>
                <w:color w:val="000000" w:themeColor="text1"/>
                <w:lang w:val="en-US"/>
              </w:rPr>
              <w:fldChar w:fldCharType="separate"/>
            </w:r>
            <w:r w:rsidRPr="00563917">
              <w:rPr>
                <w:rFonts w:ascii="Calibri" w:hAnsi="Calibri" w:cs="Calibri"/>
                <w:color w:val="000000" w:themeColor="text1"/>
              </w:rPr>
              <w:t>(Counselman-Carpenter &amp; Redcay, 2023)</w:t>
            </w:r>
            <w:r w:rsidRPr="00563917">
              <w:rPr>
                <w:color w:val="000000" w:themeColor="text1"/>
                <w:lang w:val="en-US"/>
              </w:rPr>
              <w:fldChar w:fldCharType="end"/>
            </w:r>
            <w:r w:rsidRPr="00563917">
              <w:rPr>
                <w:color w:val="000000" w:themeColor="text1"/>
                <w:lang w:val="en-US"/>
              </w:rPr>
              <w:t>.</w:t>
            </w:r>
            <w:r>
              <w:rPr>
                <w:color w:val="000000" w:themeColor="text1"/>
                <w:lang w:val="en-US"/>
              </w:rPr>
              <w:t xml:space="preserve"> Literature exploring post-traumatic growth has highlighted the protective value of social support </w:t>
            </w:r>
            <w:r>
              <w:rPr>
                <w:color w:val="000000" w:themeColor="text1"/>
                <w:lang w:val="en-US"/>
              </w:rPr>
              <w:fldChar w:fldCharType="begin"/>
            </w:r>
            <w:r>
              <w:rPr>
                <w:color w:val="000000" w:themeColor="text1"/>
                <w:lang w:val="en-US"/>
              </w:rPr>
              <w:instrText xml:space="preserve"> ADDIN ZOTERO_ITEM CSL_CITATION {"citationID":"qqPZuMD7","properties":{"formattedCitation":"(Ratcliff et al., 2020)","plainCitation":"(Ratcliff et al., 2020)","noteIndex":0},"citationItems":[{"id":2762,"uris":["http://zotero.org/users/10191846/items/REVTD2KG"],"itemData":{"id":2762,"type":"article-journal","abstract":"The minority stress model posits that stigmatized identities expose sexual minority individuals to chronic stressors that contribute to health disparities, but that individual-level resources may mitigate psychological distress. Sexual minority adolescents experience one such stressor, bullying victimization, at higher rates than heterosexual peers. Whereas negative consequences of sexual identity-based bullying are well documented, potential positive outcomes are not well understood. The present work examined hypothesized pathways to posttraumatic growth (PTG)—positive psychological changes stemming from trauma—in sexual minority adults following adolescent bullying experiences. We predicted that attributing bullying to one’s sexual identity, as opposed to other factors (e.g., weight/appearance, personality), would exacerbate perceived bullying severity but, in turn, enhance PTG. We also predicted that outness about sexual identity would enhance social support and, in turn, facilitate PTG. The hypothesized conceptual model was tested in two samples of sexual minority adults who had experienced bullying during adolescence (Sample 1: Community Sample [N = 139]; Sample 2: National Online Sample [N = 298]), using structural equation modeling with Bayesian estimation. Mediation hypotheses were tested using the PROCESS v3.4 macro. Participants reported their adolescent experiences with bullying, attributions for bullying, outness, social support, and PTG as a result of adolescent bullying experiences, in addition to demographics. Supporting the hypothesized model, in both samples, attributions to sexual identity-based bullying directly and indirectly (via bullying severity) predicted greater PTG, and outness predicted greater PTG through proximal impact on social support. This research underscores the importance of supportive responses to individuals who disclose sexual minority identities and of (re)framing attributions about bullying to facilitate growth.","container-title":"Journal of Interpersonal Violence","DOI":"10.1177/0886260520961867","ISSN":"0886-2605","issue":"7-8","journalAbbreviation":"J Interpers Violence","language":"en","note":"publisher: SAGE Publications Inc","page":"NP5419-NP5441","source":"SAGE Journals","title":"Factors Promoting Posttraumatic Growth in Sexual Minority Adults Following Adolescent Bullying Experiences","volume":"37","author":[{"family":"Ratcliff","given":"Jennifer J."},{"family":"Tombari","given":"Jamie M."},{"family":"Miller","given":"Audrey K."},{"family":"Brand","given":"Peter F."},{"family":"Witnauer","given":"James E."}],"issued":{"date-parts":[["2020",9,25]]}}}],"schema":"https://github.com/citation-style-language/schema/raw/master/csl-citation.json"} </w:instrText>
            </w:r>
            <w:r>
              <w:rPr>
                <w:color w:val="000000" w:themeColor="text1"/>
                <w:lang w:val="en-US"/>
              </w:rPr>
              <w:fldChar w:fldCharType="separate"/>
            </w:r>
            <w:r w:rsidRPr="00AB62F6">
              <w:rPr>
                <w:rFonts w:ascii="Calibri" w:hAnsi="Calibri" w:cs="Calibri"/>
              </w:rPr>
              <w:t>(Ratcliff et al., 2020)</w:t>
            </w:r>
            <w:r>
              <w:rPr>
                <w:color w:val="000000" w:themeColor="text1"/>
                <w:lang w:val="en-US"/>
              </w:rPr>
              <w:fldChar w:fldCharType="end"/>
            </w:r>
            <w:r>
              <w:rPr>
                <w:color w:val="000000" w:themeColor="text1"/>
                <w:lang w:val="en-US"/>
              </w:rPr>
              <w:t>. Microaffirmations are one way in which those around them can show support to GDYP.</w:t>
            </w:r>
          </w:p>
          <w:p w14:paraId="3FBCF850" w14:textId="77777777" w:rsidR="004A70C6" w:rsidRDefault="004A70C6" w:rsidP="003C1AB5">
            <w:pPr>
              <w:rPr>
                <w:color w:val="000000" w:themeColor="text1"/>
                <w:lang w:val="en-US"/>
              </w:rPr>
            </w:pPr>
          </w:p>
          <w:p w14:paraId="39F183EB" w14:textId="77777777" w:rsidR="003C1AB5" w:rsidRDefault="003C1AB5" w:rsidP="003C1AB5">
            <w:pPr>
              <w:rPr>
                <w:lang w:val="en-US"/>
              </w:rPr>
            </w:pPr>
            <w:r>
              <w:rPr>
                <w:color w:val="000000" w:themeColor="text1"/>
                <w:lang w:val="en-US"/>
              </w:rPr>
              <w:t xml:space="preserve">This is supported by </w:t>
            </w:r>
            <w:r>
              <w:rPr>
                <w:lang w:val="en-US"/>
              </w:rPr>
              <w:t xml:space="preserve">Powell et al. </w:t>
            </w:r>
            <w:r>
              <w:rPr>
                <w:lang w:val="en-US"/>
              </w:rPr>
              <w:fldChar w:fldCharType="begin"/>
            </w:r>
            <w:r>
              <w:rPr>
                <w:lang w:val="en-US"/>
              </w:rPr>
              <w:instrText xml:space="preserve"> ADDIN ZOTERO_ITEM CSL_CITATION {"citationID":"968qd4q9","properties":{"formattedCitation":"(2013)","plainCitation":"(2013)","noteIndex":0},"citationItems":[{"id":2629,"uris":["http://zotero.org/users/10191846/items/MZF3CLTP"],"itemData":{"id":2629,"type":"article-journal","abstract":"Rowe (2008) defined micro-affirmations as small acts in the workplace  fostering inclusion, listening, comfort, and support for people who may  feel unwelcome or invisible in an environment. Within the context of  higher education, micro-affirmations can communicate to students that  they are welcome, visible, and capable of performing well in the college  environment. Micro-affirmations have the potential to fuel optimal  student development and thriving in college. Academic advising offers an  opportunity to apply micro-affirmations to the college context and to  student, faculty, and staff dynamics. This article expands upon Rowe's  ideas to suggest that micro-affirmations can become frequent,  intentional practice within academic advising to positively impact  student engagement and, ultimately, enhance retention and graduation  outcomes. This article will also suggest ways to communicate and apply  micro-affirmations in academic advising.","container-title":"The Mentor: Innovative Scholarship on Academic Advising","DOI":"10.26209/mj1561286","ISSN":"1521-2211","language":"en","license":"Copyright (c)","source":"journals.psu.edu","title":"Micro-affirmations in Academic Advising: Small Acts, Big Impact","title-short":"Micro-affirmations in Academic Advising","URL":"https://journals.psu.edu/mentor","volume":"15","author":[{"family":"Powell","given":"Candice"},{"family":"Demetriou","given":"Cynthia"},{"family":"Fisher","given":"Annice"}],"accessed":{"date-parts":[["2023",11,17]]},"issued":{"date-parts":[["2013"]]}},"label":"page","suppress-author":true}],"schema":"https://github.com/citation-style-language/schema/raw/master/csl-citation.json"} </w:instrText>
            </w:r>
            <w:r>
              <w:rPr>
                <w:lang w:val="en-US"/>
              </w:rPr>
              <w:fldChar w:fldCharType="separate"/>
            </w:r>
            <w:r w:rsidRPr="00C01F3D">
              <w:rPr>
                <w:rFonts w:ascii="Calibri" w:hAnsi="Calibri" w:cs="Calibri"/>
              </w:rPr>
              <w:t>(2013)</w:t>
            </w:r>
            <w:r>
              <w:rPr>
                <w:lang w:val="en-US"/>
              </w:rPr>
              <w:fldChar w:fldCharType="end"/>
            </w:r>
            <w:r>
              <w:rPr>
                <w:lang w:val="en-US"/>
              </w:rPr>
              <w:t xml:space="preserve"> who suggested that experiencing microaffirmations in education settings could increase young people’s </w:t>
            </w:r>
            <w:r w:rsidRPr="00B65B2A">
              <w:rPr>
                <w:lang w:val="en-US"/>
              </w:rPr>
              <w:t>sense of belonging, self-efficacy, and resiliency</w:t>
            </w:r>
            <w:r>
              <w:rPr>
                <w:lang w:val="en-US"/>
              </w:rPr>
              <w:t xml:space="preserve">. The literature exploring microaffirmations in GDYP is emerging but currently very limited. To date only one study, that I am aware of, has asked LGBTQ+ young people’s views and experiences of microaffirmations. This study was conducted in America and explored the experiences of young people </w:t>
            </w:r>
            <w:r w:rsidRPr="00EC2531">
              <w:rPr>
                <w:lang w:val="en-US"/>
              </w:rPr>
              <w:t>who were culturally diverse in terms of race/ethnicity, sexual orientation, socioeconomic status, international status, and other identities</w:t>
            </w:r>
            <w:r>
              <w:rPr>
                <w:lang w:val="en-US"/>
              </w:rPr>
              <w:t xml:space="preserve"> </w:t>
            </w:r>
            <w:r>
              <w:rPr>
                <w:lang w:val="en-US"/>
              </w:rPr>
              <w:fldChar w:fldCharType="begin"/>
            </w:r>
            <w:r>
              <w:rPr>
                <w:lang w:val="en-US"/>
              </w:rPr>
              <w:instrText xml:space="preserve"> ADDIN ZOTERO_ITEM CSL_CITATION {"citationID":"AOHRicPF","properties":{"formattedCitation":"(Koch et al., 2022)","plainCitation":"(Koch et al., 2022)","noteIndex":0},"citationItems":[{"id":1809,"uris":["http://zotero.org/users/10191846/items/NVNJ3QZ9"],"itemData":{"id":1809,"type":"article-journal","abstract":"This article is the first to provide empirical support for the concept of microaffirmation in psychology and education. The theory of microaffirmation stems from the idea that it is important and useful to focus on positive experiences in the hopes that they might be promoted or replicated. Using Consensual Qualitative Research methodology, we examined the microaffirmation experiences of graduate students who were culturally diverse in terms of race/ethnicity, sexual orientation, socioeconomic status, international status, and other identities. We identified four domains related to microaffirmation: the construct of microaffirmation itself, the experience of the recipient of microaffirmation, the qualities of people who microaffirm, and outcomes of microaffirmative behavior. We discuss ways in which psychologists, educators, and advocates can work effectively with culturally diverse students in higher education settings to support their academic adjustment. We provide suggestions for future research and implications for theory and practice.","container-title":"Current Psychology","DOI":"10.1007/s12144-020-00811-3","ISSN":"1936-4733","issue":"5","journalAbbreviation":"Curr Psychol","language":"en","page":"2883-2895","source":"Springer Link","title":"A qualitative inquiry of microaffirmation experiences among culturally diverse graduate students","volume":"41","author":[{"family":"Koch","given":"Julie M."},{"family":"Knutson","given":"Douglas"},{"family":"Loche","given":"LaTrice"},{"family":"Loche III","given":"Rogers W."},{"family":"Lee","given":"Hang-Shim"},{"family":"Federici","given":"Dillon J."}],"issued":{"date-parts":[["2022",5,1]]}}}],"schema":"https://github.com/citation-style-language/schema/raw/master/csl-citation.json"} </w:instrText>
            </w:r>
            <w:r>
              <w:rPr>
                <w:lang w:val="en-US"/>
              </w:rPr>
              <w:fldChar w:fldCharType="separate"/>
            </w:r>
            <w:r w:rsidRPr="00561A14">
              <w:rPr>
                <w:rFonts w:ascii="Calibri" w:hAnsi="Calibri" w:cs="Calibri"/>
              </w:rPr>
              <w:t>(Koch et al., 2022)</w:t>
            </w:r>
            <w:r>
              <w:rPr>
                <w:lang w:val="en-US"/>
              </w:rPr>
              <w:fldChar w:fldCharType="end"/>
            </w:r>
            <w:r w:rsidRPr="00EC2531">
              <w:rPr>
                <w:lang w:val="en-US"/>
              </w:rPr>
              <w:t>.</w:t>
            </w:r>
          </w:p>
          <w:p w14:paraId="3705E165" w14:textId="77777777" w:rsidR="004A70C6" w:rsidRDefault="004A70C6" w:rsidP="003C1AB5">
            <w:pPr>
              <w:rPr>
                <w:lang w:val="en-US"/>
              </w:rPr>
            </w:pPr>
          </w:p>
          <w:p w14:paraId="015EA36B" w14:textId="77777777" w:rsidR="003C1AB5" w:rsidRDefault="003C1AB5" w:rsidP="003C1AB5">
            <w:pPr>
              <w:rPr>
                <w:lang w:val="en-US"/>
              </w:rPr>
            </w:pPr>
            <w:r>
              <w:rPr>
                <w:lang w:val="en-US"/>
              </w:rPr>
              <w:t xml:space="preserve">The proposed research will explore GDYP’s experiences of microaffirmations, </w:t>
            </w:r>
            <w:proofErr w:type="spellStart"/>
            <w:r>
              <w:rPr>
                <w:lang w:val="en-US"/>
              </w:rPr>
              <w:t>recognising</w:t>
            </w:r>
            <w:proofErr w:type="spellEnd"/>
            <w:r>
              <w:rPr>
                <w:lang w:val="en-US"/>
              </w:rPr>
              <w:t xml:space="preserve"> their unique perspectives and experiences. In addition, it will explore their experiences of </w:t>
            </w:r>
            <w:r>
              <w:rPr>
                <w:lang w:val="en-US"/>
              </w:rPr>
              <w:lastRenderedPageBreak/>
              <w:t>microaffirmations in the UK context, supporting understanding of how GDYP can best be supported in UK education settings and organisations.</w:t>
            </w:r>
          </w:p>
          <w:p w14:paraId="0F02121C" w14:textId="26AFF991" w:rsidR="0022533D" w:rsidRPr="0022533D" w:rsidRDefault="0022533D" w:rsidP="009F0D7A">
            <w:pPr>
              <w:rPr>
                <w:b/>
                <w:bCs/>
                <w:sz w:val="24"/>
                <w:szCs w:val="24"/>
              </w:rPr>
            </w:pPr>
          </w:p>
        </w:tc>
      </w:tr>
    </w:tbl>
    <w:p w14:paraId="3067A285" w14:textId="77777777" w:rsidR="00A16C95" w:rsidRPr="0022533D" w:rsidRDefault="00A16C95" w:rsidP="00A16C95">
      <w:pPr>
        <w:rPr>
          <w:b/>
          <w:bCs/>
          <w:sz w:val="24"/>
          <w:szCs w:val="24"/>
        </w:rPr>
      </w:pPr>
    </w:p>
    <w:tbl>
      <w:tblPr>
        <w:tblStyle w:val="TableGrid"/>
        <w:tblW w:w="0" w:type="auto"/>
        <w:tblLook w:val="04A0" w:firstRow="1" w:lastRow="0" w:firstColumn="1" w:lastColumn="0" w:noHBand="0" w:noVBand="1"/>
      </w:tblPr>
      <w:tblGrid>
        <w:gridCol w:w="9016"/>
      </w:tblGrid>
      <w:tr w:rsidR="00A16C95" w:rsidRPr="0022533D" w14:paraId="35560DB2" w14:textId="77777777" w:rsidTr="00A16C95">
        <w:tc>
          <w:tcPr>
            <w:tcW w:w="9242" w:type="dxa"/>
          </w:tcPr>
          <w:p w14:paraId="12D2A023" w14:textId="58CBC29F" w:rsidR="00A16C95" w:rsidRPr="0022533D" w:rsidRDefault="002A68C5" w:rsidP="008147D6">
            <w:pPr>
              <w:rPr>
                <w:b/>
                <w:bCs/>
                <w:sz w:val="24"/>
                <w:szCs w:val="24"/>
              </w:rPr>
            </w:pPr>
            <w:r>
              <w:rPr>
                <w:b/>
                <w:bCs/>
                <w:sz w:val="24"/>
                <w:szCs w:val="24"/>
              </w:rPr>
              <w:t>2.</w:t>
            </w:r>
            <w:r w:rsidR="008147D6">
              <w:rPr>
                <w:b/>
                <w:bCs/>
                <w:sz w:val="24"/>
                <w:szCs w:val="24"/>
              </w:rPr>
              <w:t xml:space="preserve">4 </w:t>
            </w:r>
            <w:r w:rsidR="00BD1AAE">
              <w:rPr>
                <w:b/>
                <w:bCs/>
                <w:sz w:val="24"/>
                <w:szCs w:val="24"/>
              </w:rPr>
              <w:t>Provide a brief outline of the basic study design. Outline what approach is being used and why.</w:t>
            </w:r>
          </w:p>
        </w:tc>
      </w:tr>
      <w:tr w:rsidR="00A16C95" w:rsidRPr="0022533D" w14:paraId="23921265" w14:textId="77777777" w:rsidTr="009F0D7A">
        <w:trPr>
          <w:trHeight w:val="104"/>
        </w:trPr>
        <w:tc>
          <w:tcPr>
            <w:tcW w:w="9242" w:type="dxa"/>
          </w:tcPr>
          <w:p w14:paraId="5DE54FC6" w14:textId="77777777" w:rsidR="00B93A8C" w:rsidRPr="00F12F8A" w:rsidRDefault="00B93A8C" w:rsidP="00B93A8C">
            <w:pPr>
              <w:spacing w:after="160" w:line="259" w:lineRule="auto"/>
              <w:rPr>
                <w:rFonts w:ascii="Calibri" w:eastAsia="Calibri" w:hAnsi="Calibri" w:cs="Times New Roman"/>
                <w:lang w:val="en-US" w:eastAsia="en-US"/>
              </w:rPr>
            </w:pPr>
            <w:r w:rsidRPr="00B93A8C">
              <w:rPr>
                <w:rFonts w:ascii="Calibri" w:eastAsia="Calibri" w:hAnsi="Calibri" w:cs="Times New Roman"/>
                <w:lang w:val="en-US" w:eastAsia="en-US"/>
              </w:rPr>
              <w:t xml:space="preserve">This study will collect qualitative data using an online survey. </w:t>
            </w:r>
            <w:bookmarkStart w:id="0" w:name="_Hlk151729786"/>
            <w:r w:rsidRPr="00B93A8C">
              <w:rPr>
                <w:rFonts w:ascii="Calibri" w:eastAsia="Calibri" w:hAnsi="Calibri" w:cs="Times New Roman"/>
                <w:lang w:val="en-US" w:eastAsia="en-US"/>
              </w:rPr>
              <w:t xml:space="preserve">Data will be gathered in which participants describe times when they have had their gender identity affirmed, where these experiences occurred and who they experienced the affirmation from. Demographic (age, gender identity, biological sex, and </w:t>
            </w:r>
            <w:r w:rsidRPr="00F12F8A">
              <w:rPr>
                <w:rFonts w:ascii="Calibri" w:eastAsia="Calibri" w:hAnsi="Calibri" w:cs="Times New Roman"/>
                <w:lang w:val="en-US" w:eastAsia="en-US"/>
              </w:rPr>
              <w:t>ethnicity) data will also be collected.</w:t>
            </w:r>
          </w:p>
          <w:bookmarkEnd w:id="0"/>
          <w:p w14:paraId="41323E04" w14:textId="4579A06C" w:rsidR="00B93A8C" w:rsidRPr="00F12F8A" w:rsidRDefault="00B93A8C" w:rsidP="00B93A8C">
            <w:pPr>
              <w:spacing w:after="160" w:line="259" w:lineRule="auto"/>
              <w:rPr>
                <w:rFonts w:ascii="Calibri" w:eastAsia="Calibri" w:hAnsi="Calibri" w:cs="Times New Roman"/>
                <w:lang w:val="en-US" w:eastAsia="en-US"/>
              </w:rPr>
            </w:pPr>
            <w:r w:rsidRPr="00F12F8A">
              <w:rPr>
                <w:rFonts w:ascii="Calibri" w:eastAsia="Calibri" w:hAnsi="Calibri" w:cs="Times New Roman"/>
                <w:lang w:val="en-US" w:eastAsia="en-US"/>
              </w:rPr>
              <w:t>A</w:t>
            </w:r>
            <w:r w:rsidRPr="00F12F8A">
              <w:rPr>
                <w:rFonts w:ascii="Calibri" w:eastAsia="Calibri" w:hAnsi="Calibri" w:cs="Times New Roman"/>
                <w:color w:val="ED7D31"/>
                <w:lang w:val="en-US" w:eastAsia="en-US"/>
              </w:rPr>
              <w:t xml:space="preserve"> </w:t>
            </w:r>
            <w:r w:rsidRPr="00F12F8A">
              <w:rPr>
                <w:rFonts w:ascii="Calibri" w:eastAsia="Calibri" w:hAnsi="Calibri" w:cs="Times New Roman"/>
                <w:color w:val="000000"/>
                <w:lang w:val="en-US" w:eastAsia="en-US"/>
              </w:rPr>
              <w:t xml:space="preserve">qualitative survey </w:t>
            </w:r>
            <w:r w:rsidRPr="00F12F8A">
              <w:rPr>
                <w:rFonts w:ascii="Calibri" w:eastAsia="Calibri" w:hAnsi="Calibri" w:cs="Times New Roman"/>
                <w:lang w:val="en-US" w:eastAsia="en-US"/>
              </w:rPr>
              <w:t>has been chosen as it will allow the researcher to reach a large population sample to explore the range of experiences of microaffirmations in young people. To ensure that the survey is suitable for the target population, the researcher will seek advice from an expert by experience (a gender-diverse young person aged 16-25) before it is shared more widely</w:t>
            </w:r>
            <w:r w:rsidR="00B84656" w:rsidRPr="00F12F8A">
              <w:rPr>
                <w:rFonts w:ascii="Calibri" w:eastAsia="Calibri" w:hAnsi="Calibri" w:cs="Times New Roman"/>
                <w:lang w:val="en-US" w:eastAsia="en-US"/>
              </w:rPr>
              <w:t>, if any changes are made an amendment will be submitted.</w:t>
            </w:r>
          </w:p>
          <w:p w14:paraId="2E2C7C27" w14:textId="196E1028" w:rsidR="0022533D" w:rsidRPr="00F12F8A" w:rsidRDefault="00B93A8C" w:rsidP="00B93A8C">
            <w:pPr>
              <w:spacing w:after="160" w:line="259" w:lineRule="auto"/>
              <w:rPr>
                <w:rFonts w:ascii="Calibri" w:eastAsia="Calibri" w:hAnsi="Calibri" w:cs="Times New Roman"/>
                <w:lang w:val="en-US" w:eastAsia="en-US"/>
              </w:rPr>
            </w:pPr>
            <w:r w:rsidRPr="00F12F8A">
              <w:rPr>
                <w:rFonts w:ascii="Calibri" w:eastAsia="Calibri" w:hAnsi="Calibri" w:cs="Times New Roman"/>
                <w:lang w:val="en-US" w:eastAsia="en-US"/>
              </w:rPr>
              <w:t xml:space="preserve">If </w:t>
            </w:r>
            <w:r w:rsidR="00705BD4" w:rsidRPr="00F12F8A">
              <w:rPr>
                <w:rFonts w:ascii="Calibri" w:eastAsia="Calibri" w:hAnsi="Calibri" w:cs="Times New Roman"/>
                <w:lang w:val="en-US" w:eastAsia="en-US"/>
              </w:rPr>
              <w:t xml:space="preserve">data collected from the </w:t>
            </w:r>
            <w:r w:rsidR="008C3EF2" w:rsidRPr="00F12F8A">
              <w:rPr>
                <w:rFonts w:ascii="Calibri" w:eastAsia="Calibri" w:hAnsi="Calibri" w:cs="Times New Roman"/>
                <w:lang w:val="en-US" w:eastAsia="en-US"/>
              </w:rPr>
              <w:t>survey is not rich enough for qualitative analysis</w:t>
            </w:r>
            <w:r w:rsidRPr="00F12F8A">
              <w:rPr>
                <w:rFonts w:ascii="Calibri" w:eastAsia="Calibri" w:hAnsi="Calibri" w:cs="Times New Roman"/>
                <w:lang w:val="en-US" w:eastAsia="en-US"/>
              </w:rPr>
              <w:t xml:space="preserve">, participants who have indicated interest will be </w:t>
            </w:r>
            <w:r w:rsidR="00184A78" w:rsidRPr="00F12F8A">
              <w:rPr>
                <w:rFonts w:ascii="Calibri" w:eastAsia="Calibri" w:hAnsi="Calibri" w:cs="Times New Roman"/>
                <w:lang w:val="en-US" w:eastAsia="en-US"/>
              </w:rPr>
              <w:t xml:space="preserve">randomly selected to be </w:t>
            </w:r>
            <w:r w:rsidRPr="00F12F8A">
              <w:rPr>
                <w:rFonts w:ascii="Calibri" w:eastAsia="Calibri" w:hAnsi="Calibri" w:cs="Times New Roman"/>
                <w:lang w:val="en-US" w:eastAsia="en-US"/>
              </w:rPr>
              <w:t xml:space="preserve">invited to </w:t>
            </w:r>
            <w:r w:rsidR="00705BD4" w:rsidRPr="00F12F8A">
              <w:rPr>
                <w:rFonts w:ascii="Calibri" w:eastAsia="Calibri" w:hAnsi="Calibri" w:cs="Times New Roman"/>
                <w:lang w:val="en-US" w:eastAsia="en-US"/>
              </w:rPr>
              <w:t>take part in a</w:t>
            </w:r>
            <w:r w:rsidRPr="00F12F8A">
              <w:rPr>
                <w:rFonts w:ascii="Calibri" w:eastAsia="Calibri" w:hAnsi="Calibri" w:cs="Times New Roman"/>
                <w:lang w:val="en-US" w:eastAsia="en-US"/>
              </w:rPr>
              <w:t xml:space="preserve"> focus group in which </w:t>
            </w:r>
            <w:r w:rsidR="003765F8" w:rsidRPr="00F12F8A">
              <w:rPr>
                <w:rFonts w:ascii="Calibri" w:eastAsia="Calibri" w:hAnsi="Calibri" w:cs="Times New Roman"/>
                <w:lang w:val="en-US" w:eastAsia="en-US"/>
              </w:rPr>
              <w:t xml:space="preserve">themes from the </w:t>
            </w:r>
            <w:r w:rsidR="00184A78" w:rsidRPr="00F12F8A">
              <w:rPr>
                <w:rFonts w:ascii="Calibri" w:eastAsia="Calibri" w:hAnsi="Calibri" w:cs="Times New Roman"/>
                <w:lang w:val="en-US" w:eastAsia="en-US"/>
              </w:rPr>
              <w:t xml:space="preserve">questionnaire will be </w:t>
            </w:r>
            <w:r w:rsidRPr="00F12F8A">
              <w:rPr>
                <w:rFonts w:ascii="Calibri" w:eastAsia="Calibri" w:hAnsi="Calibri" w:cs="Times New Roman"/>
                <w:lang w:val="en-US" w:eastAsia="en-US"/>
              </w:rPr>
              <w:t>explored in more depth.</w:t>
            </w:r>
            <w:r w:rsidR="0006254F" w:rsidRPr="00F12F8A">
              <w:rPr>
                <w:rFonts w:ascii="Calibri" w:eastAsia="Calibri" w:hAnsi="Calibri" w:cs="Times New Roman"/>
                <w:lang w:val="en-US" w:eastAsia="en-US"/>
              </w:rPr>
              <w:t xml:space="preserve"> </w:t>
            </w:r>
            <w:r w:rsidR="002E2D61" w:rsidRPr="00F12F8A">
              <w:rPr>
                <w:rFonts w:ascii="Calibri" w:eastAsia="Calibri" w:hAnsi="Calibri" w:cs="Times New Roman"/>
                <w:lang w:val="en-US" w:eastAsia="en-US"/>
              </w:rPr>
              <w:t xml:space="preserve">As the survey responses are being collected anonymously, no link will be made between </w:t>
            </w:r>
            <w:r w:rsidR="00CB675B" w:rsidRPr="00F12F8A">
              <w:rPr>
                <w:rFonts w:ascii="Calibri" w:eastAsia="Calibri" w:hAnsi="Calibri" w:cs="Times New Roman"/>
                <w:lang w:val="en-US" w:eastAsia="en-US"/>
              </w:rPr>
              <w:t>personal</w:t>
            </w:r>
            <w:r w:rsidR="002E2D61" w:rsidRPr="00F12F8A">
              <w:rPr>
                <w:rFonts w:ascii="Calibri" w:eastAsia="Calibri" w:hAnsi="Calibri" w:cs="Times New Roman"/>
                <w:lang w:val="en-US" w:eastAsia="en-US"/>
              </w:rPr>
              <w:t xml:space="preserve"> survey responses and </w:t>
            </w:r>
            <w:r w:rsidR="00CB675B" w:rsidRPr="00F12F8A">
              <w:rPr>
                <w:rFonts w:ascii="Calibri" w:eastAsia="Calibri" w:hAnsi="Calibri" w:cs="Times New Roman"/>
                <w:lang w:val="en-US" w:eastAsia="en-US"/>
              </w:rPr>
              <w:t>information shared in the focus group.</w:t>
            </w:r>
          </w:p>
          <w:p w14:paraId="70E530E7" w14:textId="54200798" w:rsidR="005872CD" w:rsidRPr="00B93A8C" w:rsidRDefault="005872CD" w:rsidP="00B93A8C">
            <w:pPr>
              <w:spacing w:after="160" w:line="259" w:lineRule="auto"/>
              <w:rPr>
                <w:rFonts w:ascii="Calibri" w:eastAsia="Calibri" w:hAnsi="Calibri" w:cs="Times New Roman"/>
                <w:lang w:val="en-US" w:eastAsia="en-US"/>
              </w:rPr>
            </w:pPr>
            <w:r w:rsidRPr="00F12F8A">
              <w:rPr>
                <w:rFonts w:ascii="Calibri" w:eastAsia="Calibri" w:hAnsi="Calibri" w:cs="Times New Roman"/>
                <w:lang w:val="en-US" w:eastAsia="en-US"/>
              </w:rPr>
              <w:t>These focus groups will</w:t>
            </w:r>
            <w:r w:rsidR="00705BD4" w:rsidRPr="00F12F8A">
              <w:rPr>
                <w:rFonts w:ascii="Calibri" w:eastAsia="Calibri" w:hAnsi="Calibri" w:cs="Times New Roman"/>
                <w:lang w:val="en-US" w:eastAsia="en-US"/>
              </w:rPr>
              <w:t xml:space="preserve"> explore themes from the questionnaire in</w:t>
            </w:r>
            <w:r w:rsidR="00705BD4" w:rsidRPr="00705BD4">
              <w:rPr>
                <w:rFonts w:ascii="Calibri" w:eastAsia="Calibri" w:hAnsi="Calibri" w:cs="Times New Roman"/>
                <w:lang w:val="en-US" w:eastAsia="en-US"/>
              </w:rPr>
              <w:t xml:space="preserve"> more depth</w:t>
            </w:r>
            <w:r w:rsidR="008C3EF2">
              <w:rPr>
                <w:rFonts w:ascii="Calibri" w:eastAsia="Calibri" w:hAnsi="Calibri" w:cs="Times New Roman"/>
                <w:lang w:val="en-US" w:eastAsia="en-US"/>
              </w:rPr>
              <w:t xml:space="preserve">. They will </w:t>
            </w:r>
            <w:r>
              <w:rPr>
                <w:rFonts w:ascii="Calibri" w:eastAsia="Calibri" w:hAnsi="Calibri" w:cs="Times New Roman"/>
                <w:lang w:val="en-US" w:eastAsia="en-US"/>
              </w:rPr>
              <w:t>be conducted online in groups of approximately 4-6 young people</w:t>
            </w:r>
            <w:r w:rsidR="00025AE7">
              <w:rPr>
                <w:rFonts w:ascii="Calibri" w:eastAsia="Calibri" w:hAnsi="Calibri" w:cs="Times New Roman"/>
                <w:lang w:val="en-US" w:eastAsia="en-US"/>
              </w:rPr>
              <w:t xml:space="preserve">. </w:t>
            </w:r>
          </w:p>
        </w:tc>
      </w:tr>
    </w:tbl>
    <w:p w14:paraId="35D86590" w14:textId="77777777" w:rsidR="00A16C95" w:rsidRPr="0022533D" w:rsidRDefault="00A16C95" w:rsidP="00A16C95">
      <w:pPr>
        <w:rPr>
          <w:b/>
          <w:bCs/>
          <w:sz w:val="24"/>
          <w:szCs w:val="24"/>
        </w:rPr>
      </w:pPr>
    </w:p>
    <w:tbl>
      <w:tblPr>
        <w:tblStyle w:val="TableGrid"/>
        <w:tblW w:w="0" w:type="auto"/>
        <w:tblLook w:val="04A0" w:firstRow="1" w:lastRow="0" w:firstColumn="1" w:lastColumn="0" w:noHBand="0" w:noVBand="1"/>
      </w:tblPr>
      <w:tblGrid>
        <w:gridCol w:w="9016"/>
      </w:tblGrid>
      <w:tr w:rsidR="00A16C95" w:rsidRPr="0022533D" w14:paraId="769A95C3" w14:textId="77777777" w:rsidTr="00A16C95">
        <w:tc>
          <w:tcPr>
            <w:tcW w:w="9242" w:type="dxa"/>
          </w:tcPr>
          <w:p w14:paraId="49BD19FB" w14:textId="47F9E4CF" w:rsidR="00A16C95" w:rsidRPr="0022533D" w:rsidRDefault="002A68C5" w:rsidP="008147D6">
            <w:pPr>
              <w:rPr>
                <w:b/>
                <w:bCs/>
                <w:sz w:val="24"/>
                <w:szCs w:val="24"/>
              </w:rPr>
            </w:pPr>
            <w:r>
              <w:rPr>
                <w:b/>
                <w:bCs/>
                <w:sz w:val="24"/>
                <w:szCs w:val="24"/>
              </w:rPr>
              <w:t>2.</w:t>
            </w:r>
            <w:r w:rsidR="008147D6">
              <w:rPr>
                <w:b/>
                <w:bCs/>
                <w:sz w:val="24"/>
                <w:szCs w:val="24"/>
              </w:rPr>
              <w:t>5</w:t>
            </w:r>
            <w:r w:rsidR="00A16C95" w:rsidRPr="0022533D">
              <w:rPr>
                <w:b/>
                <w:bCs/>
                <w:sz w:val="24"/>
                <w:szCs w:val="24"/>
              </w:rPr>
              <w:t xml:space="preserve"> </w:t>
            </w:r>
            <w:r w:rsidR="00BD1AAE">
              <w:rPr>
                <w:b/>
                <w:bCs/>
                <w:sz w:val="24"/>
                <w:szCs w:val="24"/>
              </w:rPr>
              <w:t>What are the key</w:t>
            </w:r>
            <w:r w:rsidR="00A16C95" w:rsidRPr="0022533D">
              <w:rPr>
                <w:b/>
                <w:bCs/>
                <w:sz w:val="24"/>
                <w:szCs w:val="24"/>
              </w:rPr>
              <w:t xml:space="preserve"> research question</w:t>
            </w:r>
            <w:r w:rsidR="00BD1AAE">
              <w:rPr>
                <w:b/>
                <w:bCs/>
                <w:sz w:val="24"/>
                <w:szCs w:val="24"/>
              </w:rPr>
              <w:t>(s)</w:t>
            </w:r>
            <w:r w:rsidR="0054630D">
              <w:rPr>
                <w:b/>
                <w:bCs/>
                <w:sz w:val="24"/>
                <w:szCs w:val="24"/>
              </w:rPr>
              <w:t>?</w:t>
            </w:r>
            <w:r w:rsidR="00BD1AAE">
              <w:rPr>
                <w:b/>
                <w:bCs/>
                <w:sz w:val="24"/>
                <w:szCs w:val="24"/>
              </w:rPr>
              <w:t xml:space="preserve"> Specify hypotheses </w:t>
            </w:r>
            <w:r w:rsidR="008F7ADA" w:rsidRPr="008F7ADA">
              <w:rPr>
                <w:b/>
                <w:bCs/>
                <w:sz w:val="24"/>
                <w:szCs w:val="24"/>
              </w:rPr>
              <w:t>if applicable</w:t>
            </w:r>
            <w:r w:rsidR="00F461D5">
              <w:rPr>
                <w:b/>
                <w:bCs/>
                <w:sz w:val="24"/>
                <w:szCs w:val="24"/>
              </w:rPr>
              <w:t>.</w:t>
            </w:r>
          </w:p>
        </w:tc>
      </w:tr>
      <w:tr w:rsidR="00A16C95" w:rsidRPr="0022533D" w14:paraId="42496214" w14:textId="77777777" w:rsidTr="009F0D7A">
        <w:trPr>
          <w:trHeight w:val="78"/>
        </w:trPr>
        <w:tc>
          <w:tcPr>
            <w:tcW w:w="9242" w:type="dxa"/>
          </w:tcPr>
          <w:p w14:paraId="7A7283E6" w14:textId="77777777" w:rsidR="00C00BDB" w:rsidRDefault="00C00BDB" w:rsidP="00A16C95">
            <w:pPr>
              <w:rPr>
                <w:sz w:val="24"/>
                <w:szCs w:val="24"/>
              </w:rPr>
            </w:pPr>
          </w:p>
          <w:p w14:paraId="65998B39" w14:textId="4E7F0869" w:rsidR="0022533D" w:rsidRDefault="00C00BDB" w:rsidP="00A16C95">
            <w:pPr>
              <w:rPr>
                <w:sz w:val="24"/>
                <w:szCs w:val="24"/>
              </w:rPr>
            </w:pPr>
            <w:r w:rsidRPr="00C00BDB">
              <w:rPr>
                <w:sz w:val="24"/>
                <w:szCs w:val="24"/>
              </w:rPr>
              <w:t>What microaffirmations do gender diverse young people experience?</w:t>
            </w:r>
          </w:p>
          <w:p w14:paraId="24C8B15F" w14:textId="085FFDD5" w:rsidR="00C00BDB" w:rsidRPr="00C00BDB" w:rsidRDefault="00C00BDB" w:rsidP="00A16C95">
            <w:pPr>
              <w:rPr>
                <w:sz w:val="24"/>
                <w:szCs w:val="24"/>
              </w:rPr>
            </w:pPr>
          </w:p>
        </w:tc>
      </w:tr>
    </w:tbl>
    <w:p w14:paraId="0A939E19" w14:textId="77777777" w:rsidR="00A16C95" w:rsidRDefault="00A16C95" w:rsidP="00A16C95">
      <w:pPr>
        <w:rPr>
          <w:b/>
          <w:bCs/>
          <w:sz w:val="24"/>
          <w:szCs w:val="24"/>
        </w:rPr>
      </w:pPr>
    </w:p>
    <w:p w14:paraId="305D8976" w14:textId="04A69DBB" w:rsidR="00A16C95" w:rsidRDefault="00A16C95" w:rsidP="00A16C95">
      <w:pPr>
        <w:pStyle w:val="ListParagraph"/>
        <w:numPr>
          <w:ilvl w:val="0"/>
          <w:numId w:val="1"/>
        </w:numPr>
        <w:rPr>
          <w:b/>
          <w:bCs/>
          <w:sz w:val="24"/>
          <w:szCs w:val="24"/>
        </w:rPr>
      </w:pPr>
      <w:r w:rsidRPr="0022533D">
        <w:rPr>
          <w:b/>
          <w:bCs/>
          <w:sz w:val="24"/>
          <w:szCs w:val="24"/>
        </w:rPr>
        <w:t>Sample and setting</w:t>
      </w:r>
    </w:p>
    <w:tbl>
      <w:tblPr>
        <w:tblStyle w:val="TableGrid"/>
        <w:tblW w:w="0" w:type="auto"/>
        <w:tblLook w:val="04A0" w:firstRow="1" w:lastRow="0" w:firstColumn="1" w:lastColumn="0" w:noHBand="0" w:noVBand="1"/>
      </w:tblPr>
      <w:tblGrid>
        <w:gridCol w:w="9016"/>
      </w:tblGrid>
      <w:tr w:rsidR="00AC77FF" w14:paraId="76FD8B15" w14:textId="77777777" w:rsidTr="00AC77FF">
        <w:tc>
          <w:tcPr>
            <w:tcW w:w="9016" w:type="dxa"/>
          </w:tcPr>
          <w:p w14:paraId="640D8D95" w14:textId="4A7FA000" w:rsidR="00AC77FF" w:rsidRDefault="00AC77FF" w:rsidP="00AC77FF">
            <w:pPr>
              <w:rPr>
                <w:b/>
                <w:bCs/>
                <w:sz w:val="24"/>
                <w:szCs w:val="24"/>
              </w:rPr>
            </w:pPr>
            <w:r w:rsidRPr="0022533D">
              <w:rPr>
                <w:b/>
                <w:bCs/>
                <w:sz w:val="24"/>
                <w:szCs w:val="24"/>
              </w:rPr>
              <w:t xml:space="preserve">3.1 </w:t>
            </w:r>
            <w:r w:rsidRPr="00742788">
              <w:rPr>
                <w:b/>
                <w:bCs/>
                <w:sz w:val="24"/>
                <w:szCs w:val="24"/>
              </w:rPr>
              <w:t xml:space="preserve">Who are the proposed </w:t>
            </w:r>
            <w:r>
              <w:rPr>
                <w:b/>
                <w:bCs/>
                <w:sz w:val="24"/>
                <w:szCs w:val="24"/>
              </w:rPr>
              <w:t>participants</w:t>
            </w:r>
            <w:r w:rsidRPr="00742788">
              <w:rPr>
                <w:b/>
                <w:bCs/>
                <w:sz w:val="24"/>
                <w:szCs w:val="24"/>
              </w:rPr>
              <w:t xml:space="preserve"> and where are they from (e.g. fellow students, club members)? List inclusion / e</w:t>
            </w:r>
            <w:r>
              <w:rPr>
                <w:b/>
                <w:bCs/>
                <w:sz w:val="24"/>
                <w:szCs w:val="24"/>
              </w:rPr>
              <w:t>xclusion criteria if applicable.</w:t>
            </w:r>
          </w:p>
        </w:tc>
      </w:tr>
      <w:tr w:rsidR="00AC77FF" w14:paraId="236ADCE5" w14:textId="77777777" w:rsidTr="00AC77FF">
        <w:tc>
          <w:tcPr>
            <w:tcW w:w="9016" w:type="dxa"/>
          </w:tcPr>
          <w:p w14:paraId="7DAE7F9B" w14:textId="77777777" w:rsidR="006D7950" w:rsidRDefault="006D7950" w:rsidP="00AC77FF">
            <w:pPr>
              <w:rPr>
                <w:b/>
                <w:bCs/>
                <w:sz w:val="24"/>
                <w:szCs w:val="24"/>
              </w:rPr>
            </w:pPr>
          </w:p>
          <w:p w14:paraId="6DDEB2F4" w14:textId="3F8579C7" w:rsidR="001D5550" w:rsidRPr="00F12F8A" w:rsidRDefault="008E58AA" w:rsidP="008E58AA">
            <w:pPr>
              <w:rPr>
                <w:sz w:val="24"/>
                <w:szCs w:val="24"/>
              </w:rPr>
            </w:pPr>
            <w:r w:rsidRPr="008E58AA">
              <w:rPr>
                <w:sz w:val="24"/>
                <w:szCs w:val="24"/>
              </w:rPr>
              <w:t xml:space="preserve">Participants will be </w:t>
            </w:r>
            <w:proofErr w:type="gramStart"/>
            <w:r w:rsidR="00D921DA">
              <w:rPr>
                <w:sz w:val="24"/>
                <w:szCs w:val="24"/>
              </w:rPr>
              <w:t>non cis</w:t>
            </w:r>
            <w:proofErr w:type="gramEnd"/>
            <w:r w:rsidR="00D921DA">
              <w:rPr>
                <w:sz w:val="24"/>
                <w:szCs w:val="24"/>
              </w:rPr>
              <w:t xml:space="preserve">-gender </w:t>
            </w:r>
            <w:r w:rsidRPr="008E58AA">
              <w:rPr>
                <w:sz w:val="24"/>
                <w:szCs w:val="24"/>
              </w:rPr>
              <w:t xml:space="preserve">young people aged between 16-25. </w:t>
            </w:r>
            <w:r w:rsidR="00506B5A">
              <w:rPr>
                <w:sz w:val="24"/>
                <w:szCs w:val="24"/>
              </w:rPr>
              <w:t xml:space="preserve"> </w:t>
            </w:r>
            <w:r w:rsidR="00506B5A" w:rsidRPr="00506B5A">
              <w:rPr>
                <w:sz w:val="24"/>
                <w:szCs w:val="24"/>
              </w:rPr>
              <w:t>It is intended that the population should include a range of gender identities</w:t>
            </w:r>
            <w:r w:rsidR="00A759DD">
              <w:rPr>
                <w:sz w:val="24"/>
                <w:szCs w:val="24"/>
              </w:rPr>
              <w:t xml:space="preserve"> and include </w:t>
            </w:r>
            <w:r w:rsidR="00D921DA">
              <w:rPr>
                <w:sz w:val="24"/>
                <w:szCs w:val="24"/>
              </w:rPr>
              <w:t xml:space="preserve">those from marginalised communities, therefore </w:t>
            </w:r>
            <w:r w:rsidR="00506B5A" w:rsidRPr="00506B5A">
              <w:rPr>
                <w:sz w:val="24"/>
                <w:szCs w:val="24"/>
              </w:rPr>
              <w:t xml:space="preserve">some targeted recruitment of underrepresented sub-groups may be </w:t>
            </w:r>
            <w:r w:rsidR="00506B5A" w:rsidRPr="00F12F8A">
              <w:rPr>
                <w:sz w:val="24"/>
                <w:szCs w:val="24"/>
              </w:rPr>
              <w:t xml:space="preserve">conducted to ensure this. </w:t>
            </w:r>
          </w:p>
          <w:p w14:paraId="2DBB975A" w14:textId="77777777" w:rsidR="00DE3B32" w:rsidRPr="00F12F8A" w:rsidRDefault="00DE3B32" w:rsidP="008E58AA">
            <w:pPr>
              <w:rPr>
                <w:sz w:val="24"/>
                <w:szCs w:val="24"/>
              </w:rPr>
            </w:pPr>
          </w:p>
          <w:p w14:paraId="6B81C3D1" w14:textId="7E36022F" w:rsidR="00DE3B32" w:rsidRDefault="001C7B4F" w:rsidP="00D65451">
            <w:pPr>
              <w:rPr>
                <w:sz w:val="24"/>
                <w:szCs w:val="24"/>
              </w:rPr>
            </w:pPr>
            <w:r w:rsidRPr="00836FAB">
              <w:rPr>
                <w:sz w:val="24"/>
                <w:szCs w:val="24"/>
              </w:rPr>
              <w:t>Participants</w:t>
            </w:r>
            <w:r w:rsidR="005246D0" w:rsidRPr="00836FAB">
              <w:rPr>
                <w:sz w:val="24"/>
                <w:szCs w:val="24"/>
              </w:rPr>
              <w:t xml:space="preserve"> will be recruited through</w:t>
            </w:r>
            <w:r w:rsidR="00E23E03" w:rsidRPr="00836FAB">
              <w:rPr>
                <w:sz w:val="24"/>
                <w:szCs w:val="24"/>
              </w:rPr>
              <w:t xml:space="preserve"> </w:t>
            </w:r>
            <w:r w:rsidR="00B67319" w:rsidRPr="00B67319">
              <w:rPr>
                <w:sz w:val="24"/>
                <w:szCs w:val="24"/>
                <w:highlight w:val="yellow"/>
              </w:rPr>
              <w:t>Prolific</w:t>
            </w:r>
            <w:r w:rsidR="00B67319">
              <w:rPr>
                <w:sz w:val="24"/>
                <w:szCs w:val="24"/>
              </w:rPr>
              <w:t xml:space="preserve">, </w:t>
            </w:r>
            <w:r w:rsidR="00E23E03" w:rsidRPr="00836FAB">
              <w:rPr>
                <w:sz w:val="24"/>
                <w:szCs w:val="24"/>
              </w:rPr>
              <w:t xml:space="preserve">social media </w:t>
            </w:r>
            <w:r w:rsidR="00D65451" w:rsidRPr="00836FAB">
              <w:rPr>
                <w:sz w:val="24"/>
                <w:szCs w:val="24"/>
              </w:rPr>
              <w:t>(</w:t>
            </w:r>
            <w:r w:rsidR="00E23E03" w:rsidRPr="00836FAB">
              <w:rPr>
                <w:sz w:val="24"/>
                <w:szCs w:val="24"/>
              </w:rPr>
              <w:t>X, Instagram and Facebook</w:t>
            </w:r>
            <w:r w:rsidR="00D65451" w:rsidRPr="00836FAB">
              <w:rPr>
                <w:sz w:val="24"/>
                <w:szCs w:val="24"/>
              </w:rPr>
              <w:t>),</w:t>
            </w:r>
            <w:r w:rsidR="000D3317" w:rsidRPr="00836FAB">
              <w:rPr>
                <w:sz w:val="24"/>
                <w:szCs w:val="24"/>
              </w:rPr>
              <w:t xml:space="preserve"> education settings and charities/organisations supporting gender-diverse young people.</w:t>
            </w:r>
          </w:p>
          <w:p w14:paraId="77CD8B6D" w14:textId="58443D96" w:rsidR="00D65451" w:rsidRPr="00D65451" w:rsidRDefault="00D65451" w:rsidP="00D65451">
            <w:pPr>
              <w:rPr>
                <w:sz w:val="24"/>
                <w:szCs w:val="24"/>
              </w:rPr>
            </w:pPr>
          </w:p>
        </w:tc>
      </w:tr>
    </w:tbl>
    <w:p w14:paraId="4760351F" w14:textId="2ACBC93A" w:rsidR="00AC77FF" w:rsidRDefault="00AC77FF" w:rsidP="00A16C95">
      <w:pPr>
        <w:rPr>
          <w:b/>
          <w:bCs/>
          <w:sz w:val="24"/>
          <w:szCs w:val="24"/>
        </w:rPr>
      </w:pPr>
    </w:p>
    <w:p w14:paraId="66F38D82" w14:textId="77777777" w:rsidR="009F0D7A" w:rsidRDefault="009F0D7A" w:rsidP="00A16C95">
      <w:pPr>
        <w:rPr>
          <w:b/>
          <w:bCs/>
          <w:sz w:val="24"/>
          <w:szCs w:val="24"/>
        </w:rPr>
      </w:pPr>
    </w:p>
    <w:tbl>
      <w:tblPr>
        <w:tblStyle w:val="TableGrid"/>
        <w:tblW w:w="0" w:type="auto"/>
        <w:tblLook w:val="04A0" w:firstRow="1" w:lastRow="0" w:firstColumn="1" w:lastColumn="0" w:noHBand="0" w:noVBand="1"/>
      </w:tblPr>
      <w:tblGrid>
        <w:gridCol w:w="9016"/>
      </w:tblGrid>
      <w:tr w:rsidR="00AC77FF" w14:paraId="49B9783A" w14:textId="77777777" w:rsidTr="00AC77FF">
        <w:tc>
          <w:tcPr>
            <w:tcW w:w="9016" w:type="dxa"/>
          </w:tcPr>
          <w:p w14:paraId="57FAC08B" w14:textId="3DE92340" w:rsidR="00AC77FF" w:rsidRDefault="00AC77FF" w:rsidP="00A16C95">
            <w:pPr>
              <w:rPr>
                <w:b/>
                <w:bCs/>
                <w:sz w:val="24"/>
                <w:szCs w:val="24"/>
              </w:rPr>
            </w:pPr>
            <w:r w:rsidRPr="00AC77FF">
              <w:rPr>
                <w:b/>
                <w:bCs/>
                <w:sz w:val="24"/>
                <w:szCs w:val="24"/>
              </w:rPr>
              <w:t>3.2. How will the participants be identified and approached? Provide an indication of your sample size. If participants are under the responsibility of others (e.g., parents/carers, teachers) state if you have permission or how you will obtain permission from the third party).</w:t>
            </w:r>
          </w:p>
        </w:tc>
      </w:tr>
      <w:tr w:rsidR="00AC77FF" w14:paraId="7B5A45F6" w14:textId="77777777" w:rsidTr="00A056BD">
        <w:trPr>
          <w:trHeight w:val="2417"/>
        </w:trPr>
        <w:tc>
          <w:tcPr>
            <w:tcW w:w="9016" w:type="dxa"/>
          </w:tcPr>
          <w:p w14:paraId="42695913" w14:textId="77777777" w:rsidR="00394512" w:rsidRDefault="00394512" w:rsidP="00F36B52"/>
          <w:p w14:paraId="76E97E04" w14:textId="07838483" w:rsidR="00845579" w:rsidRPr="00836FAB" w:rsidRDefault="00EC1870" w:rsidP="00F36B52">
            <w:r w:rsidRPr="00836FAB">
              <w:t>Approximately 100 participants will be recruited</w:t>
            </w:r>
            <w:r w:rsidR="00F36B52" w:rsidRPr="00836FAB">
              <w:t xml:space="preserve">. Participants will be recruited </w:t>
            </w:r>
            <w:r w:rsidR="00845579" w:rsidRPr="00836FAB">
              <w:t xml:space="preserve">by sharing the recruitment poster </w:t>
            </w:r>
            <w:r w:rsidR="00394512" w:rsidRPr="00836FAB">
              <w:t xml:space="preserve">and survey link </w:t>
            </w:r>
            <w:r w:rsidR="00845579" w:rsidRPr="00836FAB">
              <w:t xml:space="preserve">on </w:t>
            </w:r>
            <w:r w:rsidR="00F36B52" w:rsidRPr="00836FAB">
              <w:t>the social media platforms X, Instagram and Facebook – with moderator approval being sought for any closed groups</w:t>
            </w:r>
            <w:r w:rsidR="009F5DB8" w:rsidRPr="00836FAB">
              <w:t>.</w:t>
            </w:r>
          </w:p>
          <w:p w14:paraId="365FD39C" w14:textId="77777777" w:rsidR="00845579" w:rsidRPr="00836FAB" w:rsidRDefault="00845579" w:rsidP="00F36B52"/>
          <w:p w14:paraId="0624EB08" w14:textId="6AFB3AB6" w:rsidR="00845579" w:rsidRPr="00836FAB" w:rsidRDefault="00F36B52" w:rsidP="00F36B52">
            <w:r w:rsidRPr="00836FAB">
              <w:t>Charities/organisations supporting gender-diverse young people (see uploaded list) and education settings will be contacted,</w:t>
            </w:r>
            <w:r w:rsidR="00394512" w:rsidRPr="00836FAB">
              <w:t xml:space="preserve"> providing them with information about the study, the recruitment poster and a link to the online survey that can be shared with their communities</w:t>
            </w:r>
            <w:r w:rsidRPr="00836FAB">
              <w:t xml:space="preserve"> – gatekeeper approval will be sought (see uplo</w:t>
            </w:r>
            <w:r w:rsidR="00845579" w:rsidRPr="00836FAB">
              <w:t>aded gatekeeper email)</w:t>
            </w:r>
            <w:r w:rsidRPr="00836FAB">
              <w:t xml:space="preserve"> and uploaded </w:t>
            </w:r>
            <w:proofErr w:type="gramStart"/>
            <w:r w:rsidRPr="00836FAB">
              <w:t>to</w:t>
            </w:r>
            <w:proofErr w:type="gramEnd"/>
            <w:r w:rsidRPr="00836FAB">
              <w:t xml:space="preserve"> ERGO. </w:t>
            </w:r>
          </w:p>
          <w:p w14:paraId="49E6BB9A" w14:textId="77777777" w:rsidR="00845579" w:rsidRPr="00836FAB" w:rsidRDefault="00845579" w:rsidP="00F36B52"/>
          <w:p w14:paraId="0F8F7044" w14:textId="17DE6573" w:rsidR="00F36B52" w:rsidRDefault="00F36B52" w:rsidP="00F36B52">
            <w:r w:rsidRPr="00836FAB">
              <w:t>Recruitment may also occur through snowballing, where upon, those who see the research poster/hear about the project, share the details with others who may be suitable and interested.</w:t>
            </w:r>
          </w:p>
          <w:p w14:paraId="752F96C8" w14:textId="77777777" w:rsidR="00016292" w:rsidRDefault="00016292" w:rsidP="00F36B52"/>
          <w:p w14:paraId="66C63DE9" w14:textId="305B8E9C" w:rsidR="00016292" w:rsidRPr="00F36B52" w:rsidRDefault="00016292" w:rsidP="00F36B52">
            <w:r w:rsidRPr="008E517F">
              <w:rPr>
                <w:highlight w:val="yellow"/>
              </w:rPr>
              <w:t xml:space="preserve">In addition to this, </w:t>
            </w:r>
            <w:r w:rsidR="008E517F" w:rsidRPr="008E517F">
              <w:rPr>
                <w:highlight w:val="yellow"/>
              </w:rPr>
              <w:t xml:space="preserve">recruitment will also occur using </w:t>
            </w:r>
            <w:r w:rsidR="00393C26">
              <w:rPr>
                <w:highlight w:val="yellow"/>
              </w:rPr>
              <w:t xml:space="preserve">the paid participant pool </w:t>
            </w:r>
            <w:r w:rsidR="008E517F" w:rsidRPr="008E517F">
              <w:rPr>
                <w:highlight w:val="yellow"/>
              </w:rPr>
              <w:t>Prolific</w:t>
            </w:r>
            <w:r w:rsidR="00393C26">
              <w:rPr>
                <w:highlight w:val="yellow"/>
              </w:rPr>
              <w:t xml:space="preserve"> </w:t>
            </w:r>
            <w:hyperlink r:id="rId10" w:history="1">
              <w:r w:rsidR="00B86C5E" w:rsidRPr="009D51D7">
                <w:rPr>
                  <w:rStyle w:val="Hyperlink"/>
                  <w:highlight w:val="yellow"/>
                </w:rPr>
                <w:t>www.prolific.com</w:t>
              </w:r>
            </w:hyperlink>
            <w:r w:rsidR="00B86C5E">
              <w:rPr>
                <w:highlight w:val="yellow"/>
              </w:rPr>
              <w:t xml:space="preserve"> </w:t>
            </w:r>
            <w:r w:rsidR="008E517F" w:rsidRPr="008E517F">
              <w:rPr>
                <w:highlight w:val="yellow"/>
              </w:rPr>
              <w:t>(due to difficulties with recruitment using other methods</w:t>
            </w:r>
            <w:r w:rsidR="008E517F" w:rsidRPr="0046182F">
              <w:rPr>
                <w:highlight w:val="yellow"/>
              </w:rPr>
              <w:t>).</w:t>
            </w:r>
            <w:r w:rsidR="00B11210" w:rsidRPr="0046182F">
              <w:rPr>
                <w:highlight w:val="yellow"/>
              </w:rPr>
              <w:t xml:space="preserve"> Prolific participant filters will be used to ensure only those who meet the eligibility criteria, according to their answers to Prolific inbuilt participant questionnaires, are invited to participate.</w:t>
            </w:r>
            <w:r w:rsidR="00B11210" w:rsidRPr="00B11210">
              <w:t xml:space="preserve"> </w:t>
            </w:r>
          </w:p>
          <w:p w14:paraId="6B4619D7" w14:textId="3D08DAE1" w:rsidR="008E58AA" w:rsidRDefault="008E58AA" w:rsidP="00394512">
            <w:pPr>
              <w:rPr>
                <w:b/>
                <w:bCs/>
                <w:sz w:val="24"/>
                <w:szCs w:val="24"/>
              </w:rPr>
            </w:pPr>
          </w:p>
        </w:tc>
      </w:tr>
    </w:tbl>
    <w:p w14:paraId="0A9808EC" w14:textId="77777777" w:rsidR="00A16C95" w:rsidRPr="0022533D" w:rsidRDefault="00A16C95" w:rsidP="00A16C95">
      <w:pPr>
        <w:rPr>
          <w:b/>
          <w:bCs/>
          <w:sz w:val="24"/>
          <w:szCs w:val="24"/>
        </w:rPr>
      </w:pPr>
    </w:p>
    <w:tbl>
      <w:tblPr>
        <w:tblStyle w:val="TableGrid"/>
        <w:tblW w:w="0" w:type="auto"/>
        <w:tblLook w:val="04A0" w:firstRow="1" w:lastRow="0" w:firstColumn="1" w:lastColumn="0" w:noHBand="0" w:noVBand="1"/>
      </w:tblPr>
      <w:tblGrid>
        <w:gridCol w:w="9016"/>
      </w:tblGrid>
      <w:tr w:rsidR="00A16C95" w:rsidRPr="0022533D" w14:paraId="23DBEF5D" w14:textId="77777777" w:rsidTr="00B6168F">
        <w:tc>
          <w:tcPr>
            <w:tcW w:w="9242" w:type="dxa"/>
          </w:tcPr>
          <w:p w14:paraId="059AEF53" w14:textId="433B74F6" w:rsidR="00A16C95" w:rsidRPr="0022533D" w:rsidRDefault="00A16C95" w:rsidP="00AE648E">
            <w:pPr>
              <w:rPr>
                <w:b/>
                <w:bCs/>
                <w:sz w:val="24"/>
                <w:szCs w:val="24"/>
              </w:rPr>
            </w:pPr>
            <w:r w:rsidRPr="009616FF">
              <w:rPr>
                <w:b/>
                <w:bCs/>
                <w:sz w:val="24"/>
                <w:szCs w:val="24"/>
              </w:rPr>
              <w:t>3.3 Describe the relationship between researcher and sample</w:t>
            </w:r>
            <w:r w:rsidR="00AE648E" w:rsidRPr="009616FF">
              <w:rPr>
                <w:b/>
                <w:bCs/>
                <w:sz w:val="24"/>
                <w:szCs w:val="24"/>
              </w:rPr>
              <w:t>.</w:t>
            </w:r>
            <w:r w:rsidR="00742788" w:rsidRPr="009616FF">
              <w:rPr>
                <w:b/>
                <w:bCs/>
                <w:sz w:val="24"/>
                <w:szCs w:val="24"/>
              </w:rPr>
              <w:t xml:space="preserve"> </w:t>
            </w:r>
            <w:r w:rsidR="00CD0B88" w:rsidRPr="009616FF">
              <w:rPr>
                <w:b/>
                <w:bCs/>
                <w:sz w:val="24"/>
                <w:szCs w:val="24"/>
              </w:rPr>
              <w:t xml:space="preserve">Describe any relationship </w:t>
            </w:r>
            <w:r w:rsidR="00742788" w:rsidRPr="009616FF">
              <w:rPr>
                <w:b/>
                <w:bCs/>
                <w:sz w:val="24"/>
                <w:szCs w:val="24"/>
              </w:rPr>
              <w:t>e.g.</w:t>
            </w:r>
            <w:r w:rsidR="00CD0B88" w:rsidRPr="009616FF">
              <w:rPr>
                <w:b/>
                <w:bCs/>
                <w:sz w:val="24"/>
                <w:szCs w:val="24"/>
              </w:rPr>
              <w:t>,</w:t>
            </w:r>
            <w:r w:rsidR="00742788" w:rsidRPr="009616FF">
              <w:rPr>
                <w:b/>
                <w:bCs/>
                <w:sz w:val="24"/>
                <w:szCs w:val="24"/>
              </w:rPr>
              <w:t xml:space="preserve"> teache</w:t>
            </w:r>
            <w:r w:rsidR="00AE648E" w:rsidRPr="009616FF">
              <w:rPr>
                <w:b/>
                <w:bCs/>
                <w:sz w:val="24"/>
                <w:szCs w:val="24"/>
              </w:rPr>
              <w:t>r, friend, boss, clinician, etc</w:t>
            </w:r>
            <w:r w:rsidR="00CD0B88" w:rsidRPr="009616FF">
              <w:rPr>
                <w:b/>
                <w:bCs/>
                <w:sz w:val="24"/>
                <w:szCs w:val="24"/>
              </w:rPr>
              <w:t>.</w:t>
            </w:r>
          </w:p>
        </w:tc>
      </w:tr>
      <w:tr w:rsidR="00A16C95" w:rsidRPr="0022533D" w14:paraId="74EF7113" w14:textId="77777777" w:rsidTr="009F0D7A">
        <w:trPr>
          <w:trHeight w:val="56"/>
        </w:trPr>
        <w:tc>
          <w:tcPr>
            <w:tcW w:w="9242" w:type="dxa"/>
          </w:tcPr>
          <w:p w14:paraId="6BCA0FF9" w14:textId="77777777" w:rsidR="0022533D" w:rsidRPr="00735A91" w:rsidRDefault="0022533D" w:rsidP="00B6168F">
            <w:pPr>
              <w:rPr>
                <w:sz w:val="24"/>
                <w:szCs w:val="24"/>
              </w:rPr>
            </w:pPr>
          </w:p>
          <w:p w14:paraId="709F0340" w14:textId="581FEBBB" w:rsidR="008E58AA" w:rsidRPr="00735A91" w:rsidRDefault="00735A91" w:rsidP="00B6168F">
            <w:pPr>
              <w:rPr>
                <w:sz w:val="24"/>
                <w:szCs w:val="24"/>
              </w:rPr>
            </w:pPr>
            <w:r w:rsidRPr="00735A91">
              <w:rPr>
                <w:sz w:val="24"/>
                <w:szCs w:val="24"/>
              </w:rPr>
              <w:t>There is no anticipated relationship between researcher and participants.</w:t>
            </w:r>
          </w:p>
          <w:p w14:paraId="410EEEE4" w14:textId="41D3ACF5" w:rsidR="008E58AA" w:rsidRPr="0022533D" w:rsidRDefault="008E58AA" w:rsidP="00B6168F">
            <w:pPr>
              <w:rPr>
                <w:b/>
                <w:bCs/>
                <w:sz w:val="24"/>
                <w:szCs w:val="24"/>
              </w:rPr>
            </w:pPr>
          </w:p>
        </w:tc>
      </w:tr>
    </w:tbl>
    <w:p w14:paraId="20D1D459" w14:textId="77777777" w:rsidR="00A16C95" w:rsidRPr="0022533D" w:rsidRDefault="00A16C95" w:rsidP="00A16C95">
      <w:pPr>
        <w:rPr>
          <w:b/>
          <w:bCs/>
          <w:sz w:val="24"/>
          <w:szCs w:val="24"/>
        </w:rPr>
      </w:pPr>
    </w:p>
    <w:tbl>
      <w:tblPr>
        <w:tblStyle w:val="TableGrid"/>
        <w:tblW w:w="0" w:type="auto"/>
        <w:tblLook w:val="04A0" w:firstRow="1" w:lastRow="0" w:firstColumn="1" w:lastColumn="0" w:noHBand="0" w:noVBand="1"/>
      </w:tblPr>
      <w:tblGrid>
        <w:gridCol w:w="9016"/>
      </w:tblGrid>
      <w:tr w:rsidR="00A16C95" w:rsidRPr="0022533D" w14:paraId="2F7EDEBB" w14:textId="77777777" w:rsidTr="00606293">
        <w:tc>
          <w:tcPr>
            <w:tcW w:w="9016" w:type="dxa"/>
          </w:tcPr>
          <w:p w14:paraId="2CCC2A48" w14:textId="539224D4" w:rsidR="00A16C95" w:rsidRPr="0022533D" w:rsidRDefault="00A16C95" w:rsidP="00CD0B88">
            <w:pPr>
              <w:rPr>
                <w:b/>
                <w:bCs/>
                <w:sz w:val="24"/>
                <w:szCs w:val="24"/>
              </w:rPr>
            </w:pPr>
            <w:r w:rsidRPr="00CD0B88">
              <w:rPr>
                <w:b/>
                <w:bCs/>
                <w:sz w:val="24"/>
                <w:szCs w:val="24"/>
              </w:rPr>
              <w:t>3.4</w:t>
            </w:r>
            <w:r w:rsidR="00A03ED5" w:rsidRPr="00CD0B88">
              <w:rPr>
                <w:b/>
                <w:bCs/>
                <w:sz w:val="24"/>
                <w:szCs w:val="24"/>
              </w:rPr>
              <w:t xml:space="preserve"> </w:t>
            </w:r>
            <w:r w:rsidR="00CD0B88">
              <w:rPr>
                <w:b/>
                <w:bCs/>
                <w:sz w:val="24"/>
                <w:szCs w:val="24"/>
              </w:rPr>
              <w:t>How will you obtain the consent of participants? (</w:t>
            </w:r>
            <w:r w:rsidR="00CD0B88" w:rsidRPr="004439C1">
              <w:rPr>
                <w:bCs/>
                <w:i/>
                <w:sz w:val="24"/>
                <w:szCs w:val="24"/>
              </w:rPr>
              <w:t>please upload a copy of the consent form if obtaining written consent</w:t>
            </w:r>
            <w:r w:rsidR="004439C1">
              <w:rPr>
                <w:b/>
                <w:bCs/>
                <w:sz w:val="24"/>
                <w:szCs w:val="24"/>
              </w:rPr>
              <w:t>)</w:t>
            </w:r>
            <w:r w:rsidR="00CD0B88">
              <w:rPr>
                <w:b/>
                <w:bCs/>
                <w:sz w:val="24"/>
                <w:szCs w:val="24"/>
              </w:rPr>
              <w:t xml:space="preserve"> </w:t>
            </w:r>
            <w:r w:rsidR="00930E86" w:rsidRPr="00930E86">
              <w:rPr>
                <w:b/>
                <w:bCs/>
                <w:sz w:val="24"/>
                <w:szCs w:val="24"/>
              </w:rPr>
              <w:t>NB A separate consent form is not needed for online surveys where consent can be indicated by ticking/checking a consent box (normally at the end of the PIS).  Other online study designs may still require a consent form or alternative procedure (for example, recorded verbal consent for online interviews).</w:t>
            </w:r>
          </w:p>
        </w:tc>
      </w:tr>
      <w:tr w:rsidR="00A16C95" w:rsidRPr="0022533D" w14:paraId="2C998DEA" w14:textId="77777777" w:rsidTr="009F0D7A">
        <w:trPr>
          <w:trHeight w:val="165"/>
        </w:trPr>
        <w:tc>
          <w:tcPr>
            <w:tcW w:w="9016" w:type="dxa"/>
          </w:tcPr>
          <w:p w14:paraId="1BD745B2" w14:textId="4B9963FA" w:rsidR="0022533D" w:rsidRPr="00C975C2" w:rsidRDefault="00C975C2" w:rsidP="00B6168F">
            <w:pPr>
              <w:rPr>
                <w:sz w:val="24"/>
                <w:szCs w:val="24"/>
              </w:rPr>
            </w:pPr>
            <w:r w:rsidRPr="00C975C2">
              <w:rPr>
                <w:sz w:val="24"/>
                <w:szCs w:val="24"/>
              </w:rPr>
              <w:t>As</w:t>
            </w:r>
            <w:r>
              <w:rPr>
                <w:sz w:val="24"/>
                <w:szCs w:val="24"/>
              </w:rPr>
              <w:t xml:space="preserve"> it will be an online questionnaire, there will be </w:t>
            </w:r>
            <w:r w:rsidRPr="00C975C2">
              <w:rPr>
                <w:sz w:val="24"/>
                <w:szCs w:val="24"/>
              </w:rPr>
              <w:t>a consent box that participants can tick if they wish to consent to the research after reading the information sheet.</w:t>
            </w:r>
          </w:p>
        </w:tc>
      </w:tr>
    </w:tbl>
    <w:p w14:paraId="383A5DDF" w14:textId="77777777" w:rsidR="00A03ED5" w:rsidRDefault="00A03ED5" w:rsidP="00A16C95">
      <w:pPr>
        <w:rPr>
          <w:b/>
          <w:bCs/>
          <w:sz w:val="24"/>
          <w:szCs w:val="24"/>
        </w:rPr>
      </w:pPr>
    </w:p>
    <w:tbl>
      <w:tblPr>
        <w:tblStyle w:val="TableGrid"/>
        <w:tblW w:w="9083" w:type="dxa"/>
        <w:tblLook w:val="04A0" w:firstRow="1" w:lastRow="0" w:firstColumn="1" w:lastColumn="0" w:noHBand="0" w:noVBand="1"/>
      </w:tblPr>
      <w:tblGrid>
        <w:gridCol w:w="9083"/>
      </w:tblGrid>
      <w:tr w:rsidR="0054630D" w:rsidRPr="0054630D" w14:paraId="1625AC46" w14:textId="77777777" w:rsidTr="0054630D">
        <w:trPr>
          <w:trHeight w:val="614"/>
        </w:trPr>
        <w:tc>
          <w:tcPr>
            <w:tcW w:w="9083" w:type="dxa"/>
          </w:tcPr>
          <w:p w14:paraId="7EB23845" w14:textId="77777777" w:rsidR="0054630D" w:rsidRPr="0054630D" w:rsidRDefault="0054630D" w:rsidP="0054630D">
            <w:pPr>
              <w:spacing w:after="200" w:line="276" w:lineRule="auto"/>
              <w:rPr>
                <w:b/>
                <w:bCs/>
                <w:sz w:val="24"/>
                <w:szCs w:val="24"/>
              </w:rPr>
            </w:pPr>
            <w:r w:rsidRPr="0054630D">
              <w:rPr>
                <w:b/>
                <w:bCs/>
                <w:sz w:val="24"/>
                <w:szCs w:val="24"/>
              </w:rPr>
              <w:t>3.5 Is there any reason to believe participants may not be able to give full informed consent? If yes, what steps do you propose to take to safeguard their interests?</w:t>
            </w:r>
          </w:p>
        </w:tc>
      </w:tr>
      <w:tr w:rsidR="0054630D" w:rsidRPr="0054630D" w14:paraId="7637A8C8" w14:textId="77777777" w:rsidTr="009F0D7A">
        <w:trPr>
          <w:trHeight w:val="119"/>
        </w:trPr>
        <w:tc>
          <w:tcPr>
            <w:tcW w:w="9083" w:type="dxa"/>
            <w:tcBorders>
              <w:bottom w:val="single" w:sz="4" w:space="0" w:color="auto"/>
            </w:tcBorders>
          </w:tcPr>
          <w:p w14:paraId="76E62573" w14:textId="146C8DC0" w:rsidR="0054630D" w:rsidRPr="00A314AB" w:rsidRDefault="00A314AB" w:rsidP="0054630D">
            <w:pPr>
              <w:rPr>
                <w:sz w:val="24"/>
                <w:szCs w:val="24"/>
              </w:rPr>
            </w:pPr>
            <w:r w:rsidRPr="00A314AB">
              <w:rPr>
                <w:sz w:val="24"/>
                <w:szCs w:val="24"/>
              </w:rPr>
              <w:t xml:space="preserve">No, there is no reason to believe that participants may not be able to give fully informed consent. </w:t>
            </w:r>
          </w:p>
        </w:tc>
      </w:tr>
    </w:tbl>
    <w:p w14:paraId="6AA1C684" w14:textId="77777777" w:rsidR="009F0D7A" w:rsidRDefault="009F0D7A" w:rsidP="009F0D7A">
      <w:pPr>
        <w:pStyle w:val="ListParagraph"/>
        <w:rPr>
          <w:b/>
          <w:bCs/>
          <w:sz w:val="24"/>
          <w:szCs w:val="24"/>
        </w:rPr>
      </w:pPr>
    </w:p>
    <w:p w14:paraId="78A454F5" w14:textId="61468D26" w:rsidR="00A16C95" w:rsidRDefault="00A16C95" w:rsidP="00A16C95">
      <w:pPr>
        <w:pStyle w:val="ListParagraph"/>
        <w:numPr>
          <w:ilvl w:val="0"/>
          <w:numId w:val="1"/>
        </w:numPr>
        <w:rPr>
          <w:b/>
          <w:bCs/>
          <w:sz w:val="24"/>
          <w:szCs w:val="24"/>
        </w:rPr>
      </w:pPr>
      <w:r w:rsidRPr="0022533D">
        <w:rPr>
          <w:b/>
          <w:bCs/>
          <w:sz w:val="24"/>
          <w:szCs w:val="24"/>
        </w:rPr>
        <w:lastRenderedPageBreak/>
        <w:t>Research procedures, interventions and measurements</w:t>
      </w:r>
    </w:p>
    <w:tbl>
      <w:tblPr>
        <w:tblStyle w:val="TableGrid"/>
        <w:tblW w:w="0" w:type="auto"/>
        <w:tblLook w:val="04A0" w:firstRow="1" w:lastRow="0" w:firstColumn="1" w:lastColumn="0" w:noHBand="0" w:noVBand="1"/>
      </w:tblPr>
      <w:tblGrid>
        <w:gridCol w:w="9016"/>
      </w:tblGrid>
      <w:tr w:rsidR="00AC77FF" w14:paraId="4E004BF6" w14:textId="77777777" w:rsidTr="00AC77FF">
        <w:tc>
          <w:tcPr>
            <w:tcW w:w="9016" w:type="dxa"/>
          </w:tcPr>
          <w:p w14:paraId="7C1508D2" w14:textId="6E301B4E" w:rsidR="00AC77FF" w:rsidRDefault="00AC77FF" w:rsidP="00AC77FF">
            <w:pPr>
              <w:rPr>
                <w:b/>
                <w:bCs/>
                <w:sz w:val="24"/>
                <w:szCs w:val="24"/>
              </w:rPr>
            </w:pPr>
            <w:r w:rsidRPr="0022533D">
              <w:rPr>
                <w:b/>
                <w:bCs/>
                <w:sz w:val="24"/>
                <w:szCs w:val="24"/>
              </w:rPr>
              <w:t>4.1 Give a brief account of the procedure as experienced by the participant</w:t>
            </w:r>
            <w:r>
              <w:rPr>
                <w:b/>
                <w:bCs/>
                <w:sz w:val="24"/>
                <w:szCs w:val="24"/>
              </w:rPr>
              <w:t xml:space="preserve">. Make it clear who does what, how many times and in what order. Make clear the role of all assistants and collaborators. Make clear the total demands made on participants, including time and travel. </w:t>
            </w:r>
            <w:r w:rsidRPr="004439C1">
              <w:rPr>
                <w:bCs/>
                <w:i/>
                <w:sz w:val="24"/>
                <w:szCs w:val="24"/>
              </w:rPr>
              <w:t>Upload copies of questionnaires and interview schedules to ERGO.</w:t>
            </w:r>
          </w:p>
        </w:tc>
      </w:tr>
      <w:tr w:rsidR="00AC77FF" w14:paraId="4804DFA2" w14:textId="77777777" w:rsidTr="00AC77FF">
        <w:tc>
          <w:tcPr>
            <w:tcW w:w="9016" w:type="dxa"/>
          </w:tcPr>
          <w:p w14:paraId="7587BE6C" w14:textId="308E53BB" w:rsidR="00CF11F4" w:rsidRPr="0056393D" w:rsidRDefault="0056393D" w:rsidP="00003C11">
            <w:pPr>
              <w:spacing w:after="160" w:line="259" w:lineRule="auto"/>
              <w:rPr>
                <w:rFonts w:ascii="Calibri" w:eastAsia="Calibri" w:hAnsi="Calibri" w:cs="Times New Roman"/>
                <w:lang w:val="en-US" w:eastAsia="en-US"/>
              </w:rPr>
            </w:pPr>
            <w:r w:rsidRPr="0056393D">
              <w:rPr>
                <w:highlight w:val="yellow"/>
                <w:lang w:val="en-US"/>
              </w:rPr>
              <w:t>Advert recruited</w:t>
            </w:r>
            <w:r w:rsidRPr="0056393D">
              <w:rPr>
                <w:lang w:val="en-US"/>
              </w:rPr>
              <w:t xml:space="preserve"> p</w:t>
            </w:r>
            <w:r w:rsidR="00803F12" w:rsidRPr="0056393D">
              <w:rPr>
                <w:lang w:val="en-US"/>
              </w:rPr>
              <w:t xml:space="preserve">articipants will receive an invitation to take part in the research (via LGBTQ+ charities, organisations, their education settings or the universities educational psychology X account @SUEdPsy). </w:t>
            </w:r>
            <w:r w:rsidR="00803F12" w:rsidRPr="0056393D">
              <w:rPr>
                <w:rFonts w:ascii="Calibri" w:eastAsia="Calibri" w:hAnsi="Calibri" w:cs="Times New Roman"/>
                <w:lang w:val="en-US" w:eastAsia="en-US"/>
              </w:rPr>
              <w:t>This will include information about the research and a link to the survey.</w:t>
            </w:r>
          </w:p>
          <w:p w14:paraId="07A00909" w14:textId="5E35F025" w:rsidR="003E0CB0" w:rsidRPr="00FB75FD" w:rsidRDefault="00EB2BFC" w:rsidP="00003C11">
            <w:pPr>
              <w:spacing w:after="160" w:line="259" w:lineRule="auto"/>
              <w:rPr>
                <w:rFonts w:ascii="Calibri" w:eastAsia="Calibri" w:hAnsi="Calibri" w:cs="Times New Roman"/>
                <w:color w:val="F79646" w:themeColor="accent6"/>
                <w:lang w:val="en-US" w:eastAsia="en-US"/>
              </w:rPr>
            </w:pPr>
            <w:r w:rsidRPr="00EB2BFC">
              <w:rPr>
                <w:rFonts w:ascii="Calibri" w:eastAsia="Calibri" w:hAnsi="Calibri" w:cs="Times New Roman"/>
                <w:highlight w:val="yellow"/>
                <w:lang w:val="en-US" w:eastAsia="en-US"/>
              </w:rPr>
              <w:t xml:space="preserve">Prolific participants whose answers to questionnaires when they signed up to the Prolific platform indicate they are eligible to take part in this study will be sent a link to the Qualtrics survey in their Prolific account which will also include additional brief information about the study to support them to decide </w:t>
            </w:r>
            <w:proofErr w:type="gramStart"/>
            <w:r w:rsidRPr="00EB2BFC">
              <w:rPr>
                <w:rFonts w:ascii="Calibri" w:eastAsia="Calibri" w:hAnsi="Calibri" w:cs="Times New Roman"/>
                <w:highlight w:val="yellow"/>
                <w:lang w:val="en-US" w:eastAsia="en-US"/>
              </w:rPr>
              <w:t>whether or not</w:t>
            </w:r>
            <w:proofErr w:type="gramEnd"/>
            <w:r w:rsidRPr="00EB2BFC">
              <w:rPr>
                <w:rFonts w:ascii="Calibri" w:eastAsia="Calibri" w:hAnsi="Calibri" w:cs="Times New Roman"/>
                <w:highlight w:val="yellow"/>
                <w:lang w:val="en-US" w:eastAsia="en-US"/>
              </w:rPr>
              <w:t xml:space="preserve"> they would like to find out more by clicking on the Qualtrics link</w:t>
            </w:r>
            <w:r w:rsidRPr="00EB2BFC">
              <w:rPr>
                <w:rFonts w:ascii="Calibri" w:eastAsia="Calibri" w:hAnsi="Calibri" w:cs="Times New Roman"/>
                <w:color w:val="F79646" w:themeColor="accent6"/>
                <w:lang w:val="en-US" w:eastAsia="en-US"/>
              </w:rPr>
              <w:t>.</w:t>
            </w:r>
          </w:p>
          <w:p w14:paraId="2F0436F8" w14:textId="372730CB" w:rsidR="00003C11" w:rsidRPr="00F12F8A" w:rsidRDefault="00003C11" w:rsidP="00003C11">
            <w:pPr>
              <w:spacing w:after="160" w:line="259" w:lineRule="auto"/>
              <w:rPr>
                <w:rFonts w:ascii="Calibri" w:eastAsia="Calibri" w:hAnsi="Calibri" w:cs="Times New Roman"/>
                <w:lang w:val="en-US" w:eastAsia="en-US"/>
              </w:rPr>
            </w:pPr>
            <w:r w:rsidRPr="00F12F8A">
              <w:rPr>
                <w:rFonts w:ascii="Calibri" w:eastAsia="Calibri" w:hAnsi="Calibri" w:cs="Times New Roman"/>
                <w:color w:val="000000"/>
                <w:lang w:val="en-US" w:eastAsia="en-US"/>
              </w:rPr>
              <w:t xml:space="preserve">When young people follow the </w:t>
            </w:r>
            <w:proofErr w:type="gramStart"/>
            <w:r w:rsidRPr="00F12F8A">
              <w:rPr>
                <w:rFonts w:ascii="Calibri" w:eastAsia="Calibri" w:hAnsi="Calibri" w:cs="Times New Roman"/>
                <w:color w:val="000000"/>
                <w:lang w:val="en-US" w:eastAsia="en-US"/>
              </w:rPr>
              <w:t>link</w:t>
            </w:r>
            <w:proofErr w:type="gramEnd"/>
            <w:r w:rsidRPr="00F12F8A">
              <w:rPr>
                <w:rFonts w:ascii="Calibri" w:eastAsia="Calibri" w:hAnsi="Calibri" w:cs="Times New Roman"/>
                <w:color w:val="000000"/>
                <w:lang w:val="en-US" w:eastAsia="en-US"/>
              </w:rPr>
              <w:t xml:space="preserve"> it will take them to an information sheet with details about the study and a consent form, if they choose to sign the consent form then they will have access to the survey. </w:t>
            </w:r>
          </w:p>
          <w:p w14:paraId="4FBDA049" w14:textId="1ADD3683" w:rsidR="00003C11" w:rsidRPr="00F12F8A" w:rsidRDefault="00003C11" w:rsidP="00003C11">
            <w:pPr>
              <w:spacing w:after="160" w:line="259" w:lineRule="auto"/>
              <w:rPr>
                <w:rFonts w:ascii="Calibri" w:eastAsia="Calibri" w:hAnsi="Calibri" w:cs="Times New Roman"/>
                <w:color w:val="000000"/>
                <w:lang w:val="en-US" w:eastAsia="en-US"/>
              </w:rPr>
            </w:pPr>
            <w:r w:rsidRPr="00F12F8A">
              <w:rPr>
                <w:rFonts w:ascii="Calibri" w:eastAsia="Calibri" w:hAnsi="Calibri" w:cs="Times New Roman"/>
                <w:color w:val="000000"/>
                <w:lang w:val="en-US" w:eastAsia="en-US"/>
              </w:rPr>
              <w:t xml:space="preserve">The survey will begin with a description of microaffirmations and how they would feel to receive, alongside a few examples (either in written or video form). Participants will then be asked to describe a time they have experienced a microaffirmation and details about where this took place and the level of validation they felt from this experience. They will be able to add as many experiences as they choose to, this means that the time it takes to complete will be variable but will require </w:t>
            </w:r>
            <w:r w:rsidR="005E76E2" w:rsidRPr="007631AE">
              <w:rPr>
                <w:rFonts w:ascii="Calibri" w:eastAsia="Calibri" w:hAnsi="Calibri" w:cs="Times New Roman"/>
                <w:color w:val="000000"/>
                <w:lang w:val="en-US" w:eastAsia="en-US"/>
              </w:rPr>
              <w:t>approximately</w:t>
            </w:r>
            <w:r w:rsidRPr="007631AE">
              <w:rPr>
                <w:rFonts w:ascii="Calibri" w:eastAsia="Calibri" w:hAnsi="Calibri" w:cs="Times New Roman"/>
                <w:color w:val="000000"/>
                <w:lang w:val="en-US" w:eastAsia="en-US"/>
              </w:rPr>
              <w:t xml:space="preserve"> </w:t>
            </w:r>
            <w:r w:rsidR="00A84452" w:rsidRPr="007631AE">
              <w:rPr>
                <w:rFonts w:ascii="Calibri" w:eastAsia="Calibri" w:hAnsi="Calibri" w:cs="Times New Roman"/>
                <w:color w:val="000000"/>
                <w:lang w:val="en-US" w:eastAsia="en-US"/>
              </w:rPr>
              <w:t>5-15</w:t>
            </w:r>
            <w:r w:rsidRPr="007631AE">
              <w:rPr>
                <w:rFonts w:ascii="Calibri" w:eastAsia="Calibri" w:hAnsi="Calibri" w:cs="Times New Roman"/>
                <w:color w:val="000000"/>
                <w:lang w:val="en-US" w:eastAsia="en-US"/>
              </w:rPr>
              <w:t xml:space="preserve"> minutes.</w:t>
            </w:r>
          </w:p>
          <w:p w14:paraId="38BAE258" w14:textId="3B232D93" w:rsidR="00003C11" w:rsidRDefault="00003C11" w:rsidP="00003C11">
            <w:pPr>
              <w:spacing w:after="160" w:line="259" w:lineRule="auto"/>
              <w:rPr>
                <w:rFonts w:ascii="Calibri" w:eastAsia="Calibri" w:hAnsi="Calibri" w:cs="Times New Roman"/>
                <w:color w:val="000000"/>
                <w:lang w:val="en-US" w:eastAsia="en-US"/>
              </w:rPr>
            </w:pPr>
            <w:r w:rsidRPr="00F12F8A">
              <w:rPr>
                <w:rFonts w:ascii="Calibri" w:eastAsia="Calibri" w:hAnsi="Calibri" w:cs="Times New Roman"/>
                <w:color w:val="000000"/>
                <w:lang w:val="en-US" w:eastAsia="en-US"/>
              </w:rPr>
              <w:t>This will be completed anonymously but they will have the option to include their email</w:t>
            </w:r>
            <w:r w:rsidR="006620F8" w:rsidRPr="00F12F8A">
              <w:rPr>
                <w:rFonts w:ascii="Calibri" w:eastAsia="Calibri" w:hAnsi="Calibri" w:cs="Times New Roman"/>
                <w:color w:val="000000"/>
                <w:lang w:val="en-US" w:eastAsia="en-US"/>
              </w:rPr>
              <w:t xml:space="preserve"> through a separate survey</w:t>
            </w:r>
            <w:r w:rsidRPr="00F12F8A">
              <w:rPr>
                <w:rFonts w:ascii="Calibri" w:eastAsia="Calibri" w:hAnsi="Calibri" w:cs="Times New Roman"/>
                <w:color w:val="000000"/>
                <w:lang w:val="en-US" w:eastAsia="en-US"/>
              </w:rPr>
              <w:t xml:space="preserve"> if they would be interested in taking part in a follow-up focus group and/or would like to receive feedback on the findings.</w:t>
            </w:r>
          </w:p>
          <w:p w14:paraId="02043A29" w14:textId="77777777" w:rsidR="00FD0A55" w:rsidRDefault="00003C11" w:rsidP="00FD0A55">
            <w:pPr>
              <w:spacing w:after="160" w:line="259" w:lineRule="auto"/>
              <w:rPr>
                <w:rFonts w:ascii="Calibri" w:eastAsia="Calibri" w:hAnsi="Calibri" w:cs="Times New Roman"/>
                <w:color w:val="000000"/>
                <w:lang w:val="en-US" w:eastAsia="en-US"/>
              </w:rPr>
            </w:pPr>
            <w:r w:rsidRPr="00003C11">
              <w:rPr>
                <w:rFonts w:ascii="Calibri" w:eastAsia="Calibri" w:hAnsi="Calibri" w:cs="Times New Roman"/>
                <w:color w:val="000000"/>
                <w:lang w:val="en-US" w:eastAsia="en-US"/>
              </w:rPr>
              <w:t>Once they have completed the survey, they will be taken to a debrief page</w:t>
            </w:r>
            <w:r w:rsidR="00FD0A55">
              <w:rPr>
                <w:rFonts w:ascii="Calibri" w:eastAsia="Calibri" w:hAnsi="Calibri" w:cs="Times New Roman"/>
                <w:color w:val="000000"/>
                <w:lang w:val="en-US" w:eastAsia="en-US"/>
              </w:rPr>
              <w:t>.</w:t>
            </w:r>
          </w:p>
          <w:p w14:paraId="7C6EF6F4" w14:textId="7BA077BF" w:rsidR="00FD0A55" w:rsidRPr="00FD0A55" w:rsidRDefault="00FD0A55" w:rsidP="00FD0A55">
            <w:pPr>
              <w:spacing w:after="160" w:line="259" w:lineRule="auto"/>
              <w:rPr>
                <w:rFonts w:ascii="Calibri" w:eastAsia="Calibri" w:hAnsi="Calibri" w:cs="Times New Roman"/>
                <w:lang w:val="en-US" w:eastAsia="en-US"/>
              </w:rPr>
            </w:pPr>
            <w:r>
              <w:rPr>
                <w:rFonts w:ascii="Calibri" w:eastAsia="Calibri" w:hAnsi="Calibri" w:cs="Times New Roman"/>
                <w:lang w:val="en-US" w:eastAsia="en-US"/>
              </w:rPr>
              <w:t>If there is not enough data gathered from the survey</w:t>
            </w:r>
            <w:r w:rsidR="00E47C8C">
              <w:rPr>
                <w:rFonts w:ascii="Calibri" w:eastAsia="Calibri" w:hAnsi="Calibri" w:cs="Times New Roman"/>
                <w:lang w:val="en-US" w:eastAsia="en-US"/>
              </w:rPr>
              <w:t xml:space="preserve"> to conduct</w:t>
            </w:r>
            <w:r w:rsidR="00E27441">
              <w:rPr>
                <w:rFonts w:ascii="Calibri" w:eastAsia="Calibri" w:hAnsi="Calibri" w:cs="Times New Roman"/>
                <w:lang w:val="en-US" w:eastAsia="en-US"/>
              </w:rPr>
              <w:t xml:space="preserve"> </w:t>
            </w:r>
            <w:r w:rsidR="00E47C8C">
              <w:rPr>
                <w:rFonts w:ascii="Calibri" w:eastAsia="Calibri" w:hAnsi="Calibri" w:cs="Times New Roman"/>
                <w:lang w:val="en-US" w:eastAsia="en-US"/>
              </w:rPr>
              <w:t>qualitative analysis</w:t>
            </w:r>
            <w:r>
              <w:rPr>
                <w:rFonts w:ascii="Calibri" w:eastAsia="Calibri" w:hAnsi="Calibri" w:cs="Times New Roman"/>
                <w:lang w:val="en-US" w:eastAsia="en-US"/>
              </w:rPr>
              <w:t>,</w:t>
            </w:r>
            <w:r w:rsidR="00E47C8C">
              <w:rPr>
                <w:rFonts w:ascii="Calibri" w:eastAsia="Calibri" w:hAnsi="Calibri" w:cs="Times New Roman"/>
                <w:lang w:val="en-US" w:eastAsia="en-US"/>
              </w:rPr>
              <w:t xml:space="preserve"> more detailed exploration of the survey responses will be conducted through a focus group. </w:t>
            </w:r>
            <w:r w:rsidR="008A70EC">
              <w:rPr>
                <w:rFonts w:ascii="Calibri" w:eastAsia="Calibri" w:hAnsi="Calibri" w:cs="Times New Roman"/>
                <w:lang w:val="en-US" w:eastAsia="en-US"/>
              </w:rPr>
              <w:t xml:space="preserve">A random sample of </w:t>
            </w:r>
            <w:r w:rsidR="0028508F">
              <w:rPr>
                <w:rFonts w:ascii="Calibri" w:eastAsia="Calibri" w:hAnsi="Calibri" w:cs="Times New Roman"/>
                <w:lang w:val="en-US" w:eastAsia="en-US"/>
              </w:rPr>
              <w:t xml:space="preserve">participants who have indicated their interest will be invited to take part in </w:t>
            </w:r>
            <w:r w:rsidR="008A70EC">
              <w:rPr>
                <w:rFonts w:ascii="Calibri" w:eastAsia="Calibri" w:hAnsi="Calibri" w:cs="Times New Roman"/>
                <w:lang w:val="en-US" w:eastAsia="en-US"/>
              </w:rPr>
              <w:t>an</w:t>
            </w:r>
            <w:r w:rsidR="0028508F">
              <w:rPr>
                <w:rFonts w:ascii="Calibri" w:eastAsia="Calibri" w:hAnsi="Calibri" w:cs="Times New Roman"/>
                <w:lang w:val="en-US" w:eastAsia="en-US"/>
              </w:rPr>
              <w:t xml:space="preserve"> online focus group</w:t>
            </w:r>
            <w:r w:rsidR="00622F64">
              <w:rPr>
                <w:rFonts w:ascii="Calibri" w:eastAsia="Calibri" w:hAnsi="Calibri" w:cs="Times New Roman"/>
                <w:lang w:val="en-US" w:eastAsia="en-US"/>
              </w:rPr>
              <w:t xml:space="preserve">, including approximately 4-6 </w:t>
            </w:r>
            <w:r w:rsidR="00564DD1">
              <w:rPr>
                <w:rFonts w:ascii="Calibri" w:eastAsia="Calibri" w:hAnsi="Calibri" w:cs="Times New Roman"/>
                <w:lang w:val="en-US" w:eastAsia="en-US"/>
              </w:rPr>
              <w:t>young people</w:t>
            </w:r>
            <w:r w:rsidR="0028508F">
              <w:rPr>
                <w:rFonts w:ascii="Calibri" w:eastAsia="Calibri" w:hAnsi="Calibri" w:cs="Times New Roman"/>
                <w:lang w:val="en-US" w:eastAsia="en-US"/>
              </w:rPr>
              <w:t xml:space="preserve">. </w:t>
            </w:r>
            <w:r w:rsidR="0065756C">
              <w:rPr>
                <w:rFonts w:ascii="Calibri" w:eastAsia="Calibri" w:hAnsi="Calibri" w:cs="Times New Roman"/>
                <w:lang w:val="en-US" w:eastAsia="en-US"/>
              </w:rPr>
              <w:t xml:space="preserve">This should take </w:t>
            </w:r>
            <w:r w:rsidR="00E47C8C">
              <w:rPr>
                <w:rFonts w:ascii="Calibri" w:eastAsia="Calibri" w:hAnsi="Calibri" w:cs="Times New Roman"/>
                <w:lang w:val="en-US" w:eastAsia="en-US"/>
              </w:rPr>
              <w:t>no more than</w:t>
            </w:r>
            <w:r w:rsidR="00622F64">
              <w:rPr>
                <w:rFonts w:ascii="Calibri" w:eastAsia="Calibri" w:hAnsi="Calibri" w:cs="Times New Roman"/>
                <w:lang w:val="en-US" w:eastAsia="en-US"/>
              </w:rPr>
              <w:t xml:space="preserve"> </w:t>
            </w:r>
            <w:r w:rsidR="003D0D75">
              <w:rPr>
                <w:rFonts w:ascii="Calibri" w:eastAsia="Calibri" w:hAnsi="Calibri" w:cs="Times New Roman"/>
                <w:lang w:val="en-US" w:eastAsia="en-US"/>
              </w:rPr>
              <w:t>6</w:t>
            </w:r>
            <w:r w:rsidR="00622F64">
              <w:rPr>
                <w:rFonts w:ascii="Calibri" w:eastAsia="Calibri" w:hAnsi="Calibri" w:cs="Times New Roman"/>
                <w:lang w:val="en-US" w:eastAsia="en-US"/>
              </w:rPr>
              <w:t>0 minutes.</w:t>
            </w:r>
          </w:p>
        </w:tc>
      </w:tr>
    </w:tbl>
    <w:p w14:paraId="309550C0" w14:textId="7AAA2C77" w:rsidR="00A16C95" w:rsidRDefault="00A16C95" w:rsidP="00A16C95">
      <w:pPr>
        <w:rPr>
          <w:b/>
          <w:bCs/>
          <w:sz w:val="24"/>
          <w:szCs w:val="24"/>
        </w:rPr>
      </w:pPr>
    </w:p>
    <w:tbl>
      <w:tblPr>
        <w:tblStyle w:val="TableGrid"/>
        <w:tblW w:w="0" w:type="auto"/>
        <w:tblLook w:val="04A0" w:firstRow="1" w:lastRow="0" w:firstColumn="1" w:lastColumn="0" w:noHBand="0" w:noVBand="1"/>
      </w:tblPr>
      <w:tblGrid>
        <w:gridCol w:w="9016"/>
      </w:tblGrid>
      <w:tr w:rsidR="00AC77FF" w14:paraId="667F518A" w14:textId="77777777" w:rsidTr="00AC77FF">
        <w:tc>
          <w:tcPr>
            <w:tcW w:w="9016" w:type="dxa"/>
          </w:tcPr>
          <w:p w14:paraId="3EAF4F3B" w14:textId="103E96EF" w:rsidR="00AC77FF" w:rsidRDefault="00AC77FF" w:rsidP="00AC77FF">
            <w:pPr>
              <w:rPr>
                <w:b/>
                <w:bCs/>
                <w:sz w:val="24"/>
                <w:szCs w:val="24"/>
              </w:rPr>
            </w:pPr>
            <w:r w:rsidRPr="0022533D">
              <w:rPr>
                <w:b/>
                <w:bCs/>
                <w:sz w:val="24"/>
                <w:szCs w:val="24"/>
              </w:rPr>
              <w:t>4.</w:t>
            </w:r>
            <w:r>
              <w:rPr>
                <w:b/>
                <w:bCs/>
                <w:sz w:val="24"/>
                <w:szCs w:val="24"/>
              </w:rPr>
              <w:t>2</w:t>
            </w:r>
            <w:r w:rsidRPr="0022533D">
              <w:rPr>
                <w:b/>
                <w:bCs/>
                <w:sz w:val="24"/>
                <w:szCs w:val="24"/>
              </w:rPr>
              <w:t xml:space="preserve"> </w:t>
            </w:r>
            <w:r>
              <w:rPr>
                <w:b/>
                <w:bCs/>
                <w:sz w:val="24"/>
                <w:szCs w:val="24"/>
              </w:rPr>
              <w:t>Will the procedure involve deception of any sort? If yes, what is your justification?</w:t>
            </w:r>
          </w:p>
        </w:tc>
      </w:tr>
      <w:tr w:rsidR="00AC77FF" w14:paraId="5A588D2B" w14:textId="77777777" w:rsidTr="00AC77FF">
        <w:tc>
          <w:tcPr>
            <w:tcW w:w="9016" w:type="dxa"/>
          </w:tcPr>
          <w:p w14:paraId="3D68036F" w14:textId="7CD511CA" w:rsidR="00AC77FF" w:rsidRPr="004B0A5E" w:rsidRDefault="004B0A5E" w:rsidP="00AC77FF">
            <w:pPr>
              <w:rPr>
                <w:sz w:val="24"/>
                <w:szCs w:val="24"/>
              </w:rPr>
            </w:pPr>
            <w:r w:rsidRPr="004B0A5E">
              <w:rPr>
                <w:sz w:val="24"/>
                <w:szCs w:val="24"/>
              </w:rPr>
              <w:t>No</w:t>
            </w:r>
          </w:p>
        </w:tc>
      </w:tr>
    </w:tbl>
    <w:p w14:paraId="50C83016" w14:textId="642840F8" w:rsidR="00A16C95" w:rsidRPr="00606293" w:rsidRDefault="00A16C95" w:rsidP="00606293">
      <w:pPr>
        <w:rPr>
          <w:b/>
          <w:bCs/>
          <w:sz w:val="24"/>
          <w:szCs w:val="24"/>
        </w:rPr>
      </w:pPr>
    </w:p>
    <w:tbl>
      <w:tblPr>
        <w:tblStyle w:val="TableGrid"/>
        <w:tblW w:w="0" w:type="auto"/>
        <w:tblLook w:val="04A0" w:firstRow="1" w:lastRow="0" w:firstColumn="1" w:lastColumn="0" w:noHBand="0" w:noVBand="1"/>
      </w:tblPr>
      <w:tblGrid>
        <w:gridCol w:w="9016"/>
      </w:tblGrid>
      <w:tr w:rsidR="0022533D" w:rsidRPr="0022533D" w14:paraId="5C87F0AC" w14:textId="77777777" w:rsidTr="00B6168F">
        <w:tc>
          <w:tcPr>
            <w:tcW w:w="9242" w:type="dxa"/>
          </w:tcPr>
          <w:p w14:paraId="2AE98B0B" w14:textId="329EB25E" w:rsidR="0022533D" w:rsidRPr="00606293" w:rsidRDefault="00606293" w:rsidP="004439C1">
            <w:pPr>
              <w:rPr>
                <w:b/>
                <w:bCs/>
                <w:sz w:val="24"/>
                <w:szCs w:val="24"/>
              </w:rPr>
            </w:pPr>
            <w:r w:rsidRPr="00606293">
              <w:rPr>
                <w:b/>
                <w:bCs/>
                <w:sz w:val="24"/>
                <w:szCs w:val="24"/>
              </w:rPr>
              <w:t>4.3</w:t>
            </w:r>
            <w:r w:rsidR="0022533D" w:rsidRPr="00606293">
              <w:rPr>
                <w:b/>
                <w:bCs/>
                <w:sz w:val="24"/>
                <w:szCs w:val="24"/>
              </w:rPr>
              <w:t xml:space="preserve">. </w:t>
            </w:r>
            <w:r w:rsidRPr="00606293">
              <w:rPr>
                <w:b/>
                <w:bCs/>
                <w:sz w:val="24"/>
                <w:szCs w:val="24"/>
              </w:rPr>
              <w:t xml:space="preserve">Detail any possible (psychological or physical) discomfort, inconvenience, or distress that participants may experience, including after the study, and </w:t>
            </w:r>
            <w:r w:rsidR="004439C1">
              <w:rPr>
                <w:b/>
                <w:bCs/>
                <w:sz w:val="24"/>
                <w:szCs w:val="24"/>
              </w:rPr>
              <w:t>what precautions will be taken to minimise these risks</w:t>
            </w:r>
            <w:r w:rsidRPr="00606293">
              <w:rPr>
                <w:b/>
                <w:bCs/>
                <w:sz w:val="24"/>
                <w:szCs w:val="24"/>
              </w:rPr>
              <w:t>.</w:t>
            </w:r>
          </w:p>
        </w:tc>
      </w:tr>
      <w:tr w:rsidR="0022533D" w:rsidRPr="0022533D" w14:paraId="06F72F76" w14:textId="77777777" w:rsidTr="009F0D7A">
        <w:trPr>
          <w:trHeight w:val="114"/>
        </w:trPr>
        <w:tc>
          <w:tcPr>
            <w:tcW w:w="9242" w:type="dxa"/>
          </w:tcPr>
          <w:p w14:paraId="496D7390" w14:textId="6A00B8F3" w:rsidR="0022533D" w:rsidRPr="009B188E" w:rsidRDefault="009B188E" w:rsidP="00B6168F">
            <w:pPr>
              <w:rPr>
                <w:sz w:val="24"/>
                <w:szCs w:val="24"/>
              </w:rPr>
            </w:pPr>
            <w:r w:rsidRPr="009B188E">
              <w:rPr>
                <w:sz w:val="24"/>
                <w:szCs w:val="24"/>
              </w:rPr>
              <w:t xml:space="preserve">I will be asking participants to reflect on </w:t>
            </w:r>
            <w:r w:rsidR="00BD5738">
              <w:rPr>
                <w:sz w:val="24"/>
                <w:szCs w:val="24"/>
              </w:rPr>
              <w:t>their own experiences, although the focus of the study is to look at positive, affirming experiences</w:t>
            </w:r>
            <w:r w:rsidR="00601D6E">
              <w:rPr>
                <w:sz w:val="24"/>
                <w:szCs w:val="24"/>
              </w:rPr>
              <w:t>, there is a risk that this may also lead to participants reflecting on times when this has not been the case.</w:t>
            </w:r>
            <w:r w:rsidR="00E27441">
              <w:rPr>
                <w:sz w:val="24"/>
                <w:szCs w:val="24"/>
              </w:rPr>
              <w:t xml:space="preserve"> </w:t>
            </w:r>
            <w:r w:rsidR="00CD306F">
              <w:rPr>
                <w:sz w:val="24"/>
                <w:szCs w:val="24"/>
              </w:rPr>
              <w:t xml:space="preserve">Microaffirmations are </w:t>
            </w:r>
            <w:r w:rsidR="00CD306F">
              <w:rPr>
                <w:sz w:val="24"/>
                <w:szCs w:val="24"/>
              </w:rPr>
              <w:lastRenderedPageBreak/>
              <w:t>often seen to work alongside microaggressions, therefore, I need to be conscious that these experiences may come to mind when answering the survey questions.</w:t>
            </w:r>
            <w:r w:rsidR="00601D6E">
              <w:rPr>
                <w:sz w:val="24"/>
                <w:szCs w:val="24"/>
              </w:rPr>
              <w:t xml:space="preserve"> </w:t>
            </w:r>
            <w:r w:rsidR="0056537D" w:rsidRPr="0056537D">
              <w:rPr>
                <w:sz w:val="24"/>
                <w:szCs w:val="24"/>
              </w:rPr>
              <w:t xml:space="preserve">To support </w:t>
            </w:r>
            <w:r w:rsidR="00CD306F">
              <w:rPr>
                <w:sz w:val="24"/>
                <w:szCs w:val="24"/>
              </w:rPr>
              <w:t>participants</w:t>
            </w:r>
            <w:r w:rsidR="0056537D" w:rsidRPr="0056537D">
              <w:rPr>
                <w:sz w:val="24"/>
                <w:szCs w:val="24"/>
              </w:rPr>
              <w:t xml:space="preserve">, </w:t>
            </w:r>
            <w:r w:rsidR="0056537D" w:rsidRPr="005D3FC1">
              <w:rPr>
                <w:sz w:val="24"/>
                <w:szCs w:val="24"/>
              </w:rPr>
              <w:t>I will offer signposting to charities and organisations that may be able to offer support following the questionnaire</w:t>
            </w:r>
            <w:r w:rsidR="00D46ED5" w:rsidRPr="005D3FC1">
              <w:rPr>
                <w:sz w:val="24"/>
                <w:szCs w:val="24"/>
              </w:rPr>
              <w:t xml:space="preserve"> and</w:t>
            </w:r>
            <w:r w:rsidR="00FC0BF2" w:rsidRPr="005D3FC1">
              <w:rPr>
                <w:sz w:val="24"/>
                <w:szCs w:val="24"/>
              </w:rPr>
              <w:t>/or</w:t>
            </w:r>
            <w:r w:rsidR="00D46ED5" w:rsidRPr="005D3FC1">
              <w:rPr>
                <w:sz w:val="24"/>
                <w:szCs w:val="24"/>
              </w:rPr>
              <w:t xml:space="preserve"> focus groups.</w:t>
            </w:r>
          </w:p>
        </w:tc>
      </w:tr>
    </w:tbl>
    <w:p w14:paraId="32269231" w14:textId="77777777" w:rsidR="009F0D7A" w:rsidRPr="0022533D" w:rsidRDefault="009F0D7A" w:rsidP="0022533D">
      <w:pPr>
        <w:rPr>
          <w:b/>
          <w:bCs/>
          <w:sz w:val="24"/>
          <w:szCs w:val="24"/>
        </w:rPr>
      </w:pPr>
    </w:p>
    <w:tbl>
      <w:tblPr>
        <w:tblStyle w:val="TableGrid"/>
        <w:tblW w:w="0" w:type="auto"/>
        <w:tblInd w:w="-5" w:type="dxa"/>
        <w:tblLook w:val="04A0" w:firstRow="1" w:lastRow="0" w:firstColumn="1" w:lastColumn="0" w:noHBand="0" w:noVBand="1"/>
      </w:tblPr>
      <w:tblGrid>
        <w:gridCol w:w="9021"/>
      </w:tblGrid>
      <w:tr w:rsidR="0022533D" w:rsidRPr="0022533D" w14:paraId="4304EDF4" w14:textId="77777777" w:rsidTr="004439C1">
        <w:tc>
          <w:tcPr>
            <w:tcW w:w="9021" w:type="dxa"/>
          </w:tcPr>
          <w:p w14:paraId="7E5CA3CD" w14:textId="4D30FF70" w:rsidR="0022533D" w:rsidRPr="0022533D" w:rsidRDefault="004439C1" w:rsidP="00225309">
            <w:pPr>
              <w:rPr>
                <w:b/>
                <w:bCs/>
                <w:sz w:val="24"/>
                <w:szCs w:val="24"/>
              </w:rPr>
            </w:pPr>
            <w:r>
              <w:rPr>
                <w:b/>
                <w:bCs/>
                <w:sz w:val="24"/>
                <w:szCs w:val="24"/>
              </w:rPr>
              <w:t>4.4</w:t>
            </w:r>
            <w:r w:rsidR="0022533D" w:rsidRPr="0022533D">
              <w:rPr>
                <w:b/>
                <w:bCs/>
                <w:sz w:val="24"/>
                <w:szCs w:val="24"/>
              </w:rPr>
              <w:t xml:space="preserve"> </w:t>
            </w:r>
            <w:r w:rsidRPr="00606293">
              <w:rPr>
                <w:b/>
                <w:bCs/>
                <w:sz w:val="24"/>
                <w:szCs w:val="24"/>
              </w:rPr>
              <w:t xml:space="preserve">Detail any possible (psychological or physical) discomfort, inconvenience, or distress that </w:t>
            </w:r>
            <w:r>
              <w:rPr>
                <w:b/>
                <w:bCs/>
                <w:sz w:val="24"/>
                <w:szCs w:val="24"/>
              </w:rPr>
              <w:t xml:space="preserve">YOU as a researcher </w:t>
            </w:r>
            <w:r w:rsidRPr="00606293">
              <w:rPr>
                <w:b/>
                <w:bCs/>
                <w:sz w:val="24"/>
                <w:szCs w:val="24"/>
              </w:rPr>
              <w:t xml:space="preserve">may experience, including after the study, and </w:t>
            </w:r>
            <w:r>
              <w:rPr>
                <w:b/>
                <w:bCs/>
                <w:sz w:val="24"/>
                <w:szCs w:val="24"/>
              </w:rPr>
              <w:t>what precautions will be taken to minimise these risks</w:t>
            </w:r>
            <w:r w:rsidRPr="00606293">
              <w:rPr>
                <w:b/>
                <w:bCs/>
                <w:sz w:val="24"/>
                <w:szCs w:val="24"/>
              </w:rPr>
              <w:t>.</w:t>
            </w:r>
            <w:r w:rsidR="00AC77FF">
              <w:rPr>
                <w:b/>
                <w:bCs/>
                <w:sz w:val="24"/>
                <w:szCs w:val="24"/>
              </w:rPr>
              <w:t xml:space="preserve"> </w:t>
            </w:r>
            <w:r w:rsidR="00225309">
              <w:rPr>
                <w:b/>
                <w:bCs/>
                <w:sz w:val="24"/>
                <w:szCs w:val="24"/>
              </w:rPr>
              <w:t xml:space="preserve">If the </w:t>
            </w:r>
            <w:r w:rsidR="00AC77FF">
              <w:rPr>
                <w:b/>
                <w:bCs/>
                <w:sz w:val="24"/>
                <w:szCs w:val="24"/>
              </w:rPr>
              <w:t xml:space="preserve">study involves lone working </w:t>
            </w:r>
            <w:r w:rsidR="00225309">
              <w:rPr>
                <w:b/>
                <w:bCs/>
                <w:sz w:val="24"/>
                <w:szCs w:val="24"/>
              </w:rPr>
              <w:t xml:space="preserve">please state the risks and the procedures put in place to minimise these risks </w:t>
            </w:r>
            <w:r w:rsidR="00AC77FF">
              <w:rPr>
                <w:b/>
                <w:bCs/>
                <w:sz w:val="24"/>
                <w:szCs w:val="24"/>
              </w:rPr>
              <w:t>(</w:t>
            </w:r>
            <w:hyperlink r:id="rId11" w:history="1">
              <w:r w:rsidR="00D33879" w:rsidRPr="00D33879">
                <w:rPr>
                  <w:rStyle w:val="Hyperlink"/>
                  <w:b/>
                  <w:bCs/>
                  <w:sz w:val="24"/>
                  <w:szCs w:val="24"/>
                </w:rPr>
                <w:t>please refer to the lone working policy</w:t>
              </w:r>
            </w:hyperlink>
            <w:r w:rsidR="00D33879">
              <w:rPr>
                <w:b/>
                <w:bCs/>
                <w:sz w:val="24"/>
                <w:szCs w:val="24"/>
              </w:rPr>
              <w:t>).</w:t>
            </w:r>
          </w:p>
        </w:tc>
      </w:tr>
      <w:tr w:rsidR="0022533D" w:rsidRPr="0022533D" w14:paraId="5C40DD50" w14:textId="77777777" w:rsidTr="009F0D7A">
        <w:trPr>
          <w:trHeight w:val="209"/>
        </w:trPr>
        <w:tc>
          <w:tcPr>
            <w:tcW w:w="9021" w:type="dxa"/>
          </w:tcPr>
          <w:p w14:paraId="6466F138" w14:textId="46975486" w:rsidR="0022533D" w:rsidRPr="00F77BF7" w:rsidRDefault="00B566D0" w:rsidP="00113655">
            <w:pPr>
              <w:rPr>
                <w:sz w:val="24"/>
                <w:szCs w:val="24"/>
              </w:rPr>
            </w:pPr>
            <w:r w:rsidRPr="00F77BF7">
              <w:rPr>
                <w:sz w:val="24"/>
                <w:szCs w:val="24"/>
              </w:rPr>
              <w:t xml:space="preserve">No </w:t>
            </w:r>
            <w:r w:rsidR="009B439A" w:rsidRPr="00F77BF7">
              <w:rPr>
                <w:sz w:val="24"/>
                <w:szCs w:val="24"/>
              </w:rPr>
              <w:t xml:space="preserve">psychological or physical discomfort is expected for the researcher as part of this study. However, if anything was to </w:t>
            </w:r>
            <w:proofErr w:type="gramStart"/>
            <w:r w:rsidR="009B439A" w:rsidRPr="00F77BF7">
              <w:rPr>
                <w:sz w:val="24"/>
                <w:szCs w:val="24"/>
              </w:rPr>
              <w:t>occur</w:t>
            </w:r>
            <w:proofErr w:type="gramEnd"/>
            <w:r w:rsidR="009B439A" w:rsidRPr="00F77BF7">
              <w:rPr>
                <w:sz w:val="24"/>
                <w:szCs w:val="24"/>
              </w:rPr>
              <w:t xml:space="preserve"> </w:t>
            </w:r>
            <w:r w:rsidR="00F77BF7" w:rsidRPr="00F77BF7">
              <w:rPr>
                <w:sz w:val="24"/>
                <w:szCs w:val="24"/>
              </w:rPr>
              <w:t xml:space="preserve">I will be able to </w:t>
            </w:r>
            <w:r w:rsidR="0078080E">
              <w:rPr>
                <w:sz w:val="24"/>
                <w:szCs w:val="24"/>
              </w:rPr>
              <w:t>engage in supervision with my research su</w:t>
            </w:r>
            <w:r w:rsidR="0045672B">
              <w:rPr>
                <w:sz w:val="24"/>
                <w:szCs w:val="24"/>
              </w:rPr>
              <w:t>pervisors, meet with my university personal tutor</w:t>
            </w:r>
            <w:r w:rsidR="00363EEA">
              <w:rPr>
                <w:sz w:val="24"/>
                <w:szCs w:val="24"/>
              </w:rPr>
              <w:t xml:space="preserve"> and/</w:t>
            </w:r>
            <w:r w:rsidR="0045672B">
              <w:rPr>
                <w:sz w:val="24"/>
                <w:szCs w:val="24"/>
              </w:rPr>
              <w:t xml:space="preserve">or </w:t>
            </w:r>
            <w:r w:rsidR="00113655" w:rsidRPr="00113655">
              <w:rPr>
                <w:sz w:val="24"/>
                <w:szCs w:val="24"/>
              </w:rPr>
              <w:t>access the support provided by the University of Southampton</w:t>
            </w:r>
            <w:r w:rsidR="00113655">
              <w:rPr>
                <w:sz w:val="24"/>
                <w:szCs w:val="24"/>
              </w:rPr>
              <w:t xml:space="preserve"> </w:t>
            </w:r>
            <w:r w:rsidR="00113655" w:rsidRPr="00113655">
              <w:rPr>
                <w:sz w:val="24"/>
                <w:szCs w:val="24"/>
              </w:rPr>
              <w:t>student services.</w:t>
            </w:r>
          </w:p>
        </w:tc>
      </w:tr>
    </w:tbl>
    <w:p w14:paraId="3F773C73" w14:textId="624760B5" w:rsidR="0022533D" w:rsidRDefault="0022533D" w:rsidP="0022533D">
      <w:pPr>
        <w:rPr>
          <w:b/>
          <w:bCs/>
          <w:sz w:val="24"/>
          <w:szCs w:val="24"/>
        </w:rPr>
      </w:pPr>
    </w:p>
    <w:tbl>
      <w:tblPr>
        <w:tblStyle w:val="TableGrid"/>
        <w:tblW w:w="0" w:type="auto"/>
        <w:tblLook w:val="04A0" w:firstRow="1" w:lastRow="0" w:firstColumn="1" w:lastColumn="0" w:noHBand="0" w:noVBand="1"/>
      </w:tblPr>
      <w:tblGrid>
        <w:gridCol w:w="9016"/>
      </w:tblGrid>
      <w:tr w:rsidR="00AC77FF" w14:paraId="39611D9B" w14:textId="77777777" w:rsidTr="00AC77FF">
        <w:tc>
          <w:tcPr>
            <w:tcW w:w="9016" w:type="dxa"/>
          </w:tcPr>
          <w:p w14:paraId="61955816" w14:textId="76AB3E62" w:rsidR="00AC77FF" w:rsidRDefault="00AC77FF" w:rsidP="0022533D">
            <w:pPr>
              <w:rPr>
                <w:b/>
                <w:bCs/>
                <w:sz w:val="24"/>
                <w:szCs w:val="24"/>
              </w:rPr>
            </w:pPr>
            <w:r>
              <w:rPr>
                <w:b/>
                <w:bCs/>
                <w:sz w:val="24"/>
                <w:szCs w:val="24"/>
              </w:rPr>
              <w:t>4.5</w:t>
            </w:r>
            <w:r w:rsidRPr="0022533D">
              <w:rPr>
                <w:b/>
                <w:bCs/>
                <w:sz w:val="24"/>
                <w:szCs w:val="24"/>
              </w:rPr>
              <w:t xml:space="preserve"> Explain how you will care for any participants in </w:t>
            </w:r>
            <w:r>
              <w:rPr>
                <w:b/>
                <w:bCs/>
                <w:sz w:val="24"/>
                <w:szCs w:val="24"/>
              </w:rPr>
              <w:t>‘</w:t>
            </w:r>
            <w:r w:rsidRPr="0022533D">
              <w:rPr>
                <w:b/>
                <w:bCs/>
                <w:sz w:val="24"/>
                <w:szCs w:val="24"/>
              </w:rPr>
              <w:t>special groups</w:t>
            </w:r>
            <w:r>
              <w:rPr>
                <w:b/>
                <w:bCs/>
                <w:sz w:val="24"/>
                <w:szCs w:val="24"/>
              </w:rPr>
              <w:t>’</w:t>
            </w:r>
            <w:r w:rsidRPr="0022533D">
              <w:rPr>
                <w:b/>
                <w:bCs/>
                <w:sz w:val="24"/>
                <w:szCs w:val="24"/>
              </w:rPr>
              <w:t xml:space="preserve"> </w:t>
            </w:r>
            <w:r>
              <w:rPr>
                <w:b/>
                <w:bCs/>
                <w:sz w:val="24"/>
                <w:szCs w:val="24"/>
              </w:rPr>
              <w:t>e.g., those in a dependent relationship, are vulnerable or are lacking mental capacity), if applicable:</w:t>
            </w:r>
          </w:p>
        </w:tc>
      </w:tr>
      <w:tr w:rsidR="00AC77FF" w14:paraId="3632FC71" w14:textId="77777777" w:rsidTr="00AC77FF">
        <w:tc>
          <w:tcPr>
            <w:tcW w:w="9016" w:type="dxa"/>
          </w:tcPr>
          <w:p w14:paraId="5DB9A670" w14:textId="36B56FFB" w:rsidR="00AC77FF" w:rsidRPr="00F33858" w:rsidRDefault="00F33858" w:rsidP="0022533D">
            <w:pPr>
              <w:rPr>
                <w:sz w:val="24"/>
                <w:szCs w:val="24"/>
              </w:rPr>
            </w:pPr>
            <w:r w:rsidRPr="00F33858">
              <w:rPr>
                <w:sz w:val="24"/>
                <w:szCs w:val="24"/>
              </w:rPr>
              <w:t>N/A</w:t>
            </w:r>
          </w:p>
        </w:tc>
      </w:tr>
    </w:tbl>
    <w:p w14:paraId="7D45D0A6" w14:textId="77777777" w:rsidR="0022533D" w:rsidRPr="0022533D" w:rsidRDefault="0022533D" w:rsidP="0022533D">
      <w:pPr>
        <w:rPr>
          <w:b/>
          <w:bCs/>
          <w:sz w:val="24"/>
          <w:szCs w:val="24"/>
        </w:rPr>
      </w:pPr>
    </w:p>
    <w:tbl>
      <w:tblPr>
        <w:tblStyle w:val="TableGrid"/>
        <w:tblW w:w="0" w:type="auto"/>
        <w:tblLook w:val="04A0" w:firstRow="1" w:lastRow="0" w:firstColumn="1" w:lastColumn="0" w:noHBand="0" w:noVBand="1"/>
      </w:tblPr>
      <w:tblGrid>
        <w:gridCol w:w="9016"/>
      </w:tblGrid>
      <w:tr w:rsidR="0022533D" w:rsidRPr="0022533D" w14:paraId="2D71BDC0" w14:textId="77777777" w:rsidTr="00B6168F">
        <w:tc>
          <w:tcPr>
            <w:tcW w:w="9242" w:type="dxa"/>
          </w:tcPr>
          <w:p w14:paraId="7A62700E" w14:textId="4D69BD90" w:rsidR="0022533D" w:rsidRPr="0022533D" w:rsidRDefault="004439C1" w:rsidP="00FA1063">
            <w:pPr>
              <w:rPr>
                <w:b/>
                <w:bCs/>
                <w:sz w:val="24"/>
                <w:szCs w:val="24"/>
              </w:rPr>
            </w:pPr>
            <w:r>
              <w:rPr>
                <w:b/>
                <w:bCs/>
                <w:sz w:val="24"/>
                <w:szCs w:val="24"/>
              </w:rPr>
              <w:t>4.6</w:t>
            </w:r>
            <w:r w:rsidR="0022533D" w:rsidRPr="0022533D">
              <w:rPr>
                <w:b/>
                <w:bCs/>
                <w:sz w:val="24"/>
                <w:szCs w:val="24"/>
              </w:rPr>
              <w:t xml:space="preserve"> Please give details of any payments or incentives being used to recruit participants</w:t>
            </w:r>
            <w:r w:rsidR="00FA1063">
              <w:rPr>
                <w:b/>
                <w:bCs/>
                <w:sz w:val="24"/>
                <w:szCs w:val="24"/>
              </w:rPr>
              <w:t>,</w:t>
            </w:r>
            <w:r w:rsidR="0022533D" w:rsidRPr="0022533D">
              <w:rPr>
                <w:b/>
                <w:bCs/>
                <w:sz w:val="24"/>
                <w:szCs w:val="24"/>
              </w:rPr>
              <w:t xml:space="preserve"> </w:t>
            </w:r>
            <w:r w:rsidR="00FA1063">
              <w:rPr>
                <w:b/>
                <w:bCs/>
                <w:sz w:val="24"/>
                <w:szCs w:val="24"/>
              </w:rPr>
              <w:t>if applicable:</w:t>
            </w:r>
          </w:p>
        </w:tc>
      </w:tr>
      <w:tr w:rsidR="0022533D" w:rsidRPr="0022533D" w14:paraId="710424B5" w14:textId="77777777" w:rsidTr="009F0D7A">
        <w:trPr>
          <w:trHeight w:val="165"/>
        </w:trPr>
        <w:tc>
          <w:tcPr>
            <w:tcW w:w="9242" w:type="dxa"/>
          </w:tcPr>
          <w:p w14:paraId="4FA466AF" w14:textId="1C6BCCED" w:rsidR="0022533D" w:rsidRPr="00B52EA1" w:rsidRDefault="00B52EA1" w:rsidP="00B6168F">
            <w:pPr>
              <w:rPr>
                <w:sz w:val="24"/>
                <w:szCs w:val="24"/>
              </w:rPr>
            </w:pPr>
            <w:r w:rsidRPr="00B52EA1">
              <w:rPr>
                <w:sz w:val="24"/>
                <w:szCs w:val="24"/>
              </w:rPr>
              <w:t>No incentives or payments will be offered to participants. It is hoped participants will sign up as they are intrinsically motivated to take part.</w:t>
            </w:r>
          </w:p>
        </w:tc>
      </w:tr>
    </w:tbl>
    <w:p w14:paraId="0C14DF89" w14:textId="77777777" w:rsidR="0022533D" w:rsidRDefault="0022533D" w:rsidP="0022533D">
      <w:pPr>
        <w:rPr>
          <w:b/>
          <w:bCs/>
          <w:sz w:val="24"/>
          <w:szCs w:val="24"/>
        </w:rPr>
      </w:pPr>
    </w:p>
    <w:p w14:paraId="1EF96104" w14:textId="35F6954B" w:rsidR="00F461D5" w:rsidRPr="0022533D" w:rsidRDefault="00F461D5" w:rsidP="00F461D5">
      <w:pPr>
        <w:ind w:left="360"/>
        <w:rPr>
          <w:b/>
          <w:bCs/>
          <w:sz w:val="24"/>
          <w:szCs w:val="24"/>
        </w:rPr>
      </w:pPr>
      <w:r>
        <w:rPr>
          <w:b/>
          <w:bCs/>
          <w:sz w:val="24"/>
          <w:szCs w:val="24"/>
        </w:rPr>
        <w:t>5. Access and storage of data</w:t>
      </w:r>
    </w:p>
    <w:tbl>
      <w:tblPr>
        <w:tblStyle w:val="TableGrid"/>
        <w:tblW w:w="0" w:type="auto"/>
        <w:tblLook w:val="04A0" w:firstRow="1" w:lastRow="0" w:firstColumn="1" w:lastColumn="0" w:noHBand="0" w:noVBand="1"/>
      </w:tblPr>
      <w:tblGrid>
        <w:gridCol w:w="9016"/>
      </w:tblGrid>
      <w:tr w:rsidR="0022533D" w:rsidRPr="0022533D" w14:paraId="29EE1433" w14:textId="77777777" w:rsidTr="00B6168F">
        <w:tc>
          <w:tcPr>
            <w:tcW w:w="9242" w:type="dxa"/>
          </w:tcPr>
          <w:p w14:paraId="17D03781" w14:textId="342FB4A0" w:rsidR="0022533D" w:rsidRPr="0022533D" w:rsidRDefault="00F461D5" w:rsidP="00F461D5">
            <w:pPr>
              <w:rPr>
                <w:b/>
                <w:bCs/>
                <w:sz w:val="24"/>
                <w:szCs w:val="24"/>
              </w:rPr>
            </w:pPr>
            <w:r>
              <w:rPr>
                <w:b/>
                <w:bCs/>
                <w:sz w:val="24"/>
                <w:szCs w:val="24"/>
              </w:rPr>
              <w:t>5</w:t>
            </w:r>
            <w:r w:rsidR="004439C1">
              <w:rPr>
                <w:b/>
                <w:bCs/>
                <w:sz w:val="24"/>
                <w:szCs w:val="24"/>
              </w:rPr>
              <w:t>.</w:t>
            </w:r>
            <w:r>
              <w:rPr>
                <w:b/>
                <w:bCs/>
                <w:sz w:val="24"/>
                <w:szCs w:val="24"/>
              </w:rPr>
              <w:t>1</w:t>
            </w:r>
            <w:r w:rsidR="0022533D" w:rsidRPr="0022533D">
              <w:rPr>
                <w:b/>
                <w:bCs/>
                <w:sz w:val="24"/>
                <w:szCs w:val="24"/>
              </w:rPr>
              <w:t xml:space="preserve"> How will participant</w:t>
            </w:r>
            <w:r w:rsidR="009C441E">
              <w:rPr>
                <w:b/>
                <w:bCs/>
                <w:sz w:val="24"/>
                <w:szCs w:val="24"/>
              </w:rPr>
              <w:t xml:space="preserve"> confidentiality be maintained? Confidentiality is defined as non-disclosure of research information except to another authorised person. Confidential information can be shared with those already party to it and may also be disclosed where the person providing the information provides explicit consent.  </w:t>
            </w:r>
            <w:r w:rsidR="009C441E" w:rsidRPr="004439C1">
              <w:rPr>
                <w:b/>
                <w:bCs/>
                <w:sz w:val="24"/>
                <w:szCs w:val="24"/>
              </w:rPr>
              <w:t>Consider whether it is truly possible to maintain a participant</w:t>
            </w:r>
            <w:r w:rsidR="00AE648E" w:rsidRPr="004439C1">
              <w:rPr>
                <w:b/>
                <w:bCs/>
                <w:sz w:val="24"/>
                <w:szCs w:val="24"/>
              </w:rPr>
              <w:t>’</w:t>
            </w:r>
            <w:r w:rsidR="009C441E" w:rsidRPr="004439C1">
              <w:rPr>
                <w:b/>
                <w:bCs/>
                <w:sz w:val="24"/>
                <w:szCs w:val="24"/>
              </w:rPr>
              <w:t xml:space="preserve">s involvement in </w:t>
            </w:r>
            <w:r w:rsidR="008F7ADA" w:rsidRPr="004439C1">
              <w:rPr>
                <w:b/>
                <w:bCs/>
                <w:sz w:val="24"/>
                <w:szCs w:val="24"/>
              </w:rPr>
              <w:t>the</w:t>
            </w:r>
            <w:r w:rsidR="009C441E" w:rsidRPr="004439C1">
              <w:rPr>
                <w:b/>
                <w:bCs/>
                <w:sz w:val="24"/>
                <w:szCs w:val="24"/>
              </w:rPr>
              <w:t xml:space="preserve"> study confidential, e.g.</w:t>
            </w:r>
            <w:r w:rsidR="008F7ADA" w:rsidRPr="004439C1">
              <w:rPr>
                <w:b/>
                <w:bCs/>
                <w:sz w:val="24"/>
                <w:szCs w:val="24"/>
              </w:rPr>
              <w:t xml:space="preserve"> can people observe the participant taking part in the study?</w:t>
            </w:r>
            <w:r w:rsidR="009C441E">
              <w:rPr>
                <w:b/>
                <w:bCs/>
                <w:sz w:val="24"/>
                <w:szCs w:val="24"/>
              </w:rPr>
              <w:t xml:space="preserve"> </w:t>
            </w:r>
            <w:r w:rsidR="004F2284">
              <w:rPr>
                <w:b/>
                <w:bCs/>
                <w:sz w:val="24"/>
                <w:szCs w:val="24"/>
              </w:rPr>
              <w:t>How will data be anonymised to ensure participants’ confidentiality?</w:t>
            </w:r>
          </w:p>
        </w:tc>
      </w:tr>
      <w:tr w:rsidR="0022533D" w:rsidRPr="0022533D" w14:paraId="5536C1EC" w14:textId="77777777" w:rsidTr="00B6168F">
        <w:tc>
          <w:tcPr>
            <w:tcW w:w="9242" w:type="dxa"/>
          </w:tcPr>
          <w:p w14:paraId="1E823D9A" w14:textId="77777777" w:rsidR="00AC77FF" w:rsidRDefault="00AC77FF" w:rsidP="00B6168F">
            <w:pPr>
              <w:rPr>
                <w:b/>
                <w:bCs/>
                <w:sz w:val="24"/>
                <w:szCs w:val="24"/>
              </w:rPr>
            </w:pPr>
          </w:p>
          <w:p w14:paraId="5563D104" w14:textId="066BE4B4" w:rsidR="000C5F92" w:rsidRDefault="00991072" w:rsidP="00B6168F">
            <w:pPr>
              <w:rPr>
                <w:sz w:val="24"/>
                <w:szCs w:val="24"/>
              </w:rPr>
            </w:pPr>
            <w:r>
              <w:rPr>
                <w:sz w:val="24"/>
                <w:szCs w:val="24"/>
              </w:rPr>
              <w:t xml:space="preserve">The </w:t>
            </w:r>
            <w:r w:rsidR="00D7341A">
              <w:rPr>
                <w:sz w:val="24"/>
                <w:szCs w:val="24"/>
              </w:rPr>
              <w:t xml:space="preserve">questionnaire will be completed anonymously, </w:t>
            </w:r>
            <w:r w:rsidR="000C5F92">
              <w:rPr>
                <w:sz w:val="24"/>
                <w:szCs w:val="24"/>
              </w:rPr>
              <w:t>with participants being made aware at the outset that because it is anonymous, once they have submitted the</w:t>
            </w:r>
            <w:r w:rsidR="00075582">
              <w:rPr>
                <w:sz w:val="24"/>
                <w:szCs w:val="24"/>
              </w:rPr>
              <w:t xml:space="preserve">ir survey </w:t>
            </w:r>
            <w:proofErr w:type="gramStart"/>
            <w:r w:rsidR="00075582">
              <w:rPr>
                <w:sz w:val="24"/>
                <w:szCs w:val="24"/>
              </w:rPr>
              <w:t>responses</w:t>
            </w:r>
            <w:proofErr w:type="gramEnd"/>
            <w:r w:rsidR="000C5F92">
              <w:rPr>
                <w:sz w:val="24"/>
                <w:szCs w:val="24"/>
              </w:rPr>
              <w:t xml:space="preserve"> they will not be able to remove their data.</w:t>
            </w:r>
          </w:p>
          <w:p w14:paraId="1BC74D8F" w14:textId="77777777" w:rsidR="005065AF" w:rsidRPr="00991072" w:rsidRDefault="005065AF" w:rsidP="00B6168F">
            <w:pPr>
              <w:rPr>
                <w:sz w:val="24"/>
                <w:szCs w:val="24"/>
              </w:rPr>
            </w:pPr>
          </w:p>
          <w:p w14:paraId="5542F484" w14:textId="3B1C5F99" w:rsidR="00075582" w:rsidRDefault="00991072" w:rsidP="00B6168F">
            <w:pPr>
              <w:rPr>
                <w:sz w:val="24"/>
                <w:szCs w:val="24"/>
              </w:rPr>
            </w:pPr>
            <w:r w:rsidRPr="00991072">
              <w:rPr>
                <w:sz w:val="24"/>
                <w:szCs w:val="24"/>
              </w:rPr>
              <w:t xml:space="preserve">The responses collected in the </w:t>
            </w:r>
            <w:r w:rsidR="00075582">
              <w:rPr>
                <w:sz w:val="24"/>
                <w:szCs w:val="24"/>
              </w:rPr>
              <w:t>survey</w:t>
            </w:r>
            <w:r w:rsidRPr="00991072">
              <w:rPr>
                <w:sz w:val="24"/>
                <w:szCs w:val="24"/>
              </w:rPr>
              <w:t xml:space="preserve"> will be stored within the University of Southampton’s server via Qualtrics</w:t>
            </w:r>
            <w:r w:rsidR="00075582">
              <w:rPr>
                <w:sz w:val="24"/>
                <w:szCs w:val="24"/>
              </w:rPr>
              <w:t xml:space="preserve"> and the university cloud, </w:t>
            </w:r>
            <w:r w:rsidRPr="00991072">
              <w:rPr>
                <w:sz w:val="24"/>
                <w:szCs w:val="24"/>
              </w:rPr>
              <w:t>only the researchers will have access to this information.</w:t>
            </w:r>
            <w:r w:rsidR="0018009B">
              <w:rPr>
                <w:sz w:val="24"/>
                <w:szCs w:val="24"/>
              </w:rPr>
              <w:t xml:space="preserve"> </w:t>
            </w:r>
            <w:r w:rsidR="00CC1214">
              <w:rPr>
                <w:sz w:val="24"/>
                <w:szCs w:val="24"/>
              </w:rPr>
              <w:t xml:space="preserve">Following the study, the data will be uploaded </w:t>
            </w:r>
            <w:proofErr w:type="gramStart"/>
            <w:r w:rsidR="00CC1214">
              <w:rPr>
                <w:sz w:val="24"/>
                <w:szCs w:val="24"/>
              </w:rPr>
              <w:t>to</w:t>
            </w:r>
            <w:proofErr w:type="gramEnd"/>
            <w:r w:rsidR="00CC1214">
              <w:rPr>
                <w:sz w:val="24"/>
                <w:szCs w:val="24"/>
              </w:rPr>
              <w:t xml:space="preserve"> PURE.</w:t>
            </w:r>
          </w:p>
          <w:p w14:paraId="38743E52" w14:textId="77777777" w:rsidR="00991072" w:rsidRDefault="00991072" w:rsidP="00B6168F">
            <w:pPr>
              <w:rPr>
                <w:b/>
                <w:bCs/>
                <w:sz w:val="24"/>
                <w:szCs w:val="24"/>
              </w:rPr>
            </w:pPr>
          </w:p>
          <w:p w14:paraId="2E9F55A4" w14:textId="61F2FD52" w:rsidR="00990887" w:rsidRDefault="00990887" w:rsidP="00990887">
            <w:pPr>
              <w:rPr>
                <w:sz w:val="24"/>
                <w:szCs w:val="24"/>
              </w:rPr>
            </w:pPr>
            <w:r w:rsidRPr="00D83B0D">
              <w:rPr>
                <w:sz w:val="24"/>
                <w:szCs w:val="24"/>
              </w:rPr>
              <w:lastRenderedPageBreak/>
              <w:t xml:space="preserve">A separate form will be used to </w:t>
            </w:r>
            <w:r w:rsidRPr="00F12F8A">
              <w:rPr>
                <w:sz w:val="24"/>
                <w:szCs w:val="24"/>
              </w:rPr>
              <w:t xml:space="preserve">gather email addresses for participants who are interested in taking part in a focus group. Therefore, </w:t>
            </w:r>
            <w:r w:rsidR="00E73902" w:rsidRPr="00F12F8A">
              <w:rPr>
                <w:sz w:val="24"/>
                <w:szCs w:val="24"/>
              </w:rPr>
              <w:t>individual data from the survey and focus group will not be linked.</w:t>
            </w:r>
          </w:p>
          <w:p w14:paraId="1BFF20FD" w14:textId="77777777" w:rsidR="00991072" w:rsidRDefault="00991072" w:rsidP="001D4E81">
            <w:pPr>
              <w:rPr>
                <w:sz w:val="24"/>
                <w:szCs w:val="24"/>
              </w:rPr>
            </w:pPr>
          </w:p>
          <w:p w14:paraId="69042C7D" w14:textId="6E66AB6F" w:rsidR="007E27B1" w:rsidRDefault="0013055F" w:rsidP="007E27B1">
            <w:pPr>
              <w:rPr>
                <w:sz w:val="24"/>
                <w:szCs w:val="24"/>
              </w:rPr>
            </w:pPr>
            <w:r>
              <w:rPr>
                <w:sz w:val="24"/>
                <w:szCs w:val="24"/>
              </w:rPr>
              <w:t>A</w:t>
            </w:r>
            <w:r w:rsidR="00642A3B" w:rsidRPr="00642A3B">
              <w:rPr>
                <w:sz w:val="24"/>
                <w:szCs w:val="24"/>
              </w:rPr>
              <w:t xml:space="preserve">ll </w:t>
            </w:r>
            <w:r w:rsidR="00BE2AD2">
              <w:rPr>
                <w:sz w:val="24"/>
                <w:szCs w:val="24"/>
              </w:rPr>
              <w:t xml:space="preserve">participants in </w:t>
            </w:r>
            <w:r>
              <w:rPr>
                <w:sz w:val="24"/>
                <w:szCs w:val="24"/>
              </w:rPr>
              <w:t>focus</w:t>
            </w:r>
            <w:r w:rsidR="00BE2AD2">
              <w:rPr>
                <w:sz w:val="24"/>
                <w:szCs w:val="24"/>
              </w:rPr>
              <w:t xml:space="preserve"> groups will be informed that </w:t>
            </w:r>
            <w:r w:rsidR="00715633">
              <w:rPr>
                <w:sz w:val="24"/>
                <w:szCs w:val="24"/>
              </w:rPr>
              <w:t xml:space="preserve">individual’s identities and anything </w:t>
            </w:r>
            <w:r w:rsidR="00BE2AD2">
              <w:rPr>
                <w:sz w:val="24"/>
                <w:szCs w:val="24"/>
              </w:rPr>
              <w:t>discussed</w:t>
            </w:r>
            <w:r w:rsidR="00AE51E0">
              <w:rPr>
                <w:sz w:val="24"/>
                <w:szCs w:val="24"/>
              </w:rPr>
              <w:t xml:space="preserve"> within the focus group</w:t>
            </w:r>
            <w:r w:rsidR="00BE2AD2">
              <w:rPr>
                <w:sz w:val="24"/>
                <w:szCs w:val="24"/>
              </w:rPr>
              <w:t>, should not be shared outside of th</w:t>
            </w:r>
            <w:r w:rsidR="00AE51E0">
              <w:rPr>
                <w:sz w:val="24"/>
                <w:szCs w:val="24"/>
              </w:rPr>
              <w:t>is</w:t>
            </w:r>
            <w:r w:rsidR="007A44F1">
              <w:rPr>
                <w:sz w:val="24"/>
                <w:szCs w:val="24"/>
              </w:rPr>
              <w:t>, this will be included on the consent form</w:t>
            </w:r>
            <w:r w:rsidR="00BE2AD2">
              <w:rPr>
                <w:sz w:val="24"/>
                <w:szCs w:val="24"/>
              </w:rPr>
              <w:t xml:space="preserve">. When transcription occurs, all </w:t>
            </w:r>
            <w:r w:rsidR="00BB2DF7">
              <w:rPr>
                <w:sz w:val="24"/>
                <w:szCs w:val="24"/>
              </w:rPr>
              <w:t xml:space="preserve">information will be </w:t>
            </w:r>
            <w:proofErr w:type="gramStart"/>
            <w:r w:rsidR="00BB2DF7">
              <w:rPr>
                <w:sz w:val="24"/>
                <w:szCs w:val="24"/>
              </w:rPr>
              <w:t>anonymised</w:t>
            </w:r>
            <w:proofErr w:type="gramEnd"/>
            <w:r w:rsidR="00BB2DF7">
              <w:rPr>
                <w:sz w:val="24"/>
                <w:szCs w:val="24"/>
              </w:rPr>
              <w:t xml:space="preserve"> and </w:t>
            </w:r>
            <w:r w:rsidR="00BE2AD2">
              <w:rPr>
                <w:sz w:val="24"/>
                <w:szCs w:val="24"/>
              </w:rPr>
              <w:t xml:space="preserve">participants will be given a </w:t>
            </w:r>
            <w:r w:rsidR="00BB2DF7">
              <w:rPr>
                <w:sz w:val="24"/>
                <w:szCs w:val="24"/>
              </w:rPr>
              <w:t>pseudonym</w:t>
            </w:r>
            <w:r w:rsidR="00BE2AD2">
              <w:rPr>
                <w:sz w:val="24"/>
                <w:szCs w:val="24"/>
              </w:rPr>
              <w:t xml:space="preserve"> </w:t>
            </w:r>
            <w:r w:rsidR="00BB2DF7">
              <w:rPr>
                <w:sz w:val="24"/>
                <w:szCs w:val="24"/>
              </w:rPr>
              <w:t>so that their information cannot be traced back to them.</w:t>
            </w:r>
            <w:r w:rsidR="007E27B1">
              <w:rPr>
                <w:sz w:val="24"/>
                <w:szCs w:val="24"/>
              </w:rPr>
              <w:t xml:space="preserve"> </w:t>
            </w:r>
            <w:r w:rsidR="007E27B1" w:rsidRPr="0059443B">
              <w:rPr>
                <w:sz w:val="24"/>
                <w:szCs w:val="24"/>
              </w:rPr>
              <w:t>Upon completion of transcription, the audio data will be destroyed. The transcriptions will be stored on the University's secure server for 10 years after completion of the study.</w:t>
            </w:r>
          </w:p>
          <w:p w14:paraId="16F87896" w14:textId="602BA46E" w:rsidR="00642A3B" w:rsidRPr="00872521" w:rsidRDefault="00642A3B" w:rsidP="001D4E81">
            <w:pPr>
              <w:rPr>
                <w:sz w:val="24"/>
                <w:szCs w:val="24"/>
              </w:rPr>
            </w:pPr>
          </w:p>
        </w:tc>
      </w:tr>
    </w:tbl>
    <w:p w14:paraId="30BA53C0" w14:textId="77777777" w:rsidR="0022533D" w:rsidRPr="0022533D" w:rsidRDefault="0022533D" w:rsidP="0022533D">
      <w:pPr>
        <w:rPr>
          <w:b/>
          <w:bCs/>
          <w:sz w:val="24"/>
          <w:szCs w:val="24"/>
        </w:rPr>
      </w:pPr>
    </w:p>
    <w:tbl>
      <w:tblPr>
        <w:tblStyle w:val="TableGrid"/>
        <w:tblW w:w="0" w:type="auto"/>
        <w:tblLook w:val="04A0" w:firstRow="1" w:lastRow="0" w:firstColumn="1" w:lastColumn="0" w:noHBand="0" w:noVBand="1"/>
      </w:tblPr>
      <w:tblGrid>
        <w:gridCol w:w="9016"/>
      </w:tblGrid>
      <w:tr w:rsidR="0022533D" w:rsidRPr="0022533D" w14:paraId="6437EE7E" w14:textId="77777777" w:rsidTr="00B6168F">
        <w:tc>
          <w:tcPr>
            <w:tcW w:w="9242" w:type="dxa"/>
          </w:tcPr>
          <w:p w14:paraId="772BBE7E" w14:textId="6CAE3BA7" w:rsidR="0022533D" w:rsidRPr="0022533D" w:rsidRDefault="00F461D5" w:rsidP="00FA1063">
            <w:pPr>
              <w:rPr>
                <w:b/>
                <w:bCs/>
                <w:sz w:val="24"/>
                <w:szCs w:val="24"/>
              </w:rPr>
            </w:pPr>
            <w:r>
              <w:rPr>
                <w:b/>
                <w:bCs/>
                <w:sz w:val="24"/>
                <w:szCs w:val="24"/>
              </w:rPr>
              <w:t>5.2</w:t>
            </w:r>
            <w:r w:rsidR="0022533D" w:rsidRPr="0022533D">
              <w:rPr>
                <w:b/>
                <w:bCs/>
                <w:sz w:val="24"/>
                <w:szCs w:val="24"/>
              </w:rPr>
              <w:t xml:space="preserve"> How will personal data and study results be stored securely during and after the study</w:t>
            </w:r>
            <w:r w:rsidR="004439C1">
              <w:rPr>
                <w:b/>
                <w:bCs/>
                <w:sz w:val="24"/>
                <w:szCs w:val="24"/>
              </w:rPr>
              <w:t xml:space="preserve">. </w:t>
            </w:r>
            <w:r w:rsidR="004439C1" w:rsidRPr="0022533D">
              <w:rPr>
                <w:b/>
                <w:bCs/>
                <w:sz w:val="24"/>
                <w:szCs w:val="24"/>
              </w:rPr>
              <w:t>Who will have access to these data</w:t>
            </w:r>
            <w:r w:rsidR="004439C1">
              <w:rPr>
                <w:b/>
                <w:bCs/>
                <w:sz w:val="24"/>
                <w:szCs w:val="24"/>
              </w:rPr>
              <w:t>?</w:t>
            </w:r>
          </w:p>
        </w:tc>
      </w:tr>
      <w:tr w:rsidR="0022533D" w:rsidRPr="0022533D" w14:paraId="5F0A28E7" w14:textId="77777777" w:rsidTr="009F0D7A">
        <w:trPr>
          <w:trHeight w:val="89"/>
        </w:trPr>
        <w:tc>
          <w:tcPr>
            <w:tcW w:w="9242" w:type="dxa"/>
          </w:tcPr>
          <w:p w14:paraId="60A0599B" w14:textId="401A1666" w:rsidR="0022533D" w:rsidRDefault="00DA28B3" w:rsidP="00B6168F">
            <w:pPr>
              <w:rPr>
                <w:sz w:val="24"/>
                <w:szCs w:val="24"/>
              </w:rPr>
            </w:pPr>
            <w:r>
              <w:rPr>
                <w:sz w:val="24"/>
                <w:szCs w:val="24"/>
              </w:rPr>
              <w:t>For questionnaire:</w:t>
            </w:r>
          </w:p>
          <w:p w14:paraId="1FA04039" w14:textId="60799B6B" w:rsidR="00DA28B3" w:rsidRPr="00A925D8" w:rsidRDefault="00872397" w:rsidP="00B6168F">
            <w:pPr>
              <w:rPr>
                <w:sz w:val="24"/>
                <w:szCs w:val="24"/>
              </w:rPr>
            </w:pPr>
            <w:r w:rsidRPr="00872397">
              <w:rPr>
                <w:sz w:val="24"/>
                <w:szCs w:val="24"/>
              </w:rPr>
              <w:t xml:space="preserve">Demographic data, but no identifiable personal data, will be collected, except from an optional email address which will be handled separately – participants will have the option to </w:t>
            </w:r>
            <w:r w:rsidRPr="00A925D8">
              <w:rPr>
                <w:sz w:val="24"/>
                <w:szCs w:val="24"/>
              </w:rPr>
              <w:t xml:space="preserve">provide their email address should they </w:t>
            </w:r>
            <w:r w:rsidR="00A925D8" w:rsidRPr="00A925D8">
              <w:rPr>
                <w:sz w:val="24"/>
                <w:szCs w:val="24"/>
              </w:rPr>
              <w:t>be interested in</w:t>
            </w:r>
            <w:r w:rsidRPr="00A925D8">
              <w:rPr>
                <w:sz w:val="24"/>
                <w:szCs w:val="24"/>
              </w:rPr>
              <w:t xml:space="preserve"> </w:t>
            </w:r>
            <w:r w:rsidR="00573BA0" w:rsidRPr="00A925D8">
              <w:rPr>
                <w:sz w:val="24"/>
                <w:szCs w:val="24"/>
              </w:rPr>
              <w:t>participat</w:t>
            </w:r>
            <w:r w:rsidR="00A925D8" w:rsidRPr="00A925D8">
              <w:rPr>
                <w:sz w:val="24"/>
                <w:szCs w:val="24"/>
              </w:rPr>
              <w:t xml:space="preserve">ing </w:t>
            </w:r>
            <w:r w:rsidR="00573BA0" w:rsidRPr="00A925D8">
              <w:rPr>
                <w:sz w:val="24"/>
                <w:szCs w:val="24"/>
              </w:rPr>
              <w:t>in a follow up focus group</w:t>
            </w:r>
            <w:r w:rsidRPr="00A925D8">
              <w:rPr>
                <w:sz w:val="24"/>
                <w:szCs w:val="24"/>
              </w:rPr>
              <w:t xml:space="preserve">. These email addresses will be stored separately to the survey results </w:t>
            </w:r>
            <w:r w:rsidR="00A925D8" w:rsidRPr="00A925D8">
              <w:rPr>
                <w:sz w:val="24"/>
                <w:szCs w:val="24"/>
              </w:rPr>
              <w:t xml:space="preserve">on the university </w:t>
            </w:r>
            <w:r w:rsidR="00A925D8">
              <w:rPr>
                <w:sz w:val="24"/>
                <w:szCs w:val="24"/>
              </w:rPr>
              <w:t>c</w:t>
            </w:r>
            <w:r w:rsidR="00A925D8" w:rsidRPr="00A925D8">
              <w:rPr>
                <w:sz w:val="24"/>
                <w:szCs w:val="24"/>
              </w:rPr>
              <w:t>loud.</w:t>
            </w:r>
          </w:p>
          <w:p w14:paraId="6DAABC75" w14:textId="77777777" w:rsidR="004774FE" w:rsidRPr="00A925D8" w:rsidRDefault="004774FE" w:rsidP="00B6168F">
            <w:pPr>
              <w:rPr>
                <w:sz w:val="24"/>
                <w:szCs w:val="24"/>
              </w:rPr>
            </w:pPr>
          </w:p>
          <w:p w14:paraId="41E3F56F" w14:textId="4F1B5046" w:rsidR="00ED1082" w:rsidRPr="00620F28" w:rsidRDefault="004774FE" w:rsidP="00B6168F">
            <w:pPr>
              <w:rPr>
                <w:sz w:val="24"/>
                <w:szCs w:val="24"/>
              </w:rPr>
            </w:pPr>
            <w:r w:rsidRPr="004774FE">
              <w:rPr>
                <w:sz w:val="24"/>
                <w:szCs w:val="24"/>
              </w:rPr>
              <w:t>The data collected from the survey will be stored in the University of Southampton’s server using Qualtrics</w:t>
            </w:r>
            <w:r w:rsidR="00024D4E">
              <w:rPr>
                <w:sz w:val="24"/>
                <w:szCs w:val="24"/>
              </w:rPr>
              <w:t>, NVivo and Office 365</w:t>
            </w:r>
            <w:r w:rsidRPr="004774FE">
              <w:rPr>
                <w:sz w:val="24"/>
                <w:szCs w:val="24"/>
              </w:rPr>
              <w:t>. The researchers will be able to access this data for analysis, write-up and dissemination purposes.</w:t>
            </w:r>
            <w:r w:rsidR="007F7D5C">
              <w:rPr>
                <w:sz w:val="24"/>
                <w:szCs w:val="24"/>
              </w:rPr>
              <w:t xml:space="preserve"> </w:t>
            </w:r>
            <w:r w:rsidR="00360102">
              <w:rPr>
                <w:sz w:val="24"/>
                <w:szCs w:val="24"/>
              </w:rPr>
              <w:t>Following the study, the data</w:t>
            </w:r>
            <w:r w:rsidR="0021609C">
              <w:rPr>
                <w:sz w:val="24"/>
                <w:szCs w:val="24"/>
              </w:rPr>
              <w:t xml:space="preserve"> from the survey</w:t>
            </w:r>
            <w:r w:rsidR="00360102">
              <w:rPr>
                <w:sz w:val="24"/>
                <w:szCs w:val="24"/>
              </w:rPr>
              <w:t xml:space="preserve"> will be added to PURE</w:t>
            </w:r>
            <w:r w:rsidR="001B1690">
              <w:rPr>
                <w:sz w:val="24"/>
                <w:szCs w:val="24"/>
              </w:rPr>
              <w:t xml:space="preserve"> and will be able to be accessed by future researchers.</w:t>
            </w:r>
            <w:r w:rsidR="00ED1082">
              <w:rPr>
                <w:sz w:val="24"/>
                <w:szCs w:val="24"/>
              </w:rPr>
              <w:t xml:space="preserve"> </w:t>
            </w:r>
            <w:r w:rsidR="0021609C">
              <w:rPr>
                <w:sz w:val="24"/>
                <w:szCs w:val="24"/>
              </w:rPr>
              <w:t>A data management plan has been created</w:t>
            </w:r>
            <w:r w:rsidR="00ED1082">
              <w:rPr>
                <w:sz w:val="24"/>
                <w:szCs w:val="24"/>
              </w:rPr>
              <w:t xml:space="preserve"> to guide these decisions.</w:t>
            </w:r>
          </w:p>
          <w:p w14:paraId="7A0299FD" w14:textId="77777777" w:rsidR="00620F28" w:rsidRPr="00620F28" w:rsidRDefault="00620F28" w:rsidP="00B6168F">
            <w:pPr>
              <w:rPr>
                <w:sz w:val="24"/>
                <w:szCs w:val="24"/>
              </w:rPr>
            </w:pPr>
          </w:p>
          <w:p w14:paraId="4F8BB64D" w14:textId="77777777" w:rsidR="00620F28" w:rsidRPr="00620F28" w:rsidRDefault="00620F28" w:rsidP="00B6168F">
            <w:pPr>
              <w:rPr>
                <w:sz w:val="24"/>
                <w:szCs w:val="24"/>
              </w:rPr>
            </w:pPr>
            <w:r w:rsidRPr="00620F28">
              <w:rPr>
                <w:sz w:val="24"/>
                <w:szCs w:val="24"/>
              </w:rPr>
              <w:t>For focus group:</w:t>
            </w:r>
          </w:p>
          <w:p w14:paraId="77D762A0" w14:textId="468B2254" w:rsidR="00620F28" w:rsidRDefault="00620F28" w:rsidP="00620F28">
            <w:pPr>
              <w:rPr>
                <w:sz w:val="24"/>
                <w:szCs w:val="24"/>
              </w:rPr>
            </w:pPr>
            <w:r>
              <w:rPr>
                <w:sz w:val="24"/>
                <w:szCs w:val="24"/>
              </w:rPr>
              <w:t>The r</w:t>
            </w:r>
            <w:r w:rsidRPr="00620F28">
              <w:rPr>
                <w:sz w:val="24"/>
                <w:szCs w:val="24"/>
              </w:rPr>
              <w:t xml:space="preserve">esearcher will record the audio data </w:t>
            </w:r>
            <w:r>
              <w:rPr>
                <w:sz w:val="24"/>
                <w:szCs w:val="24"/>
              </w:rPr>
              <w:t>via Teams, on a</w:t>
            </w:r>
            <w:r w:rsidRPr="00620F28">
              <w:rPr>
                <w:sz w:val="24"/>
                <w:szCs w:val="24"/>
              </w:rPr>
              <w:t xml:space="preserve"> university password protected laptop. Audio data will be </w:t>
            </w:r>
            <w:r w:rsidR="00F255F5">
              <w:rPr>
                <w:sz w:val="24"/>
                <w:szCs w:val="24"/>
              </w:rPr>
              <w:t xml:space="preserve">stored on </w:t>
            </w:r>
            <w:r w:rsidRPr="00620F28">
              <w:rPr>
                <w:sz w:val="24"/>
                <w:szCs w:val="24"/>
              </w:rPr>
              <w:t>the University’s secure server</w:t>
            </w:r>
            <w:r w:rsidR="00324F38">
              <w:rPr>
                <w:sz w:val="24"/>
                <w:szCs w:val="24"/>
              </w:rPr>
              <w:t xml:space="preserve">. </w:t>
            </w:r>
            <w:r w:rsidR="00A27BB1">
              <w:rPr>
                <w:sz w:val="24"/>
                <w:szCs w:val="24"/>
              </w:rPr>
              <w:t>Audio data will be transcribed</w:t>
            </w:r>
            <w:r w:rsidRPr="00620F28">
              <w:rPr>
                <w:sz w:val="24"/>
                <w:szCs w:val="24"/>
              </w:rPr>
              <w:t>. Audio recording data will be destroyed once transcription has been completed. The transcripts will also be stored on the University secure server.</w:t>
            </w:r>
            <w:r w:rsidR="007F7D5C">
              <w:rPr>
                <w:sz w:val="24"/>
                <w:szCs w:val="24"/>
              </w:rPr>
              <w:t xml:space="preserve"> </w:t>
            </w:r>
            <w:r w:rsidR="007F7D5C" w:rsidRPr="004774FE">
              <w:rPr>
                <w:sz w:val="24"/>
                <w:szCs w:val="24"/>
              </w:rPr>
              <w:t>The researchers will be able to access this data for analysis, write-up and dissemination purposes.</w:t>
            </w:r>
            <w:r w:rsidR="007F7D5C">
              <w:rPr>
                <w:sz w:val="24"/>
                <w:szCs w:val="24"/>
              </w:rPr>
              <w:t xml:space="preserve"> </w:t>
            </w:r>
            <w:r w:rsidR="00BE1BF2">
              <w:rPr>
                <w:sz w:val="24"/>
                <w:szCs w:val="24"/>
              </w:rPr>
              <w:t xml:space="preserve"> This data will be stored on PURE for 10 years but won’t be made available to future researchers.</w:t>
            </w:r>
          </w:p>
          <w:p w14:paraId="3B76FE64" w14:textId="2EE73B36" w:rsidR="00D45C28" w:rsidRPr="00620F28" w:rsidRDefault="00D45C28" w:rsidP="00620F28">
            <w:pPr>
              <w:rPr>
                <w:sz w:val="24"/>
                <w:szCs w:val="24"/>
              </w:rPr>
            </w:pPr>
          </w:p>
        </w:tc>
      </w:tr>
    </w:tbl>
    <w:p w14:paraId="23D0194F" w14:textId="77777777" w:rsidR="0022533D" w:rsidRPr="0022533D" w:rsidRDefault="0022533D" w:rsidP="0022533D">
      <w:pPr>
        <w:rPr>
          <w:b/>
          <w:bCs/>
          <w:sz w:val="24"/>
          <w:szCs w:val="24"/>
        </w:rPr>
      </w:pPr>
    </w:p>
    <w:tbl>
      <w:tblPr>
        <w:tblStyle w:val="TableGrid"/>
        <w:tblW w:w="0" w:type="auto"/>
        <w:tblLook w:val="04A0" w:firstRow="1" w:lastRow="0" w:firstColumn="1" w:lastColumn="0" w:noHBand="0" w:noVBand="1"/>
      </w:tblPr>
      <w:tblGrid>
        <w:gridCol w:w="9016"/>
      </w:tblGrid>
      <w:tr w:rsidR="0022533D" w:rsidRPr="0022533D" w14:paraId="037FA2EA" w14:textId="77777777" w:rsidTr="00B6168F">
        <w:tc>
          <w:tcPr>
            <w:tcW w:w="9242" w:type="dxa"/>
          </w:tcPr>
          <w:p w14:paraId="0167BB0D" w14:textId="17AB2448" w:rsidR="0022533D" w:rsidRPr="00F461D5" w:rsidRDefault="00F461D5" w:rsidP="00F461D5">
            <w:pPr>
              <w:rPr>
                <w:b/>
                <w:bCs/>
                <w:i/>
                <w:iCs/>
                <w:sz w:val="24"/>
                <w:szCs w:val="24"/>
              </w:rPr>
            </w:pPr>
            <w:r>
              <w:rPr>
                <w:b/>
                <w:bCs/>
                <w:sz w:val="24"/>
                <w:szCs w:val="24"/>
              </w:rPr>
              <w:t>5.3</w:t>
            </w:r>
            <w:r w:rsidR="0022533D" w:rsidRPr="0022533D">
              <w:rPr>
                <w:b/>
                <w:bCs/>
                <w:sz w:val="24"/>
                <w:szCs w:val="24"/>
              </w:rPr>
              <w:t xml:space="preserve"> </w:t>
            </w:r>
            <w:r w:rsidR="004439C1">
              <w:rPr>
                <w:b/>
                <w:bCs/>
                <w:sz w:val="24"/>
                <w:szCs w:val="24"/>
              </w:rPr>
              <w:t>How will it be made clear to participants that they may withdraw consent to participate</w:t>
            </w:r>
            <w:r w:rsidR="004439C1" w:rsidRPr="00F461D5">
              <w:rPr>
                <w:b/>
                <w:bCs/>
                <w:sz w:val="24"/>
                <w:szCs w:val="24"/>
              </w:rPr>
              <w:t xml:space="preserve">? </w:t>
            </w:r>
            <w:r w:rsidRPr="00F461D5">
              <w:rPr>
                <w:b/>
                <w:bCs/>
                <w:iCs/>
                <w:sz w:val="24"/>
                <w:szCs w:val="24"/>
              </w:rPr>
              <w:t>Please note that anonymous data (e.g. anonymous questionnaires) cannot be withdrawn after they have been submitted. If there is a point up to which data can be withdrawn/destroyed e.g., up to interview data being transcribed please state this here.</w:t>
            </w:r>
            <w:r w:rsidRPr="00F461D5">
              <w:rPr>
                <w:b/>
                <w:bCs/>
                <w:i/>
                <w:iCs/>
                <w:sz w:val="24"/>
                <w:szCs w:val="24"/>
              </w:rPr>
              <w:t xml:space="preserve">  </w:t>
            </w:r>
          </w:p>
        </w:tc>
      </w:tr>
      <w:tr w:rsidR="0022533D" w:rsidRPr="0022533D" w14:paraId="4E8A60E2" w14:textId="77777777" w:rsidTr="00B6168F">
        <w:tc>
          <w:tcPr>
            <w:tcW w:w="9242" w:type="dxa"/>
          </w:tcPr>
          <w:p w14:paraId="571B978F" w14:textId="5242557B" w:rsidR="0022533D" w:rsidRPr="00847E41" w:rsidRDefault="00847E41" w:rsidP="00B6168F">
            <w:pPr>
              <w:rPr>
                <w:sz w:val="24"/>
                <w:szCs w:val="24"/>
              </w:rPr>
            </w:pPr>
            <w:r w:rsidRPr="00847E41">
              <w:rPr>
                <w:sz w:val="24"/>
                <w:szCs w:val="24"/>
              </w:rPr>
              <w:t>Questionnaire:</w:t>
            </w:r>
          </w:p>
          <w:p w14:paraId="78827BFB" w14:textId="1D6FEFBA" w:rsidR="00340A1C" w:rsidRDefault="00847E41" w:rsidP="00B6168F">
            <w:pPr>
              <w:rPr>
                <w:sz w:val="24"/>
                <w:szCs w:val="24"/>
              </w:rPr>
            </w:pPr>
            <w:r w:rsidRPr="00847E41">
              <w:rPr>
                <w:sz w:val="24"/>
                <w:szCs w:val="24"/>
              </w:rPr>
              <w:lastRenderedPageBreak/>
              <w:t>Participants will be told about their right to withdraw from the research in the participant information sheet (at the start of the questionnaire) and reminded prior to finalising their submission. It will be clearly stated that due to the anonymous response style, once submitted the participants responses cannot be revoked.</w:t>
            </w:r>
          </w:p>
          <w:p w14:paraId="15A77879" w14:textId="77777777" w:rsidR="00847E41" w:rsidRDefault="00847E41" w:rsidP="00B6168F">
            <w:pPr>
              <w:rPr>
                <w:sz w:val="24"/>
                <w:szCs w:val="24"/>
              </w:rPr>
            </w:pPr>
          </w:p>
          <w:p w14:paraId="36C478D2" w14:textId="3E00CBF0" w:rsidR="00847E41" w:rsidRPr="00847E41" w:rsidRDefault="00847E41" w:rsidP="00B6168F">
            <w:pPr>
              <w:rPr>
                <w:sz w:val="24"/>
                <w:szCs w:val="24"/>
              </w:rPr>
            </w:pPr>
            <w:r>
              <w:rPr>
                <w:sz w:val="24"/>
                <w:szCs w:val="24"/>
              </w:rPr>
              <w:t>Focus group:</w:t>
            </w:r>
          </w:p>
          <w:p w14:paraId="1116CF44" w14:textId="3C401DD4" w:rsidR="00340A1C" w:rsidRDefault="00104D73" w:rsidP="00F32BF7">
            <w:pPr>
              <w:rPr>
                <w:sz w:val="24"/>
                <w:szCs w:val="24"/>
              </w:rPr>
            </w:pPr>
            <w:r>
              <w:rPr>
                <w:sz w:val="24"/>
                <w:szCs w:val="24"/>
              </w:rPr>
              <w:t xml:space="preserve">Participants will be reminded about their </w:t>
            </w:r>
            <w:r w:rsidRPr="00104D73">
              <w:rPr>
                <w:sz w:val="24"/>
                <w:szCs w:val="24"/>
              </w:rPr>
              <w:t xml:space="preserve">right to withdraw from the research </w:t>
            </w:r>
            <w:r>
              <w:rPr>
                <w:sz w:val="24"/>
                <w:szCs w:val="24"/>
              </w:rPr>
              <w:t>at the start</w:t>
            </w:r>
            <w:r w:rsidR="004E6697">
              <w:rPr>
                <w:sz w:val="24"/>
                <w:szCs w:val="24"/>
              </w:rPr>
              <w:t xml:space="preserve"> and end</w:t>
            </w:r>
            <w:r>
              <w:rPr>
                <w:sz w:val="24"/>
                <w:szCs w:val="24"/>
              </w:rPr>
              <w:t xml:space="preserve"> of the focus group. </w:t>
            </w:r>
            <w:r w:rsidR="000142FF" w:rsidRPr="000142FF">
              <w:rPr>
                <w:sz w:val="24"/>
                <w:szCs w:val="24"/>
              </w:rPr>
              <w:t>Participants will be informed that beyond the point of transcription, the data will be anonymised and analysed together with other transcripts. Therefore, it will be impossible to remove all data belonging to one participant.</w:t>
            </w:r>
          </w:p>
          <w:p w14:paraId="6A8A1667" w14:textId="19DB674E" w:rsidR="00F32BF7" w:rsidRPr="0022533D" w:rsidRDefault="00F32BF7" w:rsidP="00F32BF7">
            <w:pPr>
              <w:rPr>
                <w:b/>
                <w:bCs/>
                <w:sz w:val="24"/>
                <w:szCs w:val="24"/>
              </w:rPr>
            </w:pPr>
          </w:p>
        </w:tc>
      </w:tr>
    </w:tbl>
    <w:p w14:paraId="23BC4A24" w14:textId="3F8D5CDE" w:rsidR="009F0D7A" w:rsidRDefault="009F0D7A" w:rsidP="0022533D">
      <w:pPr>
        <w:rPr>
          <w:b/>
          <w:bCs/>
          <w:sz w:val="24"/>
          <w:szCs w:val="24"/>
        </w:rPr>
      </w:pPr>
    </w:p>
    <w:p w14:paraId="7F2FA698" w14:textId="39E31892" w:rsidR="00F461D5" w:rsidRDefault="00F461D5" w:rsidP="00F461D5">
      <w:pPr>
        <w:ind w:left="360"/>
        <w:rPr>
          <w:b/>
          <w:bCs/>
          <w:sz w:val="24"/>
          <w:szCs w:val="24"/>
        </w:rPr>
      </w:pPr>
      <w:r>
        <w:rPr>
          <w:b/>
          <w:bCs/>
          <w:sz w:val="24"/>
          <w:szCs w:val="24"/>
        </w:rPr>
        <w:t xml:space="preserve">6. </w:t>
      </w:r>
      <w:r w:rsidR="004439C1" w:rsidRPr="00F461D5">
        <w:rPr>
          <w:b/>
          <w:bCs/>
          <w:sz w:val="24"/>
          <w:szCs w:val="24"/>
        </w:rPr>
        <w:t xml:space="preserve">Additional </w:t>
      </w:r>
      <w:r w:rsidR="008F7ADA" w:rsidRPr="00F461D5">
        <w:rPr>
          <w:b/>
          <w:bCs/>
          <w:sz w:val="24"/>
          <w:szCs w:val="24"/>
        </w:rPr>
        <w:t>Ethical considerations</w:t>
      </w:r>
    </w:p>
    <w:tbl>
      <w:tblPr>
        <w:tblStyle w:val="TableGrid"/>
        <w:tblW w:w="0" w:type="auto"/>
        <w:tblLook w:val="04A0" w:firstRow="1" w:lastRow="0" w:firstColumn="1" w:lastColumn="0" w:noHBand="0" w:noVBand="1"/>
      </w:tblPr>
      <w:tblGrid>
        <w:gridCol w:w="9016"/>
      </w:tblGrid>
      <w:tr w:rsidR="00ED43D3" w14:paraId="5BEA4EA0" w14:textId="77777777" w:rsidTr="00ED43D3">
        <w:tc>
          <w:tcPr>
            <w:tcW w:w="9016" w:type="dxa"/>
          </w:tcPr>
          <w:p w14:paraId="3437CE18" w14:textId="24E33721" w:rsidR="00ED43D3" w:rsidRDefault="00ED43D3" w:rsidP="00ED43D3">
            <w:pPr>
              <w:rPr>
                <w:b/>
                <w:bCs/>
                <w:sz w:val="24"/>
                <w:szCs w:val="24"/>
              </w:rPr>
            </w:pPr>
            <w:r>
              <w:rPr>
                <w:b/>
                <w:bCs/>
                <w:sz w:val="24"/>
                <w:szCs w:val="24"/>
              </w:rPr>
              <w:t>6.1 Are there any additional ethical considerations or other information you feel may be relevant to this study?</w:t>
            </w:r>
          </w:p>
        </w:tc>
      </w:tr>
      <w:tr w:rsidR="00ED43D3" w14:paraId="4A51994B" w14:textId="77777777" w:rsidTr="00ED43D3">
        <w:tc>
          <w:tcPr>
            <w:tcW w:w="9016" w:type="dxa"/>
          </w:tcPr>
          <w:p w14:paraId="46D73D25" w14:textId="235F949F" w:rsidR="00ED43D3" w:rsidRPr="00B26687" w:rsidRDefault="0062259C" w:rsidP="00ED43D3">
            <w:pPr>
              <w:rPr>
                <w:sz w:val="24"/>
                <w:szCs w:val="24"/>
              </w:rPr>
            </w:pPr>
            <w:r w:rsidRPr="00B26687">
              <w:rPr>
                <w:sz w:val="24"/>
                <w:szCs w:val="24"/>
              </w:rPr>
              <w:t>No</w:t>
            </w:r>
          </w:p>
        </w:tc>
      </w:tr>
    </w:tbl>
    <w:p w14:paraId="3CEB7A91" w14:textId="03E87504" w:rsidR="008F7ADA" w:rsidRPr="008F7ADA" w:rsidRDefault="008F7ADA" w:rsidP="008F7ADA">
      <w:pPr>
        <w:rPr>
          <w:b/>
          <w:bCs/>
          <w:sz w:val="24"/>
          <w:szCs w:val="24"/>
        </w:rPr>
      </w:pPr>
    </w:p>
    <w:sectPr w:rsidR="008F7ADA" w:rsidRPr="008F7ADA" w:rsidSect="00F461D5">
      <w:headerReference w:type="even" r:id="rId12"/>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5468B" w14:textId="77777777" w:rsidR="00F811EA" w:rsidRDefault="00F811EA" w:rsidP="000605F0">
      <w:pPr>
        <w:spacing w:after="0" w:line="240" w:lineRule="auto"/>
      </w:pPr>
      <w:r>
        <w:separator/>
      </w:r>
    </w:p>
  </w:endnote>
  <w:endnote w:type="continuationSeparator" w:id="0">
    <w:p w14:paraId="344C31C9" w14:textId="77777777" w:rsidR="00F811EA" w:rsidRDefault="00F811EA" w:rsidP="0006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7DB5D" w14:textId="77777777" w:rsidR="00F811EA" w:rsidRDefault="00F811EA" w:rsidP="000605F0">
      <w:pPr>
        <w:spacing w:after="0" w:line="240" w:lineRule="auto"/>
      </w:pPr>
      <w:r>
        <w:separator/>
      </w:r>
    </w:p>
  </w:footnote>
  <w:footnote w:type="continuationSeparator" w:id="0">
    <w:p w14:paraId="0855B374" w14:textId="77777777" w:rsidR="00F811EA" w:rsidRDefault="00F811EA" w:rsidP="00060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18884" w14:textId="77777777" w:rsidR="00F461D5" w:rsidRDefault="00F461D5" w:rsidP="000E2B5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D3AFF1" w14:textId="77777777" w:rsidR="00F461D5" w:rsidRDefault="00F461D5" w:rsidP="00F461D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F133B" w14:textId="43B1B266" w:rsidR="00F461D5" w:rsidRDefault="00F461D5" w:rsidP="000E2B5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79EA">
      <w:rPr>
        <w:rStyle w:val="PageNumber"/>
        <w:noProof/>
      </w:rPr>
      <w:t>4</w:t>
    </w:r>
    <w:r>
      <w:rPr>
        <w:rStyle w:val="PageNumber"/>
      </w:rPr>
      <w:fldChar w:fldCharType="end"/>
    </w:r>
  </w:p>
  <w:p w14:paraId="13430E9B" w14:textId="004C0200" w:rsidR="00661DA1" w:rsidRDefault="000605F0" w:rsidP="00F461D5">
    <w:pPr>
      <w:pStyle w:val="Header"/>
      <w:ind w:right="360"/>
    </w:pPr>
    <w:r>
      <w:t xml:space="preserve">Version </w:t>
    </w:r>
    <w:r w:rsidR="00661DA1">
      <w:t>6, 09.12.24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4D8A0" w14:textId="3914A8EC" w:rsidR="00A779EA" w:rsidRDefault="00A779EA" w:rsidP="00A779EA">
    <w:pPr>
      <w:pStyle w:val="Header"/>
      <w:jc w:val="right"/>
    </w:pPr>
    <w:r>
      <w:rPr>
        <w:noProof/>
        <w:lang w:eastAsia="en-GB"/>
      </w:rPr>
      <w:drawing>
        <wp:inline distT="0" distB="0" distL="0" distR="0" wp14:anchorId="68A13049" wp14:editId="0AC65676">
          <wp:extent cx="2033905" cy="472440"/>
          <wp:effectExtent l="0" t="0" r="4445" b="3810"/>
          <wp:docPr id="2" name="Picture 2" descr="University of Southampt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outhampton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3589" t="35331" r="13370" b="34465"/>
                  <a:stretch/>
                </pic:blipFill>
                <pic:spPr bwMode="auto">
                  <a:xfrm>
                    <a:off x="0" y="0"/>
                    <a:ext cx="2033905" cy="472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63387"/>
    <w:multiLevelType w:val="multilevel"/>
    <w:tmpl w:val="E89E9504"/>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235496"/>
    <w:multiLevelType w:val="multilevel"/>
    <w:tmpl w:val="7ECE102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6C5FC5"/>
    <w:multiLevelType w:val="multilevel"/>
    <w:tmpl w:val="A53676BE"/>
    <w:lvl w:ilvl="0">
      <w:start w:val="5"/>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7772586"/>
    <w:multiLevelType w:val="hybridMultilevel"/>
    <w:tmpl w:val="F832319E"/>
    <w:lvl w:ilvl="0" w:tplc="C41871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A91547"/>
    <w:multiLevelType w:val="multilevel"/>
    <w:tmpl w:val="13EEE6A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56365C"/>
    <w:multiLevelType w:val="multilevel"/>
    <w:tmpl w:val="FF3E775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F05945"/>
    <w:multiLevelType w:val="multilevel"/>
    <w:tmpl w:val="F300D17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98834199">
    <w:abstractNumId w:val="5"/>
  </w:num>
  <w:num w:numId="2" w16cid:durableId="412507735">
    <w:abstractNumId w:val="6"/>
  </w:num>
  <w:num w:numId="3" w16cid:durableId="226495287">
    <w:abstractNumId w:val="0"/>
  </w:num>
  <w:num w:numId="4" w16cid:durableId="651567188">
    <w:abstractNumId w:val="3"/>
  </w:num>
  <w:num w:numId="5" w16cid:durableId="769355676">
    <w:abstractNumId w:val="1"/>
  </w:num>
  <w:num w:numId="6" w16cid:durableId="1089542652">
    <w:abstractNumId w:val="2"/>
  </w:num>
  <w:num w:numId="7" w16cid:durableId="1581518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AAA"/>
    <w:rsid w:val="00003C11"/>
    <w:rsid w:val="00010FA6"/>
    <w:rsid w:val="000142FF"/>
    <w:rsid w:val="00016292"/>
    <w:rsid w:val="00022512"/>
    <w:rsid w:val="00024D4E"/>
    <w:rsid w:val="00025AE7"/>
    <w:rsid w:val="00034566"/>
    <w:rsid w:val="00040572"/>
    <w:rsid w:val="00053429"/>
    <w:rsid w:val="000605F0"/>
    <w:rsid w:val="0006254F"/>
    <w:rsid w:val="0007114D"/>
    <w:rsid w:val="0007457A"/>
    <w:rsid w:val="00075582"/>
    <w:rsid w:val="000A71D1"/>
    <w:rsid w:val="000C5F92"/>
    <w:rsid w:val="000C6ABD"/>
    <w:rsid w:val="000D3317"/>
    <w:rsid w:val="00104D73"/>
    <w:rsid w:val="00113655"/>
    <w:rsid w:val="00113C00"/>
    <w:rsid w:val="00116076"/>
    <w:rsid w:val="00125A4B"/>
    <w:rsid w:val="0013055F"/>
    <w:rsid w:val="0013288A"/>
    <w:rsid w:val="001334F5"/>
    <w:rsid w:val="00141AE9"/>
    <w:rsid w:val="001738B2"/>
    <w:rsid w:val="0018009B"/>
    <w:rsid w:val="00184A78"/>
    <w:rsid w:val="001B1690"/>
    <w:rsid w:val="001B4D19"/>
    <w:rsid w:val="001C4169"/>
    <w:rsid w:val="001C7B4F"/>
    <w:rsid w:val="001D20F1"/>
    <w:rsid w:val="001D4E81"/>
    <w:rsid w:val="001D5550"/>
    <w:rsid w:val="001E251F"/>
    <w:rsid w:val="001E3313"/>
    <w:rsid w:val="002046B2"/>
    <w:rsid w:val="00214BB0"/>
    <w:rsid w:val="0021609C"/>
    <w:rsid w:val="00225309"/>
    <w:rsid w:val="0022533D"/>
    <w:rsid w:val="0028508F"/>
    <w:rsid w:val="00297443"/>
    <w:rsid w:val="002A22F1"/>
    <w:rsid w:val="002A68C5"/>
    <w:rsid w:val="002A717C"/>
    <w:rsid w:val="002D50D3"/>
    <w:rsid w:val="002E2D61"/>
    <w:rsid w:val="002E3BE8"/>
    <w:rsid w:val="00305A83"/>
    <w:rsid w:val="00312693"/>
    <w:rsid w:val="003173F6"/>
    <w:rsid w:val="00324F38"/>
    <w:rsid w:val="003257BD"/>
    <w:rsid w:val="00340A1C"/>
    <w:rsid w:val="00346AE7"/>
    <w:rsid w:val="00347A96"/>
    <w:rsid w:val="00360102"/>
    <w:rsid w:val="00363EEA"/>
    <w:rsid w:val="003765F8"/>
    <w:rsid w:val="00392F62"/>
    <w:rsid w:val="00393C26"/>
    <w:rsid w:val="00394512"/>
    <w:rsid w:val="00397A85"/>
    <w:rsid w:val="003C1AB5"/>
    <w:rsid w:val="003D0D75"/>
    <w:rsid w:val="003E0CB0"/>
    <w:rsid w:val="003E1D22"/>
    <w:rsid w:val="003E30AB"/>
    <w:rsid w:val="00421FFB"/>
    <w:rsid w:val="00442F4C"/>
    <w:rsid w:val="004439C1"/>
    <w:rsid w:val="0044511E"/>
    <w:rsid w:val="0045672B"/>
    <w:rsid w:val="0046182F"/>
    <w:rsid w:val="00465188"/>
    <w:rsid w:val="004774FE"/>
    <w:rsid w:val="00483FE0"/>
    <w:rsid w:val="004A70C6"/>
    <w:rsid w:val="004B0A5E"/>
    <w:rsid w:val="004C3A58"/>
    <w:rsid w:val="004C5B05"/>
    <w:rsid w:val="004D563F"/>
    <w:rsid w:val="004E1D24"/>
    <w:rsid w:val="004E6697"/>
    <w:rsid w:val="004E7100"/>
    <w:rsid w:val="004F2284"/>
    <w:rsid w:val="005065AF"/>
    <w:rsid w:val="00506B5A"/>
    <w:rsid w:val="00522138"/>
    <w:rsid w:val="005246D0"/>
    <w:rsid w:val="00534387"/>
    <w:rsid w:val="005444D8"/>
    <w:rsid w:val="0054630D"/>
    <w:rsid w:val="00553C65"/>
    <w:rsid w:val="00557B80"/>
    <w:rsid w:val="0056393D"/>
    <w:rsid w:val="00564B9F"/>
    <w:rsid w:val="00564DD1"/>
    <w:rsid w:val="0056537D"/>
    <w:rsid w:val="00573BA0"/>
    <w:rsid w:val="005872CD"/>
    <w:rsid w:val="0059443B"/>
    <w:rsid w:val="005D2579"/>
    <w:rsid w:val="005D3FC1"/>
    <w:rsid w:val="005E4875"/>
    <w:rsid w:val="005E76E2"/>
    <w:rsid w:val="00601D6E"/>
    <w:rsid w:val="00606293"/>
    <w:rsid w:val="00620F28"/>
    <w:rsid w:val="0062259C"/>
    <w:rsid w:val="00622F64"/>
    <w:rsid w:val="00623A9F"/>
    <w:rsid w:val="00625F87"/>
    <w:rsid w:val="00630B58"/>
    <w:rsid w:val="00642A3B"/>
    <w:rsid w:val="006508C5"/>
    <w:rsid w:val="006515B2"/>
    <w:rsid w:val="0065756C"/>
    <w:rsid w:val="00661DA1"/>
    <w:rsid w:val="006620F8"/>
    <w:rsid w:val="006639ED"/>
    <w:rsid w:val="006D7950"/>
    <w:rsid w:val="00704316"/>
    <w:rsid w:val="00705BD4"/>
    <w:rsid w:val="00715633"/>
    <w:rsid w:val="00735A91"/>
    <w:rsid w:val="00742788"/>
    <w:rsid w:val="00743E42"/>
    <w:rsid w:val="0075322F"/>
    <w:rsid w:val="007631AE"/>
    <w:rsid w:val="0078080E"/>
    <w:rsid w:val="00782921"/>
    <w:rsid w:val="007A44F1"/>
    <w:rsid w:val="007C1829"/>
    <w:rsid w:val="007D0940"/>
    <w:rsid w:val="007E0C85"/>
    <w:rsid w:val="007E27B1"/>
    <w:rsid w:val="007F7D5C"/>
    <w:rsid w:val="0080338E"/>
    <w:rsid w:val="00803F12"/>
    <w:rsid w:val="00812BB0"/>
    <w:rsid w:val="008147D6"/>
    <w:rsid w:val="00815764"/>
    <w:rsid w:val="00817E12"/>
    <w:rsid w:val="00820D12"/>
    <w:rsid w:val="0082262E"/>
    <w:rsid w:val="00833764"/>
    <w:rsid w:val="00836FAB"/>
    <w:rsid w:val="00845579"/>
    <w:rsid w:val="00847E41"/>
    <w:rsid w:val="00855C44"/>
    <w:rsid w:val="00872397"/>
    <w:rsid w:val="00872521"/>
    <w:rsid w:val="0087302B"/>
    <w:rsid w:val="00896A58"/>
    <w:rsid w:val="00896D40"/>
    <w:rsid w:val="008A70EC"/>
    <w:rsid w:val="008C3EF2"/>
    <w:rsid w:val="008C449A"/>
    <w:rsid w:val="008E517F"/>
    <w:rsid w:val="008E58AA"/>
    <w:rsid w:val="008E7C81"/>
    <w:rsid w:val="008F6E13"/>
    <w:rsid w:val="008F7ADA"/>
    <w:rsid w:val="009131A9"/>
    <w:rsid w:val="00920969"/>
    <w:rsid w:val="00923251"/>
    <w:rsid w:val="009278E9"/>
    <w:rsid w:val="00930E86"/>
    <w:rsid w:val="009616FF"/>
    <w:rsid w:val="0097066C"/>
    <w:rsid w:val="00990874"/>
    <w:rsid w:val="00990887"/>
    <w:rsid w:val="00991072"/>
    <w:rsid w:val="009A1DFB"/>
    <w:rsid w:val="009B177F"/>
    <w:rsid w:val="009B188E"/>
    <w:rsid w:val="009B439A"/>
    <w:rsid w:val="009C441E"/>
    <w:rsid w:val="009D4150"/>
    <w:rsid w:val="009E489D"/>
    <w:rsid w:val="009F0D7A"/>
    <w:rsid w:val="009F5DB8"/>
    <w:rsid w:val="00A03ED5"/>
    <w:rsid w:val="00A056BD"/>
    <w:rsid w:val="00A16C95"/>
    <w:rsid w:val="00A17E3C"/>
    <w:rsid w:val="00A27BB1"/>
    <w:rsid w:val="00A314AB"/>
    <w:rsid w:val="00A3661B"/>
    <w:rsid w:val="00A759DD"/>
    <w:rsid w:val="00A779EA"/>
    <w:rsid w:val="00A80262"/>
    <w:rsid w:val="00A84452"/>
    <w:rsid w:val="00A8739B"/>
    <w:rsid w:val="00A925D8"/>
    <w:rsid w:val="00AC77FF"/>
    <w:rsid w:val="00AE4A25"/>
    <w:rsid w:val="00AE51E0"/>
    <w:rsid w:val="00AE648E"/>
    <w:rsid w:val="00AF0F92"/>
    <w:rsid w:val="00B0524E"/>
    <w:rsid w:val="00B11210"/>
    <w:rsid w:val="00B26687"/>
    <w:rsid w:val="00B27B96"/>
    <w:rsid w:val="00B52EA1"/>
    <w:rsid w:val="00B566D0"/>
    <w:rsid w:val="00B60DBC"/>
    <w:rsid w:val="00B67319"/>
    <w:rsid w:val="00B70C82"/>
    <w:rsid w:val="00B72F6D"/>
    <w:rsid w:val="00B84656"/>
    <w:rsid w:val="00B853F9"/>
    <w:rsid w:val="00B86C5E"/>
    <w:rsid w:val="00B93A8C"/>
    <w:rsid w:val="00BB154E"/>
    <w:rsid w:val="00BB2DF7"/>
    <w:rsid w:val="00BB3C92"/>
    <w:rsid w:val="00BC097D"/>
    <w:rsid w:val="00BC61E4"/>
    <w:rsid w:val="00BD1AAE"/>
    <w:rsid w:val="00BD5738"/>
    <w:rsid w:val="00BE1BF2"/>
    <w:rsid w:val="00BE2AD2"/>
    <w:rsid w:val="00C00BDB"/>
    <w:rsid w:val="00C0471A"/>
    <w:rsid w:val="00C06CE2"/>
    <w:rsid w:val="00C35B06"/>
    <w:rsid w:val="00C66946"/>
    <w:rsid w:val="00C748D9"/>
    <w:rsid w:val="00C938A9"/>
    <w:rsid w:val="00C975C2"/>
    <w:rsid w:val="00CA73CA"/>
    <w:rsid w:val="00CB675B"/>
    <w:rsid w:val="00CC1214"/>
    <w:rsid w:val="00CD0B88"/>
    <w:rsid w:val="00CD306F"/>
    <w:rsid w:val="00CF11F4"/>
    <w:rsid w:val="00CF46C2"/>
    <w:rsid w:val="00D33879"/>
    <w:rsid w:val="00D352C0"/>
    <w:rsid w:val="00D45C28"/>
    <w:rsid w:val="00D46ED5"/>
    <w:rsid w:val="00D65451"/>
    <w:rsid w:val="00D7341A"/>
    <w:rsid w:val="00D762E7"/>
    <w:rsid w:val="00D83B0D"/>
    <w:rsid w:val="00D921DA"/>
    <w:rsid w:val="00DA28B3"/>
    <w:rsid w:val="00DB31E9"/>
    <w:rsid w:val="00DB4209"/>
    <w:rsid w:val="00DE3B32"/>
    <w:rsid w:val="00E14932"/>
    <w:rsid w:val="00E23E03"/>
    <w:rsid w:val="00E27441"/>
    <w:rsid w:val="00E47C8C"/>
    <w:rsid w:val="00E5635D"/>
    <w:rsid w:val="00E73902"/>
    <w:rsid w:val="00E80603"/>
    <w:rsid w:val="00EA492D"/>
    <w:rsid w:val="00EB2BFC"/>
    <w:rsid w:val="00EC1870"/>
    <w:rsid w:val="00EC5F1D"/>
    <w:rsid w:val="00ED1082"/>
    <w:rsid w:val="00ED43D3"/>
    <w:rsid w:val="00EE6AB2"/>
    <w:rsid w:val="00EF60ED"/>
    <w:rsid w:val="00F12F8A"/>
    <w:rsid w:val="00F22E0D"/>
    <w:rsid w:val="00F255F5"/>
    <w:rsid w:val="00F32BF7"/>
    <w:rsid w:val="00F33858"/>
    <w:rsid w:val="00F36B52"/>
    <w:rsid w:val="00F461D5"/>
    <w:rsid w:val="00F640C7"/>
    <w:rsid w:val="00F65AC7"/>
    <w:rsid w:val="00F7644B"/>
    <w:rsid w:val="00F77BF7"/>
    <w:rsid w:val="00F811EA"/>
    <w:rsid w:val="00F81C14"/>
    <w:rsid w:val="00FA1063"/>
    <w:rsid w:val="00FA3111"/>
    <w:rsid w:val="00FB75FD"/>
    <w:rsid w:val="00FC0BF2"/>
    <w:rsid w:val="00FC2EE6"/>
    <w:rsid w:val="00FD0A55"/>
    <w:rsid w:val="00FD2AAA"/>
    <w:rsid w:val="00FF3A42"/>
    <w:rsid w:val="00FF59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D002"/>
  <w15:docId w15:val="{974F322A-A54B-477B-BF78-0ED52B57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6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C95"/>
    <w:pPr>
      <w:ind w:left="720"/>
      <w:contextualSpacing/>
    </w:pPr>
  </w:style>
  <w:style w:type="character" w:styleId="CommentReference">
    <w:name w:val="annotation reference"/>
    <w:basedOn w:val="DefaultParagraphFont"/>
    <w:uiPriority w:val="99"/>
    <w:semiHidden/>
    <w:unhideWhenUsed/>
    <w:rsid w:val="00742788"/>
    <w:rPr>
      <w:sz w:val="16"/>
      <w:szCs w:val="16"/>
    </w:rPr>
  </w:style>
  <w:style w:type="paragraph" w:styleId="CommentText">
    <w:name w:val="annotation text"/>
    <w:basedOn w:val="Normal"/>
    <w:link w:val="CommentTextChar"/>
    <w:uiPriority w:val="99"/>
    <w:unhideWhenUsed/>
    <w:rsid w:val="00742788"/>
    <w:pPr>
      <w:spacing w:line="240" w:lineRule="auto"/>
    </w:pPr>
    <w:rPr>
      <w:sz w:val="20"/>
      <w:szCs w:val="20"/>
    </w:rPr>
  </w:style>
  <w:style w:type="character" w:customStyle="1" w:styleId="CommentTextChar">
    <w:name w:val="Comment Text Char"/>
    <w:basedOn w:val="DefaultParagraphFont"/>
    <w:link w:val="CommentText"/>
    <w:uiPriority w:val="99"/>
    <w:rsid w:val="00742788"/>
    <w:rPr>
      <w:sz w:val="20"/>
      <w:szCs w:val="20"/>
    </w:rPr>
  </w:style>
  <w:style w:type="paragraph" w:styleId="CommentSubject">
    <w:name w:val="annotation subject"/>
    <w:basedOn w:val="CommentText"/>
    <w:next w:val="CommentText"/>
    <w:link w:val="CommentSubjectChar"/>
    <w:uiPriority w:val="99"/>
    <w:semiHidden/>
    <w:unhideWhenUsed/>
    <w:rsid w:val="00742788"/>
    <w:rPr>
      <w:b/>
      <w:bCs/>
    </w:rPr>
  </w:style>
  <w:style w:type="character" w:customStyle="1" w:styleId="CommentSubjectChar">
    <w:name w:val="Comment Subject Char"/>
    <w:basedOn w:val="CommentTextChar"/>
    <w:link w:val="CommentSubject"/>
    <w:uiPriority w:val="99"/>
    <w:semiHidden/>
    <w:rsid w:val="00742788"/>
    <w:rPr>
      <w:b/>
      <w:bCs/>
      <w:sz w:val="20"/>
      <w:szCs w:val="20"/>
    </w:rPr>
  </w:style>
  <w:style w:type="paragraph" w:styleId="BalloonText">
    <w:name w:val="Balloon Text"/>
    <w:basedOn w:val="Normal"/>
    <w:link w:val="BalloonTextChar"/>
    <w:uiPriority w:val="99"/>
    <w:semiHidden/>
    <w:unhideWhenUsed/>
    <w:rsid w:val="00742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788"/>
    <w:rPr>
      <w:rFonts w:ascii="Segoe UI" w:hAnsi="Segoe UI" w:cs="Segoe UI"/>
      <w:sz w:val="18"/>
      <w:szCs w:val="18"/>
    </w:rPr>
  </w:style>
  <w:style w:type="paragraph" w:styleId="Header">
    <w:name w:val="header"/>
    <w:basedOn w:val="Normal"/>
    <w:link w:val="HeaderChar"/>
    <w:uiPriority w:val="99"/>
    <w:unhideWhenUsed/>
    <w:rsid w:val="00060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5F0"/>
  </w:style>
  <w:style w:type="paragraph" w:styleId="Footer">
    <w:name w:val="footer"/>
    <w:basedOn w:val="Normal"/>
    <w:link w:val="FooterChar"/>
    <w:uiPriority w:val="99"/>
    <w:unhideWhenUsed/>
    <w:rsid w:val="00060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5F0"/>
  </w:style>
  <w:style w:type="character" w:styleId="PageNumber">
    <w:name w:val="page number"/>
    <w:basedOn w:val="DefaultParagraphFont"/>
    <w:uiPriority w:val="99"/>
    <w:semiHidden/>
    <w:unhideWhenUsed/>
    <w:rsid w:val="00F461D5"/>
  </w:style>
  <w:style w:type="character" w:styleId="Hyperlink">
    <w:name w:val="Hyperlink"/>
    <w:basedOn w:val="DefaultParagraphFont"/>
    <w:uiPriority w:val="99"/>
    <w:unhideWhenUsed/>
    <w:rsid w:val="00D33879"/>
    <w:rPr>
      <w:color w:val="0000FF" w:themeColor="hyperlink"/>
      <w:u w:val="single"/>
    </w:rPr>
  </w:style>
  <w:style w:type="character" w:styleId="FollowedHyperlink">
    <w:name w:val="FollowedHyperlink"/>
    <w:basedOn w:val="DefaultParagraphFont"/>
    <w:uiPriority w:val="99"/>
    <w:semiHidden/>
    <w:unhideWhenUsed/>
    <w:rsid w:val="00D33879"/>
    <w:rPr>
      <w:color w:val="800080" w:themeColor="followedHyperlink"/>
      <w:u w:val="single"/>
    </w:rPr>
  </w:style>
  <w:style w:type="paragraph" w:styleId="Revision">
    <w:name w:val="Revision"/>
    <w:hidden/>
    <w:uiPriority w:val="99"/>
    <w:semiHidden/>
    <w:rsid w:val="00E14932"/>
    <w:pPr>
      <w:spacing w:after="0" w:line="240" w:lineRule="auto"/>
    </w:pPr>
  </w:style>
  <w:style w:type="character" w:styleId="UnresolvedMention">
    <w:name w:val="Unresolved Mention"/>
    <w:basedOn w:val="DefaultParagraphFont"/>
    <w:uiPriority w:val="99"/>
    <w:semiHidden/>
    <w:unhideWhenUsed/>
    <w:rsid w:val="0081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sargeant@soton.ac.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b27g12@soton.ac.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uthampton.ac.uk/assets/sharepoint/intranet/hr/How%20to/Policy%20-%20Lone%20working.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rolific.com" TargetMode="External"/><Relationship Id="rId4" Type="http://schemas.openxmlformats.org/officeDocument/2006/relationships/webSettings" Target="webSettings.xml"/><Relationship Id="rId9" Type="http://schemas.openxmlformats.org/officeDocument/2006/relationships/hyperlink" Target="mailto:s.f.wright@soton.ac.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3889</Words>
  <Characters>22172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M.Warner@soton.ac.uk</dc:creator>
  <cp:lastModifiedBy>Amy Brockwell</cp:lastModifiedBy>
  <cp:revision>18</cp:revision>
  <dcterms:created xsi:type="dcterms:W3CDTF">2024-11-27T15:52:00Z</dcterms:created>
  <dcterms:modified xsi:type="dcterms:W3CDTF">2024-12-09T18:31:00Z</dcterms:modified>
</cp:coreProperties>
</file>