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498A" w14:textId="77777777" w:rsidR="009B2F47" w:rsidRDefault="009E381E" w:rsidP="00DD31E6">
      <w:pPr>
        <w:spacing w:after="0" w:line="360" w:lineRule="auto"/>
        <w:jc w:val="center"/>
        <w:rPr>
          <w:b/>
          <w:bCs/>
          <w:u w:val="single"/>
        </w:rPr>
      </w:pPr>
      <w:r>
        <w:rPr>
          <w:b/>
          <w:bCs/>
          <w:u w:val="single"/>
        </w:rPr>
        <w:t>Subsidiarity as a Normative</w:t>
      </w:r>
      <w:r w:rsidR="009B2F47">
        <w:rPr>
          <w:b/>
          <w:bCs/>
          <w:u w:val="single"/>
        </w:rPr>
        <w:t xml:space="preserve"> Political Concept: </w:t>
      </w:r>
    </w:p>
    <w:p w14:paraId="6C766F2F" w14:textId="4D0A130A" w:rsidR="00C201E2" w:rsidRDefault="009B2F47" w:rsidP="00DD31E6">
      <w:pPr>
        <w:spacing w:after="0" w:line="360" w:lineRule="auto"/>
        <w:jc w:val="center"/>
        <w:rPr>
          <w:b/>
          <w:bCs/>
          <w:u w:val="single"/>
        </w:rPr>
      </w:pPr>
      <w:r>
        <w:rPr>
          <w:b/>
          <w:bCs/>
          <w:u w:val="single"/>
        </w:rPr>
        <w:t>Contemporary and Historical Reflections</w:t>
      </w:r>
    </w:p>
    <w:p w14:paraId="693A995E" w14:textId="77777777" w:rsidR="00626EA0" w:rsidRDefault="00626EA0" w:rsidP="00DD31E6">
      <w:pPr>
        <w:spacing w:after="0" w:line="360" w:lineRule="auto"/>
        <w:jc w:val="center"/>
        <w:rPr>
          <w:b/>
          <w:bCs/>
          <w:u w:val="single"/>
        </w:rPr>
      </w:pPr>
    </w:p>
    <w:p w14:paraId="29C67585" w14:textId="3B0EA6DF" w:rsidR="00FD3CD3" w:rsidRPr="00626EA0" w:rsidRDefault="00626EA0" w:rsidP="00DD31E6">
      <w:pPr>
        <w:spacing w:after="0" w:line="360" w:lineRule="auto"/>
        <w:jc w:val="center"/>
        <w:rPr>
          <w:lang w:val="de-AT"/>
        </w:rPr>
      </w:pPr>
      <w:r>
        <w:rPr>
          <w:lang w:val="de-AT"/>
        </w:rPr>
        <w:t xml:space="preserve">By </w:t>
      </w:r>
      <w:r w:rsidRPr="00626EA0">
        <w:rPr>
          <w:lang w:val="de-AT"/>
        </w:rPr>
        <w:t>Michael Da Silva and Daniel Weinstock</w:t>
      </w:r>
    </w:p>
    <w:p w14:paraId="00CBB605" w14:textId="77777777" w:rsidR="00626EA0" w:rsidRPr="00626EA0" w:rsidRDefault="00626EA0" w:rsidP="00DD31E6">
      <w:pPr>
        <w:spacing w:after="0" w:line="360" w:lineRule="auto"/>
        <w:jc w:val="center"/>
        <w:rPr>
          <w:b/>
          <w:bCs/>
          <w:u w:val="single"/>
          <w:lang w:val="de-AT"/>
        </w:rPr>
      </w:pPr>
    </w:p>
    <w:p w14:paraId="6D4EF2B0" w14:textId="1CC8D3F0" w:rsidR="00FD3CD3" w:rsidRPr="00FD3CD3" w:rsidRDefault="00FD3CD3" w:rsidP="00DD31E6">
      <w:pPr>
        <w:spacing w:after="0" w:line="360" w:lineRule="auto"/>
        <w:jc w:val="center"/>
        <w:rPr>
          <w:i/>
          <w:iCs/>
        </w:rPr>
      </w:pPr>
      <w:r w:rsidRPr="00FD3CD3">
        <w:rPr>
          <w:i/>
          <w:iCs/>
        </w:rPr>
        <w:t>[Note: This is the author’s accepted manuscript and is provided for archiving purposes only. Please read and cite the published version in the Journal of Social Philosophy.]</w:t>
      </w:r>
    </w:p>
    <w:p w14:paraId="509CEA10" w14:textId="77777777" w:rsidR="005E719D" w:rsidRPr="00EE5B4D" w:rsidRDefault="005E719D" w:rsidP="00DD31E6">
      <w:pPr>
        <w:spacing w:after="0" w:line="360" w:lineRule="auto"/>
        <w:jc w:val="center"/>
        <w:rPr>
          <w:b/>
          <w:bCs/>
          <w:u w:val="single"/>
        </w:rPr>
      </w:pPr>
    </w:p>
    <w:p w14:paraId="3C073E65" w14:textId="1E08D8B4" w:rsidR="006A2565" w:rsidRDefault="00D134E7" w:rsidP="00DD31E6">
      <w:pPr>
        <w:spacing w:after="0" w:line="360" w:lineRule="auto"/>
      </w:pPr>
      <w:r w:rsidRPr="00EE5B4D">
        <w:t xml:space="preserve">Subsidiarity is </w:t>
      </w:r>
      <w:r w:rsidR="00513110">
        <w:t>a</w:t>
      </w:r>
      <w:r w:rsidRPr="00EE5B4D">
        <w:t xml:space="preserve"> principle </w:t>
      </w:r>
      <w:r w:rsidR="00513110">
        <w:t xml:space="preserve">holding that </w:t>
      </w:r>
      <w:r w:rsidR="00641D6A">
        <w:t xml:space="preserve">final </w:t>
      </w:r>
      <w:r w:rsidRPr="00EE5B4D">
        <w:t>decision-making authority</w:t>
      </w:r>
      <w:r w:rsidR="00641D6A">
        <w:t xml:space="preserve"> (viz., the power not to have another entity substitute its own decisions, issue fines, etc.)</w:t>
      </w:r>
      <w:r w:rsidRPr="00EE5B4D">
        <w:t xml:space="preserve"> should presumptively belong to the candidate</w:t>
      </w:r>
      <w:r w:rsidR="00640166">
        <w:t xml:space="preserve"> authority claimant</w:t>
      </w:r>
      <w:r w:rsidRPr="00EE5B4D">
        <w:t xml:space="preserve"> </w:t>
      </w:r>
      <w:r w:rsidR="00946926" w:rsidRPr="00EE5B4D">
        <w:t>‘</w:t>
      </w:r>
      <w:r w:rsidRPr="00EE5B4D">
        <w:t>closest</w:t>
      </w:r>
      <w:r w:rsidR="00946926" w:rsidRPr="00EE5B4D">
        <w:t>’</w:t>
      </w:r>
      <w:r w:rsidRPr="00EE5B4D">
        <w:t xml:space="preserve"> to the decision</w:t>
      </w:r>
      <w:r w:rsidR="000A5CCE">
        <w:t xml:space="preserve"> or those affected by or subject to that decision</w:t>
      </w:r>
      <w:r w:rsidRPr="00EE5B4D">
        <w:t>.</w:t>
      </w:r>
      <w:r w:rsidR="00C201E2" w:rsidRPr="00EE5B4D">
        <w:rPr>
          <w:rStyle w:val="FootnoteReference"/>
        </w:rPr>
        <w:footnoteReference w:id="1"/>
      </w:r>
      <w:r w:rsidR="000A5CCE">
        <w:t xml:space="preserve"> </w:t>
      </w:r>
      <w:r w:rsidR="001A7C5F">
        <w:t xml:space="preserve">Most definitions of </w:t>
      </w:r>
      <w:r w:rsidR="004E5A1E">
        <w:t>subsidiarity</w:t>
      </w:r>
      <w:r w:rsidR="001A7C5F">
        <w:t xml:space="preserve"> include</w:t>
      </w:r>
      <w:r w:rsidR="00F35EB8">
        <w:t xml:space="preserve"> a proviso holding that </w:t>
      </w:r>
      <w:r w:rsidR="004E5A1E">
        <w:t xml:space="preserve">its </w:t>
      </w:r>
      <w:r w:rsidR="009E381E">
        <w:t xml:space="preserve">constitutive </w:t>
      </w:r>
      <w:r w:rsidR="00F35EB8">
        <w:t xml:space="preserve">presumption only applies where </w:t>
      </w:r>
      <w:r w:rsidR="004E5A1E">
        <w:t xml:space="preserve">a </w:t>
      </w:r>
      <w:r w:rsidR="00DF2D4A">
        <w:t>unit is capable of addressing the underlying issue.</w:t>
      </w:r>
      <w:r w:rsidR="001A7C5F">
        <w:rPr>
          <w:rStyle w:val="FootnoteReference"/>
        </w:rPr>
        <w:footnoteReference w:id="2"/>
      </w:r>
      <w:r w:rsidR="00DF2D4A">
        <w:t xml:space="preserve"> </w:t>
      </w:r>
      <w:r w:rsidR="0075496E">
        <w:t xml:space="preserve">When faced with questions concerning who should </w:t>
      </w:r>
      <w:r w:rsidR="000550E2">
        <w:t xml:space="preserve">have the final word on decisions </w:t>
      </w:r>
      <w:r w:rsidR="009E381E">
        <w:t xml:space="preserve">about a given subject </w:t>
      </w:r>
      <w:r w:rsidR="000550E2">
        <w:t xml:space="preserve">(education, healthcare, </w:t>
      </w:r>
      <w:r w:rsidR="006C15CD">
        <w:t xml:space="preserve">defense, </w:t>
      </w:r>
      <w:r w:rsidR="000550E2">
        <w:t xml:space="preserve">etc.) or </w:t>
      </w:r>
      <w:r w:rsidR="006C15CD">
        <w:t xml:space="preserve">on particular issues (whether to permit minority schools, </w:t>
      </w:r>
      <w:r w:rsidR="00F35EB8">
        <w:t xml:space="preserve">require </w:t>
      </w:r>
      <w:r w:rsidR="006C15CD">
        <w:t xml:space="preserve">vaccines, </w:t>
      </w:r>
      <w:r w:rsidR="00F35EB8">
        <w:t>go to war, etc.),</w:t>
      </w:r>
      <w:r w:rsidR="00DF2D4A">
        <w:t xml:space="preserve"> in other words,</w:t>
      </w:r>
      <w:r w:rsidR="00F35EB8">
        <w:t xml:space="preserve"> </w:t>
      </w:r>
      <w:r w:rsidR="00DF2D4A">
        <w:t>one should presum</w:t>
      </w:r>
      <w:r w:rsidR="00327B85">
        <w:t>ptively favour the</w:t>
      </w:r>
      <w:r w:rsidR="00DF2D4A">
        <w:t xml:space="preserve"> a ‘close</w:t>
      </w:r>
      <w:r w:rsidR="00327B85">
        <w:t>st</w:t>
      </w:r>
      <w:r w:rsidR="00DF2D4A">
        <w:t xml:space="preserve">’ unit capable of addressing the </w:t>
      </w:r>
      <w:r w:rsidR="00327B85">
        <w:t>subject or issue.</w:t>
      </w:r>
      <w:r w:rsidR="00337FF7">
        <w:t xml:space="preserve"> </w:t>
      </w:r>
    </w:p>
    <w:p w14:paraId="5726B8B7" w14:textId="77777777" w:rsidR="006A2565" w:rsidRDefault="006A2565" w:rsidP="00DD31E6">
      <w:pPr>
        <w:spacing w:after="0" w:line="360" w:lineRule="auto"/>
      </w:pPr>
    </w:p>
    <w:p w14:paraId="63687F8C" w14:textId="0D9CE535" w:rsidR="00C9332D" w:rsidRPr="00EE5B4D" w:rsidRDefault="00C9332D" w:rsidP="00C9332D">
      <w:pPr>
        <w:spacing w:after="0" w:line="360" w:lineRule="auto"/>
      </w:pPr>
      <w:r w:rsidRPr="00EE5B4D">
        <w:t xml:space="preserve">Subsidiarity </w:t>
      </w:r>
      <w:r>
        <w:t xml:space="preserve">so-understood </w:t>
      </w:r>
      <w:r w:rsidRPr="00EE5B4D">
        <w:t xml:space="preserve">has a long historical pedigree. While scholars debate whether earlier </w:t>
      </w:r>
      <w:r w:rsidR="003C5E00">
        <w:t>arguments</w:t>
      </w:r>
      <w:r w:rsidRPr="00EE5B4D">
        <w:t xml:space="preserve"> favour</w:t>
      </w:r>
      <w:r w:rsidR="003C5E00">
        <w:t xml:space="preserve"> the authority of</w:t>
      </w:r>
      <w:r w:rsidRPr="00EE5B4D">
        <w:t xml:space="preserve"> closer decision-making units are continuous with the contemporary concept of subsidiarity – and whether it even makes sense to talk of ‘closer’ units – (at least) analogous concepts appear throughout the history of political thought.</w:t>
      </w:r>
      <w:r w:rsidRPr="00EE5B4D">
        <w:rPr>
          <w:rStyle w:val="FootnoteReference"/>
        </w:rPr>
        <w:footnoteReference w:id="3"/>
      </w:r>
      <w:r w:rsidRPr="00EE5B4D">
        <w:t xml:space="preserve"> </w:t>
      </w:r>
      <w:r>
        <w:t xml:space="preserve">Key </w:t>
      </w:r>
      <w:r w:rsidR="003C5E00">
        <w:t xml:space="preserve">historical </w:t>
      </w:r>
      <w:r>
        <w:t xml:space="preserve">figures, like Aristotle, Saint Thomas Aquinas, and Johannes </w:t>
      </w:r>
      <w:r>
        <w:lastRenderedPageBreak/>
        <w:t>Althusius are often read as supporting analogous principles, if not subsidiarity itself.</w:t>
      </w:r>
      <w:r>
        <w:rPr>
          <w:rStyle w:val="FootnoteReference"/>
        </w:rPr>
        <w:footnoteReference w:id="4"/>
      </w:r>
      <w:r>
        <w:t xml:space="preserve"> </w:t>
      </w:r>
      <w:r w:rsidRPr="00EE5B4D">
        <w:t xml:space="preserve">Recent work suggests comparable concepts </w:t>
      </w:r>
      <w:r w:rsidR="004B0C4C">
        <w:t xml:space="preserve">have </w:t>
      </w:r>
      <w:r w:rsidRPr="00EE5B4D">
        <w:t>appeared across the globe, potentially assuaging concerns that subsidiarity is irremediably tied to Western preconceptions.</w:t>
      </w:r>
      <w:r w:rsidRPr="00EE5B4D">
        <w:rPr>
          <w:rStyle w:val="FootnoteReference"/>
        </w:rPr>
        <w:footnoteReference w:id="5"/>
      </w:r>
    </w:p>
    <w:p w14:paraId="3B4CC4BE" w14:textId="77777777" w:rsidR="00C9332D" w:rsidRDefault="00C9332D" w:rsidP="00DD31E6">
      <w:pPr>
        <w:spacing w:after="0" w:line="360" w:lineRule="auto"/>
      </w:pPr>
    </w:p>
    <w:p w14:paraId="5C221DDA" w14:textId="7C6D6979" w:rsidR="00D134E7" w:rsidRPr="00EE5B4D" w:rsidRDefault="00C9332D" w:rsidP="00DD31E6">
      <w:pPr>
        <w:spacing w:after="0" w:line="360" w:lineRule="auto"/>
      </w:pPr>
      <w:r>
        <w:t xml:space="preserve">Subsidiarity also </w:t>
      </w:r>
      <w:r w:rsidR="00D134E7" w:rsidRPr="00EE5B4D">
        <w:t>plays prominent roles in</w:t>
      </w:r>
      <w:r w:rsidR="006D2B12">
        <w:t xml:space="preserve"> diverse</w:t>
      </w:r>
      <w:r w:rsidR="003C5E00">
        <w:t xml:space="preserve"> contemporary</w:t>
      </w:r>
      <w:r w:rsidR="006D2B12">
        <w:t xml:space="preserve"> legal and political debates. </w:t>
      </w:r>
      <w:r w:rsidR="005F74C3">
        <w:t xml:space="preserve">It features or is often invoked in </w:t>
      </w:r>
      <w:r w:rsidR="00D134E7" w:rsidRPr="00EE5B4D">
        <w:t>international law, E</w:t>
      </w:r>
      <w:r w:rsidR="005F74C3">
        <w:t xml:space="preserve">uropean </w:t>
      </w:r>
      <w:r w:rsidR="00D134E7" w:rsidRPr="00EE5B4D">
        <w:t>U</w:t>
      </w:r>
      <w:r w:rsidR="005F74C3">
        <w:t>nion</w:t>
      </w:r>
      <w:r w:rsidR="00D134E7" w:rsidRPr="00EE5B4D">
        <w:t xml:space="preserve"> law, and many states’ domestic constitutional laws</w:t>
      </w:r>
      <w:r w:rsidR="0029159F">
        <w:t xml:space="preserve"> – and features prominently in doctrinal and normative </w:t>
      </w:r>
      <w:r w:rsidR="004B0C4C">
        <w:t>analyses of</w:t>
      </w:r>
      <w:r w:rsidR="0029159F">
        <w:t xml:space="preserve"> </w:t>
      </w:r>
      <w:r w:rsidR="008A4A4B">
        <w:t xml:space="preserve">international, regional, and domestic governance. </w:t>
      </w:r>
      <w:r w:rsidR="00D134E7" w:rsidRPr="00EE5B4D">
        <w:t>It is raised in relevant debates to identify the entities who could possess constitutional or devolved authority in states; guide the allocation of authority to those bodies; structure international law; establish boundaries of transnational authority; constitute state boundaries; keep peace; or justify transfers of funds between entities.</w:t>
      </w:r>
      <w:r w:rsidR="00C201E2" w:rsidRPr="00EE5B4D">
        <w:rPr>
          <w:rStyle w:val="FootnoteReference"/>
        </w:rPr>
        <w:footnoteReference w:id="6"/>
      </w:r>
      <w:r w:rsidR="00D134E7" w:rsidRPr="00EE5B4D">
        <w:t xml:space="preserve"> It is thus raised to explain why</w:t>
      </w:r>
      <w:r w:rsidR="00307764">
        <w:t xml:space="preserve"> and when</w:t>
      </w:r>
      <w:r w:rsidR="00D134E7" w:rsidRPr="00EE5B4D">
        <w:t xml:space="preserve">, for example, Germany should be able to make decisions independent of the E.U. and why its länder (known in other countries as states, provinces, cantons, etc.) should be able to make decisions free from central/federal government interference. Depending on the domain in which it applies, subsidiarity can impact everything from who is in a state (if, e.g., Germany should set immigration policy) to health outcomes (if, e.g., Saxony should control health policy). </w:t>
      </w:r>
      <w:r w:rsidR="00307764">
        <w:t>Subsidiarity</w:t>
      </w:r>
      <w:r w:rsidR="00D134E7" w:rsidRPr="00EE5B4D">
        <w:t xml:space="preserve"> </w:t>
      </w:r>
      <w:r w:rsidR="008A4A4B">
        <w:t>is not, however, only invoked in legal context</w:t>
      </w:r>
      <w:r w:rsidR="005E719D">
        <w:t>s</w:t>
      </w:r>
      <w:r w:rsidR="008A4A4B">
        <w:t xml:space="preserve">. </w:t>
      </w:r>
      <w:r w:rsidR="00060D4B">
        <w:t>To wit, i</w:t>
      </w:r>
      <w:r w:rsidR="003B5090">
        <w:t xml:space="preserve">t </w:t>
      </w:r>
      <w:r w:rsidR="00D134E7" w:rsidRPr="00EE5B4D">
        <w:t xml:space="preserve">also </w:t>
      </w:r>
      <w:r w:rsidR="003B5090">
        <w:t>features</w:t>
      </w:r>
      <w:r w:rsidR="00D134E7" w:rsidRPr="00EE5B4D">
        <w:t xml:space="preserve"> in </w:t>
      </w:r>
      <w:r w:rsidR="003B5090">
        <w:t xml:space="preserve">persistent </w:t>
      </w:r>
      <w:r w:rsidR="00D134E7" w:rsidRPr="00EE5B4D">
        <w:t>debates about the relationship between state and other entities</w:t>
      </w:r>
      <w:r w:rsidR="004B106F">
        <w:t xml:space="preserve"> who claim authority</w:t>
      </w:r>
      <w:r w:rsidR="00D134E7" w:rsidRPr="00EE5B4D">
        <w:t>. It is, for example, raised to determine whether and when state government</w:t>
      </w:r>
      <w:r w:rsidR="00BF7974">
        <w:t>s</w:t>
      </w:r>
      <w:r w:rsidR="00D134E7" w:rsidRPr="00EE5B4D">
        <w:t xml:space="preserve"> at any level (federal, provincial, etc.) can and should pass laws that impact the internal processes of otherwise self-governing professional or religious organizations.</w:t>
      </w:r>
      <w:r w:rsidR="00C201E2" w:rsidRPr="00EE5B4D">
        <w:rPr>
          <w:rStyle w:val="FootnoteReference"/>
        </w:rPr>
        <w:footnoteReference w:id="7"/>
      </w:r>
    </w:p>
    <w:p w14:paraId="342235AA" w14:textId="77777777" w:rsidR="00946926" w:rsidRPr="00EE5B4D" w:rsidRDefault="00946926" w:rsidP="00DD31E6">
      <w:pPr>
        <w:spacing w:after="0" w:line="360" w:lineRule="auto"/>
      </w:pPr>
    </w:p>
    <w:p w14:paraId="450A041A" w14:textId="637D1EE1" w:rsidR="007B052F" w:rsidRDefault="00946926" w:rsidP="00DD31E6">
      <w:pPr>
        <w:spacing w:after="0" w:line="360" w:lineRule="auto"/>
      </w:pPr>
      <w:r w:rsidRPr="00EE5B4D">
        <w:lastRenderedPageBreak/>
        <w:t xml:space="preserve">Despite (or perhaps because of) </w:t>
      </w:r>
      <w:r w:rsidR="005E719D">
        <w:t xml:space="preserve">the </w:t>
      </w:r>
      <w:r w:rsidRPr="00EE5B4D">
        <w:t>wide</w:t>
      </w:r>
      <w:r w:rsidR="005E719D">
        <w:t xml:space="preserve"> array of</w:t>
      </w:r>
      <w:r w:rsidRPr="00EE5B4D">
        <w:t xml:space="preserve"> historical </w:t>
      </w:r>
      <w:r w:rsidR="00BC3E8B">
        <w:t xml:space="preserve">and contemporary </w:t>
      </w:r>
      <w:r w:rsidRPr="00EE5B4D">
        <w:t xml:space="preserve">appeals to subsidiarity, scholars struggle to specify and justify </w:t>
      </w:r>
      <w:r w:rsidR="00D307C4" w:rsidRPr="00EE5B4D">
        <w:t>t</w:t>
      </w:r>
      <w:r w:rsidR="00BC3E8B">
        <w:t>he concept</w:t>
      </w:r>
      <w:r w:rsidRPr="00EE5B4D">
        <w:t>.</w:t>
      </w:r>
      <w:r w:rsidR="00DC29AF">
        <w:rPr>
          <w:rStyle w:val="FootnoteReference"/>
        </w:rPr>
        <w:footnoteReference w:id="8"/>
      </w:r>
      <w:r w:rsidRPr="00EE5B4D">
        <w:t xml:space="preserve"> </w:t>
      </w:r>
      <w:r w:rsidR="000B3AEB" w:rsidRPr="00EE5B4D">
        <w:t xml:space="preserve">Subsidiarity’s constitutive presumption is uncompelling absent clarity on what it entails and why it is justified. </w:t>
      </w:r>
      <w:r w:rsidR="00395385">
        <w:t xml:space="preserve">The provisional definition </w:t>
      </w:r>
      <w:r w:rsidR="00591F52">
        <w:t>that opens</w:t>
      </w:r>
      <w:r w:rsidR="006A2565">
        <w:t xml:space="preserve"> this </w:t>
      </w:r>
      <w:r w:rsidR="00591F52">
        <w:t>introduction</w:t>
      </w:r>
      <w:r w:rsidR="004B0C4C">
        <w:t xml:space="preserve"> </w:t>
      </w:r>
      <w:r w:rsidR="00395385">
        <w:t xml:space="preserve">already points to the difficulties of specifying, let alone justifying, </w:t>
      </w:r>
      <w:r w:rsidR="00BC4984">
        <w:t>subsidiarity</w:t>
      </w:r>
      <w:r w:rsidR="00462092">
        <w:t xml:space="preserve">. </w:t>
      </w:r>
      <w:r w:rsidR="00BF0E1C">
        <w:t xml:space="preserve">It is, for example, </w:t>
      </w:r>
      <w:r w:rsidR="00E957C2">
        <w:t>open on questions concerning whether subsidiarity applies to subjects, issues, or specific decisions;</w:t>
      </w:r>
      <w:r w:rsidR="00B221CD">
        <w:t xml:space="preserve"> how to specify candidate authorities</w:t>
      </w:r>
      <w:r w:rsidR="004B0C4C">
        <w:t xml:space="preserve">, </w:t>
      </w:r>
      <w:r w:rsidR="00B221CD">
        <w:t>their claim</w:t>
      </w:r>
      <w:r w:rsidR="00BC4984">
        <w:t>s</w:t>
      </w:r>
      <w:r w:rsidR="004B0C4C">
        <w:t xml:space="preserve">, and </w:t>
      </w:r>
      <w:r w:rsidR="00B221CD">
        <w:t xml:space="preserve">whether </w:t>
      </w:r>
      <w:r w:rsidR="004B0C4C">
        <w:t xml:space="preserve">they </w:t>
      </w:r>
      <w:r w:rsidR="00B221CD">
        <w:t xml:space="preserve">must be close to a decision or </w:t>
      </w:r>
      <w:r w:rsidR="004B0C4C">
        <w:t xml:space="preserve">close to </w:t>
      </w:r>
      <w:r w:rsidR="00B221CD">
        <w:t xml:space="preserve">some </w:t>
      </w:r>
      <w:r w:rsidR="00BF6885">
        <w:t xml:space="preserve">community </w:t>
      </w:r>
      <w:r w:rsidR="004B0C4C">
        <w:t xml:space="preserve">affected by or </w:t>
      </w:r>
      <w:r w:rsidR="00BF6885">
        <w:t xml:space="preserve">subject to it; </w:t>
      </w:r>
      <w:r w:rsidR="004B0C4C">
        <w:t xml:space="preserve">how to understand ‘closeness’; </w:t>
      </w:r>
      <w:r w:rsidR="00BF6885">
        <w:t>and whether and how the presumption can be defeated.</w:t>
      </w:r>
      <w:r w:rsidR="00337FF7">
        <w:t xml:space="preserve"> </w:t>
      </w:r>
      <w:r w:rsidR="000B3AEB" w:rsidRPr="00EE5B4D">
        <w:t xml:space="preserve">Scholars </w:t>
      </w:r>
      <w:r w:rsidR="00182337">
        <w:t xml:space="preserve">then </w:t>
      </w:r>
      <w:r w:rsidR="000B3AEB" w:rsidRPr="00EE5B4D">
        <w:t xml:space="preserve">offer diverse accounts of which </w:t>
      </w:r>
      <w:r w:rsidR="00D307C4" w:rsidRPr="00EE5B4D">
        <w:t xml:space="preserve">potential governance </w:t>
      </w:r>
      <w:r w:rsidR="000B3AEB" w:rsidRPr="00EE5B4D">
        <w:t>units are relevant</w:t>
      </w:r>
      <w:r w:rsidR="00591F52">
        <w:t>,</w:t>
      </w:r>
      <w:r w:rsidR="000B3AEB" w:rsidRPr="00EE5B4D">
        <w:t xml:space="preserve"> whe</w:t>
      </w:r>
      <w:r w:rsidR="00591F52">
        <w:t>n</w:t>
      </w:r>
      <w:r w:rsidR="000B3AEB" w:rsidRPr="00EE5B4D">
        <w:t xml:space="preserve"> subsidiarity should </w:t>
      </w:r>
      <w:r w:rsidR="001817B3" w:rsidRPr="00EE5B4D">
        <w:t>apply</w:t>
      </w:r>
      <w:r w:rsidR="000B3AEB" w:rsidRPr="00EE5B4D">
        <w:t xml:space="preserve"> and when the presumption favour</w:t>
      </w:r>
      <w:r w:rsidR="004B0C4C">
        <w:t>ing</w:t>
      </w:r>
      <w:r w:rsidR="000B3AEB" w:rsidRPr="00EE5B4D">
        <w:t xml:space="preserve"> ‘closer’ (or otherwise primary) units can be defeated.</w:t>
      </w:r>
      <w:r w:rsidR="00C201E2" w:rsidRPr="00EE5B4D">
        <w:rPr>
          <w:rStyle w:val="FootnoteReference"/>
        </w:rPr>
        <w:footnoteReference w:id="9"/>
      </w:r>
      <w:r w:rsidR="000B3AEB" w:rsidRPr="00EE5B4D">
        <w:t xml:space="preserve"> </w:t>
      </w:r>
      <w:r w:rsidR="00182337">
        <w:t xml:space="preserve">Their responses raise still further questions: </w:t>
      </w:r>
      <w:r w:rsidR="00D307C4" w:rsidRPr="00EE5B4D">
        <w:t>Does</w:t>
      </w:r>
      <w:r w:rsidR="00182337">
        <w:t>, for example,</w:t>
      </w:r>
      <w:r w:rsidR="00D307C4" w:rsidRPr="00EE5B4D">
        <w:t xml:space="preserve"> </w:t>
      </w:r>
      <w:r w:rsidR="00182337">
        <w:t>subsidiarity</w:t>
      </w:r>
      <w:r w:rsidR="00D307C4" w:rsidRPr="00EE5B4D">
        <w:t xml:space="preserve"> apply merely to state entities or also to associations? </w:t>
      </w:r>
      <w:r w:rsidR="001B4D10">
        <w:t xml:space="preserve">Does it apply to all subjects or issues or some sub-set? Note, for example, that state authority over defense </w:t>
      </w:r>
      <w:r w:rsidR="007B052F">
        <w:t xml:space="preserve">even in federal states most often </w:t>
      </w:r>
      <w:r w:rsidR="001B4D10">
        <w:t>belong</w:t>
      </w:r>
      <w:r w:rsidR="007B052F">
        <w:t>s</w:t>
      </w:r>
      <w:r w:rsidR="001B4D10">
        <w:t xml:space="preserve"> to </w:t>
      </w:r>
      <w:r w:rsidR="007B052F">
        <w:t>a</w:t>
      </w:r>
      <w:r w:rsidR="001B4D10">
        <w:t xml:space="preserve"> central government. This calls for an account of why subsidiarity does not apply to defense, why the presumption is often defeated in defense settings, or why most states err </w:t>
      </w:r>
      <w:r w:rsidR="00C640E1">
        <w:t>by</w:t>
      </w:r>
      <w:r w:rsidR="001B4D10">
        <w:t xml:space="preserve"> allocatin</w:t>
      </w:r>
      <w:r w:rsidR="00C640E1">
        <w:t>g</w:t>
      </w:r>
      <w:r w:rsidR="001B4D10">
        <w:t xml:space="preserve"> authority over defense</w:t>
      </w:r>
      <w:r w:rsidR="00C640E1">
        <w:t xml:space="preserve"> to the centre</w:t>
      </w:r>
      <w:r w:rsidR="001B4D10">
        <w:t xml:space="preserve">. </w:t>
      </w:r>
    </w:p>
    <w:p w14:paraId="7F7B4A2A" w14:textId="77777777" w:rsidR="007B052F" w:rsidRDefault="007B052F" w:rsidP="00DD31E6">
      <w:pPr>
        <w:spacing w:after="0" w:line="360" w:lineRule="auto"/>
      </w:pPr>
    </w:p>
    <w:p w14:paraId="60BE6D38" w14:textId="62DA9E60" w:rsidR="00EA1249" w:rsidRPr="00EE5B4D" w:rsidRDefault="00EA1249" w:rsidP="00EA1249">
      <w:pPr>
        <w:spacing w:after="0" w:line="360" w:lineRule="auto"/>
      </w:pPr>
      <w:r>
        <w:t>A complete theory of subsidiarity should plausibly explain when, why, and to whom its constitutive presumption applies and when that presumption can be defeated. If subsidiarity is to be more than a stipulation</w:t>
      </w:r>
      <w:r w:rsidR="007E6026">
        <w:t xml:space="preserve"> or slogan</w:t>
      </w:r>
      <w:r>
        <w:t>,</w:t>
      </w:r>
      <w:r w:rsidR="007E6026">
        <w:t xml:space="preserve"> </w:t>
      </w:r>
      <w:r w:rsidR="00060D4B">
        <w:t xml:space="preserve">any such </w:t>
      </w:r>
      <w:r>
        <w:t xml:space="preserve">explanation should connect to </w:t>
      </w:r>
      <w:r w:rsidR="00060D4B">
        <w:t xml:space="preserve">recognized </w:t>
      </w:r>
      <w:r>
        <w:t>justificatory values.</w:t>
      </w:r>
      <w:r w:rsidR="00A9580F">
        <w:t xml:space="preserve"> </w:t>
      </w:r>
      <w:r w:rsidR="00A9580F" w:rsidRPr="00EE5B4D">
        <w:t>Scholars also diverse accounts of why subsidiarity is desirable</w:t>
      </w:r>
      <w:r w:rsidR="00A9580F">
        <w:t xml:space="preserve">, appealing </w:t>
      </w:r>
      <w:r w:rsidR="00A9580F" w:rsidRPr="00EE5B4D">
        <w:t>commitment</w:t>
      </w:r>
      <w:r w:rsidR="00A9580F">
        <w:t>s</w:t>
      </w:r>
      <w:r w:rsidR="00A9580F" w:rsidRPr="00EE5B4D">
        <w:t xml:space="preserve"> to democratic concerns with ensuring those ‘most affected’ by decisions most influence them, the value of local knowledge</w:t>
      </w:r>
      <w:r w:rsidR="00470A50">
        <w:t xml:space="preserve"> and the import of local</w:t>
      </w:r>
      <w:r w:rsidR="00A9580F" w:rsidRPr="00EE5B4D">
        <w:t xml:space="preserve"> values</w:t>
      </w:r>
      <w:r w:rsidR="00470A50">
        <w:t>, for just three examples.</w:t>
      </w:r>
      <w:r w:rsidR="00A9580F" w:rsidRPr="00EE5B4D">
        <w:rPr>
          <w:rStyle w:val="FootnoteReference"/>
        </w:rPr>
        <w:footnoteReference w:id="10"/>
      </w:r>
      <w:r w:rsidR="00A9580F" w:rsidRPr="00EE5B4D">
        <w:t xml:space="preserve"> </w:t>
      </w:r>
      <w:r w:rsidR="00470A50">
        <w:t>If, moreover,</w:t>
      </w:r>
      <w:r>
        <w:t xml:space="preserve"> subsidiarity is going to be </w:t>
      </w:r>
      <w:r>
        <w:lastRenderedPageBreak/>
        <w:t xml:space="preserve">philosophically and practical valuable, </w:t>
      </w:r>
      <w:r w:rsidR="00470A50">
        <w:t xml:space="preserve">it </w:t>
      </w:r>
      <w:r>
        <w:t xml:space="preserve">should provide </w:t>
      </w:r>
      <w:r w:rsidR="00060D4B">
        <w:t>compelling</w:t>
      </w:r>
      <w:r>
        <w:t xml:space="preserve"> guidance in the debates in which it is invoked. </w:t>
      </w:r>
      <w:r w:rsidR="007E6026">
        <w:t>And i</w:t>
      </w:r>
      <w:r>
        <w:t xml:space="preserve">f it is going to make a distinct contribution to moral philosophy, that guidance must not collapse into bare appeals to the underlying values. Subsidiarity should </w:t>
      </w:r>
      <w:r w:rsidR="00DC2556">
        <w:t>r</w:t>
      </w:r>
      <w:r>
        <w:t>e</w:t>
      </w:r>
      <w:r w:rsidR="00DC2556">
        <w:t>main</w:t>
      </w:r>
      <w:r>
        <w:t xml:space="preserve"> distinct from, </w:t>
      </w:r>
      <w:r w:rsidR="00DC2556">
        <w:t xml:space="preserve">even </w:t>
      </w:r>
      <w:r>
        <w:t xml:space="preserve">if still related to, federalism or democracy. </w:t>
      </w:r>
    </w:p>
    <w:p w14:paraId="681FB156" w14:textId="77777777" w:rsidR="00F92367" w:rsidRDefault="00F92367" w:rsidP="00DD31E6">
      <w:pPr>
        <w:spacing w:after="0" w:line="360" w:lineRule="auto"/>
      </w:pPr>
    </w:p>
    <w:p w14:paraId="601EC7AF" w14:textId="537C3441" w:rsidR="00D307C4" w:rsidRPr="00EE5B4D" w:rsidRDefault="00633117" w:rsidP="00DD31E6">
      <w:pPr>
        <w:spacing w:after="0" w:line="360" w:lineRule="auto"/>
      </w:pPr>
      <w:r>
        <w:t xml:space="preserve">There are many compelling arguments for different conceptions of subsidiarity. </w:t>
      </w:r>
      <w:r w:rsidR="00F92367">
        <w:t>Yet</w:t>
      </w:r>
      <w:r>
        <w:t xml:space="preserve"> w</w:t>
      </w:r>
      <w:r w:rsidR="000B3AEB" w:rsidRPr="00EE5B4D">
        <w:t>hich conceptions</w:t>
      </w:r>
      <w:r w:rsidR="00C201E2" w:rsidRPr="00EE5B4D">
        <w:t xml:space="preserve"> of subsidiarity</w:t>
      </w:r>
      <w:r w:rsidR="000B3AEB" w:rsidRPr="00EE5B4D">
        <w:t xml:space="preserve"> can</w:t>
      </w:r>
      <w:r w:rsidR="00C201E2" w:rsidRPr="00EE5B4D">
        <w:t xml:space="preserve"> best serve the concept’s many intended functions remains unclear. </w:t>
      </w:r>
      <w:r w:rsidR="00C65992">
        <w:t>Different</w:t>
      </w:r>
      <w:r w:rsidR="004D5F62">
        <w:t xml:space="preserve"> j</w:t>
      </w:r>
      <w:r w:rsidR="004D5F62" w:rsidRPr="00EE5B4D">
        <w:t>ustificatory accounts implicate when and how subsidiarity applies and can be defeated. F</w:t>
      </w:r>
      <w:r w:rsidR="004D5F62">
        <w:t>o</w:t>
      </w:r>
      <w:r w:rsidR="004D5F62" w:rsidRPr="00EE5B4D">
        <w:t>llesdal’s</w:t>
      </w:r>
      <w:r w:rsidR="004D5F62">
        <w:t xml:space="preserve"> landmark</w:t>
      </w:r>
      <w:r w:rsidR="004D5F62" w:rsidRPr="00EE5B4D">
        <w:t xml:space="preserve"> survey demonstrates that each leading justificatory account has distinct views on relevant units, when subsidiarity applies, and when its presumption is defea</w:t>
      </w:r>
      <w:r w:rsidR="004D5F62">
        <w:t>s</w:t>
      </w:r>
      <w:r w:rsidR="004D5F62" w:rsidRPr="00EE5B4D">
        <w:t>ible.</w:t>
      </w:r>
      <w:r w:rsidR="004D5F62" w:rsidRPr="00EE5B4D">
        <w:rPr>
          <w:rStyle w:val="FootnoteReference"/>
        </w:rPr>
        <w:footnoteReference w:id="11"/>
      </w:r>
      <w:r w:rsidR="004D5F62">
        <w:t xml:space="preserve"> These differences impact their ability to plausibly fulfill </w:t>
      </w:r>
      <w:r w:rsidR="008A4CDA">
        <w:t>subsidiarity’s intended functions.</w:t>
      </w:r>
      <w:r w:rsidR="004D5F62">
        <w:t xml:space="preserve"> </w:t>
      </w:r>
      <w:r w:rsidR="00C201E2" w:rsidRPr="00EE5B4D">
        <w:t>Indeed, it is not even clear that a</w:t>
      </w:r>
      <w:r w:rsidR="00060D4B">
        <w:t>ny</w:t>
      </w:r>
      <w:r w:rsidR="00C201E2" w:rsidRPr="00EE5B4D">
        <w:t xml:space="preserve"> single conception can serve all functions. </w:t>
      </w:r>
      <w:r w:rsidR="008A4CDA">
        <w:t>O</w:t>
      </w:r>
      <w:r w:rsidR="00C201E2" w:rsidRPr="00EE5B4D">
        <w:t xml:space="preserve">ne may </w:t>
      </w:r>
      <w:r w:rsidR="00764641" w:rsidRPr="00EE5B4D">
        <w:t xml:space="preserve">question whether it makes sense to have </w:t>
      </w:r>
      <w:r w:rsidR="00060D4B">
        <w:t>one</w:t>
      </w:r>
      <w:r w:rsidR="00764641" w:rsidRPr="00EE5B4D">
        <w:t xml:space="preserve"> principle apply to international, </w:t>
      </w:r>
      <w:r w:rsidR="00060D4B">
        <w:t>regional,</w:t>
      </w:r>
      <w:r w:rsidR="00764641" w:rsidRPr="00EE5B4D">
        <w:t xml:space="preserve"> and domestic authority allocations. And </w:t>
      </w:r>
      <w:r w:rsidR="00591F52">
        <w:t>such a</w:t>
      </w:r>
      <w:r w:rsidR="00764641" w:rsidRPr="00EE5B4D">
        <w:t xml:space="preserve"> legal concept is desirable, further questions about its connection to historical antecedent remain. </w:t>
      </w:r>
      <w:r w:rsidR="00060D4B">
        <w:t>Are</w:t>
      </w:r>
      <w:r w:rsidR="00764641" w:rsidRPr="00EE5B4D">
        <w:t xml:space="preserve"> for, example, modern </w:t>
      </w:r>
      <w:r w:rsidR="00060D4B">
        <w:t xml:space="preserve">secular </w:t>
      </w:r>
      <w:r w:rsidR="00764641" w:rsidRPr="00EE5B4D">
        <w:t>conception</w:t>
      </w:r>
      <w:r w:rsidR="00060D4B">
        <w:t>s</w:t>
      </w:r>
      <w:r w:rsidR="00764641" w:rsidRPr="00EE5B4D">
        <w:t xml:space="preserve"> of subsidiarity continuous with earlier Catholic </w:t>
      </w:r>
      <w:r w:rsidR="00060D4B">
        <w:t>one</w:t>
      </w:r>
      <w:r w:rsidR="00764641" w:rsidRPr="00EE5B4D">
        <w:t xml:space="preserve">s? If so, can </w:t>
      </w:r>
      <w:r w:rsidR="000240D0">
        <w:t xml:space="preserve">subsidiarity </w:t>
      </w:r>
      <w:r w:rsidR="00764641" w:rsidRPr="00EE5B4D">
        <w:t>be faulted for either being too heavily based on a non-secular doctrine or importing religious concepts without their basic foundations?</w:t>
      </w:r>
      <w:r w:rsidR="00C201E2" w:rsidRPr="00EE5B4D">
        <w:rPr>
          <w:rStyle w:val="FootnoteReference"/>
        </w:rPr>
        <w:footnoteReference w:id="12"/>
      </w:r>
      <w:r w:rsidR="00337FF7">
        <w:t xml:space="preserve"> </w:t>
      </w:r>
    </w:p>
    <w:p w14:paraId="6F77F734" w14:textId="77777777" w:rsidR="00D307C4" w:rsidRPr="00EE5B4D" w:rsidRDefault="00D307C4" w:rsidP="00DD31E6">
      <w:pPr>
        <w:spacing w:after="0" w:line="360" w:lineRule="auto"/>
      </w:pPr>
    </w:p>
    <w:p w14:paraId="77713A97" w14:textId="0BAA37DF" w:rsidR="0082432A" w:rsidRDefault="000962E5" w:rsidP="00DD31E6">
      <w:pPr>
        <w:spacing w:after="0" w:line="360" w:lineRule="auto"/>
      </w:pPr>
      <w:r>
        <w:t>Subsidiarity’s relative simplicity</w:t>
      </w:r>
      <w:r w:rsidR="00060D4B">
        <w:t xml:space="preserve"> </w:t>
      </w:r>
      <w:r w:rsidR="00DC2556">
        <w:t>can</w:t>
      </w:r>
      <w:r w:rsidR="00060D4B">
        <w:t>, in short,</w:t>
      </w:r>
      <w:r w:rsidR="00DC2556">
        <w:t xml:space="preserve"> </w:t>
      </w:r>
      <w:r w:rsidR="00F63017">
        <w:t>mask complicated questions.</w:t>
      </w:r>
      <w:r w:rsidR="00337FF7">
        <w:t xml:space="preserve"> </w:t>
      </w:r>
      <w:r w:rsidR="00F63017">
        <w:t xml:space="preserve">Many </w:t>
      </w:r>
      <w:r w:rsidR="00060D4B">
        <w:t xml:space="preserve">of those questions </w:t>
      </w:r>
      <w:r w:rsidR="00F63017">
        <w:t>can be considered</w:t>
      </w:r>
      <w:r w:rsidR="00346069">
        <w:t xml:space="preserve"> sub-questions </w:t>
      </w:r>
      <w:r w:rsidR="00F63017">
        <w:t xml:space="preserve">of two overarching </w:t>
      </w:r>
      <w:r w:rsidR="00476069">
        <w:t>ones</w:t>
      </w:r>
      <w:r w:rsidR="00D307C4" w:rsidRPr="00EE5B4D">
        <w:t xml:space="preserve">: (1) Can any </w:t>
      </w:r>
      <w:r w:rsidR="0066394A" w:rsidRPr="00EE5B4D">
        <w:t xml:space="preserve">single </w:t>
      </w:r>
      <w:r w:rsidR="00D307C4" w:rsidRPr="00EE5B4D">
        <w:t>principle serve all the roles subsidiarity is asked to play?</w:t>
      </w:r>
      <w:r w:rsidR="00337FF7">
        <w:t xml:space="preserve"> </w:t>
      </w:r>
      <w:r w:rsidR="00D307C4" w:rsidRPr="00EE5B4D">
        <w:t xml:space="preserve">and (2) If not, what is the most plausible potential role subsidiarity can play in moral ontology and/or real law and politics? </w:t>
      </w:r>
      <w:r w:rsidR="00EF6873">
        <w:lastRenderedPageBreak/>
        <w:t>R</w:t>
      </w:r>
      <w:r w:rsidR="00D307C4" w:rsidRPr="00EE5B4D">
        <w:t>esponse</w:t>
      </w:r>
      <w:r w:rsidR="00EF6873">
        <w:t>s</w:t>
      </w:r>
      <w:r w:rsidR="00D307C4" w:rsidRPr="00EE5B4D">
        <w:t xml:space="preserve"> should, plausibly, be consonant with the </w:t>
      </w:r>
      <w:r w:rsidR="006D5FC6">
        <w:t>history of the concept of subsidiarity</w:t>
      </w:r>
      <w:r w:rsidR="00D307C4" w:rsidRPr="00EE5B4D">
        <w:t xml:space="preserve"> if it is to avoid simply eliminating the concept.</w:t>
      </w:r>
      <w:r w:rsidR="006D5FC6">
        <w:t xml:space="preserve"> </w:t>
      </w:r>
      <w:r w:rsidR="00361428">
        <w:t xml:space="preserve">If a concept used the name ‘subsidiarity’ but did not include </w:t>
      </w:r>
      <w:r w:rsidR="006572A7">
        <w:t xml:space="preserve">features that have consistently connected with other uses of the term or address issues the prior concept was meant to address, </w:t>
      </w:r>
      <w:r w:rsidR="00610C03">
        <w:t>the new concept may be useful while still calling for a different name.</w:t>
      </w:r>
      <w:r w:rsidR="00337FF7">
        <w:t xml:space="preserve"> </w:t>
      </w:r>
      <w:r w:rsidR="00725F34">
        <w:t>Many e</w:t>
      </w:r>
      <w:r w:rsidR="00610C03">
        <w:t>xisting approaches to developing a distinct, extensionally adequate of subsidiarity</w:t>
      </w:r>
      <w:r w:rsidR="00D307C4" w:rsidRPr="00EE5B4D">
        <w:t xml:space="preserve"> raise further challenges. </w:t>
      </w:r>
      <w:r w:rsidR="0066394A" w:rsidRPr="00EE5B4D">
        <w:t xml:space="preserve">It is, </w:t>
      </w:r>
      <w:r w:rsidR="00EF6873">
        <w:t>again</w:t>
      </w:r>
      <w:r w:rsidR="0066394A" w:rsidRPr="00EE5B4D">
        <w:t xml:space="preserve">, unclear </w:t>
      </w:r>
      <w:r w:rsidR="00EF6873">
        <w:t>whether</w:t>
      </w:r>
      <w:r w:rsidR="0066394A" w:rsidRPr="00EE5B4D">
        <w:t xml:space="preserve"> any single concept</w:t>
      </w:r>
      <w:r w:rsidR="00725F34">
        <w:t xml:space="preserve"> </w:t>
      </w:r>
      <w:r w:rsidR="0066394A" w:rsidRPr="00EE5B4D">
        <w:t>can serve all the functions outlined above</w:t>
      </w:r>
      <w:r w:rsidR="007650C0">
        <w:t xml:space="preserve">. </w:t>
      </w:r>
      <w:r w:rsidR="00BA4528">
        <w:t>And m</w:t>
      </w:r>
      <w:r w:rsidR="007650C0">
        <w:t xml:space="preserve">any will debate </w:t>
      </w:r>
      <w:r w:rsidR="0066394A" w:rsidRPr="00EE5B4D">
        <w:t xml:space="preserve">how to judge whether any conception </w:t>
      </w:r>
      <w:r w:rsidR="00725F34">
        <w:t xml:space="preserve">of subsidiarity </w:t>
      </w:r>
      <w:r w:rsidR="0066394A" w:rsidRPr="00EE5B4D">
        <w:t>best reflect</w:t>
      </w:r>
      <w:r w:rsidR="00725F34">
        <w:t>s</w:t>
      </w:r>
      <w:r w:rsidR="0066394A" w:rsidRPr="00EE5B4D">
        <w:t xml:space="preserve"> the concept’s intended meaning or whether any single function should be considered the ‘core’ function against which we can judge competing conceptions. </w:t>
      </w:r>
      <w:r w:rsidR="00501EA8">
        <w:t>Should, for example, subsidiarity be primarily understood as a concept in European Union law</w:t>
      </w:r>
      <w:r w:rsidR="00060D4B">
        <w:t>,</w:t>
      </w:r>
      <w:r w:rsidR="00501EA8">
        <w:t xml:space="preserve"> in Catholic social thought</w:t>
      </w:r>
      <w:r w:rsidR="00060D4B">
        <w:t>, or some other doctrine</w:t>
      </w:r>
      <w:r w:rsidR="00501EA8">
        <w:t xml:space="preserve">? Must a conception </w:t>
      </w:r>
      <w:r w:rsidR="00060D4B">
        <w:t xml:space="preserve">thereof </w:t>
      </w:r>
      <w:r w:rsidR="00501EA8">
        <w:t xml:space="preserve">provide plausible guidance in </w:t>
      </w:r>
      <w:r w:rsidR="00060D4B">
        <w:t>each doctrine</w:t>
      </w:r>
      <w:r w:rsidR="00501EA8">
        <w:t xml:space="preserve">? In either case, </w:t>
      </w:r>
      <w:r w:rsidR="00E05894">
        <w:t>can a concept committed to ‘close’ decision-making plausibly guide action therein?</w:t>
      </w:r>
    </w:p>
    <w:p w14:paraId="6534E87D" w14:textId="77777777" w:rsidR="0082432A" w:rsidRDefault="0082432A" w:rsidP="00DD31E6">
      <w:pPr>
        <w:spacing w:after="0" w:line="360" w:lineRule="auto"/>
      </w:pPr>
    </w:p>
    <w:p w14:paraId="0A0B42C9" w14:textId="01CB1597" w:rsidR="0084362D" w:rsidRDefault="00C201E2" w:rsidP="00DD31E6">
      <w:pPr>
        <w:spacing w:after="0" w:line="360" w:lineRule="auto"/>
      </w:pPr>
      <w:r w:rsidRPr="00EE5B4D">
        <w:t>One response</w:t>
      </w:r>
      <w:r w:rsidR="0082432A">
        <w:t xml:space="preserve"> to </w:t>
      </w:r>
      <w:r w:rsidR="00BA4528">
        <w:t>these</w:t>
      </w:r>
      <w:r w:rsidR="0082432A">
        <w:t xml:space="preserve"> challenges</w:t>
      </w:r>
      <w:r w:rsidRPr="00EE5B4D">
        <w:t xml:space="preserve"> would be to narrow the number of issues to which subsidiarity might apply. Another </w:t>
      </w:r>
      <w:r w:rsidR="0082432A">
        <w:t xml:space="preserve">possible response </w:t>
      </w:r>
      <w:r w:rsidRPr="00EE5B4D">
        <w:t xml:space="preserve">would </w:t>
      </w:r>
      <w:r w:rsidR="002E21E4">
        <w:t xml:space="preserve">be to </w:t>
      </w:r>
      <w:r w:rsidRPr="00EE5B4D">
        <w:t xml:space="preserve">limit the number of functions it intends to fulfill. </w:t>
      </w:r>
      <w:r w:rsidR="002E21E4">
        <w:t>E</w:t>
      </w:r>
      <w:r w:rsidRPr="00EE5B4D">
        <w:t xml:space="preserve">ither </w:t>
      </w:r>
      <w:r w:rsidR="006D231B">
        <w:t>response</w:t>
      </w:r>
      <w:r w:rsidRPr="00EE5B4D">
        <w:t xml:space="preserve"> present</w:t>
      </w:r>
      <w:r w:rsidR="002E21E4">
        <w:t>s</w:t>
      </w:r>
      <w:r w:rsidRPr="00EE5B4D">
        <w:t xml:space="preserve"> challenges. </w:t>
      </w:r>
      <w:r w:rsidR="00060D4B">
        <w:t>One</w:t>
      </w:r>
      <w:r w:rsidRPr="00EE5B4D">
        <w:t xml:space="preserve"> who seek</w:t>
      </w:r>
      <w:r w:rsidR="00060D4B">
        <w:t>s</w:t>
      </w:r>
      <w:r w:rsidRPr="00EE5B4D">
        <w:t xml:space="preserve"> to limit subsidiarity’s scope or function</w:t>
      </w:r>
      <w:r w:rsidR="00591F52">
        <w:t>(s)</w:t>
      </w:r>
      <w:r w:rsidRPr="00EE5B4D">
        <w:t xml:space="preserve"> owe</w:t>
      </w:r>
      <w:r w:rsidR="00060D4B">
        <w:t>s</w:t>
      </w:r>
      <w:r w:rsidRPr="00EE5B4D">
        <w:t xml:space="preserve"> an account of why other uses are illicit. </w:t>
      </w:r>
      <w:r w:rsidR="00D307C4" w:rsidRPr="00EE5B4D">
        <w:t>If, by contrast,</w:t>
      </w:r>
      <w:r w:rsidRPr="00EE5B4D">
        <w:t xml:space="preserve"> one accepts that there are multiple valid conceptions</w:t>
      </w:r>
      <w:r w:rsidR="00D307C4" w:rsidRPr="00EE5B4D">
        <w:t xml:space="preserve"> or functions</w:t>
      </w:r>
      <w:r w:rsidRPr="00EE5B4D">
        <w:t xml:space="preserve"> of subsidiarity, one owes an account of which conceptions are best suited to which intended functions.</w:t>
      </w:r>
      <w:r w:rsidR="00D307C4" w:rsidRPr="00EE5B4D">
        <w:t xml:space="preserve"> </w:t>
      </w:r>
      <w:r w:rsidR="00E73ED5">
        <w:t>A</w:t>
      </w:r>
      <w:r w:rsidR="0066394A" w:rsidRPr="00EE5B4D">
        <w:t xml:space="preserve">ttempts to address particular functions </w:t>
      </w:r>
      <w:r w:rsidR="006A52CB">
        <w:t>can</w:t>
      </w:r>
      <w:r w:rsidR="007650C0">
        <w:t xml:space="preserve"> </w:t>
      </w:r>
      <w:r w:rsidR="0066394A" w:rsidRPr="00EE5B4D">
        <w:t xml:space="preserve">raise </w:t>
      </w:r>
      <w:r w:rsidR="007650C0">
        <w:t xml:space="preserve">still </w:t>
      </w:r>
      <w:r w:rsidR="0066394A" w:rsidRPr="00EE5B4D">
        <w:t xml:space="preserve">further questions. For </w:t>
      </w:r>
      <w:r w:rsidR="00271AA2">
        <w:t>example</w:t>
      </w:r>
      <w:r w:rsidR="0066394A" w:rsidRPr="00EE5B4D">
        <w:t xml:space="preserve">, </w:t>
      </w:r>
      <w:r w:rsidR="009012E7">
        <w:t>scholars</w:t>
      </w:r>
      <w:r w:rsidR="0066394A" w:rsidRPr="00EE5B4D">
        <w:t xml:space="preserve"> </w:t>
      </w:r>
      <w:r w:rsidR="00271AA2">
        <w:t xml:space="preserve">who </w:t>
      </w:r>
      <w:r w:rsidR="006D231B">
        <w:t xml:space="preserve">agree that </w:t>
      </w:r>
      <w:r w:rsidR="00271AA2">
        <w:t>subsidiarity</w:t>
      </w:r>
      <w:r w:rsidR="006D231B">
        <w:t xml:space="preserve"> is valuable</w:t>
      </w:r>
      <w:r w:rsidR="00271AA2">
        <w:t xml:space="preserve"> constitutional </w:t>
      </w:r>
      <w:r w:rsidR="006D231B">
        <w:t>concept</w:t>
      </w:r>
      <w:r w:rsidR="00271AA2">
        <w:t xml:space="preserve"> </w:t>
      </w:r>
      <w:r w:rsidR="006A52CB">
        <w:t>still</w:t>
      </w:r>
      <w:r w:rsidR="006D231B">
        <w:t xml:space="preserve"> </w:t>
      </w:r>
      <w:r w:rsidR="0066394A" w:rsidRPr="00EE5B4D">
        <w:t xml:space="preserve">debate whether </w:t>
      </w:r>
      <w:r w:rsidR="006D231B">
        <w:t>it</w:t>
      </w:r>
      <w:r w:rsidR="0066394A" w:rsidRPr="00EE5B4D">
        <w:t xml:space="preserve"> </w:t>
      </w:r>
      <w:r w:rsidR="006A52CB">
        <w:t xml:space="preserve">should be </w:t>
      </w:r>
      <w:r w:rsidR="0066394A" w:rsidRPr="00EE5B4D">
        <w:t>a rival to federalism or a means of structuring federal constitutional orders.</w:t>
      </w:r>
      <w:r w:rsidR="0066394A" w:rsidRPr="00EE5B4D">
        <w:rPr>
          <w:rStyle w:val="FootnoteReference"/>
        </w:rPr>
        <w:footnoteReference w:id="13"/>
      </w:r>
      <w:r w:rsidR="00E73ED5">
        <w:t xml:space="preserve"> </w:t>
      </w:r>
    </w:p>
    <w:p w14:paraId="47D21A22" w14:textId="77777777" w:rsidR="0084362D" w:rsidRDefault="0084362D" w:rsidP="00DD31E6">
      <w:pPr>
        <w:spacing w:after="0" w:line="360" w:lineRule="auto"/>
      </w:pPr>
    </w:p>
    <w:p w14:paraId="77C2ADED" w14:textId="0CF18672" w:rsidR="00946926" w:rsidRPr="00EE5B4D" w:rsidRDefault="0084362D" w:rsidP="00DD31E6">
      <w:pPr>
        <w:spacing w:after="0" w:line="360" w:lineRule="auto"/>
      </w:pPr>
      <w:r>
        <w:t xml:space="preserve">Other possible responses include abandoning the concept or </w:t>
      </w:r>
      <w:r w:rsidR="00FB5917">
        <w:t xml:space="preserve">radically reorienting how it is understood. </w:t>
      </w:r>
      <w:r w:rsidR="002E21E4">
        <w:t xml:space="preserve">Some </w:t>
      </w:r>
      <w:r w:rsidR="000B3AEB" w:rsidRPr="00EE5B4D">
        <w:t xml:space="preserve">question whether </w:t>
      </w:r>
      <w:r w:rsidR="00C201E2" w:rsidRPr="00EE5B4D">
        <w:t xml:space="preserve">subsidiarity </w:t>
      </w:r>
      <w:r w:rsidR="000B3AEB" w:rsidRPr="00EE5B4D">
        <w:t xml:space="preserve">can play </w:t>
      </w:r>
      <w:r w:rsidR="000B3AEB" w:rsidRPr="00EE5B4D">
        <w:rPr>
          <w:i/>
          <w:iCs/>
        </w:rPr>
        <w:t>an</w:t>
      </w:r>
      <w:r w:rsidR="000B3AEB" w:rsidRPr="00EE5B4D">
        <w:t>y of its intended constitutional roles.</w:t>
      </w:r>
      <w:r w:rsidR="009012E7">
        <w:rPr>
          <w:rStyle w:val="FootnoteReference"/>
        </w:rPr>
        <w:footnoteReference w:id="14"/>
      </w:r>
      <w:r w:rsidR="000B3AEB" w:rsidRPr="00EE5B4D">
        <w:t xml:space="preserve"> </w:t>
      </w:r>
      <w:r w:rsidR="00764641" w:rsidRPr="00EE5B4D">
        <w:t xml:space="preserve">Subsidiarity </w:t>
      </w:r>
      <w:r w:rsidR="000B3AEB" w:rsidRPr="00EE5B4D">
        <w:t xml:space="preserve">purports to be a decentralizing principle favoring control </w:t>
      </w:r>
      <w:r w:rsidR="000B3AEB" w:rsidRPr="00EE5B4D">
        <w:lastRenderedPageBreak/>
        <w:t>by states over international or regional bodies and provinces/l</w:t>
      </w:r>
      <w:r w:rsidR="000B3AEB" w:rsidRPr="00271AA2">
        <w:t>ä</w:t>
      </w:r>
      <w:r w:rsidR="000B3AEB" w:rsidRPr="00EE5B4D">
        <w:t>nder over central/federal governments</w:t>
      </w:r>
      <w:r w:rsidR="00271AA2">
        <w:t xml:space="preserve"> but</w:t>
      </w:r>
      <w:r w:rsidR="000B3AEB" w:rsidRPr="00EE5B4D">
        <w:t xml:space="preserve"> has centralizing tendencies in practice</w:t>
      </w:r>
      <w:r w:rsidR="00271AA2">
        <w:t xml:space="preserve"> (e.g., Da Silva 2023a)</w:t>
      </w:r>
      <w:r w:rsidR="00764641" w:rsidRPr="00EE5B4D">
        <w:t xml:space="preserve">. </w:t>
      </w:r>
      <w:r w:rsidR="00A22FCD">
        <w:t>Subsidiarity also plausibly</w:t>
      </w:r>
      <w:r w:rsidR="00EF5449">
        <w:t xml:space="preserve"> </w:t>
      </w:r>
      <w:r w:rsidR="000B3AEB" w:rsidRPr="00EE5B4D">
        <w:t>only create</w:t>
      </w:r>
      <w:r w:rsidR="00060D4B">
        <w:t>s</w:t>
      </w:r>
      <w:r w:rsidR="000B3AEB" w:rsidRPr="00EE5B4D">
        <w:t xml:space="preserve"> a presumption of local control for bodies who demonstrably address relevant problems</w:t>
      </w:r>
      <w:r w:rsidR="00A22FCD">
        <w:t>. But</w:t>
      </w:r>
      <w:r w:rsidR="00EF5449">
        <w:t xml:space="preserve"> if </w:t>
      </w:r>
      <w:r w:rsidR="00A22FCD">
        <w:t>few ‘local’ bodies meet that burden</w:t>
      </w:r>
      <w:r w:rsidR="00EF5449">
        <w:t xml:space="preserve">, subsidiarity will </w:t>
      </w:r>
      <w:r w:rsidR="00A22FCD">
        <w:t xml:space="preserve">most </w:t>
      </w:r>
      <w:r w:rsidR="00EF5449">
        <w:t xml:space="preserve">often </w:t>
      </w:r>
      <w:r w:rsidR="00A22FCD">
        <w:t xml:space="preserve">continue to </w:t>
      </w:r>
      <w:r w:rsidR="00EF5449">
        <w:t>centralize authority</w:t>
      </w:r>
      <w:r w:rsidR="000B3AEB" w:rsidRPr="00EE5B4D">
        <w:t>.</w:t>
      </w:r>
      <w:r w:rsidR="00C201E2" w:rsidRPr="00EE5B4D">
        <w:rPr>
          <w:rStyle w:val="FootnoteReference"/>
        </w:rPr>
        <w:footnoteReference w:id="15"/>
      </w:r>
      <w:r w:rsidR="000B3AEB" w:rsidRPr="00EE5B4D">
        <w:t xml:space="preserve"> </w:t>
      </w:r>
      <w:r w:rsidR="00A22FCD">
        <w:t>Descriptively, in turn, s</w:t>
      </w:r>
      <w:r w:rsidR="000B3AEB" w:rsidRPr="00EE5B4D">
        <w:t xml:space="preserve">cholarship on municipal authority </w:t>
      </w:r>
      <w:r w:rsidR="00A22FCD">
        <w:t>raises</w:t>
      </w:r>
      <w:r w:rsidR="000B3AEB" w:rsidRPr="00EE5B4D">
        <w:t xml:space="preserve"> questions about why the principle most often maintains constitutional authority at provincial/länder levels.</w:t>
      </w:r>
      <w:r w:rsidR="00C201E2" w:rsidRPr="00EE5B4D">
        <w:rPr>
          <w:rStyle w:val="FootnoteReference"/>
        </w:rPr>
        <w:footnoteReference w:id="16"/>
      </w:r>
      <w:r w:rsidR="000B3AEB" w:rsidRPr="00EE5B4D">
        <w:t xml:space="preserve"> </w:t>
      </w:r>
      <w:r w:rsidR="00764641" w:rsidRPr="00EE5B4D">
        <w:t xml:space="preserve">And scholarship on non-constitutional conceptions </w:t>
      </w:r>
      <w:r w:rsidR="00E307AF">
        <w:t xml:space="preserve">of subsidiarity </w:t>
      </w:r>
      <w:r w:rsidR="00764641" w:rsidRPr="00EE5B4D">
        <w:t>suggest</w:t>
      </w:r>
      <w:r w:rsidR="00E307AF">
        <w:t xml:space="preserve"> that</w:t>
      </w:r>
      <w:r w:rsidR="00764641" w:rsidRPr="00EE5B4D">
        <w:t xml:space="preserve"> modern legal uses </w:t>
      </w:r>
      <w:r w:rsidR="00E307AF">
        <w:t>may be</w:t>
      </w:r>
      <w:r w:rsidR="00764641" w:rsidRPr="00EE5B4D">
        <w:t xml:space="preserve"> at odds with the commitment to pluralism and non-state authority that </w:t>
      </w:r>
      <w:r w:rsidR="00E307AF">
        <w:t xml:space="preserve">were </w:t>
      </w:r>
      <w:r w:rsidR="00764641" w:rsidRPr="00EE5B4D">
        <w:t xml:space="preserve">the historical impetus for the </w:t>
      </w:r>
      <w:r w:rsidR="00E307AF">
        <w:t xml:space="preserve">concept’s </w:t>
      </w:r>
      <w:r w:rsidR="00764641" w:rsidRPr="00EE5B4D">
        <w:t>development.</w:t>
      </w:r>
      <w:r w:rsidR="00C201E2" w:rsidRPr="00EE5B4D">
        <w:rPr>
          <w:rStyle w:val="FootnoteReference"/>
        </w:rPr>
        <w:footnoteReference w:id="17"/>
      </w:r>
      <w:r w:rsidR="00764641" w:rsidRPr="00EE5B4D">
        <w:t xml:space="preserve"> </w:t>
      </w:r>
      <w:r w:rsidR="00C201E2" w:rsidRPr="00EE5B4D">
        <w:t>T</w:t>
      </w:r>
      <w:r w:rsidR="00764641" w:rsidRPr="00EE5B4D">
        <w:t>hese theoretical challenges</w:t>
      </w:r>
      <w:r w:rsidR="007D6E17">
        <w:t xml:space="preserve"> recently</w:t>
      </w:r>
      <w:r w:rsidR="00764641" w:rsidRPr="00EE5B4D">
        <w:t xml:space="preserve"> engendered</w:t>
      </w:r>
      <w:r w:rsidR="007D6E17">
        <w:t xml:space="preserve"> (plausibly healthy)</w:t>
      </w:r>
      <w:r w:rsidR="00764641" w:rsidRPr="00EE5B4D">
        <w:t xml:space="preserve"> skepticism about the principle</w:t>
      </w:r>
      <w:r w:rsidR="007D6E17">
        <w:t xml:space="preserve"> of subsidiarity</w:t>
      </w:r>
      <w:r w:rsidR="00764641" w:rsidRPr="00EE5B4D">
        <w:t xml:space="preserve">. Prominent recent </w:t>
      </w:r>
      <w:r w:rsidR="00060D4B">
        <w:t>work</w:t>
      </w:r>
      <w:r w:rsidR="00764641" w:rsidRPr="00EE5B4D">
        <w:t xml:space="preserve">s in political </w:t>
      </w:r>
      <w:r w:rsidR="00AA17CB">
        <w:t xml:space="preserve">philosophy </w:t>
      </w:r>
      <w:r w:rsidR="00764641" w:rsidRPr="00EE5B4D">
        <w:t>declare themselves “against subsidiarity”</w:t>
      </w:r>
      <w:r w:rsidR="006C0AB2">
        <w:t xml:space="preserve"> (Latimer 2018</w:t>
      </w:r>
      <w:r w:rsidR="00D70D06">
        <w:t>a</w:t>
      </w:r>
      <w:r w:rsidR="006C0AB2">
        <w:t>)</w:t>
      </w:r>
      <w:r w:rsidR="00764641" w:rsidRPr="00EE5B4D">
        <w:t>, call for more ontologically-sensitive approaches to the concept that recognize more loci of authority than is traditional in liberal states</w:t>
      </w:r>
      <w:r w:rsidR="006C0AB2">
        <w:t xml:space="preserve"> (e.g., Cahill 2017)</w:t>
      </w:r>
      <w:r w:rsidR="00764641" w:rsidRPr="00EE5B4D">
        <w:t xml:space="preserve">, and/or argue that </w:t>
      </w:r>
      <w:r w:rsidR="00C201E2" w:rsidRPr="00EE5B4D">
        <w:t>it</w:t>
      </w:r>
      <w:r w:rsidR="00764641" w:rsidRPr="00EE5B4D">
        <w:t xml:space="preserve"> has mere discursive value, rather than directly contributing to our moral ontology</w:t>
      </w:r>
      <w:r w:rsidR="006C0AB2">
        <w:t xml:space="preserve"> (e.g., Allard-Tremblay </w:t>
      </w:r>
      <w:r w:rsidR="004E198E">
        <w:t>2017)</w:t>
      </w:r>
      <w:r w:rsidR="00764641" w:rsidRPr="00EE5B4D">
        <w:t xml:space="preserve">. </w:t>
      </w:r>
      <w:r w:rsidR="00AA17CB">
        <w:t>Scholars either seek to cease use subsidiarity, change its scope of application, or redevelop it in ways that may be discontinuous with prior conceptions.</w:t>
      </w:r>
      <w:r w:rsidR="003D1C3D">
        <w:t xml:space="preserve"> </w:t>
      </w:r>
      <w:r w:rsidR="00447C0D">
        <w:t xml:space="preserve">Yet </w:t>
      </w:r>
      <w:r w:rsidR="00CA1D89">
        <w:t>such scholar</w:t>
      </w:r>
      <w:r w:rsidR="0030219B">
        <w:t>s</w:t>
      </w:r>
      <w:r w:rsidR="003D1C3D">
        <w:t xml:space="preserve"> </w:t>
      </w:r>
      <w:r w:rsidR="002F3E67">
        <w:t>like</w:t>
      </w:r>
      <w:r w:rsidR="003D1C3D">
        <w:t>ly owe accounts of w</w:t>
      </w:r>
      <w:r w:rsidR="002F3E67">
        <w:t>hy their approaches do not result in substantial conceptual losses.</w:t>
      </w:r>
      <w:r w:rsidR="00337FF7">
        <w:t xml:space="preserve"> </w:t>
      </w:r>
      <w:r w:rsidR="00DD4BB9">
        <w:t xml:space="preserve">Even those who simply seek to </w:t>
      </w:r>
      <w:r w:rsidR="0018517E">
        <w:t xml:space="preserve">reinterpret </w:t>
      </w:r>
      <w:r w:rsidR="00447C0D">
        <w:t xml:space="preserve">subsidiarity </w:t>
      </w:r>
      <w:r w:rsidR="0018517E">
        <w:t>or use it for distinct functions</w:t>
      </w:r>
      <w:r w:rsidR="00DD4BB9">
        <w:t xml:space="preserve"> should explain </w:t>
      </w:r>
      <w:r w:rsidR="0018517E">
        <w:t xml:space="preserve">how their approach </w:t>
      </w:r>
      <w:r w:rsidR="009F4FCA">
        <w:t>differs from mere replacement of earlier concepts – and, in cases of discontinuity</w:t>
      </w:r>
      <w:r w:rsidR="00811DE4">
        <w:t>,</w:t>
      </w:r>
      <w:r w:rsidR="009F4FCA">
        <w:t xml:space="preserve"> why </w:t>
      </w:r>
      <w:r w:rsidR="000C4DAC">
        <w:t>older approaches can be abandoned.</w:t>
      </w:r>
      <w:r w:rsidR="0018517E">
        <w:t xml:space="preserve"> </w:t>
      </w:r>
    </w:p>
    <w:p w14:paraId="4C5E27F2" w14:textId="77777777" w:rsidR="00764641" w:rsidRPr="00EE5B4D" w:rsidRDefault="00764641" w:rsidP="00DD31E6">
      <w:pPr>
        <w:spacing w:after="0" w:line="360" w:lineRule="auto"/>
      </w:pPr>
    </w:p>
    <w:p w14:paraId="55A04117" w14:textId="63B19E90" w:rsidR="007120E8" w:rsidRPr="00EE5B4D" w:rsidRDefault="0066394A" w:rsidP="00DD31E6">
      <w:pPr>
        <w:spacing w:after="0" w:line="360" w:lineRule="auto"/>
        <w:rPr>
          <w:lang w:val="en-US"/>
        </w:rPr>
      </w:pPr>
      <w:r w:rsidRPr="00EE5B4D">
        <w:t xml:space="preserve">This state of affairs presents a challenge: Subsidiarity is meant to play many roles in contemporary political philosophy and law, yet it is very difficult to specify and justify a distinct conception that is capable of fulfilling those roles. Attempts to address this challenge are arguably made more difficult when one attempts to connect the concept to its historical roles, yet accounts divorced from that history risk discontinuity such </w:t>
      </w:r>
      <w:r w:rsidR="00591F52">
        <w:t xml:space="preserve">that </w:t>
      </w:r>
      <w:r w:rsidRPr="00EE5B4D">
        <w:t xml:space="preserve">a </w:t>
      </w:r>
      <w:r w:rsidRPr="00EE5B4D">
        <w:lastRenderedPageBreak/>
        <w:t xml:space="preserve">historical concept is lost and replaced by a new one. Similar challenges arguably apply to other non-natural concepts </w:t>
      </w:r>
      <w:r w:rsidR="007120E8" w:rsidRPr="00EE5B4D">
        <w:t>with multiple competing conceptions and intended functions</w:t>
      </w:r>
      <w:r w:rsidRPr="00EE5B4D">
        <w:t xml:space="preserve"> </w:t>
      </w:r>
      <w:r w:rsidR="007120E8" w:rsidRPr="00EE5B4D">
        <w:t xml:space="preserve">and long histories. Consider concepts like ‘dignity’ or ‘rights’ </w:t>
      </w:r>
      <w:r w:rsidR="00591F52">
        <w:t>(</w:t>
      </w:r>
      <w:r w:rsidR="007120E8" w:rsidRPr="00EE5B4D">
        <w:t>on which we have written previously</w:t>
      </w:r>
      <w:r w:rsidR="00591F52">
        <w:t>)</w:t>
      </w:r>
      <w:r w:rsidR="007120E8" w:rsidRPr="00EE5B4D">
        <w:t>.</w:t>
      </w:r>
      <w:r w:rsidR="006E4418">
        <w:t xml:space="preserve"> </w:t>
      </w:r>
      <w:r w:rsidR="00811DE4">
        <w:t xml:space="preserve">Yet </w:t>
      </w:r>
      <w:r w:rsidR="007120E8" w:rsidRPr="00EE5B4D">
        <w:t>subsidiarity scholarship evinces a greater concern with historical propriety than work on similar concepts.</w:t>
      </w:r>
      <w:r w:rsidR="0037199C">
        <w:rPr>
          <w:rStyle w:val="FootnoteReference"/>
        </w:rPr>
        <w:footnoteReference w:id="18"/>
      </w:r>
      <w:r w:rsidR="007120E8" w:rsidRPr="00EE5B4D">
        <w:t xml:space="preserve"> This raises a </w:t>
      </w:r>
      <w:r w:rsidR="00811DE4">
        <w:t xml:space="preserve">further </w:t>
      </w:r>
      <w:r w:rsidR="007120E8" w:rsidRPr="00EE5B4D">
        <w:t xml:space="preserve">puzzle: </w:t>
      </w:r>
      <w:r w:rsidR="007120E8" w:rsidRPr="00EE5B4D">
        <w:rPr>
          <w:lang w:val="en-US"/>
        </w:rPr>
        <w:t xml:space="preserve">Is there a reason why subsidiarity </w:t>
      </w:r>
      <w:r w:rsidR="00591F52">
        <w:rPr>
          <w:lang w:val="en-US"/>
        </w:rPr>
        <w:t>must</w:t>
      </w:r>
      <w:r w:rsidR="007120E8" w:rsidRPr="00EE5B4D">
        <w:rPr>
          <w:lang w:val="en-US"/>
        </w:rPr>
        <w:t xml:space="preserve"> be treated more historically than other concepts? Or is this historical focus a function of the interests of scholars who work on it? To put it another way, is there a reason that subsidiarity </w:t>
      </w:r>
      <w:r w:rsidR="0008128D">
        <w:rPr>
          <w:lang w:val="en-US"/>
        </w:rPr>
        <w:t>in particular must</w:t>
      </w:r>
      <w:r w:rsidR="007120E8" w:rsidRPr="00EE5B4D">
        <w:rPr>
          <w:lang w:val="en-US"/>
        </w:rPr>
        <w:t xml:space="preserve"> be understood against its historical </w:t>
      </w:r>
      <w:r w:rsidR="0008128D">
        <w:rPr>
          <w:lang w:val="en-US"/>
        </w:rPr>
        <w:t>backdrop</w:t>
      </w:r>
      <w:r w:rsidR="007120E8" w:rsidRPr="00EE5B4D">
        <w:rPr>
          <w:lang w:val="en-US"/>
        </w:rPr>
        <w:t xml:space="preserve">? If so, which other concepts should be treated in a similar fashion and why? </w:t>
      </w:r>
    </w:p>
    <w:p w14:paraId="023D3D23" w14:textId="77777777" w:rsidR="007120E8" w:rsidRPr="00EE5B4D" w:rsidRDefault="007120E8" w:rsidP="00DD31E6">
      <w:pPr>
        <w:spacing w:after="0" w:line="360" w:lineRule="auto"/>
        <w:rPr>
          <w:lang w:val="en-US"/>
        </w:rPr>
      </w:pPr>
    </w:p>
    <w:p w14:paraId="1C00205F" w14:textId="67995CEC" w:rsidR="007120E8" w:rsidRPr="00EE5B4D" w:rsidRDefault="007120E8" w:rsidP="00DD31E6">
      <w:pPr>
        <w:spacing w:after="0" w:line="360" w:lineRule="auto"/>
        <w:rPr>
          <w:lang w:val="en-US"/>
        </w:rPr>
      </w:pPr>
      <w:r w:rsidRPr="00EE5B4D">
        <w:rPr>
          <w:lang w:val="en-US"/>
        </w:rPr>
        <w:t>Understood in this way, subsidiarity offers a lens through which to examine a host of central issues in political philosophy, from substantive questions concerning the nature and locus of authority (state or otherwise) and the value and meaning of democratic influence or epistemic arguments for decision-making powers to methodological questions concerning how to specify whether a concept is continuous over time and the role (if any) that historical considerations should play</w:t>
      </w:r>
      <w:r w:rsidR="00337FF7">
        <w:rPr>
          <w:lang w:val="en-US"/>
        </w:rPr>
        <w:t xml:space="preserve"> </w:t>
      </w:r>
      <w:r w:rsidRPr="00EE5B4D">
        <w:rPr>
          <w:lang w:val="en-US"/>
        </w:rPr>
        <w:t xml:space="preserve">in accounts of normative concepts. </w:t>
      </w:r>
    </w:p>
    <w:p w14:paraId="6BFA175C" w14:textId="77777777" w:rsidR="007120E8" w:rsidRPr="00EE5B4D" w:rsidRDefault="007120E8" w:rsidP="00DD31E6">
      <w:pPr>
        <w:spacing w:after="0" w:line="360" w:lineRule="auto"/>
        <w:rPr>
          <w:lang w:val="en-US"/>
        </w:rPr>
      </w:pPr>
    </w:p>
    <w:p w14:paraId="0A54DA58" w14:textId="21805486" w:rsidR="00EE5B4D" w:rsidRPr="00EE5B4D" w:rsidRDefault="007120E8" w:rsidP="00DD31E6">
      <w:pPr>
        <w:spacing w:after="0" w:line="360" w:lineRule="auto"/>
        <w:rPr>
          <w:lang w:val="en-US"/>
        </w:rPr>
      </w:pPr>
      <w:r w:rsidRPr="00EE5B4D">
        <w:rPr>
          <w:lang w:val="en-US"/>
        </w:rPr>
        <w:t xml:space="preserve">The </w:t>
      </w:r>
      <w:r w:rsidR="00CA1D89">
        <w:rPr>
          <w:lang w:val="en-US"/>
        </w:rPr>
        <w:t>article</w:t>
      </w:r>
      <w:r w:rsidRPr="00EE5B4D">
        <w:rPr>
          <w:lang w:val="en-US"/>
        </w:rPr>
        <w:t>s in this issue not only offer insights into subsidiarity as an ongoing posit in contemporary politics – thereby providing interventions in and guidance for scholarly debates on, for example, how to allocate authority and political debates concerning European Union law – but also into these broader substantive and methodological queries.</w:t>
      </w:r>
    </w:p>
    <w:p w14:paraId="31AED4C3" w14:textId="77777777" w:rsidR="00EE5B4D" w:rsidRPr="00EE5B4D" w:rsidRDefault="00EE5B4D" w:rsidP="00DD31E6">
      <w:pPr>
        <w:spacing w:after="0" w:line="360" w:lineRule="auto"/>
        <w:rPr>
          <w:lang w:val="en-US"/>
        </w:rPr>
      </w:pPr>
    </w:p>
    <w:p w14:paraId="1DB1395B" w14:textId="13CAF126" w:rsidR="00EE5B4D" w:rsidRDefault="000C00D0" w:rsidP="00DD31E6">
      <w:pPr>
        <w:spacing w:after="0" w:line="360" w:lineRule="auto"/>
        <w:rPr>
          <w:lang w:val="en-US"/>
        </w:rPr>
      </w:pPr>
      <w:r>
        <w:rPr>
          <w:lang w:val="en-US"/>
        </w:rPr>
        <w:t>Erika Arban’s</w:t>
      </w:r>
      <w:r w:rsidR="001718E6">
        <w:rPr>
          <w:lang w:val="en-US"/>
        </w:rPr>
        <w:t xml:space="preserve"> “Subsidiarity, Federalism, and Beyond”</w:t>
      </w:r>
      <w:r>
        <w:rPr>
          <w:lang w:val="en-US"/>
        </w:rPr>
        <w:t xml:space="preserve"> </w:t>
      </w:r>
      <w:r w:rsidR="001718E6">
        <w:rPr>
          <w:lang w:val="en-US"/>
        </w:rPr>
        <w:t xml:space="preserve">first </w:t>
      </w:r>
      <w:r w:rsidR="000717D5">
        <w:rPr>
          <w:lang w:val="en-US"/>
        </w:rPr>
        <w:t xml:space="preserve">contextualizes and clarifies </w:t>
      </w:r>
      <w:r w:rsidR="001718E6">
        <w:rPr>
          <w:lang w:val="en-US"/>
        </w:rPr>
        <w:t xml:space="preserve">debates about </w:t>
      </w:r>
      <w:r w:rsidR="000717D5">
        <w:rPr>
          <w:lang w:val="en-US"/>
        </w:rPr>
        <w:t>subsidiarity’s role in constitutional authority allocation debates.</w:t>
      </w:r>
      <w:r w:rsidR="00536BB6">
        <w:rPr>
          <w:lang w:val="en-US"/>
        </w:rPr>
        <w:t xml:space="preserve"> Arban highlights the similarities and differences between federalism and subsidiarity</w:t>
      </w:r>
      <w:r w:rsidR="00A12C2F">
        <w:rPr>
          <w:lang w:val="en-US"/>
        </w:rPr>
        <w:t>, thereby arguing that they are conceptually connected but distinct concepts</w:t>
      </w:r>
      <w:r w:rsidR="00536BB6">
        <w:rPr>
          <w:lang w:val="en-US"/>
        </w:rPr>
        <w:t>.</w:t>
      </w:r>
      <w:r w:rsidR="004A1F37">
        <w:rPr>
          <w:lang w:val="en-US"/>
        </w:rPr>
        <w:t xml:space="preserve"> Arban then further states that the concepts may be conceptually connected but </w:t>
      </w:r>
      <w:r w:rsidR="00CA1D89">
        <w:rPr>
          <w:lang w:val="en-US"/>
        </w:rPr>
        <w:t>remain</w:t>
      </w:r>
      <w:r w:rsidR="004A1F37">
        <w:rPr>
          <w:lang w:val="en-US"/>
        </w:rPr>
        <w:t xml:space="preserve"> severable.</w:t>
      </w:r>
      <w:r w:rsidR="00CB03DE">
        <w:rPr>
          <w:lang w:val="en-US"/>
        </w:rPr>
        <w:t xml:space="preserve"> Federalism </w:t>
      </w:r>
      <w:r w:rsidR="00CB03DE">
        <w:rPr>
          <w:lang w:val="en-US"/>
        </w:rPr>
        <w:lastRenderedPageBreak/>
        <w:t>need not entail a commitment to subsidiarity – and subsidiarity can even centralize authority in a manner at odds with many understandings of the purpose of federalism.</w:t>
      </w:r>
      <w:r w:rsidR="00337FF7">
        <w:rPr>
          <w:lang w:val="en-US"/>
        </w:rPr>
        <w:t xml:space="preserve"> </w:t>
      </w:r>
      <w:r w:rsidR="00CB03DE">
        <w:rPr>
          <w:lang w:val="en-US"/>
        </w:rPr>
        <w:t>At the same time, Arban argues, s</w:t>
      </w:r>
      <w:r w:rsidR="004A1F37">
        <w:rPr>
          <w:lang w:val="en-US"/>
        </w:rPr>
        <w:t>ubsidiarity need not apply only within the boundaries of federal states</w:t>
      </w:r>
      <w:r w:rsidR="00114543">
        <w:rPr>
          <w:lang w:val="en-US"/>
        </w:rPr>
        <w:t>; it</w:t>
      </w:r>
      <w:r w:rsidR="004A1F37">
        <w:rPr>
          <w:lang w:val="en-US"/>
        </w:rPr>
        <w:t xml:space="preserve"> can also resolve issues within unitary states and at the international level. </w:t>
      </w:r>
      <w:r w:rsidR="00114543">
        <w:rPr>
          <w:lang w:val="en-US"/>
        </w:rPr>
        <w:t>I</w:t>
      </w:r>
      <w:r w:rsidR="00E90334">
        <w:rPr>
          <w:lang w:val="en-US"/>
        </w:rPr>
        <w:t xml:space="preserve">t </w:t>
      </w:r>
      <w:r w:rsidR="00114543">
        <w:rPr>
          <w:lang w:val="en-US"/>
        </w:rPr>
        <w:t xml:space="preserve">also </w:t>
      </w:r>
      <w:r w:rsidR="00E90334">
        <w:rPr>
          <w:lang w:val="en-US"/>
        </w:rPr>
        <w:t>need not apply only to state authorities</w:t>
      </w:r>
      <w:r w:rsidR="00DE6016">
        <w:rPr>
          <w:lang w:val="en-US"/>
        </w:rPr>
        <w:t xml:space="preserve">; subsidiarity can and does sometimes highlight the role that other entities ought to play in authority allocation decisions. Arban recognizes the difficulty of identifying a single distinct meaning of ‘subsidiarity’ and issues with competing concepts. But Arban does not aim to resolve debates about the true meaning of the concept or whether it has been </w:t>
      </w:r>
      <w:r w:rsidR="00A11825">
        <w:rPr>
          <w:lang w:val="en-US"/>
        </w:rPr>
        <w:t xml:space="preserve">‘deflated’ as others </w:t>
      </w:r>
      <w:r w:rsidR="00CC0929">
        <w:rPr>
          <w:lang w:val="en-US"/>
        </w:rPr>
        <w:t>claim</w:t>
      </w:r>
      <w:r w:rsidR="00A11825">
        <w:rPr>
          <w:lang w:val="en-US"/>
        </w:rPr>
        <w:t>. Arban instead clarifies different versions of subsidiarity and approaches to its relationship to federalism.</w:t>
      </w:r>
      <w:r w:rsidR="00536BB6">
        <w:rPr>
          <w:lang w:val="en-US"/>
        </w:rPr>
        <w:t xml:space="preserve"> </w:t>
      </w:r>
    </w:p>
    <w:p w14:paraId="47815C61" w14:textId="77777777" w:rsidR="00E41AE8" w:rsidRDefault="00E41AE8" w:rsidP="00DD31E6">
      <w:pPr>
        <w:spacing w:after="0" w:line="360" w:lineRule="auto"/>
        <w:rPr>
          <w:lang w:val="en-US"/>
        </w:rPr>
      </w:pPr>
    </w:p>
    <w:p w14:paraId="0518A9D2" w14:textId="7076055E" w:rsidR="006556DE" w:rsidRDefault="00A11825" w:rsidP="00DD31E6">
      <w:pPr>
        <w:spacing w:after="0" w:line="360" w:lineRule="auto"/>
      </w:pPr>
      <w:r>
        <w:rPr>
          <w:lang w:val="en-US"/>
        </w:rPr>
        <w:t xml:space="preserve">While a late comment in </w:t>
      </w:r>
      <w:r w:rsidR="00AC358B">
        <w:rPr>
          <w:lang w:val="en-US"/>
        </w:rPr>
        <w:t>Arban</w:t>
      </w:r>
      <w:r w:rsidR="00566AFF">
        <w:rPr>
          <w:lang w:val="en-US"/>
        </w:rPr>
        <w:t>’</w:t>
      </w:r>
      <w:r>
        <w:rPr>
          <w:lang w:val="en-US"/>
        </w:rPr>
        <w:t xml:space="preserve">s article suggests </w:t>
      </w:r>
      <w:r w:rsidR="00A056F9">
        <w:rPr>
          <w:lang w:val="en-US"/>
        </w:rPr>
        <w:t>European Union law is a “principal focal point” of many discussions of the nature of subsidiarity, other scholars</w:t>
      </w:r>
      <w:r w:rsidR="008458EE">
        <w:rPr>
          <w:lang w:val="en-US"/>
        </w:rPr>
        <w:t xml:space="preserve"> provide reason to question whether the European Union should be considered exemplar</w:t>
      </w:r>
      <w:r w:rsidR="00FB3F61">
        <w:rPr>
          <w:lang w:val="en-US"/>
        </w:rPr>
        <w:t>y</w:t>
      </w:r>
      <w:r w:rsidR="008458EE">
        <w:rPr>
          <w:lang w:val="en-US"/>
        </w:rPr>
        <w:t>.</w:t>
      </w:r>
      <w:r w:rsidR="00E843A5">
        <w:rPr>
          <w:rStyle w:val="FootnoteReference"/>
          <w:lang w:val="en-US"/>
        </w:rPr>
        <w:footnoteReference w:id="19"/>
      </w:r>
      <w:r w:rsidR="008458EE">
        <w:rPr>
          <w:lang w:val="en-US"/>
        </w:rPr>
        <w:t xml:space="preserve"> </w:t>
      </w:r>
      <w:r w:rsidR="00361CF3">
        <w:rPr>
          <w:lang w:val="en-US"/>
        </w:rPr>
        <w:t>A.J. Wolthuis</w:t>
      </w:r>
      <w:r w:rsidR="00A43D9A">
        <w:rPr>
          <w:lang w:val="en-US"/>
        </w:rPr>
        <w:t xml:space="preserve">’s contribution to this volume intervenes in the relevant debate </w:t>
      </w:r>
      <w:r w:rsidR="006556DE">
        <w:rPr>
          <w:lang w:val="en-US"/>
        </w:rPr>
        <w:t xml:space="preserve">by examining the conditions under which subsidiarity may apply and whether they are fulfilled in the European Union. </w:t>
      </w:r>
      <w:r w:rsidR="008006A4">
        <w:rPr>
          <w:lang w:val="en-US"/>
        </w:rPr>
        <w:t xml:space="preserve">Wolthuis’s </w:t>
      </w:r>
      <w:r w:rsidR="007318DE">
        <w:t>“</w:t>
      </w:r>
      <w:r w:rsidR="00361CF3" w:rsidRPr="00361CF3">
        <w:t xml:space="preserve">Subsidiarity and the </w:t>
      </w:r>
      <w:r w:rsidR="00361CF3">
        <w:t>C</w:t>
      </w:r>
      <w:r w:rsidR="00361CF3" w:rsidRPr="00361CF3">
        <w:t xml:space="preserve">onditions of its </w:t>
      </w:r>
      <w:r w:rsidR="00361CF3">
        <w:t>A</w:t>
      </w:r>
      <w:r w:rsidR="00361CF3" w:rsidRPr="00361CF3">
        <w:t>pplication</w:t>
      </w:r>
      <w:r w:rsidR="00361CF3">
        <w:t>:</w:t>
      </w:r>
      <w:r w:rsidR="00361CF3" w:rsidRPr="00361CF3">
        <w:t xml:space="preserve"> The </w:t>
      </w:r>
      <w:r w:rsidR="00361CF3">
        <w:t>C</w:t>
      </w:r>
      <w:r w:rsidR="00361CF3" w:rsidRPr="00361CF3">
        <w:t>ase of the European Unio</w:t>
      </w:r>
      <w:r w:rsidR="00361CF3">
        <w:t xml:space="preserve">n” </w:t>
      </w:r>
      <w:r w:rsidR="0008489A">
        <w:t xml:space="preserve">does not aim to provide a general argument about when subsidiarity may apply. It instead seeks to identify and interrogate possible approaches to that </w:t>
      </w:r>
      <w:r w:rsidR="00FB3F61">
        <w:t>issue</w:t>
      </w:r>
      <w:r w:rsidR="0008489A">
        <w:t>.</w:t>
      </w:r>
      <w:r w:rsidR="000E28A9">
        <w:t xml:space="preserve"> Wolthuis argues that </w:t>
      </w:r>
      <w:r w:rsidR="00BE7A2F">
        <w:t>the question is not as straightforward as many presume and identifies several challenges facing any account of subsidiarity’s applicability conditions.</w:t>
      </w:r>
      <w:r w:rsidR="0008489A">
        <w:t xml:space="preserve"> </w:t>
      </w:r>
      <w:r w:rsidR="00BA7DAA">
        <w:t>Wolthuis</w:t>
      </w:r>
      <w:r w:rsidR="0008489A">
        <w:t xml:space="preserve"> then </w:t>
      </w:r>
      <w:r w:rsidR="00316742">
        <w:t>conducts an</w:t>
      </w:r>
      <w:r w:rsidR="0008489A">
        <w:t xml:space="preserve"> analysis </w:t>
      </w:r>
      <w:r w:rsidR="00DB4344">
        <w:t>of</w:t>
      </w:r>
      <w:r w:rsidR="0008489A">
        <w:t xml:space="preserve"> </w:t>
      </w:r>
      <w:r w:rsidR="0008489A">
        <w:rPr>
          <w:lang w:val="en-US"/>
        </w:rPr>
        <w:t>the structure of the European Union and the role that subsidiarity is meant to – and actually does</w:t>
      </w:r>
      <w:r w:rsidR="00DB4344">
        <w:rPr>
          <w:lang w:val="en-US"/>
        </w:rPr>
        <w:t>(n’t)</w:t>
      </w:r>
      <w:r w:rsidR="0008489A">
        <w:rPr>
          <w:lang w:val="en-US"/>
        </w:rPr>
        <w:t xml:space="preserve"> – play therein to examine whether plausible understanding of the applicability conditions </w:t>
      </w:r>
      <w:r w:rsidR="00D22060">
        <w:rPr>
          <w:lang w:val="en-US"/>
        </w:rPr>
        <w:t xml:space="preserve">can </w:t>
      </w:r>
      <w:r w:rsidR="0008489A">
        <w:rPr>
          <w:lang w:val="en-US"/>
        </w:rPr>
        <w:t xml:space="preserve">operate in the European Union. Wolthuis </w:t>
      </w:r>
      <w:r w:rsidR="001A4869">
        <w:rPr>
          <w:lang w:val="en-US"/>
        </w:rPr>
        <w:t>reaches a negative conclusion. He thereby not only helps clarify where and when subsidiarity may apply</w:t>
      </w:r>
      <w:r w:rsidR="00BA7DAA">
        <w:rPr>
          <w:lang w:val="en-US"/>
        </w:rPr>
        <w:t xml:space="preserve"> but</w:t>
      </w:r>
      <w:r w:rsidR="00B47120">
        <w:rPr>
          <w:lang w:val="en-US"/>
        </w:rPr>
        <w:t xml:space="preserve"> adds to deflationary critiques of the European Union’s conception of subsidiarity by suggesting that the European Union’s approach does not share </w:t>
      </w:r>
      <w:r w:rsidR="00403C4B">
        <w:rPr>
          <w:lang w:val="en-US"/>
        </w:rPr>
        <w:t xml:space="preserve">common features of other competing conceptions, including applicability </w:t>
      </w:r>
      <w:r w:rsidR="00403C4B">
        <w:rPr>
          <w:lang w:val="en-US"/>
        </w:rPr>
        <w:lastRenderedPageBreak/>
        <w:t>conditions. Even if, in other words, one accepts that subsidiarity can have many meanings, the conception used in the European Union does not clearly qualify as an acceptable one.</w:t>
      </w:r>
    </w:p>
    <w:p w14:paraId="177A58FF" w14:textId="77777777" w:rsidR="00361CF3" w:rsidRDefault="00361CF3" w:rsidP="00DD31E6">
      <w:pPr>
        <w:spacing w:after="0" w:line="360" w:lineRule="auto"/>
        <w:rPr>
          <w:lang w:val="en-US"/>
        </w:rPr>
      </w:pPr>
    </w:p>
    <w:p w14:paraId="31E2FC27" w14:textId="5877C439" w:rsidR="00374B77" w:rsidRPr="00760C26" w:rsidRDefault="00C95E5E" w:rsidP="00DD31E6">
      <w:pPr>
        <w:spacing w:after="0" w:line="360" w:lineRule="auto"/>
        <w:rPr>
          <w:lang w:val="en-US"/>
        </w:rPr>
      </w:pPr>
      <w:r>
        <w:rPr>
          <w:lang w:val="en-US"/>
        </w:rPr>
        <w:t>Other c</w:t>
      </w:r>
      <w:r w:rsidR="000A20E8">
        <w:rPr>
          <w:lang w:val="en-US"/>
        </w:rPr>
        <w:t xml:space="preserve">riticisms of subsidiarity do not focus on its use in European Union law. </w:t>
      </w:r>
      <w:r w:rsidR="00374B77">
        <w:rPr>
          <w:lang w:val="en-US"/>
        </w:rPr>
        <w:t>In “</w:t>
      </w:r>
      <w:r w:rsidR="00374B77" w:rsidRPr="000D45D4">
        <w:t xml:space="preserve">Beyond </w:t>
      </w:r>
      <w:r w:rsidR="00374B77">
        <w:t>S</w:t>
      </w:r>
      <w:r w:rsidR="00374B77" w:rsidRPr="000D45D4">
        <w:t xml:space="preserve">ubsidiarity: Normative </w:t>
      </w:r>
      <w:r w:rsidR="00374B77">
        <w:t>P</w:t>
      </w:r>
      <w:r w:rsidR="00374B77" w:rsidRPr="000D45D4">
        <w:t xml:space="preserve">rinciples for </w:t>
      </w:r>
      <w:r w:rsidR="00374B77">
        <w:t>A</w:t>
      </w:r>
      <w:r w:rsidR="00374B77" w:rsidRPr="000D45D4">
        <w:t xml:space="preserve">uthority </w:t>
      </w:r>
      <w:r w:rsidR="00374B77">
        <w:t>A</w:t>
      </w:r>
      <w:r w:rsidR="00374B77" w:rsidRPr="000D45D4">
        <w:t xml:space="preserve">llocation in </w:t>
      </w:r>
      <w:r w:rsidR="00374B77">
        <w:t>D</w:t>
      </w:r>
      <w:r w:rsidR="00374B77" w:rsidRPr="000D45D4">
        <w:t>emocracies</w:t>
      </w:r>
      <w:r w:rsidR="00374B77" w:rsidRPr="00760C26">
        <w:t xml:space="preserve">”, </w:t>
      </w:r>
      <w:r w:rsidR="000A20E8">
        <w:t xml:space="preserve">for example, </w:t>
      </w:r>
      <w:r w:rsidR="00374B77" w:rsidRPr="00760C26">
        <w:t>Colin Rowe</w:t>
      </w:r>
      <w:r w:rsidR="00374B77">
        <w:t xml:space="preserve"> contributes to the deflationary critique of subsidiarity </w:t>
      </w:r>
      <w:r w:rsidR="00AC5586">
        <w:t xml:space="preserve">as a guide for allocating authority within democracies </w:t>
      </w:r>
      <w:r w:rsidR="00374B77">
        <w:t xml:space="preserve">and offers an alternative approach to authority allocation. </w:t>
      </w:r>
      <w:r w:rsidR="00D678B9">
        <w:t xml:space="preserve">Rowe argues that subsidiarity is not alone in failing to provide proper guidance on allocative questions. </w:t>
      </w:r>
      <w:r w:rsidR="00BD3F4C">
        <w:t>Competi</w:t>
      </w:r>
      <w:r w:rsidR="008B46D6">
        <w:t>ng</w:t>
      </w:r>
      <w:r w:rsidR="00D678B9">
        <w:t xml:space="preserve"> principles</w:t>
      </w:r>
      <w:r w:rsidR="000C0698">
        <w:t xml:space="preserve"> – namely, the s</w:t>
      </w:r>
      <w:r w:rsidR="000C0698" w:rsidRPr="000C0698">
        <w:t>overeignty, centralization, fiscal federalism, and all-affected, -subjected and -coerced principles</w:t>
      </w:r>
      <w:r w:rsidR="000C0698">
        <w:t xml:space="preserve"> – also fail to provide clear and compelling guidance on when particular entities </w:t>
      </w:r>
      <w:r w:rsidR="003D643D">
        <w:t xml:space="preserve">(e.g., federal, provincial, municipal governments) </w:t>
      </w:r>
      <w:r w:rsidR="000C0698">
        <w:t>should posse</w:t>
      </w:r>
      <w:r w:rsidR="00CC7E3E">
        <w:t>s</w:t>
      </w:r>
      <w:r w:rsidR="000C0698">
        <w:t>s authority over particular subjects</w:t>
      </w:r>
      <w:r w:rsidR="003D643D">
        <w:t xml:space="preserve"> (e.g., education, defense).</w:t>
      </w:r>
      <w:r w:rsidR="00337FF7">
        <w:t xml:space="preserve"> </w:t>
      </w:r>
      <w:r w:rsidR="008B46D6">
        <w:t xml:space="preserve">The principles </w:t>
      </w:r>
      <w:r w:rsidR="00AE4726">
        <w:t xml:space="preserve">are either too general, thereby failing to </w:t>
      </w:r>
      <w:r w:rsidR="00A70739">
        <w:t xml:space="preserve">provide compelling concrete guidance, or too narrow, thereby failing to </w:t>
      </w:r>
      <w:r w:rsidR="00015498">
        <w:t xml:space="preserve">offer generalizable guidance across different cases. Building on </w:t>
      </w:r>
      <w:r w:rsidR="006D006E">
        <w:t xml:space="preserve">earlier work in democratic theory and </w:t>
      </w:r>
      <w:r w:rsidR="00015498">
        <w:t>prior work by T</w:t>
      </w:r>
      <w:r w:rsidR="006D006E">
        <w:t>revor</w:t>
      </w:r>
      <w:r w:rsidR="00015498">
        <w:t xml:space="preserve"> Latimer</w:t>
      </w:r>
      <w:r w:rsidR="006D006E">
        <w:t xml:space="preserve"> on subsidiarity</w:t>
      </w:r>
      <w:r w:rsidR="00D70D06">
        <w:t xml:space="preserve"> (e.g., 2018b)</w:t>
      </w:r>
      <w:r w:rsidR="00015498">
        <w:t>, Rowe</w:t>
      </w:r>
      <w:r w:rsidR="00841885">
        <w:t xml:space="preserve"> offers a democratic approach to authority allocation that </w:t>
      </w:r>
      <w:r w:rsidR="00CA1D89">
        <w:t>Rowe</w:t>
      </w:r>
      <w:r w:rsidR="00841885">
        <w:t xml:space="preserve"> believes better reflects the reality that different contexts call for different allocations. </w:t>
      </w:r>
      <w:r w:rsidR="008B46D6">
        <w:t xml:space="preserve">Rowe </w:t>
      </w:r>
      <w:r w:rsidR="00DC219D">
        <w:t xml:space="preserve">argues that </w:t>
      </w:r>
      <w:r w:rsidR="00DA26E9">
        <w:t>authority allocation claims belong to distinct demoi.</w:t>
      </w:r>
      <w:r w:rsidR="00DC219D">
        <w:t xml:space="preserve"> </w:t>
      </w:r>
      <w:r w:rsidR="00DA26E9">
        <w:t xml:space="preserve">A demos </w:t>
      </w:r>
      <w:r w:rsidR="00DC219D">
        <w:t>must</w:t>
      </w:r>
      <w:r w:rsidR="00DA26E9">
        <w:t xml:space="preserve"> then</w:t>
      </w:r>
      <w:r w:rsidR="00DC219D">
        <w:t xml:space="preserve"> fulfill two conditions to have a valid authority claim</w:t>
      </w:r>
      <w:r w:rsidR="00783778">
        <w:t xml:space="preserve">. </w:t>
      </w:r>
      <w:r w:rsidR="008B46D6">
        <w:t>Per Rowe, i</w:t>
      </w:r>
      <w:r w:rsidR="00783778">
        <w:t xml:space="preserve">t must demonstrate that (a) authority over a subject is necessary for </w:t>
      </w:r>
      <w:r w:rsidR="004D2124">
        <w:t xml:space="preserve">specified </w:t>
      </w:r>
      <w:r w:rsidR="00783778">
        <w:t xml:space="preserve">needs (the content </w:t>
      </w:r>
      <w:r w:rsidR="004D2124">
        <w:t xml:space="preserve">principle) </w:t>
      </w:r>
      <w:r w:rsidR="00783778">
        <w:t>and (</w:t>
      </w:r>
      <w:r w:rsidR="004D2124">
        <w:t>b</w:t>
      </w:r>
      <w:r w:rsidR="00783778">
        <w:t>)</w:t>
      </w:r>
      <w:r w:rsidR="00841885">
        <w:t xml:space="preserve"> </w:t>
      </w:r>
      <w:r w:rsidR="00210011">
        <w:t xml:space="preserve">the demos has “a collective, active, conceptualization” of the subject (the conceptualization principle). These conditions need not track </w:t>
      </w:r>
      <w:r w:rsidR="00FA0110">
        <w:t xml:space="preserve">‘closeness’ to those affected by decisions – and accordingly need not call for subsidiarity’s constitutive commitment to ‘local’ authority. </w:t>
      </w:r>
    </w:p>
    <w:p w14:paraId="234C5D83" w14:textId="77777777" w:rsidR="00374B77" w:rsidRDefault="00374B77" w:rsidP="00DD31E6">
      <w:pPr>
        <w:spacing w:after="0" w:line="360" w:lineRule="auto"/>
        <w:rPr>
          <w:lang w:val="en-US"/>
        </w:rPr>
      </w:pPr>
    </w:p>
    <w:p w14:paraId="5E923570" w14:textId="448B6E1A" w:rsidR="00EE5B4D" w:rsidRDefault="00FB2F9D" w:rsidP="00DD31E6">
      <w:pPr>
        <w:spacing w:after="0" w:line="360" w:lineRule="auto"/>
      </w:pPr>
      <w:r>
        <w:rPr>
          <w:lang w:val="en-US"/>
        </w:rPr>
        <w:t xml:space="preserve">Rowe reflects one possible response to deflationary critiques of subsidiarity, namely </w:t>
      </w:r>
      <w:r w:rsidR="00FA0110">
        <w:rPr>
          <w:lang w:val="en-US"/>
        </w:rPr>
        <w:t>seek</w:t>
      </w:r>
      <w:r>
        <w:rPr>
          <w:lang w:val="en-US"/>
        </w:rPr>
        <w:t>ing</w:t>
      </w:r>
      <w:r w:rsidR="00FA0110">
        <w:rPr>
          <w:lang w:val="en-US"/>
        </w:rPr>
        <w:t xml:space="preserve"> an alternative means of allocating authority in light of deflationary critiques of subsidiarity</w:t>
      </w:r>
      <w:r>
        <w:rPr>
          <w:lang w:val="en-US"/>
        </w:rPr>
        <w:t xml:space="preserve">. </w:t>
      </w:r>
      <w:r w:rsidR="00CA1D89">
        <w:rPr>
          <w:lang w:val="en-US"/>
        </w:rPr>
        <w:t>O</w:t>
      </w:r>
      <w:r w:rsidR="002A01D0">
        <w:rPr>
          <w:lang w:val="en-US"/>
        </w:rPr>
        <w:t>ne may</w:t>
      </w:r>
      <w:r w:rsidR="00CA1D89">
        <w:rPr>
          <w:lang w:val="en-US"/>
        </w:rPr>
        <w:t>, again,</w:t>
      </w:r>
      <w:r w:rsidR="002A01D0">
        <w:rPr>
          <w:lang w:val="en-US"/>
        </w:rPr>
        <w:t xml:space="preserve"> </w:t>
      </w:r>
      <w:r>
        <w:rPr>
          <w:lang w:val="en-US"/>
        </w:rPr>
        <w:t xml:space="preserve">instead </w:t>
      </w:r>
      <w:r w:rsidR="002A01D0">
        <w:rPr>
          <w:lang w:val="en-US"/>
        </w:rPr>
        <w:t>seek a different role for subsidiarity</w:t>
      </w:r>
      <w:r>
        <w:rPr>
          <w:lang w:val="en-US"/>
        </w:rPr>
        <w:t xml:space="preserve"> to play</w:t>
      </w:r>
      <w:r w:rsidR="002A01D0">
        <w:rPr>
          <w:lang w:val="en-US"/>
        </w:rPr>
        <w:t xml:space="preserve">. </w:t>
      </w:r>
      <w:r>
        <w:rPr>
          <w:lang w:val="en-US"/>
        </w:rPr>
        <w:t>Andreas Follesdal’s</w:t>
      </w:r>
      <w:r w:rsidR="00507A6C">
        <w:rPr>
          <w:lang w:val="en-US"/>
        </w:rPr>
        <w:t xml:space="preserve"> </w:t>
      </w:r>
      <w:r w:rsidR="00507A6C" w:rsidRPr="00507A6C">
        <w:rPr>
          <w:lang w:val="en-US"/>
        </w:rPr>
        <w:t>“</w:t>
      </w:r>
      <w:r w:rsidR="00507A6C" w:rsidRPr="00507A6C">
        <w:rPr>
          <w:lang w:val="en-GB"/>
        </w:rPr>
        <w:t>Subsidiarity and Public Reason: Two Cheers Are Quite Enough”</w:t>
      </w:r>
      <w:r>
        <w:rPr>
          <w:lang w:val="en-GB"/>
        </w:rPr>
        <w:t xml:space="preserve"> takes this alternative approach. </w:t>
      </w:r>
      <w:r w:rsidR="003E6C74">
        <w:rPr>
          <w:lang w:val="en-GB"/>
        </w:rPr>
        <w:t xml:space="preserve">Consistent with work by, for example, </w:t>
      </w:r>
      <w:r w:rsidR="00CA1D89">
        <w:rPr>
          <w:lang w:val="en-GB"/>
        </w:rPr>
        <w:t xml:space="preserve">Yann </w:t>
      </w:r>
      <w:r w:rsidR="003E6C74">
        <w:rPr>
          <w:lang w:val="en-GB"/>
        </w:rPr>
        <w:t>Allard-Tr</w:t>
      </w:r>
      <w:r w:rsidR="008E1893">
        <w:rPr>
          <w:lang w:val="en-GB"/>
        </w:rPr>
        <w:t>em</w:t>
      </w:r>
      <w:r w:rsidR="003E6C74">
        <w:rPr>
          <w:lang w:val="en-GB"/>
        </w:rPr>
        <w:t>bl</w:t>
      </w:r>
      <w:r w:rsidR="008E1893">
        <w:rPr>
          <w:lang w:val="en-GB"/>
        </w:rPr>
        <w:t>a</w:t>
      </w:r>
      <w:r w:rsidR="003E6C74">
        <w:rPr>
          <w:lang w:val="en-GB"/>
        </w:rPr>
        <w:t xml:space="preserve">y (2017), </w:t>
      </w:r>
      <w:r>
        <w:rPr>
          <w:lang w:val="en-GB"/>
        </w:rPr>
        <w:lastRenderedPageBreak/>
        <w:t>F</w:t>
      </w:r>
      <w:r w:rsidR="00507A6C" w:rsidRPr="00507A6C">
        <w:rPr>
          <w:lang w:val="en-GB"/>
        </w:rPr>
        <w:t>ollesdal</w:t>
      </w:r>
      <w:r w:rsidR="00507A6C" w:rsidRPr="00242894">
        <w:rPr>
          <w:lang w:val="en-GB"/>
        </w:rPr>
        <w:t xml:space="preserve"> </w:t>
      </w:r>
      <w:r w:rsidR="003E6C74">
        <w:rPr>
          <w:lang w:val="en-GB"/>
        </w:rPr>
        <w:t xml:space="preserve">examines </w:t>
      </w:r>
      <w:r w:rsidR="00F01A87">
        <w:rPr>
          <w:lang w:val="en-GB"/>
        </w:rPr>
        <w:t>subsidiarity’s value for public discourse.</w:t>
      </w:r>
      <w:r w:rsidR="009C605C">
        <w:rPr>
          <w:lang w:val="en-GB"/>
        </w:rPr>
        <w:t xml:space="preserve"> However, Follesdal only provides a qualified defence of</w:t>
      </w:r>
      <w:r w:rsidR="003E6C74">
        <w:rPr>
          <w:lang w:val="en-GB"/>
        </w:rPr>
        <w:t xml:space="preserve"> </w:t>
      </w:r>
      <w:r w:rsidR="009C605C">
        <w:rPr>
          <w:lang w:val="en-GB"/>
        </w:rPr>
        <w:t>subsidiarity’s discursive value.</w:t>
      </w:r>
      <w:r w:rsidR="00F01A87">
        <w:rPr>
          <w:lang w:val="en-GB"/>
        </w:rPr>
        <w:t xml:space="preserve"> </w:t>
      </w:r>
      <w:r w:rsidR="009C605C">
        <w:rPr>
          <w:lang w:val="en-GB"/>
        </w:rPr>
        <w:t>Follesdal</w:t>
      </w:r>
      <w:r w:rsidR="00F01A87">
        <w:rPr>
          <w:lang w:val="en-GB"/>
        </w:rPr>
        <w:t xml:space="preserve"> argues that subsid</w:t>
      </w:r>
      <w:r w:rsidR="00B97E84">
        <w:rPr>
          <w:lang w:val="en-GB"/>
        </w:rPr>
        <w:t>iarity can help further liberal public reason</w:t>
      </w:r>
      <w:r w:rsidR="009C605C">
        <w:rPr>
          <w:lang w:val="en-GB"/>
        </w:rPr>
        <w:t xml:space="preserve">, but only </w:t>
      </w:r>
      <w:r w:rsidR="00B97E84">
        <w:rPr>
          <w:lang w:val="en-GB"/>
        </w:rPr>
        <w:t xml:space="preserve">in an imperfect, incomplete manner. </w:t>
      </w:r>
      <w:r w:rsidR="00AC334C">
        <w:rPr>
          <w:lang w:val="en-GB"/>
        </w:rPr>
        <w:t>Follesdal acknowledges the force of some deflationary critiques of subsidiarity</w:t>
      </w:r>
      <w:r w:rsidR="00ED14CF">
        <w:rPr>
          <w:lang w:val="en-GB"/>
        </w:rPr>
        <w:t xml:space="preserve"> as a principle for allocating authority</w:t>
      </w:r>
      <w:r w:rsidR="001177E2">
        <w:rPr>
          <w:lang w:val="en-GB"/>
        </w:rPr>
        <w:t>.</w:t>
      </w:r>
      <w:r w:rsidR="00BE689C">
        <w:rPr>
          <w:lang w:val="en-GB"/>
        </w:rPr>
        <w:t xml:space="preserve"> </w:t>
      </w:r>
      <w:r w:rsidR="001177E2">
        <w:rPr>
          <w:lang w:val="en-GB"/>
        </w:rPr>
        <w:t>He nonetheless</w:t>
      </w:r>
      <w:r w:rsidR="00AC334C">
        <w:rPr>
          <w:lang w:val="en-GB"/>
        </w:rPr>
        <w:t xml:space="preserve"> argues that it can </w:t>
      </w:r>
      <w:r w:rsidR="00ED14CF">
        <w:rPr>
          <w:lang w:val="en-GB"/>
        </w:rPr>
        <w:t xml:space="preserve">still guide the use and review of authority </w:t>
      </w:r>
      <w:r w:rsidR="00BE689C">
        <w:rPr>
          <w:lang w:val="en-GB"/>
        </w:rPr>
        <w:t>one has been allocated</w:t>
      </w:r>
      <w:r w:rsidR="0030219B">
        <w:rPr>
          <w:lang w:val="en-GB"/>
        </w:rPr>
        <w:t>,</w:t>
      </w:r>
      <w:r w:rsidR="001177E2">
        <w:rPr>
          <w:lang w:val="en-GB"/>
        </w:rPr>
        <w:t xml:space="preserve"> while</w:t>
      </w:r>
      <w:r w:rsidR="00BE689C">
        <w:rPr>
          <w:lang w:val="en-GB"/>
        </w:rPr>
        <w:t xml:space="preserve"> recogniz</w:t>
      </w:r>
      <w:r w:rsidR="001177E2">
        <w:rPr>
          <w:lang w:val="en-GB"/>
        </w:rPr>
        <w:t>ing</w:t>
      </w:r>
      <w:r w:rsidR="00BE689C">
        <w:rPr>
          <w:lang w:val="en-GB"/>
        </w:rPr>
        <w:t xml:space="preserve"> that subsidiarity is no panacea.</w:t>
      </w:r>
      <w:r w:rsidR="0036533C">
        <w:rPr>
          <w:lang w:val="en-GB"/>
        </w:rPr>
        <w:t xml:space="preserve"> </w:t>
      </w:r>
      <w:r w:rsidR="009C086A">
        <w:rPr>
          <w:lang w:val="en-GB"/>
        </w:rPr>
        <w:t xml:space="preserve">Returning to discussion of subsidiarity’s role in European Union law, </w:t>
      </w:r>
      <w:r w:rsidR="0030219B">
        <w:rPr>
          <w:lang w:val="en-GB"/>
        </w:rPr>
        <w:t xml:space="preserve">Follesdal </w:t>
      </w:r>
      <w:r w:rsidR="00EE2C36">
        <w:rPr>
          <w:lang w:val="en-GB"/>
        </w:rPr>
        <w:t xml:space="preserve">develops analyses of the </w:t>
      </w:r>
      <w:r w:rsidR="00EE2C36" w:rsidRPr="00EE2C36">
        <w:t>Court of Justice of the European Union</w:t>
      </w:r>
      <w:r w:rsidR="00EE2C36">
        <w:t xml:space="preserve"> </w:t>
      </w:r>
      <w:r w:rsidR="00EE2C36" w:rsidRPr="00EE2C36">
        <w:t xml:space="preserve">and the European Court of Human Rights </w:t>
      </w:r>
      <w:r w:rsidR="00EE2C36">
        <w:t xml:space="preserve">to demonstrate that subsidiarity can </w:t>
      </w:r>
      <w:r w:rsidR="008045ED">
        <w:t>“</w:t>
      </w:r>
      <w:r w:rsidR="008045ED" w:rsidRPr="008045ED">
        <w:t>nudge more public, and more stringent justifications for the allocation and use of political power</w:t>
      </w:r>
      <w:r w:rsidR="008045ED">
        <w:t xml:space="preserve">” but also risks hiding </w:t>
      </w:r>
      <w:r w:rsidR="00DA06BF">
        <w:t>normative considerations that are or should be guiding public decisions.</w:t>
      </w:r>
      <w:r w:rsidR="00EE2C36">
        <w:t xml:space="preserve"> </w:t>
      </w:r>
      <w:r w:rsidR="001177E2">
        <w:t>Follesdal</w:t>
      </w:r>
      <w:r w:rsidR="0014344F">
        <w:t xml:space="preserve"> thereby argues that </w:t>
      </w:r>
      <w:r w:rsidR="00582F3D">
        <w:t>one must approach subsidiarity claims carefully, recognizing that they can bring important normative considerations into the open but protecting against the use of subsidiarity to instead obscure relevant values. He accordingly reserves a third “cheer.”</w:t>
      </w:r>
    </w:p>
    <w:p w14:paraId="1D54E9ED" w14:textId="77777777" w:rsidR="00D253D6" w:rsidRDefault="00D253D6" w:rsidP="00DD31E6">
      <w:pPr>
        <w:spacing w:after="0" w:line="360" w:lineRule="auto"/>
      </w:pPr>
    </w:p>
    <w:p w14:paraId="32DCC0F0" w14:textId="2933F893" w:rsidR="00D253D6" w:rsidRDefault="00D253D6" w:rsidP="00DD31E6">
      <w:pPr>
        <w:spacing w:after="0" w:line="360" w:lineRule="auto"/>
      </w:pPr>
      <w:r>
        <w:t xml:space="preserve">Where Follesdal seeks to demonstrate the continued </w:t>
      </w:r>
      <w:r w:rsidR="003A2729">
        <w:t xml:space="preserve">value of </w:t>
      </w:r>
      <w:r w:rsidR="008E1CF4">
        <w:t>subsidiarity for constitutional issues, averring to its discursive value, Michael Da Silva takes a different tack</w:t>
      </w:r>
      <w:r w:rsidR="00F07568">
        <w:t xml:space="preserve"> towards identifying a distinct role for subsidiarity given deflationary accounts of its constitutional value.</w:t>
      </w:r>
      <w:r w:rsidR="008E1CF4">
        <w:t xml:space="preserve"> </w:t>
      </w:r>
      <w:r w:rsidR="00F07568">
        <w:t>Da Silva</w:t>
      </w:r>
      <w:r w:rsidR="00F3406D">
        <w:t xml:space="preserve"> shares worries about the use of subsidiarity language to obscure operative moral interests</w:t>
      </w:r>
      <w:r w:rsidR="001832E6">
        <w:t>. Indeed, he appears to feel them more acutely and accordingly ultimately</w:t>
      </w:r>
      <w:r w:rsidR="00F3406D">
        <w:t xml:space="preserve"> suggests structuring</w:t>
      </w:r>
      <w:r w:rsidR="001832E6">
        <w:t xml:space="preserve"> relevant</w:t>
      </w:r>
      <w:r w:rsidR="00F3406D">
        <w:t xml:space="preserve"> </w:t>
      </w:r>
      <w:r w:rsidR="001832E6">
        <w:t>constitutional</w:t>
      </w:r>
      <w:r w:rsidR="00F3406D">
        <w:t xml:space="preserve"> discourse around the discrete values that may justify subsidiarity, like concerns with democratic influence or the value of ‘local’ knowledge.</w:t>
      </w:r>
      <w:r w:rsidR="008B46D6">
        <w:rPr>
          <w:rStyle w:val="FootnoteReference"/>
        </w:rPr>
        <w:footnoteReference w:id="20"/>
      </w:r>
      <w:r w:rsidR="00F07568">
        <w:t xml:space="preserve"> </w:t>
      </w:r>
      <w:r w:rsidR="001832E6">
        <w:t>He accordingly appears to add to deflationary approaches to subsidiarity.</w:t>
      </w:r>
    </w:p>
    <w:p w14:paraId="00A223E5" w14:textId="77777777" w:rsidR="00F3406D" w:rsidRDefault="00F3406D" w:rsidP="00DD31E6">
      <w:pPr>
        <w:spacing w:after="0" w:line="360" w:lineRule="auto"/>
      </w:pPr>
    </w:p>
    <w:p w14:paraId="35FB0152" w14:textId="0BCC11A3" w:rsidR="00A607C0" w:rsidRDefault="00F3406D" w:rsidP="00DD31E6">
      <w:pPr>
        <w:spacing w:after="0" w:line="360" w:lineRule="auto"/>
      </w:pPr>
      <w:r>
        <w:t>Rather than give up on the concept of subsidiarity, however, Da Silva argues that subsidiarity can play a</w:t>
      </w:r>
      <w:r w:rsidR="001832E6">
        <w:t xml:space="preserve"> non-constitutional </w:t>
      </w:r>
      <w:r>
        <w:t xml:space="preserve">role in political philosophy. </w:t>
      </w:r>
      <w:r w:rsidR="00403E35">
        <w:t>In “</w:t>
      </w:r>
      <w:r w:rsidR="00575854" w:rsidRPr="00575854">
        <w:t>Subsidiarity, States, and Intermediate Groups: Maintaining Subsidiarity's Distinct Contribution to Moral Philosophy</w:t>
      </w:r>
      <w:r w:rsidR="00403E35">
        <w:t xml:space="preserve">,” Da Silva </w:t>
      </w:r>
      <w:r>
        <w:t>argues that</w:t>
      </w:r>
      <w:r w:rsidR="00E46C26">
        <w:t xml:space="preserve"> the concept</w:t>
      </w:r>
      <w:r>
        <w:t xml:space="preserve"> subsidiarity historically served as a principle </w:t>
      </w:r>
      <w:r>
        <w:lastRenderedPageBreak/>
        <w:t xml:space="preserve">for structuring </w:t>
      </w:r>
      <w:r w:rsidR="00185721">
        <w:t xml:space="preserve">the relationships between entities claiming jurisdiction in an area. </w:t>
      </w:r>
      <w:r w:rsidR="00E46C26">
        <w:t>More specifically, it</w:t>
      </w:r>
      <w:r w:rsidR="00185721">
        <w:t xml:space="preserve"> developed to address c</w:t>
      </w:r>
      <w:r w:rsidR="00263ADF">
        <w:t xml:space="preserve">ompeting claims by entities seeking complete control over an area (empire, nation-states, etc.) and other groups who previously maintain distinct domains of authority and continue to claim such authority (churches, unions, guilds, etc.). </w:t>
      </w:r>
      <w:r w:rsidR="00E46C26">
        <w:t>Da Silva</w:t>
      </w:r>
      <w:r w:rsidR="00A03603">
        <w:t xml:space="preserve"> further argues that subsidiarity can still play a distinct non-constitutional role in political discourse if it is understood as a principle for addressing competing comprehensive (most often state) and non-comprehensive authority claims.</w:t>
      </w:r>
      <w:r w:rsidR="00C6684E">
        <w:t xml:space="preserve"> Da Silva too appears to suggest that subsidiarity’s primary value is discursive in nature. </w:t>
      </w:r>
      <w:r w:rsidR="00646C90">
        <w:t xml:space="preserve">But he </w:t>
      </w:r>
      <w:r w:rsidR="00E46C26">
        <w:t xml:space="preserve">also </w:t>
      </w:r>
      <w:r w:rsidR="00646C90">
        <w:t xml:space="preserve">argues that using the same term for </w:t>
      </w:r>
      <w:r w:rsidR="006F5634">
        <w:t>constitutional and non-constitutional debates risks confusion and subsidiarity can only play a distinct role in the non-constitutional ones.</w:t>
      </w:r>
      <w:r w:rsidR="00665B91">
        <w:t xml:space="preserve"> </w:t>
      </w:r>
    </w:p>
    <w:p w14:paraId="608F996A" w14:textId="77777777" w:rsidR="00337FF7" w:rsidRDefault="00337FF7" w:rsidP="00DD31E6">
      <w:pPr>
        <w:spacing w:after="0" w:line="360" w:lineRule="auto"/>
      </w:pPr>
    </w:p>
    <w:p w14:paraId="283BFA9E" w14:textId="03538B66" w:rsidR="0030219B" w:rsidRDefault="00337FF7" w:rsidP="00DD31E6">
      <w:pPr>
        <w:spacing w:after="0" w:line="360" w:lineRule="auto"/>
      </w:pPr>
      <w:r>
        <w:t>In “</w:t>
      </w:r>
      <w:r w:rsidRPr="00337FF7">
        <w:t>Subsidiarity in the Shadow of Sovereignty</w:t>
      </w:r>
      <w:r>
        <w:t xml:space="preserve">”, Loren King </w:t>
      </w:r>
      <w:r w:rsidR="003A3E0C">
        <w:t>takes still another tack, rejecting the utility of subsidiarity as a principle and arguing that it may be more fruitfully understood as “</w:t>
      </w:r>
      <w:r w:rsidR="003A3E0C" w:rsidRPr="003A3E0C">
        <w:t>an essential challenge to the dominant vocabulary of the sovereign territorial state</w:t>
      </w:r>
      <w:r w:rsidR="003A3E0C">
        <w:t xml:space="preserve">.” </w:t>
      </w:r>
      <w:r w:rsidR="00381243" w:rsidRPr="00381243">
        <w:t xml:space="preserve">King illustrates how the development of </w:t>
      </w:r>
      <w:r w:rsidR="00381243">
        <w:t xml:space="preserve">the modern nation-state and the concept of </w:t>
      </w:r>
      <w:r w:rsidR="00381243" w:rsidRPr="00381243">
        <w:t xml:space="preserve">territorial sovereignty limited possibilities for complex, overlapping </w:t>
      </w:r>
      <w:r w:rsidR="00381243" w:rsidRPr="00381243">
        <w:rPr>
          <w:i/>
          <w:iCs/>
        </w:rPr>
        <w:t>sovereignties</w:t>
      </w:r>
      <w:r w:rsidR="00381243">
        <w:t xml:space="preserve"> that existed in prior eras. He then argues that contemporary philosophers’ </w:t>
      </w:r>
      <w:r w:rsidR="001817B3">
        <w:t>(</w:t>
      </w:r>
      <w:r w:rsidR="00381243">
        <w:t>understandable</w:t>
      </w:r>
      <w:r w:rsidR="001817B3">
        <w:t>)</w:t>
      </w:r>
      <w:r w:rsidR="00381243">
        <w:t xml:space="preserve"> desires to offer pragmatic solutions ties them to territorial sovereignty in a way that forecloses potentially promising means of addressing real political issues. Analyses that attempt to address the fact of a world organized into nation-states often</w:t>
      </w:r>
      <w:r w:rsidR="005C13C4">
        <w:t xml:space="preserve"> adopt a rights- and ownership-based lens that favours continued territorial governance over desirable alternatives, like Indigenous governance frameworks, and </w:t>
      </w:r>
      <w:r w:rsidR="001817B3">
        <w:t xml:space="preserve">that </w:t>
      </w:r>
      <w:r w:rsidR="005C13C4">
        <w:t>cannot adequately address seemingly valid claims by non-territorial groups, like the Bedouin. Like Da Silva, King then suggests that subsidiarity could provide a useful tool for challenging state authority.</w:t>
      </w:r>
    </w:p>
    <w:p w14:paraId="46453F65" w14:textId="77777777" w:rsidR="0030219B" w:rsidRDefault="0030219B" w:rsidP="00DD31E6">
      <w:pPr>
        <w:spacing w:after="0" w:line="360" w:lineRule="auto"/>
      </w:pPr>
    </w:p>
    <w:p w14:paraId="7E172EB3" w14:textId="37C02D07" w:rsidR="00381243" w:rsidRPr="00381243" w:rsidRDefault="001817B3" w:rsidP="00DD31E6">
      <w:pPr>
        <w:spacing w:after="0" w:line="360" w:lineRule="auto"/>
      </w:pPr>
      <w:r>
        <w:t>Unlike Da</w:t>
      </w:r>
      <w:r w:rsidR="005C13C4">
        <w:t xml:space="preserve"> Silva, however, King </w:t>
      </w:r>
      <w:r w:rsidR="0030219B">
        <w:t>argue</w:t>
      </w:r>
      <w:r w:rsidR="005C13C4">
        <w:t>s that subsidiarity should not be understood as a principle for allocating authority but as a tool of resistance.</w:t>
      </w:r>
      <w:r>
        <w:rPr>
          <w:rStyle w:val="FootnoteReference"/>
        </w:rPr>
        <w:footnoteReference w:id="21"/>
      </w:r>
      <w:r w:rsidR="005C13C4">
        <w:t xml:space="preserve"> Rather than demarcating protected spheres of jurisdiction, King suggests, subsidiarity is best understood as </w:t>
      </w:r>
      <w:r w:rsidR="005C13C4">
        <w:lastRenderedPageBreak/>
        <w:t xml:space="preserve">providing a useful vocabulary one can use to challenge state claims while “muddling through” real politics. </w:t>
      </w:r>
      <w:r w:rsidR="00060D4B">
        <w:t>Consistent with his general call to attend to real politics, King concludes his article with a brief case</w:t>
      </w:r>
      <w:r w:rsidR="0030219B">
        <w:t xml:space="preserve"> note</w:t>
      </w:r>
      <w:r w:rsidR="00060D4B">
        <w:t>.</w:t>
      </w:r>
      <w:r w:rsidR="007D1664">
        <w:t xml:space="preserve"> </w:t>
      </w:r>
      <w:r w:rsidR="00060D4B">
        <w:t xml:space="preserve">He </w:t>
      </w:r>
      <w:r w:rsidR="005C13C4">
        <w:t xml:space="preserve">discusses the </w:t>
      </w:r>
      <w:r w:rsidR="005C13C4" w:rsidRPr="005C13C4">
        <w:t>North American International Joint Commission</w:t>
      </w:r>
      <w:r w:rsidR="007D1664">
        <w:t xml:space="preserve">, a watershed management </w:t>
      </w:r>
      <w:r>
        <w:t>entity</w:t>
      </w:r>
      <w:r w:rsidR="007D1664">
        <w:t>,</w:t>
      </w:r>
      <w:r w:rsidR="005C13C4">
        <w:t xml:space="preserve"> as an example of a real</w:t>
      </w:r>
      <w:r w:rsidR="0030219B">
        <w:t xml:space="preserve"> </w:t>
      </w:r>
      <w:r w:rsidR="005C13C4">
        <w:t xml:space="preserve">multi-level governance structure whose operations reflect </w:t>
      </w:r>
      <w:r w:rsidR="007D1664">
        <w:t>subsidiarity’s</w:t>
      </w:r>
      <w:r w:rsidR="005C13C4">
        <w:t xml:space="preserve"> critical potential.</w:t>
      </w:r>
      <w:r w:rsidR="00381243">
        <w:t xml:space="preserve"> </w:t>
      </w:r>
    </w:p>
    <w:p w14:paraId="331940EC" w14:textId="77777777" w:rsidR="00381243" w:rsidRDefault="00381243" w:rsidP="00DD31E6">
      <w:pPr>
        <w:spacing w:after="0" w:line="360" w:lineRule="auto"/>
      </w:pPr>
    </w:p>
    <w:p w14:paraId="474D7167" w14:textId="17FB33E9" w:rsidR="00F3406D" w:rsidRDefault="003A3E0C" w:rsidP="00DD31E6">
      <w:pPr>
        <w:spacing w:after="0" w:line="360" w:lineRule="auto"/>
      </w:pPr>
      <w:r>
        <w:t xml:space="preserve">Interestingly, </w:t>
      </w:r>
      <w:r w:rsidR="00337FF7">
        <w:t xml:space="preserve">Follesdal, Da Silva, and King appear to differ not only in how they would reorient subsidiarity but also in the normative phenomena that they view as key to any explanatorily adequate theory of subsidiarity. </w:t>
      </w:r>
      <w:r w:rsidR="00A607C0">
        <w:t>Da Silva emphasizes his approach</w:t>
      </w:r>
      <w:r w:rsidR="00D12C4E">
        <w:t>’</w:t>
      </w:r>
      <w:r w:rsidR="00A607C0">
        <w:t>s claimed continuity with</w:t>
      </w:r>
      <w:r w:rsidR="00665B91">
        <w:t xml:space="preserve"> historical uses</w:t>
      </w:r>
      <w:r w:rsidR="00A607C0">
        <w:t xml:space="preserve"> of the term ‘subsidiarity</w:t>
      </w:r>
      <w:r w:rsidR="00D12C4E">
        <w:t>’,</w:t>
      </w:r>
      <w:r w:rsidR="00A607C0">
        <w:t xml:space="preserve"> but his argument</w:t>
      </w:r>
      <w:r w:rsidR="00BF4F84">
        <w:t xml:space="preserve">s </w:t>
      </w:r>
      <w:r w:rsidR="00A607C0">
        <w:t xml:space="preserve">suggest </w:t>
      </w:r>
      <w:r w:rsidR="00BF4F84">
        <w:t xml:space="preserve">that uses in </w:t>
      </w:r>
      <w:r w:rsidR="00A607C0">
        <w:t xml:space="preserve">the </w:t>
      </w:r>
      <w:r w:rsidR="00BF4F84">
        <w:t xml:space="preserve">European Union law </w:t>
      </w:r>
      <w:r w:rsidR="00A607C0">
        <w:t xml:space="preserve">that are central to Follesdal’s account </w:t>
      </w:r>
      <w:r w:rsidR="00BF4F84">
        <w:t>often err. Insofar as one views European Union law as a paradigmatic site of subsidiarity practices</w:t>
      </w:r>
      <w:r w:rsidR="00373AD0">
        <w:t xml:space="preserve"> </w:t>
      </w:r>
      <w:r w:rsidR="00535A83">
        <w:t>–</w:t>
      </w:r>
      <w:r w:rsidR="00373AD0">
        <w:t xml:space="preserve"> </w:t>
      </w:r>
      <w:r w:rsidR="00535A83">
        <w:t xml:space="preserve">casting further doubt on Wolthuis’s conclusions – </w:t>
      </w:r>
      <w:r w:rsidR="00BF4F84">
        <w:t xml:space="preserve">one may find this result problematic. Follesdal and Da Silva appear not only to differ in their response to deflationary challenges, but also in their approach to which normative phenomena </w:t>
      </w:r>
      <w:r w:rsidR="00A607C0">
        <w:t xml:space="preserve">are most important for an account of subsidiarity. </w:t>
      </w:r>
      <w:r w:rsidR="00337FF7">
        <w:t xml:space="preserve">King </w:t>
      </w:r>
      <w:r w:rsidR="0030219B">
        <w:t xml:space="preserve">then </w:t>
      </w:r>
      <w:r w:rsidR="00337FF7">
        <w:t>takes a more ecumenical approach</w:t>
      </w:r>
      <w:r>
        <w:t>. King</w:t>
      </w:r>
      <w:r w:rsidR="00337FF7">
        <w:t xml:space="preserve"> not</w:t>
      </w:r>
      <w:r>
        <w:t>es</w:t>
      </w:r>
      <w:r w:rsidR="00337FF7">
        <w:t xml:space="preserve"> that the concept has a clear pedigree in Catholic thought and </w:t>
      </w:r>
      <w:r>
        <w:t xml:space="preserve">is widely invoked in European Union law. But he chooses not to directly engage in any historical disputes, instead using a series of vignettes to illustrate how subsidiarity has operated and how it may continue to do so. </w:t>
      </w:r>
      <w:r w:rsidR="005C13C4">
        <w:t xml:space="preserve">King seeks to recover lost ways of understanding sovereignty to address contemporary governance problems without taking a stand on which uses of subsidiarity are foundational. </w:t>
      </w:r>
      <w:r>
        <w:t xml:space="preserve">We take no </w:t>
      </w:r>
      <w:r w:rsidR="001817B3">
        <w:t>position</w:t>
      </w:r>
      <w:r>
        <w:t xml:space="preserve"> on which of the</w:t>
      </w:r>
      <w:r w:rsidR="001817B3">
        <w:t xml:space="preserve">ir </w:t>
      </w:r>
      <w:r>
        <w:t xml:space="preserve">approaches is best here, or even on whether any single </w:t>
      </w:r>
      <w:r w:rsidR="001817B3">
        <w:t>approach</w:t>
      </w:r>
      <w:r>
        <w:t xml:space="preserve"> is appropriate for all theor</w:t>
      </w:r>
      <w:r w:rsidR="001817B3">
        <w:t>etical tasks</w:t>
      </w:r>
      <w:r>
        <w:t>. We instead highlight these differences because they</w:t>
      </w:r>
      <w:r w:rsidR="00A607C0">
        <w:t xml:space="preserve"> further underline the methodological challenges – and options – </w:t>
      </w:r>
      <w:r w:rsidR="00535A83">
        <w:t>for</w:t>
      </w:r>
      <w:r w:rsidR="00A607C0">
        <w:t xml:space="preserve"> </w:t>
      </w:r>
      <w:r w:rsidR="00535A83">
        <w:t>subsidiarity theories.</w:t>
      </w:r>
    </w:p>
    <w:p w14:paraId="7DF8A093" w14:textId="77777777" w:rsidR="00337FF7" w:rsidRDefault="00337FF7" w:rsidP="00DD31E6">
      <w:pPr>
        <w:spacing w:after="0" w:line="360" w:lineRule="auto"/>
      </w:pPr>
    </w:p>
    <w:p w14:paraId="2C9BF62B" w14:textId="1F209CDA" w:rsidR="009A1D3C" w:rsidRPr="00EE5B4D" w:rsidRDefault="0030219B" w:rsidP="00DD31E6">
      <w:pPr>
        <w:spacing w:after="0" w:line="360" w:lineRule="auto"/>
        <w:rPr>
          <w:lang w:val="en-US"/>
        </w:rPr>
      </w:pPr>
      <w:r>
        <w:t xml:space="preserve">Finally, </w:t>
      </w:r>
      <w:r w:rsidR="00671BD1">
        <w:t>Pablo Ortuzar</w:t>
      </w:r>
      <w:r w:rsidR="006A59B6">
        <w:t>’s “</w:t>
      </w:r>
      <w:r w:rsidR="006A59B6" w:rsidRPr="006A59B6">
        <w:t xml:space="preserve">On the Jewish </w:t>
      </w:r>
      <w:r w:rsidR="006A59B6">
        <w:t>R</w:t>
      </w:r>
      <w:r w:rsidR="006A59B6" w:rsidRPr="006A59B6">
        <w:t xml:space="preserve">oots of </w:t>
      </w:r>
      <w:r w:rsidR="006A59B6">
        <w:t>S</w:t>
      </w:r>
      <w:r w:rsidR="006A59B6" w:rsidRPr="006A59B6">
        <w:t xml:space="preserve">ubsidiarity and </w:t>
      </w:r>
      <w:r w:rsidR="006A59B6">
        <w:t>I</w:t>
      </w:r>
      <w:r w:rsidR="006A59B6" w:rsidRPr="006A59B6">
        <w:t xml:space="preserve">ts </w:t>
      </w:r>
      <w:r w:rsidR="006A59B6">
        <w:t>C</w:t>
      </w:r>
      <w:r w:rsidR="006A59B6" w:rsidRPr="006A59B6">
        <w:t xml:space="preserve">onsequences for </w:t>
      </w:r>
      <w:r w:rsidR="006A59B6">
        <w:t>M</w:t>
      </w:r>
      <w:r w:rsidR="006A59B6" w:rsidRPr="006A59B6">
        <w:t xml:space="preserve">odern </w:t>
      </w:r>
      <w:r w:rsidR="006A59B6">
        <w:t>P</w:t>
      </w:r>
      <w:r w:rsidR="006A59B6" w:rsidRPr="006A59B6">
        <w:t xml:space="preserve">olitical </w:t>
      </w:r>
      <w:r w:rsidR="006A59B6">
        <w:t>T</w:t>
      </w:r>
      <w:r w:rsidR="006A59B6" w:rsidRPr="006A59B6">
        <w:t>heory</w:t>
      </w:r>
      <w:r w:rsidR="006A59B6">
        <w:t xml:space="preserve">” further extends the history of the concept, </w:t>
      </w:r>
      <w:r>
        <w:t>potentiall</w:t>
      </w:r>
      <w:r w:rsidR="006A59B6">
        <w:t xml:space="preserve">y providing additional data that any theory of subsidiarity seeking to account for its uses should incorporate. </w:t>
      </w:r>
      <w:r w:rsidR="009735A9">
        <w:t xml:space="preserve">Contrary to dominant interpretations suggesting that subsidiarity originated in </w:t>
      </w:r>
      <w:r w:rsidR="009735A9">
        <w:lastRenderedPageBreak/>
        <w:t xml:space="preserve">Ancient Greek or Medieval European thought (or, one might add, later Catholic Social Thought), Ortuzar argues that the concept originated in </w:t>
      </w:r>
      <w:r w:rsidR="0082493E">
        <w:t xml:space="preserve">Second Temple Judaism. He argues that it developed to address challenged raised by the </w:t>
      </w:r>
      <w:r w:rsidR="007252CA">
        <w:t xml:space="preserve">simultaneous recognition of the Jewish peoples’ complete religious authority and </w:t>
      </w:r>
      <w:r w:rsidR="00E452AD">
        <w:t>the Empire’s complete political authority.</w:t>
      </w:r>
      <w:r w:rsidR="00F51E41">
        <w:t xml:space="preserve"> This may be thought to support Da Silva’s claim that the principle, properly understood, also seeks to mediate conflicting claims.</w:t>
      </w:r>
      <w:r w:rsidR="00337FF7">
        <w:t xml:space="preserve"> </w:t>
      </w:r>
      <w:r w:rsidR="009A1D3C">
        <w:rPr>
          <w:lang w:val="en-US"/>
        </w:rPr>
        <w:t>Yet Ortuzar argues that attending to relevant history demonstrates subsidiarity’s commitments to the primacy of religious institutions. This makes it at best difficult – if not, as Ortuzar claims, impossible – to understand subsidiarity outside a Judeo-Christian ontology, as Follesdal, Da Silva, and others desire.</w:t>
      </w:r>
      <w:r w:rsidR="009A1D3C">
        <w:rPr>
          <w:rStyle w:val="FootnoteReference"/>
          <w:lang w:val="en-US"/>
        </w:rPr>
        <w:footnoteReference w:id="22"/>
      </w:r>
      <w:r w:rsidR="009A1D3C">
        <w:rPr>
          <w:lang w:val="en-US"/>
        </w:rPr>
        <w:t xml:space="preserve"> Ortuzar leaves open the possibility that subsidiarity could be applied in secular contexts. But he suggests most modern applications fail to learn key lessons in the concept’s history.</w:t>
      </w:r>
    </w:p>
    <w:p w14:paraId="3DCA50DF" w14:textId="763F8FE8" w:rsidR="00671BD1" w:rsidRDefault="00671BD1" w:rsidP="00DD31E6">
      <w:pPr>
        <w:spacing w:after="0" w:line="360" w:lineRule="auto"/>
      </w:pPr>
    </w:p>
    <w:p w14:paraId="3A3D6D78" w14:textId="277C8E01" w:rsidR="00EE5B4D" w:rsidRPr="00EE5B4D" w:rsidRDefault="004C0A5C" w:rsidP="00DD31E6">
      <w:pPr>
        <w:spacing w:after="0" w:line="360" w:lineRule="auto"/>
      </w:pPr>
      <w:r>
        <w:rPr>
          <w:lang w:val="en-US"/>
        </w:rPr>
        <w:t xml:space="preserve">The articles </w:t>
      </w:r>
      <w:r w:rsidR="00EF4DF7">
        <w:rPr>
          <w:lang w:val="en-US"/>
        </w:rPr>
        <w:t xml:space="preserve">collected here </w:t>
      </w:r>
      <w:r w:rsidR="00570AE2">
        <w:rPr>
          <w:lang w:val="en-US"/>
        </w:rPr>
        <w:t xml:space="preserve">do not agree </w:t>
      </w:r>
      <w:r>
        <w:rPr>
          <w:lang w:val="en-US"/>
        </w:rPr>
        <w:t xml:space="preserve">on </w:t>
      </w:r>
      <w:r w:rsidR="00570AE2">
        <w:rPr>
          <w:lang w:val="en-US"/>
        </w:rPr>
        <w:t xml:space="preserve">the ‘true’ meaning of subsidiarity, the ‘core’ purpose(s) subsidiarity should serve, or whether subsidiarity </w:t>
      </w:r>
      <w:r w:rsidR="008528E1">
        <w:rPr>
          <w:lang w:val="en-US"/>
        </w:rPr>
        <w:t>can play its intended moral roles. One may accordingly worry that this collection only underlines the</w:t>
      </w:r>
      <w:r w:rsidR="003666CD">
        <w:rPr>
          <w:lang w:val="en-US"/>
        </w:rPr>
        <w:t xml:space="preserve"> necessary</w:t>
      </w:r>
      <w:r w:rsidR="008528E1">
        <w:rPr>
          <w:lang w:val="en-US"/>
        </w:rPr>
        <w:t xml:space="preserve"> </w:t>
      </w:r>
      <w:r w:rsidR="003666CD">
        <w:rPr>
          <w:lang w:val="en-US"/>
        </w:rPr>
        <w:t xml:space="preserve">ambiguity or fragmentation of the concept. Yet even if the concept is irremediably ambiguous or fragmented, </w:t>
      </w:r>
      <w:r w:rsidR="00AE00DE">
        <w:rPr>
          <w:lang w:val="en-US"/>
        </w:rPr>
        <w:t>th</w:t>
      </w:r>
      <w:r w:rsidR="0030219B">
        <w:rPr>
          <w:lang w:val="en-US"/>
        </w:rPr>
        <w:t>is</w:t>
      </w:r>
      <w:r w:rsidR="00AE00DE">
        <w:rPr>
          <w:lang w:val="en-US"/>
        </w:rPr>
        <w:t xml:space="preserve"> collection of articles highlight</w:t>
      </w:r>
      <w:r w:rsidR="0030219B">
        <w:rPr>
          <w:lang w:val="en-US"/>
        </w:rPr>
        <w:t>s</w:t>
      </w:r>
      <w:r w:rsidR="00AE00DE">
        <w:rPr>
          <w:lang w:val="en-US"/>
        </w:rPr>
        <w:t xml:space="preserve"> the multiplicity of possible responses to such ambiguity or fragmentation. One could simply seek using the concept</w:t>
      </w:r>
      <w:r w:rsidR="0030219B">
        <w:rPr>
          <w:lang w:val="en-US"/>
        </w:rPr>
        <w:t xml:space="preserve"> of subsidiarity</w:t>
      </w:r>
      <w:r w:rsidR="00AE00DE">
        <w:rPr>
          <w:lang w:val="en-US"/>
        </w:rPr>
        <w:t xml:space="preserve">. But one could just as easily seek to prioritize a particular conception, develop a new one, or </w:t>
      </w:r>
      <w:r w:rsidR="00B637EA">
        <w:rPr>
          <w:lang w:val="en-US"/>
        </w:rPr>
        <w:t xml:space="preserve">restrict use of the term for particular contexts. Moreover, the collection of articles also offers reason to be </w:t>
      </w:r>
      <w:r w:rsidR="00BF1E45">
        <w:rPr>
          <w:lang w:val="en-US"/>
        </w:rPr>
        <w:t>skeptical about simple claims that subsidiarity can be easily jettisoned from our moral ontology. While the articles offer multiple reasons to question whether and when subsidiarity is fit for particular purposes, they further demonstrate ways in which it has ad</w:t>
      </w:r>
      <w:r w:rsidR="00B5122E">
        <w:rPr>
          <w:lang w:val="en-US"/>
        </w:rPr>
        <w:t>dressed real political problems. We leave it to the reader to determine whether they thereby make a compelling case for continued use of subsidiarity – and, if so, which version of subsidiarity is most apt. Yet the articles also offer insights into how to judge competing conceptions</w:t>
      </w:r>
      <w:r w:rsidR="00EF4DF7">
        <w:rPr>
          <w:lang w:val="en-US"/>
        </w:rPr>
        <w:t xml:space="preserve"> and the methodological choices one </w:t>
      </w:r>
      <w:r w:rsidR="00EF4DF7">
        <w:rPr>
          <w:lang w:val="en-US"/>
        </w:rPr>
        <w:lastRenderedPageBreak/>
        <w:t>must make when making such judgments</w:t>
      </w:r>
      <w:r w:rsidR="00B5122E">
        <w:rPr>
          <w:lang w:val="en-US"/>
        </w:rPr>
        <w:t>.</w:t>
      </w:r>
      <w:r w:rsidR="00EF4DF7">
        <w:rPr>
          <w:lang w:val="en-US"/>
        </w:rPr>
        <w:t xml:space="preserve"> Even if the articles leave more questions open than they answer, then, they should help further political, legal, and philosophical debates.</w:t>
      </w:r>
      <w:r w:rsidR="00B5122E">
        <w:rPr>
          <w:lang w:val="en-US"/>
        </w:rPr>
        <w:t xml:space="preserve"> </w:t>
      </w:r>
    </w:p>
    <w:p w14:paraId="72248A10" w14:textId="7FEDE6DE" w:rsidR="00D307C4" w:rsidRDefault="00D307C4" w:rsidP="00DD31E6">
      <w:pPr>
        <w:spacing w:after="0" w:line="360" w:lineRule="auto"/>
      </w:pPr>
    </w:p>
    <w:p w14:paraId="68DDD228" w14:textId="2A0E0218" w:rsidR="00EE5B4D" w:rsidRDefault="00EE5B4D" w:rsidP="00DD31E6">
      <w:pPr>
        <w:spacing w:after="0" w:line="360" w:lineRule="auto"/>
      </w:pPr>
      <w:r w:rsidRPr="00EE5B4D">
        <w:rPr>
          <w:lang w:val="en-US"/>
        </w:rPr>
        <w:t xml:space="preserve">Most </w:t>
      </w:r>
      <w:r>
        <w:rPr>
          <w:lang w:val="en-US"/>
        </w:rPr>
        <w:t xml:space="preserve">of the papers </w:t>
      </w:r>
      <w:r w:rsidRPr="00EE5B4D">
        <w:rPr>
          <w:lang w:val="en-US"/>
        </w:rPr>
        <w:t xml:space="preserve">derive from drafts </w:t>
      </w:r>
      <w:r w:rsidR="0049517D">
        <w:rPr>
          <w:lang w:val="en-US"/>
        </w:rPr>
        <w:t xml:space="preserve">at </w:t>
      </w:r>
      <w:r w:rsidRPr="00EE5B4D">
        <w:rPr>
          <w:lang w:val="en-US"/>
        </w:rPr>
        <w:t xml:space="preserve">a MANCEPT Workshop on Political Theory </w:t>
      </w:r>
      <w:r w:rsidR="00E95853">
        <w:rPr>
          <w:lang w:val="en-US"/>
        </w:rPr>
        <w:t xml:space="preserve">that </w:t>
      </w:r>
      <w:r w:rsidRPr="00EE5B4D">
        <w:rPr>
          <w:lang w:val="en-US"/>
        </w:rPr>
        <w:t>we co-convened</w:t>
      </w:r>
      <w:r>
        <w:rPr>
          <w:lang w:val="en-US"/>
        </w:rPr>
        <w:t>,</w:t>
      </w:r>
      <w:r w:rsidRPr="00EE5B4D">
        <w:rPr>
          <w:lang w:val="en-US"/>
        </w:rPr>
        <w:t xml:space="preserve"> “After Subsidiarity?”</w:t>
      </w:r>
      <w:r>
        <w:rPr>
          <w:lang w:val="en-US"/>
        </w:rPr>
        <w:t>,</w:t>
      </w:r>
      <w:r w:rsidRPr="00EE5B4D">
        <w:rPr>
          <w:lang w:val="en-US"/>
        </w:rPr>
        <w:t xml:space="preserve"> which sought to address what to do </w:t>
      </w:r>
      <w:r w:rsidR="0049517D">
        <w:rPr>
          <w:lang w:val="en-US"/>
        </w:rPr>
        <w:t xml:space="preserve">in response to the </w:t>
      </w:r>
      <w:r w:rsidRPr="00EE5B4D">
        <w:rPr>
          <w:lang w:val="en-US"/>
        </w:rPr>
        <w:t>purported deflationary critiques of subsidiarity</w:t>
      </w:r>
      <w:r w:rsidR="0049517D">
        <w:rPr>
          <w:lang w:val="en-US"/>
        </w:rPr>
        <w:t xml:space="preserve"> outlined above</w:t>
      </w:r>
      <w:r w:rsidRPr="00EE5B4D">
        <w:rPr>
          <w:lang w:val="en-US"/>
        </w:rPr>
        <w:t>. Neither the workshop nor th</w:t>
      </w:r>
      <w:r>
        <w:rPr>
          <w:lang w:val="en-US"/>
        </w:rPr>
        <w:t>is</w:t>
      </w:r>
      <w:r w:rsidRPr="00EE5B4D">
        <w:rPr>
          <w:lang w:val="en-US"/>
        </w:rPr>
        <w:t xml:space="preserve"> issue resolve questions </w:t>
      </w:r>
      <w:r w:rsidR="0049517D">
        <w:rPr>
          <w:lang w:val="en-US"/>
        </w:rPr>
        <w:t>about</w:t>
      </w:r>
      <w:r w:rsidRPr="00EE5B4D">
        <w:rPr>
          <w:lang w:val="en-US"/>
        </w:rPr>
        <w:t xml:space="preserve"> whether subsidiarity has been “deflated” in the sense of being shown to offer no plausible</w:t>
      </w:r>
      <w:r w:rsidR="0049517D">
        <w:rPr>
          <w:lang w:val="en-US"/>
        </w:rPr>
        <w:t>,</w:t>
      </w:r>
      <w:r w:rsidRPr="00EE5B4D">
        <w:rPr>
          <w:lang w:val="en-US"/>
        </w:rPr>
        <w:t xml:space="preserve"> distinct guidance for the debates in which it is invoked </w:t>
      </w:r>
      <w:r w:rsidR="00D142D8">
        <w:rPr>
          <w:lang w:val="en-US"/>
        </w:rPr>
        <w:t xml:space="preserve">and </w:t>
      </w:r>
      <w:r w:rsidRPr="00EE5B4D">
        <w:rPr>
          <w:lang w:val="en-US"/>
        </w:rPr>
        <w:t xml:space="preserve">what </w:t>
      </w:r>
      <w:r w:rsidR="0049517D">
        <w:rPr>
          <w:lang w:val="en-US"/>
        </w:rPr>
        <w:t>to do</w:t>
      </w:r>
      <w:r w:rsidRPr="00EE5B4D">
        <w:rPr>
          <w:lang w:val="en-US"/>
        </w:rPr>
        <w:t xml:space="preserve"> if</w:t>
      </w:r>
      <w:r w:rsidR="00D142D8">
        <w:rPr>
          <w:lang w:val="en-US"/>
        </w:rPr>
        <w:t xml:space="preserve"> and </w:t>
      </w:r>
      <w:r w:rsidR="0049517D">
        <w:rPr>
          <w:lang w:val="en-US"/>
        </w:rPr>
        <w:t>when</w:t>
      </w:r>
      <w:r w:rsidRPr="00EE5B4D">
        <w:rPr>
          <w:lang w:val="en-US"/>
        </w:rPr>
        <w:t xml:space="preserve"> such deflation occurred. </w:t>
      </w:r>
      <w:r w:rsidR="0049517D">
        <w:rPr>
          <w:lang w:val="en-US"/>
        </w:rPr>
        <w:t xml:space="preserve">However, </w:t>
      </w:r>
      <w:r w:rsidRPr="00EE5B4D">
        <w:rPr>
          <w:lang w:val="en-US"/>
        </w:rPr>
        <w:t>they provide necessary conceptual clarity and strong arguments for different responses.</w:t>
      </w:r>
      <w:r>
        <w:rPr>
          <w:lang w:val="en-US"/>
        </w:rPr>
        <w:t xml:space="preserve"> </w:t>
      </w:r>
      <w:r w:rsidR="00942A09">
        <w:rPr>
          <w:lang w:val="en-US"/>
        </w:rPr>
        <w:t xml:space="preserve">They may </w:t>
      </w:r>
      <w:r>
        <w:rPr>
          <w:lang w:val="en-US"/>
        </w:rPr>
        <w:t>also offer</w:t>
      </w:r>
      <w:r w:rsidR="0049517D">
        <w:rPr>
          <w:lang w:val="en-US"/>
        </w:rPr>
        <w:t xml:space="preserve"> some</w:t>
      </w:r>
      <w:r>
        <w:rPr>
          <w:lang w:val="en-US"/>
        </w:rPr>
        <w:t xml:space="preserve"> insight into how to treat comparable concepts, like </w:t>
      </w:r>
      <w:r w:rsidR="00942A09">
        <w:rPr>
          <w:lang w:val="en-US"/>
        </w:rPr>
        <w:t xml:space="preserve">rights or </w:t>
      </w:r>
      <w:r>
        <w:rPr>
          <w:lang w:val="en-US"/>
        </w:rPr>
        <w:t>dignity. But if the</w:t>
      </w:r>
      <w:r w:rsidR="0049517D">
        <w:rPr>
          <w:lang w:val="en-US"/>
        </w:rPr>
        <w:t>y merely clarify what subsidiarity should aim to do and the strengths and weaknesses of different attempts to match conceptions with functions, they can further many live debates.</w:t>
      </w:r>
      <w:r w:rsidR="00A12F19">
        <w:rPr>
          <w:lang w:val="en-US"/>
        </w:rPr>
        <w:t xml:space="preserve"> </w:t>
      </w:r>
      <w:r w:rsidR="006B0D50">
        <w:rPr>
          <w:lang w:val="en-US"/>
        </w:rPr>
        <w:t>D</w:t>
      </w:r>
      <w:r w:rsidR="00A12F19">
        <w:rPr>
          <w:lang w:val="en-US"/>
        </w:rPr>
        <w:t xml:space="preserve">ifferent interventions in those debates </w:t>
      </w:r>
      <w:r w:rsidR="001E0A6B">
        <w:rPr>
          <w:lang w:val="en-US"/>
        </w:rPr>
        <w:t>will</w:t>
      </w:r>
      <w:r w:rsidR="006B0D50">
        <w:rPr>
          <w:lang w:val="en-US"/>
        </w:rPr>
        <w:t>, again,</w:t>
      </w:r>
      <w:r w:rsidR="001E0A6B">
        <w:rPr>
          <w:lang w:val="en-US"/>
        </w:rPr>
        <w:t xml:space="preserve"> then invite us to reconsider how we address other concepts. If, for example, we hold that </w:t>
      </w:r>
      <w:r w:rsidR="00B65839">
        <w:rPr>
          <w:lang w:val="en-US"/>
        </w:rPr>
        <w:t xml:space="preserve">we should judge </w:t>
      </w:r>
      <w:r w:rsidR="006B0D50">
        <w:rPr>
          <w:lang w:val="en-US"/>
        </w:rPr>
        <w:t>accounts</w:t>
      </w:r>
      <w:r w:rsidR="00B65839">
        <w:rPr>
          <w:lang w:val="en-US"/>
        </w:rPr>
        <w:t xml:space="preserve"> of subsidiarity in terms of </w:t>
      </w:r>
      <w:r w:rsidR="006B0D50">
        <w:rPr>
          <w:lang w:val="en-US"/>
        </w:rPr>
        <w:t>particular</w:t>
      </w:r>
      <w:r w:rsidR="00B65839">
        <w:rPr>
          <w:lang w:val="en-US"/>
        </w:rPr>
        <w:t xml:space="preserve"> historical purposes, we s</w:t>
      </w:r>
      <w:r w:rsidR="006B0D50">
        <w:rPr>
          <w:lang w:val="en-US"/>
        </w:rPr>
        <w:t>hould also examine whether and why such a(n at least quasi-)genealogical approach is appropriate for other concepts.</w:t>
      </w:r>
      <w:r w:rsidR="001A4E81">
        <w:rPr>
          <w:lang w:val="en-US"/>
        </w:rPr>
        <w:t xml:space="preserve"> These substantive and methodological insights should serve to justify the present volume.</w:t>
      </w:r>
    </w:p>
    <w:p w14:paraId="06625ABD" w14:textId="77777777" w:rsidR="00EE5B4D" w:rsidRPr="00EE5B4D" w:rsidRDefault="00EE5B4D" w:rsidP="00DD31E6">
      <w:pPr>
        <w:spacing w:after="0" w:line="360" w:lineRule="auto"/>
      </w:pPr>
    </w:p>
    <w:p w14:paraId="65D36C35" w14:textId="7FD63D06" w:rsidR="00D307C4" w:rsidRPr="00D307C4" w:rsidRDefault="00EE5B4D" w:rsidP="00DD31E6">
      <w:pPr>
        <w:spacing w:after="0" w:line="360" w:lineRule="auto"/>
      </w:pPr>
      <w:r w:rsidRPr="00EE5B4D">
        <w:t xml:space="preserve">We </w:t>
      </w:r>
      <w:r>
        <w:t xml:space="preserve">sincerely </w:t>
      </w:r>
      <w:r w:rsidRPr="00EE5B4D">
        <w:t>thank Carol Gould, Georgina Malone, and the other editors and staff at the Journal of Social Philosophy (including Lava Schadde and Maya von Ziegesar) and the organizers of the MANCEPT Workshops on Political Theory for their support for the project.</w:t>
      </w:r>
      <w:r>
        <w:t xml:space="preserve"> </w:t>
      </w:r>
      <w:r w:rsidR="0030219B">
        <w:t>We</w:t>
      </w:r>
      <w:r w:rsidR="00777B09">
        <w:t xml:space="preserve"> further thank </w:t>
      </w:r>
      <w:r w:rsidR="00CC0FAF">
        <w:t>others</w:t>
      </w:r>
      <w:r w:rsidR="00777B09">
        <w:t xml:space="preserve"> involved in the MANCEPT Workshop, </w:t>
      </w:r>
      <w:r w:rsidR="00CC0FAF">
        <w:t>including</w:t>
      </w:r>
      <w:r w:rsidR="00777B09">
        <w:t xml:space="preserve"> Maria Cahill, and the many peer reviewers for the </w:t>
      </w:r>
      <w:r w:rsidR="00CC0FAF">
        <w:t xml:space="preserve">following papers for their participation in the project. </w:t>
      </w:r>
      <w:r>
        <w:t>We hope that you enjoying reading the special issue as much as we have enjoyed editing it.</w:t>
      </w:r>
    </w:p>
    <w:p w14:paraId="50719C5E" w14:textId="77777777" w:rsidR="001F0F36" w:rsidRDefault="001F0F36" w:rsidP="00764641">
      <w:pPr>
        <w:spacing w:after="0" w:line="240" w:lineRule="auto"/>
        <w:rPr>
          <w:u w:val="single"/>
        </w:rPr>
      </w:pPr>
    </w:p>
    <w:p w14:paraId="561E3BC5" w14:textId="3DADD282" w:rsidR="00764641" w:rsidRPr="001F0F36" w:rsidRDefault="001F0F36" w:rsidP="00764641">
      <w:pPr>
        <w:spacing w:after="0" w:line="240" w:lineRule="auto"/>
        <w:rPr>
          <w:u w:val="single"/>
        </w:rPr>
      </w:pPr>
      <w:r w:rsidRPr="001F0F36">
        <w:rPr>
          <w:u w:val="single"/>
        </w:rPr>
        <w:t>Bibliography</w:t>
      </w:r>
    </w:p>
    <w:p w14:paraId="7DD05DDD" w14:textId="77777777" w:rsidR="001F0F36" w:rsidRDefault="001F0F36" w:rsidP="00764641">
      <w:pPr>
        <w:spacing w:after="0" w:line="240" w:lineRule="auto"/>
      </w:pPr>
    </w:p>
    <w:p w14:paraId="025C4987" w14:textId="77777777" w:rsidR="00EF3B5D" w:rsidRDefault="00EF3B5D" w:rsidP="00D45F5B">
      <w:pPr>
        <w:spacing w:after="0" w:line="240" w:lineRule="auto"/>
      </w:pPr>
      <w:r w:rsidRPr="00EF3B5D">
        <w:t>Allard-Tremblay, Y. 2017. “Divide and Rule Better: On Subsidiarity, Legitimacy and the Epistemic Aim of Political Decision-Making.” </w:t>
      </w:r>
      <w:r w:rsidRPr="00EF3B5D">
        <w:rPr>
          <w:i/>
          <w:iCs/>
        </w:rPr>
        <w:t>Journal of Applied Philosophy</w:t>
      </w:r>
      <w:r w:rsidRPr="00EF3B5D">
        <w:t> </w:t>
      </w:r>
      <w:r w:rsidRPr="00EF3B5D">
        <w:rPr>
          <w:b/>
          <w:bCs/>
        </w:rPr>
        <w:t>34</w:t>
      </w:r>
      <w:r w:rsidRPr="00EF3B5D">
        <w:t>, no. 5: 696–710.</w:t>
      </w:r>
    </w:p>
    <w:p w14:paraId="4E63745E" w14:textId="77777777" w:rsidR="00EF3B5D" w:rsidRDefault="00EF3B5D" w:rsidP="00D45F5B">
      <w:pPr>
        <w:spacing w:after="0" w:line="240" w:lineRule="auto"/>
      </w:pPr>
    </w:p>
    <w:p w14:paraId="3C7E72D2" w14:textId="2478BD64" w:rsidR="00684A6A" w:rsidRDefault="00684A6A" w:rsidP="00D45F5B">
      <w:pPr>
        <w:spacing w:after="0" w:line="240" w:lineRule="auto"/>
      </w:pPr>
      <w:r w:rsidRPr="00684A6A">
        <w:t>Barber, N. W. 2018. </w:t>
      </w:r>
      <w:r w:rsidRPr="00684A6A">
        <w:rPr>
          <w:i/>
          <w:iCs/>
        </w:rPr>
        <w:t>The Principles of Constitutionalism</w:t>
      </w:r>
      <w:r w:rsidRPr="00684A6A">
        <w:t>. Oxford UP.</w:t>
      </w:r>
    </w:p>
    <w:p w14:paraId="75505517" w14:textId="77777777" w:rsidR="00684A6A" w:rsidRDefault="00684A6A" w:rsidP="00D45F5B">
      <w:pPr>
        <w:spacing w:after="0" w:line="240" w:lineRule="auto"/>
      </w:pPr>
    </w:p>
    <w:p w14:paraId="1A61A8E3" w14:textId="58973BF8" w:rsidR="00272D0C" w:rsidRPr="00272D0C" w:rsidRDefault="00272D0C" w:rsidP="00D45F5B">
      <w:pPr>
        <w:spacing w:after="0" w:line="240" w:lineRule="auto"/>
      </w:pPr>
      <w:r>
        <w:t xml:space="preserve">Burbidge, D. 2017. “The Inherently Political Nature of Subsidiarity.” </w:t>
      </w:r>
      <w:r>
        <w:rPr>
          <w:i/>
          <w:iCs/>
        </w:rPr>
        <w:t xml:space="preserve">American Journal of Jurisprudence </w:t>
      </w:r>
      <w:r>
        <w:rPr>
          <w:b/>
          <w:bCs/>
        </w:rPr>
        <w:t>62</w:t>
      </w:r>
      <w:r>
        <w:t>, no. 2: 143-164.</w:t>
      </w:r>
    </w:p>
    <w:p w14:paraId="11F9F2DF" w14:textId="77777777" w:rsidR="00272D0C" w:rsidRDefault="00272D0C" w:rsidP="00D45F5B">
      <w:pPr>
        <w:spacing w:after="0" w:line="240" w:lineRule="auto"/>
      </w:pPr>
    </w:p>
    <w:p w14:paraId="2D7FF0CE" w14:textId="1C28E022" w:rsidR="001F0F36" w:rsidRDefault="00EF3B5D" w:rsidP="00D45F5B">
      <w:pPr>
        <w:spacing w:after="0" w:line="240" w:lineRule="auto"/>
      </w:pPr>
      <w:r w:rsidRPr="00EF3B5D">
        <w:t>Cahill, M. 2017. “Theorizing Subsidiarity: Towards an Ontology-Sensitive</w:t>
      </w:r>
      <w:r>
        <w:t xml:space="preserve"> </w:t>
      </w:r>
      <w:r w:rsidRPr="00EF3B5D">
        <w:t>Approach.” </w:t>
      </w:r>
      <w:r w:rsidRPr="00EF3B5D">
        <w:rPr>
          <w:i/>
          <w:iCs/>
        </w:rPr>
        <w:t>International Journal of Constitutional Law</w:t>
      </w:r>
      <w:r w:rsidRPr="00EF3B5D">
        <w:t> </w:t>
      </w:r>
      <w:r w:rsidRPr="00EF3B5D">
        <w:rPr>
          <w:b/>
          <w:bCs/>
        </w:rPr>
        <w:t>15</w:t>
      </w:r>
      <w:r w:rsidRPr="00EF3B5D">
        <w:t>, no. 1: 201–224.</w:t>
      </w:r>
    </w:p>
    <w:p w14:paraId="0B897714" w14:textId="77777777" w:rsidR="00EF3B5D" w:rsidRDefault="00EF3B5D" w:rsidP="00D45F5B">
      <w:pPr>
        <w:spacing w:after="0" w:line="240" w:lineRule="auto"/>
      </w:pPr>
    </w:p>
    <w:p w14:paraId="1915C196" w14:textId="361987EC" w:rsidR="001F0F36" w:rsidRDefault="00EF3B5D" w:rsidP="00D45F5B">
      <w:pPr>
        <w:spacing w:after="0" w:line="240" w:lineRule="auto"/>
      </w:pPr>
      <w:r w:rsidRPr="00EF3B5D">
        <w:t>Cahill, M. 2021. “Subsidiarity as the Preference for Proximity.” </w:t>
      </w:r>
      <w:r w:rsidRPr="00EF3B5D">
        <w:rPr>
          <w:i/>
          <w:iCs/>
        </w:rPr>
        <w:t>American Journal of Jurisprudence</w:t>
      </w:r>
      <w:r w:rsidRPr="00EF3B5D">
        <w:t> </w:t>
      </w:r>
      <w:r w:rsidRPr="00EF3B5D">
        <w:rPr>
          <w:b/>
          <w:bCs/>
        </w:rPr>
        <w:t>66</w:t>
      </w:r>
      <w:r w:rsidRPr="00EF3B5D">
        <w:t>, no. 1: 129–143.</w:t>
      </w:r>
    </w:p>
    <w:p w14:paraId="197EFC4D" w14:textId="77777777" w:rsidR="00EF3B5D" w:rsidRDefault="00EF3B5D" w:rsidP="00D45F5B">
      <w:pPr>
        <w:spacing w:after="0" w:line="240" w:lineRule="auto"/>
      </w:pPr>
    </w:p>
    <w:p w14:paraId="3B08B5FF" w14:textId="44075489" w:rsidR="0018218A" w:rsidRDefault="0018218A" w:rsidP="00D45F5B">
      <w:pPr>
        <w:spacing w:after="0" w:line="240" w:lineRule="auto"/>
      </w:pPr>
      <w:r w:rsidRPr="0018218A">
        <w:t>Da Silva, M. 2023</w:t>
      </w:r>
      <w:r>
        <w:t>a</w:t>
      </w:r>
      <w:r w:rsidRPr="0018218A">
        <w:t>. “Subsidiarity and the Allocation of Governmental Powers.” </w:t>
      </w:r>
      <w:r w:rsidRPr="0018218A">
        <w:rPr>
          <w:i/>
          <w:iCs/>
        </w:rPr>
        <w:t>Canadian Journal of Law and Jurisprudence</w:t>
      </w:r>
      <w:r w:rsidRPr="0018218A">
        <w:t> </w:t>
      </w:r>
      <w:r w:rsidRPr="0018218A">
        <w:rPr>
          <w:b/>
          <w:bCs/>
        </w:rPr>
        <w:t>36</w:t>
      </w:r>
      <w:r w:rsidRPr="0018218A">
        <w:t>, no. 1: 83–111.</w:t>
      </w:r>
    </w:p>
    <w:p w14:paraId="64C4F881" w14:textId="77777777" w:rsidR="0018218A" w:rsidRDefault="0018218A" w:rsidP="00D45F5B">
      <w:pPr>
        <w:spacing w:after="0" w:line="240" w:lineRule="auto"/>
      </w:pPr>
    </w:p>
    <w:p w14:paraId="116C1840" w14:textId="2FCE0E0D" w:rsidR="00AB7AC0" w:rsidRDefault="00AB7AC0" w:rsidP="00D45F5B">
      <w:pPr>
        <w:spacing w:after="0" w:line="240" w:lineRule="auto"/>
      </w:pPr>
      <w:r>
        <w:t>Da Silva, M. 2023</w:t>
      </w:r>
      <w:r w:rsidR="0018218A">
        <w:t>b</w:t>
      </w:r>
      <w:r>
        <w:t xml:space="preserve">. </w:t>
      </w:r>
      <w:r w:rsidRPr="00764D26">
        <w:t xml:space="preserve">Subsidiarity. </w:t>
      </w:r>
      <w:r w:rsidR="00200A2C">
        <w:t xml:space="preserve">In </w:t>
      </w:r>
      <w:r w:rsidRPr="005F4FFC">
        <w:rPr>
          <w:i/>
          <w:iCs/>
        </w:rPr>
        <w:t>Encyclopedia of the Philosophy of Law and Social Philosophy</w:t>
      </w:r>
      <w:r w:rsidR="005F4FFC">
        <w:t xml:space="preserve">, edited by </w:t>
      </w:r>
      <w:r w:rsidR="00AD58D7">
        <w:t xml:space="preserve">M. </w:t>
      </w:r>
      <w:r w:rsidR="005F4FFC" w:rsidRPr="00764D26">
        <w:t xml:space="preserve">Sellers </w:t>
      </w:r>
      <w:r w:rsidR="005F4FFC">
        <w:t xml:space="preserve">and </w:t>
      </w:r>
      <w:r w:rsidR="00AD58D7">
        <w:t xml:space="preserve">S. </w:t>
      </w:r>
      <w:r w:rsidR="005F4FFC" w:rsidRPr="00764D26">
        <w:t xml:space="preserve">Kirste, </w:t>
      </w:r>
      <w:r w:rsidR="00AD58D7">
        <w:t>3390-3396.</w:t>
      </w:r>
      <w:r w:rsidRPr="00764D26">
        <w:t xml:space="preserve"> Springer</w:t>
      </w:r>
      <w:r>
        <w:t>.</w:t>
      </w:r>
    </w:p>
    <w:p w14:paraId="3301151A" w14:textId="77777777" w:rsidR="00337FF7" w:rsidRDefault="00337FF7" w:rsidP="00D45F5B">
      <w:pPr>
        <w:spacing w:after="0" w:line="240" w:lineRule="auto"/>
      </w:pPr>
    </w:p>
    <w:p w14:paraId="6CAE670C" w14:textId="69093E83" w:rsidR="00337FF7" w:rsidRDefault="00337FF7" w:rsidP="00D45F5B">
      <w:pPr>
        <w:spacing w:after="0" w:line="240" w:lineRule="auto"/>
      </w:pPr>
      <w:r>
        <w:t xml:space="preserve">Debes, R., ed. 2017. </w:t>
      </w:r>
      <w:r w:rsidRPr="00337FF7">
        <w:rPr>
          <w:i/>
          <w:iCs/>
        </w:rPr>
        <w:t>Dignity: A History</w:t>
      </w:r>
      <w:r>
        <w:t>. Oxford UP.</w:t>
      </w:r>
    </w:p>
    <w:p w14:paraId="14836FFE" w14:textId="77777777" w:rsidR="00AB7AC0" w:rsidRDefault="00AB7AC0" w:rsidP="00D45F5B">
      <w:pPr>
        <w:spacing w:after="0" w:line="240" w:lineRule="auto"/>
      </w:pPr>
    </w:p>
    <w:p w14:paraId="4379E09A" w14:textId="257EC282" w:rsidR="00EF22CD" w:rsidRDefault="00EF22CD" w:rsidP="00D45F5B">
      <w:pPr>
        <w:spacing w:after="0" w:line="240" w:lineRule="auto"/>
      </w:pPr>
      <w:r w:rsidRPr="00EF22CD">
        <w:t>Finnis, J. 2016. “Subsidiarity's Roots and History: Some Observations.” </w:t>
      </w:r>
      <w:r w:rsidRPr="00EF22CD">
        <w:rPr>
          <w:i/>
          <w:iCs/>
        </w:rPr>
        <w:t>American Journal of Jurisprudence</w:t>
      </w:r>
      <w:r w:rsidRPr="00EF22CD">
        <w:t> </w:t>
      </w:r>
      <w:r w:rsidRPr="00EF22CD">
        <w:rPr>
          <w:b/>
          <w:bCs/>
        </w:rPr>
        <w:t>61, no. 1</w:t>
      </w:r>
      <w:r w:rsidRPr="00EF22CD">
        <w:t>: 133–141.</w:t>
      </w:r>
    </w:p>
    <w:p w14:paraId="61D2E58D" w14:textId="77777777" w:rsidR="00EF22CD" w:rsidRDefault="00EF22CD" w:rsidP="00D45F5B">
      <w:pPr>
        <w:spacing w:after="0" w:line="240" w:lineRule="auto"/>
      </w:pPr>
    </w:p>
    <w:p w14:paraId="553A6D48" w14:textId="65910D2F" w:rsidR="00EF22CD" w:rsidRDefault="00EF22CD" w:rsidP="00D45F5B">
      <w:pPr>
        <w:spacing w:after="0" w:line="240" w:lineRule="auto"/>
      </w:pPr>
      <w:r w:rsidRPr="00EF22CD">
        <w:t>Fleming, J. E.</w:t>
      </w:r>
      <w:r w:rsidR="001F703B">
        <w:t>,</w:t>
      </w:r>
      <w:r w:rsidRPr="00EF22CD">
        <w:t xml:space="preserve"> and J. T. Levy, eds. 2014. </w:t>
      </w:r>
      <w:r w:rsidRPr="00EF22CD">
        <w:rPr>
          <w:i/>
          <w:iCs/>
        </w:rPr>
        <w:t>Federalism and Subsidiarity</w:t>
      </w:r>
      <w:r w:rsidRPr="00EF22CD">
        <w:t>. New York UP.</w:t>
      </w:r>
    </w:p>
    <w:p w14:paraId="592DC7F3" w14:textId="77777777" w:rsidR="00EF22CD" w:rsidRDefault="00EF22CD" w:rsidP="00D45F5B">
      <w:pPr>
        <w:spacing w:after="0" w:line="240" w:lineRule="auto"/>
      </w:pPr>
    </w:p>
    <w:p w14:paraId="061402A4" w14:textId="1FC4C4AF" w:rsidR="001F0F36" w:rsidRDefault="00F022F4" w:rsidP="00D45F5B">
      <w:pPr>
        <w:spacing w:after="0" w:line="240" w:lineRule="auto"/>
      </w:pPr>
      <w:r w:rsidRPr="00F022F4">
        <w:t>Follesdal, A. 1998. “Subsidiarity.” </w:t>
      </w:r>
      <w:r w:rsidRPr="00F022F4">
        <w:rPr>
          <w:i/>
          <w:iCs/>
        </w:rPr>
        <w:t>Journal of Political Philosophy</w:t>
      </w:r>
      <w:r w:rsidRPr="00F022F4">
        <w:t> </w:t>
      </w:r>
      <w:r w:rsidRPr="00F022F4">
        <w:rPr>
          <w:b/>
          <w:bCs/>
        </w:rPr>
        <w:t>6</w:t>
      </w:r>
      <w:r w:rsidRPr="00F022F4">
        <w:t>, no. 2: 231–259.</w:t>
      </w:r>
    </w:p>
    <w:p w14:paraId="2EE0C364" w14:textId="77777777" w:rsidR="00F022F4" w:rsidRDefault="00F022F4" w:rsidP="00D45F5B">
      <w:pPr>
        <w:spacing w:after="0" w:line="240" w:lineRule="auto"/>
      </w:pPr>
    </w:p>
    <w:p w14:paraId="37CB7FC1" w14:textId="32CFB857" w:rsidR="001F0F36" w:rsidRDefault="00F022F4" w:rsidP="00D45F5B">
      <w:pPr>
        <w:spacing w:after="0" w:line="240" w:lineRule="auto"/>
      </w:pPr>
      <w:r w:rsidRPr="00F022F4">
        <w:t>Follesdal, A. 2025. </w:t>
      </w:r>
      <w:r w:rsidRPr="00F022F4">
        <w:rPr>
          <w:i/>
          <w:iCs/>
        </w:rPr>
        <w:t>Subsidiarity</w:t>
      </w:r>
      <w:r w:rsidRPr="00F022F4">
        <w:t>. Cambridge University Press.</w:t>
      </w:r>
    </w:p>
    <w:p w14:paraId="794DE880" w14:textId="77777777" w:rsidR="001F0F36" w:rsidRDefault="001F0F36" w:rsidP="00D45F5B">
      <w:pPr>
        <w:spacing w:after="0" w:line="240" w:lineRule="auto"/>
      </w:pPr>
    </w:p>
    <w:p w14:paraId="78DFA950" w14:textId="6A7696E7" w:rsidR="00B32001" w:rsidRDefault="00E331CD" w:rsidP="00D45F5B">
      <w:pPr>
        <w:spacing w:after="0" w:line="240" w:lineRule="auto"/>
      </w:pPr>
      <w:r w:rsidRPr="00E331CD">
        <w:t>Goodin, R. 2007. “Enfranchising All Affected Interests, and Its Alternatives.” </w:t>
      </w:r>
      <w:r w:rsidRPr="00E331CD">
        <w:rPr>
          <w:i/>
          <w:iCs/>
        </w:rPr>
        <w:t>Philosophy &amp; Public Affairs</w:t>
      </w:r>
      <w:r w:rsidRPr="00E331CD">
        <w:t> </w:t>
      </w:r>
      <w:r w:rsidRPr="00E331CD">
        <w:rPr>
          <w:b/>
          <w:bCs/>
        </w:rPr>
        <w:t>35</w:t>
      </w:r>
      <w:r w:rsidRPr="00E331CD">
        <w:t>, no. 1: 40–68.</w:t>
      </w:r>
    </w:p>
    <w:p w14:paraId="4381C5D6" w14:textId="77777777" w:rsidR="00B32001" w:rsidRDefault="00B32001" w:rsidP="00D45F5B">
      <w:pPr>
        <w:spacing w:after="0" w:line="240" w:lineRule="auto"/>
      </w:pPr>
    </w:p>
    <w:p w14:paraId="043FCD26" w14:textId="19E24D6E" w:rsidR="004E198E" w:rsidRDefault="004E198E" w:rsidP="00D45F5B">
      <w:pPr>
        <w:spacing w:after="0" w:line="240" w:lineRule="auto"/>
      </w:pPr>
      <w:r w:rsidRPr="004E198E">
        <w:t>Latimer, T. 2018</w:t>
      </w:r>
      <w:r w:rsidR="00D45F5B">
        <w:t>a</w:t>
      </w:r>
      <w:r w:rsidRPr="004E198E">
        <w:t>. “Against Subsidiarity.” </w:t>
      </w:r>
      <w:r w:rsidRPr="004E198E">
        <w:rPr>
          <w:i/>
          <w:iCs/>
        </w:rPr>
        <w:t>Journal of Political Philosophy</w:t>
      </w:r>
      <w:r w:rsidRPr="004E198E">
        <w:t> </w:t>
      </w:r>
      <w:r w:rsidRPr="004E198E">
        <w:rPr>
          <w:b/>
          <w:bCs/>
        </w:rPr>
        <w:t>26</w:t>
      </w:r>
      <w:r w:rsidRPr="004E198E">
        <w:t>, no. 3: 282–303.</w:t>
      </w:r>
    </w:p>
    <w:p w14:paraId="0F12C362" w14:textId="77777777" w:rsidR="004E198E" w:rsidRDefault="004E198E" w:rsidP="00D45F5B">
      <w:pPr>
        <w:spacing w:after="0" w:line="240" w:lineRule="auto"/>
      </w:pPr>
    </w:p>
    <w:p w14:paraId="21FFA4F3" w14:textId="6D6E1495" w:rsidR="00D45F5B" w:rsidRDefault="00D45F5B" w:rsidP="00D45F5B">
      <w:pPr>
        <w:spacing w:after="0" w:line="240" w:lineRule="auto"/>
      </w:pPr>
      <w:r w:rsidRPr="00D45F5B">
        <w:t>Latimer, T. 2018b. “The Principle of Subsidiarity: A Democratic</w:t>
      </w:r>
      <w:r>
        <w:t xml:space="preserve"> </w:t>
      </w:r>
      <w:r w:rsidRPr="00D45F5B">
        <w:t>Reinterpretation.” </w:t>
      </w:r>
      <w:r w:rsidRPr="00D45F5B">
        <w:rPr>
          <w:i/>
          <w:iCs/>
        </w:rPr>
        <w:t>Constellations</w:t>
      </w:r>
      <w:r w:rsidRPr="00D45F5B">
        <w:t> </w:t>
      </w:r>
      <w:r w:rsidRPr="00D45F5B">
        <w:rPr>
          <w:b/>
          <w:bCs/>
        </w:rPr>
        <w:t>25</w:t>
      </w:r>
      <w:r w:rsidRPr="00D45F5B">
        <w:t>, no. 4: 586–601.</w:t>
      </w:r>
    </w:p>
    <w:p w14:paraId="10E441BC" w14:textId="77777777" w:rsidR="00D45F5B" w:rsidRDefault="00D45F5B" w:rsidP="00D45F5B">
      <w:pPr>
        <w:spacing w:after="0" w:line="240" w:lineRule="auto"/>
      </w:pPr>
    </w:p>
    <w:p w14:paraId="136C89BE" w14:textId="5AB5DE8F" w:rsidR="00DC3FD5" w:rsidRDefault="00DC3FD5" w:rsidP="00D45F5B">
      <w:pPr>
        <w:spacing w:after="0" w:line="240" w:lineRule="auto"/>
      </w:pPr>
      <w:r w:rsidRPr="00DC3FD5">
        <w:t>Levy, J. T. 2007. “Federalism, Liberalism, and the Separation of Loyalties.” </w:t>
      </w:r>
      <w:r w:rsidRPr="00DC3FD5">
        <w:rPr>
          <w:i/>
          <w:iCs/>
        </w:rPr>
        <w:t>American Political Science Review</w:t>
      </w:r>
      <w:r w:rsidRPr="00DC3FD5">
        <w:t> </w:t>
      </w:r>
      <w:r w:rsidRPr="00DC3FD5">
        <w:rPr>
          <w:b/>
          <w:bCs/>
        </w:rPr>
        <w:t>101</w:t>
      </w:r>
      <w:r w:rsidRPr="00DC3FD5">
        <w:t>, no. 3: 459–477.</w:t>
      </w:r>
    </w:p>
    <w:p w14:paraId="2C97FD15" w14:textId="77777777" w:rsidR="00DC3FD5" w:rsidRDefault="00DC3FD5" w:rsidP="00D45F5B">
      <w:pPr>
        <w:spacing w:after="0" w:line="240" w:lineRule="auto"/>
      </w:pPr>
    </w:p>
    <w:p w14:paraId="1236FFE0" w14:textId="76ADF844" w:rsidR="00282DD1" w:rsidRDefault="00282DD1" w:rsidP="00D45F5B">
      <w:pPr>
        <w:spacing w:after="0" w:line="240" w:lineRule="auto"/>
      </w:pPr>
      <w:r w:rsidRPr="00282DD1">
        <w:t>Muñiz-Fraticelli, V. 2014. </w:t>
      </w:r>
      <w:r w:rsidRPr="00282DD1">
        <w:rPr>
          <w:i/>
          <w:iCs/>
        </w:rPr>
        <w:t>The Structure of Pluralism</w:t>
      </w:r>
      <w:r w:rsidRPr="00282DD1">
        <w:t>. Oxford UP.</w:t>
      </w:r>
    </w:p>
    <w:p w14:paraId="366DCF6A" w14:textId="77777777" w:rsidR="00200A2C" w:rsidRDefault="00200A2C" w:rsidP="00D45F5B">
      <w:pPr>
        <w:spacing w:after="0" w:line="240" w:lineRule="auto"/>
      </w:pPr>
    </w:p>
    <w:p w14:paraId="758E913F" w14:textId="533DC4B5" w:rsidR="00200A2C" w:rsidRPr="00D307C4" w:rsidRDefault="00200A2C" w:rsidP="00D45F5B">
      <w:pPr>
        <w:spacing w:after="0" w:line="240" w:lineRule="auto"/>
      </w:pPr>
      <w:r w:rsidRPr="00200A2C">
        <w:t>Weinstock, D. 2014. </w:t>
      </w:r>
      <w:r>
        <w:t>“</w:t>
      </w:r>
      <w:r w:rsidRPr="00200A2C">
        <w:t>Cities and Federalism</w:t>
      </w:r>
      <w:r>
        <w:t xml:space="preserve">.” In </w:t>
      </w:r>
      <w:r w:rsidR="001C458A">
        <w:rPr>
          <w:i/>
          <w:iCs/>
        </w:rPr>
        <w:t>Federalism and Subsidiarity</w:t>
      </w:r>
      <w:r w:rsidR="001C458A" w:rsidRPr="001C458A">
        <w:t xml:space="preserve">, </w:t>
      </w:r>
      <w:r w:rsidRPr="00200A2C">
        <w:t>edited by J. E. Fleming and J. T. Levy, 259–289. New York UP.</w:t>
      </w:r>
    </w:p>
    <w:sectPr w:rsidR="00200A2C" w:rsidRPr="00D307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BC95" w14:textId="77777777" w:rsidR="00833F31" w:rsidRDefault="00833F31" w:rsidP="00C201E2">
      <w:pPr>
        <w:spacing w:after="0" w:line="240" w:lineRule="auto"/>
      </w:pPr>
      <w:r>
        <w:separator/>
      </w:r>
    </w:p>
  </w:endnote>
  <w:endnote w:type="continuationSeparator" w:id="0">
    <w:p w14:paraId="6B213C59" w14:textId="77777777" w:rsidR="00833F31" w:rsidRDefault="00833F31" w:rsidP="00C2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EEDF" w14:textId="77777777" w:rsidR="00833F31" w:rsidRDefault="00833F31" w:rsidP="00C201E2">
      <w:pPr>
        <w:spacing w:after="0" w:line="240" w:lineRule="auto"/>
      </w:pPr>
      <w:r>
        <w:separator/>
      </w:r>
    </w:p>
  </w:footnote>
  <w:footnote w:type="continuationSeparator" w:id="0">
    <w:p w14:paraId="79C1E58E" w14:textId="77777777" w:rsidR="00833F31" w:rsidRDefault="00833F31" w:rsidP="00C201E2">
      <w:pPr>
        <w:spacing w:after="0" w:line="240" w:lineRule="auto"/>
      </w:pPr>
      <w:r>
        <w:continuationSeparator/>
      </w:r>
    </w:p>
  </w:footnote>
  <w:footnote w:id="1">
    <w:p w14:paraId="0920C123" w14:textId="664D1EEB" w:rsidR="00C201E2" w:rsidRPr="001A7C5F" w:rsidRDefault="00C201E2">
      <w:pPr>
        <w:pStyle w:val="FootnoteText"/>
        <w:rPr>
          <w:rFonts w:asciiTheme="majorHAnsi" w:hAnsiTheme="majorHAnsi" w:cs="Times New Roman"/>
          <w:lang w:val="en-US"/>
        </w:rPr>
      </w:pPr>
      <w:r w:rsidRPr="001A7C5F">
        <w:rPr>
          <w:rStyle w:val="FootnoteReference"/>
          <w:rFonts w:asciiTheme="majorHAnsi" w:hAnsiTheme="majorHAnsi" w:cs="Times New Roman"/>
        </w:rPr>
        <w:footnoteRef/>
      </w:r>
      <w:r w:rsidRPr="001A7C5F">
        <w:rPr>
          <w:rFonts w:asciiTheme="majorHAnsi" w:hAnsiTheme="majorHAnsi" w:cs="Times New Roman"/>
        </w:rPr>
        <w:t xml:space="preserve"> </w:t>
      </w:r>
      <w:r w:rsidR="008041BB" w:rsidRPr="001A7C5F">
        <w:rPr>
          <w:rFonts w:asciiTheme="majorHAnsi" w:hAnsiTheme="majorHAnsi" w:cs="Times New Roman"/>
        </w:rPr>
        <w:t xml:space="preserve">For useful introductions to the concept, see Follesdal (1998, 2025). </w:t>
      </w:r>
      <w:r w:rsidR="00F36316" w:rsidRPr="001A7C5F">
        <w:rPr>
          <w:rFonts w:asciiTheme="majorHAnsi" w:hAnsiTheme="majorHAnsi" w:cs="Times New Roman"/>
        </w:rPr>
        <w:t xml:space="preserve">For a critique of the ‘closeness’ framing of the concept, see </w:t>
      </w:r>
      <w:r w:rsidR="0005388F" w:rsidRPr="001A7C5F">
        <w:rPr>
          <w:rFonts w:asciiTheme="majorHAnsi" w:hAnsiTheme="majorHAnsi" w:cs="Times New Roman"/>
        </w:rPr>
        <w:t xml:space="preserve">Cahill (2017). Cahill </w:t>
      </w:r>
      <w:r w:rsidR="00B56F6E" w:rsidRPr="001A7C5F">
        <w:rPr>
          <w:rFonts w:asciiTheme="majorHAnsi" w:hAnsiTheme="majorHAnsi" w:cs="Times New Roman"/>
        </w:rPr>
        <w:t xml:space="preserve">(2021) </w:t>
      </w:r>
      <w:r w:rsidR="001F0F36" w:rsidRPr="001A7C5F">
        <w:rPr>
          <w:rFonts w:asciiTheme="majorHAnsi" w:hAnsiTheme="majorHAnsi" w:cs="Times New Roman"/>
        </w:rPr>
        <w:t>identifie</w:t>
      </w:r>
      <w:r w:rsidR="00B56F6E" w:rsidRPr="001A7C5F">
        <w:rPr>
          <w:rFonts w:asciiTheme="majorHAnsi" w:hAnsiTheme="majorHAnsi" w:cs="Times New Roman"/>
        </w:rPr>
        <w:t xml:space="preserve">s a related, </w:t>
      </w:r>
      <w:r w:rsidR="001F0F36" w:rsidRPr="001A7C5F">
        <w:rPr>
          <w:rFonts w:asciiTheme="majorHAnsi" w:hAnsiTheme="majorHAnsi" w:cs="Times New Roman"/>
        </w:rPr>
        <w:t>if</w:t>
      </w:r>
      <w:r w:rsidR="00B56F6E" w:rsidRPr="001A7C5F">
        <w:rPr>
          <w:rFonts w:asciiTheme="majorHAnsi" w:hAnsiTheme="majorHAnsi" w:cs="Times New Roman"/>
        </w:rPr>
        <w:t xml:space="preserve"> distinct,</w:t>
      </w:r>
      <w:r w:rsidR="001F0F36" w:rsidRPr="001A7C5F">
        <w:rPr>
          <w:rFonts w:asciiTheme="majorHAnsi" w:hAnsiTheme="majorHAnsi" w:cs="Times New Roman"/>
        </w:rPr>
        <w:t xml:space="preserve"> </w:t>
      </w:r>
      <w:r w:rsidR="00B56F6E" w:rsidRPr="001A7C5F">
        <w:rPr>
          <w:rFonts w:asciiTheme="majorHAnsi" w:hAnsiTheme="majorHAnsi" w:cs="Times New Roman"/>
        </w:rPr>
        <w:t>constitutive “preference for proximity.”</w:t>
      </w:r>
      <w:r w:rsidR="006E7D85" w:rsidRPr="001A7C5F">
        <w:rPr>
          <w:rFonts w:asciiTheme="majorHAnsi" w:hAnsiTheme="majorHAnsi" w:cs="Times New Roman"/>
        </w:rPr>
        <w:t xml:space="preserve"> The sources that Cahill (2021) cites in notes 1 and 2 also helpfully support the primary claim in this sentence.</w:t>
      </w:r>
    </w:p>
  </w:footnote>
  <w:footnote w:id="2">
    <w:p w14:paraId="11578AC2" w14:textId="1E5500A6" w:rsidR="001A7C5F" w:rsidRPr="001A7C5F" w:rsidRDefault="001A7C5F">
      <w:pPr>
        <w:pStyle w:val="FootnoteText"/>
        <w:rPr>
          <w:rFonts w:asciiTheme="majorHAnsi" w:hAnsiTheme="majorHAnsi"/>
          <w:lang w:val="en-US"/>
        </w:rPr>
      </w:pPr>
      <w:r w:rsidRPr="001A7C5F">
        <w:rPr>
          <w:rStyle w:val="FootnoteReference"/>
          <w:rFonts w:asciiTheme="majorHAnsi" w:hAnsiTheme="majorHAnsi"/>
        </w:rPr>
        <w:footnoteRef/>
      </w:r>
      <w:r w:rsidRPr="001A7C5F">
        <w:rPr>
          <w:rFonts w:asciiTheme="majorHAnsi" w:hAnsiTheme="majorHAnsi"/>
        </w:rPr>
        <w:t xml:space="preserve"> </w:t>
      </w:r>
      <w:r>
        <w:rPr>
          <w:rFonts w:asciiTheme="majorHAnsi" w:hAnsiTheme="majorHAnsi"/>
          <w:i/>
          <w:iCs/>
        </w:rPr>
        <w:t>Ibid</w:t>
      </w:r>
      <w:r>
        <w:rPr>
          <w:rFonts w:asciiTheme="majorHAnsi" w:hAnsiTheme="majorHAnsi"/>
        </w:rPr>
        <w:t>.</w:t>
      </w:r>
      <w:r w:rsidR="009E1CB7">
        <w:rPr>
          <w:rFonts w:asciiTheme="majorHAnsi" w:hAnsiTheme="majorHAnsi"/>
        </w:rPr>
        <w:t xml:space="preserve"> See especially</w:t>
      </w:r>
      <w:r w:rsidR="000512C4">
        <w:rPr>
          <w:rFonts w:asciiTheme="majorHAnsi" w:hAnsiTheme="majorHAnsi"/>
        </w:rPr>
        <w:t xml:space="preserve"> </w:t>
      </w:r>
      <w:r w:rsidR="009E1CB7">
        <w:rPr>
          <w:rFonts w:asciiTheme="majorHAnsi" w:hAnsiTheme="majorHAnsi"/>
        </w:rPr>
        <w:t>discussion</w:t>
      </w:r>
      <w:r w:rsidR="000512C4">
        <w:rPr>
          <w:rFonts w:asciiTheme="majorHAnsi" w:hAnsiTheme="majorHAnsi"/>
        </w:rPr>
        <w:t>s</w:t>
      </w:r>
      <w:r w:rsidR="009E1CB7">
        <w:rPr>
          <w:rFonts w:asciiTheme="majorHAnsi" w:hAnsiTheme="majorHAnsi"/>
        </w:rPr>
        <w:t xml:space="preserve"> of </w:t>
      </w:r>
      <w:r w:rsidR="009E1CB7" w:rsidRPr="00CB01E5">
        <w:rPr>
          <w:rFonts w:asciiTheme="majorHAnsi" w:hAnsiTheme="majorHAnsi" w:cs="Times New Roman"/>
        </w:rPr>
        <w:t>efficiency and necessity</w:t>
      </w:r>
      <w:r w:rsidR="000512C4">
        <w:rPr>
          <w:rFonts w:asciiTheme="majorHAnsi" w:hAnsiTheme="majorHAnsi" w:cs="Times New Roman"/>
        </w:rPr>
        <w:t xml:space="preserve"> conditions</w:t>
      </w:r>
      <w:r w:rsidR="009E1CB7">
        <w:rPr>
          <w:rFonts w:asciiTheme="majorHAnsi" w:hAnsiTheme="majorHAnsi" w:cs="Times New Roman"/>
        </w:rPr>
        <w:t>.</w:t>
      </w:r>
      <w:r>
        <w:rPr>
          <w:rFonts w:asciiTheme="majorHAnsi" w:hAnsiTheme="majorHAnsi"/>
        </w:rPr>
        <w:t xml:space="preserve"> See also, for example, Barber (2018).</w:t>
      </w:r>
      <w:r w:rsidR="00337FF7">
        <w:rPr>
          <w:rFonts w:asciiTheme="majorHAnsi" w:hAnsiTheme="majorHAnsi"/>
        </w:rPr>
        <w:t xml:space="preserve"> </w:t>
      </w:r>
    </w:p>
  </w:footnote>
  <w:footnote w:id="3">
    <w:p w14:paraId="3AF20530" w14:textId="77777777" w:rsidR="00C9332D" w:rsidRPr="00DF36AD" w:rsidRDefault="00C9332D" w:rsidP="00C9332D">
      <w:pPr>
        <w:pStyle w:val="FootnoteText"/>
        <w:rPr>
          <w:rFonts w:asciiTheme="majorHAnsi" w:hAnsiTheme="majorHAnsi" w:cs="Times New Roman"/>
          <w:lang w:val="en-US"/>
        </w:rPr>
      </w:pPr>
      <w:r w:rsidRPr="00DF36AD">
        <w:rPr>
          <w:rStyle w:val="FootnoteReference"/>
          <w:rFonts w:asciiTheme="majorHAnsi" w:hAnsiTheme="majorHAnsi" w:cs="Times New Roman"/>
        </w:rPr>
        <w:footnoteRef/>
      </w:r>
      <w:r w:rsidRPr="00DF36AD">
        <w:rPr>
          <w:rFonts w:asciiTheme="majorHAnsi" w:hAnsiTheme="majorHAnsi" w:cs="Times New Roman"/>
        </w:rPr>
        <w:t xml:space="preserve"> Follesdal (1998, 2025), Muñiz-Fraticelli (2014), Cahill (2017, 2021), and Finnis (2016) offer diverse interpretations of the history of subsidiarity, but each identifies several historical analogues. See also discussions of whether the concept in European Union law is continuous with history concepts falling under the name ‘subsidiarity’ in, for example, Cahill (2017, 2021) and Barber (2018). Recall note 1 on Cahill’s critique of “closeness” language.</w:t>
      </w:r>
    </w:p>
  </w:footnote>
  <w:footnote w:id="4">
    <w:p w14:paraId="71BDC86B" w14:textId="77777777" w:rsidR="00C9332D" w:rsidRPr="002C3894" w:rsidRDefault="00C9332D" w:rsidP="00C9332D">
      <w:pPr>
        <w:pStyle w:val="FootnoteText"/>
        <w:rPr>
          <w:lang w:val="en-US"/>
        </w:rPr>
      </w:pPr>
      <w:r>
        <w:rPr>
          <w:rStyle w:val="FootnoteReference"/>
        </w:rPr>
        <w:footnoteRef/>
      </w:r>
      <w:r>
        <w:t xml:space="preserve"> </w:t>
      </w:r>
      <w:r w:rsidRPr="002C3894">
        <w:rPr>
          <w:i/>
          <w:iCs/>
          <w:lang w:val="en-US"/>
        </w:rPr>
        <w:t>Ibid</w:t>
      </w:r>
      <w:r>
        <w:rPr>
          <w:lang w:val="en-US"/>
        </w:rPr>
        <w:t>.</w:t>
      </w:r>
    </w:p>
  </w:footnote>
  <w:footnote w:id="5">
    <w:p w14:paraId="18BEA3BD" w14:textId="77777777" w:rsidR="00C9332D" w:rsidRPr="00DF36AD" w:rsidRDefault="00C9332D" w:rsidP="00C9332D">
      <w:pPr>
        <w:pStyle w:val="FootnoteText"/>
        <w:rPr>
          <w:rFonts w:asciiTheme="majorHAnsi" w:hAnsiTheme="majorHAnsi" w:cs="Times New Roman"/>
        </w:rPr>
      </w:pPr>
      <w:r w:rsidRPr="00DF36AD">
        <w:rPr>
          <w:rStyle w:val="FootnoteReference"/>
          <w:rFonts w:asciiTheme="majorHAnsi" w:hAnsiTheme="majorHAnsi" w:cs="Times New Roman"/>
        </w:rPr>
        <w:footnoteRef/>
      </w:r>
      <w:r w:rsidRPr="00DF36AD">
        <w:rPr>
          <w:rFonts w:asciiTheme="majorHAnsi" w:hAnsiTheme="majorHAnsi" w:cs="Times New Roman"/>
        </w:rPr>
        <w:t xml:space="preserve"> See Follesdal (2025: 6-11) (on Māori, African, Aztek, and Confucian concepts he views as at least related).</w:t>
      </w:r>
    </w:p>
  </w:footnote>
  <w:footnote w:id="6">
    <w:p w14:paraId="551D3136" w14:textId="78B965FB" w:rsidR="00C201E2" w:rsidRPr="00DF36AD" w:rsidRDefault="00C201E2">
      <w:pPr>
        <w:pStyle w:val="FootnoteText"/>
        <w:rPr>
          <w:rFonts w:asciiTheme="majorHAnsi" w:hAnsiTheme="majorHAnsi" w:cs="Times New Roman"/>
          <w:i/>
          <w:iCs/>
          <w:lang w:val="en-US"/>
        </w:rPr>
      </w:pPr>
      <w:r w:rsidRPr="001A7C5F">
        <w:rPr>
          <w:rStyle w:val="FootnoteReference"/>
          <w:rFonts w:asciiTheme="majorHAnsi" w:hAnsiTheme="majorHAnsi" w:cs="Times New Roman"/>
        </w:rPr>
        <w:footnoteRef/>
      </w:r>
      <w:r w:rsidRPr="001A7C5F">
        <w:rPr>
          <w:rFonts w:asciiTheme="majorHAnsi" w:hAnsiTheme="majorHAnsi" w:cs="Times New Roman"/>
        </w:rPr>
        <w:t xml:space="preserve"> </w:t>
      </w:r>
      <w:r w:rsidR="00491299" w:rsidRPr="001A7C5F">
        <w:rPr>
          <w:rFonts w:asciiTheme="majorHAnsi" w:hAnsiTheme="majorHAnsi" w:cs="Times New Roman"/>
        </w:rPr>
        <w:t>Further to Follesdal</w:t>
      </w:r>
      <w:r w:rsidR="00B75A34" w:rsidRPr="001A7C5F">
        <w:rPr>
          <w:rFonts w:asciiTheme="majorHAnsi" w:hAnsiTheme="majorHAnsi" w:cs="Times New Roman"/>
        </w:rPr>
        <w:t>’s texts in note 1</w:t>
      </w:r>
      <w:r w:rsidR="00491299" w:rsidRPr="001A7C5F">
        <w:rPr>
          <w:rFonts w:asciiTheme="majorHAnsi" w:hAnsiTheme="majorHAnsi" w:cs="Times New Roman"/>
        </w:rPr>
        <w:t>, see Da Silva (2023</w:t>
      </w:r>
      <w:r w:rsidR="0018218A" w:rsidRPr="001A7C5F">
        <w:rPr>
          <w:rFonts w:asciiTheme="majorHAnsi" w:hAnsiTheme="majorHAnsi" w:cs="Times New Roman"/>
        </w:rPr>
        <w:t>a</w:t>
      </w:r>
      <w:r w:rsidR="00491299" w:rsidRPr="001A7C5F">
        <w:rPr>
          <w:rFonts w:asciiTheme="majorHAnsi" w:hAnsiTheme="majorHAnsi" w:cs="Times New Roman"/>
        </w:rPr>
        <w:t xml:space="preserve">), which identifies sources positing each use </w:t>
      </w:r>
      <w:r w:rsidR="00A6766D" w:rsidRPr="001A7C5F">
        <w:rPr>
          <w:rFonts w:asciiTheme="majorHAnsi" w:hAnsiTheme="majorHAnsi" w:cs="Times New Roman"/>
        </w:rPr>
        <w:t>in Section 2</w:t>
      </w:r>
      <w:r w:rsidR="00364FF4" w:rsidRPr="001A7C5F">
        <w:rPr>
          <w:rFonts w:asciiTheme="majorHAnsi" w:hAnsiTheme="majorHAnsi" w:cs="Times New Roman"/>
        </w:rPr>
        <w:t xml:space="preserve"> and Da Silva (2023b), an</w:t>
      </w:r>
      <w:r w:rsidR="00364FF4" w:rsidRPr="00DF36AD">
        <w:rPr>
          <w:rFonts w:asciiTheme="majorHAnsi" w:hAnsiTheme="majorHAnsi" w:cs="Times New Roman"/>
        </w:rPr>
        <w:t xml:space="preserve"> </w:t>
      </w:r>
      <w:r w:rsidR="00C928F8" w:rsidRPr="00DF36AD">
        <w:rPr>
          <w:rFonts w:asciiTheme="majorHAnsi" w:hAnsiTheme="majorHAnsi" w:cs="Times New Roman"/>
        </w:rPr>
        <w:t>encyclopedia</w:t>
      </w:r>
      <w:r w:rsidR="00364FF4" w:rsidRPr="00DF36AD">
        <w:rPr>
          <w:rFonts w:asciiTheme="majorHAnsi" w:hAnsiTheme="majorHAnsi" w:cs="Times New Roman"/>
        </w:rPr>
        <w:t xml:space="preserve"> entry covering most of the controversies discussed in this introduction</w:t>
      </w:r>
      <w:r w:rsidR="00A6766D" w:rsidRPr="00DF36AD">
        <w:rPr>
          <w:rFonts w:asciiTheme="majorHAnsi" w:hAnsiTheme="majorHAnsi" w:cs="Times New Roman"/>
        </w:rPr>
        <w:t>.</w:t>
      </w:r>
      <w:r w:rsidR="001F703B" w:rsidRPr="00DF36AD">
        <w:rPr>
          <w:rFonts w:asciiTheme="majorHAnsi" w:hAnsiTheme="majorHAnsi" w:cs="Times New Roman"/>
        </w:rPr>
        <w:t xml:space="preserve"> See also the </w:t>
      </w:r>
      <w:r w:rsidR="00364FF4" w:rsidRPr="00DF36AD">
        <w:rPr>
          <w:rFonts w:asciiTheme="majorHAnsi" w:hAnsiTheme="majorHAnsi" w:cs="Times New Roman"/>
        </w:rPr>
        <w:t>excellen</w:t>
      </w:r>
      <w:r w:rsidR="00DF36AD" w:rsidRPr="00DF36AD">
        <w:rPr>
          <w:rFonts w:asciiTheme="majorHAnsi" w:hAnsiTheme="majorHAnsi" w:cs="Times New Roman"/>
        </w:rPr>
        <w:t xml:space="preserve">t </w:t>
      </w:r>
      <w:r w:rsidR="001F703B" w:rsidRPr="00DF36AD">
        <w:rPr>
          <w:rFonts w:asciiTheme="majorHAnsi" w:hAnsiTheme="majorHAnsi" w:cs="Times New Roman"/>
        </w:rPr>
        <w:t xml:space="preserve">collection of essays </w:t>
      </w:r>
      <w:r w:rsidR="00DF36AD" w:rsidRPr="00DF36AD">
        <w:rPr>
          <w:rFonts w:asciiTheme="majorHAnsi" w:hAnsiTheme="majorHAnsi" w:cs="Times New Roman"/>
        </w:rPr>
        <w:t>edi</w:t>
      </w:r>
      <w:r w:rsidR="001F703B" w:rsidRPr="00DF36AD">
        <w:rPr>
          <w:rFonts w:asciiTheme="majorHAnsi" w:hAnsiTheme="majorHAnsi" w:cs="Times New Roman"/>
        </w:rPr>
        <w:t>ted by Fleming and Levy (2014), many of which also focus on federalism.</w:t>
      </w:r>
      <w:r w:rsidR="00CA58CA" w:rsidRPr="00DF36AD">
        <w:rPr>
          <w:rFonts w:asciiTheme="majorHAnsi" w:hAnsiTheme="majorHAnsi" w:cs="Times New Roman"/>
        </w:rPr>
        <w:t xml:space="preserve"> </w:t>
      </w:r>
    </w:p>
  </w:footnote>
  <w:footnote w:id="7">
    <w:p w14:paraId="6280FC5E" w14:textId="33875EF2" w:rsidR="00C201E2" w:rsidRPr="00DF36AD" w:rsidRDefault="00C201E2">
      <w:pPr>
        <w:pStyle w:val="FootnoteText"/>
        <w:rPr>
          <w:rFonts w:asciiTheme="majorHAnsi" w:hAnsiTheme="majorHAnsi" w:cs="Times New Roman"/>
          <w:lang w:val="en-US"/>
        </w:rPr>
      </w:pPr>
      <w:r w:rsidRPr="00DF36AD">
        <w:rPr>
          <w:rStyle w:val="FootnoteReference"/>
          <w:rFonts w:asciiTheme="majorHAnsi" w:hAnsiTheme="majorHAnsi" w:cs="Times New Roman"/>
        </w:rPr>
        <w:footnoteRef/>
      </w:r>
      <w:r w:rsidRPr="00DF36AD">
        <w:rPr>
          <w:rFonts w:asciiTheme="majorHAnsi" w:hAnsiTheme="majorHAnsi" w:cs="Times New Roman"/>
        </w:rPr>
        <w:t xml:space="preserve"> </w:t>
      </w:r>
      <w:r w:rsidR="00D5312C" w:rsidRPr="00DF36AD">
        <w:rPr>
          <w:rFonts w:asciiTheme="majorHAnsi" w:hAnsiTheme="majorHAnsi" w:cs="Times New Roman"/>
        </w:rPr>
        <w:t xml:space="preserve">Further to </w:t>
      </w:r>
      <w:r w:rsidR="00BC3E8B">
        <w:rPr>
          <w:rFonts w:asciiTheme="majorHAnsi" w:hAnsiTheme="majorHAnsi" w:cs="Times New Roman"/>
        </w:rPr>
        <w:t xml:space="preserve">the aforementioned </w:t>
      </w:r>
      <w:r w:rsidR="00D5312C" w:rsidRPr="00DF36AD">
        <w:rPr>
          <w:rFonts w:asciiTheme="majorHAnsi" w:hAnsiTheme="majorHAnsi" w:cs="Times New Roman"/>
        </w:rPr>
        <w:t xml:space="preserve">Cahill, </w:t>
      </w:r>
      <w:r w:rsidR="00EF22CD" w:rsidRPr="00DF36AD">
        <w:rPr>
          <w:rFonts w:asciiTheme="majorHAnsi" w:hAnsiTheme="majorHAnsi" w:cs="Times New Roman"/>
        </w:rPr>
        <w:t xml:space="preserve">see, for example, </w:t>
      </w:r>
      <w:r w:rsidR="00282DD1" w:rsidRPr="00DF36AD">
        <w:rPr>
          <w:rFonts w:asciiTheme="majorHAnsi" w:hAnsiTheme="majorHAnsi" w:cs="Times New Roman"/>
        </w:rPr>
        <w:t xml:space="preserve">Muñiz-Fraticelli (2014) and </w:t>
      </w:r>
      <w:r w:rsidR="00EF22CD" w:rsidRPr="00DF36AD">
        <w:rPr>
          <w:rFonts w:asciiTheme="majorHAnsi" w:hAnsiTheme="majorHAnsi" w:cs="Times New Roman"/>
        </w:rPr>
        <w:t>Finnis (2016)</w:t>
      </w:r>
      <w:r w:rsidR="00282DD1" w:rsidRPr="00DF36AD">
        <w:rPr>
          <w:rFonts w:asciiTheme="majorHAnsi" w:hAnsiTheme="majorHAnsi" w:cs="Times New Roman"/>
        </w:rPr>
        <w:t>.</w:t>
      </w:r>
    </w:p>
  </w:footnote>
  <w:footnote w:id="8">
    <w:p w14:paraId="63898959" w14:textId="630A0862" w:rsidR="00DC29AF" w:rsidRPr="00DF36AD" w:rsidRDefault="00DC29AF">
      <w:pPr>
        <w:pStyle w:val="FootnoteText"/>
        <w:rPr>
          <w:rFonts w:asciiTheme="majorHAnsi" w:hAnsiTheme="majorHAnsi" w:cs="Times New Roman"/>
          <w:lang w:val="en-US"/>
        </w:rPr>
      </w:pPr>
      <w:r w:rsidRPr="00DF36AD">
        <w:rPr>
          <w:rStyle w:val="FootnoteReference"/>
          <w:rFonts w:asciiTheme="majorHAnsi" w:hAnsiTheme="majorHAnsi" w:cs="Times New Roman"/>
        </w:rPr>
        <w:footnoteRef/>
      </w:r>
      <w:r w:rsidRPr="00DF36AD">
        <w:rPr>
          <w:rFonts w:asciiTheme="majorHAnsi" w:hAnsiTheme="majorHAnsi" w:cs="Times New Roman"/>
        </w:rPr>
        <w:t xml:space="preserve"> </w:t>
      </w:r>
      <w:r w:rsidR="00DF36AD" w:rsidRPr="00DF36AD">
        <w:rPr>
          <w:rFonts w:asciiTheme="majorHAnsi" w:hAnsiTheme="majorHAnsi" w:cs="Times New Roman"/>
        </w:rPr>
        <w:t>Follesdal (1998, 2025)</w:t>
      </w:r>
      <w:r w:rsidR="00DF36AD">
        <w:rPr>
          <w:rFonts w:asciiTheme="majorHAnsi" w:hAnsiTheme="majorHAnsi" w:cs="Times New Roman"/>
        </w:rPr>
        <w:t xml:space="preserve"> suggests that support for the principle may trade </w:t>
      </w:r>
      <w:r w:rsidR="001E2091">
        <w:rPr>
          <w:rFonts w:asciiTheme="majorHAnsi" w:hAnsiTheme="majorHAnsi" w:cs="Times New Roman"/>
        </w:rPr>
        <w:t>on ambiguities in its meaning.</w:t>
      </w:r>
      <w:r w:rsidR="00447231">
        <w:rPr>
          <w:rFonts w:asciiTheme="majorHAnsi" w:hAnsiTheme="majorHAnsi" w:cs="Times New Roman"/>
        </w:rPr>
        <w:t xml:space="preserve"> Follesdal is also alive to the issues raised by such ambiguities. For a set of related issues, see, for example, Burbidge (2017).</w:t>
      </w:r>
    </w:p>
  </w:footnote>
  <w:footnote w:id="9">
    <w:p w14:paraId="44F1870E" w14:textId="44CD59E2" w:rsidR="00C201E2" w:rsidRPr="00CB01E5" w:rsidRDefault="00C201E2">
      <w:pPr>
        <w:pStyle w:val="FootnoteText"/>
        <w:rPr>
          <w:rFonts w:asciiTheme="majorHAnsi" w:hAnsiTheme="majorHAnsi" w:cs="Times New Roman"/>
          <w:lang w:val="en-US"/>
        </w:rPr>
      </w:pPr>
      <w:r w:rsidRPr="00CB01E5">
        <w:rPr>
          <w:rStyle w:val="FootnoteReference"/>
          <w:rFonts w:asciiTheme="majorHAnsi" w:hAnsiTheme="majorHAnsi" w:cs="Times New Roman"/>
        </w:rPr>
        <w:footnoteRef/>
      </w:r>
      <w:r w:rsidRPr="00CB01E5">
        <w:rPr>
          <w:rFonts w:asciiTheme="majorHAnsi" w:hAnsiTheme="majorHAnsi" w:cs="Times New Roman"/>
        </w:rPr>
        <w:t xml:space="preserve"> </w:t>
      </w:r>
      <w:r w:rsidR="00634C6D" w:rsidRPr="00CB01E5">
        <w:rPr>
          <w:rFonts w:asciiTheme="majorHAnsi" w:hAnsiTheme="majorHAnsi" w:cs="Times New Roman"/>
        </w:rPr>
        <w:t xml:space="preserve">See Da Silva (2023ab). </w:t>
      </w:r>
      <w:r w:rsidR="009E1CB7">
        <w:rPr>
          <w:rFonts w:asciiTheme="majorHAnsi" w:hAnsiTheme="majorHAnsi" w:cs="Times New Roman"/>
        </w:rPr>
        <w:t xml:space="preserve">As noted above, </w:t>
      </w:r>
      <w:r w:rsidR="00634C6D" w:rsidRPr="00CB01E5">
        <w:rPr>
          <w:rFonts w:asciiTheme="majorHAnsi" w:hAnsiTheme="majorHAnsi" w:cs="Times New Roman"/>
        </w:rPr>
        <w:t>Follesdal (</w:t>
      </w:r>
      <w:r w:rsidR="0087462A" w:rsidRPr="00CB01E5">
        <w:rPr>
          <w:rFonts w:asciiTheme="majorHAnsi" w:hAnsiTheme="majorHAnsi" w:cs="Times New Roman"/>
        </w:rPr>
        <w:t xml:space="preserve">1998) highlights efficiency and necessity conditions. Yet several scholars, including the aforementioned Cahill, note that the nature </w:t>
      </w:r>
      <w:r w:rsidR="009E1CB7">
        <w:rPr>
          <w:rFonts w:asciiTheme="majorHAnsi" w:hAnsiTheme="majorHAnsi" w:cs="Times New Roman"/>
        </w:rPr>
        <w:t xml:space="preserve">of each </w:t>
      </w:r>
      <w:r w:rsidR="00F6424A">
        <w:rPr>
          <w:rFonts w:asciiTheme="majorHAnsi" w:hAnsiTheme="majorHAnsi" w:cs="Times New Roman"/>
        </w:rPr>
        <w:t>condition</w:t>
      </w:r>
      <w:r w:rsidR="0087462A" w:rsidRPr="00CB01E5">
        <w:rPr>
          <w:rFonts w:asciiTheme="majorHAnsi" w:hAnsiTheme="majorHAnsi" w:cs="Times New Roman"/>
        </w:rPr>
        <w:t xml:space="preserve"> </w:t>
      </w:r>
      <w:r w:rsidR="009E1CB7">
        <w:rPr>
          <w:rFonts w:asciiTheme="majorHAnsi" w:hAnsiTheme="majorHAnsi" w:cs="Times New Roman"/>
        </w:rPr>
        <w:t>is itself</w:t>
      </w:r>
      <w:r w:rsidR="0087462A" w:rsidRPr="00CB01E5">
        <w:rPr>
          <w:rFonts w:asciiTheme="majorHAnsi" w:hAnsiTheme="majorHAnsi" w:cs="Times New Roman"/>
        </w:rPr>
        <w:t xml:space="preserve"> contested.</w:t>
      </w:r>
    </w:p>
  </w:footnote>
  <w:footnote w:id="10">
    <w:p w14:paraId="28F82B60" w14:textId="77777777" w:rsidR="00A9580F" w:rsidRPr="00CB01E5" w:rsidRDefault="00A9580F" w:rsidP="00A9580F">
      <w:pPr>
        <w:pStyle w:val="FootnoteText"/>
        <w:rPr>
          <w:rFonts w:asciiTheme="majorHAnsi" w:hAnsiTheme="majorHAnsi" w:cs="Times New Roman"/>
          <w:lang w:val="en-US"/>
        </w:rPr>
      </w:pPr>
      <w:r w:rsidRPr="00CB01E5">
        <w:rPr>
          <w:rStyle w:val="FootnoteReference"/>
          <w:rFonts w:asciiTheme="majorHAnsi" w:hAnsiTheme="majorHAnsi" w:cs="Times New Roman"/>
        </w:rPr>
        <w:footnoteRef/>
      </w:r>
      <w:r w:rsidRPr="00CB01E5">
        <w:rPr>
          <w:rFonts w:asciiTheme="majorHAnsi" w:hAnsiTheme="majorHAnsi" w:cs="Times New Roman"/>
        </w:rPr>
        <w:t xml:space="preserve"> See, for example, summaries in Fleming and Levy (2014), Da Silva (2023b), and Follesdal (1998, 2025).</w:t>
      </w:r>
    </w:p>
    <w:p w14:paraId="2419336A" w14:textId="53A4DC50" w:rsidR="00A9580F" w:rsidRPr="00CB01E5" w:rsidRDefault="00A9580F" w:rsidP="00A9580F">
      <w:pPr>
        <w:pStyle w:val="FootnoteText"/>
        <w:rPr>
          <w:rFonts w:asciiTheme="majorHAnsi" w:hAnsiTheme="majorHAnsi" w:cs="Times New Roman"/>
          <w:lang w:val="en-US"/>
        </w:rPr>
      </w:pPr>
      <w:r w:rsidRPr="00CB01E5">
        <w:rPr>
          <w:rFonts w:asciiTheme="majorHAnsi" w:hAnsiTheme="majorHAnsi" w:cs="Times New Roman"/>
        </w:rPr>
        <w:t>Compare, for example, relevant arguments in Goodin (2007), Barber (2018), and Weinstock (2014). Goodin’s seeks to answer the democratic boundary problem, though his preferred solution notably leads him to support subsidiarity.</w:t>
      </w:r>
    </w:p>
  </w:footnote>
  <w:footnote w:id="11">
    <w:p w14:paraId="5569349A" w14:textId="77777777" w:rsidR="004D5F62" w:rsidRPr="00CB01E5" w:rsidRDefault="004D5F62" w:rsidP="004D5F62">
      <w:pPr>
        <w:pStyle w:val="FootnoteText"/>
        <w:rPr>
          <w:rFonts w:asciiTheme="majorHAnsi" w:hAnsiTheme="majorHAnsi" w:cs="Times New Roman"/>
          <w:lang w:val="en-US"/>
        </w:rPr>
      </w:pPr>
      <w:r w:rsidRPr="00CB01E5">
        <w:rPr>
          <w:rStyle w:val="FootnoteReference"/>
          <w:rFonts w:asciiTheme="majorHAnsi" w:hAnsiTheme="majorHAnsi" w:cs="Times New Roman"/>
        </w:rPr>
        <w:footnoteRef/>
      </w:r>
      <w:r w:rsidRPr="00CB01E5">
        <w:rPr>
          <w:rFonts w:asciiTheme="majorHAnsi" w:hAnsiTheme="majorHAnsi" w:cs="Times New Roman"/>
        </w:rPr>
        <w:t xml:space="preserve"> See Follesdal (1998). Later work, like Follesdal (2025), reaches the same conclusion. Other scholars also highlight how historical (e.g., Finnis 2016) and contemporary (e.g., Burbidge 2017) conceptions differ across several criteria. </w:t>
      </w:r>
    </w:p>
  </w:footnote>
  <w:footnote w:id="12">
    <w:p w14:paraId="0F3E91FC" w14:textId="48AA64EC" w:rsidR="00C201E2" w:rsidRPr="00555397" w:rsidRDefault="00C201E2">
      <w:pPr>
        <w:pStyle w:val="FootnoteText"/>
        <w:rPr>
          <w:rFonts w:asciiTheme="majorHAnsi" w:hAnsiTheme="majorHAnsi"/>
          <w:lang w:val="en-US"/>
        </w:rPr>
      </w:pPr>
      <w:r w:rsidRPr="00555397">
        <w:rPr>
          <w:rStyle w:val="FootnoteReference"/>
          <w:rFonts w:asciiTheme="majorHAnsi" w:hAnsiTheme="majorHAnsi"/>
        </w:rPr>
        <w:footnoteRef/>
      </w:r>
      <w:r w:rsidRPr="00555397">
        <w:rPr>
          <w:rFonts w:asciiTheme="majorHAnsi" w:hAnsiTheme="majorHAnsi"/>
        </w:rPr>
        <w:t xml:space="preserve"> </w:t>
      </w:r>
      <w:r w:rsidR="000240D0" w:rsidRPr="00555397">
        <w:rPr>
          <w:rFonts w:asciiTheme="majorHAnsi" w:hAnsiTheme="majorHAnsi"/>
        </w:rPr>
        <w:t xml:space="preserve">Recall, again, discussions in Barber (2018) and Cahill (2017, 2021). See also discussions in this </w:t>
      </w:r>
      <w:r w:rsidR="00B16DB4">
        <w:rPr>
          <w:rFonts w:asciiTheme="majorHAnsi" w:hAnsiTheme="majorHAnsi"/>
        </w:rPr>
        <w:t>issu</w:t>
      </w:r>
      <w:r w:rsidR="000240D0" w:rsidRPr="00555397">
        <w:rPr>
          <w:rFonts w:asciiTheme="majorHAnsi" w:hAnsiTheme="majorHAnsi"/>
        </w:rPr>
        <w:t>e.</w:t>
      </w:r>
      <w:r w:rsidR="00D67BFD" w:rsidRPr="00555397">
        <w:rPr>
          <w:rFonts w:asciiTheme="majorHAnsi" w:hAnsiTheme="majorHAnsi"/>
        </w:rPr>
        <w:t xml:space="preserve"> For more on the </w:t>
      </w:r>
      <w:r w:rsidR="00555397">
        <w:rPr>
          <w:rFonts w:asciiTheme="majorHAnsi" w:hAnsiTheme="majorHAnsi"/>
        </w:rPr>
        <w:t>issue</w:t>
      </w:r>
      <w:r w:rsidR="00D67BFD" w:rsidRPr="00555397">
        <w:rPr>
          <w:rFonts w:asciiTheme="majorHAnsi" w:hAnsiTheme="majorHAnsi"/>
        </w:rPr>
        <w:t>s in the preceding paragraph</w:t>
      </w:r>
      <w:r w:rsidR="00555397">
        <w:rPr>
          <w:rFonts w:asciiTheme="majorHAnsi" w:hAnsiTheme="majorHAnsi"/>
        </w:rPr>
        <w:t>s</w:t>
      </w:r>
      <w:r w:rsidR="00D67BFD" w:rsidRPr="00555397">
        <w:rPr>
          <w:rFonts w:asciiTheme="majorHAnsi" w:hAnsiTheme="majorHAnsi"/>
        </w:rPr>
        <w:t>, see Da Silva (2023b)</w:t>
      </w:r>
      <w:r w:rsidR="00555397">
        <w:rPr>
          <w:rFonts w:asciiTheme="majorHAnsi" w:hAnsiTheme="majorHAnsi"/>
        </w:rPr>
        <w:t xml:space="preserve"> on the</w:t>
      </w:r>
      <w:r w:rsidR="00D67BFD" w:rsidRPr="00555397">
        <w:rPr>
          <w:rFonts w:asciiTheme="majorHAnsi" w:hAnsiTheme="majorHAnsi"/>
        </w:rPr>
        <w:t xml:space="preserve"> list of questions </w:t>
      </w:r>
      <w:r w:rsidR="00555397">
        <w:rPr>
          <w:rFonts w:asciiTheme="majorHAnsi" w:hAnsiTheme="majorHAnsi"/>
        </w:rPr>
        <w:t xml:space="preserve">that </w:t>
      </w:r>
      <w:r w:rsidR="00D67BFD" w:rsidRPr="00555397">
        <w:rPr>
          <w:rFonts w:asciiTheme="majorHAnsi" w:hAnsiTheme="majorHAnsi"/>
        </w:rPr>
        <w:t>a complete theory of subsidiarity should answer: “</w:t>
      </w:r>
      <w:r w:rsidR="00D67BFD" w:rsidRPr="00555397">
        <w:rPr>
          <w:rFonts w:asciiTheme="majorHAnsi" w:hAnsiTheme="majorHAnsi"/>
          <w:lang w:val="en-GB"/>
        </w:rPr>
        <w:t>Is Subsidiarity a Single Principle?”, “What Problem(s) Does Subsidiarity Aim to Solve?”, |Who Are the Subjects of Subsidiarity?”, “What Could Justify Subsidiarity?”, “What Does “Closeness”/“Most Affected”/“Local Control” Mean?”, “What Presumption Does Subsidiary Establish? How Can It Be Overcome?”, What Is the Role of “Higher”-Level Governments?”, and “How Does Subsidiarity Relate to Adjacent Concepts?”</w:t>
      </w:r>
    </w:p>
  </w:footnote>
  <w:footnote w:id="13">
    <w:p w14:paraId="0EBEE8ED" w14:textId="712B04F3" w:rsidR="0066394A" w:rsidRPr="009012E7" w:rsidRDefault="0066394A">
      <w:pPr>
        <w:pStyle w:val="FootnoteText"/>
        <w:rPr>
          <w:rFonts w:asciiTheme="majorHAnsi" w:hAnsiTheme="majorHAnsi"/>
          <w:lang w:val="en-US"/>
        </w:rPr>
      </w:pPr>
      <w:r w:rsidRPr="009012E7">
        <w:rPr>
          <w:rStyle w:val="FootnoteReference"/>
          <w:rFonts w:asciiTheme="majorHAnsi" w:hAnsiTheme="majorHAnsi"/>
        </w:rPr>
        <w:footnoteRef/>
      </w:r>
      <w:r w:rsidRPr="009012E7">
        <w:rPr>
          <w:rFonts w:asciiTheme="majorHAnsi" w:hAnsiTheme="majorHAnsi"/>
        </w:rPr>
        <w:t xml:space="preserve"> </w:t>
      </w:r>
      <w:r w:rsidR="0096290B" w:rsidRPr="009012E7">
        <w:rPr>
          <w:rFonts w:asciiTheme="majorHAnsi" w:hAnsiTheme="majorHAnsi"/>
        </w:rPr>
        <w:t xml:space="preserve">Further to Fleming and Levy (2014), see Levy (2007) and </w:t>
      </w:r>
      <w:r w:rsidR="0096290B" w:rsidRPr="009012E7">
        <w:rPr>
          <w:rFonts w:asciiTheme="majorHAnsi" w:hAnsiTheme="majorHAnsi" w:cs="Times New Roman"/>
        </w:rPr>
        <w:t>Muñiz-Fraticelli (2014).</w:t>
      </w:r>
    </w:p>
  </w:footnote>
  <w:footnote w:id="14">
    <w:p w14:paraId="28D3F925" w14:textId="02C32C1A" w:rsidR="009012E7" w:rsidRPr="009012E7" w:rsidRDefault="009012E7">
      <w:pPr>
        <w:pStyle w:val="FootnoteText"/>
        <w:rPr>
          <w:rFonts w:asciiTheme="majorHAnsi" w:hAnsiTheme="majorHAnsi"/>
          <w:lang w:val="en-US"/>
        </w:rPr>
      </w:pPr>
      <w:r w:rsidRPr="009012E7">
        <w:rPr>
          <w:rStyle w:val="FootnoteReference"/>
          <w:rFonts w:asciiTheme="majorHAnsi" w:hAnsiTheme="majorHAnsi"/>
        </w:rPr>
        <w:footnoteRef/>
      </w:r>
      <w:r w:rsidRPr="009012E7">
        <w:rPr>
          <w:rFonts w:asciiTheme="majorHAnsi" w:hAnsiTheme="majorHAnsi"/>
        </w:rPr>
        <w:t xml:space="preserve"> </w:t>
      </w:r>
      <w:r w:rsidRPr="009012E7">
        <w:rPr>
          <w:rFonts w:asciiTheme="majorHAnsi" w:hAnsiTheme="majorHAnsi"/>
          <w:lang w:val="en-US"/>
        </w:rPr>
        <w:t>See, for example, Latimer (2018</w:t>
      </w:r>
      <w:r w:rsidR="00D70D06">
        <w:rPr>
          <w:rFonts w:asciiTheme="majorHAnsi" w:hAnsiTheme="majorHAnsi"/>
          <w:lang w:val="en-US"/>
        </w:rPr>
        <w:t>a</w:t>
      </w:r>
      <w:r w:rsidRPr="009012E7">
        <w:rPr>
          <w:rFonts w:asciiTheme="majorHAnsi" w:hAnsiTheme="majorHAnsi"/>
          <w:lang w:val="en-US"/>
        </w:rPr>
        <w:t>) and Da Silva (2023).</w:t>
      </w:r>
    </w:p>
  </w:footnote>
  <w:footnote w:id="15">
    <w:p w14:paraId="64193F71" w14:textId="2E631343" w:rsidR="00C201E2" w:rsidRPr="009012E7" w:rsidRDefault="00C201E2">
      <w:pPr>
        <w:pStyle w:val="FootnoteText"/>
        <w:rPr>
          <w:rFonts w:asciiTheme="majorHAnsi" w:hAnsiTheme="majorHAnsi"/>
          <w:lang w:val="en-US"/>
        </w:rPr>
      </w:pPr>
      <w:r w:rsidRPr="009012E7">
        <w:rPr>
          <w:rStyle w:val="FootnoteReference"/>
          <w:rFonts w:asciiTheme="majorHAnsi" w:hAnsiTheme="majorHAnsi"/>
        </w:rPr>
        <w:footnoteRef/>
      </w:r>
      <w:r w:rsidRPr="009012E7">
        <w:rPr>
          <w:rFonts w:asciiTheme="majorHAnsi" w:hAnsiTheme="majorHAnsi"/>
        </w:rPr>
        <w:t xml:space="preserve"> </w:t>
      </w:r>
      <w:r w:rsidR="00A22FCD">
        <w:rPr>
          <w:rFonts w:asciiTheme="majorHAnsi" w:hAnsiTheme="majorHAnsi"/>
        </w:rPr>
        <w:t>See discussions of relevant burdens in, for example, Follesdal (1998, 2025) and Weinstock (2014).</w:t>
      </w:r>
    </w:p>
  </w:footnote>
  <w:footnote w:id="16">
    <w:p w14:paraId="3D403FFE" w14:textId="576A98EB" w:rsidR="00C201E2" w:rsidRPr="009012E7" w:rsidRDefault="00C201E2">
      <w:pPr>
        <w:pStyle w:val="FootnoteText"/>
        <w:rPr>
          <w:rFonts w:asciiTheme="majorHAnsi" w:hAnsiTheme="majorHAnsi"/>
          <w:lang w:val="en-US"/>
        </w:rPr>
      </w:pPr>
      <w:r w:rsidRPr="009012E7">
        <w:rPr>
          <w:rStyle w:val="FootnoteReference"/>
          <w:rFonts w:asciiTheme="majorHAnsi" w:hAnsiTheme="majorHAnsi"/>
        </w:rPr>
        <w:footnoteRef/>
      </w:r>
      <w:r w:rsidRPr="009012E7">
        <w:rPr>
          <w:rFonts w:asciiTheme="majorHAnsi" w:hAnsiTheme="majorHAnsi"/>
        </w:rPr>
        <w:t xml:space="preserve"> </w:t>
      </w:r>
      <w:r w:rsidR="009B4FDD" w:rsidRPr="009012E7">
        <w:rPr>
          <w:rFonts w:asciiTheme="majorHAnsi" w:hAnsiTheme="majorHAnsi"/>
        </w:rPr>
        <w:t>See Weinstock (2014)</w:t>
      </w:r>
      <w:r w:rsidR="00E307AF" w:rsidRPr="009012E7">
        <w:rPr>
          <w:rFonts w:asciiTheme="majorHAnsi" w:hAnsiTheme="majorHAnsi"/>
        </w:rPr>
        <w:t xml:space="preserve"> and Da Silva (2023a)</w:t>
      </w:r>
      <w:r w:rsidR="009B4FDD" w:rsidRPr="009012E7">
        <w:rPr>
          <w:rFonts w:asciiTheme="majorHAnsi" w:hAnsiTheme="majorHAnsi"/>
        </w:rPr>
        <w:t xml:space="preserve">. </w:t>
      </w:r>
    </w:p>
  </w:footnote>
  <w:footnote w:id="17">
    <w:p w14:paraId="72F0B8A6" w14:textId="32FB070A" w:rsidR="00C201E2" w:rsidRPr="00DF36AD" w:rsidRDefault="00C201E2">
      <w:pPr>
        <w:pStyle w:val="FootnoteText"/>
        <w:rPr>
          <w:rFonts w:asciiTheme="majorHAnsi" w:hAnsiTheme="majorHAnsi"/>
          <w:lang w:val="en-US"/>
        </w:rPr>
      </w:pPr>
      <w:r w:rsidRPr="009012E7">
        <w:rPr>
          <w:rStyle w:val="FootnoteReference"/>
          <w:rFonts w:asciiTheme="majorHAnsi" w:hAnsiTheme="majorHAnsi"/>
        </w:rPr>
        <w:footnoteRef/>
      </w:r>
      <w:r w:rsidRPr="009012E7">
        <w:rPr>
          <w:rFonts w:asciiTheme="majorHAnsi" w:hAnsiTheme="majorHAnsi"/>
        </w:rPr>
        <w:t xml:space="preserve"> </w:t>
      </w:r>
      <w:r w:rsidR="00E307AF" w:rsidRPr="009012E7">
        <w:rPr>
          <w:rFonts w:asciiTheme="majorHAnsi" w:hAnsiTheme="majorHAnsi"/>
        </w:rPr>
        <w:t xml:space="preserve">Compare Levy (2007), </w:t>
      </w:r>
      <w:r w:rsidR="00E307AF" w:rsidRPr="009012E7">
        <w:rPr>
          <w:rFonts w:asciiTheme="majorHAnsi" w:hAnsiTheme="majorHAnsi" w:cs="Times New Roman"/>
        </w:rPr>
        <w:t>Muñiz-Fraticelli (2014), Finnis (2016), and Cahill (2017).</w:t>
      </w:r>
    </w:p>
  </w:footnote>
  <w:footnote w:id="18">
    <w:p w14:paraId="63FED43E" w14:textId="54E1C97F" w:rsidR="0037199C" w:rsidRPr="00DF36AD" w:rsidRDefault="0037199C">
      <w:pPr>
        <w:pStyle w:val="FootnoteText"/>
        <w:rPr>
          <w:rFonts w:asciiTheme="majorHAnsi" w:hAnsiTheme="majorHAnsi"/>
          <w:lang w:val="en-US"/>
        </w:rPr>
      </w:pPr>
      <w:r w:rsidRPr="00DF36AD">
        <w:rPr>
          <w:rStyle w:val="FootnoteReference"/>
          <w:rFonts w:asciiTheme="majorHAnsi" w:hAnsiTheme="majorHAnsi"/>
        </w:rPr>
        <w:footnoteRef/>
      </w:r>
      <w:r w:rsidRPr="00DF36AD">
        <w:rPr>
          <w:rFonts w:asciiTheme="majorHAnsi" w:hAnsiTheme="majorHAnsi"/>
        </w:rPr>
        <w:t xml:space="preserve"> </w:t>
      </w:r>
      <w:r w:rsidR="0032673E">
        <w:rPr>
          <w:rFonts w:asciiTheme="majorHAnsi" w:hAnsiTheme="majorHAnsi"/>
        </w:rPr>
        <w:t>This contrast should not</w:t>
      </w:r>
      <w:r w:rsidR="00760E52">
        <w:rPr>
          <w:rFonts w:asciiTheme="majorHAnsi" w:hAnsiTheme="majorHAnsi"/>
        </w:rPr>
        <w:t xml:space="preserve"> </w:t>
      </w:r>
      <w:r w:rsidR="0032673E">
        <w:rPr>
          <w:rFonts w:asciiTheme="majorHAnsi" w:hAnsiTheme="majorHAnsi"/>
        </w:rPr>
        <w:t>be overstated. Many works on dignity and rights seek to reflect their historical uses.</w:t>
      </w:r>
      <w:r w:rsidR="00760E52">
        <w:rPr>
          <w:rFonts w:asciiTheme="majorHAnsi" w:hAnsiTheme="majorHAnsi"/>
        </w:rPr>
        <w:t xml:space="preserve"> </w:t>
      </w:r>
      <w:r w:rsidR="00337FF7">
        <w:rPr>
          <w:rFonts w:asciiTheme="majorHAnsi" w:hAnsiTheme="majorHAnsi"/>
        </w:rPr>
        <w:t xml:space="preserve">For one recent volume examining the history of dignity that connects with contemporary normative work, see Debes (2017). </w:t>
      </w:r>
      <w:r w:rsidR="00760E52">
        <w:rPr>
          <w:rFonts w:asciiTheme="majorHAnsi" w:hAnsiTheme="majorHAnsi"/>
        </w:rPr>
        <w:t xml:space="preserve">The limited numbers of works on subsidiarity that </w:t>
      </w:r>
      <w:r w:rsidR="00760E52" w:rsidRPr="00760E52">
        <w:rPr>
          <w:rFonts w:asciiTheme="majorHAnsi" w:hAnsiTheme="majorHAnsi"/>
          <w:i/>
          <w:iCs/>
        </w:rPr>
        <w:t>do not</w:t>
      </w:r>
      <w:r w:rsidR="00760E52">
        <w:rPr>
          <w:rFonts w:asciiTheme="majorHAnsi" w:hAnsiTheme="majorHAnsi"/>
        </w:rPr>
        <w:t xml:space="preserve"> attend to history</w:t>
      </w:r>
      <w:r w:rsidR="0032673E">
        <w:rPr>
          <w:rFonts w:asciiTheme="majorHAnsi" w:hAnsiTheme="majorHAnsi"/>
        </w:rPr>
        <w:t xml:space="preserve"> </w:t>
      </w:r>
      <w:r w:rsidR="00760E52">
        <w:rPr>
          <w:rFonts w:asciiTheme="majorHAnsi" w:hAnsiTheme="majorHAnsi"/>
        </w:rPr>
        <w:t>remains comparatively remarkable.</w:t>
      </w:r>
    </w:p>
  </w:footnote>
  <w:footnote w:id="19">
    <w:p w14:paraId="132DF3A9" w14:textId="5B4DE4DA" w:rsidR="00E843A5" w:rsidRPr="00DF36AD" w:rsidRDefault="00E843A5">
      <w:pPr>
        <w:pStyle w:val="FootnoteText"/>
        <w:rPr>
          <w:rFonts w:asciiTheme="majorHAnsi" w:hAnsiTheme="majorHAnsi"/>
          <w:lang w:val="en-US"/>
        </w:rPr>
      </w:pPr>
      <w:r w:rsidRPr="00DF36AD">
        <w:rPr>
          <w:rStyle w:val="FootnoteReference"/>
          <w:rFonts w:asciiTheme="majorHAnsi" w:hAnsiTheme="majorHAnsi"/>
        </w:rPr>
        <w:footnoteRef/>
      </w:r>
      <w:r w:rsidRPr="00DF36AD">
        <w:rPr>
          <w:rFonts w:asciiTheme="majorHAnsi" w:hAnsiTheme="majorHAnsi"/>
        </w:rPr>
        <w:t xml:space="preserve"> </w:t>
      </w:r>
      <w:r w:rsidR="00C50A83" w:rsidRPr="00DF36AD">
        <w:rPr>
          <w:rFonts w:asciiTheme="majorHAnsi" w:hAnsiTheme="majorHAnsi"/>
        </w:rPr>
        <w:t xml:space="preserve">Recall </w:t>
      </w:r>
      <w:r w:rsidR="00B16DB4">
        <w:rPr>
          <w:rFonts w:asciiTheme="majorHAnsi" w:hAnsiTheme="majorHAnsi"/>
        </w:rPr>
        <w:t>note 3.</w:t>
      </w:r>
    </w:p>
  </w:footnote>
  <w:footnote w:id="20">
    <w:p w14:paraId="3D8B94E2" w14:textId="2F39D11A" w:rsidR="008B46D6" w:rsidRPr="00DF36AD" w:rsidRDefault="008B46D6">
      <w:pPr>
        <w:pStyle w:val="FootnoteText"/>
        <w:rPr>
          <w:rFonts w:asciiTheme="majorHAnsi" w:hAnsiTheme="majorHAnsi"/>
          <w:lang w:val="en-US"/>
        </w:rPr>
      </w:pPr>
      <w:r w:rsidRPr="00DF36AD">
        <w:rPr>
          <w:rStyle w:val="FootnoteReference"/>
          <w:rFonts w:asciiTheme="majorHAnsi" w:hAnsiTheme="majorHAnsi"/>
        </w:rPr>
        <w:footnoteRef/>
      </w:r>
      <w:r w:rsidRPr="00DF36AD">
        <w:rPr>
          <w:rFonts w:asciiTheme="majorHAnsi" w:hAnsiTheme="majorHAnsi"/>
        </w:rPr>
        <w:t xml:space="preserve"> </w:t>
      </w:r>
      <w:r w:rsidR="00AC6A4D" w:rsidRPr="00DF36AD">
        <w:rPr>
          <w:rFonts w:asciiTheme="majorHAnsi" w:hAnsiTheme="majorHAnsi"/>
        </w:rPr>
        <w:t>These points are developed at greater length in Da Silva (2023</w:t>
      </w:r>
      <w:r w:rsidR="005F4FFC" w:rsidRPr="00DF36AD">
        <w:rPr>
          <w:rFonts w:asciiTheme="majorHAnsi" w:hAnsiTheme="majorHAnsi"/>
        </w:rPr>
        <w:t>a</w:t>
      </w:r>
      <w:r w:rsidR="00AC6A4D" w:rsidRPr="00DF36AD">
        <w:rPr>
          <w:rFonts w:asciiTheme="majorHAnsi" w:hAnsiTheme="majorHAnsi"/>
        </w:rPr>
        <w:t>).</w:t>
      </w:r>
    </w:p>
  </w:footnote>
  <w:footnote w:id="21">
    <w:p w14:paraId="7FE9641D" w14:textId="47F1641C" w:rsidR="001817B3" w:rsidRPr="001817B3" w:rsidRDefault="001817B3">
      <w:pPr>
        <w:pStyle w:val="FootnoteText"/>
      </w:pPr>
      <w:r>
        <w:rPr>
          <w:rStyle w:val="FootnoteReference"/>
        </w:rPr>
        <w:footnoteRef/>
      </w:r>
      <w:r>
        <w:t xml:space="preserve"> King would thus likely reject the characterization of subsidiarity that opens this introduction.</w:t>
      </w:r>
    </w:p>
  </w:footnote>
  <w:footnote w:id="22">
    <w:p w14:paraId="6B00AB14" w14:textId="725F0BFB" w:rsidR="009A1D3C" w:rsidRPr="00DF36AD" w:rsidRDefault="009A1D3C">
      <w:pPr>
        <w:pStyle w:val="FootnoteText"/>
        <w:rPr>
          <w:rFonts w:asciiTheme="majorHAnsi" w:hAnsiTheme="majorHAnsi" w:cs="Times New Roman"/>
          <w:lang w:val="en-US"/>
        </w:rPr>
      </w:pPr>
      <w:r w:rsidRPr="00DF36AD">
        <w:rPr>
          <w:rStyle w:val="FootnoteReference"/>
          <w:rFonts w:asciiTheme="majorHAnsi" w:hAnsiTheme="majorHAnsi" w:cs="Times New Roman"/>
        </w:rPr>
        <w:footnoteRef/>
      </w:r>
      <w:r w:rsidRPr="00DF36AD">
        <w:rPr>
          <w:rFonts w:asciiTheme="majorHAnsi" w:hAnsiTheme="majorHAnsi" w:cs="Times New Roman"/>
        </w:rPr>
        <w:t xml:space="preserve"> </w:t>
      </w:r>
      <w:r w:rsidR="00221F5F" w:rsidRPr="00DF36AD">
        <w:rPr>
          <w:rFonts w:asciiTheme="majorHAnsi" w:hAnsiTheme="majorHAnsi" w:cs="Times New Roman"/>
        </w:rPr>
        <w:t xml:space="preserve">Ortuzar </w:t>
      </w:r>
      <w:r w:rsidR="00AC6A4D" w:rsidRPr="00DF36AD">
        <w:rPr>
          <w:rFonts w:asciiTheme="majorHAnsi" w:hAnsiTheme="majorHAnsi" w:cs="Times New Roman"/>
        </w:rPr>
        <w:t xml:space="preserve">also </w:t>
      </w:r>
      <w:r w:rsidR="00221F5F" w:rsidRPr="00DF36AD">
        <w:rPr>
          <w:rFonts w:asciiTheme="majorHAnsi" w:hAnsiTheme="majorHAnsi" w:cs="Times New Roman"/>
        </w:rPr>
        <w:t>points to the necessity of an ontology-sensitive approach</w:t>
      </w:r>
      <w:r w:rsidR="00B16DB4">
        <w:rPr>
          <w:rFonts w:asciiTheme="majorHAnsi" w:hAnsiTheme="majorHAnsi" w:cs="Times New Roman"/>
        </w:rPr>
        <w:t xml:space="preserve"> like the one</w:t>
      </w:r>
      <w:r w:rsidR="00221F5F" w:rsidRPr="00DF36AD">
        <w:rPr>
          <w:rFonts w:asciiTheme="majorHAnsi" w:hAnsiTheme="majorHAnsi" w:cs="Times New Roman"/>
        </w:rPr>
        <w:t xml:space="preserve"> </w:t>
      </w:r>
      <w:r w:rsidR="00B16DB4">
        <w:rPr>
          <w:rFonts w:asciiTheme="majorHAnsi" w:hAnsiTheme="majorHAnsi" w:cs="Times New Roman"/>
        </w:rPr>
        <w:t>in</w:t>
      </w:r>
      <w:r w:rsidR="00AC6A4D" w:rsidRPr="00DF36AD">
        <w:rPr>
          <w:rFonts w:asciiTheme="majorHAnsi" w:hAnsiTheme="majorHAnsi" w:cs="Times New Roman"/>
        </w:rPr>
        <w:t xml:space="preserve"> Cahill (</w:t>
      </w:r>
      <w:r w:rsidR="00B16DB4">
        <w:rPr>
          <w:rFonts w:asciiTheme="majorHAnsi" w:hAnsiTheme="majorHAnsi" w:cs="Times New Roman"/>
        </w:rPr>
        <w:t xml:space="preserve">2017, </w:t>
      </w:r>
      <w:r w:rsidR="00AC6A4D" w:rsidRPr="00DF36AD">
        <w:rPr>
          <w:rFonts w:asciiTheme="majorHAnsi" w:hAnsiTheme="majorHAnsi" w:cs="Times New Roman"/>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17890"/>
      <w:docPartObj>
        <w:docPartGallery w:val="Page Numbers (Top of Page)"/>
        <w:docPartUnique/>
      </w:docPartObj>
    </w:sdtPr>
    <w:sdtEndPr>
      <w:rPr>
        <w:noProof/>
        <w:sz w:val="20"/>
        <w:szCs w:val="20"/>
      </w:rPr>
    </w:sdtEndPr>
    <w:sdtContent>
      <w:p w14:paraId="5E266344" w14:textId="69777B53" w:rsidR="00C928F8" w:rsidRPr="00C928F8" w:rsidRDefault="00C928F8">
        <w:pPr>
          <w:pStyle w:val="Header"/>
          <w:jc w:val="right"/>
          <w:rPr>
            <w:sz w:val="20"/>
            <w:szCs w:val="20"/>
          </w:rPr>
        </w:pPr>
        <w:r w:rsidRPr="00C928F8">
          <w:rPr>
            <w:sz w:val="20"/>
            <w:szCs w:val="20"/>
          </w:rPr>
          <w:fldChar w:fldCharType="begin"/>
        </w:r>
        <w:r w:rsidRPr="00C928F8">
          <w:rPr>
            <w:sz w:val="20"/>
            <w:szCs w:val="20"/>
          </w:rPr>
          <w:instrText xml:space="preserve"> PAGE   \* MERGEFORMAT </w:instrText>
        </w:r>
        <w:r w:rsidRPr="00C928F8">
          <w:rPr>
            <w:sz w:val="20"/>
            <w:szCs w:val="20"/>
          </w:rPr>
          <w:fldChar w:fldCharType="separate"/>
        </w:r>
        <w:r w:rsidRPr="00C928F8">
          <w:rPr>
            <w:noProof/>
            <w:sz w:val="20"/>
            <w:szCs w:val="20"/>
          </w:rPr>
          <w:t>2</w:t>
        </w:r>
        <w:r w:rsidRPr="00C928F8">
          <w:rPr>
            <w:noProof/>
            <w:sz w:val="20"/>
            <w:szCs w:val="20"/>
          </w:rPr>
          <w:fldChar w:fldCharType="end"/>
        </w:r>
      </w:p>
    </w:sdtContent>
  </w:sdt>
  <w:p w14:paraId="2F8D10A3" w14:textId="77777777" w:rsidR="00C928F8" w:rsidRDefault="00C92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59E7"/>
    <w:multiLevelType w:val="multilevel"/>
    <w:tmpl w:val="7702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947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E7"/>
    <w:rsid w:val="00015498"/>
    <w:rsid w:val="000240D0"/>
    <w:rsid w:val="000512C4"/>
    <w:rsid w:val="0005388F"/>
    <w:rsid w:val="000550E2"/>
    <w:rsid w:val="00060D4B"/>
    <w:rsid w:val="000717D5"/>
    <w:rsid w:val="0008128D"/>
    <w:rsid w:val="00082D42"/>
    <w:rsid w:val="0008489A"/>
    <w:rsid w:val="000962E5"/>
    <w:rsid w:val="000A20E8"/>
    <w:rsid w:val="000A5CCE"/>
    <w:rsid w:val="000B3AEB"/>
    <w:rsid w:val="000B3F4D"/>
    <w:rsid w:val="000C00D0"/>
    <w:rsid w:val="000C0698"/>
    <w:rsid w:val="000C4DAC"/>
    <w:rsid w:val="000D45D4"/>
    <w:rsid w:val="000E0824"/>
    <w:rsid w:val="000E28A9"/>
    <w:rsid w:val="000E3CF2"/>
    <w:rsid w:val="000E789C"/>
    <w:rsid w:val="00114543"/>
    <w:rsid w:val="001177E2"/>
    <w:rsid w:val="00135877"/>
    <w:rsid w:val="0014344F"/>
    <w:rsid w:val="001718E6"/>
    <w:rsid w:val="001726D4"/>
    <w:rsid w:val="001817B3"/>
    <w:rsid w:val="0018218A"/>
    <w:rsid w:val="00182337"/>
    <w:rsid w:val="001832E6"/>
    <w:rsid w:val="0018517E"/>
    <w:rsid w:val="00185721"/>
    <w:rsid w:val="00196F54"/>
    <w:rsid w:val="001A4869"/>
    <w:rsid w:val="001A4E81"/>
    <w:rsid w:val="001A7C5F"/>
    <w:rsid w:val="001B4D10"/>
    <w:rsid w:val="001C458A"/>
    <w:rsid w:val="001D6D59"/>
    <w:rsid w:val="001E0A6B"/>
    <w:rsid w:val="001E2091"/>
    <w:rsid w:val="001F0680"/>
    <w:rsid w:val="001F0F36"/>
    <w:rsid w:val="001F2AE1"/>
    <w:rsid w:val="001F703B"/>
    <w:rsid w:val="00200A2C"/>
    <w:rsid w:val="00210011"/>
    <w:rsid w:val="00217B9E"/>
    <w:rsid w:val="00221F5F"/>
    <w:rsid w:val="002247D5"/>
    <w:rsid w:val="002307D5"/>
    <w:rsid w:val="00242894"/>
    <w:rsid w:val="002565F0"/>
    <w:rsid w:val="00260BFE"/>
    <w:rsid w:val="00263ADF"/>
    <w:rsid w:val="00271AA2"/>
    <w:rsid w:val="00272D0C"/>
    <w:rsid w:val="00282DD1"/>
    <w:rsid w:val="0029159F"/>
    <w:rsid w:val="002955AB"/>
    <w:rsid w:val="002A01D0"/>
    <w:rsid w:val="002A12BF"/>
    <w:rsid w:val="002C3894"/>
    <w:rsid w:val="002E21E4"/>
    <w:rsid w:val="002F3E67"/>
    <w:rsid w:val="0030219B"/>
    <w:rsid w:val="00307764"/>
    <w:rsid w:val="00316742"/>
    <w:rsid w:val="0032673E"/>
    <w:rsid w:val="00327B85"/>
    <w:rsid w:val="00337FF7"/>
    <w:rsid w:val="00346069"/>
    <w:rsid w:val="00357154"/>
    <w:rsid w:val="00361428"/>
    <w:rsid w:val="00361CF3"/>
    <w:rsid w:val="00364FF4"/>
    <w:rsid w:val="0036533C"/>
    <w:rsid w:val="003666CD"/>
    <w:rsid w:val="0037199C"/>
    <w:rsid w:val="00373AD0"/>
    <w:rsid w:val="00374B77"/>
    <w:rsid w:val="00381243"/>
    <w:rsid w:val="00395385"/>
    <w:rsid w:val="003A2729"/>
    <w:rsid w:val="003A2B4E"/>
    <w:rsid w:val="003A3E0C"/>
    <w:rsid w:val="003B5090"/>
    <w:rsid w:val="003C5E00"/>
    <w:rsid w:val="003D1C3D"/>
    <w:rsid w:val="003D643D"/>
    <w:rsid w:val="003E6C74"/>
    <w:rsid w:val="003F05E5"/>
    <w:rsid w:val="003F35CD"/>
    <w:rsid w:val="00403C4B"/>
    <w:rsid w:val="00403E35"/>
    <w:rsid w:val="004270AF"/>
    <w:rsid w:val="00447231"/>
    <w:rsid w:val="00447C0D"/>
    <w:rsid w:val="00460555"/>
    <w:rsid w:val="00462092"/>
    <w:rsid w:val="00470A50"/>
    <w:rsid w:val="00476069"/>
    <w:rsid w:val="00491299"/>
    <w:rsid w:val="00494617"/>
    <w:rsid w:val="0049517D"/>
    <w:rsid w:val="004A1F37"/>
    <w:rsid w:val="004B0C4C"/>
    <w:rsid w:val="004B106F"/>
    <w:rsid w:val="004C0A5C"/>
    <w:rsid w:val="004D2124"/>
    <w:rsid w:val="004D5F62"/>
    <w:rsid w:val="004E198E"/>
    <w:rsid w:val="004E5A1E"/>
    <w:rsid w:val="004F24D2"/>
    <w:rsid w:val="004F5045"/>
    <w:rsid w:val="00501EA8"/>
    <w:rsid w:val="00507A6C"/>
    <w:rsid w:val="00513110"/>
    <w:rsid w:val="00535A83"/>
    <w:rsid w:val="00536BB6"/>
    <w:rsid w:val="00554B69"/>
    <w:rsid w:val="00555397"/>
    <w:rsid w:val="00566AFF"/>
    <w:rsid w:val="00570AE2"/>
    <w:rsid w:val="00575854"/>
    <w:rsid w:val="00582F3D"/>
    <w:rsid w:val="00591F52"/>
    <w:rsid w:val="005A5A2E"/>
    <w:rsid w:val="005C13C4"/>
    <w:rsid w:val="005E719D"/>
    <w:rsid w:val="005F4FFC"/>
    <w:rsid w:val="005F74C3"/>
    <w:rsid w:val="005F7511"/>
    <w:rsid w:val="00602CB8"/>
    <w:rsid w:val="00610C03"/>
    <w:rsid w:val="0062383F"/>
    <w:rsid w:val="00626EA0"/>
    <w:rsid w:val="00633117"/>
    <w:rsid w:val="00634C6D"/>
    <w:rsid w:val="00640166"/>
    <w:rsid w:val="00641D6A"/>
    <w:rsid w:val="006441C7"/>
    <w:rsid w:val="00646C90"/>
    <w:rsid w:val="006556DE"/>
    <w:rsid w:val="006572A7"/>
    <w:rsid w:val="0066094B"/>
    <w:rsid w:val="0066394A"/>
    <w:rsid w:val="00665B91"/>
    <w:rsid w:val="00671BD1"/>
    <w:rsid w:val="00684A6A"/>
    <w:rsid w:val="006A2565"/>
    <w:rsid w:val="006A52CB"/>
    <w:rsid w:val="006A59B6"/>
    <w:rsid w:val="006B0D50"/>
    <w:rsid w:val="006C0AB2"/>
    <w:rsid w:val="006C15CD"/>
    <w:rsid w:val="006D006E"/>
    <w:rsid w:val="006D0E04"/>
    <w:rsid w:val="006D231B"/>
    <w:rsid w:val="006D2B12"/>
    <w:rsid w:val="006D3F2B"/>
    <w:rsid w:val="006D5FC6"/>
    <w:rsid w:val="006E4418"/>
    <w:rsid w:val="006E7D85"/>
    <w:rsid w:val="006F5634"/>
    <w:rsid w:val="007120E8"/>
    <w:rsid w:val="007252CA"/>
    <w:rsid w:val="00725F34"/>
    <w:rsid w:val="007318DE"/>
    <w:rsid w:val="00737BE0"/>
    <w:rsid w:val="0075496E"/>
    <w:rsid w:val="00760C26"/>
    <w:rsid w:val="00760E52"/>
    <w:rsid w:val="00764641"/>
    <w:rsid w:val="00764D26"/>
    <w:rsid w:val="007650C0"/>
    <w:rsid w:val="00777B09"/>
    <w:rsid w:val="00783778"/>
    <w:rsid w:val="00793823"/>
    <w:rsid w:val="007954E7"/>
    <w:rsid w:val="007B03E4"/>
    <w:rsid w:val="007B052F"/>
    <w:rsid w:val="007D1664"/>
    <w:rsid w:val="007D5CE4"/>
    <w:rsid w:val="007D6E17"/>
    <w:rsid w:val="007E11D2"/>
    <w:rsid w:val="007E6026"/>
    <w:rsid w:val="008006A4"/>
    <w:rsid w:val="008041BB"/>
    <w:rsid w:val="008045ED"/>
    <w:rsid w:val="00811DE4"/>
    <w:rsid w:val="0082432A"/>
    <w:rsid w:val="0082493E"/>
    <w:rsid w:val="00833F31"/>
    <w:rsid w:val="00841885"/>
    <w:rsid w:val="0084362D"/>
    <w:rsid w:val="008458EE"/>
    <w:rsid w:val="008528E1"/>
    <w:rsid w:val="008618E3"/>
    <w:rsid w:val="0086598F"/>
    <w:rsid w:val="00865BDE"/>
    <w:rsid w:val="0087462A"/>
    <w:rsid w:val="00884FB4"/>
    <w:rsid w:val="008A4A4B"/>
    <w:rsid w:val="008A4CDA"/>
    <w:rsid w:val="008B46D6"/>
    <w:rsid w:val="008E1893"/>
    <w:rsid w:val="008E1CF4"/>
    <w:rsid w:val="009012E7"/>
    <w:rsid w:val="00942A09"/>
    <w:rsid w:val="00946926"/>
    <w:rsid w:val="0096290B"/>
    <w:rsid w:val="009735A9"/>
    <w:rsid w:val="00985F9C"/>
    <w:rsid w:val="009A1D3C"/>
    <w:rsid w:val="009A78DF"/>
    <w:rsid w:val="009B2F47"/>
    <w:rsid w:val="009B4FDD"/>
    <w:rsid w:val="009C086A"/>
    <w:rsid w:val="009C605C"/>
    <w:rsid w:val="009E0328"/>
    <w:rsid w:val="009E1CB7"/>
    <w:rsid w:val="009E381E"/>
    <w:rsid w:val="009F4FCA"/>
    <w:rsid w:val="009F7F5E"/>
    <w:rsid w:val="00A03603"/>
    <w:rsid w:val="00A056F9"/>
    <w:rsid w:val="00A11825"/>
    <w:rsid w:val="00A12C2F"/>
    <w:rsid w:val="00A12F19"/>
    <w:rsid w:val="00A22FCD"/>
    <w:rsid w:val="00A43D9A"/>
    <w:rsid w:val="00A46985"/>
    <w:rsid w:val="00A607C0"/>
    <w:rsid w:val="00A6766D"/>
    <w:rsid w:val="00A70739"/>
    <w:rsid w:val="00A9580F"/>
    <w:rsid w:val="00AA17CB"/>
    <w:rsid w:val="00AA19CC"/>
    <w:rsid w:val="00AB7AC0"/>
    <w:rsid w:val="00AC334C"/>
    <w:rsid w:val="00AC358B"/>
    <w:rsid w:val="00AC5586"/>
    <w:rsid w:val="00AC6A4D"/>
    <w:rsid w:val="00AD58D7"/>
    <w:rsid w:val="00AE00DE"/>
    <w:rsid w:val="00AE17E9"/>
    <w:rsid w:val="00AE4726"/>
    <w:rsid w:val="00B16DB4"/>
    <w:rsid w:val="00B16E79"/>
    <w:rsid w:val="00B221CD"/>
    <w:rsid w:val="00B32001"/>
    <w:rsid w:val="00B3443C"/>
    <w:rsid w:val="00B47120"/>
    <w:rsid w:val="00B5122E"/>
    <w:rsid w:val="00B56F6E"/>
    <w:rsid w:val="00B637EA"/>
    <w:rsid w:val="00B65839"/>
    <w:rsid w:val="00B75A34"/>
    <w:rsid w:val="00B97E84"/>
    <w:rsid w:val="00BA4528"/>
    <w:rsid w:val="00BA7DAA"/>
    <w:rsid w:val="00BC3E8B"/>
    <w:rsid w:val="00BC4984"/>
    <w:rsid w:val="00BD3F4C"/>
    <w:rsid w:val="00BE0D08"/>
    <w:rsid w:val="00BE689C"/>
    <w:rsid w:val="00BE7A2F"/>
    <w:rsid w:val="00BF0E1C"/>
    <w:rsid w:val="00BF1E45"/>
    <w:rsid w:val="00BF47A7"/>
    <w:rsid w:val="00BF4F84"/>
    <w:rsid w:val="00BF6885"/>
    <w:rsid w:val="00BF7974"/>
    <w:rsid w:val="00C2009C"/>
    <w:rsid w:val="00C201E2"/>
    <w:rsid w:val="00C456B3"/>
    <w:rsid w:val="00C50A83"/>
    <w:rsid w:val="00C640E1"/>
    <w:rsid w:val="00C65992"/>
    <w:rsid w:val="00C6684E"/>
    <w:rsid w:val="00C928F8"/>
    <w:rsid w:val="00C9332D"/>
    <w:rsid w:val="00C95E5E"/>
    <w:rsid w:val="00CA1D89"/>
    <w:rsid w:val="00CA58CA"/>
    <w:rsid w:val="00CB01E5"/>
    <w:rsid w:val="00CB03DE"/>
    <w:rsid w:val="00CB0C37"/>
    <w:rsid w:val="00CC0929"/>
    <w:rsid w:val="00CC0FAF"/>
    <w:rsid w:val="00CC7E3E"/>
    <w:rsid w:val="00CF6F26"/>
    <w:rsid w:val="00D12C4E"/>
    <w:rsid w:val="00D134E7"/>
    <w:rsid w:val="00D142D8"/>
    <w:rsid w:val="00D14546"/>
    <w:rsid w:val="00D14DC3"/>
    <w:rsid w:val="00D22060"/>
    <w:rsid w:val="00D253D6"/>
    <w:rsid w:val="00D307C4"/>
    <w:rsid w:val="00D45F5B"/>
    <w:rsid w:val="00D4797A"/>
    <w:rsid w:val="00D5312C"/>
    <w:rsid w:val="00D678B9"/>
    <w:rsid w:val="00D67BFD"/>
    <w:rsid w:val="00D70D06"/>
    <w:rsid w:val="00DA06BF"/>
    <w:rsid w:val="00DA26E9"/>
    <w:rsid w:val="00DB2BA5"/>
    <w:rsid w:val="00DB4344"/>
    <w:rsid w:val="00DC219D"/>
    <w:rsid w:val="00DC2556"/>
    <w:rsid w:val="00DC29AF"/>
    <w:rsid w:val="00DC3FD5"/>
    <w:rsid w:val="00DD31E6"/>
    <w:rsid w:val="00DD4BB9"/>
    <w:rsid w:val="00DE6016"/>
    <w:rsid w:val="00DF2D4A"/>
    <w:rsid w:val="00DF36AD"/>
    <w:rsid w:val="00E05894"/>
    <w:rsid w:val="00E23EED"/>
    <w:rsid w:val="00E307AF"/>
    <w:rsid w:val="00E331CD"/>
    <w:rsid w:val="00E41AE8"/>
    <w:rsid w:val="00E452AD"/>
    <w:rsid w:val="00E46C26"/>
    <w:rsid w:val="00E73ED5"/>
    <w:rsid w:val="00E843A5"/>
    <w:rsid w:val="00E90334"/>
    <w:rsid w:val="00E957C2"/>
    <w:rsid w:val="00E95853"/>
    <w:rsid w:val="00EA1249"/>
    <w:rsid w:val="00EB48ED"/>
    <w:rsid w:val="00EB50A4"/>
    <w:rsid w:val="00ED14CF"/>
    <w:rsid w:val="00EE27A1"/>
    <w:rsid w:val="00EE2C36"/>
    <w:rsid w:val="00EE5B4D"/>
    <w:rsid w:val="00EF13B6"/>
    <w:rsid w:val="00EF22CD"/>
    <w:rsid w:val="00EF3B5D"/>
    <w:rsid w:val="00EF4DF7"/>
    <w:rsid w:val="00EF5449"/>
    <w:rsid w:val="00EF6873"/>
    <w:rsid w:val="00F01A87"/>
    <w:rsid w:val="00F022F4"/>
    <w:rsid w:val="00F07568"/>
    <w:rsid w:val="00F3406D"/>
    <w:rsid w:val="00F35EB8"/>
    <w:rsid w:val="00F36316"/>
    <w:rsid w:val="00F51E41"/>
    <w:rsid w:val="00F63017"/>
    <w:rsid w:val="00F6424A"/>
    <w:rsid w:val="00F706E9"/>
    <w:rsid w:val="00F72A23"/>
    <w:rsid w:val="00F77667"/>
    <w:rsid w:val="00F92367"/>
    <w:rsid w:val="00FA0110"/>
    <w:rsid w:val="00FB2F9D"/>
    <w:rsid w:val="00FB3F61"/>
    <w:rsid w:val="00FB5917"/>
    <w:rsid w:val="00FD3CD3"/>
    <w:rsid w:val="00FE2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32D9"/>
  <w15:chartTrackingRefBased/>
  <w15:docId w15:val="{B94D839F-686B-4EBC-AE03-9D931ADF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E7"/>
  </w:style>
  <w:style w:type="paragraph" w:styleId="Heading1">
    <w:name w:val="heading 1"/>
    <w:basedOn w:val="Normal"/>
    <w:next w:val="Normal"/>
    <w:link w:val="Heading1Char"/>
    <w:uiPriority w:val="9"/>
    <w:qFormat/>
    <w:rsid w:val="00D1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4E7"/>
    <w:rPr>
      <w:rFonts w:eastAsiaTheme="majorEastAsia" w:cstheme="majorBidi"/>
      <w:color w:val="272727" w:themeColor="text1" w:themeTint="D8"/>
    </w:rPr>
  </w:style>
  <w:style w:type="paragraph" w:styleId="Title">
    <w:name w:val="Title"/>
    <w:basedOn w:val="Normal"/>
    <w:next w:val="Normal"/>
    <w:link w:val="TitleChar"/>
    <w:uiPriority w:val="10"/>
    <w:qFormat/>
    <w:rsid w:val="00D1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4E7"/>
    <w:pPr>
      <w:spacing w:before="160"/>
      <w:jc w:val="center"/>
    </w:pPr>
    <w:rPr>
      <w:i/>
      <w:iCs/>
      <w:color w:val="404040" w:themeColor="text1" w:themeTint="BF"/>
    </w:rPr>
  </w:style>
  <w:style w:type="character" w:customStyle="1" w:styleId="QuoteChar">
    <w:name w:val="Quote Char"/>
    <w:basedOn w:val="DefaultParagraphFont"/>
    <w:link w:val="Quote"/>
    <w:uiPriority w:val="29"/>
    <w:rsid w:val="00D134E7"/>
    <w:rPr>
      <w:i/>
      <w:iCs/>
      <w:color w:val="404040" w:themeColor="text1" w:themeTint="BF"/>
    </w:rPr>
  </w:style>
  <w:style w:type="paragraph" w:styleId="ListParagraph">
    <w:name w:val="List Paragraph"/>
    <w:basedOn w:val="Normal"/>
    <w:uiPriority w:val="34"/>
    <w:qFormat/>
    <w:rsid w:val="00D134E7"/>
    <w:pPr>
      <w:ind w:left="720"/>
      <w:contextualSpacing/>
    </w:pPr>
  </w:style>
  <w:style w:type="character" w:styleId="IntenseEmphasis">
    <w:name w:val="Intense Emphasis"/>
    <w:basedOn w:val="DefaultParagraphFont"/>
    <w:uiPriority w:val="21"/>
    <w:qFormat/>
    <w:rsid w:val="00D134E7"/>
    <w:rPr>
      <w:i/>
      <w:iCs/>
      <w:color w:val="0F4761" w:themeColor="accent1" w:themeShade="BF"/>
    </w:rPr>
  </w:style>
  <w:style w:type="paragraph" w:styleId="IntenseQuote">
    <w:name w:val="Intense Quote"/>
    <w:basedOn w:val="Normal"/>
    <w:next w:val="Normal"/>
    <w:link w:val="IntenseQuoteChar"/>
    <w:uiPriority w:val="30"/>
    <w:qFormat/>
    <w:rsid w:val="00D1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4E7"/>
    <w:rPr>
      <w:i/>
      <w:iCs/>
      <w:color w:val="0F4761" w:themeColor="accent1" w:themeShade="BF"/>
    </w:rPr>
  </w:style>
  <w:style w:type="character" w:styleId="IntenseReference">
    <w:name w:val="Intense Reference"/>
    <w:basedOn w:val="DefaultParagraphFont"/>
    <w:uiPriority w:val="32"/>
    <w:qFormat/>
    <w:rsid w:val="00D134E7"/>
    <w:rPr>
      <w:b/>
      <w:bCs/>
      <w:smallCaps/>
      <w:color w:val="0F4761" w:themeColor="accent1" w:themeShade="BF"/>
      <w:spacing w:val="5"/>
    </w:rPr>
  </w:style>
  <w:style w:type="character" w:styleId="CommentReference">
    <w:name w:val="annotation reference"/>
    <w:basedOn w:val="DefaultParagraphFont"/>
    <w:uiPriority w:val="99"/>
    <w:semiHidden/>
    <w:unhideWhenUsed/>
    <w:rsid w:val="000B3AEB"/>
    <w:rPr>
      <w:sz w:val="16"/>
      <w:szCs w:val="16"/>
    </w:rPr>
  </w:style>
  <w:style w:type="paragraph" w:styleId="CommentText">
    <w:name w:val="annotation text"/>
    <w:basedOn w:val="Normal"/>
    <w:link w:val="CommentTextChar"/>
    <w:uiPriority w:val="99"/>
    <w:unhideWhenUsed/>
    <w:rsid w:val="000B3AEB"/>
    <w:pPr>
      <w:spacing w:line="240" w:lineRule="auto"/>
    </w:pPr>
    <w:rPr>
      <w:sz w:val="20"/>
      <w:szCs w:val="20"/>
    </w:rPr>
  </w:style>
  <w:style w:type="character" w:customStyle="1" w:styleId="CommentTextChar">
    <w:name w:val="Comment Text Char"/>
    <w:basedOn w:val="DefaultParagraphFont"/>
    <w:link w:val="CommentText"/>
    <w:uiPriority w:val="99"/>
    <w:rsid w:val="000B3AEB"/>
    <w:rPr>
      <w:sz w:val="20"/>
      <w:szCs w:val="20"/>
    </w:rPr>
  </w:style>
  <w:style w:type="paragraph" w:styleId="CommentSubject">
    <w:name w:val="annotation subject"/>
    <w:basedOn w:val="CommentText"/>
    <w:next w:val="CommentText"/>
    <w:link w:val="CommentSubjectChar"/>
    <w:uiPriority w:val="99"/>
    <w:semiHidden/>
    <w:unhideWhenUsed/>
    <w:rsid w:val="000B3AEB"/>
    <w:rPr>
      <w:b/>
      <w:bCs/>
    </w:rPr>
  </w:style>
  <w:style w:type="character" w:customStyle="1" w:styleId="CommentSubjectChar">
    <w:name w:val="Comment Subject Char"/>
    <w:basedOn w:val="CommentTextChar"/>
    <w:link w:val="CommentSubject"/>
    <w:uiPriority w:val="99"/>
    <w:semiHidden/>
    <w:rsid w:val="000B3AEB"/>
    <w:rPr>
      <w:b/>
      <w:bCs/>
      <w:sz w:val="20"/>
      <w:szCs w:val="20"/>
    </w:rPr>
  </w:style>
  <w:style w:type="paragraph" w:styleId="FootnoteText">
    <w:name w:val="footnote text"/>
    <w:basedOn w:val="Normal"/>
    <w:link w:val="FootnoteTextChar"/>
    <w:uiPriority w:val="99"/>
    <w:semiHidden/>
    <w:unhideWhenUsed/>
    <w:rsid w:val="00C20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1E2"/>
    <w:rPr>
      <w:sz w:val="20"/>
      <w:szCs w:val="20"/>
    </w:rPr>
  </w:style>
  <w:style w:type="character" w:styleId="FootnoteReference">
    <w:name w:val="footnote reference"/>
    <w:basedOn w:val="DefaultParagraphFont"/>
    <w:uiPriority w:val="99"/>
    <w:semiHidden/>
    <w:unhideWhenUsed/>
    <w:rsid w:val="00C201E2"/>
    <w:rPr>
      <w:vertAlign w:val="superscript"/>
    </w:rPr>
  </w:style>
  <w:style w:type="character" w:styleId="Hyperlink">
    <w:name w:val="Hyperlink"/>
    <w:basedOn w:val="DefaultParagraphFont"/>
    <w:uiPriority w:val="99"/>
    <w:unhideWhenUsed/>
    <w:rsid w:val="00403E35"/>
    <w:rPr>
      <w:color w:val="467886" w:themeColor="hyperlink"/>
      <w:u w:val="single"/>
    </w:rPr>
  </w:style>
  <w:style w:type="character" w:styleId="UnresolvedMention">
    <w:name w:val="Unresolved Mention"/>
    <w:basedOn w:val="DefaultParagraphFont"/>
    <w:uiPriority w:val="99"/>
    <w:semiHidden/>
    <w:unhideWhenUsed/>
    <w:rsid w:val="00403E35"/>
    <w:rPr>
      <w:color w:val="605E5C"/>
      <w:shd w:val="clear" w:color="auto" w:fill="E1DFDD"/>
    </w:rPr>
  </w:style>
  <w:style w:type="paragraph" w:styleId="Header">
    <w:name w:val="header"/>
    <w:basedOn w:val="Normal"/>
    <w:link w:val="HeaderChar"/>
    <w:uiPriority w:val="99"/>
    <w:unhideWhenUsed/>
    <w:rsid w:val="00C92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8F8"/>
  </w:style>
  <w:style w:type="paragraph" w:styleId="Footer">
    <w:name w:val="footer"/>
    <w:basedOn w:val="Normal"/>
    <w:link w:val="FooterChar"/>
    <w:uiPriority w:val="99"/>
    <w:unhideWhenUsed/>
    <w:rsid w:val="00C92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9280">
      <w:bodyDiv w:val="1"/>
      <w:marLeft w:val="0"/>
      <w:marRight w:val="0"/>
      <w:marTop w:val="0"/>
      <w:marBottom w:val="0"/>
      <w:divBdr>
        <w:top w:val="none" w:sz="0" w:space="0" w:color="auto"/>
        <w:left w:val="none" w:sz="0" w:space="0" w:color="auto"/>
        <w:bottom w:val="none" w:sz="0" w:space="0" w:color="auto"/>
        <w:right w:val="none" w:sz="0" w:space="0" w:color="auto"/>
      </w:divBdr>
    </w:div>
    <w:div w:id="388502070">
      <w:bodyDiv w:val="1"/>
      <w:marLeft w:val="0"/>
      <w:marRight w:val="0"/>
      <w:marTop w:val="0"/>
      <w:marBottom w:val="0"/>
      <w:divBdr>
        <w:top w:val="none" w:sz="0" w:space="0" w:color="auto"/>
        <w:left w:val="none" w:sz="0" w:space="0" w:color="auto"/>
        <w:bottom w:val="none" w:sz="0" w:space="0" w:color="auto"/>
        <w:right w:val="none" w:sz="0" w:space="0" w:color="auto"/>
      </w:divBdr>
    </w:div>
    <w:div w:id="1144663560">
      <w:bodyDiv w:val="1"/>
      <w:marLeft w:val="0"/>
      <w:marRight w:val="0"/>
      <w:marTop w:val="0"/>
      <w:marBottom w:val="0"/>
      <w:divBdr>
        <w:top w:val="none" w:sz="0" w:space="0" w:color="auto"/>
        <w:left w:val="none" w:sz="0" w:space="0" w:color="auto"/>
        <w:bottom w:val="none" w:sz="0" w:space="0" w:color="auto"/>
        <w:right w:val="none" w:sz="0" w:space="0" w:color="auto"/>
      </w:divBdr>
    </w:div>
    <w:div w:id="15333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5677-5FBC-4F02-A548-94D7A82E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 Silva</dc:creator>
  <cp:keywords/>
  <dc:description/>
  <cp:lastModifiedBy>Michael Da Silva</cp:lastModifiedBy>
  <cp:revision>4</cp:revision>
  <dcterms:created xsi:type="dcterms:W3CDTF">2025-08-20T14:43:00Z</dcterms:created>
  <dcterms:modified xsi:type="dcterms:W3CDTF">2025-08-20T14:45:00Z</dcterms:modified>
</cp:coreProperties>
</file>