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0079" w14:textId="09F93793" w:rsidR="00FB3FE0" w:rsidRPr="007738E4" w:rsidRDefault="00FB3FE0" w:rsidP="00FB3FE0">
      <w:pPr>
        <w:rPr>
          <w:rFonts w:cs="Times New Roman"/>
          <w:szCs w:val="24"/>
        </w:rPr>
      </w:pPr>
    </w:p>
    <w:p w14:paraId="6B284A92" w14:textId="77777777" w:rsidR="000D5BD5" w:rsidRPr="007738E4" w:rsidRDefault="000D5BD5" w:rsidP="000D5BD5">
      <w:pPr>
        <w:rPr>
          <w:rFonts w:eastAsiaTheme="majorEastAsia" w:cs="Times New Roman"/>
          <w:b/>
          <w:spacing w:val="-10"/>
          <w:kern w:val="28"/>
          <w:szCs w:val="24"/>
        </w:rPr>
      </w:pPr>
      <w:r w:rsidRPr="007738E4">
        <w:rPr>
          <w:rFonts w:eastAsiaTheme="majorEastAsia" w:cs="Times New Roman"/>
          <w:b/>
          <w:spacing w:val="-10"/>
          <w:kern w:val="28"/>
          <w:szCs w:val="24"/>
        </w:rPr>
        <w:t>New political science analysis of the renewed push for preventive health: ‘Can it be any different this time around?’</w:t>
      </w:r>
    </w:p>
    <w:p w14:paraId="575AC688" w14:textId="77777777" w:rsidR="008B23EF" w:rsidRPr="007738E4" w:rsidRDefault="008B23EF" w:rsidP="004F4FB1">
      <w:pPr>
        <w:rPr>
          <w:rFonts w:cs="Times New Roman"/>
        </w:rPr>
      </w:pPr>
    </w:p>
    <w:p w14:paraId="16EC36AB" w14:textId="1F993B1D" w:rsidR="008C1482" w:rsidRPr="007738E4" w:rsidRDefault="00FB3FE0" w:rsidP="00A60A59">
      <w:pPr>
        <w:pStyle w:val="Heading2"/>
        <w:spacing w:line="276" w:lineRule="auto"/>
        <w:rPr>
          <w:rFonts w:cs="Times New Roman"/>
          <w:sz w:val="24"/>
          <w:szCs w:val="24"/>
        </w:rPr>
      </w:pPr>
      <w:r w:rsidRPr="007738E4">
        <w:rPr>
          <w:rFonts w:cs="Times New Roman"/>
          <w:sz w:val="24"/>
          <w:szCs w:val="24"/>
        </w:rPr>
        <w:t xml:space="preserve">Abstract </w:t>
      </w:r>
    </w:p>
    <w:p w14:paraId="47010145" w14:textId="75625435" w:rsidR="00B31D87" w:rsidRPr="007738E4" w:rsidRDefault="00F602F1" w:rsidP="00A60A59">
      <w:pPr>
        <w:spacing w:line="276" w:lineRule="auto"/>
        <w:rPr>
          <w:rFonts w:cs="Times New Roman"/>
          <w:szCs w:val="24"/>
        </w:rPr>
      </w:pPr>
      <w:r w:rsidRPr="007738E4">
        <w:rPr>
          <w:rFonts w:cs="Times New Roman"/>
          <w:szCs w:val="24"/>
        </w:rPr>
        <w:t>The idea that ‘prevention is better than cure’ is often treated as self-eviden</w:t>
      </w:r>
      <w:r w:rsidR="00367F9B" w:rsidRPr="007738E4">
        <w:rPr>
          <w:rFonts w:cs="Times New Roman"/>
          <w:szCs w:val="24"/>
        </w:rPr>
        <w:t>t</w:t>
      </w:r>
      <w:r w:rsidRPr="007738E4">
        <w:rPr>
          <w:rFonts w:cs="Times New Roman"/>
          <w:szCs w:val="24"/>
        </w:rPr>
        <w:t xml:space="preserve"> in </w:t>
      </w:r>
      <w:r w:rsidR="00367F9B" w:rsidRPr="007738E4">
        <w:rPr>
          <w:rFonts w:cs="Times New Roman"/>
          <w:szCs w:val="24"/>
        </w:rPr>
        <w:t xml:space="preserve">health </w:t>
      </w:r>
      <w:r w:rsidRPr="007738E4">
        <w:rPr>
          <w:rFonts w:cs="Times New Roman"/>
          <w:szCs w:val="24"/>
        </w:rPr>
        <w:t>policymaking</w:t>
      </w:r>
      <w:r w:rsidR="00BD2E5F" w:rsidRPr="007738E4">
        <w:rPr>
          <w:rFonts w:cs="Times New Roman"/>
          <w:szCs w:val="24"/>
        </w:rPr>
        <w:t xml:space="preserve">: who would not </w:t>
      </w:r>
      <w:r w:rsidR="002E2EC4" w:rsidRPr="007738E4">
        <w:rPr>
          <w:rFonts w:cs="Times New Roman"/>
          <w:szCs w:val="24"/>
        </w:rPr>
        <w:t>want</w:t>
      </w:r>
      <w:r w:rsidR="00BD2E5F" w:rsidRPr="007738E4">
        <w:rPr>
          <w:rFonts w:cs="Times New Roman"/>
          <w:szCs w:val="24"/>
        </w:rPr>
        <w:t xml:space="preserve"> to </w:t>
      </w:r>
      <w:r w:rsidR="00AE3D78" w:rsidRPr="007738E4">
        <w:rPr>
          <w:rFonts w:cs="Times New Roman"/>
          <w:szCs w:val="24"/>
        </w:rPr>
        <w:t>s</w:t>
      </w:r>
      <w:r w:rsidR="00BD51D8" w:rsidRPr="007738E4">
        <w:rPr>
          <w:rFonts w:cs="Times New Roman"/>
          <w:szCs w:val="24"/>
        </w:rPr>
        <w:t xml:space="preserve">hift resources from </w:t>
      </w:r>
      <w:r w:rsidR="002E2EC4" w:rsidRPr="007738E4">
        <w:rPr>
          <w:rFonts w:cs="Times New Roman"/>
          <w:szCs w:val="24"/>
        </w:rPr>
        <w:t>mitigating</w:t>
      </w:r>
      <w:r w:rsidR="00BD51D8" w:rsidRPr="007738E4">
        <w:rPr>
          <w:rFonts w:cs="Times New Roman"/>
          <w:szCs w:val="24"/>
        </w:rPr>
        <w:t xml:space="preserve"> acute problems to the</w:t>
      </w:r>
      <w:r w:rsidR="00FB3FE0" w:rsidRPr="007738E4">
        <w:rPr>
          <w:rFonts w:cs="Times New Roman"/>
          <w:szCs w:val="24"/>
        </w:rPr>
        <w:t>ir</w:t>
      </w:r>
      <w:r w:rsidR="00BD51D8" w:rsidRPr="007738E4">
        <w:rPr>
          <w:rFonts w:cs="Times New Roman"/>
          <w:szCs w:val="24"/>
        </w:rPr>
        <w:t xml:space="preserve"> prevention</w:t>
      </w:r>
      <w:r w:rsidR="00BD2E5F" w:rsidRPr="007738E4">
        <w:rPr>
          <w:rFonts w:cs="Times New Roman"/>
          <w:szCs w:val="24"/>
        </w:rPr>
        <w:t>?</w:t>
      </w:r>
      <w:r w:rsidR="00BD51D8" w:rsidRPr="007738E4">
        <w:rPr>
          <w:rFonts w:cs="Times New Roman"/>
          <w:szCs w:val="24"/>
        </w:rPr>
        <w:t xml:space="preserve"> </w:t>
      </w:r>
      <w:r w:rsidR="00BF78D7" w:rsidRPr="007738E4">
        <w:rPr>
          <w:rFonts w:cs="Times New Roman"/>
          <w:szCs w:val="24"/>
        </w:rPr>
        <w:t xml:space="preserve">However, there </w:t>
      </w:r>
      <w:r w:rsidR="00BD2E5F" w:rsidRPr="007738E4">
        <w:rPr>
          <w:rFonts w:cs="Times New Roman"/>
          <w:szCs w:val="24"/>
        </w:rPr>
        <w:t>is always</w:t>
      </w:r>
      <w:r w:rsidR="00BF78D7" w:rsidRPr="007738E4">
        <w:rPr>
          <w:rFonts w:cs="Times New Roman"/>
          <w:szCs w:val="24"/>
        </w:rPr>
        <w:t xml:space="preserve"> a gap between </w:t>
      </w:r>
      <w:r w:rsidR="00BD2E5F" w:rsidRPr="007738E4">
        <w:rPr>
          <w:rFonts w:cs="Times New Roman"/>
          <w:szCs w:val="24"/>
        </w:rPr>
        <w:t>rhetorical</w:t>
      </w:r>
      <w:r w:rsidR="003B6D49" w:rsidRPr="007738E4">
        <w:rPr>
          <w:rFonts w:cs="Times New Roman"/>
          <w:szCs w:val="24"/>
        </w:rPr>
        <w:t xml:space="preserve"> commitments</w:t>
      </w:r>
      <w:r w:rsidR="00BF78D7" w:rsidRPr="007738E4">
        <w:rPr>
          <w:rFonts w:cs="Times New Roman"/>
          <w:szCs w:val="24"/>
        </w:rPr>
        <w:t xml:space="preserve"> and practice</w:t>
      </w:r>
      <w:r w:rsidR="00FB3FE0" w:rsidRPr="007738E4">
        <w:rPr>
          <w:rFonts w:cs="Times New Roman"/>
          <w:szCs w:val="24"/>
        </w:rPr>
        <w:t>, producing cycles of enthusiasm then limited progress</w:t>
      </w:r>
      <w:r w:rsidR="00A64E8A" w:rsidRPr="007738E4">
        <w:rPr>
          <w:rFonts w:cs="Times New Roman"/>
          <w:szCs w:val="24"/>
        </w:rPr>
        <w:t xml:space="preserve">. </w:t>
      </w:r>
      <w:r w:rsidR="00BD2E5F" w:rsidRPr="007738E4">
        <w:rPr>
          <w:rFonts w:cs="Times New Roman"/>
          <w:szCs w:val="24"/>
        </w:rPr>
        <w:t>If</w:t>
      </w:r>
      <w:r w:rsidR="00FB3FE0" w:rsidRPr="007738E4">
        <w:rPr>
          <w:rFonts w:cs="Times New Roman"/>
          <w:szCs w:val="24"/>
        </w:rPr>
        <w:t xml:space="preserve"> p</w:t>
      </w:r>
      <w:r w:rsidR="00A64E8A" w:rsidRPr="007738E4">
        <w:rPr>
          <w:rFonts w:cs="Times New Roman"/>
          <w:szCs w:val="24"/>
        </w:rPr>
        <w:t xml:space="preserve">revention </w:t>
      </w:r>
      <w:r w:rsidR="00F7271D" w:rsidRPr="007738E4">
        <w:rPr>
          <w:rFonts w:cs="Times New Roman"/>
          <w:szCs w:val="24"/>
        </w:rPr>
        <w:t>return</w:t>
      </w:r>
      <w:r w:rsidR="00D95BCE" w:rsidRPr="007738E4">
        <w:rPr>
          <w:rFonts w:cs="Times New Roman"/>
          <w:szCs w:val="24"/>
        </w:rPr>
        <w:t>s</w:t>
      </w:r>
      <w:r w:rsidR="00F7271D" w:rsidRPr="007738E4">
        <w:rPr>
          <w:rFonts w:cs="Times New Roman"/>
          <w:szCs w:val="24"/>
        </w:rPr>
        <w:t xml:space="preserve"> to</w:t>
      </w:r>
      <w:r w:rsidR="00A67B63" w:rsidRPr="007738E4">
        <w:rPr>
          <w:rFonts w:cs="Times New Roman"/>
          <w:szCs w:val="24"/>
        </w:rPr>
        <w:t xml:space="preserve"> the top of</w:t>
      </w:r>
      <w:r w:rsidR="00A64E8A" w:rsidRPr="007738E4">
        <w:rPr>
          <w:rFonts w:cs="Times New Roman"/>
          <w:szCs w:val="24"/>
        </w:rPr>
        <w:t xml:space="preserve"> the agenda</w:t>
      </w:r>
      <w:r w:rsidR="00FB3FE0" w:rsidRPr="007738E4">
        <w:rPr>
          <w:rFonts w:cs="Times New Roman"/>
          <w:szCs w:val="24"/>
        </w:rPr>
        <w:t xml:space="preserve">, </w:t>
      </w:r>
      <w:r w:rsidR="00BD2E5F" w:rsidRPr="007738E4">
        <w:rPr>
          <w:rFonts w:cs="Times New Roman"/>
          <w:szCs w:val="24"/>
        </w:rPr>
        <w:t xml:space="preserve">how </w:t>
      </w:r>
      <w:r w:rsidR="00FB3FE0" w:rsidRPr="007738E4">
        <w:rPr>
          <w:rFonts w:cs="Times New Roman"/>
          <w:szCs w:val="24"/>
        </w:rPr>
        <w:t xml:space="preserve">can </w:t>
      </w:r>
      <w:r w:rsidR="001F632C" w:rsidRPr="007738E4">
        <w:rPr>
          <w:rFonts w:cs="Times New Roman"/>
          <w:szCs w:val="24"/>
        </w:rPr>
        <w:t xml:space="preserve">this </w:t>
      </w:r>
      <w:r w:rsidR="00A64E8A" w:rsidRPr="007738E4">
        <w:rPr>
          <w:rFonts w:cs="Times New Roman"/>
          <w:szCs w:val="24"/>
        </w:rPr>
        <w:t>time be different?</w:t>
      </w:r>
      <w:r w:rsidR="000D684C" w:rsidRPr="007738E4">
        <w:rPr>
          <w:rFonts w:cs="Times New Roman"/>
          <w:szCs w:val="24"/>
        </w:rPr>
        <w:t xml:space="preserve"> </w:t>
      </w:r>
      <w:r w:rsidR="00307CDF" w:rsidRPr="007738E4">
        <w:rPr>
          <w:rFonts w:cs="Times New Roman"/>
          <w:szCs w:val="24"/>
        </w:rPr>
        <w:t xml:space="preserve">To answer that question, we </w:t>
      </w:r>
      <w:r w:rsidR="00BD2E5F" w:rsidRPr="007738E4">
        <w:rPr>
          <w:rFonts w:cs="Times New Roman"/>
          <w:szCs w:val="24"/>
        </w:rPr>
        <w:t>applied</w:t>
      </w:r>
      <w:r w:rsidR="00FB3FE0" w:rsidRPr="007738E4">
        <w:rPr>
          <w:rFonts w:cs="Times New Roman"/>
          <w:szCs w:val="24"/>
        </w:rPr>
        <w:t xml:space="preserve"> new </w:t>
      </w:r>
      <w:r w:rsidR="00D95BCE" w:rsidRPr="007738E4">
        <w:rPr>
          <w:rFonts w:cs="Times New Roman"/>
          <w:szCs w:val="24"/>
        </w:rPr>
        <w:t xml:space="preserve">political science </w:t>
      </w:r>
      <w:r w:rsidR="00FB3FE0" w:rsidRPr="007738E4">
        <w:rPr>
          <w:rFonts w:cs="Times New Roman"/>
          <w:szCs w:val="24"/>
        </w:rPr>
        <w:t>analysis</w:t>
      </w:r>
      <w:r w:rsidR="00BD2E5F" w:rsidRPr="007738E4">
        <w:rPr>
          <w:rFonts w:cs="Times New Roman"/>
          <w:szCs w:val="24"/>
        </w:rPr>
        <w:t xml:space="preserve"> </w:t>
      </w:r>
      <w:r w:rsidR="00FB3FE0" w:rsidRPr="007738E4">
        <w:rPr>
          <w:rFonts w:cs="Times New Roman"/>
          <w:szCs w:val="24"/>
        </w:rPr>
        <w:t xml:space="preserve">to recent efforts to promote prevention via Integrated Care Systems </w:t>
      </w:r>
      <w:r w:rsidR="00307CDF" w:rsidRPr="007738E4">
        <w:rPr>
          <w:rFonts w:cs="Times New Roman"/>
          <w:szCs w:val="24"/>
        </w:rPr>
        <w:t xml:space="preserve">(ICSs) </w:t>
      </w:r>
      <w:r w:rsidR="00FB3FE0" w:rsidRPr="007738E4">
        <w:rPr>
          <w:rFonts w:cs="Times New Roman"/>
          <w:szCs w:val="24"/>
        </w:rPr>
        <w:t xml:space="preserve">in England. </w:t>
      </w:r>
      <w:r w:rsidR="00BD2E5F" w:rsidRPr="007738E4">
        <w:rPr>
          <w:rFonts w:cs="Times New Roman"/>
          <w:szCs w:val="24"/>
        </w:rPr>
        <w:t>We</w:t>
      </w:r>
      <w:r w:rsidR="00FB3FE0" w:rsidRPr="007738E4">
        <w:rPr>
          <w:rFonts w:cs="Times New Roman"/>
          <w:szCs w:val="24"/>
        </w:rPr>
        <w:t xml:space="preserve"> theorise persistent barriers to prevention</w:t>
      </w:r>
      <w:r w:rsidR="00BD2E5F" w:rsidRPr="007738E4">
        <w:rPr>
          <w:rFonts w:cs="Times New Roman"/>
          <w:szCs w:val="24"/>
        </w:rPr>
        <w:t xml:space="preserve"> caused by limited: </w:t>
      </w:r>
      <w:r w:rsidR="00BD2E5F" w:rsidRPr="007738E4">
        <w:rPr>
          <w:rFonts w:cs="Times New Roman"/>
          <w:i/>
          <w:iCs/>
          <w:szCs w:val="24"/>
        </w:rPr>
        <w:t>clarity</w:t>
      </w:r>
      <w:r w:rsidR="00BD2E5F" w:rsidRPr="007738E4">
        <w:rPr>
          <w:rFonts w:cs="Times New Roman"/>
          <w:szCs w:val="24"/>
        </w:rPr>
        <w:t xml:space="preserve"> regarding its meaning in practice, </w:t>
      </w:r>
      <w:r w:rsidR="00BD2E5F" w:rsidRPr="007738E4">
        <w:rPr>
          <w:rFonts w:cs="Times New Roman"/>
          <w:i/>
          <w:iCs/>
          <w:szCs w:val="24"/>
        </w:rPr>
        <w:t>congru</w:t>
      </w:r>
      <w:r w:rsidR="00743F27" w:rsidRPr="007738E4">
        <w:rPr>
          <w:rFonts w:cs="Times New Roman"/>
          <w:i/>
          <w:iCs/>
          <w:szCs w:val="24"/>
        </w:rPr>
        <w:t>ity</w:t>
      </w:r>
      <w:r w:rsidR="00BD2E5F" w:rsidRPr="007738E4">
        <w:rPr>
          <w:rFonts w:cs="Times New Roman"/>
          <w:szCs w:val="24"/>
        </w:rPr>
        <w:t xml:space="preserve"> with routine policy delivery, and </w:t>
      </w:r>
      <w:r w:rsidR="00BD2E5F" w:rsidRPr="007738E4">
        <w:rPr>
          <w:rFonts w:cs="Times New Roman"/>
          <w:i/>
          <w:iCs/>
          <w:szCs w:val="24"/>
        </w:rPr>
        <w:t>capacity</w:t>
      </w:r>
      <w:r w:rsidR="00BD2E5F" w:rsidRPr="007738E4">
        <w:rPr>
          <w:rFonts w:cs="Times New Roman"/>
          <w:szCs w:val="24"/>
        </w:rPr>
        <w:t xml:space="preserve"> to sustain major changes. We </w:t>
      </w:r>
      <w:r w:rsidR="00FB3FE0" w:rsidRPr="007738E4">
        <w:rPr>
          <w:rFonts w:cs="Times New Roman"/>
          <w:szCs w:val="24"/>
        </w:rPr>
        <w:t>engag</w:t>
      </w:r>
      <w:r w:rsidR="00BD2E5F" w:rsidRPr="007738E4">
        <w:rPr>
          <w:rFonts w:cs="Times New Roman"/>
          <w:szCs w:val="24"/>
        </w:rPr>
        <w:t>ed</w:t>
      </w:r>
      <w:r w:rsidR="00FB3FE0" w:rsidRPr="007738E4">
        <w:rPr>
          <w:rFonts w:cs="Times New Roman"/>
          <w:szCs w:val="24"/>
        </w:rPr>
        <w:t xml:space="preserve"> with </w:t>
      </w:r>
      <w:r w:rsidR="001F632C" w:rsidRPr="007738E4">
        <w:rPr>
          <w:rFonts w:cs="Times New Roman"/>
          <w:szCs w:val="24"/>
        </w:rPr>
        <w:t xml:space="preserve">local and national health and care </w:t>
      </w:r>
      <w:r w:rsidR="00FB3FE0" w:rsidRPr="007738E4">
        <w:rPr>
          <w:rFonts w:cs="Times New Roman"/>
          <w:szCs w:val="24"/>
        </w:rPr>
        <w:t xml:space="preserve">policy practitioners to </w:t>
      </w:r>
      <w:r w:rsidR="00BD2E5F" w:rsidRPr="007738E4">
        <w:rPr>
          <w:rFonts w:cs="Times New Roman"/>
          <w:szCs w:val="24"/>
        </w:rPr>
        <w:t>explore</w:t>
      </w:r>
      <w:r w:rsidR="00FB3FE0" w:rsidRPr="007738E4">
        <w:rPr>
          <w:rFonts w:cs="Times New Roman"/>
          <w:szCs w:val="24"/>
        </w:rPr>
        <w:t xml:space="preserve"> how these barriers have manifested in </w:t>
      </w:r>
      <w:r w:rsidR="002E2EC4" w:rsidRPr="007738E4">
        <w:rPr>
          <w:rFonts w:cs="Times New Roman"/>
          <w:szCs w:val="24"/>
        </w:rPr>
        <w:t>practice</w:t>
      </w:r>
      <w:r w:rsidR="00FB3FE0" w:rsidRPr="007738E4">
        <w:rPr>
          <w:rFonts w:cs="Times New Roman"/>
          <w:szCs w:val="24"/>
        </w:rPr>
        <w:t>. We convened seven focus groups (2024) containing sixty</w:t>
      </w:r>
      <w:r w:rsidR="00BD2E5F" w:rsidRPr="007738E4">
        <w:rPr>
          <w:rFonts w:cs="Times New Roman"/>
          <w:szCs w:val="24"/>
        </w:rPr>
        <w:t xml:space="preserve"> </w:t>
      </w:r>
      <w:r w:rsidR="00FB3FE0" w:rsidRPr="007738E4">
        <w:rPr>
          <w:rFonts w:cs="Times New Roman"/>
          <w:szCs w:val="24"/>
        </w:rPr>
        <w:t>participants</w:t>
      </w:r>
      <w:r w:rsidR="00BD2E5F" w:rsidRPr="007738E4">
        <w:rPr>
          <w:rFonts w:cs="Times New Roman"/>
          <w:szCs w:val="24"/>
        </w:rPr>
        <w:t xml:space="preserve">, </w:t>
      </w:r>
      <w:r w:rsidR="00FB3FE0" w:rsidRPr="007738E4">
        <w:rPr>
          <w:rFonts w:cs="Times New Roman"/>
          <w:szCs w:val="24"/>
        </w:rPr>
        <w:t xml:space="preserve">then used qualitative thematic analysis to categorise challenges and </w:t>
      </w:r>
      <w:r w:rsidR="002E2EC4" w:rsidRPr="007738E4">
        <w:rPr>
          <w:rFonts w:cs="Times New Roman"/>
          <w:szCs w:val="24"/>
        </w:rPr>
        <w:t>responses</w:t>
      </w:r>
      <w:r w:rsidR="00FB3FE0" w:rsidRPr="007738E4">
        <w:rPr>
          <w:rFonts w:cs="Times New Roman"/>
          <w:szCs w:val="24"/>
        </w:rPr>
        <w:t>.</w:t>
      </w:r>
      <w:r w:rsidR="00BD2E5F" w:rsidRPr="007738E4">
        <w:rPr>
          <w:rFonts w:cs="Times New Roman"/>
          <w:szCs w:val="24"/>
        </w:rPr>
        <w:t xml:space="preserve"> </w:t>
      </w:r>
      <w:r w:rsidR="001219AF" w:rsidRPr="007738E4">
        <w:rPr>
          <w:rFonts w:cs="Times New Roman"/>
          <w:szCs w:val="24"/>
        </w:rPr>
        <w:t>This approach helped to identify</w:t>
      </w:r>
      <w:r w:rsidR="00335591" w:rsidRPr="007738E4">
        <w:rPr>
          <w:rFonts w:cs="Times New Roman"/>
          <w:szCs w:val="24"/>
        </w:rPr>
        <w:t xml:space="preserve"> barriers </w:t>
      </w:r>
      <w:proofErr w:type="gramStart"/>
      <w:r w:rsidR="00BD2E5F" w:rsidRPr="007738E4">
        <w:rPr>
          <w:rFonts w:cs="Times New Roman"/>
          <w:szCs w:val="24"/>
        </w:rPr>
        <w:t>including</w:t>
      </w:r>
      <w:r w:rsidR="00870FD7" w:rsidRPr="007738E4">
        <w:rPr>
          <w:rFonts w:cs="Times New Roman"/>
          <w:szCs w:val="24"/>
        </w:rPr>
        <w:t>:</w:t>
      </w:r>
      <w:proofErr w:type="gramEnd"/>
      <w:r w:rsidR="00870FD7" w:rsidRPr="007738E4">
        <w:rPr>
          <w:rFonts w:cs="Times New Roman"/>
          <w:szCs w:val="24"/>
        </w:rPr>
        <w:t xml:space="preserve"> </w:t>
      </w:r>
      <w:r w:rsidR="00335591" w:rsidRPr="007738E4">
        <w:rPr>
          <w:rFonts w:cs="Times New Roman"/>
          <w:szCs w:val="24"/>
        </w:rPr>
        <w:t>short-termism</w:t>
      </w:r>
      <w:r w:rsidR="001219AF" w:rsidRPr="007738E4">
        <w:rPr>
          <w:rFonts w:cs="Times New Roman"/>
          <w:szCs w:val="24"/>
        </w:rPr>
        <w:t>;</w:t>
      </w:r>
      <w:r w:rsidR="00335591" w:rsidRPr="007738E4">
        <w:rPr>
          <w:rFonts w:cs="Times New Roman"/>
          <w:szCs w:val="24"/>
        </w:rPr>
        <w:t xml:space="preserve"> financial and operational pressures</w:t>
      </w:r>
      <w:r w:rsidR="001219AF" w:rsidRPr="007738E4">
        <w:rPr>
          <w:rFonts w:cs="Times New Roman"/>
          <w:szCs w:val="24"/>
        </w:rPr>
        <w:t>;</w:t>
      </w:r>
      <w:r w:rsidR="00335591" w:rsidRPr="007738E4">
        <w:rPr>
          <w:rFonts w:cs="Times New Roman"/>
          <w:szCs w:val="24"/>
        </w:rPr>
        <w:t xml:space="preserve"> </w:t>
      </w:r>
      <w:r w:rsidR="00870FD7" w:rsidRPr="007738E4">
        <w:rPr>
          <w:rFonts w:cs="Times New Roman"/>
          <w:szCs w:val="24"/>
        </w:rPr>
        <w:t xml:space="preserve">routine </w:t>
      </w:r>
      <w:r w:rsidR="00335591" w:rsidRPr="007738E4">
        <w:rPr>
          <w:rFonts w:cs="Times New Roman"/>
          <w:szCs w:val="24"/>
        </w:rPr>
        <w:t>limits to cooperation</w:t>
      </w:r>
      <w:r w:rsidR="001219AF" w:rsidRPr="007738E4">
        <w:rPr>
          <w:rFonts w:cs="Times New Roman"/>
          <w:szCs w:val="24"/>
        </w:rPr>
        <w:t>;</w:t>
      </w:r>
      <w:r w:rsidR="00335591" w:rsidRPr="007738E4">
        <w:rPr>
          <w:rFonts w:cs="Times New Roman"/>
          <w:szCs w:val="24"/>
        </w:rPr>
        <w:t xml:space="preserve"> </w:t>
      </w:r>
      <w:r w:rsidR="00870FD7" w:rsidRPr="007738E4">
        <w:rPr>
          <w:rFonts w:cs="Times New Roman"/>
          <w:szCs w:val="24"/>
        </w:rPr>
        <w:t>untapped</w:t>
      </w:r>
      <w:r w:rsidR="00335591" w:rsidRPr="007738E4">
        <w:rPr>
          <w:rFonts w:cs="Times New Roman"/>
          <w:szCs w:val="24"/>
        </w:rPr>
        <w:t xml:space="preserve"> community assets</w:t>
      </w:r>
      <w:r w:rsidR="001219AF" w:rsidRPr="007738E4">
        <w:rPr>
          <w:rFonts w:cs="Times New Roman"/>
          <w:szCs w:val="24"/>
        </w:rPr>
        <w:t>;</w:t>
      </w:r>
      <w:r w:rsidR="00335591" w:rsidRPr="007738E4">
        <w:rPr>
          <w:rFonts w:cs="Times New Roman"/>
          <w:szCs w:val="24"/>
        </w:rPr>
        <w:t xml:space="preserve"> and </w:t>
      </w:r>
      <w:r w:rsidR="00870FD7" w:rsidRPr="007738E4">
        <w:rPr>
          <w:rFonts w:cs="Times New Roman"/>
          <w:szCs w:val="24"/>
        </w:rPr>
        <w:t>limited</w:t>
      </w:r>
      <w:r w:rsidR="00335591" w:rsidRPr="007738E4">
        <w:rPr>
          <w:rFonts w:cs="Times New Roman"/>
          <w:szCs w:val="24"/>
        </w:rPr>
        <w:t xml:space="preserve"> opportunit</w:t>
      </w:r>
      <w:r w:rsidR="00870FD7" w:rsidRPr="007738E4">
        <w:rPr>
          <w:rFonts w:cs="Times New Roman"/>
          <w:szCs w:val="24"/>
        </w:rPr>
        <w:t xml:space="preserve">ies </w:t>
      </w:r>
      <w:r w:rsidR="00335591" w:rsidRPr="007738E4">
        <w:rPr>
          <w:rFonts w:cs="Times New Roman"/>
          <w:szCs w:val="24"/>
        </w:rPr>
        <w:t xml:space="preserve">for peer learning. </w:t>
      </w:r>
      <w:r w:rsidR="001219AF" w:rsidRPr="007738E4">
        <w:rPr>
          <w:rFonts w:cs="Times New Roman"/>
          <w:szCs w:val="24"/>
        </w:rPr>
        <w:t>It also sparked discussion o</w:t>
      </w:r>
      <w:r w:rsidR="00CC309A" w:rsidRPr="007738E4">
        <w:rPr>
          <w:rFonts w:cs="Times New Roman"/>
          <w:szCs w:val="24"/>
        </w:rPr>
        <w:t>n</w:t>
      </w:r>
      <w:r w:rsidR="001219AF" w:rsidRPr="007738E4">
        <w:rPr>
          <w:rFonts w:cs="Times New Roman"/>
          <w:szCs w:val="24"/>
        </w:rPr>
        <w:t xml:space="preserve"> feasible enablers, </w:t>
      </w:r>
      <w:proofErr w:type="gramStart"/>
      <w:r w:rsidR="001219AF" w:rsidRPr="007738E4">
        <w:rPr>
          <w:rFonts w:cs="Times New Roman"/>
          <w:szCs w:val="24"/>
        </w:rPr>
        <w:t>including:</w:t>
      </w:r>
      <w:proofErr w:type="gramEnd"/>
      <w:r w:rsidR="009C7233" w:rsidRPr="007738E4">
        <w:rPr>
          <w:rFonts w:cs="Times New Roman"/>
          <w:szCs w:val="24"/>
        </w:rPr>
        <w:t xml:space="preserve"> </w:t>
      </w:r>
      <w:r w:rsidR="000530AB" w:rsidRPr="007738E4">
        <w:rPr>
          <w:rFonts w:cs="Times New Roman"/>
          <w:szCs w:val="24"/>
        </w:rPr>
        <w:t>system</w:t>
      </w:r>
      <w:r w:rsidR="00870FD7" w:rsidRPr="007738E4">
        <w:rPr>
          <w:rFonts w:cs="Times New Roman"/>
          <w:szCs w:val="24"/>
        </w:rPr>
        <w:t>s</w:t>
      </w:r>
      <w:r w:rsidR="000530AB" w:rsidRPr="007738E4">
        <w:rPr>
          <w:rFonts w:cs="Times New Roman"/>
          <w:szCs w:val="24"/>
        </w:rPr>
        <w:t xml:space="preserve"> leadership</w:t>
      </w:r>
      <w:r w:rsidR="001219AF" w:rsidRPr="007738E4">
        <w:rPr>
          <w:rFonts w:cs="Times New Roman"/>
          <w:szCs w:val="24"/>
        </w:rPr>
        <w:t>;</w:t>
      </w:r>
      <w:r w:rsidR="000530AB" w:rsidRPr="007738E4">
        <w:rPr>
          <w:rFonts w:cs="Times New Roman"/>
          <w:szCs w:val="24"/>
        </w:rPr>
        <w:t xml:space="preserve"> collaboration </w:t>
      </w:r>
      <w:r w:rsidR="00870FD7" w:rsidRPr="007738E4">
        <w:rPr>
          <w:rFonts w:cs="Times New Roman"/>
          <w:szCs w:val="24"/>
        </w:rPr>
        <w:t>to make</w:t>
      </w:r>
      <w:r w:rsidR="000530AB" w:rsidRPr="007738E4">
        <w:rPr>
          <w:rFonts w:cs="Times New Roman"/>
          <w:szCs w:val="24"/>
        </w:rPr>
        <w:t xml:space="preserve"> </w:t>
      </w:r>
      <w:r w:rsidR="00870FD7" w:rsidRPr="007738E4">
        <w:rPr>
          <w:rFonts w:cs="Times New Roman"/>
          <w:szCs w:val="24"/>
        </w:rPr>
        <w:t xml:space="preserve">the </w:t>
      </w:r>
      <w:r w:rsidR="000530AB" w:rsidRPr="007738E4">
        <w:rPr>
          <w:rFonts w:cs="Times New Roman"/>
          <w:szCs w:val="24"/>
        </w:rPr>
        <w:t>wider determinants of health</w:t>
      </w:r>
      <w:r w:rsidR="00870FD7" w:rsidRPr="007738E4">
        <w:rPr>
          <w:rFonts w:cs="Times New Roman"/>
          <w:szCs w:val="24"/>
        </w:rPr>
        <w:t xml:space="preserve"> ‘everyone’s business’</w:t>
      </w:r>
      <w:r w:rsidR="001219AF" w:rsidRPr="007738E4">
        <w:rPr>
          <w:rFonts w:cs="Times New Roman"/>
          <w:szCs w:val="24"/>
        </w:rPr>
        <w:t>;</w:t>
      </w:r>
      <w:r w:rsidR="000530AB" w:rsidRPr="007738E4">
        <w:rPr>
          <w:rFonts w:cs="Times New Roman"/>
          <w:szCs w:val="24"/>
        </w:rPr>
        <w:t xml:space="preserve"> </w:t>
      </w:r>
      <w:r w:rsidR="00870FD7" w:rsidRPr="007738E4">
        <w:rPr>
          <w:rFonts w:cs="Times New Roman"/>
          <w:szCs w:val="24"/>
        </w:rPr>
        <w:t>techniques to</w:t>
      </w:r>
      <w:r w:rsidR="000530AB" w:rsidRPr="007738E4">
        <w:rPr>
          <w:rFonts w:cs="Times New Roman"/>
          <w:szCs w:val="24"/>
        </w:rPr>
        <w:t xml:space="preserve"> </w:t>
      </w:r>
      <w:r w:rsidR="00870FD7" w:rsidRPr="007738E4">
        <w:rPr>
          <w:rFonts w:cs="Times New Roman"/>
          <w:szCs w:val="24"/>
        </w:rPr>
        <w:t>frame preventive projects as</w:t>
      </w:r>
      <w:r w:rsidR="000530AB" w:rsidRPr="007738E4">
        <w:rPr>
          <w:rFonts w:cs="Times New Roman"/>
          <w:szCs w:val="24"/>
        </w:rPr>
        <w:t xml:space="preserve"> deliverable </w:t>
      </w:r>
      <w:r w:rsidR="00870FD7" w:rsidRPr="007738E4">
        <w:rPr>
          <w:rFonts w:cs="Times New Roman"/>
          <w:szCs w:val="24"/>
        </w:rPr>
        <w:t xml:space="preserve">and </w:t>
      </w:r>
      <w:r w:rsidR="000530AB" w:rsidRPr="007738E4">
        <w:rPr>
          <w:rFonts w:cs="Times New Roman"/>
          <w:szCs w:val="24"/>
        </w:rPr>
        <w:t>evidence-backed</w:t>
      </w:r>
      <w:r w:rsidR="001219AF" w:rsidRPr="007738E4">
        <w:rPr>
          <w:rFonts w:cs="Times New Roman"/>
          <w:szCs w:val="24"/>
        </w:rPr>
        <w:t>;</w:t>
      </w:r>
      <w:r w:rsidR="00A80AA9" w:rsidRPr="007738E4">
        <w:rPr>
          <w:rFonts w:cs="Times New Roman"/>
          <w:szCs w:val="24"/>
        </w:rPr>
        <w:t xml:space="preserve"> </w:t>
      </w:r>
      <w:r w:rsidR="00870FD7" w:rsidRPr="007738E4">
        <w:rPr>
          <w:rFonts w:cs="Times New Roman"/>
          <w:szCs w:val="24"/>
        </w:rPr>
        <w:t>‘</w:t>
      </w:r>
      <w:r w:rsidR="000530AB" w:rsidRPr="007738E4">
        <w:rPr>
          <w:rFonts w:cs="Times New Roman"/>
          <w:szCs w:val="24"/>
        </w:rPr>
        <w:t>institutionalising</w:t>
      </w:r>
      <w:r w:rsidR="00870FD7" w:rsidRPr="007738E4">
        <w:rPr>
          <w:rFonts w:cs="Times New Roman"/>
          <w:szCs w:val="24"/>
        </w:rPr>
        <w:t>’</w:t>
      </w:r>
      <w:r w:rsidR="000530AB" w:rsidRPr="007738E4">
        <w:rPr>
          <w:rFonts w:cs="Times New Roman"/>
          <w:szCs w:val="24"/>
        </w:rPr>
        <w:t xml:space="preserve"> prevention</w:t>
      </w:r>
      <w:r w:rsidR="001219AF" w:rsidRPr="007738E4">
        <w:rPr>
          <w:rFonts w:cs="Times New Roman"/>
          <w:szCs w:val="24"/>
        </w:rPr>
        <w:t>;</w:t>
      </w:r>
      <w:r w:rsidR="000530AB" w:rsidRPr="007738E4">
        <w:rPr>
          <w:rFonts w:cs="Times New Roman"/>
          <w:szCs w:val="24"/>
        </w:rPr>
        <w:t xml:space="preserve"> and </w:t>
      </w:r>
      <w:r w:rsidR="00870FD7" w:rsidRPr="007738E4">
        <w:rPr>
          <w:rFonts w:cs="Times New Roman"/>
          <w:szCs w:val="24"/>
        </w:rPr>
        <w:t>the</w:t>
      </w:r>
      <w:r w:rsidR="000530AB" w:rsidRPr="007738E4">
        <w:rPr>
          <w:rFonts w:cs="Times New Roman"/>
          <w:szCs w:val="24"/>
        </w:rPr>
        <w:t xml:space="preserve"> </w:t>
      </w:r>
      <w:r w:rsidR="00870FD7" w:rsidRPr="007738E4">
        <w:rPr>
          <w:rFonts w:cs="Times New Roman"/>
          <w:szCs w:val="24"/>
        </w:rPr>
        <w:t xml:space="preserve">better use </w:t>
      </w:r>
      <w:r w:rsidR="000530AB" w:rsidRPr="007738E4">
        <w:rPr>
          <w:rFonts w:cs="Times New Roman"/>
          <w:szCs w:val="24"/>
        </w:rPr>
        <w:t xml:space="preserve">of data. </w:t>
      </w:r>
      <w:r w:rsidR="002E2EC4" w:rsidRPr="007738E4">
        <w:rPr>
          <w:rFonts w:cs="Times New Roman"/>
          <w:szCs w:val="24"/>
        </w:rPr>
        <w:t>P</w:t>
      </w:r>
      <w:r w:rsidR="00F23274" w:rsidRPr="007738E4">
        <w:rPr>
          <w:rFonts w:cs="Times New Roman"/>
          <w:szCs w:val="24"/>
        </w:rPr>
        <w:t xml:space="preserve">aradigm shift towards prevention </w:t>
      </w:r>
      <w:r w:rsidR="00691CE3" w:rsidRPr="007738E4">
        <w:rPr>
          <w:rFonts w:cs="Times New Roman"/>
          <w:szCs w:val="24"/>
        </w:rPr>
        <w:t>require</w:t>
      </w:r>
      <w:r w:rsidR="00797241" w:rsidRPr="007738E4">
        <w:rPr>
          <w:rFonts w:cs="Times New Roman"/>
          <w:szCs w:val="24"/>
        </w:rPr>
        <w:t>s</w:t>
      </w:r>
      <w:r w:rsidR="00F23274" w:rsidRPr="007738E4">
        <w:rPr>
          <w:rFonts w:cs="Times New Roman"/>
          <w:szCs w:val="24"/>
        </w:rPr>
        <w:t xml:space="preserve"> </w:t>
      </w:r>
      <w:r w:rsidR="002E2EC4" w:rsidRPr="007738E4">
        <w:rPr>
          <w:rFonts w:cs="Times New Roman"/>
          <w:szCs w:val="24"/>
        </w:rPr>
        <w:t>long-term</w:t>
      </w:r>
      <w:r w:rsidR="00F23274" w:rsidRPr="007738E4">
        <w:rPr>
          <w:rFonts w:cs="Times New Roman"/>
          <w:szCs w:val="24"/>
        </w:rPr>
        <w:t xml:space="preserve"> repeated efforts to bolster</w:t>
      </w:r>
      <w:r w:rsidR="008C1482" w:rsidRPr="007738E4">
        <w:rPr>
          <w:rFonts w:cs="Times New Roman"/>
          <w:szCs w:val="24"/>
        </w:rPr>
        <w:t xml:space="preserve"> political </w:t>
      </w:r>
      <w:r w:rsidR="00367F9B" w:rsidRPr="007738E4">
        <w:rPr>
          <w:rFonts w:cs="Times New Roman"/>
          <w:szCs w:val="24"/>
        </w:rPr>
        <w:t xml:space="preserve">support for change and support </w:t>
      </w:r>
      <w:r w:rsidR="004E3345" w:rsidRPr="007738E4">
        <w:rPr>
          <w:rFonts w:cs="Times New Roman"/>
          <w:szCs w:val="24"/>
        </w:rPr>
        <w:t xml:space="preserve">local </w:t>
      </w:r>
      <w:r w:rsidR="00F23274" w:rsidRPr="007738E4">
        <w:rPr>
          <w:rFonts w:cs="Times New Roman"/>
          <w:szCs w:val="24"/>
        </w:rPr>
        <w:t>collaboration to</w:t>
      </w:r>
      <w:r w:rsidR="008C1482" w:rsidRPr="007738E4">
        <w:rPr>
          <w:rFonts w:cs="Times New Roman"/>
          <w:szCs w:val="24"/>
        </w:rPr>
        <w:t xml:space="preserve"> </w:t>
      </w:r>
      <w:r w:rsidR="00F23274" w:rsidRPr="007738E4">
        <w:rPr>
          <w:rFonts w:cs="Times New Roman"/>
          <w:szCs w:val="24"/>
        </w:rPr>
        <w:t xml:space="preserve">build </w:t>
      </w:r>
      <w:r w:rsidR="00367F9B" w:rsidRPr="007738E4">
        <w:rPr>
          <w:rFonts w:cs="Times New Roman"/>
          <w:szCs w:val="24"/>
        </w:rPr>
        <w:t>and</w:t>
      </w:r>
      <w:r w:rsidR="00F23274" w:rsidRPr="007738E4">
        <w:rPr>
          <w:rFonts w:cs="Times New Roman"/>
          <w:szCs w:val="24"/>
        </w:rPr>
        <w:t xml:space="preserve"> maintain </w:t>
      </w:r>
      <w:r w:rsidR="009C7233" w:rsidRPr="007738E4">
        <w:rPr>
          <w:rFonts w:cs="Times New Roman"/>
          <w:szCs w:val="24"/>
        </w:rPr>
        <w:t>systemic capacity</w:t>
      </w:r>
      <w:r w:rsidR="00F23274" w:rsidRPr="007738E4">
        <w:rPr>
          <w:rFonts w:cs="Times New Roman"/>
          <w:szCs w:val="24"/>
        </w:rPr>
        <w:t>.</w:t>
      </w:r>
      <w:r w:rsidR="00367F9B" w:rsidRPr="007738E4">
        <w:rPr>
          <w:rFonts w:cs="Times New Roman"/>
          <w:szCs w:val="24"/>
        </w:rPr>
        <w:t xml:space="preserve"> </w:t>
      </w:r>
      <w:r w:rsidR="00BD2E5F" w:rsidRPr="007738E4">
        <w:rPr>
          <w:rFonts w:cs="Times New Roman"/>
          <w:szCs w:val="24"/>
        </w:rPr>
        <w:t>P</w:t>
      </w:r>
      <w:r w:rsidR="00CC309A" w:rsidRPr="007738E4">
        <w:rPr>
          <w:rFonts w:cs="Times New Roman"/>
          <w:szCs w:val="24"/>
        </w:rPr>
        <w:t>olitical</w:t>
      </w:r>
      <w:r w:rsidR="00D95BCE" w:rsidRPr="007738E4">
        <w:rPr>
          <w:rFonts w:cs="Times New Roman"/>
          <w:szCs w:val="24"/>
        </w:rPr>
        <w:t xml:space="preserve"> science-driven </w:t>
      </w:r>
      <w:r w:rsidR="008B23EF" w:rsidRPr="007738E4">
        <w:rPr>
          <w:rFonts w:cs="Times New Roman"/>
          <w:szCs w:val="24"/>
        </w:rPr>
        <w:t>analysis</w:t>
      </w:r>
      <w:r w:rsidR="00BD2E5F" w:rsidRPr="007738E4">
        <w:rPr>
          <w:rFonts w:cs="Times New Roman"/>
          <w:szCs w:val="24"/>
        </w:rPr>
        <w:t xml:space="preserve"> </w:t>
      </w:r>
      <w:r w:rsidR="000C153E" w:rsidRPr="007738E4">
        <w:rPr>
          <w:rFonts w:cs="Times New Roman"/>
          <w:szCs w:val="24"/>
        </w:rPr>
        <w:t>help</w:t>
      </w:r>
      <w:r w:rsidR="00BD2E5F" w:rsidRPr="007738E4">
        <w:rPr>
          <w:rFonts w:cs="Times New Roman"/>
          <w:szCs w:val="24"/>
        </w:rPr>
        <w:t>s</w:t>
      </w:r>
      <w:r w:rsidR="000C153E" w:rsidRPr="007738E4">
        <w:rPr>
          <w:rFonts w:cs="Times New Roman"/>
          <w:szCs w:val="24"/>
        </w:rPr>
        <w:t xml:space="preserve"> to frame and support this process. </w:t>
      </w:r>
    </w:p>
    <w:p w14:paraId="0A5B413B" w14:textId="7AB7FB3B" w:rsidR="008B23EF" w:rsidRPr="007738E4" w:rsidRDefault="008B23EF">
      <w:pPr>
        <w:rPr>
          <w:rFonts w:cs="Times New Roman"/>
          <w:b/>
          <w:bCs/>
          <w:szCs w:val="24"/>
          <w:shd w:val="clear" w:color="auto" w:fill="FFFFFF"/>
        </w:rPr>
      </w:pPr>
      <w:r w:rsidRPr="007738E4">
        <w:rPr>
          <w:rFonts w:cs="Times New Roman"/>
          <w:b/>
          <w:bCs/>
          <w:szCs w:val="24"/>
          <w:shd w:val="clear" w:color="auto" w:fill="FFFFFF"/>
        </w:rPr>
        <w:br w:type="page"/>
      </w:r>
    </w:p>
    <w:p w14:paraId="6B821AF9" w14:textId="738B91CE" w:rsidR="00A60A59" w:rsidRPr="007738E4" w:rsidRDefault="00021BA1" w:rsidP="00A60A59">
      <w:pPr>
        <w:pStyle w:val="Heading1"/>
        <w:spacing w:line="276" w:lineRule="auto"/>
        <w:rPr>
          <w:rFonts w:cs="Times New Roman"/>
        </w:rPr>
      </w:pPr>
      <w:r w:rsidRPr="007738E4">
        <w:rPr>
          <w:rFonts w:cs="Times New Roman"/>
        </w:rPr>
        <w:lastRenderedPageBreak/>
        <w:t>Introduction: The politics of prevention</w:t>
      </w:r>
    </w:p>
    <w:p w14:paraId="368D4BB4" w14:textId="0F92B26F" w:rsidR="009A3396" w:rsidRPr="007738E4" w:rsidRDefault="00A60A59" w:rsidP="00A60A59">
      <w:pPr>
        <w:spacing w:line="276" w:lineRule="auto"/>
        <w:rPr>
          <w:rFonts w:cs="Times New Roman"/>
          <w:szCs w:val="24"/>
        </w:rPr>
      </w:pPr>
      <w:r w:rsidRPr="007738E4">
        <w:rPr>
          <w:rFonts w:cs="Times New Roman"/>
          <w:szCs w:val="24"/>
        </w:rPr>
        <w:t>The id</w:t>
      </w:r>
      <w:r w:rsidR="009A3396" w:rsidRPr="007738E4">
        <w:rPr>
          <w:rFonts w:cs="Times New Roman"/>
          <w:szCs w:val="24"/>
        </w:rPr>
        <w:t xml:space="preserve">iom </w:t>
      </w:r>
      <w:r w:rsidRPr="007738E4">
        <w:rPr>
          <w:rFonts w:cs="Times New Roman"/>
          <w:szCs w:val="24"/>
        </w:rPr>
        <w:t xml:space="preserve">‘prevention is better than cure’ is often treated as self-evident in </w:t>
      </w:r>
      <w:r w:rsidR="003A251A" w:rsidRPr="007738E4">
        <w:rPr>
          <w:rFonts w:cs="Times New Roman"/>
          <w:szCs w:val="24"/>
        </w:rPr>
        <w:t>policy initiatives across the globe</w:t>
      </w:r>
      <w:r w:rsidR="003D4601" w:rsidRPr="007738E4">
        <w:rPr>
          <w:rFonts w:cs="Times New Roman"/>
          <w:szCs w:val="24"/>
        </w:rPr>
        <w:t>: it is better to prevent a problem than solve it once it has occurred</w:t>
      </w:r>
      <w:r w:rsidRPr="007738E4">
        <w:rPr>
          <w:rFonts w:cs="Times New Roman"/>
          <w:szCs w:val="24"/>
        </w:rPr>
        <w:t xml:space="preserve">. </w:t>
      </w:r>
      <w:r w:rsidR="009A3396" w:rsidRPr="007738E4">
        <w:rPr>
          <w:rFonts w:cs="Times New Roman"/>
          <w:szCs w:val="24"/>
        </w:rPr>
        <w:t>In public health, it underpins the broad idea that governments can reduce health inequalities and the cost of public services by intervening early or at a population level to prevent problems from arising or getting worse (</w:t>
      </w:r>
      <w:r w:rsidR="00390012" w:rsidRPr="007738E4">
        <w:rPr>
          <w:rFonts w:cs="Times New Roman"/>
          <w:szCs w:val="24"/>
        </w:rPr>
        <w:t xml:space="preserve">Cairney and </w:t>
      </w:r>
      <w:proofErr w:type="gramStart"/>
      <w:r w:rsidR="00390012" w:rsidRPr="007738E4">
        <w:rPr>
          <w:rFonts w:cs="Times New Roman"/>
          <w:szCs w:val="24"/>
        </w:rPr>
        <w:t>St.Denny</w:t>
      </w:r>
      <w:proofErr w:type="gramEnd"/>
      <w:r w:rsidR="00390012" w:rsidRPr="007738E4">
        <w:rPr>
          <w:rFonts w:cs="Times New Roman"/>
          <w:szCs w:val="24"/>
        </w:rPr>
        <w:t>, 2020</w:t>
      </w:r>
      <w:r w:rsidR="009A3396" w:rsidRPr="007738E4">
        <w:rPr>
          <w:rFonts w:cs="Times New Roman"/>
          <w:szCs w:val="24"/>
        </w:rPr>
        <w:t>). This may be done with reference to whole population measures (primary prevention), identifying at risk groups (secondary), preventing known problems from worsening (tertiary), or a combination of measures to address multiple causes of morbidity or ill health (</w:t>
      </w:r>
      <w:r w:rsidR="00390012" w:rsidRPr="007738E4">
        <w:rPr>
          <w:rFonts w:cs="Times New Roman"/>
          <w:szCs w:val="24"/>
        </w:rPr>
        <w:t>Williams et al, 2008</w:t>
      </w:r>
      <w:r w:rsidR="009A3396" w:rsidRPr="007738E4">
        <w:rPr>
          <w:rFonts w:cs="Times New Roman"/>
          <w:szCs w:val="24"/>
        </w:rPr>
        <w:t xml:space="preserve">). </w:t>
      </w:r>
    </w:p>
    <w:p w14:paraId="255246E6" w14:textId="46FB103E" w:rsidR="00743F27" w:rsidRPr="007738E4" w:rsidRDefault="003A251A" w:rsidP="00A60A59">
      <w:pPr>
        <w:spacing w:line="276" w:lineRule="auto"/>
        <w:rPr>
          <w:rFonts w:cs="Times New Roman"/>
          <w:szCs w:val="24"/>
        </w:rPr>
      </w:pPr>
      <w:r w:rsidRPr="007738E4">
        <w:rPr>
          <w:rFonts w:cs="Times New Roman"/>
          <w:szCs w:val="24"/>
        </w:rPr>
        <w:t xml:space="preserve">UK governments have used this idiom repeatedly </w:t>
      </w:r>
      <w:r w:rsidR="00BE6ACA" w:rsidRPr="007738E4">
        <w:rPr>
          <w:rFonts w:cs="Times New Roman"/>
          <w:szCs w:val="24"/>
        </w:rPr>
        <w:t xml:space="preserve">over eight decades </w:t>
      </w:r>
      <w:r w:rsidRPr="007738E4">
        <w:rPr>
          <w:rFonts w:cs="Times New Roman"/>
          <w:szCs w:val="24"/>
        </w:rPr>
        <w:t xml:space="preserve">to signal a major </w:t>
      </w:r>
      <w:r w:rsidR="004F48AF" w:rsidRPr="007738E4">
        <w:rPr>
          <w:rFonts w:cs="Times New Roman"/>
          <w:szCs w:val="24"/>
        </w:rPr>
        <w:t>change</w:t>
      </w:r>
      <w:r w:rsidRPr="007738E4">
        <w:rPr>
          <w:rFonts w:cs="Times New Roman"/>
          <w:szCs w:val="24"/>
        </w:rPr>
        <w:t xml:space="preserve"> in </w:t>
      </w:r>
      <w:r w:rsidRPr="007738E4">
        <w:rPr>
          <w:rFonts w:cs="Times New Roman"/>
          <w:i/>
          <w:iCs/>
          <w:szCs w:val="24"/>
        </w:rPr>
        <w:t>policy</w:t>
      </w:r>
      <w:r w:rsidR="009A3396" w:rsidRPr="007738E4">
        <w:rPr>
          <w:rFonts w:cs="Times New Roman"/>
          <w:szCs w:val="24"/>
        </w:rPr>
        <w:t>, to shift resources from reactive to preventive services,</w:t>
      </w:r>
      <w:r w:rsidRPr="007738E4">
        <w:rPr>
          <w:rFonts w:cs="Times New Roman"/>
          <w:szCs w:val="24"/>
        </w:rPr>
        <w:t xml:space="preserve"> and </w:t>
      </w:r>
      <w:r w:rsidR="003815A8" w:rsidRPr="00DE6430">
        <w:rPr>
          <w:rFonts w:cs="Times New Roman"/>
          <w:i/>
          <w:iCs/>
          <w:szCs w:val="24"/>
        </w:rPr>
        <w:t>po</w:t>
      </w:r>
      <w:r w:rsidRPr="007738E4">
        <w:rPr>
          <w:rFonts w:cs="Times New Roman"/>
          <w:i/>
          <w:iCs/>
          <w:szCs w:val="24"/>
        </w:rPr>
        <w:t>licymaking</w:t>
      </w:r>
      <w:r w:rsidR="009A3396" w:rsidRPr="007738E4">
        <w:rPr>
          <w:rFonts w:cs="Times New Roman"/>
          <w:szCs w:val="24"/>
        </w:rPr>
        <w:t>, to enable services to collaborate across the public sector and with stakeholders outside of government (</w:t>
      </w:r>
      <w:r w:rsidR="00BE6ACA" w:rsidRPr="007738E4">
        <w:rPr>
          <w:rFonts w:cs="Times New Roman"/>
          <w:szCs w:val="24"/>
        </w:rPr>
        <w:t xml:space="preserve">Billis, 1981; </w:t>
      </w:r>
      <w:r w:rsidR="009A3396" w:rsidRPr="007738E4">
        <w:rPr>
          <w:rFonts w:cs="Times New Roman"/>
          <w:szCs w:val="24"/>
        </w:rPr>
        <w:t xml:space="preserve">Cairney and </w:t>
      </w:r>
      <w:proofErr w:type="gramStart"/>
      <w:r w:rsidR="009A3396" w:rsidRPr="007738E4">
        <w:rPr>
          <w:rFonts w:cs="Times New Roman"/>
          <w:szCs w:val="24"/>
        </w:rPr>
        <w:t>St.Denny</w:t>
      </w:r>
      <w:proofErr w:type="gramEnd"/>
      <w:r w:rsidR="009A3396" w:rsidRPr="007738E4">
        <w:rPr>
          <w:rFonts w:cs="Times New Roman"/>
          <w:szCs w:val="24"/>
        </w:rPr>
        <w:t xml:space="preserve">, 2020). </w:t>
      </w:r>
      <w:r w:rsidR="00BE6ACA" w:rsidRPr="007738E4">
        <w:rPr>
          <w:rFonts w:cs="Times New Roman"/>
          <w:szCs w:val="24"/>
        </w:rPr>
        <w:t xml:space="preserve">In the last decade, UK health organisations </w:t>
      </w:r>
      <w:r w:rsidR="002E2EC4" w:rsidRPr="007738E4">
        <w:rPr>
          <w:rFonts w:cs="Times New Roman"/>
          <w:szCs w:val="24"/>
        </w:rPr>
        <w:t>and</w:t>
      </w:r>
      <w:r w:rsidR="00BE6ACA" w:rsidRPr="007738E4">
        <w:rPr>
          <w:rFonts w:cs="Times New Roman"/>
          <w:szCs w:val="24"/>
        </w:rPr>
        <w:t xml:space="preserve"> commissioned reports to government</w:t>
      </w:r>
      <w:r w:rsidR="00CA1B4D" w:rsidRPr="007738E4">
        <w:rPr>
          <w:rFonts w:cs="Times New Roman"/>
          <w:szCs w:val="24"/>
        </w:rPr>
        <w:t xml:space="preserve"> use the prevention lexicon</w:t>
      </w:r>
      <w:r w:rsidR="00BE6ACA" w:rsidRPr="007738E4">
        <w:rPr>
          <w:rFonts w:cs="Times New Roman"/>
          <w:szCs w:val="24"/>
        </w:rPr>
        <w:t xml:space="preserve"> to signal that, without a shift </w:t>
      </w:r>
      <w:r w:rsidR="00CA1B4D" w:rsidRPr="007738E4">
        <w:rPr>
          <w:rFonts w:cs="Times New Roman"/>
          <w:szCs w:val="24"/>
        </w:rPr>
        <w:t>in policy and policymaking</w:t>
      </w:r>
      <w:r w:rsidR="00BE6ACA" w:rsidRPr="007738E4">
        <w:rPr>
          <w:rFonts w:cs="Times New Roman"/>
          <w:szCs w:val="24"/>
        </w:rPr>
        <w:t xml:space="preserve">, the </w:t>
      </w:r>
      <w:r w:rsidR="00104B5E" w:rsidRPr="007738E4">
        <w:rPr>
          <w:rFonts w:cs="Times New Roman"/>
          <w:szCs w:val="24"/>
        </w:rPr>
        <w:t>National Health</w:t>
      </w:r>
      <w:r w:rsidR="00BE6ACA" w:rsidRPr="007738E4">
        <w:rPr>
          <w:rFonts w:cs="Times New Roman"/>
          <w:szCs w:val="24"/>
        </w:rPr>
        <w:t xml:space="preserve"> </w:t>
      </w:r>
      <w:r w:rsidR="00104B5E" w:rsidRPr="007738E4">
        <w:rPr>
          <w:rFonts w:cs="Times New Roman"/>
          <w:szCs w:val="24"/>
        </w:rPr>
        <w:t>S</w:t>
      </w:r>
      <w:r w:rsidR="00BE6ACA" w:rsidRPr="007738E4">
        <w:rPr>
          <w:rFonts w:cs="Times New Roman"/>
          <w:szCs w:val="24"/>
        </w:rPr>
        <w:t>ervice</w:t>
      </w:r>
      <w:r w:rsidR="00104B5E" w:rsidRPr="007738E4">
        <w:rPr>
          <w:rFonts w:cs="Times New Roman"/>
          <w:szCs w:val="24"/>
        </w:rPr>
        <w:t xml:space="preserve"> (NHS)</w:t>
      </w:r>
      <w:r w:rsidR="00BE6ACA" w:rsidRPr="007738E4">
        <w:rPr>
          <w:rFonts w:cs="Times New Roman"/>
          <w:szCs w:val="24"/>
        </w:rPr>
        <w:t xml:space="preserve"> in England will face profound crisis (</w:t>
      </w:r>
      <w:bookmarkStart w:id="0" w:name="_Hlk183082163"/>
      <w:r w:rsidR="00BE6ACA" w:rsidRPr="007738E4">
        <w:rPr>
          <w:rFonts w:cs="Times New Roman"/>
          <w:szCs w:val="24"/>
        </w:rPr>
        <w:t>NHS England, 2014; Hewitt Review, 20</w:t>
      </w:r>
      <w:r w:rsidR="00ED4BA2" w:rsidRPr="007738E4">
        <w:rPr>
          <w:rFonts w:cs="Times New Roman"/>
          <w:szCs w:val="24"/>
        </w:rPr>
        <w:t>2</w:t>
      </w:r>
      <w:r w:rsidR="00BE6ACA" w:rsidRPr="007738E4">
        <w:rPr>
          <w:rFonts w:cs="Times New Roman"/>
          <w:szCs w:val="24"/>
        </w:rPr>
        <w:t>3</w:t>
      </w:r>
      <w:bookmarkEnd w:id="0"/>
      <w:r w:rsidR="004F48AF" w:rsidRPr="007738E4">
        <w:rPr>
          <w:rFonts w:cs="Times New Roman"/>
          <w:szCs w:val="24"/>
        </w:rPr>
        <w:t>; Darzi Review, 2024</w:t>
      </w:r>
      <w:r w:rsidR="00BE6ACA" w:rsidRPr="007738E4">
        <w:rPr>
          <w:rFonts w:cs="Times New Roman"/>
          <w:szCs w:val="24"/>
        </w:rPr>
        <w:t xml:space="preserve">). This call for a shift to prevention enjoys remarkably high </w:t>
      </w:r>
      <w:r w:rsidR="00ED4BA2" w:rsidRPr="007738E4">
        <w:rPr>
          <w:rFonts w:cs="Times New Roman"/>
          <w:szCs w:val="24"/>
        </w:rPr>
        <w:t xml:space="preserve">support, including </w:t>
      </w:r>
      <w:r w:rsidR="00BE6ACA" w:rsidRPr="007738E4">
        <w:rPr>
          <w:rFonts w:cs="Times New Roman"/>
          <w:szCs w:val="24"/>
        </w:rPr>
        <w:t>cross-party support in Parliament</w:t>
      </w:r>
      <w:r w:rsidR="00743F27" w:rsidRPr="007738E4">
        <w:rPr>
          <w:rFonts w:cs="Times New Roman"/>
          <w:szCs w:val="24"/>
        </w:rPr>
        <w:t xml:space="preserve"> and</w:t>
      </w:r>
      <w:r w:rsidR="00BE6ACA" w:rsidRPr="007738E4">
        <w:rPr>
          <w:rFonts w:cs="Times New Roman"/>
          <w:szCs w:val="24"/>
        </w:rPr>
        <w:t xml:space="preserve"> </w:t>
      </w:r>
      <w:r w:rsidR="00ED4BA2" w:rsidRPr="007738E4">
        <w:rPr>
          <w:rFonts w:cs="Times New Roman"/>
          <w:szCs w:val="24"/>
        </w:rPr>
        <w:t xml:space="preserve">reports from </w:t>
      </w:r>
      <w:r w:rsidR="00743F27" w:rsidRPr="007738E4">
        <w:rPr>
          <w:rFonts w:cs="Times New Roman"/>
          <w:szCs w:val="24"/>
        </w:rPr>
        <w:t xml:space="preserve">academics, professional associations and </w:t>
      </w:r>
      <w:r w:rsidR="00BE6ACA" w:rsidRPr="007738E4">
        <w:rPr>
          <w:rFonts w:cs="Times New Roman"/>
          <w:szCs w:val="24"/>
        </w:rPr>
        <w:t>think tanks</w:t>
      </w:r>
      <w:r w:rsidR="00743F27" w:rsidRPr="007738E4">
        <w:rPr>
          <w:rFonts w:cs="Times New Roman"/>
          <w:szCs w:val="24"/>
        </w:rPr>
        <w:t>.</w:t>
      </w:r>
    </w:p>
    <w:p w14:paraId="2C9A13B9" w14:textId="7135745E" w:rsidR="003A251A" w:rsidRPr="007738E4" w:rsidRDefault="00743F27" w:rsidP="00A60A59">
      <w:pPr>
        <w:spacing w:line="276" w:lineRule="auto"/>
        <w:rPr>
          <w:rFonts w:cs="Times New Roman"/>
          <w:szCs w:val="24"/>
        </w:rPr>
      </w:pPr>
      <w:r w:rsidRPr="007738E4">
        <w:rPr>
          <w:rFonts w:cs="Times New Roman"/>
          <w:szCs w:val="24"/>
        </w:rPr>
        <w:t xml:space="preserve">The most recent </w:t>
      </w:r>
      <w:r w:rsidR="00CA1B4D" w:rsidRPr="007738E4">
        <w:rPr>
          <w:rFonts w:cs="Times New Roman"/>
          <w:szCs w:val="24"/>
        </w:rPr>
        <w:t>call</w:t>
      </w:r>
      <w:r w:rsidRPr="007738E4">
        <w:rPr>
          <w:rFonts w:cs="Times New Roman"/>
          <w:szCs w:val="24"/>
        </w:rPr>
        <w:t xml:space="preserve"> </w:t>
      </w:r>
      <w:r w:rsidR="00CA1B4D" w:rsidRPr="007738E4">
        <w:rPr>
          <w:rFonts w:cs="Times New Roman"/>
          <w:szCs w:val="24"/>
        </w:rPr>
        <w:t xml:space="preserve">for </w:t>
      </w:r>
      <w:r w:rsidRPr="007738E4">
        <w:rPr>
          <w:rFonts w:cs="Times New Roman"/>
          <w:szCs w:val="24"/>
        </w:rPr>
        <w:t xml:space="preserve">prevention </w:t>
      </w:r>
      <w:r w:rsidR="00CA1B4D" w:rsidRPr="007738E4">
        <w:rPr>
          <w:rFonts w:cs="Times New Roman"/>
          <w:szCs w:val="24"/>
        </w:rPr>
        <w:t>arose from</w:t>
      </w:r>
      <w:r w:rsidRPr="007738E4">
        <w:rPr>
          <w:rFonts w:cs="Times New Roman"/>
          <w:szCs w:val="24"/>
        </w:rPr>
        <w:t xml:space="preserve"> reform</w:t>
      </w:r>
      <w:r w:rsidR="00CA1B4D" w:rsidRPr="007738E4">
        <w:rPr>
          <w:rFonts w:cs="Times New Roman"/>
          <w:szCs w:val="24"/>
        </w:rPr>
        <w:t>s</w:t>
      </w:r>
      <w:r w:rsidRPr="007738E4">
        <w:rPr>
          <w:rFonts w:cs="Times New Roman"/>
          <w:szCs w:val="24"/>
        </w:rPr>
        <w:t xml:space="preserve"> of health and social care in England</w:t>
      </w:r>
      <w:r w:rsidR="00CA1B4D" w:rsidRPr="007738E4">
        <w:rPr>
          <w:rFonts w:cs="Times New Roman"/>
          <w:szCs w:val="24"/>
        </w:rPr>
        <w:t xml:space="preserve">: </w:t>
      </w:r>
      <w:r w:rsidRPr="007738E4">
        <w:rPr>
          <w:rFonts w:cs="Times New Roman"/>
          <w:szCs w:val="24"/>
        </w:rPr>
        <w:t>the establishment of Integrated Care Systems</w:t>
      </w:r>
      <w:r w:rsidR="00CA1B4D" w:rsidRPr="007738E4">
        <w:rPr>
          <w:rFonts w:cs="Times New Roman"/>
          <w:szCs w:val="24"/>
        </w:rPr>
        <w:t xml:space="preserve"> (ICSs)</w:t>
      </w:r>
      <w:r w:rsidRPr="007738E4">
        <w:rPr>
          <w:rFonts w:cs="Times New Roman"/>
          <w:szCs w:val="24"/>
        </w:rPr>
        <w:t>. In 2022, the UK government legally established 42 ICSs as vehicles to encourage</w:t>
      </w:r>
      <w:r w:rsidR="00CA1B4D" w:rsidRPr="007738E4">
        <w:rPr>
          <w:rFonts w:cs="Times New Roman"/>
          <w:szCs w:val="24"/>
        </w:rPr>
        <w:t xml:space="preserve"> health and social care improvement via</w:t>
      </w:r>
      <w:r w:rsidRPr="007738E4">
        <w:rPr>
          <w:rFonts w:cs="Times New Roman"/>
          <w:szCs w:val="24"/>
        </w:rPr>
        <w:t xml:space="preserve"> collaboration among NHS, local government, and voluntary, community, and social enterprise (VCSE) organisations. A key element of reform</w:t>
      </w:r>
      <w:r w:rsidR="00205D8E" w:rsidRPr="007738E4">
        <w:rPr>
          <w:rFonts w:cs="Times New Roman"/>
          <w:szCs w:val="24"/>
        </w:rPr>
        <w:t xml:space="preserve"> </w:t>
      </w:r>
      <w:r w:rsidR="00CA1B4D" w:rsidRPr="007738E4">
        <w:rPr>
          <w:rFonts w:cs="Times New Roman"/>
          <w:szCs w:val="24"/>
        </w:rPr>
        <w:t xml:space="preserve">is </w:t>
      </w:r>
      <w:r w:rsidR="00205D8E" w:rsidRPr="007738E4">
        <w:rPr>
          <w:rFonts w:cs="Times New Roman"/>
          <w:szCs w:val="24"/>
        </w:rPr>
        <w:t>to promote a shift to prevention</w:t>
      </w:r>
      <w:r w:rsidR="00CA1B4D" w:rsidRPr="007738E4">
        <w:rPr>
          <w:rFonts w:cs="Times New Roman"/>
          <w:szCs w:val="24"/>
        </w:rPr>
        <w:t>, as</w:t>
      </w:r>
      <w:r w:rsidR="00205D8E" w:rsidRPr="007738E4">
        <w:rPr>
          <w:rFonts w:cs="Times New Roman"/>
          <w:szCs w:val="24"/>
        </w:rPr>
        <w:t xml:space="preserve"> </w:t>
      </w:r>
      <w:r w:rsidR="00CA1B4D" w:rsidRPr="007738E4">
        <w:rPr>
          <w:rFonts w:cs="Times New Roman"/>
          <w:szCs w:val="24"/>
        </w:rPr>
        <w:t>described by the</w:t>
      </w:r>
      <w:r w:rsidR="00205D8E" w:rsidRPr="007738E4">
        <w:rPr>
          <w:rFonts w:cs="Times New Roman"/>
          <w:szCs w:val="24"/>
        </w:rPr>
        <w:t xml:space="preserve"> Hewitt Review (2023), central government policy (NHS England 2024) and </w:t>
      </w:r>
      <w:r w:rsidR="00ED4BA2" w:rsidRPr="007738E4">
        <w:rPr>
          <w:rFonts w:cs="Times New Roman"/>
          <w:szCs w:val="24"/>
        </w:rPr>
        <w:t xml:space="preserve">the strategies produced by </w:t>
      </w:r>
      <w:r w:rsidR="00BE6ACA" w:rsidRPr="007738E4">
        <w:rPr>
          <w:rFonts w:cs="Times New Roman"/>
          <w:szCs w:val="24"/>
        </w:rPr>
        <w:t>I</w:t>
      </w:r>
      <w:r w:rsidR="00A60A59" w:rsidRPr="007738E4">
        <w:rPr>
          <w:rFonts w:cs="Times New Roman"/>
          <w:szCs w:val="24"/>
        </w:rPr>
        <w:t xml:space="preserve">ntegrated </w:t>
      </w:r>
      <w:r w:rsidR="00BE6ACA" w:rsidRPr="007738E4">
        <w:rPr>
          <w:rFonts w:cs="Times New Roman"/>
          <w:szCs w:val="24"/>
        </w:rPr>
        <w:t>C</w:t>
      </w:r>
      <w:r w:rsidR="00A60A59" w:rsidRPr="007738E4">
        <w:rPr>
          <w:rFonts w:cs="Times New Roman"/>
          <w:szCs w:val="24"/>
        </w:rPr>
        <w:t xml:space="preserve">are </w:t>
      </w:r>
      <w:r w:rsidR="00BE6ACA" w:rsidRPr="007738E4">
        <w:rPr>
          <w:rFonts w:cs="Times New Roman"/>
          <w:szCs w:val="24"/>
        </w:rPr>
        <w:t>S</w:t>
      </w:r>
      <w:r w:rsidR="00A60A59" w:rsidRPr="007738E4">
        <w:rPr>
          <w:rFonts w:cs="Times New Roman"/>
          <w:szCs w:val="24"/>
        </w:rPr>
        <w:t xml:space="preserve">ystem (ICS) </w:t>
      </w:r>
      <w:r w:rsidR="00BE6ACA" w:rsidRPr="007738E4">
        <w:rPr>
          <w:rFonts w:cs="Times New Roman"/>
          <w:szCs w:val="24"/>
        </w:rPr>
        <w:t>partners (NHS Confederation, 2024)</w:t>
      </w:r>
      <w:r w:rsidR="00A60A59" w:rsidRPr="007738E4">
        <w:rPr>
          <w:rFonts w:cs="Times New Roman"/>
          <w:szCs w:val="24"/>
        </w:rPr>
        <w:t xml:space="preserve">. </w:t>
      </w:r>
    </w:p>
    <w:p w14:paraId="135B1A34" w14:textId="747F4E27" w:rsidR="009F348A" w:rsidRPr="007738E4" w:rsidRDefault="00A60A59" w:rsidP="00A60A59">
      <w:pPr>
        <w:spacing w:line="276" w:lineRule="auto"/>
        <w:rPr>
          <w:rFonts w:cs="Times New Roman"/>
          <w:szCs w:val="24"/>
        </w:rPr>
      </w:pPr>
      <w:r w:rsidRPr="007738E4">
        <w:rPr>
          <w:rFonts w:cs="Times New Roman"/>
          <w:szCs w:val="24"/>
        </w:rPr>
        <w:t xml:space="preserve">However, </w:t>
      </w:r>
      <w:r w:rsidR="00ED4BA2" w:rsidRPr="007738E4">
        <w:rPr>
          <w:rFonts w:cs="Times New Roman"/>
          <w:szCs w:val="24"/>
        </w:rPr>
        <w:t>evidence from political science research shows that there</w:t>
      </w:r>
      <w:r w:rsidRPr="007738E4">
        <w:rPr>
          <w:rFonts w:cs="Times New Roman"/>
          <w:szCs w:val="24"/>
        </w:rPr>
        <w:t xml:space="preserve"> </w:t>
      </w:r>
      <w:r w:rsidR="00ED4BA2" w:rsidRPr="007738E4">
        <w:rPr>
          <w:rFonts w:cs="Times New Roman"/>
          <w:szCs w:val="24"/>
        </w:rPr>
        <w:t xml:space="preserve">has </w:t>
      </w:r>
      <w:r w:rsidR="00732CAB" w:rsidRPr="007738E4">
        <w:rPr>
          <w:rFonts w:cs="Times New Roman"/>
          <w:szCs w:val="24"/>
        </w:rPr>
        <w:t xml:space="preserve">always been </w:t>
      </w:r>
      <w:r w:rsidRPr="007738E4">
        <w:rPr>
          <w:rFonts w:cs="Times New Roman"/>
          <w:szCs w:val="24"/>
        </w:rPr>
        <w:t xml:space="preserve">a large gap between </w:t>
      </w:r>
      <w:r w:rsidR="00ED4BA2" w:rsidRPr="007738E4">
        <w:rPr>
          <w:rFonts w:cs="Times New Roman"/>
          <w:szCs w:val="24"/>
        </w:rPr>
        <w:t xml:space="preserve">prevention </w:t>
      </w:r>
      <w:r w:rsidRPr="007738E4">
        <w:rPr>
          <w:rFonts w:cs="Times New Roman"/>
          <w:szCs w:val="24"/>
        </w:rPr>
        <w:t xml:space="preserve">policy and practice. </w:t>
      </w:r>
      <w:r w:rsidR="00732CAB" w:rsidRPr="007738E4">
        <w:rPr>
          <w:rFonts w:cs="Times New Roman"/>
          <w:szCs w:val="24"/>
        </w:rPr>
        <w:t xml:space="preserve">Reviews of </w:t>
      </w:r>
      <w:r w:rsidR="00CA1B4D" w:rsidRPr="007738E4">
        <w:rPr>
          <w:rFonts w:cs="Times New Roman"/>
          <w:szCs w:val="24"/>
        </w:rPr>
        <w:t xml:space="preserve">global </w:t>
      </w:r>
      <w:r w:rsidR="00732CAB" w:rsidRPr="007738E4">
        <w:rPr>
          <w:rFonts w:cs="Times New Roman"/>
          <w:szCs w:val="24"/>
        </w:rPr>
        <w:t>progress towards preventive health strategies highlight bursts of enthusiasm then disenchantment (</w:t>
      </w:r>
      <w:bookmarkStart w:id="1" w:name="_Hlk183082318"/>
      <w:r w:rsidR="00732CAB" w:rsidRPr="007738E4">
        <w:rPr>
          <w:rFonts w:cs="Times New Roman"/>
          <w:szCs w:val="24"/>
        </w:rPr>
        <w:t>Cairney et al, 2021</w:t>
      </w:r>
      <w:bookmarkEnd w:id="1"/>
      <w:r w:rsidR="00732CAB" w:rsidRPr="007738E4">
        <w:rPr>
          <w:rFonts w:cs="Times New Roman"/>
          <w:szCs w:val="24"/>
        </w:rPr>
        <w:t xml:space="preserve">). In the UK, prevention efforts in </w:t>
      </w:r>
      <w:r w:rsidR="00ED4BA2" w:rsidRPr="007738E4">
        <w:rPr>
          <w:rFonts w:cs="Times New Roman"/>
          <w:szCs w:val="24"/>
        </w:rPr>
        <w:t>multiple policy</w:t>
      </w:r>
      <w:r w:rsidR="00732CAB" w:rsidRPr="007738E4">
        <w:rPr>
          <w:rFonts w:cs="Times New Roman"/>
          <w:szCs w:val="24"/>
        </w:rPr>
        <w:t xml:space="preserve"> sectors come and go without becoming ‘institutionalised’ or showing a substantive impact (</w:t>
      </w:r>
      <w:bookmarkStart w:id="2" w:name="_Hlk183082326"/>
      <w:r w:rsidR="00732CAB" w:rsidRPr="007738E4">
        <w:rPr>
          <w:rFonts w:cs="Times New Roman"/>
          <w:szCs w:val="24"/>
        </w:rPr>
        <w:t xml:space="preserve">Boswell et al, 2019; Cairney and </w:t>
      </w:r>
      <w:proofErr w:type="gramStart"/>
      <w:r w:rsidR="00732CAB" w:rsidRPr="007738E4">
        <w:rPr>
          <w:rFonts w:cs="Times New Roman"/>
          <w:szCs w:val="24"/>
        </w:rPr>
        <w:t>St.Denny</w:t>
      </w:r>
      <w:proofErr w:type="gramEnd"/>
      <w:r w:rsidR="00732CAB" w:rsidRPr="007738E4">
        <w:rPr>
          <w:rFonts w:cs="Times New Roman"/>
          <w:szCs w:val="24"/>
        </w:rPr>
        <w:t>, 2020</w:t>
      </w:r>
      <w:bookmarkEnd w:id="2"/>
      <w:r w:rsidR="00732CAB" w:rsidRPr="007738E4">
        <w:rPr>
          <w:rFonts w:cs="Times New Roman"/>
          <w:szCs w:val="24"/>
        </w:rPr>
        <w:t xml:space="preserve">). </w:t>
      </w:r>
      <w:r w:rsidR="002B5F6C" w:rsidRPr="007738E4">
        <w:rPr>
          <w:rFonts w:cs="Times New Roman"/>
          <w:szCs w:val="24"/>
        </w:rPr>
        <w:t xml:space="preserve">Therefore, it is imperative to learn why prevention is easy to promote but difficult to </w:t>
      </w:r>
      <w:proofErr w:type="gramStart"/>
      <w:r w:rsidR="004F48AF" w:rsidRPr="007738E4">
        <w:rPr>
          <w:rFonts w:cs="Times New Roman"/>
          <w:szCs w:val="24"/>
        </w:rPr>
        <w:t>deliver,</w:t>
      </w:r>
      <w:r w:rsidR="002B5F6C" w:rsidRPr="007738E4">
        <w:rPr>
          <w:rFonts w:cs="Times New Roman"/>
          <w:szCs w:val="24"/>
        </w:rPr>
        <w:t xml:space="preserve"> and</w:t>
      </w:r>
      <w:proofErr w:type="gramEnd"/>
      <w:r w:rsidR="002B5F6C" w:rsidRPr="007738E4">
        <w:rPr>
          <w:rFonts w:cs="Times New Roman"/>
          <w:szCs w:val="24"/>
        </w:rPr>
        <w:t xml:space="preserve"> incorporate these lessons into policymaking.</w:t>
      </w:r>
      <w:r w:rsidR="00E73D4E" w:rsidRPr="007738E4">
        <w:rPr>
          <w:rFonts w:cs="Times New Roman"/>
          <w:szCs w:val="24"/>
        </w:rPr>
        <w:t xml:space="preserve"> </w:t>
      </w:r>
      <w:r w:rsidR="0026405B" w:rsidRPr="007738E4">
        <w:rPr>
          <w:rFonts w:cs="Times New Roman"/>
          <w:szCs w:val="24"/>
        </w:rPr>
        <w:t>T</w:t>
      </w:r>
      <w:r w:rsidR="00E73D4E" w:rsidRPr="007738E4">
        <w:rPr>
          <w:rFonts w:cs="Times New Roman"/>
          <w:szCs w:val="24"/>
        </w:rPr>
        <w:t xml:space="preserve">oo little reliance on political </w:t>
      </w:r>
      <w:r w:rsidR="0026405B" w:rsidRPr="007738E4">
        <w:rPr>
          <w:rFonts w:cs="Times New Roman"/>
          <w:szCs w:val="24"/>
        </w:rPr>
        <w:t xml:space="preserve">science and policy </w:t>
      </w:r>
      <w:r w:rsidR="00E73D4E" w:rsidRPr="007738E4">
        <w:rPr>
          <w:rFonts w:cs="Times New Roman"/>
          <w:szCs w:val="24"/>
        </w:rPr>
        <w:t xml:space="preserve">science evidence produces </w:t>
      </w:r>
      <w:r w:rsidR="0060303D" w:rsidRPr="007738E4">
        <w:rPr>
          <w:rFonts w:cs="Times New Roman"/>
          <w:szCs w:val="24"/>
        </w:rPr>
        <w:t>ineffective</w:t>
      </w:r>
      <w:r w:rsidR="0026405B" w:rsidRPr="007738E4">
        <w:rPr>
          <w:rFonts w:cs="Times New Roman"/>
          <w:szCs w:val="24"/>
        </w:rPr>
        <w:t xml:space="preserve"> </w:t>
      </w:r>
      <w:r w:rsidR="00E73D4E" w:rsidRPr="007738E4">
        <w:rPr>
          <w:rFonts w:cs="Times New Roman"/>
          <w:szCs w:val="24"/>
        </w:rPr>
        <w:t xml:space="preserve">approaches to policy and practice. </w:t>
      </w:r>
    </w:p>
    <w:p w14:paraId="4834EE2F" w14:textId="269B5EBE" w:rsidR="009E7D6D" w:rsidRPr="007738E4" w:rsidRDefault="00155773" w:rsidP="00A60A59">
      <w:pPr>
        <w:spacing w:line="276" w:lineRule="auto"/>
        <w:rPr>
          <w:rFonts w:cs="Times New Roman"/>
          <w:szCs w:val="24"/>
        </w:rPr>
      </w:pPr>
      <w:r w:rsidRPr="007738E4">
        <w:rPr>
          <w:rFonts w:cs="Times New Roman"/>
          <w:szCs w:val="24"/>
        </w:rPr>
        <w:t xml:space="preserve">Our novel contribution is to adopt a political science-driven framework to understand the challenges and opportunities facing preventive health policy in England </w:t>
      </w:r>
      <w:r w:rsidR="00205D8E" w:rsidRPr="007738E4">
        <w:rPr>
          <w:rFonts w:cs="Times New Roman"/>
          <w:szCs w:val="24"/>
        </w:rPr>
        <w:t>during this transition to ICSs</w:t>
      </w:r>
      <w:r w:rsidRPr="007738E4">
        <w:rPr>
          <w:rFonts w:cs="Times New Roman"/>
          <w:szCs w:val="24"/>
        </w:rPr>
        <w:t xml:space="preserve">. </w:t>
      </w:r>
      <w:r w:rsidR="00CA1B4D" w:rsidRPr="007738E4">
        <w:rPr>
          <w:rFonts w:cs="Times New Roman"/>
          <w:szCs w:val="24"/>
        </w:rPr>
        <w:t>We synthesise</w:t>
      </w:r>
      <w:r w:rsidRPr="007738E4">
        <w:rPr>
          <w:rFonts w:cs="Times New Roman"/>
          <w:szCs w:val="24"/>
        </w:rPr>
        <w:t xml:space="preserve"> </w:t>
      </w:r>
      <w:r w:rsidR="00CA1B4D" w:rsidRPr="007738E4">
        <w:rPr>
          <w:rFonts w:cs="Times New Roman"/>
          <w:szCs w:val="24"/>
        </w:rPr>
        <w:t xml:space="preserve">then operationalise </w:t>
      </w:r>
      <w:r w:rsidRPr="007738E4">
        <w:rPr>
          <w:rFonts w:cs="Times New Roman"/>
          <w:szCs w:val="24"/>
        </w:rPr>
        <w:t>key insights from political science</w:t>
      </w:r>
      <w:r w:rsidR="00CA1B4D" w:rsidRPr="007738E4">
        <w:rPr>
          <w:rFonts w:cs="Times New Roman"/>
          <w:szCs w:val="24"/>
        </w:rPr>
        <w:t xml:space="preserve"> to guide</w:t>
      </w:r>
      <w:r w:rsidR="009E7D6D" w:rsidRPr="007738E4">
        <w:rPr>
          <w:rFonts w:cs="Times New Roman"/>
          <w:szCs w:val="24"/>
        </w:rPr>
        <w:t xml:space="preserve"> </w:t>
      </w:r>
      <w:r w:rsidR="00CA1B4D" w:rsidRPr="007738E4">
        <w:rPr>
          <w:rFonts w:cs="Times New Roman"/>
          <w:szCs w:val="24"/>
        </w:rPr>
        <w:t>new research, conducting</w:t>
      </w:r>
      <w:r w:rsidR="009E7D6D" w:rsidRPr="007738E4">
        <w:rPr>
          <w:rFonts w:cs="Times New Roman"/>
          <w:szCs w:val="24"/>
        </w:rPr>
        <w:t xml:space="preserve"> focus groups with policy actors across England to </w:t>
      </w:r>
      <w:r w:rsidR="00CA1B4D" w:rsidRPr="007738E4">
        <w:rPr>
          <w:rFonts w:cs="Times New Roman"/>
          <w:szCs w:val="24"/>
        </w:rPr>
        <w:t>identify</w:t>
      </w:r>
      <w:r w:rsidR="009E7D6D" w:rsidRPr="007738E4">
        <w:rPr>
          <w:rFonts w:cs="Times New Roman"/>
          <w:szCs w:val="24"/>
        </w:rPr>
        <w:t xml:space="preserve"> the current barriers to, and potential enablers of, prevention in the work of ICSs.  Our analysis revealed familiar challenges around defining and measur</w:t>
      </w:r>
      <w:r w:rsidR="00CA1B4D" w:rsidRPr="007738E4">
        <w:rPr>
          <w:rFonts w:cs="Times New Roman"/>
          <w:szCs w:val="24"/>
        </w:rPr>
        <w:t>ing</w:t>
      </w:r>
      <w:r w:rsidR="009E7D6D" w:rsidRPr="007738E4">
        <w:rPr>
          <w:rFonts w:cs="Times New Roman"/>
          <w:szCs w:val="24"/>
        </w:rPr>
        <w:t xml:space="preserve"> prevention </w:t>
      </w:r>
      <w:proofErr w:type="gramStart"/>
      <w:r w:rsidR="009E7D6D" w:rsidRPr="007738E4">
        <w:rPr>
          <w:rFonts w:cs="Times New Roman"/>
          <w:szCs w:val="24"/>
        </w:rPr>
        <w:t>activity, and</w:t>
      </w:r>
      <w:proofErr w:type="gramEnd"/>
      <w:r w:rsidR="009E7D6D" w:rsidRPr="007738E4">
        <w:rPr>
          <w:rFonts w:cs="Times New Roman"/>
          <w:szCs w:val="24"/>
        </w:rPr>
        <w:t xml:space="preserve"> building and sustaining preventive action in a context of financial stress. </w:t>
      </w:r>
      <w:r w:rsidR="00A56BDA" w:rsidRPr="007738E4">
        <w:rPr>
          <w:rFonts w:cs="Times New Roman"/>
          <w:szCs w:val="24"/>
        </w:rPr>
        <w:t>T</w:t>
      </w:r>
      <w:r w:rsidR="009E7D6D" w:rsidRPr="007738E4">
        <w:rPr>
          <w:rFonts w:cs="Times New Roman"/>
          <w:szCs w:val="24"/>
        </w:rPr>
        <w:t>he analysis also unveiled some politically</w:t>
      </w:r>
      <w:r w:rsidR="008F1469" w:rsidRPr="007738E4">
        <w:rPr>
          <w:rFonts w:cs="Times New Roman"/>
          <w:szCs w:val="24"/>
        </w:rPr>
        <w:t xml:space="preserve">-aware </w:t>
      </w:r>
      <w:r w:rsidR="009E7D6D" w:rsidRPr="007738E4">
        <w:rPr>
          <w:rFonts w:cs="Times New Roman"/>
          <w:szCs w:val="24"/>
        </w:rPr>
        <w:t xml:space="preserve">ideas for promoting prevention in future through the strategic alignment of </w:t>
      </w:r>
      <w:r w:rsidR="009E7D6D" w:rsidRPr="007738E4">
        <w:rPr>
          <w:rFonts w:cs="Times New Roman"/>
          <w:szCs w:val="24"/>
        </w:rPr>
        <w:lastRenderedPageBreak/>
        <w:t>short</w:t>
      </w:r>
      <w:r w:rsidR="008F1469" w:rsidRPr="007738E4">
        <w:rPr>
          <w:rFonts w:cs="Times New Roman"/>
          <w:szCs w:val="24"/>
        </w:rPr>
        <w:t>-</w:t>
      </w:r>
      <w:r w:rsidR="009E7D6D" w:rsidRPr="007738E4">
        <w:rPr>
          <w:rFonts w:cs="Times New Roman"/>
          <w:szCs w:val="24"/>
        </w:rPr>
        <w:t xml:space="preserve"> and long-term imperatives, more effective means of benchmarking and measuring preventive action, and clever use of new data infrastructures and skills. </w:t>
      </w:r>
      <w:r w:rsidR="00844730" w:rsidRPr="007738E4">
        <w:rPr>
          <w:rFonts w:cs="Times New Roman"/>
          <w:szCs w:val="24"/>
        </w:rPr>
        <w:t>O</w:t>
      </w:r>
      <w:r w:rsidR="00573433" w:rsidRPr="007738E4">
        <w:rPr>
          <w:rFonts w:cs="Times New Roman"/>
          <w:szCs w:val="24"/>
        </w:rPr>
        <w:t>ur novel method helped to uncover wider contextual factors that hinder progress in preventive health, but also to share ideas for navigating and combatting those hindrances.</w:t>
      </w:r>
    </w:p>
    <w:p w14:paraId="3462EF67" w14:textId="52CBF5C4" w:rsidR="007738E4" w:rsidRPr="007738E4" w:rsidRDefault="007738E4" w:rsidP="007738E4">
      <w:pPr>
        <w:pStyle w:val="Heading1"/>
        <w:rPr>
          <w:rFonts w:cs="Times New Roman"/>
        </w:rPr>
      </w:pPr>
      <w:r w:rsidRPr="007738E4">
        <w:rPr>
          <w:rFonts w:cs="Times New Roman"/>
        </w:rPr>
        <w:t>Theoretical framework</w:t>
      </w:r>
    </w:p>
    <w:p w14:paraId="538C0C43" w14:textId="0D283C36" w:rsidR="00155773" w:rsidRPr="007738E4" w:rsidRDefault="00155773" w:rsidP="007738E4">
      <w:pPr>
        <w:spacing w:line="276" w:lineRule="auto"/>
        <w:rPr>
          <w:rFonts w:cs="Times New Roman"/>
          <w:b/>
          <w:sz w:val="32"/>
          <w:szCs w:val="32"/>
        </w:rPr>
      </w:pPr>
      <w:r w:rsidRPr="007738E4">
        <w:rPr>
          <w:rFonts w:cs="Times New Roman"/>
        </w:rPr>
        <w:t xml:space="preserve">We generated a new political science-driven model for research and practice. We designed this model to (1) synthesise a wealth of political science research insights to (2) inform more sophisticated policy and practice that anticipates systemic barriers in policymaking. This </w:t>
      </w:r>
      <w:r w:rsidR="00844730" w:rsidRPr="007738E4">
        <w:rPr>
          <w:rFonts w:cs="Times New Roman"/>
        </w:rPr>
        <w:t xml:space="preserve">broad </w:t>
      </w:r>
      <w:r w:rsidRPr="007738E4">
        <w:rPr>
          <w:rFonts w:cs="Times New Roman"/>
        </w:rPr>
        <w:t xml:space="preserve">focus on systems is familiar to the </w:t>
      </w:r>
      <w:r w:rsidR="00B016B8" w:rsidRPr="007738E4">
        <w:rPr>
          <w:rFonts w:cs="Times New Roman"/>
        </w:rPr>
        <w:t xml:space="preserve">public health </w:t>
      </w:r>
      <w:r w:rsidRPr="007738E4">
        <w:rPr>
          <w:rFonts w:cs="Times New Roman"/>
        </w:rPr>
        <w:t>scholars and practitioners (Rutter, et al, 2017). It also resonates with research inspired by Pawson’s (2013) ‘realist’ approach to policy evaluation, to infuse evaluative frameworks with an appreciation of the difficulty of pinpointing the outcomes of health and social policy interventions (by identifying how they worked, for whom, and in what context).</w:t>
      </w:r>
    </w:p>
    <w:p w14:paraId="3EBF535C" w14:textId="18A17D18" w:rsidR="00155773" w:rsidRPr="007738E4" w:rsidRDefault="00155773" w:rsidP="00155773">
      <w:pPr>
        <w:spacing w:line="276" w:lineRule="auto"/>
        <w:rPr>
          <w:rFonts w:cs="Times New Roman"/>
          <w:szCs w:val="24"/>
        </w:rPr>
      </w:pPr>
      <w:r w:rsidRPr="007738E4">
        <w:rPr>
          <w:rFonts w:cs="Times New Roman"/>
          <w:szCs w:val="24"/>
        </w:rPr>
        <w:t xml:space="preserve">We take such research forward by conceptualising and responding to the political dynamics of policymaking. Complex systems analysis </w:t>
      </w:r>
      <w:r w:rsidR="00B016B8" w:rsidRPr="007738E4">
        <w:rPr>
          <w:rFonts w:cs="Times New Roman"/>
          <w:szCs w:val="24"/>
        </w:rPr>
        <w:t xml:space="preserve">already </w:t>
      </w:r>
      <w:r w:rsidRPr="007738E4">
        <w:rPr>
          <w:rFonts w:cs="Times New Roman"/>
          <w:szCs w:val="24"/>
        </w:rPr>
        <w:t>shed</w:t>
      </w:r>
      <w:r w:rsidR="005F7C09" w:rsidRPr="007738E4">
        <w:rPr>
          <w:rFonts w:cs="Times New Roman"/>
          <w:szCs w:val="24"/>
        </w:rPr>
        <w:t>s</w:t>
      </w:r>
      <w:r w:rsidRPr="007738E4">
        <w:rPr>
          <w:rFonts w:cs="Times New Roman"/>
          <w:szCs w:val="24"/>
        </w:rPr>
        <w:t xml:space="preserve"> valuable light on the </w:t>
      </w:r>
      <w:r w:rsidRPr="00DE6430">
        <w:rPr>
          <w:rFonts w:cs="Times New Roman"/>
          <w:szCs w:val="24"/>
        </w:rPr>
        <w:t>complexity of</w:t>
      </w:r>
      <w:r w:rsidRPr="007738E4">
        <w:rPr>
          <w:rFonts w:cs="Times New Roman"/>
          <w:i/>
          <w:iCs/>
          <w:szCs w:val="24"/>
        </w:rPr>
        <w:t xml:space="preserve"> policy problems</w:t>
      </w:r>
      <w:r w:rsidRPr="007738E4">
        <w:rPr>
          <w:rFonts w:cs="Times New Roman"/>
          <w:szCs w:val="24"/>
        </w:rPr>
        <w:t xml:space="preserve"> </w:t>
      </w:r>
      <w:r w:rsidR="005F7C09" w:rsidRPr="007738E4">
        <w:rPr>
          <w:rFonts w:cs="Times New Roman"/>
          <w:szCs w:val="24"/>
        </w:rPr>
        <w:t xml:space="preserve">and the need to relate the impact of one policy instrument to a wider </w:t>
      </w:r>
      <w:r w:rsidR="005F7C09" w:rsidRPr="00DE6430">
        <w:rPr>
          <w:rFonts w:cs="Times New Roman"/>
          <w:i/>
          <w:iCs/>
          <w:szCs w:val="24"/>
        </w:rPr>
        <w:t>policy mix</w:t>
      </w:r>
      <w:r w:rsidR="005F7C09" w:rsidRPr="007738E4">
        <w:rPr>
          <w:rFonts w:cs="Times New Roman"/>
          <w:szCs w:val="24"/>
        </w:rPr>
        <w:t xml:space="preserve"> </w:t>
      </w:r>
      <w:r w:rsidR="007738E4">
        <w:rPr>
          <w:rFonts w:cs="Times New Roman"/>
          <w:szCs w:val="24"/>
        </w:rPr>
        <w:t xml:space="preserve">of many instruments </w:t>
      </w:r>
      <w:r w:rsidR="005F7C09" w:rsidRPr="007738E4">
        <w:rPr>
          <w:rFonts w:cs="Times New Roman"/>
          <w:szCs w:val="24"/>
        </w:rPr>
        <w:t xml:space="preserve">(e.g. a ‘soft drinks levy’ is one of many </w:t>
      </w:r>
      <w:r w:rsidR="007738E4">
        <w:rPr>
          <w:rFonts w:cs="Times New Roman"/>
          <w:szCs w:val="24"/>
        </w:rPr>
        <w:t>means</w:t>
      </w:r>
      <w:r w:rsidR="005F7C09" w:rsidRPr="007738E4">
        <w:rPr>
          <w:rFonts w:cs="Times New Roman"/>
          <w:szCs w:val="24"/>
        </w:rPr>
        <w:t xml:space="preserve"> to influence population diet and health – Rutter et al, 2017: 2)</w:t>
      </w:r>
      <w:r w:rsidRPr="007738E4">
        <w:rPr>
          <w:rFonts w:cs="Times New Roman"/>
          <w:szCs w:val="24"/>
        </w:rPr>
        <w:t xml:space="preserve">. </w:t>
      </w:r>
      <w:r w:rsidR="00B016B8" w:rsidRPr="007738E4">
        <w:rPr>
          <w:rFonts w:cs="Times New Roman"/>
          <w:szCs w:val="24"/>
        </w:rPr>
        <w:t>In addition, o</w:t>
      </w:r>
      <w:r w:rsidRPr="007738E4">
        <w:rPr>
          <w:rFonts w:cs="Times New Roman"/>
          <w:szCs w:val="24"/>
        </w:rPr>
        <w:t xml:space="preserve">ur approach </w:t>
      </w:r>
      <w:r w:rsidR="00844730" w:rsidRPr="007738E4">
        <w:rPr>
          <w:rFonts w:cs="Times New Roman"/>
          <w:szCs w:val="24"/>
        </w:rPr>
        <w:t>engages with the – analytically distinct -</w:t>
      </w:r>
      <w:r w:rsidR="00B016B8" w:rsidRPr="007738E4">
        <w:rPr>
          <w:rFonts w:cs="Times New Roman"/>
          <w:szCs w:val="24"/>
        </w:rPr>
        <w:t xml:space="preserve"> dynamics</w:t>
      </w:r>
      <w:r w:rsidRPr="007738E4">
        <w:rPr>
          <w:rFonts w:cs="Times New Roman"/>
          <w:szCs w:val="24"/>
        </w:rPr>
        <w:t xml:space="preserve"> of </w:t>
      </w:r>
      <w:r w:rsidRPr="00DE6430">
        <w:rPr>
          <w:rFonts w:cs="Times New Roman"/>
          <w:szCs w:val="24"/>
        </w:rPr>
        <w:t>complex</w:t>
      </w:r>
      <w:r w:rsidRPr="007738E4">
        <w:rPr>
          <w:rFonts w:cs="Times New Roman"/>
          <w:i/>
          <w:iCs/>
          <w:szCs w:val="24"/>
        </w:rPr>
        <w:t xml:space="preserve"> policymaking systems</w:t>
      </w:r>
      <w:r w:rsidR="00844730" w:rsidRPr="007738E4">
        <w:rPr>
          <w:rFonts w:cs="Times New Roman"/>
          <w:i/>
          <w:iCs/>
          <w:szCs w:val="24"/>
        </w:rPr>
        <w:t>.</w:t>
      </w:r>
      <w:r w:rsidRPr="007738E4">
        <w:rPr>
          <w:rFonts w:cs="Times New Roman"/>
          <w:i/>
          <w:iCs/>
          <w:szCs w:val="24"/>
        </w:rPr>
        <w:t xml:space="preserve"> </w:t>
      </w:r>
      <w:r w:rsidR="00844730" w:rsidRPr="007738E4">
        <w:rPr>
          <w:rFonts w:cs="Times New Roman"/>
          <w:szCs w:val="24"/>
        </w:rPr>
        <w:t>In other words, we analyse the policy process as a complex system</w:t>
      </w:r>
      <w:r w:rsidR="00FB11B6" w:rsidRPr="007738E4">
        <w:rPr>
          <w:rFonts w:cs="Times New Roman"/>
          <w:szCs w:val="24"/>
        </w:rPr>
        <w:t>,</w:t>
      </w:r>
      <w:r w:rsidR="00844730" w:rsidRPr="007738E4">
        <w:rPr>
          <w:rFonts w:cs="Times New Roman"/>
          <w:szCs w:val="24"/>
        </w:rPr>
        <w:t xml:space="preserve"> exhibiting ‘emergent’ practices or outcomes that defy central control</w:t>
      </w:r>
      <w:r w:rsidR="00FB11B6" w:rsidRPr="007738E4">
        <w:rPr>
          <w:rFonts w:cs="Times New Roman"/>
          <w:szCs w:val="24"/>
        </w:rPr>
        <w:t>,</w:t>
      </w:r>
      <w:r w:rsidR="00844730" w:rsidRPr="007738E4">
        <w:rPr>
          <w:rFonts w:cs="Times New Roman"/>
          <w:szCs w:val="24"/>
        </w:rPr>
        <w:t xml:space="preserve"> </w:t>
      </w:r>
      <w:r w:rsidR="00FB11B6" w:rsidRPr="007738E4">
        <w:rPr>
          <w:rFonts w:cs="Times New Roman"/>
          <w:szCs w:val="24"/>
        </w:rPr>
        <w:t>requiring</w:t>
      </w:r>
      <w:r w:rsidR="00844730" w:rsidRPr="007738E4">
        <w:rPr>
          <w:rFonts w:cs="Times New Roman"/>
          <w:szCs w:val="24"/>
        </w:rPr>
        <w:t xml:space="preserve"> a greater understanding of how </w:t>
      </w:r>
      <w:r w:rsidR="00FB11B6" w:rsidRPr="007738E4">
        <w:rPr>
          <w:rFonts w:cs="Times New Roman"/>
          <w:szCs w:val="24"/>
        </w:rPr>
        <w:t xml:space="preserve">many </w:t>
      </w:r>
      <w:r w:rsidR="00844730" w:rsidRPr="007738E4">
        <w:rPr>
          <w:rFonts w:cs="Times New Roman"/>
          <w:szCs w:val="24"/>
        </w:rPr>
        <w:t xml:space="preserve">semi-autonomous local actors make decisions (Cairney, 2012). </w:t>
      </w:r>
      <w:r w:rsidR="00B016B8" w:rsidRPr="007738E4">
        <w:rPr>
          <w:rFonts w:cs="Times New Roman"/>
          <w:szCs w:val="24"/>
        </w:rPr>
        <w:t>For example, we</w:t>
      </w:r>
      <w:r w:rsidRPr="007738E4">
        <w:rPr>
          <w:rFonts w:cs="Times New Roman"/>
          <w:szCs w:val="24"/>
        </w:rPr>
        <w:t xml:space="preserve"> emphasise the </w:t>
      </w:r>
      <w:r w:rsidR="00B016B8" w:rsidRPr="007738E4">
        <w:rPr>
          <w:rFonts w:cs="Times New Roman"/>
          <w:szCs w:val="24"/>
        </w:rPr>
        <w:t xml:space="preserve">practical and </w:t>
      </w:r>
      <w:r w:rsidRPr="007738E4">
        <w:rPr>
          <w:rFonts w:cs="Times New Roman"/>
          <w:szCs w:val="24"/>
        </w:rPr>
        <w:t xml:space="preserve">political challenges associated with </w:t>
      </w:r>
      <w:r w:rsidR="00FB11B6" w:rsidRPr="007738E4">
        <w:rPr>
          <w:rFonts w:cs="Times New Roman"/>
          <w:szCs w:val="24"/>
        </w:rPr>
        <w:t xml:space="preserve">local actors </w:t>
      </w:r>
      <w:r w:rsidRPr="007738E4">
        <w:rPr>
          <w:rFonts w:cs="Times New Roman"/>
          <w:szCs w:val="24"/>
        </w:rPr>
        <w:t xml:space="preserve">trying to </w:t>
      </w:r>
      <w:r w:rsidR="00B016B8" w:rsidRPr="007738E4">
        <w:rPr>
          <w:rFonts w:cs="Times New Roman"/>
          <w:szCs w:val="24"/>
        </w:rPr>
        <w:t xml:space="preserve">collaborate to </w:t>
      </w:r>
      <w:r w:rsidRPr="007738E4">
        <w:rPr>
          <w:rFonts w:cs="Times New Roman"/>
          <w:szCs w:val="24"/>
        </w:rPr>
        <w:t xml:space="preserve">solve </w:t>
      </w:r>
      <w:r w:rsidR="00B016B8" w:rsidRPr="007738E4">
        <w:rPr>
          <w:rFonts w:cs="Times New Roman"/>
          <w:szCs w:val="24"/>
        </w:rPr>
        <w:t>policy</w:t>
      </w:r>
      <w:r w:rsidRPr="007738E4">
        <w:rPr>
          <w:rFonts w:cs="Times New Roman"/>
          <w:szCs w:val="24"/>
        </w:rPr>
        <w:t xml:space="preserve"> problems that cut across traditional governance sectors, levels and jurisdictions. Further, the typical evaluation in public health seeks to zero-in on the delivery mechanisms that enable or hinder interventions. </w:t>
      </w:r>
      <w:r w:rsidR="00FB11B6" w:rsidRPr="007738E4">
        <w:rPr>
          <w:rFonts w:cs="Times New Roman"/>
          <w:szCs w:val="24"/>
        </w:rPr>
        <w:t>It misses</w:t>
      </w:r>
      <w:r w:rsidRPr="007738E4">
        <w:rPr>
          <w:rFonts w:cs="Times New Roman"/>
          <w:szCs w:val="24"/>
        </w:rPr>
        <w:t xml:space="preserve"> </w:t>
      </w:r>
      <w:r w:rsidRPr="00DE6430">
        <w:rPr>
          <w:rFonts w:cs="Times New Roman"/>
          <w:szCs w:val="24"/>
        </w:rPr>
        <w:t>the wider</w:t>
      </w:r>
      <w:r w:rsidRPr="007738E4">
        <w:rPr>
          <w:rFonts w:cs="Times New Roman"/>
          <w:i/>
          <w:iCs/>
          <w:szCs w:val="24"/>
        </w:rPr>
        <w:t xml:space="preserve"> governance context </w:t>
      </w:r>
      <w:r w:rsidRPr="00DE6430">
        <w:rPr>
          <w:rFonts w:cs="Times New Roman"/>
          <w:szCs w:val="24"/>
        </w:rPr>
        <w:t>for those interventions</w:t>
      </w:r>
      <w:r w:rsidRPr="007738E4">
        <w:rPr>
          <w:rFonts w:cs="Times New Roman"/>
          <w:i/>
          <w:iCs/>
          <w:szCs w:val="24"/>
        </w:rPr>
        <w:t xml:space="preserve">, </w:t>
      </w:r>
      <w:r w:rsidRPr="007738E4">
        <w:rPr>
          <w:rFonts w:cs="Times New Roman"/>
          <w:szCs w:val="24"/>
        </w:rPr>
        <w:t>such as to examine</w:t>
      </w:r>
      <w:r w:rsidRPr="007738E4">
        <w:rPr>
          <w:rFonts w:cs="Times New Roman"/>
          <w:i/>
          <w:iCs/>
          <w:szCs w:val="24"/>
        </w:rPr>
        <w:t xml:space="preserve"> what</w:t>
      </w:r>
      <w:r w:rsidRPr="007738E4">
        <w:rPr>
          <w:rFonts w:cs="Times New Roman"/>
          <w:szCs w:val="24"/>
        </w:rPr>
        <w:t xml:space="preserve"> is delivered </w:t>
      </w:r>
      <w:r w:rsidR="00FB11B6" w:rsidRPr="007738E4">
        <w:rPr>
          <w:rFonts w:cs="Times New Roman"/>
          <w:szCs w:val="24"/>
        </w:rPr>
        <w:t xml:space="preserve">and </w:t>
      </w:r>
      <w:r w:rsidRPr="007738E4">
        <w:rPr>
          <w:rFonts w:cs="Times New Roman"/>
          <w:i/>
          <w:iCs/>
          <w:szCs w:val="24"/>
        </w:rPr>
        <w:t>how</w:t>
      </w:r>
      <w:r w:rsidRPr="007738E4">
        <w:rPr>
          <w:rFonts w:cs="Times New Roman"/>
          <w:szCs w:val="24"/>
        </w:rPr>
        <w:t>, including the extent to which policymaking is fuelled by collaboration or competition (Cairney, 2017; Cairney and Toomey, 202</w:t>
      </w:r>
      <w:r w:rsidR="005F7C09" w:rsidRPr="007738E4">
        <w:rPr>
          <w:rFonts w:cs="Times New Roman"/>
          <w:szCs w:val="24"/>
        </w:rPr>
        <w:t>4</w:t>
      </w:r>
      <w:r w:rsidRPr="007738E4">
        <w:rPr>
          <w:rFonts w:cs="Times New Roman"/>
          <w:szCs w:val="24"/>
        </w:rPr>
        <w:t xml:space="preserve">). </w:t>
      </w:r>
      <w:r w:rsidR="005F7C09" w:rsidRPr="007738E4">
        <w:rPr>
          <w:rFonts w:cs="Times New Roman"/>
          <w:szCs w:val="24"/>
        </w:rPr>
        <w:t>This focus on governance is a key concern for policy actors seeking collaborative approaches to complex problems, as exemplified by growing attention – in research and practice - to the idea of ‘systems leadership’ (Cairney and Toomey, 2025).</w:t>
      </w:r>
    </w:p>
    <w:p w14:paraId="4CEDD546" w14:textId="75DCF53C" w:rsidR="00155773" w:rsidRPr="007738E4" w:rsidRDefault="00155773" w:rsidP="00155773">
      <w:pPr>
        <w:spacing w:line="276" w:lineRule="auto"/>
        <w:rPr>
          <w:rFonts w:cs="Times New Roman"/>
          <w:szCs w:val="24"/>
        </w:rPr>
      </w:pPr>
      <w:r w:rsidRPr="007738E4">
        <w:rPr>
          <w:rFonts w:cs="Times New Roman"/>
          <w:szCs w:val="24"/>
        </w:rPr>
        <w:t>There is clear value to understand</w:t>
      </w:r>
      <w:r w:rsidR="00FB11B6" w:rsidRPr="007738E4">
        <w:rPr>
          <w:rFonts w:cs="Times New Roman"/>
          <w:szCs w:val="24"/>
        </w:rPr>
        <w:t>ing</w:t>
      </w:r>
      <w:r w:rsidRPr="007738E4">
        <w:rPr>
          <w:rFonts w:cs="Times New Roman"/>
          <w:szCs w:val="24"/>
        </w:rPr>
        <w:t xml:space="preserve"> the political context and its impacts on policymaking. Explaining the lack of tangible action and earmarked funding for prevention needs to involve much more than frustrated claims about a lack of ‘political will’ or assumptions of bad faith from political leaders (these vague assertions remain prevalent in academic public health discourse – Post et al, 2010; Cairney et al, 2021). We also need to grapple with the </w:t>
      </w:r>
      <w:r w:rsidR="00FB11B6" w:rsidRPr="007738E4">
        <w:rPr>
          <w:rFonts w:cs="Times New Roman"/>
          <w:szCs w:val="24"/>
        </w:rPr>
        <w:t>systemic</w:t>
      </w:r>
      <w:r w:rsidRPr="007738E4">
        <w:rPr>
          <w:rFonts w:cs="Times New Roman"/>
          <w:szCs w:val="24"/>
        </w:rPr>
        <w:t xml:space="preserve"> political dynamics that afflict policymaking across all setting and sectors, particularly in approaches such as prevention that are as much about collaboration to produce and maintain policies as their delivery (NHS Confederation, </w:t>
      </w:r>
      <w:r w:rsidR="00DA151B" w:rsidRPr="00DE6430">
        <w:t>2021</w:t>
      </w:r>
      <w:r w:rsidRPr="007738E4">
        <w:rPr>
          <w:rFonts w:cs="Times New Roman"/>
          <w:szCs w:val="24"/>
        </w:rPr>
        <w:t xml:space="preserve">) and the ‘micro politics’ that can affect collaboration (Clarke et al., 2021: 3; Waring et al, 2023a). Taking politics seriously means turning to political science, which offers theoretical insights and methodological tools to </w:t>
      </w:r>
      <w:r w:rsidRPr="007738E4">
        <w:rPr>
          <w:rFonts w:cs="Times New Roman"/>
          <w:szCs w:val="24"/>
        </w:rPr>
        <w:lastRenderedPageBreak/>
        <w:t xml:space="preserve">explain, anticipate, and </w:t>
      </w:r>
      <w:r w:rsidR="00FB11B6" w:rsidRPr="007738E4">
        <w:rPr>
          <w:rFonts w:cs="Times New Roman"/>
          <w:szCs w:val="24"/>
        </w:rPr>
        <w:t>address</w:t>
      </w:r>
      <w:r w:rsidRPr="007738E4">
        <w:rPr>
          <w:rFonts w:cs="Times New Roman"/>
          <w:szCs w:val="24"/>
        </w:rPr>
        <w:t xml:space="preserve"> the challenges of pursuing preventive public health in policy and practice. </w:t>
      </w:r>
    </w:p>
    <w:p w14:paraId="766F4D12" w14:textId="49111288" w:rsidR="00132A4A" w:rsidRPr="007738E4" w:rsidRDefault="00132A4A" w:rsidP="006A7E75">
      <w:pPr>
        <w:spacing w:line="276" w:lineRule="auto"/>
        <w:rPr>
          <w:rFonts w:cs="Times New Roman"/>
          <w:szCs w:val="24"/>
        </w:rPr>
      </w:pPr>
      <w:r w:rsidRPr="007738E4">
        <w:rPr>
          <w:rFonts w:cs="Times New Roman"/>
          <w:szCs w:val="24"/>
        </w:rPr>
        <w:t>Our framework synthesises</w:t>
      </w:r>
      <w:r w:rsidR="00155773" w:rsidRPr="007738E4">
        <w:rPr>
          <w:rFonts w:cs="Times New Roman"/>
          <w:szCs w:val="24"/>
        </w:rPr>
        <w:t xml:space="preserve"> political science evidence to explain key barriers to progress</w:t>
      </w:r>
      <w:r w:rsidRPr="007738E4">
        <w:rPr>
          <w:rFonts w:cs="Times New Roman"/>
          <w:szCs w:val="24"/>
        </w:rPr>
        <w:t xml:space="preserve">. </w:t>
      </w:r>
      <w:r w:rsidR="00FB11B6" w:rsidRPr="007738E4">
        <w:rPr>
          <w:rFonts w:cs="Times New Roman"/>
          <w:szCs w:val="24"/>
        </w:rPr>
        <w:t>Our 3Cs</w:t>
      </w:r>
      <w:r w:rsidRPr="007738E4">
        <w:rPr>
          <w:rFonts w:cs="Times New Roman"/>
          <w:szCs w:val="24"/>
        </w:rPr>
        <w:t xml:space="preserve"> framework</w:t>
      </w:r>
      <w:r w:rsidR="00FB11B6" w:rsidRPr="007738E4">
        <w:rPr>
          <w:rFonts w:cs="Times New Roman"/>
          <w:szCs w:val="24"/>
        </w:rPr>
        <w:t xml:space="preserve"> identifies </w:t>
      </w:r>
      <w:r w:rsidR="00155773" w:rsidRPr="007738E4">
        <w:rPr>
          <w:rFonts w:cs="Times New Roman"/>
          <w:szCs w:val="24"/>
        </w:rPr>
        <w:t xml:space="preserve">limited: </w:t>
      </w:r>
      <w:r w:rsidR="00155773" w:rsidRPr="007738E4">
        <w:rPr>
          <w:rFonts w:cs="Times New Roman"/>
          <w:i/>
          <w:iCs/>
          <w:szCs w:val="24"/>
        </w:rPr>
        <w:t>clarity</w:t>
      </w:r>
      <w:r w:rsidR="00155773" w:rsidRPr="007738E4">
        <w:rPr>
          <w:rFonts w:cs="Times New Roman"/>
          <w:szCs w:val="24"/>
        </w:rPr>
        <w:t xml:space="preserve"> regarding </w:t>
      </w:r>
      <w:r w:rsidRPr="007738E4">
        <w:rPr>
          <w:rFonts w:cs="Times New Roman"/>
          <w:szCs w:val="24"/>
        </w:rPr>
        <w:t>the</w:t>
      </w:r>
      <w:r w:rsidR="00155773" w:rsidRPr="007738E4">
        <w:rPr>
          <w:rFonts w:cs="Times New Roman"/>
          <w:szCs w:val="24"/>
        </w:rPr>
        <w:t xml:space="preserve"> meaning</w:t>
      </w:r>
      <w:r w:rsidRPr="007738E4">
        <w:rPr>
          <w:rFonts w:cs="Times New Roman"/>
          <w:szCs w:val="24"/>
        </w:rPr>
        <w:t xml:space="preserve"> of ‘prevention’</w:t>
      </w:r>
      <w:r w:rsidR="00155773" w:rsidRPr="007738E4">
        <w:rPr>
          <w:rFonts w:cs="Times New Roman"/>
          <w:szCs w:val="24"/>
        </w:rPr>
        <w:t xml:space="preserve"> in practice, </w:t>
      </w:r>
      <w:r w:rsidR="00155773" w:rsidRPr="007738E4">
        <w:rPr>
          <w:rFonts w:cs="Times New Roman"/>
          <w:i/>
          <w:iCs/>
          <w:szCs w:val="24"/>
        </w:rPr>
        <w:t>congru</w:t>
      </w:r>
      <w:r w:rsidR="00743F27" w:rsidRPr="007738E4">
        <w:rPr>
          <w:rFonts w:cs="Times New Roman"/>
          <w:i/>
          <w:iCs/>
          <w:szCs w:val="24"/>
        </w:rPr>
        <w:t>ity</w:t>
      </w:r>
      <w:r w:rsidR="00155773" w:rsidRPr="007738E4">
        <w:rPr>
          <w:rFonts w:cs="Times New Roman"/>
          <w:szCs w:val="24"/>
        </w:rPr>
        <w:t xml:space="preserve"> with routine policy delivery, and </w:t>
      </w:r>
      <w:r w:rsidR="00155773" w:rsidRPr="007738E4">
        <w:rPr>
          <w:rFonts w:cs="Times New Roman"/>
          <w:i/>
          <w:iCs/>
          <w:szCs w:val="24"/>
        </w:rPr>
        <w:t>capacity</w:t>
      </w:r>
      <w:r w:rsidR="00155773" w:rsidRPr="007738E4">
        <w:rPr>
          <w:rFonts w:cs="Times New Roman"/>
          <w:szCs w:val="24"/>
        </w:rPr>
        <w:t xml:space="preserve"> to sustain major changes </w:t>
      </w:r>
      <w:r w:rsidRPr="007738E4">
        <w:rPr>
          <w:rFonts w:cs="Times New Roman"/>
          <w:szCs w:val="24"/>
        </w:rPr>
        <w:t xml:space="preserve">in the name of prevention </w:t>
      </w:r>
      <w:r w:rsidR="00155773" w:rsidRPr="007738E4">
        <w:rPr>
          <w:rFonts w:cs="Times New Roman"/>
          <w:szCs w:val="24"/>
        </w:rPr>
        <w:t xml:space="preserve">(Cairney et al, 2021). </w:t>
      </w:r>
    </w:p>
    <w:p w14:paraId="7E76B047" w14:textId="77777777" w:rsidR="00132A4A" w:rsidRPr="007738E4" w:rsidRDefault="00132A4A" w:rsidP="007738E4">
      <w:pPr>
        <w:pStyle w:val="Heading3"/>
      </w:pPr>
      <w:r w:rsidRPr="007738E4">
        <w:t>Clarity: if prevention means everything, maybe it means nothing</w:t>
      </w:r>
    </w:p>
    <w:p w14:paraId="1AF1ACD5" w14:textId="7AD884C3" w:rsidR="00132A4A" w:rsidRPr="007738E4" w:rsidRDefault="00132A4A" w:rsidP="009759EE">
      <w:pPr>
        <w:spacing w:line="276" w:lineRule="auto"/>
        <w:rPr>
          <w:rFonts w:cs="Times New Roman"/>
          <w:szCs w:val="24"/>
        </w:rPr>
      </w:pPr>
      <w:r w:rsidRPr="007738E4">
        <w:rPr>
          <w:rFonts w:cs="Times New Roman"/>
          <w:szCs w:val="24"/>
        </w:rPr>
        <w:t xml:space="preserve">Political science research shows that ambiguity can begin as a blessing then become a curse. Research on the discursive dynamics of policymaking – </w:t>
      </w:r>
      <w:r w:rsidR="0074173E" w:rsidRPr="007738E4">
        <w:rPr>
          <w:rFonts w:cs="Times New Roman"/>
          <w:szCs w:val="24"/>
        </w:rPr>
        <w:t>including</w:t>
      </w:r>
      <w:r w:rsidRPr="007738E4">
        <w:rPr>
          <w:rFonts w:cs="Times New Roman"/>
          <w:szCs w:val="24"/>
        </w:rPr>
        <w:t xml:space="preserve"> ‘frame’, ‘narrative’, and ‘discourse’ analysis (e.g. van Hulst et al 2024; Hajer 1995) – affirm the value of an ambiguous goal in sustaining a coalition of actors who would not otherwise agree. Yet, ambiguity can then lead to fragmented or limited action. </w:t>
      </w:r>
      <w:r w:rsidR="0074173E" w:rsidRPr="007738E4">
        <w:rPr>
          <w:rFonts w:cs="Times New Roman"/>
          <w:szCs w:val="24"/>
        </w:rPr>
        <w:t>It</w:t>
      </w:r>
      <w:r w:rsidRPr="007738E4">
        <w:rPr>
          <w:rFonts w:cs="Times New Roman"/>
          <w:szCs w:val="24"/>
        </w:rPr>
        <w:t xml:space="preserve"> delays difficult conversations, prompts people to talk at cross purposes, and gives more powerful and better-resourced actors room to ensure their interpretations are favoured when </w:t>
      </w:r>
      <w:r w:rsidR="0074173E" w:rsidRPr="007738E4">
        <w:rPr>
          <w:rFonts w:cs="Times New Roman"/>
          <w:szCs w:val="24"/>
        </w:rPr>
        <w:t xml:space="preserve">turning </w:t>
      </w:r>
      <w:r w:rsidRPr="007738E4">
        <w:rPr>
          <w:rFonts w:cs="Times New Roman"/>
          <w:szCs w:val="24"/>
        </w:rPr>
        <w:t>vague promise</w:t>
      </w:r>
      <w:r w:rsidR="0074173E" w:rsidRPr="007738E4">
        <w:rPr>
          <w:rFonts w:cs="Times New Roman"/>
          <w:szCs w:val="24"/>
        </w:rPr>
        <w:t xml:space="preserve">s </w:t>
      </w:r>
      <w:r w:rsidRPr="007738E4">
        <w:rPr>
          <w:rFonts w:cs="Times New Roman"/>
          <w:szCs w:val="24"/>
        </w:rPr>
        <w:t xml:space="preserve">into action (Zahariadis, 2003; Boswell, 2016). </w:t>
      </w:r>
    </w:p>
    <w:p w14:paraId="2A55951F" w14:textId="060CDF3B" w:rsidR="00132A4A" w:rsidRPr="007738E4" w:rsidRDefault="00132A4A" w:rsidP="00DE6430">
      <w:pPr>
        <w:spacing w:line="276" w:lineRule="auto"/>
        <w:rPr>
          <w:rFonts w:cs="Times New Roman"/>
          <w:szCs w:val="24"/>
        </w:rPr>
      </w:pPr>
      <w:r w:rsidRPr="007738E4">
        <w:rPr>
          <w:rFonts w:cs="Times New Roman"/>
          <w:szCs w:val="24"/>
        </w:rPr>
        <w:t xml:space="preserve">In this context, the </w:t>
      </w:r>
      <w:r w:rsidR="0074173E" w:rsidRPr="007738E4">
        <w:rPr>
          <w:rFonts w:cs="Times New Roman"/>
          <w:szCs w:val="24"/>
        </w:rPr>
        <w:t xml:space="preserve">vague </w:t>
      </w:r>
      <w:r w:rsidRPr="007738E4">
        <w:rPr>
          <w:rFonts w:cs="Times New Roman"/>
          <w:szCs w:val="24"/>
        </w:rPr>
        <w:t xml:space="preserve">language of prevention helps to maximise initial support: who would be against preventing problems? However, it also </w:t>
      </w:r>
      <w:r w:rsidR="007738E4">
        <w:rPr>
          <w:rFonts w:cs="Times New Roman"/>
          <w:szCs w:val="24"/>
        </w:rPr>
        <w:t>delays essential</w:t>
      </w:r>
      <w:r w:rsidRPr="007738E4">
        <w:rPr>
          <w:rFonts w:cs="Times New Roman"/>
          <w:szCs w:val="24"/>
        </w:rPr>
        <w:t xml:space="preserve"> discussion on how to translate abstract aims into concrete action: who can collaborate without knowing how and why? When discussions take place, we find intense debates about the </w:t>
      </w:r>
      <w:r w:rsidRPr="007738E4">
        <w:rPr>
          <w:rFonts w:cs="Times New Roman"/>
          <w:i/>
          <w:iCs/>
          <w:szCs w:val="24"/>
        </w:rPr>
        <w:t>main priority</w:t>
      </w:r>
      <w:r w:rsidRPr="007738E4">
        <w:rPr>
          <w:rFonts w:cs="Times New Roman"/>
          <w:szCs w:val="24"/>
        </w:rPr>
        <w:t xml:space="preserve">, such as reducing inequalities or costs, and </w:t>
      </w:r>
      <w:r w:rsidRPr="007738E4">
        <w:rPr>
          <w:rFonts w:cs="Times New Roman"/>
          <w:i/>
          <w:iCs/>
          <w:szCs w:val="24"/>
        </w:rPr>
        <w:t>preferred policy tools</w:t>
      </w:r>
      <w:r w:rsidRPr="007738E4">
        <w:rPr>
          <w:rFonts w:cs="Times New Roman"/>
          <w:szCs w:val="24"/>
        </w:rPr>
        <w:t xml:space="preserve">, from providing individuals with information, to regulating behaviour, reorganising services, or taxing/spending to redistribute income. These differences can reflect profound disagreement on the role of the state: to intervene and redistribute resources, or to foster individual responsibility for health and wellbeing. The scale of investable activity is also vast in relation to primary/secondary/tertiary initiatives. </w:t>
      </w:r>
    </w:p>
    <w:p w14:paraId="30468D85" w14:textId="36DC95A1" w:rsidR="00132A4A" w:rsidRPr="007738E4" w:rsidRDefault="00132A4A" w:rsidP="007738E4">
      <w:pPr>
        <w:pStyle w:val="Heading3"/>
      </w:pPr>
      <w:r w:rsidRPr="007738E4">
        <w:t>Congru</w:t>
      </w:r>
      <w:r w:rsidR="00743F27" w:rsidRPr="007738E4">
        <w:t>ity</w:t>
      </w:r>
      <w:r w:rsidRPr="007738E4">
        <w:t>: prevention is out of step with routine government business</w:t>
      </w:r>
    </w:p>
    <w:p w14:paraId="52536648" w14:textId="476507FF" w:rsidR="00C52535" w:rsidRPr="007738E4" w:rsidRDefault="00C52535" w:rsidP="00DE6430">
      <w:pPr>
        <w:spacing w:line="276" w:lineRule="auto"/>
        <w:rPr>
          <w:rFonts w:cs="Times New Roman"/>
          <w:szCs w:val="24"/>
        </w:rPr>
      </w:pPr>
      <w:r w:rsidRPr="007738E4">
        <w:rPr>
          <w:rFonts w:cs="Times New Roman"/>
          <w:szCs w:val="24"/>
        </w:rPr>
        <w:t>A core focus of political science is on the institutions –</w:t>
      </w:r>
      <w:r w:rsidR="007738E4">
        <w:rPr>
          <w:rFonts w:cs="Times New Roman"/>
          <w:szCs w:val="24"/>
        </w:rPr>
        <w:t xml:space="preserve"> </w:t>
      </w:r>
      <w:r w:rsidRPr="007738E4">
        <w:rPr>
          <w:rFonts w:cs="Times New Roman"/>
          <w:szCs w:val="24"/>
        </w:rPr>
        <w:t>rules and norms - that shape and frustrate policy action (Lowndes and Roberts, 2013). Institutions sustain government business</w:t>
      </w:r>
      <w:r w:rsidR="007738E4">
        <w:rPr>
          <w:rFonts w:cs="Times New Roman"/>
          <w:szCs w:val="24"/>
        </w:rPr>
        <w:t xml:space="preserve">: </w:t>
      </w:r>
      <w:r w:rsidRPr="007738E4">
        <w:rPr>
          <w:rFonts w:cs="Times New Roman"/>
          <w:szCs w:val="24"/>
        </w:rPr>
        <w:t xml:space="preserve">siloed public bodies with fixed lines of responsibility, standard operating procedures that favour established ways of planning and measuring interventions, and </w:t>
      </w:r>
      <w:r w:rsidR="007738E4">
        <w:rPr>
          <w:rFonts w:cs="Times New Roman"/>
          <w:szCs w:val="24"/>
        </w:rPr>
        <w:t xml:space="preserve">routine </w:t>
      </w:r>
      <w:r w:rsidRPr="007738E4">
        <w:rPr>
          <w:rFonts w:cs="Times New Roman"/>
          <w:szCs w:val="24"/>
        </w:rPr>
        <w:t xml:space="preserve">short-term budgeting and electoral cycles. </w:t>
      </w:r>
      <w:r w:rsidR="007738E4">
        <w:rPr>
          <w:rFonts w:cs="Times New Roman"/>
          <w:szCs w:val="24"/>
        </w:rPr>
        <w:t>E</w:t>
      </w:r>
      <w:r w:rsidRPr="007738E4">
        <w:rPr>
          <w:rFonts w:cs="Times New Roman"/>
          <w:szCs w:val="24"/>
        </w:rPr>
        <w:t>xtensive scholarship outlin</w:t>
      </w:r>
      <w:r w:rsidR="007738E4">
        <w:rPr>
          <w:rFonts w:cs="Times New Roman"/>
          <w:szCs w:val="24"/>
        </w:rPr>
        <w:t>es</w:t>
      </w:r>
      <w:r w:rsidRPr="007738E4">
        <w:rPr>
          <w:rFonts w:cs="Times New Roman"/>
          <w:szCs w:val="24"/>
        </w:rPr>
        <w:t xml:space="preserve"> the real-world barriers that frustrate efforts towards joined-up work (Boswell 2023; Cairney and Toomey, 2024).</w:t>
      </w:r>
      <w:r w:rsidR="007738E4">
        <w:rPr>
          <w:rFonts w:cs="Times New Roman"/>
          <w:szCs w:val="24"/>
        </w:rPr>
        <w:t xml:space="preserve"> Further</w:t>
      </w:r>
      <w:r w:rsidRPr="007738E4">
        <w:rPr>
          <w:rFonts w:cs="Times New Roman"/>
          <w:szCs w:val="24"/>
        </w:rPr>
        <w:t xml:space="preserve">, it is a truism in policy studies that any policy mix will produce unintended consequences that undermine coherent action (Peters, 2018), and that performance measures and funding incentives can encourage ‘gaming’ in systems (Hood, 2007).  </w:t>
      </w:r>
    </w:p>
    <w:p w14:paraId="3E8D574F" w14:textId="58560903" w:rsidR="00033621" w:rsidRDefault="00C52535">
      <w:pPr>
        <w:spacing w:line="276" w:lineRule="auto"/>
        <w:rPr>
          <w:rFonts w:cs="Times New Roman"/>
          <w:szCs w:val="24"/>
        </w:rPr>
      </w:pPr>
      <w:r w:rsidRPr="007738E4">
        <w:rPr>
          <w:rFonts w:cs="Times New Roman"/>
          <w:szCs w:val="24"/>
        </w:rPr>
        <w:t>In that context, preventive</w:t>
      </w:r>
      <w:r w:rsidR="00033621">
        <w:rPr>
          <w:rFonts w:cs="Times New Roman"/>
          <w:szCs w:val="24"/>
        </w:rPr>
        <w:t xml:space="preserve"> may be sidelined whenever it</w:t>
      </w:r>
      <w:r w:rsidRPr="007738E4">
        <w:rPr>
          <w:rFonts w:cs="Times New Roman"/>
          <w:szCs w:val="24"/>
        </w:rPr>
        <w:t xml:space="preserve"> </w:t>
      </w:r>
      <w:r w:rsidR="00033621">
        <w:rPr>
          <w:rFonts w:cs="Times New Roman"/>
          <w:szCs w:val="24"/>
        </w:rPr>
        <w:t>is</w:t>
      </w:r>
      <w:r w:rsidRPr="007738E4">
        <w:rPr>
          <w:rFonts w:cs="Times New Roman"/>
          <w:szCs w:val="24"/>
        </w:rPr>
        <w:t xml:space="preserve"> incongruous to the ‘way things work around here</w:t>
      </w:r>
      <w:proofErr w:type="gramStart"/>
      <w:r w:rsidRPr="007738E4">
        <w:rPr>
          <w:rFonts w:cs="Times New Roman"/>
          <w:szCs w:val="24"/>
        </w:rPr>
        <w:t>’  (</w:t>
      </w:r>
      <w:proofErr w:type="gramEnd"/>
      <w:r w:rsidRPr="007738E4">
        <w:rPr>
          <w:rFonts w:cs="Times New Roman"/>
          <w:szCs w:val="24"/>
        </w:rPr>
        <w:t xml:space="preserve">Cairney et al. 2022). </w:t>
      </w:r>
      <w:r w:rsidR="00132A4A" w:rsidRPr="007738E4">
        <w:rPr>
          <w:rFonts w:cs="Times New Roman"/>
          <w:szCs w:val="24"/>
        </w:rPr>
        <w:t>When governments make sense of prevention, they struggle to relate it to more pressing higher priority aims. For national governments, prevention does not deliver economic growth or ‘cashable’ savings</w:t>
      </w:r>
      <w:r w:rsidR="00033621">
        <w:rPr>
          <w:rFonts w:cs="Times New Roman"/>
          <w:szCs w:val="24"/>
        </w:rPr>
        <w:t xml:space="preserve">. Public </w:t>
      </w:r>
      <w:r w:rsidR="00132A4A" w:rsidRPr="007738E4">
        <w:rPr>
          <w:rFonts w:cs="Times New Roman"/>
          <w:szCs w:val="24"/>
        </w:rPr>
        <w:t>service reorganisation is not a quick fix, and the prospect of taxing and spending to redistribute resources ‘upstream’ or impose new ‘nanny state’ laws to regulate behaviour is not appealing. Further, prevention’s offer of long-</w:t>
      </w:r>
      <w:r w:rsidR="00132A4A" w:rsidRPr="007738E4">
        <w:rPr>
          <w:rFonts w:cs="Times New Roman"/>
          <w:szCs w:val="24"/>
        </w:rPr>
        <w:lastRenderedPageBreak/>
        <w:t xml:space="preserve">term improvements to health or wellbeing does not help an elected government measure and declare short term success. For local public bodies, prevention sounds like a great way to collaborate, but only after they deliver their high stakes statutory commitments and respond to immediate demands. </w:t>
      </w:r>
      <w:r w:rsidRPr="007738E4">
        <w:rPr>
          <w:rFonts w:cs="Times New Roman"/>
          <w:szCs w:val="24"/>
        </w:rPr>
        <w:t xml:space="preserve">Academic and grey studies of ‘systems leadership’ in health and social care in England also highlight these difficulties even when actors across systems express a sincere commitment to change how they do things (e.g. Timmins, 2015; Miller, 2020; Gordon et al, 2023; Walker et al, 2022; Goss, 2021; Cairney and Toomey, 2025). </w:t>
      </w:r>
    </w:p>
    <w:p w14:paraId="1DAFF731" w14:textId="40A4298D" w:rsidR="00132A4A" w:rsidRPr="007738E4" w:rsidRDefault="00033621" w:rsidP="00DE6430">
      <w:pPr>
        <w:spacing w:line="276" w:lineRule="auto"/>
        <w:rPr>
          <w:rFonts w:cs="Times New Roman"/>
          <w:szCs w:val="24"/>
        </w:rPr>
      </w:pPr>
      <w:r>
        <w:rPr>
          <w:rFonts w:cs="Times New Roman"/>
          <w:szCs w:val="24"/>
        </w:rPr>
        <w:t>Hence</w:t>
      </w:r>
      <w:r w:rsidR="00132A4A" w:rsidRPr="007738E4">
        <w:rPr>
          <w:rFonts w:cs="Times New Roman"/>
          <w:szCs w:val="24"/>
        </w:rPr>
        <w:t>, reformers have two unappealing choices. First, by definition, the promise of radically different ways of making policy clash with the established ways of doing things, and change will be tough. Second, the promise to align preventive aims with current business will lead to major compromises</w:t>
      </w:r>
      <w:r>
        <w:rPr>
          <w:rFonts w:cs="Times New Roman"/>
          <w:szCs w:val="24"/>
        </w:rPr>
        <w:t>,</w:t>
      </w:r>
      <w:r w:rsidR="00132A4A" w:rsidRPr="007738E4">
        <w:rPr>
          <w:rFonts w:cs="Times New Roman"/>
          <w:szCs w:val="24"/>
        </w:rPr>
        <w:t xml:space="preserve"> </w:t>
      </w:r>
      <w:r>
        <w:rPr>
          <w:rFonts w:cs="Times New Roman"/>
          <w:szCs w:val="24"/>
        </w:rPr>
        <w:t>involving</w:t>
      </w:r>
      <w:r w:rsidR="00132A4A" w:rsidRPr="007738E4">
        <w:rPr>
          <w:rFonts w:cs="Times New Roman"/>
          <w:szCs w:val="24"/>
        </w:rPr>
        <w:t xml:space="preserve"> the need to balance short</w:t>
      </w:r>
      <w:r>
        <w:rPr>
          <w:rFonts w:cs="Times New Roman"/>
          <w:szCs w:val="24"/>
        </w:rPr>
        <w:t>-</w:t>
      </w:r>
      <w:r w:rsidR="00132A4A" w:rsidRPr="007738E4">
        <w:rPr>
          <w:rFonts w:cs="Times New Roman"/>
          <w:szCs w:val="24"/>
        </w:rPr>
        <w:t xml:space="preserve"> and long</w:t>
      </w:r>
      <w:r>
        <w:rPr>
          <w:rFonts w:cs="Times New Roman"/>
          <w:szCs w:val="24"/>
        </w:rPr>
        <w:t>-</w:t>
      </w:r>
      <w:r w:rsidR="00132A4A" w:rsidRPr="007738E4">
        <w:rPr>
          <w:rFonts w:cs="Times New Roman"/>
          <w:szCs w:val="24"/>
        </w:rPr>
        <w:t xml:space="preserve">term challenges. </w:t>
      </w:r>
      <w:r>
        <w:rPr>
          <w:rFonts w:cs="Times New Roman"/>
          <w:szCs w:val="24"/>
        </w:rPr>
        <w:t>Indeed</w:t>
      </w:r>
      <w:r w:rsidR="00132A4A" w:rsidRPr="007738E4">
        <w:rPr>
          <w:rFonts w:cs="Times New Roman"/>
          <w:szCs w:val="24"/>
        </w:rPr>
        <w:t>, we have found that specialist prevention-focused agencies (e.g. public health agencies) have too-limited powers</w:t>
      </w:r>
      <w:r>
        <w:rPr>
          <w:rFonts w:cs="Times New Roman"/>
          <w:szCs w:val="24"/>
        </w:rPr>
        <w:t>,</w:t>
      </w:r>
      <w:r w:rsidR="00132A4A" w:rsidRPr="007738E4">
        <w:rPr>
          <w:rFonts w:cs="Times New Roman"/>
          <w:szCs w:val="24"/>
        </w:rPr>
        <w:t xml:space="preserve"> and ‘mainstreaming’ policy is difficult when most service delivery organisations have more pressing priorities (Boswell et al, 2019). </w:t>
      </w:r>
    </w:p>
    <w:p w14:paraId="02AADE68" w14:textId="77777777" w:rsidR="00132A4A" w:rsidRPr="007738E4" w:rsidRDefault="00132A4A" w:rsidP="007738E4">
      <w:pPr>
        <w:pStyle w:val="Heading3"/>
      </w:pPr>
      <w:r w:rsidRPr="007738E4">
        <w:t>Capacity: low support for major investments with uncertain rewards</w:t>
      </w:r>
    </w:p>
    <w:p w14:paraId="63AB6719" w14:textId="6D503D86" w:rsidR="00C52535" w:rsidRPr="007738E4" w:rsidRDefault="00033621" w:rsidP="00DE6430">
      <w:pPr>
        <w:spacing w:line="276" w:lineRule="auto"/>
        <w:rPr>
          <w:rFonts w:cs="Times New Roman"/>
          <w:szCs w:val="24"/>
        </w:rPr>
      </w:pPr>
      <w:r>
        <w:rPr>
          <w:rFonts w:cs="Times New Roman"/>
          <w:iCs/>
          <w:szCs w:val="24"/>
        </w:rPr>
        <w:t>P</w:t>
      </w:r>
      <w:r w:rsidR="00C52535" w:rsidRPr="007738E4">
        <w:rPr>
          <w:rFonts w:cs="Times New Roman"/>
          <w:iCs/>
          <w:szCs w:val="24"/>
        </w:rPr>
        <w:t>olitical science insights relate policymaking challenges to a background of state retrenchment and austerity in recent decades</w:t>
      </w:r>
      <w:r w:rsidR="00743F27" w:rsidRPr="007738E4">
        <w:rPr>
          <w:rFonts w:cs="Times New Roman"/>
          <w:iCs/>
          <w:szCs w:val="24"/>
        </w:rPr>
        <w:t xml:space="preserve"> (</w:t>
      </w:r>
      <w:r>
        <w:rPr>
          <w:rFonts w:cs="Times New Roman"/>
          <w:iCs/>
          <w:szCs w:val="24"/>
        </w:rPr>
        <w:t>e.g.</w:t>
      </w:r>
      <w:r w:rsidR="00743F27" w:rsidRPr="007738E4">
        <w:rPr>
          <w:rFonts w:cs="Times New Roman"/>
          <w:iCs/>
          <w:szCs w:val="24"/>
        </w:rPr>
        <w:t xml:space="preserve"> Marsh et al. 2024)</w:t>
      </w:r>
      <w:r w:rsidR="00C52535" w:rsidRPr="007738E4">
        <w:rPr>
          <w:rFonts w:cs="Times New Roman"/>
          <w:iCs/>
          <w:szCs w:val="24"/>
        </w:rPr>
        <w:t xml:space="preserve">. Put simply, UK central governments have limited resources </w:t>
      </w:r>
      <w:r w:rsidR="00C52535" w:rsidRPr="00DE6430">
        <w:rPr>
          <w:rFonts w:cs="Times New Roman"/>
          <w:i/>
          <w:szCs w:val="24"/>
        </w:rPr>
        <w:t>and</w:t>
      </w:r>
      <w:r w:rsidR="00C52535" w:rsidRPr="007738E4">
        <w:rPr>
          <w:rFonts w:cs="Times New Roman"/>
          <w:iCs/>
          <w:szCs w:val="24"/>
        </w:rPr>
        <w:t xml:space="preserve"> ‘levers’ to pursue a prevention agenda</w:t>
      </w:r>
      <w:r w:rsidR="00743F27" w:rsidRPr="007738E4">
        <w:rPr>
          <w:rFonts w:cs="Times New Roman"/>
          <w:iCs/>
          <w:szCs w:val="24"/>
        </w:rPr>
        <w:t xml:space="preserve"> (Cairney and St Denny 2020)</w:t>
      </w:r>
      <w:r w:rsidR="00C52535" w:rsidRPr="007738E4">
        <w:rPr>
          <w:rFonts w:cs="Times New Roman"/>
          <w:iCs/>
          <w:szCs w:val="24"/>
        </w:rPr>
        <w:t>. They rely on actors from other governmental departments or sectors to make and deliver policy, and they struggle to make the case for upfront investment in interventions that promise return on long and uncertain timescales</w:t>
      </w:r>
      <w:r w:rsidR="00743F27" w:rsidRPr="007738E4">
        <w:rPr>
          <w:rFonts w:cs="Times New Roman"/>
          <w:iCs/>
          <w:szCs w:val="24"/>
        </w:rPr>
        <w:t xml:space="preserve"> (Boswell 2023; Cairney et al. 2024)</w:t>
      </w:r>
      <w:r w:rsidR="00C52535" w:rsidRPr="007738E4">
        <w:rPr>
          <w:rFonts w:cs="Times New Roman"/>
          <w:iCs/>
          <w:szCs w:val="24"/>
        </w:rPr>
        <w:t xml:space="preserve">. </w:t>
      </w:r>
    </w:p>
    <w:p w14:paraId="7022F9D2" w14:textId="234572B5" w:rsidR="00132A4A" w:rsidRPr="007738E4" w:rsidRDefault="00033621" w:rsidP="006A7E75">
      <w:pPr>
        <w:spacing w:line="276" w:lineRule="auto"/>
        <w:rPr>
          <w:rFonts w:cs="Times New Roman"/>
          <w:szCs w:val="24"/>
        </w:rPr>
      </w:pPr>
      <w:r>
        <w:rPr>
          <w:rFonts w:cs="Times New Roman"/>
          <w:szCs w:val="24"/>
        </w:rPr>
        <w:t>These insights help to demonstrate that</w:t>
      </w:r>
      <w:r w:rsidR="00C52535" w:rsidRPr="007738E4">
        <w:rPr>
          <w:rFonts w:cs="Times New Roman"/>
          <w:szCs w:val="24"/>
        </w:rPr>
        <w:t xml:space="preserve"> n</w:t>
      </w:r>
      <w:r w:rsidR="00132A4A" w:rsidRPr="007738E4">
        <w:rPr>
          <w:rFonts w:cs="Times New Roman"/>
          <w:szCs w:val="24"/>
        </w:rPr>
        <w:t xml:space="preserve">o policy can improve lives, reduce inequalities, and avoid political and financial costs. </w:t>
      </w:r>
      <w:r w:rsidR="00645CCB">
        <w:rPr>
          <w:rFonts w:cs="Times New Roman"/>
          <w:szCs w:val="24"/>
        </w:rPr>
        <w:t>P</w:t>
      </w:r>
      <w:r w:rsidR="00132A4A" w:rsidRPr="007738E4">
        <w:rPr>
          <w:rFonts w:cs="Times New Roman"/>
          <w:szCs w:val="24"/>
        </w:rPr>
        <w:t xml:space="preserve">reventive policies involve a multi-pronged approach and necessitate ‘hard </w:t>
      </w:r>
      <w:proofErr w:type="gramStart"/>
      <w:r w:rsidR="00132A4A" w:rsidRPr="007738E4">
        <w:rPr>
          <w:rFonts w:cs="Times New Roman"/>
          <w:szCs w:val="24"/>
        </w:rPr>
        <w:t>choices’</w:t>
      </w:r>
      <w:proofErr w:type="gramEnd"/>
      <w:r w:rsidR="00132A4A" w:rsidRPr="007738E4">
        <w:rPr>
          <w:rFonts w:cs="Times New Roman"/>
          <w:szCs w:val="24"/>
        </w:rPr>
        <w:t xml:space="preserve">. They are often akin to capital investment - spend now and receive </w:t>
      </w:r>
      <w:r w:rsidR="00645CCB">
        <w:rPr>
          <w:rFonts w:cs="Times New Roman"/>
          <w:szCs w:val="24"/>
        </w:rPr>
        <w:t xml:space="preserve">future </w:t>
      </w:r>
      <w:r w:rsidR="00132A4A" w:rsidRPr="007738E4">
        <w:rPr>
          <w:rFonts w:cs="Times New Roman"/>
          <w:szCs w:val="24"/>
        </w:rPr>
        <w:t>benefits</w:t>
      </w:r>
      <w:r w:rsidR="00645CCB">
        <w:rPr>
          <w:rFonts w:cs="Times New Roman"/>
          <w:szCs w:val="24"/>
        </w:rPr>
        <w:t xml:space="preserve"> </w:t>
      </w:r>
      <w:r w:rsidR="00132A4A" w:rsidRPr="007738E4">
        <w:rPr>
          <w:rFonts w:cs="Times New Roman"/>
          <w:szCs w:val="24"/>
        </w:rPr>
        <w:t xml:space="preserve">– but without a clear and agreed way to demonstrate a return to investment (or support for new ways to demonstrate public value). This offer is not attractive to governments seeking to avoid controversial investments and reduce spending. </w:t>
      </w:r>
      <w:r w:rsidR="00645CCB">
        <w:rPr>
          <w:rFonts w:cs="Times New Roman"/>
          <w:szCs w:val="24"/>
        </w:rPr>
        <w:t>P</w:t>
      </w:r>
      <w:r w:rsidR="00132A4A" w:rsidRPr="007738E4">
        <w:rPr>
          <w:rFonts w:cs="Times New Roman"/>
          <w:szCs w:val="24"/>
        </w:rPr>
        <w:t xml:space="preserve">revention may represent an investment of political capital akin to a ‘leap of faith’ that few policymakers are willing to </w:t>
      </w:r>
      <w:proofErr w:type="gramStart"/>
      <w:r w:rsidR="00132A4A" w:rsidRPr="007738E4">
        <w:rPr>
          <w:rFonts w:cs="Times New Roman"/>
          <w:szCs w:val="24"/>
        </w:rPr>
        <w:t>take, and</w:t>
      </w:r>
      <w:proofErr w:type="gramEnd"/>
      <w:r w:rsidR="00132A4A" w:rsidRPr="007738E4">
        <w:rPr>
          <w:rFonts w:cs="Times New Roman"/>
          <w:szCs w:val="24"/>
        </w:rPr>
        <w:t xml:space="preserve"> require a level of systemic capacity that is difficult to find. </w:t>
      </w:r>
    </w:p>
    <w:p w14:paraId="4036BD60" w14:textId="688BF7D8" w:rsidR="007738E4" w:rsidRPr="007738E4" w:rsidRDefault="007738E4" w:rsidP="007738E4">
      <w:pPr>
        <w:pStyle w:val="Heading1"/>
        <w:rPr>
          <w:rFonts w:cs="Times New Roman"/>
        </w:rPr>
      </w:pPr>
      <w:r w:rsidRPr="007738E4">
        <w:rPr>
          <w:rFonts w:cs="Times New Roman"/>
        </w:rPr>
        <w:t>Methods</w:t>
      </w:r>
    </w:p>
    <w:p w14:paraId="7AAF24E4" w14:textId="01BF1CDF" w:rsidR="00F23E77" w:rsidRPr="007738E4" w:rsidRDefault="006A7E75" w:rsidP="006A7E75">
      <w:pPr>
        <w:spacing w:line="276" w:lineRule="auto"/>
        <w:rPr>
          <w:rFonts w:cs="Times New Roman"/>
          <w:szCs w:val="24"/>
        </w:rPr>
      </w:pPr>
      <w:r w:rsidRPr="007738E4">
        <w:rPr>
          <w:rFonts w:cs="Times New Roman"/>
          <w:b/>
          <w:bCs/>
          <w:szCs w:val="24"/>
        </w:rPr>
        <w:t>Design</w:t>
      </w:r>
      <w:r w:rsidRPr="007738E4">
        <w:rPr>
          <w:rFonts w:cs="Times New Roman"/>
          <w:szCs w:val="24"/>
        </w:rPr>
        <w:t xml:space="preserve">: </w:t>
      </w:r>
      <w:r w:rsidR="001D6A8C" w:rsidRPr="007738E4">
        <w:rPr>
          <w:rFonts w:cs="Times New Roman"/>
          <w:szCs w:val="24"/>
        </w:rPr>
        <w:t>O</w:t>
      </w:r>
      <w:r w:rsidRPr="007738E4">
        <w:rPr>
          <w:rFonts w:cs="Times New Roman"/>
          <w:szCs w:val="24"/>
        </w:rPr>
        <w:t>ur aim</w:t>
      </w:r>
      <w:r w:rsidR="001D6A8C" w:rsidRPr="007738E4">
        <w:rPr>
          <w:rFonts w:cs="Times New Roman"/>
          <w:szCs w:val="24"/>
        </w:rPr>
        <w:t xml:space="preserve"> was</w:t>
      </w:r>
      <w:r w:rsidRPr="007738E4">
        <w:rPr>
          <w:rFonts w:cs="Times New Roman"/>
          <w:szCs w:val="24"/>
        </w:rPr>
        <w:t xml:space="preserve"> to understand how actors within ICSs have been </w:t>
      </w:r>
      <w:r w:rsidR="001D6A8C" w:rsidRPr="007738E4">
        <w:rPr>
          <w:rFonts w:cs="Times New Roman"/>
          <w:szCs w:val="24"/>
        </w:rPr>
        <w:t xml:space="preserve">using </w:t>
      </w:r>
      <w:r w:rsidRPr="007738E4">
        <w:rPr>
          <w:rFonts w:cs="Times New Roman"/>
          <w:szCs w:val="24"/>
        </w:rPr>
        <w:t>the</w:t>
      </w:r>
      <w:r w:rsidR="001D6A8C" w:rsidRPr="007738E4">
        <w:rPr>
          <w:rFonts w:cs="Times New Roman"/>
          <w:szCs w:val="24"/>
        </w:rPr>
        <w:t>ir</w:t>
      </w:r>
      <w:r w:rsidRPr="007738E4">
        <w:rPr>
          <w:rFonts w:cs="Times New Roman"/>
          <w:szCs w:val="24"/>
        </w:rPr>
        <w:t xml:space="preserve"> new </w:t>
      </w:r>
      <w:r w:rsidR="001D6A8C" w:rsidRPr="007738E4">
        <w:rPr>
          <w:rFonts w:cs="Times New Roman"/>
          <w:szCs w:val="24"/>
        </w:rPr>
        <w:t>systems</w:t>
      </w:r>
      <w:r w:rsidRPr="007738E4">
        <w:rPr>
          <w:rFonts w:cs="Times New Roman"/>
          <w:szCs w:val="24"/>
        </w:rPr>
        <w:t xml:space="preserve"> to promote prevention</w:t>
      </w:r>
      <w:r w:rsidR="00E24533">
        <w:rPr>
          <w:rFonts w:cs="Times New Roman"/>
          <w:szCs w:val="24"/>
        </w:rPr>
        <w:t>. O</w:t>
      </w:r>
      <w:r w:rsidRPr="007738E4">
        <w:rPr>
          <w:rFonts w:cs="Times New Roman"/>
          <w:szCs w:val="24"/>
        </w:rPr>
        <w:t xml:space="preserve">ur design was informed by an interpretive orientation. This style of research, common in </w:t>
      </w:r>
      <w:r w:rsidR="00E24533">
        <w:rPr>
          <w:rFonts w:cs="Times New Roman"/>
          <w:szCs w:val="24"/>
        </w:rPr>
        <w:t xml:space="preserve">political science and </w:t>
      </w:r>
      <w:r w:rsidRPr="007738E4">
        <w:rPr>
          <w:rFonts w:cs="Times New Roman"/>
          <w:szCs w:val="24"/>
        </w:rPr>
        <w:t>policy studies, foregrounds the experiences and perceptions of policy actors and privileges rich qualitative insight. Given the rapid timeframe of the project</w:t>
      </w:r>
      <w:r w:rsidR="00844518" w:rsidRPr="007738E4">
        <w:rPr>
          <w:rFonts w:cs="Times New Roman"/>
          <w:szCs w:val="24"/>
        </w:rPr>
        <w:t xml:space="preserve"> (</w:t>
      </w:r>
      <w:r w:rsidR="000224B6" w:rsidRPr="007738E4">
        <w:rPr>
          <w:rFonts w:cs="Times New Roman"/>
          <w:szCs w:val="24"/>
        </w:rPr>
        <w:t>to complete the research</w:t>
      </w:r>
      <w:r w:rsidR="00844518" w:rsidRPr="007738E4">
        <w:rPr>
          <w:rFonts w:cs="Times New Roman"/>
          <w:szCs w:val="24"/>
        </w:rPr>
        <w:t xml:space="preserve"> to inform policy</w:t>
      </w:r>
      <w:r w:rsidR="000224B6" w:rsidRPr="007738E4">
        <w:rPr>
          <w:rFonts w:cs="Times New Roman"/>
          <w:szCs w:val="24"/>
        </w:rPr>
        <w:t xml:space="preserve"> before the next UK General Election</w:t>
      </w:r>
      <w:r w:rsidR="00844518" w:rsidRPr="007738E4">
        <w:rPr>
          <w:rFonts w:cs="Times New Roman"/>
          <w:szCs w:val="24"/>
        </w:rPr>
        <w:t>)</w:t>
      </w:r>
      <w:r w:rsidRPr="007738E4">
        <w:rPr>
          <w:rFonts w:cs="Times New Roman"/>
          <w:szCs w:val="24"/>
        </w:rPr>
        <w:t xml:space="preserve"> we opted for focus groups rather than one-to-one interviews.   </w:t>
      </w:r>
      <w:r w:rsidR="00E24533">
        <w:rPr>
          <w:rFonts w:cs="Times New Roman"/>
          <w:szCs w:val="24"/>
        </w:rPr>
        <w:t>W</w:t>
      </w:r>
      <w:r w:rsidRPr="007738E4">
        <w:rPr>
          <w:rFonts w:cs="Times New Roman"/>
          <w:szCs w:val="24"/>
        </w:rPr>
        <w:t>e could speak to many more people in a shorter space of time</w:t>
      </w:r>
      <w:r w:rsidR="00E24533">
        <w:rPr>
          <w:rFonts w:cs="Times New Roman"/>
          <w:szCs w:val="24"/>
        </w:rPr>
        <w:t>,</w:t>
      </w:r>
      <w:r w:rsidRPr="007738E4">
        <w:rPr>
          <w:rFonts w:cs="Times New Roman"/>
          <w:szCs w:val="24"/>
        </w:rPr>
        <w:t xml:space="preserve"> </w:t>
      </w:r>
      <w:r w:rsidR="00E24533">
        <w:rPr>
          <w:rFonts w:cs="Times New Roman"/>
          <w:szCs w:val="24"/>
        </w:rPr>
        <w:t xml:space="preserve">and </w:t>
      </w:r>
      <w:r w:rsidRPr="007738E4">
        <w:rPr>
          <w:rFonts w:cs="Times New Roman"/>
          <w:szCs w:val="24"/>
        </w:rPr>
        <w:t xml:space="preserve">the </w:t>
      </w:r>
      <w:r w:rsidR="00E24533">
        <w:rPr>
          <w:rFonts w:cs="Times New Roman"/>
          <w:szCs w:val="24"/>
        </w:rPr>
        <w:t xml:space="preserve">whole </w:t>
      </w:r>
      <w:r w:rsidRPr="007738E4">
        <w:rPr>
          <w:rFonts w:cs="Times New Roman"/>
          <w:szCs w:val="24"/>
        </w:rPr>
        <w:t xml:space="preserve">research team </w:t>
      </w:r>
      <w:r w:rsidR="00E24533">
        <w:rPr>
          <w:rFonts w:cs="Times New Roman"/>
          <w:szCs w:val="24"/>
        </w:rPr>
        <w:t>could</w:t>
      </w:r>
      <w:r w:rsidR="00E24533" w:rsidRPr="007738E4">
        <w:rPr>
          <w:rFonts w:cs="Times New Roman"/>
          <w:szCs w:val="24"/>
        </w:rPr>
        <w:t xml:space="preserve"> </w:t>
      </w:r>
      <w:r w:rsidRPr="007738E4">
        <w:rPr>
          <w:rFonts w:cs="Times New Roman"/>
          <w:szCs w:val="24"/>
        </w:rPr>
        <w:t xml:space="preserve">attend </w:t>
      </w:r>
      <w:r w:rsidR="00E24533">
        <w:rPr>
          <w:rFonts w:cs="Times New Roman"/>
          <w:szCs w:val="24"/>
        </w:rPr>
        <w:t>the</w:t>
      </w:r>
      <w:r w:rsidRPr="007738E4">
        <w:rPr>
          <w:rFonts w:cs="Times New Roman"/>
          <w:szCs w:val="24"/>
        </w:rPr>
        <w:t xml:space="preserve"> focus groups to accelerate </w:t>
      </w:r>
      <w:r w:rsidR="00844518" w:rsidRPr="007738E4">
        <w:rPr>
          <w:rFonts w:cs="Times New Roman"/>
          <w:szCs w:val="24"/>
        </w:rPr>
        <w:t xml:space="preserve">collective </w:t>
      </w:r>
      <w:r w:rsidRPr="007738E4">
        <w:rPr>
          <w:rFonts w:cs="Times New Roman"/>
          <w:szCs w:val="24"/>
        </w:rPr>
        <w:t xml:space="preserve">analysis. </w:t>
      </w:r>
      <w:r w:rsidR="00E24533">
        <w:rPr>
          <w:rFonts w:cs="Times New Roman"/>
          <w:szCs w:val="24"/>
        </w:rPr>
        <w:t>We arranged m</w:t>
      </w:r>
      <w:r w:rsidRPr="007738E4">
        <w:rPr>
          <w:rFonts w:cs="Times New Roman"/>
          <w:szCs w:val="24"/>
        </w:rPr>
        <w:t>ost focus groups around a common ‘level’ or ‘role type’, with representatives across a diversity of systems</w:t>
      </w:r>
      <w:r w:rsidR="003437C6" w:rsidRPr="007738E4">
        <w:rPr>
          <w:rFonts w:cs="Times New Roman"/>
          <w:szCs w:val="24"/>
        </w:rPr>
        <w:t xml:space="preserve">, to help </w:t>
      </w:r>
      <w:r w:rsidRPr="007738E4">
        <w:rPr>
          <w:rFonts w:cs="Times New Roman"/>
          <w:szCs w:val="24"/>
        </w:rPr>
        <w:t xml:space="preserve">participants feel freer to reflect on obstacles and blockages across the </w:t>
      </w:r>
      <w:proofErr w:type="gramStart"/>
      <w:r w:rsidRPr="007738E4">
        <w:rPr>
          <w:rFonts w:cs="Times New Roman"/>
          <w:szCs w:val="24"/>
        </w:rPr>
        <w:t>system, and</w:t>
      </w:r>
      <w:proofErr w:type="gramEnd"/>
      <w:r w:rsidRPr="007738E4">
        <w:rPr>
          <w:rFonts w:cs="Times New Roman"/>
          <w:szCs w:val="24"/>
        </w:rPr>
        <w:t xml:space="preserve"> learn </w:t>
      </w:r>
      <w:r w:rsidR="00E24533">
        <w:rPr>
          <w:rFonts w:cs="Times New Roman"/>
          <w:szCs w:val="24"/>
        </w:rPr>
        <w:t>about</w:t>
      </w:r>
      <w:r w:rsidRPr="007738E4">
        <w:rPr>
          <w:rFonts w:cs="Times New Roman"/>
          <w:szCs w:val="24"/>
        </w:rPr>
        <w:t xml:space="preserve"> each other’s experiences. </w:t>
      </w:r>
    </w:p>
    <w:p w14:paraId="67429974" w14:textId="3542795C" w:rsidR="006A7E75" w:rsidRPr="007738E4" w:rsidRDefault="006A7E75" w:rsidP="006A7E75">
      <w:pPr>
        <w:spacing w:line="276" w:lineRule="auto"/>
        <w:rPr>
          <w:rFonts w:cs="Times New Roman"/>
          <w:szCs w:val="24"/>
        </w:rPr>
      </w:pPr>
      <w:r w:rsidRPr="007738E4">
        <w:rPr>
          <w:rFonts w:cs="Times New Roman"/>
          <w:szCs w:val="24"/>
        </w:rPr>
        <w:lastRenderedPageBreak/>
        <w:t xml:space="preserve">We finished with a focus group that featured actors across a single </w:t>
      </w:r>
      <w:r w:rsidR="008F1469" w:rsidRPr="007738E4">
        <w:rPr>
          <w:rFonts w:cs="Times New Roman"/>
          <w:szCs w:val="24"/>
        </w:rPr>
        <w:t>exemplar ICS</w:t>
      </w:r>
      <w:r w:rsidRPr="007738E4">
        <w:rPr>
          <w:rFonts w:cs="Times New Roman"/>
          <w:szCs w:val="24"/>
        </w:rPr>
        <w:t xml:space="preserve"> that made </w:t>
      </w:r>
      <w:r w:rsidR="00844518" w:rsidRPr="007738E4">
        <w:rPr>
          <w:rFonts w:cs="Times New Roman"/>
          <w:szCs w:val="24"/>
        </w:rPr>
        <w:t xml:space="preserve">demonstrable </w:t>
      </w:r>
      <w:r w:rsidRPr="007738E4">
        <w:rPr>
          <w:rFonts w:cs="Times New Roman"/>
          <w:szCs w:val="24"/>
        </w:rPr>
        <w:t xml:space="preserve">progress on prevention and from which we might </w:t>
      </w:r>
      <w:proofErr w:type="gramStart"/>
      <w:r w:rsidRPr="007738E4">
        <w:rPr>
          <w:rFonts w:cs="Times New Roman"/>
          <w:szCs w:val="24"/>
        </w:rPr>
        <w:t>learn .</w:t>
      </w:r>
      <w:proofErr w:type="gramEnd"/>
      <w:r w:rsidR="00F23E77" w:rsidRPr="007738E4">
        <w:rPr>
          <w:rFonts w:cs="Times New Roman"/>
          <w:szCs w:val="24"/>
        </w:rPr>
        <w:t xml:space="preserve"> </w:t>
      </w:r>
      <w:r w:rsidR="00F23E77" w:rsidRPr="007738E4" w:rsidDel="00F23E77">
        <w:rPr>
          <w:rStyle w:val="FootnoteReference"/>
          <w:rFonts w:cs="Times New Roman"/>
          <w:szCs w:val="24"/>
        </w:rPr>
        <w:t xml:space="preserve"> </w:t>
      </w:r>
      <w:r w:rsidR="00F23E77" w:rsidRPr="007738E4">
        <w:rPr>
          <w:rFonts w:cs="Times New Roman"/>
          <w:szCs w:val="24"/>
        </w:rPr>
        <w:t>In practice, the insights from this group were not notably different from those that had already emerged. Participants were not as upbeat about their experiences and expectations as we anticipated (partly because they were now facing budget cutbacks), and discussion largely confirm</w:t>
      </w:r>
      <w:r w:rsidR="00E24533">
        <w:rPr>
          <w:rFonts w:cs="Times New Roman"/>
          <w:szCs w:val="24"/>
        </w:rPr>
        <w:t>ing</w:t>
      </w:r>
      <w:r w:rsidR="00F23E77" w:rsidRPr="007738E4">
        <w:rPr>
          <w:rFonts w:cs="Times New Roman"/>
          <w:szCs w:val="24"/>
        </w:rPr>
        <w:t xml:space="preserve"> </w:t>
      </w:r>
      <w:r w:rsidR="00E24533">
        <w:rPr>
          <w:rFonts w:cs="Times New Roman"/>
          <w:szCs w:val="24"/>
        </w:rPr>
        <w:t>previous</w:t>
      </w:r>
      <w:r w:rsidR="00F23E77" w:rsidRPr="007738E4">
        <w:rPr>
          <w:rFonts w:cs="Times New Roman"/>
          <w:szCs w:val="24"/>
        </w:rPr>
        <w:t xml:space="preserve"> account</w:t>
      </w:r>
      <w:r w:rsidR="00E24533">
        <w:rPr>
          <w:rFonts w:cs="Times New Roman"/>
          <w:szCs w:val="24"/>
        </w:rPr>
        <w:t>s</w:t>
      </w:r>
      <w:r w:rsidR="00F23E77" w:rsidRPr="007738E4">
        <w:rPr>
          <w:rFonts w:cs="Times New Roman"/>
          <w:szCs w:val="24"/>
        </w:rPr>
        <w:t xml:space="preserve"> of many challenges and </w:t>
      </w:r>
      <w:r w:rsidR="00E24533">
        <w:rPr>
          <w:rFonts w:cs="Times New Roman"/>
          <w:szCs w:val="24"/>
        </w:rPr>
        <w:t xml:space="preserve">some possible </w:t>
      </w:r>
      <w:r w:rsidR="00F23E77" w:rsidRPr="007738E4">
        <w:rPr>
          <w:rFonts w:cs="Times New Roman"/>
          <w:szCs w:val="24"/>
        </w:rPr>
        <w:t>enablers.</w:t>
      </w:r>
    </w:p>
    <w:p w14:paraId="0105EC42" w14:textId="7BB4B105" w:rsidR="006A7E75" w:rsidRPr="007738E4" w:rsidRDefault="006A7E75" w:rsidP="006A7E75">
      <w:pPr>
        <w:spacing w:line="276" w:lineRule="auto"/>
        <w:rPr>
          <w:rFonts w:cs="Times New Roman"/>
          <w:szCs w:val="24"/>
        </w:rPr>
      </w:pPr>
      <w:r w:rsidRPr="007738E4">
        <w:rPr>
          <w:rFonts w:cs="Times New Roman"/>
          <w:b/>
          <w:bCs/>
          <w:szCs w:val="24"/>
        </w:rPr>
        <w:t>Recruitment</w:t>
      </w:r>
      <w:r w:rsidRPr="007738E4">
        <w:rPr>
          <w:rFonts w:cs="Times New Roman"/>
          <w:szCs w:val="24"/>
        </w:rPr>
        <w:t xml:space="preserve">: The NHS Confederation team led on recruitment, drawing on their relationships and convening power. An open call for participants was placed in February, drawing 80 responses. The project team </w:t>
      </w:r>
      <w:r w:rsidR="00AA0C5F">
        <w:rPr>
          <w:rFonts w:cs="Times New Roman"/>
          <w:szCs w:val="24"/>
        </w:rPr>
        <w:t>selected</w:t>
      </w:r>
      <w:r w:rsidRPr="007738E4">
        <w:rPr>
          <w:rFonts w:cs="Times New Roman"/>
          <w:szCs w:val="24"/>
        </w:rPr>
        <w:t xml:space="preserve"> </w:t>
      </w:r>
      <w:r w:rsidR="00AA0C5F">
        <w:rPr>
          <w:rFonts w:cs="Times New Roman"/>
          <w:szCs w:val="24"/>
        </w:rPr>
        <w:t>a</w:t>
      </w:r>
      <w:r w:rsidRPr="007738E4">
        <w:rPr>
          <w:rFonts w:cs="Times New Roman"/>
          <w:szCs w:val="24"/>
        </w:rPr>
        <w:t xml:space="preserve"> mix of participants for each focus group</w:t>
      </w:r>
      <w:r w:rsidR="003437C6" w:rsidRPr="007738E4">
        <w:rPr>
          <w:rFonts w:cs="Times New Roman"/>
          <w:szCs w:val="24"/>
        </w:rPr>
        <w:t xml:space="preserve"> (subject to adjustments relating to </w:t>
      </w:r>
      <w:r w:rsidRPr="007738E4">
        <w:rPr>
          <w:rFonts w:cs="Times New Roman"/>
          <w:szCs w:val="24"/>
        </w:rPr>
        <w:t>diary coordination</w:t>
      </w:r>
      <w:r w:rsidR="003437C6" w:rsidRPr="007738E4">
        <w:rPr>
          <w:rFonts w:cs="Times New Roman"/>
          <w:szCs w:val="24"/>
        </w:rPr>
        <w:t>)</w:t>
      </w:r>
      <w:r w:rsidRPr="007738E4">
        <w:rPr>
          <w:rFonts w:cs="Times New Roman"/>
          <w:szCs w:val="24"/>
        </w:rPr>
        <w:t xml:space="preserve">. </w:t>
      </w:r>
      <w:proofErr w:type="gramStart"/>
      <w:r w:rsidRPr="007738E4">
        <w:rPr>
          <w:rFonts w:cs="Times New Roman"/>
          <w:szCs w:val="24"/>
        </w:rPr>
        <w:t xml:space="preserve">We </w:t>
      </w:r>
      <w:r w:rsidR="00AA0C5F" w:rsidRPr="00AA0C5F">
        <w:rPr>
          <w:rFonts w:cs="Times New Roman"/>
          <w:szCs w:val="24"/>
        </w:rPr>
        <w:t xml:space="preserve"> ran</w:t>
      </w:r>
      <w:proofErr w:type="gramEnd"/>
      <w:r w:rsidR="00AA0C5F" w:rsidRPr="00AA0C5F">
        <w:rPr>
          <w:rFonts w:cs="Times New Roman"/>
          <w:szCs w:val="24"/>
        </w:rPr>
        <w:t xml:space="preserve"> 7 focus groups with 6-12 participants</w:t>
      </w:r>
      <w:r w:rsidR="00AA0C5F">
        <w:rPr>
          <w:rFonts w:cs="Times New Roman"/>
          <w:szCs w:val="24"/>
        </w:rPr>
        <w:t xml:space="preserve">, totalling </w:t>
      </w:r>
      <w:r w:rsidRPr="007738E4">
        <w:rPr>
          <w:rFonts w:cs="Times New Roman"/>
          <w:szCs w:val="24"/>
        </w:rPr>
        <w:t>60 participants across 22 different systems, and all 7 NHS regions in England</w:t>
      </w:r>
      <w:r w:rsidR="00AA0C5F">
        <w:rPr>
          <w:rFonts w:cs="Times New Roman"/>
          <w:szCs w:val="24"/>
        </w:rPr>
        <w:t xml:space="preserve"> (</w:t>
      </w:r>
      <w:r w:rsidRPr="007738E4">
        <w:rPr>
          <w:rFonts w:cs="Times New Roman"/>
          <w:szCs w:val="24"/>
        </w:rPr>
        <w:t>March</w:t>
      </w:r>
      <w:r w:rsidR="00844518" w:rsidRPr="007738E4">
        <w:rPr>
          <w:rFonts w:cs="Times New Roman"/>
          <w:szCs w:val="24"/>
        </w:rPr>
        <w:t>-April</w:t>
      </w:r>
      <w:r w:rsidRPr="007738E4">
        <w:rPr>
          <w:rFonts w:cs="Times New Roman"/>
          <w:szCs w:val="24"/>
        </w:rPr>
        <w:t xml:space="preserve"> 2024</w:t>
      </w:r>
      <w:r w:rsidR="00AA0C5F">
        <w:rPr>
          <w:rFonts w:cs="Times New Roman"/>
          <w:szCs w:val="24"/>
        </w:rPr>
        <w:t>)</w:t>
      </w:r>
      <w:r w:rsidRPr="007738E4">
        <w:rPr>
          <w:rFonts w:cs="Times New Roman"/>
          <w:szCs w:val="24"/>
        </w:rPr>
        <w:t xml:space="preserve">. </w:t>
      </w:r>
      <w:r w:rsidR="00AA0C5F">
        <w:rPr>
          <w:rFonts w:cs="Times New Roman"/>
          <w:szCs w:val="24"/>
        </w:rPr>
        <w:t>We used</w:t>
      </w:r>
      <w:r w:rsidR="005D06AB" w:rsidRPr="007738E4">
        <w:rPr>
          <w:rFonts w:cs="Times New Roman"/>
          <w:szCs w:val="24"/>
        </w:rPr>
        <w:t xml:space="preserve"> Microsoft Teams web-conferencing</w:t>
      </w:r>
      <w:r w:rsidRPr="007738E4">
        <w:rPr>
          <w:rFonts w:cs="Times New Roman"/>
          <w:szCs w:val="24"/>
        </w:rPr>
        <w:t xml:space="preserve">. </w:t>
      </w:r>
    </w:p>
    <w:p w14:paraId="348F15BF" w14:textId="7E290A38" w:rsidR="002D37E2" w:rsidRPr="007738E4" w:rsidRDefault="00021BA1" w:rsidP="00AA0C5F">
      <w:pPr>
        <w:spacing w:line="276" w:lineRule="auto"/>
        <w:rPr>
          <w:rFonts w:cs="Times New Roman"/>
          <w:szCs w:val="24"/>
        </w:rPr>
      </w:pPr>
      <w:r w:rsidRPr="007738E4">
        <w:rPr>
          <w:rFonts w:cs="Times New Roman"/>
          <w:b/>
          <w:bCs/>
          <w:szCs w:val="24"/>
        </w:rPr>
        <w:t>Stimulus</w:t>
      </w:r>
      <w:r w:rsidR="00132A4A" w:rsidRPr="007738E4">
        <w:rPr>
          <w:rFonts w:cs="Times New Roman"/>
          <w:b/>
          <w:bCs/>
          <w:szCs w:val="24"/>
        </w:rPr>
        <w:t xml:space="preserve"> and Data Collection</w:t>
      </w:r>
      <w:r w:rsidRPr="007738E4">
        <w:rPr>
          <w:rFonts w:cs="Times New Roman"/>
          <w:b/>
          <w:bCs/>
          <w:szCs w:val="24"/>
        </w:rPr>
        <w:t>:</w:t>
      </w:r>
      <w:r w:rsidR="009E7D6D" w:rsidRPr="007738E4">
        <w:rPr>
          <w:rFonts w:cs="Times New Roman"/>
          <w:szCs w:val="24"/>
        </w:rPr>
        <w:t xml:space="preserve"> </w:t>
      </w:r>
      <w:r w:rsidR="00AA0C5F">
        <w:rPr>
          <w:rFonts w:cs="Times New Roman"/>
          <w:szCs w:val="24"/>
        </w:rPr>
        <w:t xml:space="preserve">We used the 3Cs framework to guide </w:t>
      </w:r>
      <w:r w:rsidR="00844518" w:rsidRPr="007738E4">
        <w:rPr>
          <w:rFonts w:cs="Times New Roman"/>
          <w:szCs w:val="24"/>
        </w:rPr>
        <w:t xml:space="preserve">group </w:t>
      </w:r>
      <w:r w:rsidR="009E7D6D" w:rsidRPr="007738E4">
        <w:rPr>
          <w:rFonts w:cs="Times New Roman"/>
          <w:szCs w:val="24"/>
        </w:rPr>
        <w:t>discussion</w:t>
      </w:r>
      <w:r w:rsidR="00AA0C5F">
        <w:rPr>
          <w:rFonts w:cs="Times New Roman"/>
          <w:szCs w:val="24"/>
        </w:rPr>
        <w:t xml:space="preserve"> </w:t>
      </w:r>
      <w:r w:rsidR="00844518" w:rsidRPr="007738E4">
        <w:rPr>
          <w:rFonts w:cs="Times New Roman"/>
          <w:szCs w:val="24"/>
        </w:rPr>
        <w:t>(</w:t>
      </w:r>
      <w:bookmarkStart w:id="3" w:name="_Hlk183082417"/>
      <w:r w:rsidR="00844518" w:rsidRPr="007738E4">
        <w:rPr>
          <w:rFonts w:cs="Times New Roman"/>
          <w:szCs w:val="24"/>
        </w:rPr>
        <w:t>Cairney et al, 2022</w:t>
      </w:r>
      <w:bookmarkEnd w:id="3"/>
      <w:r w:rsidR="00844518" w:rsidRPr="007738E4">
        <w:rPr>
          <w:rFonts w:cs="Times New Roman"/>
          <w:szCs w:val="24"/>
        </w:rPr>
        <w:t>)</w:t>
      </w:r>
      <w:r w:rsidR="009E7D6D" w:rsidRPr="007738E4">
        <w:rPr>
          <w:rFonts w:cs="Times New Roman"/>
          <w:szCs w:val="24"/>
        </w:rPr>
        <w:t xml:space="preserve">. Participants were </w:t>
      </w:r>
      <w:r w:rsidR="00AA0C5F">
        <w:rPr>
          <w:rFonts w:cs="Times New Roman"/>
          <w:szCs w:val="24"/>
        </w:rPr>
        <w:t>sent</w:t>
      </w:r>
      <w:r w:rsidR="009E7D6D" w:rsidRPr="007738E4">
        <w:rPr>
          <w:rFonts w:cs="Times New Roman"/>
          <w:szCs w:val="24"/>
        </w:rPr>
        <w:t xml:space="preserve"> a blog post in advance, then a short presentation at </w:t>
      </w:r>
      <w:r w:rsidR="00AA0C5F">
        <w:rPr>
          <w:rFonts w:cs="Times New Roman"/>
          <w:szCs w:val="24"/>
        </w:rPr>
        <w:t>each group</w:t>
      </w:r>
      <w:r w:rsidR="009E7D6D" w:rsidRPr="007738E4">
        <w:rPr>
          <w:rFonts w:cs="Times New Roman"/>
          <w:szCs w:val="24"/>
        </w:rPr>
        <w:t xml:space="preserve">. </w:t>
      </w:r>
      <w:r w:rsidR="00AA0C5F" w:rsidRPr="00AA0C5F">
        <w:rPr>
          <w:rFonts w:cs="Times New Roman"/>
          <w:szCs w:val="24"/>
        </w:rPr>
        <w:t xml:space="preserve">It helped to </w:t>
      </w:r>
      <w:r w:rsidR="00AA0C5F">
        <w:rPr>
          <w:rFonts w:cs="Times New Roman"/>
          <w:szCs w:val="24"/>
        </w:rPr>
        <w:t xml:space="preserve">explain </w:t>
      </w:r>
      <w:r w:rsidR="00AA0C5F" w:rsidRPr="00AA0C5F">
        <w:rPr>
          <w:rFonts w:cs="Times New Roman"/>
          <w:szCs w:val="24"/>
        </w:rPr>
        <w:t>the topic guide (</w:t>
      </w:r>
      <w:r w:rsidR="00AA0C5F">
        <w:rPr>
          <w:rFonts w:cs="Times New Roman"/>
          <w:szCs w:val="24"/>
        </w:rPr>
        <w:t>Table 1</w:t>
      </w:r>
      <w:r w:rsidR="00AA0C5F" w:rsidRPr="00AA0C5F">
        <w:rPr>
          <w:rFonts w:cs="Times New Roman"/>
          <w:szCs w:val="24"/>
        </w:rPr>
        <w:t>)</w:t>
      </w:r>
      <w:r w:rsidR="00AA0C5F">
        <w:rPr>
          <w:rFonts w:cs="Times New Roman"/>
          <w:szCs w:val="24"/>
        </w:rPr>
        <w:t>, then</w:t>
      </w:r>
      <w:r w:rsidR="00AA0C5F" w:rsidRPr="00AA0C5F">
        <w:rPr>
          <w:rFonts w:cs="Times New Roman"/>
          <w:szCs w:val="24"/>
        </w:rPr>
        <w:t xml:space="preserve"> prompt spontaneous reflections, </w:t>
      </w:r>
      <w:r w:rsidR="00AA0C5F">
        <w:rPr>
          <w:rFonts w:cs="Times New Roman"/>
          <w:szCs w:val="24"/>
        </w:rPr>
        <w:t>and</w:t>
      </w:r>
      <w:r w:rsidR="006A7E75" w:rsidRPr="007738E4">
        <w:rPr>
          <w:rFonts w:cs="Times New Roman"/>
          <w:szCs w:val="24"/>
        </w:rPr>
        <w:t xml:space="preserve"> discussion on ‘what might be different this time?’</w:t>
      </w:r>
    </w:p>
    <w:p w14:paraId="62FE99A9" w14:textId="5867400E" w:rsidR="00C454B3" w:rsidRPr="007738E4" w:rsidRDefault="00C454B3" w:rsidP="006A7E75">
      <w:pPr>
        <w:spacing w:line="276" w:lineRule="auto"/>
        <w:rPr>
          <w:rFonts w:cs="Times New Roman"/>
          <w:szCs w:val="24"/>
        </w:rPr>
      </w:pPr>
      <w:r w:rsidRPr="007738E4">
        <w:rPr>
          <w:rFonts w:cs="Times New Roman"/>
          <w:b/>
          <w:bCs/>
          <w:szCs w:val="24"/>
        </w:rPr>
        <w:t>Table 1. The 3Cs framework and topic guide</w:t>
      </w:r>
    </w:p>
    <w:tbl>
      <w:tblPr>
        <w:tblStyle w:val="TableGrid"/>
        <w:tblW w:w="0" w:type="auto"/>
        <w:tblLook w:val="04A0" w:firstRow="1" w:lastRow="0" w:firstColumn="1" w:lastColumn="0" w:noHBand="0" w:noVBand="1"/>
      </w:tblPr>
      <w:tblGrid>
        <w:gridCol w:w="3005"/>
        <w:gridCol w:w="3005"/>
        <w:gridCol w:w="3006"/>
      </w:tblGrid>
      <w:tr w:rsidR="002D37E2" w:rsidRPr="007738E4" w14:paraId="0810783C" w14:textId="77777777" w:rsidTr="002D37E2">
        <w:tc>
          <w:tcPr>
            <w:tcW w:w="3005" w:type="dxa"/>
          </w:tcPr>
          <w:p w14:paraId="34E71F8C" w14:textId="1408F251" w:rsidR="002D37E2" w:rsidRPr="007738E4" w:rsidRDefault="002D37E2" w:rsidP="006A7E75">
            <w:pPr>
              <w:spacing w:line="276" w:lineRule="auto"/>
              <w:rPr>
                <w:rFonts w:cs="Times New Roman"/>
                <w:b/>
                <w:bCs/>
              </w:rPr>
            </w:pPr>
            <w:r w:rsidRPr="007738E4">
              <w:rPr>
                <w:rFonts w:cs="Times New Roman"/>
                <w:b/>
                <w:bCs/>
              </w:rPr>
              <w:t>Clarity</w:t>
            </w:r>
          </w:p>
        </w:tc>
        <w:tc>
          <w:tcPr>
            <w:tcW w:w="3005" w:type="dxa"/>
          </w:tcPr>
          <w:p w14:paraId="21B1FD1A" w14:textId="2340F7B0" w:rsidR="002D37E2" w:rsidRPr="007738E4" w:rsidRDefault="002D37E2" w:rsidP="006A7E75">
            <w:pPr>
              <w:spacing w:line="276" w:lineRule="auto"/>
              <w:rPr>
                <w:rFonts w:cs="Times New Roman"/>
                <w:b/>
                <w:bCs/>
              </w:rPr>
            </w:pPr>
            <w:r w:rsidRPr="007738E4">
              <w:rPr>
                <w:rFonts w:cs="Times New Roman"/>
                <w:b/>
                <w:bCs/>
              </w:rPr>
              <w:t>Congruity</w:t>
            </w:r>
          </w:p>
        </w:tc>
        <w:tc>
          <w:tcPr>
            <w:tcW w:w="3006" w:type="dxa"/>
          </w:tcPr>
          <w:p w14:paraId="44478D9C" w14:textId="2C990B8B" w:rsidR="002D37E2" w:rsidRPr="007738E4" w:rsidRDefault="002D37E2" w:rsidP="006A7E75">
            <w:pPr>
              <w:spacing w:line="276" w:lineRule="auto"/>
              <w:rPr>
                <w:rFonts w:cs="Times New Roman"/>
                <w:b/>
                <w:bCs/>
              </w:rPr>
            </w:pPr>
            <w:r w:rsidRPr="007738E4">
              <w:rPr>
                <w:rFonts w:cs="Times New Roman"/>
                <w:b/>
                <w:bCs/>
              </w:rPr>
              <w:t>Capacity</w:t>
            </w:r>
          </w:p>
        </w:tc>
      </w:tr>
      <w:tr w:rsidR="002D37E2" w:rsidRPr="007738E4" w14:paraId="6FB151E4" w14:textId="77777777" w:rsidTr="002D37E2">
        <w:tc>
          <w:tcPr>
            <w:tcW w:w="3005" w:type="dxa"/>
          </w:tcPr>
          <w:p w14:paraId="2356F5F8" w14:textId="77777777" w:rsidR="002D37E2" w:rsidRPr="007738E4" w:rsidRDefault="002D37E2" w:rsidP="00C454B3">
            <w:pPr>
              <w:spacing w:line="276" w:lineRule="auto"/>
              <w:rPr>
                <w:rFonts w:cs="Times New Roman"/>
                <w:i/>
                <w:iCs/>
              </w:rPr>
            </w:pPr>
            <w:r w:rsidRPr="007738E4">
              <w:rPr>
                <w:rFonts w:cs="Times New Roman"/>
                <w:i/>
                <w:iCs/>
              </w:rPr>
              <w:t xml:space="preserve">What do we mean by prevention? </w:t>
            </w:r>
          </w:p>
          <w:p w14:paraId="65C0DE4A" w14:textId="77777777" w:rsidR="002D37E2" w:rsidRPr="007738E4" w:rsidRDefault="002D37E2" w:rsidP="00C454B3">
            <w:pPr>
              <w:spacing w:line="276" w:lineRule="auto"/>
              <w:rPr>
                <w:rFonts w:cs="Times New Roman"/>
                <w:i/>
                <w:iCs/>
              </w:rPr>
            </w:pPr>
          </w:p>
          <w:p w14:paraId="5A26F4BF" w14:textId="24943BA5" w:rsidR="002D37E2" w:rsidRPr="007738E4" w:rsidRDefault="002D37E2" w:rsidP="00C454B3">
            <w:pPr>
              <w:spacing w:line="276" w:lineRule="auto"/>
              <w:rPr>
                <w:rFonts w:cs="Times New Roman"/>
                <w:i/>
                <w:iCs/>
              </w:rPr>
            </w:pPr>
            <w:r w:rsidRPr="007738E4">
              <w:rPr>
                <w:rFonts w:cs="Times New Roman"/>
                <w:i/>
                <w:iCs/>
              </w:rPr>
              <w:t xml:space="preserve">What interventions sit within this definition? </w:t>
            </w:r>
          </w:p>
          <w:p w14:paraId="34037CDA" w14:textId="77777777" w:rsidR="002D37E2" w:rsidRPr="007738E4" w:rsidRDefault="002D37E2" w:rsidP="00C454B3">
            <w:pPr>
              <w:spacing w:line="276" w:lineRule="auto"/>
              <w:rPr>
                <w:rFonts w:cs="Times New Roman"/>
                <w:i/>
                <w:iCs/>
              </w:rPr>
            </w:pPr>
          </w:p>
          <w:p w14:paraId="2388326F" w14:textId="0C51AA6B" w:rsidR="002D37E2" w:rsidRPr="007738E4" w:rsidRDefault="002D37E2" w:rsidP="00C454B3">
            <w:pPr>
              <w:spacing w:line="276" w:lineRule="auto"/>
              <w:rPr>
                <w:rFonts w:cs="Times New Roman"/>
                <w:i/>
                <w:iCs/>
              </w:rPr>
            </w:pPr>
            <w:r w:rsidRPr="007738E4">
              <w:rPr>
                <w:rFonts w:cs="Times New Roman"/>
                <w:i/>
                <w:iCs/>
              </w:rPr>
              <w:t xml:space="preserve">Is there an agreed definition of prevention in your ICS? </w:t>
            </w:r>
          </w:p>
          <w:p w14:paraId="73337A04" w14:textId="77777777" w:rsidR="002D37E2" w:rsidRPr="007738E4" w:rsidRDefault="002D37E2" w:rsidP="00C454B3">
            <w:pPr>
              <w:spacing w:line="276" w:lineRule="auto"/>
              <w:rPr>
                <w:rFonts w:cs="Times New Roman"/>
                <w:i/>
                <w:iCs/>
              </w:rPr>
            </w:pPr>
          </w:p>
          <w:p w14:paraId="3B038725" w14:textId="746C20CE" w:rsidR="002D37E2" w:rsidRPr="007738E4" w:rsidRDefault="002D37E2" w:rsidP="00C454B3">
            <w:pPr>
              <w:spacing w:line="276" w:lineRule="auto"/>
              <w:rPr>
                <w:rFonts w:cs="Times New Roman"/>
                <w:i/>
                <w:iCs/>
              </w:rPr>
            </w:pPr>
            <w:r w:rsidRPr="007738E4">
              <w:rPr>
                <w:rFonts w:cs="Times New Roman"/>
                <w:i/>
                <w:iCs/>
              </w:rPr>
              <w:t xml:space="preserve">Would it be helpful to have nationally defined set of preventative interventions?  </w:t>
            </w:r>
          </w:p>
          <w:p w14:paraId="7AE1521C" w14:textId="77777777" w:rsidR="002D37E2" w:rsidRPr="007738E4" w:rsidRDefault="002D37E2" w:rsidP="00C454B3">
            <w:pPr>
              <w:spacing w:line="276" w:lineRule="auto"/>
              <w:rPr>
                <w:rFonts w:cs="Times New Roman"/>
                <w:i/>
                <w:iCs/>
              </w:rPr>
            </w:pPr>
          </w:p>
        </w:tc>
        <w:tc>
          <w:tcPr>
            <w:tcW w:w="3005" w:type="dxa"/>
          </w:tcPr>
          <w:p w14:paraId="6674A02E" w14:textId="77777777" w:rsidR="002D37E2" w:rsidRPr="007738E4" w:rsidRDefault="002D37E2" w:rsidP="00C454B3">
            <w:pPr>
              <w:spacing w:line="276" w:lineRule="auto"/>
              <w:rPr>
                <w:rFonts w:cs="Times New Roman"/>
                <w:i/>
                <w:iCs/>
              </w:rPr>
            </w:pPr>
            <w:r w:rsidRPr="007738E4">
              <w:rPr>
                <w:rFonts w:cs="Times New Roman"/>
                <w:i/>
                <w:iCs/>
              </w:rPr>
              <w:t xml:space="preserve">Do you have a vision or aspiration for your prevention work? Is this formalised in a plan or strategy? </w:t>
            </w:r>
          </w:p>
          <w:p w14:paraId="0A1AF828" w14:textId="77777777" w:rsidR="002D37E2" w:rsidRPr="007738E4" w:rsidRDefault="002D37E2" w:rsidP="00C454B3">
            <w:pPr>
              <w:spacing w:line="276" w:lineRule="auto"/>
              <w:rPr>
                <w:rFonts w:cs="Times New Roman"/>
                <w:i/>
                <w:iCs/>
              </w:rPr>
            </w:pPr>
          </w:p>
          <w:p w14:paraId="233200B8" w14:textId="184AD6B1" w:rsidR="002D37E2" w:rsidRPr="007738E4" w:rsidRDefault="002D37E2" w:rsidP="00C454B3">
            <w:pPr>
              <w:spacing w:line="276" w:lineRule="auto"/>
              <w:rPr>
                <w:rFonts w:cs="Times New Roman"/>
                <w:i/>
                <w:iCs/>
              </w:rPr>
            </w:pPr>
            <w:r w:rsidRPr="007738E4">
              <w:rPr>
                <w:rFonts w:cs="Times New Roman"/>
                <w:i/>
                <w:iCs/>
              </w:rPr>
              <w:t xml:space="preserve">How does your prevention work align with other priorities? </w:t>
            </w:r>
          </w:p>
          <w:p w14:paraId="650E4471" w14:textId="77777777" w:rsidR="002D37E2" w:rsidRPr="007738E4" w:rsidRDefault="002D37E2" w:rsidP="00C454B3">
            <w:pPr>
              <w:spacing w:line="276" w:lineRule="auto"/>
              <w:rPr>
                <w:rFonts w:cs="Times New Roman"/>
                <w:i/>
                <w:iCs/>
              </w:rPr>
            </w:pPr>
          </w:p>
          <w:p w14:paraId="50525DEC" w14:textId="4CFEC667" w:rsidR="002D37E2" w:rsidRPr="007738E4" w:rsidRDefault="002D37E2" w:rsidP="00C454B3">
            <w:pPr>
              <w:spacing w:line="276" w:lineRule="auto"/>
              <w:rPr>
                <w:rFonts w:cs="Times New Roman"/>
                <w:i/>
                <w:iCs/>
              </w:rPr>
            </w:pPr>
            <w:r w:rsidRPr="007738E4">
              <w:rPr>
                <w:rFonts w:cs="Times New Roman"/>
                <w:i/>
                <w:iCs/>
              </w:rPr>
              <w:t xml:space="preserve">Can you provide any examples of how to embed prevention across all system partners, making it routine business? </w:t>
            </w:r>
          </w:p>
          <w:p w14:paraId="202A6506" w14:textId="77777777" w:rsidR="002D37E2" w:rsidRPr="007738E4" w:rsidRDefault="002D37E2" w:rsidP="00C454B3">
            <w:pPr>
              <w:spacing w:line="276" w:lineRule="auto"/>
              <w:rPr>
                <w:rFonts w:cs="Times New Roman"/>
                <w:i/>
                <w:iCs/>
              </w:rPr>
            </w:pPr>
          </w:p>
          <w:p w14:paraId="02EA00BA" w14:textId="303C9B9B" w:rsidR="002D37E2" w:rsidRPr="007738E4" w:rsidRDefault="002D37E2" w:rsidP="00C454B3">
            <w:pPr>
              <w:spacing w:line="276" w:lineRule="auto"/>
              <w:rPr>
                <w:rFonts w:cs="Times New Roman"/>
                <w:i/>
                <w:iCs/>
              </w:rPr>
            </w:pPr>
            <w:r w:rsidRPr="007738E4">
              <w:rPr>
                <w:rFonts w:cs="Times New Roman"/>
                <w:i/>
                <w:iCs/>
              </w:rPr>
              <w:t>Who holds responsibility/accountability for aligning prevention work across your system?</w:t>
            </w:r>
          </w:p>
          <w:p w14:paraId="311804D8" w14:textId="77777777" w:rsidR="002D37E2" w:rsidRPr="007738E4" w:rsidRDefault="002D37E2" w:rsidP="00C454B3">
            <w:pPr>
              <w:spacing w:line="276" w:lineRule="auto"/>
              <w:rPr>
                <w:rFonts w:cs="Times New Roman"/>
                <w:i/>
                <w:iCs/>
              </w:rPr>
            </w:pPr>
          </w:p>
        </w:tc>
        <w:tc>
          <w:tcPr>
            <w:tcW w:w="3006" w:type="dxa"/>
          </w:tcPr>
          <w:p w14:paraId="519C8E73" w14:textId="77777777" w:rsidR="002D37E2" w:rsidRPr="007738E4" w:rsidRDefault="002D37E2" w:rsidP="00C454B3">
            <w:pPr>
              <w:spacing w:line="276" w:lineRule="auto"/>
              <w:rPr>
                <w:rFonts w:cs="Times New Roman"/>
                <w:i/>
                <w:iCs/>
              </w:rPr>
            </w:pPr>
            <w:r w:rsidRPr="007738E4">
              <w:rPr>
                <w:rFonts w:cs="Times New Roman"/>
                <w:i/>
                <w:iCs/>
              </w:rPr>
              <w:t xml:space="preserve">Are ICSs able to unlock the required resources for prevention? </w:t>
            </w:r>
          </w:p>
          <w:p w14:paraId="7F06BA94" w14:textId="77777777" w:rsidR="002D37E2" w:rsidRPr="007738E4" w:rsidRDefault="002D37E2" w:rsidP="00C454B3">
            <w:pPr>
              <w:spacing w:line="276" w:lineRule="auto"/>
              <w:rPr>
                <w:rFonts w:cs="Times New Roman"/>
                <w:i/>
                <w:iCs/>
              </w:rPr>
            </w:pPr>
          </w:p>
          <w:p w14:paraId="7E11A22C" w14:textId="2C4C1D24" w:rsidR="002D37E2" w:rsidRPr="007738E4" w:rsidRDefault="002D37E2" w:rsidP="00C454B3">
            <w:pPr>
              <w:spacing w:line="276" w:lineRule="auto"/>
              <w:rPr>
                <w:rFonts w:cs="Times New Roman"/>
                <w:i/>
                <w:iCs/>
              </w:rPr>
            </w:pPr>
            <w:r w:rsidRPr="007738E4">
              <w:rPr>
                <w:rFonts w:cs="Times New Roman"/>
                <w:i/>
                <w:iCs/>
              </w:rPr>
              <w:t>How can central government support prevention?</w:t>
            </w:r>
          </w:p>
          <w:p w14:paraId="32FF582A" w14:textId="77777777" w:rsidR="002D37E2" w:rsidRPr="007738E4" w:rsidRDefault="002D37E2" w:rsidP="00C454B3">
            <w:pPr>
              <w:spacing w:line="276" w:lineRule="auto"/>
              <w:rPr>
                <w:rFonts w:cs="Times New Roman"/>
                <w:i/>
                <w:iCs/>
              </w:rPr>
            </w:pPr>
          </w:p>
          <w:p w14:paraId="05876E5F" w14:textId="7F747D7E" w:rsidR="002D37E2" w:rsidRPr="007738E4" w:rsidRDefault="002D37E2" w:rsidP="00C454B3">
            <w:pPr>
              <w:spacing w:line="276" w:lineRule="auto"/>
              <w:rPr>
                <w:rFonts w:cs="Times New Roman"/>
                <w:i/>
                <w:iCs/>
              </w:rPr>
            </w:pPr>
            <w:r w:rsidRPr="007738E4">
              <w:rPr>
                <w:rFonts w:cs="Times New Roman"/>
                <w:i/>
                <w:iCs/>
              </w:rPr>
              <w:t>Who leads prevention work in your ICS? How do all leaders across system partners enable the shift towards prevention?</w:t>
            </w:r>
          </w:p>
          <w:p w14:paraId="452CF94A" w14:textId="77777777" w:rsidR="002D37E2" w:rsidRPr="007738E4" w:rsidRDefault="002D37E2" w:rsidP="00C454B3">
            <w:pPr>
              <w:spacing w:line="276" w:lineRule="auto"/>
              <w:rPr>
                <w:rFonts w:cs="Times New Roman"/>
                <w:i/>
                <w:iCs/>
              </w:rPr>
            </w:pPr>
          </w:p>
          <w:p w14:paraId="37A1D3B5" w14:textId="7D3714FC" w:rsidR="002D37E2" w:rsidRPr="007738E4" w:rsidRDefault="002D37E2" w:rsidP="00C454B3">
            <w:pPr>
              <w:spacing w:line="276" w:lineRule="auto"/>
              <w:rPr>
                <w:rFonts w:cs="Times New Roman"/>
                <w:i/>
                <w:iCs/>
              </w:rPr>
            </w:pPr>
            <w:r w:rsidRPr="007738E4">
              <w:rPr>
                <w:rFonts w:cs="Times New Roman"/>
                <w:i/>
                <w:iCs/>
              </w:rPr>
              <w:t>Can you provide an example of/from a local area or system where effective leadership is unlocking or augmenting capacity for preventive action?</w:t>
            </w:r>
          </w:p>
          <w:p w14:paraId="017E91F0" w14:textId="77777777" w:rsidR="002D37E2" w:rsidRPr="007738E4" w:rsidRDefault="002D37E2" w:rsidP="00C454B3">
            <w:pPr>
              <w:spacing w:line="276" w:lineRule="auto"/>
              <w:rPr>
                <w:rFonts w:cs="Times New Roman"/>
                <w:i/>
                <w:iCs/>
              </w:rPr>
            </w:pPr>
          </w:p>
        </w:tc>
      </w:tr>
    </w:tbl>
    <w:p w14:paraId="5D172610" w14:textId="77777777" w:rsidR="002D37E2" w:rsidRPr="007738E4" w:rsidRDefault="002D37E2" w:rsidP="006A7E75">
      <w:pPr>
        <w:spacing w:line="276" w:lineRule="auto"/>
        <w:rPr>
          <w:rFonts w:cs="Times New Roman"/>
          <w:szCs w:val="24"/>
        </w:rPr>
      </w:pPr>
    </w:p>
    <w:p w14:paraId="5AFC482E" w14:textId="27DD2695" w:rsidR="006A7E75" w:rsidRPr="007738E4" w:rsidRDefault="006A7E75" w:rsidP="006A7E75">
      <w:pPr>
        <w:spacing w:line="276" w:lineRule="auto"/>
        <w:rPr>
          <w:rFonts w:cs="Times New Roman"/>
          <w:szCs w:val="24"/>
        </w:rPr>
      </w:pPr>
      <w:r w:rsidRPr="007738E4">
        <w:rPr>
          <w:rFonts w:cs="Times New Roman"/>
          <w:szCs w:val="24"/>
        </w:rPr>
        <w:lastRenderedPageBreak/>
        <w:t xml:space="preserve">We encouraged participants to ask questions, prompt debate, </w:t>
      </w:r>
      <w:r w:rsidR="00AA0C5F">
        <w:rPr>
          <w:rFonts w:cs="Times New Roman"/>
          <w:szCs w:val="24"/>
        </w:rPr>
        <w:t xml:space="preserve">and </w:t>
      </w:r>
      <w:r w:rsidRPr="007738E4">
        <w:rPr>
          <w:rFonts w:cs="Times New Roman"/>
          <w:szCs w:val="24"/>
        </w:rPr>
        <w:t>identify aspects of prevention that we did not address fully (</w:t>
      </w:r>
      <w:r w:rsidR="00AA0C5F">
        <w:rPr>
          <w:rFonts w:cs="Times New Roman"/>
          <w:szCs w:val="24"/>
        </w:rPr>
        <w:t>aided by</w:t>
      </w:r>
      <w:r w:rsidRPr="007738E4">
        <w:rPr>
          <w:rFonts w:cs="Times New Roman"/>
          <w:szCs w:val="24"/>
        </w:rPr>
        <w:t xml:space="preserve"> suggestions from our</w:t>
      </w:r>
      <w:r w:rsidR="00C454B3" w:rsidRPr="007738E4">
        <w:rPr>
          <w:rFonts w:cs="Times New Roman"/>
          <w:szCs w:val="24"/>
        </w:rPr>
        <w:t xml:space="preserve"> project partner and </w:t>
      </w:r>
      <w:r w:rsidRPr="007738E4">
        <w:rPr>
          <w:rFonts w:cs="Times New Roman"/>
          <w:szCs w:val="24"/>
        </w:rPr>
        <w:t>advisory group</w:t>
      </w:r>
      <w:r w:rsidR="00C454B3" w:rsidRPr="007738E4">
        <w:rPr>
          <w:rFonts w:cs="Times New Roman"/>
          <w:szCs w:val="24"/>
        </w:rPr>
        <w:t xml:space="preserve"> </w:t>
      </w:r>
      <w:r w:rsidR="00AA0C5F">
        <w:rPr>
          <w:rFonts w:cs="Times New Roman"/>
          <w:szCs w:val="24"/>
        </w:rPr>
        <w:t xml:space="preserve">- </w:t>
      </w:r>
      <w:r w:rsidR="00DA151B">
        <w:rPr>
          <w:rFonts w:cs="Times New Roman"/>
          <w:szCs w:val="24"/>
        </w:rPr>
        <w:t>Author</w:t>
      </w:r>
      <w:r w:rsidR="00C454B3" w:rsidRPr="007738E4">
        <w:rPr>
          <w:rFonts w:cs="Times New Roman"/>
          <w:szCs w:val="24"/>
        </w:rPr>
        <w:t>, 2024)</w:t>
      </w:r>
      <w:r w:rsidRPr="007738E4">
        <w:rPr>
          <w:rFonts w:cs="Times New Roman"/>
          <w:szCs w:val="24"/>
        </w:rPr>
        <w:t xml:space="preserve">. This approach helped to keep discussions open </w:t>
      </w:r>
      <w:r w:rsidR="00AA0C5F">
        <w:rPr>
          <w:rFonts w:cs="Times New Roman"/>
          <w:szCs w:val="24"/>
        </w:rPr>
        <w:t>but focused enough to aid cross-group</w:t>
      </w:r>
      <w:r w:rsidRPr="007738E4">
        <w:rPr>
          <w:rFonts w:cs="Times New Roman"/>
          <w:szCs w:val="24"/>
        </w:rPr>
        <w:t xml:space="preserve"> comparison and analysis. </w:t>
      </w:r>
      <w:r w:rsidR="00300A70" w:rsidRPr="007738E4">
        <w:rPr>
          <w:rFonts w:cs="Times New Roman"/>
          <w:szCs w:val="24"/>
        </w:rPr>
        <w:t xml:space="preserve">A </w:t>
      </w:r>
      <w:r w:rsidR="00AA0C5F">
        <w:rPr>
          <w:rFonts w:cs="Times New Roman"/>
          <w:szCs w:val="24"/>
        </w:rPr>
        <w:t>few</w:t>
      </w:r>
      <w:r w:rsidRPr="007738E4">
        <w:rPr>
          <w:rFonts w:cs="Times New Roman"/>
          <w:szCs w:val="24"/>
        </w:rPr>
        <w:t xml:space="preserve"> participants</w:t>
      </w:r>
      <w:r w:rsidR="00300A70" w:rsidRPr="007738E4">
        <w:rPr>
          <w:rFonts w:cs="Times New Roman"/>
          <w:szCs w:val="24"/>
        </w:rPr>
        <w:t xml:space="preserve"> </w:t>
      </w:r>
      <w:r w:rsidRPr="007738E4">
        <w:rPr>
          <w:rFonts w:cs="Times New Roman"/>
          <w:szCs w:val="24"/>
        </w:rPr>
        <w:t>challenged aspects of our framing</w:t>
      </w:r>
      <w:r w:rsidR="00AA0C5F">
        <w:rPr>
          <w:rFonts w:cs="Times New Roman"/>
          <w:szCs w:val="24"/>
        </w:rPr>
        <w:t>, although largely to translate</w:t>
      </w:r>
      <w:r w:rsidR="00300A70" w:rsidRPr="007738E4">
        <w:rPr>
          <w:rFonts w:cs="Times New Roman"/>
          <w:szCs w:val="24"/>
        </w:rPr>
        <w:t xml:space="preserve"> or contextualise our key themes, rather than reject them or the</w:t>
      </w:r>
      <w:r w:rsidR="00AA0C5F">
        <w:rPr>
          <w:rFonts w:cs="Times New Roman"/>
          <w:szCs w:val="24"/>
        </w:rPr>
        <w:t>ir</w:t>
      </w:r>
      <w:r w:rsidR="00300A70" w:rsidRPr="007738E4">
        <w:rPr>
          <w:rFonts w:cs="Times New Roman"/>
          <w:szCs w:val="24"/>
        </w:rPr>
        <w:t xml:space="preserve"> </w:t>
      </w:r>
      <w:r w:rsidR="00AA0C5F" w:rsidRPr="00AA0C5F">
        <w:rPr>
          <w:rFonts w:cs="Times New Roman"/>
          <w:szCs w:val="24"/>
        </w:rPr>
        <w:t xml:space="preserve">underlying </w:t>
      </w:r>
      <w:proofErr w:type="gramStart"/>
      <w:r w:rsidR="00300A70" w:rsidRPr="007738E4">
        <w:rPr>
          <w:rFonts w:cs="Times New Roman"/>
          <w:szCs w:val="24"/>
        </w:rPr>
        <w:t>premises .</w:t>
      </w:r>
      <w:proofErr w:type="gramEnd"/>
      <w:r w:rsidRPr="007738E4">
        <w:rPr>
          <w:rFonts w:cs="Times New Roman"/>
          <w:szCs w:val="24"/>
        </w:rPr>
        <w:t xml:space="preserve"> Others built </w:t>
      </w:r>
      <w:r w:rsidR="00AA0C5F">
        <w:rPr>
          <w:rFonts w:cs="Times New Roman"/>
          <w:szCs w:val="24"/>
        </w:rPr>
        <w:t>their discussions on our framing</w:t>
      </w:r>
      <w:r w:rsidRPr="007738E4">
        <w:rPr>
          <w:rFonts w:cs="Times New Roman"/>
          <w:szCs w:val="24"/>
        </w:rPr>
        <w:t xml:space="preserve">. Either way, </w:t>
      </w:r>
      <w:r w:rsidR="00AA0C5F">
        <w:rPr>
          <w:rFonts w:cs="Times New Roman"/>
          <w:szCs w:val="24"/>
        </w:rPr>
        <w:t>the academic provocation boosted</w:t>
      </w:r>
      <w:r w:rsidRPr="007738E4">
        <w:rPr>
          <w:rFonts w:cs="Times New Roman"/>
          <w:szCs w:val="24"/>
        </w:rPr>
        <w:t xml:space="preserve"> useful interaction</w:t>
      </w:r>
      <w:r w:rsidR="007C5F47" w:rsidRPr="007738E4">
        <w:rPr>
          <w:rFonts w:cs="Times New Roman"/>
          <w:szCs w:val="24"/>
        </w:rPr>
        <w:t>s</w:t>
      </w:r>
      <w:r w:rsidRPr="007738E4">
        <w:rPr>
          <w:rFonts w:cs="Times New Roman"/>
          <w:szCs w:val="24"/>
        </w:rPr>
        <w:t xml:space="preserve"> on </w:t>
      </w:r>
      <w:r w:rsidR="007C5F47" w:rsidRPr="007738E4">
        <w:rPr>
          <w:rFonts w:cs="Times New Roman"/>
          <w:szCs w:val="24"/>
        </w:rPr>
        <w:t>our</w:t>
      </w:r>
      <w:r w:rsidRPr="007738E4">
        <w:rPr>
          <w:rFonts w:cs="Times New Roman"/>
          <w:szCs w:val="24"/>
        </w:rPr>
        <w:t xml:space="preserve"> key themes.</w:t>
      </w:r>
    </w:p>
    <w:p w14:paraId="1B69E9A0" w14:textId="2307C74C" w:rsidR="006A7E75" w:rsidRPr="007738E4" w:rsidRDefault="00AA0C5F" w:rsidP="006A7E75">
      <w:pPr>
        <w:spacing w:line="276" w:lineRule="auto"/>
        <w:rPr>
          <w:rFonts w:cs="Times New Roman"/>
          <w:szCs w:val="24"/>
        </w:rPr>
      </w:pPr>
      <w:r>
        <w:rPr>
          <w:rFonts w:cs="Times New Roman"/>
          <w:szCs w:val="24"/>
        </w:rPr>
        <w:t xml:space="preserve">We </w:t>
      </w:r>
      <w:r w:rsidR="006A7E75" w:rsidRPr="007738E4">
        <w:rPr>
          <w:rFonts w:cs="Times New Roman"/>
          <w:szCs w:val="24"/>
        </w:rPr>
        <w:t>record</w:t>
      </w:r>
      <w:r>
        <w:rPr>
          <w:rFonts w:cs="Times New Roman"/>
          <w:szCs w:val="24"/>
        </w:rPr>
        <w:t>ed</w:t>
      </w:r>
      <w:r w:rsidR="006A7E75" w:rsidRPr="007738E4">
        <w:rPr>
          <w:rFonts w:cs="Times New Roman"/>
          <w:szCs w:val="24"/>
        </w:rPr>
        <w:t xml:space="preserve"> </w:t>
      </w:r>
      <w:r>
        <w:rPr>
          <w:rFonts w:cs="Times New Roman"/>
          <w:szCs w:val="24"/>
        </w:rPr>
        <w:t>but</w:t>
      </w:r>
      <w:r w:rsidRPr="007738E4">
        <w:rPr>
          <w:rFonts w:cs="Times New Roman"/>
          <w:szCs w:val="24"/>
        </w:rPr>
        <w:t xml:space="preserve"> </w:t>
      </w:r>
      <w:r w:rsidR="006A7E75" w:rsidRPr="007738E4">
        <w:rPr>
          <w:rFonts w:cs="Times New Roman"/>
          <w:szCs w:val="24"/>
        </w:rPr>
        <w:t>anonymise</w:t>
      </w:r>
      <w:r>
        <w:rPr>
          <w:rFonts w:cs="Times New Roman"/>
          <w:szCs w:val="24"/>
        </w:rPr>
        <w:t>d</w:t>
      </w:r>
      <w:r w:rsidR="006A7E75" w:rsidRPr="007738E4">
        <w:rPr>
          <w:rFonts w:cs="Times New Roman"/>
          <w:szCs w:val="24"/>
        </w:rPr>
        <w:t xml:space="preserve"> </w:t>
      </w:r>
      <w:r w:rsidR="003437C6" w:rsidRPr="007738E4">
        <w:rPr>
          <w:rFonts w:cs="Times New Roman"/>
          <w:szCs w:val="24"/>
        </w:rPr>
        <w:t>responses to</w:t>
      </w:r>
      <w:r w:rsidR="006A7E75" w:rsidRPr="007738E4">
        <w:rPr>
          <w:rFonts w:cs="Times New Roman"/>
          <w:szCs w:val="24"/>
        </w:rPr>
        <w:t xml:space="preserve"> encourage frank discussion among groups. We </w:t>
      </w:r>
      <w:r w:rsidR="003437C6" w:rsidRPr="007738E4">
        <w:rPr>
          <w:rFonts w:cs="Times New Roman"/>
          <w:szCs w:val="24"/>
        </w:rPr>
        <w:t xml:space="preserve">then </w:t>
      </w:r>
      <w:r w:rsidR="00C454B3" w:rsidRPr="007738E4">
        <w:rPr>
          <w:rFonts w:cs="Times New Roman"/>
          <w:szCs w:val="24"/>
        </w:rPr>
        <w:t>drafted</w:t>
      </w:r>
      <w:r w:rsidR="006A7E75" w:rsidRPr="007738E4">
        <w:rPr>
          <w:rFonts w:cs="Times New Roman"/>
          <w:szCs w:val="24"/>
        </w:rPr>
        <w:t xml:space="preserve"> </w:t>
      </w:r>
      <w:r w:rsidR="007C5F47" w:rsidRPr="007738E4">
        <w:rPr>
          <w:rFonts w:cs="Times New Roman"/>
          <w:szCs w:val="24"/>
        </w:rPr>
        <w:t>a practice</w:t>
      </w:r>
      <w:r w:rsidR="006A7E75" w:rsidRPr="007738E4">
        <w:rPr>
          <w:rFonts w:cs="Times New Roman"/>
          <w:szCs w:val="24"/>
        </w:rPr>
        <w:t xml:space="preserve"> report</w:t>
      </w:r>
      <w:r w:rsidR="007C5F47" w:rsidRPr="007738E4">
        <w:rPr>
          <w:rFonts w:cs="Times New Roman"/>
          <w:szCs w:val="24"/>
        </w:rPr>
        <w:t xml:space="preserve">: </w:t>
      </w:r>
      <w:r w:rsidR="006A7E75" w:rsidRPr="007738E4">
        <w:rPr>
          <w:rFonts w:cs="Times New Roman"/>
          <w:szCs w:val="24"/>
        </w:rPr>
        <w:t xml:space="preserve">generating key themes and constructing storylines that combine insights from one or more participants rather than providing direct quotations (unless they encapsulate a point </w:t>
      </w:r>
      <w:proofErr w:type="gramStart"/>
      <w:r w:rsidR="006A7E75" w:rsidRPr="007738E4">
        <w:rPr>
          <w:rFonts w:cs="Times New Roman"/>
          <w:szCs w:val="24"/>
        </w:rPr>
        <w:t>perfectly</w:t>
      </w:r>
      <w:r w:rsidR="00DA151B">
        <w:rPr>
          <w:rFonts w:cs="Times New Roman"/>
          <w:szCs w:val="24"/>
        </w:rPr>
        <w:t>, and</w:t>
      </w:r>
      <w:proofErr w:type="gramEnd"/>
      <w:r w:rsidR="00DA151B">
        <w:rPr>
          <w:rFonts w:cs="Times New Roman"/>
          <w:szCs w:val="24"/>
        </w:rPr>
        <w:t xml:space="preserve"> gave permission</w:t>
      </w:r>
      <w:r w:rsidR="006A7E75" w:rsidRPr="007738E4">
        <w:rPr>
          <w:rFonts w:cs="Times New Roman"/>
          <w:szCs w:val="24"/>
        </w:rPr>
        <w:t>)</w:t>
      </w:r>
      <w:r w:rsidR="00C54C30" w:rsidRPr="007738E4">
        <w:rPr>
          <w:rFonts w:cs="Times New Roman"/>
          <w:szCs w:val="24"/>
        </w:rPr>
        <w:t>.</w:t>
      </w:r>
      <w:r w:rsidR="006A7E75" w:rsidRPr="007738E4">
        <w:rPr>
          <w:rFonts w:cs="Times New Roman"/>
          <w:szCs w:val="24"/>
        </w:rPr>
        <w:t xml:space="preserve"> Discussion</w:t>
      </w:r>
      <w:r w:rsidR="003437C6" w:rsidRPr="007738E4">
        <w:rPr>
          <w:rFonts w:cs="Times New Roman"/>
          <w:szCs w:val="24"/>
        </w:rPr>
        <w:t>s</w:t>
      </w:r>
      <w:r w:rsidR="006A7E75" w:rsidRPr="007738E4">
        <w:rPr>
          <w:rFonts w:cs="Times New Roman"/>
          <w:szCs w:val="24"/>
        </w:rPr>
        <w:t xml:space="preserve"> lasted around </w:t>
      </w:r>
      <w:r w:rsidR="007C5F47" w:rsidRPr="007738E4">
        <w:rPr>
          <w:rFonts w:cs="Times New Roman"/>
          <w:szCs w:val="24"/>
        </w:rPr>
        <w:t>90 minutes</w:t>
      </w:r>
      <w:r w:rsidR="006A7E75" w:rsidRPr="007738E4">
        <w:rPr>
          <w:rFonts w:cs="Times New Roman"/>
          <w:szCs w:val="24"/>
        </w:rPr>
        <w:t xml:space="preserve">, transcribed using MS </w:t>
      </w:r>
      <w:r w:rsidR="003437C6" w:rsidRPr="007738E4">
        <w:rPr>
          <w:rFonts w:cs="Times New Roman"/>
          <w:szCs w:val="24"/>
        </w:rPr>
        <w:t>T</w:t>
      </w:r>
      <w:r w:rsidR="006A7E75" w:rsidRPr="007738E4">
        <w:rPr>
          <w:rFonts w:cs="Times New Roman"/>
          <w:szCs w:val="24"/>
        </w:rPr>
        <w:t>eams software</w:t>
      </w:r>
      <w:r w:rsidR="00DA151B">
        <w:rPr>
          <w:rFonts w:cs="Times New Roman"/>
          <w:szCs w:val="24"/>
        </w:rPr>
        <w:t xml:space="preserve"> and aided by research team notes</w:t>
      </w:r>
      <w:r w:rsidR="006A7E75" w:rsidRPr="007738E4">
        <w:rPr>
          <w:rFonts w:cs="Times New Roman"/>
          <w:szCs w:val="24"/>
        </w:rPr>
        <w:t xml:space="preserve">. To comply with the ethical approval received from the Universities of </w:t>
      </w:r>
      <w:r w:rsidR="00DA151B">
        <w:rPr>
          <w:rFonts w:cs="Times New Roman"/>
          <w:szCs w:val="24"/>
        </w:rPr>
        <w:t>X</w:t>
      </w:r>
      <w:r w:rsidR="00DA151B" w:rsidRPr="007738E4">
        <w:rPr>
          <w:rFonts w:cs="Times New Roman"/>
          <w:szCs w:val="24"/>
        </w:rPr>
        <w:t xml:space="preserve"> </w:t>
      </w:r>
      <w:r w:rsidR="006A7E75" w:rsidRPr="007738E4">
        <w:rPr>
          <w:rFonts w:cs="Times New Roman"/>
          <w:szCs w:val="24"/>
        </w:rPr>
        <w:t xml:space="preserve">and </w:t>
      </w:r>
      <w:r w:rsidR="00DA151B">
        <w:rPr>
          <w:rFonts w:cs="Times New Roman"/>
          <w:szCs w:val="24"/>
        </w:rPr>
        <w:t>Y</w:t>
      </w:r>
      <w:r w:rsidR="006A7E75" w:rsidRPr="007738E4">
        <w:rPr>
          <w:rFonts w:cs="Times New Roman"/>
          <w:szCs w:val="24"/>
        </w:rPr>
        <w:t xml:space="preserve">, only </w:t>
      </w:r>
      <w:r w:rsidR="005D06AB" w:rsidRPr="007738E4">
        <w:rPr>
          <w:rFonts w:cs="Times New Roman"/>
          <w:szCs w:val="24"/>
        </w:rPr>
        <w:t xml:space="preserve">Authors A and B </w:t>
      </w:r>
      <w:r w:rsidR="006A7E75" w:rsidRPr="007738E4">
        <w:rPr>
          <w:rFonts w:cs="Times New Roman"/>
          <w:szCs w:val="24"/>
        </w:rPr>
        <w:t>had access to the transcripts</w:t>
      </w:r>
      <w:r w:rsidR="007C5F47" w:rsidRPr="007738E4">
        <w:rPr>
          <w:rFonts w:cs="Times New Roman"/>
          <w:szCs w:val="24"/>
        </w:rPr>
        <w:t xml:space="preserve"> (although all authors attended the focus groups)</w:t>
      </w:r>
      <w:r w:rsidR="006A7E75" w:rsidRPr="007738E4">
        <w:rPr>
          <w:rFonts w:cs="Times New Roman"/>
          <w:szCs w:val="24"/>
        </w:rPr>
        <w:t>.</w:t>
      </w:r>
    </w:p>
    <w:p w14:paraId="660EA81F" w14:textId="410C7776" w:rsidR="00A60A59" w:rsidRPr="007738E4" w:rsidRDefault="006A7E75" w:rsidP="00A60A59">
      <w:pPr>
        <w:spacing w:line="276" w:lineRule="auto"/>
        <w:rPr>
          <w:rFonts w:cs="Times New Roman"/>
          <w:szCs w:val="24"/>
        </w:rPr>
      </w:pPr>
      <w:r w:rsidRPr="007738E4">
        <w:rPr>
          <w:rFonts w:cs="Times New Roman"/>
          <w:b/>
          <w:bCs/>
          <w:szCs w:val="24"/>
        </w:rPr>
        <w:t>Analysis and write-up:</w:t>
      </w:r>
      <w:r w:rsidRPr="007738E4">
        <w:rPr>
          <w:rFonts w:cs="Times New Roman"/>
          <w:szCs w:val="24"/>
        </w:rPr>
        <w:t xml:space="preserve">  The them</w:t>
      </w:r>
      <w:r w:rsidR="007C5F47" w:rsidRPr="007738E4">
        <w:rPr>
          <w:rFonts w:cs="Times New Roman"/>
          <w:szCs w:val="24"/>
        </w:rPr>
        <w:t>atic analysis</w:t>
      </w:r>
      <w:r w:rsidRPr="007738E4">
        <w:rPr>
          <w:rFonts w:cs="Times New Roman"/>
          <w:szCs w:val="24"/>
        </w:rPr>
        <w:t xml:space="preserve"> reflected a process of moving between the 3Cs framework derived from policy theory and patterns that emerged more organically in the discussions – </w:t>
      </w:r>
      <w:r w:rsidR="007C5F47" w:rsidRPr="007738E4">
        <w:rPr>
          <w:rFonts w:cs="Times New Roman"/>
          <w:szCs w:val="24"/>
        </w:rPr>
        <w:t xml:space="preserve">in other words, a form of </w:t>
      </w:r>
      <w:r w:rsidRPr="007738E4">
        <w:rPr>
          <w:rFonts w:cs="Times New Roman"/>
          <w:szCs w:val="24"/>
        </w:rPr>
        <w:t xml:space="preserve">abductive reasoning </w:t>
      </w:r>
      <w:r w:rsidR="007C5F47" w:rsidRPr="007738E4">
        <w:rPr>
          <w:rFonts w:cs="Times New Roman"/>
          <w:szCs w:val="24"/>
        </w:rPr>
        <w:t>which</w:t>
      </w:r>
      <w:r w:rsidRPr="007738E4">
        <w:rPr>
          <w:rFonts w:cs="Times New Roman"/>
          <w:szCs w:val="24"/>
        </w:rPr>
        <w:t xml:space="preserve"> is core to the interpretive approach to policy analysis</w:t>
      </w:r>
      <w:r w:rsidR="008642D2" w:rsidRPr="007738E4">
        <w:rPr>
          <w:rFonts w:cs="Times New Roman"/>
          <w:szCs w:val="24"/>
        </w:rPr>
        <w:t xml:space="preserve"> (</w:t>
      </w:r>
      <w:r w:rsidR="007C5F47" w:rsidRPr="007738E4">
        <w:rPr>
          <w:rFonts w:cs="Times New Roman"/>
          <w:szCs w:val="24"/>
        </w:rPr>
        <w:t xml:space="preserve">e.g. </w:t>
      </w:r>
      <w:bookmarkStart w:id="4" w:name="_Hlk183082455"/>
      <w:r w:rsidR="008642D2" w:rsidRPr="007738E4">
        <w:rPr>
          <w:rFonts w:cs="Times New Roman"/>
          <w:szCs w:val="24"/>
        </w:rPr>
        <w:t>Schwartz-Shea</w:t>
      </w:r>
      <w:r w:rsidR="00390012" w:rsidRPr="007738E4">
        <w:rPr>
          <w:rFonts w:cs="Times New Roman"/>
          <w:szCs w:val="24"/>
        </w:rPr>
        <w:t xml:space="preserve"> and Yanow</w:t>
      </w:r>
      <w:r w:rsidR="0054182C" w:rsidRPr="007738E4">
        <w:rPr>
          <w:rFonts w:cs="Times New Roman"/>
          <w:szCs w:val="24"/>
        </w:rPr>
        <w:t>,</w:t>
      </w:r>
      <w:r w:rsidR="008642D2" w:rsidRPr="007738E4">
        <w:rPr>
          <w:rFonts w:cs="Times New Roman"/>
          <w:szCs w:val="24"/>
        </w:rPr>
        <w:t xml:space="preserve"> 2013</w:t>
      </w:r>
      <w:bookmarkEnd w:id="4"/>
      <w:r w:rsidR="008642D2" w:rsidRPr="007738E4">
        <w:rPr>
          <w:rFonts w:cs="Times New Roman"/>
          <w:szCs w:val="24"/>
        </w:rPr>
        <w:t>)</w:t>
      </w:r>
      <w:r w:rsidRPr="007738E4">
        <w:rPr>
          <w:rFonts w:cs="Times New Roman"/>
          <w:szCs w:val="24"/>
        </w:rPr>
        <w:t xml:space="preserve">. We began by focusing on key barriers then enablers </w:t>
      </w:r>
      <w:r w:rsidR="007C5F47" w:rsidRPr="007738E4">
        <w:rPr>
          <w:rFonts w:cs="Times New Roman"/>
          <w:szCs w:val="24"/>
        </w:rPr>
        <w:t>(</w:t>
      </w:r>
      <w:r w:rsidRPr="007738E4">
        <w:rPr>
          <w:rFonts w:cs="Times New Roman"/>
          <w:szCs w:val="24"/>
        </w:rPr>
        <w:t xml:space="preserve">informed </w:t>
      </w:r>
      <w:r w:rsidR="00C50B56" w:rsidRPr="007738E4">
        <w:rPr>
          <w:rFonts w:cs="Times New Roman"/>
          <w:szCs w:val="24"/>
        </w:rPr>
        <w:t xml:space="preserve">partly </w:t>
      </w:r>
      <w:r w:rsidRPr="007738E4">
        <w:rPr>
          <w:rFonts w:cs="Times New Roman"/>
          <w:szCs w:val="24"/>
        </w:rPr>
        <w:t>by discussion of ‘</w:t>
      </w:r>
      <w:r w:rsidR="007C5F47" w:rsidRPr="007738E4">
        <w:rPr>
          <w:rFonts w:cs="Times New Roman"/>
          <w:szCs w:val="24"/>
        </w:rPr>
        <w:t>good</w:t>
      </w:r>
      <w:r w:rsidRPr="007738E4">
        <w:rPr>
          <w:rFonts w:cs="Times New Roman"/>
          <w:szCs w:val="24"/>
        </w:rPr>
        <w:t xml:space="preserve"> practices’</w:t>
      </w:r>
      <w:r w:rsidR="007C5F47" w:rsidRPr="007738E4">
        <w:rPr>
          <w:rFonts w:cs="Times New Roman"/>
          <w:szCs w:val="24"/>
        </w:rPr>
        <w:t>)</w:t>
      </w:r>
      <w:r w:rsidRPr="007738E4">
        <w:rPr>
          <w:rFonts w:cs="Times New Roman"/>
          <w:szCs w:val="24"/>
        </w:rPr>
        <w:t xml:space="preserve">. We tested emerging findings in multiple ways: (1) ‘storyboarding’ the </w:t>
      </w:r>
      <w:r w:rsidR="00C50B56" w:rsidRPr="007738E4">
        <w:rPr>
          <w:rFonts w:cs="Times New Roman"/>
          <w:szCs w:val="24"/>
        </w:rPr>
        <w:t>findings</w:t>
      </w:r>
      <w:r w:rsidRPr="007738E4">
        <w:rPr>
          <w:rFonts w:cs="Times New Roman"/>
          <w:szCs w:val="24"/>
        </w:rPr>
        <w:t xml:space="preserve"> with the project team, (2) sharing findings with latter focus groups</w:t>
      </w:r>
      <w:r w:rsidR="00651BF5" w:rsidRPr="007738E4">
        <w:rPr>
          <w:rFonts w:cs="Times New Roman"/>
          <w:szCs w:val="24"/>
        </w:rPr>
        <w:t>,</w:t>
      </w:r>
      <w:r w:rsidRPr="007738E4">
        <w:rPr>
          <w:rFonts w:cs="Times New Roman"/>
          <w:szCs w:val="24"/>
        </w:rPr>
        <w:t xml:space="preserve"> and (3) engaging with </w:t>
      </w:r>
      <w:r w:rsidR="00C50B56" w:rsidRPr="007738E4">
        <w:rPr>
          <w:rFonts w:cs="Times New Roman"/>
          <w:szCs w:val="24"/>
        </w:rPr>
        <w:t xml:space="preserve">our </w:t>
      </w:r>
      <w:r w:rsidR="00C454B3" w:rsidRPr="007738E4">
        <w:rPr>
          <w:rFonts w:cs="Times New Roman"/>
          <w:szCs w:val="24"/>
        </w:rPr>
        <w:t xml:space="preserve">project </w:t>
      </w:r>
      <w:r w:rsidR="00C50B56" w:rsidRPr="007738E4">
        <w:rPr>
          <w:rFonts w:cs="Times New Roman"/>
          <w:szCs w:val="24"/>
        </w:rPr>
        <w:t>partner</w:t>
      </w:r>
      <w:r w:rsidR="00C454B3" w:rsidRPr="007738E4">
        <w:rPr>
          <w:rFonts w:cs="Times New Roman"/>
          <w:szCs w:val="24"/>
        </w:rPr>
        <w:t xml:space="preserve"> </w:t>
      </w:r>
      <w:r w:rsidR="00C50B56" w:rsidRPr="007738E4">
        <w:rPr>
          <w:rFonts w:cs="Times New Roman"/>
          <w:szCs w:val="24"/>
        </w:rPr>
        <w:t xml:space="preserve">and </w:t>
      </w:r>
      <w:r w:rsidR="00651BF5" w:rsidRPr="007738E4">
        <w:rPr>
          <w:rFonts w:cs="Times New Roman"/>
          <w:szCs w:val="24"/>
        </w:rPr>
        <w:t>advisory group</w:t>
      </w:r>
      <w:r w:rsidRPr="007738E4">
        <w:rPr>
          <w:rFonts w:cs="Times New Roman"/>
          <w:szCs w:val="24"/>
        </w:rPr>
        <w:t xml:space="preserve">.  </w:t>
      </w:r>
      <w:r w:rsidR="00651BF5" w:rsidRPr="007738E4">
        <w:rPr>
          <w:rFonts w:cs="Times New Roman"/>
          <w:szCs w:val="24"/>
        </w:rPr>
        <w:t>This process informed</w:t>
      </w:r>
      <w:r w:rsidR="00246151" w:rsidRPr="007738E4">
        <w:rPr>
          <w:rFonts w:cs="Times New Roman"/>
          <w:szCs w:val="24"/>
        </w:rPr>
        <w:t xml:space="preserve"> a </w:t>
      </w:r>
      <w:r w:rsidR="00C454B3" w:rsidRPr="007738E4">
        <w:rPr>
          <w:rFonts w:cs="Times New Roman"/>
          <w:szCs w:val="24"/>
        </w:rPr>
        <w:t xml:space="preserve">short </w:t>
      </w:r>
      <w:r w:rsidR="00246151" w:rsidRPr="007738E4">
        <w:rPr>
          <w:rFonts w:cs="Times New Roman"/>
          <w:szCs w:val="24"/>
        </w:rPr>
        <w:t>practitioner report</w:t>
      </w:r>
      <w:r w:rsidR="00651BF5" w:rsidRPr="007738E4">
        <w:rPr>
          <w:rFonts w:cs="Times New Roman"/>
          <w:szCs w:val="24"/>
        </w:rPr>
        <w:t xml:space="preserve"> focusing on policy recommendations (</w:t>
      </w:r>
      <w:r w:rsidR="00DA151B">
        <w:rPr>
          <w:rFonts w:cs="Times New Roman"/>
          <w:szCs w:val="24"/>
        </w:rPr>
        <w:t>Author</w:t>
      </w:r>
      <w:r w:rsidR="00651BF5" w:rsidRPr="007738E4">
        <w:rPr>
          <w:rFonts w:cs="Times New Roman"/>
          <w:szCs w:val="24"/>
        </w:rPr>
        <w:t xml:space="preserve">, </w:t>
      </w:r>
      <w:r w:rsidR="00246151" w:rsidRPr="007738E4">
        <w:rPr>
          <w:rFonts w:cs="Times New Roman"/>
          <w:szCs w:val="24"/>
        </w:rPr>
        <w:t xml:space="preserve">2024). Here, </w:t>
      </w:r>
      <w:r w:rsidR="00651BF5" w:rsidRPr="007738E4">
        <w:rPr>
          <w:rFonts w:cs="Times New Roman"/>
          <w:szCs w:val="24"/>
        </w:rPr>
        <w:t>we use the</w:t>
      </w:r>
      <w:r w:rsidR="000D0AE7" w:rsidRPr="007738E4">
        <w:rPr>
          <w:rFonts w:cs="Times New Roman"/>
          <w:szCs w:val="24"/>
        </w:rPr>
        <w:t xml:space="preserve"> </w:t>
      </w:r>
      <w:r w:rsidR="00651BF5" w:rsidRPr="007738E4">
        <w:rPr>
          <w:rFonts w:cs="Times New Roman"/>
          <w:szCs w:val="24"/>
        </w:rPr>
        <w:t>3Cs</w:t>
      </w:r>
      <w:r w:rsidR="000D0AE7" w:rsidRPr="007738E4">
        <w:rPr>
          <w:rFonts w:cs="Times New Roman"/>
          <w:szCs w:val="24"/>
        </w:rPr>
        <w:t xml:space="preserve"> </w:t>
      </w:r>
      <w:r w:rsidR="005F2404" w:rsidRPr="007738E4">
        <w:rPr>
          <w:rFonts w:cs="Times New Roman"/>
          <w:szCs w:val="24"/>
        </w:rPr>
        <w:t xml:space="preserve">structure </w:t>
      </w:r>
      <w:r w:rsidR="00246151" w:rsidRPr="007738E4">
        <w:rPr>
          <w:rFonts w:cs="Times New Roman"/>
          <w:szCs w:val="24"/>
        </w:rPr>
        <w:t xml:space="preserve">to </w:t>
      </w:r>
      <w:r w:rsidR="00651BF5" w:rsidRPr="007738E4">
        <w:rPr>
          <w:rFonts w:cs="Times New Roman"/>
          <w:szCs w:val="24"/>
        </w:rPr>
        <w:t>explain</w:t>
      </w:r>
      <w:r w:rsidR="00246151" w:rsidRPr="007738E4">
        <w:rPr>
          <w:rFonts w:cs="Times New Roman"/>
          <w:szCs w:val="24"/>
        </w:rPr>
        <w:t xml:space="preserve"> the role of political science concepts and </w:t>
      </w:r>
      <w:r w:rsidR="00651BF5" w:rsidRPr="007738E4">
        <w:rPr>
          <w:rFonts w:cs="Times New Roman"/>
          <w:szCs w:val="24"/>
        </w:rPr>
        <w:t>new research on prevention politics and policymaking</w:t>
      </w:r>
      <w:r w:rsidR="00246151" w:rsidRPr="007738E4">
        <w:rPr>
          <w:rFonts w:cs="Times New Roman"/>
          <w:szCs w:val="24"/>
        </w:rPr>
        <w:t>.</w:t>
      </w:r>
    </w:p>
    <w:p w14:paraId="21901969" w14:textId="77777777" w:rsidR="00A60A59" w:rsidRPr="007738E4" w:rsidRDefault="00A60A59" w:rsidP="00A60A59">
      <w:pPr>
        <w:pStyle w:val="Heading1"/>
        <w:spacing w:line="276" w:lineRule="auto"/>
        <w:rPr>
          <w:rFonts w:cs="Times New Roman"/>
        </w:rPr>
      </w:pPr>
      <w:r w:rsidRPr="007738E4">
        <w:rPr>
          <w:rFonts w:cs="Times New Roman"/>
        </w:rPr>
        <w:t>Findings</w:t>
      </w:r>
    </w:p>
    <w:p w14:paraId="014DE26B" w14:textId="19988C84" w:rsidR="000D0AE7" w:rsidRPr="007738E4" w:rsidRDefault="000D0AE7" w:rsidP="005B09AC">
      <w:pPr>
        <w:pStyle w:val="Heading2"/>
        <w:rPr>
          <w:rFonts w:cs="Times New Roman"/>
        </w:rPr>
      </w:pPr>
      <w:r w:rsidRPr="007738E4">
        <w:rPr>
          <w:rFonts w:cs="Times New Roman"/>
        </w:rPr>
        <w:t>Barriers</w:t>
      </w:r>
      <w:r w:rsidR="005B09AC" w:rsidRPr="007738E4">
        <w:rPr>
          <w:rFonts w:cs="Times New Roman"/>
        </w:rPr>
        <w:t xml:space="preserve"> relating to clarity: competing values, perspectives, timescales, and language</w:t>
      </w:r>
    </w:p>
    <w:p w14:paraId="2CD826D7" w14:textId="5FC3AB9E" w:rsidR="0011698E" w:rsidRPr="007738E4" w:rsidRDefault="008642D2" w:rsidP="000D0AE7">
      <w:pPr>
        <w:spacing w:line="276" w:lineRule="auto"/>
        <w:rPr>
          <w:rFonts w:cs="Times New Roman"/>
          <w:szCs w:val="24"/>
        </w:rPr>
      </w:pPr>
      <w:r w:rsidRPr="007738E4">
        <w:rPr>
          <w:rFonts w:cs="Times New Roman"/>
          <w:szCs w:val="24"/>
        </w:rPr>
        <w:t xml:space="preserve">Has the prevention agenda been able to avoid </w:t>
      </w:r>
      <w:r w:rsidR="00132A4A" w:rsidRPr="007738E4">
        <w:rPr>
          <w:rFonts w:cs="Times New Roman"/>
          <w:szCs w:val="24"/>
        </w:rPr>
        <w:t xml:space="preserve">the mixed blessing associated with pleasing </w:t>
      </w:r>
      <w:r w:rsidR="00C52535" w:rsidRPr="007738E4">
        <w:rPr>
          <w:rFonts w:cs="Times New Roman"/>
          <w:szCs w:val="24"/>
        </w:rPr>
        <w:t>buzzwords that lose their power and purpose through the long march of policymaking</w:t>
      </w:r>
      <w:r w:rsidRPr="007738E4">
        <w:rPr>
          <w:rFonts w:cs="Times New Roman"/>
          <w:szCs w:val="24"/>
        </w:rPr>
        <w:t>?</w:t>
      </w:r>
      <w:r w:rsidR="00C50B56" w:rsidRPr="007738E4">
        <w:rPr>
          <w:rFonts w:cs="Times New Roman"/>
          <w:szCs w:val="24"/>
        </w:rPr>
        <w:t xml:space="preserve"> </w:t>
      </w:r>
      <w:r w:rsidRPr="007738E4">
        <w:rPr>
          <w:rFonts w:cs="Times New Roman"/>
          <w:szCs w:val="24"/>
        </w:rPr>
        <w:t xml:space="preserve">Participants </w:t>
      </w:r>
      <w:r w:rsidR="0011698E" w:rsidRPr="007738E4">
        <w:rPr>
          <w:rFonts w:cs="Times New Roman"/>
          <w:szCs w:val="24"/>
        </w:rPr>
        <w:t xml:space="preserve">certainly expressed familiarity with these dynamics. </w:t>
      </w:r>
      <w:r w:rsidR="00C50B56" w:rsidRPr="007738E4">
        <w:rPr>
          <w:rFonts w:cs="Times New Roman"/>
          <w:szCs w:val="24"/>
        </w:rPr>
        <w:t>D</w:t>
      </w:r>
      <w:r w:rsidR="0011698E" w:rsidRPr="007738E4">
        <w:rPr>
          <w:rFonts w:cs="Times New Roman"/>
          <w:szCs w:val="24"/>
        </w:rPr>
        <w:t>iscussion</w:t>
      </w:r>
      <w:r w:rsidR="00C50B56" w:rsidRPr="007738E4">
        <w:rPr>
          <w:rFonts w:cs="Times New Roman"/>
          <w:szCs w:val="24"/>
        </w:rPr>
        <w:t>s</w:t>
      </w:r>
      <w:r w:rsidR="0011698E" w:rsidRPr="007738E4">
        <w:rPr>
          <w:rFonts w:cs="Times New Roman"/>
          <w:szCs w:val="24"/>
        </w:rPr>
        <w:t xml:space="preserve"> revealed alternative strategies for dealing with the problem</w:t>
      </w:r>
      <w:r w:rsidR="00C50B56" w:rsidRPr="007738E4">
        <w:rPr>
          <w:rFonts w:cs="Times New Roman"/>
          <w:szCs w:val="24"/>
        </w:rPr>
        <w:t xml:space="preserve"> of defining prevention</w:t>
      </w:r>
      <w:r w:rsidR="0011698E" w:rsidRPr="007738E4">
        <w:rPr>
          <w:rFonts w:cs="Times New Roman"/>
          <w:szCs w:val="24"/>
        </w:rPr>
        <w:t xml:space="preserve">: some want to use existing attention around prevention to assert a stronger public health ethos (the moral case); </w:t>
      </w:r>
      <w:r w:rsidR="00C50B56" w:rsidRPr="007738E4">
        <w:rPr>
          <w:rFonts w:cs="Times New Roman"/>
          <w:szCs w:val="24"/>
        </w:rPr>
        <w:t>some</w:t>
      </w:r>
      <w:r w:rsidR="0011698E" w:rsidRPr="007738E4">
        <w:rPr>
          <w:rFonts w:cs="Times New Roman"/>
          <w:szCs w:val="24"/>
        </w:rPr>
        <w:t xml:space="preserve"> want to use attention to generate gains without causing conflict (the pragmatic case); others believe prevention has become problematically vague and favour a newer, bolder framing.  </w:t>
      </w:r>
    </w:p>
    <w:p w14:paraId="4CD9E0A5" w14:textId="1584A0C4" w:rsidR="000D0AE7" w:rsidRPr="007738E4" w:rsidRDefault="0095030E" w:rsidP="004F4FB1">
      <w:pPr>
        <w:pStyle w:val="Heading3"/>
        <w:rPr>
          <w:rFonts w:cs="Times New Roman"/>
          <w:i w:val="0"/>
        </w:rPr>
      </w:pPr>
      <w:r w:rsidRPr="007738E4">
        <w:rPr>
          <w:rFonts w:cs="Times New Roman"/>
        </w:rPr>
        <w:t>A moral case</w:t>
      </w:r>
      <w:r w:rsidR="0066356B" w:rsidRPr="007738E4">
        <w:rPr>
          <w:rFonts w:cs="Times New Roman"/>
        </w:rPr>
        <w:t xml:space="preserve"> or</w:t>
      </w:r>
      <w:r w:rsidR="000D0AE7" w:rsidRPr="007738E4">
        <w:rPr>
          <w:rFonts w:cs="Times New Roman"/>
        </w:rPr>
        <w:t xml:space="preserve"> </w:t>
      </w:r>
      <w:r w:rsidRPr="007738E4">
        <w:rPr>
          <w:rFonts w:cs="Times New Roman"/>
        </w:rPr>
        <w:t xml:space="preserve">a </w:t>
      </w:r>
      <w:r w:rsidR="000D0AE7" w:rsidRPr="007738E4">
        <w:rPr>
          <w:rFonts w:cs="Times New Roman"/>
        </w:rPr>
        <w:t>pragmatic case</w:t>
      </w:r>
      <w:r w:rsidRPr="007738E4">
        <w:rPr>
          <w:rFonts w:cs="Times New Roman"/>
        </w:rPr>
        <w:t>?</w:t>
      </w:r>
    </w:p>
    <w:p w14:paraId="5D8BF0C8" w14:textId="47635312" w:rsidR="000D0AE7" w:rsidRPr="007738E4" w:rsidRDefault="000D0AE7" w:rsidP="000D0AE7">
      <w:pPr>
        <w:spacing w:line="276" w:lineRule="auto"/>
        <w:rPr>
          <w:rFonts w:cs="Times New Roman"/>
          <w:b/>
          <w:bCs/>
          <w:szCs w:val="24"/>
        </w:rPr>
      </w:pPr>
      <w:r w:rsidRPr="007738E4">
        <w:rPr>
          <w:rFonts w:cs="Times New Roman"/>
          <w:szCs w:val="24"/>
        </w:rPr>
        <w:t xml:space="preserve">For some, prevention </w:t>
      </w:r>
      <w:r w:rsidR="004C06F9" w:rsidRPr="007738E4">
        <w:rPr>
          <w:rFonts w:cs="Times New Roman"/>
          <w:szCs w:val="24"/>
        </w:rPr>
        <w:t>should</w:t>
      </w:r>
      <w:r w:rsidR="0011698E" w:rsidRPr="007738E4">
        <w:rPr>
          <w:rFonts w:cs="Times New Roman"/>
          <w:szCs w:val="24"/>
        </w:rPr>
        <w:t xml:space="preserve"> be</w:t>
      </w:r>
      <w:r w:rsidRPr="007738E4">
        <w:rPr>
          <w:rFonts w:cs="Times New Roman"/>
          <w:szCs w:val="24"/>
        </w:rPr>
        <w:t xml:space="preserve"> a vehicle for winning hearts and minds</w:t>
      </w:r>
      <w:r w:rsidR="00DA151B">
        <w:rPr>
          <w:rFonts w:cs="Times New Roman"/>
          <w:szCs w:val="24"/>
        </w:rPr>
        <w:t xml:space="preserve">: </w:t>
      </w:r>
      <w:r w:rsidRPr="007738E4">
        <w:rPr>
          <w:rFonts w:cs="Times New Roman"/>
          <w:szCs w:val="24"/>
        </w:rPr>
        <w:t>the moral case for state intervention, to foster the public good</w:t>
      </w:r>
      <w:r w:rsidR="00DA151B">
        <w:rPr>
          <w:rFonts w:cs="Times New Roman"/>
          <w:szCs w:val="24"/>
        </w:rPr>
        <w:t>,</w:t>
      </w:r>
      <w:r w:rsidRPr="007738E4">
        <w:rPr>
          <w:rFonts w:cs="Times New Roman"/>
          <w:szCs w:val="24"/>
        </w:rPr>
        <w:t xml:space="preserve"> and challenge the idea that individuals should take sole responsibility for health. For example, social justice frames emphasise anger about the inequity higher levels of illness and mortality in deprived areas, racialised inequalities in opportunities for health, and routine exclusion in relation to disability. Advocates argue that the moral case </w:t>
      </w:r>
      <w:r w:rsidRPr="007738E4">
        <w:rPr>
          <w:rFonts w:cs="Times New Roman"/>
          <w:szCs w:val="24"/>
        </w:rPr>
        <w:lastRenderedPageBreak/>
        <w:t xml:space="preserve">should always be emphasised, </w:t>
      </w:r>
      <w:r w:rsidR="00DA151B">
        <w:rPr>
          <w:rFonts w:cs="Times New Roman"/>
          <w:szCs w:val="24"/>
        </w:rPr>
        <w:t>informing</w:t>
      </w:r>
      <w:r w:rsidRPr="007738E4">
        <w:rPr>
          <w:rFonts w:cs="Times New Roman"/>
          <w:szCs w:val="24"/>
        </w:rPr>
        <w:t xml:space="preserve"> conversations to foster humanity, to care, to use empathy to frame why health creation is vital. The prevention agenda helps to surface values, such as to ask why – in practice, if not in policy – we value the health of some communities and social groups while others feel like they are ‘left to rot’. This frame often informs a focus on the ‘social determinants of health’, which suggests that most influences on population health </w:t>
      </w:r>
      <w:r w:rsidR="007A1FDD" w:rsidRPr="007738E4">
        <w:rPr>
          <w:rFonts w:cs="Times New Roman"/>
          <w:szCs w:val="24"/>
        </w:rPr>
        <w:t xml:space="preserve">– including income and wealth, education, and access to safe and healthy homes and environments - </w:t>
      </w:r>
      <w:r w:rsidRPr="007738E4">
        <w:rPr>
          <w:rFonts w:cs="Times New Roman"/>
          <w:szCs w:val="24"/>
        </w:rPr>
        <w:t>are not to do with healthcare</w:t>
      </w:r>
      <w:r w:rsidR="007A1FDD" w:rsidRPr="007738E4">
        <w:rPr>
          <w:rFonts w:cs="Times New Roman"/>
          <w:szCs w:val="24"/>
        </w:rPr>
        <w:t xml:space="preserve"> (World Health Organisation, 2020a)</w:t>
      </w:r>
      <w:r w:rsidRPr="007738E4">
        <w:rPr>
          <w:rFonts w:cs="Times New Roman"/>
          <w:szCs w:val="24"/>
        </w:rPr>
        <w:t>. In addition, advocates of preventive mental health describe</w:t>
      </w:r>
      <w:r w:rsidR="00C50B56" w:rsidRPr="007738E4">
        <w:rPr>
          <w:rFonts w:cs="Times New Roman"/>
          <w:szCs w:val="24"/>
        </w:rPr>
        <w:t>d</w:t>
      </w:r>
      <w:r w:rsidRPr="007738E4">
        <w:rPr>
          <w:rFonts w:cs="Times New Roman"/>
          <w:szCs w:val="24"/>
        </w:rPr>
        <w:t xml:space="preserve"> the value of social or non-clinical approaches. </w:t>
      </w:r>
    </w:p>
    <w:p w14:paraId="5CA11680" w14:textId="50977C3F" w:rsidR="000D0AE7" w:rsidRPr="007738E4" w:rsidRDefault="000D0AE7" w:rsidP="000D0AE7">
      <w:pPr>
        <w:spacing w:line="276" w:lineRule="auto"/>
        <w:rPr>
          <w:rFonts w:cs="Times New Roman"/>
          <w:szCs w:val="24"/>
        </w:rPr>
      </w:pPr>
      <w:r w:rsidRPr="007738E4">
        <w:rPr>
          <w:rFonts w:cs="Times New Roman"/>
          <w:szCs w:val="24"/>
        </w:rPr>
        <w:t xml:space="preserve">For others, prevention </w:t>
      </w:r>
      <w:r w:rsidR="0011698E" w:rsidRPr="007738E4">
        <w:rPr>
          <w:rFonts w:cs="Times New Roman"/>
          <w:szCs w:val="24"/>
        </w:rPr>
        <w:t>appeals more as</w:t>
      </w:r>
      <w:r w:rsidRPr="007738E4">
        <w:rPr>
          <w:rFonts w:cs="Times New Roman"/>
          <w:szCs w:val="24"/>
        </w:rPr>
        <w:t xml:space="preserve"> a vehicle for pragmatic and health service-focused changes. Otherwise, </w:t>
      </w:r>
      <w:r w:rsidR="00901C18">
        <w:rPr>
          <w:rFonts w:cs="Times New Roman"/>
          <w:szCs w:val="24"/>
        </w:rPr>
        <w:t xml:space="preserve">it </w:t>
      </w:r>
      <w:r w:rsidRPr="007738E4">
        <w:rPr>
          <w:rFonts w:cs="Times New Roman"/>
          <w:szCs w:val="24"/>
        </w:rPr>
        <w:t xml:space="preserve">can be seen as too </w:t>
      </w:r>
      <w:r w:rsidR="00901C18">
        <w:rPr>
          <w:rFonts w:cs="Times New Roman"/>
          <w:szCs w:val="24"/>
        </w:rPr>
        <w:t>overwhelming</w:t>
      </w:r>
      <w:r w:rsidRPr="007738E4">
        <w:rPr>
          <w:rFonts w:cs="Times New Roman"/>
          <w:szCs w:val="24"/>
        </w:rPr>
        <w:t xml:space="preserve">. A focus on achievable aims – in relation to specific groups or priorities - can make the difference between action and inaction. From a ‘top-down perspective’, the first aim is to persuade national policymakers </w:t>
      </w:r>
      <w:r w:rsidR="007A1FDD" w:rsidRPr="007738E4">
        <w:rPr>
          <w:rFonts w:cs="Times New Roman"/>
          <w:szCs w:val="24"/>
        </w:rPr>
        <w:t xml:space="preserve">and central government departments </w:t>
      </w:r>
      <w:r w:rsidRPr="007738E4">
        <w:rPr>
          <w:rFonts w:cs="Times New Roman"/>
          <w:szCs w:val="24"/>
        </w:rPr>
        <w:t xml:space="preserve">(including </w:t>
      </w:r>
      <w:r w:rsidR="00C50B56" w:rsidRPr="007738E4">
        <w:rPr>
          <w:rFonts w:cs="Times New Roman"/>
          <w:szCs w:val="24"/>
        </w:rPr>
        <w:t>H</w:t>
      </w:r>
      <w:r w:rsidR="005D06AB" w:rsidRPr="007738E4">
        <w:rPr>
          <w:rFonts w:cs="Times New Roman"/>
          <w:szCs w:val="24"/>
        </w:rPr>
        <w:t xml:space="preserve">is </w:t>
      </w:r>
      <w:r w:rsidR="00C50B56" w:rsidRPr="007738E4">
        <w:rPr>
          <w:rFonts w:cs="Times New Roman"/>
          <w:szCs w:val="24"/>
        </w:rPr>
        <w:t>M</w:t>
      </w:r>
      <w:r w:rsidR="005D06AB" w:rsidRPr="007738E4">
        <w:rPr>
          <w:rFonts w:cs="Times New Roman"/>
          <w:szCs w:val="24"/>
        </w:rPr>
        <w:t>ajesty’s</w:t>
      </w:r>
      <w:r w:rsidRPr="007738E4">
        <w:rPr>
          <w:rFonts w:cs="Times New Roman"/>
          <w:szCs w:val="24"/>
        </w:rPr>
        <w:t xml:space="preserve"> Treasury) that a preventive initiative works better than the alternative. To that end, focus on prevention to reduce the burden of disease in the population, produc</w:t>
      </w:r>
      <w:r w:rsidR="007A1FDD" w:rsidRPr="007738E4">
        <w:rPr>
          <w:rFonts w:cs="Times New Roman"/>
          <w:szCs w:val="24"/>
        </w:rPr>
        <w:t xml:space="preserve">ing </w:t>
      </w:r>
      <w:r w:rsidRPr="007738E4">
        <w:rPr>
          <w:rFonts w:cs="Times New Roman"/>
          <w:szCs w:val="24"/>
        </w:rPr>
        <w:t xml:space="preserve">results that are societally beneficial and free up healthcare resources by preventing readmissions to emergency care. For example, lung disease prevention combines (a) national policy instruments like taxation and regulation of tobacco and smoking, (b) smoking cessation services, and (c) targeted lung health checks, and all add up to transformed </w:t>
      </w:r>
      <w:r w:rsidR="00901C18">
        <w:rPr>
          <w:rFonts w:cs="Times New Roman"/>
          <w:szCs w:val="24"/>
        </w:rPr>
        <w:t xml:space="preserve">population </w:t>
      </w:r>
      <w:r w:rsidRPr="007738E4">
        <w:rPr>
          <w:rFonts w:cs="Times New Roman"/>
          <w:szCs w:val="24"/>
        </w:rPr>
        <w:t>outcomes.</w:t>
      </w:r>
    </w:p>
    <w:p w14:paraId="2AE91148" w14:textId="39D9C5BB" w:rsidR="000D0AE7" w:rsidRPr="007738E4" w:rsidRDefault="007A1FDD" w:rsidP="000D0AE7">
      <w:pPr>
        <w:spacing w:line="276" w:lineRule="auto"/>
        <w:rPr>
          <w:rFonts w:cs="Times New Roman"/>
          <w:szCs w:val="24"/>
        </w:rPr>
      </w:pPr>
      <w:r w:rsidRPr="007738E4">
        <w:rPr>
          <w:rFonts w:cs="Times New Roman"/>
          <w:szCs w:val="24"/>
        </w:rPr>
        <w:t>These moral and pragmatic cases could reflect contrasting value judgements</w:t>
      </w:r>
      <w:r w:rsidR="000D0AE7" w:rsidRPr="007738E4">
        <w:rPr>
          <w:rFonts w:cs="Times New Roman"/>
          <w:szCs w:val="24"/>
        </w:rPr>
        <w:t xml:space="preserve"> </w:t>
      </w:r>
      <w:r w:rsidRPr="007738E4">
        <w:rPr>
          <w:rFonts w:cs="Times New Roman"/>
          <w:szCs w:val="24"/>
        </w:rPr>
        <w:t xml:space="preserve">about the balance between state and individual responsibility. </w:t>
      </w:r>
      <w:r w:rsidR="004F4FB1" w:rsidRPr="007738E4">
        <w:rPr>
          <w:rFonts w:cs="Times New Roman"/>
          <w:szCs w:val="24"/>
        </w:rPr>
        <w:t>Yet</w:t>
      </w:r>
      <w:r w:rsidRPr="007738E4">
        <w:rPr>
          <w:rFonts w:cs="Times New Roman"/>
          <w:szCs w:val="24"/>
        </w:rPr>
        <w:t xml:space="preserve">, </w:t>
      </w:r>
      <w:r w:rsidR="00104B5E" w:rsidRPr="007738E4">
        <w:rPr>
          <w:rFonts w:cs="Times New Roman"/>
          <w:szCs w:val="24"/>
        </w:rPr>
        <w:t>some</w:t>
      </w:r>
      <w:r w:rsidRPr="007738E4">
        <w:rPr>
          <w:rFonts w:cs="Times New Roman"/>
          <w:szCs w:val="24"/>
        </w:rPr>
        <w:t xml:space="preserve"> respondents see </w:t>
      </w:r>
      <w:r w:rsidR="000D0AE7" w:rsidRPr="007738E4">
        <w:rPr>
          <w:rFonts w:cs="Times New Roman"/>
          <w:szCs w:val="24"/>
        </w:rPr>
        <w:t>potential to combine frames to appeal to different audiences or maximise motivation. For example, some use the moral case to win hearts and the practical case to win minds</w:t>
      </w:r>
      <w:r w:rsidRPr="007738E4">
        <w:rPr>
          <w:rFonts w:cs="Times New Roman"/>
          <w:szCs w:val="24"/>
        </w:rPr>
        <w:t>: t</w:t>
      </w:r>
      <w:r w:rsidR="000D0AE7" w:rsidRPr="007738E4">
        <w:rPr>
          <w:rFonts w:cs="Times New Roman"/>
          <w:szCs w:val="24"/>
        </w:rPr>
        <w:t xml:space="preserve">reat prevention as intrinsically important </w:t>
      </w:r>
      <w:r w:rsidR="000D0AE7" w:rsidRPr="007738E4">
        <w:rPr>
          <w:rFonts w:cs="Times New Roman"/>
          <w:i/>
          <w:iCs/>
          <w:szCs w:val="24"/>
        </w:rPr>
        <w:t>and</w:t>
      </w:r>
      <w:r w:rsidR="000D0AE7" w:rsidRPr="007738E4">
        <w:rPr>
          <w:rFonts w:cs="Times New Roman"/>
          <w:szCs w:val="24"/>
        </w:rPr>
        <w:t xml:space="preserve"> a contributor to healthcare economics</w:t>
      </w:r>
      <w:r w:rsidRPr="007738E4">
        <w:rPr>
          <w:rFonts w:cs="Times New Roman"/>
          <w:szCs w:val="24"/>
        </w:rPr>
        <w:t>; d</w:t>
      </w:r>
      <w:r w:rsidR="000D0AE7" w:rsidRPr="007738E4">
        <w:rPr>
          <w:rFonts w:cs="Times New Roman"/>
          <w:szCs w:val="24"/>
        </w:rPr>
        <w:t xml:space="preserve">emonstrate the social value of initiatives </w:t>
      </w:r>
      <w:r w:rsidR="000D0AE7" w:rsidRPr="007738E4">
        <w:rPr>
          <w:rFonts w:cs="Times New Roman"/>
          <w:i/>
          <w:iCs/>
          <w:szCs w:val="24"/>
        </w:rPr>
        <w:t>and</w:t>
      </w:r>
      <w:r w:rsidR="000D0AE7" w:rsidRPr="007738E4">
        <w:rPr>
          <w:rFonts w:cs="Times New Roman"/>
          <w:szCs w:val="24"/>
        </w:rPr>
        <w:t xml:space="preserve"> demonstrate the return to investment (ROI). </w:t>
      </w:r>
      <w:r w:rsidR="00104B5E" w:rsidRPr="007738E4">
        <w:rPr>
          <w:rFonts w:cs="Times New Roman"/>
          <w:szCs w:val="24"/>
        </w:rPr>
        <w:t>Some</w:t>
      </w:r>
      <w:r w:rsidR="000D0AE7" w:rsidRPr="007738E4">
        <w:rPr>
          <w:rFonts w:cs="Times New Roman"/>
          <w:szCs w:val="24"/>
        </w:rPr>
        <w:t xml:space="preserve"> </w:t>
      </w:r>
      <w:r w:rsidR="00104B5E" w:rsidRPr="007738E4">
        <w:rPr>
          <w:rFonts w:cs="Times New Roman"/>
          <w:szCs w:val="24"/>
        </w:rPr>
        <w:t>seek to persuade policymakers to prioritise the moral case: r</w:t>
      </w:r>
      <w:r w:rsidR="000D0AE7" w:rsidRPr="007738E4">
        <w:rPr>
          <w:rFonts w:cs="Times New Roman"/>
          <w:szCs w:val="24"/>
        </w:rPr>
        <w:t xml:space="preserve">emind people that reducing NHS demand is a </w:t>
      </w:r>
      <w:r w:rsidR="000D0AE7" w:rsidRPr="007738E4">
        <w:rPr>
          <w:rFonts w:cs="Times New Roman"/>
          <w:i/>
          <w:iCs/>
          <w:szCs w:val="24"/>
        </w:rPr>
        <w:t>proxy</w:t>
      </w:r>
      <w:r w:rsidR="000D0AE7" w:rsidRPr="007738E4">
        <w:rPr>
          <w:rFonts w:cs="Times New Roman"/>
          <w:szCs w:val="24"/>
        </w:rPr>
        <w:t xml:space="preserve"> for aims such as population wellbeing, not an </w:t>
      </w:r>
      <w:r w:rsidR="000D0AE7" w:rsidRPr="007738E4">
        <w:rPr>
          <w:rFonts w:cs="Times New Roman"/>
          <w:i/>
          <w:iCs/>
          <w:szCs w:val="24"/>
        </w:rPr>
        <w:t>end</w:t>
      </w:r>
      <w:r w:rsidR="00104B5E" w:rsidRPr="007738E4">
        <w:rPr>
          <w:rFonts w:cs="Times New Roman"/>
          <w:szCs w:val="24"/>
        </w:rPr>
        <w:t>; c</w:t>
      </w:r>
      <w:r w:rsidR="000D0AE7" w:rsidRPr="007738E4">
        <w:rPr>
          <w:rFonts w:cs="Times New Roman"/>
          <w:szCs w:val="24"/>
        </w:rPr>
        <w:t xml:space="preserve">hallenge the tendency to prioritise ‘choking off demand’ for the </w:t>
      </w:r>
      <w:proofErr w:type="gramStart"/>
      <w:r w:rsidR="000D0AE7" w:rsidRPr="007738E4">
        <w:rPr>
          <w:rFonts w:cs="Times New Roman"/>
          <w:szCs w:val="24"/>
        </w:rPr>
        <w:t>NHS, and</w:t>
      </w:r>
      <w:proofErr w:type="gramEnd"/>
      <w:r w:rsidR="000D0AE7" w:rsidRPr="007738E4">
        <w:rPr>
          <w:rFonts w:cs="Times New Roman"/>
          <w:szCs w:val="24"/>
        </w:rPr>
        <w:t xml:space="preserve"> ask broader questions about what interventions are for and what good outcomes from intervention entail. </w:t>
      </w:r>
      <w:r w:rsidR="00104B5E" w:rsidRPr="007738E4">
        <w:rPr>
          <w:rFonts w:cs="Times New Roman"/>
          <w:szCs w:val="24"/>
        </w:rPr>
        <w:t>The argument is that a</w:t>
      </w:r>
      <w:r w:rsidR="000D0AE7" w:rsidRPr="007738E4">
        <w:rPr>
          <w:rFonts w:cs="Times New Roman"/>
          <w:szCs w:val="24"/>
        </w:rPr>
        <w:t xml:space="preserve"> focus on cost-saving may be part of a </w:t>
      </w:r>
      <w:r w:rsidR="00104B5E" w:rsidRPr="007738E4">
        <w:rPr>
          <w:rFonts w:cs="Times New Roman"/>
          <w:szCs w:val="24"/>
        </w:rPr>
        <w:t xml:space="preserve">necessary </w:t>
      </w:r>
      <w:r w:rsidR="000D0AE7" w:rsidRPr="007738E4">
        <w:rPr>
          <w:rFonts w:cs="Times New Roman"/>
          <w:szCs w:val="24"/>
        </w:rPr>
        <w:t xml:space="preserve">political game, </w:t>
      </w:r>
      <w:r w:rsidR="00104B5E" w:rsidRPr="007738E4">
        <w:rPr>
          <w:rFonts w:cs="Times New Roman"/>
          <w:szCs w:val="24"/>
        </w:rPr>
        <w:t xml:space="preserve">but </w:t>
      </w:r>
      <w:r w:rsidR="000D0AE7" w:rsidRPr="007738E4">
        <w:rPr>
          <w:rFonts w:cs="Times New Roman"/>
          <w:szCs w:val="24"/>
        </w:rPr>
        <w:t xml:space="preserve">we also need </w:t>
      </w:r>
      <w:r w:rsidR="00104B5E" w:rsidRPr="007738E4">
        <w:rPr>
          <w:rFonts w:cs="Times New Roman"/>
          <w:szCs w:val="24"/>
        </w:rPr>
        <w:t xml:space="preserve">to challenge that </w:t>
      </w:r>
      <w:r w:rsidR="000D0AE7" w:rsidRPr="007738E4">
        <w:rPr>
          <w:rFonts w:cs="Times New Roman"/>
          <w:szCs w:val="24"/>
        </w:rPr>
        <w:t xml:space="preserve">thinking, </w:t>
      </w:r>
      <w:r w:rsidR="00104B5E" w:rsidRPr="007738E4">
        <w:rPr>
          <w:rFonts w:cs="Times New Roman"/>
          <w:szCs w:val="24"/>
        </w:rPr>
        <w:t xml:space="preserve">such as </w:t>
      </w:r>
      <w:r w:rsidR="000D0AE7" w:rsidRPr="007738E4">
        <w:rPr>
          <w:rFonts w:cs="Times New Roman"/>
          <w:szCs w:val="24"/>
        </w:rPr>
        <w:t>to maintain morale</w:t>
      </w:r>
      <w:r w:rsidR="00104B5E" w:rsidRPr="007738E4">
        <w:rPr>
          <w:rFonts w:cs="Times New Roman"/>
          <w:szCs w:val="24"/>
        </w:rPr>
        <w:t xml:space="preserve"> </w:t>
      </w:r>
      <w:r w:rsidR="000D0AE7" w:rsidRPr="007738E4">
        <w:rPr>
          <w:rFonts w:cs="Times New Roman"/>
          <w:szCs w:val="24"/>
        </w:rPr>
        <w:t>if some are alienated by the translation of ill health into a £ cost</w:t>
      </w:r>
      <w:r w:rsidR="00104B5E" w:rsidRPr="007738E4">
        <w:rPr>
          <w:rFonts w:cs="Times New Roman"/>
          <w:szCs w:val="24"/>
        </w:rPr>
        <w:t xml:space="preserve"> or </w:t>
      </w:r>
      <w:r w:rsidR="004F4FB1" w:rsidRPr="007738E4">
        <w:rPr>
          <w:rFonts w:cs="Times New Roman"/>
          <w:szCs w:val="24"/>
        </w:rPr>
        <w:t xml:space="preserve">a </w:t>
      </w:r>
      <w:r w:rsidR="00104B5E" w:rsidRPr="007738E4">
        <w:rPr>
          <w:rFonts w:cs="Times New Roman"/>
          <w:szCs w:val="24"/>
        </w:rPr>
        <w:t>devaluation of state intervention</w:t>
      </w:r>
      <w:r w:rsidR="000D0AE7" w:rsidRPr="007738E4">
        <w:rPr>
          <w:rFonts w:cs="Times New Roman"/>
          <w:szCs w:val="24"/>
        </w:rPr>
        <w:t xml:space="preserve">. </w:t>
      </w:r>
    </w:p>
    <w:p w14:paraId="503A5099" w14:textId="6D906E52" w:rsidR="000D0AE7" w:rsidRPr="007738E4" w:rsidRDefault="000D0AE7" w:rsidP="000D0AE7">
      <w:pPr>
        <w:spacing w:line="276" w:lineRule="auto"/>
        <w:rPr>
          <w:rFonts w:cs="Times New Roman"/>
          <w:szCs w:val="24"/>
        </w:rPr>
      </w:pPr>
      <w:r w:rsidRPr="007738E4">
        <w:rPr>
          <w:rFonts w:cs="Times New Roman"/>
          <w:szCs w:val="24"/>
        </w:rPr>
        <w:t>This emphasis on moral and pragmatic cases</w:t>
      </w:r>
      <w:r w:rsidR="003A1A20" w:rsidRPr="007738E4">
        <w:rPr>
          <w:rFonts w:cs="Times New Roman"/>
          <w:szCs w:val="24"/>
        </w:rPr>
        <w:t xml:space="preserve"> </w:t>
      </w:r>
      <w:r w:rsidRPr="007738E4">
        <w:rPr>
          <w:rFonts w:cs="Times New Roman"/>
          <w:szCs w:val="24"/>
        </w:rPr>
        <w:t>informs discussions of the balance of priorities between three broad categories of prevention: the primary focus on whole population measures to intervene as early and broadly as possible, the secondary focus on identifying groups at-risk of health harm and prioritising resources on specific kinds of prevention, and the tertiary focus on more reactive service changes to prevent existing conditions getting worse. While the moral case may begin with a whole population approach and prioritise addressing inequalities, many see value in secondary and tertiary prevention. Early detection helps to make targeted use of scarce resources, long-term condition management helps people to live with conditions (e.g. diabetes, cardiovascular disease) and prevent worse health, while reactive services - such as mental health crisis support – have a</w:t>
      </w:r>
      <w:r w:rsidR="00901C18">
        <w:rPr>
          <w:rFonts w:cs="Times New Roman"/>
          <w:szCs w:val="24"/>
        </w:rPr>
        <w:t xml:space="preserve">n </w:t>
      </w:r>
      <w:r w:rsidRPr="007738E4">
        <w:rPr>
          <w:rFonts w:cs="Times New Roman"/>
          <w:szCs w:val="24"/>
        </w:rPr>
        <w:t xml:space="preserve">immediate impact on wellbeing. </w:t>
      </w:r>
    </w:p>
    <w:p w14:paraId="6832DFE3" w14:textId="77777777" w:rsidR="000D0AE7" w:rsidRPr="007738E4" w:rsidRDefault="000D0AE7" w:rsidP="004F4FB1">
      <w:pPr>
        <w:pStyle w:val="Heading3"/>
        <w:rPr>
          <w:rFonts w:cs="Times New Roman"/>
        </w:rPr>
      </w:pPr>
      <w:r w:rsidRPr="007738E4">
        <w:rPr>
          <w:rFonts w:cs="Times New Roman"/>
        </w:rPr>
        <w:lastRenderedPageBreak/>
        <w:t>‘I hate that word prevention’</w:t>
      </w:r>
    </w:p>
    <w:p w14:paraId="02C3ED4C" w14:textId="26E3D3FB" w:rsidR="000D0AE7" w:rsidRPr="007738E4" w:rsidRDefault="004F4FB1" w:rsidP="000D0AE7">
      <w:pPr>
        <w:spacing w:line="276" w:lineRule="auto"/>
        <w:rPr>
          <w:rFonts w:cs="Times New Roman"/>
          <w:szCs w:val="24"/>
        </w:rPr>
      </w:pPr>
      <w:r w:rsidRPr="007738E4">
        <w:rPr>
          <w:rFonts w:cs="Times New Roman"/>
          <w:szCs w:val="24"/>
        </w:rPr>
        <w:t>W</w:t>
      </w:r>
      <w:r w:rsidR="000D0AE7" w:rsidRPr="007738E4">
        <w:rPr>
          <w:rFonts w:cs="Times New Roman"/>
          <w:szCs w:val="24"/>
        </w:rPr>
        <w:t xml:space="preserve">e were struck not only by the diversity of responses on what prevention means in practice, but also </w:t>
      </w:r>
      <w:r w:rsidR="000D0AE7" w:rsidRPr="00DE6430">
        <w:rPr>
          <w:rFonts w:cs="Times New Roman"/>
          <w:szCs w:val="24"/>
        </w:rPr>
        <w:t>some opposition to the term ‘prevention’</w:t>
      </w:r>
      <w:r w:rsidR="000D0AE7" w:rsidRPr="00901C18">
        <w:rPr>
          <w:rFonts w:cs="Times New Roman"/>
          <w:szCs w:val="24"/>
        </w:rPr>
        <w:t>.</w:t>
      </w:r>
      <w:r w:rsidR="000D0AE7" w:rsidRPr="007738E4">
        <w:rPr>
          <w:rFonts w:cs="Times New Roman"/>
          <w:szCs w:val="24"/>
        </w:rPr>
        <w:t xml:space="preserve"> Some thought that its vagueness undermined its value because it has proven impossible to come to a common understanding. Some find other phrases more useful. We heard passionate discussion of what phrases to use to explain (a) the policy problem and (b) the mindset or systemic changes required to solve it. Different terms - social determinants, wider determinants, living conditions - motivate different audiences, and some metaphors gain more traction during meetings to establish the value of prevention.</w:t>
      </w:r>
      <w:r w:rsidR="00901C18">
        <w:rPr>
          <w:rFonts w:cs="Times New Roman"/>
          <w:szCs w:val="24"/>
        </w:rPr>
        <w:t xml:space="preserve"> E</w:t>
      </w:r>
      <w:r w:rsidR="000D0AE7" w:rsidRPr="007738E4">
        <w:rPr>
          <w:rFonts w:cs="Times New Roman"/>
          <w:szCs w:val="24"/>
        </w:rPr>
        <w:t>xamples include:</w:t>
      </w:r>
    </w:p>
    <w:p w14:paraId="20F567D2" w14:textId="21364F0E" w:rsidR="003A1A20" w:rsidRPr="007738E4" w:rsidRDefault="003A1A20" w:rsidP="000D0AE7">
      <w:pPr>
        <w:pStyle w:val="ListParagraph"/>
        <w:numPr>
          <w:ilvl w:val="0"/>
          <w:numId w:val="9"/>
        </w:numPr>
        <w:spacing w:line="276" w:lineRule="auto"/>
        <w:rPr>
          <w:rFonts w:cs="Times New Roman"/>
          <w:iCs/>
          <w:szCs w:val="24"/>
        </w:rPr>
      </w:pPr>
      <w:r w:rsidRPr="007738E4">
        <w:rPr>
          <w:rFonts w:cs="Times New Roman"/>
          <w:iCs/>
          <w:szCs w:val="24"/>
        </w:rPr>
        <w:t>T</w:t>
      </w:r>
      <w:r w:rsidR="000D0AE7" w:rsidRPr="007738E4">
        <w:rPr>
          <w:rFonts w:cs="Times New Roman"/>
          <w:iCs/>
          <w:szCs w:val="24"/>
        </w:rPr>
        <w:t>he ‘wider determinants of health’</w:t>
      </w:r>
      <w:r w:rsidRPr="007738E4">
        <w:rPr>
          <w:rFonts w:cs="Times New Roman"/>
          <w:iCs/>
          <w:szCs w:val="24"/>
        </w:rPr>
        <w:t xml:space="preserve"> describes the </w:t>
      </w:r>
      <w:r w:rsidR="000D0AE7" w:rsidRPr="007738E4">
        <w:rPr>
          <w:rFonts w:cs="Times New Roman"/>
          <w:szCs w:val="24"/>
        </w:rPr>
        <w:t xml:space="preserve">need </w:t>
      </w:r>
      <w:r w:rsidRPr="007738E4">
        <w:rPr>
          <w:rFonts w:cs="Times New Roman"/>
          <w:szCs w:val="24"/>
        </w:rPr>
        <w:t xml:space="preserve">for </w:t>
      </w:r>
      <w:r w:rsidR="000D0AE7" w:rsidRPr="007738E4">
        <w:rPr>
          <w:rFonts w:cs="Times New Roman"/>
          <w:szCs w:val="24"/>
        </w:rPr>
        <w:t>a mindset shift from the medical model to</w:t>
      </w:r>
      <w:r w:rsidR="00901C18">
        <w:rPr>
          <w:rFonts w:cs="Times New Roman"/>
          <w:szCs w:val="24"/>
        </w:rPr>
        <w:t xml:space="preserve"> </w:t>
      </w:r>
      <w:r w:rsidR="000D0AE7" w:rsidRPr="007738E4">
        <w:rPr>
          <w:rFonts w:cs="Times New Roman"/>
          <w:szCs w:val="24"/>
        </w:rPr>
        <w:t>s</w:t>
      </w:r>
      <w:r w:rsidR="00901C18">
        <w:rPr>
          <w:rFonts w:cs="Times New Roman"/>
          <w:szCs w:val="24"/>
        </w:rPr>
        <w:t>ocial</w:t>
      </w:r>
      <w:r w:rsidR="000D0AE7" w:rsidRPr="007738E4">
        <w:rPr>
          <w:rFonts w:cs="Times New Roman"/>
          <w:szCs w:val="24"/>
        </w:rPr>
        <w:t xml:space="preserve"> and living conditions. </w:t>
      </w:r>
      <w:r w:rsidRPr="007738E4">
        <w:rPr>
          <w:rFonts w:cs="Times New Roman"/>
          <w:szCs w:val="24"/>
        </w:rPr>
        <w:t>Many</w:t>
      </w:r>
      <w:r w:rsidR="000D0AE7" w:rsidRPr="007738E4">
        <w:rPr>
          <w:rFonts w:cs="Times New Roman"/>
          <w:szCs w:val="24"/>
        </w:rPr>
        <w:t xml:space="preserve"> described an 80/20 split to explain: 80% of health determinants are outside of healthcare services, and 20% comes from healthcare. </w:t>
      </w:r>
    </w:p>
    <w:p w14:paraId="793B5797" w14:textId="489321B6" w:rsidR="003A1A20" w:rsidRPr="007738E4" w:rsidRDefault="000D0AE7" w:rsidP="000D0AE7">
      <w:pPr>
        <w:pStyle w:val="ListParagraph"/>
        <w:numPr>
          <w:ilvl w:val="0"/>
          <w:numId w:val="9"/>
        </w:numPr>
        <w:spacing w:line="276" w:lineRule="auto"/>
        <w:rPr>
          <w:rFonts w:cs="Times New Roman"/>
          <w:iCs/>
          <w:szCs w:val="24"/>
        </w:rPr>
      </w:pPr>
      <w:r w:rsidRPr="007738E4">
        <w:rPr>
          <w:rFonts w:cs="Times New Roman"/>
          <w:szCs w:val="24"/>
        </w:rPr>
        <w:t xml:space="preserve">‘Shift to the left’ </w:t>
      </w:r>
      <w:r w:rsidR="003A1A20" w:rsidRPr="007738E4">
        <w:rPr>
          <w:rFonts w:cs="Times New Roman"/>
          <w:szCs w:val="24"/>
        </w:rPr>
        <w:t>describes</w:t>
      </w:r>
      <w:r w:rsidRPr="007738E4">
        <w:rPr>
          <w:rFonts w:cs="Times New Roman"/>
          <w:szCs w:val="24"/>
        </w:rPr>
        <w:t xml:space="preserve"> </w:t>
      </w:r>
      <w:r w:rsidR="004F4FB1" w:rsidRPr="007738E4">
        <w:rPr>
          <w:rFonts w:cs="Times New Roman"/>
          <w:szCs w:val="24"/>
        </w:rPr>
        <w:t xml:space="preserve">the left-part of a </w:t>
      </w:r>
      <w:r w:rsidRPr="007738E4">
        <w:rPr>
          <w:rFonts w:cs="Times New Roman"/>
          <w:szCs w:val="24"/>
        </w:rPr>
        <w:t>graph of activity over time</w:t>
      </w:r>
      <w:r w:rsidR="004C06F9" w:rsidRPr="007738E4">
        <w:rPr>
          <w:rFonts w:cs="Times New Roman"/>
          <w:szCs w:val="24"/>
        </w:rPr>
        <w:t xml:space="preserve"> (not ‘left-wing’ beliefs)</w:t>
      </w:r>
      <w:r w:rsidR="003A1A20" w:rsidRPr="007738E4">
        <w:rPr>
          <w:rFonts w:cs="Times New Roman"/>
          <w:szCs w:val="24"/>
        </w:rPr>
        <w:t xml:space="preserve">, </w:t>
      </w:r>
      <w:r w:rsidR="004741B8" w:rsidRPr="007738E4">
        <w:rPr>
          <w:rFonts w:cs="Times New Roman"/>
          <w:szCs w:val="24"/>
        </w:rPr>
        <w:t>signalling</w:t>
      </w:r>
      <w:r w:rsidRPr="007738E4">
        <w:rPr>
          <w:rFonts w:cs="Times New Roman"/>
          <w:szCs w:val="24"/>
        </w:rPr>
        <w:t xml:space="preserve"> the need to do things earlier in health pathways rather than waiting to treat people when sick</w:t>
      </w:r>
      <w:r w:rsidR="004F4FB1" w:rsidRPr="007738E4">
        <w:rPr>
          <w:rFonts w:cs="Times New Roman"/>
          <w:szCs w:val="24"/>
        </w:rPr>
        <w:t xml:space="preserve"> (</w:t>
      </w:r>
      <w:r w:rsidR="00EE596B" w:rsidRPr="007738E4">
        <w:rPr>
          <w:rFonts w:cs="Times New Roman"/>
          <w:szCs w:val="24"/>
        </w:rPr>
        <w:t>e</w:t>
      </w:r>
      <w:r w:rsidR="004C06F9" w:rsidRPr="007738E4">
        <w:rPr>
          <w:rFonts w:cs="Times New Roman"/>
          <w:szCs w:val="24"/>
        </w:rPr>
        <w:t xml:space="preserve">.g. </w:t>
      </w:r>
      <w:proofErr w:type="spellStart"/>
      <w:r w:rsidR="004C06F9" w:rsidRPr="007738E4">
        <w:rPr>
          <w:rFonts w:cs="Times New Roman"/>
          <w:szCs w:val="24"/>
        </w:rPr>
        <w:t>Graphnet</w:t>
      </w:r>
      <w:proofErr w:type="spellEnd"/>
      <w:r w:rsidR="00EE596B" w:rsidRPr="007738E4">
        <w:rPr>
          <w:rFonts w:cs="Times New Roman"/>
          <w:szCs w:val="24"/>
        </w:rPr>
        <w:t xml:space="preserve"> Health</w:t>
      </w:r>
      <w:r w:rsidR="004C06F9" w:rsidRPr="007738E4">
        <w:rPr>
          <w:rFonts w:cs="Times New Roman"/>
          <w:szCs w:val="24"/>
        </w:rPr>
        <w:t>, 2024</w:t>
      </w:r>
      <w:r w:rsidR="004F4FB1" w:rsidRPr="007738E4">
        <w:rPr>
          <w:rFonts w:cs="Times New Roman"/>
          <w:szCs w:val="24"/>
        </w:rPr>
        <w:t>)</w:t>
      </w:r>
      <w:r w:rsidRPr="007738E4">
        <w:rPr>
          <w:rFonts w:cs="Times New Roman"/>
          <w:szCs w:val="24"/>
        </w:rPr>
        <w:t>.</w:t>
      </w:r>
    </w:p>
    <w:p w14:paraId="7A9EB4B6" w14:textId="4056D6C0" w:rsidR="000D0AE7" w:rsidRPr="007738E4" w:rsidRDefault="000D0AE7" w:rsidP="000D0AE7">
      <w:pPr>
        <w:pStyle w:val="ListParagraph"/>
        <w:numPr>
          <w:ilvl w:val="0"/>
          <w:numId w:val="9"/>
        </w:numPr>
        <w:spacing w:line="276" w:lineRule="auto"/>
        <w:rPr>
          <w:rFonts w:cs="Times New Roman"/>
          <w:iCs/>
          <w:szCs w:val="24"/>
        </w:rPr>
      </w:pPr>
      <w:r w:rsidRPr="007738E4">
        <w:rPr>
          <w:rFonts w:cs="Times New Roman"/>
          <w:iCs/>
          <w:szCs w:val="24"/>
        </w:rPr>
        <w:t xml:space="preserve"> ‘</w:t>
      </w:r>
      <w:r w:rsidR="003A1A20" w:rsidRPr="007738E4">
        <w:rPr>
          <w:rFonts w:cs="Times New Roman"/>
          <w:iCs/>
          <w:szCs w:val="24"/>
        </w:rPr>
        <w:t>H</w:t>
      </w:r>
      <w:r w:rsidRPr="007738E4">
        <w:rPr>
          <w:rFonts w:cs="Times New Roman"/>
          <w:iCs/>
          <w:szCs w:val="24"/>
        </w:rPr>
        <w:t xml:space="preserve">ealth creation’ </w:t>
      </w:r>
      <w:r w:rsidR="003A1A20" w:rsidRPr="007738E4">
        <w:rPr>
          <w:rFonts w:cs="Times New Roman"/>
          <w:iCs/>
          <w:szCs w:val="24"/>
        </w:rPr>
        <w:t xml:space="preserve">is a community-centred </w:t>
      </w:r>
      <w:r w:rsidR="004F4FB1" w:rsidRPr="007738E4">
        <w:rPr>
          <w:rFonts w:cs="Times New Roman"/>
          <w:iCs/>
          <w:szCs w:val="24"/>
        </w:rPr>
        <w:t>and</w:t>
      </w:r>
      <w:r w:rsidR="003A1A20" w:rsidRPr="007738E4">
        <w:rPr>
          <w:rFonts w:cs="Times New Roman"/>
          <w:iCs/>
          <w:szCs w:val="24"/>
        </w:rPr>
        <w:t xml:space="preserve"> positive term that challenges</w:t>
      </w:r>
      <w:r w:rsidRPr="007738E4">
        <w:rPr>
          <w:rFonts w:cs="Times New Roman"/>
          <w:iCs/>
          <w:szCs w:val="24"/>
        </w:rPr>
        <w:t xml:space="preserve"> the deficit model of the burden of disease</w:t>
      </w:r>
      <w:r w:rsidR="003A1A20" w:rsidRPr="007738E4">
        <w:rPr>
          <w:rFonts w:cs="Times New Roman"/>
          <w:iCs/>
          <w:szCs w:val="24"/>
        </w:rPr>
        <w:t xml:space="preserve"> and connects </w:t>
      </w:r>
      <w:r w:rsidRPr="007738E4">
        <w:rPr>
          <w:rFonts w:cs="Times New Roman"/>
          <w:szCs w:val="24"/>
        </w:rPr>
        <w:t>to wider aims such as patient-driven change.</w:t>
      </w:r>
    </w:p>
    <w:p w14:paraId="2F05AFE7" w14:textId="4B9D0D4C" w:rsidR="000D0AE7" w:rsidRPr="007738E4" w:rsidRDefault="000D0AE7" w:rsidP="000D0AE7">
      <w:pPr>
        <w:pStyle w:val="ListParagraph"/>
        <w:numPr>
          <w:ilvl w:val="0"/>
          <w:numId w:val="9"/>
        </w:numPr>
        <w:spacing w:line="276" w:lineRule="auto"/>
        <w:rPr>
          <w:rFonts w:cs="Times New Roman"/>
          <w:iCs/>
          <w:szCs w:val="24"/>
        </w:rPr>
      </w:pPr>
      <w:r w:rsidRPr="007738E4">
        <w:rPr>
          <w:rFonts w:cs="Times New Roman"/>
          <w:iCs/>
          <w:szCs w:val="24"/>
        </w:rPr>
        <w:t xml:space="preserve">Focus on </w:t>
      </w:r>
      <w:r w:rsidR="003A1A20" w:rsidRPr="007738E4">
        <w:rPr>
          <w:rFonts w:cs="Times New Roman"/>
          <w:iCs/>
          <w:szCs w:val="24"/>
        </w:rPr>
        <w:t xml:space="preserve">issues such as </w:t>
      </w:r>
      <w:r w:rsidR="00C52535" w:rsidRPr="007738E4">
        <w:rPr>
          <w:rFonts w:cs="Times New Roman"/>
          <w:iCs/>
          <w:szCs w:val="24"/>
        </w:rPr>
        <w:t>homelessness</w:t>
      </w:r>
      <w:r w:rsidR="00901C18">
        <w:rPr>
          <w:rFonts w:cs="Times New Roman"/>
          <w:iCs/>
          <w:szCs w:val="24"/>
        </w:rPr>
        <w:t xml:space="preserve"> </w:t>
      </w:r>
      <w:r w:rsidR="003A1A20" w:rsidRPr="007738E4">
        <w:rPr>
          <w:rFonts w:cs="Times New Roman"/>
          <w:iCs/>
          <w:szCs w:val="24"/>
        </w:rPr>
        <w:t xml:space="preserve">to prompt collaboration </w:t>
      </w:r>
      <w:r w:rsidRPr="007738E4">
        <w:rPr>
          <w:rFonts w:cs="Times New Roman"/>
          <w:szCs w:val="24"/>
        </w:rPr>
        <w:t xml:space="preserve">around a </w:t>
      </w:r>
      <w:r w:rsidR="003A1A20" w:rsidRPr="007738E4">
        <w:rPr>
          <w:rFonts w:cs="Times New Roman"/>
          <w:szCs w:val="24"/>
        </w:rPr>
        <w:t>tangible</w:t>
      </w:r>
      <w:r w:rsidRPr="007738E4">
        <w:rPr>
          <w:rFonts w:cs="Times New Roman"/>
          <w:szCs w:val="24"/>
        </w:rPr>
        <w:t xml:space="preserve"> problem </w:t>
      </w:r>
      <w:r w:rsidR="003A1A20" w:rsidRPr="007738E4">
        <w:rPr>
          <w:rFonts w:cs="Times New Roman"/>
          <w:szCs w:val="24"/>
        </w:rPr>
        <w:t>(where responders know their role)</w:t>
      </w:r>
      <w:r w:rsidRPr="007738E4">
        <w:rPr>
          <w:rFonts w:cs="Times New Roman"/>
          <w:szCs w:val="24"/>
        </w:rPr>
        <w:t xml:space="preserve">. </w:t>
      </w:r>
    </w:p>
    <w:p w14:paraId="6D6946CE" w14:textId="63140A14" w:rsidR="0060303D" w:rsidRPr="007738E4" w:rsidRDefault="0060303D" w:rsidP="0060303D">
      <w:pPr>
        <w:pStyle w:val="Heading2"/>
        <w:rPr>
          <w:rFonts w:cs="Times New Roman"/>
        </w:rPr>
      </w:pPr>
      <w:r w:rsidRPr="007738E4">
        <w:rPr>
          <w:rFonts w:cs="Times New Roman"/>
        </w:rPr>
        <w:t>Barriers relating to congru</w:t>
      </w:r>
      <w:r w:rsidR="00743F27" w:rsidRPr="007738E4">
        <w:rPr>
          <w:rFonts w:cs="Times New Roman"/>
        </w:rPr>
        <w:t>ity</w:t>
      </w:r>
      <w:r w:rsidRPr="007738E4">
        <w:rPr>
          <w:rFonts w:cs="Times New Roman"/>
        </w:rPr>
        <w:t xml:space="preserve">: short-termism and the old ways of doing things </w:t>
      </w:r>
    </w:p>
    <w:p w14:paraId="0F9AB497" w14:textId="257AEC16" w:rsidR="000D0AE7" w:rsidRPr="007738E4" w:rsidRDefault="00D456D0" w:rsidP="000D0AE7">
      <w:pPr>
        <w:spacing w:line="276" w:lineRule="auto"/>
        <w:rPr>
          <w:rFonts w:cs="Times New Roman"/>
          <w:szCs w:val="24"/>
        </w:rPr>
      </w:pPr>
      <w:r w:rsidRPr="007738E4">
        <w:rPr>
          <w:rFonts w:cs="Times New Roman"/>
          <w:szCs w:val="24"/>
        </w:rPr>
        <w:t>The move to integrated care systems promises a break from th</w:t>
      </w:r>
      <w:r w:rsidR="00743F27" w:rsidRPr="007738E4">
        <w:rPr>
          <w:rFonts w:cs="Times New Roman"/>
          <w:szCs w:val="24"/>
        </w:rPr>
        <w:t>e institutional</w:t>
      </w:r>
      <w:r w:rsidRPr="007738E4">
        <w:rPr>
          <w:rFonts w:cs="Times New Roman"/>
          <w:szCs w:val="24"/>
        </w:rPr>
        <w:t xml:space="preserve"> status quo, and thus a ‘window of opportunity’ for preventive health in England</w:t>
      </w:r>
      <w:r w:rsidR="008F57F5" w:rsidRPr="007738E4">
        <w:rPr>
          <w:rFonts w:cs="Times New Roman"/>
          <w:szCs w:val="24"/>
        </w:rPr>
        <w:t xml:space="preserve"> (see Kingdon, 1984; Cairney et al, 2021)</w:t>
      </w:r>
      <w:r w:rsidRPr="007738E4">
        <w:rPr>
          <w:rFonts w:cs="Times New Roman"/>
          <w:szCs w:val="24"/>
        </w:rPr>
        <w:t>. So, we asked, is any</w:t>
      </w:r>
      <w:r w:rsidR="006A0F73" w:rsidRPr="007738E4">
        <w:rPr>
          <w:rFonts w:cs="Times New Roman"/>
          <w:szCs w:val="24"/>
        </w:rPr>
        <w:t>thing</w:t>
      </w:r>
      <w:r w:rsidRPr="007738E4">
        <w:rPr>
          <w:rFonts w:cs="Times New Roman"/>
          <w:szCs w:val="24"/>
        </w:rPr>
        <w:t xml:space="preserve"> different this time around? We found that p</w:t>
      </w:r>
      <w:r w:rsidR="000D0AE7" w:rsidRPr="007738E4">
        <w:rPr>
          <w:rFonts w:cs="Times New Roman"/>
          <w:szCs w:val="24"/>
        </w:rPr>
        <w:t xml:space="preserve">roviding space for participants to name </w:t>
      </w:r>
      <w:r w:rsidR="001772B8" w:rsidRPr="007738E4">
        <w:rPr>
          <w:rFonts w:cs="Times New Roman"/>
          <w:szCs w:val="24"/>
        </w:rPr>
        <w:t xml:space="preserve">policymaking </w:t>
      </w:r>
      <w:r w:rsidR="000D0AE7" w:rsidRPr="007738E4">
        <w:rPr>
          <w:rFonts w:cs="Times New Roman"/>
          <w:szCs w:val="24"/>
        </w:rPr>
        <w:t>barriers and share experiences is key to collaborati</w:t>
      </w:r>
      <w:r w:rsidR="00EA1B34">
        <w:rPr>
          <w:rFonts w:cs="Times New Roman"/>
          <w:szCs w:val="24"/>
        </w:rPr>
        <w:t>on</w:t>
      </w:r>
      <w:r w:rsidR="000D0AE7" w:rsidRPr="007738E4">
        <w:rPr>
          <w:rFonts w:cs="Times New Roman"/>
          <w:szCs w:val="24"/>
        </w:rPr>
        <w:t>. Such ‘forewarned is forearmed’ discussions are essential to maintain institutional</w:t>
      </w:r>
      <w:r w:rsidR="001772B8" w:rsidRPr="007738E4">
        <w:rPr>
          <w:rFonts w:cs="Times New Roman"/>
          <w:szCs w:val="24"/>
        </w:rPr>
        <w:t xml:space="preserve"> </w:t>
      </w:r>
      <w:r w:rsidR="000D0AE7" w:rsidRPr="007738E4">
        <w:rPr>
          <w:rFonts w:cs="Times New Roman"/>
          <w:szCs w:val="24"/>
        </w:rPr>
        <w:t>memory and underpin a collective shift towards discussion</w:t>
      </w:r>
      <w:r w:rsidR="00EA1B34">
        <w:rPr>
          <w:rFonts w:cs="Times New Roman"/>
          <w:szCs w:val="24"/>
        </w:rPr>
        <w:t>s</w:t>
      </w:r>
      <w:r w:rsidR="000D0AE7" w:rsidRPr="007738E4">
        <w:rPr>
          <w:rFonts w:cs="Times New Roman"/>
          <w:szCs w:val="24"/>
        </w:rPr>
        <w:t xml:space="preserve"> of solutions. During this phase, we were struck by the </w:t>
      </w:r>
      <w:r w:rsidR="001772B8" w:rsidRPr="007738E4">
        <w:rPr>
          <w:rFonts w:cs="Times New Roman"/>
          <w:szCs w:val="24"/>
        </w:rPr>
        <w:t xml:space="preserve">wide </w:t>
      </w:r>
      <w:r w:rsidR="000D0AE7" w:rsidRPr="007738E4">
        <w:rPr>
          <w:rFonts w:cs="Times New Roman"/>
          <w:szCs w:val="24"/>
        </w:rPr>
        <w:t>range of barriers and the sense among many participants that some challenges were worsening and placing greater limits on preventive work</w:t>
      </w:r>
      <w:r w:rsidR="001772B8" w:rsidRPr="007738E4">
        <w:rPr>
          <w:rFonts w:cs="Times New Roman"/>
          <w:szCs w:val="24"/>
        </w:rPr>
        <w:t xml:space="preserve"> (focus groups took place towards the end of 14 years of Conservative-led government</w:t>
      </w:r>
      <w:r w:rsidR="004F4FB1" w:rsidRPr="007738E4">
        <w:rPr>
          <w:rFonts w:cs="Times New Roman"/>
          <w:szCs w:val="24"/>
        </w:rPr>
        <w:t xml:space="preserve">, which began in 2010 with a push for ‘austerity’ – </w:t>
      </w:r>
      <w:bookmarkStart w:id="5" w:name="_Hlk183082536"/>
      <w:r w:rsidR="004F4FB1" w:rsidRPr="007738E4">
        <w:rPr>
          <w:rFonts w:cs="Times New Roman"/>
          <w:szCs w:val="24"/>
        </w:rPr>
        <w:t>Cairney and Kippin, 2024</w:t>
      </w:r>
      <w:bookmarkEnd w:id="5"/>
      <w:r w:rsidR="001772B8" w:rsidRPr="007738E4">
        <w:rPr>
          <w:rFonts w:cs="Times New Roman"/>
          <w:szCs w:val="24"/>
        </w:rPr>
        <w:t>)</w:t>
      </w:r>
      <w:r w:rsidR="000D0AE7" w:rsidRPr="007738E4">
        <w:rPr>
          <w:rFonts w:cs="Times New Roman"/>
          <w:szCs w:val="24"/>
        </w:rPr>
        <w:t xml:space="preserve">. This discussion helped to identify challenges </w:t>
      </w:r>
      <w:r w:rsidR="00C20D13" w:rsidRPr="007738E4">
        <w:rPr>
          <w:rFonts w:cs="Times New Roman"/>
          <w:szCs w:val="24"/>
        </w:rPr>
        <w:t>faced</w:t>
      </w:r>
      <w:r w:rsidR="000D0AE7" w:rsidRPr="007738E4">
        <w:rPr>
          <w:rFonts w:cs="Times New Roman"/>
          <w:szCs w:val="24"/>
        </w:rPr>
        <w:t xml:space="preserve"> by professionals at the ‘front line’. </w:t>
      </w:r>
    </w:p>
    <w:p w14:paraId="3D0EAFCB" w14:textId="44CA87FA" w:rsidR="000D0AE7" w:rsidRPr="007738E4" w:rsidRDefault="00FA5130" w:rsidP="000F7A77">
      <w:pPr>
        <w:pStyle w:val="Heading3"/>
        <w:rPr>
          <w:rFonts w:cs="Times New Roman"/>
        </w:rPr>
      </w:pPr>
      <w:r w:rsidRPr="007738E4">
        <w:rPr>
          <w:rFonts w:cs="Times New Roman"/>
        </w:rPr>
        <w:t>S</w:t>
      </w:r>
      <w:r w:rsidR="000D0AE7" w:rsidRPr="007738E4">
        <w:rPr>
          <w:rFonts w:cs="Times New Roman"/>
        </w:rPr>
        <w:t>hort-term pressures</w:t>
      </w:r>
    </w:p>
    <w:p w14:paraId="777AC0CB" w14:textId="167B633C" w:rsidR="000D0AE7" w:rsidRPr="007738E4" w:rsidRDefault="00D456D0" w:rsidP="000D0AE7">
      <w:pPr>
        <w:spacing w:line="276" w:lineRule="auto"/>
        <w:rPr>
          <w:rFonts w:cs="Times New Roman"/>
          <w:szCs w:val="24"/>
        </w:rPr>
      </w:pPr>
      <w:r w:rsidRPr="007738E4">
        <w:rPr>
          <w:rFonts w:cs="Times New Roman"/>
          <w:szCs w:val="24"/>
        </w:rPr>
        <w:t>Participants near</w:t>
      </w:r>
      <w:r w:rsidR="000F7A77" w:rsidRPr="007738E4">
        <w:rPr>
          <w:rFonts w:cs="Times New Roman"/>
          <w:szCs w:val="24"/>
        </w:rPr>
        <w:t>-</w:t>
      </w:r>
      <w:r w:rsidRPr="007738E4">
        <w:rPr>
          <w:rFonts w:cs="Times New Roman"/>
          <w:szCs w:val="24"/>
        </w:rPr>
        <w:t>unanimously reflected that t</w:t>
      </w:r>
      <w:r w:rsidR="000D0AE7" w:rsidRPr="007738E4">
        <w:rPr>
          <w:rFonts w:cs="Times New Roman"/>
          <w:szCs w:val="24"/>
        </w:rPr>
        <w:t>he classic challenge is to maintain a</w:t>
      </w:r>
      <w:r w:rsidR="00EA1B34">
        <w:rPr>
          <w:rFonts w:cs="Times New Roman"/>
          <w:szCs w:val="24"/>
        </w:rPr>
        <w:t xml:space="preserve"> </w:t>
      </w:r>
      <w:r w:rsidR="000D0AE7" w:rsidRPr="007738E4">
        <w:rPr>
          <w:rFonts w:cs="Times New Roman"/>
          <w:szCs w:val="24"/>
        </w:rPr>
        <w:t xml:space="preserve">long-term preventive agenda during short-term </w:t>
      </w:r>
      <w:r w:rsidR="00757A9B" w:rsidRPr="007738E4">
        <w:rPr>
          <w:rFonts w:cs="Times New Roman"/>
          <w:szCs w:val="24"/>
        </w:rPr>
        <w:t xml:space="preserve">health and care </w:t>
      </w:r>
      <w:r w:rsidR="000D0AE7" w:rsidRPr="007738E4">
        <w:rPr>
          <w:rFonts w:cs="Times New Roman"/>
          <w:szCs w:val="24"/>
        </w:rPr>
        <w:t xml:space="preserve">pressures. The NHS ‘runs so hot’ that there are </w:t>
      </w:r>
      <w:r w:rsidR="00A71A81" w:rsidRPr="007738E4">
        <w:rPr>
          <w:rFonts w:cs="Times New Roman"/>
          <w:szCs w:val="24"/>
        </w:rPr>
        <w:t xml:space="preserve">limited </w:t>
      </w:r>
      <w:r w:rsidR="000D0AE7" w:rsidRPr="007738E4">
        <w:rPr>
          <w:rFonts w:cs="Times New Roman"/>
          <w:szCs w:val="24"/>
        </w:rPr>
        <w:t xml:space="preserve">resources for prevention to take off the pressure, and </w:t>
      </w:r>
      <w:r w:rsidR="00CF3AD9" w:rsidRPr="007738E4">
        <w:rPr>
          <w:rFonts w:cs="Times New Roman"/>
          <w:szCs w:val="24"/>
        </w:rPr>
        <w:t>inadequate</w:t>
      </w:r>
      <w:r w:rsidR="000D0AE7" w:rsidRPr="007738E4">
        <w:rPr>
          <w:rFonts w:cs="Times New Roman"/>
          <w:szCs w:val="24"/>
        </w:rPr>
        <w:t xml:space="preserve"> leadership ‘bandwidth’ to think </w:t>
      </w:r>
      <w:r w:rsidR="001675A6" w:rsidRPr="007738E4">
        <w:rPr>
          <w:rFonts w:cs="Times New Roman"/>
          <w:szCs w:val="24"/>
        </w:rPr>
        <w:t xml:space="preserve">and act </w:t>
      </w:r>
      <w:r w:rsidR="000D0AE7" w:rsidRPr="007738E4">
        <w:rPr>
          <w:rFonts w:cs="Times New Roman"/>
          <w:szCs w:val="24"/>
        </w:rPr>
        <w:t xml:space="preserve">differently. There is less ‘airtime’ for wider determinants during overwhelming winter pressure on NHS capacity. </w:t>
      </w:r>
      <w:r w:rsidR="00EA1B34">
        <w:rPr>
          <w:rFonts w:cs="Times New Roman"/>
          <w:szCs w:val="24"/>
        </w:rPr>
        <w:t>T</w:t>
      </w:r>
      <w:r w:rsidR="000D0AE7" w:rsidRPr="007738E4">
        <w:rPr>
          <w:rFonts w:cs="Times New Roman"/>
          <w:szCs w:val="24"/>
        </w:rPr>
        <w:t xml:space="preserve">he main priorities are immediate issues such as hospital discharge, which overshadow </w:t>
      </w:r>
      <w:r w:rsidR="0045428D" w:rsidRPr="007738E4">
        <w:rPr>
          <w:rFonts w:cs="Times New Roman"/>
          <w:szCs w:val="24"/>
        </w:rPr>
        <w:t>longer term iss</w:t>
      </w:r>
      <w:r w:rsidR="005F48D5" w:rsidRPr="007738E4">
        <w:rPr>
          <w:rFonts w:cs="Times New Roman"/>
          <w:szCs w:val="24"/>
        </w:rPr>
        <w:t>u</w:t>
      </w:r>
      <w:r w:rsidR="0045428D" w:rsidRPr="007738E4">
        <w:rPr>
          <w:rFonts w:cs="Times New Roman"/>
          <w:szCs w:val="24"/>
        </w:rPr>
        <w:t xml:space="preserve">es of equity </w:t>
      </w:r>
      <w:r w:rsidR="005F48D5" w:rsidRPr="007738E4">
        <w:rPr>
          <w:rFonts w:cs="Times New Roman"/>
          <w:szCs w:val="24"/>
        </w:rPr>
        <w:t>and prevention acros</w:t>
      </w:r>
      <w:r w:rsidR="00980573" w:rsidRPr="007738E4">
        <w:rPr>
          <w:rFonts w:cs="Times New Roman"/>
          <w:szCs w:val="24"/>
        </w:rPr>
        <w:t xml:space="preserve">s </w:t>
      </w:r>
      <w:r w:rsidR="000D0AE7" w:rsidRPr="007738E4">
        <w:rPr>
          <w:rFonts w:cs="Times New Roman"/>
          <w:szCs w:val="24"/>
        </w:rPr>
        <w:t>primary</w:t>
      </w:r>
      <w:r w:rsidR="00980573" w:rsidRPr="007738E4">
        <w:rPr>
          <w:rFonts w:cs="Times New Roman"/>
          <w:szCs w:val="24"/>
        </w:rPr>
        <w:t>, secondary and community</w:t>
      </w:r>
      <w:r w:rsidR="000D0AE7" w:rsidRPr="007738E4">
        <w:rPr>
          <w:rFonts w:cs="Times New Roman"/>
          <w:szCs w:val="24"/>
        </w:rPr>
        <w:t xml:space="preserve"> care. </w:t>
      </w:r>
    </w:p>
    <w:p w14:paraId="3B431D30" w14:textId="37D8E571" w:rsidR="000D0AE7" w:rsidRPr="007738E4" w:rsidRDefault="000D0AE7" w:rsidP="000D0AE7">
      <w:pPr>
        <w:spacing w:line="276" w:lineRule="auto"/>
        <w:rPr>
          <w:rFonts w:cs="Times New Roman"/>
          <w:szCs w:val="24"/>
        </w:rPr>
      </w:pPr>
      <w:r w:rsidRPr="007738E4">
        <w:rPr>
          <w:rFonts w:cs="Times New Roman"/>
          <w:szCs w:val="24"/>
        </w:rPr>
        <w:lastRenderedPageBreak/>
        <w:t xml:space="preserve">In theory, there is scope to relate such pressures to a longer-term focus on prevention, such as to identify the negative impact of ignoring at-risk groups and the long-term conditions likely to drive Accident and Emergency (A&amp;E) demand. Indeed, this challenging focus on the biggest sources of healthcare spending – such as emergency pathways and acute </w:t>
      </w:r>
      <w:r w:rsidR="00C20D13" w:rsidRPr="007738E4">
        <w:rPr>
          <w:rFonts w:cs="Times New Roman"/>
          <w:szCs w:val="24"/>
        </w:rPr>
        <w:t>hospital t</w:t>
      </w:r>
      <w:r w:rsidRPr="007738E4">
        <w:rPr>
          <w:rFonts w:cs="Times New Roman"/>
          <w:szCs w:val="24"/>
        </w:rPr>
        <w:t>rusts - is crucial to preventive efforts</w:t>
      </w:r>
      <w:r w:rsidR="00B31E15" w:rsidRPr="007738E4">
        <w:rPr>
          <w:rFonts w:cs="Times New Roman"/>
          <w:szCs w:val="24"/>
        </w:rPr>
        <w:t xml:space="preserve"> and reallocat</w:t>
      </w:r>
      <w:r w:rsidR="00613B75" w:rsidRPr="007738E4">
        <w:rPr>
          <w:rFonts w:cs="Times New Roman"/>
          <w:szCs w:val="24"/>
        </w:rPr>
        <w:t>ion of resources</w:t>
      </w:r>
      <w:r w:rsidR="001675A6" w:rsidRPr="007738E4">
        <w:rPr>
          <w:rFonts w:cs="Times New Roman"/>
          <w:szCs w:val="24"/>
        </w:rPr>
        <w:t xml:space="preserve"> </w:t>
      </w:r>
      <w:r w:rsidR="00613B75" w:rsidRPr="007738E4">
        <w:rPr>
          <w:rFonts w:cs="Times New Roman"/>
          <w:szCs w:val="24"/>
        </w:rPr>
        <w:t xml:space="preserve">towards </w:t>
      </w:r>
      <w:r w:rsidR="000F7A77" w:rsidRPr="007738E4">
        <w:rPr>
          <w:rFonts w:cs="Times New Roman"/>
          <w:szCs w:val="24"/>
        </w:rPr>
        <w:t>preventive budgets</w:t>
      </w:r>
      <w:r w:rsidRPr="007738E4">
        <w:rPr>
          <w:rFonts w:cs="Times New Roman"/>
          <w:szCs w:val="24"/>
        </w:rPr>
        <w:t xml:space="preserve">. For example, the core spend on health and social care is </w:t>
      </w:r>
      <w:r w:rsidR="00C20D13" w:rsidRPr="007738E4">
        <w:rPr>
          <w:rFonts w:cs="Times New Roman"/>
          <w:szCs w:val="24"/>
        </w:rPr>
        <w:t>huge</w:t>
      </w:r>
      <w:r w:rsidRPr="007738E4">
        <w:rPr>
          <w:rFonts w:cs="Times New Roman"/>
          <w:szCs w:val="24"/>
        </w:rPr>
        <w:t xml:space="preserve"> compared to pockets of money for preventive initiatives. However,</w:t>
      </w:r>
      <w:r w:rsidR="00D456D0" w:rsidRPr="007738E4">
        <w:rPr>
          <w:rFonts w:cs="Times New Roman"/>
          <w:szCs w:val="24"/>
        </w:rPr>
        <w:t xml:space="preserve"> discussion revealed</w:t>
      </w:r>
      <w:r w:rsidR="000F7A77" w:rsidRPr="007738E4">
        <w:rPr>
          <w:rFonts w:cs="Times New Roman"/>
          <w:szCs w:val="24"/>
        </w:rPr>
        <w:t xml:space="preserve"> the </w:t>
      </w:r>
      <w:r w:rsidRPr="007738E4">
        <w:rPr>
          <w:rFonts w:cs="Times New Roman"/>
          <w:szCs w:val="24"/>
        </w:rPr>
        <w:t>difficult</w:t>
      </w:r>
      <w:r w:rsidR="000F7A77" w:rsidRPr="007738E4">
        <w:rPr>
          <w:rFonts w:cs="Times New Roman"/>
          <w:szCs w:val="24"/>
        </w:rPr>
        <w:t xml:space="preserve">ies of </w:t>
      </w:r>
      <w:r w:rsidRPr="007738E4">
        <w:rPr>
          <w:rFonts w:cs="Times New Roman"/>
          <w:szCs w:val="24"/>
        </w:rPr>
        <w:t>translat</w:t>
      </w:r>
      <w:r w:rsidR="000F7A77" w:rsidRPr="007738E4">
        <w:rPr>
          <w:rFonts w:cs="Times New Roman"/>
          <w:szCs w:val="24"/>
        </w:rPr>
        <w:t>ing</w:t>
      </w:r>
      <w:r w:rsidRPr="007738E4">
        <w:rPr>
          <w:rFonts w:cs="Times New Roman"/>
          <w:szCs w:val="24"/>
        </w:rPr>
        <w:t xml:space="preserve"> theory to practice during periods of crisis. Issues such as waiting lists are ‘proximal’, while long term strategies, investment, and anti-poverty measures are ‘distal’ (seen as too far away, too abstract, too hard).</w:t>
      </w:r>
    </w:p>
    <w:p w14:paraId="358CD9CD" w14:textId="2E27A9DF" w:rsidR="000D0AE7" w:rsidRPr="007738E4" w:rsidRDefault="00FA5130" w:rsidP="000F7A77">
      <w:pPr>
        <w:pStyle w:val="Heading3"/>
        <w:rPr>
          <w:rFonts w:cs="Times New Roman"/>
        </w:rPr>
      </w:pPr>
      <w:r w:rsidRPr="007738E4">
        <w:rPr>
          <w:rFonts w:cs="Times New Roman"/>
        </w:rPr>
        <w:t>Measuring success</w:t>
      </w:r>
    </w:p>
    <w:p w14:paraId="5C2B6A5C" w14:textId="6EE708D9" w:rsidR="000D0AE7" w:rsidRPr="007738E4" w:rsidRDefault="00EA1B34" w:rsidP="000D0AE7">
      <w:pPr>
        <w:spacing w:line="276" w:lineRule="auto"/>
        <w:rPr>
          <w:rFonts w:cs="Times New Roman"/>
          <w:szCs w:val="24"/>
        </w:rPr>
      </w:pPr>
      <w:r>
        <w:rPr>
          <w:rFonts w:cs="Times New Roman"/>
          <w:szCs w:val="24"/>
        </w:rPr>
        <w:t>I</w:t>
      </w:r>
      <w:r w:rsidR="000D0AE7" w:rsidRPr="007738E4">
        <w:rPr>
          <w:rFonts w:cs="Times New Roman"/>
          <w:szCs w:val="24"/>
        </w:rPr>
        <w:t>t is difficult to connect a long-term preventive agenda to short</w:t>
      </w:r>
      <w:r w:rsidR="001675A6" w:rsidRPr="007738E4">
        <w:rPr>
          <w:rFonts w:cs="Times New Roman"/>
          <w:szCs w:val="24"/>
        </w:rPr>
        <w:t>-</w:t>
      </w:r>
      <w:r w:rsidR="000D0AE7" w:rsidRPr="007738E4">
        <w:rPr>
          <w:rFonts w:cs="Times New Roman"/>
          <w:szCs w:val="24"/>
        </w:rPr>
        <w:t>term measures of performance</w:t>
      </w:r>
      <w:r w:rsidR="000F7A77" w:rsidRPr="007738E4">
        <w:rPr>
          <w:rFonts w:cs="Times New Roman"/>
          <w:szCs w:val="24"/>
        </w:rPr>
        <w:t xml:space="preserve">, </w:t>
      </w:r>
      <w:r w:rsidR="000D0AE7" w:rsidRPr="007738E4">
        <w:rPr>
          <w:rFonts w:cs="Times New Roman"/>
          <w:szCs w:val="24"/>
        </w:rPr>
        <w:t>particularly if seeking to measure the benefits of trust and cooperation. Participants describe</w:t>
      </w:r>
      <w:r w:rsidR="00407A09" w:rsidRPr="007738E4">
        <w:rPr>
          <w:rFonts w:cs="Times New Roman"/>
          <w:szCs w:val="24"/>
        </w:rPr>
        <w:t>d</w:t>
      </w:r>
      <w:r w:rsidR="000D0AE7" w:rsidRPr="007738E4">
        <w:rPr>
          <w:rFonts w:cs="Times New Roman"/>
          <w:szCs w:val="24"/>
        </w:rPr>
        <w:t xml:space="preserve"> frustration with the dominant currency of evaluation and the ‘artificial precision’ of measures of £ per quality adjusted life year (QALY). It is </w:t>
      </w:r>
      <w:r w:rsidR="00DE3F1C" w:rsidRPr="007738E4">
        <w:rPr>
          <w:rFonts w:cs="Times New Roman"/>
          <w:szCs w:val="24"/>
        </w:rPr>
        <w:t xml:space="preserve">difficult </w:t>
      </w:r>
      <w:r w:rsidR="000D0AE7" w:rsidRPr="007738E4">
        <w:rPr>
          <w:rFonts w:cs="Times New Roman"/>
          <w:szCs w:val="24"/>
        </w:rPr>
        <w:t xml:space="preserve">to quantify the health impact of complex and joined-up measures in this way. Rather, they seek more meaningful </w:t>
      </w:r>
      <w:r w:rsidR="00C20D13" w:rsidRPr="007738E4">
        <w:rPr>
          <w:rFonts w:cs="Times New Roman"/>
          <w:szCs w:val="24"/>
        </w:rPr>
        <w:t xml:space="preserve">tailored </w:t>
      </w:r>
      <w:r w:rsidR="000D0AE7" w:rsidRPr="007738E4">
        <w:rPr>
          <w:rFonts w:cs="Times New Roman"/>
          <w:szCs w:val="24"/>
        </w:rPr>
        <w:t xml:space="preserve">measures, such as qualitative evidence </w:t>
      </w:r>
      <w:r w:rsidR="00C20D13" w:rsidRPr="007738E4">
        <w:rPr>
          <w:rFonts w:cs="Times New Roman"/>
          <w:szCs w:val="24"/>
        </w:rPr>
        <w:t>to produce</w:t>
      </w:r>
      <w:r w:rsidR="000D0AE7" w:rsidRPr="007738E4">
        <w:rPr>
          <w:rFonts w:cs="Times New Roman"/>
          <w:szCs w:val="24"/>
        </w:rPr>
        <w:t xml:space="preserve"> a ‘community</w:t>
      </w:r>
      <w:r>
        <w:rPr>
          <w:rFonts w:cs="Times New Roman"/>
          <w:szCs w:val="24"/>
        </w:rPr>
        <w:t>-</w:t>
      </w:r>
      <w:r w:rsidR="000D0AE7" w:rsidRPr="007738E4">
        <w:rPr>
          <w:rFonts w:cs="Times New Roman"/>
          <w:szCs w:val="24"/>
        </w:rPr>
        <w:t>led evidence base’.</w:t>
      </w:r>
    </w:p>
    <w:p w14:paraId="089C33F3" w14:textId="1C15F7AC" w:rsidR="000D0AE7" w:rsidRPr="007738E4" w:rsidRDefault="000D0AE7" w:rsidP="000D0AE7">
      <w:pPr>
        <w:spacing w:line="276" w:lineRule="auto"/>
        <w:rPr>
          <w:rFonts w:cs="Times New Roman"/>
          <w:szCs w:val="24"/>
        </w:rPr>
      </w:pPr>
      <w:r w:rsidRPr="007738E4">
        <w:rPr>
          <w:rFonts w:cs="Times New Roman"/>
          <w:szCs w:val="24"/>
        </w:rPr>
        <w:t>Participants describe</w:t>
      </w:r>
      <w:r w:rsidR="00407A09" w:rsidRPr="007738E4">
        <w:rPr>
          <w:rFonts w:cs="Times New Roman"/>
          <w:szCs w:val="24"/>
        </w:rPr>
        <w:t>d</w:t>
      </w:r>
      <w:r w:rsidRPr="007738E4">
        <w:rPr>
          <w:rFonts w:cs="Times New Roman"/>
          <w:szCs w:val="24"/>
        </w:rPr>
        <w:t xml:space="preserve"> prevention as evaluated unfairly in relation to </w:t>
      </w:r>
      <w:r w:rsidR="00C20D13" w:rsidRPr="007738E4">
        <w:rPr>
          <w:rFonts w:cs="Times New Roman"/>
          <w:szCs w:val="24"/>
        </w:rPr>
        <w:t xml:space="preserve">core </w:t>
      </w:r>
      <w:r w:rsidRPr="007738E4">
        <w:rPr>
          <w:rFonts w:cs="Times New Roman"/>
          <w:szCs w:val="24"/>
        </w:rPr>
        <w:t xml:space="preserve">NHS activity. Prevention is under greater pressure to demonstrate return to investment than other interventions (e.g. surgery for heart disease). The promise of spending </w:t>
      </w:r>
      <w:r w:rsidR="00C20D13" w:rsidRPr="007738E4">
        <w:rPr>
          <w:rFonts w:cs="Times New Roman"/>
          <w:szCs w:val="24"/>
        </w:rPr>
        <w:t xml:space="preserve">now to </w:t>
      </w:r>
      <w:r w:rsidRPr="007738E4">
        <w:rPr>
          <w:rFonts w:cs="Times New Roman"/>
          <w:szCs w:val="24"/>
        </w:rPr>
        <w:t>save</w:t>
      </w:r>
      <w:r w:rsidR="00C20D13" w:rsidRPr="007738E4">
        <w:rPr>
          <w:rFonts w:cs="Times New Roman"/>
          <w:szCs w:val="24"/>
        </w:rPr>
        <w:t xml:space="preserve"> money later</w:t>
      </w:r>
      <w:r w:rsidRPr="007738E4">
        <w:rPr>
          <w:rFonts w:cs="Times New Roman"/>
          <w:szCs w:val="24"/>
        </w:rPr>
        <w:t xml:space="preserve"> is only a requirement for prevention. This emphasis on measurement can </w:t>
      </w:r>
      <w:r w:rsidR="00417F3F" w:rsidRPr="007738E4">
        <w:rPr>
          <w:rFonts w:cs="Times New Roman"/>
          <w:szCs w:val="24"/>
        </w:rPr>
        <w:t>cause</w:t>
      </w:r>
      <w:r w:rsidRPr="007738E4">
        <w:rPr>
          <w:rFonts w:cs="Times New Roman"/>
          <w:szCs w:val="24"/>
        </w:rPr>
        <w:t xml:space="preserve"> ‘transactional fatigue’</w:t>
      </w:r>
      <w:r w:rsidR="00417F3F" w:rsidRPr="007738E4">
        <w:rPr>
          <w:rFonts w:cs="Times New Roman"/>
          <w:szCs w:val="24"/>
        </w:rPr>
        <w:t xml:space="preserve"> when </w:t>
      </w:r>
      <w:r w:rsidRPr="007738E4">
        <w:rPr>
          <w:rFonts w:cs="Times New Roman"/>
          <w:szCs w:val="24"/>
        </w:rPr>
        <w:t xml:space="preserve">asked constantly for evidence for what works. For example, asking community groups to prove that a small project worked prompts a high VCSE labour cost, and </w:t>
      </w:r>
      <w:r w:rsidR="00EA1B34">
        <w:rPr>
          <w:rFonts w:cs="Times New Roman"/>
          <w:szCs w:val="24"/>
        </w:rPr>
        <w:t>it</w:t>
      </w:r>
      <w:r w:rsidRPr="007738E4">
        <w:rPr>
          <w:rFonts w:cs="Times New Roman"/>
          <w:szCs w:val="24"/>
        </w:rPr>
        <w:t xml:space="preserve"> makes </w:t>
      </w:r>
      <w:r w:rsidR="00EA1B34">
        <w:rPr>
          <w:rFonts w:cs="Times New Roman"/>
          <w:szCs w:val="24"/>
        </w:rPr>
        <w:t>activity</w:t>
      </w:r>
      <w:r w:rsidRPr="007738E4">
        <w:rPr>
          <w:rFonts w:cs="Times New Roman"/>
          <w:szCs w:val="24"/>
        </w:rPr>
        <w:t xml:space="preserve"> look transactional rather than </w:t>
      </w:r>
      <w:r w:rsidR="00061718" w:rsidRPr="007738E4">
        <w:rPr>
          <w:rFonts w:cs="Times New Roman"/>
          <w:szCs w:val="24"/>
        </w:rPr>
        <w:t xml:space="preserve">transformational and </w:t>
      </w:r>
      <w:r w:rsidRPr="007738E4">
        <w:rPr>
          <w:rFonts w:cs="Times New Roman"/>
          <w:szCs w:val="24"/>
        </w:rPr>
        <w:t xml:space="preserve">collaborative. </w:t>
      </w:r>
    </w:p>
    <w:p w14:paraId="6B81B3A9" w14:textId="343FC9BF" w:rsidR="000D0AE7" w:rsidRPr="007738E4" w:rsidRDefault="00FA5130" w:rsidP="00417F3F">
      <w:pPr>
        <w:pStyle w:val="Heading3"/>
        <w:rPr>
          <w:rFonts w:cs="Times New Roman"/>
        </w:rPr>
      </w:pPr>
      <w:r w:rsidRPr="007738E4">
        <w:rPr>
          <w:rFonts w:cs="Times New Roman"/>
        </w:rPr>
        <w:t>The challenges of doing c</w:t>
      </w:r>
      <w:r w:rsidR="000D0AE7" w:rsidRPr="007738E4">
        <w:rPr>
          <w:rFonts w:cs="Times New Roman"/>
        </w:rPr>
        <w:t xml:space="preserve">ross-system cooperation </w:t>
      </w:r>
    </w:p>
    <w:p w14:paraId="69D6580C" w14:textId="11163BAB" w:rsidR="000D0AE7" w:rsidRPr="007738E4" w:rsidRDefault="000D0AE7" w:rsidP="000D0AE7">
      <w:pPr>
        <w:spacing w:line="276" w:lineRule="auto"/>
        <w:rPr>
          <w:rFonts w:cs="Times New Roman"/>
          <w:szCs w:val="24"/>
        </w:rPr>
      </w:pPr>
      <w:r w:rsidRPr="007738E4">
        <w:rPr>
          <w:rFonts w:cs="Times New Roman"/>
          <w:szCs w:val="24"/>
        </w:rPr>
        <w:t xml:space="preserve">Participants </w:t>
      </w:r>
      <w:r w:rsidR="009D5B59" w:rsidRPr="007738E4">
        <w:rPr>
          <w:rFonts w:cs="Times New Roman"/>
          <w:szCs w:val="24"/>
        </w:rPr>
        <w:t>reflected on the</w:t>
      </w:r>
      <w:r w:rsidR="00417F3F" w:rsidRPr="007738E4">
        <w:rPr>
          <w:rFonts w:cs="Times New Roman"/>
          <w:szCs w:val="24"/>
        </w:rPr>
        <w:t>se</w:t>
      </w:r>
      <w:r w:rsidR="00C20D13" w:rsidRPr="007738E4">
        <w:rPr>
          <w:rFonts w:cs="Times New Roman"/>
          <w:szCs w:val="24"/>
        </w:rPr>
        <w:t xml:space="preserve"> </w:t>
      </w:r>
      <w:r w:rsidRPr="007738E4">
        <w:rPr>
          <w:rFonts w:cs="Times New Roman"/>
          <w:szCs w:val="24"/>
        </w:rPr>
        <w:t xml:space="preserve">challenges of meaningful integration in a fragmented system. Problems include organisations or silos operating according to different incentives and having access to different policy ‘levers’ whose overall impact is difficult to coordinate. To some extent, </w:t>
      </w:r>
      <w:r w:rsidR="00E46132" w:rsidRPr="007738E4">
        <w:rPr>
          <w:rFonts w:cs="Times New Roman"/>
          <w:szCs w:val="24"/>
        </w:rPr>
        <w:t>participants</w:t>
      </w:r>
      <w:r w:rsidR="009D5B59" w:rsidRPr="007738E4">
        <w:rPr>
          <w:rFonts w:cs="Times New Roman"/>
          <w:szCs w:val="24"/>
        </w:rPr>
        <w:t xml:space="preserve"> </w:t>
      </w:r>
      <w:r w:rsidR="00B94F0B">
        <w:rPr>
          <w:rFonts w:cs="Times New Roman"/>
          <w:szCs w:val="24"/>
        </w:rPr>
        <w:t>related</w:t>
      </w:r>
      <w:r w:rsidR="009D5B59" w:rsidRPr="007738E4">
        <w:rPr>
          <w:rFonts w:cs="Times New Roman"/>
          <w:szCs w:val="24"/>
        </w:rPr>
        <w:t xml:space="preserve"> </w:t>
      </w:r>
      <w:r w:rsidRPr="007738E4">
        <w:rPr>
          <w:rFonts w:cs="Times New Roman"/>
          <w:szCs w:val="24"/>
        </w:rPr>
        <w:t xml:space="preserve">this </w:t>
      </w:r>
      <w:r w:rsidR="00C20D13" w:rsidRPr="007738E4">
        <w:rPr>
          <w:rFonts w:cs="Times New Roman"/>
          <w:szCs w:val="24"/>
        </w:rPr>
        <w:t>problem</w:t>
      </w:r>
      <w:r w:rsidRPr="007738E4">
        <w:rPr>
          <w:rFonts w:cs="Times New Roman"/>
          <w:szCs w:val="24"/>
        </w:rPr>
        <w:t xml:space="preserve"> </w:t>
      </w:r>
      <w:r w:rsidR="00C20D13" w:rsidRPr="007738E4">
        <w:rPr>
          <w:rFonts w:cs="Times New Roman"/>
          <w:szCs w:val="24"/>
        </w:rPr>
        <w:t>to ‘micro</w:t>
      </w:r>
      <w:r w:rsidR="00417F3F" w:rsidRPr="007738E4">
        <w:rPr>
          <w:rFonts w:cs="Times New Roman"/>
          <w:szCs w:val="24"/>
        </w:rPr>
        <w:t xml:space="preserve"> </w:t>
      </w:r>
      <w:proofErr w:type="gramStart"/>
      <w:r w:rsidR="00C20D13" w:rsidRPr="007738E4">
        <w:rPr>
          <w:rFonts w:cs="Times New Roman"/>
          <w:szCs w:val="24"/>
        </w:rPr>
        <w:t>politics’</w:t>
      </w:r>
      <w:proofErr w:type="gramEnd"/>
      <w:r w:rsidR="00C20D13" w:rsidRPr="007738E4">
        <w:rPr>
          <w:rFonts w:cs="Times New Roman"/>
          <w:szCs w:val="24"/>
        </w:rPr>
        <w:t xml:space="preserve"> and turf wars, following a</w:t>
      </w:r>
      <w:r w:rsidRPr="007738E4">
        <w:rPr>
          <w:rFonts w:cs="Times New Roman"/>
          <w:szCs w:val="24"/>
        </w:rPr>
        <w:t xml:space="preserve"> legacy of </w:t>
      </w:r>
      <w:r w:rsidR="00C20D13" w:rsidRPr="007738E4">
        <w:rPr>
          <w:rFonts w:cs="Times New Roman"/>
          <w:szCs w:val="24"/>
        </w:rPr>
        <w:t xml:space="preserve">a UK-government driven </w:t>
      </w:r>
      <w:r w:rsidRPr="007738E4">
        <w:rPr>
          <w:rFonts w:cs="Times New Roman"/>
          <w:szCs w:val="24"/>
        </w:rPr>
        <w:t xml:space="preserve">internal </w:t>
      </w:r>
      <w:r w:rsidR="00C20D13" w:rsidRPr="007738E4">
        <w:rPr>
          <w:rFonts w:cs="Times New Roman"/>
          <w:szCs w:val="24"/>
        </w:rPr>
        <w:t>market that pitted public services</w:t>
      </w:r>
      <w:r w:rsidRPr="007738E4">
        <w:rPr>
          <w:rFonts w:cs="Times New Roman"/>
          <w:szCs w:val="24"/>
        </w:rPr>
        <w:t xml:space="preserve"> against each other</w:t>
      </w:r>
      <w:r w:rsidR="00417F3F" w:rsidRPr="007738E4">
        <w:rPr>
          <w:rFonts w:cs="Times New Roman"/>
          <w:szCs w:val="24"/>
        </w:rPr>
        <w:t xml:space="preserve"> (see </w:t>
      </w:r>
      <w:bookmarkStart w:id="6" w:name="_Hlk183082581"/>
      <w:r w:rsidR="00417F3F" w:rsidRPr="007738E4">
        <w:rPr>
          <w:rFonts w:cs="Times New Roman"/>
          <w:szCs w:val="24"/>
        </w:rPr>
        <w:t xml:space="preserve">Clarke et al., 2021: 3; Waring et al, 2022; 2023a; 2023b; </w:t>
      </w:r>
      <w:proofErr w:type="spellStart"/>
      <w:r w:rsidR="00417F3F" w:rsidRPr="007738E4">
        <w:rPr>
          <w:rFonts w:cs="Times New Roman"/>
          <w:szCs w:val="24"/>
        </w:rPr>
        <w:t>Anandaciva</w:t>
      </w:r>
      <w:proofErr w:type="spellEnd"/>
      <w:r w:rsidR="00417F3F" w:rsidRPr="007738E4">
        <w:rPr>
          <w:rFonts w:cs="Times New Roman"/>
          <w:szCs w:val="24"/>
        </w:rPr>
        <w:t>, 2018</w:t>
      </w:r>
      <w:bookmarkEnd w:id="6"/>
      <w:r w:rsidR="00417F3F" w:rsidRPr="007738E4">
        <w:rPr>
          <w:rFonts w:cs="Times New Roman"/>
          <w:szCs w:val="24"/>
        </w:rPr>
        <w:t>)</w:t>
      </w:r>
      <w:r w:rsidRPr="007738E4">
        <w:rPr>
          <w:rFonts w:cs="Times New Roman"/>
          <w:szCs w:val="24"/>
        </w:rPr>
        <w:t xml:space="preserve">. These old tensions may still exist in relation to informal divisions of roles, in which </w:t>
      </w:r>
      <w:r w:rsidR="001675A6" w:rsidRPr="007738E4">
        <w:rPr>
          <w:rFonts w:cs="Times New Roman"/>
          <w:szCs w:val="24"/>
        </w:rPr>
        <w:t>healthcare actors</w:t>
      </w:r>
      <w:r w:rsidRPr="007738E4">
        <w:rPr>
          <w:rFonts w:cs="Times New Roman"/>
          <w:szCs w:val="24"/>
        </w:rPr>
        <w:t xml:space="preserve"> may seek to follow local authorities or more established public health initiatives rather than share responsibility for leading prevention </w:t>
      </w:r>
      <w:r w:rsidR="00B94F0B">
        <w:rPr>
          <w:rFonts w:cs="Times New Roman"/>
          <w:szCs w:val="24"/>
        </w:rPr>
        <w:t>initiatives</w:t>
      </w:r>
      <w:r w:rsidRPr="007738E4">
        <w:rPr>
          <w:rFonts w:cs="Times New Roman"/>
          <w:szCs w:val="24"/>
        </w:rPr>
        <w:t>. The existence of multiple initiatives with different badges – such as health prevention and local ‘place’ based initiatives – may also contribute to the separation</w:t>
      </w:r>
      <w:r w:rsidR="001675A6" w:rsidRPr="007738E4">
        <w:rPr>
          <w:rFonts w:cs="Times New Roman"/>
          <w:szCs w:val="24"/>
        </w:rPr>
        <w:t xml:space="preserve">. The latter is a </w:t>
      </w:r>
      <w:r w:rsidR="006C4B7E" w:rsidRPr="007738E4">
        <w:rPr>
          <w:rFonts w:cs="Times New Roman"/>
          <w:szCs w:val="24"/>
        </w:rPr>
        <w:t xml:space="preserve">key reflection, since ‘place’ is </w:t>
      </w:r>
      <w:r w:rsidR="001675A6" w:rsidRPr="007738E4">
        <w:rPr>
          <w:rFonts w:cs="Times New Roman"/>
          <w:szCs w:val="24"/>
        </w:rPr>
        <w:t>the new ambiguous phrase</w:t>
      </w:r>
      <w:r w:rsidR="006C4B7E" w:rsidRPr="007738E4">
        <w:rPr>
          <w:rFonts w:cs="Times New Roman"/>
          <w:szCs w:val="24"/>
        </w:rPr>
        <w:t xml:space="preserve"> </w:t>
      </w:r>
      <w:r w:rsidR="001675A6" w:rsidRPr="007738E4">
        <w:rPr>
          <w:rFonts w:cs="Times New Roman"/>
          <w:szCs w:val="24"/>
        </w:rPr>
        <w:t>used</w:t>
      </w:r>
      <w:r w:rsidR="006C4B7E" w:rsidRPr="007738E4">
        <w:rPr>
          <w:rFonts w:cs="Times New Roman"/>
          <w:szCs w:val="24"/>
        </w:rPr>
        <w:t xml:space="preserve"> to focus</w:t>
      </w:r>
      <w:r w:rsidR="001675A6" w:rsidRPr="007738E4">
        <w:rPr>
          <w:rFonts w:cs="Times New Roman"/>
          <w:szCs w:val="24"/>
        </w:rPr>
        <w:t xml:space="preserve"> local</w:t>
      </w:r>
      <w:r w:rsidR="006C4B7E" w:rsidRPr="007738E4">
        <w:rPr>
          <w:rFonts w:cs="Times New Roman"/>
          <w:szCs w:val="24"/>
        </w:rPr>
        <w:t xml:space="preserve"> </w:t>
      </w:r>
      <w:r w:rsidR="001675A6" w:rsidRPr="007738E4">
        <w:rPr>
          <w:rFonts w:cs="Times New Roman"/>
          <w:szCs w:val="24"/>
        </w:rPr>
        <w:t xml:space="preserve">public service </w:t>
      </w:r>
      <w:r w:rsidR="006C4B7E" w:rsidRPr="007738E4">
        <w:rPr>
          <w:rFonts w:cs="Times New Roman"/>
          <w:szCs w:val="24"/>
        </w:rPr>
        <w:t xml:space="preserve">collaboration </w:t>
      </w:r>
      <w:bookmarkStart w:id="7" w:name="_Hlk183082592"/>
      <w:r w:rsidR="001675A6" w:rsidRPr="007738E4">
        <w:rPr>
          <w:rFonts w:cs="Times New Roman"/>
          <w:szCs w:val="24"/>
        </w:rPr>
        <w:t>(</w:t>
      </w:r>
      <w:r w:rsidR="006C4B7E" w:rsidRPr="007738E4">
        <w:rPr>
          <w:rFonts w:cs="Times New Roman"/>
          <w:szCs w:val="24"/>
        </w:rPr>
        <w:t>Atkinson et al., 2015; Local Government Association, 2018</w:t>
      </w:r>
      <w:bookmarkEnd w:id="7"/>
      <w:r w:rsidR="006C4B7E" w:rsidRPr="007738E4">
        <w:rPr>
          <w:rFonts w:cs="Times New Roman"/>
          <w:szCs w:val="24"/>
        </w:rPr>
        <w:t>)</w:t>
      </w:r>
      <w:r w:rsidRPr="007738E4">
        <w:rPr>
          <w:rFonts w:cs="Times New Roman"/>
          <w:szCs w:val="24"/>
        </w:rPr>
        <w:t>.</w:t>
      </w:r>
    </w:p>
    <w:p w14:paraId="5EFCB5B9" w14:textId="2E229530" w:rsidR="000D0AE7" w:rsidRPr="007738E4" w:rsidRDefault="00FA5130" w:rsidP="006C4B7E">
      <w:pPr>
        <w:pStyle w:val="Heading3"/>
        <w:rPr>
          <w:rFonts w:cs="Times New Roman"/>
        </w:rPr>
      </w:pPr>
      <w:r w:rsidRPr="007738E4">
        <w:rPr>
          <w:rFonts w:cs="Times New Roman"/>
        </w:rPr>
        <w:t>Perverse incentives and</w:t>
      </w:r>
      <w:r w:rsidR="000D0AE7" w:rsidRPr="007738E4">
        <w:rPr>
          <w:rFonts w:cs="Times New Roman"/>
        </w:rPr>
        <w:t xml:space="preserve"> unintended consequences</w:t>
      </w:r>
    </w:p>
    <w:p w14:paraId="01D32787" w14:textId="53E7A76A" w:rsidR="003F00A9" w:rsidRPr="007738E4" w:rsidRDefault="00006AA7" w:rsidP="000D0AE7">
      <w:pPr>
        <w:spacing w:line="276" w:lineRule="auto"/>
        <w:rPr>
          <w:rFonts w:cs="Times New Roman"/>
          <w:szCs w:val="24"/>
        </w:rPr>
      </w:pPr>
      <w:r>
        <w:rPr>
          <w:rFonts w:cs="Times New Roman"/>
          <w:szCs w:val="24"/>
        </w:rPr>
        <w:t>P</w:t>
      </w:r>
      <w:r w:rsidR="000D0AE7" w:rsidRPr="007738E4">
        <w:rPr>
          <w:rFonts w:cs="Times New Roman"/>
          <w:szCs w:val="24"/>
        </w:rPr>
        <w:t xml:space="preserve">articipants </w:t>
      </w:r>
      <w:r w:rsidR="003F00A9" w:rsidRPr="007738E4">
        <w:rPr>
          <w:rFonts w:cs="Times New Roman"/>
          <w:szCs w:val="24"/>
        </w:rPr>
        <w:t>relate</w:t>
      </w:r>
      <w:r w:rsidR="004959CD" w:rsidRPr="007738E4">
        <w:rPr>
          <w:rFonts w:cs="Times New Roman"/>
          <w:szCs w:val="24"/>
        </w:rPr>
        <w:t>d</w:t>
      </w:r>
      <w:r w:rsidR="003F00A9" w:rsidRPr="007738E4">
        <w:rPr>
          <w:rFonts w:cs="Times New Roman"/>
          <w:szCs w:val="24"/>
        </w:rPr>
        <w:t xml:space="preserve"> incoherence to </w:t>
      </w:r>
      <w:r w:rsidR="000D0AE7" w:rsidRPr="007738E4">
        <w:rPr>
          <w:rFonts w:cs="Times New Roman"/>
          <w:szCs w:val="24"/>
        </w:rPr>
        <w:t xml:space="preserve">a general sense that the UK political system </w:t>
      </w:r>
      <w:r w:rsidR="003F00A9" w:rsidRPr="007738E4">
        <w:rPr>
          <w:rFonts w:cs="Times New Roman"/>
          <w:szCs w:val="24"/>
        </w:rPr>
        <w:t>provides organisations with strong incentives for hospitals and primary care doctors to</w:t>
      </w:r>
      <w:r w:rsidR="000D0AE7" w:rsidRPr="007738E4">
        <w:rPr>
          <w:rFonts w:cs="Times New Roman"/>
          <w:szCs w:val="24"/>
        </w:rPr>
        <w:t xml:space="preserve"> disinvest in ‘wider determinants’</w:t>
      </w:r>
      <w:r w:rsidR="003F00A9" w:rsidRPr="007738E4">
        <w:rPr>
          <w:rFonts w:cs="Times New Roman"/>
          <w:szCs w:val="24"/>
        </w:rPr>
        <w:t xml:space="preserve"> in favour of medical treatment and reactive services</w:t>
      </w:r>
      <w:r w:rsidR="00261604" w:rsidRPr="007738E4">
        <w:rPr>
          <w:rFonts w:cs="Times New Roman"/>
          <w:szCs w:val="24"/>
        </w:rPr>
        <w:t>, even</w:t>
      </w:r>
      <w:r w:rsidR="003F00A9" w:rsidRPr="007738E4">
        <w:rPr>
          <w:rFonts w:cs="Times New Roman"/>
          <w:szCs w:val="24"/>
        </w:rPr>
        <w:t xml:space="preserve"> while </w:t>
      </w:r>
      <w:r w:rsidR="003F00A9" w:rsidRPr="007738E4">
        <w:rPr>
          <w:rFonts w:cs="Times New Roman"/>
          <w:szCs w:val="24"/>
        </w:rPr>
        <w:lastRenderedPageBreak/>
        <w:t>professing the need for investment in preventive care. The</w:t>
      </w:r>
      <w:r w:rsidR="000D0AE7" w:rsidRPr="007738E4">
        <w:rPr>
          <w:rFonts w:cs="Times New Roman"/>
          <w:szCs w:val="24"/>
        </w:rPr>
        <w:t xml:space="preserve"> </w:t>
      </w:r>
      <w:r w:rsidR="003F00A9" w:rsidRPr="007738E4">
        <w:rPr>
          <w:rFonts w:cs="Times New Roman"/>
          <w:szCs w:val="24"/>
        </w:rPr>
        <w:t>unintended</w:t>
      </w:r>
      <w:r w:rsidR="000D0AE7" w:rsidRPr="007738E4">
        <w:rPr>
          <w:rFonts w:cs="Times New Roman"/>
          <w:szCs w:val="24"/>
        </w:rPr>
        <w:t xml:space="preserve"> consequence </w:t>
      </w:r>
      <w:r w:rsidR="003F00A9" w:rsidRPr="007738E4">
        <w:rPr>
          <w:rFonts w:cs="Times New Roman"/>
          <w:szCs w:val="24"/>
        </w:rPr>
        <w:t>is to</w:t>
      </w:r>
      <w:r w:rsidR="000D0AE7" w:rsidRPr="007738E4">
        <w:rPr>
          <w:rFonts w:cs="Times New Roman"/>
          <w:szCs w:val="24"/>
        </w:rPr>
        <w:t xml:space="preserve"> push more people towards NHS services then asking services to do more prevention. </w:t>
      </w:r>
      <w:r w:rsidR="003F00A9" w:rsidRPr="007738E4">
        <w:rPr>
          <w:rFonts w:cs="Times New Roman"/>
          <w:szCs w:val="24"/>
        </w:rPr>
        <w:t>T</w:t>
      </w:r>
      <w:r w:rsidR="000D0AE7" w:rsidRPr="007738E4">
        <w:rPr>
          <w:rFonts w:cs="Times New Roman"/>
          <w:szCs w:val="24"/>
        </w:rPr>
        <w:t xml:space="preserve">hey </w:t>
      </w:r>
      <w:r w:rsidR="003F00A9" w:rsidRPr="007738E4">
        <w:rPr>
          <w:rFonts w:cs="Times New Roman"/>
          <w:szCs w:val="24"/>
        </w:rPr>
        <w:t>describe</w:t>
      </w:r>
      <w:r w:rsidR="00471DE0" w:rsidRPr="007738E4">
        <w:rPr>
          <w:rFonts w:cs="Times New Roman"/>
          <w:szCs w:val="24"/>
        </w:rPr>
        <w:t xml:space="preserve">d </w:t>
      </w:r>
      <w:r w:rsidR="005B14D5" w:rsidRPr="007738E4">
        <w:rPr>
          <w:rFonts w:cs="Times New Roman"/>
          <w:szCs w:val="24"/>
        </w:rPr>
        <w:t xml:space="preserve">a </w:t>
      </w:r>
      <w:r w:rsidR="001675A6" w:rsidRPr="007738E4">
        <w:rPr>
          <w:rFonts w:cs="Times New Roman"/>
          <w:szCs w:val="24"/>
        </w:rPr>
        <w:t xml:space="preserve">need to </w:t>
      </w:r>
      <w:r w:rsidR="000D0AE7" w:rsidRPr="007738E4">
        <w:rPr>
          <w:rFonts w:cs="Times New Roman"/>
          <w:szCs w:val="24"/>
        </w:rPr>
        <w:t xml:space="preserve">take costs out of the NHS system, cope with current pressures, </w:t>
      </w:r>
      <w:r w:rsidR="000D0AE7" w:rsidRPr="007738E4">
        <w:rPr>
          <w:rFonts w:cs="Times New Roman"/>
          <w:i/>
          <w:iCs/>
          <w:szCs w:val="24"/>
        </w:rPr>
        <w:t>and</w:t>
      </w:r>
      <w:r w:rsidR="000D0AE7" w:rsidRPr="007738E4">
        <w:rPr>
          <w:rFonts w:cs="Times New Roman"/>
          <w:szCs w:val="24"/>
        </w:rPr>
        <w:t xml:space="preserve"> spend to anticipate future costs. It is too difficult to do all three well, and the third option lose</w:t>
      </w:r>
      <w:r>
        <w:rPr>
          <w:rFonts w:cs="Times New Roman"/>
          <w:szCs w:val="24"/>
        </w:rPr>
        <w:t>s</w:t>
      </w:r>
      <w:r w:rsidR="000D0AE7" w:rsidRPr="007738E4">
        <w:rPr>
          <w:rFonts w:cs="Times New Roman"/>
          <w:szCs w:val="24"/>
        </w:rPr>
        <w:t xml:space="preserve"> out. </w:t>
      </w:r>
    </w:p>
    <w:p w14:paraId="018B8C63" w14:textId="2B9A5CD5" w:rsidR="00021BA1" w:rsidRPr="007738E4" w:rsidRDefault="0060303D" w:rsidP="00021BA1">
      <w:pPr>
        <w:pStyle w:val="Heading2"/>
        <w:rPr>
          <w:rFonts w:cs="Times New Roman"/>
        </w:rPr>
      </w:pPr>
      <w:r w:rsidRPr="007738E4">
        <w:rPr>
          <w:rFonts w:cs="Times New Roman"/>
        </w:rPr>
        <w:t xml:space="preserve">Barriers relating to capacity: limited core funding, low morale, and untapped cross-system potential </w:t>
      </w:r>
    </w:p>
    <w:p w14:paraId="7FEB34C4" w14:textId="4FD08D7D" w:rsidR="00B50A2F" w:rsidRPr="007738E4" w:rsidRDefault="009D1CF1" w:rsidP="001772B8">
      <w:pPr>
        <w:spacing w:line="276" w:lineRule="auto"/>
        <w:rPr>
          <w:rFonts w:cs="Times New Roman"/>
          <w:iCs/>
          <w:szCs w:val="24"/>
        </w:rPr>
      </w:pPr>
      <w:r w:rsidRPr="007738E4">
        <w:rPr>
          <w:rFonts w:cs="Times New Roman"/>
          <w:iCs/>
          <w:szCs w:val="24"/>
        </w:rPr>
        <w:t xml:space="preserve">Public health research often uses the </w:t>
      </w:r>
      <w:r w:rsidR="00006AA7">
        <w:rPr>
          <w:rFonts w:cs="Times New Roman"/>
          <w:iCs/>
          <w:szCs w:val="24"/>
        </w:rPr>
        <w:t>vague</w:t>
      </w:r>
      <w:r w:rsidRPr="007738E4">
        <w:rPr>
          <w:rFonts w:cs="Times New Roman"/>
          <w:iCs/>
          <w:szCs w:val="24"/>
        </w:rPr>
        <w:t xml:space="preserve"> term ‘low political will’ to connect blame for limited progress to elected or senior policymakers (</w:t>
      </w:r>
      <w:bookmarkStart w:id="8" w:name="_Hlk183082631"/>
      <w:r w:rsidRPr="007738E4">
        <w:rPr>
          <w:rFonts w:cs="Times New Roman"/>
          <w:iCs/>
          <w:szCs w:val="24"/>
        </w:rPr>
        <w:t>Post</w:t>
      </w:r>
      <w:r w:rsidR="00450C6F" w:rsidRPr="007738E4">
        <w:rPr>
          <w:rFonts w:cs="Times New Roman"/>
          <w:iCs/>
          <w:szCs w:val="24"/>
        </w:rPr>
        <w:t xml:space="preserve"> et al</w:t>
      </w:r>
      <w:r w:rsidRPr="007738E4">
        <w:rPr>
          <w:rFonts w:cs="Times New Roman"/>
          <w:iCs/>
          <w:szCs w:val="24"/>
        </w:rPr>
        <w:t>, 2010</w:t>
      </w:r>
      <w:bookmarkEnd w:id="8"/>
      <w:r w:rsidRPr="007738E4">
        <w:rPr>
          <w:rFonts w:cs="Times New Roman"/>
          <w:iCs/>
          <w:szCs w:val="24"/>
        </w:rPr>
        <w:t xml:space="preserve">; Cairney et al, 2021). Here, we focus on low systemic capacity, which includes financial resources </w:t>
      </w:r>
      <w:r w:rsidR="00006AA7">
        <w:rPr>
          <w:rFonts w:cs="Times New Roman"/>
          <w:iCs/>
          <w:szCs w:val="24"/>
        </w:rPr>
        <w:t>and</w:t>
      </w:r>
      <w:r w:rsidRPr="007738E4">
        <w:rPr>
          <w:rFonts w:cs="Times New Roman"/>
          <w:iCs/>
          <w:szCs w:val="24"/>
        </w:rPr>
        <w:t xml:space="preserve"> the sense that most capacity is embodied in public service staff</w:t>
      </w:r>
      <w:r w:rsidR="001675A6" w:rsidRPr="007738E4">
        <w:rPr>
          <w:rFonts w:cs="Times New Roman"/>
          <w:iCs/>
          <w:szCs w:val="24"/>
        </w:rPr>
        <w:t xml:space="preserve"> numbers and how they use their time</w:t>
      </w:r>
      <w:r w:rsidRPr="007738E4">
        <w:rPr>
          <w:rFonts w:cs="Times New Roman"/>
          <w:iCs/>
          <w:szCs w:val="24"/>
        </w:rPr>
        <w:t xml:space="preserve">. </w:t>
      </w:r>
      <w:r w:rsidR="003333EB" w:rsidRPr="007738E4">
        <w:rPr>
          <w:rFonts w:cs="Times New Roman"/>
          <w:iCs/>
          <w:szCs w:val="24"/>
        </w:rPr>
        <w:t>In that context, d</w:t>
      </w:r>
      <w:r w:rsidRPr="007738E4">
        <w:rPr>
          <w:rFonts w:cs="Times New Roman"/>
          <w:iCs/>
          <w:szCs w:val="24"/>
        </w:rPr>
        <w:t>oes a shift to integrated care help to unlock this capacity?</w:t>
      </w:r>
    </w:p>
    <w:p w14:paraId="5E7938B6" w14:textId="7D2F6698" w:rsidR="001772B8" w:rsidRPr="007738E4" w:rsidRDefault="00FA5130" w:rsidP="003333EB">
      <w:pPr>
        <w:pStyle w:val="Heading3"/>
        <w:rPr>
          <w:rFonts w:cs="Times New Roman"/>
        </w:rPr>
      </w:pPr>
      <w:r w:rsidRPr="007738E4">
        <w:rPr>
          <w:rFonts w:cs="Times New Roman"/>
        </w:rPr>
        <w:t xml:space="preserve">A lack of </w:t>
      </w:r>
      <w:r w:rsidR="001772B8" w:rsidRPr="007738E4">
        <w:rPr>
          <w:rFonts w:cs="Times New Roman"/>
        </w:rPr>
        <w:t>substantive and sustainable funding</w:t>
      </w:r>
    </w:p>
    <w:p w14:paraId="2062EA07" w14:textId="39800C8B" w:rsidR="0060303D" w:rsidRPr="007738E4" w:rsidRDefault="009D1CF1" w:rsidP="000D0AE7">
      <w:pPr>
        <w:spacing w:line="276" w:lineRule="auto"/>
        <w:rPr>
          <w:rFonts w:cs="Times New Roman"/>
          <w:szCs w:val="24"/>
        </w:rPr>
      </w:pPr>
      <w:r w:rsidRPr="007738E4">
        <w:rPr>
          <w:rFonts w:cs="Times New Roman"/>
          <w:szCs w:val="24"/>
        </w:rPr>
        <w:t>We learned that c</w:t>
      </w:r>
      <w:r w:rsidR="001772B8" w:rsidRPr="007738E4">
        <w:rPr>
          <w:rFonts w:cs="Times New Roman"/>
          <w:szCs w:val="24"/>
        </w:rPr>
        <w:t>hronic and acute financial challenges make it hard to present a case for health investment</w:t>
      </w:r>
      <w:r w:rsidRPr="007738E4">
        <w:rPr>
          <w:rFonts w:cs="Times New Roman"/>
          <w:szCs w:val="24"/>
        </w:rPr>
        <w:t xml:space="preserve"> even in contexts of earnest enthusiasm</w:t>
      </w:r>
      <w:r w:rsidR="001772B8" w:rsidRPr="007738E4">
        <w:rPr>
          <w:rFonts w:cs="Times New Roman"/>
          <w:szCs w:val="24"/>
        </w:rPr>
        <w:t xml:space="preserve">. Funding for prevention projects is </w:t>
      </w:r>
      <w:r w:rsidR="007E6445" w:rsidRPr="007738E4">
        <w:rPr>
          <w:rFonts w:cs="Times New Roman"/>
          <w:szCs w:val="24"/>
        </w:rPr>
        <w:t xml:space="preserve">often </w:t>
      </w:r>
      <w:r w:rsidR="001772B8" w:rsidRPr="007738E4">
        <w:rPr>
          <w:rFonts w:cs="Times New Roman"/>
          <w:szCs w:val="24"/>
        </w:rPr>
        <w:t xml:space="preserve">non-recurrent, and the continuous need to make the business case is resource intensive and described as strange if the case for prevention has been won. </w:t>
      </w:r>
      <w:r w:rsidR="00FD0D70" w:rsidRPr="007738E4">
        <w:rPr>
          <w:rFonts w:cs="Times New Roman"/>
          <w:szCs w:val="24"/>
        </w:rPr>
        <w:t xml:space="preserve">Public health professionals complained about a ‘double standard’ of heightened scepticism applied to preventive health, whereby the evidence required to make the case for a non-health intervention can seem much higher than those applied to clinical or pharmaceutical interventions. </w:t>
      </w:r>
      <w:r w:rsidR="001772B8" w:rsidRPr="007738E4">
        <w:rPr>
          <w:rFonts w:cs="Times New Roman"/>
          <w:szCs w:val="24"/>
        </w:rPr>
        <w:t>Yet, if organisations do not play the finance game, preventi</w:t>
      </w:r>
      <w:r w:rsidR="007F5F08" w:rsidRPr="007738E4">
        <w:rPr>
          <w:rFonts w:cs="Times New Roman"/>
          <w:szCs w:val="24"/>
        </w:rPr>
        <w:t xml:space="preserve">on </w:t>
      </w:r>
      <w:r w:rsidR="001772B8" w:rsidRPr="007738E4">
        <w:rPr>
          <w:rFonts w:cs="Times New Roman"/>
          <w:szCs w:val="24"/>
        </w:rPr>
        <w:t>initiatives will lose out to interventions whose effects are more immediate or measurable.</w:t>
      </w:r>
      <w:r w:rsidR="007F5F08" w:rsidRPr="007738E4">
        <w:rPr>
          <w:rFonts w:cs="Times New Roman"/>
          <w:szCs w:val="24"/>
        </w:rPr>
        <w:t xml:space="preserve"> Participants described this</w:t>
      </w:r>
      <w:r w:rsidR="001772B8" w:rsidRPr="007738E4">
        <w:rPr>
          <w:rFonts w:cs="Times New Roman"/>
          <w:szCs w:val="24"/>
        </w:rPr>
        <w:t xml:space="preserve"> </w:t>
      </w:r>
      <w:r w:rsidR="007F5F08" w:rsidRPr="007738E4">
        <w:rPr>
          <w:rFonts w:cs="Times New Roman"/>
          <w:szCs w:val="24"/>
        </w:rPr>
        <w:t xml:space="preserve">dynamic as </w:t>
      </w:r>
      <w:r w:rsidR="001772B8" w:rsidRPr="007738E4">
        <w:rPr>
          <w:rFonts w:cs="Times New Roman"/>
          <w:szCs w:val="24"/>
        </w:rPr>
        <w:t xml:space="preserve">worsening </w:t>
      </w:r>
      <w:r w:rsidR="00006AA7">
        <w:rPr>
          <w:rFonts w:cs="Times New Roman"/>
          <w:szCs w:val="24"/>
        </w:rPr>
        <w:t xml:space="preserve">during </w:t>
      </w:r>
      <w:r w:rsidR="007F5F08" w:rsidRPr="007738E4">
        <w:rPr>
          <w:rFonts w:cs="Times New Roman"/>
          <w:szCs w:val="24"/>
        </w:rPr>
        <w:t>financial crisis</w:t>
      </w:r>
      <w:r w:rsidR="001772B8" w:rsidRPr="007738E4">
        <w:rPr>
          <w:rFonts w:cs="Times New Roman"/>
          <w:szCs w:val="24"/>
        </w:rPr>
        <w:t xml:space="preserve">. Funding pressures are </w:t>
      </w:r>
      <w:proofErr w:type="gramStart"/>
      <w:r w:rsidR="001772B8" w:rsidRPr="007738E4">
        <w:rPr>
          <w:rFonts w:cs="Times New Roman"/>
          <w:szCs w:val="24"/>
        </w:rPr>
        <w:t>immediate</w:t>
      </w:r>
      <w:proofErr w:type="gramEnd"/>
      <w:r w:rsidR="001772B8" w:rsidRPr="007738E4">
        <w:rPr>
          <w:rFonts w:cs="Times New Roman"/>
          <w:szCs w:val="24"/>
        </w:rPr>
        <w:t xml:space="preserve"> and the impact of acute funding is visible, which adds pressure to translate a</w:t>
      </w:r>
      <w:r w:rsidR="00006AA7">
        <w:rPr>
          <w:rFonts w:cs="Times New Roman"/>
          <w:szCs w:val="24"/>
        </w:rPr>
        <w:t xml:space="preserve"> </w:t>
      </w:r>
      <w:r w:rsidR="001772B8" w:rsidRPr="007738E4">
        <w:rPr>
          <w:rFonts w:cs="Times New Roman"/>
          <w:szCs w:val="24"/>
        </w:rPr>
        <w:t xml:space="preserve">prevention agenda into an eye-catching way to support ‘quick </w:t>
      </w:r>
      <w:proofErr w:type="gramStart"/>
      <w:r w:rsidR="001772B8" w:rsidRPr="007738E4">
        <w:rPr>
          <w:rFonts w:cs="Times New Roman"/>
          <w:szCs w:val="24"/>
        </w:rPr>
        <w:t>fixes’</w:t>
      </w:r>
      <w:proofErr w:type="gramEnd"/>
      <w:r w:rsidR="001772B8" w:rsidRPr="007738E4">
        <w:rPr>
          <w:rFonts w:cs="Times New Roman"/>
          <w:szCs w:val="24"/>
        </w:rPr>
        <w:t xml:space="preserve">. </w:t>
      </w:r>
    </w:p>
    <w:p w14:paraId="34634B96" w14:textId="66CA39D5" w:rsidR="000D0AE7" w:rsidRPr="007738E4" w:rsidRDefault="00FA5130" w:rsidP="003333EB">
      <w:pPr>
        <w:pStyle w:val="Heading3"/>
        <w:rPr>
          <w:rFonts w:cs="Times New Roman"/>
        </w:rPr>
      </w:pPr>
      <w:r w:rsidRPr="007738E4">
        <w:rPr>
          <w:rFonts w:cs="Times New Roman"/>
        </w:rPr>
        <w:t>Low morale</w:t>
      </w:r>
    </w:p>
    <w:p w14:paraId="60578A43" w14:textId="0676DB3B" w:rsidR="000D0AE7" w:rsidRPr="007738E4" w:rsidRDefault="000D0AE7" w:rsidP="000D0AE7">
      <w:pPr>
        <w:spacing w:line="276" w:lineRule="auto"/>
        <w:rPr>
          <w:rFonts w:cs="Times New Roman"/>
          <w:szCs w:val="24"/>
        </w:rPr>
      </w:pPr>
      <w:r w:rsidRPr="007738E4">
        <w:rPr>
          <w:rFonts w:cs="Times New Roman"/>
          <w:szCs w:val="24"/>
        </w:rPr>
        <w:t xml:space="preserve">It is common to </w:t>
      </w:r>
      <w:r w:rsidR="00467B94" w:rsidRPr="007738E4">
        <w:rPr>
          <w:rFonts w:cs="Times New Roman"/>
          <w:szCs w:val="24"/>
        </w:rPr>
        <w:t>identify</w:t>
      </w:r>
      <w:r w:rsidRPr="007738E4">
        <w:rPr>
          <w:rFonts w:cs="Times New Roman"/>
          <w:szCs w:val="24"/>
        </w:rPr>
        <w:t xml:space="preserve"> reduced morale in organisations where people have been through many dispiriting crises or initiatives with limited results</w:t>
      </w:r>
      <w:r w:rsidR="007F5F08" w:rsidRPr="007738E4">
        <w:rPr>
          <w:rFonts w:cs="Times New Roman"/>
          <w:szCs w:val="24"/>
        </w:rPr>
        <w:t xml:space="preserve">, </w:t>
      </w:r>
      <w:r w:rsidRPr="007738E4">
        <w:rPr>
          <w:rFonts w:cs="Times New Roman"/>
          <w:szCs w:val="24"/>
        </w:rPr>
        <w:t>producing mistrust associated with ‘</w:t>
      </w:r>
      <w:proofErr w:type="spellStart"/>
      <w:r w:rsidRPr="007738E4">
        <w:rPr>
          <w:rFonts w:cs="Times New Roman"/>
          <w:szCs w:val="24"/>
        </w:rPr>
        <w:t>initiativitis</w:t>
      </w:r>
      <w:proofErr w:type="spellEnd"/>
      <w:r w:rsidRPr="007738E4">
        <w:rPr>
          <w:rFonts w:cs="Times New Roman"/>
          <w:szCs w:val="24"/>
        </w:rPr>
        <w:t>’</w:t>
      </w:r>
      <w:r w:rsidR="007F5F08" w:rsidRPr="007738E4">
        <w:rPr>
          <w:rFonts w:cs="Times New Roman"/>
          <w:szCs w:val="24"/>
        </w:rPr>
        <w:t xml:space="preserve"> (</w:t>
      </w:r>
      <w:bookmarkStart w:id="9" w:name="_Hlk183082640"/>
      <w:r w:rsidR="00FA1C59" w:rsidRPr="007738E4">
        <w:rPr>
          <w:rFonts w:cs="Times New Roman"/>
          <w:szCs w:val="24"/>
        </w:rPr>
        <w:t>Paton, 2016; Gibson et al, 2023</w:t>
      </w:r>
      <w:bookmarkEnd w:id="9"/>
      <w:r w:rsidRPr="007738E4">
        <w:rPr>
          <w:rFonts w:cs="Times New Roman"/>
          <w:szCs w:val="24"/>
        </w:rPr>
        <w:t xml:space="preserve"> </w:t>
      </w:r>
      <w:r w:rsidR="00006AA7">
        <w:rPr>
          <w:rFonts w:cs="Times New Roman"/>
          <w:szCs w:val="24"/>
        </w:rPr>
        <w:t>P</w:t>
      </w:r>
      <w:r w:rsidRPr="007738E4">
        <w:rPr>
          <w:rFonts w:cs="Times New Roman"/>
          <w:szCs w:val="24"/>
        </w:rPr>
        <w:t xml:space="preserve">articipants may </w:t>
      </w:r>
      <w:r w:rsidR="00006AA7">
        <w:rPr>
          <w:rFonts w:cs="Times New Roman"/>
          <w:szCs w:val="24"/>
        </w:rPr>
        <w:t xml:space="preserve">also </w:t>
      </w:r>
      <w:r w:rsidRPr="007738E4">
        <w:rPr>
          <w:rFonts w:cs="Times New Roman"/>
          <w:szCs w:val="24"/>
        </w:rPr>
        <w:t xml:space="preserve">be demoralised if playing but losing dispiriting political games: they accept the limited impact of a moral case and seek practical ways to make a </w:t>
      </w:r>
      <w:r w:rsidR="007F5F08" w:rsidRPr="007738E4">
        <w:rPr>
          <w:rFonts w:cs="Times New Roman"/>
          <w:szCs w:val="24"/>
        </w:rPr>
        <w:t xml:space="preserve">pragmatic </w:t>
      </w:r>
      <w:r w:rsidRPr="007738E4">
        <w:rPr>
          <w:rFonts w:cs="Times New Roman"/>
          <w:szCs w:val="24"/>
        </w:rPr>
        <w:t>strategic case for prevention, but still find that their cases are harder to mak</w:t>
      </w:r>
      <w:r w:rsidR="007F5F08" w:rsidRPr="007738E4">
        <w:rPr>
          <w:rFonts w:cs="Times New Roman"/>
          <w:szCs w:val="24"/>
        </w:rPr>
        <w:t xml:space="preserve">e when buzzwords become </w:t>
      </w:r>
      <w:r w:rsidR="00467B94" w:rsidRPr="007738E4">
        <w:rPr>
          <w:rFonts w:cs="Times New Roman"/>
          <w:szCs w:val="24"/>
        </w:rPr>
        <w:t xml:space="preserve">overused then </w:t>
      </w:r>
      <w:r w:rsidR="007F5F08" w:rsidRPr="007738E4">
        <w:rPr>
          <w:rFonts w:cs="Times New Roman"/>
          <w:szCs w:val="24"/>
        </w:rPr>
        <w:t>devalued among policymakers</w:t>
      </w:r>
      <w:r w:rsidRPr="007738E4">
        <w:rPr>
          <w:rFonts w:cs="Times New Roman"/>
          <w:szCs w:val="24"/>
        </w:rPr>
        <w:t>. For example, arguments with reduced traction include describing the economic productivity gains of preventing illness</w:t>
      </w:r>
      <w:r w:rsidR="00FA1C59" w:rsidRPr="007738E4">
        <w:rPr>
          <w:rFonts w:cs="Times New Roman"/>
          <w:szCs w:val="24"/>
        </w:rPr>
        <w:t>, a social return to investment,</w:t>
      </w:r>
      <w:r w:rsidRPr="007738E4">
        <w:rPr>
          <w:rFonts w:cs="Times New Roman"/>
          <w:szCs w:val="24"/>
        </w:rPr>
        <w:t xml:space="preserve"> or the language of ‘early intervention’. These problems continue to</w:t>
      </w:r>
      <w:r w:rsidR="007F5F08" w:rsidRPr="007738E4">
        <w:rPr>
          <w:rFonts w:cs="Times New Roman"/>
          <w:szCs w:val="24"/>
        </w:rPr>
        <w:t>wards</w:t>
      </w:r>
      <w:r w:rsidRPr="007738E4">
        <w:rPr>
          <w:rFonts w:cs="Times New Roman"/>
          <w:szCs w:val="24"/>
        </w:rPr>
        <w:t xml:space="preserve"> prospective evaluation and investment: participants need ‘quick </w:t>
      </w:r>
      <w:proofErr w:type="gramStart"/>
      <w:r w:rsidRPr="007738E4">
        <w:rPr>
          <w:rFonts w:cs="Times New Roman"/>
          <w:szCs w:val="24"/>
        </w:rPr>
        <w:t>wins’</w:t>
      </w:r>
      <w:proofErr w:type="gramEnd"/>
      <w:r w:rsidRPr="007738E4">
        <w:rPr>
          <w:rFonts w:cs="Times New Roman"/>
          <w:szCs w:val="24"/>
        </w:rPr>
        <w:t xml:space="preserve"> and success stories to demonstrate the value of non-health approaches, and there is high demand for ‘social value’ tools, but many successes are local, connected to key individuals, and difficult to scale up.</w:t>
      </w:r>
    </w:p>
    <w:p w14:paraId="187FEED8" w14:textId="5A43CB0D" w:rsidR="000D0AE7" w:rsidRPr="007738E4" w:rsidRDefault="000D0AE7" w:rsidP="000D0AE7">
      <w:pPr>
        <w:spacing w:line="276" w:lineRule="auto"/>
        <w:rPr>
          <w:rFonts w:cs="Times New Roman"/>
          <w:szCs w:val="24"/>
        </w:rPr>
      </w:pPr>
      <w:r w:rsidRPr="007738E4">
        <w:rPr>
          <w:rFonts w:cs="Times New Roman"/>
          <w:szCs w:val="24"/>
        </w:rPr>
        <w:t xml:space="preserve">In that context, some participants describe the importance of intrinsic motivation </w:t>
      </w:r>
      <w:r w:rsidR="00100D56" w:rsidRPr="007738E4">
        <w:rPr>
          <w:rFonts w:cs="Times New Roman"/>
          <w:szCs w:val="24"/>
        </w:rPr>
        <w:t>and</w:t>
      </w:r>
      <w:r w:rsidR="004900E8" w:rsidRPr="007738E4">
        <w:rPr>
          <w:rFonts w:cs="Times New Roman"/>
          <w:szCs w:val="24"/>
        </w:rPr>
        <w:t xml:space="preserve"> leadership </w:t>
      </w:r>
      <w:r w:rsidRPr="007738E4">
        <w:rPr>
          <w:rFonts w:cs="Times New Roman"/>
          <w:szCs w:val="24"/>
        </w:rPr>
        <w:t xml:space="preserve">as an initial boost to prevention work, but with limited prospects for </w:t>
      </w:r>
      <w:r w:rsidR="009E22CC" w:rsidRPr="007738E4">
        <w:rPr>
          <w:rFonts w:cs="Times New Roman"/>
          <w:szCs w:val="24"/>
        </w:rPr>
        <w:t xml:space="preserve">public </w:t>
      </w:r>
      <w:r w:rsidRPr="007738E4">
        <w:rPr>
          <w:rFonts w:cs="Times New Roman"/>
          <w:szCs w:val="24"/>
        </w:rPr>
        <w:t xml:space="preserve">service maintenance. </w:t>
      </w:r>
      <w:r w:rsidR="007F5F08" w:rsidRPr="007738E4">
        <w:rPr>
          <w:rFonts w:cs="Times New Roman"/>
          <w:szCs w:val="24"/>
        </w:rPr>
        <w:t>NHS and medical p</w:t>
      </w:r>
      <w:r w:rsidRPr="007738E4">
        <w:rPr>
          <w:rFonts w:cs="Times New Roman"/>
          <w:szCs w:val="24"/>
        </w:rPr>
        <w:t xml:space="preserve">ractices </w:t>
      </w:r>
      <w:r w:rsidR="007F5F08" w:rsidRPr="007738E4">
        <w:rPr>
          <w:rFonts w:cs="Times New Roman"/>
          <w:szCs w:val="24"/>
        </w:rPr>
        <w:t xml:space="preserve">may be </w:t>
      </w:r>
      <w:r w:rsidRPr="007738E4">
        <w:rPr>
          <w:rFonts w:cs="Times New Roman"/>
          <w:szCs w:val="24"/>
        </w:rPr>
        <w:t xml:space="preserve">working on the wider determinants of health </w:t>
      </w:r>
      <w:r w:rsidR="007F5F08" w:rsidRPr="007738E4">
        <w:rPr>
          <w:rFonts w:cs="Times New Roman"/>
          <w:szCs w:val="24"/>
        </w:rPr>
        <w:t xml:space="preserve">but </w:t>
      </w:r>
      <w:r w:rsidRPr="007738E4">
        <w:rPr>
          <w:rFonts w:cs="Times New Roman"/>
          <w:szCs w:val="24"/>
        </w:rPr>
        <w:t xml:space="preserve">without being incentivised to do so, while dealing with siloed budgets and limited access to </w:t>
      </w:r>
      <w:r w:rsidR="007F5F08" w:rsidRPr="007738E4">
        <w:rPr>
          <w:rFonts w:cs="Times New Roman"/>
          <w:szCs w:val="24"/>
        </w:rPr>
        <w:t>wider</w:t>
      </w:r>
      <w:r w:rsidRPr="007738E4">
        <w:rPr>
          <w:rFonts w:cs="Times New Roman"/>
          <w:szCs w:val="24"/>
        </w:rPr>
        <w:t xml:space="preserve"> support. The will to do more is strong, but people are ‘firefighting’ while looking out </w:t>
      </w:r>
      <w:r w:rsidRPr="007738E4">
        <w:rPr>
          <w:rFonts w:cs="Times New Roman"/>
          <w:szCs w:val="24"/>
        </w:rPr>
        <w:lastRenderedPageBreak/>
        <w:t xml:space="preserve">for </w:t>
      </w:r>
      <w:r w:rsidR="007F5F08" w:rsidRPr="007738E4">
        <w:rPr>
          <w:rFonts w:cs="Times New Roman"/>
          <w:szCs w:val="24"/>
        </w:rPr>
        <w:t xml:space="preserve">new </w:t>
      </w:r>
      <w:r w:rsidRPr="007738E4">
        <w:rPr>
          <w:rFonts w:cs="Times New Roman"/>
          <w:szCs w:val="24"/>
        </w:rPr>
        <w:t xml:space="preserve">opportunities to do more, such as by </w:t>
      </w:r>
      <w:r w:rsidR="007F5F08" w:rsidRPr="007738E4">
        <w:rPr>
          <w:rFonts w:cs="Times New Roman"/>
          <w:szCs w:val="24"/>
        </w:rPr>
        <w:t>exploring</w:t>
      </w:r>
      <w:r w:rsidRPr="007738E4">
        <w:rPr>
          <w:rFonts w:cs="Times New Roman"/>
          <w:szCs w:val="24"/>
        </w:rPr>
        <w:t xml:space="preserve"> initiatives like social prescribing and seeking to diversify income via grants.</w:t>
      </w:r>
      <w:r w:rsidR="007F5F08" w:rsidRPr="007738E4">
        <w:rPr>
          <w:rFonts w:cs="Times New Roman"/>
          <w:szCs w:val="24"/>
        </w:rPr>
        <w:t xml:space="preserve"> This problem seemed most </w:t>
      </w:r>
      <w:r w:rsidR="009E22CC" w:rsidRPr="007738E4">
        <w:rPr>
          <w:rFonts w:cs="Times New Roman"/>
          <w:szCs w:val="24"/>
        </w:rPr>
        <w:t>dispiriting</w:t>
      </w:r>
      <w:r w:rsidR="007F5F08" w:rsidRPr="007738E4">
        <w:rPr>
          <w:rFonts w:cs="Times New Roman"/>
          <w:szCs w:val="24"/>
        </w:rPr>
        <w:t xml:space="preserve"> in ICS areas </w:t>
      </w:r>
      <w:r w:rsidR="00467B94" w:rsidRPr="007738E4">
        <w:rPr>
          <w:rFonts w:cs="Times New Roman"/>
          <w:szCs w:val="24"/>
        </w:rPr>
        <w:t>previously</w:t>
      </w:r>
      <w:r w:rsidR="007F5F08" w:rsidRPr="007738E4">
        <w:rPr>
          <w:rFonts w:cs="Times New Roman"/>
          <w:szCs w:val="24"/>
        </w:rPr>
        <w:t xml:space="preserve"> deemed to be inspirational sources of good</w:t>
      </w:r>
      <w:r w:rsidRPr="007738E4">
        <w:rPr>
          <w:rFonts w:cs="Times New Roman"/>
          <w:szCs w:val="24"/>
        </w:rPr>
        <w:t xml:space="preserve"> practice</w:t>
      </w:r>
      <w:r w:rsidR="007F5F08" w:rsidRPr="007738E4">
        <w:rPr>
          <w:rFonts w:cs="Times New Roman"/>
          <w:szCs w:val="24"/>
        </w:rPr>
        <w:t xml:space="preserve">, but </w:t>
      </w:r>
      <w:r w:rsidR="00467B94" w:rsidRPr="007738E4">
        <w:rPr>
          <w:rFonts w:cs="Times New Roman"/>
          <w:szCs w:val="24"/>
        </w:rPr>
        <w:t xml:space="preserve">now </w:t>
      </w:r>
      <w:r w:rsidR="007F5F08" w:rsidRPr="007738E4">
        <w:rPr>
          <w:rFonts w:cs="Times New Roman"/>
          <w:szCs w:val="24"/>
        </w:rPr>
        <w:t xml:space="preserve">facing </w:t>
      </w:r>
      <w:r w:rsidR="00467B94" w:rsidRPr="007738E4">
        <w:rPr>
          <w:rFonts w:cs="Times New Roman"/>
          <w:szCs w:val="24"/>
        </w:rPr>
        <w:t>acute</w:t>
      </w:r>
      <w:r w:rsidRPr="007738E4">
        <w:rPr>
          <w:rFonts w:cs="Times New Roman"/>
          <w:szCs w:val="24"/>
        </w:rPr>
        <w:t xml:space="preserve"> financial pressures a</w:t>
      </w:r>
      <w:r w:rsidR="00F92369" w:rsidRPr="007738E4">
        <w:rPr>
          <w:rFonts w:cs="Times New Roman"/>
          <w:szCs w:val="24"/>
        </w:rPr>
        <w:t xml:space="preserve">nd </w:t>
      </w:r>
      <w:r w:rsidR="00467B94" w:rsidRPr="007738E4">
        <w:rPr>
          <w:rFonts w:cs="Times New Roman"/>
          <w:szCs w:val="24"/>
        </w:rPr>
        <w:t>an imperative to prioritise</w:t>
      </w:r>
      <w:r w:rsidR="00F92369" w:rsidRPr="007738E4">
        <w:rPr>
          <w:rFonts w:cs="Times New Roman"/>
          <w:szCs w:val="24"/>
        </w:rPr>
        <w:t xml:space="preserve"> emergency services, </w:t>
      </w:r>
      <w:r w:rsidRPr="007738E4">
        <w:rPr>
          <w:rFonts w:cs="Times New Roman"/>
          <w:szCs w:val="24"/>
        </w:rPr>
        <w:t xml:space="preserve">limiting preventive work. </w:t>
      </w:r>
    </w:p>
    <w:p w14:paraId="7EFA9BB9" w14:textId="297DB07B" w:rsidR="000D0AE7" w:rsidRPr="007738E4" w:rsidRDefault="00FA5130" w:rsidP="009E22CC">
      <w:pPr>
        <w:pStyle w:val="Heading3"/>
        <w:rPr>
          <w:rFonts w:cs="Times New Roman"/>
        </w:rPr>
      </w:pPr>
      <w:r w:rsidRPr="007738E4">
        <w:rPr>
          <w:rFonts w:cs="Times New Roman"/>
        </w:rPr>
        <w:t>T</w:t>
      </w:r>
      <w:r w:rsidR="000D0AE7" w:rsidRPr="007738E4">
        <w:rPr>
          <w:rFonts w:cs="Times New Roman"/>
        </w:rPr>
        <w:t>he untapped potential for VCSE involvement</w:t>
      </w:r>
    </w:p>
    <w:p w14:paraId="6F34FE71" w14:textId="0DC17758" w:rsidR="000D0AE7" w:rsidRPr="007738E4" w:rsidRDefault="00006AA7" w:rsidP="000D0AE7">
      <w:pPr>
        <w:spacing w:line="276" w:lineRule="auto"/>
        <w:rPr>
          <w:rFonts w:cs="Times New Roman"/>
          <w:szCs w:val="24"/>
        </w:rPr>
      </w:pPr>
      <w:r>
        <w:rPr>
          <w:rFonts w:cs="Times New Roman"/>
          <w:szCs w:val="24"/>
        </w:rPr>
        <w:t>F</w:t>
      </w:r>
      <w:r w:rsidR="000D0AE7" w:rsidRPr="007738E4">
        <w:rPr>
          <w:rFonts w:cs="Times New Roman"/>
          <w:szCs w:val="24"/>
        </w:rPr>
        <w:t>ocus groups identified the untapped potential of VCSE</w:t>
      </w:r>
      <w:r w:rsidR="00F56264">
        <w:rPr>
          <w:rFonts w:cs="Times New Roman"/>
          <w:szCs w:val="24"/>
        </w:rPr>
        <w:t xml:space="preserve"> organisations</w:t>
      </w:r>
      <w:r w:rsidR="000D0AE7" w:rsidRPr="007738E4">
        <w:rPr>
          <w:rFonts w:cs="Times New Roman"/>
          <w:szCs w:val="24"/>
        </w:rPr>
        <w:t xml:space="preserve">. Some suggest that VCSE have </w:t>
      </w:r>
      <w:r w:rsidR="00F56264">
        <w:rPr>
          <w:rFonts w:cs="Times New Roman"/>
          <w:szCs w:val="24"/>
        </w:rPr>
        <w:t xml:space="preserve">much </w:t>
      </w:r>
      <w:r w:rsidR="000D0AE7" w:rsidRPr="007738E4">
        <w:rPr>
          <w:rFonts w:cs="Times New Roman"/>
          <w:szCs w:val="24"/>
        </w:rPr>
        <w:t xml:space="preserve">to contribute at the </w:t>
      </w:r>
      <w:r w:rsidR="000D0AE7" w:rsidRPr="007738E4">
        <w:rPr>
          <w:rFonts w:cs="Times New Roman"/>
          <w:i/>
          <w:iCs/>
          <w:szCs w:val="24"/>
        </w:rPr>
        <w:t>strategic level</w:t>
      </w:r>
      <w:r w:rsidR="000D0AE7" w:rsidRPr="007738E4">
        <w:rPr>
          <w:rFonts w:cs="Times New Roman"/>
          <w:szCs w:val="24"/>
        </w:rPr>
        <w:t xml:space="preserve">, to change how leaders describe prevention and provide more access to meaningful engagement with citizens, and </w:t>
      </w:r>
      <w:r w:rsidR="000D0AE7" w:rsidRPr="007738E4">
        <w:rPr>
          <w:rFonts w:cs="Times New Roman"/>
          <w:i/>
          <w:iCs/>
          <w:szCs w:val="24"/>
        </w:rPr>
        <w:t>operational level</w:t>
      </w:r>
      <w:r w:rsidR="000D0AE7" w:rsidRPr="007738E4">
        <w:rPr>
          <w:rFonts w:cs="Times New Roman"/>
          <w:szCs w:val="24"/>
        </w:rPr>
        <w:t>, to work ‘upstream’ and provide more holistic social support in relation to pressing issues like hospital discharge and waiting list management. VCSE is valued in mental health prevention focused on creating communities that keep people well and literate in mental health rather than waiting to go to the NHS.  If so, ICSs need VCSE</w:t>
      </w:r>
      <w:r w:rsidR="00F56264">
        <w:rPr>
          <w:rFonts w:cs="Times New Roman"/>
          <w:szCs w:val="24"/>
        </w:rPr>
        <w:t xml:space="preserve"> help</w:t>
      </w:r>
      <w:r w:rsidR="000D0AE7" w:rsidRPr="007738E4">
        <w:rPr>
          <w:rFonts w:cs="Times New Roman"/>
          <w:szCs w:val="24"/>
        </w:rPr>
        <w:t xml:space="preserve"> to be more agile, quicker, have access to different voices, and set a different tone.</w:t>
      </w:r>
    </w:p>
    <w:p w14:paraId="50EFE1B2" w14:textId="68430BDA" w:rsidR="00FA5130" w:rsidRPr="007738E4" w:rsidRDefault="000D0AE7" w:rsidP="009E22CC">
      <w:pPr>
        <w:spacing w:line="276" w:lineRule="auto"/>
        <w:rPr>
          <w:rFonts w:cs="Times New Roman"/>
          <w:szCs w:val="24"/>
        </w:rPr>
      </w:pPr>
      <w:r w:rsidRPr="007738E4">
        <w:rPr>
          <w:rFonts w:cs="Times New Roman"/>
          <w:szCs w:val="24"/>
        </w:rPr>
        <w:t>In most cases, this positive assessment preceded a list of reasons for limited progress: ICS</w:t>
      </w:r>
      <w:r w:rsidR="00467B94" w:rsidRPr="007738E4">
        <w:rPr>
          <w:rFonts w:cs="Times New Roman"/>
          <w:szCs w:val="24"/>
        </w:rPr>
        <w:t xml:space="preserve"> routine</w:t>
      </w:r>
      <w:r w:rsidRPr="007738E4">
        <w:rPr>
          <w:rFonts w:cs="Times New Roman"/>
          <w:szCs w:val="24"/>
        </w:rPr>
        <w:t xml:space="preserve">s are not conducive to VCSE involvement, and there is </w:t>
      </w:r>
      <w:r w:rsidR="00136541" w:rsidRPr="007738E4">
        <w:rPr>
          <w:rFonts w:cs="Times New Roman"/>
          <w:szCs w:val="24"/>
        </w:rPr>
        <w:t xml:space="preserve">limited </w:t>
      </w:r>
      <w:r w:rsidR="00241A17" w:rsidRPr="007738E4">
        <w:rPr>
          <w:rFonts w:cs="Times New Roman"/>
          <w:szCs w:val="24"/>
        </w:rPr>
        <w:t xml:space="preserve">ability </w:t>
      </w:r>
      <w:r w:rsidRPr="007738E4">
        <w:rPr>
          <w:rFonts w:cs="Times New Roman"/>
          <w:szCs w:val="24"/>
        </w:rPr>
        <w:t xml:space="preserve">to integrate </w:t>
      </w:r>
      <w:r w:rsidR="00F56264">
        <w:rPr>
          <w:rFonts w:cs="Times New Roman"/>
          <w:szCs w:val="24"/>
        </w:rPr>
        <w:t>its</w:t>
      </w:r>
      <w:r w:rsidR="00F56264" w:rsidRPr="007738E4">
        <w:rPr>
          <w:rFonts w:cs="Times New Roman"/>
          <w:szCs w:val="24"/>
        </w:rPr>
        <w:t xml:space="preserve"> </w:t>
      </w:r>
      <w:r w:rsidRPr="007738E4">
        <w:rPr>
          <w:rFonts w:cs="Times New Roman"/>
          <w:szCs w:val="24"/>
        </w:rPr>
        <w:t xml:space="preserve">role into strategic thinking and service delivery. The main barrier is unsustainable funding and commissioning. There is too much ‘throwing us a bone’ based on temporary underspends and short-term contracts (for which there is too much competition), which makes it hard to </w:t>
      </w:r>
      <w:r w:rsidR="00F56264" w:rsidRPr="007738E4">
        <w:rPr>
          <w:rFonts w:cs="Times New Roman"/>
          <w:szCs w:val="24"/>
        </w:rPr>
        <w:t>plan</w:t>
      </w:r>
      <w:r w:rsidRPr="007738E4">
        <w:rPr>
          <w:rFonts w:cs="Times New Roman"/>
          <w:szCs w:val="24"/>
        </w:rPr>
        <w:t xml:space="preserve"> or demonstrate success, and causes too much reliance on voluntary labour to fill funding gaps.  A greater long-term </w:t>
      </w:r>
      <w:r w:rsidR="00E757A8" w:rsidRPr="007738E4">
        <w:rPr>
          <w:rFonts w:cs="Times New Roman"/>
          <w:szCs w:val="24"/>
        </w:rPr>
        <w:t>system</w:t>
      </w:r>
      <w:r w:rsidR="00F56264">
        <w:rPr>
          <w:rFonts w:cs="Times New Roman"/>
          <w:szCs w:val="24"/>
        </w:rPr>
        <w:t>ic</w:t>
      </w:r>
      <w:r w:rsidRPr="007738E4">
        <w:rPr>
          <w:rFonts w:cs="Times New Roman"/>
          <w:szCs w:val="24"/>
        </w:rPr>
        <w:t xml:space="preserve"> commitment during service planning and procurement planning (including breaking down huge grants into constituent parts) would be mutually beneficial. It would allow access to community values and knowledge as well as the untapped potential of small projects, which are good for: co-producing work, grass roots initiatives, engagement with a non-clinical language, early intervention on a small scale, and engaging with marginalised social groups to address highly unequal service provision.</w:t>
      </w:r>
    </w:p>
    <w:p w14:paraId="38963064" w14:textId="02B787F6" w:rsidR="00C2094C" w:rsidRPr="007738E4" w:rsidRDefault="00FD0D70" w:rsidP="00677D42">
      <w:pPr>
        <w:pStyle w:val="Heading2"/>
        <w:rPr>
          <w:rFonts w:cs="Times New Roman"/>
        </w:rPr>
      </w:pPr>
      <w:r w:rsidRPr="007738E4">
        <w:rPr>
          <w:rFonts w:cs="Times New Roman"/>
        </w:rPr>
        <w:t xml:space="preserve">Discussion: </w:t>
      </w:r>
      <w:r w:rsidR="000D0AE7" w:rsidRPr="007738E4">
        <w:rPr>
          <w:rFonts w:cs="Times New Roman"/>
        </w:rPr>
        <w:t>Overcoming barriers to prevention</w:t>
      </w:r>
    </w:p>
    <w:p w14:paraId="7CF85D9A" w14:textId="7352F24E" w:rsidR="00100D56" w:rsidRPr="007738E4" w:rsidRDefault="00100D56" w:rsidP="009E22CC">
      <w:pPr>
        <w:spacing w:line="276" w:lineRule="auto"/>
        <w:rPr>
          <w:rFonts w:cs="Times New Roman"/>
          <w:szCs w:val="24"/>
        </w:rPr>
      </w:pPr>
      <w:r w:rsidRPr="007738E4">
        <w:rPr>
          <w:rFonts w:cs="Times New Roman"/>
          <w:szCs w:val="24"/>
        </w:rPr>
        <w:t xml:space="preserve">Political science-driven analysis is not to be mistaken with fatalism. </w:t>
      </w:r>
      <w:r w:rsidR="00F56264">
        <w:rPr>
          <w:rFonts w:cs="Times New Roman"/>
          <w:szCs w:val="24"/>
        </w:rPr>
        <w:t>Rather</w:t>
      </w:r>
      <w:r w:rsidRPr="007738E4">
        <w:rPr>
          <w:rFonts w:cs="Times New Roman"/>
          <w:szCs w:val="24"/>
        </w:rPr>
        <w:t xml:space="preserve">, we develop our approach to support ‘positive public policy’ (Cairney et al. 2024; Flinders et al, 2024). Our imperative is to use political science to highlight and help to </w:t>
      </w:r>
      <w:r w:rsidR="00F56264">
        <w:rPr>
          <w:rFonts w:cs="Times New Roman"/>
          <w:szCs w:val="24"/>
        </w:rPr>
        <w:t>boost</w:t>
      </w:r>
      <w:r w:rsidR="00F56264" w:rsidRPr="007738E4">
        <w:rPr>
          <w:rFonts w:cs="Times New Roman"/>
          <w:szCs w:val="24"/>
        </w:rPr>
        <w:t xml:space="preserve"> </w:t>
      </w:r>
      <w:r w:rsidRPr="007738E4">
        <w:rPr>
          <w:rFonts w:cs="Times New Roman"/>
          <w:szCs w:val="24"/>
        </w:rPr>
        <w:t xml:space="preserve">elements of progress. </w:t>
      </w:r>
    </w:p>
    <w:p w14:paraId="26C45A18" w14:textId="50267E24" w:rsidR="00C2094C" w:rsidRPr="007738E4" w:rsidRDefault="00100D56" w:rsidP="009E22CC">
      <w:pPr>
        <w:spacing w:line="276" w:lineRule="auto"/>
        <w:rPr>
          <w:rFonts w:cs="Times New Roman"/>
          <w:szCs w:val="24"/>
        </w:rPr>
      </w:pPr>
      <w:r w:rsidRPr="007738E4">
        <w:rPr>
          <w:rFonts w:cs="Times New Roman"/>
          <w:szCs w:val="24"/>
        </w:rPr>
        <w:t>Therefore, o</w:t>
      </w:r>
      <w:r w:rsidR="00C2094C" w:rsidRPr="007738E4">
        <w:rPr>
          <w:rFonts w:cs="Times New Roman"/>
          <w:szCs w:val="24"/>
        </w:rPr>
        <w:t xml:space="preserve">ur </w:t>
      </w:r>
      <w:r w:rsidR="009E22CC" w:rsidRPr="007738E4">
        <w:rPr>
          <w:rFonts w:cs="Times New Roman"/>
          <w:szCs w:val="24"/>
        </w:rPr>
        <w:t xml:space="preserve">next </w:t>
      </w:r>
      <w:r w:rsidR="00C2094C" w:rsidRPr="007738E4">
        <w:rPr>
          <w:rFonts w:cs="Times New Roman"/>
          <w:szCs w:val="24"/>
        </w:rPr>
        <w:t>aim was to ask: if there was limited progress last time, what would make the difference next time?  What experiences of prevention can help to overcome routine barriers to change? What do systems leaders need to know about the relationship between the challenges they face and the skills and strategies that might help?</w:t>
      </w:r>
      <w:r w:rsidR="00BD3E07" w:rsidRPr="007738E4">
        <w:rPr>
          <w:rFonts w:cs="Times New Roman"/>
          <w:szCs w:val="24"/>
        </w:rPr>
        <w:t xml:space="preserve"> </w:t>
      </w:r>
      <w:r w:rsidR="002101DD" w:rsidRPr="007738E4">
        <w:rPr>
          <w:rFonts w:cs="Times New Roman"/>
          <w:szCs w:val="24"/>
        </w:rPr>
        <w:t>We visualise the potential enablers and markers of progress in Figure 1, based on focus group responses</w:t>
      </w:r>
      <w:r w:rsidRPr="007738E4">
        <w:rPr>
          <w:rFonts w:cs="Times New Roman"/>
          <w:szCs w:val="24"/>
        </w:rPr>
        <w:t xml:space="preserve"> and the wider work – on prevention - of the </w:t>
      </w:r>
      <w:r w:rsidR="00F56264">
        <w:rPr>
          <w:rFonts w:cs="Times New Roman"/>
          <w:szCs w:val="24"/>
        </w:rPr>
        <w:t>(anonymised)</w:t>
      </w:r>
      <w:r w:rsidRPr="007738E4">
        <w:rPr>
          <w:rFonts w:cs="Times New Roman"/>
          <w:szCs w:val="24"/>
        </w:rPr>
        <w:t xml:space="preserve">. </w:t>
      </w:r>
    </w:p>
    <w:p w14:paraId="682AD0BD" w14:textId="624F0824" w:rsidR="002101DD" w:rsidRPr="007738E4" w:rsidRDefault="002101DD" w:rsidP="002101DD">
      <w:pPr>
        <w:pStyle w:val="Heading4"/>
        <w:rPr>
          <w:rFonts w:ascii="Times New Roman" w:hAnsi="Times New Roman" w:cs="Times New Roman"/>
        </w:rPr>
      </w:pPr>
      <w:r w:rsidRPr="007738E4">
        <w:rPr>
          <w:rFonts w:ascii="Times New Roman" w:hAnsi="Times New Roman" w:cs="Times New Roman"/>
        </w:rPr>
        <w:lastRenderedPageBreak/>
        <w:t>Figure 1. From prevention challenges to enablers and systemic action.</w:t>
      </w:r>
    </w:p>
    <w:p w14:paraId="4DC89C0C" w14:textId="5770A5EE" w:rsidR="00D128E8" w:rsidRPr="007738E4" w:rsidRDefault="00D128E8" w:rsidP="009E22CC">
      <w:pPr>
        <w:spacing w:line="276" w:lineRule="auto"/>
        <w:rPr>
          <w:rFonts w:cs="Times New Roman"/>
          <w:b/>
          <w:szCs w:val="24"/>
        </w:rPr>
      </w:pPr>
      <w:r w:rsidRPr="007738E4">
        <w:rPr>
          <w:rFonts w:cs="Times New Roman"/>
          <w:noProof/>
        </w:rPr>
        <w:drawing>
          <wp:inline distT="0" distB="0" distL="0" distR="0" wp14:anchorId="179A80B1" wp14:editId="660041F6">
            <wp:extent cx="5731510" cy="3237865"/>
            <wp:effectExtent l="0" t="0" r="2540" b="635"/>
            <wp:docPr id="2108545463" name="Picture 1" descr="A diagram of a company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45463" name="Picture 1" descr="A diagram of a company structure&#10;&#10;Description automatically generated"/>
                    <pic:cNvPicPr/>
                  </pic:nvPicPr>
                  <pic:blipFill>
                    <a:blip r:embed="rId11"/>
                    <a:stretch>
                      <a:fillRect/>
                    </a:stretch>
                  </pic:blipFill>
                  <pic:spPr>
                    <a:xfrm>
                      <a:off x="0" y="0"/>
                      <a:ext cx="5731510" cy="3237865"/>
                    </a:xfrm>
                    <a:prstGeom prst="rect">
                      <a:avLst/>
                    </a:prstGeom>
                  </pic:spPr>
                </pic:pic>
              </a:graphicData>
            </a:graphic>
          </wp:inline>
        </w:drawing>
      </w:r>
    </w:p>
    <w:p w14:paraId="567568AC" w14:textId="3AD8EB47" w:rsidR="000D0AE7" w:rsidRPr="007738E4" w:rsidRDefault="00C2094C" w:rsidP="009E22CC">
      <w:pPr>
        <w:pStyle w:val="Heading3"/>
        <w:rPr>
          <w:rFonts w:cs="Times New Roman"/>
        </w:rPr>
      </w:pPr>
      <w:r w:rsidRPr="007738E4">
        <w:rPr>
          <w:rFonts w:cs="Times New Roman"/>
        </w:rPr>
        <w:t>I</w:t>
      </w:r>
      <w:r w:rsidR="003F4CB6" w:rsidRPr="007738E4">
        <w:rPr>
          <w:rFonts w:cs="Times New Roman"/>
        </w:rPr>
        <w:t>mproving clarity</w:t>
      </w:r>
      <w:r w:rsidR="00CC2466" w:rsidRPr="007738E4">
        <w:rPr>
          <w:rFonts w:cs="Times New Roman"/>
        </w:rPr>
        <w:t>: leading the agenda and making the case</w:t>
      </w:r>
    </w:p>
    <w:p w14:paraId="2C995C25" w14:textId="4E2CE641" w:rsidR="00DB2962" w:rsidRPr="007738E4" w:rsidRDefault="00295C90" w:rsidP="00FB3FE0">
      <w:pPr>
        <w:spacing w:line="276" w:lineRule="auto"/>
        <w:rPr>
          <w:rFonts w:cs="Times New Roman"/>
          <w:szCs w:val="24"/>
        </w:rPr>
      </w:pPr>
      <w:r w:rsidRPr="007738E4">
        <w:rPr>
          <w:rFonts w:cs="Times New Roman"/>
          <w:bCs/>
          <w:szCs w:val="24"/>
        </w:rPr>
        <w:t>O</w:t>
      </w:r>
      <w:r w:rsidR="004F1B2E" w:rsidRPr="007738E4">
        <w:rPr>
          <w:rFonts w:cs="Times New Roman"/>
          <w:szCs w:val="24"/>
        </w:rPr>
        <w:t>ur</w:t>
      </w:r>
      <w:r w:rsidR="0060303D" w:rsidRPr="007738E4">
        <w:rPr>
          <w:rFonts w:cs="Times New Roman"/>
          <w:szCs w:val="24"/>
        </w:rPr>
        <w:t xml:space="preserve"> findings demonstrate the value of taking time to establish common aims, language, and understandings. Some participants want to crack-on with action without becoming mired in definitional issues, while many recognise the need to engage with </w:t>
      </w:r>
      <w:r w:rsidR="00F56264">
        <w:rPr>
          <w:rFonts w:cs="Times New Roman"/>
          <w:szCs w:val="24"/>
        </w:rPr>
        <w:t>meaning</w:t>
      </w:r>
      <w:r w:rsidR="003F4CB6" w:rsidRPr="007738E4">
        <w:rPr>
          <w:rFonts w:cs="Times New Roman"/>
          <w:szCs w:val="24"/>
        </w:rPr>
        <w:t xml:space="preserve">: </w:t>
      </w:r>
      <w:r w:rsidR="0060303D" w:rsidRPr="007738E4">
        <w:rPr>
          <w:rFonts w:cs="Times New Roman"/>
          <w:szCs w:val="24"/>
        </w:rPr>
        <w:t xml:space="preserve">what are we preventing, for whom, and how? Some </w:t>
      </w:r>
      <w:r w:rsidR="007757CE" w:rsidRPr="007738E4">
        <w:rPr>
          <w:rFonts w:cs="Times New Roman"/>
          <w:szCs w:val="24"/>
        </w:rPr>
        <w:t xml:space="preserve">had </w:t>
      </w:r>
      <w:r w:rsidR="0060303D" w:rsidRPr="007738E4">
        <w:rPr>
          <w:rFonts w:cs="Times New Roman"/>
          <w:szCs w:val="24"/>
        </w:rPr>
        <w:t>convene</w:t>
      </w:r>
      <w:r w:rsidR="007757CE" w:rsidRPr="007738E4">
        <w:rPr>
          <w:rFonts w:cs="Times New Roman"/>
          <w:szCs w:val="24"/>
        </w:rPr>
        <w:t>d</w:t>
      </w:r>
      <w:r w:rsidR="0060303D" w:rsidRPr="007738E4">
        <w:rPr>
          <w:rFonts w:cs="Times New Roman"/>
          <w:szCs w:val="24"/>
        </w:rPr>
        <w:t xml:space="preserve"> workshops to establish this meaning and its implications, </w:t>
      </w:r>
      <w:r w:rsidR="00F56264">
        <w:rPr>
          <w:rFonts w:cs="Times New Roman"/>
          <w:szCs w:val="24"/>
        </w:rPr>
        <w:t>which</w:t>
      </w:r>
      <w:r w:rsidR="0060303D" w:rsidRPr="007738E4">
        <w:rPr>
          <w:rFonts w:cs="Times New Roman"/>
          <w:szCs w:val="24"/>
        </w:rPr>
        <w:t xml:space="preserve"> is essential to defining the policy problem and establishing practical ways to address it. </w:t>
      </w:r>
    </w:p>
    <w:p w14:paraId="5F6D835E" w14:textId="34C5C0E8" w:rsidR="00D6129C" w:rsidRPr="007738E4" w:rsidRDefault="00D6129C" w:rsidP="000D0AE7">
      <w:pPr>
        <w:spacing w:line="276" w:lineRule="auto"/>
        <w:rPr>
          <w:rFonts w:cs="Times New Roman"/>
          <w:szCs w:val="24"/>
        </w:rPr>
      </w:pPr>
      <w:r w:rsidRPr="007738E4">
        <w:rPr>
          <w:rFonts w:cs="Times New Roman"/>
          <w:szCs w:val="24"/>
        </w:rPr>
        <w:t>Such</w:t>
      </w:r>
      <w:r w:rsidR="0060303D" w:rsidRPr="007738E4">
        <w:rPr>
          <w:rFonts w:cs="Times New Roman"/>
          <w:szCs w:val="24"/>
        </w:rPr>
        <w:t xml:space="preserve"> </w:t>
      </w:r>
      <w:r w:rsidRPr="007738E4">
        <w:rPr>
          <w:rFonts w:cs="Times New Roman"/>
          <w:szCs w:val="24"/>
        </w:rPr>
        <w:t>questions</w:t>
      </w:r>
      <w:r w:rsidR="0060303D" w:rsidRPr="007738E4">
        <w:rPr>
          <w:rFonts w:cs="Times New Roman"/>
          <w:szCs w:val="24"/>
        </w:rPr>
        <w:t xml:space="preserve"> </w:t>
      </w:r>
      <w:r w:rsidRPr="007738E4">
        <w:rPr>
          <w:rFonts w:cs="Times New Roman"/>
          <w:szCs w:val="24"/>
        </w:rPr>
        <w:t>help people to</w:t>
      </w:r>
      <w:r w:rsidR="0060303D" w:rsidRPr="007738E4">
        <w:rPr>
          <w:rFonts w:cs="Times New Roman"/>
          <w:szCs w:val="24"/>
        </w:rPr>
        <w:t xml:space="preserve"> debat</w:t>
      </w:r>
      <w:r w:rsidRPr="007738E4">
        <w:rPr>
          <w:rFonts w:cs="Times New Roman"/>
          <w:szCs w:val="24"/>
        </w:rPr>
        <w:t>e</w:t>
      </w:r>
      <w:r w:rsidR="0060303D" w:rsidRPr="007738E4">
        <w:rPr>
          <w:rFonts w:cs="Times New Roman"/>
          <w:szCs w:val="24"/>
        </w:rPr>
        <w:t xml:space="preserve"> the pros and cons of two very different prevention-promotion stories. The first encourages </w:t>
      </w:r>
      <w:r w:rsidR="006F51D9" w:rsidRPr="007738E4">
        <w:rPr>
          <w:rFonts w:cs="Times New Roman"/>
          <w:szCs w:val="24"/>
        </w:rPr>
        <w:t>actors</w:t>
      </w:r>
      <w:r w:rsidR="0060303D" w:rsidRPr="007738E4">
        <w:rPr>
          <w:rFonts w:cs="Times New Roman"/>
          <w:szCs w:val="24"/>
        </w:rPr>
        <w:t xml:space="preserve"> to be bold, to emphasise the moral case, to describe the immorality of</w:t>
      </w:r>
      <w:r w:rsidRPr="007738E4">
        <w:rPr>
          <w:rFonts w:cs="Times New Roman"/>
          <w:szCs w:val="24"/>
        </w:rPr>
        <w:t xml:space="preserve"> </w:t>
      </w:r>
      <w:r w:rsidR="0060303D" w:rsidRPr="007738E4">
        <w:rPr>
          <w:rFonts w:cs="Times New Roman"/>
          <w:szCs w:val="24"/>
        </w:rPr>
        <w:t>accepting the case for reducing inequalities</w:t>
      </w:r>
      <w:r w:rsidRPr="007738E4">
        <w:rPr>
          <w:rFonts w:cs="Times New Roman"/>
          <w:szCs w:val="24"/>
        </w:rPr>
        <w:t xml:space="preserve"> </w:t>
      </w:r>
      <w:r w:rsidR="0060303D" w:rsidRPr="007738E4">
        <w:rPr>
          <w:rFonts w:cs="Times New Roman"/>
          <w:szCs w:val="24"/>
        </w:rPr>
        <w:t>and improving live</w:t>
      </w:r>
      <w:r w:rsidRPr="007738E4">
        <w:rPr>
          <w:rFonts w:cs="Times New Roman"/>
          <w:szCs w:val="24"/>
        </w:rPr>
        <w:t>s</w:t>
      </w:r>
      <w:r w:rsidR="0060303D" w:rsidRPr="007738E4">
        <w:rPr>
          <w:rFonts w:cs="Times New Roman"/>
          <w:szCs w:val="24"/>
        </w:rPr>
        <w:t xml:space="preserve"> but claiming that it is too difficult to take</w:t>
      </w:r>
      <w:r w:rsidRPr="007738E4">
        <w:rPr>
          <w:rFonts w:cs="Times New Roman"/>
          <w:szCs w:val="24"/>
        </w:rPr>
        <w:t xml:space="preserve"> prevention</w:t>
      </w:r>
      <w:r w:rsidR="0060303D" w:rsidRPr="007738E4">
        <w:rPr>
          <w:rFonts w:cs="Times New Roman"/>
          <w:szCs w:val="24"/>
        </w:rPr>
        <w:t xml:space="preserve"> forward. The second </w:t>
      </w:r>
      <w:r w:rsidR="00520BE0" w:rsidRPr="007738E4">
        <w:rPr>
          <w:rFonts w:cs="Times New Roman"/>
          <w:szCs w:val="24"/>
        </w:rPr>
        <w:t xml:space="preserve">story encourages </w:t>
      </w:r>
      <w:r w:rsidR="006F51D9" w:rsidRPr="007738E4">
        <w:rPr>
          <w:rFonts w:cs="Times New Roman"/>
          <w:szCs w:val="24"/>
        </w:rPr>
        <w:t>them</w:t>
      </w:r>
      <w:r w:rsidR="0060303D" w:rsidRPr="007738E4">
        <w:rPr>
          <w:rFonts w:cs="Times New Roman"/>
          <w:szCs w:val="24"/>
        </w:rPr>
        <w:t xml:space="preserve"> to be pragmatic, stealthy, avoiding language that isn’t working or makes people defensive, looking for ways to manipulate, to get around barriers to progress</w:t>
      </w:r>
      <w:r w:rsidR="00520BE0" w:rsidRPr="007738E4">
        <w:rPr>
          <w:rFonts w:cs="Times New Roman"/>
          <w:szCs w:val="24"/>
        </w:rPr>
        <w:t xml:space="preserve"> (aka ‘prevention ninjas’, Boswell et al, 2019)</w:t>
      </w:r>
      <w:r w:rsidR="0060303D" w:rsidRPr="007738E4">
        <w:rPr>
          <w:rFonts w:cs="Times New Roman"/>
          <w:szCs w:val="24"/>
        </w:rPr>
        <w:t xml:space="preserve">. </w:t>
      </w:r>
    </w:p>
    <w:p w14:paraId="708507D2" w14:textId="20B5F438" w:rsidR="0060303D" w:rsidRPr="007738E4" w:rsidRDefault="00F56264" w:rsidP="000D0AE7">
      <w:pPr>
        <w:spacing w:line="276" w:lineRule="auto"/>
        <w:rPr>
          <w:rFonts w:cs="Times New Roman"/>
          <w:szCs w:val="24"/>
        </w:rPr>
      </w:pPr>
      <w:r>
        <w:rPr>
          <w:rFonts w:cs="Times New Roman"/>
          <w:szCs w:val="24"/>
        </w:rPr>
        <w:t>O</w:t>
      </w:r>
      <w:r w:rsidR="00D6129C" w:rsidRPr="007738E4">
        <w:rPr>
          <w:rFonts w:cs="Times New Roman"/>
          <w:szCs w:val="24"/>
        </w:rPr>
        <w:t>ur discussions unearthed variations of such stories. S</w:t>
      </w:r>
      <w:r w:rsidR="0060303D" w:rsidRPr="007738E4">
        <w:rPr>
          <w:rFonts w:cs="Times New Roman"/>
          <w:szCs w:val="24"/>
        </w:rPr>
        <w:t>ome argue</w:t>
      </w:r>
      <w:r w:rsidR="00225B57" w:rsidRPr="007738E4">
        <w:rPr>
          <w:rFonts w:cs="Times New Roman"/>
          <w:szCs w:val="24"/>
        </w:rPr>
        <w:t>d</w:t>
      </w:r>
      <w:r w:rsidR="0060303D" w:rsidRPr="007738E4">
        <w:rPr>
          <w:rFonts w:cs="Times New Roman"/>
          <w:szCs w:val="24"/>
        </w:rPr>
        <w:t xml:space="preserve"> </w:t>
      </w:r>
      <w:r w:rsidR="00520BE0" w:rsidRPr="007738E4">
        <w:rPr>
          <w:rFonts w:cs="Times New Roman"/>
          <w:szCs w:val="24"/>
        </w:rPr>
        <w:t xml:space="preserve">that </w:t>
      </w:r>
      <w:r w:rsidR="0060303D" w:rsidRPr="007738E4">
        <w:rPr>
          <w:rFonts w:cs="Times New Roman"/>
          <w:szCs w:val="24"/>
        </w:rPr>
        <w:t>ma</w:t>
      </w:r>
      <w:r w:rsidR="00893AD9" w:rsidRPr="007738E4">
        <w:rPr>
          <w:rFonts w:cs="Times New Roman"/>
          <w:szCs w:val="24"/>
        </w:rPr>
        <w:t>king</w:t>
      </w:r>
      <w:r w:rsidR="0060303D" w:rsidRPr="007738E4">
        <w:rPr>
          <w:rFonts w:cs="Times New Roman"/>
          <w:szCs w:val="24"/>
        </w:rPr>
        <w:t xml:space="preserve"> the moral case without the backup from evidence </w:t>
      </w:r>
      <w:proofErr w:type="gramStart"/>
      <w:r w:rsidR="00893AD9" w:rsidRPr="007738E4">
        <w:rPr>
          <w:rFonts w:cs="Times New Roman"/>
          <w:szCs w:val="24"/>
        </w:rPr>
        <w:t xml:space="preserve">could </w:t>
      </w:r>
      <w:r w:rsidR="0060303D" w:rsidRPr="007738E4">
        <w:rPr>
          <w:rFonts w:cs="Times New Roman"/>
          <w:szCs w:val="24"/>
        </w:rPr>
        <w:t xml:space="preserve"> devalue</w:t>
      </w:r>
      <w:proofErr w:type="gramEnd"/>
      <w:r w:rsidR="0060303D" w:rsidRPr="007738E4">
        <w:rPr>
          <w:rFonts w:cs="Times New Roman"/>
          <w:szCs w:val="24"/>
        </w:rPr>
        <w:t xml:space="preserve"> the language of prevention among influential audiences. Some suggest</w:t>
      </w:r>
      <w:r w:rsidR="00225B57" w:rsidRPr="007738E4">
        <w:rPr>
          <w:rFonts w:cs="Times New Roman"/>
          <w:szCs w:val="24"/>
        </w:rPr>
        <w:t>ed</w:t>
      </w:r>
      <w:r w:rsidR="0060303D" w:rsidRPr="007738E4">
        <w:rPr>
          <w:rFonts w:cs="Times New Roman"/>
          <w:szCs w:val="24"/>
        </w:rPr>
        <w:t xml:space="preserve"> that the language of 80/20 has </w:t>
      </w:r>
      <w:r>
        <w:rPr>
          <w:rFonts w:cs="Times New Roman"/>
          <w:szCs w:val="24"/>
        </w:rPr>
        <w:t>diminishing</w:t>
      </w:r>
      <w:r w:rsidRPr="007738E4">
        <w:rPr>
          <w:rFonts w:cs="Times New Roman"/>
          <w:szCs w:val="24"/>
        </w:rPr>
        <w:t xml:space="preserve"> </w:t>
      </w:r>
      <w:r w:rsidR="0060303D" w:rsidRPr="007738E4">
        <w:rPr>
          <w:rFonts w:cs="Times New Roman"/>
          <w:szCs w:val="24"/>
        </w:rPr>
        <w:t xml:space="preserve">resonance across </w:t>
      </w:r>
      <w:proofErr w:type="gramStart"/>
      <w:r w:rsidR="0060303D" w:rsidRPr="007738E4">
        <w:rPr>
          <w:rFonts w:cs="Times New Roman"/>
          <w:szCs w:val="24"/>
        </w:rPr>
        <w:t>ICSs, or</w:t>
      </w:r>
      <w:proofErr w:type="gramEnd"/>
      <w:r w:rsidR="0060303D" w:rsidRPr="007738E4">
        <w:rPr>
          <w:rFonts w:cs="Times New Roman"/>
          <w:szCs w:val="24"/>
        </w:rPr>
        <w:t xml:space="preserve"> are concerned that taken-for-granted concepts in niche groups have less meaning outside of these groups (‘health creation’ and ‘wider determinants’ are not meaningful to many). </w:t>
      </w:r>
      <w:r>
        <w:rPr>
          <w:rFonts w:cs="Times New Roman"/>
          <w:szCs w:val="24"/>
        </w:rPr>
        <w:t>S</w:t>
      </w:r>
      <w:r w:rsidR="0060303D" w:rsidRPr="007738E4">
        <w:rPr>
          <w:rFonts w:cs="Times New Roman"/>
          <w:szCs w:val="24"/>
        </w:rPr>
        <w:t xml:space="preserve">ome expressed concern that oft-used terms had major unintended consequences, such as to provoke defensiveness during attempts at collaboration. For example, if local authorities see ‘prevention’ as their responsibility, it may provoke turf </w:t>
      </w:r>
      <w:r w:rsidR="00C56D0C" w:rsidRPr="007738E4">
        <w:rPr>
          <w:rFonts w:cs="Times New Roman"/>
          <w:szCs w:val="24"/>
        </w:rPr>
        <w:t>wars</w:t>
      </w:r>
      <w:r>
        <w:rPr>
          <w:rFonts w:cs="Times New Roman"/>
          <w:szCs w:val="24"/>
        </w:rPr>
        <w:t xml:space="preserve"> </w:t>
      </w:r>
      <w:r w:rsidR="0060303D" w:rsidRPr="007738E4">
        <w:rPr>
          <w:rFonts w:cs="Times New Roman"/>
          <w:szCs w:val="24"/>
        </w:rPr>
        <w:t>(</w:t>
      </w:r>
      <w:r w:rsidR="00520BE0" w:rsidRPr="007738E4">
        <w:rPr>
          <w:rFonts w:cs="Times New Roman"/>
          <w:szCs w:val="24"/>
        </w:rPr>
        <w:t>compare with</w:t>
      </w:r>
      <w:r w:rsidR="0060303D" w:rsidRPr="007738E4">
        <w:rPr>
          <w:rFonts w:cs="Times New Roman"/>
          <w:szCs w:val="24"/>
        </w:rPr>
        <w:t xml:space="preserve"> ‘health imperialism’</w:t>
      </w:r>
      <w:r w:rsidR="00520BE0" w:rsidRPr="007738E4">
        <w:rPr>
          <w:rFonts w:cs="Times New Roman"/>
          <w:szCs w:val="24"/>
        </w:rPr>
        <w:t xml:space="preserve">, </w:t>
      </w:r>
      <w:r w:rsidR="0060303D" w:rsidRPr="007738E4">
        <w:rPr>
          <w:rFonts w:cs="Times New Roman"/>
          <w:szCs w:val="24"/>
        </w:rPr>
        <w:t xml:space="preserve">Cairney et al, 2021). </w:t>
      </w:r>
    </w:p>
    <w:p w14:paraId="713D7655" w14:textId="452BE613" w:rsidR="000D0AE7" w:rsidRPr="007738E4" w:rsidRDefault="000B4C7A" w:rsidP="000D0AE7">
      <w:pPr>
        <w:spacing w:line="276" w:lineRule="auto"/>
        <w:rPr>
          <w:rFonts w:cs="Times New Roman"/>
          <w:szCs w:val="24"/>
        </w:rPr>
      </w:pPr>
      <w:r w:rsidRPr="007738E4">
        <w:rPr>
          <w:rFonts w:cs="Times New Roman"/>
          <w:szCs w:val="24"/>
        </w:rPr>
        <w:t xml:space="preserve">Fruitful </w:t>
      </w:r>
      <w:r w:rsidR="000D0AE7" w:rsidRPr="007738E4">
        <w:rPr>
          <w:rFonts w:cs="Times New Roman"/>
          <w:szCs w:val="24"/>
        </w:rPr>
        <w:t xml:space="preserve">discussion of dual strategies – making the moral </w:t>
      </w:r>
      <w:r w:rsidR="000D0AE7" w:rsidRPr="007738E4">
        <w:rPr>
          <w:rFonts w:cs="Times New Roman"/>
          <w:i/>
          <w:iCs/>
          <w:szCs w:val="24"/>
        </w:rPr>
        <w:t>and</w:t>
      </w:r>
      <w:r w:rsidR="000D0AE7" w:rsidRPr="007738E4">
        <w:rPr>
          <w:rFonts w:cs="Times New Roman"/>
          <w:szCs w:val="24"/>
        </w:rPr>
        <w:t xml:space="preserve"> practical case </w:t>
      </w:r>
      <w:r w:rsidR="00D6129C" w:rsidRPr="007738E4">
        <w:rPr>
          <w:rFonts w:cs="Times New Roman"/>
          <w:szCs w:val="24"/>
        </w:rPr>
        <w:t>–</w:t>
      </w:r>
      <w:r w:rsidR="00F56264">
        <w:rPr>
          <w:rFonts w:cs="Times New Roman"/>
          <w:szCs w:val="24"/>
        </w:rPr>
        <w:t xml:space="preserve"> </w:t>
      </w:r>
      <w:r w:rsidR="00D6129C" w:rsidRPr="007738E4">
        <w:rPr>
          <w:rFonts w:cs="Times New Roman"/>
          <w:szCs w:val="24"/>
        </w:rPr>
        <w:t>prompted reflection on</w:t>
      </w:r>
      <w:r w:rsidR="000D0AE7" w:rsidRPr="007738E4">
        <w:rPr>
          <w:rFonts w:cs="Times New Roman"/>
          <w:szCs w:val="24"/>
        </w:rPr>
        <w:t xml:space="preserve"> how to overcome barriers to prevention. Some describ</w:t>
      </w:r>
      <w:r w:rsidRPr="007738E4">
        <w:rPr>
          <w:rFonts w:cs="Times New Roman"/>
          <w:szCs w:val="24"/>
        </w:rPr>
        <w:t>ed</w:t>
      </w:r>
      <w:r w:rsidR="000D0AE7" w:rsidRPr="007738E4">
        <w:rPr>
          <w:rFonts w:cs="Times New Roman"/>
          <w:szCs w:val="24"/>
        </w:rPr>
        <w:t xml:space="preserve"> ideological barriers to </w:t>
      </w:r>
      <w:r w:rsidR="000D0AE7" w:rsidRPr="007738E4">
        <w:rPr>
          <w:rFonts w:cs="Times New Roman"/>
          <w:szCs w:val="24"/>
        </w:rPr>
        <w:lastRenderedPageBreak/>
        <w:t>their preferred</w:t>
      </w:r>
      <w:r w:rsidRPr="007738E4">
        <w:rPr>
          <w:rFonts w:cs="Times New Roman"/>
          <w:szCs w:val="24"/>
        </w:rPr>
        <w:t xml:space="preserve"> (</w:t>
      </w:r>
      <w:r w:rsidR="00D6129C" w:rsidRPr="007738E4">
        <w:rPr>
          <w:rFonts w:cs="Times New Roman"/>
          <w:szCs w:val="24"/>
        </w:rPr>
        <w:t>social determinants</w:t>
      </w:r>
      <w:r w:rsidRPr="007738E4">
        <w:rPr>
          <w:rFonts w:cs="Times New Roman"/>
          <w:szCs w:val="24"/>
        </w:rPr>
        <w:t>)</w:t>
      </w:r>
      <w:r w:rsidR="00D6129C" w:rsidRPr="007738E4">
        <w:rPr>
          <w:rFonts w:cs="Times New Roman"/>
          <w:szCs w:val="24"/>
        </w:rPr>
        <w:t xml:space="preserve"> </w:t>
      </w:r>
      <w:r w:rsidR="000D0AE7" w:rsidRPr="007738E4">
        <w:rPr>
          <w:rFonts w:cs="Times New Roman"/>
          <w:szCs w:val="24"/>
        </w:rPr>
        <w:t>form of prevention</w:t>
      </w:r>
      <w:r w:rsidR="00D6129C" w:rsidRPr="007738E4">
        <w:rPr>
          <w:rFonts w:cs="Times New Roman"/>
          <w:szCs w:val="24"/>
        </w:rPr>
        <w:t xml:space="preserve"> </w:t>
      </w:r>
      <w:r w:rsidR="000D0AE7" w:rsidRPr="007738E4">
        <w:rPr>
          <w:rFonts w:cs="Times New Roman"/>
          <w:szCs w:val="24"/>
        </w:rPr>
        <w:t xml:space="preserve">by people who maintain different </w:t>
      </w:r>
      <w:r w:rsidRPr="007738E4">
        <w:rPr>
          <w:rFonts w:cs="Times New Roman"/>
          <w:szCs w:val="24"/>
        </w:rPr>
        <w:t>(</w:t>
      </w:r>
      <w:r w:rsidR="00D6129C" w:rsidRPr="007738E4">
        <w:rPr>
          <w:rFonts w:cs="Times New Roman"/>
          <w:szCs w:val="24"/>
        </w:rPr>
        <w:t>individualist</w:t>
      </w:r>
      <w:r w:rsidRPr="007738E4">
        <w:rPr>
          <w:rFonts w:cs="Times New Roman"/>
          <w:szCs w:val="24"/>
        </w:rPr>
        <w:t>)</w:t>
      </w:r>
      <w:r w:rsidR="00D6129C" w:rsidRPr="007738E4">
        <w:rPr>
          <w:rFonts w:cs="Times New Roman"/>
          <w:szCs w:val="24"/>
        </w:rPr>
        <w:t xml:space="preserve"> </w:t>
      </w:r>
      <w:r w:rsidR="000D0AE7" w:rsidRPr="007738E4">
        <w:rPr>
          <w:rFonts w:cs="Times New Roman"/>
          <w:szCs w:val="24"/>
        </w:rPr>
        <w:t xml:space="preserve">views regarding the purpose of </w:t>
      </w:r>
      <w:r w:rsidRPr="007738E4">
        <w:rPr>
          <w:rFonts w:cs="Times New Roman"/>
          <w:szCs w:val="24"/>
        </w:rPr>
        <w:t>the state</w:t>
      </w:r>
      <w:r w:rsidR="000D0AE7" w:rsidRPr="007738E4">
        <w:rPr>
          <w:rFonts w:cs="Times New Roman"/>
          <w:szCs w:val="24"/>
        </w:rPr>
        <w:t xml:space="preserve">. </w:t>
      </w:r>
      <w:r w:rsidR="00D6129C" w:rsidRPr="007738E4">
        <w:rPr>
          <w:rFonts w:cs="Times New Roman"/>
          <w:szCs w:val="24"/>
        </w:rPr>
        <w:t>M</w:t>
      </w:r>
      <w:r w:rsidR="000D0AE7" w:rsidRPr="007738E4">
        <w:rPr>
          <w:rFonts w:cs="Times New Roman"/>
          <w:szCs w:val="24"/>
        </w:rPr>
        <w:t xml:space="preserve">any local and national politicians </w:t>
      </w:r>
      <w:r w:rsidRPr="007738E4">
        <w:rPr>
          <w:rFonts w:cs="Times New Roman"/>
          <w:szCs w:val="24"/>
        </w:rPr>
        <w:t xml:space="preserve">in England </w:t>
      </w:r>
      <w:r w:rsidR="000D0AE7" w:rsidRPr="007738E4">
        <w:rPr>
          <w:rFonts w:cs="Times New Roman"/>
          <w:szCs w:val="24"/>
        </w:rPr>
        <w:t xml:space="preserve">favour individual responsibility for health and wellbeing, prompting a desire among </w:t>
      </w:r>
      <w:r w:rsidR="008C169B" w:rsidRPr="007738E4">
        <w:rPr>
          <w:rFonts w:cs="Times New Roman"/>
          <w:szCs w:val="24"/>
        </w:rPr>
        <w:t>multiple</w:t>
      </w:r>
      <w:r w:rsidR="000D0AE7" w:rsidRPr="007738E4">
        <w:rPr>
          <w:rFonts w:cs="Times New Roman"/>
          <w:szCs w:val="24"/>
        </w:rPr>
        <w:t xml:space="preserve"> focus group participants to make a more persuasive case for social justice and investment to tackle social determinants of ill health. Others focus</w:t>
      </w:r>
      <w:r w:rsidR="00AE22E2" w:rsidRPr="007738E4">
        <w:rPr>
          <w:rFonts w:cs="Times New Roman"/>
          <w:szCs w:val="24"/>
        </w:rPr>
        <w:t>ed</w:t>
      </w:r>
      <w:r w:rsidR="000D0AE7" w:rsidRPr="007738E4">
        <w:rPr>
          <w:rFonts w:cs="Times New Roman"/>
          <w:szCs w:val="24"/>
        </w:rPr>
        <w:t xml:space="preserve"> on how to work within the current system to accumulate incremental improvements, signalling a wealth of experience about overcoming organisational or systemic barriers to effective action. </w:t>
      </w:r>
    </w:p>
    <w:p w14:paraId="5DF191A4" w14:textId="1131FA35" w:rsidR="000D0AE7" w:rsidRPr="007738E4" w:rsidRDefault="000D0AE7" w:rsidP="000D0AE7">
      <w:pPr>
        <w:spacing w:line="276" w:lineRule="auto"/>
        <w:rPr>
          <w:rFonts w:cs="Times New Roman"/>
          <w:szCs w:val="24"/>
        </w:rPr>
      </w:pPr>
      <w:r w:rsidRPr="007738E4">
        <w:rPr>
          <w:rFonts w:cs="Times New Roman"/>
          <w:szCs w:val="24"/>
        </w:rPr>
        <w:t xml:space="preserve">In practice, we find elements of both stories in </w:t>
      </w:r>
      <w:r w:rsidR="00295C90" w:rsidRPr="007738E4">
        <w:rPr>
          <w:rFonts w:cs="Times New Roman"/>
          <w:szCs w:val="24"/>
        </w:rPr>
        <w:t xml:space="preserve">relation to </w:t>
      </w:r>
      <w:r w:rsidRPr="007738E4">
        <w:rPr>
          <w:rFonts w:cs="Times New Roman"/>
          <w:szCs w:val="24"/>
        </w:rPr>
        <w:t>key initiatives such as primary care delivery plans. The overall aim may be to tell new prevention stories in relation to healthier and happier populations seeking more wellbeing or joy. This does not detract from more immediate aims such as to improve direct patient care by ensuring more equal access to services or supporting people to access a referral pathway to prevention. Indeed, establishing the value of prevention to direct patient care could be the most effective way to overcome routine barriers to sustainable funding and cooperation</w:t>
      </w:r>
      <w:r w:rsidR="006A0F27" w:rsidRPr="007738E4">
        <w:rPr>
          <w:rFonts w:cs="Times New Roman"/>
          <w:szCs w:val="24"/>
        </w:rPr>
        <w:t xml:space="preserve"> (although participants expressed uncertainty regarding exactly how to make that case)</w:t>
      </w:r>
      <w:r w:rsidRPr="007738E4">
        <w:rPr>
          <w:rFonts w:cs="Times New Roman"/>
          <w:szCs w:val="24"/>
        </w:rPr>
        <w:t>.</w:t>
      </w:r>
    </w:p>
    <w:p w14:paraId="7EB091DE" w14:textId="4026373A" w:rsidR="00157466" w:rsidRPr="007738E4" w:rsidRDefault="00AE22E2" w:rsidP="00295C90">
      <w:pPr>
        <w:pStyle w:val="Heading3"/>
        <w:rPr>
          <w:rFonts w:cs="Times New Roman"/>
        </w:rPr>
      </w:pPr>
      <w:r w:rsidRPr="007738E4">
        <w:rPr>
          <w:rFonts w:cs="Times New Roman"/>
        </w:rPr>
        <w:t>I</w:t>
      </w:r>
      <w:r w:rsidR="00157466" w:rsidRPr="007738E4">
        <w:rPr>
          <w:rFonts w:cs="Times New Roman"/>
        </w:rPr>
        <w:t>mproving congru</w:t>
      </w:r>
      <w:r w:rsidR="00743F27" w:rsidRPr="007738E4">
        <w:rPr>
          <w:rFonts w:cs="Times New Roman"/>
        </w:rPr>
        <w:t>ity</w:t>
      </w:r>
      <w:r w:rsidR="008C169B" w:rsidRPr="007738E4">
        <w:rPr>
          <w:rFonts w:cs="Times New Roman"/>
        </w:rPr>
        <w:t>: institutionalising prevention and collaboration</w:t>
      </w:r>
    </w:p>
    <w:p w14:paraId="2ABF3198" w14:textId="1B3F2590" w:rsidR="00157466" w:rsidRPr="007738E4" w:rsidRDefault="00157466" w:rsidP="00157466">
      <w:pPr>
        <w:spacing w:line="276" w:lineRule="auto"/>
        <w:rPr>
          <w:rFonts w:cs="Times New Roman"/>
          <w:szCs w:val="24"/>
        </w:rPr>
      </w:pPr>
      <w:r w:rsidRPr="007738E4">
        <w:rPr>
          <w:rFonts w:cs="Times New Roman"/>
          <w:szCs w:val="24"/>
        </w:rPr>
        <w:t xml:space="preserve">Participants identify the role of new spaces for discussion, effective arguments, and rule changes to improve the fit between prevention and routine government business. For example, if many leaders don’t have the ‘bandwidth’ to think differently during crisis, how </w:t>
      </w:r>
      <w:r w:rsidR="00893AD9" w:rsidRPr="007738E4">
        <w:rPr>
          <w:rFonts w:cs="Times New Roman"/>
          <w:szCs w:val="24"/>
        </w:rPr>
        <w:t>can they make</w:t>
      </w:r>
      <w:r w:rsidRPr="007738E4">
        <w:rPr>
          <w:rFonts w:cs="Times New Roman"/>
          <w:szCs w:val="24"/>
        </w:rPr>
        <w:t xml:space="preserve"> that leap of faith to prevention? </w:t>
      </w:r>
      <w:r w:rsidR="00F56264">
        <w:rPr>
          <w:rFonts w:cs="Times New Roman"/>
          <w:szCs w:val="24"/>
        </w:rPr>
        <w:t>There is</w:t>
      </w:r>
      <w:r w:rsidRPr="007738E4">
        <w:rPr>
          <w:rFonts w:cs="Times New Roman"/>
          <w:szCs w:val="24"/>
        </w:rPr>
        <w:t xml:space="preserve"> </w:t>
      </w:r>
      <w:r w:rsidR="00295C90" w:rsidRPr="007738E4">
        <w:rPr>
          <w:rFonts w:cs="Times New Roman"/>
          <w:szCs w:val="24"/>
        </w:rPr>
        <w:t>demonstrable value</w:t>
      </w:r>
      <w:r w:rsidRPr="007738E4">
        <w:rPr>
          <w:rFonts w:cs="Times New Roman"/>
          <w:szCs w:val="24"/>
        </w:rPr>
        <w:t xml:space="preserve"> for leaders to </w:t>
      </w:r>
      <w:r w:rsidR="00295C90" w:rsidRPr="007738E4">
        <w:rPr>
          <w:rFonts w:cs="Times New Roman"/>
          <w:szCs w:val="24"/>
        </w:rPr>
        <w:t xml:space="preserve">protect </w:t>
      </w:r>
      <w:r w:rsidRPr="007738E4">
        <w:rPr>
          <w:rFonts w:cs="Times New Roman"/>
          <w:szCs w:val="24"/>
        </w:rPr>
        <w:t xml:space="preserve">space to speak with voluntary sector groups and local citizens. They </w:t>
      </w:r>
      <w:r w:rsidR="00893AD9" w:rsidRPr="007738E4">
        <w:rPr>
          <w:rFonts w:cs="Times New Roman"/>
          <w:szCs w:val="24"/>
        </w:rPr>
        <w:t>can provide</w:t>
      </w:r>
      <w:r w:rsidRPr="007738E4">
        <w:rPr>
          <w:rFonts w:cs="Times New Roman"/>
          <w:szCs w:val="24"/>
        </w:rPr>
        <w:t xml:space="preserve"> a concrete sense of what preventive ideas look like in day-to-day life, in relation to better homes, jobs, lighting to feel safe at night, and green spaces. This regular and effective challenging voice to elected leaders helps to ward off their temptation to return to easy soundbites about personal responsibility for health. </w:t>
      </w:r>
    </w:p>
    <w:p w14:paraId="74C424D9" w14:textId="10557C09" w:rsidR="00955543" w:rsidRPr="007738E4" w:rsidRDefault="00AB5544" w:rsidP="00955543">
      <w:pPr>
        <w:spacing w:line="276" w:lineRule="auto"/>
        <w:rPr>
          <w:rFonts w:cs="Times New Roman"/>
          <w:szCs w:val="24"/>
        </w:rPr>
      </w:pPr>
      <w:r>
        <w:rPr>
          <w:rFonts w:cs="Times New Roman"/>
          <w:szCs w:val="24"/>
        </w:rPr>
        <w:t>Other</w:t>
      </w:r>
      <w:r w:rsidR="00955543" w:rsidRPr="007738E4">
        <w:rPr>
          <w:rFonts w:cs="Times New Roman"/>
          <w:szCs w:val="24"/>
        </w:rPr>
        <w:t xml:space="preserve"> examples include:</w:t>
      </w:r>
    </w:p>
    <w:p w14:paraId="23C68242" w14:textId="77777777" w:rsidR="00955543" w:rsidRPr="007738E4" w:rsidRDefault="00955543" w:rsidP="008C169B">
      <w:pPr>
        <w:spacing w:line="276" w:lineRule="auto"/>
        <w:rPr>
          <w:rFonts w:cs="Times New Roman"/>
          <w:szCs w:val="24"/>
        </w:rPr>
      </w:pPr>
      <w:r w:rsidRPr="007738E4">
        <w:rPr>
          <w:rFonts w:cs="Times New Roman"/>
          <w:i/>
          <w:iCs/>
          <w:szCs w:val="24"/>
        </w:rPr>
        <w:t>Concept-focused initiatives</w:t>
      </w:r>
      <w:r w:rsidRPr="007738E4">
        <w:rPr>
          <w:rFonts w:cs="Times New Roman"/>
          <w:szCs w:val="24"/>
        </w:rPr>
        <w:t xml:space="preserve"> to focus attention on a common reference point, such as a ‘trauma-informed approach’ to whole systems collaboration. The aim is to build relationships between people using or influencing services and the public service workforce. The general aim - to not retraumatise people while they seek support – helps to produce tailored support and allow peers to share challenges and successes (see also ‘compassionate systems leadership’ – West et al, 2017).</w:t>
      </w:r>
    </w:p>
    <w:p w14:paraId="117FE756" w14:textId="3A842AE1" w:rsidR="00955543" w:rsidRPr="007738E4" w:rsidRDefault="00955543" w:rsidP="008C169B">
      <w:pPr>
        <w:spacing w:line="276" w:lineRule="auto"/>
        <w:rPr>
          <w:rFonts w:cs="Times New Roman"/>
          <w:szCs w:val="24"/>
        </w:rPr>
      </w:pPr>
      <w:r w:rsidRPr="007738E4">
        <w:rPr>
          <w:rFonts w:cs="Times New Roman"/>
          <w:i/>
          <w:iCs/>
          <w:szCs w:val="24"/>
        </w:rPr>
        <w:t>Problem-focused initiatives</w:t>
      </w:r>
      <w:r w:rsidRPr="007738E4">
        <w:rPr>
          <w:rFonts w:cs="Times New Roman"/>
          <w:szCs w:val="24"/>
        </w:rPr>
        <w:t xml:space="preserve"> to combine multiple professional roles in a single service, such as to provide housing expertise in NHS Trusts, employ mental health nurses in in local authority housing teams, draw on Citizens Advice in patient mental health wards</w:t>
      </w:r>
      <w:r w:rsidR="008C169B" w:rsidRPr="007738E4">
        <w:rPr>
          <w:rFonts w:cs="Times New Roman"/>
          <w:szCs w:val="24"/>
        </w:rPr>
        <w:t>, or use public health capacity to better effect across ICSs</w:t>
      </w:r>
      <w:r w:rsidRPr="007738E4">
        <w:rPr>
          <w:rFonts w:cs="Times New Roman"/>
          <w:szCs w:val="24"/>
        </w:rPr>
        <w:t>.  For example, initiatives may focus on engaging with mental health issues earlier</w:t>
      </w:r>
      <w:r w:rsidR="00AB5544">
        <w:rPr>
          <w:rFonts w:cs="Times New Roman"/>
          <w:szCs w:val="24"/>
        </w:rPr>
        <w:t xml:space="preserve">, </w:t>
      </w:r>
      <w:r w:rsidRPr="007738E4">
        <w:rPr>
          <w:rFonts w:cs="Times New Roman"/>
          <w:szCs w:val="24"/>
        </w:rPr>
        <w:t xml:space="preserve">to foster more timely conversations and produce system benefits (e.g. to reduce homelessness or prevent readmissions to mental health wards that relate primarily to the stress or anxiety of social and economic pressures). These positive measures can mitigate concerns – felt by public health professionals - that their attempts to mainstream health across policy sectors produce defensiveness in relation to professional identities and turf. </w:t>
      </w:r>
    </w:p>
    <w:p w14:paraId="72DA7B0C" w14:textId="3DE21761" w:rsidR="00955543" w:rsidRPr="007738E4" w:rsidRDefault="00955543" w:rsidP="008C169B">
      <w:pPr>
        <w:spacing w:line="276" w:lineRule="auto"/>
        <w:rPr>
          <w:rFonts w:cs="Times New Roman"/>
          <w:szCs w:val="24"/>
        </w:rPr>
      </w:pPr>
      <w:r w:rsidRPr="007738E4">
        <w:rPr>
          <w:rFonts w:cs="Times New Roman"/>
          <w:i/>
          <w:iCs/>
          <w:szCs w:val="24"/>
        </w:rPr>
        <w:lastRenderedPageBreak/>
        <w:t>Communities-focused approaches</w:t>
      </w:r>
      <w:r w:rsidRPr="007738E4">
        <w:rPr>
          <w:rFonts w:cs="Times New Roman"/>
          <w:szCs w:val="24"/>
        </w:rPr>
        <w:t xml:space="preserve"> value the routine conversations with people </w:t>
      </w:r>
      <w:r w:rsidR="00893AD9" w:rsidRPr="007738E4">
        <w:rPr>
          <w:rFonts w:cs="Times New Roman"/>
          <w:szCs w:val="24"/>
        </w:rPr>
        <w:t>normally left out of policymaking</w:t>
      </w:r>
      <w:r w:rsidRPr="007738E4">
        <w:rPr>
          <w:rFonts w:cs="Times New Roman"/>
          <w:szCs w:val="24"/>
        </w:rPr>
        <w:t xml:space="preserve">. </w:t>
      </w:r>
      <w:r w:rsidR="00AB5544">
        <w:rPr>
          <w:rFonts w:cs="Times New Roman"/>
          <w:szCs w:val="24"/>
        </w:rPr>
        <w:t>C</w:t>
      </w:r>
      <w:r w:rsidRPr="007738E4">
        <w:rPr>
          <w:rFonts w:cs="Times New Roman"/>
          <w:szCs w:val="24"/>
        </w:rPr>
        <w:t>ontinuous professional development should include time to speak directly with communities, and strategic discussions should involve routine non-tokenistic meetings between service leaders, stakeholders, and citizens.</w:t>
      </w:r>
    </w:p>
    <w:p w14:paraId="722BB4E3" w14:textId="4F4FD3C0" w:rsidR="00157466" w:rsidRPr="007738E4" w:rsidRDefault="005E7879" w:rsidP="000D0AE7">
      <w:pPr>
        <w:spacing w:line="276" w:lineRule="auto"/>
        <w:rPr>
          <w:rFonts w:cs="Times New Roman"/>
          <w:szCs w:val="24"/>
        </w:rPr>
      </w:pPr>
      <w:r w:rsidRPr="007738E4">
        <w:rPr>
          <w:rFonts w:cs="Times New Roman"/>
          <w:szCs w:val="24"/>
        </w:rPr>
        <w:t>I</w:t>
      </w:r>
      <w:r w:rsidR="00157466" w:rsidRPr="007738E4">
        <w:rPr>
          <w:rFonts w:cs="Times New Roman"/>
          <w:szCs w:val="24"/>
        </w:rPr>
        <w:t xml:space="preserve">t </w:t>
      </w:r>
      <w:r w:rsidRPr="007738E4">
        <w:rPr>
          <w:rFonts w:cs="Times New Roman"/>
          <w:szCs w:val="24"/>
        </w:rPr>
        <w:t xml:space="preserve">may also be </w:t>
      </w:r>
      <w:r w:rsidR="00157466" w:rsidRPr="007738E4">
        <w:rPr>
          <w:rFonts w:cs="Times New Roman"/>
          <w:szCs w:val="24"/>
        </w:rPr>
        <w:t xml:space="preserve">possible to change </w:t>
      </w:r>
      <w:r w:rsidR="008C169B" w:rsidRPr="007738E4">
        <w:rPr>
          <w:rFonts w:cs="Times New Roman"/>
          <w:szCs w:val="24"/>
        </w:rPr>
        <w:t>‘</w:t>
      </w:r>
      <w:r w:rsidR="00157466" w:rsidRPr="007738E4">
        <w:rPr>
          <w:rFonts w:cs="Times New Roman"/>
          <w:szCs w:val="24"/>
        </w:rPr>
        <w:t>how things are done</w:t>
      </w:r>
      <w:r w:rsidRPr="007738E4">
        <w:rPr>
          <w:rFonts w:cs="Times New Roman"/>
          <w:szCs w:val="24"/>
        </w:rPr>
        <w:t xml:space="preserve"> around here</w:t>
      </w:r>
      <w:r w:rsidR="008C169B" w:rsidRPr="007738E4">
        <w:rPr>
          <w:rFonts w:cs="Times New Roman"/>
          <w:szCs w:val="24"/>
        </w:rPr>
        <w:t>’</w:t>
      </w:r>
      <w:r w:rsidR="00157466" w:rsidRPr="007738E4">
        <w:rPr>
          <w:rFonts w:cs="Times New Roman"/>
          <w:szCs w:val="24"/>
        </w:rPr>
        <w:t>. F</w:t>
      </w:r>
      <w:r w:rsidRPr="007738E4">
        <w:rPr>
          <w:rFonts w:cs="Times New Roman"/>
          <w:szCs w:val="24"/>
        </w:rPr>
        <w:t>or example</w:t>
      </w:r>
      <w:r w:rsidR="00157466" w:rsidRPr="007738E4">
        <w:rPr>
          <w:rFonts w:cs="Times New Roman"/>
          <w:szCs w:val="24"/>
        </w:rPr>
        <w:t xml:space="preserve">, </w:t>
      </w:r>
      <w:r w:rsidRPr="007738E4">
        <w:rPr>
          <w:rFonts w:cs="Times New Roman"/>
          <w:szCs w:val="24"/>
        </w:rPr>
        <w:t>NHS England’s</w:t>
      </w:r>
      <w:r w:rsidR="00157466" w:rsidRPr="007738E4">
        <w:rPr>
          <w:rFonts w:cs="Times New Roman"/>
          <w:szCs w:val="24"/>
        </w:rPr>
        <w:t xml:space="preserve"> Mental Health Investment Standard (MHIS) </w:t>
      </w:r>
      <w:r w:rsidRPr="007738E4">
        <w:rPr>
          <w:rFonts w:cs="Times New Roman"/>
          <w:szCs w:val="24"/>
        </w:rPr>
        <w:t>required key organisations ‘</w:t>
      </w:r>
      <w:r w:rsidR="00157466" w:rsidRPr="007738E4">
        <w:rPr>
          <w:rFonts w:cs="Times New Roman"/>
          <w:szCs w:val="24"/>
        </w:rPr>
        <w:t xml:space="preserve">to increase their planned spending on Mental Health services by a greater proportion than their overall increase in budget allocation each year’. </w:t>
      </w:r>
      <w:r w:rsidRPr="007738E4">
        <w:rPr>
          <w:rFonts w:cs="Times New Roman"/>
          <w:szCs w:val="24"/>
        </w:rPr>
        <w:t>Further</w:t>
      </w:r>
      <w:r w:rsidR="00157466" w:rsidRPr="007738E4">
        <w:rPr>
          <w:rFonts w:cs="Times New Roman"/>
          <w:szCs w:val="24"/>
        </w:rPr>
        <w:t xml:space="preserve">, </w:t>
      </w:r>
      <w:r w:rsidRPr="007738E4">
        <w:rPr>
          <w:rFonts w:cs="Times New Roman"/>
          <w:szCs w:val="24"/>
        </w:rPr>
        <w:t>reforms to GP or</w:t>
      </w:r>
      <w:r w:rsidR="00157466" w:rsidRPr="007738E4">
        <w:rPr>
          <w:rFonts w:cs="Times New Roman"/>
          <w:szCs w:val="24"/>
        </w:rPr>
        <w:t xml:space="preserve"> pharmacy contract</w:t>
      </w:r>
      <w:r w:rsidRPr="007738E4">
        <w:rPr>
          <w:rFonts w:cs="Times New Roman"/>
          <w:szCs w:val="24"/>
        </w:rPr>
        <w:t>s</w:t>
      </w:r>
      <w:r w:rsidR="00157466" w:rsidRPr="007738E4">
        <w:rPr>
          <w:rFonts w:cs="Times New Roman"/>
          <w:szCs w:val="24"/>
        </w:rPr>
        <w:t xml:space="preserve"> </w:t>
      </w:r>
      <w:r w:rsidRPr="007738E4">
        <w:rPr>
          <w:rFonts w:cs="Times New Roman"/>
          <w:szCs w:val="24"/>
        </w:rPr>
        <w:t>have the potential to shift incentives from treating ill-health to identifying ways to boost preventive healthy behaviour</w:t>
      </w:r>
      <w:r w:rsidR="00295C90" w:rsidRPr="007738E4">
        <w:rPr>
          <w:rFonts w:cs="Times New Roman"/>
          <w:szCs w:val="24"/>
        </w:rPr>
        <w:t xml:space="preserve"> (although we do not underestimate the difficulty of such reforms, especially during tense negotiation on pay and conditions)</w:t>
      </w:r>
      <w:r w:rsidRPr="007738E4">
        <w:rPr>
          <w:rFonts w:cs="Times New Roman"/>
          <w:szCs w:val="24"/>
        </w:rPr>
        <w:t>.</w:t>
      </w:r>
    </w:p>
    <w:p w14:paraId="0DCBF1C5" w14:textId="137E3B6C" w:rsidR="00157466" w:rsidRPr="007738E4" w:rsidRDefault="001710E5" w:rsidP="00AE37F3">
      <w:pPr>
        <w:pStyle w:val="Heading3"/>
        <w:rPr>
          <w:rFonts w:cs="Times New Roman"/>
        </w:rPr>
      </w:pPr>
      <w:r w:rsidRPr="007738E4">
        <w:rPr>
          <w:rFonts w:cs="Times New Roman"/>
        </w:rPr>
        <w:t>I</w:t>
      </w:r>
      <w:r w:rsidR="00157466" w:rsidRPr="007738E4">
        <w:rPr>
          <w:rFonts w:cs="Times New Roman"/>
        </w:rPr>
        <w:t>mproving capacity</w:t>
      </w:r>
      <w:r w:rsidR="008C169B" w:rsidRPr="007738E4">
        <w:rPr>
          <w:rFonts w:cs="Times New Roman"/>
        </w:rPr>
        <w:t>: making prevention everyone’s business and using data well</w:t>
      </w:r>
    </w:p>
    <w:p w14:paraId="4F0B9302" w14:textId="60D2BB52" w:rsidR="000D0AE7" w:rsidRPr="007738E4" w:rsidRDefault="000D0AE7" w:rsidP="000D0AE7">
      <w:pPr>
        <w:spacing w:line="276" w:lineRule="auto"/>
        <w:rPr>
          <w:rFonts w:cs="Times New Roman"/>
          <w:szCs w:val="24"/>
        </w:rPr>
      </w:pPr>
      <w:r w:rsidRPr="007738E4">
        <w:rPr>
          <w:rFonts w:cs="Times New Roman"/>
          <w:szCs w:val="24"/>
        </w:rPr>
        <w:t xml:space="preserve">Much focus group discussion </w:t>
      </w:r>
      <w:r w:rsidR="00DB772E" w:rsidRPr="007738E4">
        <w:rPr>
          <w:rFonts w:cs="Times New Roman"/>
          <w:szCs w:val="24"/>
        </w:rPr>
        <w:t>connected to the idea of political will, such as to describe</w:t>
      </w:r>
      <w:r w:rsidRPr="007738E4">
        <w:rPr>
          <w:rFonts w:cs="Times New Roman"/>
          <w:szCs w:val="24"/>
        </w:rPr>
        <w:t xml:space="preserve"> the need for ‘bravery’ to tackle unsustainable models and redirect our focus towards wellbeing and health creation. One aspect of this story is to identify an external national cause </w:t>
      </w:r>
      <w:r w:rsidR="00DB772E" w:rsidRPr="007738E4">
        <w:rPr>
          <w:rFonts w:cs="Times New Roman"/>
          <w:szCs w:val="24"/>
        </w:rPr>
        <w:t xml:space="preserve">of problems </w:t>
      </w:r>
      <w:r w:rsidRPr="007738E4">
        <w:rPr>
          <w:rFonts w:cs="Times New Roman"/>
          <w:szCs w:val="24"/>
        </w:rPr>
        <w:t xml:space="preserve">– such as the impact of Westminster party politics on government health policy – but scope for a </w:t>
      </w:r>
      <w:r w:rsidR="00DB772E" w:rsidRPr="007738E4">
        <w:rPr>
          <w:rFonts w:cs="Times New Roman"/>
          <w:szCs w:val="24"/>
        </w:rPr>
        <w:t>positive</w:t>
      </w:r>
      <w:r w:rsidRPr="007738E4">
        <w:rPr>
          <w:rFonts w:cs="Times New Roman"/>
          <w:szCs w:val="24"/>
        </w:rPr>
        <w:t xml:space="preserve"> local response. </w:t>
      </w:r>
      <w:r w:rsidR="00DB772E" w:rsidRPr="007738E4">
        <w:rPr>
          <w:rFonts w:cs="Times New Roman"/>
          <w:szCs w:val="24"/>
        </w:rPr>
        <w:t>S</w:t>
      </w:r>
      <w:r w:rsidRPr="007738E4">
        <w:rPr>
          <w:rFonts w:cs="Times New Roman"/>
          <w:szCs w:val="24"/>
        </w:rPr>
        <w:t>ome describe</w:t>
      </w:r>
      <w:r w:rsidR="001710E5" w:rsidRPr="007738E4">
        <w:rPr>
          <w:rFonts w:cs="Times New Roman"/>
          <w:szCs w:val="24"/>
        </w:rPr>
        <w:t>d</w:t>
      </w:r>
      <w:r w:rsidRPr="007738E4">
        <w:rPr>
          <w:rFonts w:cs="Times New Roman"/>
          <w:szCs w:val="24"/>
        </w:rPr>
        <w:t xml:space="preserve"> the potential for major changes when powerful </w:t>
      </w:r>
      <w:r w:rsidR="00DB772E" w:rsidRPr="007738E4">
        <w:rPr>
          <w:rFonts w:cs="Times New Roman"/>
          <w:szCs w:val="24"/>
        </w:rPr>
        <w:t xml:space="preserve">national </w:t>
      </w:r>
      <w:r w:rsidRPr="007738E4">
        <w:rPr>
          <w:rFonts w:cs="Times New Roman"/>
          <w:szCs w:val="24"/>
        </w:rPr>
        <w:t>leaders champion a cause</w:t>
      </w:r>
      <w:r w:rsidR="001E263B" w:rsidRPr="007738E4">
        <w:rPr>
          <w:rFonts w:cs="Times New Roman"/>
          <w:szCs w:val="24"/>
        </w:rPr>
        <w:t xml:space="preserve">, </w:t>
      </w:r>
      <w:r w:rsidRPr="007738E4">
        <w:rPr>
          <w:rFonts w:cs="Times New Roman"/>
          <w:szCs w:val="24"/>
        </w:rPr>
        <w:t xml:space="preserve">such as when the </w:t>
      </w:r>
      <w:r w:rsidR="001E263B" w:rsidRPr="007738E4">
        <w:rPr>
          <w:rFonts w:cs="Times New Roman"/>
          <w:szCs w:val="24"/>
        </w:rPr>
        <w:t xml:space="preserve">former </w:t>
      </w:r>
      <w:r w:rsidRPr="007738E4">
        <w:rPr>
          <w:rFonts w:cs="Times New Roman"/>
          <w:szCs w:val="24"/>
        </w:rPr>
        <w:t xml:space="preserve">UK Prime Minister </w:t>
      </w:r>
      <w:r w:rsidR="001E263B" w:rsidRPr="007738E4">
        <w:rPr>
          <w:rFonts w:cs="Times New Roman"/>
          <w:szCs w:val="24"/>
        </w:rPr>
        <w:t xml:space="preserve">Rishi Sunak </w:t>
      </w:r>
      <w:r w:rsidRPr="007738E4">
        <w:rPr>
          <w:rFonts w:cs="Times New Roman"/>
          <w:szCs w:val="24"/>
        </w:rPr>
        <w:t>supported a smokefree generation</w:t>
      </w:r>
      <w:r w:rsidR="001E263B" w:rsidRPr="007738E4">
        <w:rPr>
          <w:rFonts w:cs="Times New Roman"/>
          <w:szCs w:val="24"/>
        </w:rPr>
        <w:t xml:space="preserve"> (since then, current PM Keir Starmer has renewed UK government commitment to prevention – Eaton, 2024</w:t>
      </w:r>
      <w:r w:rsidRPr="007738E4">
        <w:rPr>
          <w:rFonts w:cs="Times New Roman"/>
          <w:szCs w:val="24"/>
        </w:rPr>
        <w:t xml:space="preserve">). </w:t>
      </w:r>
      <w:r w:rsidR="00DB772E" w:rsidRPr="007738E4">
        <w:rPr>
          <w:rFonts w:cs="Times New Roman"/>
          <w:szCs w:val="24"/>
        </w:rPr>
        <w:t>Others describe</w:t>
      </w:r>
      <w:r w:rsidR="001710E5" w:rsidRPr="007738E4">
        <w:rPr>
          <w:rFonts w:cs="Times New Roman"/>
          <w:szCs w:val="24"/>
        </w:rPr>
        <w:t>d</w:t>
      </w:r>
      <w:r w:rsidRPr="007738E4">
        <w:rPr>
          <w:rFonts w:cs="Times New Roman"/>
          <w:szCs w:val="24"/>
        </w:rPr>
        <w:t xml:space="preserve"> </w:t>
      </w:r>
      <w:r w:rsidR="00DB772E" w:rsidRPr="007738E4">
        <w:rPr>
          <w:rFonts w:cs="Times New Roman"/>
          <w:szCs w:val="24"/>
        </w:rPr>
        <w:t>more local champions, such as a</w:t>
      </w:r>
      <w:r w:rsidRPr="007738E4">
        <w:rPr>
          <w:rFonts w:cs="Times New Roman"/>
          <w:szCs w:val="24"/>
        </w:rPr>
        <w:t xml:space="preserve"> local government mental health champion scheme </w:t>
      </w:r>
      <w:r w:rsidR="00DB772E" w:rsidRPr="007738E4">
        <w:rPr>
          <w:rFonts w:cs="Times New Roman"/>
          <w:szCs w:val="24"/>
        </w:rPr>
        <w:t xml:space="preserve">which </w:t>
      </w:r>
      <w:r w:rsidR="001710E5" w:rsidRPr="007738E4">
        <w:rPr>
          <w:rFonts w:cs="Times New Roman"/>
          <w:szCs w:val="24"/>
        </w:rPr>
        <w:t xml:space="preserve">can </w:t>
      </w:r>
      <w:r w:rsidR="00DB772E" w:rsidRPr="007738E4">
        <w:rPr>
          <w:rFonts w:cs="Times New Roman"/>
          <w:szCs w:val="24"/>
        </w:rPr>
        <w:t>recruit</w:t>
      </w:r>
      <w:r w:rsidRPr="007738E4">
        <w:rPr>
          <w:rFonts w:cs="Times New Roman"/>
          <w:szCs w:val="24"/>
        </w:rPr>
        <w:t xml:space="preserve"> powerful people to take up mental health issues, make the case for change in a language familiar to their audience, and use human stories to bring an issue to life. </w:t>
      </w:r>
    </w:p>
    <w:p w14:paraId="63CA3D7D" w14:textId="4DDB81D7" w:rsidR="00AB5544" w:rsidRDefault="00DB772E" w:rsidP="00955543">
      <w:pPr>
        <w:spacing w:line="276" w:lineRule="auto"/>
        <w:rPr>
          <w:rFonts w:cs="Times New Roman"/>
          <w:szCs w:val="24"/>
        </w:rPr>
      </w:pPr>
      <w:r w:rsidRPr="007738E4">
        <w:rPr>
          <w:rFonts w:cs="Times New Roman"/>
          <w:szCs w:val="24"/>
        </w:rPr>
        <w:t>There was also some discussion of boosting systemic capacity</w:t>
      </w:r>
      <w:r w:rsidR="00955543" w:rsidRPr="007738E4">
        <w:rPr>
          <w:rFonts w:cs="Times New Roman"/>
          <w:szCs w:val="24"/>
        </w:rPr>
        <w:t>, on the groun</w:t>
      </w:r>
      <w:r w:rsidR="008C169B" w:rsidRPr="007738E4">
        <w:rPr>
          <w:rFonts w:cs="Times New Roman"/>
          <w:szCs w:val="24"/>
        </w:rPr>
        <w:t>d</w:t>
      </w:r>
      <w:r w:rsidR="00955543" w:rsidRPr="007738E4">
        <w:rPr>
          <w:rFonts w:cs="Times New Roman"/>
          <w:szCs w:val="24"/>
        </w:rPr>
        <w:t xml:space="preserve">s that many leaders will not engage with prevention-relevant policy problems if they do not see evidence for the feasibility of solutions. </w:t>
      </w:r>
      <w:r w:rsidR="00AB5544">
        <w:rPr>
          <w:rFonts w:cs="Times New Roman"/>
          <w:szCs w:val="24"/>
        </w:rPr>
        <w:t>For example, t</w:t>
      </w:r>
      <w:r w:rsidR="00AB5544" w:rsidRPr="00AB5544">
        <w:rPr>
          <w:rFonts w:cs="Times New Roman"/>
          <w:szCs w:val="24"/>
        </w:rPr>
        <w:t>he general idea of ‘systems leadership’ has taken off across ICSs and healthcare, to shift from heroic leader</w:t>
      </w:r>
      <w:r w:rsidR="00AB5544" w:rsidRPr="00AB5544">
        <w:rPr>
          <w:rFonts w:cs="Times New Roman"/>
          <w:i/>
          <w:iCs/>
          <w:szCs w:val="24"/>
        </w:rPr>
        <w:t>s</w:t>
      </w:r>
      <w:r w:rsidR="00AB5544" w:rsidRPr="00AB5544">
        <w:rPr>
          <w:rFonts w:cs="Times New Roman"/>
          <w:szCs w:val="24"/>
        </w:rPr>
        <w:t xml:space="preserve"> making policy from the top towards distributed and collaborative leader</w:t>
      </w:r>
      <w:r w:rsidR="00AB5544" w:rsidRPr="00AB5544">
        <w:rPr>
          <w:rFonts w:cs="Times New Roman"/>
          <w:i/>
          <w:iCs/>
          <w:szCs w:val="24"/>
        </w:rPr>
        <w:t>ship</w:t>
      </w:r>
      <w:r w:rsidR="00AB5544" w:rsidRPr="00AB5544">
        <w:rPr>
          <w:rFonts w:cs="Times New Roman"/>
          <w:szCs w:val="24"/>
        </w:rPr>
        <w:t xml:space="preserve"> shared by actors across a system (e.g. NHS England, 2018; NHS Confederation, 2021; reviewed in Cairney and Toomey, 2025).</w:t>
      </w:r>
    </w:p>
    <w:p w14:paraId="7C0112C9" w14:textId="77777777" w:rsidR="00AB5544" w:rsidRPr="00AB5544" w:rsidRDefault="00AB5544" w:rsidP="00AB5544">
      <w:pPr>
        <w:spacing w:line="276" w:lineRule="auto"/>
        <w:rPr>
          <w:rFonts w:cs="Times New Roman"/>
          <w:szCs w:val="24"/>
        </w:rPr>
      </w:pPr>
      <w:r w:rsidRPr="00AB5544">
        <w:rPr>
          <w:rFonts w:cs="Times New Roman"/>
          <w:szCs w:val="24"/>
        </w:rPr>
        <w:t>That said, some expressed concern that making prevention ‘everyone’s business’ can mean that it is tricky to pin down who has prevention in their portfolio and that no one takes responsibility for key choices and outcomes. Here, we find a difficult balancing act: prevention needs to be part of the day job of more people, finding the ‘headroom’ to invest their time when facing other pressures; but there also needs to be someone or an organisation to oversee the whole system and strategic direction (these themes resonate in the wider systems leadership literature – Cairney and Toomey, 2025).</w:t>
      </w:r>
    </w:p>
    <w:p w14:paraId="503AA9F8" w14:textId="77777777" w:rsidR="00AB5544" w:rsidRPr="00AB5544" w:rsidRDefault="00AB5544" w:rsidP="00AB5544">
      <w:pPr>
        <w:spacing w:line="276" w:lineRule="auto"/>
        <w:rPr>
          <w:rFonts w:cs="Times New Roman"/>
          <w:szCs w:val="24"/>
        </w:rPr>
      </w:pPr>
      <w:r w:rsidRPr="00AB5544">
        <w:rPr>
          <w:rFonts w:cs="Times New Roman"/>
          <w:szCs w:val="24"/>
        </w:rPr>
        <w:t xml:space="preserve">This responsibility should not only be in the hands of a policy champion, since we need to maintain wide ownership, longevity, and corporate memory in systems where there is inevitable staffing ‘churn’. This responsibility can vary by organisation, which can help innovation and learning between ICSs and its partners, but only if the responsibility is clear in each case. For example, we heard of initiatives to identify primary, secondary, tertiary, and </w:t>
      </w:r>
      <w:r w:rsidRPr="00AB5544">
        <w:rPr>
          <w:rFonts w:cs="Times New Roman"/>
          <w:szCs w:val="24"/>
        </w:rPr>
        <w:lastRenderedPageBreak/>
        <w:t>structural aspects of prevention and use these categories to identify responsibilities and actions, backed up by a strong Director of public health and public health team which is crucial to keeping wider determinants on the agenda. We also heard of the value of Consensus Statements to foster a vision, design a plan, identify key roles for partners, and show how to assess progress.</w:t>
      </w:r>
    </w:p>
    <w:p w14:paraId="207A9708" w14:textId="28A729B5" w:rsidR="000D0AE7" w:rsidRPr="007738E4" w:rsidRDefault="00AB5544" w:rsidP="00955543">
      <w:pPr>
        <w:spacing w:line="276" w:lineRule="auto"/>
        <w:rPr>
          <w:rFonts w:cs="Times New Roman"/>
          <w:szCs w:val="24"/>
        </w:rPr>
      </w:pPr>
      <w:r>
        <w:rPr>
          <w:rFonts w:cs="Times New Roman"/>
          <w:szCs w:val="24"/>
        </w:rPr>
        <w:t>Many discussions connected broad systems leadership to the need to demonstrate continuous progress. Here, t</w:t>
      </w:r>
      <w:r w:rsidR="00955543" w:rsidRPr="007738E4">
        <w:rPr>
          <w:rFonts w:cs="Times New Roman"/>
          <w:szCs w:val="24"/>
        </w:rPr>
        <w:t xml:space="preserve">here </w:t>
      </w:r>
      <w:r>
        <w:rPr>
          <w:rFonts w:cs="Times New Roman"/>
          <w:szCs w:val="24"/>
        </w:rPr>
        <w:t>is</w:t>
      </w:r>
      <w:r w:rsidR="00955543" w:rsidRPr="007738E4">
        <w:rPr>
          <w:rFonts w:cs="Times New Roman"/>
          <w:szCs w:val="24"/>
        </w:rPr>
        <w:t xml:space="preserve"> understandable nervousness</w:t>
      </w:r>
      <w:r>
        <w:rPr>
          <w:rFonts w:cs="Times New Roman"/>
          <w:szCs w:val="24"/>
        </w:rPr>
        <w:t xml:space="preserve"> regarding </w:t>
      </w:r>
      <w:r w:rsidR="00955543" w:rsidRPr="007738E4">
        <w:rPr>
          <w:rFonts w:cs="Times New Roman"/>
          <w:szCs w:val="24"/>
        </w:rPr>
        <w:t xml:space="preserve">the </w:t>
      </w:r>
      <w:r>
        <w:rPr>
          <w:rFonts w:cs="Times New Roman"/>
          <w:szCs w:val="24"/>
        </w:rPr>
        <w:t xml:space="preserve">partially-met </w:t>
      </w:r>
      <w:r w:rsidR="00955543" w:rsidRPr="007738E4">
        <w:rPr>
          <w:rFonts w:cs="Times New Roman"/>
          <w:szCs w:val="24"/>
        </w:rPr>
        <w:t xml:space="preserve">need to tell better success stories about the value of early health detection, wider initiatives such as pollution control, and the benefits of interventions in specific neighbourhoods. These stories should connect to tangible information about the progress of promising work, such as to use prevention pilots in diverse and deprived areas to </w:t>
      </w:r>
      <w:proofErr w:type="gramStart"/>
      <w:r w:rsidR="00955543" w:rsidRPr="007738E4">
        <w:rPr>
          <w:rFonts w:cs="Times New Roman"/>
          <w:szCs w:val="24"/>
        </w:rPr>
        <w:t>ask</w:t>
      </w:r>
      <w:proofErr w:type="gramEnd"/>
      <w:r w:rsidR="00955543" w:rsidRPr="007738E4">
        <w:rPr>
          <w:rFonts w:cs="Times New Roman"/>
          <w:szCs w:val="24"/>
        </w:rPr>
        <w:t xml:space="preserve"> ‘what works well on the ground?’  Piloting and rapid evidence gathering </w:t>
      </w:r>
      <w:r w:rsidRPr="00DE6430">
        <w:rPr>
          <w:rFonts w:cs="Times New Roman"/>
          <w:i/>
          <w:iCs/>
          <w:szCs w:val="24"/>
        </w:rPr>
        <w:t>could</w:t>
      </w:r>
      <w:r w:rsidR="00955543" w:rsidRPr="007738E4">
        <w:rPr>
          <w:rFonts w:cs="Times New Roman"/>
          <w:szCs w:val="24"/>
        </w:rPr>
        <w:t xml:space="preserve"> help policymakers see new benefits </w:t>
      </w:r>
      <w:r w:rsidR="00F23E77" w:rsidRPr="007738E4">
        <w:rPr>
          <w:rFonts w:cs="Times New Roman"/>
          <w:szCs w:val="24"/>
        </w:rPr>
        <w:t xml:space="preserve">to service users </w:t>
      </w:r>
      <w:r w:rsidR="00955543" w:rsidRPr="007738E4">
        <w:rPr>
          <w:rFonts w:cs="Times New Roman"/>
          <w:szCs w:val="24"/>
        </w:rPr>
        <w:t>and</w:t>
      </w:r>
      <w:r w:rsidR="00F23E77" w:rsidRPr="007738E4">
        <w:rPr>
          <w:rFonts w:cs="Times New Roman"/>
          <w:szCs w:val="24"/>
        </w:rPr>
        <w:t xml:space="preserve"> </w:t>
      </w:r>
      <w:r w:rsidR="00955543" w:rsidRPr="007738E4">
        <w:rPr>
          <w:rFonts w:cs="Times New Roman"/>
          <w:szCs w:val="24"/>
        </w:rPr>
        <w:t xml:space="preserve">allow </w:t>
      </w:r>
      <w:r w:rsidR="00893AD9" w:rsidRPr="007738E4">
        <w:rPr>
          <w:rFonts w:cs="Times New Roman"/>
          <w:szCs w:val="24"/>
        </w:rPr>
        <w:t xml:space="preserve">the </w:t>
      </w:r>
      <w:r w:rsidR="00955543" w:rsidRPr="007738E4">
        <w:rPr>
          <w:rFonts w:cs="Times New Roman"/>
          <w:szCs w:val="24"/>
        </w:rPr>
        <w:t>roll</w:t>
      </w:r>
      <w:r w:rsidR="00893AD9" w:rsidRPr="007738E4">
        <w:rPr>
          <w:rFonts w:cs="Times New Roman"/>
          <w:szCs w:val="24"/>
        </w:rPr>
        <w:t>-</w:t>
      </w:r>
      <w:r w:rsidR="00955543" w:rsidRPr="007738E4">
        <w:rPr>
          <w:rFonts w:cs="Times New Roman"/>
          <w:szCs w:val="24"/>
        </w:rPr>
        <w:t>out</w:t>
      </w:r>
      <w:r w:rsidR="00893AD9" w:rsidRPr="007738E4">
        <w:rPr>
          <w:rFonts w:cs="Times New Roman"/>
          <w:szCs w:val="24"/>
        </w:rPr>
        <w:t xml:space="preserve"> of</w:t>
      </w:r>
      <w:r w:rsidR="00955543" w:rsidRPr="007738E4">
        <w:rPr>
          <w:rFonts w:cs="Times New Roman"/>
          <w:szCs w:val="24"/>
        </w:rPr>
        <w:t xml:space="preserve"> initiatives on a bigger scale</w:t>
      </w:r>
      <w:r>
        <w:rPr>
          <w:rFonts w:cs="Times New Roman"/>
          <w:szCs w:val="24"/>
        </w:rPr>
        <w:t xml:space="preserve"> (but there is an expressed need to turn potential to reality more often). </w:t>
      </w:r>
    </w:p>
    <w:p w14:paraId="4A09173B" w14:textId="501D4ADA" w:rsidR="00A60A59" w:rsidRPr="007738E4" w:rsidRDefault="008E5E66" w:rsidP="00A60A59">
      <w:pPr>
        <w:spacing w:line="276" w:lineRule="auto"/>
        <w:rPr>
          <w:rFonts w:cs="Times New Roman"/>
          <w:i/>
          <w:iCs/>
          <w:szCs w:val="24"/>
        </w:rPr>
      </w:pPr>
      <w:r w:rsidRPr="007738E4">
        <w:rPr>
          <w:rFonts w:cs="Times New Roman"/>
          <w:szCs w:val="24"/>
        </w:rPr>
        <w:t xml:space="preserve">During such discussions, many participants pinned high hopes on </w:t>
      </w:r>
      <w:r w:rsidR="000D0AE7" w:rsidRPr="007738E4">
        <w:rPr>
          <w:rFonts w:cs="Times New Roman"/>
          <w:iCs/>
          <w:szCs w:val="24"/>
        </w:rPr>
        <w:t xml:space="preserve">the power of </w:t>
      </w:r>
      <w:r w:rsidR="00AB5544" w:rsidRPr="007738E4">
        <w:rPr>
          <w:rFonts w:cs="Times New Roman"/>
          <w:iCs/>
          <w:szCs w:val="24"/>
        </w:rPr>
        <w:t>high-quality</w:t>
      </w:r>
      <w:r w:rsidR="000D0AE7" w:rsidRPr="007738E4">
        <w:rPr>
          <w:rFonts w:cs="Times New Roman"/>
          <w:iCs/>
          <w:szCs w:val="24"/>
        </w:rPr>
        <w:t xml:space="preserve"> data</w:t>
      </w:r>
      <w:r w:rsidR="001C4D84" w:rsidRPr="007738E4">
        <w:rPr>
          <w:rFonts w:cs="Times New Roman"/>
          <w:iCs/>
          <w:szCs w:val="24"/>
        </w:rPr>
        <w:t xml:space="preserve"> and population health management </w:t>
      </w:r>
      <w:r w:rsidR="008C169B" w:rsidRPr="007738E4">
        <w:rPr>
          <w:rFonts w:cs="Times New Roman"/>
          <w:iCs/>
          <w:szCs w:val="24"/>
        </w:rPr>
        <w:t xml:space="preserve">approach (again, this </w:t>
      </w:r>
      <w:r w:rsidR="009C111F" w:rsidRPr="007738E4">
        <w:rPr>
          <w:rFonts w:cs="Times New Roman"/>
          <w:iCs/>
          <w:szCs w:val="24"/>
        </w:rPr>
        <w:t xml:space="preserve">hope </w:t>
      </w:r>
      <w:r w:rsidR="008C169B" w:rsidRPr="007738E4">
        <w:rPr>
          <w:rFonts w:cs="Times New Roman"/>
          <w:iCs/>
          <w:szCs w:val="24"/>
        </w:rPr>
        <w:t>is strong in systems leadership and whole-of-government approaches</w:t>
      </w:r>
      <w:r w:rsidR="009C111F" w:rsidRPr="007738E4">
        <w:rPr>
          <w:rFonts w:cs="Times New Roman"/>
          <w:iCs/>
          <w:szCs w:val="24"/>
        </w:rPr>
        <w:t xml:space="preserve">, albeit tempered by issues such as data protection </w:t>
      </w:r>
      <w:r w:rsidR="008C169B" w:rsidRPr="007738E4">
        <w:rPr>
          <w:rFonts w:cs="Times New Roman"/>
          <w:iCs/>
          <w:szCs w:val="24"/>
        </w:rPr>
        <w:t>– Cairney and Toomey, 2025</w:t>
      </w:r>
      <w:r w:rsidR="009C111F" w:rsidRPr="007738E4">
        <w:rPr>
          <w:rFonts w:cs="Times New Roman"/>
          <w:iCs/>
          <w:szCs w:val="24"/>
        </w:rPr>
        <w:t xml:space="preserve">; </w:t>
      </w:r>
      <w:r w:rsidR="00171010" w:rsidRPr="007738E4">
        <w:rPr>
          <w:rFonts w:cs="Times New Roman"/>
          <w:iCs/>
          <w:szCs w:val="24"/>
        </w:rPr>
        <w:t>6 et al, 2005</w:t>
      </w:r>
      <w:r w:rsidR="008C169B" w:rsidRPr="007738E4">
        <w:rPr>
          <w:rFonts w:cs="Times New Roman"/>
          <w:iCs/>
          <w:szCs w:val="24"/>
        </w:rPr>
        <w:t>)</w:t>
      </w:r>
      <w:r w:rsidRPr="007738E4">
        <w:rPr>
          <w:rFonts w:cs="Times New Roman"/>
          <w:iCs/>
          <w:szCs w:val="24"/>
        </w:rPr>
        <w:t xml:space="preserve">. They </w:t>
      </w:r>
      <w:r w:rsidR="000D0AE7" w:rsidRPr="007738E4">
        <w:rPr>
          <w:rFonts w:cs="Times New Roman"/>
          <w:szCs w:val="24"/>
        </w:rPr>
        <w:t xml:space="preserve">described the need to value the </w:t>
      </w:r>
      <w:r w:rsidR="00682EEE" w:rsidRPr="007738E4">
        <w:rPr>
          <w:rFonts w:cs="Times New Roman"/>
          <w:szCs w:val="24"/>
        </w:rPr>
        <w:t xml:space="preserve">collaborative </w:t>
      </w:r>
      <w:r w:rsidR="000D0AE7" w:rsidRPr="007738E4">
        <w:rPr>
          <w:rFonts w:cs="Times New Roman"/>
          <w:szCs w:val="24"/>
        </w:rPr>
        <w:t>process of gathering, analysing, storing, using</w:t>
      </w:r>
      <w:r w:rsidR="00682EEE" w:rsidRPr="007738E4">
        <w:rPr>
          <w:rFonts w:cs="Times New Roman"/>
          <w:szCs w:val="24"/>
        </w:rPr>
        <w:t>, and communicating</w:t>
      </w:r>
      <w:r w:rsidR="000D0AE7" w:rsidRPr="007738E4">
        <w:rPr>
          <w:rFonts w:cs="Times New Roman"/>
          <w:szCs w:val="24"/>
        </w:rPr>
        <w:t xml:space="preserve"> data. Effective processes require a dedicated data profession and career path </w:t>
      </w:r>
      <w:r w:rsidR="00AB5544">
        <w:rPr>
          <w:rFonts w:cs="Times New Roman"/>
          <w:szCs w:val="24"/>
        </w:rPr>
        <w:t xml:space="preserve">including </w:t>
      </w:r>
      <w:r w:rsidR="000D0AE7" w:rsidRPr="007738E4">
        <w:rPr>
          <w:rFonts w:cs="Times New Roman"/>
          <w:szCs w:val="24"/>
        </w:rPr>
        <w:t xml:space="preserve">intelligence, advanced analytics, </w:t>
      </w:r>
      <w:r w:rsidR="00AB5544">
        <w:rPr>
          <w:rFonts w:cs="Times New Roman"/>
          <w:szCs w:val="24"/>
        </w:rPr>
        <w:t xml:space="preserve">and </w:t>
      </w:r>
      <w:r w:rsidR="000D0AE7" w:rsidRPr="007738E4">
        <w:rPr>
          <w:rFonts w:cs="Times New Roman"/>
          <w:szCs w:val="24"/>
        </w:rPr>
        <w:t>modelling</w:t>
      </w:r>
      <w:r w:rsidR="00AB5544">
        <w:rPr>
          <w:rFonts w:cs="Times New Roman"/>
          <w:szCs w:val="24"/>
        </w:rPr>
        <w:t>,</w:t>
      </w:r>
      <w:r w:rsidR="000D0AE7" w:rsidRPr="007738E4">
        <w:rPr>
          <w:rFonts w:cs="Times New Roman"/>
          <w:szCs w:val="24"/>
        </w:rPr>
        <w:t xml:space="preserve"> a public health profession focusing on the implications of the evidence gathered, and an infrastructure to support this work. These roles are essential to make better use of data on interventions and service performance that are routinely under-analysed or analysed in silos. </w:t>
      </w:r>
      <w:r w:rsidRPr="007738E4">
        <w:rPr>
          <w:rFonts w:cs="Times New Roman"/>
          <w:szCs w:val="24"/>
        </w:rPr>
        <w:t>For example, a</w:t>
      </w:r>
      <w:r w:rsidR="000D0AE7" w:rsidRPr="007738E4">
        <w:rPr>
          <w:rFonts w:cs="Times New Roman"/>
          <w:szCs w:val="24"/>
        </w:rPr>
        <w:t xml:space="preserve">ccess to </w:t>
      </w:r>
      <w:r w:rsidRPr="007738E4">
        <w:rPr>
          <w:rFonts w:cs="Times New Roman"/>
          <w:szCs w:val="24"/>
        </w:rPr>
        <w:t xml:space="preserve">quantitative </w:t>
      </w:r>
      <w:r w:rsidR="000D0AE7" w:rsidRPr="007738E4">
        <w:rPr>
          <w:rFonts w:cs="Times New Roman"/>
          <w:szCs w:val="24"/>
        </w:rPr>
        <w:t>datasets helps to identify where demand is coming from, areas of greatest need of intervention, and health interventions that work</w:t>
      </w:r>
      <w:r w:rsidRPr="007738E4">
        <w:rPr>
          <w:rFonts w:cs="Times New Roman"/>
          <w:szCs w:val="24"/>
        </w:rPr>
        <w:t xml:space="preserve">. Further, </w:t>
      </w:r>
      <w:r w:rsidR="000D0AE7" w:rsidRPr="007738E4">
        <w:rPr>
          <w:rFonts w:cs="Times New Roman"/>
          <w:szCs w:val="24"/>
        </w:rPr>
        <w:t>qualitative data helps to demonstrate social impact</w:t>
      </w:r>
      <w:r w:rsidRPr="007738E4">
        <w:rPr>
          <w:rFonts w:cs="Times New Roman"/>
          <w:szCs w:val="24"/>
        </w:rPr>
        <w:t xml:space="preserve"> in relation to stories of improved</w:t>
      </w:r>
      <w:r w:rsidR="000D0AE7" w:rsidRPr="007738E4">
        <w:rPr>
          <w:rFonts w:cs="Times New Roman"/>
          <w:szCs w:val="24"/>
        </w:rPr>
        <w:t xml:space="preserve"> li</w:t>
      </w:r>
      <w:r w:rsidRPr="007738E4">
        <w:rPr>
          <w:rFonts w:cs="Times New Roman"/>
          <w:szCs w:val="24"/>
        </w:rPr>
        <w:t>ves. Some also described the combination of quantitative and qualitative analysis to support the</w:t>
      </w:r>
      <w:r w:rsidR="000D0AE7" w:rsidRPr="007738E4">
        <w:rPr>
          <w:rFonts w:cs="Times New Roman"/>
          <w:szCs w:val="24"/>
        </w:rPr>
        <w:t xml:space="preserve"> small </w:t>
      </w:r>
      <w:r w:rsidRPr="007738E4">
        <w:rPr>
          <w:rFonts w:cs="Times New Roman"/>
          <w:szCs w:val="24"/>
        </w:rPr>
        <w:t>proportion</w:t>
      </w:r>
      <w:r w:rsidR="000D0AE7" w:rsidRPr="007738E4">
        <w:rPr>
          <w:rFonts w:cs="Times New Roman"/>
          <w:szCs w:val="24"/>
        </w:rPr>
        <w:t xml:space="preserve"> of people </w:t>
      </w:r>
      <w:r w:rsidRPr="007738E4">
        <w:rPr>
          <w:rFonts w:cs="Times New Roman"/>
          <w:szCs w:val="24"/>
        </w:rPr>
        <w:t xml:space="preserve">who </w:t>
      </w:r>
      <w:r w:rsidR="000D0AE7" w:rsidRPr="007738E4">
        <w:rPr>
          <w:rFonts w:cs="Times New Roman"/>
          <w:szCs w:val="24"/>
        </w:rPr>
        <w:t xml:space="preserve">need a large </w:t>
      </w:r>
      <w:r w:rsidRPr="007738E4">
        <w:rPr>
          <w:rFonts w:cs="Times New Roman"/>
          <w:szCs w:val="24"/>
        </w:rPr>
        <w:t>proportion</w:t>
      </w:r>
      <w:r w:rsidR="000D0AE7" w:rsidRPr="007738E4">
        <w:rPr>
          <w:rFonts w:cs="Times New Roman"/>
          <w:szCs w:val="24"/>
        </w:rPr>
        <w:t xml:space="preserve"> of </w:t>
      </w:r>
      <w:r w:rsidRPr="007738E4">
        <w:rPr>
          <w:rFonts w:cs="Times New Roman"/>
          <w:szCs w:val="24"/>
        </w:rPr>
        <w:t>public services, such as to focus on specific individual</w:t>
      </w:r>
      <w:r w:rsidR="00AB5544">
        <w:rPr>
          <w:rFonts w:cs="Times New Roman"/>
          <w:szCs w:val="24"/>
        </w:rPr>
        <w:t xml:space="preserve"> journeys</w:t>
      </w:r>
      <w:r w:rsidRPr="007738E4">
        <w:rPr>
          <w:rFonts w:cs="Times New Roman"/>
          <w:szCs w:val="24"/>
        </w:rPr>
        <w:t xml:space="preserve"> to foster coordination between organisations</w:t>
      </w:r>
      <w:r w:rsidR="000D0AE7" w:rsidRPr="007738E4">
        <w:rPr>
          <w:rFonts w:cs="Times New Roman"/>
          <w:szCs w:val="24"/>
        </w:rPr>
        <w:t xml:space="preserve">. </w:t>
      </w:r>
    </w:p>
    <w:p w14:paraId="13B634F7" w14:textId="77777777" w:rsidR="00A60A59" w:rsidRPr="007738E4" w:rsidRDefault="00A60A59" w:rsidP="00A60A59">
      <w:pPr>
        <w:pStyle w:val="Heading1"/>
        <w:spacing w:line="276" w:lineRule="auto"/>
        <w:rPr>
          <w:rFonts w:cs="Times New Roman"/>
        </w:rPr>
      </w:pPr>
      <w:r w:rsidRPr="007738E4">
        <w:rPr>
          <w:rFonts w:cs="Times New Roman"/>
        </w:rPr>
        <w:t>Conclusions</w:t>
      </w:r>
    </w:p>
    <w:p w14:paraId="581FD9C5" w14:textId="78839B1C" w:rsidR="00DD2B64" w:rsidRPr="007738E4" w:rsidRDefault="00DD2B64" w:rsidP="00DD2B64">
      <w:pPr>
        <w:spacing w:line="276" w:lineRule="auto"/>
        <w:rPr>
          <w:rFonts w:cs="Times New Roman"/>
          <w:szCs w:val="24"/>
        </w:rPr>
      </w:pPr>
      <w:r w:rsidRPr="007738E4">
        <w:rPr>
          <w:rFonts w:cs="Times New Roman"/>
          <w:szCs w:val="24"/>
        </w:rPr>
        <w:t xml:space="preserve">Political science </w:t>
      </w:r>
      <w:r w:rsidR="00677D42" w:rsidRPr="007738E4">
        <w:rPr>
          <w:rFonts w:cs="Times New Roman"/>
          <w:szCs w:val="24"/>
        </w:rPr>
        <w:t xml:space="preserve">insights </w:t>
      </w:r>
      <w:r w:rsidRPr="007738E4">
        <w:rPr>
          <w:rFonts w:cs="Times New Roman"/>
          <w:szCs w:val="24"/>
        </w:rPr>
        <w:t xml:space="preserve">explain </w:t>
      </w:r>
      <w:r w:rsidR="00677D42" w:rsidRPr="007738E4">
        <w:rPr>
          <w:rFonts w:cs="Times New Roman"/>
          <w:szCs w:val="24"/>
        </w:rPr>
        <w:t xml:space="preserve">systemic </w:t>
      </w:r>
      <w:r w:rsidRPr="007738E4">
        <w:rPr>
          <w:rFonts w:cs="Times New Roman"/>
          <w:szCs w:val="24"/>
        </w:rPr>
        <w:t xml:space="preserve">barriers to </w:t>
      </w:r>
      <w:r w:rsidR="00A30C3C" w:rsidRPr="007738E4">
        <w:rPr>
          <w:rFonts w:cs="Times New Roman"/>
          <w:szCs w:val="24"/>
        </w:rPr>
        <w:t xml:space="preserve">preventive </w:t>
      </w:r>
      <w:r w:rsidR="00677D42" w:rsidRPr="007738E4">
        <w:rPr>
          <w:rFonts w:cs="Times New Roman"/>
          <w:szCs w:val="24"/>
        </w:rPr>
        <w:t>approaches to policy and policymaking</w:t>
      </w:r>
      <w:r w:rsidRPr="007738E4">
        <w:rPr>
          <w:rFonts w:cs="Times New Roman"/>
          <w:szCs w:val="24"/>
        </w:rPr>
        <w:t xml:space="preserve">. </w:t>
      </w:r>
      <w:r w:rsidR="00677D42" w:rsidRPr="007738E4">
        <w:rPr>
          <w:rFonts w:cs="Times New Roman"/>
          <w:szCs w:val="24"/>
        </w:rPr>
        <w:t xml:space="preserve">These accounts highlight a major gap between the sincere and energetic use of the phrase ‘prevention is better than cure’ and actual practices and policy outcomes. They suggest that overarching barriers to progress include a lack of clarity on the meaning of prevention, the inability to connect a new policy agenda to the usual ways of doing things in government, and the lack of sustained political support and systemic capacity that would be required for a long-term agenda for policymaking reform. </w:t>
      </w:r>
    </w:p>
    <w:p w14:paraId="34FF32C7" w14:textId="075C4713" w:rsidR="00682EEE" w:rsidRPr="007738E4" w:rsidRDefault="00A30C3C" w:rsidP="00DD2B64">
      <w:pPr>
        <w:spacing w:line="276" w:lineRule="auto"/>
        <w:rPr>
          <w:rFonts w:cs="Times New Roman"/>
          <w:szCs w:val="24"/>
        </w:rPr>
      </w:pPr>
      <w:r w:rsidRPr="007738E4">
        <w:rPr>
          <w:rFonts w:cs="Times New Roman"/>
          <w:szCs w:val="24"/>
        </w:rPr>
        <w:t>T</w:t>
      </w:r>
      <w:r w:rsidR="00677D42" w:rsidRPr="007738E4">
        <w:rPr>
          <w:rFonts w:cs="Times New Roman"/>
          <w:szCs w:val="24"/>
        </w:rPr>
        <w:t xml:space="preserve">hese insights </w:t>
      </w:r>
      <w:r w:rsidR="00AB5544">
        <w:rPr>
          <w:rFonts w:cs="Times New Roman"/>
          <w:szCs w:val="24"/>
        </w:rPr>
        <w:t xml:space="preserve">build on </w:t>
      </w:r>
      <w:r w:rsidR="00D228D3">
        <w:rPr>
          <w:rFonts w:cs="Times New Roman"/>
          <w:szCs w:val="24"/>
        </w:rPr>
        <w:t>broad</w:t>
      </w:r>
      <w:r w:rsidR="00300A70" w:rsidRPr="007738E4">
        <w:rPr>
          <w:rFonts w:cs="Times New Roman"/>
          <w:szCs w:val="24"/>
        </w:rPr>
        <w:t xml:space="preserve"> ‘complex systems</w:t>
      </w:r>
      <w:proofErr w:type="gramStart"/>
      <w:r w:rsidR="00300A70" w:rsidRPr="007738E4">
        <w:rPr>
          <w:rFonts w:cs="Times New Roman"/>
          <w:szCs w:val="24"/>
        </w:rPr>
        <w:t>’  framings</w:t>
      </w:r>
      <w:proofErr w:type="gramEnd"/>
      <w:r w:rsidR="00300A70" w:rsidRPr="007738E4">
        <w:rPr>
          <w:rFonts w:cs="Times New Roman"/>
          <w:szCs w:val="24"/>
        </w:rPr>
        <w:t xml:space="preserve"> of the challenges facing preventive health. </w:t>
      </w:r>
      <w:r w:rsidR="00D228D3">
        <w:rPr>
          <w:rFonts w:cs="Times New Roman"/>
          <w:szCs w:val="24"/>
        </w:rPr>
        <w:t>Current systems</w:t>
      </w:r>
      <w:r w:rsidR="00300A70" w:rsidRPr="007738E4">
        <w:rPr>
          <w:rFonts w:cs="Times New Roman"/>
          <w:szCs w:val="24"/>
        </w:rPr>
        <w:t xml:space="preserve"> approaches </w:t>
      </w:r>
      <w:r w:rsidR="00D228D3">
        <w:rPr>
          <w:rFonts w:cs="Times New Roman"/>
          <w:szCs w:val="24"/>
        </w:rPr>
        <w:t>highlight</w:t>
      </w:r>
      <w:r w:rsidR="00300A70" w:rsidRPr="007738E4">
        <w:rPr>
          <w:rFonts w:cs="Times New Roman"/>
          <w:szCs w:val="24"/>
        </w:rPr>
        <w:t xml:space="preserve"> the interconnectedness of social and environmental determinants of poor population health </w:t>
      </w:r>
      <w:r w:rsidR="00D228D3">
        <w:rPr>
          <w:rFonts w:cs="Times New Roman"/>
          <w:szCs w:val="24"/>
        </w:rPr>
        <w:t>and/ or the interaction between many instruments in a policy mix</w:t>
      </w:r>
      <w:r w:rsidR="00300A70" w:rsidRPr="007738E4">
        <w:rPr>
          <w:rFonts w:cs="Times New Roman"/>
          <w:szCs w:val="24"/>
        </w:rPr>
        <w:t xml:space="preserve">. </w:t>
      </w:r>
      <w:r w:rsidR="00D228D3">
        <w:rPr>
          <w:rFonts w:cs="Times New Roman"/>
          <w:szCs w:val="24"/>
        </w:rPr>
        <w:t>To this we add</w:t>
      </w:r>
      <w:r w:rsidR="00300A70" w:rsidRPr="007738E4">
        <w:rPr>
          <w:rFonts w:cs="Times New Roman"/>
          <w:szCs w:val="24"/>
        </w:rPr>
        <w:t xml:space="preserve"> </w:t>
      </w:r>
      <w:r w:rsidR="00D228D3">
        <w:rPr>
          <w:rFonts w:cs="Times New Roman"/>
          <w:szCs w:val="24"/>
        </w:rPr>
        <w:t xml:space="preserve">an essential focus on </w:t>
      </w:r>
      <w:proofErr w:type="gramStart"/>
      <w:r w:rsidR="00D228D3">
        <w:rPr>
          <w:rFonts w:cs="Times New Roman"/>
          <w:szCs w:val="24"/>
        </w:rPr>
        <w:t>the</w:t>
      </w:r>
      <w:r w:rsidR="00300A70" w:rsidRPr="007738E4">
        <w:rPr>
          <w:rFonts w:cs="Times New Roman"/>
          <w:szCs w:val="24"/>
        </w:rPr>
        <w:t xml:space="preserve">  governance</w:t>
      </w:r>
      <w:proofErr w:type="gramEnd"/>
      <w:r w:rsidR="00300A70" w:rsidRPr="007738E4">
        <w:rPr>
          <w:rFonts w:cs="Times New Roman"/>
          <w:szCs w:val="24"/>
        </w:rPr>
        <w:t xml:space="preserve"> context that </w:t>
      </w:r>
      <w:r w:rsidR="00D228D3">
        <w:rPr>
          <w:rFonts w:cs="Times New Roman"/>
          <w:szCs w:val="24"/>
        </w:rPr>
        <w:lastRenderedPageBreak/>
        <w:t xml:space="preserve">influences the political feasibility and delivery of that policy mix. </w:t>
      </w:r>
      <w:proofErr w:type="gramStart"/>
      <w:r w:rsidR="00D228D3">
        <w:rPr>
          <w:rFonts w:cs="Times New Roman"/>
          <w:szCs w:val="24"/>
        </w:rPr>
        <w:t>In particular, we</w:t>
      </w:r>
      <w:proofErr w:type="gramEnd"/>
      <w:r w:rsidR="00D228D3">
        <w:rPr>
          <w:rFonts w:cs="Times New Roman"/>
          <w:szCs w:val="24"/>
        </w:rPr>
        <w:t xml:space="preserve"> demonstrate routine obstacles to progress </w:t>
      </w:r>
      <w:r w:rsidR="00300A70" w:rsidRPr="007738E4">
        <w:rPr>
          <w:rFonts w:cs="Times New Roman"/>
          <w:szCs w:val="24"/>
        </w:rPr>
        <w:t xml:space="preserve">even within a new governance framework devoted to </w:t>
      </w:r>
      <w:r w:rsidR="00D228D3">
        <w:rPr>
          <w:rFonts w:cs="Times New Roman"/>
          <w:szCs w:val="24"/>
        </w:rPr>
        <w:t xml:space="preserve">policymaking </w:t>
      </w:r>
      <w:r w:rsidR="00300A70" w:rsidRPr="007738E4">
        <w:rPr>
          <w:rFonts w:cs="Times New Roman"/>
          <w:szCs w:val="24"/>
        </w:rPr>
        <w:t>integration</w:t>
      </w:r>
      <w:r w:rsidR="00FD0D70" w:rsidRPr="007738E4">
        <w:rPr>
          <w:rFonts w:cs="Times New Roman"/>
          <w:szCs w:val="24"/>
        </w:rPr>
        <w:t xml:space="preserve"> and </w:t>
      </w:r>
      <w:r w:rsidR="00D228D3">
        <w:rPr>
          <w:rFonts w:cs="Times New Roman"/>
          <w:szCs w:val="24"/>
        </w:rPr>
        <w:t>the pursuit of prevention</w:t>
      </w:r>
      <w:r w:rsidR="00300A70" w:rsidRPr="007738E4">
        <w:rPr>
          <w:rFonts w:cs="Times New Roman"/>
          <w:szCs w:val="24"/>
        </w:rPr>
        <w:t xml:space="preserve">.  </w:t>
      </w:r>
      <w:r w:rsidR="00D228D3">
        <w:rPr>
          <w:rFonts w:cs="Times New Roman"/>
          <w:szCs w:val="24"/>
        </w:rPr>
        <w:t>O</w:t>
      </w:r>
      <w:r w:rsidR="00300A70" w:rsidRPr="007738E4">
        <w:rPr>
          <w:rFonts w:cs="Times New Roman"/>
          <w:szCs w:val="24"/>
        </w:rPr>
        <w:t xml:space="preserve">ur </w:t>
      </w:r>
      <w:r w:rsidR="00FD0D70" w:rsidRPr="007738E4">
        <w:rPr>
          <w:rFonts w:cs="Times New Roman"/>
          <w:szCs w:val="24"/>
        </w:rPr>
        <w:t>approach</w:t>
      </w:r>
      <w:r w:rsidR="00677D42" w:rsidRPr="007738E4">
        <w:rPr>
          <w:rFonts w:cs="Times New Roman"/>
          <w:szCs w:val="24"/>
        </w:rPr>
        <w:t xml:space="preserve"> help</w:t>
      </w:r>
      <w:r w:rsidR="00300A70" w:rsidRPr="007738E4">
        <w:rPr>
          <w:rFonts w:cs="Times New Roman"/>
          <w:szCs w:val="24"/>
        </w:rPr>
        <w:t>ed</w:t>
      </w:r>
      <w:r w:rsidR="00677D42" w:rsidRPr="007738E4">
        <w:rPr>
          <w:rFonts w:cs="Times New Roman"/>
          <w:szCs w:val="24"/>
        </w:rPr>
        <w:t xml:space="preserve"> to narrate barriers and facilitate practitioner discussion on how to respond</w:t>
      </w:r>
      <w:r w:rsidR="00D228D3">
        <w:rPr>
          <w:rFonts w:cs="Times New Roman"/>
          <w:szCs w:val="24"/>
        </w:rPr>
        <w:t xml:space="preserve"> (</w:t>
      </w:r>
      <w:r w:rsidR="00300A70" w:rsidRPr="007738E4">
        <w:rPr>
          <w:rFonts w:cs="Times New Roman"/>
          <w:szCs w:val="24"/>
        </w:rPr>
        <w:t>Table 2</w:t>
      </w:r>
      <w:r w:rsidR="00D228D3">
        <w:rPr>
          <w:rFonts w:cs="Times New Roman"/>
          <w:szCs w:val="24"/>
        </w:rPr>
        <w:t>)</w:t>
      </w:r>
      <w:r w:rsidRPr="007738E4">
        <w:rPr>
          <w:rFonts w:cs="Times New Roman"/>
          <w:szCs w:val="24"/>
        </w:rPr>
        <w:t>.</w:t>
      </w:r>
      <w:r w:rsidR="00677D42" w:rsidRPr="007738E4">
        <w:rPr>
          <w:rFonts w:cs="Times New Roman"/>
          <w:szCs w:val="24"/>
        </w:rPr>
        <w:t xml:space="preserve"> </w:t>
      </w:r>
    </w:p>
    <w:p w14:paraId="29481290" w14:textId="5C9F555D" w:rsidR="00FF3009" w:rsidRPr="007738E4" w:rsidRDefault="00A30C3C" w:rsidP="00DD2B64">
      <w:pPr>
        <w:spacing w:line="276" w:lineRule="auto"/>
        <w:rPr>
          <w:rFonts w:cs="Times New Roman"/>
          <w:b/>
          <w:bCs/>
          <w:szCs w:val="24"/>
        </w:rPr>
      </w:pPr>
      <w:r w:rsidRPr="007738E4">
        <w:rPr>
          <w:rFonts w:cs="Times New Roman"/>
          <w:b/>
          <w:bCs/>
          <w:szCs w:val="24"/>
        </w:rPr>
        <w:t>Table 2. Responding to the barriers of low clarity, congruity, and capacity</w:t>
      </w:r>
    </w:p>
    <w:tbl>
      <w:tblPr>
        <w:tblStyle w:val="TableGrid"/>
        <w:tblW w:w="0" w:type="auto"/>
        <w:tblLook w:val="04A0" w:firstRow="1" w:lastRow="0" w:firstColumn="1" w:lastColumn="0" w:noHBand="0" w:noVBand="1"/>
      </w:tblPr>
      <w:tblGrid>
        <w:gridCol w:w="2254"/>
        <w:gridCol w:w="2254"/>
        <w:gridCol w:w="2254"/>
        <w:gridCol w:w="2254"/>
      </w:tblGrid>
      <w:tr w:rsidR="00FF3009" w:rsidRPr="007738E4" w14:paraId="12FEC3AA" w14:textId="77777777" w:rsidTr="00FA62BD">
        <w:tc>
          <w:tcPr>
            <w:tcW w:w="2254" w:type="dxa"/>
          </w:tcPr>
          <w:p w14:paraId="6DEEC3C5" w14:textId="77777777" w:rsidR="00FF3009" w:rsidRPr="007738E4" w:rsidRDefault="00FF3009" w:rsidP="00FA62BD">
            <w:pPr>
              <w:rPr>
                <w:rFonts w:cs="Times New Roman"/>
              </w:rPr>
            </w:pPr>
          </w:p>
        </w:tc>
        <w:tc>
          <w:tcPr>
            <w:tcW w:w="2254" w:type="dxa"/>
          </w:tcPr>
          <w:p w14:paraId="7BD95353" w14:textId="77777777" w:rsidR="00FF3009" w:rsidRPr="007738E4" w:rsidRDefault="00FF3009" w:rsidP="00FA62BD">
            <w:pPr>
              <w:rPr>
                <w:rFonts w:cs="Times New Roman"/>
                <w:b/>
                <w:bCs/>
              </w:rPr>
            </w:pPr>
            <w:r w:rsidRPr="007738E4">
              <w:rPr>
                <w:rFonts w:cs="Times New Roman"/>
                <w:b/>
                <w:bCs/>
              </w:rPr>
              <w:t>Clarity</w:t>
            </w:r>
          </w:p>
        </w:tc>
        <w:tc>
          <w:tcPr>
            <w:tcW w:w="2254" w:type="dxa"/>
          </w:tcPr>
          <w:p w14:paraId="5B5E939B" w14:textId="77777777" w:rsidR="00FF3009" w:rsidRPr="007738E4" w:rsidRDefault="00FF3009" w:rsidP="00FA62BD">
            <w:pPr>
              <w:rPr>
                <w:rFonts w:cs="Times New Roman"/>
                <w:b/>
                <w:bCs/>
              </w:rPr>
            </w:pPr>
            <w:r w:rsidRPr="007738E4">
              <w:rPr>
                <w:rFonts w:cs="Times New Roman"/>
                <w:b/>
                <w:bCs/>
              </w:rPr>
              <w:t>Congruity</w:t>
            </w:r>
          </w:p>
        </w:tc>
        <w:tc>
          <w:tcPr>
            <w:tcW w:w="2254" w:type="dxa"/>
          </w:tcPr>
          <w:p w14:paraId="56519645" w14:textId="77777777" w:rsidR="00FF3009" w:rsidRPr="007738E4" w:rsidRDefault="00FF3009" w:rsidP="00FA62BD">
            <w:pPr>
              <w:rPr>
                <w:rFonts w:cs="Times New Roman"/>
                <w:b/>
                <w:bCs/>
              </w:rPr>
            </w:pPr>
            <w:r w:rsidRPr="007738E4">
              <w:rPr>
                <w:rFonts w:cs="Times New Roman"/>
                <w:b/>
                <w:bCs/>
              </w:rPr>
              <w:t>Capacity</w:t>
            </w:r>
          </w:p>
        </w:tc>
      </w:tr>
      <w:tr w:rsidR="00FF3009" w:rsidRPr="007738E4" w14:paraId="1BECA6DF" w14:textId="77777777" w:rsidTr="00FA62BD">
        <w:tc>
          <w:tcPr>
            <w:tcW w:w="2254" w:type="dxa"/>
          </w:tcPr>
          <w:p w14:paraId="52A50821" w14:textId="77777777" w:rsidR="00FF3009" w:rsidRPr="007738E4" w:rsidRDefault="00FF3009" w:rsidP="00FA62BD">
            <w:pPr>
              <w:rPr>
                <w:rFonts w:cs="Times New Roman"/>
                <w:b/>
                <w:bCs/>
              </w:rPr>
            </w:pPr>
            <w:r w:rsidRPr="007738E4">
              <w:rPr>
                <w:rFonts w:cs="Times New Roman"/>
                <w:b/>
                <w:bCs/>
              </w:rPr>
              <w:t>Practical Political Barriers</w:t>
            </w:r>
          </w:p>
        </w:tc>
        <w:tc>
          <w:tcPr>
            <w:tcW w:w="2254" w:type="dxa"/>
          </w:tcPr>
          <w:p w14:paraId="2035BCBF" w14:textId="77777777" w:rsidR="00FF3009" w:rsidRPr="007738E4" w:rsidRDefault="00FF3009" w:rsidP="00FA62BD">
            <w:pPr>
              <w:rPr>
                <w:rFonts w:cs="Times New Roman"/>
              </w:rPr>
            </w:pPr>
            <w:r w:rsidRPr="007738E4">
              <w:rPr>
                <w:rFonts w:cs="Times New Roman"/>
              </w:rPr>
              <w:t>Competing values, perspectives, timescales, and language</w:t>
            </w:r>
          </w:p>
        </w:tc>
        <w:tc>
          <w:tcPr>
            <w:tcW w:w="2254" w:type="dxa"/>
          </w:tcPr>
          <w:p w14:paraId="4896AE4C" w14:textId="77777777" w:rsidR="00FF3009" w:rsidRPr="007738E4" w:rsidRDefault="00FF3009" w:rsidP="00FA62BD">
            <w:pPr>
              <w:rPr>
                <w:rFonts w:cs="Times New Roman"/>
              </w:rPr>
            </w:pPr>
            <w:r w:rsidRPr="007738E4">
              <w:rPr>
                <w:rFonts w:cs="Times New Roman"/>
              </w:rPr>
              <w:t>Short-termism and the old ways of doing things</w:t>
            </w:r>
          </w:p>
        </w:tc>
        <w:tc>
          <w:tcPr>
            <w:tcW w:w="2254" w:type="dxa"/>
          </w:tcPr>
          <w:p w14:paraId="57A97B51" w14:textId="77777777" w:rsidR="00FF3009" w:rsidRPr="007738E4" w:rsidRDefault="00FF3009" w:rsidP="00FA62BD">
            <w:pPr>
              <w:rPr>
                <w:rFonts w:cs="Times New Roman"/>
              </w:rPr>
            </w:pPr>
            <w:r w:rsidRPr="007738E4">
              <w:rPr>
                <w:rFonts w:cs="Times New Roman"/>
              </w:rPr>
              <w:t>Limited core funding, low morale, and untapped cross-system potential</w:t>
            </w:r>
          </w:p>
        </w:tc>
      </w:tr>
      <w:tr w:rsidR="00FF3009" w:rsidRPr="007738E4" w14:paraId="036E8EB3" w14:textId="77777777" w:rsidTr="00FA62BD">
        <w:tc>
          <w:tcPr>
            <w:tcW w:w="2254" w:type="dxa"/>
          </w:tcPr>
          <w:p w14:paraId="60CA87AF" w14:textId="47A92D03" w:rsidR="00FF3009" w:rsidRPr="007738E4" w:rsidRDefault="00FF3009" w:rsidP="00FA62BD">
            <w:pPr>
              <w:rPr>
                <w:rFonts w:cs="Times New Roman"/>
                <w:b/>
                <w:bCs/>
              </w:rPr>
            </w:pPr>
            <w:r w:rsidRPr="007738E4">
              <w:rPr>
                <w:rFonts w:cs="Times New Roman"/>
                <w:b/>
                <w:bCs/>
              </w:rPr>
              <w:t>Politically</w:t>
            </w:r>
            <w:r w:rsidR="00A30C3C" w:rsidRPr="007738E4">
              <w:rPr>
                <w:rFonts w:cs="Times New Roman"/>
                <w:b/>
                <w:bCs/>
              </w:rPr>
              <w:t xml:space="preserve"> Aware </w:t>
            </w:r>
            <w:r w:rsidRPr="007738E4">
              <w:rPr>
                <w:rFonts w:cs="Times New Roman"/>
                <w:b/>
                <w:bCs/>
              </w:rPr>
              <w:t>Strategies</w:t>
            </w:r>
          </w:p>
        </w:tc>
        <w:tc>
          <w:tcPr>
            <w:tcW w:w="2254" w:type="dxa"/>
          </w:tcPr>
          <w:p w14:paraId="54C43A23" w14:textId="77777777" w:rsidR="00FF3009" w:rsidRPr="007738E4" w:rsidRDefault="00FF3009" w:rsidP="00FA62BD">
            <w:pPr>
              <w:rPr>
                <w:rFonts w:cs="Times New Roman"/>
              </w:rPr>
            </w:pPr>
            <w:r w:rsidRPr="007738E4">
              <w:rPr>
                <w:rFonts w:cs="Times New Roman"/>
              </w:rPr>
              <w:t>Telling different stories in different contexts to make the best case for prevention</w:t>
            </w:r>
          </w:p>
        </w:tc>
        <w:tc>
          <w:tcPr>
            <w:tcW w:w="2254" w:type="dxa"/>
          </w:tcPr>
          <w:p w14:paraId="06F72A55" w14:textId="6536AC20" w:rsidR="00FF3009" w:rsidRPr="007738E4" w:rsidRDefault="00FF3009" w:rsidP="00FA62BD">
            <w:pPr>
              <w:rPr>
                <w:rFonts w:cs="Times New Roman"/>
              </w:rPr>
            </w:pPr>
            <w:r w:rsidRPr="007738E4">
              <w:rPr>
                <w:rFonts w:cs="Times New Roman"/>
              </w:rPr>
              <w:t>Making prevention</w:t>
            </w:r>
            <w:proofErr w:type="gramStart"/>
            <w:r w:rsidRPr="007738E4">
              <w:rPr>
                <w:rFonts w:cs="Times New Roman"/>
              </w:rPr>
              <w:t xml:space="preserve">   </w:t>
            </w:r>
            <w:r w:rsidR="00A30C3C" w:rsidRPr="007738E4">
              <w:rPr>
                <w:rFonts w:cs="Times New Roman"/>
              </w:rPr>
              <w:t>‘</w:t>
            </w:r>
            <w:proofErr w:type="gramEnd"/>
            <w:r w:rsidRPr="007738E4">
              <w:rPr>
                <w:rFonts w:cs="Times New Roman"/>
              </w:rPr>
              <w:t>everyone’s business</w:t>
            </w:r>
            <w:r w:rsidR="00A30C3C" w:rsidRPr="007738E4">
              <w:rPr>
                <w:rFonts w:cs="Times New Roman"/>
              </w:rPr>
              <w:t>’</w:t>
            </w:r>
            <w:r w:rsidRPr="007738E4">
              <w:rPr>
                <w:rFonts w:cs="Times New Roman"/>
              </w:rPr>
              <w:t xml:space="preserve"> but still </w:t>
            </w:r>
            <w:r w:rsidR="00A30C3C" w:rsidRPr="007738E4">
              <w:rPr>
                <w:rFonts w:cs="Times New Roman"/>
              </w:rPr>
              <w:t>‘</w:t>
            </w:r>
            <w:r w:rsidRPr="007738E4">
              <w:rPr>
                <w:rFonts w:cs="Times New Roman"/>
              </w:rPr>
              <w:t>someone’s responsibility</w:t>
            </w:r>
            <w:r w:rsidR="00A30C3C" w:rsidRPr="007738E4">
              <w:rPr>
                <w:rFonts w:cs="Times New Roman"/>
              </w:rPr>
              <w:t>’</w:t>
            </w:r>
            <w:r w:rsidRPr="007738E4">
              <w:rPr>
                <w:rFonts w:cs="Times New Roman"/>
              </w:rPr>
              <w:t xml:space="preserve"> </w:t>
            </w:r>
          </w:p>
        </w:tc>
        <w:tc>
          <w:tcPr>
            <w:tcW w:w="2254" w:type="dxa"/>
          </w:tcPr>
          <w:p w14:paraId="531FBBA5" w14:textId="3FDA7506" w:rsidR="00FF3009" w:rsidRPr="007738E4" w:rsidRDefault="00FF3009" w:rsidP="00FA62BD">
            <w:pPr>
              <w:rPr>
                <w:rFonts w:cs="Times New Roman"/>
              </w:rPr>
            </w:pPr>
            <w:r w:rsidRPr="007738E4">
              <w:rPr>
                <w:rFonts w:cs="Times New Roman"/>
              </w:rPr>
              <w:t xml:space="preserve">Pooling </w:t>
            </w:r>
            <w:r w:rsidR="00A30C3C" w:rsidRPr="007738E4">
              <w:rPr>
                <w:rFonts w:cs="Times New Roman"/>
              </w:rPr>
              <w:t>staff and data</w:t>
            </w:r>
            <w:r w:rsidRPr="007738E4">
              <w:rPr>
                <w:rFonts w:cs="Times New Roman"/>
              </w:rPr>
              <w:t xml:space="preserve"> resources</w:t>
            </w:r>
            <w:r w:rsidR="007151A6" w:rsidRPr="007738E4">
              <w:rPr>
                <w:rFonts w:cs="Times New Roman"/>
              </w:rPr>
              <w:t>, energies and</w:t>
            </w:r>
            <w:r w:rsidRPr="007738E4">
              <w:rPr>
                <w:rFonts w:cs="Times New Roman"/>
              </w:rPr>
              <w:t xml:space="preserve"> capacities across the system</w:t>
            </w:r>
          </w:p>
        </w:tc>
      </w:tr>
      <w:tr w:rsidR="00FF3009" w:rsidRPr="007738E4" w14:paraId="5629766F" w14:textId="77777777" w:rsidTr="00FA62BD">
        <w:tc>
          <w:tcPr>
            <w:tcW w:w="2254" w:type="dxa"/>
          </w:tcPr>
          <w:p w14:paraId="43650FC4" w14:textId="77777777" w:rsidR="00FF3009" w:rsidRPr="007738E4" w:rsidRDefault="00FF3009" w:rsidP="00FA62BD">
            <w:pPr>
              <w:rPr>
                <w:rFonts w:cs="Times New Roman"/>
                <w:b/>
                <w:bCs/>
              </w:rPr>
            </w:pPr>
            <w:r w:rsidRPr="007738E4">
              <w:rPr>
                <w:rFonts w:cs="Times New Roman"/>
                <w:b/>
                <w:bCs/>
              </w:rPr>
              <w:t>Implications for Preventive Practice</w:t>
            </w:r>
          </w:p>
        </w:tc>
        <w:tc>
          <w:tcPr>
            <w:tcW w:w="2254" w:type="dxa"/>
          </w:tcPr>
          <w:p w14:paraId="171AA886" w14:textId="5108C771" w:rsidR="00FF3009" w:rsidRPr="007738E4" w:rsidRDefault="00FF3009" w:rsidP="00FA62BD">
            <w:pPr>
              <w:rPr>
                <w:rFonts w:cs="Times New Roman"/>
              </w:rPr>
            </w:pPr>
            <w:r w:rsidRPr="007738E4">
              <w:rPr>
                <w:rFonts w:cs="Times New Roman"/>
              </w:rPr>
              <w:t>Living with ambiguity</w:t>
            </w:r>
            <w:r w:rsidR="008C211F" w:rsidRPr="007738E4">
              <w:rPr>
                <w:rFonts w:cs="Times New Roman"/>
              </w:rPr>
              <w:t xml:space="preserve"> by</w:t>
            </w:r>
            <w:r w:rsidRPr="007738E4">
              <w:rPr>
                <w:rFonts w:cs="Times New Roman"/>
              </w:rPr>
              <w:t xml:space="preserve"> embrac</w:t>
            </w:r>
            <w:r w:rsidR="008C211F" w:rsidRPr="007738E4">
              <w:rPr>
                <w:rFonts w:cs="Times New Roman"/>
              </w:rPr>
              <w:t>ing</w:t>
            </w:r>
            <w:r w:rsidRPr="007738E4">
              <w:rPr>
                <w:rFonts w:cs="Times New Roman"/>
              </w:rPr>
              <w:t xml:space="preserve"> discursive dynamism </w:t>
            </w:r>
          </w:p>
        </w:tc>
        <w:tc>
          <w:tcPr>
            <w:tcW w:w="2254" w:type="dxa"/>
          </w:tcPr>
          <w:p w14:paraId="74BFD9BE" w14:textId="218F0870" w:rsidR="00FF3009" w:rsidRPr="007738E4" w:rsidRDefault="00FF3009" w:rsidP="00FA62BD">
            <w:pPr>
              <w:rPr>
                <w:rFonts w:cs="Times New Roman"/>
              </w:rPr>
            </w:pPr>
            <w:r w:rsidRPr="007738E4">
              <w:rPr>
                <w:rFonts w:cs="Times New Roman"/>
              </w:rPr>
              <w:t>Mitigating incongruity</w:t>
            </w:r>
            <w:r w:rsidR="008C211F" w:rsidRPr="007738E4">
              <w:rPr>
                <w:rFonts w:cs="Times New Roman"/>
              </w:rPr>
              <w:t xml:space="preserve"> by </w:t>
            </w:r>
            <w:r w:rsidR="00A30C3C" w:rsidRPr="007738E4">
              <w:rPr>
                <w:rFonts w:cs="Times New Roman"/>
              </w:rPr>
              <w:t>modifying</w:t>
            </w:r>
            <w:r w:rsidRPr="007738E4">
              <w:rPr>
                <w:rFonts w:cs="Times New Roman"/>
              </w:rPr>
              <w:t xml:space="preserve"> institutional norms and routines</w:t>
            </w:r>
          </w:p>
        </w:tc>
        <w:tc>
          <w:tcPr>
            <w:tcW w:w="2254" w:type="dxa"/>
          </w:tcPr>
          <w:p w14:paraId="7F114FA5" w14:textId="1DE66316" w:rsidR="00FF3009" w:rsidRPr="007738E4" w:rsidRDefault="008C211F" w:rsidP="00FA62BD">
            <w:pPr>
              <w:rPr>
                <w:rFonts w:cs="Times New Roman"/>
              </w:rPr>
            </w:pPr>
            <w:r w:rsidRPr="007738E4">
              <w:rPr>
                <w:rFonts w:cs="Times New Roman"/>
              </w:rPr>
              <w:t>Making up for</w:t>
            </w:r>
            <w:r w:rsidR="00FF3009" w:rsidRPr="007738E4">
              <w:rPr>
                <w:rFonts w:cs="Times New Roman"/>
              </w:rPr>
              <w:t xml:space="preserve"> capacity</w:t>
            </w:r>
            <w:r w:rsidRPr="007738E4">
              <w:rPr>
                <w:rFonts w:cs="Times New Roman"/>
              </w:rPr>
              <w:t xml:space="preserve"> shortfalls by</w:t>
            </w:r>
            <w:r w:rsidR="00FF3009" w:rsidRPr="007738E4">
              <w:rPr>
                <w:rFonts w:cs="Times New Roman"/>
              </w:rPr>
              <w:t xml:space="preserve"> </w:t>
            </w:r>
            <w:r w:rsidR="00A30C3C" w:rsidRPr="007738E4">
              <w:rPr>
                <w:rFonts w:cs="Times New Roman"/>
              </w:rPr>
              <w:t>combining</w:t>
            </w:r>
            <w:r w:rsidR="00FF3009" w:rsidRPr="007738E4">
              <w:rPr>
                <w:rFonts w:cs="Times New Roman"/>
              </w:rPr>
              <w:t xml:space="preserve"> skills and evidence</w:t>
            </w:r>
            <w:r w:rsidR="00A30C3C" w:rsidRPr="007738E4">
              <w:rPr>
                <w:rFonts w:cs="Times New Roman"/>
              </w:rPr>
              <w:t xml:space="preserve"> in new ways</w:t>
            </w:r>
          </w:p>
        </w:tc>
      </w:tr>
    </w:tbl>
    <w:p w14:paraId="659C0A81" w14:textId="77777777" w:rsidR="00FF3009" w:rsidRPr="007738E4" w:rsidRDefault="00FF3009" w:rsidP="00DD2B64">
      <w:pPr>
        <w:spacing w:line="276" w:lineRule="auto"/>
        <w:rPr>
          <w:rFonts w:cs="Times New Roman"/>
          <w:szCs w:val="24"/>
        </w:rPr>
      </w:pPr>
    </w:p>
    <w:p w14:paraId="4715BEE2" w14:textId="1D2ECF85" w:rsidR="00677D42" w:rsidRPr="007738E4" w:rsidRDefault="00677D42" w:rsidP="00DD2B64">
      <w:pPr>
        <w:spacing w:line="276" w:lineRule="auto"/>
        <w:rPr>
          <w:rFonts w:cs="Times New Roman"/>
          <w:szCs w:val="24"/>
        </w:rPr>
      </w:pPr>
      <w:r w:rsidRPr="007738E4">
        <w:rPr>
          <w:rFonts w:cs="Times New Roman"/>
          <w:szCs w:val="24"/>
        </w:rPr>
        <w:t xml:space="preserve">In terms of clarity, we found major differences in values or beliefs about the aim of prevention, informing competing strategies on how to proceed in radical or pragmatic steps, and some attempts to reject and replace ‘prevention’ with other phrases. In terms of congruity, we found obstacles in relation to </w:t>
      </w:r>
      <w:r w:rsidR="00DD2B64" w:rsidRPr="007738E4">
        <w:rPr>
          <w:rFonts w:cs="Times New Roman"/>
          <w:szCs w:val="24"/>
        </w:rPr>
        <w:t>short-termism and difficulties in making business cases for long-term investment</w:t>
      </w:r>
      <w:r w:rsidRPr="007738E4">
        <w:rPr>
          <w:rFonts w:cs="Times New Roman"/>
          <w:szCs w:val="24"/>
        </w:rPr>
        <w:t xml:space="preserve">. In terms of capacity, alongside discussions of low political will we found </w:t>
      </w:r>
      <w:r w:rsidR="00DD2B64" w:rsidRPr="007738E4">
        <w:rPr>
          <w:rFonts w:cs="Times New Roman"/>
          <w:szCs w:val="24"/>
        </w:rPr>
        <w:t xml:space="preserve">routine limits to system-wide cooperation, untapped community assets, and limited opportunities for peer learning and improvement. </w:t>
      </w:r>
      <w:r w:rsidRPr="007738E4">
        <w:rPr>
          <w:rFonts w:cs="Times New Roman"/>
          <w:szCs w:val="24"/>
        </w:rPr>
        <w:t>In that context, while we separate potential responses into the 3Cs</w:t>
      </w:r>
      <w:r w:rsidR="00581E6F" w:rsidRPr="007738E4">
        <w:rPr>
          <w:rFonts w:cs="Times New Roman"/>
          <w:szCs w:val="24"/>
        </w:rPr>
        <w:t xml:space="preserve"> (clarity, congruity, capacity)</w:t>
      </w:r>
      <w:r w:rsidRPr="007738E4">
        <w:rPr>
          <w:rFonts w:cs="Times New Roman"/>
          <w:szCs w:val="24"/>
        </w:rPr>
        <w:t xml:space="preserve">, we </w:t>
      </w:r>
      <w:r w:rsidR="00682EEE" w:rsidRPr="007738E4">
        <w:rPr>
          <w:rFonts w:cs="Times New Roman"/>
          <w:szCs w:val="24"/>
        </w:rPr>
        <w:t>found</w:t>
      </w:r>
      <w:r w:rsidRPr="007738E4">
        <w:rPr>
          <w:rFonts w:cs="Times New Roman"/>
          <w:szCs w:val="24"/>
        </w:rPr>
        <w:t xml:space="preserve"> a confluence of all three in the pursuit of progress: greater clarity was key to a coherent strategy to make better cases and institutionalise new approaches, then foster collaboration in relation to a common reference point</w:t>
      </w:r>
      <w:r w:rsidR="00682EEE" w:rsidRPr="007738E4">
        <w:rPr>
          <w:rFonts w:cs="Times New Roman"/>
          <w:szCs w:val="24"/>
        </w:rPr>
        <w:t xml:space="preserve"> (aided by wider initiatives such as to foster systems leadership)</w:t>
      </w:r>
      <w:r w:rsidR="00B672DA" w:rsidRPr="007738E4">
        <w:rPr>
          <w:rFonts w:cs="Times New Roman"/>
          <w:szCs w:val="24"/>
        </w:rPr>
        <w:t>.</w:t>
      </w:r>
    </w:p>
    <w:p w14:paraId="23EB500E" w14:textId="3DAB1191" w:rsidR="00DD2B64" w:rsidRPr="007738E4" w:rsidRDefault="00B672DA" w:rsidP="00DD2B64">
      <w:pPr>
        <w:spacing w:line="276" w:lineRule="auto"/>
        <w:rPr>
          <w:rFonts w:cs="Times New Roman"/>
          <w:szCs w:val="24"/>
        </w:rPr>
      </w:pPr>
      <w:r w:rsidRPr="007738E4">
        <w:rPr>
          <w:rFonts w:cs="Times New Roman"/>
          <w:szCs w:val="24"/>
        </w:rPr>
        <w:t>These discussions do not solve the prevention problem, and nor could they. Just as there is no ‘magic bullet’ for prevention reforms, the clear identification of barriers does not necessarily help to overcome them. Long-term preventive strategies</w:t>
      </w:r>
      <w:r w:rsidR="00DD2B64" w:rsidRPr="007738E4">
        <w:rPr>
          <w:rFonts w:cs="Times New Roman"/>
          <w:szCs w:val="24"/>
        </w:rPr>
        <w:t xml:space="preserve"> remain overshadowed by responses to immediate demand and crisis</w:t>
      </w:r>
      <w:r w:rsidRPr="007738E4">
        <w:rPr>
          <w:rFonts w:cs="Times New Roman"/>
          <w:szCs w:val="24"/>
        </w:rPr>
        <w:t>, with the potential to produce bouts of enthusiasm, perceived failure, and despair.</w:t>
      </w:r>
      <w:r w:rsidR="00DD2B64" w:rsidRPr="007738E4">
        <w:rPr>
          <w:rFonts w:cs="Times New Roman"/>
          <w:szCs w:val="24"/>
        </w:rPr>
        <w:t xml:space="preserve"> </w:t>
      </w:r>
      <w:r w:rsidRPr="007738E4">
        <w:rPr>
          <w:rFonts w:cs="Times New Roman"/>
          <w:szCs w:val="24"/>
        </w:rPr>
        <w:t xml:space="preserve">In that context, the value of political science insights is to provoke discussion, boost cooperation, and reflect on progress towards long-term aims. </w:t>
      </w:r>
      <w:r w:rsidR="00DD2B64" w:rsidRPr="007738E4">
        <w:rPr>
          <w:rFonts w:cs="Times New Roman"/>
          <w:szCs w:val="24"/>
        </w:rPr>
        <w:t>Paradigm shift towards prevention requires a long series of repeated efforts to bolster political support for change and support leadership and collaboration to build and maintain systemic capacity</w:t>
      </w:r>
      <w:r w:rsidRPr="007738E4">
        <w:rPr>
          <w:rFonts w:cs="Times New Roman"/>
          <w:szCs w:val="24"/>
        </w:rPr>
        <w:t xml:space="preserve">, not a </w:t>
      </w:r>
      <w:r w:rsidR="00682EEE" w:rsidRPr="007738E4">
        <w:rPr>
          <w:rFonts w:cs="Times New Roman"/>
          <w:szCs w:val="24"/>
        </w:rPr>
        <w:t>one-off</w:t>
      </w:r>
      <w:r w:rsidRPr="007738E4">
        <w:rPr>
          <w:rFonts w:cs="Times New Roman"/>
          <w:szCs w:val="24"/>
        </w:rPr>
        <w:t xml:space="preserve"> injection of energy with radical results</w:t>
      </w:r>
      <w:r w:rsidR="005A04EF" w:rsidRPr="007738E4">
        <w:rPr>
          <w:rFonts w:cs="Times New Roman"/>
          <w:szCs w:val="24"/>
        </w:rPr>
        <w:t xml:space="preserve"> (</w:t>
      </w:r>
      <w:proofErr w:type="spellStart"/>
      <w:r w:rsidR="005A04EF" w:rsidRPr="007738E4">
        <w:rPr>
          <w:rFonts w:cs="Times New Roman"/>
          <w:szCs w:val="24"/>
        </w:rPr>
        <w:t>Cianetti</w:t>
      </w:r>
      <w:proofErr w:type="spellEnd"/>
      <w:r w:rsidR="005A04EF" w:rsidRPr="007738E4">
        <w:rPr>
          <w:rFonts w:cs="Times New Roman"/>
          <w:szCs w:val="24"/>
        </w:rPr>
        <w:t>, 2024)</w:t>
      </w:r>
      <w:r w:rsidR="00DD2B64" w:rsidRPr="007738E4">
        <w:rPr>
          <w:rFonts w:cs="Times New Roman"/>
          <w:szCs w:val="24"/>
        </w:rPr>
        <w:t>. Insights from political science help to frame and support this process</w:t>
      </w:r>
      <w:r w:rsidRPr="007738E4">
        <w:rPr>
          <w:rFonts w:cs="Times New Roman"/>
          <w:szCs w:val="24"/>
        </w:rPr>
        <w:t xml:space="preserve">, producing cautionary tales to inform the next round of </w:t>
      </w:r>
      <w:r w:rsidR="00682EEE" w:rsidRPr="007738E4">
        <w:rPr>
          <w:rFonts w:cs="Times New Roman"/>
          <w:szCs w:val="24"/>
        </w:rPr>
        <w:t xml:space="preserve">valuable </w:t>
      </w:r>
      <w:r w:rsidRPr="007738E4">
        <w:rPr>
          <w:rFonts w:cs="Times New Roman"/>
          <w:szCs w:val="24"/>
        </w:rPr>
        <w:t>activity.</w:t>
      </w:r>
    </w:p>
    <w:p w14:paraId="6D665E6D" w14:textId="77777777" w:rsidR="001913DE" w:rsidRDefault="001913DE" w:rsidP="001913DE">
      <w:pPr>
        <w:pStyle w:val="Heading2"/>
        <w:rPr>
          <w:rFonts w:cs="Times New Roman"/>
        </w:rPr>
      </w:pPr>
      <w:r w:rsidRPr="007738E4">
        <w:rPr>
          <w:rFonts w:cs="Times New Roman"/>
        </w:rPr>
        <w:lastRenderedPageBreak/>
        <w:t>References</w:t>
      </w:r>
    </w:p>
    <w:p w14:paraId="0B417A01" w14:textId="77777777" w:rsidR="001913DE" w:rsidRPr="007738E4" w:rsidRDefault="001913DE" w:rsidP="001913DE">
      <w:pPr>
        <w:tabs>
          <w:tab w:val="left" w:pos="4010"/>
        </w:tabs>
        <w:spacing w:line="278" w:lineRule="auto"/>
        <w:rPr>
          <w:rFonts w:eastAsia="Aptos" w:cs="Times New Roman"/>
          <w:color w:val="000000"/>
          <w:kern w:val="0"/>
          <w:szCs w:val="24"/>
        </w:rPr>
      </w:pPr>
      <w:r w:rsidRPr="007738E4">
        <w:rPr>
          <w:rFonts w:eastAsia="Aptos" w:cs="Times New Roman"/>
          <w:color w:val="000000"/>
          <w:kern w:val="0"/>
          <w:szCs w:val="24"/>
        </w:rPr>
        <w:t xml:space="preserve">6, P., Raab, C. and Bellamy, C. (2005) 'Joined-Up Government and Privacy in the United Kingdom', Public Administration, 83(1), 111–133, </w:t>
      </w:r>
      <w:hyperlink r:id="rId12" w:history="1">
        <w:r w:rsidRPr="007738E4">
          <w:rPr>
            <w:rStyle w:val="Hyperlink"/>
            <w:rFonts w:eastAsia="Aptos" w:cs="Times New Roman"/>
            <w:kern w:val="0"/>
            <w:szCs w:val="24"/>
          </w:rPr>
          <w:t>https://doi.org/10.1111/j.0033-3298.2005.00440.x</w:t>
        </w:r>
      </w:hyperlink>
      <w:r w:rsidRPr="007738E4">
        <w:rPr>
          <w:rFonts w:eastAsia="Aptos" w:cs="Times New Roman"/>
          <w:color w:val="000000"/>
          <w:kern w:val="0"/>
          <w:szCs w:val="24"/>
        </w:rPr>
        <w:t xml:space="preserve"> </w:t>
      </w:r>
    </w:p>
    <w:p w14:paraId="69F23C52" w14:textId="77777777" w:rsidR="001913DE" w:rsidRPr="007738E4" w:rsidRDefault="001913DE" w:rsidP="001913DE">
      <w:pPr>
        <w:tabs>
          <w:tab w:val="left" w:pos="4010"/>
        </w:tabs>
        <w:spacing w:line="278" w:lineRule="auto"/>
        <w:rPr>
          <w:rFonts w:eastAsia="Aptos" w:cs="Times New Roman"/>
          <w:color w:val="467886"/>
          <w:kern w:val="0"/>
          <w:szCs w:val="24"/>
          <w:u w:val="single"/>
        </w:rPr>
      </w:pPr>
      <w:proofErr w:type="spellStart"/>
      <w:r w:rsidRPr="007738E4">
        <w:rPr>
          <w:rFonts w:eastAsia="Aptos" w:cs="Times New Roman"/>
          <w:color w:val="000000"/>
          <w:kern w:val="0"/>
          <w:szCs w:val="24"/>
        </w:rPr>
        <w:t>Anandaciva</w:t>
      </w:r>
      <w:proofErr w:type="spellEnd"/>
      <w:r w:rsidRPr="007738E4">
        <w:rPr>
          <w:rFonts w:eastAsia="Aptos" w:cs="Times New Roman"/>
          <w:color w:val="000000"/>
          <w:kern w:val="0"/>
          <w:szCs w:val="24"/>
        </w:rPr>
        <w:t xml:space="preserve">, S., Ward, D., Randhawa, M. and Edge, R. (2018) </w:t>
      </w:r>
      <w:r w:rsidRPr="007738E4">
        <w:rPr>
          <w:rFonts w:eastAsia="Aptos" w:cs="Times New Roman"/>
          <w:i/>
          <w:iCs/>
          <w:color w:val="000000"/>
          <w:kern w:val="0"/>
          <w:szCs w:val="24"/>
        </w:rPr>
        <w:t xml:space="preserve">Leadership in the NHS </w:t>
      </w:r>
      <w:r w:rsidRPr="007738E4">
        <w:rPr>
          <w:rFonts w:eastAsia="Aptos" w:cs="Times New Roman"/>
          <w:color w:val="000000"/>
          <w:kern w:val="0"/>
          <w:szCs w:val="24"/>
        </w:rPr>
        <w:t xml:space="preserve">(London: King's Fund) </w:t>
      </w:r>
      <w:hyperlink r:id="rId13" w:history="1">
        <w:r w:rsidRPr="007738E4">
          <w:rPr>
            <w:rFonts w:eastAsia="Aptos" w:cs="Times New Roman"/>
            <w:color w:val="467886"/>
            <w:kern w:val="0"/>
            <w:szCs w:val="24"/>
            <w:u w:val="single"/>
          </w:rPr>
          <w:t>https://assets.kingsfund.org.uk/f/256914/x/366f8af5c5/leadership_in_todays_nhs_2018.pdf</w:t>
        </w:r>
      </w:hyperlink>
    </w:p>
    <w:p w14:paraId="0D010C54" w14:textId="77777777" w:rsidR="001913DE" w:rsidRPr="007738E4" w:rsidRDefault="001913DE" w:rsidP="001913DE">
      <w:pPr>
        <w:autoSpaceDE w:val="0"/>
        <w:autoSpaceDN w:val="0"/>
        <w:adjustRightInd w:val="0"/>
        <w:spacing w:before="240" w:line="276" w:lineRule="auto"/>
        <w:rPr>
          <w:rFonts w:eastAsia="Aptos" w:cs="Times New Roman"/>
          <w:szCs w:val="24"/>
        </w:rPr>
      </w:pPr>
      <w:r w:rsidRPr="007738E4">
        <w:rPr>
          <w:rFonts w:eastAsia="Aptos" w:cs="Times New Roman"/>
          <w:szCs w:val="24"/>
        </w:rPr>
        <w:t xml:space="preserve">Atkinson, J., Loftus, E. and Jarvis, J. (2015) </w:t>
      </w:r>
      <w:r w:rsidRPr="007738E4">
        <w:rPr>
          <w:rFonts w:eastAsia="Aptos" w:cs="Times New Roman"/>
          <w:i/>
          <w:iCs/>
          <w:szCs w:val="24"/>
        </w:rPr>
        <w:t>The Art of Change Making</w:t>
      </w:r>
      <w:r w:rsidRPr="007738E4">
        <w:rPr>
          <w:rFonts w:eastAsia="Aptos" w:cs="Times New Roman"/>
          <w:szCs w:val="24"/>
        </w:rPr>
        <w:t xml:space="preserve"> (London: Leadership Centre) </w:t>
      </w:r>
      <w:hyperlink r:id="rId14" w:history="1">
        <w:r w:rsidRPr="007738E4">
          <w:rPr>
            <w:rFonts w:eastAsia="Aptos" w:cs="Times New Roman"/>
            <w:color w:val="467886"/>
            <w:szCs w:val="24"/>
            <w:u w:val="single"/>
          </w:rPr>
          <w:t>https://www.leadershipcentre.org.uk/wp-content/uploads/2016/02/The-Art-of-Change-Making.pdf</w:t>
        </w:r>
      </w:hyperlink>
      <w:r w:rsidRPr="007738E4">
        <w:rPr>
          <w:rFonts w:eastAsia="Aptos" w:cs="Times New Roman"/>
          <w:szCs w:val="24"/>
        </w:rPr>
        <w:t xml:space="preserve"> </w:t>
      </w:r>
    </w:p>
    <w:p w14:paraId="7C42B3A0" w14:textId="77777777" w:rsidR="001913DE" w:rsidRPr="007738E4" w:rsidRDefault="001913DE" w:rsidP="001913DE">
      <w:pPr>
        <w:autoSpaceDE w:val="0"/>
        <w:autoSpaceDN w:val="0"/>
        <w:adjustRightInd w:val="0"/>
        <w:spacing w:before="240" w:line="276" w:lineRule="auto"/>
        <w:rPr>
          <w:rFonts w:eastAsia="Aptos" w:cs="Times New Roman"/>
          <w:szCs w:val="24"/>
        </w:rPr>
      </w:pPr>
      <w:r w:rsidRPr="007738E4">
        <w:rPr>
          <w:rFonts w:eastAsia="Aptos" w:cs="Times New Roman"/>
          <w:szCs w:val="24"/>
        </w:rPr>
        <w:t>Billis, D. (1981) ‘At risk of prevention</w:t>
      </w:r>
      <w:proofErr w:type="gramStart"/>
      <w:r w:rsidRPr="007738E4">
        <w:rPr>
          <w:rFonts w:eastAsia="Aptos" w:cs="Times New Roman"/>
          <w:szCs w:val="24"/>
        </w:rPr>
        <w:t>’,  </w:t>
      </w:r>
      <w:r w:rsidRPr="007738E4">
        <w:rPr>
          <w:rFonts w:eastAsia="Aptos" w:cs="Times New Roman"/>
          <w:i/>
          <w:iCs/>
          <w:szCs w:val="24"/>
        </w:rPr>
        <w:t>Journal</w:t>
      </w:r>
      <w:proofErr w:type="gramEnd"/>
      <w:r w:rsidRPr="007738E4">
        <w:rPr>
          <w:rFonts w:eastAsia="Aptos" w:cs="Times New Roman"/>
          <w:i/>
          <w:iCs/>
          <w:szCs w:val="24"/>
        </w:rPr>
        <w:t xml:space="preserve"> of Social Policy</w:t>
      </w:r>
      <w:r w:rsidRPr="007738E4">
        <w:rPr>
          <w:rFonts w:eastAsia="Aptos" w:cs="Times New Roman"/>
          <w:szCs w:val="24"/>
        </w:rPr>
        <w:t>, 10(3), 367-379.</w:t>
      </w:r>
    </w:p>
    <w:p w14:paraId="25F1FB69" w14:textId="77777777" w:rsidR="001913DE" w:rsidRPr="007738E4" w:rsidRDefault="001913DE" w:rsidP="001913DE">
      <w:pPr>
        <w:spacing w:line="278" w:lineRule="auto"/>
        <w:rPr>
          <w:rFonts w:eastAsia="Aptos" w:cs="Times New Roman"/>
          <w:szCs w:val="24"/>
        </w:rPr>
      </w:pPr>
      <w:r w:rsidRPr="007738E4">
        <w:rPr>
          <w:rFonts w:eastAsia="Aptos" w:cs="Times New Roman"/>
          <w:szCs w:val="24"/>
        </w:rPr>
        <w:t>Boswell, J. (2016) ‘Deliberating downstream</w:t>
      </w:r>
      <w:proofErr w:type="gramStart"/>
      <w:r w:rsidRPr="007738E4">
        <w:rPr>
          <w:rFonts w:eastAsia="Aptos" w:cs="Times New Roman"/>
          <w:szCs w:val="24"/>
        </w:rPr>
        <w:t>’,  </w:t>
      </w:r>
      <w:r w:rsidRPr="007738E4">
        <w:rPr>
          <w:rFonts w:eastAsia="Aptos" w:cs="Times New Roman"/>
          <w:i/>
          <w:iCs/>
          <w:szCs w:val="24"/>
        </w:rPr>
        <w:t>Perspectives</w:t>
      </w:r>
      <w:proofErr w:type="gramEnd"/>
      <w:r w:rsidRPr="007738E4">
        <w:rPr>
          <w:rFonts w:eastAsia="Aptos" w:cs="Times New Roman"/>
          <w:i/>
          <w:iCs/>
          <w:szCs w:val="24"/>
        </w:rPr>
        <w:t xml:space="preserve"> on Politics</w:t>
      </w:r>
      <w:r w:rsidRPr="007738E4">
        <w:rPr>
          <w:rFonts w:eastAsia="Aptos" w:cs="Times New Roman"/>
          <w:szCs w:val="24"/>
        </w:rPr>
        <w:t>, </w:t>
      </w:r>
      <w:r w:rsidRPr="007738E4">
        <w:rPr>
          <w:rFonts w:eastAsia="Aptos" w:cs="Times New Roman"/>
          <w:i/>
          <w:iCs/>
          <w:szCs w:val="24"/>
        </w:rPr>
        <w:t>14</w:t>
      </w:r>
      <w:r w:rsidRPr="007738E4">
        <w:rPr>
          <w:rFonts w:eastAsia="Aptos" w:cs="Times New Roman"/>
          <w:szCs w:val="24"/>
        </w:rPr>
        <w:t>(3), 724-737.</w:t>
      </w:r>
    </w:p>
    <w:p w14:paraId="4F46AF67" w14:textId="77777777" w:rsidR="001913DE" w:rsidRPr="007738E4" w:rsidRDefault="001913DE" w:rsidP="001913DE">
      <w:pPr>
        <w:spacing w:line="278" w:lineRule="auto"/>
        <w:rPr>
          <w:rFonts w:eastAsia="Aptos" w:cs="Times New Roman"/>
          <w:szCs w:val="24"/>
        </w:rPr>
      </w:pPr>
      <w:r w:rsidRPr="007738E4">
        <w:rPr>
          <w:rFonts w:eastAsia="Aptos" w:cs="Times New Roman"/>
          <w:szCs w:val="24"/>
        </w:rPr>
        <w:t>Boswell, J. (2023). </w:t>
      </w:r>
      <w:r w:rsidRPr="007738E4">
        <w:rPr>
          <w:rFonts w:eastAsia="Aptos" w:cs="Times New Roman"/>
          <w:i/>
          <w:iCs/>
          <w:szCs w:val="24"/>
        </w:rPr>
        <w:t xml:space="preserve">Magical Thinking in Public Policy </w:t>
      </w:r>
      <w:r w:rsidRPr="007738E4">
        <w:rPr>
          <w:rFonts w:eastAsia="Aptos" w:cs="Times New Roman"/>
          <w:szCs w:val="24"/>
        </w:rPr>
        <w:t>(Oxford: Oxford University Press)</w:t>
      </w:r>
    </w:p>
    <w:p w14:paraId="65C3EE76" w14:textId="77777777" w:rsidR="001913DE" w:rsidRPr="007738E4" w:rsidRDefault="001913DE" w:rsidP="001913DE">
      <w:pPr>
        <w:spacing w:line="276" w:lineRule="auto"/>
        <w:rPr>
          <w:rFonts w:cs="Times New Roman"/>
          <w:szCs w:val="24"/>
        </w:rPr>
      </w:pPr>
      <w:r w:rsidRPr="007738E4">
        <w:rPr>
          <w:rFonts w:cs="Times New Roman"/>
          <w:szCs w:val="24"/>
        </w:rPr>
        <w:t xml:space="preserve">Boswell, J. Cairney, P. and St Denny, E. 2019. ‘The Politics of Institutionalizing Preventative Health’, </w:t>
      </w:r>
      <w:r w:rsidRPr="007738E4">
        <w:rPr>
          <w:rFonts w:cs="Times New Roman"/>
          <w:i/>
          <w:iCs/>
          <w:szCs w:val="24"/>
        </w:rPr>
        <w:t>Social Science and Medicine</w:t>
      </w:r>
      <w:r w:rsidRPr="007738E4">
        <w:rPr>
          <w:rFonts w:cs="Times New Roman"/>
          <w:szCs w:val="24"/>
        </w:rPr>
        <w:t xml:space="preserve">. 228, May, 202-10 </w:t>
      </w:r>
      <w:hyperlink r:id="rId15" w:history="1">
        <w:r w:rsidRPr="007738E4">
          <w:rPr>
            <w:rStyle w:val="Hyperlink"/>
            <w:rFonts w:cs="Times New Roman"/>
            <w:szCs w:val="24"/>
          </w:rPr>
          <w:t>https://doi.org/10.1016/j.socscimed.2019.02.051</w:t>
        </w:r>
      </w:hyperlink>
      <w:r w:rsidRPr="007738E4">
        <w:rPr>
          <w:rFonts w:cs="Times New Roman"/>
          <w:szCs w:val="24"/>
        </w:rPr>
        <w:t xml:space="preserve"> </w:t>
      </w:r>
    </w:p>
    <w:p w14:paraId="28A02239" w14:textId="77777777" w:rsidR="001913DE" w:rsidRPr="007738E4" w:rsidRDefault="001913DE" w:rsidP="001913DE">
      <w:pPr>
        <w:spacing w:line="276" w:lineRule="auto"/>
        <w:rPr>
          <w:rFonts w:cs="Times New Roman"/>
          <w:szCs w:val="24"/>
        </w:rPr>
      </w:pPr>
      <w:r w:rsidRPr="007738E4">
        <w:rPr>
          <w:rFonts w:cs="Times New Roman"/>
          <w:szCs w:val="24"/>
        </w:rPr>
        <w:t xml:space="preserve">Cairney, P. (2017) “Evidence-based best practice is more political than </w:t>
      </w:r>
      <w:proofErr w:type="gramStart"/>
      <w:r w:rsidRPr="007738E4">
        <w:rPr>
          <w:rFonts w:cs="Times New Roman"/>
          <w:szCs w:val="24"/>
        </w:rPr>
        <w:t>it</w:t>
      </w:r>
      <w:proofErr w:type="gramEnd"/>
      <w:r w:rsidRPr="007738E4">
        <w:rPr>
          <w:rFonts w:cs="Times New Roman"/>
          <w:szCs w:val="24"/>
        </w:rPr>
        <w:t xml:space="preserve"> looks’, </w:t>
      </w:r>
      <w:r w:rsidRPr="007738E4">
        <w:rPr>
          <w:rFonts w:cs="Times New Roman"/>
          <w:i/>
          <w:iCs/>
          <w:szCs w:val="24"/>
        </w:rPr>
        <w:t>Evidence and Policy</w:t>
      </w:r>
      <w:r w:rsidRPr="007738E4">
        <w:rPr>
          <w:rFonts w:cs="Times New Roman"/>
          <w:szCs w:val="24"/>
        </w:rPr>
        <w:t>, 13(3), 499-515.</w:t>
      </w:r>
    </w:p>
    <w:p w14:paraId="224DBA21" w14:textId="77777777" w:rsidR="001913DE" w:rsidRPr="007738E4" w:rsidRDefault="001913DE" w:rsidP="001913DE">
      <w:pPr>
        <w:tabs>
          <w:tab w:val="left" w:pos="0"/>
        </w:tabs>
        <w:spacing w:before="240" w:line="276" w:lineRule="auto"/>
        <w:rPr>
          <w:rFonts w:eastAsia="Calibri" w:cs="Times New Roman"/>
          <w:kern w:val="0"/>
          <w:szCs w:val="24"/>
          <w14:ligatures w14:val="none"/>
        </w:rPr>
      </w:pPr>
      <w:r w:rsidRPr="007738E4">
        <w:rPr>
          <w:rFonts w:eastAsia="Calibri" w:cs="Times New Roman"/>
          <w:kern w:val="0"/>
          <w:szCs w:val="24"/>
          <w14:ligatures w14:val="none"/>
        </w:rPr>
        <w:t xml:space="preserve">Cairney, P. (2012) ‘Complexity Theory in Political Science and Public Policy’, </w:t>
      </w:r>
      <w:r w:rsidRPr="007738E4">
        <w:rPr>
          <w:rFonts w:eastAsia="Calibri" w:cs="Times New Roman"/>
          <w:i/>
          <w:kern w:val="0"/>
          <w:szCs w:val="24"/>
          <w14:ligatures w14:val="none"/>
        </w:rPr>
        <w:t>Political Studies Review</w:t>
      </w:r>
      <w:r w:rsidRPr="007738E4">
        <w:rPr>
          <w:rFonts w:eastAsia="Calibri" w:cs="Times New Roman"/>
          <w:kern w:val="0"/>
          <w:szCs w:val="24"/>
          <w14:ligatures w14:val="none"/>
        </w:rPr>
        <w:t xml:space="preserve">, 10, 3, 346-58, </w:t>
      </w:r>
      <w:hyperlink r:id="rId16" w:history="1">
        <w:r w:rsidRPr="007738E4">
          <w:rPr>
            <w:rFonts w:eastAsia="Calibri" w:cs="Times New Roman"/>
            <w:color w:val="467886"/>
            <w:kern w:val="0"/>
            <w:szCs w:val="24"/>
            <w:u w:val="single"/>
            <w14:ligatures w14:val="none"/>
          </w:rPr>
          <w:t>https://doi.org/10.1111/j.1478-9302.2012.00270.x</w:t>
        </w:r>
      </w:hyperlink>
    </w:p>
    <w:p w14:paraId="1AEA3A2A" w14:textId="77777777" w:rsidR="001913DE" w:rsidRPr="007738E4" w:rsidRDefault="001913DE" w:rsidP="001913DE">
      <w:pPr>
        <w:tabs>
          <w:tab w:val="left" w:pos="0"/>
        </w:tabs>
        <w:spacing w:before="240" w:line="276" w:lineRule="auto"/>
        <w:rPr>
          <w:rFonts w:eastAsia="Aptos" w:cs="Times New Roman"/>
          <w:color w:val="467886"/>
          <w:szCs w:val="24"/>
          <w:u w:val="single"/>
        </w:rPr>
      </w:pPr>
      <w:r w:rsidRPr="007738E4">
        <w:rPr>
          <w:rFonts w:eastAsia="Aptos" w:cs="Times New Roman"/>
          <w:szCs w:val="24"/>
        </w:rPr>
        <w:t xml:space="preserve">Cairney, P. and Kippin, S. (2024) </w:t>
      </w:r>
      <w:r w:rsidRPr="007738E4">
        <w:rPr>
          <w:rFonts w:eastAsia="Aptos" w:cs="Times New Roman"/>
          <w:i/>
          <w:iCs/>
          <w:szCs w:val="24"/>
        </w:rPr>
        <w:t>Politics and policymaking in the UK</w:t>
      </w:r>
      <w:r w:rsidRPr="007738E4">
        <w:rPr>
          <w:rFonts w:eastAsia="Aptos" w:cs="Times New Roman"/>
          <w:szCs w:val="24"/>
        </w:rPr>
        <w:t xml:space="preserve"> (Bristol: Bristol University Press)</w:t>
      </w:r>
    </w:p>
    <w:p w14:paraId="26C61D40" w14:textId="77777777" w:rsidR="001913DE" w:rsidRPr="007738E4" w:rsidRDefault="001913DE" w:rsidP="001913DE">
      <w:pPr>
        <w:spacing w:line="276" w:lineRule="auto"/>
        <w:rPr>
          <w:rFonts w:cs="Times New Roman"/>
          <w:szCs w:val="24"/>
        </w:rPr>
      </w:pPr>
      <w:r w:rsidRPr="007738E4">
        <w:rPr>
          <w:rFonts w:cs="Times New Roman"/>
          <w:szCs w:val="24"/>
        </w:rPr>
        <w:t xml:space="preserve">Cairney, P. and St Denny, E. (2020) </w:t>
      </w:r>
      <w:r w:rsidRPr="007738E4">
        <w:rPr>
          <w:rFonts w:cs="Times New Roman"/>
          <w:i/>
          <w:iCs/>
          <w:szCs w:val="24"/>
        </w:rPr>
        <w:t>Why Isn’t Government Policy More Preventive?</w:t>
      </w:r>
      <w:r w:rsidRPr="007738E4">
        <w:rPr>
          <w:rFonts w:cs="Times New Roman"/>
          <w:szCs w:val="24"/>
        </w:rPr>
        <w:t xml:space="preserve"> (Oxford University Press) </w:t>
      </w:r>
    </w:p>
    <w:p w14:paraId="195CD860" w14:textId="77777777" w:rsidR="001913DE" w:rsidRPr="007738E4" w:rsidRDefault="001913DE" w:rsidP="001913DE">
      <w:pPr>
        <w:spacing w:before="240" w:after="240" w:afterAutospacing="1" w:line="276" w:lineRule="auto"/>
        <w:rPr>
          <w:rFonts w:eastAsia="Times New Roman" w:cs="Times New Roman"/>
          <w:color w:val="467886"/>
          <w:kern w:val="0"/>
          <w:szCs w:val="24"/>
          <w:u w:val="single"/>
          <w:lang w:eastAsia="en-GB"/>
          <w14:ligatures w14:val="none"/>
        </w:rPr>
      </w:pPr>
      <w:r w:rsidRPr="007738E4">
        <w:rPr>
          <w:rFonts w:eastAsia="Times New Roman" w:cs="Times New Roman"/>
          <w:kern w:val="0"/>
          <w:szCs w:val="24"/>
          <w:lang w:eastAsia="en-GB"/>
          <w14:ligatures w14:val="none"/>
        </w:rPr>
        <w:t xml:space="preserve">Cairney, P. and Toomey, C. (2024) ‘Collaborative Policymaking: a qualitative systematic review of advice for policymakers’, </w:t>
      </w:r>
      <w:r w:rsidRPr="007738E4">
        <w:rPr>
          <w:rFonts w:eastAsia="Times New Roman" w:cs="Times New Roman"/>
          <w:i/>
          <w:iCs/>
          <w:kern w:val="0"/>
          <w:szCs w:val="24"/>
          <w:lang w:eastAsia="en-GB"/>
          <w14:ligatures w14:val="none"/>
        </w:rPr>
        <w:t>Open Research Europe</w:t>
      </w:r>
      <w:r w:rsidRPr="007738E4">
        <w:rPr>
          <w:rFonts w:eastAsia="Times New Roman" w:cs="Times New Roman"/>
          <w:kern w:val="0"/>
          <w:szCs w:val="24"/>
          <w:lang w:eastAsia="en-GB"/>
          <w14:ligatures w14:val="none"/>
        </w:rPr>
        <w:t>, 2024, </w:t>
      </w:r>
      <w:r w:rsidRPr="007738E4">
        <w:rPr>
          <w:rFonts w:eastAsia="Times New Roman" w:cs="Times New Roman"/>
          <w:b/>
          <w:bCs/>
          <w:kern w:val="0"/>
          <w:szCs w:val="24"/>
          <w:lang w:eastAsia="en-GB"/>
          <w14:ligatures w14:val="none"/>
        </w:rPr>
        <w:t>4</w:t>
      </w:r>
      <w:r w:rsidRPr="007738E4">
        <w:rPr>
          <w:rFonts w:eastAsia="Times New Roman" w:cs="Times New Roman"/>
          <w:kern w:val="0"/>
          <w:szCs w:val="24"/>
          <w:lang w:eastAsia="en-GB"/>
          <w14:ligatures w14:val="none"/>
        </w:rPr>
        <w:t>:204 </w:t>
      </w:r>
      <w:hyperlink r:id="rId17" w:history="1">
        <w:r w:rsidRPr="007738E4">
          <w:rPr>
            <w:rFonts w:eastAsia="Times New Roman" w:cs="Times New Roman"/>
            <w:color w:val="467886"/>
            <w:kern w:val="0"/>
            <w:szCs w:val="24"/>
            <w:u w:val="single"/>
            <w:lang w:eastAsia="en-GB"/>
            <w14:ligatures w14:val="none"/>
          </w:rPr>
          <w:t>https://doi.org/10.12688/openreseurope.18440.1</w:t>
        </w:r>
      </w:hyperlink>
    </w:p>
    <w:p w14:paraId="19E5903A" w14:textId="77777777" w:rsidR="001913DE" w:rsidRPr="007738E4" w:rsidRDefault="001913DE" w:rsidP="001913DE">
      <w:pPr>
        <w:tabs>
          <w:tab w:val="left" w:pos="4010"/>
        </w:tabs>
        <w:spacing w:line="278" w:lineRule="auto"/>
        <w:rPr>
          <w:rFonts w:eastAsia="Aptos" w:cs="Times New Roman"/>
          <w:szCs w:val="24"/>
        </w:rPr>
      </w:pPr>
      <w:r w:rsidRPr="007738E4">
        <w:rPr>
          <w:rFonts w:eastAsia="Aptos" w:cs="Times New Roman"/>
          <w:szCs w:val="24"/>
        </w:rPr>
        <w:t xml:space="preserve">Cairney, P. and Toomey, C. (2025) ‘Systems Leadership: a qualitative systematic review of advice for policymakers’, </w:t>
      </w:r>
      <w:r w:rsidRPr="007738E4">
        <w:rPr>
          <w:rFonts w:eastAsia="Aptos" w:cs="Times New Roman"/>
          <w:i/>
          <w:iCs/>
          <w:szCs w:val="24"/>
        </w:rPr>
        <w:t>Open Research Europe</w:t>
      </w:r>
      <w:r w:rsidRPr="007738E4">
        <w:rPr>
          <w:rFonts w:eastAsia="Aptos" w:cs="Times New Roman"/>
          <w:szCs w:val="24"/>
        </w:rPr>
        <w:t>, 10 Jan, </w:t>
      </w:r>
      <w:r w:rsidRPr="007738E4">
        <w:rPr>
          <w:rFonts w:eastAsia="Aptos" w:cs="Times New Roman"/>
          <w:b/>
          <w:bCs/>
          <w:szCs w:val="24"/>
        </w:rPr>
        <w:t>5</w:t>
      </w:r>
      <w:r w:rsidRPr="007738E4">
        <w:rPr>
          <w:rFonts w:eastAsia="Aptos" w:cs="Times New Roman"/>
          <w:szCs w:val="24"/>
        </w:rPr>
        <w:t>:6 </w:t>
      </w:r>
      <w:hyperlink r:id="rId18" w:history="1">
        <w:r w:rsidRPr="007738E4">
          <w:rPr>
            <w:rStyle w:val="Hyperlink"/>
            <w:rFonts w:eastAsia="Aptos" w:cs="Times New Roman"/>
            <w:szCs w:val="24"/>
          </w:rPr>
          <w:t>https://doi.org/10.12688/openreseurope.18982.1</w:t>
        </w:r>
      </w:hyperlink>
    </w:p>
    <w:p w14:paraId="16DAC123" w14:textId="77777777" w:rsidR="001913DE" w:rsidRPr="007738E4" w:rsidRDefault="001913DE" w:rsidP="001913DE">
      <w:pPr>
        <w:spacing w:line="276" w:lineRule="auto"/>
        <w:rPr>
          <w:rFonts w:cs="Times New Roman"/>
          <w:szCs w:val="24"/>
        </w:rPr>
      </w:pPr>
      <w:r w:rsidRPr="007738E4">
        <w:rPr>
          <w:rFonts w:cs="Times New Roman"/>
          <w:szCs w:val="24"/>
        </w:rPr>
        <w:t xml:space="preserve">Cairney, P., St Denny, E. and Boswell, J. (2022) ‘Why is health improvement so difficult to secure?’ </w:t>
      </w:r>
      <w:r w:rsidRPr="007738E4">
        <w:rPr>
          <w:rFonts w:cs="Times New Roman"/>
          <w:i/>
          <w:iCs/>
          <w:szCs w:val="24"/>
        </w:rPr>
        <w:t>Open Research Europe</w:t>
      </w:r>
      <w:r w:rsidRPr="007738E4">
        <w:rPr>
          <w:rFonts w:cs="Times New Roman"/>
          <w:szCs w:val="24"/>
        </w:rPr>
        <w:t xml:space="preserve">. 2 (76) </w:t>
      </w:r>
      <w:hyperlink r:id="rId19" w:history="1">
        <w:r w:rsidRPr="007738E4">
          <w:rPr>
            <w:rStyle w:val="Hyperlink"/>
            <w:rFonts w:cs="Times New Roman"/>
            <w:szCs w:val="24"/>
          </w:rPr>
          <w:t>https://doi.org/10.12688/openreseurope.14841.2</w:t>
        </w:r>
      </w:hyperlink>
      <w:r w:rsidRPr="007738E4">
        <w:rPr>
          <w:rFonts w:cs="Times New Roman"/>
          <w:szCs w:val="24"/>
        </w:rPr>
        <w:t xml:space="preserve"> </w:t>
      </w:r>
    </w:p>
    <w:p w14:paraId="61301ACE" w14:textId="77777777" w:rsidR="001913DE" w:rsidRDefault="001913DE" w:rsidP="001913DE">
      <w:pPr>
        <w:spacing w:before="240" w:line="276" w:lineRule="auto"/>
        <w:rPr>
          <w:rFonts w:cs="Times New Roman"/>
        </w:rPr>
      </w:pPr>
      <w:r w:rsidRPr="007738E4">
        <w:rPr>
          <w:rFonts w:eastAsia="Aptos" w:cs="Times New Roman"/>
          <w:szCs w:val="24"/>
        </w:rPr>
        <w:t xml:space="preserve">Cairney, P., St.Denny, E. and Mitchell, H. (2021) ‘The future of public health policymaking after COVID-19: a qualitative systematic review of lessons from Health in All Policies’ </w:t>
      </w:r>
      <w:r w:rsidRPr="007738E4">
        <w:rPr>
          <w:rFonts w:eastAsia="Aptos" w:cs="Times New Roman"/>
          <w:szCs w:val="24"/>
        </w:rPr>
        <w:lastRenderedPageBreak/>
        <w:t xml:space="preserve">[version 2; peer review: 2 approved], </w:t>
      </w:r>
      <w:r w:rsidRPr="007738E4">
        <w:rPr>
          <w:rFonts w:eastAsia="Aptos" w:cs="Times New Roman"/>
          <w:i/>
          <w:iCs/>
          <w:szCs w:val="24"/>
        </w:rPr>
        <w:t>Open Research Europe</w:t>
      </w:r>
      <w:r w:rsidRPr="007738E4">
        <w:rPr>
          <w:rFonts w:eastAsia="Aptos" w:cs="Times New Roman"/>
          <w:szCs w:val="24"/>
        </w:rPr>
        <w:t xml:space="preserve">, 1:23 </w:t>
      </w:r>
      <w:hyperlink r:id="rId20" w:history="1">
        <w:r w:rsidRPr="007738E4">
          <w:rPr>
            <w:rFonts w:eastAsia="Aptos" w:cs="Times New Roman"/>
            <w:color w:val="467886"/>
            <w:szCs w:val="24"/>
            <w:u w:val="single"/>
          </w:rPr>
          <w:t>https://doi.org/10.12688/openreseurope.13178.2</w:t>
        </w:r>
      </w:hyperlink>
    </w:p>
    <w:p w14:paraId="0C5878D9" w14:textId="0116B11B" w:rsidR="00BC329A" w:rsidRPr="00BC329A" w:rsidRDefault="00BC329A" w:rsidP="001913DE">
      <w:pPr>
        <w:spacing w:before="240" w:line="276" w:lineRule="auto"/>
        <w:rPr>
          <w:rFonts w:eastAsia="Aptos" w:cs="Times New Roman"/>
          <w:szCs w:val="24"/>
        </w:rPr>
      </w:pPr>
      <w:r w:rsidRPr="00BC329A">
        <w:rPr>
          <w:rFonts w:eastAsia="Aptos" w:cs="Times New Roman"/>
          <w:szCs w:val="24"/>
        </w:rPr>
        <w:t>Cairney, P., Boswell, J., Ayres, S., Durose, C., Elliott, I.C., Flinders, M., Martin, S. and Richardson, L.</w:t>
      </w:r>
      <w:r>
        <w:rPr>
          <w:rFonts w:eastAsia="Aptos" w:cs="Times New Roman"/>
          <w:szCs w:val="24"/>
        </w:rPr>
        <w:t xml:space="preserve"> </w:t>
      </w:r>
      <w:r w:rsidRPr="00BC329A">
        <w:rPr>
          <w:rFonts w:eastAsia="Aptos" w:cs="Times New Roman"/>
          <w:szCs w:val="24"/>
        </w:rPr>
        <w:t>(2024) ‘The state of British policymaking: How can UK government become more effective?’ </w:t>
      </w:r>
      <w:r w:rsidRPr="00BC329A">
        <w:rPr>
          <w:rFonts w:eastAsia="Aptos" w:cs="Times New Roman"/>
          <w:i/>
          <w:iCs/>
          <w:szCs w:val="24"/>
        </w:rPr>
        <w:t>Parliamentary Affairs</w:t>
      </w:r>
      <w:r w:rsidRPr="00BC329A">
        <w:rPr>
          <w:rFonts w:eastAsia="Aptos" w:cs="Times New Roman"/>
          <w:szCs w:val="24"/>
        </w:rPr>
        <w:t>, </w:t>
      </w:r>
      <w:r w:rsidRPr="00BC329A">
        <w:rPr>
          <w:rFonts w:eastAsia="Aptos" w:cs="Times New Roman"/>
          <w:i/>
          <w:iCs/>
          <w:szCs w:val="24"/>
        </w:rPr>
        <w:t>77</w:t>
      </w:r>
      <w:r w:rsidRPr="00BC329A">
        <w:rPr>
          <w:rFonts w:eastAsia="Aptos" w:cs="Times New Roman"/>
          <w:szCs w:val="24"/>
        </w:rPr>
        <w:t>(4), pp.837-864.</w:t>
      </w:r>
    </w:p>
    <w:p w14:paraId="0D81286E" w14:textId="77777777" w:rsidR="001913DE" w:rsidRPr="007738E4" w:rsidRDefault="001913DE" w:rsidP="001913DE">
      <w:pPr>
        <w:spacing w:before="240" w:line="276" w:lineRule="auto"/>
        <w:rPr>
          <w:rFonts w:eastAsia="Aptos" w:cs="Times New Roman"/>
          <w:szCs w:val="24"/>
        </w:rPr>
      </w:pPr>
      <w:proofErr w:type="spellStart"/>
      <w:r w:rsidRPr="007738E4">
        <w:rPr>
          <w:rFonts w:eastAsia="Aptos" w:cs="Times New Roman"/>
          <w:szCs w:val="24"/>
        </w:rPr>
        <w:t>Cianetti</w:t>
      </w:r>
      <w:proofErr w:type="spellEnd"/>
      <w:r w:rsidRPr="007738E4">
        <w:rPr>
          <w:rFonts w:eastAsia="Aptos" w:cs="Times New Roman"/>
          <w:szCs w:val="24"/>
        </w:rPr>
        <w:t xml:space="preserve">, L. (2024) ‘Here we go again! Repetition and the Politics of Inclusive Institutional Reform’, </w:t>
      </w:r>
      <w:r w:rsidRPr="007738E4">
        <w:rPr>
          <w:rFonts w:eastAsia="Aptos" w:cs="Times New Roman"/>
          <w:i/>
          <w:iCs/>
          <w:szCs w:val="24"/>
        </w:rPr>
        <w:t>Journal of European Public Policy</w:t>
      </w:r>
      <w:r w:rsidRPr="007738E4">
        <w:rPr>
          <w:rFonts w:eastAsia="Aptos" w:cs="Times New Roman"/>
          <w:szCs w:val="24"/>
        </w:rPr>
        <w:t xml:space="preserve">, 31, 5, 1295-1319 </w:t>
      </w:r>
      <w:hyperlink r:id="rId21" w:history="1">
        <w:r w:rsidRPr="007738E4">
          <w:rPr>
            <w:rStyle w:val="Hyperlink"/>
            <w:rFonts w:eastAsia="Aptos" w:cs="Times New Roman"/>
            <w:szCs w:val="24"/>
          </w:rPr>
          <w:t>https://doi.org/10.1080/13501763.2023.2172062</w:t>
        </w:r>
      </w:hyperlink>
      <w:r w:rsidRPr="007738E4">
        <w:rPr>
          <w:rFonts w:eastAsia="Aptos" w:cs="Times New Roman"/>
          <w:szCs w:val="24"/>
        </w:rPr>
        <w:t xml:space="preserve"> </w:t>
      </w:r>
    </w:p>
    <w:p w14:paraId="2EF8C467" w14:textId="77777777" w:rsidR="001913DE" w:rsidRPr="007738E4" w:rsidRDefault="001913DE" w:rsidP="001913DE">
      <w:pPr>
        <w:spacing w:before="240" w:line="276" w:lineRule="auto"/>
        <w:rPr>
          <w:rFonts w:eastAsia="Aptos" w:cs="Times New Roman"/>
          <w:szCs w:val="24"/>
        </w:rPr>
      </w:pPr>
      <w:r w:rsidRPr="007738E4">
        <w:rPr>
          <w:rFonts w:eastAsia="Aptos" w:cs="Times New Roman"/>
          <w:szCs w:val="24"/>
        </w:rPr>
        <w:t xml:space="preserve">Clarke, J. M., Waring, J., Bishop, S., Hartley, J., </w:t>
      </w:r>
      <w:proofErr w:type="spellStart"/>
      <w:r w:rsidRPr="007738E4">
        <w:rPr>
          <w:rFonts w:eastAsia="Aptos" w:cs="Times New Roman"/>
          <w:szCs w:val="24"/>
        </w:rPr>
        <w:t>Exworthy</w:t>
      </w:r>
      <w:proofErr w:type="spellEnd"/>
      <w:r w:rsidRPr="007738E4">
        <w:rPr>
          <w:rFonts w:eastAsia="Aptos" w:cs="Times New Roman"/>
          <w:szCs w:val="24"/>
        </w:rPr>
        <w:t xml:space="preserve">, M., Fulop, N. J., Ramsay, A. and Roe, B. (2021) ‘The contribution of political skill to the implementation of health services change’, </w:t>
      </w:r>
      <w:r w:rsidRPr="007738E4">
        <w:rPr>
          <w:rFonts w:eastAsia="Aptos" w:cs="Times New Roman"/>
          <w:i/>
          <w:iCs/>
          <w:szCs w:val="24"/>
        </w:rPr>
        <w:t>BMC Health Services Research</w:t>
      </w:r>
      <w:r w:rsidRPr="007738E4">
        <w:rPr>
          <w:rFonts w:eastAsia="Aptos" w:cs="Times New Roman"/>
          <w:szCs w:val="24"/>
        </w:rPr>
        <w:t xml:space="preserve">, 21, 1-15, </w:t>
      </w:r>
      <w:hyperlink r:id="rId22" w:history="1">
        <w:r w:rsidRPr="007738E4">
          <w:rPr>
            <w:rFonts w:eastAsia="Aptos" w:cs="Times New Roman"/>
            <w:color w:val="467886"/>
            <w:szCs w:val="24"/>
            <w:u w:val="single"/>
          </w:rPr>
          <w:t>https://doi.org/10.1186/s12913-021-06272-z</w:t>
        </w:r>
      </w:hyperlink>
      <w:r w:rsidRPr="007738E4">
        <w:rPr>
          <w:rFonts w:eastAsia="Aptos" w:cs="Times New Roman"/>
          <w:szCs w:val="24"/>
        </w:rPr>
        <w:t xml:space="preserve"> </w:t>
      </w:r>
    </w:p>
    <w:p w14:paraId="18935EFD" w14:textId="77777777" w:rsidR="001913DE" w:rsidRPr="007738E4" w:rsidRDefault="001913DE" w:rsidP="001913DE">
      <w:pPr>
        <w:spacing w:before="240" w:line="276" w:lineRule="auto"/>
        <w:rPr>
          <w:rFonts w:eastAsia="Aptos" w:cs="Times New Roman"/>
          <w:szCs w:val="24"/>
        </w:rPr>
      </w:pPr>
      <w:r w:rsidRPr="007738E4">
        <w:rPr>
          <w:rFonts w:eastAsia="Aptos" w:cs="Times New Roman"/>
          <w:szCs w:val="24"/>
        </w:rPr>
        <w:t xml:space="preserve">Darzi, K. (2024) </w:t>
      </w:r>
      <w:r w:rsidRPr="007738E4">
        <w:rPr>
          <w:rFonts w:eastAsia="Aptos" w:cs="Times New Roman"/>
          <w:i/>
          <w:iCs/>
          <w:szCs w:val="24"/>
        </w:rPr>
        <w:t xml:space="preserve">Independent investigation of the NHS in England </w:t>
      </w:r>
      <w:r w:rsidRPr="007738E4">
        <w:rPr>
          <w:rFonts w:eastAsia="Aptos" w:cs="Times New Roman"/>
          <w:szCs w:val="24"/>
        </w:rPr>
        <w:t xml:space="preserve">(London: Department of Health and Social Care) </w:t>
      </w:r>
      <w:hyperlink r:id="rId23" w:history="1">
        <w:r w:rsidRPr="007738E4">
          <w:rPr>
            <w:rStyle w:val="Hyperlink"/>
            <w:rFonts w:eastAsia="Aptos" w:cs="Times New Roman"/>
            <w:szCs w:val="24"/>
          </w:rPr>
          <w:t>Independent investigation of the NHS in England - GOV.UK</w:t>
        </w:r>
      </w:hyperlink>
      <w:r w:rsidRPr="007738E4">
        <w:rPr>
          <w:rFonts w:eastAsia="Aptos" w:cs="Times New Roman"/>
          <w:szCs w:val="24"/>
        </w:rPr>
        <w:t xml:space="preserve"> </w:t>
      </w:r>
    </w:p>
    <w:p w14:paraId="68AFD2E5" w14:textId="77777777" w:rsidR="001913DE" w:rsidRDefault="001913DE" w:rsidP="001913DE">
      <w:pPr>
        <w:spacing w:line="276" w:lineRule="auto"/>
        <w:rPr>
          <w:rFonts w:cs="Times New Roman"/>
          <w:szCs w:val="24"/>
        </w:rPr>
      </w:pPr>
      <w:r w:rsidRPr="007738E4">
        <w:rPr>
          <w:rFonts w:cs="Times New Roman"/>
          <w:szCs w:val="24"/>
        </w:rPr>
        <w:t xml:space="preserve">Eaton, G. (2024) ‘Keir Starmer’s big idea: the preventative state’, </w:t>
      </w:r>
      <w:r w:rsidRPr="007738E4">
        <w:rPr>
          <w:rFonts w:cs="Times New Roman"/>
          <w:i/>
          <w:iCs/>
          <w:szCs w:val="24"/>
        </w:rPr>
        <w:t>New Statesman</w:t>
      </w:r>
      <w:r w:rsidRPr="007738E4">
        <w:rPr>
          <w:rFonts w:cs="Times New Roman"/>
          <w:szCs w:val="24"/>
        </w:rPr>
        <w:t xml:space="preserve">, 2 September, </w:t>
      </w:r>
      <w:hyperlink r:id="rId24" w:history="1">
        <w:r w:rsidRPr="007738E4">
          <w:rPr>
            <w:rStyle w:val="Hyperlink"/>
            <w:rFonts w:cs="Times New Roman"/>
            <w:szCs w:val="24"/>
          </w:rPr>
          <w:t>https://www.newstatesman.com/politics/labour/2024/09/keir-starmers-big-idea-the-preventative-state</w:t>
        </w:r>
      </w:hyperlink>
      <w:r w:rsidRPr="007738E4">
        <w:rPr>
          <w:rFonts w:cs="Times New Roman"/>
          <w:szCs w:val="24"/>
        </w:rPr>
        <w:t xml:space="preserve"> (A: 21.11.24)</w:t>
      </w:r>
    </w:p>
    <w:p w14:paraId="63643FAA" w14:textId="36B92D58" w:rsidR="00776ADC" w:rsidRPr="007738E4" w:rsidRDefault="00776ADC" w:rsidP="001913DE">
      <w:pPr>
        <w:spacing w:line="276" w:lineRule="auto"/>
        <w:rPr>
          <w:rFonts w:cs="Times New Roman"/>
          <w:szCs w:val="24"/>
        </w:rPr>
      </w:pPr>
      <w:r w:rsidRPr="00776ADC">
        <w:rPr>
          <w:rFonts w:cs="Times New Roman"/>
          <w:szCs w:val="24"/>
        </w:rPr>
        <w:t>Flinders, M., Ayres, S., Boswell, J., Cairney, P., Durose, C., Elliott, I.C., Martin, S. and Richardson, L.</w:t>
      </w:r>
      <w:r>
        <w:rPr>
          <w:rFonts w:cs="Times New Roman"/>
          <w:szCs w:val="24"/>
        </w:rPr>
        <w:t xml:space="preserve"> (</w:t>
      </w:r>
      <w:r w:rsidRPr="00776ADC">
        <w:rPr>
          <w:rFonts w:cs="Times New Roman"/>
          <w:szCs w:val="24"/>
        </w:rPr>
        <w:t>2024</w:t>
      </w:r>
      <w:r>
        <w:rPr>
          <w:rFonts w:cs="Times New Roman"/>
          <w:szCs w:val="24"/>
        </w:rPr>
        <w:t>) ‘</w:t>
      </w:r>
      <w:r w:rsidRPr="00776ADC">
        <w:rPr>
          <w:rFonts w:cs="Times New Roman"/>
          <w:szCs w:val="24"/>
        </w:rPr>
        <w:t>Power with purpose? Further reflections on strengthening the centre of government</w:t>
      </w:r>
      <w:r>
        <w:rPr>
          <w:rFonts w:cs="Times New Roman"/>
          <w:szCs w:val="24"/>
        </w:rPr>
        <w:t>’</w:t>
      </w:r>
      <w:r w:rsidRPr="00776ADC">
        <w:rPr>
          <w:rFonts w:cs="Times New Roman"/>
          <w:szCs w:val="24"/>
        </w:rPr>
        <w:t> </w:t>
      </w:r>
      <w:r w:rsidRPr="00776ADC">
        <w:rPr>
          <w:rFonts w:cs="Times New Roman"/>
          <w:i/>
          <w:iCs/>
          <w:szCs w:val="24"/>
        </w:rPr>
        <w:t>The Political Quarterly</w:t>
      </w:r>
      <w:r w:rsidRPr="00776ADC">
        <w:rPr>
          <w:rFonts w:cs="Times New Roman"/>
          <w:szCs w:val="24"/>
        </w:rPr>
        <w:t>, </w:t>
      </w:r>
      <w:r w:rsidRPr="00776ADC">
        <w:rPr>
          <w:rFonts w:cs="Times New Roman"/>
          <w:i/>
          <w:iCs/>
          <w:szCs w:val="24"/>
        </w:rPr>
        <w:t>95</w:t>
      </w:r>
      <w:r w:rsidRPr="00776ADC">
        <w:rPr>
          <w:rFonts w:cs="Times New Roman"/>
          <w:szCs w:val="24"/>
        </w:rPr>
        <w:t>(3), 544-552</w:t>
      </w:r>
    </w:p>
    <w:p w14:paraId="3C3A83DE" w14:textId="77777777" w:rsidR="001913DE" w:rsidRPr="007738E4" w:rsidRDefault="001913DE" w:rsidP="001913DE">
      <w:pPr>
        <w:spacing w:line="276" w:lineRule="auto"/>
        <w:rPr>
          <w:rFonts w:cs="Times New Roman"/>
          <w:szCs w:val="24"/>
        </w:rPr>
      </w:pPr>
      <w:r w:rsidRPr="007738E4">
        <w:rPr>
          <w:rFonts w:cs="Times New Roman"/>
          <w:szCs w:val="24"/>
        </w:rPr>
        <w:t>Gibson, M., van Lier, F. A., &amp; Carter, E. (2023) “Tracing 25 years of ‘</w:t>
      </w:r>
      <w:proofErr w:type="spellStart"/>
      <w:r w:rsidRPr="007738E4">
        <w:rPr>
          <w:rFonts w:cs="Times New Roman"/>
          <w:szCs w:val="24"/>
        </w:rPr>
        <w:t>initiativitis</w:t>
      </w:r>
      <w:proofErr w:type="spellEnd"/>
      <w:r w:rsidRPr="007738E4">
        <w:rPr>
          <w:rFonts w:cs="Times New Roman"/>
          <w:szCs w:val="24"/>
        </w:rPr>
        <w:t>’ in central government attempts to join up local public services in England”, </w:t>
      </w:r>
      <w:r w:rsidRPr="007738E4">
        <w:rPr>
          <w:rFonts w:cs="Times New Roman"/>
          <w:i/>
          <w:iCs/>
          <w:szCs w:val="24"/>
        </w:rPr>
        <w:t>Policy &amp; Politics</w:t>
      </w:r>
      <w:r w:rsidRPr="007738E4">
        <w:rPr>
          <w:rFonts w:cs="Times New Roman"/>
          <w:szCs w:val="24"/>
        </w:rPr>
        <w:t>, 51(4), 695-717.</w:t>
      </w:r>
    </w:p>
    <w:p w14:paraId="2BE1ABF9" w14:textId="77777777" w:rsidR="001913DE" w:rsidRPr="007738E4" w:rsidRDefault="001913DE" w:rsidP="001913DE">
      <w:pPr>
        <w:spacing w:before="240" w:line="276" w:lineRule="auto"/>
        <w:rPr>
          <w:rFonts w:eastAsia="Aptos" w:cs="Times New Roman"/>
          <w:szCs w:val="24"/>
          <w:shd w:val="clear" w:color="auto" w:fill="FFFFFF"/>
        </w:rPr>
      </w:pPr>
      <w:r w:rsidRPr="007738E4">
        <w:rPr>
          <w:rFonts w:eastAsia="Aptos" w:cs="Times New Roman"/>
          <w:szCs w:val="24"/>
          <w:shd w:val="clear" w:color="auto" w:fill="FFFFFF"/>
        </w:rPr>
        <w:t xml:space="preserve">Gordon, B., Thomas, M.G., Darzi, A. </w:t>
      </w:r>
      <w:proofErr w:type="spellStart"/>
      <w:r w:rsidRPr="007738E4">
        <w:rPr>
          <w:rFonts w:eastAsia="Aptos" w:cs="Times New Roman"/>
          <w:szCs w:val="24"/>
          <w:shd w:val="clear" w:color="auto" w:fill="FFFFFF"/>
        </w:rPr>
        <w:t>Aufegger</w:t>
      </w:r>
      <w:proofErr w:type="spellEnd"/>
      <w:r w:rsidRPr="007738E4">
        <w:rPr>
          <w:rFonts w:eastAsia="Aptos" w:cs="Times New Roman"/>
          <w:szCs w:val="24"/>
          <w:shd w:val="clear" w:color="auto" w:fill="FFFFFF"/>
        </w:rPr>
        <w:t xml:space="preserve">, L., and Bicknell, C. (2023) ‘Systems leadership’, </w:t>
      </w:r>
      <w:r w:rsidRPr="007738E4">
        <w:rPr>
          <w:rFonts w:eastAsia="Aptos" w:cs="Times New Roman"/>
          <w:i/>
          <w:iCs/>
          <w:szCs w:val="24"/>
          <w:shd w:val="clear" w:color="auto" w:fill="FFFFFF"/>
        </w:rPr>
        <w:t>BMJ Leader</w:t>
      </w:r>
      <w:r w:rsidRPr="007738E4">
        <w:rPr>
          <w:rFonts w:eastAsia="Aptos" w:cs="Times New Roman"/>
          <w:szCs w:val="24"/>
          <w:shd w:val="clear" w:color="auto" w:fill="FFFFFF"/>
        </w:rPr>
        <w:t xml:space="preserve">, 7, 1, 72-4 </w:t>
      </w:r>
      <w:hyperlink r:id="rId25" w:history="1">
        <w:r w:rsidRPr="007738E4">
          <w:rPr>
            <w:rFonts w:eastAsia="Aptos" w:cs="Times New Roman"/>
            <w:color w:val="467886"/>
            <w:szCs w:val="24"/>
            <w:u w:val="single"/>
            <w:shd w:val="clear" w:color="auto" w:fill="FFFFFF"/>
          </w:rPr>
          <w:t>https://doi.org/10.1136/leader-2021-000564</w:t>
        </w:r>
      </w:hyperlink>
      <w:r w:rsidRPr="007738E4">
        <w:rPr>
          <w:rFonts w:eastAsia="Aptos" w:cs="Times New Roman"/>
          <w:szCs w:val="24"/>
          <w:shd w:val="clear" w:color="auto" w:fill="FFFFFF"/>
        </w:rPr>
        <w:t xml:space="preserve"> </w:t>
      </w:r>
    </w:p>
    <w:p w14:paraId="0B8F3E83" w14:textId="77777777" w:rsidR="001913DE" w:rsidRPr="007738E4" w:rsidRDefault="001913DE" w:rsidP="001913DE">
      <w:pPr>
        <w:tabs>
          <w:tab w:val="left" w:pos="4010"/>
        </w:tabs>
        <w:spacing w:line="278" w:lineRule="auto"/>
        <w:rPr>
          <w:rFonts w:eastAsia="Aptos" w:cs="Times New Roman"/>
          <w:color w:val="467886"/>
          <w:szCs w:val="24"/>
          <w:u w:val="single"/>
        </w:rPr>
      </w:pPr>
      <w:r w:rsidRPr="007738E4">
        <w:rPr>
          <w:rFonts w:eastAsia="Aptos" w:cs="Times New Roman"/>
          <w:szCs w:val="24"/>
        </w:rPr>
        <w:t xml:space="preserve">Goss, S. (2021) </w:t>
      </w:r>
      <w:r w:rsidRPr="007738E4">
        <w:rPr>
          <w:rFonts w:eastAsia="Aptos" w:cs="Times New Roman"/>
          <w:i/>
          <w:iCs/>
          <w:szCs w:val="24"/>
        </w:rPr>
        <w:t xml:space="preserve">Systems leadership </w:t>
      </w:r>
      <w:r w:rsidRPr="007738E4">
        <w:rPr>
          <w:rFonts w:eastAsia="Aptos" w:cs="Times New Roman"/>
          <w:szCs w:val="24"/>
        </w:rPr>
        <w:t xml:space="preserve">(London: OPM) </w:t>
      </w:r>
      <w:hyperlink r:id="rId26" w:history="1">
        <w:r w:rsidRPr="007738E4">
          <w:rPr>
            <w:rFonts w:eastAsia="Aptos" w:cs="Times New Roman"/>
            <w:color w:val="467886"/>
            <w:szCs w:val="24"/>
            <w:u w:val="single"/>
          </w:rPr>
          <w:t>https://eoe.leadershipacademy.nhs.uk/wp-content/uploads/sites/31/2021/04/Systems-Leadership-A-view-from-the-bridge.pdf</w:t>
        </w:r>
      </w:hyperlink>
    </w:p>
    <w:p w14:paraId="115DCCE8" w14:textId="77777777" w:rsidR="001913DE" w:rsidRPr="007738E4" w:rsidRDefault="001913DE" w:rsidP="001913DE">
      <w:pPr>
        <w:tabs>
          <w:tab w:val="left" w:pos="4010"/>
        </w:tabs>
        <w:spacing w:line="278" w:lineRule="auto"/>
        <w:rPr>
          <w:rFonts w:eastAsia="Aptos" w:cs="Times New Roman"/>
          <w:szCs w:val="24"/>
        </w:rPr>
      </w:pPr>
      <w:proofErr w:type="spellStart"/>
      <w:r w:rsidRPr="007738E4">
        <w:rPr>
          <w:rFonts w:cs="Times New Roman"/>
          <w:szCs w:val="24"/>
        </w:rPr>
        <w:t>Graphnet</w:t>
      </w:r>
      <w:proofErr w:type="spellEnd"/>
      <w:r w:rsidRPr="007738E4">
        <w:rPr>
          <w:rFonts w:cs="Times New Roman"/>
          <w:szCs w:val="24"/>
        </w:rPr>
        <w:t xml:space="preserve"> Health (2024) ‘What is driving the 'left shift' in medicine?’ 25</w:t>
      </w:r>
      <w:r w:rsidRPr="007738E4">
        <w:rPr>
          <w:rFonts w:cs="Times New Roman"/>
          <w:szCs w:val="24"/>
          <w:vertAlign w:val="superscript"/>
        </w:rPr>
        <w:t>th</w:t>
      </w:r>
      <w:r w:rsidRPr="007738E4">
        <w:rPr>
          <w:rFonts w:cs="Times New Roman"/>
          <w:szCs w:val="24"/>
        </w:rPr>
        <w:t xml:space="preserve"> July, </w:t>
      </w:r>
      <w:hyperlink r:id="rId27" w:history="1">
        <w:r w:rsidRPr="007738E4">
          <w:rPr>
            <w:rStyle w:val="Hyperlink"/>
            <w:rFonts w:cs="Times New Roman"/>
            <w:szCs w:val="24"/>
          </w:rPr>
          <w:t>https://www.graphnethealth.com/knowledge-hub/blog/what-is-driving-the-left-shift-in-medicine</w:t>
        </w:r>
      </w:hyperlink>
      <w:r w:rsidRPr="007738E4">
        <w:rPr>
          <w:rFonts w:cs="Times New Roman"/>
          <w:szCs w:val="24"/>
        </w:rPr>
        <w:t xml:space="preserve"> (A: 11.1.25)</w:t>
      </w:r>
    </w:p>
    <w:p w14:paraId="568AA54A" w14:textId="77777777" w:rsidR="001913DE" w:rsidRPr="007738E4" w:rsidRDefault="001913DE" w:rsidP="001913DE">
      <w:pPr>
        <w:spacing w:line="278" w:lineRule="auto"/>
        <w:rPr>
          <w:rFonts w:eastAsia="Aptos" w:cs="Times New Roman"/>
          <w:szCs w:val="24"/>
        </w:rPr>
      </w:pPr>
      <w:r w:rsidRPr="007738E4">
        <w:rPr>
          <w:rFonts w:eastAsia="Aptos" w:cs="Times New Roman"/>
          <w:szCs w:val="24"/>
        </w:rPr>
        <w:t>Hajer, M. A. (1995) </w:t>
      </w:r>
      <w:r w:rsidRPr="007738E4">
        <w:rPr>
          <w:rFonts w:eastAsia="Aptos" w:cs="Times New Roman"/>
          <w:i/>
          <w:iCs/>
          <w:szCs w:val="24"/>
        </w:rPr>
        <w:t xml:space="preserve">The politics of environmental discourse </w:t>
      </w:r>
      <w:r w:rsidRPr="007738E4">
        <w:rPr>
          <w:rFonts w:eastAsia="Aptos" w:cs="Times New Roman"/>
          <w:szCs w:val="24"/>
        </w:rPr>
        <w:t>(Oxford: Oxford University Press)</w:t>
      </w:r>
    </w:p>
    <w:p w14:paraId="1FF3ECE3" w14:textId="77777777" w:rsidR="001913DE" w:rsidRPr="007738E4" w:rsidRDefault="001913DE" w:rsidP="001913DE">
      <w:pPr>
        <w:spacing w:line="278" w:lineRule="auto"/>
        <w:rPr>
          <w:rFonts w:eastAsia="Aptos" w:cs="Times New Roman"/>
          <w:szCs w:val="24"/>
        </w:rPr>
      </w:pPr>
      <w:r w:rsidRPr="007738E4">
        <w:rPr>
          <w:rFonts w:eastAsia="Aptos" w:cs="Times New Roman"/>
          <w:szCs w:val="24"/>
        </w:rPr>
        <w:t xml:space="preserve">Hewitt, P. (2023) </w:t>
      </w:r>
      <w:r w:rsidRPr="007738E4">
        <w:rPr>
          <w:rFonts w:eastAsia="Aptos" w:cs="Times New Roman"/>
          <w:i/>
          <w:iCs/>
          <w:szCs w:val="24"/>
        </w:rPr>
        <w:t>The Hewitt Review</w:t>
      </w:r>
      <w:r w:rsidRPr="007738E4">
        <w:rPr>
          <w:rFonts w:eastAsia="Aptos" w:cs="Times New Roman"/>
          <w:szCs w:val="24"/>
        </w:rPr>
        <w:t xml:space="preserve"> (London: Department of Health and Social Care) </w:t>
      </w:r>
      <w:hyperlink r:id="rId28" w:history="1">
        <w:r w:rsidRPr="007738E4">
          <w:rPr>
            <w:rStyle w:val="Hyperlink"/>
            <w:rFonts w:eastAsia="Aptos" w:cs="Times New Roman"/>
            <w:szCs w:val="24"/>
          </w:rPr>
          <w:t>https://www.gov.uk/government/publications/the-hewitt-review-an-independent-review-of-integrated-care-systems</w:t>
        </w:r>
      </w:hyperlink>
      <w:r w:rsidRPr="007738E4">
        <w:rPr>
          <w:rFonts w:eastAsia="Aptos" w:cs="Times New Roman"/>
          <w:szCs w:val="24"/>
        </w:rPr>
        <w:t xml:space="preserve"> </w:t>
      </w:r>
    </w:p>
    <w:p w14:paraId="6BD3949B" w14:textId="77777777" w:rsidR="001913DE" w:rsidRPr="007738E4" w:rsidRDefault="001913DE" w:rsidP="001913DE">
      <w:pPr>
        <w:spacing w:line="278" w:lineRule="auto"/>
        <w:rPr>
          <w:rFonts w:eastAsia="Aptos" w:cs="Times New Roman"/>
          <w:szCs w:val="24"/>
        </w:rPr>
      </w:pPr>
      <w:r w:rsidRPr="007738E4">
        <w:rPr>
          <w:rFonts w:eastAsia="Aptos" w:cs="Times New Roman"/>
          <w:szCs w:val="24"/>
        </w:rPr>
        <w:t xml:space="preserve">Hood, C. (2007) ‘Public service management by numbers’, </w:t>
      </w:r>
      <w:r w:rsidRPr="007738E4">
        <w:rPr>
          <w:rFonts w:eastAsia="Aptos" w:cs="Times New Roman"/>
          <w:i/>
          <w:iCs/>
          <w:szCs w:val="24"/>
        </w:rPr>
        <w:t>Public Money and Management</w:t>
      </w:r>
      <w:r w:rsidRPr="007738E4">
        <w:rPr>
          <w:rFonts w:eastAsia="Aptos" w:cs="Times New Roman"/>
          <w:szCs w:val="24"/>
        </w:rPr>
        <w:t>, 27, 2, 95–102</w:t>
      </w:r>
    </w:p>
    <w:p w14:paraId="2EF8FDD7" w14:textId="77777777" w:rsidR="001913DE" w:rsidRPr="007738E4" w:rsidRDefault="001913DE" w:rsidP="001913DE">
      <w:pPr>
        <w:spacing w:line="278" w:lineRule="auto"/>
        <w:rPr>
          <w:rFonts w:eastAsia="Aptos" w:cs="Times New Roman"/>
          <w:szCs w:val="24"/>
        </w:rPr>
      </w:pPr>
      <w:r w:rsidRPr="007738E4">
        <w:rPr>
          <w:rFonts w:eastAsia="Aptos" w:cs="Times New Roman"/>
          <w:szCs w:val="24"/>
        </w:rPr>
        <w:lastRenderedPageBreak/>
        <w:t xml:space="preserve">Kingdon, J. (1984) </w:t>
      </w:r>
      <w:r w:rsidRPr="007738E4">
        <w:rPr>
          <w:rFonts w:eastAsia="Aptos" w:cs="Times New Roman"/>
          <w:i/>
          <w:iCs/>
          <w:szCs w:val="24"/>
        </w:rPr>
        <w:t>Agendas, Alternatives and Public Policies</w:t>
      </w:r>
      <w:r w:rsidRPr="007738E4">
        <w:rPr>
          <w:rFonts w:eastAsia="Aptos" w:cs="Times New Roman"/>
          <w:szCs w:val="24"/>
        </w:rPr>
        <w:t xml:space="preserve"> (New York: Harper)</w:t>
      </w:r>
    </w:p>
    <w:p w14:paraId="212EDA94" w14:textId="77777777" w:rsidR="001913DE" w:rsidRPr="007738E4" w:rsidRDefault="001913DE" w:rsidP="001913DE">
      <w:pPr>
        <w:autoSpaceDE w:val="0"/>
        <w:autoSpaceDN w:val="0"/>
        <w:adjustRightInd w:val="0"/>
        <w:spacing w:before="240" w:line="276" w:lineRule="auto"/>
        <w:rPr>
          <w:rFonts w:eastAsia="Aptos" w:cs="Times New Roman"/>
          <w:szCs w:val="24"/>
          <w:shd w:val="clear" w:color="auto" w:fill="FFFFFF"/>
        </w:rPr>
      </w:pPr>
      <w:r w:rsidRPr="007738E4">
        <w:rPr>
          <w:rFonts w:eastAsia="Aptos" w:cs="Times New Roman"/>
          <w:szCs w:val="24"/>
          <w:shd w:val="clear" w:color="auto" w:fill="FFFFFF"/>
        </w:rPr>
        <w:t xml:space="preserve">Local Government Association (2018) </w:t>
      </w:r>
      <w:r w:rsidRPr="007738E4">
        <w:rPr>
          <w:rFonts w:eastAsia="Aptos" w:cs="Times New Roman"/>
          <w:i/>
          <w:iCs/>
          <w:szCs w:val="24"/>
          <w:shd w:val="clear" w:color="auto" w:fill="FFFFFF"/>
        </w:rPr>
        <w:t xml:space="preserve">Shifting the centre of gravity </w:t>
      </w:r>
      <w:r w:rsidRPr="007738E4">
        <w:rPr>
          <w:rFonts w:eastAsia="Aptos" w:cs="Times New Roman"/>
          <w:szCs w:val="24"/>
          <w:shd w:val="clear" w:color="auto" w:fill="FFFFFF"/>
        </w:rPr>
        <w:t xml:space="preserve">(London: LGA) </w:t>
      </w:r>
      <w:hyperlink r:id="rId29" w:history="1">
        <w:r w:rsidRPr="007738E4">
          <w:rPr>
            <w:rFonts w:eastAsia="Aptos" w:cs="Times New Roman"/>
            <w:color w:val="467886"/>
            <w:szCs w:val="24"/>
            <w:u w:val="single"/>
            <w:shd w:val="clear" w:color="auto" w:fill="FFFFFF"/>
          </w:rPr>
          <w:t>https://www.local.gov.uk/sites/default/files/documents/1.84%20-%20Shifting%20the%20centre%20of%20gravity%20WEB_0.pdf</w:t>
        </w:r>
      </w:hyperlink>
      <w:r w:rsidRPr="007738E4">
        <w:rPr>
          <w:rFonts w:eastAsia="Aptos" w:cs="Times New Roman"/>
          <w:szCs w:val="24"/>
          <w:shd w:val="clear" w:color="auto" w:fill="FFFFFF"/>
        </w:rPr>
        <w:t xml:space="preserve"> </w:t>
      </w:r>
    </w:p>
    <w:p w14:paraId="1D841F75" w14:textId="77777777" w:rsidR="001913DE" w:rsidRPr="007738E4" w:rsidRDefault="001913DE" w:rsidP="001913DE">
      <w:pPr>
        <w:rPr>
          <w:rFonts w:eastAsia="Aptos" w:cs="Times New Roman"/>
          <w:szCs w:val="24"/>
        </w:rPr>
      </w:pPr>
      <w:r w:rsidRPr="007738E4">
        <w:rPr>
          <w:rFonts w:eastAsia="Aptos" w:cs="Times New Roman"/>
          <w:szCs w:val="24"/>
        </w:rPr>
        <w:t>Lowndes, V., and Roberts, M. (2013) </w:t>
      </w:r>
      <w:r w:rsidRPr="007738E4">
        <w:rPr>
          <w:rFonts w:eastAsia="Aptos" w:cs="Times New Roman"/>
          <w:i/>
          <w:iCs/>
          <w:szCs w:val="24"/>
        </w:rPr>
        <w:t xml:space="preserve">Why institutions matter </w:t>
      </w:r>
      <w:r w:rsidRPr="007738E4">
        <w:rPr>
          <w:rFonts w:eastAsia="Aptos" w:cs="Times New Roman"/>
          <w:szCs w:val="24"/>
        </w:rPr>
        <w:t>(London: Bloomsbury)</w:t>
      </w:r>
    </w:p>
    <w:p w14:paraId="70B78E1D" w14:textId="6D4A0944" w:rsidR="001913DE" w:rsidRDefault="001913DE" w:rsidP="001913DE">
      <w:pPr>
        <w:rPr>
          <w:rFonts w:eastAsia="Aptos" w:cs="Times New Roman"/>
          <w:szCs w:val="24"/>
        </w:rPr>
      </w:pPr>
      <w:r w:rsidRPr="007738E4">
        <w:rPr>
          <w:rFonts w:eastAsia="Aptos" w:cs="Times New Roman"/>
          <w:szCs w:val="24"/>
        </w:rPr>
        <w:t xml:space="preserve">van Hulst, M., Metze, T., Dewulf, A., De Vries, J., Van Bommel, S., &amp; Van </w:t>
      </w:r>
      <w:proofErr w:type="spellStart"/>
      <w:r w:rsidRPr="007738E4">
        <w:rPr>
          <w:rFonts w:eastAsia="Aptos" w:cs="Times New Roman"/>
          <w:szCs w:val="24"/>
        </w:rPr>
        <w:t>Ostaijen</w:t>
      </w:r>
      <w:proofErr w:type="spellEnd"/>
      <w:r w:rsidRPr="007738E4">
        <w:rPr>
          <w:rFonts w:eastAsia="Aptos" w:cs="Times New Roman"/>
          <w:szCs w:val="24"/>
        </w:rPr>
        <w:t>, M. (2024) ‘Discourse, framing and narrative</w:t>
      </w:r>
      <w:proofErr w:type="gramStart"/>
      <w:r w:rsidRPr="007738E4">
        <w:rPr>
          <w:rFonts w:eastAsia="Aptos" w:cs="Times New Roman"/>
          <w:szCs w:val="24"/>
        </w:rPr>
        <w:t>’,  </w:t>
      </w:r>
      <w:r w:rsidRPr="007738E4">
        <w:rPr>
          <w:rFonts w:eastAsia="Aptos" w:cs="Times New Roman"/>
          <w:i/>
          <w:iCs/>
          <w:szCs w:val="24"/>
        </w:rPr>
        <w:t>Critical</w:t>
      </w:r>
      <w:proofErr w:type="gramEnd"/>
      <w:r w:rsidRPr="007738E4">
        <w:rPr>
          <w:rFonts w:eastAsia="Aptos" w:cs="Times New Roman"/>
          <w:i/>
          <w:iCs/>
          <w:szCs w:val="24"/>
        </w:rPr>
        <w:t xml:space="preserve"> Policy Studies</w:t>
      </w:r>
      <w:r w:rsidRPr="007738E4">
        <w:rPr>
          <w:rFonts w:eastAsia="Aptos" w:cs="Times New Roman"/>
          <w:szCs w:val="24"/>
        </w:rPr>
        <w:t>, 1-23</w:t>
      </w:r>
    </w:p>
    <w:p w14:paraId="5B2216AE" w14:textId="4B91DF92" w:rsidR="00776ADC" w:rsidRPr="007738E4" w:rsidRDefault="00776ADC" w:rsidP="001913DE">
      <w:pPr>
        <w:rPr>
          <w:rFonts w:eastAsia="Aptos" w:cs="Times New Roman"/>
          <w:szCs w:val="24"/>
        </w:rPr>
      </w:pPr>
      <w:r w:rsidRPr="00776ADC">
        <w:rPr>
          <w:rFonts w:eastAsia="Aptos" w:cs="Times New Roman"/>
          <w:szCs w:val="24"/>
        </w:rPr>
        <w:t>Marsh, D., Richards, D. and Smith, M.J.</w:t>
      </w:r>
      <w:r>
        <w:rPr>
          <w:rFonts w:eastAsia="Aptos" w:cs="Times New Roman"/>
          <w:szCs w:val="24"/>
        </w:rPr>
        <w:t xml:space="preserve"> (</w:t>
      </w:r>
      <w:r w:rsidRPr="00776ADC">
        <w:rPr>
          <w:rFonts w:eastAsia="Aptos" w:cs="Times New Roman"/>
          <w:szCs w:val="24"/>
        </w:rPr>
        <w:t>2024</w:t>
      </w:r>
      <w:r>
        <w:rPr>
          <w:rFonts w:eastAsia="Aptos" w:cs="Times New Roman"/>
          <w:szCs w:val="24"/>
        </w:rPr>
        <w:t>) ‘</w:t>
      </w:r>
      <w:r w:rsidRPr="00776ADC">
        <w:rPr>
          <w:rFonts w:eastAsia="Aptos" w:cs="Times New Roman"/>
          <w:szCs w:val="24"/>
        </w:rPr>
        <w:t>The asymmetric power model 20 years on</w:t>
      </w:r>
      <w:r>
        <w:rPr>
          <w:rFonts w:eastAsia="Aptos" w:cs="Times New Roman"/>
          <w:szCs w:val="24"/>
        </w:rPr>
        <w:t>’,</w:t>
      </w:r>
      <w:r w:rsidRPr="00776ADC">
        <w:rPr>
          <w:rFonts w:eastAsia="Aptos" w:cs="Times New Roman"/>
          <w:szCs w:val="24"/>
        </w:rPr>
        <w:t> </w:t>
      </w:r>
      <w:r w:rsidRPr="00776ADC">
        <w:rPr>
          <w:rFonts w:eastAsia="Aptos" w:cs="Times New Roman"/>
          <w:i/>
          <w:iCs/>
          <w:szCs w:val="24"/>
        </w:rPr>
        <w:t>Parliamentary Affairs</w:t>
      </w:r>
      <w:r w:rsidRPr="00776ADC">
        <w:rPr>
          <w:rFonts w:eastAsia="Aptos" w:cs="Times New Roman"/>
          <w:szCs w:val="24"/>
        </w:rPr>
        <w:t>, </w:t>
      </w:r>
      <w:r w:rsidRPr="00776ADC">
        <w:rPr>
          <w:rFonts w:eastAsia="Aptos" w:cs="Times New Roman"/>
          <w:i/>
          <w:iCs/>
          <w:szCs w:val="24"/>
        </w:rPr>
        <w:t>77</w:t>
      </w:r>
      <w:r w:rsidRPr="00776ADC">
        <w:rPr>
          <w:rFonts w:eastAsia="Aptos" w:cs="Times New Roman"/>
          <w:szCs w:val="24"/>
        </w:rPr>
        <w:t>(4), pp.658-685.</w:t>
      </w:r>
    </w:p>
    <w:p w14:paraId="4CD3DABB" w14:textId="77777777" w:rsidR="001913DE" w:rsidRPr="007738E4" w:rsidRDefault="001913DE" w:rsidP="001913DE">
      <w:pPr>
        <w:autoSpaceDE w:val="0"/>
        <w:autoSpaceDN w:val="0"/>
        <w:adjustRightInd w:val="0"/>
        <w:spacing w:before="240" w:line="276" w:lineRule="auto"/>
        <w:rPr>
          <w:rFonts w:eastAsia="Aptos" w:cs="Times New Roman"/>
          <w:szCs w:val="24"/>
          <w:shd w:val="clear" w:color="auto" w:fill="FFFFFF"/>
        </w:rPr>
      </w:pPr>
      <w:r w:rsidRPr="007738E4">
        <w:rPr>
          <w:rFonts w:eastAsia="Aptos" w:cs="Times New Roman"/>
          <w:szCs w:val="24"/>
          <w:shd w:val="clear" w:color="auto" w:fill="FFFFFF"/>
        </w:rPr>
        <w:t xml:space="preserve">Miller, R. (2020) </w:t>
      </w:r>
      <w:r w:rsidRPr="007738E4">
        <w:rPr>
          <w:rFonts w:eastAsia="Aptos" w:cs="Times New Roman"/>
          <w:i/>
          <w:iCs/>
          <w:szCs w:val="24"/>
          <w:shd w:val="clear" w:color="auto" w:fill="FFFFFF"/>
        </w:rPr>
        <w:t xml:space="preserve">Systems leadership </w:t>
      </w:r>
      <w:r w:rsidRPr="007738E4">
        <w:rPr>
          <w:rFonts w:eastAsia="Aptos" w:cs="Times New Roman"/>
          <w:szCs w:val="24"/>
          <w:shd w:val="clear" w:color="auto" w:fill="FFFFFF"/>
        </w:rPr>
        <w:t xml:space="preserve">(Devon: Research in Practice) </w:t>
      </w:r>
      <w:hyperlink r:id="rId30" w:history="1">
        <w:r w:rsidRPr="007738E4">
          <w:rPr>
            <w:rFonts w:eastAsia="Aptos" w:cs="Times New Roman"/>
            <w:color w:val="467886"/>
            <w:szCs w:val="24"/>
            <w:u w:val="single"/>
            <w:shd w:val="clear" w:color="auto" w:fill="FFFFFF"/>
          </w:rPr>
          <w:t>https://www.researchinpractice.org.uk/adults/publications/2020/march/systems-leadership-enhancing-the-role-of-social-care-strategic-briefing-2020/</w:t>
        </w:r>
      </w:hyperlink>
      <w:r w:rsidRPr="007738E4">
        <w:rPr>
          <w:rFonts w:eastAsia="Aptos" w:cs="Times New Roman"/>
          <w:szCs w:val="24"/>
          <w:shd w:val="clear" w:color="auto" w:fill="FFFFFF"/>
        </w:rPr>
        <w:t xml:space="preserve"> </w:t>
      </w:r>
    </w:p>
    <w:p w14:paraId="767B1CDC" w14:textId="77777777" w:rsidR="001913DE" w:rsidRPr="007738E4" w:rsidRDefault="001913DE" w:rsidP="001913DE">
      <w:pPr>
        <w:spacing w:line="276" w:lineRule="auto"/>
        <w:rPr>
          <w:rFonts w:cs="Times New Roman"/>
          <w:szCs w:val="24"/>
        </w:rPr>
      </w:pPr>
      <w:r w:rsidRPr="007738E4">
        <w:rPr>
          <w:rFonts w:cs="Times New Roman"/>
          <w:szCs w:val="24"/>
        </w:rPr>
        <w:t xml:space="preserve">NHS Confederation (2021) </w:t>
      </w:r>
      <w:r w:rsidRPr="007738E4">
        <w:rPr>
          <w:rFonts w:cs="Times New Roman"/>
          <w:i/>
          <w:iCs/>
          <w:szCs w:val="24"/>
        </w:rPr>
        <w:t>The future of systems leadership</w:t>
      </w:r>
      <w:r w:rsidRPr="007738E4">
        <w:rPr>
          <w:rFonts w:cs="Times New Roman"/>
          <w:szCs w:val="24"/>
        </w:rPr>
        <w:t xml:space="preserve"> </w:t>
      </w:r>
      <w:hyperlink r:id="rId31" w:history="1">
        <w:r w:rsidRPr="007738E4">
          <w:rPr>
            <w:rStyle w:val="Hyperlink"/>
            <w:rFonts w:cs="Times New Roman"/>
            <w:szCs w:val="24"/>
          </w:rPr>
          <w:t>https://www.nhsconfed.org/~/media/Confederation/Files/public%20access/The_future_of_system_leadership.pdf</w:t>
        </w:r>
      </w:hyperlink>
      <w:r w:rsidRPr="007738E4">
        <w:rPr>
          <w:rFonts w:cs="Times New Roman"/>
          <w:szCs w:val="24"/>
        </w:rPr>
        <w:t xml:space="preserve">  (A: 21.11.24)</w:t>
      </w:r>
    </w:p>
    <w:p w14:paraId="6C0F1775" w14:textId="77777777" w:rsidR="001913DE" w:rsidRPr="007738E4" w:rsidRDefault="001913DE" w:rsidP="001913DE">
      <w:pPr>
        <w:rPr>
          <w:rFonts w:cs="Times New Roman"/>
          <w:szCs w:val="24"/>
        </w:rPr>
      </w:pPr>
      <w:r w:rsidRPr="007738E4">
        <w:rPr>
          <w:rFonts w:cs="Times New Roman"/>
          <w:szCs w:val="24"/>
        </w:rPr>
        <w:t xml:space="preserve">NHS Confederation (2024) </w:t>
      </w:r>
      <w:r w:rsidRPr="007738E4">
        <w:rPr>
          <w:rFonts w:cs="Times New Roman"/>
          <w:i/>
          <w:iCs/>
          <w:szCs w:val="24"/>
        </w:rPr>
        <w:t>Unlocking prevention in integrated care systems</w:t>
      </w:r>
      <w:r w:rsidRPr="007738E4">
        <w:rPr>
          <w:rFonts w:cs="Times New Roman"/>
          <w:szCs w:val="24"/>
        </w:rPr>
        <w:t xml:space="preserve"> (London: NHS Confederation) </w:t>
      </w:r>
      <w:hyperlink r:id="rId32" w:history="1">
        <w:r w:rsidRPr="007738E4">
          <w:rPr>
            <w:rStyle w:val="Hyperlink"/>
            <w:rFonts w:cs="Times New Roman"/>
            <w:szCs w:val="24"/>
          </w:rPr>
          <w:t>https://www.nhsconfed.org/publications/report-unlocking-prevention-integrated-care-systems</w:t>
        </w:r>
      </w:hyperlink>
      <w:r w:rsidRPr="007738E4">
        <w:rPr>
          <w:rFonts w:cs="Times New Roman"/>
          <w:szCs w:val="24"/>
        </w:rPr>
        <w:t xml:space="preserve"> </w:t>
      </w:r>
    </w:p>
    <w:p w14:paraId="1A03E74E" w14:textId="77777777" w:rsidR="001913DE" w:rsidRPr="007738E4" w:rsidRDefault="001913DE" w:rsidP="001913DE">
      <w:pPr>
        <w:spacing w:line="278" w:lineRule="auto"/>
        <w:rPr>
          <w:rFonts w:eastAsia="Aptos" w:cs="Times New Roman"/>
          <w:szCs w:val="24"/>
        </w:rPr>
      </w:pPr>
      <w:r w:rsidRPr="007738E4">
        <w:rPr>
          <w:rFonts w:eastAsia="Aptos" w:cs="Times New Roman"/>
          <w:szCs w:val="24"/>
        </w:rPr>
        <w:t xml:space="preserve">NHS England (2024) ‘What are integrated care systems?’ </w:t>
      </w:r>
      <w:hyperlink r:id="rId33" w:history="1">
        <w:r w:rsidRPr="007738E4">
          <w:rPr>
            <w:rFonts w:eastAsia="Aptos" w:cs="Times New Roman"/>
            <w:color w:val="467886"/>
            <w:szCs w:val="24"/>
            <w:u w:val="single"/>
          </w:rPr>
          <w:t>https://www.england.nhs.uk/integratedcare/what-is-integrated-care/</w:t>
        </w:r>
      </w:hyperlink>
      <w:r w:rsidRPr="007738E4">
        <w:rPr>
          <w:rFonts w:eastAsia="Aptos" w:cs="Times New Roman"/>
          <w:szCs w:val="24"/>
        </w:rPr>
        <w:t xml:space="preserve"> (A: 21.11.24)</w:t>
      </w:r>
    </w:p>
    <w:p w14:paraId="22CD624C" w14:textId="77777777" w:rsidR="001913DE" w:rsidRPr="007738E4" w:rsidRDefault="001913DE" w:rsidP="001913DE">
      <w:pPr>
        <w:spacing w:line="276" w:lineRule="auto"/>
        <w:rPr>
          <w:rFonts w:cs="Times New Roman"/>
          <w:szCs w:val="24"/>
        </w:rPr>
      </w:pPr>
      <w:r w:rsidRPr="007738E4">
        <w:rPr>
          <w:rFonts w:cs="Times New Roman"/>
          <w:szCs w:val="24"/>
        </w:rPr>
        <w:t xml:space="preserve">NHS England (Sustainable Improvement Team and the Horizons Team) (2018) </w:t>
      </w:r>
      <w:r w:rsidRPr="007738E4">
        <w:rPr>
          <w:rFonts w:cs="Times New Roman"/>
          <w:i/>
          <w:iCs/>
          <w:szCs w:val="24"/>
        </w:rPr>
        <w:t xml:space="preserve">Leading large scale change </w:t>
      </w:r>
      <w:r w:rsidRPr="007738E4">
        <w:rPr>
          <w:rFonts w:cs="Times New Roman"/>
          <w:szCs w:val="24"/>
        </w:rPr>
        <w:t xml:space="preserve">(London: NHS England) </w:t>
      </w:r>
      <w:hyperlink r:id="rId34" w:history="1">
        <w:r w:rsidRPr="007738E4">
          <w:rPr>
            <w:rStyle w:val="Hyperlink"/>
            <w:rFonts w:cs="Times New Roman"/>
            <w:szCs w:val="24"/>
          </w:rPr>
          <w:t>practical-guide-large-scale-change-april-2018-smll.pdf</w:t>
        </w:r>
      </w:hyperlink>
      <w:r w:rsidRPr="007738E4">
        <w:rPr>
          <w:rFonts w:cs="Times New Roman"/>
          <w:szCs w:val="24"/>
        </w:rPr>
        <w:t xml:space="preserve"> </w:t>
      </w:r>
    </w:p>
    <w:p w14:paraId="3C40B19C" w14:textId="77777777" w:rsidR="001913DE" w:rsidRPr="007738E4" w:rsidRDefault="001913DE" w:rsidP="001913DE">
      <w:pPr>
        <w:spacing w:line="278" w:lineRule="auto"/>
        <w:rPr>
          <w:rFonts w:eastAsia="Aptos" w:cs="Times New Roman"/>
          <w:szCs w:val="24"/>
        </w:rPr>
      </w:pPr>
      <w:r w:rsidRPr="007738E4">
        <w:rPr>
          <w:rFonts w:eastAsia="Aptos" w:cs="Times New Roman"/>
          <w:szCs w:val="24"/>
        </w:rPr>
        <w:t xml:space="preserve">NHS England (2014) </w:t>
      </w:r>
      <w:r w:rsidRPr="007738E4">
        <w:rPr>
          <w:rFonts w:eastAsia="Aptos" w:cs="Times New Roman"/>
          <w:i/>
          <w:iCs/>
          <w:szCs w:val="24"/>
        </w:rPr>
        <w:t>Forward View</w:t>
      </w:r>
      <w:r w:rsidRPr="007738E4">
        <w:rPr>
          <w:rFonts w:eastAsia="Aptos" w:cs="Times New Roman"/>
          <w:szCs w:val="24"/>
        </w:rPr>
        <w:t xml:space="preserve"> (London: NHS England)</w:t>
      </w:r>
    </w:p>
    <w:p w14:paraId="18EA89C3" w14:textId="77777777" w:rsidR="001913DE" w:rsidRPr="007738E4" w:rsidRDefault="001913DE" w:rsidP="001913DE">
      <w:pPr>
        <w:spacing w:line="278" w:lineRule="auto"/>
        <w:rPr>
          <w:rFonts w:eastAsia="Aptos" w:cs="Times New Roman"/>
          <w:szCs w:val="24"/>
        </w:rPr>
      </w:pPr>
      <w:r w:rsidRPr="007738E4">
        <w:rPr>
          <w:rFonts w:eastAsia="Aptos" w:cs="Times New Roman"/>
          <w:szCs w:val="24"/>
        </w:rPr>
        <w:t xml:space="preserve">Paton, C. (2016) </w:t>
      </w:r>
      <w:r w:rsidRPr="007738E4">
        <w:rPr>
          <w:rFonts w:eastAsia="Aptos" w:cs="Times New Roman"/>
          <w:i/>
          <w:iCs/>
          <w:szCs w:val="24"/>
        </w:rPr>
        <w:t>The Politics of Health Policy Reform in the UK</w:t>
      </w:r>
      <w:r w:rsidRPr="007738E4">
        <w:rPr>
          <w:rFonts w:eastAsia="Aptos" w:cs="Times New Roman"/>
          <w:szCs w:val="24"/>
        </w:rPr>
        <w:t xml:space="preserve"> (London: Palgrave)</w:t>
      </w:r>
    </w:p>
    <w:p w14:paraId="78B3BA61" w14:textId="77777777" w:rsidR="001913DE" w:rsidRPr="007738E4" w:rsidRDefault="001913DE" w:rsidP="001913DE">
      <w:pPr>
        <w:rPr>
          <w:rFonts w:cs="Times New Roman"/>
        </w:rPr>
      </w:pPr>
      <w:r w:rsidRPr="007738E4">
        <w:rPr>
          <w:rFonts w:eastAsia="Aptos" w:cs="Times New Roman"/>
          <w:szCs w:val="24"/>
        </w:rPr>
        <w:t>Pawson, R. (2013). </w:t>
      </w:r>
      <w:r w:rsidRPr="007738E4">
        <w:rPr>
          <w:rFonts w:eastAsia="Aptos" w:cs="Times New Roman"/>
          <w:i/>
          <w:iCs/>
          <w:szCs w:val="24"/>
        </w:rPr>
        <w:t>The Science of Evaluation</w:t>
      </w:r>
      <w:r w:rsidRPr="007738E4">
        <w:rPr>
          <w:rFonts w:eastAsia="Aptos" w:cs="Times New Roman"/>
          <w:szCs w:val="24"/>
        </w:rPr>
        <w:t xml:space="preserve"> (London: SAGE)</w:t>
      </w:r>
    </w:p>
    <w:p w14:paraId="22021274" w14:textId="77777777" w:rsidR="001913DE" w:rsidRPr="007738E4" w:rsidRDefault="001913DE" w:rsidP="001913DE">
      <w:pPr>
        <w:spacing w:line="278" w:lineRule="auto"/>
        <w:rPr>
          <w:rFonts w:eastAsia="Aptos" w:cs="Times New Roman"/>
          <w:szCs w:val="24"/>
        </w:rPr>
      </w:pPr>
      <w:r w:rsidRPr="007738E4">
        <w:rPr>
          <w:rFonts w:eastAsia="Aptos" w:cs="Times New Roman"/>
          <w:szCs w:val="24"/>
        </w:rPr>
        <w:t>Peters, B. G. (2018). </w:t>
      </w:r>
      <w:r w:rsidRPr="007738E4">
        <w:rPr>
          <w:rFonts w:eastAsia="Aptos" w:cs="Times New Roman"/>
          <w:i/>
          <w:iCs/>
          <w:szCs w:val="24"/>
        </w:rPr>
        <w:t xml:space="preserve">The politics of bureaucracy </w:t>
      </w:r>
      <w:r w:rsidRPr="007738E4">
        <w:rPr>
          <w:rFonts w:eastAsia="Aptos" w:cs="Times New Roman"/>
          <w:szCs w:val="24"/>
        </w:rPr>
        <w:t>(London: Routledge)</w:t>
      </w:r>
    </w:p>
    <w:p w14:paraId="448A9F51" w14:textId="77777777" w:rsidR="001913DE" w:rsidRPr="007738E4" w:rsidRDefault="001913DE" w:rsidP="001913DE">
      <w:pPr>
        <w:spacing w:line="278" w:lineRule="auto"/>
        <w:rPr>
          <w:rFonts w:eastAsia="Aptos" w:cs="Times New Roman"/>
          <w:szCs w:val="24"/>
        </w:rPr>
      </w:pPr>
      <w:r w:rsidRPr="007738E4">
        <w:rPr>
          <w:rFonts w:eastAsia="Aptos" w:cs="Times New Roman"/>
          <w:szCs w:val="24"/>
        </w:rPr>
        <w:t>Post, L. A., Raile, A. N., and Raile, E. D. (2010) ‘Defining political will’, </w:t>
      </w:r>
      <w:r w:rsidRPr="007738E4">
        <w:rPr>
          <w:rFonts w:eastAsia="Aptos" w:cs="Times New Roman"/>
          <w:i/>
          <w:iCs/>
          <w:szCs w:val="24"/>
        </w:rPr>
        <w:t>Politics &amp; Policy</w:t>
      </w:r>
      <w:r w:rsidRPr="007738E4">
        <w:rPr>
          <w:rFonts w:eastAsia="Aptos" w:cs="Times New Roman"/>
          <w:szCs w:val="24"/>
        </w:rPr>
        <w:t>, </w:t>
      </w:r>
      <w:r w:rsidRPr="007738E4">
        <w:rPr>
          <w:rFonts w:eastAsia="Aptos" w:cs="Times New Roman"/>
          <w:i/>
          <w:iCs/>
          <w:szCs w:val="24"/>
        </w:rPr>
        <w:t>38</w:t>
      </w:r>
      <w:r w:rsidRPr="007738E4">
        <w:rPr>
          <w:rFonts w:eastAsia="Aptos" w:cs="Times New Roman"/>
          <w:szCs w:val="24"/>
        </w:rPr>
        <w:t>(4), 653-676.</w:t>
      </w:r>
    </w:p>
    <w:p w14:paraId="150EC297" w14:textId="77777777" w:rsidR="001913DE" w:rsidRPr="007738E4" w:rsidRDefault="001913DE" w:rsidP="001913DE">
      <w:pPr>
        <w:spacing w:line="278" w:lineRule="auto"/>
        <w:rPr>
          <w:rFonts w:eastAsia="Aptos" w:cs="Times New Roman"/>
          <w:szCs w:val="24"/>
        </w:rPr>
      </w:pPr>
      <w:r w:rsidRPr="007738E4">
        <w:rPr>
          <w:rFonts w:eastAsia="Aptos" w:cs="Times New Roman"/>
          <w:szCs w:val="24"/>
        </w:rPr>
        <w:t>Rutter, H., Savona, N., Glonti, K., Bibby, J., Cummins, S., Finegood, D.T., Greaves, F., Harper, L., Hawe, P., Moore, L. and Petticrew, M. (2017) ‘The need for a complex systems model of evidence for public health’, </w:t>
      </w:r>
      <w:r w:rsidRPr="007738E4">
        <w:rPr>
          <w:rFonts w:eastAsia="Aptos" w:cs="Times New Roman"/>
          <w:i/>
          <w:iCs/>
          <w:szCs w:val="24"/>
        </w:rPr>
        <w:t>The Lancet</w:t>
      </w:r>
      <w:r w:rsidRPr="007738E4">
        <w:rPr>
          <w:rFonts w:eastAsia="Aptos" w:cs="Times New Roman"/>
          <w:szCs w:val="24"/>
        </w:rPr>
        <w:t>, 390(10112), 2602-2604 DOI: </w:t>
      </w:r>
      <w:hyperlink r:id="rId35" w:tgtFrame="_blank" w:history="1">
        <w:r w:rsidRPr="007738E4">
          <w:rPr>
            <w:rStyle w:val="Hyperlink"/>
            <w:rFonts w:eastAsia="Aptos" w:cs="Times New Roman"/>
            <w:szCs w:val="24"/>
          </w:rPr>
          <w:t>10.1016/S0140-6736(17)31267-9</w:t>
        </w:r>
      </w:hyperlink>
    </w:p>
    <w:p w14:paraId="724BDE5D" w14:textId="77777777" w:rsidR="001913DE" w:rsidRPr="007738E4" w:rsidRDefault="001913DE" w:rsidP="001913DE">
      <w:pPr>
        <w:spacing w:before="240" w:line="276" w:lineRule="auto"/>
        <w:rPr>
          <w:rFonts w:eastAsia="Aptos" w:cs="Times New Roman"/>
          <w:szCs w:val="24"/>
        </w:rPr>
      </w:pPr>
      <w:r w:rsidRPr="007738E4">
        <w:rPr>
          <w:rFonts w:eastAsia="Aptos" w:cs="Times New Roman"/>
          <w:szCs w:val="24"/>
        </w:rPr>
        <w:t xml:space="preserve">Timmins, S. (2015) </w:t>
      </w:r>
      <w:r w:rsidRPr="007738E4">
        <w:rPr>
          <w:rFonts w:eastAsia="Aptos" w:cs="Times New Roman"/>
          <w:i/>
          <w:iCs/>
          <w:szCs w:val="24"/>
        </w:rPr>
        <w:t xml:space="preserve">The practice of system leadership </w:t>
      </w:r>
      <w:r w:rsidRPr="007738E4">
        <w:rPr>
          <w:rFonts w:eastAsia="Aptos" w:cs="Times New Roman"/>
          <w:szCs w:val="24"/>
        </w:rPr>
        <w:t xml:space="preserve">(London: The King’s Fund) </w:t>
      </w:r>
      <w:r w:rsidRPr="007738E4">
        <w:rPr>
          <w:rFonts w:eastAsia="Aptos" w:cs="Times New Roman"/>
          <w:color w:val="000000"/>
          <w:kern w:val="0"/>
          <w:szCs w:val="24"/>
        </w:rPr>
        <w:t>(A: 27.10.24)</w:t>
      </w:r>
    </w:p>
    <w:p w14:paraId="639E88E0" w14:textId="77777777" w:rsidR="001913DE" w:rsidRPr="007738E4" w:rsidRDefault="001913DE" w:rsidP="001913DE">
      <w:pPr>
        <w:spacing w:before="240" w:line="276" w:lineRule="auto"/>
        <w:rPr>
          <w:rFonts w:eastAsia="Aptos" w:cs="Times New Roman"/>
          <w:szCs w:val="24"/>
        </w:rPr>
      </w:pPr>
      <w:r w:rsidRPr="007738E4">
        <w:rPr>
          <w:rFonts w:eastAsia="Aptos" w:cs="Times New Roman"/>
          <w:szCs w:val="24"/>
        </w:rPr>
        <w:lastRenderedPageBreak/>
        <w:t xml:space="preserve">Walker, A., Sillett, J. and Hussain, F. (2022) </w:t>
      </w:r>
      <w:r w:rsidRPr="007738E4">
        <w:rPr>
          <w:rFonts w:eastAsia="Aptos" w:cs="Times New Roman"/>
          <w:i/>
          <w:iCs/>
          <w:szCs w:val="24"/>
        </w:rPr>
        <w:t xml:space="preserve">Local Health Systems </w:t>
      </w:r>
      <w:r w:rsidRPr="007738E4">
        <w:rPr>
          <w:rFonts w:eastAsia="Aptos" w:cs="Times New Roman"/>
          <w:szCs w:val="24"/>
        </w:rPr>
        <w:t xml:space="preserve">(London: LGIU), </w:t>
      </w:r>
      <w:hyperlink r:id="rId36" w:history="1">
        <w:r w:rsidRPr="007738E4">
          <w:rPr>
            <w:rFonts w:eastAsia="Aptos" w:cs="Times New Roman"/>
            <w:color w:val="467886"/>
            <w:szCs w:val="24"/>
            <w:u w:val="single"/>
          </w:rPr>
          <w:t>https://lgiu.org/publication/local-health-systems-relationships-not-structures/</w:t>
        </w:r>
      </w:hyperlink>
      <w:r w:rsidRPr="007738E4">
        <w:rPr>
          <w:rFonts w:eastAsia="Aptos" w:cs="Times New Roman"/>
          <w:szCs w:val="24"/>
        </w:rPr>
        <w:t xml:space="preserve"> </w:t>
      </w:r>
    </w:p>
    <w:p w14:paraId="53F5D337" w14:textId="77777777" w:rsidR="001913DE" w:rsidRPr="007738E4" w:rsidRDefault="001913DE" w:rsidP="001913DE">
      <w:pPr>
        <w:spacing w:before="240" w:line="276" w:lineRule="auto"/>
        <w:rPr>
          <w:rFonts w:eastAsia="Aptos" w:cs="Times New Roman"/>
          <w:szCs w:val="24"/>
        </w:rPr>
      </w:pPr>
      <w:r w:rsidRPr="007738E4">
        <w:rPr>
          <w:rFonts w:eastAsia="Aptos" w:cs="Times New Roman"/>
          <w:szCs w:val="24"/>
        </w:rPr>
        <w:t xml:space="preserve">Waring, J., Bishop, S., Black, G., Clarke, J. M., </w:t>
      </w:r>
      <w:proofErr w:type="spellStart"/>
      <w:r w:rsidRPr="007738E4">
        <w:rPr>
          <w:rFonts w:eastAsia="Aptos" w:cs="Times New Roman"/>
          <w:szCs w:val="24"/>
        </w:rPr>
        <w:t>Exworthy</w:t>
      </w:r>
      <w:proofErr w:type="spellEnd"/>
      <w:r w:rsidRPr="007738E4">
        <w:rPr>
          <w:rFonts w:eastAsia="Aptos" w:cs="Times New Roman"/>
          <w:szCs w:val="24"/>
        </w:rPr>
        <w:t xml:space="preserve">, M., Fulop, N. J., Hartley, J., Ramsay, A. and Roe, B. (2022) ‘Understanding the political skills and behaviours for leading the implementation of health services change’, </w:t>
      </w:r>
      <w:r w:rsidRPr="007738E4">
        <w:rPr>
          <w:rFonts w:eastAsia="Aptos" w:cs="Times New Roman"/>
          <w:i/>
          <w:iCs/>
          <w:szCs w:val="24"/>
        </w:rPr>
        <w:t>International Journal of Health Policy and Management</w:t>
      </w:r>
      <w:r w:rsidRPr="007738E4">
        <w:rPr>
          <w:rFonts w:eastAsia="Aptos" w:cs="Times New Roman"/>
          <w:szCs w:val="24"/>
        </w:rPr>
        <w:t xml:space="preserve">, 11(11), 2686, </w:t>
      </w:r>
      <w:hyperlink r:id="rId37" w:history="1">
        <w:r w:rsidRPr="007738E4">
          <w:rPr>
            <w:rFonts w:eastAsia="Aptos" w:cs="Times New Roman"/>
            <w:color w:val="467886"/>
            <w:szCs w:val="24"/>
            <w:u w:val="single"/>
          </w:rPr>
          <w:t>https://doi.org/10.34172/ijhpm.2022.6564</w:t>
        </w:r>
      </w:hyperlink>
      <w:r w:rsidRPr="007738E4">
        <w:rPr>
          <w:rFonts w:eastAsia="Aptos" w:cs="Times New Roman"/>
          <w:szCs w:val="24"/>
        </w:rPr>
        <w:t xml:space="preserve"> </w:t>
      </w:r>
    </w:p>
    <w:p w14:paraId="18B4B6A8" w14:textId="77777777" w:rsidR="001913DE" w:rsidRPr="007738E4" w:rsidRDefault="001913DE" w:rsidP="001913DE">
      <w:pPr>
        <w:spacing w:before="240" w:line="276" w:lineRule="auto"/>
        <w:rPr>
          <w:rFonts w:eastAsia="Aptos" w:cs="Times New Roman"/>
          <w:szCs w:val="24"/>
        </w:rPr>
      </w:pPr>
      <w:r w:rsidRPr="007738E4">
        <w:rPr>
          <w:rFonts w:eastAsia="Aptos" w:cs="Times New Roman"/>
          <w:szCs w:val="24"/>
        </w:rPr>
        <w:t xml:space="preserve">Waring, J., Bishop, S., Black, G., Clarke, J. M., </w:t>
      </w:r>
      <w:proofErr w:type="spellStart"/>
      <w:r w:rsidRPr="007738E4">
        <w:rPr>
          <w:rFonts w:eastAsia="Aptos" w:cs="Times New Roman"/>
          <w:szCs w:val="24"/>
        </w:rPr>
        <w:t>Exworthy</w:t>
      </w:r>
      <w:proofErr w:type="spellEnd"/>
      <w:r w:rsidRPr="007738E4">
        <w:rPr>
          <w:rFonts w:eastAsia="Aptos" w:cs="Times New Roman"/>
          <w:szCs w:val="24"/>
        </w:rPr>
        <w:t xml:space="preserve">, M., Fulop, N. J., Hartley, J., Ramsay, A. and Roe, B. (2023a) ‘Navigating the micro-politics of major system change’, </w:t>
      </w:r>
      <w:r w:rsidRPr="007738E4">
        <w:rPr>
          <w:rFonts w:eastAsia="Aptos" w:cs="Times New Roman"/>
          <w:i/>
          <w:iCs/>
          <w:szCs w:val="24"/>
        </w:rPr>
        <w:t>Journal of Health Services Research and Policy</w:t>
      </w:r>
      <w:r w:rsidRPr="007738E4">
        <w:rPr>
          <w:rFonts w:eastAsia="Aptos" w:cs="Times New Roman"/>
          <w:szCs w:val="24"/>
        </w:rPr>
        <w:t xml:space="preserve">, 28(4), 233-243, </w:t>
      </w:r>
      <w:hyperlink r:id="rId38" w:history="1">
        <w:r w:rsidRPr="007738E4">
          <w:rPr>
            <w:rFonts w:eastAsia="Aptos" w:cs="Times New Roman"/>
            <w:color w:val="467886"/>
            <w:szCs w:val="24"/>
            <w:u w:val="single"/>
          </w:rPr>
          <w:t>https://doi.org/10.1177/13558196221142237</w:t>
        </w:r>
      </w:hyperlink>
    </w:p>
    <w:p w14:paraId="67CFFE0E" w14:textId="77777777" w:rsidR="001913DE" w:rsidRPr="007738E4" w:rsidRDefault="001913DE" w:rsidP="001913DE">
      <w:pPr>
        <w:spacing w:line="278" w:lineRule="auto"/>
        <w:rPr>
          <w:rFonts w:eastAsia="Aptos" w:cs="Times New Roman"/>
          <w:szCs w:val="24"/>
        </w:rPr>
      </w:pPr>
      <w:r w:rsidRPr="007738E4">
        <w:rPr>
          <w:rFonts w:eastAsia="Aptos" w:cs="Times New Roman"/>
          <w:szCs w:val="24"/>
        </w:rPr>
        <w:t xml:space="preserve">Waring, J., Bishop, S., Clarke, J., and Roe, B. (2023b) ‘Becoming active in the micro-politics of healthcare re-organisation’, </w:t>
      </w:r>
      <w:r w:rsidRPr="007738E4">
        <w:rPr>
          <w:rFonts w:eastAsia="Aptos" w:cs="Times New Roman"/>
          <w:i/>
          <w:iCs/>
          <w:szCs w:val="24"/>
        </w:rPr>
        <w:t>Social Science and Medicine</w:t>
      </w:r>
      <w:r w:rsidRPr="007738E4">
        <w:rPr>
          <w:rFonts w:eastAsia="Aptos" w:cs="Times New Roman"/>
          <w:szCs w:val="24"/>
        </w:rPr>
        <w:t xml:space="preserve">, 333, 116145, </w:t>
      </w:r>
      <w:hyperlink r:id="rId39" w:tgtFrame="_blank" w:tooltip="Persistent link using digital object identifier" w:history="1">
        <w:r w:rsidRPr="007738E4">
          <w:rPr>
            <w:rFonts w:eastAsia="Aptos" w:cs="Times New Roman"/>
            <w:color w:val="467886"/>
            <w:szCs w:val="24"/>
            <w:u w:val="single"/>
          </w:rPr>
          <w:t>https://doi.org/10.1016/j.socscimed.2023.116145</w:t>
        </w:r>
      </w:hyperlink>
    </w:p>
    <w:p w14:paraId="315253AD" w14:textId="77777777" w:rsidR="001913DE" w:rsidRPr="007738E4" w:rsidRDefault="001913DE" w:rsidP="001913DE">
      <w:pPr>
        <w:spacing w:line="276" w:lineRule="auto"/>
        <w:rPr>
          <w:rFonts w:cs="Times New Roman"/>
          <w:szCs w:val="24"/>
        </w:rPr>
      </w:pPr>
      <w:r w:rsidRPr="007738E4">
        <w:rPr>
          <w:rFonts w:cs="Times New Roman"/>
          <w:szCs w:val="24"/>
        </w:rPr>
        <w:t xml:space="preserve">West M, Eckert R, Collins B, Chowla R. (2017) </w:t>
      </w:r>
      <w:r w:rsidRPr="007738E4">
        <w:rPr>
          <w:rFonts w:cs="Times New Roman"/>
          <w:i/>
          <w:iCs/>
          <w:szCs w:val="24"/>
        </w:rPr>
        <w:t xml:space="preserve">Caring to change </w:t>
      </w:r>
      <w:r w:rsidRPr="007738E4">
        <w:rPr>
          <w:rFonts w:cs="Times New Roman"/>
          <w:szCs w:val="24"/>
        </w:rPr>
        <w:t xml:space="preserve">(London: The King’s Fund) </w:t>
      </w:r>
      <w:hyperlink r:id="rId40" w:history="1">
        <w:r w:rsidRPr="007738E4">
          <w:rPr>
            <w:rStyle w:val="Hyperlink"/>
            <w:rFonts w:cs="Times New Roman"/>
            <w:szCs w:val="24"/>
          </w:rPr>
          <w:t>https://assets.kingsfund.org.uk/f/256914/x/0b76247d02/caring_to_change_2017.pdf</w:t>
        </w:r>
      </w:hyperlink>
      <w:r w:rsidRPr="007738E4">
        <w:rPr>
          <w:rFonts w:cs="Times New Roman"/>
          <w:szCs w:val="24"/>
        </w:rPr>
        <w:t xml:space="preserve"> </w:t>
      </w:r>
    </w:p>
    <w:p w14:paraId="3E60DF9A" w14:textId="77777777" w:rsidR="001913DE" w:rsidRPr="007738E4" w:rsidRDefault="001913DE" w:rsidP="001913DE">
      <w:pPr>
        <w:spacing w:line="276" w:lineRule="auto"/>
        <w:rPr>
          <w:rFonts w:cs="Times New Roman"/>
          <w:szCs w:val="24"/>
        </w:rPr>
      </w:pPr>
      <w:r w:rsidRPr="007738E4">
        <w:rPr>
          <w:rFonts w:cs="Times New Roman"/>
          <w:szCs w:val="24"/>
        </w:rPr>
        <w:t>Williams, D. R., Costa, M. V., Odunlami, A. O., &amp; Mohammed, S. A. (2008) ‘Moving upstream: how interventions that address the social determinants of health can improve health and reduce disparities’, </w:t>
      </w:r>
      <w:r w:rsidRPr="007738E4">
        <w:rPr>
          <w:rFonts w:cs="Times New Roman"/>
          <w:i/>
          <w:iCs/>
          <w:szCs w:val="24"/>
        </w:rPr>
        <w:t>Journal of public health management and practice</w:t>
      </w:r>
      <w:r w:rsidRPr="007738E4">
        <w:rPr>
          <w:rFonts w:cs="Times New Roman"/>
          <w:szCs w:val="24"/>
        </w:rPr>
        <w:t>, 14(6), S8-S17.</w:t>
      </w:r>
    </w:p>
    <w:p w14:paraId="256EE2ED" w14:textId="77777777" w:rsidR="001913DE" w:rsidRPr="007738E4" w:rsidRDefault="001913DE" w:rsidP="001913DE">
      <w:pPr>
        <w:spacing w:line="276" w:lineRule="auto"/>
        <w:rPr>
          <w:rFonts w:eastAsia="Aptos" w:cs="Times New Roman"/>
          <w:szCs w:val="24"/>
        </w:rPr>
      </w:pPr>
      <w:r w:rsidRPr="007738E4">
        <w:rPr>
          <w:rFonts w:eastAsia="Aptos" w:cs="Times New Roman"/>
          <w:szCs w:val="24"/>
        </w:rPr>
        <w:t>Schwartz-Shea, P. and Yanow, D. (2013) </w:t>
      </w:r>
      <w:r w:rsidRPr="007738E4">
        <w:rPr>
          <w:rFonts w:eastAsia="Aptos" w:cs="Times New Roman"/>
          <w:i/>
          <w:iCs/>
          <w:szCs w:val="24"/>
        </w:rPr>
        <w:t>Interpretive research design: Concepts and processes</w:t>
      </w:r>
      <w:r w:rsidRPr="007738E4">
        <w:rPr>
          <w:rFonts w:eastAsia="Aptos" w:cs="Times New Roman"/>
          <w:szCs w:val="24"/>
        </w:rPr>
        <w:t xml:space="preserve"> (London: Routledge)</w:t>
      </w:r>
    </w:p>
    <w:p w14:paraId="2A04589E" w14:textId="77777777" w:rsidR="001913DE" w:rsidRPr="007738E4" w:rsidRDefault="001913DE" w:rsidP="001913DE">
      <w:pPr>
        <w:spacing w:line="276" w:lineRule="auto"/>
        <w:rPr>
          <w:rFonts w:cs="Times New Roman"/>
          <w:szCs w:val="24"/>
        </w:rPr>
      </w:pPr>
      <w:r w:rsidRPr="007738E4">
        <w:rPr>
          <w:rFonts w:eastAsia="Aptos" w:cs="Times New Roman"/>
          <w:szCs w:val="24"/>
        </w:rPr>
        <w:t xml:space="preserve">Zahariadis, N. (2003) </w:t>
      </w:r>
      <w:r w:rsidRPr="007738E4">
        <w:rPr>
          <w:rFonts w:eastAsia="Aptos" w:cs="Times New Roman"/>
          <w:i/>
          <w:iCs/>
          <w:szCs w:val="24"/>
        </w:rPr>
        <w:t>Ambiguity and Choice in Public Policy</w:t>
      </w:r>
      <w:r w:rsidRPr="007738E4">
        <w:rPr>
          <w:rFonts w:eastAsia="Aptos" w:cs="Times New Roman"/>
          <w:szCs w:val="24"/>
        </w:rPr>
        <w:t xml:space="preserve"> (Washington, DC: Georgetown University Press)</w:t>
      </w:r>
    </w:p>
    <w:p w14:paraId="2E7B8FA0" w14:textId="77777777" w:rsidR="00D128E8" w:rsidRPr="007738E4" w:rsidRDefault="00D128E8" w:rsidP="00D128E8">
      <w:pPr>
        <w:spacing w:line="276" w:lineRule="auto"/>
        <w:rPr>
          <w:rFonts w:cs="Times New Roman"/>
          <w:szCs w:val="24"/>
        </w:rPr>
      </w:pPr>
    </w:p>
    <w:p w14:paraId="35642878" w14:textId="77777777" w:rsidR="00D128E8" w:rsidRPr="007738E4" w:rsidRDefault="00D128E8" w:rsidP="00A60A59">
      <w:pPr>
        <w:spacing w:line="276" w:lineRule="auto"/>
        <w:rPr>
          <w:rFonts w:cs="Times New Roman"/>
          <w:szCs w:val="24"/>
        </w:rPr>
      </w:pPr>
    </w:p>
    <w:sectPr w:rsidR="00D128E8" w:rsidRPr="007738E4">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8453" w14:textId="77777777" w:rsidR="004E5AA2" w:rsidRDefault="004E5AA2" w:rsidP="00B31D87">
      <w:pPr>
        <w:spacing w:after="0" w:line="240" w:lineRule="auto"/>
      </w:pPr>
      <w:r>
        <w:separator/>
      </w:r>
    </w:p>
  </w:endnote>
  <w:endnote w:type="continuationSeparator" w:id="0">
    <w:p w14:paraId="3F316638" w14:textId="77777777" w:rsidR="004E5AA2" w:rsidRDefault="004E5AA2" w:rsidP="00B31D87">
      <w:pPr>
        <w:spacing w:after="0" w:line="240" w:lineRule="auto"/>
      </w:pPr>
      <w:r>
        <w:continuationSeparator/>
      </w:r>
    </w:p>
  </w:endnote>
  <w:endnote w:type="continuationNotice" w:id="1">
    <w:p w14:paraId="4619DB26" w14:textId="77777777" w:rsidR="004E5AA2" w:rsidRDefault="004E5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994311"/>
      <w:docPartObj>
        <w:docPartGallery w:val="Page Numbers (Bottom of Page)"/>
        <w:docPartUnique/>
      </w:docPartObj>
    </w:sdtPr>
    <w:sdtEndPr>
      <w:rPr>
        <w:noProof/>
      </w:rPr>
    </w:sdtEndPr>
    <w:sdtContent>
      <w:p w14:paraId="402FEDCA" w14:textId="0C62E0CA" w:rsidR="00B31D87" w:rsidRDefault="00B31D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0D604F" w14:textId="77777777" w:rsidR="00B31D87" w:rsidRDefault="00B31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50663" w14:textId="77777777" w:rsidR="004E5AA2" w:rsidRDefault="004E5AA2" w:rsidP="00B31D87">
      <w:pPr>
        <w:spacing w:after="0" w:line="240" w:lineRule="auto"/>
      </w:pPr>
      <w:r>
        <w:separator/>
      </w:r>
    </w:p>
  </w:footnote>
  <w:footnote w:type="continuationSeparator" w:id="0">
    <w:p w14:paraId="28306D80" w14:textId="77777777" w:rsidR="004E5AA2" w:rsidRDefault="004E5AA2" w:rsidP="00B31D87">
      <w:pPr>
        <w:spacing w:after="0" w:line="240" w:lineRule="auto"/>
      </w:pPr>
      <w:r>
        <w:continuationSeparator/>
      </w:r>
    </w:p>
  </w:footnote>
  <w:footnote w:type="continuationNotice" w:id="1">
    <w:p w14:paraId="53A88F1C" w14:textId="77777777" w:rsidR="004E5AA2" w:rsidRDefault="004E5A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6F8"/>
    <w:multiLevelType w:val="hybridMultilevel"/>
    <w:tmpl w:val="9818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C525D"/>
    <w:multiLevelType w:val="hybridMultilevel"/>
    <w:tmpl w:val="081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62BE5"/>
    <w:multiLevelType w:val="hybridMultilevel"/>
    <w:tmpl w:val="64488554"/>
    <w:lvl w:ilvl="0" w:tplc="23085616">
      <w:start w:val="1"/>
      <w:numFmt w:val="bullet"/>
      <w:lvlText w:val=""/>
      <w:lvlJc w:val="left"/>
      <w:pPr>
        <w:ind w:left="1440" w:hanging="360"/>
      </w:pPr>
      <w:rPr>
        <w:rFonts w:ascii="Symbol" w:hAnsi="Symbol" w:hint="default"/>
      </w:rPr>
    </w:lvl>
    <w:lvl w:ilvl="1" w:tplc="0166E9E6" w:tentative="1">
      <w:start w:val="1"/>
      <w:numFmt w:val="bullet"/>
      <w:lvlText w:val="o"/>
      <w:lvlJc w:val="left"/>
      <w:pPr>
        <w:ind w:left="2160" w:hanging="360"/>
      </w:pPr>
      <w:rPr>
        <w:rFonts w:ascii="Courier New" w:hAnsi="Courier New" w:hint="default"/>
      </w:rPr>
    </w:lvl>
    <w:lvl w:ilvl="2" w:tplc="AF62F572" w:tentative="1">
      <w:start w:val="1"/>
      <w:numFmt w:val="bullet"/>
      <w:lvlText w:val=""/>
      <w:lvlJc w:val="left"/>
      <w:pPr>
        <w:ind w:left="2880" w:hanging="360"/>
      </w:pPr>
      <w:rPr>
        <w:rFonts w:ascii="Wingdings" w:hAnsi="Wingdings" w:hint="default"/>
      </w:rPr>
    </w:lvl>
    <w:lvl w:ilvl="3" w:tplc="AD74BB44" w:tentative="1">
      <w:start w:val="1"/>
      <w:numFmt w:val="bullet"/>
      <w:lvlText w:val=""/>
      <w:lvlJc w:val="left"/>
      <w:pPr>
        <w:ind w:left="3600" w:hanging="360"/>
      </w:pPr>
      <w:rPr>
        <w:rFonts w:ascii="Symbol" w:hAnsi="Symbol" w:hint="default"/>
      </w:rPr>
    </w:lvl>
    <w:lvl w:ilvl="4" w:tplc="9CA28612" w:tentative="1">
      <w:start w:val="1"/>
      <w:numFmt w:val="bullet"/>
      <w:lvlText w:val="o"/>
      <w:lvlJc w:val="left"/>
      <w:pPr>
        <w:ind w:left="4320" w:hanging="360"/>
      </w:pPr>
      <w:rPr>
        <w:rFonts w:ascii="Courier New" w:hAnsi="Courier New" w:hint="default"/>
      </w:rPr>
    </w:lvl>
    <w:lvl w:ilvl="5" w:tplc="F808D050" w:tentative="1">
      <w:start w:val="1"/>
      <w:numFmt w:val="bullet"/>
      <w:lvlText w:val=""/>
      <w:lvlJc w:val="left"/>
      <w:pPr>
        <w:ind w:left="5040" w:hanging="360"/>
      </w:pPr>
      <w:rPr>
        <w:rFonts w:ascii="Wingdings" w:hAnsi="Wingdings" w:hint="default"/>
      </w:rPr>
    </w:lvl>
    <w:lvl w:ilvl="6" w:tplc="0BC04008" w:tentative="1">
      <w:start w:val="1"/>
      <w:numFmt w:val="bullet"/>
      <w:lvlText w:val=""/>
      <w:lvlJc w:val="left"/>
      <w:pPr>
        <w:ind w:left="5760" w:hanging="360"/>
      </w:pPr>
      <w:rPr>
        <w:rFonts w:ascii="Symbol" w:hAnsi="Symbol" w:hint="default"/>
      </w:rPr>
    </w:lvl>
    <w:lvl w:ilvl="7" w:tplc="E8FEE384" w:tentative="1">
      <w:start w:val="1"/>
      <w:numFmt w:val="bullet"/>
      <w:lvlText w:val="o"/>
      <w:lvlJc w:val="left"/>
      <w:pPr>
        <w:ind w:left="6480" w:hanging="360"/>
      </w:pPr>
      <w:rPr>
        <w:rFonts w:ascii="Courier New" w:hAnsi="Courier New" w:hint="default"/>
      </w:rPr>
    </w:lvl>
    <w:lvl w:ilvl="8" w:tplc="EBA495DC" w:tentative="1">
      <w:start w:val="1"/>
      <w:numFmt w:val="bullet"/>
      <w:lvlText w:val=""/>
      <w:lvlJc w:val="left"/>
      <w:pPr>
        <w:ind w:left="7200" w:hanging="360"/>
      </w:pPr>
      <w:rPr>
        <w:rFonts w:ascii="Wingdings" w:hAnsi="Wingdings" w:hint="default"/>
      </w:rPr>
    </w:lvl>
  </w:abstractNum>
  <w:abstractNum w:abstractNumId="3" w15:restartNumberingAfterBreak="0">
    <w:nsid w:val="1EA31414"/>
    <w:multiLevelType w:val="hybridMultilevel"/>
    <w:tmpl w:val="07EA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F2B90"/>
    <w:multiLevelType w:val="hybridMultilevel"/>
    <w:tmpl w:val="F576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C536C"/>
    <w:multiLevelType w:val="hybridMultilevel"/>
    <w:tmpl w:val="2C3A27A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22681C2D"/>
    <w:multiLevelType w:val="hybridMultilevel"/>
    <w:tmpl w:val="4768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15FEB"/>
    <w:multiLevelType w:val="hybridMultilevel"/>
    <w:tmpl w:val="176A861A"/>
    <w:lvl w:ilvl="0" w:tplc="5C243E8E">
      <w:start w:val="1"/>
      <w:numFmt w:val="bullet"/>
      <w:lvlText w:val=""/>
      <w:lvlJc w:val="left"/>
      <w:pPr>
        <w:ind w:left="1440" w:hanging="360"/>
      </w:pPr>
      <w:rPr>
        <w:rFonts w:ascii="Symbol" w:hAnsi="Symbol" w:hint="default"/>
      </w:rPr>
    </w:lvl>
    <w:lvl w:ilvl="1" w:tplc="5882FDB4" w:tentative="1">
      <w:start w:val="1"/>
      <w:numFmt w:val="bullet"/>
      <w:lvlText w:val="o"/>
      <w:lvlJc w:val="left"/>
      <w:pPr>
        <w:ind w:left="2160" w:hanging="360"/>
      </w:pPr>
      <w:rPr>
        <w:rFonts w:ascii="Courier New" w:hAnsi="Courier New" w:hint="default"/>
      </w:rPr>
    </w:lvl>
    <w:lvl w:ilvl="2" w:tplc="8862B4FC" w:tentative="1">
      <w:start w:val="1"/>
      <w:numFmt w:val="bullet"/>
      <w:lvlText w:val=""/>
      <w:lvlJc w:val="left"/>
      <w:pPr>
        <w:ind w:left="2880" w:hanging="360"/>
      </w:pPr>
      <w:rPr>
        <w:rFonts w:ascii="Wingdings" w:hAnsi="Wingdings" w:hint="default"/>
      </w:rPr>
    </w:lvl>
    <w:lvl w:ilvl="3" w:tplc="BA7A7940" w:tentative="1">
      <w:start w:val="1"/>
      <w:numFmt w:val="bullet"/>
      <w:lvlText w:val=""/>
      <w:lvlJc w:val="left"/>
      <w:pPr>
        <w:ind w:left="3600" w:hanging="360"/>
      </w:pPr>
      <w:rPr>
        <w:rFonts w:ascii="Symbol" w:hAnsi="Symbol" w:hint="default"/>
      </w:rPr>
    </w:lvl>
    <w:lvl w:ilvl="4" w:tplc="16FE6ED8" w:tentative="1">
      <w:start w:val="1"/>
      <w:numFmt w:val="bullet"/>
      <w:lvlText w:val="o"/>
      <w:lvlJc w:val="left"/>
      <w:pPr>
        <w:ind w:left="4320" w:hanging="360"/>
      </w:pPr>
      <w:rPr>
        <w:rFonts w:ascii="Courier New" w:hAnsi="Courier New" w:hint="default"/>
      </w:rPr>
    </w:lvl>
    <w:lvl w:ilvl="5" w:tplc="DEE46368" w:tentative="1">
      <w:start w:val="1"/>
      <w:numFmt w:val="bullet"/>
      <w:lvlText w:val=""/>
      <w:lvlJc w:val="left"/>
      <w:pPr>
        <w:ind w:left="5040" w:hanging="360"/>
      </w:pPr>
      <w:rPr>
        <w:rFonts w:ascii="Wingdings" w:hAnsi="Wingdings" w:hint="default"/>
      </w:rPr>
    </w:lvl>
    <w:lvl w:ilvl="6" w:tplc="E87A0C4C" w:tentative="1">
      <w:start w:val="1"/>
      <w:numFmt w:val="bullet"/>
      <w:lvlText w:val=""/>
      <w:lvlJc w:val="left"/>
      <w:pPr>
        <w:ind w:left="5760" w:hanging="360"/>
      </w:pPr>
      <w:rPr>
        <w:rFonts w:ascii="Symbol" w:hAnsi="Symbol" w:hint="default"/>
      </w:rPr>
    </w:lvl>
    <w:lvl w:ilvl="7" w:tplc="333278D6" w:tentative="1">
      <w:start w:val="1"/>
      <w:numFmt w:val="bullet"/>
      <w:lvlText w:val="o"/>
      <w:lvlJc w:val="left"/>
      <w:pPr>
        <w:ind w:left="6480" w:hanging="360"/>
      </w:pPr>
      <w:rPr>
        <w:rFonts w:ascii="Courier New" w:hAnsi="Courier New" w:hint="default"/>
      </w:rPr>
    </w:lvl>
    <w:lvl w:ilvl="8" w:tplc="114CF160" w:tentative="1">
      <w:start w:val="1"/>
      <w:numFmt w:val="bullet"/>
      <w:lvlText w:val=""/>
      <w:lvlJc w:val="left"/>
      <w:pPr>
        <w:ind w:left="7200" w:hanging="360"/>
      </w:pPr>
      <w:rPr>
        <w:rFonts w:ascii="Wingdings" w:hAnsi="Wingdings" w:hint="default"/>
      </w:rPr>
    </w:lvl>
  </w:abstractNum>
  <w:abstractNum w:abstractNumId="8" w15:restartNumberingAfterBreak="0">
    <w:nsid w:val="29BC48B1"/>
    <w:multiLevelType w:val="hybridMultilevel"/>
    <w:tmpl w:val="D994A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B300A"/>
    <w:multiLevelType w:val="hybridMultilevel"/>
    <w:tmpl w:val="534AB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92BE8"/>
    <w:multiLevelType w:val="hybridMultilevel"/>
    <w:tmpl w:val="3154B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5663A"/>
    <w:multiLevelType w:val="hybridMultilevel"/>
    <w:tmpl w:val="EC8408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616446"/>
    <w:multiLevelType w:val="hybridMultilevel"/>
    <w:tmpl w:val="36A8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76038"/>
    <w:multiLevelType w:val="hybridMultilevel"/>
    <w:tmpl w:val="F7984DA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EB52E6"/>
    <w:multiLevelType w:val="hybridMultilevel"/>
    <w:tmpl w:val="BA70E912"/>
    <w:lvl w:ilvl="0" w:tplc="6A92FA8E">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C3A75"/>
    <w:multiLevelType w:val="hybridMultilevel"/>
    <w:tmpl w:val="B924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17578"/>
    <w:multiLevelType w:val="hybridMultilevel"/>
    <w:tmpl w:val="7CAEC4F0"/>
    <w:lvl w:ilvl="0" w:tplc="9830FDA6">
      <w:start w:val="2"/>
      <w:numFmt w:val="bullet"/>
      <w:lvlText w:val="-"/>
      <w:lvlJc w:val="left"/>
      <w:pPr>
        <w:ind w:left="720" w:hanging="360"/>
      </w:pPr>
      <w:rPr>
        <w:rFonts w:ascii="Aptos" w:eastAsiaTheme="minorHAns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119E3"/>
    <w:multiLevelType w:val="hybridMultilevel"/>
    <w:tmpl w:val="934E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276E61"/>
    <w:multiLevelType w:val="hybridMultilevel"/>
    <w:tmpl w:val="B4247B74"/>
    <w:lvl w:ilvl="0" w:tplc="BD726328">
      <w:start w:val="1"/>
      <w:numFmt w:val="bullet"/>
      <w:lvlText w:val=""/>
      <w:lvlJc w:val="left"/>
      <w:pPr>
        <w:ind w:left="1440" w:hanging="360"/>
      </w:pPr>
      <w:rPr>
        <w:rFonts w:ascii="Symbol" w:hAnsi="Symbol" w:hint="default"/>
      </w:rPr>
    </w:lvl>
    <w:lvl w:ilvl="1" w:tplc="5D34F640" w:tentative="1">
      <w:start w:val="1"/>
      <w:numFmt w:val="bullet"/>
      <w:lvlText w:val="o"/>
      <w:lvlJc w:val="left"/>
      <w:pPr>
        <w:ind w:left="2160" w:hanging="360"/>
      </w:pPr>
      <w:rPr>
        <w:rFonts w:ascii="Courier New" w:hAnsi="Courier New" w:hint="default"/>
      </w:rPr>
    </w:lvl>
    <w:lvl w:ilvl="2" w:tplc="BF2C760E" w:tentative="1">
      <w:start w:val="1"/>
      <w:numFmt w:val="bullet"/>
      <w:lvlText w:val=""/>
      <w:lvlJc w:val="left"/>
      <w:pPr>
        <w:ind w:left="2880" w:hanging="360"/>
      </w:pPr>
      <w:rPr>
        <w:rFonts w:ascii="Wingdings" w:hAnsi="Wingdings" w:hint="default"/>
      </w:rPr>
    </w:lvl>
    <w:lvl w:ilvl="3" w:tplc="7A3A7604" w:tentative="1">
      <w:start w:val="1"/>
      <w:numFmt w:val="bullet"/>
      <w:lvlText w:val=""/>
      <w:lvlJc w:val="left"/>
      <w:pPr>
        <w:ind w:left="3600" w:hanging="360"/>
      </w:pPr>
      <w:rPr>
        <w:rFonts w:ascii="Symbol" w:hAnsi="Symbol" w:hint="default"/>
      </w:rPr>
    </w:lvl>
    <w:lvl w:ilvl="4" w:tplc="ED2A2A9C" w:tentative="1">
      <w:start w:val="1"/>
      <w:numFmt w:val="bullet"/>
      <w:lvlText w:val="o"/>
      <w:lvlJc w:val="left"/>
      <w:pPr>
        <w:ind w:left="4320" w:hanging="360"/>
      </w:pPr>
      <w:rPr>
        <w:rFonts w:ascii="Courier New" w:hAnsi="Courier New" w:hint="default"/>
      </w:rPr>
    </w:lvl>
    <w:lvl w:ilvl="5" w:tplc="0DA24132" w:tentative="1">
      <w:start w:val="1"/>
      <w:numFmt w:val="bullet"/>
      <w:lvlText w:val=""/>
      <w:lvlJc w:val="left"/>
      <w:pPr>
        <w:ind w:left="5040" w:hanging="360"/>
      </w:pPr>
      <w:rPr>
        <w:rFonts w:ascii="Wingdings" w:hAnsi="Wingdings" w:hint="default"/>
      </w:rPr>
    </w:lvl>
    <w:lvl w:ilvl="6" w:tplc="66682AD0" w:tentative="1">
      <w:start w:val="1"/>
      <w:numFmt w:val="bullet"/>
      <w:lvlText w:val=""/>
      <w:lvlJc w:val="left"/>
      <w:pPr>
        <w:ind w:left="5760" w:hanging="360"/>
      </w:pPr>
      <w:rPr>
        <w:rFonts w:ascii="Symbol" w:hAnsi="Symbol" w:hint="default"/>
      </w:rPr>
    </w:lvl>
    <w:lvl w:ilvl="7" w:tplc="F04AFDC0" w:tentative="1">
      <w:start w:val="1"/>
      <w:numFmt w:val="bullet"/>
      <w:lvlText w:val="o"/>
      <w:lvlJc w:val="left"/>
      <w:pPr>
        <w:ind w:left="6480" w:hanging="360"/>
      </w:pPr>
      <w:rPr>
        <w:rFonts w:ascii="Courier New" w:hAnsi="Courier New" w:hint="default"/>
      </w:rPr>
    </w:lvl>
    <w:lvl w:ilvl="8" w:tplc="63BEF512" w:tentative="1">
      <w:start w:val="1"/>
      <w:numFmt w:val="bullet"/>
      <w:lvlText w:val=""/>
      <w:lvlJc w:val="left"/>
      <w:pPr>
        <w:ind w:left="7200" w:hanging="360"/>
      </w:pPr>
      <w:rPr>
        <w:rFonts w:ascii="Wingdings" w:hAnsi="Wingdings" w:hint="default"/>
      </w:rPr>
    </w:lvl>
  </w:abstractNum>
  <w:abstractNum w:abstractNumId="19" w15:restartNumberingAfterBreak="0">
    <w:nsid w:val="687E7678"/>
    <w:multiLevelType w:val="hybridMultilevel"/>
    <w:tmpl w:val="559C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678990">
    <w:abstractNumId w:val="14"/>
  </w:num>
  <w:num w:numId="2" w16cid:durableId="1499418950">
    <w:abstractNumId w:val="2"/>
  </w:num>
  <w:num w:numId="3" w16cid:durableId="458033333">
    <w:abstractNumId w:val="7"/>
  </w:num>
  <w:num w:numId="4" w16cid:durableId="2110807538">
    <w:abstractNumId w:val="18"/>
  </w:num>
  <w:num w:numId="5" w16cid:durableId="186604576">
    <w:abstractNumId w:val="13"/>
  </w:num>
  <w:num w:numId="6" w16cid:durableId="932588134">
    <w:abstractNumId w:val="12"/>
  </w:num>
  <w:num w:numId="7" w16cid:durableId="428278076">
    <w:abstractNumId w:val="11"/>
  </w:num>
  <w:num w:numId="8" w16cid:durableId="1410496020">
    <w:abstractNumId w:val="9"/>
  </w:num>
  <w:num w:numId="9" w16cid:durableId="24138708">
    <w:abstractNumId w:val="8"/>
  </w:num>
  <w:num w:numId="10" w16cid:durableId="1592811183">
    <w:abstractNumId w:val="6"/>
  </w:num>
  <w:num w:numId="11" w16cid:durableId="190458232">
    <w:abstractNumId w:val="5"/>
  </w:num>
  <w:num w:numId="12" w16cid:durableId="297610711">
    <w:abstractNumId w:val="16"/>
  </w:num>
  <w:num w:numId="13" w16cid:durableId="481654229">
    <w:abstractNumId w:val="15"/>
  </w:num>
  <w:num w:numId="14" w16cid:durableId="1335648255">
    <w:abstractNumId w:val="0"/>
  </w:num>
  <w:num w:numId="15" w16cid:durableId="1768579155">
    <w:abstractNumId w:val="3"/>
  </w:num>
  <w:num w:numId="16" w16cid:durableId="1155608932">
    <w:abstractNumId w:val="1"/>
  </w:num>
  <w:num w:numId="17" w16cid:durableId="254629958">
    <w:abstractNumId w:val="10"/>
  </w:num>
  <w:num w:numId="18" w16cid:durableId="2086142301">
    <w:abstractNumId w:val="19"/>
  </w:num>
  <w:num w:numId="19" w16cid:durableId="180362922">
    <w:abstractNumId w:val="4"/>
  </w:num>
  <w:num w:numId="20" w16cid:durableId="19944075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88"/>
    <w:rsid w:val="00006AA7"/>
    <w:rsid w:val="00021BA1"/>
    <w:rsid w:val="000224B6"/>
    <w:rsid w:val="000319FB"/>
    <w:rsid w:val="00033621"/>
    <w:rsid w:val="000530AB"/>
    <w:rsid w:val="00061718"/>
    <w:rsid w:val="000623BD"/>
    <w:rsid w:val="000B4C7A"/>
    <w:rsid w:val="000C153E"/>
    <w:rsid w:val="000C48CA"/>
    <w:rsid w:val="000D0AE7"/>
    <w:rsid w:val="000D5AD8"/>
    <w:rsid w:val="000D5BD5"/>
    <w:rsid w:val="000D684C"/>
    <w:rsid w:val="000F7305"/>
    <w:rsid w:val="000F7A77"/>
    <w:rsid w:val="00100D56"/>
    <w:rsid w:val="00103DE7"/>
    <w:rsid w:val="00104B5E"/>
    <w:rsid w:val="0011698E"/>
    <w:rsid w:val="001219AF"/>
    <w:rsid w:val="00127003"/>
    <w:rsid w:val="00132A4A"/>
    <w:rsid w:val="00135FBE"/>
    <w:rsid w:val="00136541"/>
    <w:rsid w:val="001376B8"/>
    <w:rsid w:val="00151C3E"/>
    <w:rsid w:val="00155773"/>
    <w:rsid w:val="00157466"/>
    <w:rsid w:val="00162BA6"/>
    <w:rsid w:val="0016558B"/>
    <w:rsid w:val="001675A6"/>
    <w:rsid w:val="00170C8D"/>
    <w:rsid w:val="00171010"/>
    <w:rsid w:val="001710E5"/>
    <w:rsid w:val="00174531"/>
    <w:rsid w:val="001772B8"/>
    <w:rsid w:val="00181661"/>
    <w:rsid w:val="00187CEC"/>
    <w:rsid w:val="001913DE"/>
    <w:rsid w:val="001A2445"/>
    <w:rsid w:val="001A7B5C"/>
    <w:rsid w:val="001C263A"/>
    <w:rsid w:val="001C4D28"/>
    <w:rsid w:val="001C4D84"/>
    <w:rsid w:val="001D2399"/>
    <w:rsid w:val="001D6A8C"/>
    <w:rsid w:val="001E263B"/>
    <w:rsid w:val="001E3CB5"/>
    <w:rsid w:val="001F632C"/>
    <w:rsid w:val="00205D8E"/>
    <w:rsid w:val="00207005"/>
    <w:rsid w:val="002101DD"/>
    <w:rsid w:val="00213262"/>
    <w:rsid w:val="00215427"/>
    <w:rsid w:val="00225B57"/>
    <w:rsid w:val="00237F79"/>
    <w:rsid w:val="00241A17"/>
    <w:rsid w:val="00241E57"/>
    <w:rsid w:val="00246151"/>
    <w:rsid w:val="00261604"/>
    <w:rsid w:val="0026405B"/>
    <w:rsid w:val="0029301F"/>
    <w:rsid w:val="00295C90"/>
    <w:rsid w:val="002B43D5"/>
    <w:rsid w:val="002B5F6C"/>
    <w:rsid w:val="002B71E3"/>
    <w:rsid w:val="002D37E2"/>
    <w:rsid w:val="002D591A"/>
    <w:rsid w:val="002E2EC4"/>
    <w:rsid w:val="002E56BC"/>
    <w:rsid w:val="00300A70"/>
    <w:rsid w:val="00307CDF"/>
    <w:rsid w:val="00310DFE"/>
    <w:rsid w:val="0031189C"/>
    <w:rsid w:val="00312A22"/>
    <w:rsid w:val="003333EB"/>
    <w:rsid w:val="00335591"/>
    <w:rsid w:val="003437C6"/>
    <w:rsid w:val="00367F9B"/>
    <w:rsid w:val="00371C70"/>
    <w:rsid w:val="00372E9C"/>
    <w:rsid w:val="0038008D"/>
    <w:rsid w:val="003814AD"/>
    <w:rsid w:val="003815A8"/>
    <w:rsid w:val="00383B4E"/>
    <w:rsid w:val="00390012"/>
    <w:rsid w:val="00394A9D"/>
    <w:rsid w:val="003A1A20"/>
    <w:rsid w:val="003A1C97"/>
    <w:rsid w:val="003A251A"/>
    <w:rsid w:val="003A5FEF"/>
    <w:rsid w:val="003B6D49"/>
    <w:rsid w:val="003C00F2"/>
    <w:rsid w:val="003C5634"/>
    <w:rsid w:val="003D3D3D"/>
    <w:rsid w:val="003D4601"/>
    <w:rsid w:val="003F00A9"/>
    <w:rsid w:val="003F2A48"/>
    <w:rsid w:val="003F375B"/>
    <w:rsid w:val="003F4CB6"/>
    <w:rsid w:val="00407A09"/>
    <w:rsid w:val="00407A59"/>
    <w:rsid w:val="004151E6"/>
    <w:rsid w:val="00417F3F"/>
    <w:rsid w:val="004273C6"/>
    <w:rsid w:val="00434151"/>
    <w:rsid w:val="00436E8B"/>
    <w:rsid w:val="00440A21"/>
    <w:rsid w:val="004503B2"/>
    <w:rsid w:val="00450C6F"/>
    <w:rsid w:val="0045428D"/>
    <w:rsid w:val="004665E4"/>
    <w:rsid w:val="00467B94"/>
    <w:rsid w:val="0047057B"/>
    <w:rsid w:val="00471DE0"/>
    <w:rsid w:val="00473A7F"/>
    <w:rsid w:val="004741B8"/>
    <w:rsid w:val="00474231"/>
    <w:rsid w:val="0047437E"/>
    <w:rsid w:val="00486EBB"/>
    <w:rsid w:val="004900E8"/>
    <w:rsid w:val="00491009"/>
    <w:rsid w:val="00492569"/>
    <w:rsid w:val="004959CD"/>
    <w:rsid w:val="004965CE"/>
    <w:rsid w:val="004A36FB"/>
    <w:rsid w:val="004B7071"/>
    <w:rsid w:val="004B745F"/>
    <w:rsid w:val="004C06F9"/>
    <w:rsid w:val="004C3364"/>
    <w:rsid w:val="004D3102"/>
    <w:rsid w:val="004E3345"/>
    <w:rsid w:val="004E5AA2"/>
    <w:rsid w:val="004F1B2E"/>
    <w:rsid w:val="004F48AF"/>
    <w:rsid w:val="004F4FB1"/>
    <w:rsid w:val="005046D0"/>
    <w:rsid w:val="00520BE0"/>
    <w:rsid w:val="0054182C"/>
    <w:rsid w:val="0054767E"/>
    <w:rsid w:val="00573433"/>
    <w:rsid w:val="00581E6F"/>
    <w:rsid w:val="00586036"/>
    <w:rsid w:val="00591A7B"/>
    <w:rsid w:val="005A04EF"/>
    <w:rsid w:val="005B09AC"/>
    <w:rsid w:val="005B14D5"/>
    <w:rsid w:val="005C0C34"/>
    <w:rsid w:val="005D06AB"/>
    <w:rsid w:val="005E0777"/>
    <w:rsid w:val="005E2ABC"/>
    <w:rsid w:val="005E2C39"/>
    <w:rsid w:val="005E7633"/>
    <w:rsid w:val="005E7879"/>
    <w:rsid w:val="005E7CC0"/>
    <w:rsid w:val="005F2404"/>
    <w:rsid w:val="005F319C"/>
    <w:rsid w:val="005F48D5"/>
    <w:rsid w:val="005F7C09"/>
    <w:rsid w:val="0060303D"/>
    <w:rsid w:val="00610F04"/>
    <w:rsid w:val="00613B75"/>
    <w:rsid w:val="00645CCB"/>
    <w:rsid w:val="00651BF5"/>
    <w:rsid w:val="00652B24"/>
    <w:rsid w:val="00662C8B"/>
    <w:rsid w:val="0066356B"/>
    <w:rsid w:val="00677D42"/>
    <w:rsid w:val="00681B8A"/>
    <w:rsid w:val="00682EEE"/>
    <w:rsid w:val="00691CE3"/>
    <w:rsid w:val="006A0F27"/>
    <w:rsid w:val="006A0F73"/>
    <w:rsid w:val="006A21CE"/>
    <w:rsid w:val="006A7BBD"/>
    <w:rsid w:val="006A7E75"/>
    <w:rsid w:val="006B4B0A"/>
    <w:rsid w:val="006B7774"/>
    <w:rsid w:val="006C4B7E"/>
    <w:rsid w:val="006D534D"/>
    <w:rsid w:val="006F51D9"/>
    <w:rsid w:val="00703B16"/>
    <w:rsid w:val="007151A6"/>
    <w:rsid w:val="007158A8"/>
    <w:rsid w:val="00732CAB"/>
    <w:rsid w:val="0074173E"/>
    <w:rsid w:val="00743F27"/>
    <w:rsid w:val="00745F37"/>
    <w:rsid w:val="00757A9B"/>
    <w:rsid w:val="007738E4"/>
    <w:rsid w:val="00773E69"/>
    <w:rsid w:val="007757CE"/>
    <w:rsid w:val="00776ADC"/>
    <w:rsid w:val="007771CE"/>
    <w:rsid w:val="00797241"/>
    <w:rsid w:val="007A1FDD"/>
    <w:rsid w:val="007B7A6D"/>
    <w:rsid w:val="007C5B89"/>
    <w:rsid w:val="007C5F47"/>
    <w:rsid w:val="007C76A6"/>
    <w:rsid w:val="007D29D3"/>
    <w:rsid w:val="007E6445"/>
    <w:rsid w:val="007F5F08"/>
    <w:rsid w:val="00803F72"/>
    <w:rsid w:val="00844518"/>
    <w:rsid w:val="00844730"/>
    <w:rsid w:val="008642D2"/>
    <w:rsid w:val="00870FD7"/>
    <w:rsid w:val="008773FE"/>
    <w:rsid w:val="00893AD9"/>
    <w:rsid w:val="008B23EF"/>
    <w:rsid w:val="008B4C4A"/>
    <w:rsid w:val="008C1482"/>
    <w:rsid w:val="008C169B"/>
    <w:rsid w:val="008C211F"/>
    <w:rsid w:val="008E5E66"/>
    <w:rsid w:val="008F1469"/>
    <w:rsid w:val="008F5147"/>
    <w:rsid w:val="008F57F5"/>
    <w:rsid w:val="00901C18"/>
    <w:rsid w:val="00904933"/>
    <w:rsid w:val="009118D8"/>
    <w:rsid w:val="00925439"/>
    <w:rsid w:val="0095030E"/>
    <w:rsid w:val="00955543"/>
    <w:rsid w:val="00974998"/>
    <w:rsid w:val="009759EE"/>
    <w:rsid w:val="00980573"/>
    <w:rsid w:val="00982639"/>
    <w:rsid w:val="0099216E"/>
    <w:rsid w:val="00992D48"/>
    <w:rsid w:val="009A3396"/>
    <w:rsid w:val="009C111F"/>
    <w:rsid w:val="009C1A73"/>
    <w:rsid w:val="009C1C17"/>
    <w:rsid w:val="009C39E9"/>
    <w:rsid w:val="009C4BD1"/>
    <w:rsid w:val="009C7233"/>
    <w:rsid w:val="009D1CF1"/>
    <w:rsid w:val="009D3779"/>
    <w:rsid w:val="009D5B59"/>
    <w:rsid w:val="009E22CC"/>
    <w:rsid w:val="009E7D6D"/>
    <w:rsid w:val="009F348A"/>
    <w:rsid w:val="00A12E49"/>
    <w:rsid w:val="00A17CA6"/>
    <w:rsid w:val="00A30C3C"/>
    <w:rsid w:val="00A33B34"/>
    <w:rsid w:val="00A56BDA"/>
    <w:rsid w:val="00A60A59"/>
    <w:rsid w:val="00A63372"/>
    <w:rsid w:val="00A64E8A"/>
    <w:rsid w:val="00A67B63"/>
    <w:rsid w:val="00A71A81"/>
    <w:rsid w:val="00A7281B"/>
    <w:rsid w:val="00A80AA9"/>
    <w:rsid w:val="00A91369"/>
    <w:rsid w:val="00AA0C5F"/>
    <w:rsid w:val="00AA5A7A"/>
    <w:rsid w:val="00AB5544"/>
    <w:rsid w:val="00AD5AE9"/>
    <w:rsid w:val="00AE22E2"/>
    <w:rsid w:val="00AE37F3"/>
    <w:rsid w:val="00AE3D78"/>
    <w:rsid w:val="00B016B8"/>
    <w:rsid w:val="00B01D3D"/>
    <w:rsid w:val="00B31D87"/>
    <w:rsid w:val="00B31E15"/>
    <w:rsid w:val="00B4143B"/>
    <w:rsid w:val="00B46D2A"/>
    <w:rsid w:val="00B50A2F"/>
    <w:rsid w:val="00B565FC"/>
    <w:rsid w:val="00B672DA"/>
    <w:rsid w:val="00B849E6"/>
    <w:rsid w:val="00B94F0B"/>
    <w:rsid w:val="00BB6AB5"/>
    <w:rsid w:val="00BC329A"/>
    <w:rsid w:val="00BC7E94"/>
    <w:rsid w:val="00BD2E5F"/>
    <w:rsid w:val="00BD3E07"/>
    <w:rsid w:val="00BD51D8"/>
    <w:rsid w:val="00BE6ACA"/>
    <w:rsid w:val="00BF6CB4"/>
    <w:rsid w:val="00BF78D7"/>
    <w:rsid w:val="00C2094C"/>
    <w:rsid w:val="00C20D13"/>
    <w:rsid w:val="00C454B3"/>
    <w:rsid w:val="00C50B56"/>
    <w:rsid w:val="00C52535"/>
    <w:rsid w:val="00C54C30"/>
    <w:rsid w:val="00C56D0C"/>
    <w:rsid w:val="00C76904"/>
    <w:rsid w:val="00C9013D"/>
    <w:rsid w:val="00CA0D6C"/>
    <w:rsid w:val="00CA1B4D"/>
    <w:rsid w:val="00CB6E58"/>
    <w:rsid w:val="00CC2466"/>
    <w:rsid w:val="00CC2D1C"/>
    <w:rsid w:val="00CC309A"/>
    <w:rsid w:val="00CD2B88"/>
    <w:rsid w:val="00CD3D42"/>
    <w:rsid w:val="00CF3AD9"/>
    <w:rsid w:val="00CF6747"/>
    <w:rsid w:val="00D128E8"/>
    <w:rsid w:val="00D21E68"/>
    <w:rsid w:val="00D228D3"/>
    <w:rsid w:val="00D24530"/>
    <w:rsid w:val="00D35591"/>
    <w:rsid w:val="00D456D0"/>
    <w:rsid w:val="00D54F1E"/>
    <w:rsid w:val="00D602DD"/>
    <w:rsid w:val="00D6129C"/>
    <w:rsid w:val="00D65CC9"/>
    <w:rsid w:val="00D73C1B"/>
    <w:rsid w:val="00D77787"/>
    <w:rsid w:val="00D92104"/>
    <w:rsid w:val="00D95BCE"/>
    <w:rsid w:val="00DA151B"/>
    <w:rsid w:val="00DA61D3"/>
    <w:rsid w:val="00DB2962"/>
    <w:rsid w:val="00DB772E"/>
    <w:rsid w:val="00DC4351"/>
    <w:rsid w:val="00DD2B64"/>
    <w:rsid w:val="00DE3F1C"/>
    <w:rsid w:val="00DE6430"/>
    <w:rsid w:val="00E02556"/>
    <w:rsid w:val="00E03275"/>
    <w:rsid w:val="00E16CF2"/>
    <w:rsid w:val="00E24533"/>
    <w:rsid w:val="00E41FE8"/>
    <w:rsid w:val="00E46132"/>
    <w:rsid w:val="00E60622"/>
    <w:rsid w:val="00E6705D"/>
    <w:rsid w:val="00E71C2F"/>
    <w:rsid w:val="00E73D4E"/>
    <w:rsid w:val="00E757A8"/>
    <w:rsid w:val="00E7793C"/>
    <w:rsid w:val="00E77F93"/>
    <w:rsid w:val="00E9270A"/>
    <w:rsid w:val="00E96F9E"/>
    <w:rsid w:val="00EA1B34"/>
    <w:rsid w:val="00EB5512"/>
    <w:rsid w:val="00ED4BA2"/>
    <w:rsid w:val="00EE596B"/>
    <w:rsid w:val="00EF320D"/>
    <w:rsid w:val="00F069AA"/>
    <w:rsid w:val="00F23274"/>
    <w:rsid w:val="00F23E77"/>
    <w:rsid w:val="00F52A8F"/>
    <w:rsid w:val="00F55610"/>
    <w:rsid w:val="00F56264"/>
    <w:rsid w:val="00F602F1"/>
    <w:rsid w:val="00F7271D"/>
    <w:rsid w:val="00F87714"/>
    <w:rsid w:val="00F92369"/>
    <w:rsid w:val="00FA1C59"/>
    <w:rsid w:val="00FA5130"/>
    <w:rsid w:val="00FB11B6"/>
    <w:rsid w:val="00FB1750"/>
    <w:rsid w:val="00FB3FE0"/>
    <w:rsid w:val="00FC462C"/>
    <w:rsid w:val="00FD0D70"/>
    <w:rsid w:val="00FD6043"/>
    <w:rsid w:val="00FE4AF5"/>
    <w:rsid w:val="00FF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00E3"/>
  <w15:chartTrackingRefBased/>
  <w15:docId w15:val="{FCF9E12E-3384-4272-A0E0-F2D9003D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E4"/>
    <w:pPr>
      <w:jc w:val="both"/>
    </w:pPr>
    <w:rPr>
      <w:rFonts w:ascii="Times New Roman" w:hAnsi="Times New Roman"/>
      <w:sz w:val="24"/>
    </w:rPr>
  </w:style>
  <w:style w:type="paragraph" w:styleId="Heading1">
    <w:name w:val="heading 1"/>
    <w:basedOn w:val="Normal"/>
    <w:next w:val="Normal"/>
    <w:link w:val="Heading1Char"/>
    <w:uiPriority w:val="9"/>
    <w:qFormat/>
    <w:rsid w:val="0003362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33621"/>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033621"/>
    <w:pPr>
      <w:keepNext/>
      <w:keepLines/>
      <w:spacing w:before="40" w:after="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2101DD"/>
    <w:pPr>
      <w:keepNext/>
      <w:keepLines/>
      <w:spacing w:before="40" w:after="0"/>
      <w:outlineLvl w:val="3"/>
    </w:pPr>
    <w:rPr>
      <w:rFonts w:ascii="Aptos" w:eastAsiaTheme="majorEastAsia" w:hAnsi="Aptos"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621"/>
    <w:rPr>
      <w:rFonts w:ascii="Times New Roman" w:eastAsiaTheme="majorEastAsia" w:hAnsi="Times New Roman" w:cstheme="majorBidi"/>
      <w:b/>
      <w:sz w:val="32"/>
      <w:szCs w:val="32"/>
    </w:rPr>
  </w:style>
  <w:style w:type="paragraph" w:styleId="ListParagraph">
    <w:name w:val="List Paragraph"/>
    <w:basedOn w:val="Normal"/>
    <w:uiPriority w:val="34"/>
    <w:qFormat/>
    <w:rsid w:val="00CD2B88"/>
    <w:pPr>
      <w:ind w:left="720"/>
      <w:contextualSpacing/>
    </w:pPr>
  </w:style>
  <w:style w:type="character" w:styleId="Hyperlink">
    <w:name w:val="Hyperlink"/>
    <w:basedOn w:val="DefaultParagraphFont"/>
    <w:uiPriority w:val="99"/>
    <w:unhideWhenUsed/>
    <w:rsid w:val="00213262"/>
    <w:rPr>
      <w:color w:val="0563C1" w:themeColor="hyperlink"/>
      <w:u w:val="single"/>
    </w:rPr>
  </w:style>
  <w:style w:type="character" w:styleId="UnresolvedMention">
    <w:name w:val="Unresolved Mention"/>
    <w:basedOn w:val="DefaultParagraphFont"/>
    <w:uiPriority w:val="99"/>
    <w:semiHidden/>
    <w:unhideWhenUsed/>
    <w:rsid w:val="00213262"/>
    <w:rPr>
      <w:color w:val="605E5C"/>
      <w:shd w:val="clear" w:color="auto" w:fill="E1DFDD"/>
    </w:rPr>
  </w:style>
  <w:style w:type="character" w:customStyle="1" w:styleId="Heading2Char">
    <w:name w:val="Heading 2 Char"/>
    <w:basedOn w:val="DefaultParagraphFont"/>
    <w:link w:val="Heading2"/>
    <w:uiPriority w:val="9"/>
    <w:rsid w:val="00033621"/>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B31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D87"/>
  </w:style>
  <w:style w:type="paragraph" w:styleId="Footer">
    <w:name w:val="footer"/>
    <w:basedOn w:val="Normal"/>
    <w:link w:val="FooterChar"/>
    <w:uiPriority w:val="99"/>
    <w:unhideWhenUsed/>
    <w:rsid w:val="00B31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D87"/>
  </w:style>
  <w:style w:type="paragraph" w:styleId="Revision">
    <w:name w:val="Revision"/>
    <w:hidden/>
    <w:uiPriority w:val="99"/>
    <w:semiHidden/>
    <w:rsid w:val="00691CE3"/>
    <w:pPr>
      <w:spacing w:after="0" w:line="240" w:lineRule="auto"/>
    </w:pPr>
  </w:style>
  <w:style w:type="paragraph" w:styleId="Title">
    <w:name w:val="Title"/>
    <w:basedOn w:val="Normal"/>
    <w:next w:val="Normal"/>
    <w:link w:val="TitleChar"/>
    <w:uiPriority w:val="10"/>
    <w:qFormat/>
    <w:rsid w:val="00A60A59"/>
    <w:pPr>
      <w:spacing w:after="0" w:line="240" w:lineRule="auto"/>
      <w:contextualSpacing/>
    </w:pPr>
    <w:rPr>
      <w:rFonts w:ascii="Aptos" w:eastAsiaTheme="majorEastAsia" w:hAnsi="Aptos" w:cstheme="majorBidi"/>
      <w:spacing w:val="-10"/>
      <w:kern w:val="28"/>
      <w:sz w:val="40"/>
      <w:szCs w:val="56"/>
    </w:rPr>
  </w:style>
  <w:style w:type="character" w:customStyle="1" w:styleId="TitleChar">
    <w:name w:val="Title Char"/>
    <w:basedOn w:val="DefaultParagraphFont"/>
    <w:link w:val="Title"/>
    <w:uiPriority w:val="10"/>
    <w:rsid w:val="00A60A59"/>
    <w:rPr>
      <w:rFonts w:ascii="Aptos" w:eastAsiaTheme="majorEastAsia" w:hAnsi="Aptos" w:cstheme="majorBidi"/>
      <w:spacing w:val="-10"/>
      <w:kern w:val="28"/>
      <w:sz w:val="40"/>
      <w:szCs w:val="56"/>
    </w:rPr>
  </w:style>
  <w:style w:type="character" w:customStyle="1" w:styleId="Heading3Char">
    <w:name w:val="Heading 3 Char"/>
    <w:basedOn w:val="DefaultParagraphFont"/>
    <w:link w:val="Heading3"/>
    <w:uiPriority w:val="9"/>
    <w:rsid w:val="00033621"/>
    <w:rPr>
      <w:rFonts w:ascii="Times New Roman" w:eastAsiaTheme="majorEastAsia" w:hAnsi="Times New Roman" w:cstheme="majorBidi"/>
      <w:i/>
      <w:sz w:val="24"/>
      <w:szCs w:val="24"/>
    </w:rPr>
  </w:style>
  <w:style w:type="paragraph" w:styleId="FootnoteText">
    <w:name w:val="footnote text"/>
    <w:basedOn w:val="Normal"/>
    <w:link w:val="FootnoteTextChar"/>
    <w:uiPriority w:val="99"/>
    <w:semiHidden/>
    <w:unhideWhenUsed/>
    <w:rsid w:val="000D0A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AE7"/>
    <w:rPr>
      <w:rFonts w:ascii="Times New Roman" w:hAnsi="Times New Roman"/>
      <w:sz w:val="20"/>
      <w:szCs w:val="20"/>
    </w:rPr>
  </w:style>
  <w:style w:type="character" w:styleId="FootnoteReference">
    <w:name w:val="footnote reference"/>
    <w:basedOn w:val="DefaultParagraphFont"/>
    <w:uiPriority w:val="99"/>
    <w:semiHidden/>
    <w:unhideWhenUsed/>
    <w:rsid w:val="000D0AE7"/>
    <w:rPr>
      <w:vertAlign w:val="superscript"/>
    </w:rPr>
  </w:style>
  <w:style w:type="character" w:styleId="CommentReference">
    <w:name w:val="annotation reference"/>
    <w:basedOn w:val="DefaultParagraphFont"/>
    <w:uiPriority w:val="99"/>
    <w:semiHidden/>
    <w:unhideWhenUsed/>
    <w:rsid w:val="00C54C30"/>
    <w:rPr>
      <w:sz w:val="16"/>
      <w:szCs w:val="16"/>
    </w:rPr>
  </w:style>
  <w:style w:type="paragraph" w:styleId="CommentText">
    <w:name w:val="annotation text"/>
    <w:basedOn w:val="Normal"/>
    <w:link w:val="CommentTextChar"/>
    <w:uiPriority w:val="99"/>
    <w:unhideWhenUsed/>
    <w:rsid w:val="00C54C30"/>
    <w:pPr>
      <w:spacing w:line="240" w:lineRule="auto"/>
    </w:pPr>
    <w:rPr>
      <w:sz w:val="20"/>
      <w:szCs w:val="20"/>
    </w:rPr>
  </w:style>
  <w:style w:type="character" w:customStyle="1" w:styleId="CommentTextChar">
    <w:name w:val="Comment Text Char"/>
    <w:basedOn w:val="DefaultParagraphFont"/>
    <w:link w:val="CommentText"/>
    <w:uiPriority w:val="99"/>
    <w:rsid w:val="00C54C30"/>
    <w:rPr>
      <w:sz w:val="20"/>
      <w:szCs w:val="20"/>
    </w:rPr>
  </w:style>
  <w:style w:type="paragraph" w:styleId="CommentSubject">
    <w:name w:val="annotation subject"/>
    <w:basedOn w:val="CommentText"/>
    <w:next w:val="CommentText"/>
    <w:link w:val="CommentSubjectChar"/>
    <w:uiPriority w:val="99"/>
    <w:semiHidden/>
    <w:unhideWhenUsed/>
    <w:rsid w:val="00C54C30"/>
    <w:rPr>
      <w:b/>
      <w:bCs/>
    </w:rPr>
  </w:style>
  <w:style w:type="character" w:customStyle="1" w:styleId="CommentSubjectChar">
    <w:name w:val="Comment Subject Char"/>
    <w:basedOn w:val="CommentTextChar"/>
    <w:link w:val="CommentSubject"/>
    <w:uiPriority w:val="99"/>
    <w:semiHidden/>
    <w:rsid w:val="00C54C30"/>
    <w:rPr>
      <w:b/>
      <w:bCs/>
      <w:sz w:val="20"/>
      <w:szCs w:val="20"/>
    </w:rPr>
  </w:style>
  <w:style w:type="character" w:customStyle="1" w:styleId="Heading4Char">
    <w:name w:val="Heading 4 Char"/>
    <w:basedOn w:val="DefaultParagraphFont"/>
    <w:link w:val="Heading4"/>
    <w:uiPriority w:val="9"/>
    <w:rsid w:val="002101DD"/>
    <w:rPr>
      <w:rFonts w:ascii="Aptos" w:eastAsiaTheme="majorEastAsia" w:hAnsi="Aptos" w:cstheme="majorBidi"/>
      <w:b/>
      <w:iCs/>
      <w:sz w:val="24"/>
    </w:rPr>
  </w:style>
  <w:style w:type="character" w:styleId="FollowedHyperlink">
    <w:name w:val="FollowedHyperlink"/>
    <w:basedOn w:val="DefaultParagraphFont"/>
    <w:uiPriority w:val="99"/>
    <w:semiHidden/>
    <w:unhideWhenUsed/>
    <w:rsid w:val="0054182C"/>
    <w:rPr>
      <w:color w:val="954F72" w:themeColor="followedHyperlink"/>
      <w:u w:val="single"/>
    </w:rPr>
  </w:style>
  <w:style w:type="table" w:styleId="TableGrid">
    <w:name w:val="Table Grid"/>
    <w:basedOn w:val="TableNormal"/>
    <w:uiPriority w:val="39"/>
    <w:rsid w:val="00FF30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7570">
      <w:bodyDiv w:val="1"/>
      <w:marLeft w:val="0"/>
      <w:marRight w:val="0"/>
      <w:marTop w:val="0"/>
      <w:marBottom w:val="0"/>
      <w:divBdr>
        <w:top w:val="none" w:sz="0" w:space="0" w:color="auto"/>
        <w:left w:val="none" w:sz="0" w:space="0" w:color="auto"/>
        <w:bottom w:val="none" w:sz="0" w:space="0" w:color="auto"/>
        <w:right w:val="none" w:sz="0" w:space="0" w:color="auto"/>
      </w:divBdr>
    </w:div>
    <w:div w:id="512454397">
      <w:bodyDiv w:val="1"/>
      <w:marLeft w:val="0"/>
      <w:marRight w:val="0"/>
      <w:marTop w:val="0"/>
      <w:marBottom w:val="0"/>
      <w:divBdr>
        <w:top w:val="none" w:sz="0" w:space="0" w:color="auto"/>
        <w:left w:val="none" w:sz="0" w:space="0" w:color="auto"/>
        <w:bottom w:val="none" w:sz="0" w:space="0" w:color="auto"/>
        <w:right w:val="none" w:sz="0" w:space="0" w:color="auto"/>
      </w:divBdr>
    </w:div>
    <w:div w:id="616067025">
      <w:bodyDiv w:val="1"/>
      <w:marLeft w:val="0"/>
      <w:marRight w:val="0"/>
      <w:marTop w:val="0"/>
      <w:marBottom w:val="0"/>
      <w:divBdr>
        <w:top w:val="none" w:sz="0" w:space="0" w:color="auto"/>
        <w:left w:val="none" w:sz="0" w:space="0" w:color="auto"/>
        <w:bottom w:val="none" w:sz="0" w:space="0" w:color="auto"/>
        <w:right w:val="none" w:sz="0" w:space="0" w:color="auto"/>
      </w:divBdr>
    </w:div>
    <w:div w:id="716465386">
      <w:bodyDiv w:val="1"/>
      <w:marLeft w:val="0"/>
      <w:marRight w:val="0"/>
      <w:marTop w:val="0"/>
      <w:marBottom w:val="0"/>
      <w:divBdr>
        <w:top w:val="none" w:sz="0" w:space="0" w:color="auto"/>
        <w:left w:val="none" w:sz="0" w:space="0" w:color="auto"/>
        <w:bottom w:val="none" w:sz="0" w:space="0" w:color="auto"/>
        <w:right w:val="none" w:sz="0" w:space="0" w:color="auto"/>
      </w:divBdr>
    </w:div>
    <w:div w:id="1585408427">
      <w:bodyDiv w:val="1"/>
      <w:marLeft w:val="0"/>
      <w:marRight w:val="0"/>
      <w:marTop w:val="0"/>
      <w:marBottom w:val="0"/>
      <w:divBdr>
        <w:top w:val="none" w:sz="0" w:space="0" w:color="auto"/>
        <w:left w:val="none" w:sz="0" w:space="0" w:color="auto"/>
        <w:bottom w:val="none" w:sz="0" w:space="0" w:color="auto"/>
        <w:right w:val="none" w:sz="0" w:space="0" w:color="auto"/>
      </w:divBdr>
    </w:div>
    <w:div w:id="19829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kingsfund.org.uk/f/256914/x/366f8af5c5/leadership_in_todays_nhs_2018.pdf" TargetMode="External"/><Relationship Id="rId18" Type="http://schemas.openxmlformats.org/officeDocument/2006/relationships/hyperlink" Target="https://doi.org/10.12688/openreseurope.18982.1" TargetMode="External"/><Relationship Id="rId26" Type="http://schemas.openxmlformats.org/officeDocument/2006/relationships/hyperlink" Target="https://eoe.leadershipacademy.nhs.uk/wp-content/uploads/sites/31/2021/04/Systems-Leadership-A-view-from-the-bridge.pdf" TargetMode="External"/><Relationship Id="rId39" Type="http://schemas.openxmlformats.org/officeDocument/2006/relationships/hyperlink" Target="https://doi.org/10.1016/j.socscimed.2023.116145" TargetMode="External"/><Relationship Id="rId21" Type="http://schemas.openxmlformats.org/officeDocument/2006/relationships/hyperlink" Target="https://doi.org/10.1080/13501763.2023.2172062" TargetMode="External"/><Relationship Id="rId34" Type="http://schemas.openxmlformats.org/officeDocument/2006/relationships/hyperlink" Target="https://www.england.nhs.uk/wp-content/uploads/2017/09/practical-guide-large-scale-change-april-2018-smll.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11/j.1478-9302.2012.00270.x" TargetMode="External"/><Relationship Id="rId20" Type="http://schemas.openxmlformats.org/officeDocument/2006/relationships/hyperlink" Target="https://doi.org/10.12688/openreseurope.13178.2" TargetMode="External"/><Relationship Id="rId29" Type="http://schemas.openxmlformats.org/officeDocument/2006/relationships/hyperlink" Target="https://www.local.gov.uk/sites/default/files/documents/1.84%20-%20Shifting%20the%20centre%20of%20gravity%20WEB_0.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ewstatesman.com/politics/labour/2024/09/keir-starmers-big-idea-the-preventative-state" TargetMode="External"/><Relationship Id="rId32" Type="http://schemas.openxmlformats.org/officeDocument/2006/relationships/hyperlink" Target="https://www.nhsconfed.org/publications/report-unlocking-prevention-integrated-care-systems" TargetMode="External"/><Relationship Id="rId37" Type="http://schemas.openxmlformats.org/officeDocument/2006/relationships/hyperlink" Target="https://doi.org/10.34172/ijhpm.2022.6564" TargetMode="External"/><Relationship Id="rId40" Type="http://schemas.openxmlformats.org/officeDocument/2006/relationships/hyperlink" Target="https://assets.kingsfund.org.uk/f/256914/x/0b76247d02/caring_to_change_2017.pdf" TargetMode="External"/><Relationship Id="rId5" Type="http://schemas.openxmlformats.org/officeDocument/2006/relationships/numbering" Target="numbering.xml"/><Relationship Id="rId15" Type="http://schemas.openxmlformats.org/officeDocument/2006/relationships/hyperlink" Target="https://doi.org/10.1016/j.socscimed.2019.02.051" TargetMode="External"/><Relationship Id="rId23" Type="http://schemas.openxmlformats.org/officeDocument/2006/relationships/hyperlink" Target="https://www.gov.uk/government/publications/independent-investigation-of-the-nhs-in-england" TargetMode="External"/><Relationship Id="rId28" Type="http://schemas.openxmlformats.org/officeDocument/2006/relationships/hyperlink" Target="https://www.gov.uk/government/publications/the-hewitt-review-an-independent-review-of-integrated-care-systems" TargetMode="External"/><Relationship Id="rId36" Type="http://schemas.openxmlformats.org/officeDocument/2006/relationships/hyperlink" Target="https://lgiu.org/publication/local-health-systems-relationships-not-structures/" TargetMode="External"/><Relationship Id="rId10" Type="http://schemas.openxmlformats.org/officeDocument/2006/relationships/endnotes" Target="endnotes.xml"/><Relationship Id="rId19" Type="http://schemas.openxmlformats.org/officeDocument/2006/relationships/hyperlink" Target="https://doi.org/10.12688/openreseurope.14841.2" TargetMode="External"/><Relationship Id="rId31" Type="http://schemas.openxmlformats.org/officeDocument/2006/relationships/hyperlink" Target="https://www.nhsconfed.org/~/media/Confederation/Files/public%20access/The_future_of_system_leadershi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dershipcentre.org.uk/wp-content/uploads/2016/02/The-Art-of-Change-Making.pdf" TargetMode="External"/><Relationship Id="rId22" Type="http://schemas.openxmlformats.org/officeDocument/2006/relationships/hyperlink" Target="https://doi.org/10.1186/s12913-021-06272-z" TargetMode="External"/><Relationship Id="rId27" Type="http://schemas.openxmlformats.org/officeDocument/2006/relationships/hyperlink" Target="https://www.graphnethealth.com/knowledge-hub/blog/what-is-driving-the-left-shift-in-medicine" TargetMode="External"/><Relationship Id="rId30" Type="http://schemas.openxmlformats.org/officeDocument/2006/relationships/hyperlink" Target="https://www.researchinpractice.org.uk/adults/publications/2020/march/systems-leadership-enhancing-the-role-of-social-care-strategic-briefing-2020/" TargetMode="External"/><Relationship Id="rId35" Type="http://schemas.openxmlformats.org/officeDocument/2006/relationships/hyperlink" Target="https://doi.org/10.1016/S0140-6736(17)31267-9"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111/j.0033-3298.2005.00440.x" TargetMode="External"/><Relationship Id="rId17" Type="http://schemas.openxmlformats.org/officeDocument/2006/relationships/hyperlink" Target="https://doi.org/10.12688/openreseurope.18440.1" TargetMode="External"/><Relationship Id="rId25" Type="http://schemas.openxmlformats.org/officeDocument/2006/relationships/hyperlink" Target="https://doi.org/10.1136/leader-2021-000564" TargetMode="External"/><Relationship Id="rId33" Type="http://schemas.openxmlformats.org/officeDocument/2006/relationships/hyperlink" Target="https://www.england.nhs.uk/integratedcare/what-is-integrated-care/" TargetMode="External"/><Relationship Id="rId38" Type="http://schemas.openxmlformats.org/officeDocument/2006/relationships/hyperlink" Target="https://doi.org/10.1177/13558196221142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E40D86E25C542B6DB56B81167D201" ma:contentTypeVersion="18" ma:contentTypeDescription="Create a new document." ma:contentTypeScope="" ma:versionID="c327e1f2cbca7cf8cc99db5bd639548d">
  <xsd:schema xmlns:xsd="http://www.w3.org/2001/XMLSchema" xmlns:xs="http://www.w3.org/2001/XMLSchema" xmlns:p="http://schemas.microsoft.com/office/2006/metadata/properties" xmlns:ns2="127d0216-e20f-4e1b-a94a-d8c75cb49273" xmlns:ns3="0eb8b63d-0121-4813-abf2-b2d528f3d2d8" targetNamespace="http://schemas.microsoft.com/office/2006/metadata/properties" ma:root="true" ma:fieldsID="4c44cfe896ed386ea831d73098a1051e" ns2:_="" ns3:_="">
    <xsd:import namespace="127d0216-e20f-4e1b-a94a-d8c75cb49273"/>
    <xsd:import namespace="0eb8b63d-0121-4813-abf2-b2d528f3d2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d0216-e20f-4e1b-a94a-d8c75cb49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8b63d-0121-4813-abf2-b2d528f3d2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d9c6de-5d46-4fc8-bef3-8bd4b869deba}" ma:internalName="TaxCatchAll" ma:showField="CatchAllData" ma:web="0eb8b63d-0121-4813-abf2-b2d528f3d2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7d0216-e20f-4e1b-a94a-d8c75cb49273">
      <Terms xmlns="http://schemas.microsoft.com/office/infopath/2007/PartnerControls"/>
    </lcf76f155ced4ddcb4097134ff3c332f>
    <TaxCatchAll xmlns="0eb8b63d-0121-4813-abf2-b2d528f3d2d8" xsi:nil="true"/>
  </documentManagement>
</p:properties>
</file>

<file path=customXml/itemProps1.xml><?xml version="1.0" encoding="utf-8"?>
<ds:datastoreItem xmlns:ds="http://schemas.openxmlformats.org/officeDocument/2006/customXml" ds:itemID="{45CC7A79-AA5B-4546-8EA8-F5F83C9094F1}">
  <ds:schemaRefs>
    <ds:schemaRef ds:uri="http://schemas.microsoft.com/sharepoint/v3/contenttype/forms"/>
  </ds:schemaRefs>
</ds:datastoreItem>
</file>

<file path=customXml/itemProps2.xml><?xml version="1.0" encoding="utf-8"?>
<ds:datastoreItem xmlns:ds="http://schemas.openxmlformats.org/officeDocument/2006/customXml" ds:itemID="{09C5E738-A41C-4FCB-9606-32F1271B5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d0216-e20f-4e1b-a94a-d8c75cb49273"/>
    <ds:schemaRef ds:uri="0eb8b63d-0121-4813-abf2-b2d528f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B7158-06F2-4C3A-BA00-B6B8025AC746}">
  <ds:schemaRefs>
    <ds:schemaRef ds:uri="http://schemas.openxmlformats.org/officeDocument/2006/bibliography"/>
  </ds:schemaRefs>
</ds:datastoreItem>
</file>

<file path=customXml/itemProps4.xml><?xml version="1.0" encoding="utf-8"?>
<ds:datastoreItem xmlns:ds="http://schemas.openxmlformats.org/officeDocument/2006/customXml" ds:itemID="{9C1D3C2A-20DB-4D92-BECB-4AA238656C1C}">
  <ds:schemaRefs>
    <ds:schemaRef ds:uri="http://schemas.microsoft.com/office/2006/metadata/properties"/>
    <ds:schemaRef ds:uri="http://schemas.microsoft.com/office/infopath/2007/PartnerControls"/>
    <ds:schemaRef ds:uri="127d0216-e20f-4e1b-a94a-d8c75cb49273"/>
    <ds:schemaRef ds:uri="0eb8b63d-0121-4813-abf2-b2d528f3d2d8"/>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21</Pages>
  <Words>9895</Words>
  <Characters>56406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Hashum Mahmood</dc:creator>
  <cp:keywords/>
  <dc:description/>
  <cp:lastModifiedBy>John Boswell</cp:lastModifiedBy>
  <cp:revision>2</cp:revision>
  <dcterms:created xsi:type="dcterms:W3CDTF">2025-09-08T10:37:00Z</dcterms:created>
  <dcterms:modified xsi:type="dcterms:W3CDTF">2025-09-08T10:37:00Z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fb948-953e-42ec-a310-bd443e7b6908_Enabled">
    <vt:lpwstr>true</vt:lpwstr>
  </property>
  <property fmtid="{D5CDD505-2E9C-101B-9397-08002B2CF9AE}" pid="3" name="MSIP_Label_d6ffb948-953e-42ec-a310-bd443e7b6908_SetDate">
    <vt:lpwstr>2024-12-06T16:52:03Z</vt:lpwstr>
  </property>
  <property fmtid="{D5CDD505-2E9C-101B-9397-08002B2CF9AE}" pid="4" name="MSIP_Label_d6ffb948-953e-42ec-a310-bd443e7b6908_Method">
    <vt:lpwstr>Standard</vt:lpwstr>
  </property>
  <property fmtid="{D5CDD505-2E9C-101B-9397-08002B2CF9AE}" pid="5" name="MSIP_Label_d6ffb948-953e-42ec-a310-bd443e7b6908_Name">
    <vt:lpwstr>Commercial in Confidence</vt:lpwstr>
  </property>
  <property fmtid="{D5CDD505-2E9C-101B-9397-08002B2CF9AE}" pid="6" name="MSIP_Label_d6ffb948-953e-42ec-a310-bd443e7b6908_SiteId">
    <vt:lpwstr>b85e4127-ddf3-45f9-bf62-f1ea78c25bf7</vt:lpwstr>
  </property>
  <property fmtid="{D5CDD505-2E9C-101B-9397-08002B2CF9AE}" pid="7" name="MSIP_Label_d6ffb948-953e-42ec-a310-bd443e7b6908_ActionId">
    <vt:lpwstr>b271d38c-4afb-464b-947f-d776a89fd3ef</vt:lpwstr>
  </property>
  <property fmtid="{D5CDD505-2E9C-101B-9397-08002B2CF9AE}" pid="8" name="MSIP_Label_d6ffb948-953e-42ec-a310-bd443e7b6908_ContentBits">
    <vt:lpwstr>0</vt:lpwstr>
  </property>
  <property fmtid="{D5CDD505-2E9C-101B-9397-08002B2CF9AE}" pid="9" name="ContentTypeId">
    <vt:lpwstr>0x010100273E40D86E25C542B6DB56B81167D201</vt:lpwstr>
  </property>
  <property fmtid="{D5CDD505-2E9C-101B-9397-08002B2CF9AE}" pid="10" name="MediaServiceImageTags">
    <vt:lpwstr/>
  </property>
</Properties>
</file>