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FE85" w14:textId="0CD8A8D8" w:rsidR="00C67BC1" w:rsidRPr="006706B5" w:rsidRDefault="00C67BC1" w:rsidP="005E73A8">
      <w:pPr>
        <w:pStyle w:val="Articletitle"/>
        <w:spacing w:line="480" w:lineRule="auto"/>
        <w:rPr>
          <w:sz w:val="24"/>
        </w:rPr>
      </w:pPr>
      <w:r w:rsidRPr="006706B5">
        <w:rPr>
          <w:sz w:val="24"/>
        </w:rPr>
        <w:t>Re-centring</w:t>
      </w:r>
      <w:r w:rsidR="008157AD" w:rsidRPr="006706B5">
        <w:rPr>
          <w:sz w:val="24"/>
        </w:rPr>
        <w:t xml:space="preserve"> the</w:t>
      </w:r>
      <w:r w:rsidRPr="006706B5">
        <w:rPr>
          <w:sz w:val="24"/>
        </w:rPr>
        <w:t xml:space="preserve"> school context in policy enactments: An empirical investigation into mentorship programmes for Early Career Teachers</w:t>
      </w:r>
    </w:p>
    <w:p w14:paraId="55E65F09" w14:textId="77777777" w:rsidR="00A074D5" w:rsidRPr="006706B5" w:rsidRDefault="00A074D5" w:rsidP="005E73A8">
      <w:pPr>
        <w:pStyle w:val="Authornames"/>
        <w:spacing w:line="480" w:lineRule="auto"/>
        <w:rPr>
          <w:sz w:val="24"/>
        </w:rPr>
      </w:pPr>
      <w:r w:rsidRPr="006706B5">
        <w:rPr>
          <w:sz w:val="24"/>
        </w:rPr>
        <w:t>Achala Gupta* and Rachele Newman</w:t>
      </w:r>
    </w:p>
    <w:p w14:paraId="01D8B477" w14:textId="77777777" w:rsidR="00A074D5" w:rsidRPr="006706B5" w:rsidRDefault="00A074D5" w:rsidP="005E73A8">
      <w:pPr>
        <w:pStyle w:val="Affiliation"/>
        <w:spacing w:line="480" w:lineRule="auto"/>
      </w:pPr>
      <w:r w:rsidRPr="006706B5">
        <w:t>Southampton Education School, University of Southampton, Southampton, United Kingdom</w:t>
      </w:r>
    </w:p>
    <w:p w14:paraId="718FE4B0" w14:textId="5D98B712" w:rsidR="00A074D5" w:rsidRPr="006706B5" w:rsidRDefault="00A074D5" w:rsidP="005E73A8">
      <w:pPr>
        <w:pStyle w:val="Correspondencedetails"/>
        <w:spacing w:line="480" w:lineRule="auto"/>
      </w:pPr>
      <w:r w:rsidRPr="006706B5">
        <w:t xml:space="preserve">Building 32, Highfield Campus, University of Southampton, University Rd, Southampton, UK, SO17 1TR; </w:t>
      </w:r>
      <w:hyperlink r:id="rId8" w:history="1">
        <w:r w:rsidRPr="006706B5">
          <w:t>Achala.Gupta@soton.ac.uk</w:t>
        </w:r>
      </w:hyperlink>
    </w:p>
    <w:p w14:paraId="7F48CFB3" w14:textId="77777777" w:rsidR="005E73A8" w:rsidRPr="006706B5" w:rsidRDefault="005E73A8">
      <w:pPr>
        <w:rPr>
          <w:rFonts w:ascii="Times New Roman" w:eastAsia="Times New Roman" w:hAnsi="Times New Roman" w:cs="Times New Roman"/>
          <w:b/>
          <w:kern w:val="0"/>
          <w:sz w:val="24"/>
          <w:szCs w:val="24"/>
          <w:lang w:eastAsia="en-GB"/>
          <w14:ligatures w14:val="none"/>
        </w:rPr>
      </w:pPr>
      <w:bookmarkStart w:id="0" w:name="_Hlk193876701"/>
      <w:r w:rsidRPr="006706B5">
        <w:rPr>
          <w:sz w:val="24"/>
        </w:rPr>
        <w:br w:type="page"/>
      </w:r>
    </w:p>
    <w:p w14:paraId="235A9EDA" w14:textId="5274A44B" w:rsidR="00C93FC3" w:rsidRPr="006706B5" w:rsidRDefault="00C93FC3" w:rsidP="005E73A8">
      <w:pPr>
        <w:pStyle w:val="Articletitle"/>
        <w:spacing w:line="480" w:lineRule="auto"/>
        <w:rPr>
          <w:sz w:val="24"/>
        </w:rPr>
      </w:pPr>
      <w:r w:rsidRPr="006706B5">
        <w:rPr>
          <w:sz w:val="24"/>
        </w:rPr>
        <w:lastRenderedPageBreak/>
        <w:t>Re-centring</w:t>
      </w:r>
      <w:r w:rsidR="008157AD" w:rsidRPr="006706B5">
        <w:rPr>
          <w:sz w:val="24"/>
        </w:rPr>
        <w:t xml:space="preserve"> the</w:t>
      </w:r>
      <w:r w:rsidRPr="006706B5">
        <w:rPr>
          <w:sz w:val="24"/>
        </w:rPr>
        <w:t xml:space="preserve"> school context in policy enactments: An empirical investigation into mentorship programmes for Early Career Teachers</w:t>
      </w:r>
    </w:p>
    <w:bookmarkEnd w:id="0"/>
    <w:p w14:paraId="6F00D719" w14:textId="5C0FBD33" w:rsidR="008227CF" w:rsidRPr="006706B5" w:rsidRDefault="00B06400" w:rsidP="00B06400">
      <w:pPr>
        <w:spacing w:line="360" w:lineRule="auto"/>
        <w:ind w:left="720"/>
        <w:rPr>
          <w:rFonts w:ascii="Times New Roman" w:hAnsi="Times New Roman" w:cs="Times New Roman"/>
          <w:sz w:val="24"/>
          <w:szCs w:val="24"/>
        </w:rPr>
      </w:pPr>
      <w:r w:rsidRPr="006706B5">
        <w:rPr>
          <w:rFonts w:ascii="Times New Roman" w:hAnsi="Times New Roman" w:cs="Times New Roman"/>
          <w:sz w:val="24"/>
          <w:szCs w:val="24"/>
        </w:rPr>
        <w:t xml:space="preserve">This article examines mentorship provisions for Early Career Teachers (ECTs)—a </w:t>
      </w:r>
      <w:r w:rsidR="00131183" w:rsidRPr="006706B5">
        <w:rPr>
          <w:rFonts w:ascii="Times New Roman" w:hAnsi="Times New Roman" w:cs="Times New Roman"/>
          <w:sz w:val="24"/>
          <w:szCs w:val="24"/>
        </w:rPr>
        <w:t>component</w:t>
      </w:r>
      <w:r w:rsidRPr="006706B5">
        <w:rPr>
          <w:rFonts w:ascii="Times New Roman" w:hAnsi="Times New Roman" w:cs="Times New Roman"/>
          <w:sz w:val="24"/>
          <w:szCs w:val="24"/>
        </w:rPr>
        <w:t xml:space="preserve"> of the 2019 Early Career Framework (ECF) introduced by the UK’s Department for Education. Drawing on Braun et al. (2011), it analyses data produced through interviews and focus groups with ECT programme coordinators, mentors, and ECTs from four schools operating under different governance models—Faith-based, Independent, Local Authority, and Multi-Academy Trust—in the South of England. It shows that while all schools seem to adopt similar material approaches to implementing this new policy, significant differences in their enactment strategies stem from each school’s uniquely constellated contextual dimensions. The discussion of findings highlights that the multi-layered context of a school, construed here vis-à-vis its governance model, influences its policy enactment practices. </w:t>
      </w:r>
      <w:r w:rsidR="00131183" w:rsidRPr="006706B5">
        <w:rPr>
          <w:rFonts w:ascii="Times New Roman" w:hAnsi="Times New Roman" w:cs="Times New Roman"/>
          <w:sz w:val="24"/>
          <w:szCs w:val="24"/>
        </w:rPr>
        <w:t>T</w:t>
      </w:r>
      <w:r w:rsidRPr="006706B5">
        <w:rPr>
          <w:rFonts w:ascii="Times New Roman" w:hAnsi="Times New Roman" w:cs="Times New Roman"/>
          <w:sz w:val="24"/>
          <w:szCs w:val="24"/>
        </w:rPr>
        <w:t>his article argues that the school</w:t>
      </w:r>
      <w:r w:rsidR="00131183" w:rsidRPr="006706B5">
        <w:rPr>
          <w:rFonts w:ascii="Times New Roman" w:hAnsi="Times New Roman" w:cs="Times New Roman"/>
          <w:sz w:val="24"/>
          <w:szCs w:val="24"/>
        </w:rPr>
        <w:t>’</w:t>
      </w:r>
      <w:r w:rsidRPr="006706B5">
        <w:rPr>
          <w:rFonts w:ascii="Times New Roman" w:hAnsi="Times New Roman" w:cs="Times New Roman"/>
          <w:sz w:val="24"/>
          <w:szCs w:val="24"/>
        </w:rPr>
        <w:t xml:space="preserve">s governance model </w:t>
      </w:r>
      <w:r w:rsidR="00131183" w:rsidRPr="006706B5">
        <w:rPr>
          <w:rFonts w:ascii="Times New Roman" w:hAnsi="Times New Roman" w:cs="Times New Roman"/>
          <w:sz w:val="24"/>
          <w:szCs w:val="24"/>
        </w:rPr>
        <w:t xml:space="preserve">impacts professional and situated contexts and mediates external forces that affect each school’s ECT programme, thus </w:t>
      </w:r>
      <w:r w:rsidRPr="006706B5">
        <w:rPr>
          <w:rFonts w:ascii="Times New Roman" w:hAnsi="Times New Roman" w:cs="Times New Roman"/>
          <w:sz w:val="24"/>
          <w:szCs w:val="24"/>
        </w:rPr>
        <w:t>d</w:t>
      </w:r>
      <w:r w:rsidR="00131183" w:rsidRPr="006706B5">
        <w:rPr>
          <w:rFonts w:ascii="Times New Roman" w:hAnsi="Times New Roman" w:cs="Times New Roman"/>
          <w:sz w:val="24"/>
          <w:szCs w:val="24"/>
        </w:rPr>
        <w:t>ictating how an</w:t>
      </w:r>
      <w:r w:rsidRPr="006706B5">
        <w:rPr>
          <w:rFonts w:ascii="Times New Roman" w:hAnsi="Times New Roman" w:cs="Times New Roman"/>
          <w:sz w:val="24"/>
          <w:szCs w:val="24"/>
        </w:rPr>
        <w:t xml:space="preserve"> ECT programme is embedded within the contextual dimensions of a school. It emphasises the importance of moving away from a top-down approach to policy implementation and re-centres schools and their unique contexts in policy enactment processes. The article concludes with specific recommendations for improving mentorship programmes</w:t>
      </w:r>
      <w:r w:rsidR="00421148" w:rsidRPr="006706B5">
        <w:rPr>
          <w:rFonts w:ascii="Times New Roman" w:hAnsi="Times New Roman" w:cs="Times New Roman"/>
          <w:sz w:val="24"/>
          <w:szCs w:val="24"/>
        </w:rPr>
        <w:t>.</w:t>
      </w:r>
    </w:p>
    <w:p w14:paraId="4610763A" w14:textId="76F3FC22" w:rsidR="00C93FC3" w:rsidRPr="006706B5" w:rsidRDefault="00C93FC3" w:rsidP="00525291">
      <w:pPr>
        <w:spacing w:line="360" w:lineRule="auto"/>
        <w:ind w:left="720"/>
        <w:rPr>
          <w:rFonts w:ascii="Times New Roman" w:hAnsi="Times New Roman" w:cs="Times New Roman"/>
          <w:sz w:val="24"/>
          <w:szCs w:val="24"/>
        </w:rPr>
      </w:pPr>
      <w:r w:rsidRPr="006706B5">
        <w:rPr>
          <w:rFonts w:ascii="Times New Roman" w:hAnsi="Times New Roman" w:cs="Times New Roman"/>
          <w:sz w:val="24"/>
          <w:szCs w:val="24"/>
        </w:rPr>
        <w:t xml:space="preserve">Keywords: School context, </w:t>
      </w:r>
      <w:r w:rsidR="00E62A07" w:rsidRPr="006706B5">
        <w:rPr>
          <w:rFonts w:ascii="Times New Roman" w:hAnsi="Times New Roman" w:cs="Times New Roman"/>
          <w:sz w:val="24"/>
          <w:szCs w:val="24"/>
        </w:rPr>
        <w:t>P</w:t>
      </w:r>
      <w:r w:rsidRPr="006706B5">
        <w:rPr>
          <w:rFonts w:ascii="Times New Roman" w:hAnsi="Times New Roman" w:cs="Times New Roman"/>
          <w:sz w:val="24"/>
          <w:szCs w:val="24"/>
        </w:rPr>
        <w:t xml:space="preserve">olicy enactment, Early Career Teachers, Early Career Framework, </w:t>
      </w:r>
      <w:r w:rsidR="00E739C1" w:rsidRPr="006706B5">
        <w:rPr>
          <w:rFonts w:ascii="Times New Roman" w:hAnsi="Times New Roman" w:cs="Times New Roman"/>
          <w:sz w:val="24"/>
          <w:szCs w:val="24"/>
        </w:rPr>
        <w:t xml:space="preserve">Mentorship, </w:t>
      </w:r>
      <w:r w:rsidR="00E62A07" w:rsidRPr="006706B5">
        <w:rPr>
          <w:rFonts w:ascii="Times New Roman" w:hAnsi="Times New Roman" w:cs="Times New Roman"/>
          <w:sz w:val="24"/>
          <w:szCs w:val="24"/>
        </w:rPr>
        <w:t>Coached habitus, Q</w:t>
      </w:r>
      <w:r w:rsidRPr="006706B5">
        <w:rPr>
          <w:rFonts w:ascii="Times New Roman" w:hAnsi="Times New Roman" w:cs="Times New Roman"/>
          <w:sz w:val="24"/>
          <w:szCs w:val="24"/>
        </w:rPr>
        <w:t>ualitative research</w:t>
      </w:r>
    </w:p>
    <w:p w14:paraId="00947055" w14:textId="77777777"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t>Introduction</w:t>
      </w:r>
    </w:p>
    <w:p w14:paraId="6D7C2591" w14:textId="77777777" w:rsidR="006A6424" w:rsidRPr="006706B5" w:rsidRDefault="00970890" w:rsidP="006A6424">
      <w:pPr>
        <w:spacing w:line="480" w:lineRule="auto"/>
        <w:rPr>
          <w:rFonts w:ascii="Times New Roman" w:hAnsi="Times New Roman" w:cs="Times New Roman"/>
          <w:sz w:val="24"/>
          <w:szCs w:val="24"/>
        </w:rPr>
      </w:pPr>
      <w:r w:rsidRPr="006706B5">
        <w:rPr>
          <w:rFonts w:ascii="Times New Roman" w:hAnsi="Times New Roman" w:cs="Times New Roman"/>
          <w:sz w:val="24"/>
          <w:szCs w:val="24"/>
        </w:rPr>
        <w:t>Globally, 44 million more teachers are needed</w:t>
      </w:r>
      <w:r w:rsidR="00F46971" w:rsidRPr="006706B5">
        <w:rPr>
          <w:rFonts w:ascii="Times New Roman" w:hAnsi="Times New Roman" w:cs="Times New Roman"/>
          <w:sz w:val="24"/>
          <w:szCs w:val="24"/>
        </w:rPr>
        <w:t xml:space="preserve"> to provide children with </w:t>
      </w:r>
      <w:r w:rsidRPr="006706B5">
        <w:rPr>
          <w:rFonts w:ascii="Times New Roman" w:hAnsi="Times New Roman" w:cs="Times New Roman"/>
          <w:sz w:val="24"/>
          <w:szCs w:val="24"/>
        </w:rPr>
        <w:t xml:space="preserve">universal education, indicating </w:t>
      </w:r>
      <w:r w:rsidR="004B69EC" w:rsidRPr="006706B5">
        <w:rPr>
          <w:rFonts w:ascii="Times New Roman" w:hAnsi="Times New Roman" w:cs="Times New Roman"/>
          <w:sz w:val="24"/>
          <w:szCs w:val="24"/>
        </w:rPr>
        <w:t xml:space="preserve">a worldwide </w:t>
      </w:r>
      <w:r w:rsidRPr="006706B5">
        <w:rPr>
          <w:rFonts w:ascii="Times New Roman" w:hAnsi="Times New Roman" w:cs="Times New Roman"/>
          <w:sz w:val="24"/>
          <w:szCs w:val="24"/>
        </w:rPr>
        <w:t xml:space="preserve">teacher shortage (National Education Union, 2024). </w:t>
      </w:r>
      <w:r w:rsidR="00C541E3" w:rsidRPr="006706B5">
        <w:rPr>
          <w:rFonts w:ascii="Times New Roman" w:hAnsi="Times New Roman" w:cs="Times New Roman"/>
          <w:sz w:val="24"/>
          <w:szCs w:val="24"/>
        </w:rPr>
        <w:t xml:space="preserve">In England, the Teacher Labour Market reports have highlighted the increasing criticality of the challenges of teacher recruitment and retention over the years, underscoring </w:t>
      </w:r>
      <w:r w:rsidR="006A6424" w:rsidRPr="006706B5">
        <w:rPr>
          <w:rFonts w:ascii="Times New Roman" w:hAnsi="Times New Roman" w:cs="Times New Roman"/>
          <w:sz w:val="24"/>
          <w:szCs w:val="24"/>
        </w:rPr>
        <w:t>its</w:t>
      </w:r>
      <w:r w:rsidR="00157875" w:rsidRPr="006706B5">
        <w:rPr>
          <w:rFonts w:ascii="Times New Roman" w:hAnsi="Times New Roman" w:cs="Times New Roman"/>
          <w:sz w:val="24"/>
          <w:szCs w:val="24"/>
        </w:rPr>
        <w:t xml:space="preserve"> severe impact </w:t>
      </w:r>
      <w:r w:rsidR="00536388" w:rsidRPr="006706B5">
        <w:rPr>
          <w:rFonts w:ascii="Times New Roman" w:hAnsi="Times New Roman" w:cs="Times New Roman"/>
          <w:sz w:val="24"/>
          <w:szCs w:val="24"/>
        </w:rPr>
        <w:t xml:space="preserve">on the education sector more broadly (National Foundation for Educational Research, n.d.). </w:t>
      </w:r>
      <w:r w:rsidR="006A6424" w:rsidRPr="006706B5">
        <w:rPr>
          <w:rFonts w:ascii="Times New Roman" w:hAnsi="Times New Roman" w:cs="Times New Roman"/>
          <w:sz w:val="24"/>
          <w:szCs w:val="24"/>
        </w:rPr>
        <w:t>Illustratively</w:t>
      </w:r>
      <w:r w:rsidR="004C6D7F" w:rsidRPr="006706B5">
        <w:rPr>
          <w:rFonts w:ascii="Times New Roman" w:hAnsi="Times New Roman" w:cs="Times New Roman"/>
          <w:sz w:val="24"/>
          <w:szCs w:val="24"/>
        </w:rPr>
        <w:t>, b</w:t>
      </w:r>
      <w:r w:rsidRPr="006706B5">
        <w:rPr>
          <w:rFonts w:ascii="Times New Roman" w:hAnsi="Times New Roman" w:cs="Times New Roman"/>
          <w:sz w:val="24"/>
          <w:szCs w:val="24"/>
        </w:rPr>
        <w:t xml:space="preserve">ased on monitoring job advertisements and surveys conducted with over </w:t>
      </w:r>
      <w:r w:rsidRPr="006706B5">
        <w:rPr>
          <w:rFonts w:ascii="Times New Roman" w:hAnsi="Times New Roman" w:cs="Times New Roman"/>
          <w:sz w:val="24"/>
          <w:szCs w:val="24"/>
        </w:rPr>
        <w:lastRenderedPageBreak/>
        <w:t xml:space="preserve">10,000 teachers, </w:t>
      </w:r>
      <w:r w:rsidR="0033701D" w:rsidRPr="006706B5">
        <w:rPr>
          <w:rFonts w:ascii="Times New Roman" w:hAnsi="Times New Roman" w:cs="Times New Roman"/>
          <w:sz w:val="24"/>
          <w:szCs w:val="24"/>
        </w:rPr>
        <w:t>the</w:t>
      </w:r>
      <w:r w:rsidR="004C6D7F" w:rsidRPr="006706B5">
        <w:rPr>
          <w:rFonts w:ascii="Times New Roman" w:hAnsi="Times New Roman" w:cs="Times New Roman"/>
          <w:sz w:val="24"/>
          <w:szCs w:val="24"/>
        </w:rPr>
        <w:t xml:space="preserve"> 2025 Teacher Recruitment and Retention</w:t>
      </w:r>
      <w:r w:rsidR="0033701D" w:rsidRPr="006706B5">
        <w:rPr>
          <w:rFonts w:ascii="Times New Roman" w:hAnsi="Times New Roman" w:cs="Times New Roman"/>
          <w:sz w:val="24"/>
          <w:szCs w:val="24"/>
        </w:rPr>
        <w:t xml:space="preserve"> report </w:t>
      </w:r>
      <w:r w:rsidRPr="006706B5">
        <w:rPr>
          <w:rFonts w:ascii="Times New Roman" w:hAnsi="Times New Roman" w:cs="Times New Roman"/>
          <w:sz w:val="24"/>
          <w:szCs w:val="24"/>
        </w:rPr>
        <w:t xml:space="preserve">indicates that only about 60 per cent of teachers plan to stay in the profession over the next three years (Allen et al., 2025). </w:t>
      </w:r>
    </w:p>
    <w:p w14:paraId="0FC2C714" w14:textId="3E5BF31A" w:rsidR="00782993" w:rsidRPr="006706B5" w:rsidRDefault="00970890" w:rsidP="00782993">
      <w:pPr>
        <w:spacing w:line="480" w:lineRule="auto"/>
        <w:ind w:firstLine="360"/>
        <w:rPr>
          <w:rFonts w:ascii="Times New Roman" w:hAnsi="Times New Roman" w:cs="Times New Roman"/>
          <w:sz w:val="24"/>
          <w:szCs w:val="24"/>
        </w:rPr>
      </w:pPr>
      <w:r w:rsidRPr="006706B5">
        <w:rPr>
          <w:rFonts w:ascii="Times New Roman" w:hAnsi="Times New Roman" w:cs="Times New Roman"/>
          <w:sz w:val="24"/>
          <w:szCs w:val="24"/>
        </w:rPr>
        <w:t xml:space="preserve">Introduced in direct response to these ongoing challenges (Sims &amp; </w:t>
      </w:r>
      <w:proofErr w:type="spellStart"/>
      <w:r w:rsidRPr="006706B5">
        <w:rPr>
          <w:rFonts w:ascii="Times New Roman" w:hAnsi="Times New Roman" w:cs="Times New Roman"/>
          <w:sz w:val="24"/>
          <w:szCs w:val="24"/>
        </w:rPr>
        <w:t>Jerrim</w:t>
      </w:r>
      <w:proofErr w:type="spellEnd"/>
      <w:r w:rsidRPr="006706B5">
        <w:rPr>
          <w:rFonts w:ascii="Times New Roman" w:hAnsi="Times New Roman" w:cs="Times New Roman"/>
          <w:sz w:val="24"/>
          <w:szCs w:val="24"/>
        </w:rPr>
        <w:t xml:space="preserve">, 2020), the Department for Education (DfE) published a </w:t>
      </w:r>
      <w:r w:rsidR="00864B7D" w:rsidRPr="006706B5">
        <w:rPr>
          <w:rFonts w:ascii="Times New Roman" w:hAnsi="Times New Roman" w:cs="Times New Roman"/>
          <w:sz w:val="24"/>
          <w:szCs w:val="24"/>
        </w:rPr>
        <w:t xml:space="preserve">teacher </w:t>
      </w:r>
      <w:r w:rsidRPr="006706B5">
        <w:rPr>
          <w:rFonts w:ascii="Times New Roman" w:hAnsi="Times New Roman" w:cs="Times New Roman"/>
          <w:sz w:val="24"/>
          <w:szCs w:val="24"/>
        </w:rPr>
        <w:t>recruitment and retention strategy (DfE, 2019a)</w:t>
      </w:r>
      <w:r w:rsidR="00A501F5" w:rsidRPr="006706B5">
        <w:rPr>
          <w:rFonts w:ascii="Times New Roman" w:hAnsi="Times New Roman" w:cs="Times New Roman"/>
          <w:sz w:val="24"/>
          <w:szCs w:val="24"/>
        </w:rPr>
        <w:t xml:space="preserve">. </w:t>
      </w:r>
      <w:r w:rsidR="001C04B1" w:rsidRPr="006706B5">
        <w:rPr>
          <w:rFonts w:ascii="Times New Roman" w:hAnsi="Times New Roman" w:cs="Times New Roman"/>
          <w:sz w:val="24"/>
          <w:szCs w:val="24"/>
        </w:rPr>
        <w:t>The DfE</w:t>
      </w:r>
      <w:r w:rsidRPr="006706B5">
        <w:rPr>
          <w:rFonts w:ascii="Times New Roman" w:hAnsi="Times New Roman" w:cs="Times New Roman"/>
          <w:sz w:val="24"/>
          <w:szCs w:val="24"/>
        </w:rPr>
        <w:t xml:space="preserve"> subsequently rolled out a new policy encapsulated in the Early Career Framework (ECF) (DfE, 2019b). Launched in 2019, a key element of the ECF </w:t>
      </w:r>
      <w:r w:rsidR="00F62961" w:rsidRPr="006706B5">
        <w:rPr>
          <w:rFonts w:ascii="Times New Roman" w:hAnsi="Times New Roman" w:cs="Times New Roman"/>
          <w:sz w:val="24"/>
          <w:szCs w:val="24"/>
        </w:rPr>
        <w:t xml:space="preserve">that was </w:t>
      </w:r>
      <w:r w:rsidRPr="006706B5">
        <w:rPr>
          <w:rFonts w:ascii="Times New Roman" w:hAnsi="Times New Roman" w:cs="Times New Roman"/>
          <w:sz w:val="24"/>
          <w:szCs w:val="24"/>
        </w:rPr>
        <w:t xml:space="preserve">designed to support Early Career Teachers (ECTs) </w:t>
      </w:r>
      <w:r w:rsidR="009023CD" w:rsidRPr="006706B5">
        <w:rPr>
          <w:rFonts w:ascii="Times New Roman" w:hAnsi="Times New Roman" w:cs="Times New Roman"/>
          <w:sz w:val="24"/>
          <w:szCs w:val="24"/>
        </w:rPr>
        <w:t xml:space="preserve">was </w:t>
      </w:r>
      <w:r w:rsidRPr="006706B5">
        <w:rPr>
          <w:rFonts w:ascii="Times New Roman" w:hAnsi="Times New Roman" w:cs="Times New Roman"/>
          <w:sz w:val="24"/>
          <w:szCs w:val="24"/>
        </w:rPr>
        <w:t>mentorship, which aim</w:t>
      </w:r>
      <w:r w:rsidR="009023CD" w:rsidRPr="006706B5">
        <w:rPr>
          <w:rFonts w:ascii="Times New Roman" w:hAnsi="Times New Roman" w:cs="Times New Roman"/>
          <w:sz w:val="24"/>
          <w:szCs w:val="24"/>
        </w:rPr>
        <w:t>ed</w:t>
      </w:r>
      <w:r w:rsidRPr="006706B5">
        <w:rPr>
          <w:rFonts w:ascii="Times New Roman" w:hAnsi="Times New Roman" w:cs="Times New Roman"/>
          <w:sz w:val="24"/>
          <w:szCs w:val="24"/>
        </w:rPr>
        <w:t xml:space="preserve"> to offer professional and developmental support to ECTs (DfE, 2019b; this policy context is </w:t>
      </w:r>
      <w:r w:rsidR="00F149BD" w:rsidRPr="006706B5">
        <w:rPr>
          <w:rFonts w:ascii="Times New Roman" w:hAnsi="Times New Roman" w:cs="Times New Roman"/>
          <w:sz w:val="24"/>
          <w:szCs w:val="24"/>
        </w:rPr>
        <w:t>discussed in greater detail</w:t>
      </w:r>
      <w:r w:rsidRPr="006706B5">
        <w:rPr>
          <w:rFonts w:ascii="Times New Roman" w:hAnsi="Times New Roman" w:cs="Times New Roman"/>
          <w:sz w:val="24"/>
          <w:szCs w:val="24"/>
        </w:rPr>
        <w:t xml:space="preserve"> </w:t>
      </w:r>
      <w:r w:rsidR="00F149BD" w:rsidRPr="006706B5">
        <w:rPr>
          <w:rFonts w:ascii="Times New Roman" w:hAnsi="Times New Roman" w:cs="Times New Roman"/>
          <w:sz w:val="24"/>
          <w:szCs w:val="24"/>
        </w:rPr>
        <w:t>later</w:t>
      </w:r>
      <w:r w:rsidRPr="006706B5">
        <w:rPr>
          <w:rFonts w:ascii="Times New Roman" w:hAnsi="Times New Roman" w:cs="Times New Roman"/>
          <w:sz w:val="24"/>
          <w:szCs w:val="24"/>
        </w:rPr>
        <w:t xml:space="preserve"> in this article). </w:t>
      </w:r>
      <w:r w:rsidR="00834E5F" w:rsidRPr="006706B5">
        <w:rPr>
          <w:rFonts w:ascii="Times New Roman" w:hAnsi="Times New Roman" w:cs="Times New Roman"/>
          <w:sz w:val="24"/>
          <w:szCs w:val="24"/>
        </w:rPr>
        <w:t>Perhaps because</w:t>
      </w:r>
      <w:r w:rsidRPr="006706B5">
        <w:rPr>
          <w:rFonts w:ascii="Times New Roman" w:hAnsi="Times New Roman" w:cs="Times New Roman"/>
          <w:sz w:val="24"/>
          <w:szCs w:val="24"/>
        </w:rPr>
        <w:t xml:space="preserve"> this is a relatively new </w:t>
      </w:r>
      <w:r w:rsidR="00906CAB" w:rsidRPr="006706B5">
        <w:rPr>
          <w:rFonts w:ascii="Times New Roman" w:hAnsi="Times New Roman" w:cs="Times New Roman"/>
          <w:sz w:val="24"/>
          <w:szCs w:val="24"/>
        </w:rPr>
        <w:t xml:space="preserve">and intensely dynamic </w:t>
      </w:r>
      <w:r w:rsidR="006435AF" w:rsidRPr="006706B5">
        <w:rPr>
          <w:rFonts w:ascii="Times New Roman" w:hAnsi="Times New Roman" w:cs="Times New Roman"/>
          <w:sz w:val="24"/>
          <w:szCs w:val="24"/>
        </w:rPr>
        <w:t>policy</w:t>
      </w:r>
      <w:r w:rsidRPr="006706B5">
        <w:rPr>
          <w:rFonts w:ascii="Times New Roman" w:hAnsi="Times New Roman" w:cs="Times New Roman"/>
          <w:sz w:val="24"/>
          <w:szCs w:val="24"/>
        </w:rPr>
        <w:t xml:space="preserve">, </w:t>
      </w:r>
      <w:r w:rsidR="00DA472D" w:rsidRPr="006706B5">
        <w:rPr>
          <w:rFonts w:ascii="Times New Roman" w:hAnsi="Times New Roman" w:cs="Times New Roman"/>
          <w:sz w:val="24"/>
          <w:szCs w:val="24"/>
        </w:rPr>
        <w:t xml:space="preserve">only very </w:t>
      </w:r>
      <w:r w:rsidRPr="006706B5">
        <w:rPr>
          <w:rFonts w:ascii="Times New Roman" w:hAnsi="Times New Roman" w:cs="Times New Roman"/>
          <w:sz w:val="24"/>
          <w:szCs w:val="24"/>
        </w:rPr>
        <w:t xml:space="preserve">few peer-reviewed publications have empirically examined </w:t>
      </w:r>
      <w:r w:rsidR="00906CAB" w:rsidRPr="006706B5">
        <w:rPr>
          <w:rFonts w:ascii="Times New Roman" w:hAnsi="Times New Roman" w:cs="Times New Roman"/>
          <w:sz w:val="24"/>
          <w:szCs w:val="24"/>
        </w:rPr>
        <w:t xml:space="preserve">its </w:t>
      </w:r>
      <w:r w:rsidRPr="006706B5">
        <w:rPr>
          <w:rFonts w:ascii="Times New Roman" w:hAnsi="Times New Roman" w:cs="Times New Roman"/>
          <w:sz w:val="24"/>
          <w:szCs w:val="24"/>
        </w:rPr>
        <w:t>perceived effectiveness</w:t>
      </w:r>
      <w:r w:rsidR="003138E0" w:rsidRPr="006706B5">
        <w:rPr>
          <w:rFonts w:ascii="Times New Roman" w:hAnsi="Times New Roman" w:cs="Times New Roman"/>
          <w:sz w:val="24"/>
          <w:szCs w:val="24"/>
        </w:rPr>
        <w:t>,</w:t>
      </w:r>
      <w:r w:rsidR="00834E5F" w:rsidRPr="006706B5">
        <w:rPr>
          <w:rFonts w:ascii="Times New Roman" w:hAnsi="Times New Roman" w:cs="Times New Roman"/>
          <w:sz w:val="24"/>
          <w:szCs w:val="24"/>
        </w:rPr>
        <w:t xml:space="preserve"> </w:t>
      </w:r>
      <w:r w:rsidR="00C5787B" w:rsidRPr="006706B5">
        <w:rPr>
          <w:rFonts w:ascii="Times New Roman" w:hAnsi="Times New Roman" w:cs="Times New Roman"/>
          <w:sz w:val="24"/>
          <w:szCs w:val="24"/>
        </w:rPr>
        <w:t>in general</w:t>
      </w:r>
      <w:r w:rsidR="003138E0" w:rsidRPr="006706B5">
        <w:rPr>
          <w:rFonts w:ascii="Times New Roman" w:hAnsi="Times New Roman" w:cs="Times New Roman"/>
          <w:sz w:val="24"/>
          <w:szCs w:val="24"/>
        </w:rPr>
        <w:t>,</w:t>
      </w:r>
      <w:r w:rsidR="00C5787B" w:rsidRPr="006706B5">
        <w:rPr>
          <w:rFonts w:ascii="Times New Roman" w:hAnsi="Times New Roman" w:cs="Times New Roman"/>
          <w:sz w:val="24"/>
          <w:szCs w:val="24"/>
        </w:rPr>
        <w:t xml:space="preserve"> and</w:t>
      </w:r>
      <w:r w:rsidR="00B010C2" w:rsidRPr="006706B5">
        <w:rPr>
          <w:rFonts w:ascii="Times New Roman" w:hAnsi="Times New Roman" w:cs="Times New Roman"/>
          <w:sz w:val="24"/>
          <w:szCs w:val="24"/>
        </w:rPr>
        <w:t xml:space="preserve"> mentorship programmes</w:t>
      </w:r>
      <w:r w:rsidR="00871E3D" w:rsidRPr="006706B5">
        <w:rPr>
          <w:rFonts w:ascii="Times New Roman" w:hAnsi="Times New Roman" w:cs="Times New Roman"/>
          <w:sz w:val="24"/>
          <w:szCs w:val="24"/>
        </w:rPr>
        <w:t xml:space="preserve"> as stipulated in the ECF</w:t>
      </w:r>
      <w:r w:rsidR="003138E0" w:rsidRPr="006706B5">
        <w:rPr>
          <w:rFonts w:ascii="Times New Roman" w:hAnsi="Times New Roman" w:cs="Times New Roman"/>
          <w:sz w:val="24"/>
          <w:szCs w:val="24"/>
        </w:rPr>
        <w:t>,</w:t>
      </w:r>
      <w:r w:rsidR="00C5787B" w:rsidRPr="006706B5">
        <w:rPr>
          <w:rFonts w:ascii="Times New Roman" w:hAnsi="Times New Roman" w:cs="Times New Roman"/>
          <w:sz w:val="24"/>
          <w:szCs w:val="24"/>
        </w:rPr>
        <w:t xml:space="preserve"> in particular.</w:t>
      </w:r>
      <w:r w:rsidR="0054017C" w:rsidRPr="006706B5">
        <w:rPr>
          <w:rFonts w:ascii="Times New Roman" w:hAnsi="Times New Roman" w:cs="Times New Roman"/>
          <w:sz w:val="24"/>
          <w:szCs w:val="24"/>
        </w:rPr>
        <w:t xml:space="preserve"> </w:t>
      </w:r>
      <w:r w:rsidR="00EA1178" w:rsidRPr="006706B5">
        <w:rPr>
          <w:rFonts w:ascii="Times New Roman" w:hAnsi="Times New Roman" w:cs="Times New Roman"/>
          <w:sz w:val="24"/>
          <w:szCs w:val="24"/>
        </w:rPr>
        <w:t>Addressing this</w:t>
      </w:r>
      <w:r w:rsidR="0054017C" w:rsidRPr="006706B5">
        <w:rPr>
          <w:rFonts w:ascii="Times New Roman" w:hAnsi="Times New Roman" w:cs="Times New Roman"/>
          <w:sz w:val="24"/>
          <w:szCs w:val="24"/>
        </w:rPr>
        <w:t xml:space="preserve"> knowledge gap</w:t>
      </w:r>
      <w:r w:rsidR="00EA1178" w:rsidRPr="006706B5">
        <w:rPr>
          <w:rFonts w:ascii="Times New Roman" w:hAnsi="Times New Roman" w:cs="Times New Roman"/>
          <w:sz w:val="24"/>
          <w:szCs w:val="24"/>
        </w:rPr>
        <w:t xml:space="preserve">, in this article, we </w:t>
      </w:r>
      <w:r w:rsidR="006A6424" w:rsidRPr="006706B5">
        <w:rPr>
          <w:rFonts w:ascii="Times New Roman" w:hAnsi="Times New Roman" w:cs="Times New Roman"/>
          <w:sz w:val="24"/>
          <w:szCs w:val="24"/>
        </w:rPr>
        <w:t xml:space="preserve">examine </w:t>
      </w:r>
      <w:r w:rsidR="004F0F03" w:rsidRPr="006706B5">
        <w:rPr>
          <w:rFonts w:ascii="Times New Roman" w:hAnsi="Times New Roman" w:cs="Times New Roman"/>
          <w:sz w:val="24"/>
          <w:szCs w:val="24"/>
        </w:rPr>
        <w:t xml:space="preserve">the enactment of the </w:t>
      </w:r>
      <w:r w:rsidR="006A6424" w:rsidRPr="006706B5">
        <w:rPr>
          <w:rFonts w:ascii="Times New Roman" w:hAnsi="Times New Roman" w:cs="Times New Roman"/>
          <w:sz w:val="24"/>
          <w:szCs w:val="24"/>
        </w:rPr>
        <w:t xml:space="preserve">mentorship programmes, a component of the </w:t>
      </w:r>
      <w:r w:rsidR="004F0F03" w:rsidRPr="006706B5">
        <w:rPr>
          <w:rFonts w:ascii="Times New Roman" w:hAnsi="Times New Roman" w:cs="Times New Roman"/>
          <w:sz w:val="24"/>
          <w:szCs w:val="24"/>
        </w:rPr>
        <w:t>2019 ECF</w:t>
      </w:r>
      <w:r w:rsidR="006A6424" w:rsidRPr="006706B5">
        <w:rPr>
          <w:rFonts w:ascii="Times New Roman" w:hAnsi="Times New Roman" w:cs="Times New Roman"/>
          <w:sz w:val="24"/>
          <w:szCs w:val="24"/>
        </w:rPr>
        <w:t>,</w:t>
      </w:r>
      <w:r w:rsidR="007A2281" w:rsidRPr="006706B5">
        <w:rPr>
          <w:rFonts w:ascii="Times New Roman" w:hAnsi="Times New Roman" w:cs="Times New Roman"/>
          <w:sz w:val="24"/>
          <w:szCs w:val="24"/>
        </w:rPr>
        <w:t xml:space="preserve"> </w:t>
      </w:r>
      <w:r w:rsidR="00C00B3A" w:rsidRPr="006706B5">
        <w:rPr>
          <w:rFonts w:ascii="Times New Roman" w:hAnsi="Times New Roman" w:cs="Times New Roman"/>
          <w:sz w:val="24"/>
          <w:szCs w:val="24"/>
        </w:rPr>
        <w:t xml:space="preserve">adopted across </w:t>
      </w:r>
      <w:r w:rsidR="004F0F03" w:rsidRPr="006706B5">
        <w:rPr>
          <w:rFonts w:ascii="Times New Roman" w:hAnsi="Times New Roman" w:cs="Times New Roman"/>
          <w:sz w:val="24"/>
          <w:szCs w:val="24"/>
        </w:rPr>
        <w:t>four schools operating under different governance models</w:t>
      </w:r>
      <w:r w:rsidR="001F44B9" w:rsidRPr="006706B5">
        <w:rPr>
          <w:rStyle w:val="FootnoteReference"/>
          <w:rFonts w:ascii="Times New Roman" w:hAnsi="Times New Roman" w:cs="Times New Roman"/>
          <w:sz w:val="24"/>
          <w:szCs w:val="24"/>
        </w:rPr>
        <w:footnoteReference w:id="1"/>
      </w:r>
      <w:r w:rsidR="004F0F03" w:rsidRPr="006706B5">
        <w:rPr>
          <w:rFonts w:ascii="Times New Roman" w:hAnsi="Times New Roman" w:cs="Times New Roman"/>
          <w:sz w:val="24"/>
          <w:szCs w:val="24"/>
        </w:rPr>
        <w:t>—Faith-based, Independent, Local Authority</w:t>
      </w:r>
      <w:r w:rsidR="001F44B9" w:rsidRPr="006706B5">
        <w:rPr>
          <w:rFonts w:ascii="Times New Roman" w:hAnsi="Times New Roman" w:cs="Times New Roman"/>
          <w:sz w:val="24"/>
          <w:szCs w:val="24"/>
        </w:rPr>
        <w:t xml:space="preserve"> (LA)</w:t>
      </w:r>
      <w:r w:rsidR="004F0F03" w:rsidRPr="006706B5">
        <w:rPr>
          <w:rFonts w:ascii="Times New Roman" w:hAnsi="Times New Roman" w:cs="Times New Roman"/>
          <w:sz w:val="24"/>
          <w:szCs w:val="24"/>
        </w:rPr>
        <w:t>, and Multi-Academy Trust</w:t>
      </w:r>
      <w:r w:rsidR="001F44B9" w:rsidRPr="006706B5">
        <w:rPr>
          <w:rFonts w:ascii="Times New Roman" w:hAnsi="Times New Roman" w:cs="Times New Roman"/>
          <w:sz w:val="24"/>
          <w:szCs w:val="24"/>
        </w:rPr>
        <w:t xml:space="preserve"> (MAT)</w:t>
      </w:r>
      <w:r w:rsidR="004F0F03" w:rsidRPr="006706B5">
        <w:rPr>
          <w:rFonts w:ascii="Times New Roman" w:hAnsi="Times New Roman" w:cs="Times New Roman"/>
          <w:sz w:val="24"/>
          <w:szCs w:val="24"/>
        </w:rPr>
        <w:t xml:space="preserve">—located in the South of England. It draws on empirical data comprising 36 semi-structured interviews and three focus groups involving ECT programme coordinators, mentors, and ECTs. </w:t>
      </w:r>
    </w:p>
    <w:p w14:paraId="59FC08BA" w14:textId="133B49BA" w:rsidR="005E3CF3" w:rsidRPr="006706B5" w:rsidRDefault="00335AAE" w:rsidP="00335AAE">
      <w:pPr>
        <w:spacing w:line="480" w:lineRule="auto"/>
        <w:ind w:firstLine="360"/>
        <w:rPr>
          <w:rFonts w:ascii="Times New Roman" w:hAnsi="Times New Roman" w:cs="Times New Roman"/>
          <w:sz w:val="24"/>
          <w:szCs w:val="24"/>
        </w:rPr>
      </w:pPr>
      <w:r w:rsidRPr="006706B5">
        <w:rPr>
          <w:rFonts w:ascii="Times New Roman" w:hAnsi="Times New Roman" w:cs="Times New Roman"/>
          <w:sz w:val="24"/>
          <w:szCs w:val="24"/>
        </w:rPr>
        <w:t xml:space="preserve">This article is </w:t>
      </w:r>
      <w:r w:rsidR="00CE176F" w:rsidRPr="006706B5">
        <w:rPr>
          <w:rFonts w:ascii="Times New Roman" w:hAnsi="Times New Roman" w:cs="Times New Roman"/>
          <w:sz w:val="24"/>
          <w:szCs w:val="24"/>
        </w:rPr>
        <w:t>of national and international significance</w:t>
      </w:r>
      <w:r w:rsidRPr="006706B5">
        <w:rPr>
          <w:rFonts w:ascii="Times New Roman" w:hAnsi="Times New Roman" w:cs="Times New Roman"/>
          <w:sz w:val="24"/>
          <w:szCs w:val="24"/>
        </w:rPr>
        <w:t xml:space="preserve"> both conceptually and empirically</w:t>
      </w:r>
      <w:r w:rsidR="00CE176F" w:rsidRPr="006706B5">
        <w:rPr>
          <w:rFonts w:ascii="Times New Roman" w:hAnsi="Times New Roman" w:cs="Times New Roman"/>
          <w:sz w:val="24"/>
          <w:szCs w:val="24"/>
        </w:rPr>
        <w:t>.</w:t>
      </w:r>
      <w:r w:rsidRPr="006706B5">
        <w:rPr>
          <w:rFonts w:ascii="Times New Roman" w:hAnsi="Times New Roman" w:cs="Times New Roman"/>
          <w:sz w:val="24"/>
          <w:szCs w:val="24"/>
        </w:rPr>
        <w:t xml:space="preserve"> C</w:t>
      </w:r>
      <w:r w:rsidR="005E3CF3" w:rsidRPr="006706B5">
        <w:rPr>
          <w:rFonts w:ascii="Times New Roman" w:hAnsi="Times New Roman" w:cs="Times New Roman"/>
          <w:sz w:val="24"/>
          <w:szCs w:val="24"/>
        </w:rPr>
        <w:t xml:space="preserve">onceptually, </w:t>
      </w:r>
      <w:r w:rsidR="00782993" w:rsidRPr="006706B5">
        <w:rPr>
          <w:rFonts w:ascii="Times New Roman" w:hAnsi="Times New Roman" w:cs="Times New Roman"/>
          <w:sz w:val="24"/>
          <w:szCs w:val="24"/>
        </w:rPr>
        <w:t xml:space="preserve">by bolstering the argument of re-centring the school context in </w:t>
      </w:r>
      <w:r w:rsidR="00782993" w:rsidRPr="006706B5">
        <w:rPr>
          <w:rFonts w:ascii="Times New Roman" w:hAnsi="Times New Roman" w:cs="Times New Roman"/>
          <w:sz w:val="24"/>
          <w:szCs w:val="24"/>
        </w:rPr>
        <w:lastRenderedPageBreak/>
        <w:t xml:space="preserve">understanding and explicating policy enactments, it </w:t>
      </w:r>
      <w:r w:rsidR="005E3CF3" w:rsidRPr="006706B5">
        <w:rPr>
          <w:rFonts w:ascii="Times New Roman" w:hAnsi="Times New Roman" w:cs="Times New Roman"/>
          <w:sz w:val="24"/>
          <w:szCs w:val="24"/>
        </w:rPr>
        <w:t>reinforces the existing scholarship</w:t>
      </w:r>
      <w:r w:rsidR="00782993" w:rsidRPr="006706B5">
        <w:rPr>
          <w:rFonts w:ascii="Times New Roman" w:hAnsi="Times New Roman" w:cs="Times New Roman"/>
          <w:sz w:val="24"/>
          <w:szCs w:val="24"/>
        </w:rPr>
        <w:t xml:space="preserve"> on this theme</w:t>
      </w:r>
      <w:r w:rsidR="005E3CF3" w:rsidRPr="006706B5">
        <w:rPr>
          <w:rFonts w:ascii="Times New Roman" w:hAnsi="Times New Roman" w:cs="Times New Roman"/>
          <w:sz w:val="24"/>
          <w:szCs w:val="24"/>
        </w:rPr>
        <w:t xml:space="preserve"> </w:t>
      </w:r>
      <w:r w:rsidR="00782993" w:rsidRPr="006706B5">
        <w:rPr>
          <w:rFonts w:ascii="Times New Roman" w:hAnsi="Times New Roman" w:cs="Times New Roman"/>
          <w:sz w:val="24"/>
          <w:szCs w:val="24"/>
        </w:rPr>
        <w:t xml:space="preserve">in policy sociology </w:t>
      </w:r>
      <w:r w:rsidR="005E3CF3" w:rsidRPr="006706B5">
        <w:rPr>
          <w:rFonts w:ascii="Times New Roman" w:hAnsi="Times New Roman" w:cs="Times New Roman"/>
          <w:sz w:val="24"/>
          <w:szCs w:val="24"/>
        </w:rPr>
        <w:t xml:space="preserve">(see Bradbury et al., 2022; Braun et al., 2011 for discussion). By foregrounding the practitioners’ experiences of mentorship programmes and thematically analysing their perspectives, it highlights how contextual dimensions of </w:t>
      </w:r>
      <w:r w:rsidR="00B238B2" w:rsidRPr="006706B5">
        <w:rPr>
          <w:rFonts w:ascii="Times New Roman" w:hAnsi="Times New Roman" w:cs="Times New Roman"/>
          <w:sz w:val="24"/>
          <w:szCs w:val="24"/>
        </w:rPr>
        <w:t>a school</w:t>
      </w:r>
      <w:r w:rsidR="005E3CF3" w:rsidRPr="006706B5">
        <w:rPr>
          <w:rFonts w:ascii="Times New Roman" w:hAnsi="Times New Roman" w:cs="Times New Roman"/>
          <w:sz w:val="24"/>
          <w:szCs w:val="24"/>
        </w:rPr>
        <w:t>—situated, material, professional, and external (</w:t>
      </w:r>
      <w:r w:rsidR="00A34BCF" w:rsidRPr="006706B5">
        <w:rPr>
          <w:rFonts w:ascii="Times New Roman" w:hAnsi="Times New Roman" w:cs="Times New Roman"/>
          <w:sz w:val="24"/>
          <w:szCs w:val="24"/>
        </w:rPr>
        <w:t xml:space="preserve">see </w:t>
      </w:r>
      <w:r w:rsidR="005E3CF3" w:rsidRPr="006706B5">
        <w:rPr>
          <w:rFonts w:ascii="Times New Roman" w:hAnsi="Times New Roman" w:cs="Times New Roman"/>
          <w:sz w:val="24"/>
          <w:szCs w:val="24"/>
        </w:rPr>
        <w:t>Braun et al., 2011</w:t>
      </w:r>
      <w:r w:rsidR="00A34BCF" w:rsidRPr="006706B5">
        <w:rPr>
          <w:rFonts w:ascii="Times New Roman" w:hAnsi="Times New Roman" w:cs="Times New Roman"/>
          <w:sz w:val="24"/>
          <w:szCs w:val="24"/>
        </w:rPr>
        <w:t xml:space="preserve"> for empirically supported detailed discussion on each of these</w:t>
      </w:r>
      <w:r w:rsidR="005E3CF3" w:rsidRPr="006706B5">
        <w:rPr>
          <w:rFonts w:ascii="Times New Roman" w:hAnsi="Times New Roman" w:cs="Times New Roman"/>
          <w:sz w:val="24"/>
          <w:szCs w:val="24"/>
        </w:rPr>
        <w:t xml:space="preserve">)—impact </w:t>
      </w:r>
      <w:r w:rsidR="00B238B2" w:rsidRPr="006706B5">
        <w:rPr>
          <w:rFonts w:ascii="Times New Roman" w:hAnsi="Times New Roman" w:cs="Times New Roman"/>
          <w:sz w:val="24"/>
          <w:szCs w:val="24"/>
        </w:rPr>
        <w:t xml:space="preserve">on </w:t>
      </w:r>
      <w:r w:rsidR="005E3CF3" w:rsidRPr="006706B5">
        <w:rPr>
          <w:rFonts w:ascii="Times New Roman" w:hAnsi="Times New Roman" w:cs="Times New Roman"/>
          <w:sz w:val="24"/>
          <w:szCs w:val="24"/>
        </w:rPr>
        <w:t xml:space="preserve">the experiences of social actors </w:t>
      </w:r>
      <w:r w:rsidR="00244513" w:rsidRPr="006706B5">
        <w:rPr>
          <w:rFonts w:ascii="Times New Roman" w:hAnsi="Times New Roman" w:cs="Times New Roman"/>
          <w:sz w:val="24"/>
          <w:szCs w:val="24"/>
        </w:rPr>
        <w:t xml:space="preserve">involved </w:t>
      </w:r>
      <w:r w:rsidR="005E3CF3" w:rsidRPr="006706B5">
        <w:rPr>
          <w:rFonts w:ascii="Times New Roman" w:hAnsi="Times New Roman" w:cs="Times New Roman"/>
          <w:sz w:val="24"/>
          <w:szCs w:val="24"/>
        </w:rPr>
        <w:t xml:space="preserve">in </w:t>
      </w:r>
      <w:r w:rsidR="00E71EC7" w:rsidRPr="006706B5">
        <w:rPr>
          <w:rFonts w:ascii="Times New Roman" w:hAnsi="Times New Roman" w:cs="Times New Roman"/>
          <w:sz w:val="24"/>
          <w:szCs w:val="24"/>
        </w:rPr>
        <w:t>policy enactments</w:t>
      </w:r>
      <w:r w:rsidR="005E3CF3" w:rsidRPr="006706B5">
        <w:rPr>
          <w:rFonts w:ascii="Times New Roman" w:hAnsi="Times New Roman" w:cs="Times New Roman"/>
          <w:sz w:val="24"/>
          <w:szCs w:val="24"/>
        </w:rPr>
        <w:t xml:space="preserve">. Empirically, </w:t>
      </w:r>
      <w:r w:rsidR="00AF10C7" w:rsidRPr="006706B5">
        <w:rPr>
          <w:rFonts w:ascii="Times New Roman" w:hAnsi="Times New Roman" w:cs="Times New Roman"/>
          <w:sz w:val="24"/>
          <w:szCs w:val="24"/>
        </w:rPr>
        <w:t xml:space="preserve">the analysis of findings presented in this article contributes significantly, timely, meaningfully and insightfully to the ongoing discussions about the implementation of ECF, a rather volatile and contested policy. Furthermore, </w:t>
      </w:r>
      <w:r w:rsidR="005E3CF3" w:rsidRPr="006706B5">
        <w:rPr>
          <w:rFonts w:ascii="Times New Roman" w:hAnsi="Times New Roman" w:cs="Times New Roman"/>
          <w:sz w:val="24"/>
          <w:szCs w:val="24"/>
        </w:rPr>
        <w:t>the article uses school governance as a central axis of analysis, which, despite being a key aspect of school differentiation in England, appears to be frequently neglected in the literature. It offers a comparative analysis</w:t>
      </w:r>
      <w:r w:rsidR="00326088" w:rsidRPr="006706B5">
        <w:rPr>
          <w:rFonts w:ascii="Times New Roman" w:hAnsi="Times New Roman" w:cs="Times New Roman"/>
          <w:sz w:val="24"/>
          <w:szCs w:val="24"/>
        </w:rPr>
        <w:t xml:space="preserve">, </w:t>
      </w:r>
      <w:r w:rsidR="005E3CF3" w:rsidRPr="006706B5">
        <w:rPr>
          <w:rFonts w:ascii="Times New Roman" w:hAnsi="Times New Roman" w:cs="Times New Roman"/>
          <w:sz w:val="24"/>
          <w:szCs w:val="24"/>
        </w:rPr>
        <w:t>by drawing on relative similarities and differences</w:t>
      </w:r>
      <w:r w:rsidR="00326088" w:rsidRPr="006706B5">
        <w:rPr>
          <w:rFonts w:ascii="Times New Roman" w:hAnsi="Times New Roman" w:cs="Times New Roman"/>
          <w:sz w:val="24"/>
          <w:szCs w:val="24"/>
        </w:rPr>
        <w:t xml:space="preserve">, </w:t>
      </w:r>
      <w:r w:rsidR="005E3CF3" w:rsidRPr="006706B5">
        <w:rPr>
          <w:rFonts w:ascii="Times New Roman" w:hAnsi="Times New Roman" w:cs="Times New Roman"/>
          <w:sz w:val="24"/>
          <w:szCs w:val="24"/>
        </w:rPr>
        <w:t>to offer an enriched understanding of the role school governance model</w:t>
      </w:r>
      <w:r w:rsidR="003138E0" w:rsidRPr="006706B5">
        <w:rPr>
          <w:rFonts w:ascii="Times New Roman" w:hAnsi="Times New Roman" w:cs="Times New Roman"/>
          <w:sz w:val="24"/>
          <w:szCs w:val="24"/>
        </w:rPr>
        <w:t>s</w:t>
      </w:r>
      <w:r w:rsidR="005E3CF3" w:rsidRPr="006706B5">
        <w:rPr>
          <w:rFonts w:ascii="Times New Roman" w:hAnsi="Times New Roman" w:cs="Times New Roman"/>
          <w:sz w:val="24"/>
          <w:szCs w:val="24"/>
        </w:rPr>
        <w:t xml:space="preserve"> play in policy enactment practices.</w:t>
      </w:r>
      <w:r w:rsidR="00A371F8" w:rsidRPr="006706B5">
        <w:rPr>
          <w:rFonts w:ascii="Times New Roman" w:hAnsi="Times New Roman" w:cs="Times New Roman"/>
          <w:sz w:val="24"/>
          <w:szCs w:val="24"/>
        </w:rPr>
        <w:t xml:space="preserve"> </w:t>
      </w:r>
      <w:r w:rsidR="00B276CA" w:rsidRPr="006706B5">
        <w:rPr>
          <w:rFonts w:ascii="Times New Roman" w:hAnsi="Times New Roman" w:cs="Times New Roman"/>
          <w:sz w:val="24"/>
          <w:szCs w:val="24"/>
        </w:rPr>
        <w:t xml:space="preserve">Such </w:t>
      </w:r>
      <w:r w:rsidR="00FB40C3" w:rsidRPr="006706B5">
        <w:rPr>
          <w:rFonts w:ascii="Times New Roman" w:hAnsi="Times New Roman" w:cs="Times New Roman"/>
          <w:sz w:val="24"/>
          <w:szCs w:val="24"/>
        </w:rPr>
        <w:t xml:space="preserve">an </w:t>
      </w:r>
      <w:r w:rsidR="00B276CA" w:rsidRPr="006706B5">
        <w:rPr>
          <w:rFonts w:ascii="Times New Roman" w:hAnsi="Times New Roman" w:cs="Times New Roman"/>
          <w:sz w:val="24"/>
          <w:szCs w:val="24"/>
        </w:rPr>
        <w:t xml:space="preserve">analysis </w:t>
      </w:r>
      <w:r w:rsidR="003138E0" w:rsidRPr="006706B5">
        <w:rPr>
          <w:rFonts w:ascii="Times New Roman" w:hAnsi="Times New Roman" w:cs="Times New Roman"/>
          <w:sz w:val="24"/>
          <w:szCs w:val="24"/>
        </w:rPr>
        <w:t>is</w:t>
      </w:r>
      <w:r w:rsidR="00B276CA" w:rsidRPr="006706B5">
        <w:rPr>
          <w:rFonts w:ascii="Times New Roman" w:hAnsi="Times New Roman" w:cs="Times New Roman"/>
          <w:sz w:val="24"/>
          <w:szCs w:val="24"/>
        </w:rPr>
        <w:t xml:space="preserve"> of value to </w:t>
      </w:r>
      <w:r w:rsidR="00FB40C3" w:rsidRPr="006706B5">
        <w:rPr>
          <w:rFonts w:ascii="Times New Roman" w:hAnsi="Times New Roman" w:cs="Times New Roman"/>
          <w:sz w:val="24"/>
          <w:szCs w:val="24"/>
        </w:rPr>
        <w:t>explore</w:t>
      </w:r>
      <w:r w:rsidR="006709E8" w:rsidRPr="006706B5">
        <w:rPr>
          <w:rFonts w:ascii="Times New Roman" w:hAnsi="Times New Roman" w:cs="Times New Roman"/>
          <w:sz w:val="24"/>
          <w:szCs w:val="24"/>
        </w:rPr>
        <w:t xml:space="preserve">, understand and explain variations in </w:t>
      </w:r>
      <w:r w:rsidR="00FB40C3" w:rsidRPr="006706B5">
        <w:rPr>
          <w:rFonts w:ascii="Times New Roman" w:hAnsi="Times New Roman" w:cs="Times New Roman"/>
          <w:sz w:val="24"/>
          <w:szCs w:val="24"/>
        </w:rPr>
        <w:t>policy enactments</w:t>
      </w:r>
      <w:r w:rsidR="006709E8" w:rsidRPr="006706B5">
        <w:rPr>
          <w:rFonts w:ascii="Times New Roman" w:hAnsi="Times New Roman" w:cs="Times New Roman"/>
          <w:sz w:val="24"/>
          <w:szCs w:val="24"/>
        </w:rPr>
        <w:t xml:space="preserve"> across schools</w:t>
      </w:r>
      <w:r w:rsidR="00FB40C3" w:rsidRPr="006706B5">
        <w:rPr>
          <w:rFonts w:ascii="Times New Roman" w:hAnsi="Times New Roman" w:cs="Times New Roman"/>
          <w:sz w:val="24"/>
          <w:szCs w:val="24"/>
        </w:rPr>
        <w:t xml:space="preserve"> within</w:t>
      </w:r>
      <w:r w:rsidR="00AF10C7" w:rsidRPr="006706B5">
        <w:rPr>
          <w:rFonts w:ascii="Times New Roman" w:hAnsi="Times New Roman" w:cs="Times New Roman"/>
          <w:sz w:val="24"/>
          <w:szCs w:val="24"/>
        </w:rPr>
        <w:t xml:space="preserve">, and </w:t>
      </w:r>
      <w:r w:rsidR="00FB40C3" w:rsidRPr="006706B5">
        <w:rPr>
          <w:rFonts w:ascii="Times New Roman" w:hAnsi="Times New Roman" w:cs="Times New Roman"/>
          <w:sz w:val="24"/>
          <w:szCs w:val="24"/>
        </w:rPr>
        <w:t>beyond</w:t>
      </w:r>
      <w:r w:rsidR="00AF10C7" w:rsidRPr="006706B5">
        <w:rPr>
          <w:rFonts w:ascii="Times New Roman" w:hAnsi="Times New Roman" w:cs="Times New Roman"/>
          <w:sz w:val="24"/>
          <w:szCs w:val="24"/>
        </w:rPr>
        <w:t xml:space="preserve"> in countries with similar structural dispositions as,</w:t>
      </w:r>
      <w:r w:rsidR="00FB40C3" w:rsidRPr="006706B5">
        <w:rPr>
          <w:rFonts w:ascii="Times New Roman" w:hAnsi="Times New Roman" w:cs="Times New Roman"/>
          <w:sz w:val="24"/>
          <w:szCs w:val="24"/>
        </w:rPr>
        <w:t xml:space="preserve"> the UK. </w:t>
      </w:r>
    </w:p>
    <w:p w14:paraId="42CB59CC" w14:textId="664B85F5" w:rsidR="00C93FC3" w:rsidRPr="006706B5" w:rsidRDefault="00C93FC3" w:rsidP="00F07F5E">
      <w:pPr>
        <w:spacing w:line="480" w:lineRule="auto"/>
        <w:ind w:firstLine="360"/>
        <w:rPr>
          <w:rFonts w:ascii="Times New Roman" w:hAnsi="Times New Roman" w:cs="Times New Roman"/>
          <w:sz w:val="24"/>
          <w:szCs w:val="24"/>
        </w:rPr>
      </w:pPr>
      <w:r w:rsidRPr="006706B5">
        <w:rPr>
          <w:rFonts w:ascii="Times New Roman" w:hAnsi="Times New Roman" w:cs="Times New Roman"/>
          <w:sz w:val="24"/>
          <w:szCs w:val="24"/>
        </w:rPr>
        <w:t xml:space="preserve">This article is structured as follows: first, </w:t>
      </w:r>
      <w:r w:rsidR="00AA502F" w:rsidRPr="006706B5">
        <w:rPr>
          <w:rFonts w:ascii="Times New Roman" w:hAnsi="Times New Roman" w:cs="Times New Roman"/>
          <w:sz w:val="24"/>
          <w:szCs w:val="24"/>
        </w:rPr>
        <w:t>we</w:t>
      </w:r>
      <w:r w:rsidRPr="006706B5">
        <w:rPr>
          <w:rFonts w:ascii="Times New Roman" w:hAnsi="Times New Roman" w:cs="Times New Roman"/>
          <w:sz w:val="24"/>
          <w:szCs w:val="24"/>
        </w:rPr>
        <w:t xml:space="preserve"> outline the conceptual and policy contexts</w:t>
      </w:r>
      <w:r w:rsidR="00A64A90" w:rsidRPr="006706B5">
        <w:rPr>
          <w:rFonts w:ascii="Times New Roman" w:hAnsi="Times New Roman" w:cs="Times New Roman"/>
          <w:sz w:val="24"/>
          <w:szCs w:val="24"/>
        </w:rPr>
        <w:t xml:space="preserve"> for this </w:t>
      </w:r>
      <w:r w:rsidR="003138E0" w:rsidRPr="006706B5">
        <w:rPr>
          <w:rFonts w:ascii="Times New Roman" w:hAnsi="Times New Roman" w:cs="Times New Roman"/>
          <w:sz w:val="24"/>
          <w:szCs w:val="24"/>
        </w:rPr>
        <w:t>study</w:t>
      </w:r>
      <w:r w:rsidRPr="006706B5">
        <w:rPr>
          <w:rFonts w:ascii="Times New Roman" w:hAnsi="Times New Roman" w:cs="Times New Roman"/>
          <w:sz w:val="24"/>
          <w:szCs w:val="24"/>
        </w:rPr>
        <w:t>; next, we describe the research project upon which this article is based and the methodology</w:t>
      </w:r>
      <w:r w:rsidR="00A64A90" w:rsidRPr="006706B5">
        <w:rPr>
          <w:rFonts w:ascii="Times New Roman" w:hAnsi="Times New Roman" w:cs="Times New Roman"/>
          <w:sz w:val="24"/>
          <w:szCs w:val="24"/>
        </w:rPr>
        <w:t xml:space="preserve"> we</w:t>
      </w:r>
      <w:r w:rsidRPr="006706B5">
        <w:rPr>
          <w:rFonts w:ascii="Times New Roman" w:hAnsi="Times New Roman" w:cs="Times New Roman"/>
          <w:sz w:val="24"/>
          <w:szCs w:val="24"/>
        </w:rPr>
        <w:t xml:space="preserve"> employed</w:t>
      </w:r>
      <w:r w:rsidR="003138E0" w:rsidRPr="006706B5">
        <w:rPr>
          <w:rFonts w:ascii="Times New Roman" w:hAnsi="Times New Roman" w:cs="Times New Roman"/>
          <w:sz w:val="24"/>
          <w:szCs w:val="24"/>
        </w:rPr>
        <w:t>.</w:t>
      </w:r>
      <w:r w:rsidRPr="006706B5">
        <w:rPr>
          <w:rFonts w:ascii="Times New Roman" w:hAnsi="Times New Roman" w:cs="Times New Roman"/>
          <w:sz w:val="24"/>
          <w:szCs w:val="24"/>
        </w:rPr>
        <w:t xml:space="preserve"> </w:t>
      </w:r>
      <w:r w:rsidR="003138E0" w:rsidRPr="006706B5">
        <w:rPr>
          <w:rFonts w:ascii="Times New Roman" w:hAnsi="Times New Roman" w:cs="Times New Roman"/>
          <w:sz w:val="24"/>
          <w:szCs w:val="24"/>
        </w:rPr>
        <w:t>T</w:t>
      </w:r>
      <w:r w:rsidRPr="006706B5">
        <w:rPr>
          <w:rFonts w:ascii="Times New Roman" w:hAnsi="Times New Roman" w:cs="Times New Roman"/>
          <w:sz w:val="24"/>
          <w:szCs w:val="24"/>
        </w:rPr>
        <w:t>hereafter, we will discuss the key research findings</w:t>
      </w:r>
      <w:r w:rsidR="000C44C6" w:rsidRPr="006706B5">
        <w:rPr>
          <w:rFonts w:ascii="Times New Roman" w:hAnsi="Times New Roman" w:cs="Times New Roman"/>
          <w:sz w:val="24"/>
          <w:szCs w:val="24"/>
        </w:rPr>
        <w:t>,</w:t>
      </w:r>
      <w:r w:rsidRPr="006706B5">
        <w:rPr>
          <w:rFonts w:ascii="Times New Roman" w:hAnsi="Times New Roman" w:cs="Times New Roman"/>
          <w:sz w:val="24"/>
          <w:szCs w:val="24"/>
        </w:rPr>
        <w:t xml:space="preserve"> and finally, we will conclude the article with core </w:t>
      </w:r>
      <w:r w:rsidR="004F29CF" w:rsidRPr="006706B5">
        <w:rPr>
          <w:rFonts w:ascii="Times New Roman" w:hAnsi="Times New Roman" w:cs="Times New Roman"/>
          <w:sz w:val="24"/>
          <w:szCs w:val="24"/>
        </w:rPr>
        <w:t>findings</w:t>
      </w:r>
      <w:r w:rsidRPr="006706B5">
        <w:rPr>
          <w:rFonts w:ascii="Times New Roman" w:hAnsi="Times New Roman" w:cs="Times New Roman"/>
          <w:sz w:val="24"/>
          <w:szCs w:val="24"/>
        </w:rPr>
        <w:t xml:space="preserve"> and present recommendations that arise from the findings discussed in this article.</w:t>
      </w:r>
    </w:p>
    <w:p w14:paraId="0E40B530" w14:textId="01B2803F"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t xml:space="preserve">Policy enactment </w:t>
      </w:r>
      <w:r w:rsidR="00E82595" w:rsidRPr="006706B5">
        <w:rPr>
          <w:rFonts w:ascii="Times New Roman" w:hAnsi="Times New Roman" w:cs="Times New Roman"/>
          <w:b/>
          <w:bCs/>
          <w:color w:val="auto"/>
          <w:sz w:val="24"/>
          <w:szCs w:val="24"/>
        </w:rPr>
        <w:t>and school context</w:t>
      </w:r>
      <w:r w:rsidRPr="006706B5">
        <w:rPr>
          <w:rFonts w:ascii="Times New Roman" w:hAnsi="Times New Roman" w:cs="Times New Roman"/>
          <w:b/>
          <w:bCs/>
          <w:color w:val="auto"/>
          <w:sz w:val="24"/>
          <w:szCs w:val="24"/>
        </w:rPr>
        <w:t>: a conceptual discourse</w:t>
      </w:r>
    </w:p>
    <w:p w14:paraId="54E6CF1A" w14:textId="5F867439" w:rsidR="009F3E76"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Situated within the realm of policy sociology, this article </w:t>
      </w:r>
      <w:r w:rsidR="00D41B83" w:rsidRPr="006706B5">
        <w:rPr>
          <w:rFonts w:ascii="Times New Roman" w:hAnsi="Times New Roman" w:cs="Times New Roman"/>
          <w:sz w:val="24"/>
          <w:szCs w:val="24"/>
        </w:rPr>
        <w:t>speaks</w:t>
      </w:r>
      <w:r w:rsidRPr="006706B5">
        <w:rPr>
          <w:rFonts w:ascii="Times New Roman" w:hAnsi="Times New Roman" w:cs="Times New Roman"/>
          <w:sz w:val="24"/>
          <w:szCs w:val="24"/>
        </w:rPr>
        <w:t xml:space="preserve"> to the ongoing discourse surrounding policy enactment. </w:t>
      </w:r>
      <w:r w:rsidR="00E94811" w:rsidRPr="006706B5">
        <w:rPr>
          <w:rFonts w:ascii="Times New Roman" w:hAnsi="Times New Roman" w:cs="Times New Roman"/>
          <w:sz w:val="24"/>
          <w:szCs w:val="24"/>
        </w:rPr>
        <w:t xml:space="preserve">Taking inspiration from other scholars in the field, in this article we use the term ‘enactment’ instead of ‘delivery’, thus challenging the traditional, </w:t>
      </w:r>
      <w:r w:rsidR="00E94811" w:rsidRPr="006706B5">
        <w:rPr>
          <w:rFonts w:ascii="Times New Roman" w:hAnsi="Times New Roman" w:cs="Times New Roman"/>
          <w:sz w:val="24"/>
          <w:szCs w:val="24"/>
        </w:rPr>
        <w:lastRenderedPageBreak/>
        <w:t xml:space="preserve">narrow focus on how policies are understood and executed (see Ball et al., 2012 for discussion). </w:t>
      </w:r>
      <w:r w:rsidR="00327355" w:rsidRPr="006706B5">
        <w:rPr>
          <w:rFonts w:ascii="Times New Roman" w:hAnsi="Times New Roman" w:cs="Times New Roman"/>
          <w:sz w:val="24"/>
          <w:szCs w:val="24"/>
        </w:rPr>
        <w:t>To elaborate</w:t>
      </w:r>
      <w:r w:rsidR="00E94811" w:rsidRPr="006706B5">
        <w:rPr>
          <w:rFonts w:ascii="Times New Roman" w:hAnsi="Times New Roman" w:cs="Times New Roman"/>
          <w:sz w:val="24"/>
          <w:szCs w:val="24"/>
        </w:rPr>
        <w:t xml:space="preserve">, although policies are typically presented as texts or sets of documents, it is crucial to recognise the distinction between written policy and its enactment—a discursive process that involves multiple interpretations and translations into practice by various actors operating within, and beyond, yet in relation to, school context (Ball et al., 2012; Gupta, 2019; Gupta &amp; Zhao, 2023). Therefore, rather than being seen solely as mandates (even though these are often defined as such), policies are better understood as tools that shape decision-making scenarios by reducing or altering choices and establishing specific objectives or outcomes (Ball, 1994). </w:t>
      </w:r>
      <w:r w:rsidRPr="006706B5">
        <w:rPr>
          <w:rFonts w:ascii="Times New Roman" w:hAnsi="Times New Roman" w:cs="Times New Roman"/>
          <w:sz w:val="24"/>
          <w:szCs w:val="24"/>
        </w:rPr>
        <w:t>This</w:t>
      </w:r>
      <w:r w:rsidR="009F3E76" w:rsidRPr="006706B5">
        <w:rPr>
          <w:rFonts w:ascii="Times New Roman" w:hAnsi="Times New Roman" w:cs="Times New Roman"/>
          <w:sz w:val="24"/>
          <w:szCs w:val="24"/>
        </w:rPr>
        <w:t xml:space="preserve"> conceptual</w:t>
      </w:r>
      <w:r w:rsidRPr="006706B5">
        <w:rPr>
          <w:rFonts w:ascii="Times New Roman" w:hAnsi="Times New Roman" w:cs="Times New Roman"/>
          <w:sz w:val="24"/>
          <w:szCs w:val="24"/>
        </w:rPr>
        <w:t xml:space="preserve"> framing emphasises that policies are not merely implemented; they are ‘interpreted</w:t>
      </w:r>
      <w:r w:rsidR="00CF788D" w:rsidRPr="006706B5">
        <w:rPr>
          <w:rFonts w:ascii="Times New Roman" w:hAnsi="Times New Roman" w:cs="Times New Roman"/>
          <w:sz w:val="24"/>
          <w:szCs w:val="24"/>
        </w:rPr>
        <w:t>’</w:t>
      </w:r>
      <w:r w:rsidRPr="006706B5">
        <w:rPr>
          <w:rFonts w:ascii="Times New Roman" w:hAnsi="Times New Roman" w:cs="Times New Roman"/>
          <w:sz w:val="24"/>
          <w:szCs w:val="24"/>
        </w:rPr>
        <w:t xml:space="preserve"> and ‘translated’ by diverse policy actors in </w:t>
      </w:r>
      <w:r w:rsidR="00301FB0" w:rsidRPr="006706B5">
        <w:rPr>
          <w:rFonts w:ascii="Times New Roman" w:hAnsi="Times New Roman" w:cs="Times New Roman"/>
          <w:sz w:val="24"/>
          <w:szCs w:val="24"/>
        </w:rPr>
        <w:t>a</w:t>
      </w:r>
      <w:r w:rsidRPr="006706B5">
        <w:rPr>
          <w:rFonts w:ascii="Times New Roman" w:hAnsi="Times New Roman" w:cs="Times New Roman"/>
          <w:sz w:val="24"/>
          <w:szCs w:val="24"/>
        </w:rPr>
        <w:t xml:space="preserve"> school environment (Braun et al., 2010, p. 547; see also Priestley et al., 2015 on teacher agency in policy enactment). </w:t>
      </w:r>
    </w:p>
    <w:p w14:paraId="683D81D5" w14:textId="4AB9A1E1" w:rsidR="00C93FC3" w:rsidRPr="006706B5" w:rsidRDefault="00C93FC3"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Context, which this article focuses on, plays a vital role in policy enactment and is a multidimensional phenomenon operating at global, national, and local levels, </w:t>
      </w:r>
      <w:r w:rsidR="004D7811" w:rsidRPr="006706B5">
        <w:rPr>
          <w:rFonts w:ascii="Times New Roman" w:hAnsi="Times New Roman" w:cs="Times New Roman"/>
          <w:sz w:val="24"/>
          <w:szCs w:val="24"/>
        </w:rPr>
        <w:t>impacting and being impacted by</w:t>
      </w:r>
      <w:r w:rsidRPr="006706B5">
        <w:rPr>
          <w:rFonts w:ascii="Times New Roman" w:hAnsi="Times New Roman" w:cs="Times New Roman"/>
          <w:sz w:val="24"/>
          <w:szCs w:val="24"/>
        </w:rPr>
        <w:t xml:space="preserve"> schools and individual teachers. For example, the seminal work of Stephen Ball and colleagues illustrates how socio-political and economic contexts influence school leaders and teachers as they navigate competing pressures from government mandates, market forces, and local community needs (see Braun et al., 2010; Ball &amp; Olmedo, 2012; Ball et al., 2012). Additionally, Perryman (2006) argues that schools facing accountability pressures may prioritise performative compliance over meaningful engagement with policy objectives. Variations in policy enactment at the school level can arise from differences in available resources and broader material conditions (Braun et al., 2010). Furthermore, the agentic positioning of social actors, such as schoolteachers, is critical </w:t>
      </w:r>
      <w:r w:rsidR="00301FB0" w:rsidRPr="006706B5">
        <w:rPr>
          <w:rFonts w:ascii="Times New Roman" w:hAnsi="Times New Roman" w:cs="Times New Roman"/>
          <w:sz w:val="24"/>
          <w:szCs w:val="24"/>
        </w:rPr>
        <w:t>to</w:t>
      </w:r>
      <w:r w:rsidRPr="006706B5">
        <w:rPr>
          <w:rFonts w:ascii="Times New Roman" w:hAnsi="Times New Roman" w:cs="Times New Roman"/>
          <w:sz w:val="24"/>
          <w:szCs w:val="24"/>
        </w:rPr>
        <w:t xml:space="preserve"> understanding the ‘policy cycle’ (Bowe et al., 1992). This perspective highlights how actors with </w:t>
      </w:r>
      <w:r w:rsidR="00301FB0" w:rsidRPr="006706B5">
        <w:rPr>
          <w:rFonts w:ascii="Times New Roman" w:hAnsi="Times New Roman" w:cs="Times New Roman"/>
          <w:sz w:val="24"/>
          <w:szCs w:val="24"/>
        </w:rPr>
        <w:t>varied</w:t>
      </w:r>
      <w:r w:rsidRPr="006706B5">
        <w:rPr>
          <w:rFonts w:ascii="Times New Roman" w:hAnsi="Times New Roman" w:cs="Times New Roman"/>
          <w:sz w:val="24"/>
          <w:szCs w:val="24"/>
        </w:rPr>
        <w:t xml:space="preserve"> </w:t>
      </w:r>
      <w:r w:rsidRPr="006706B5">
        <w:rPr>
          <w:rFonts w:ascii="Times New Roman" w:hAnsi="Times New Roman" w:cs="Times New Roman"/>
          <w:sz w:val="24"/>
          <w:szCs w:val="24"/>
        </w:rPr>
        <w:lastRenderedPageBreak/>
        <w:t xml:space="preserve">ideological dispositions may interpret and implement policies in distinct ways, even within the same school (McCarthy et al., 2025). </w:t>
      </w:r>
    </w:p>
    <w:p w14:paraId="200F8528" w14:textId="7D742DA9" w:rsidR="00C93FC3" w:rsidRPr="006706B5" w:rsidRDefault="00CE7520" w:rsidP="00CE7520">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The discussion above has been presented in Braun et al. (2011) in relation to </w:t>
      </w:r>
      <w:r w:rsidR="00C93FC3" w:rsidRPr="006706B5">
        <w:rPr>
          <w:rFonts w:ascii="Times New Roman" w:hAnsi="Times New Roman" w:cs="Times New Roman"/>
          <w:sz w:val="24"/>
          <w:szCs w:val="24"/>
        </w:rPr>
        <w:t>‘contextual dimensions’</w:t>
      </w:r>
      <w:r w:rsidRPr="006706B5">
        <w:rPr>
          <w:rFonts w:ascii="Times New Roman" w:hAnsi="Times New Roman" w:cs="Times New Roman"/>
          <w:sz w:val="24"/>
          <w:szCs w:val="24"/>
        </w:rPr>
        <w:t xml:space="preserve"> of a school, which this article draws on to analyse the research data. This </w:t>
      </w:r>
      <w:r w:rsidR="00C93FC3" w:rsidRPr="006706B5">
        <w:rPr>
          <w:rFonts w:ascii="Times New Roman" w:hAnsi="Times New Roman" w:cs="Times New Roman"/>
          <w:sz w:val="24"/>
          <w:szCs w:val="24"/>
        </w:rPr>
        <w:t>include</w:t>
      </w:r>
      <w:r w:rsidRPr="006706B5">
        <w:rPr>
          <w:rFonts w:ascii="Times New Roman" w:hAnsi="Times New Roman" w:cs="Times New Roman"/>
          <w:sz w:val="24"/>
          <w:szCs w:val="24"/>
        </w:rPr>
        <w:t>s</w:t>
      </w:r>
      <w:r w:rsidR="00C93FC3" w:rsidRPr="006706B5">
        <w:rPr>
          <w:rFonts w:ascii="Times New Roman" w:hAnsi="Times New Roman" w:cs="Times New Roman"/>
          <w:sz w:val="24"/>
          <w:szCs w:val="24"/>
        </w:rPr>
        <w:t>: 1) ‘situated’ (</w:t>
      </w:r>
      <w:r w:rsidR="00D94840" w:rsidRPr="006706B5">
        <w:rPr>
          <w:rFonts w:ascii="Times New Roman" w:hAnsi="Times New Roman" w:cs="Times New Roman"/>
          <w:sz w:val="24"/>
          <w:szCs w:val="24"/>
        </w:rPr>
        <w:t>including</w:t>
      </w:r>
      <w:r w:rsidR="00C93FC3" w:rsidRPr="006706B5">
        <w:rPr>
          <w:rFonts w:ascii="Times New Roman" w:hAnsi="Times New Roman" w:cs="Times New Roman"/>
          <w:sz w:val="24"/>
          <w:szCs w:val="24"/>
        </w:rPr>
        <w:t xml:space="preserve"> geography, school history, </w:t>
      </w:r>
      <w:r w:rsidR="00301FB0" w:rsidRPr="006706B5">
        <w:rPr>
          <w:rFonts w:ascii="Times New Roman" w:hAnsi="Times New Roman" w:cs="Times New Roman"/>
          <w:sz w:val="24"/>
          <w:szCs w:val="24"/>
        </w:rPr>
        <w:t xml:space="preserve">and </w:t>
      </w:r>
      <w:r w:rsidR="00C93FC3" w:rsidRPr="006706B5">
        <w:rPr>
          <w:rFonts w:ascii="Times New Roman" w:hAnsi="Times New Roman" w:cs="Times New Roman"/>
          <w:sz w:val="24"/>
          <w:szCs w:val="24"/>
        </w:rPr>
        <w:t>student demographics), 2) ‘professional’ (involving teachers' values, commitments, experiences, and policy management), 3) ‘material’ (covering staffing, budget, facilities, technology, and infrastructure), and 4) ‘external’ (encompassing support from local authorities and pressures from broader policy influences like legal requirements)</w:t>
      </w:r>
      <w:r w:rsidRPr="006706B5">
        <w:rPr>
          <w:rFonts w:ascii="Times New Roman" w:hAnsi="Times New Roman" w:cs="Times New Roman"/>
          <w:sz w:val="24"/>
          <w:szCs w:val="24"/>
        </w:rPr>
        <w:t xml:space="preserve"> contexts that </w:t>
      </w:r>
      <w:r w:rsidR="00C93FC3" w:rsidRPr="006706B5">
        <w:rPr>
          <w:rFonts w:ascii="Times New Roman" w:hAnsi="Times New Roman" w:cs="Times New Roman"/>
          <w:sz w:val="24"/>
          <w:szCs w:val="24"/>
        </w:rPr>
        <w:t xml:space="preserve">significantly impact </w:t>
      </w:r>
      <w:r w:rsidR="00301FB0" w:rsidRPr="006706B5">
        <w:rPr>
          <w:rFonts w:ascii="Times New Roman" w:hAnsi="Times New Roman" w:cs="Times New Roman"/>
          <w:sz w:val="24"/>
          <w:szCs w:val="24"/>
        </w:rPr>
        <w:t xml:space="preserve">policy enactment </w:t>
      </w:r>
      <w:r w:rsidR="00C93FC3" w:rsidRPr="006706B5">
        <w:rPr>
          <w:rFonts w:ascii="Times New Roman" w:hAnsi="Times New Roman" w:cs="Times New Roman"/>
          <w:sz w:val="24"/>
          <w:szCs w:val="24"/>
        </w:rPr>
        <w:t xml:space="preserve">practices and processes (Braun et al., 2011, p.588). The interplay among these dimensions offers valuable insights into how policies are enacted across different school types (as exemplified in Maguire et al., 2019). Importantly, the way policies are practised may not always align with their prescribed formats. Variation in contextual dimensions is key to understanding the nature, extent, and scope of these misalignments, which the analysis presented in this article </w:t>
      </w:r>
      <w:r w:rsidR="00B464FB" w:rsidRPr="006706B5">
        <w:rPr>
          <w:rFonts w:ascii="Times New Roman" w:hAnsi="Times New Roman" w:cs="Times New Roman"/>
          <w:sz w:val="24"/>
          <w:szCs w:val="24"/>
        </w:rPr>
        <w:t xml:space="preserve">aims to </w:t>
      </w:r>
      <w:r w:rsidR="00C93FC3" w:rsidRPr="006706B5">
        <w:rPr>
          <w:rFonts w:ascii="Times New Roman" w:hAnsi="Times New Roman" w:cs="Times New Roman"/>
          <w:sz w:val="24"/>
          <w:szCs w:val="24"/>
        </w:rPr>
        <w:t xml:space="preserve">demonstrate. </w:t>
      </w:r>
      <w:r w:rsidRPr="006706B5">
        <w:rPr>
          <w:rFonts w:ascii="Times New Roman" w:hAnsi="Times New Roman" w:cs="Times New Roman"/>
          <w:sz w:val="24"/>
          <w:szCs w:val="24"/>
        </w:rPr>
        <w:t>The following section will outline factors associated with ECF policy's origins and the political motivations behind launching this policy,</w:t>
      </w:r>
      <w:r w:rsidR="005B65A6" w:rsidRPr="006706B5">
        <w:rPr>
          <w:rFonts w:ascii="Times New Roman" w:hAnsi="Times New Roman" w:cs="Times New Roman"/>
          <w:sz w:val="24"/>
          <w:szCs w:val="24"/>
        </w:rPr>
        <w:t xml:space="preserve"> focusing particularly on mentorship for ECTs in England,</w:t>
      </w:r>
      <w:r w:rsidRPr="006706B5">
        <w:rPr>
          <w:rFonts w:ascii="Times New Roman" w:hAnsi="Times New Roman" w:cs="Times New Roman"/>
          <w:sz w:val="24"/>
          <w:szCs w:val="24"/>
        </w:rPr>
        <w:t xml:space="preserve"> to establish the policy-specific context for the study this article draws upon</w:t>
      </w:r>
      <w:r w:rsidR="00C93FC3" w:rsidRPr="006706B5">
        <w:rPr>
          <w:rFonts w:ascii="Times New Roman" w:hAnsi="Times New Roman" w:cs="Times New Roman"/>
          <w:sz w:val="24"/>
          <w:szCs w:val="24"/>
        </w:rPr>
        <w:t>.</w:t>
      </w:r>
    </w:p>
    <w:p w14:paraId="0E7401A9" w14:textId="24320614"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t xml:space="preserve">Policy context of mentorship for </w:t>
      </w:r>
      <w:r w:rsidR="00F81955" w:rsidRPr="006706B5">
        <w:rPr>
          <w:rFonts w:ascii="Times New Roman" w:hAnsi="Times New Roman" w:cs="Times New Roman"/>
          <w:b/>
          <w:bCs/>
          <w:color w:val="auto"/>
          <w:sz w:val="24"/>
          <w:szCs w:val="24"/>
        </w:rPr>
        <w:t xml:space="preserve">Early Career Teachers </w:t>
      </w:r>
      <w:r w:rsidRPr="006706B5">
        <w:rPr>
          <w:rFonts w:ascii="Times New Roman" w:hAnsi="Times New Roman" w:cs="Times New Roman"/>
          <w:b/>
          <w:bCs/>
          <w:color w:val="auto"/>
          <w:sz w:val="24"/>
          <w:szCs w:val="24"/>
        </w:rPr>
        <w:t>in England</w:t>
      </w:r>
    </w:p>
    <w:p w14:paraId="137077BB" w14:textId="18E22B9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Mentorship for ECTs is not a new concept and has developed historically within the English education policy arena. This section outlines significant policy developments in this area. </w:t>
      </w:r>
    </w:p>
    <w:p w14:paraId="5CADF169" w14:textId="77777777" w:rsidR="00C93FC3" w:rsidRPr="006706B5" w:rsidRDefault="00C93FC3"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Since the introduction of the statutory induction policy for newly qualified teachers in 1999 by the then Department for Education and Employment, there has been a sustained focus on developing and supporting teachers at the very beginning of their careers (see UK </w:t>
      </w:r>
      <w:r w:rsidRPr="006706B5">
        <w:rPr>
          <w:rFonts w:ascii="Times New Roman" w:hAnsi="Times New Roman" w:cs="Times New Roman"/>
          <w:sz w:val="24"/>
          <w:szCs w:val="24"/>
        </w:rPr>
        <w:lastRenderedPageBreak/>
        <w:t xml:space="preserve">Government n.d. for multiple iterations of this initiative over time). High-quality mentoring is widely recognised as pivotal to the development of teachers, particularly in the early stages of their careers (Hobson et al., 2009). This enduring focus, which has been discussed and notably highlighted across various policies, signifies a sustained recognition of the importance of effective mentorship in key phases of teacher training and support for newly qualified teachers (e.g., Carter, 2015; Teaching School Council, 2016). </w:t>
      </w:r>
    </w:p>
    <w:p w14:paraId="0BBD4F25" w14:textId="099F7535" w:rsidR="00E303FF" w:rsidRPr="006706B5" w:rsidRDefault="00C93FC3" w:rsidP="006B0750">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Contextually more relevant to this article are the </w:t>
      </w:r>
      <w:r w:rsidR="00735C96" w:rsidRPr="006706B5">
        <w:rPr>
          <w:rFonts w:ascii="Times New Roman" w:hAnsi="Times New Roman" w:cs="Times New Roman"/>
          <w:sz w:val="24"/>
          <w:szCs w:val="24"/>
        </w:rPr>
        <w:t xml:space="preserve">policy </w:t>
      </w:r>
      <w:r w:rsidRPr="006706B5">
        <w:rPr>
          <w:rFonts w:ascii="Times New Roman" w:hAnsi="Times New Roman" w:cs="Times New Roman"/>
          <w:sz w:val="24"/>
          <w:szCs w:val="24"/>
        </w:rPr>
        <w:t>developments</w:t>
      </w:r>
      <w:r w:rsidR="000312D5" w:rsidRPr="006706B5">
        <w:rPr>
          <w:rFonts w:ascii="Times New Roman" w:hAnsi="Times New Roman" w:cs="Times New Roman"/>
          <w:sz w:val="24"/>
          <w:szCs w:val="24"/>
        </w:rPr>
        <w:t xml:space="preserve"> that occurred</w:t>
      </w:r>
      <w:r w:rsidR="00D05B89" w:rsidRPr="006706B5">
        <w:rPr>
          <w:rFonts w:ascii="Times New Roman" w:hAnsi="Times New Roman" w:cs="Times New Roman"/>
          <w:sz w:val="24"/>
          <w:szCs w:val="24"/>
        </w:rPr>
        <w:t xml:space="preserve"> in</w:t>
      </w:r>
      <w:r w:rsidRPr="006706B5">
        <w:rPr>
          <w:rFonts w:ascii="Times New Roman" w:hAnsi="Times New Roman" w:cs="Times New Roman"/>
          <w:sz w:val="24"/>
          <w:szCs w:val="24"/>
        </w:rPr>
        <w:t xml:space="preserve"> 2019, when policymakers reviewed the ongoing ideas and provisions for supporting ECTs in response to the emerging, and by then evidently apparent, crisis of teacher recruitment and retention</w:t>
      </w:r>
      <w:r w:rsidR="00A206DE" w:rsidRPr="006706B5">
        <w:rPr>
          <w:rFonts w:ascii="Times New Roman" w:hAnsi="Times New Roman" w:cs="Times New Roman"/>
          <w:sz w:val="24"/>
          <w:szCs w:val="24"/>
        </w:rPr>
        <w:t xml:space="preserve"> in England</w:t>
      </w:r>
      <w:r w:rsidR="00885887" w:rsidRPr="006706B5">
        <w:rPr>
          <w:rFonts w:ascii="Times New Roman" w:hAnsi="Times New Roman" w:cs="Times New Roman"/>
          <w:sz w:val="24"/>
          <w:szCs w:val="24"/>
        </w:rPr>
        <w:t xml:space="preserve"> (as also mentioned</w:t>
      </w:r>
      <w:r w:rsidR="00F92145" w:rsidRPr="006706B5">
        <w:rPr>
          <w:rFonts w:ascii="Times New Roman" w:hAnsi="Times New Roman" w:cs="Times New Roman"/>
          <w:sz w:val="24"/>
          <w:szCs w:val="24"/>
        </w:rPr>
        <w:t xml:space="preserve"> above; see</w:t>
      </w:r>
      <w:r w:rsidR="00885887" w:rsidRPr="006706B5">
        <w:rPr>
          <w:rFonts w:ascii="Times New Roman" w:hAnsi="Times New Roman" w:cs="Times New Roman"/>
          <w:sz w:val="24"/>
          <w:szCs w:val="24"/>
        </w:rPr>
        <w:t xml:space="preserve"> </w:t>
      </w:r>
      <w:r w:rsidR="00EC06BE" w:rsidRPr="006706B5">
        <w:rPr>
          <w:rFonts w:ascii="Times New Roman" w:hAnsi="Times New Roman" w:cs="Times New Roman"/>
          <w:sz w:val="24"/>
          <w:szCs w:val="24"/>
        </w:rPr>
        <w:t>National Foundation for Educational Research, n.d.</w:t>
      </w:r>
      <w:r w:rsidR="00885887" w:rsidRPr="006706B5">
        <w:rPr>
          <w:rFonts w:ascii="Times New Roman" w:hAnsi="Times New Roman" w:cs="Times New Roman"/>
          <w:sz w:val="24"/>
          <w:szCs w:val="24"/>
        </w:rPr>
        <w:t>)</w:t>
      </w:r>
      <w:r w:rsidRPr="006706B5">
        <w:rPr>
          <w:rFonts w:ascii="Times New Roman" w:hAnsi="Times New Roman" w:cs="Times New Roman"/>
          <w:sz w:val="24"/>
          <w:szCs w:val="24"/>
        </w:rPr>
        <w:t xml:space="preserve">. This </w:t>
      </w:r>
      <w:r w:rsidR="00B464FB" w:rsidRPr="006706B5">
        <w:rPr>
          <w:rFonts w:ascii="Times New Roman" w:hAnsi="Times New Roman" w:cs="Times New Roman"/>
          <w:sz w:val="24"/>
          <w:szCs w:val="24"/>
        </w:rPr>
        <w:t xml:space="preserve">policy </w:t>
      </w:r>
      <w:r w:rsidRPr="006706B5">
        <w:rPr>
          <w:rFonts w:ascii="Times New Roman" w:hAnsi="Times New Roman" w:cs="Times New Roman"/>
          <w:sz w:val="24"/>
          <w:szCs w:val="24"/>
        </w:rPr>
        <w:t>review resulted in the government developing a strategy</w:t>
      </w:r>
      <w:r w:rsidR="00581689" w:rsidRPr="006706B5">
        <w:rPr>
          <w:rFonts w:ascii="Times New Roman" w:hAnsi="Times New Roman" w:cs="Times New Roman"/>
          <w:sz w:val="24"/>
          <w:szCs w:val="24"/>
        </w:rPr>
        <w:t xml:space="preserve"> </w:t>
      </w:r>
      <w:proofErr w:type="gramStart"/>
      <w:r w:rsidR="00581689" w:rsidRPr="006706B5">
        <w:rPr>
          <w:rFonts w:ascii="Times New Roman" w:hAnsi="Times New Roman" w:cs="Times New Roman"/>
          <w:sz w:val="24"/>
          <w:szCs w:val="24"/>
        </w:rPr>
        <w:t xml:space="preserve">in an attempt </w:t>
      </w:r>
      <w:r w:rsidRPr="006706B5">
        <w:rPr>
          <w:rFonts w:ascii="Times New Roman" w:hAnsi="Times New Roman" w:cs="Times New Roman"/>
          <w:sz w:val="24"/>
          <w:szCs w:val="24"/>
        </w:rPr>
        <w:t>to</w:t>
      </w:r>
      <w:proofErr w:type="gramEnd"/>
      <w:r w:rsidRPr="006706B5">
        <w:rPr>
          <w:rFonts w:ascii="Times New Roman" w:hAnsi="Times New Roman" w:cs="Times New Roman"/>
          <w:sz w:val="24"/>
          <w:szCs w:val="24"/>
        </w:rPr>
        <w:t xml:space="preserve"> combat </w:t>
      </w:r>
      <w:r w:rsidR="00E303FF" w:rsidRPr="006706B5">
        <w:rPr>
          <w:rFonts w:ascii="Times New Roman" w:hAnsi="Times New Roman" w:cs="Times New Roman"/>
          <w:sz w:val="24"/>
          <w:szCs w:val="24"/>
        </w:rPr>
        <w:t>the</w:t>
      </w:r>
      <w:r w:rsidRPr="006706B5">
        <w:rPr>
          <w:rFonts w:ascii="Times New Roman" w:hAnsi="Times New Roman" w:cs="Times New Roman"/>
          <w:sz w:val="24"/>
          <w:szCs w:val="24"/>
        </w:rPr>
        <w:t xml:space="preserve"> issues</w:t>
      </w:r>
      <w:r w:rsidR="00581689" w:rsidRPr="006706B5">
        <w:rPr>
          <w:rFonts w:ascii="Times New Roman" w:hAnsi="Times New Roman" w:cs="Times New Roman"/>
          <w:sz w:val="24"/>
          <w:szCs w:val="24"/>
        </w:rPr>
        <w:t xml:space="preserve"> of </w:t>
      </w:r>
      <w:r w:rsidR="00E303FF" w:rsidRPr="006706B5">
        <w:rPr>
          <w:rFonts w:ascii="Times New Roman" w:hAnsi="Times New Roman" w:cs="Times New Roman"/>
          <w:sz w:val="24"/>
          <w:szCs w:val="24"/>
        </w:rPr>
        <w:t>chronic teacher shortage</w:t>
      </w:r>
      <w:r w:rsidRPr="006706B5">
        <w:rPr>
          <w:rFonts w:ascii="Times New Roman" w:hAnsi="Times New Roman" w:cs="Times New Roman"/>
          <w:sz w:val="24"/>
          <w:szCs w:val="24"/>
        </w:rPr>
        <w:t>.</w:t>
      </w:r>
      <w:r w:rsidR="00B464FB" w:rsidRPr="006706B5">
        <w:rPr>
          <w:rFonts w:ascii="Times New Roman" w:hAnsi="Times New Roman" w:cs="Times New Roman"/>
          <w:sz w:val="24"/>
          <w:szCs w:val="24"/>
        </w:rPr>
        <w:t xml:space="preserve"> </w:t>
      </w:r>
      <w:r w:rsidRPr="006706B5">
        <w:rPr>
          <w:rFonts w:ascii="Times New Roman" w:hAnsi="Times New Roman" w:cs="Times New Roman"/>
          <w:sz w:val="24"/>
          <w:szCs w:val="24"/>
        </w:rPr>
        <w:t>Specifically, the DfE Strategy document (2019a) underscored the</w:t>
      </w:r>
      <w:r w:rsidR="00D2298B" w:rsidRPr="006706B5">
        <w:rPr>
          <w:rFonts w:ascii="Times New Roman" w:hAnsi="Times New Roman" w:cs="Times New Roman"/>
          <w:sz w:val="24"/>
          <w:szCs w:val="24"/>
        </w:rPr>
        <w:t xml:space="preserve"> imperative to better support teachers at the start of their careers,</w:t>
      </w:r>
      <w:r w:rsidRPr="006706B5">
        <w:rPr>
          <w:rFonts w:ascii="Times New Roman" w:hAnsi="Times New Roman" w:cs="Times New Roman"/>
          <w:sz w:val="24"/>
          <w:szCs w:val="24"/>
        </w:rPr>
        <w:t xml:space="preserve"> and </w:t>
      </w:r>
      <w:r w:rsidR="00D2298B" w:rsidRPr="006706B5">
        <w:rPr>
          <w:rFonts w:ascii="Times New Roman" w:hAnsi="Times New Roman" w:cs="Times New Roman"/>
          <w:sz w:val="24"/>
          <w:szCs w:val="24"/>
        </w:rPr>
        <w:t xml:space="preserve">it </w:t>
      </w:r>
      <w:r w:rsidRPr="006706B5">
        <w:rPr>
          <w:rFonts w:ascii="Times New Roman" w:hAnsi="Times New Roman" w:cs="Times New Roman"/>
          <w:sz w:val="24"/>
          <w:szCs w:val="24"/>
        </w:rPr>
        <w:t xml:space="preserve">introduced the concept of the ECF as a cornerstone of this approach. The ECF aimed to make </w:t>
      </w:r>
      <w:r w:rsidR="00B464FB" w:rsidRPr="006706B5">
        <w:rPr>
          <w:rFonts w:ascii="Times New Roman" w:hAnsi="Times New Roman" w:cs="Times New Roman"/>
          <w:sz w:val="24"/>
          <w:szCs w:val="24"/>
        </w:rPr>
        <w:t xml:space="preserve">the teaching profession </w:t>
      </w:r>
      <w:r w:rsidRPr="006706B5">
        <w:rPr>
          <w:rFonts w:ascii="Times New Roman" w:hAnsi="Times New Roman" w:cs="Times New Roman"/>
          <w:sz w:val="24"/>
          <w:szCs w:val="24"/>
        </w:rPr>
        <w:t xml:space="preserve">more attractive and sustainable by providing structured professional development opportunities, with the desired outcome of recruiting and retaining more teachers within the profession. </w:t>
      </w:r>
      <w:r w:rsidR="00635280" w:rsidRPr="006706B5">
        <w:rPr>
          <w:rFonts w:ascii="Times New Roman" w:hAnsi="Times New Roman" w:cs="Times New Roman"/>
          <w:sz w:val="24"/>
          <w:szCs w:val="24"/>
        </w:rPr>
        <w:t xml:space="preserve">Put differently, the rationale behind prescribing an arguably narrow and technical content structure for all new teachers in the ECF was to facilitate localised changes to address the larger structural crisis in the teaching profession through a common entitlement to professional development and support facilitated by access to high-quality mentoring and coaching. </w:t>
      </w:r>
    </w:p>
    <w:p w14:paraId="34316CB1" w14:textId="50A0E6B8" w:rsidR="00C93FC3" w:rsidRPr="006706B5" w:rsidRDefault="00DC7A4B"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Notably, previous research into the ECF pilots </w:t>
      </w:r>
      <w:r w:rsidR="00E52082" w:rsidRPr="006706B5">
        <w:rPr>
          <w:rFonts w:ascii="Times New Roman" w:hAnsi="Times New Roman" w:cs="Times New Roman"/>
          <w:sz w:val="24"/>
          <w:szCs w:val="24"/>
        </w:rPr>
        <w:t xml:space="preserve">provided warnings about the complex relationship between school contexts and </w:t>
      </w:r>
      <w:r w:rsidR="001F4627" w:rsidRPr="006706B5">
        <w:rPr>
          <w:rFonts w:ascii="Times New Roman" w:hAnsi="Times New Roman" w:cs="Times New Roman"/>
          <w:sz w:val="24"/>
          <w:szCs w:val="24"/>
        </w:rPr>
        <w:t xml:space="preserve">the </w:t>
      </w:r>
      <w:r w:rsidR="00E52082" w:rsidRPr="006706B5">
        <w:rPr>
          <w:rFonts w:ascii="Times New Roman" w:hAnsi="Times New Roman" w:cs="Times New Roman"/>
          <w:sz w:val="24"/>
          <w:szCs w:val="24"/>
        </w:rPr>
        <w:t>implementation of the ECF</w:t>
      </w:r>
      <w:r w:rsidR="00DB0B98" w:rsidRPr="006706B5">
        <w:rPr>
          <w:rFonts w:ascii="Times New Roman" w:hAnsi="Times New Roman" w:cs="Times New Roman"/>
          <w:sz w:val="24"/>
          <w:szCs w:val="24"/>
        </w:rPr>
        <w:t xml:space="preserve"> </w:t>
      </w:r>
      <w:r w:rsidR="003B2927" w:rsidRPr="006706B5">
        <w:rPr>
          <w:rFonts w:ascii="Times New Roman" w:hAnsi="Times New Roman" w:cs="Times New Roman"/>
          <w:sz w:val="24"/>
          <w:szCs w:val="24"/>
        </w:rPr>
        <w:t>(</w:t>
      </w:r>
      <w:r w:rsidR="00FA5AF9" w:rsidRPr="006706B5">
        <w:rPr>
          <w:rFonts w:ascii="Times New Roman" w:hAnsi="Times New Roman" w:cs="Times New Roman"/>
          <w:sz w:val="24"/>
          <w:szCs w:val="24"/>
        </w:rPr>
        <w:t xml:space="preserve">Hardman et al., 2020; </w:t>
      </w:r>
      <w:r w:rsidR="00650339" w:rsidRPr="006706B5">
        <w:rPr>
          <w:rFonts w:ascii="Times New Roman" w:hAnsi="Times New Roman" w:cs="Times New Roman"/>
          <w:sz w:val="24"/>
          <w:szCs w:val="24"/>
        </w:rPr>
        <w:t>Daly et al., 2022</w:t>
      </w:r>
      <w:r w:rsidR="003B2927" w:rsidRPr="006706B5">
        <w:rPr>
          <w:rFonts w:ascii="Times New Roman" w:hAnsi="Times New Roman" w:cs="Times New Roman"/>
          <w:sz w:val="24"/>
          <w:szCs w:val="24"/>
        </w:rPr>
        <w:t>)</w:t>
      </w:r>
      <w:r w:rsidR="00650339" w:rsidRPr="006706B5">
        <w:rPr>
          <w:rFonts w:ascii="Times New Roman" w:hAnsi="Times New Roman" w:cs="Times New Roman"/>
          <w:sz w:val="24"/>
          <w:szCs w:val="24"/>
        </w:rPr>
        <w:t>.</w:t>
      </w:r>
      <w:r w:rsidR="00470658" w:rsidRPr="006706B5">
        <w:rPr>
          <w:rFonts w:ascii="Times New Roman" w:hAnsi="Times New Roman" w:cs="Times New Roman"/>
          <w:sz w:val="24"/>
          <w:szCs w:val="24"/>
        </w:rPr>
        <w:t xml:space="preserve"> </w:t>
      </w:r>
      <w:r w:rsidR="00DB0B98" w:rsidRPr="006706B5">
        <w:rPr>
          <w:rFonts w:ascii="Times New Roman" w:hAnsi="Times New Roman" w:cs="Times New Roman"/>
          <w:sz w:val="24"/>
          <w:szCs w:val="24"/>
        </w:rPr>
        <w:t>Nevertheless, the</w:t>
      </w:r>
      <w:r w:rsidR="00C93FC3" w:rsidRPr="006706B5">
        <w:rPr>
          <w:rFonts w:ascii="Times New Roman" w:hAnsi="Times New Roman" w:cs="Times New Roman"/>
          <w:sz w:val="24"/>
          <w:szCs w:val="24"/>
        </w:rPr>
        <w:t xml:space="preserve"> ECF was subsequently published and supported by a series of guidance documents for stakeholders between 2020 and 2024. Implemented </w:t>
      </w:r>
      <w:r w:rsidR="00C93FC3" w:rsidRPr="006706B5">
        <w:rPr>
          <w:rFonts w:ascii="Times New Roman" w:hAnsi="Times New Roman" w:cs="Times New Roman"/>
          <w:sz w:val="24"/>
          <w:szCs w:val="24"/>
        </w:rPr>
        <w:lastRenderedPageBreak/>
        <w:t xml:space="preserve">nationally in 2021, the </w:t>
      </w:r>
      <w:r w:rsidR="00921A8B" w:rsidRPr="006706B5">
        <w:rPr>
          <w:rFonts w:ascii="Times New Roman" w:hAnsi="Times New Roman" w:cs="Times New Roman"/>
          <w:sz w:val="24"/>
          <w:szCs w:val="24"/>
        </w:rPr>
        <w:t>F</w:t>
      </w:r>
      <w:r w:rsidR="00C93FC3" w:rsidRPr="006706B5">
        <w:rPr>
          <w:rFonts w:ascii="Times New Roman" w:hAnsi="Times New Roman" w:cs="Times New Roman"/>
          <w:sz w:val="24"/>
          <w:szCs w:val="24"/>
        </w:rPr>
        <w:t xml:space="preserve">ramework was designed to support new teachers entering the English education system during the first two years of their professional lives. Schools were tasked with implementing the ECF by providing ECTs with training, mentoring, and dedicated time to develop key areas focusing on not only teaching (e.g., how children learn, subject and curriculum knowledge, and assessment) but also classroom practices (e.g., high expectations, adaptive teaching, behaviour management, and professional behaviours). The government facilitated support by funding external providers (specifically selected by the DfE—and therefore these </w:t>
      </w:r>
      <w:r w:rsidR="00A2638E" w:rsidRPr="006706B5">
        <w:rPr>
          <w:rFonts w:ascii="Times New Roman" w:hAnsi="Times New Roman" w:cs="Times New Roman"/>
          <w:sz w:val="24"/>
          <w:szCs w:val="24"/>
        </w:rPr>
        <w:t>were</w:t>
      </w:r>
      <w:r w:rsidR="00C93FC3" w:rsidRPr="006706B5">
        <w:rPr>
          <w:rFonts w:ascii="Times New Roman" w:hAnsi="Times New Roman" w:cs="Times New Roman"/>
          <w:sz w:val="24"/>
          <w:szCs w:val="24"/>
        </w:rPr>
        <w:t xml:space="preserve"> government-approved </w:t>
      </w:r>
      <w:r w:rsidR="00F814AC" w:rsidRPr="006706B5">
        <w:rPr>
          <w:rFonts w:ascii="Times New Roman" w:hAnsi="Times New Roman" w:cs="Times New Roman"/>
          <w:sz w:val="24"/>
          <w:szCs w:val="24"/>
        </w:rPr>
        <w:t>organisations tasked with</w:t>
      </w:r>
      <w:r w:rsidR="00C93FC3" w:rsidRPr="006706B5">
        <w:rPr>
          <w:rFonts w:ascii="Times New Roman" w:hAnsi="Times New Roman" w:cs="Times New Roman"/>
          <w:sz w:val="24"/>
          <w:szCs w:val="24"/>
        </w:rPr>
        <w:t xml:space="preserve"> implementing </w:t>
      </w:r>
      <w:r w:rsidR="00F814AC" w:rsidRPr="006706B5">
        <w:rPr>
          <w:rFonts w:ascii="Times New Roman" w:hAnsi="Times New Roman" w:cs="Times New Roman"/>
          <w:sz w:val="24"/>
          <w:szCs w:val="24"/>
        </w:rPr>
        <w:t>the Framework</w:t>
      </w:r>
      <w:r w:rsidR="00C93FC3" w:rsidRPr="006706B5">
        <w:rPr>
          <w:rFonts w:ascii="Times New Roman" w:hAnsi="Times New Roman" w:cs="Times New Roman"/>
          <w:sz w:val="24"/>
          <w:szCs w:val="24"/>
        </w:rPr>
        <w:t>) so that schools could choose who would deliver the training outlined in the ECF</w:t>
      </w:r>
      <w:r w:rsidR="00D864D1" w:rsidRPr="006706B5">
        <w:rPr>
          <w:rFonts w:ascii="Times New Roman" w:hAnsi="Times New Roman" w:cs="Times New Roman"/>
          <w:sz w:val="24"/>
          <w:szCs w:val="24"/>
        </w:rPr>
        <w:t>—</w:t>
      </w:r>
      <w:r w:rsidR="00C93FC3" w:rsidRPr="006706B5">
        <w:rPr>
          <w:rFonts w:ascii="Times New Roman" w:hAnsi="Times New Roman" w:cs="Times New Roman"/>
          <w:sz w:val="24"/>
          <w:szCs w:val="24"/>
        </w:rPr>
        <w:t xml:space="preserve">and </w:t>
      </w:r>
      <w:r w:rsidR="003A5864" w:rsidRPr="006706B5">
        <w:rPr>
          <w:rFonts w:ascii="Times New Roman" w:hAnsi="Times New Roman" w:cs="Times New Roman"/>
          <w:sz w:val="24"/>
          <w:szCs w:val="24"/>
        </w:rPr>
        <w:t xml:space="preserve">by </w:t>
      </w:r>
      <w:r w:rsidR="00C93FC3" w:rsidRPr="006706B5">
        <w:rPr>
          <w:rFonts w:ascii="Times New Roman" w:hAnsi="Times New Roman" w:cs="Times New Roman"/>
          <w:sz w:val="24"/>
          <w:szCs w:val="24"/>
        </w:rPr>
        <w:t>cover</w:t>
      </w:r>
      <w:r w:rsidR="003A5864" w:rsidRPr="006706B5">
        <w:rPr>
          <w:rFonts w:ascii="Times New Roman" w:hAnsi="Times New Roman" w:cs="Times New Roman"/>
          <w:sz w:val="24"/>
          <w:szCs w:val="24"/>
        </w:rPr>
        <w:t>ing</w:t>
      </w:r>
      <w:r w:rsidR="00C93FC3" w:rsidRPr="006706B5">
        <w:rPr>
          <w:rFonts w:ascii="Times New Roman" w:hAnsi="Times New Roman" w:cs="Times New Roman"/>
          <w:sz w:val="24"/>
          <w:szCs w:val="24"/>
        </w:rPr>
        <w:t xml:space="preserve"> the additional costs for mentors</w:t>
      </w:r>
      <w:r w:rsidR="00A2638E" w:rsidRPr="006706B5">
        <w:rPr>
          <w:rFonts w:ascii="Times New Roman" w:hAnsi="Times New Roman" w:cs="Times New Roman"/>
          <w:sz w:val="24"/>
          <w:szCs w:val="24"/>
        </w:rPr>
        <w:t xml:space="preserve"> (DfE, 2019b)</w:t>
      </w:r>
      <w:r w:rsidR="00C93FC3" w:rsidRPr="006706B5">
        <w:rPr>
          <w:rFonts w:ascii="Times New Roman" w:hAnsi="Times New Roman" w:cs="Times New Roman"/>
          <w:sz w:val="24"/>
          <w:szCs w:val="24"/>
        </w:rPr>
        <w:t xml:space="preserve">. </w:t>
      </w:r>
    </w:p>
    <w:p w14:paraId="6723818A" w14:textId="6B904AE1" w:rsidR="00C93FC3" w:rsidRPr="006706B5" w:rsidRDefault="00C93FC3"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One of the major critiques of this policy was that it appeared to replicate the content of Initial Teacher Education. Upon identifying this </w:t>
      </w:r>
      <w:r w:rsidR="00027EDE" w:rsidRPr="006706B5">
        <w:rPr>
          <w:rFonts w:ascii="Times New Roman" w:hAnsi="Times New Roman" w:cs="Times New Roman"/>
          <w:sz w:val="24"/>
          <w:szCs w:val="24"/>
        </w:rPr>
        <w:t>re</w:t>
      </w:r>
      <w:r w:rsidR="000F2B17" w:rsidRPr="006706B5">
        <w:rPr>
          <w:rFonts w:ascii="Times New Roman" w:hAnsi="Times New Roman" w:cs="Times New Roman"/>
          <w:sz w:val="24"/>
          <w:szCs w:val="24"/>
        </w:rPr>
        <w:t xml:space="preserve">petition in their outcomes of the review of the Initial Teacher Training Core Content Framework </w:t>
      </w:r>
      <w:r w:rsidR="00C9517A" w:rsidRPr="006706B5">
        <w:rPr>
          <w:rFonts w:ascii="Times New Roman" w:hAnsi="Times New Roman" w:cs="Times New Roman"/>
          <w:sz w:val="24"/>
          <w:szCs w:val="24"/>
        </w:rPr>
        <w:t xml:space="preserve">and </w:t>
      </w:r>
      <w:r w:rsidR="00A40878" w:rsidRPr="006706B5">
        <w:rPr>
          <w:rFonts w:ascii="Times New Roman" w:hAnsi="Times New Roman" w:cs="Times New Roman"/>
          <w:sz w:val="24"/>
          <w:szCs w:val="24"/>
        </w:rPr>
        <w:t>ECF</w:t>
      </w:r>
      <w:r w:rsidR="00C9517A" w:rsidRPr="006706B5">
        <w:rPr>
          <w:rFonts w:ascii="Times New Roman" w:hAnsi="Times New Roman" w:cs="Times New Roman"/>
          <w:sz w:val="24"/>
          <w:szCs w:val="24"/>
        </w:rPr>
        <w:t xml:space="preserve"> </w:t>
      </w:r>
      <w:r w:rsidR="0015730F" w:rsidRPr="006706B5">
        <w:rPr>
          <w:rFonts w:ascii="Times New Roman" w:hAnsi="Times New Roman" w:cs="Times New Roman"/>
          <w:sz w:val="24"/>
          <w:szCs w:val="24"/>
        </w:rPr>
        <w:t>(</w:t>
      </w:r>
      <w:r w:rsidR="00E045DE" w:rsidRPr="006706B5">
        <w:rPr>
          <w:rFonts w:ascii="Times New Roman" w:hAnsi="Times New Roman" w:cs="Times New Roman"/>
          <w:sz w:val="24"/>
          <w:szCs w:val="24"/>
        </w:rPr>
        <w:t>DfE, 2024</w:t>
      </w:r>
      <w:r w:rsidR="009D3D59" w:rsidRPr="006706B5">
        <w:rPr>
          <w:rFonts w:ascii="Times New Roman" w:hAnsi="Times New Roman" w:cs="Times New Roman"/>
          <w:sz w:val="24"/>
          <w:szCs w:val="24"/>
        </w:rPr>
        <w:t>a</w:t>
      </w:r>
      <w:r w:rsidR="0015730F" w:rsidRPr="006706B5">
        <w:rPr>
          <w:rFonts w:ascii="Times New Roman" w:hAnsi="Times New Roman" w:cs="Times New Roman"/>
          <w:sz w:val="24"/>
          <w:szCs w:val="24"/>
        </w:rPr>
        <w:t>)</w:t>
      </w:r>
      <w:r w:rsidRPr="006706B5">
        <w:rPr>
          <w:rFonts w:ascii="Times New Roman" w:hAnsi="Times New Roman" w:cs="Times New Roman"/>
          <w:sz w:val="24"/>
          <w:szCs w:val="24"/>
        </w:rPr>
        <w:t>, a new iteration of the policy was published in 2024. This version retained most aspects of the ECF (as mentioned in the paragraph above), with a significant change being that the new document combined the ECF with the Initial Teacher Training Core Content Framework (see DfE, 2024</w:t>
      </w:r>
      <w:r w:rsidR="009D3D59" w:rsidRPr="006706B5">
        <w:rPr>
          <w:rFonts w:ascii="Times New Roman" w:hAnsi="Times New Roman" w:cs="Times New Roman"/>
          <w:sz w:val="24"/>
          <w:szCs w:val="24"/>
        </w:rPr>
        <w:t>b</w:t>
      </w:r>
      <w:r w:rsidRPr="006706B5">
        <w:rPr>
          <w:rFonts w:ascii="Times New Roman" w:hAnsi="Times New Roman" w:cs="Times New Roman"/>
          <w:sz w:val="24"/>
          <w:szCs w:val="24"/>
        </w:rPr>
        <w:t>). Thus, while this policy initiative is new in its framing</w:t>
      </w:r>
      <w:r w:rsidR="00E07A15" w:rsidRPr="006706B5">
        <w:rPr>
          <w:rFonts w:ascii="Times New Roman" w:hAnsi="Times New Roman" w:cs="Times New Roman"/>
          <w:sz w:val="24"/>
          <w:szCs w:val="24"/>
        </w:rPr>
        <w:t xml:space="preserve">, </w:t>
      </w:r>
      <w:r w:rsidRPr="006706B5">
        <w:rPr>
          <w:rFonts w:ascii="Times New Roman" w:hAnsi="Times New Roman" w:cs="Times New Roman"/>
          <w:sz w:val="24"/>
          <w:szCs w:val="24"/>
        </w:rPr>
        <w:t>and this framing continues to evolve with new iterations of the policy</w:t>
      </w:r>
      <w:r w:rsidR="00E07A15" w:rsidRPr="006706B5">
        <w:rPr>
          <w:rFonts w:ascii="Times New Roman" w:hAnsi="Times New Roman" w:cs="Times New Roman"/>
          <w:sz w:val="24"/>
          <w:szCs w:val="24"/>
        </w:rPr>
        <w:t xml:space="preserve">, </w:t>
      </w:r>
      <w:r w:rsidRPr="006706B5">
        <w:rPr>
          <w:rFonts w:ascii="Times New Roman" w:hAnsi="Times New Roman" w:cs="Times New Roman"/>
          <w:sz w:val="24"/>
          <w:szCs w:val="24"/>
        </w:rPr>
        <w:t>mentorship as a practice is neither new to schools nor is this discourse novel within the empirical context.</w:t>
      </w:r>
      <w:r w:rsidR="00AE57D7" w:rsidRPr="006706B5">
        <w:rPr>
          <w:rFonts w:ascii="Times New Roman" w:hAnsi="Times New Roman" w:cs="Times New Roman"/>
          <w:sz w:val="24"/>
          <w:szCs w:val="24"/>
        </w:rPr>
        <w:t xml:space="preserve"> </w:t>
      </w:r>
      <w:r w:rsidR="00BB4E86" w:rsidRPr="006706B5">
        <w:rPr>
          <w:rFonts w:ascii="Times New Roman" w:hAnsi="Times New Roman" w:cs="Times New Roman"/>
          <w:sz w:val="24"/>
          <w:szCs w:val="24"/>
        </w:rPr>
        <w:t>It</w:t>
      </w:r>
      <w:r w:rsidR="00AE57D7" w:rsidRPr="006706B5">
        <w:rPr>
          <w:rFonts w:ascii="Times New Roman" w:hAnsi="Times New Roman" w:cs="Times New Roman"/>
          <w:sz w:val="24"/>
          <w:szCs w:val="24"/>
        </w:rPr>
        <w:t xml:space="preserve"> appears to be perceived as effective </w:t>
      </w:r>
      <w:r w:rsidR="00070AD3" w:rsidRPr="006706B5">
        <w:rPr>
          <w:rFonts w:ascii="Times New Roman" w:hAnsi="Times New Roman" w:cs="Times New Roman"/>
          <w:sz w:val="24"/>
          <w:szCs w:val="24"/>
        </w:rPr>
        <w:t xml:space="preserve">by policymakers and therefore likely to feature in </w:t>
      </w:r>
      <w:r w:rsidR="006F36B0" w:rsidRPr="006706B5">
        <w:rPr>
          <w:rFonts w:ascii="Times New Roman" w:hAnsi="Times New Roman" w:cs="Times New Roman"/>
          <w:sz w:val="24"/>
          <w:szCs w:val="24"/>
        </w:rPr>
        <w:t>prospective versions of the ECT support at the policy level</w:t>
      </w:r>
      <w:r w:rsidR="003C43BD" w:rsidRPr="006706B5">
        <w:rPr>
          <w:rFonts w:ascii="Times New Roman" w:hAnsi="Times New Roman" w:cs="Times New Roman"/>
          <w:sz w:val="24"/>
          <w:szCs w:val="24"/>
        </w:rPr>
        <w:t xml:space="preserve">, thus rendering the discussion presented below </w:t>
      </w:r>
      <w:r w:rsidR="004F630F" w:rsidRPr="006706B5">
        <w:rPr>
          <w:rFonts w:ascii="Times New Roman" w:hAnsi="Times New Roman" w:cs="Times New Roman"/>
          <w:sz w:val="24"/>
          <w:szCs w:val="24"/>
        </w:rPr>
        <w:t>highly valuable both</w:t>
      </w:r>
      <w:r w:rsidR="003C43BD" w:rsidRPr="006706B5">
        <w:rPr>
          <w:rFonts w:ascii="Times New Roman" w:hAnsi="Times New Roman" w:cs="Times New Roman"/>
          <w:sz w:val="24"/>
          <w:szCs w:val="24"/>
        </w:rPr>
        <w:t xml:space="preserve"> now and in the future</w:t>
      </w:r>
      <w:r w:rsidR="006F36B0" w:rsidRPr="006706B5">
        <w:rPr>
          <w:rFonts w:ascii="Times New Roman" w:hAnsi="Times New Roman" w:cs="Times New Roman"/>
          <w:sz w:val="24"/>
          <w:szCs w:val="24"/>
        </w:rPr>
        <w:t>.</w:t>
      </w:r>
      <w:r w:rsidRPr="006706B5">
        <w:rPr>
          <w:rFonts w:ascii="Times New Roman" w:hAnsi="Times New Roman" w:cs="Times New Roman"/>
          <w:sz w:val="24"/>
          <w:szCs w:val="24"/>
        </w:rPr>
        <w:t xml:space="preserve"> The following section will outline the research focus and methodological approach to the study </w:t>
      </w:r>
      <w:r w:rsidR="001F4627" w:rsidRPr="006706B5">
        <w:rPr>
          <w:rFonts w:ascii="Times New Roman" w:hAnsi="Times New Roman" w:cs="Times New Roman"/>
          <w:sz w:val="24"/>
          <w:szCs w:val="24"/>
        </w:rPr>
        <w:t>from</w:t>
      </w:r>
      <w:r w:rsidRPr="006706B5">
        <w:rPr>
          <w:rFonts w:ascii="Times New Roman" w:hAnsi="Times New Roman" w:cs="Times New Roman"/>
          <w:sz w:val="24"/>
          <w:szCs w:val="24"/>
        </w:rPr>
        <w:t xml:space="preserve"> which this article draws. </w:t>
      </w:r>
    </w:p>
    <w:p w14:paraId="582D70A9" w14:textId="77777777"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lastRenderedPageBreak/>
        <w:t xml:space="preserve">The study </w:t>
      </w:r>
    </w:p>
    <w:p w14:paraId="6247E1F4" w14:textId="2D88EEFD" w:rsidR="00C93FC3" w:rsidRPr="006706B5" w:rsidRDefault="00C93FC3" w:rsidP="005E73A8">
      <w:pPr>
        <w:spacing w:before="240" w:line="480" w:lineRule="auto"/>
        <w:rPr>
          <w:rFonts w:ascii="Times New Roman" w:hAnsi="Times New Roman" w:cs="Times New Roman"/>
          <w:sz w:val="24"/>
          <w:szCs w:val="24"/>
        </w:rPr>
      </w:pPr>
      <w:r w:rsidRPr="006706B5">
        <w:rPr>
          <w:rFonts w:ascii="Times New Roman" w:hAnsi="Times New Roman" w:cs="Times New Roman"/>
          <w:sz w:val="24"/>
          <w:szCs w:val="24"/>
        </w:rPr>
        <w:t>Fieldwork for this study was conducted using a qualitative research methodology (Creswell, 2013) across four secondary schools, operating under different governance structures—Faith-based, Independent, LA, and</w:t>
      </w:r>
      <w:r w:rsidR="00F93AA7" w:rsidRPr="006706B5">
        <w:rPr>
          <w:rFonts w:ascii="Times New Roman" w:hAnsi="Times New Roman" w:cs="Times New Roman"/>
          <w:sz w:val="24"/>
          <w:szCs w:val="24"/>
        </w:rPr>
        <w:t xml:space="preserve"> </w:t>
      </w:r>
      <w:r w:rsidRPr="006706B5">
        <w:rPr>
          <w:rFonts w:ascii="Times New Roman" w:hAnsi="Times New Roman" w:cs="Times New Roman"/>
          <w:sz w:val="24"/>
          <w:szCs w:val="24"/>
        </w:rPr>
        <w:t>MAT—in the South of England. This selection of school types aimed to capture, understand, explore, and explain how the governance style of a school affects the approaches to enacting the ECF. We approached school leaders at each school to request conversations with key stakeholders</w:t>
      </w:r>
      <w:r w:rsidR="000924E6" w:rsidRPr="006706B5">
        <w:rPr>
          <w:rFonts w:ascii="Times New Roman" w:hAnsi="Times New Roman" w:cs="Times New Roman"/>
          <w:sz w:val="24"/>
          <w:szCs w:val="24"/>
        </w:rPr>
        <w:t>, or prospective research participants,</w:t>
      </w:r>
      <w:r w:rsidRPr="006706B5">
        <w:rPr>
          <w:rFonts w:ascii="Times New Roman" w:hAnsi="Times New Roman" w:cs="Times New Roman"/>
          <w:sz w:val="24"/>
          <w:szCs w:val="24"/>
        </w:rPr>
        <w:t xml:space="preserve"> in their ECT programme.</w:t>
      </w:r>
      <w:r w:rsidR="000924E6" w:rsidRPr="006706B5">
        <w:rPr>
          <w:rFonts w:ascii="Times New Roman" w:hAnsi="Times New Roman" w:cs="Times New Roman"/>
          <w:sz w:val="24"/>
          <w:szCs w:val="24"/>
        </w:rPr>
        <w:t xml:space="preserve"> </w:t>
      </w:r>
      <w:r w:rsidR="000F566D" w:rsidRPr="006706B5">
        <w:rPr>
          <w:rFonts w:ascii="Times New Roman" w:hAnsi="Times New Roman" w:cs="Times New Roman"/>
          <w:sz w:val="24"/>
          <w:szCs w:val="24"/>
        </w:rPr>
        <w:t xml:space="preserve">Upon receiving support from these gatekeepers in principle, we sought and </w:t>
      </w:r>
      <w:r w:rsidR="00152377" w:rsidRPr="006706B5">
        <w:rPr>
          <w:rFonts w:ascii="Times New Roman" w:hAnsi="Times New Roman" w:cs="Times New Roman"/>
          <w:sz w:val="24"/>
          <w:szCs w:val="24"/>
        </w:rPr>
        <w:t>subsequently secured ethics approval for doing research with human participants from the Faculty Ethics Committee of the University of Southampton.</w:t>
      </w:r>
      <w:r w:rsidR="000F566D" w:rsidRPr="006706B5">
        <w:rPr>
          <w:rFonts w:ascii="Times New Roman" w:hAnsi="Times New Roman" w:cs="Times New Roman"/>
          <w:sz w:val="24"/>
          <w:szCs w:val="24"/>
        </w:rPr>
        <w:t xml:space="preserve"> </w:t>
      </w:r>
      <w:r w:rsidRPr="006706B5">
        <w:rPr>
          <w:rFonts w:ascii="Times New Roman" w:hAnsi="Times New Roman" w:cs="Times New Roman"/>
          <w:sz w:val="24"/>
          <w:szCs w:val="24"/>
        </w:rPr>
        <w:t xml:space="preserve"> In total, 36 individual semi-structured interviews were conducted with 5 ECT programme coordinators, 15 mentors, and 16 ECTs (see Table 1 for sample distribution across the different school types). The mode of conducting interviews varied from in-person at the schools where the participants were employed to online via </w:t>
      </w:r>
      <w:proofErr w:type="spellStart"/>
      <w:r w:rsidRPr="006706B5">
        <w:rPr>
          <w:rFonts w:ascii="Times New Roman" w:hAnsi="Times New Roman" w:cs="Times New Roman"/>
          <w:sz w:val="24"/>
          <w:szCs w:val="24"/>
        </w:rPr>
        <w:t>MSTeams</w:t>
      </w:r>
      <w:proofErr w:type="spellEnd"/>
      <w:r w:rsidRPr="006706B5">
        <w:rPr>
          <w:rFonts w:ascii="Times New Roman" w:hAnsi="Times New Roman" w:cs="Times New Roman"/>
          <w:sz w:val="24"/>
          <w:szCs w:val="24"/>
        </w:rPr>
        <w:t xml:space="preserve">, during or after regular school hours, according to the preferences of the research participants, ensuring our data collection approach was least disruptive to their work. </w:t>
      </w:r>
    </w:p>
    <w:p w14:paraId="7AB43051" w14:textId="77777777" w:rsidR="00C93FC3" w:rsidRPr="006706B5" w:rsidRDefault="00C93FC3" w:rsidP="005E73A8">
      <w:pPr>
        <w:spacing w:before="240" w:line="480" w:lineRule="auto"/>
        <w:rPr>
          <w:rFonts w:ascii="Times New Roman" w:hAnsi="Times New Roman" w:cs="Times New Roman"/>
          <w:sz w:val="24"/>
          <w:szCs w:val="24"/>
        </w:rPr>
      </w:pPr>
      <w:r w:rsidRPr="006706B5">
        <w:rPr>
          <w:rFonts w:ascii="Times New Roman" w:hAnsi="Times New Roman" w:cs="Times New Roman"/>
          <w:sz w:val="24"/>
          <w:szCs w:val="24"/>
          <w:highlight w:val="yellow"/>
        </w:rPr>
        <w:t>Insert Table 1 here</w:t>
      </w:r>
    </w:p>
    <w:p w14:paraId="18712412" w14:textId="169EAB09" w:rsidR="008914DD" w:rsidRPr="006706B5" w:rsidRDefault="00C93FC3" w:rsidP="005E73A8">
      <w:pPr>
        <w:spacing w:before="240"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More than 5 teachers participated from each school, although the majority (</w:t>
      </w:r>
      <w:r w:rsidRPr="006706B5">
        <w:rPr>
          <w:rFonts w:ascii="Times New Roman" w:hAnsi="Times New Roman" w:cs="Times New Roman"/>
          <w:i/>
          <w:iCs/>
          <w:sz w:val="24"/>
          <w:szCs w:val="24"/>
        </w:rPr>
        <w:t>n=</w:t>
      </w:r>
      <w:r w:rsidRPr="006706B5">
        <w:rPr>
          <w:rFonts w:ascii="Times New Roman" w:hAnsi="Times New Roman" w:cs="Times New Roman"/>
          <w:sz w:val="24"/>
          <w:szCs w:val="24"/>
        </w:rPr>
        <w:t xml:space="preserve">14) of our participants were from the LA school, which is likely due to a stronger professional relationship between one of the authors and the teachers in this school. We acknowledge that while the disparity in the sample distribution may have some implications for research findings, the quality of data produced from each interview allowed us to understand meaningfully the similarities and differences in mentorship programmes adopted by different schools in our sample. To discuss some of the issues that arose during the interviews in </w:t>
      </w:r>
      <w:r w:rsidRPr="006706B5">
        <w:rPr>
          <w:rFonts w:ascii="Times New Roman" w:hAnsi="Times New Roman" w:cs="Times New Roman"/>
          <w:sz w:val="24"/>
          <w:szCs w:val="24"/>
        </w:rPr>
        <w:lastRenderedPageBreak/>
        <w:t xml:space="preserve">greater detail, we conducted </w:t>
      </w:r>
      <w:r w:rsidR="00DD375A" w:rsidRPr="006706B5">
        <w:rPr>
          <w:rFonts w:ascii="Times New Roman" w:hAnsi="Times New Roman" w:cs="Times New Roman"/>
          <w:sz w:val="24"/>
          <w:szCs w:val="24"/>
        </w:rPr>
        <w:t xml:space="preserve">a total of </w:t>
      </w:r>
      <w:r w:rsidR="00003F15" w:rsidRPr="006706B5">
        <w:rPr>
          <w:rFonts w:ascii="Times New Roman" w:hAnsi="Times New Roman" w:cs="Times New Roman"/>
          <w:sz w:val="24"/>
          <w:szCs w:val="24"/>
        </w:rPr>
        <w:t>three focus group</w:t>
      </w:r>
      <w:r w:rsidR="00270E29" w:rsidRPr="006706B5">
        <w:rPr>
          <w:rFonts w:ascii="Times New Roman" w:hAnsi="Times New Roman" w:cs="Times New Roman"/>
          <w:sz w:val="24"/>
          <w:szCs w:val="24"/>
        </w:rPr>
        <w:t>s at our institution—</w:t>
      </w:r>
      <w:r w:rsidR="00003F15" w:rsidRPr="006706B5">
        <w:rPr>
          <w:rFonts w:ascii="Times New Roman" w:hAnsi="Times New Roman" w:cs="Times New Roman"/>
          <w:sz w:val="24"/>
          <w:szCs w:val="24"/>
        </w:rPr>
        <w:t>one</w:t>
      </w:r>
      <w:r w:rsidR="009274F5" w:rsidRPr="006706B5">
        <w:rPr>
          <w:rFonts w:ascii="Times New Roman" w:hAnsi="Times New Roman" w:cs="Times New Roman"/>
          <w:sz w:val="24"/>
          <w:szCs w:val="24"/>
        </w:rPr>
        <w:t xml:space="preserve"> for each </w:t>
      </w:r>
      <w:r w:rsidR="002A649F" w:rsidRPr="006706B5">
        <w:rPr>
          <w:rFonts w:ascii="Times New Roman" w:hAnsi="Times New Roman" w:cs="Times New Roman"/>
          <w:sz w:val="24"/>
          <w:szCs w:val="24"/>
        </w:rPr>
        <w:t>group of stakeholders</w:t>
      </w:r>
      <w:r w:rsidR="00D94840" w:rsidRPr="006706B5">
        <w:rPr>
          <w:rFonts w:ascii="Times New Roman" w:hAnsi="Times New Roman" w:cs="Times New Roman"/>
          <w:sz w:val="24"/>
          <w:szCs w:val="24"/>
        </w:rPr>
        <w:t xml:space="preserve"> (ECTs, ECT mentors and ECT programme coordinators)</w:t>
      </w:r>
      <w:r w:rsidR="002A649F" w:rsidRPr="006706B5">
        <w:rPr>
          <w:rFonts w:ascii="Times New Roman" w:hAnsi="Times New Roman" w:cs="Times New Roman"/>
          <w:sz w:val="24"/>
          <w:szCs w:val="24"/>
        </w:rPr>
        <w:t xml:space="preserve">. </w:t>
      </w:r>
    </w:p>
    <w:p w14:paraId="37802364" w14:textId="4A4AA94E" w:rsidR="002A649F" w:rsidRPr="006706B5" w:rsidRDefault="002A649F" w:rsidP="005E73A8">
      <w:pPr>
        <w:spacing w:before="240"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In total, two coordinators (one from the LA and another from the MAT schools), four mentors (one from the Faith-based, one from the LA, and two from the MAT schools), and three ECTs (two from the LA and one from the MAT schools) came along to these focus groups.</w:t>
      </w:r>
      <w:r w:rsidR="00637A32" w:rsidRPr="006706B5">
        <w:rPr>
          <w:rFonts w:ascii="Times New Roman" w:hAnsi="Times New Roman" w:cs="Times New Roman"/>
          <w:sz w:val="24"/>
          <w:szCs w:val="24"/>
        </w:rPr>
        <w:t xml:space="preserve"> </w:t>
      </w:r>
      <w:r w:rsidR="00B93539" w:rsidRPr="006706B5">
        <w:rPr>
          <w:rFonts w:ascii="Times New Roman" w:hAnsi="Times New Roman" w:cs="Times New Roman"/>
          <w:sz w:val="24"/>
          <w:szCs w:val="24"/>
        </w:rPr>
        <w:t xml:space="preserve">While we </w:t>
      </w:r>
      <w:r w:rsidR="00545303" w:rsidRPr="006706B5">
        <w:rPr>
          <w:rFonts w:ascii="Times New Roman" w:hAnsi="Times New Roman" w:cs="Times New Roman"/>
          <w:sz w:val="24"/>
          <w:szCs w:val="24"/>
        </w:rPr>
        <w:t>sought</w:t>
      </w:r>
      <w:r w:rsidR="00B93539" w:rsidRPr="006706B5">
        <w:rPr>
          <w:rFonts w:ascii="Times New Roman" w:hAnsi="Times New Roman" w:cs="Times New Roman"/>
          <w:sz w:val="24"/>
          <w:szCs w:val="24"/>
        </w:rPr>
        <w:t xml:space="preserve"> </w:t>
      </w:r>
      <w:r w:rsidR="00545303" w:rsidRPr="006706B5">
        <w:rPr>
          <w:rFonts w:ascii="Times New Roman" w:hAnsi="Times New Roman" w:cs="Times New Roman"/>
          <w:sz w:val="24"/>
          <w:szCs w:val="24"/>
        </w:rPr>
        <w:t xml:space="preserve">an </w:t>
      </w:r>
      <w:r w:rsidR="006668C4" w:rsidRPr="006706B5">
        <w:rPr>
          <w:rFonts w:ascii="Times New Roman" w:hAnsi="Times New Roman" w:cs="Times New Roman"/>
          <w:sz w:val="24"/>
          <w:szCs w:val="24"/>
        </w:rPr>
        <w:t xml:space="preserve">equal and </w:t>
      </w:r>
      <w:r w:rsidR="00545303" w:rsidRPr="006706B5">
        <w:rPr>
          <w:rFonts w:ascii="Times New Roman" w:hAnsi="Times New Roman" w:cs="Times New Roman"/>
          <w:sz w:val="24"/>
          <w:szCs w:val="24"/>
        </w:rPr>
        <w:t>greater number of participants</w:t>
      </w:r>
      <w:r w:rsidR="006668C4" w:rsidRPr="006706B5">
        <w:rPr>
          <w:rFonts w:ascii="Times New Roman" w:hAnsi="Times New Roman" w:cs="Times New Roman"/>
          <w:sz w:val="24"/>
          <w:szCs w:val="24"/>
        </w:rPr>
        <w:t xml:space="preserve"> from stakeholders in focus groups, this was not possible due to </w:t>
      </w:r>
      <w:r w:rsidR="00B27416" w:rsidRPr="006706B5">
        <w:rPr>
          <w:rFonts w:ascii="Times New Roman" w:hAnsi="Times New Roman" w:cs="Times New Roman"/>
          <w:sz w:val="24"/>
          <w:szCs w:val="24"/>
        </w:rPr>
        <w:t xml:space="preserve">timetabling constraints faced by our prospective research participants. In addition to this, </w:t>
      </w:r>
      <w:r w:rsidR="002820B0" w:rsidRPr="006706B5">
        <w:rPr>
          <w:rFonts w:ascii="Times New Roman" w:hAnsi="Times New Roman" w:cs="Times New Roman"/>
          <w:sz w:val="24"/>
          <w:szCs w:val="24"/>
        </w:rPr>
        <w:t xml:space="preserve">due to </w:t>
      </w:r>
      <w:r w:rsidR="00C219FB" w:rsidRPr="006706B5">
        <w:rPr>
          <w:rFonts w:ascii="Times New Roman" w:hAnsi="Times New Roman" w:cs="Times New Roman"/>
          <w:sz w:val="24"/>
          <w:szCs w:val="24"/>
        </w:rPr>
        <w:t>a greater</w:t>
      </w:r>
      <w:r w:rsidR="00637A32" w:rsidRPr="006706B5">
        <w:rPr>
          <w:rFonts w:ascii="Times New Roman" w:hAnsi="Times New Roman" w:cs="Times New Roman"/>
          <w:sz w:val="24"/>
          <w:szCs w:val="24"/>
        </w:rPr>
        <w:t xml:space="preserve"> distance between the school and our institution</w:t>
      </w:r>
      <w:r w:rsidR="002820B0" w:rsidRPr="006706B5">
        <w:rPr>
          <w:rFonts w:ascii="Times New Roman" w:hAnsi="Times New Roman" w:cs="Times New Roman"/>
          <w:sz w:val="24"/>
          <w:szCs w:val="24"/>
        </w:rPr>
        <w:t xml:space="preserve"> where focus groups were conducted</w:t>
      </w:r>
      <w:r w:rsidR="00637A32" w:rsidRPr="006706B5">
        <w:rPr>
          <w:rFonts w:ascii="Times New Roman" w:hAnsi="Times New Roman" w:cs="Times New Roman"/>
          <w:sz w:val="24"/>
          <w:szCs w:val="24"/>
        </w:rPr>
        <w:t>, it was not possible to get representation from the Independent School at the</w:t>
      </w:r>
      <w:r w:rsidR="00270E29" w:rsidRPr="006706B5">
        <w:rPr>
          <w:rFonts w:ascii="Times New Roman" w:hAnsi="Times New Roman" w:cs="Times New Roman"/>
          <w:sz w:val="24"/>
          <w:szCs w:val="24"/>
        </w:rPr>
        <w:t>se focus groups</w:t>
      </w:r>
      <w:r w:rsidR="00637A32" w:rsidRPr="006706B5">
        <w:rPr>
          <w:rFonts w:ascii="Times New Roman" w:hAnsi="Times New Roman" w:cs="Times New Roman"/>
          <w:sz w:val="24"/>
          <w:szCs w:val="24"/>
        </w:rPr>
        <w:t xml:space="preserve">. To mitigate this, we </w:t>
      </w:r>
      <w:r w:rsidR="00F13A22" w:rsidRPr="006706B5">
        <w:rPr>
          <w:rFonts w:ascii="Times New Roman" w:hAnsi="Times New Roman" w:cs="Times New Roman"/>
          <w:sz w:val="24"/>
          <w:szCs w:val="24"/>
        </w:rPr>
        <w:t xml:space="preserve">ensured </w:t>
      </w:r>
      <w:r w:rsidR="00637A32" w:rsidRPr="006706B5">
        <w:rPr>
          <w:rFonts w:ascii="Times New Roman" w:hAnsi="Times New Roman" w:cs="Times New Roman"/>
          <w:sz w:val="24"/>
          <w:szCs w:val="24"/>
        </w:rPr>
        <w:t>that the prompts for the focus group discussion, which were drawn from preliminary</w:t>
      </w:r>
      <w:r w:rsidR="00DC5482" w:rsidRPr="006706B5">
        <w:rPr>
          <w:rFonts w:ascii="Times New Roman" w:hAnsi="Times New Roman" w:cs="Times New Roman"/>
          <w:sz w:val="24"/>
          <w:szCs w:val="24"/>
        </w:rPr>
        <w:t xml:space="preserve"> research</w:t>
      </w:r>
      <w:r w:rsidR="00637A32" w:rsidRPr="006706B5">
        <w:rPr>
          <w:rFonts w:ascii="Times New Roman" w:hAnsi="Times New Roman" w:cs="Times New Roman"/>
          <w:sz w:val="24"/>
          <w:szCs w:val="24"/>
        </w:rPr>
        <w:t xml:space="preserve"> findings arising from the interviews, were representative of the four categories of </w:t>
      </w:r>
      <w:r w:rsidR="00167CAF" w:rsidRPr="006706B5">
        <w:rPr>
          <w:rFonts w:ascii="Times New Roman" w:hAnsi="Times New Roman" w:cs="Times New Roman"/>
          <w:sz w:val="24"/>
          <w:szCs w:val="24"/>
        </w:rPr>
        <w:t>schools</w:t>
      </w:r>
      <w:r w:rsidR="00637A32" w:rsidRPr="006706B5">
        <w:rPr>
          <w:rFonts w:ascii="Times New Roman" w:hAnsi="Times New Roman" w:cs="Times New Roman"/>
          <w:sz w:val="24"/>
          <w:szCs w:val="24"/>
        </w:rPr>
        <w:t xml:space="preserve"> involved in the research.</w:t>
      </w:r>
    </w:p>
    <w:p w14:paraId="00E050A1" w14:textId="6FF5C9D9" w:rsidR="00703441" w:rsidRPr="006706B5" w:rsidRDefault="00003F15" w:rsidP="00C219FB">
      <w:pPr>
        <w:spacing w:before="240"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 </w:t>
      </w:r>
      <w:r w:rsidR="00C93FC3" w:rsidRPr="006706B5">
        <w:rPr>
          <w:rFonts w:ascii="Times New Roman" w:hAnsi="Times New Roman" w:cs="Times New Roman"/>
          <w:sz w:val="24"/>
          <w:szCs w:val="24"/>
        </w:rPr>
        <w:t xml:space="preserve">Interviews and focus groups were audio-recorded, and the recordings were used for transcription purposes. The transcripts were analysed thematically using NVivo software. The steps we followed for thematic analysis are outlined in Braun &amp; Clarke (2020). Briefly, though, the analysis began with coding which was conducted both inductively (by drawing on the perspectives of the participants—resulting in codes such as time constraints) and deductively (informed by scholarly discussions on the topic—for example, Towers et al. (2022) study </w:t>
      </w:r>
      <w:r w:rsidR="002E11E3" w:rsidRPr="006706B5">
        <w:rPr>
          <w:rFonts w:ascii="Times New Roman" w:hAnsi="Times New Roman" w:cs="Times New Roman"/>
          <w:sz w:val="24"/>
          <w:szCs w:val="24"/>
        </w:rPr>
        <w:t>led</w:t>
      </w:r>
      <w:r w:rsidR="00C93FC3" w:rsidRPr="006706B5">
        <w:rPr>
          <w:rFonts w:ascii="Times New Roman" w:hAnsi="Times New Roman" w:cs="Times New Roman"/>
          <w:sz w:val="24"/>
          <w:szCs w:val="24"/>
        </w:rPr>
        <w:t xml:space="preserve"> to identifying codes</w:t>
      </w:r>
      <w:r w:rsidR="002E11E3" w:rsidRPr="006706B5">
        <w:rPr>
          <w:rFonts w:ascii="Times New Roman" w:hAnsi="Times New Roman" w:cs="Times New Roman"/>
          <w:sz w:val="24"/>
          <w:szCs w:val="24"/>
        </w:rPr>
        <w:t>,</w:t>
      </w:r>
      <w:r w:rsidR="00C93FC3" w:rsidRPr="006706B5">
        <w:rPr>
          <w:rFonts w:ascii="Times New Roman" w:hAnsi="Times New Roman" w:cs="Times New Roman"/>
          <w:sz w:val="24"/>
          <w:szCs w:val="24"/>
        </w:rPr>
        <w:t xml:space="preserve"> such as teachers’ work, identity, and teacher-preparedness</w:t>
      </w:r>
      <w:r w:rsidR="002E11E3" w:rsidRPr="006706B5">
        <w:rPr>
          <w:rFonts w:ascii="Times New Roman" w:hAnsi="Times New Roman" w:cs="Times New Roman"/>
          <w:sz w:val="24"/>
          <w:szCs w:val="24"/>
        </w:rPr>
        <w:t>,</w:t>
      </w:r>
      <w:r w:rsidR="00C93FC3" w:rsidRPr="006706B5">
        <w:rPr>
          <w:rFonts w:ascii="Times New Roman" w:hAnsi="Times New Roman" w:cs="Times New Roman"/>
          <w:sz w:val="24"/>
          <w:szCs w:val="24"/>
        </w:rPr>
        <w:t xml:space="preserve"> to classify the data). The coded material was subsequently reviewed reflexively to identify themes from the data. The dominant themes relevant to mentorship programmes across schools </w:t>
      </w:r>
      <w:r w:rsidR="002B16FB" w:rsidRPr="006706B5">
        <w:rPr>
          <w:rFonts w:ascii="Times New Roman" w:hAnsi="Times New Roman" w:cs="Times New Roman"/>
          <w:sz w:val="24"/>
          <w:szCs w:val="24"/>
        </w:rPr>
        <w:t xml:space="preserve">that took part in our study </w:t>
      </w:r>
      <w:r w:rsidR="00C93FC3" w:rsidRPr="006706B5">
        <w:rPr>
          <w:rFonts w:ascii="Times New Roman" w:hAnsi="Times New Roman" w:cs="Times New Roman"/>
          <w:sz w:val="24"/>
          <w:szCs w:val="24"/>
        </w:rPr>
        <w:t>are discussed in the following section</w:t>
      </w:r>
      <w:r w:rsidR="002E11E3" w:rsidRPr="006706B5">
        <w:rPr>
          <w:rFonts w:ascii="Times New Roman" w:hAnsi="Times New Roman" w:cs="Times New Roman"/>
          <w:sz w:val="24"/>
          <w:szCs w:val="24"/>
        </w:rPr>
        <w:t>s</w:t>
      </w:r>
      <w:r w:rsidR="00C93FC3" w:rsidRPr="006706B5">
        <w:rPr>
          <w:rFonts w:ascii="Times New Roman" w:hAnsi="Times New Roman" w:cs="Times New Roman"/>
          <w:sz w:val="24"/>
          <w:szCs w:val="24"/>
        </w:rPr>
        <w:t xml:space="preserve">. </w:t>
      </w:r>
    </w:p>
    <w:p w14:paraId="4E181101" w14:textId="7A7AD494"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lastRenderedPageBreak/>
        <w:t>Similarities across school types:</w:t>
      </w:r>
      <w:r w:rsidR="00581689" w:rsidRPr="006706B5">
        <w:rPr>
          <w:rFonts w:ascii="Times New Roman" w:hAnsi="Times New Roman" w:cs="Times New Roman"/>
          <w:b/>
          <w:bCs/>
          <w:color w:val="auto"/>
          <w:sz w:val="24"/>
          <w:szCs w:val="24"/>
        </w:rPr>
        <w:t xml:space="preserve"> Findings and </w:t>
      </w:r>
      <w:r w:rsidRPr="006706B5">
        <w:rPr>
          <w:rFonts w:ascii="Times New Roman" w:hAnsi="Times New Roman" w:cs="Times New Roman"/>
          <w:b/>
          <w:bCs/>
          <w:color w:val="auto"/>
          <w:sz w:val="24"/>
          <w:szCs w:val="24"/>
        </w:rPr>
        <w:t>discussion</w:t>
      </w:r>
    </w:p>
    <w:p w14:paraId="09DC917D" w14:textId="4074E439" w:rsidR="00A87DA9" w:rsidRPr="006706B5" w:rsidRDefault="00452F38" w:rsidP="001459B0">
      <w:pPr>
        <w:spacing w:line="480" w:lineRule="auto"/>
        <w:rPr>
          <w:rFonts w:ascii="Times New Roman" w:hAnsi="Times New Roman" w:cs="Times New Roman"/>
          <w:sz w:val="24"/>
          <w:szCs w:val="24"/>
        </w:rPr>
      </w:pPr>
      <w:r w:rsidRPr="006706B5">
        <w:rPr>
          <w:rFonts w:ascii="Times New Roman" w:hAnsi="Times New Roman" w:cs="Times New Roman"/>
          <w:sz w:val="24"/>
          <w:szCs w:val="24"/>
        </w:rPr>
        <w:t>There were</w:t>
      </w:r>
      <w:r w:rsidR="00A87DA9" w:rsidRPr="006706B5">
        <w:rPr>
          <w:rFonts w:ascii="Times New Roman" w:hAnsi="Times New Roman" w:cs="Times New Roman"/>
          <w:sz w:val="24"/>
          <w:szCs w:val="24"/>
        </w:rPr>
        <w:t xml:space="preserve"> three</w:t>
      </w:r>
      <w:r w:rsidRPr="006706B5">
        <w:rPr>
          <w:rFonts w:ascii="Times New Roman" w:hAnsi="Times New Roman" w:cs="Times New Roman"/>
          <w:sz w:val="24"/>
          <w:szCs w:val="24"/>
        </w:rPr>
        <w:t xml:space="preserve"> </w:t>
      </w:r>
      <w:r w:rsidR="004D0FB3" w:rsidRPr="006706B5">
        <w:rPr>
          <w:rFonts w:ascii="Times New Roman" w:hAnsi="Times New Roman" w:cs="Times New Roman"/>
          <w:sz w:val="24"/>
          <w:szCs w:val="24"/>
        </w:rPr>
        <w:t xml:space="preserve">primary ways in which the enactment of ECF </w:t>
      </w:r>
      <w:r w:rsidR="005567FD" w:rsidRPr="006706B5">
        <w:rPr>
          <w:rFonts w:ascii="Times New Roman" w:hAnsi="Times New Roman" w:cs="Times New Roman"/>
          <w:sz w:val="24"/>
          <w:szCs w:val="24"/>
        </w:rPr>
        <w:t>appeared to be similar</w:t>
      </w:r>
      <w:r w:rsidR="00A87DA9" w:rsidRPr="006706B5">
        <w:rPr>
          <w:rFonts w:ascii="Times New Roman" w:hAnsi="Times New Roman" w:cs="Times New Roman"/>
          <w:sz w:val="24"/>
          <w:szCs w:val="24"/>
        </w:rPr>
        <w:t xml:space="preserve"> across school types</w:t>
      </w:r>
      <w:r w:rsidR="005567FD" w:rsidRPr="006706B5">
        <w:rPr>
          <w:rFonts w:ascii="Times New Roman" w:hAnsi="Times New Roman" w:cs="Times New Roman"/>
          <w:sz w:val="24"/>
          <w:szCs w:val="24"/>
        </w:rPr>
        <w:t>.</w:t>
      </w:r>
      <w:r w:rsidR="00A87DA9" w:rsidRPr="006706B5">
        <w:rPr>
          <w:rFonts w:ascii="Times New Roman" w:hAnsi="Times New Roman" w:cs="Times New Roman"/>
          <w:sz w:val="24"/>
          <w:szCs w:val="24"/>
        </w:rPr>
        <w:t xml:space="preserve"> Each of these ways </w:t>
      </w:r>
      <w:r w:rsidR="00A75274" w:rsidRPr="006706B5">
        <w:rPr>
          <w:rFonts w:ascii="Times New Roman" w:hAnsi="Times New Roman" w:cs="Times New Roman"/>
          <w:sz w:val="24"/>
          <w:szCs w:val="24"/>
        </w:rPr>
        <w:t>is</w:t>
      </w:r>
      <w:r w:rsidR="00A87DA9" w:rsidRPr="006706B5">
        <w:rPr>
          <w:rFonts w:ascii="Times New Roman" w:hAnsi="Times New Roman" w:cs="Times New Roman"/>
          <w:sz w:val="24"/>
          <w:szCs w:val="24"/>
        </w:rPr>
        <w:t xml:space="preserve"> discussed in turn below. </w:t>
      </w:r>
    </w:p>
    <w:p w14:paraId="0C512C88" w14:textId="2AF08305" w:rsidR="00C93FC3" w:rsidRPr="006706B5" w:rsidRDefault="00A87DA9" w:rsidP="00A87DA9">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F</w:t>
      </w:r>
      <w:r w:rsidR="00C93FC3" w:rsidRPr="006706B5">
        <w:rPr>
          <w:rFonts w:ascii="Times New Roman" w:hAnsi="Times New Roman" w:cs="Times New Roman"/>
          <w:sz w:val="24"/>
          <w:szCs w:val="24"/>
        </w:rPr>
        <w:t xml:space="preserve">irstly, all research participants supported the premise of the ECF in </w:t>
      </w:r>
      <w:r w:rsidR="00C6564F" w:rsidRPr="006706B5">
        <w:rPr>
          <w:rFonts w:ascii="Times New Roman" w:hAnsi="Times New Roman" w:cs="Times New Roman"/>
          <w:sz w:val="24"/>
          <w:szCs w:val="24"/>
        </w:rPr>
        <w:t xml:space="preserve">ensuring that new schoolteachers succeed in their transition into </w:t>
      </w:r>
      <w:r w:rsidR="0038706C" w:rsidRPr="006706B5">
        <w:rPr>
          <w:rFonts w:ascii="Times New Roman" w:hAnsi="Times New Roman" w:cs="Times New Roman"/>
          <w:sz w:val="24"/>
          <w:szCs w:val="24"/>
        </w:rPr>
        <w:t>the teaching</w:t>
      </w:r>
      <w:r w:rsidR="00C6564F" w:rsidRPr="006706B5">
        <w:rPr>
          <w:rFonts w:ascii="Times New Roman" w:hAnsi="Times New Roman" w:cs="Times New Roman"/>
          <w:sz w:val="24"/>
          <w:szCs w:val="24"/>
        </w:rPr>
        <w:t xml:space="preserve"> profession</w:t>
      </w:r>
      <w:r w:rsidR="0038706C" w:rsidRPr="006706B5">
        <w:rPr>
          <w:rFonts w:ascii="Times New Roman" w:hAnsi="Times New Roman" w:cs="Times New Roman"/>
          <w:sz w:val="24"/>
          <w:szCs w:val="24"/>
        </w:rPr>
        <w:t>, with many mentors and coordinators</w:t>
      </w:r>
      <w:r w:rsidR="001459B0" w:rsidRPr="006706B5">
        <w:rPr>
          <w:rFonts w:ascii="Times New Roman" w:hAnsi="Times New Roman" w:cs="Times New Roman"/>
          <w:sz w:val="24"/>
          <w:szCs w:val="24"/>
        </w:rPr>
        <w:t xml:space="preserve"> noting how </w:t>
      </w:r>
      <w:r w:rsidR="001459B0" w:rsidRPr="006706B5">
        <w:rPr>
          <w:rFonts w:ascii="Times New Roman" w:hAnsi="Times New Roman" w:cs="Times New Roman"/>
          <w:i/>
          <w:iCs/>
          <w:sz w:val="24"/>
          <w:szCs w:val="24"/>
        </w:rPr>
        <w:t>they</w:t>
      </w:r>
      <w:r w:rsidR="00C93FC3" w:rsidRPr="006706B5">
        <w:rPr>
          <w:rFonts w:ascii="Times New Roman" w:hAnsi="Times New Roman" w:cs="Times New Roman"/>
          <w:sz w:val="24"/>
          <w:szCs w:val="24"/>
        </w:rPr>
        <w:t xml:space="preserve"> would have benefited from this opportunity when they began their careers and how supporting ECTs is now imperative in the context of fewer teachers being recruited and more leaving the profession. As the excerpts below show, the broader context of this perceived need for supporting teachers was the acknowledgement of teachers working in a pressure-driven work environment</w:t>
      </w:r>
      <w:r w:rsidR="004F630F" w:rsidRPr="006706B5">
        <w:rPr>
          <w:rFonts w:ascii="Times New Roman" w:hAnsi="Times New Roman" w:cs="Times New Roman"/>
          <w:sz w:val="24"/>
          <w:szCs w:val="24"/>
        </w:rPr>
        <w:t>. This</w:t>
      </w:r>
      <w:r w:rsidR="00BB4E86" w:rsidRPr="006706B5">
        <w:rPr>
          <w:rFonts w:ascii="Times New Roman" w:hAnsi="Times New Roman" w:cs="Times New Roman"/>
          <w:sz w:val="24"/>
          <w:szCs w:val="24"/>
        </w:rPr>
        <w:t xml:space="preserve"> </w:t>
      </w:r>
      <w:r w:rsidR="00C93FC3" w:rsidRPr="006706B5">
        <w:rPr>
          <w:rFonts w:ascii="Times New Roman" w:hAnsi="Times New Roman" w:cs="Times New Roman"/>
          <w:sz w:val="24"/>
          <w:szCs w:val="24"/>
        </w:rPr>
        <w:t xml:space="preserve">has been discussed extensively in the literature as </w:t>
      </w:r>
      <w:r w:rsidR="004F630F" w:rsidRPr="006706B5">
        <w:rPr>
          <w:rFonts w:ascii="Times New Roman" w:hAnsi="Times New Roman" w:cs="Times New Roman"/>
          <w:sz w:val="24"/>
          <w:szCs w:val="24"/>
        </w:rPr>
        <w:t xml:space="preserve">being </w:t>
      </w:r>
      <w:r w:rsidR="00C93FC3" w:rsidRPr="006706B5">
        <w:rPr>
          <w:rFonts w:ascii="Times New Roman" w:hAnsi="Times New Roman" w:cs="Times New Roman"/>
          <w:sz w:val="24"/>
          <w:szCs w:val="24"/>
        </w:rPr>
        <w:t xml:space="preserve">a direct result of performative accountability and target-centric teachers’ work over the years in the empirical context (see Perryman et al., </w:t>
      </w:r>
      <w:r w:rsidR="00BA682B" w:rsidRPr="006706B5">
        <w:rPr>
          <w:rFonts w:ascii="Times New Roman" w:hAnsi="Times New Roman" w:cs="Times New Roman"/>
          <w:sz w:val="24"/>
          <w:szCs w:val="24"/>
        </w:rPr>
        <w:t>2024</w:t>
      </w:r>
      <w:r w:rsidR="00C93FC3" w:rsidRPr="006706B5">
        <w:rPr>
          <w:rFonts w:ascii="Times New Roman" w:hAnsi="Times New Roman" w:cs="Times New Roman"/>
          <w:sz w:val="24"/>
          <w:szCs w:val="24"/>
        </w:rPr>
        <w:t xml:space="preserve">; </w:t>
      </w:r>
      <w:r w:rsidR="001C5E24" w:rsidRPr="006706B5">
        <w:rPr>
          <w:rFonts w:ascii="Times New Roman" w:hAnsi="Times New Roman" w:cs="Times New Roman"/>
          <w:sz w:val="24"/>
          <w:szCs w:val="24"/>
        </w:rPr>
        <w:t>Proud</w:t>
      </w:r>
      <w:r w:rsidR="00211007" w:rsidRPr="006706B5">
        <w:rPr>
          <w:rFonts w:ascii="Times New Roman" w:hAnsi="Times New Roman" w:cs="Times New Roman"/>
          <w:sz w:val="24"/>
          <w:szCs w:val="24"/>
        </w:rPr>
        <w:t xml:space="preserve">foot &amp; Boyd, 2023; </w:t>
      </w:r>
      <w:r w:rsidR="00C93FC3" w:rsidRPr="006706B5">
        <w:rPr>
          <w:rFonts w:ascii="Times New Roman" w:hAnsi="Times New Roman" w:cs="Times New Roman"/>
          <w:sz w:val="24"/>
          <w:szCs w:val="24"/>
        </w:rPr>
        <w:t>Towers et al., 2022</w:t>
      </w:r>
      <w:r w:rsidR="002957FD" w:rsidRPr="006706B5">
        <w:rPr>
          <w:rFonts w:ascii="Times New Roman" w:hAnsi="Times New Roman" w:cs="Times New Roman"/>
          <w:sz w:val="24"/>
          <w:szCs w:val="24"/>
        </w:rPr>
        <w:t>; West et al., 2011</w:t>
      </w:r>
      <w:r w:rsidR="00C93FC3" w:rsidRPr="006706B5">
        <w:rPr>
          <w:rFonts w:ascii="Times New Roman" w:hAnsi="Times New Roman" w:cs="Times New Roman"/>
          <w:sz w:val="24"/>
          <w:szCs w:val="24"/>
        </w:rPr>
        <w:t>):</w:t>
      </w:r>
    </w:p>
    <w:p w14:paraId="212616BB" w14:textId="77777777" w:rsidR="00C93FC3" w:rsidRPr="006706B5" w:rsidRDefault="00C93FC3" w:rsidP="00475B79">
      <w:pPr>
        <w:spacing w:line="360" w:lineRule="auto"/>
        <w:ind w:left="720"/>
        <w:rPr>
          <w:rFonts w:ascii="Times New Roman" w:hAnsi="Times New Roman" w:cs="Times New Roman"/>
          <w:sz w:val="24"/>
          <w:szCs w:val="24"/>
        </w:rPr>
      </w:pPr>
      <w:r w:rsidRPr="006706B5">
        <w:rPr>
          <w:rFonts w:ascii="Times New Roman" w:hAnsi="Times New Roman" w:cs="Times New Roman"/>
          <w:sz w:val="24"/>
          <w:szCs w:val="24"/>
        </w:rPr>
        <w:t>I think in direct response to the retention and recruitment crisis, it's so important that these teachers [ECTs] are nurtured and given the opportunities to really become a master at what they do rather than, 'Right, you've got a pulse. Quick, in the classroom! Off you go. Good luck. See you in a couple of years if you make it.' [MAT, coordinator]</w:t>
      </w:r>
    </w:p>
    <w:p w14:paraId="4D42B5AF" w14:textId="77777777" w:rsidR="00C93FC3" w:rsidRPr="006706B5" w:rsidRDefault="00C93FC3" w:rsidP="00475B79">
      <w:pPr>
        <w:spacing w:line="360" w:lineRule="auto"/>
        <w:ind w:left="720"/>
        <w:rPr>
          <w:rFonts w:ascii="Times New Roman" w:hAnsi="Times New Roman" w:cs="Times New Roman"/>
          <w:sz w:val="24"/>
          <w:szCs w:val="24"/>
        </w:rPr>
      </w:pPr>
      <w:r w:rsidRPr="006706B5">
        <w:rPr>
          <w:rFonts w:ascii="Times New Roman" w:hAnsi="Times New Roman" w:cs="Times New Roman"/>
          <w:sz w:val="24"/>
          <w:szCs w:val="24"/>
        </w:rPr>
        <w:t>Obviously, it's [as ECT] very intense and there's a lot for that person to deal with. So, it's a balance, isn't it, of giving them enough and pushing enough that you're getting - you're developing as a teacher, but not so much that you're going to put them off and they're going to want to leave. [Faith-based, mentor-1]</w:t>
      </w:r>
    </w:p>
    <w:p w14:paraId="6068072A" w14:textId="77777777" w:rsidR="006852F3" w:rsidRPr="006706B5" w:rsidRDefault="00C93FC3" w:rsidP="00563EC2">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Secondly, recognising its importance and responding to government mandates, all the schools that participated in this research allocated requisite resources for their ECT mentorship programme, including instituting a formal mentorship arrangement as per the policy document (DfE, 2019</w:t>
      </w:r>
      <w:r w:rsidR="005D6C03" w:rsidRPr="006706B5">
        <w:rPr>
          <w:rFonts w:ascii="Times New Roman" w:hAnsi="Times New Roman" w:cs="Times New Roman"/>
          <w:sz w:val="24"/>
          <w:szCs w:val="24"/>
        </w:rPr>
        <w:t>b</w:t>
      </w:r>
      <w:r w:rsidRPr="006706B5">
        <w:rPr>
          <w:rFonts w:ascii="Times New Roman" w:hAnsi="Times New Roman" w:cs="Times New Roman"/>
          <w:sz w:val="24"/>
          <w:szCs w:val="24"/>
        </w:rPr>
        <w:t xml:space="preserve">). </w:t>
      </w:r>
    </w:p>
    <w:p w14:paraId="7B1C9796" w14:textId="5ED304B2" w:rsidR="003B2BAD" w:rsidRPr="006706B5" w:rsidRDefault="00C93FC3" w:rsidP="00563EC2">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lastRenderedPageBreak/>
        <w:t>A significant resource</w:t>
      </w:r>
      <w:r w:rsidR="006852F3" w:rsidRPr="006706B5">
        <w:rPr>
          <w:rFonts w:ascii="Times New Roman" w:hAnsi="Times New Roman" w:cs="Times New Roman"/>
          <w:sz w:val="24"/>
          <w:szCs w:val="24"/>
        </w:rPr>
        <w:t xml:space="preserve"> allocated for the purpose</w:t>
      </w:r>
      <w:r w:rsidRPr="006706B5">
        <w:rPr>
          <w:rFonts w:ascii="Times New Roman" w:hAnsi="Times New Roman" w:cs="Times New Roman"/>
          <w:sz w:val="24"/>
          <w:szCs w:val="24"/>
        </w:rPr>
        <w:t xml:space="preserve"> that all the participants reflected on was Time. This was talked about variously but predominantly in terms of lengthening the period of induction from one year for newly qualified teachers to two years to ensure that new teachers are provided with comprehensive support. Additionally, all the schools in our sample had a policy to: not </w:t>
      </w:r>
      <w:r w:rsidR="000C151E" w:rsidRPr="006706B5">
        <w:rPr>
          <w:rFonts w:ascii="Times New Roman" w:hAnsi="Times New Roman" w:cs="Times New Roman"/>
          <w:sz w:val="24"/>
          <w:szCs w:val="24"/>
        </w:rPr>
        <w:t xml:space="preserve">ask </w:t>
      </w:r>
      <w:r w:rsidRPr="006706B5">
        <w:rPr>
          <w:rFonts w:ascii="Times New Roman" w:hAnsi="Times New Roman" w:cs="Times New Roman"/>
          <w:sz w:val="24"/>
          <w:szCs w:val="24"/>
        </w:rPr>
        <w:t>the ECTs to cover other teachers’ work; not give ECTs the same responsibilities as many of the other experienced teachers had; and provide the ECTs with extra time on their timetable (about 10 per cent in the first year and 5 per cent in the second year of the ECT programme) to ensure the completion of the tasks they ought to do during the first two years of their employment (again, as outlined in DfE, 2019</w:t>
      </w:r>
      <w:r w:rsidR="005D6C03" w:rsidRPr="006706B5">
        <w:rPr>
          <w:rFonts w:ascii="Times New Roman" w:hAnsi="Times New Roman" w:cs="Times New Roman"/>
          <w:sz w:val="24"/>
          <w:szCs w:val="24"/>
        </w:rPr>
        <w:t>b</w:t>
      </w:r>
      <w:r w:rsidRPr="006706B5">
        <w:rPr>
          <w:rFonts w:ascii="Times New Roman" w:hAnsi="Times New Roman" w:cs="Times New Roman"/>
          <w:sz w:val="24"/>
          <w:szCs w:val="24"/>
        </w:rPr>
        <w:t xml:space="preserve">). </w:t>
      </w:r>
    </w:p>
    <w:p w14:paraId="1340EBCB" w14:textId="277FC9AF" w:rsidR="00C93FC3" w:rsidRPr="006706B5" w:rsidRDefault="00C93FC3" w:rsidP="003B2BAD">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These changes to school practices signify</w:t>
      </w:r>
      <w:r w:rsidR="007F1090" w:rsidRPr="006706B5">
        <w:rPr>
          <w:rFonts w:ascii="Times New Roman" w:hAnsi="Times New Roman" w:cs="Times New Roman"/>
          <w:sz w:val="24"/>
          <w:szCs w:val="24"/>
        </w:rPr>
        <w:t xml:space="preserve"> </w:t>
      </w:r>
      <w:r w:rsidR="00B0669E" w:rsidRPr="006706B5">
        <w:rPr>
          <w:rFonts w:ascii="Times New Roman" w:hAnsi="Times New Roman" w:cs="Times New Roman"/>
          <w:sz w:val="24"/>
          <w:szCs w:val="24"/>
        </w:rPr>
        <w:t xml:space="preserve">a changing </w:t>
      </w:r>
      <w:r w:rsidR="007F1090" w:rsidRPr="006706B5">
        <w:rPr>
          <w:rFonts w:ascii="Times New Roman" w:hAnsi="Times New Roman" w:cs="Times New Roman"/>
          <w:sz w:val="24"/>
          <w:szCs w:val="24"/>
        </w:rPr>
        <w:t xml:space="preserve">material </w:t>
      </w:r>
      <w:r w:rsidR="00B0669E" w:rsidRPr="006706B5">
        <w:rPr>
          <w:rFonts w:ascii="Times New Roman" w:hAnsi="Times New Roman" w:cs="Times New Roman"/>
          <w:sz w:val="24"/>
          <w:szCs w:val="24"/>
        </w:rPr>
        <w:t xml:space="preserve">context for </w:t>
      </w:r>
      <w:r w:rsidR="004F630F" w:rsidRPr="006706B5">
        <w:rPr>
          <w:rFonts w:ascii="Times New Roman" w:hAnsi="Times New Roman" w:cs="Times New Roman"/>
          <w:sz w:val="24"/>
          <w:szCs w:val="24"/>
        </w:rPr>
        <w:t xml:space="preserve">the </w:t>
      </w:r>
      <w:r w:rsidR="00B0669E" w:rsidRPr="006706B5">
        <w:rPr>
          <w:rFonts w:ascii="Times New Roman" w:hAnsi="Times New Roman" w:cs="Times New Roman"/>
          <w:sz w:val="24"/>
          <w:szCs w:val="24"/>
        </w:rPr>
        <w:t>selected schools</w:t>
      </w:r>
      <w:r w:rsidR="004F630F" w:rsidRPr="006706B5">
        <w:rPr>
          <w:rFonts w:ascii="Times New Roman" w:hAnsi="Times New Roman" w:cs="Times New Roman"/>
          <w:sz w:val="24"/>
          <w:szCs w:val="24"/>
        </w:rPr>
        <w:t>,</w:t>
      </w:r>
      <w:r w:rsidR="00B0669E" w:rsidRPr="006706B5">
        <w:rPr>
          <w:rFonts w:ascii="Times New Roman" w:hAnsi="Times New Roman" w:cs="Times New Roman"/>
          <w:sz w:val="24"/>
          <w:szCs w:val="24"/>
        </w:rPr>
        <w:t xml:space="preserve"> as they responded e</w:t>
      </w:r>
      <w:r w:rsidR="00FD0D58" w:rsidRPr="006706B5">
        <w:rPr>
          <w:rFonts w:ascii="Times New Roman" w:hAnsi="Times New Roman" w:cs="Times New Roman"/>
          <w:sz w:val="24"/>
          <w:szCs w:val="24"/>
        </w:rPr>
        <w:t>ffectively to</w:t>
      </w:r>
      <w:r w:rsidRPr="006706B5">
        <w:rPr>
          <w:rFonts w:ascii="Times New Roman" w:hAnsi="Times New Roman" w:cs="Times New Roman"/>
          <w:sz w:val="24"/>
          <w:szCs w:val="24"/>
        </w:rPr>
        <w:t xml:space="preserve"> ‘the ‘outside’ compliance with external policy demands’ in enactment processes (see Braun et al., 2010, p.558). While these provisions were aimed </w:t>
      </w:r>
      <w:r w:rsidR="00A5598A" w:rsidRPr="006706B5">
        <w:rPr>
          <w:rFonts w:ascii="Times New Roman" w:hAnsi="Times New Roman" w:cs="Times New Roman"/>
          <w:sz w:val="24"/>
          <w:szCs w:val="24"/>
        </w:rPr>
        <w:t>at alleviating</w:t>
      </w:r>
      <w:r w:rsidRPr="006706B5">
        <w:rPr>
          <w:rFonts w:ascii="Times New Roman" w:hAnsi="Times New Roman" w:cs="Times New Roman"/>
          <w:sz w:val="24"/>
          <w:szCs w:val="24"/>
        </w:rPr>
        <w:t xml:space="preserve"> some stress for ECTs, many of </w:t>
      </w:r>
      <w:r w:rsidR="0054017C" w:rsidRPr="006706B5">
        <w:rPr>
          <w:rFonts w:ascii="Times New Roman" w:hAnsi="Times New Roman" w:cs="Times New Roman"/>
          <w:sz w:val="24"/>
          <w:szCs w:val="24"/>
        </w:rPr>
        <w:t>the ECTs we spoke with</w:t>
      </w:r>
      <w:r w:rsidRPr="006706B5">
        <w:rPr>
          <w:rFonts w:ascii="Times New Roman" w:hAnsi="Times New Roman" w:cs="Times New Roman"/>
          <w:sz w:val="24"/>
          <w:szCs w:val="24"/>
        </w:rPr>
        <w:t xml:space="preserve"> still reported feeling overwhelmed by the job demands, which is consistent with pre-ECF studies (e.g., Spencer et al., 2017), thus demonstrating that material re-contextualisation of schools itself may not always be effective in meeting policy aspirations</w:t>
      </w:r>
      <w:r w:rsidR="008E3E99" w:rsidRPr="006706B5">
        <w:rPr>
          <w:rFonts w:ascii="Times New Roman" w:hAnsi="Times New Roman" w:cs="Times New Roman"/>
          <w:sz w:val="24"/>
          <w:szCs w:val="24"/>
        </w:rPr>
        <w:t xml:space="preserve"> adequately</w:t>
      </w:r>
      <w:r w:rsidRPr="006706B5">
        <w:rPr>
          <w:rFonts w:ascii="Times New Roman" w:hAnsi="Times New Roman" w:cs="Times New Roman"/>
          <w:sz w:val="24"/>
          <w:szCs w:val="24"/>
        </w:rPr>
        <w:t xml:space="preserve">.   </w:t>
      </w:r>
    </w:p>
    <w:p w14:paraId="3CA28FD5" w14:textId="07C334E5" w:rsidR="00C93FC3" w:rsidRPr="006706B5" w:rsidRDefault="00C93FC3" w:rsidP="006D3AE7">
      <w:pPr>
        <w:spacing w:line="480" w:lineRule="auto"/>
        <w:ind w:firstLine="709"/>
        <w:rPr>
          <w:rFonts w:ascii="Times New Roman" w:hAnsi="Times New Roman" w:cs="Times New Roman"/>
          <w:sz w:val="24"/>
          <w:szCs w:val="24"/>
        </w:rPr>
      </w:pPr>
      <w:r w:rsidRPr="006706B5">
        <w:rPr>
          <w:rFonts w:ascii="Times New Roman" w:hAnsi="Times New Roman" w:cs="Times New Roman"/>
          <w:sz w:val="24"/>
          <w:szCs w:val="24"/>
        </w:rPr>
        <w:t xml:space="preserve">Finally, all the mentors who participated in this study advocated that ECTs </w:t>
      </w:r>
      <w:r w:rsidRPr="006706B5">
        <w:rPr>
          <w:rFonts w:ascii="Times New Roman" w:hAnsi="Times New Roman" w:cs="Times New Roman"/>
          <w:i/>
          <w:iCs/>
          <w:sz w:val="24"/>
          <w:szCs w:val="24"/>
        </w:rPr>
        <w:t>must</w:t>
      </w:r>
      <w:r w:rsidRPr="006706B5">
        <w:rPr>
          <w:rFonts w:ascii="Times New Roman" w:hAnsi="Times New Roman" w:cs="Times New Roman"/>
          <w:sz w:val="24"/>
          <w:szCs w:val="24"/>
        </w:rPr>
        <w:t xml:space="preserve"> focus on building </w:t>
      </w:r>
      <w:r w:rsidR="00992E4A" w:rsidRPr="006706B5">
        <w:rPr>
          <w:rFonts w:ascii="Times New Roman" w:hAnsi="Times New Roman" w:cs="Times New Roman"/>
          <w:sz w:val="24"/>
          <w:szCs w:val="24"/>
        </w:rPr>
        <w:t xml:space="preserve">the </w:t>
      </w:r>
      <w:r w:rsidRPr="006706B5">
        <w:rPr>
          <w:rFonts w:ascii="Times New Roman" w:hAnsi="Times New Roman" w:cs="Times New Roman"/>
          <w:sz w:val="24"/>
          <w:szCs w:val="24"/>
        </w:rPr>
        <w:t xml:space="preserve">capacity </w:t>
      </w:r>
      <w:r w:rsidR="00992E4A" w:rsidRPr="006706B5">
        <w:rPr>
          <w:rFonts w:ascii="Times New Roman" w:hAnsi="Times New Roman" w:cs="Times New Roman"/>
          <w:sz w:val="24"/>
          <w:szCs w:val="24"/>
        </w:rPr>
        <w:t>of</w:t>
      </w:r>
      <w:r w:rsidRPr="006706B5">
        <w:rPr>
          <w:rFonts w:ascii="Times New Roman" w:hAnsi="Times New Roman" w:cs="Times New Roman"/>
          <w:sz w:val="24"/>
          <w:szCs w:val="24"/>
        </w:rPr>
        <w:t xml:space="preserve"> </w:t>
      </w:r>
      <w:r w:rsidR="009C6622" w:rsidRPr="006706B5">
        <w:rPr>
          <w:rFonts w:ascii="Times New Roman" w:hAnsi="Times New Roman" w:cs="Times New Roman"/>
          <w:sz w:val="24"/>
          <w:szCs w:val="24"/>
        </w:rPr>
        <w:t xml:space="preserve">individuals as </w:t>
      </w:r>
      <w:r w:rsidRPr="006706B5">
        <w:rPr>
          <w:rFonts w:ascii="Times New Roman" w:hAnsi="Times New Roman" w:cs="Times New Roman"/>
          <w:sz w:val="24"/>
          <w:szCs w:val="24"/>
        </w:rPr>
        <w:t xml:space="preserve">schoolteachers during the ‘ECT years’ </w:t>
      </w:r>
      <w:r w:rsidR="00992E4A" w:rsidRPr="006706B5">
        <w:rPr>
          <w:rFonts w:ascii="Times New Roman" w:hAnsi="Times New Roman" w:cs="Times New Roman"/>
          <w:sz w:val="24"/>
          <w:szCs w:val="24"/>
        </w:rPr>
        <w:t>for them to</w:t>
      </w:r>
      <w:r w:rsidRPr="006706B5">
        <w:rPr>
          <w:rFonts w:ascii="Times New Roman" w:hAnsi="Times New Roman" w:cs="Times New Roman"/>
          <w:sz w:val="24"/>
          <w:szCs w:val="24"/>
        </w:rPr>
        <w:t xml:space="preserve"> realise </w:t>
      </w:r>
      <w:r w:rsidRPr="006706B5">
        <w:rPr>
          <w:rFonts w:ascii="Times New Roman" w:hAnsi="Times New Roman" w:cs="Times New Roman"/>
          <w:i/>
          <w:iCs/>
          <w:sz w:val="24"/>
          <w:szCs w:val="24"/>
        </w:rPr>
        <w:t>sustainable</w:t>
      </w:r>
      <w:r w:rsidRPr="006706B5">
        <w:rPr>
          <w:rFonts w:ascii="Times New Roman" w:hAnsi="Times New Roman" w:cs="Times New Roman"/>
          <w:sz w:val="24"/>
          <w:szCs w:val="24"/>
        </w:rPr>
        <w:t xml:space="preserve"> professional development and career progression.</w:t>
      </w:r>
      <w:r w:rsidR="009C6622" w:rsidRPr="006706B5">
        <w:rPr>
          <w:rFonts w:ascii="Times New Roman" w:hAnsi="Times New Roman" w:cs="Times New Roman"/>
          <w:sz w:val="24"/>
          <w:szCs w:val="24"/>
        </w:rPr>
        <w:t xml:space="preserve"> </w:t>
      </w:r>
      <w:r w:rsidR="00BE4541" w:rsidRPr="006706B5">
        <w:rPr>
          <w:rFonts w:ascii="Times New Roman" w:hAnsi="Times New Roman" w:cs="Times New Roman"/>
          <w:sz w:val="24"/>
          <w:szCs w:val="24"/>
        </w:rPr>
        <w:t>To expand on this, t</w:t>
      </w:r>
      <w:r w:rsidRPr="006706B5">
        <w:rPr>
          <w:rFonts w:ascii="Times New Roman" w:hAnsi="Times New Roman" w:cs="Times New Roman"/>
          <w:sz w:val="24"/>
          <w:szCs w:val="24"/>
        </w:rPr>
        <w:t xml:space="preserve">he mentors, who were acutely aware of the pressures of being a teacher, emphasised that because two years were recognised by the school for ECTs’ development and growth and provisions were made to support ECTs (e.g., through protecting their time, as mentioned above) in those years, it is of utmost importance that the ECTs take advantage of all the facilities and provisions and focus on consolidating their professional practices (e.g., </w:t>
      </w:r>
      <w:r w:rsidRPr="006706B5">
        <w:rPr>
          <w:rFonts w:ascii="Times New Roman" w:hAnsi="Times New Roman" w:cs="Times New Roman"/>
          <w:sz w:val="24"/>
          <w:szCs w:val="24"/>
        </w:rPr>
        <w:lastRenderedPageBreak/>
        <w:t>mastering behaviour and expectations in classroom settings).</w:t>
      </w:r>
      <w:r w:rsidR="00941AB5" w:rsidRPr="006706B5">
        <w:rPr>
          <w:rFonts w:ascii="Times New Roman" w:hAnsi="Times New Roman" w:cs="Times New Roman"/>
          <w:sz w:val="24"/>
          <w:szCs w:val="24"/>
        </w:rPr>
        <w:t xml:space="preserve"> These views </w:t>
      </w:r>
      <w:r w:rsidR="00B808E2" w:rsidRPr="006706B5">
        <w:rPr>
          <w:rFonts w:ascii="Times New Roman" w:hAnsi="Times New Roman" w:cs="Times New Roman"/>
          <w:sz w:val="24"/>
          <w:szCs w:val="24"/>
        </w:rPr>
        <w:t xml:space="preserve">informed mentorship approaches across schools, as exemplified in the excerpts below: </w:t>
      </w:r>
    </w:p>
    <w:p w14:paraId="4374A3FD" w14:textId="77777777" w:rsidR="00C93FC3" w:rsidRPr="006706B5" w:rsidRDefault="00C93FC3" w:rsidP="00475B79">
      <w:pPr>
        <w:spacing w:line="360" w:lineRule="auto"/>
        <w:ind w:left="709"/>
        <w:rPr>
          <w:rFonts w:ascii="Times New Roman" w:hAnsi="Times New Roman" w:cs="Times New Roman"/>
          <w:sz w:val="24"/>
          <w:szCs w:val="24"/>
        </w:rPr>
      </w:pPr>
      <w:r w:rsidRPr="006706B5">
        <w:rPr>
          <w:rFonts w:ascii="Times New Roman" w:hAnsi="Times New Roman" w:cs="Times New Roman"/>
          <w:sz w:val="24"/>
          <w:szCs w:val="24"/>
        </w:rPr>
        <w:t xml:space="preserve">…I'm giving my ECT that opportunity to find their own place. So, they're not being given everything and you're delivering, you're </w:t>
      </w:r>
      <w:proofErr w:type="gramStart"/>
      <w:r w:rsidRPr="006706B5">
        <w:rPr>
          <w:rFonts w:ascii="Times New Roman" w:hAnsi="Times New Roman" w:cs="Times New Roman"/>
          <w:sz w:val="24"/>
          <w:szCs w:val="24"/>
        </w:rPr>
        <w:t>actually creating</w:t>
      </w:r>
      <w:proofErr w:type="gramEnd"/>
      <w:r w:rsidRPr="006706B5">
        <w:rPr>
          <w:rFonts w:ascii="Times New Roman" w:hAnsi="Times New Roman" w:cs="Times New Roman"/>
          <w:sz w:val="24"/>
          <w:szCs w:val="24"/>
        </w:rPr>
        <w:t xml:space="preserve"> the stuff yourself. Then you have ownership of it and then you want it to go well, so you put more effort into it. It's that cycle of - you need to be excited about it. You need to want to enjoy working with young people, as messy as it can be. [Faith-based, mentor-1]</w:t>
      </w:r>
    </w:p>
    <w:p w14:paraId="6CC3F0EE" w14:textId="77777777" w:rsidR="00C93FC3" w:rsidRPr="006706B5" w:rsidRDefault="00C93FC3" w:rsidP="00475B79">
      <w:pPr>
        <w:spacing w:line="360" w:lineRule="auto"/>
        <w:ind w:left="709"/>
        <w:rPr>
          <w:rFonts w:ascii="Times New Roman" w:hAnsi="Times New Roman" w:cs="Times New Roman"/>
          <w:sz w:val="24"/>
          <w:szCs w:val="24"/>
        </w:rPr>
      </w:pPr>
      <w:r w:rsidRPr="006706B5">
        <w:rPr>
          <w:rFonts w:ascii="Times New Roman" w:hAnsi="Times New Roman" w:cs="Times New Roman"/>
          <w:sz w:val="24"/>
          <w:szCs w:val="24"/>
        </w:rPr>
        <w:t>…we just need to sometimes help younger colleagues to really establish and consolidate themselves. [Independent, mentor-1]</w:t>
      </w:r>
    </w:p>
    <w:p w14:paraId="33FEDA5D" w14:textId="77777777" w:rsidR="00C93FC3" w:rsidRPr="006706B5" w:rsidRDefault="00C93FC3" w:rsidP="00475B79">
      <w:pPr>
        <w:spacing w:line="360" w:lineRule="auto"/>
        <w:ind w:left="709"/>
        <w:rPr>
          <w:rFonts w:ascii="Times New Roman" w:hAnsi="Times New Roman" w:cs="Times New Roman"/>
          <w:sz w:val="24"/>
          <w:szCs w:val="24"/>
        </w:rPr>
      </w:pPr>
      <w:r w:rsidRPr="006706B5">
        <w:rPr>
          <w:rFonts w:ascii="Times New Roman" w:hAnsi="Times New Roman" w:cs="Times New Roman"/>
          <w:sz w:val="24"/>
          <w:szCs w:val="24"/>
        </w:rPr>
        <w:t xml:space="preserve">We're just really focusing it on the students that she's got. Does she know who they are? Does she know </w:t>
      </w:r>
      <w:proofErr w:type="gramStart"/>
      <w:r w:rsidRPr="006706B5">
        <w:rPr>
          <w:rFonts w:ascii="Times New Roman" w:hAnsi="Times New Roman" w:cs="Times New Roman"/>
          <w:sz w:val="24"/>
          <w:szCs w:val="24"/>
        </w:rPr>
        <w:t>all of</w:t>
      </w:r>
      <w:proofErr w:type="gramEnd"/>
      <w:r w:rsidRPr="006706B5">
        <w:rPr>
          <w:rFonts w:ascii="Times New Roman" w:hAnsi="Times New Roman" w:cs="Times New Roman"/>
          <w:sz w:val="24"/>
          <w:szCs w:val="24"/>
        </w:rPr>
        <w:t xml:space="preserve"> their individual needs? How can we make sure that the behaviour for learning is effective, that she can teach her lessons? [LA, mentor-5]</w:t>
      </w:r>
    </w:p>
    <w:p w14:paraId="530BFE05" w14:textId="77777777" w:rsidR="00C93FC3" w:rsidRPr="006706B5" w:rsidRDefault="00C93FC3" w:rsidP="00475B79">
      <w:pPr>
        <w:spacing w:line="360" w:lineRule="auto"/>
        <w:ind w:left="709"/>
        <w:rPr>
          <w:rFonts w:ascii="Times New Roman" w:hAnsi="Times New Roman" w:cs="Times New Roman"/>
          <w:sz w:val="24"/>
          <w:szCs w:val="24"/>
        </w:rPr>
      </w:pPr>
      <w:r w:rsidRPr="006706B5">
        <w:rPr>
          <w:rFonts w:ascii="Times New Roman" w:hAnsi="Times New Roman" w:cs="Times New Roman"/>
          <w:sz w:val="24"/>
          <w:szCs w:val="24"/>
        </w:rPr>
        <w:t>I think a lot of the focus on pedagogy, the focus on really digging deep into how children learn best. Not just how they sit in the classroom and listen to you, but how can you engage, motivate? I think those are important for him [referring to their mentee]. [MAT, mentor-4]</w:t>
      </w:r>
    </w:p>
    <w:p w14:paraId="133937EF" w14:textId="0F438594" w:rsidR="00304E8D" w:rsidRPr="006706B5" w:rsidRDefault="006D3AE7" w:rsidP="005E73A8">
      <w:pPr>
        <w:pStyle w:val="Displayedquotation"/>
        <w:spacing w:line="480" w:lineRule="auto"/>
        <w:ind w:left="0"/>
        <w:rPr>
          <w:sz w:val="24"/>
        </w:rPr>
      </w:pPr>
      <w:r w:rsidRPr="006706B5">
        <w:rPr>
          <w:sz w:val="24"/>
        </w:rPr>
        <w:tab/>
      </w:r>
      <w:r w:rsidR="00C93FC3" w:rsidRPr="006706B5">
        <w:rPr>
          <w:sz w:val="24"/>
        </w:rPr>
        <w:t xml:space="preserve">As shown above, the significance of the first two years in teachers’ professional careers was articulated variously by mentors, including: learning to produce new content and assuming ownership of </w:t>
      </w:r>
      <w:r w:rsidR="006852F3" w:rsidRPr="006706B5">
        <w:rPr>
          <w:sz w:val="24"/>
        </w:rPr>
        <w:t>one’s</w:t>
      </w:r>
      <w:r w:rsidR="00C93FC3" w:rsidRPr="006706B5">
        <w:rPr>
          <w:sz w:val="24"/>
        </w:rPr>
        <w:t xml:space="preserve"> content; experiencing joy at work, especially when working with young people and particularly in challenging circumstances; establishing oneself as an independent educator; knowing </w:t>
      </w:r>
      <w:r w:rsidR="006852F3" w:rsidRPr="006706B5">
        <w:rPr>
          <w:sz w:val="24"/>
        </w:rPr>
        <w:t>one’s</w:t>
      </w:r>
      <w:r w:rsidR="00C93FC3" w:rsidRPr="006706B5">
        <w:rPr>
          <w:sz w:val="24"/>
        </w:rPr>
        <w:t xml:space="preserve"> students and improving </w:t>
      </w:r>
      <w:r w:rsidR="006852F3" w:rsidRPr="006706B5">
        <w:rPr>
          <w:sz w:val="24"/>
        </w:rPr>
        <w:t xml:space="preserve">student </w:t>
      </w:r>
      <w:r w:rsidR="00C93FC3" w:rsidRPr="006706B5">
        <w:rPr>
          <w:sz w:val="24"/>
        </w:rPr>
        <w:t>learning practices through behaviour management and pedagogical innovations.</w:t>
      </w:r>
      <w:r w:rsidR="000D2A99" w:rsidRPr="006706B5">
        <w:rPr>
          <w:sz w:val="24"/>
        </w:rPr>
        <w:t xml:space="preserve"> This experience resonates with mentors’ views in other locations </w:t>
      </w:r>
      <w:r w:rsidR="00613C37" w:rsidRPr="006706B5">
        <w:rPr>
          <w:sz w:val="24"/>
        </w:rPr>
        <w:t xml:space="preserve">subjected to empirical investigation, </w:t>
      </w:r>
      <w:r w:rsidR="000D2A99" w:rsidRPr="006706B5">
        <w:rPr>
          <w:sz w:val="24"/>
        </w:rPr>
        <w:t>such as London, Manchester and York (see Murtagh et al., 2024), showcasing cross-regional similarit</w:t>
      </w:r>
      <w:r w:rsidR="00E127F7" w:rsidRPr="006706B5">
        <w:rPr>
          <w:sz w:val="24"/>
        </w:rPr>
        <w:t>ies in mentors’ values</w:t>
      </w:r>
      <w:r w:rsidR="00E62585" w:rsidRPr="006706B5">
        <w:rPr>
          <w:sz w:val="24"/>
        </w:rPr>
        <w:t xml:space="preserve"> potentially</w:t>
      </w:r>
      <w:r w:rsidR="00E127F7" w:rsidRPr="006706B5">
        <w:rPr>
          <w:sz w:val="24"/>
        </w:rPr>
        <w:t xml:space="preserve"> translating into their mentorship practices</w:t>
      </w:r>
      <w:r w:rsidR="001B32EC" w:rsidRPr="006706B5">
        <w:rPr>
          <w:sz w:val="24"/>
        </w:rPr>
        <w:t>. Furthermore, t</w:t>
      </w:r>
      <w:r w:rsidR="000E3AF9" w:rsidRPr="006706B5">
        <w:rPr>
          <w:sz w:val="24"/>
        </w:rPr>
        <w:t xml:space="preserve">hese views align with what ECTs </w:t>
      </w:r>
      <w:r w:rsidR="009F274C" w:rsidRPr="006706B5">
        <w:rPr>
          <w:sz w:val="24"/>
        </w:rPr>
        <w:t>participating in our study</w:t>
      </w:r>
      <w:r w:rsidR="000E3AF9" w:rsidRPr="006706B5">
        <w:rPr>
          <w:sz w:val="24"/>
        </w:rPr>
        <w:t xml:space="preserve"> felt they needed, particularly in terms of </w:t>
      </w:r>
      <w:r w:rsidR="000E3AF9" w:rsidRPr="006706B5">
        <w:rPr>
          <w:sz w:val="24"/>
        </w:rPr>
        <w:lastRenderedPageBreak/>
        <w:t>understanding their role and associated responsibilities, with guidance provided to them formally and informally by their designated mentor and other colleagues in the school</w:t>
      </w:r>
      <w:r w:rsidR="00E62585" w:rsidRPr="006706B5">
        <w:rPr>
          <w:sz w:val="24"/>
        </w:rPr>
        <w:t>, which aligns</w:t>
      </w:r>
      <w:r w:rsidR="000E3AF9" w:rsidRPr="006706B5">
        <w:rPr>
          <w:sz w:val="24"/>
        </w:rPr>
        <w:t xml:space="preserve"> with ECTs’ perceived needs reported in 2022 and 2025 research reports evaluating the national rollout of the ECF </w:t>
      </w:r>
      <w:r w:rsidR="00E62585" w:rsidRPr="006706B5">
        <w:rPr>
          <w:sz w:val="24"/>
        </w:rPr>
        <w:t>(</w:t>
      </w:r>
      <w:r w:rsidR="000E3AF9" w:rsidRPr="006706B5">
        <w:rPr>
          <w:sz w:val="24"/>
        </w:rPr>
        <w:t>DfE</w:t>
      </w:r>
      <w:r w:rsidR="00E62585" w:rsidRPr="006706B5">
        <w:rPr>
          <w:sz w:val="24"/>
        </w:rPr>
        <w:t>,</w:t>
      </w:r>
      <w:r w:rsidR="000E3AF9" w:rsidRPr="006706B5">
        <w:rPr>
          <w:sz w:val="24"/>
        </w:rPr>
        <w:t xml:space="preserve"> n.d.).</w:t>
      </w:r>
    </w:p>
    <w:p w14:paraId="0E1CF6A9" w14:textId="3CC56206" w:rsidR="00C93FC3" w:rsidRPr="006706B5" w:rsidRDefault="001B32EC" w:rsidP="005E73A8">
      <w:pPr>
        <w:pStyle w:val="Displayedquotation"/>
        <w:spacing w:line="480" w:lineRule="auto"/>
        <w:ind w:left="0"/>
        <w:rPr>
          <w:sz w:val="24"/>
        </w:rPr>
      </w:pPr>
      <w:r w:rsidRPr="006706B5">
        <w:rPr>
          <w:sz w:val="24"/>
        </w:rPr>
        <w:tab/>
      </w:r>
      <w:r w:rsidR="00DA40F0" w:rsidRPr="006706B5">
        <w:rPr>
          <w:sz w:val="24"/>
        </w:rPr>
        <w:t xml:space="preserve">In essence, for </w:t>
      </w:r>
      <w:proofErr w:type="gramStart"/>
      <w:r w:rsidR="00DA40F0" w:rsidRPr="006706B5">
        <w:rPr>
          <w:sz w:val="24"/>
        </w:rPr>
        <w:t>the majority of</w:t>
      </w:r>
      <w:proofErr w:type="gramEnd"/>
      <w:r w:rsidR="00DA40F0" w:rsidRPr="006706B5">
        <w:rPr>
          <w:sz w:val="24"/>
        </w:rPr>
        <w:t xml:space="preserve"> our research participants, the ECT programme was meant to signify that teacher development from the very beginning of one’s career in the profession is valued and supported, and it was </w:t>
      </w:r>
      <w:r w:rsidR="00C93FC3" w:rsidRPr="006706B5">
        <w:rPr>
          <w:sz w:val="24"/>
        </w:rPr>
        <w:t>seen</w:t>
      </w:r>
      <w:r w:rsidR="00304E8D" w:rsidRPr="006706B5">
        <w:rPr>
          <w:sz w:val="24"/>
        </w:rPr>
        <w:t xml:space="preserve"> </w:t>
      </w:r>
      <w:r w:rsidR="00C93FC3" w:rsidRPr="006706B5">
        <w:rPr>
          <w:sz w:val="24"/>
        </w:rPr>
        <w:t xml:space="preserve">as socialisation into the teaching profession more broadly and </w:t>
      </w:r>
      <w:r w:rsidR="00235526" w:rsidRPr="006706B5">
        <w:rPr>
          <w:sz w:val="24"/>
        </w:rPr>
        <w:t xml:space="preserve">the </w:t>
      </w:r>
      <w:r w:rsidR="00C93FC3" w:rsidRPr="006706B5">
        <w:rPr>
          <w:sz w:val="24"/>
        </w:rPr>
        <w:t>school context more specifically</w:t>
      </w:r>
      <w:r w:rsidR="00235526" w:rsidRPr="006706B5">
        <w:rPr>
          <w:sz w:val="24"/>
        </w:rPr>
        <w:t xml:space="preserve">. This discussion here shows how </w:t>
      </w:r>
      <w:r w:rsidR="00ED2FA2" w:rsidRPr="006706B5">
        <w:rPr>
          <w:sz w:val="24"/>
        </w:rPr>
        <w:t>all the schools in our sample</w:t>
      </w:r>
      <w:r w:rsidR="00235526" w:rsidRPr="006706B5">
        <w:rPr>
          <w:sz w:val="24"/>
        </w:rPr>
        <w:t xml:space="preserve"> seemed to have assumed,</w:t>
      </w:r>
      <w:r w:rsidR="00C93FC3" w:rsidRPr="006706B5">
        <w:rPr>
          <w:sz w:val="24"/>
        </w:rPr>
        <w:t xml:space="preserve"> </w:t>
      </w:r>
      <w:r w:rsidR="00235526" w:rsidRPr="006706B5">
        <w:rPr>
          <w:sz w:val="24"/>
        </w:rPr>
        <w:t xml:space="preserve">very similarly, </w:t>
      </w:r>
      <w:r w:rsidR="00C93FC3" w:rsidRPr="006706B5">
        <w:rPr>
          <w:sz w:val="24"/>
        </w:rPr>
        <w:t>renewed professional and situated contexts</w:t>
      </w:r>
      <w:r w:rsidR="00235526" w:rsidRPr="006706B5">
        <w:rPr>
          <w:sz w:val="24"/>
        </w:rPr>
        <w:t xml:space="preserve"> </w:t>
      </w:r>
      <w:r w:rsidR="00ED2FA2" w:rsidRPr="006706B5">
        <w:rPr>
          <w:sz w:val="24"/>
        </w:rPr>
        <w:t xml:space="preserve">as </w:t>
      </w:r>
      <w:r w:rsidR="00235526" w:rsidRPr="006706B5">
        <w:rPr>
          <w:sz w:val="24"/>
        </w:rPr>
        <w:t xml:space="preserve">they </w:t>
      </w:r>
      <w:r w:rsidR="00ED2FA2" w:rsidRPr="006706B5">
        <w:rPr>
          <w:sz w:val="24"/>
        </w:rPr>
        <w:t>enacted vari</w:t>
      </w:r>
      <w:r w:rsidR="00CE4B7E" w:rsidRPr="006706B5">
        <w:rPr>
          <w:sz w:val="24"/>
        </w:rPr>
        <w:t xml:space="preserve">ous </w:t>
      </w:r>
      <w:r w:rsidR="00ED2FA2" w:rsidRPr="006706B5">
        <w:rPr>
          <w:sz w:val="24"/>
        </w:rPr>
        <w:t xml:space="preserve">structural elements of the </w:t>
      </w:r>
      <w:r w:rsidR="00C93FC3" w:rsidRPr="006706B5">
        <w:rPr>
          <w:sz w:val="24"/>
        </w:rPr>
        <w:t>ECF</w:t>
      </w:r>
      <w:r w:rsidR="00EE2639" w:rsidRPr="006706B5">
        <w:rPr>
          <w:sz w:val="24"/>
        </w:rPr>
        <w:t>.</w:t>
      </w:r>
      <w:r w:rsidR="00C93FC3" w:rsidRPr="006706B5">
        <w:rPr>
          <w:sz w:val="24"/>
        </w:rPr>
        <w:t xml:space="preserve">  </w:t>
      </w:r>
    </w:p>
    <w:p w14:paraId="082F7A01" w14:textId="4121150C"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t xml:space="preserve">Differences across school types: </w:t>
      </w:r>
      <w:r w:rsidR="00581689" w:rsidRPr="006706B5">
        <w:rPr>
          <w:rFonts w:ascii="Times New Roman" w:hAnsi="Times New Roman" w:cs="Times New Roman"/>
          <w:b/>
          <w:bCs/>
          <w:color w:val="auto"/>
          <w:sz w:val="24"/>
          <w:szCs w:val="24"/>
        </w:rPr>
        <w:t xml:space="preserve">Findings and </w:t>
      </w:r>
      <w:r w:rsidRPr="006706B5">
        <w:rPr>
          <w:rFonts w:ascii="Times New Roman" w:hAnsi="Times New Roman" w:cs="Times New Roman"/>
          <w:b/>
          <w:bCs/>
          <w:color w:val="auto"/>
          <w:sz w:val="24"/>
          <w:szCs w:val="24"/>
        </w:rPr>
        <w:t xml:space="preserve">discussion </w:t>
      </w:r>
    </w:p>
    <w:p w14:paraId="20682C37" w14:textId="08D31481"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While there were similarities across schools in how they approached adopting policy instructions, as discussed above, this section will outline differences in the nature and extent to which the ECT programme was </w:t>
      </w:r>
      <w:r w:rsidR="002D794D" w:rsidRPr="006706B5">
        <w:rPr>
          <w:rFonts w:ascii="Times New Roman" w:hAnsi="Times New Roman" w:cs="Times New Roman"/>
          <w:sz w:val="24"/>
          <w:szCs w:val="24"/>
        </w:rPr>
        <w:t>practically</w:t>
      </w:r>
      <w:r w:rsidRPr="006706B5">
        <w:rPr>
          <w:rFonts w:ascii="Times New Roman" w:hAnsi="Times New Roman" w:cs="Times New Roman"/>
          <w:sz w:val="24"/>
          <w:szCs w:val="24"/>
        </w:rPr>
        <w:t xml:space="preserve"> embedded in the </w:t>
      </w:r>
      <w:r w:rsidR="000E69B1" w:rsidRPr="006706B5">
        <w:rPr>
          <w:rFonts w:ascii="Times New Roman" w:hAnsi="Times New Roman" w:cs="Times New Roman"/>
          <w:sz w:val="24"/>
          <w:szCs w:val="24"/>
        </w:rPr>
        <w:t>contextual dimensions of the schools in</w:t>
      </w:r>
      <w:r w:rsidRPr="006706B5">
        <w:rPr>
          <w:rFonts w:ascii="Times New Roman" w:hAnsi="Times New Roman" w:cs="Times New Roman"/>
          <w:sz w:val="24"/>
          <w:szCs w:val="24"/>
        </w:rPr>
        <w:t xml:space="preserve"> our sample. </w:t>
      </w:r>
      <w:r w:rsidR="00C50A6C" w:rsidRPr="006706B5">
        <w:rPr>
          <w:rFonts w:ascii="Times New Roman" w:hAnsi="Times New Roman" w:cs="Times New Roman"/>
          <w:sz w:val="24"/>
          <w:szCs w:val="24"/>
        </w:rPr>
        <w:t xml:space="preserve">The research findings </w:t>
      </w:r>
      <w:r w:rsidR="00681399" w:rsidRPr="006706B5">
        <w:rPr>
          <w:rFonts w:ascii="Times New Roman" w:hAnsi="Times New Roman" w:cs="Times New Roman"/>
          <w:sz w:val="24"/>
          <w:szCs w:val="24"/>
        </w:rPr>
        <w:t xml:space="preserve">concerning how </w:t>
      </w:r>
      <w:r w:rsidR="007C7EA4" w:rsidRPr="006706B5">
        <w:rPr>
          <w:rFonts w:ascii="Times New Roman" w:hAnsi="Times New Roman" w:cs="Times New Roman"/>
          <w:sz w:val="24"/>
          <w:szCs w:val="24"/>
        </w:rPr>
        <w:t xml:space="preserve">the </w:t>
      </w:r>
      <w:r w:rsidR="00B95714" w:rsidRPr="006706B5">
        <w:rPr>
          <w:rFonts w:ascii="Times New Roman" w:hAnsi="Times New Roman" w:cs="Times New Roman"/>
          <w:sz w:val="24"/>
          <w:szCs w:val="24"/>
        </w:rPr>
        <w:t xml:space="preserve">ECT programme was embedded in each school’s context </w:t>
      </w:r>
      <w:r w:rsidR="007B0B1C" w:rsidRPr="006706B5">
        <w:rPr>
          <w:rFonts w:ascii="Times New Roman" w:hAnsi="Times New Roman" w:cs="Times New Roman"/>
          <w:sz w:val="24"/>
          <w:szCs w:val="24"/>
        </w:rPr>
        <w:t xml:space="preserve">are </w:t>
      </w:r>
      <w:r w:rsidR="00C50A6C" w:rsidRPr="006706B5">
        <w:rPr>
          <w:rFonts w:ascii="Times New Roman" w:hAnsi="Times New Roman" w:cs="Times New Roman"/>
          <w:sz w:val="24"/>
          <w:szCs w:val="24"/>
        </w:rPr>
        <w:t>pictorially presented</w:t>
      </w:r>
      <w:r w:rsidR="00CD510E" w:rsidRPr="006706B5">
        <w:rPr>
          <w:rFonts w:ascii="Times New Roman" w:hAnsi="Times New Roman" w:cs="Times New Roman"/>
          <w:sz w:val="24"/>
          <w:szCs w:val="24"/>
        </w:rPr>
        <w:t xml:space="preserve"> (see Figure 1)</w:t>
      </w:r>
      <w:r w:rsidR="00B95714" w:rsidRPr="006706B5">
        <w:rPr>
          <w:rFonts w:ascii="Times New Roman" w:hAnsi="Times New Roman" w:cs="Times New Roman"/>
          <w:sz w:val="24"/>
          <w:szCs w:val="24"/>
        </w:rPr>
        <w:t xml:space="preserve"> as ‘strongest’ in the </w:t>
      </w:r>
      <w:r w:rsidR="007C7EA4" w:rsidRPr="006706B5">
        <w:rPr>
          <w:rFonts w:ascii="Times New Roman" w:hAnsi="Times New Roman" w:cs="Times New Roman"/>
          <w:sz w:val="24"/>
          <w:szCs w:val="24"/>
        </w:rPr>
        <w:t>case of the Independent School, ‘</w:t>
      </w:r>
      <w:r w:rsidR="009F08AA" w:rsidRPr="006706B5">
        <w:rPr>
          <w:rFonts w:ascii="Times New Roman" w:hAnsi="Times New Roman" w:cs="Times New Roman"/>
          <w:sz w:val="24"/>
          <w:szCs w:val="24"/>
        </w:rPr>
        <w:t>s</w:t>
      </w:r>
      <w:r w:rsidR="007C7EA4" w:rsidRPr="006706B5">
        <w:rPr>
          <w:rFonts w:ascii="Times New Roman" w:hAnsi="Times New Roman" w:cs="Times New Roman"/>
          <w:sz w:val="24"/>
          <w:szCs w:val="24"/>
        </w:rPr>
        <w:t>trong’ in the case of the MAT school, ‘</w:t>
      </w:r>
      <w:r w:rsidR="009F08AA" w:rsidRPr="006706B5">
        <w:rPr>
          <w:rFonts w:ascii="Times New Roman" w:hAnsi="Times New Roman" w:cs="Times New Roman"/>
          <w:sz w:val="24"/>
          <w:szCs w:val="24"/>
        </w:rPr>
        <w:t>w</w:t>
      </w:r>
      <w:r w:rsidR="007C7EA4" w:rsidRPr="006706B5">
        <w:rPr>
          <w:rFonts w:ascii="Times New Roman" w:hAnsi="Times New Roman" w:cs="Times New Roman"/>
          <w:sz w:val="24"/>
          <w:szCs w:val="24"/>
        </w:rPr>
        <w:t>eak’ in the case of t</w:t>
      </w:r>
      <w:r w:rsidR="00CD510E" w:rsidRPr="006706B5">
        <w:rPr>
          <w:rFonts w:ascii="Times New Roman" w:hAnsi="Times New Roman" w:cs="Times New Roman"/>
          <w:sz w:val="24"/>
          <w:szCs w:val="24"/>
        </w:rPr>
        <w:t>he Faith-based and ‘</w:t>
      </w:r>
      <w:r w:rsidR="009F08AA" w:rsidRPr="006706B5">
        <w:rPr>
          <w:rFonts w:ascii="Times New Roman" w:hAnsi="Times New Roman" w:cs="Times New Roman"/>
          <w:sz w:val="24"/>
          <w:szCs w:val="24"/>
        </w:rPr>
        <w:t>w</w:t>
      </w:r>
      <w:r w:rsidR="00CD510E" w:rsidRPr="006706B5">
        <w:rPr>
          <w:rFonts w:ascii="Times New Roman" w:hAnsi="Times New Roman" w:cs="Times New Roman"/>
          <w:sz w:val="24"/>
          <w:szCs w:val="24"/>
        </w:rPr>
        <w:t xml:space="preserve">eakest’ in the case of the LA school. </w:t>
      </w:r>
      <w:r w:rsidRPr="006706B5">
        <w:rPr>
          <w:rFonts w:ascii="Times New Roman" w:hAnsi="Times New Roman" w:cs="Times New Roman"/>
          <w:sz w:val="24"/>
          <w:szCs w:val="24"/>
        </w:rPr>
        <w:t>Notably, the terms used here</w:t>
      </w:r>
      <w:r w:rsidR="00CD510E" w:rsidRPr="006706B5">
        <w:rPr>
          <w:rFonts w:ascii="Times New Roman" w:hAnsi="Times New Roman" w:cs="Times New Roman"/>
          <w:sz w:val="24"/>
          <w:szCs w:val="24"/>
        </w:rPr>
        <w:t>,</w:t>
      </w:r>
      <w:r w:rsidRPr="006706B5">
        <w:rPr>
          <w:rFonts w:ascii="Times New Roman" w:hAnsi="Times New Roman" w:cs="Times New Roman"/>
          <w:sz w:val="24"/>
          <w:szCs w:val="24"/>
        </w:rPr>
        <w:t xml:space="preserve"> such as ‘strong’ or ‘weak’</w:t>
      </w:r>
      <w:r w:rsidR="00CD510E" w:rsidRPr="006706B5">
        <w:rPr>
          <w:rFonts w:ascii="Times New Roman" w:hAnsi="Times New Roman" w:cs="Times New Roman"/>
          <w:sz w:val="24"/>
          <w:szCs w:val="24"/>
        </w:rPr>
        <w:t>,</w:t>
      </w:r>
      <w:r w:rsidRPr="006706B5">
        <w:rPr>
          <w:rFonts w:ascii="Times New Roman" w:hAnsi="Times New Roman" w:cs="Times New Roman"/>
          <w:sz w:val="24"/>
          <w:szCs w:val="24"/>
        </w:rPr>
        <w:t xml:space="preserve"> should not be interpreted or understood as a proxy </w:t>
      </w:r>
      <w:r w:rsidR="00CD510E" w:rsidRPr="006706B5">
        <w:rPr>
          <w:rFonts w:ascii="Times New Roman" w:hAnsi="Times New Roman" w:cs="Times New Roman"/>
          <w:sz w:val="24"/>
          <w:szCs w:val="24"/>
        </w:rPr>
        <w:t>for</w:t>
      </w:r>
      <w:r w:rsidRPr="006706B5">
        <w:rPr>
          <w:rFonts w:ascii="Times New Roman" w:hAnsi="Times New Roman" w:cs="Times New Roman"/>
          <w:sz w:val="24"/>
          <w:szCs w:val="24"/>
        </w:rPr>
        <w:t xml:space="preserve"> ‘success’ or ‘failure’ in implementing ECF</w:t>
      </w:r>
      <w:r w:rsidR="000421AA" w:rsidRPr="006706B5">
        <w:rPr>
          <w:rFonts w:ascii="Times New Roman" w:hAnsi="Times New Roman" w:cs="Times New Roman"/>
          <w:sz w:val="24"/>
          <w:szCs w:val="24"/>
        </w:rPr>
        <w:t>,</w:t>
      </w:r>
      <w:r w:rsidR="00AD08FC" w:rsidRPr="006706B5">
        <w:rPr>
          <w:rFonts w:ascii="Times New Roman" w:hAnsi="Times New Roman" w:cs="Times New Roman"/>
          <w:sz w:val="24"/>
          <w:szCs w:val="24"/>
        </w:rPr>
        <w:t xml:space="preserve"> as we do not believe there is a si</w:t>
      </w:r>
      <w:r w:rsidR="00CE2F6A" w:rsidRPr="006706B5">
        <w:rPr>
          <w:rFonts w:ascii="Times New Roman" w:hAnsi="Times New Roman" w:cs="Times New Roman"/>
          <w:sz w:val="24"/>
          <w:szCs w:val="24"/>
        </w:rPr>
        <w:t>ngular</w:t>
      </w:r>
      <w:r w:rsidR="000421AA" w:rsidRPr="006706B5">
        <w:rPr>
          <w:rFonts w:ascii="Times New Roman" w:hAnsi="Times New Roman" w:cs="Times New Roman"/>
          <w:sz w:val="24"/>
          <w:szCs w:val="24"/>
        </w:rPr>
        <w:t>ly</w:t>
      </w:r>
      <w:r w:rsidR="00CE2F6A" w:rsidRPr="006706B5">
        <w:rPr>
          <w:rFonts w:ascii="Times New Roman" w:hAnsi="Times New Roman" w:cs="Times New Roman"/>
          <w:sz w:val="24"/>
          <w:szCs w:val="24"/>
        </w:rPr>
        <w:t xml:space="preserve"> perfect way to enact </w:t>
      </w:r>
      <w:r w:rsidR="000421AA" w:rsidRPr="006706B5">
        <w:rPr>
          <w:rFonts w:ascii="Times New Roman" w:hAnsi="Times New Roman" w:cs="Times New Roman"/>
          <w:sz w:val="24"/>
          <w:szCs w:val="24"/>
        </w:rPr>
        <w:t xml:space="preserve">this or any other policy. These categories </w:t>
      </w:r>
      <w:r w:rsidRPr="006706B5">
        <w:rPr>
          <w:rFonts w:ascii="Times New Roman" w:hAnsi="Times New Roman" w:cs="Times New Roman"/>
          <w:sz w:val="24"/>
          <w:szCs w:val="24"/>
        </w:rPr>
        <w:t xml:space="preserve">are used </w:t>
      </w:r>
      <w:r w:rsidR="001630A3" w:rsidRPr="006706B5">
        <w:rPr>
          <w:rFonts w:ascii="Times New Roman" w:hAnsi="Times New Roman" w:cs="Times New Roman"/>
          <w:sz w:val="24"/>
          <w:szCs w:val="24"/>
        </w:rPr>
        <w:t>entirely</w:t>
      </w:r>
      <w:r w:rsidRPr="006706B5">
        <w:rPr>
          <w:rFonts w:ascii="Times New Roman" w:hAnsi="Times New Roman" w:cs="Times New Roman"/>
          <w:sz w:val="24"/>
          <w:szCs w:val="24"/>
        </w:rPr>
        <w:t xml:space="preserve"> to explicate the significance of governance structure in policy enactment practices</w:t>
      </w:r>
      <w:r w:rsidR="00265A45" w:rsidRPr="006706B5">
        <w:rPr>
          <w:rFonts w:ascii="Times New Roman" w:hAnsi="Times New Roman" w:cs="Times New Roman"/>
          <w:sz w:val="24"/>
          <w:szCs w:val="24"/>
        </w:rPr>
        <w:t xml:space="preserve">, with </w:t>
      </w:r>
      <w:r w:rsidR="001630A3" w:rsidRPr="006706B5">
        <w:rPr>
          <w:rFonts w:ascii="Times New Roman" w:hAnsi="Times New Roman" w:cs="Times New Roman"/>
          <w:sz w:val="24"/>
          <w:szCs w:val="24"/>
        </w:rPr>
        <w:t xml:space="preserve">the </w:t>
      </w:r>
      <w:r w:rsidR="00265A45" w:rsidRPr="006706B5">
        <w:rPr>
          <w:rFonts w:ascii="Times New Roman" w:hAnsi="Times New Roman" w:cs="Times New Roman"/>
          <w:sz w:val="24"/>
          <w:szCs w:val="24"/>
        </w:rPr>
        <w:t xml:space="preserve">possibility of change over </w:t>
      </w:r>
      <w:r w:rsidR="00EE2D9E" w:rsidRPr="006706B5">
        <w:rPr>
          <w:rFonts w:ascii="Times New Roman" w:hAnsi="Times New Roman" w:cs="Times New Roman"/>
          <w:sz w:val="24"/>
          <w:szCs w:val="24"/>
        </w:rPr>
        <w:t xml:space="preserve">time. </w:t>
      </w:r>
    </w:p>
    <w:p w14:paraId="3FC5C523" w14:textId="255DD913"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highlight w:val="yellow"/>
        </w:rPr>
        <w:t>Insert Figure 1 here</w:t>
      </w:r>
      <w:r w:rsidR="00A770B2" w:rsidRPr="006706B5">
        <w:rPr>
          <w:rFonts w:ascii="Times New Roman" w:hAnsi="Times New Roman" w:cs="Times New Roman"/>
          <w:sz w:val="24"/>
          <w:szCs w:val="24"/>
          <w:highlight w:val="yellow"/>
        </w:rPr>
        <w:t>.</w:t>
      </w:r>
    </w:p>
    <w:p w14:paraId="21289FD1" w14:textId="77777777" w:rsidR="00C93FC3" w:rsidRPr="006706B5" w:rsidRDefault="00C93FC3" w:rsidP="005E73A8">
      <w:pPr>
        <w:pStyle w:val="Heading2"/>
        <w:spacing w:line="480" w:lineRule="auto"/>
        <w:rPr>
          <w:rFonts w:ascii="Times New Roman" w:eastAsia="Times New Roman" w:hAnsi="Times New Roman" w:cs="Times New Roman"/>
          <w:b/>
          <w:bCs/>
          <w:i/>
          <w:iCs/>
          <w:color w:val="auto"/>
          <w:sz w:val="24"/>
          <w:szCs w:val="24"/>
          <w:lang w:eastAsia="en-GB"/>
        </w:rPr>
      </w:pPr>
      <w:r w:rsidRPr="006706B5">
        <w:rPr>
          <w:rFonts w:ascii="Times New Roman" w:eastAsia="Times New Roman" w:hAnsi="Times New Roman" w:cs="Times New Roman"/>
          <w:b/>
          <w:bCs/>
          <w:i/>
          <w:iCs/>
          <w:color w:val="auto"/>
          <w:sz w:val="24"/>
          <w:szCs w:val="24"/>
          <w:lang w:eastAsia="en-GB"/>
        </w:rPr>
        <w:lastRenderedPageBreak/>
        <w:t xml:space="preserve">Strong embedding of the ECT programme in school context: a case of Independent and MAT schools </w:t>
      </w:r>
    </w:p>
    <w:p w14:paraId="2E87CF12" w14:textId="234B1BB9"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The Independent school in our sample appeared to have the strongest embedding of </w:t>
      </w:r>
      <w:r w:rsidR="000E69B1" w:rsidRPr="006706B5">
        <w:rPr>
          <w:rFonts w:ascii="Times New Roman" w:hAnsi="Times New Roman" w:cs="Times New Roman"/>
          <w:sz w:val="24"/>
          <w:szCs w:val="24"/>
        </w:rPr>
        <w:t>its</w:t>
      </w:r>
      <w:r w:rsidRPr="006706B5">
        <w:rPr>
          <w:rFonts w:ascii="Times New Roman" w:hAnsi="Times New Roman" w:cs="Times New Roman"/>
          <w:sz w:val="24"/>
          <w:szCs w:val="24"/>
        </w:rPr>
        <w:t xml:space="preserve"> ECT programme in </w:t>
      </w:r>
      <w:r w:rsidR="000E69B1" w:rsidRPr="006706B5">
        <w:rPr>
          <w:rFonts w:ascii="Times New Roman" w:hAnsi="Times New Roman" w:cs="Times New Roman"/>
          <w:sz w:val="24"/>
          <w:szCs w:val="24"/>
        </w:rPr>
        <w:t>its</w:t>
      </w:r>
      <w:r w:rsidRPr="006706B5">
        <w:rPr>
          <w:rFonts w:ascii="Times New Roman" w:hAnsi="Times New Roman" w:cs="Times New Roman"/>
          <w:sz w:val="24"/>
          <w:szCs w:val="24"/>
        </w:rPr>
        <w:t xml:space="preserve"> school’s professional context. Specifically, the programme coordinator stated that they curated their ECT programme themselves by drawing heavily on the ECF guidance documents instead of outsourcing it to one of the government-approved external providers. As the programme curator, the coordinator stressed that mentors and ECTs were strongly encouraged to engage with the relevant policy documents directly. </w:t>
      </w:r>
      <w:r w:rsidR="009A5F57" w:rsidRPr="006706B5">
        <w:rPr>
          <w:rFonts w:ascii="Times New Roman" w:hAnsi="Times New Roman" w:cs="Times New Roman"/>
          <w:sz w:val="24"/>
          <w:szCs w:val="24"/>
        </w:rPr>
        <w:t>Within th</w:t>
      </w:r>
      <w:r w:rsidR="00500379" w:rsidRPr="006706B5">
        <w:rPr>
          <w:rFonts w:ascii="Times New Roman" w:hAnsi="Times New Roman" w:cs="Times New Roman"/>
          <w:sz w:val="24"/>
          <w:szCs w:val="24"/>
        </w:rPr>
        <w:t>is</w:t>
      </w:r>
      <w:r w:rsidR="009A5F57" w:rsidRPr="006706B5">
        <w:rPr>
          <w:rFonts w:ascii="Times New Roman" w:hAnsi="Times New Roman" w:cs="Times New Roman"/>
          <w:sz w:val="24"/>
          <w:szCs w:val="24"/>
        </w:rPr>
        <w:t xml:space="preserve"> context of institutional expectation</w:t>
      </w:r>
      <w:r w:rsidR="00500379" w:rsidRPr="006706B5">
        <w:rPr>
          <w:rFonts w:ascii="Times New Roman" w:hAnsi="Times New Roman" w:cs="Times New Roman"/>
          <w:sz w:val="24"/>
          <w:szCs w:val="24"/>
        </w:rPr>
        <w:t>s</w:t>
      </w:r>
      <w:r w:rsidR="009A5F57" w:rsidRPr="006706B5">
        <w:rPr>
          <w:rFonts w:ascii="Times New Roman" w:hAnsi="Times New Roman" w:cs="Times New Roman"/>
          <w:sz w:val="24"/>
          <w:szCs w:val="24"/>
        </w:rPr>
        <w:t xml:space="preserve">, which was not the case in other schools </w:t>
      </w:r>
      <w:r w:rsidR="00423309" w:rsidRPr="006706B5">
        <w:rPr>
          <w:rFonts w:ascii="Times New Roman" w:hAnsi="Times New Roman" w:cs="Times New Roman"/>
          <w:sz w:val="24"/>
          <w:szCs w:val="24"/>
        </w:rPr>
        <w:t>where this research was carried out</w:t>
      </w:r>
      <w:r w:rsidR="009A5F57" w:rsidRPr="006706B5">
        <w:rPr>
          <w:rFonts w:ascii="Times New Roman" w:hAnsi="Times New Roman" w:cs="Times New Roman"/>
          <w:sz w:val="24"/>
          <w:szCs w:val="24"/>
        </w:rPr>
        <w:t xml:space="preserve">, </w:t>
      </w:r>
      <w:r w:rsidR="008D018F" w:rsidRPr="006706B5">
        <w:rPr>
          <w:rFonts w:ascii="Times New Roman" w:hAnsi="Times New Roman" w:cs="Times New Roman"/>
          <w:sz w:val="24"/>
          <w:szCs w:val="24"/>
        </w:rPr>
        <w:t xml:space="preserve">it was only in the </w:t>
      </w:r>
      <w:proofErr w:type="gramStart"/>
      <w:r w:rsidR="008D018F" w:rsidRPr="006706B5">
        <w:rPr>
          <w:rFonts w:ascii="Times New Roman" w:hAnsi="Times New Roman" w:cs="Times New Roman"/>
          <w:sz w:val="24"/>
          <w:szCs w:val="24"/>
        </w:rPr>
        <w:t>Independent</w:t>
      </w:r>
      <w:proofErr w:type="gramEnd"/>
      <w:r w:rsidRPr="006706B5">
        <w:rPr>
          <w:rFonts w:ascii="Times New Roman" w:hAnsi="Times New Roman" w:cs="Times New Roman"/>
          <w:sz w:val="24"/>
          <w:szCs w:val="24"/>
        </w:rPr>
        <w:t xml:space="preserve"> school in our sample where all the participants appeared to know about, had read, and talked about often referring to the ECF in their day-to-day ECT mentorship and related support practices. </w:t>
      </w:r>
      <w:r w:rsidR="006F47E0" w:rsidRPr="006706B5">
        <w:rPr>
          <w:rFonts w:ascii="Times New Roman" w:hAnsi="Times New Roman" w:cs="Times New Roman"/>
          <w:sz w:val="24"/>
          <w:szCs w:val="24"/>
        </w:rPr>
        <w:t>The</w:t>
      </w:r>
      <w:r w:rsidR="004B2D20" w:rsidRPr="006706B5">
        <w:rPr>
          <w:rFonts w:ascii="Times New Roman" w:hAnsi="Times New Roman" w:cs="Times New Roman"/>
          <w:sz w:val="24"/>
          <w:szCs w:val="24"/>
        </w:rPr>
        <w:t xml:space="preserve"> following excerpt articulates the</w:t>
      </w:r>
      <w:r w:rsidR="006F47E0" w:rsidRPr="006706B5">
        <w:rPr>
          <w:rFonts w:ascii="Times New Roman" w:hAnsi="Times New Roman" w:cs="Times New Roman"/>
          <w:sz w:val="24"/>
          <w:szCs w:val="24"/>
        </w:rPr>
        <w:t xml:space="preserve"> way in which the </w:t>
      </w:r>
      <w:r w:rsidR="00755A3A" w:rsidRPr="006706B5">
        <w:rPr>
          <w:rFonts w:ascii="Times New Roman" w:hAnsi="Times New Roman" w:cs="Times New Roman"/>
          <w:sz w:val="24"/>
          <w:szCs w:val="24"/>
        </w:rPr>
        <w:t>coordinator</w:t>
      </w:r>
      <w:r w:rsidR="006F47E0" w:rsidRPr="006706B5">
        <w:rPr>
          <w:rFonts w:ascii="Times New Roman" w:hAnsi="Times New Roman" w:cs="Times New Roman"/>
          <w:sz w:val="24"/>
          <w:szCs w:val="24"/>
        </w:rPr>
        <w:t xml:space="preserve"> </w:t>
      </w:r>
      <w:r w:rsidR="00501F60" w:rsidRPr="006706B5">
        <w:rPr>
          <w:rFonts w:ascii="Times New Roman" w:hAnsi="Times New Roman" w:cs="Times New Roman"/>
          <w:sz w:val="24"/>
          <w:szCs w:val="24"/>
        </w:rPr>
        <w:t>made sense of their ECT programme vis-à-vis the ECF</w:t>
      </w:r>
      <w:r w:rsidR="004B2D20" w:rsidRPr="006706B5">
        <w:rPr>
          <w:rFonts w:ascii="Times New Roman" w:hAnsi="Times New Roman" w:cs="Times New Roman"/>
          <w:sz w:val="24"/>
          <w:szCs w:val="24"/>
        </w:rPr>
        <w:t>.</w:t>
      </w:r>
    </w:p>
    <w:p w14:paraId="2B1FBD95" w14:textId="1C6363CA" w:rsidR="00C93FC3" w:rsidRPr="006706B5" w:rsidRDefault="00C93FC3" w:rsidP="00475B79">
      <w:pPr>
        <w:pStyle w:val="Displayedquotation"/>
        <w:spacing w:after="160"/>
        <w:rPr>
          <w:sz w:val="24"/>
        </w:rPr>
      </w:pPr>
      <w:r w:rsidRPr="006706B5">
        <w:rPr>
          <w:sz w:val="24"/>
        </w:rPr>
        <w:t xml:space="preserve">I really like the early career framework. I think it's a fantastic document…for our ECTs to use to think about those next steps into the profession. I think our induction tutors…support our ECTs really well, so that they can further develop their classroom craft….So our awarding body [anonymised]...do a lot of CPD on top of the stuff that we do here, so they add a whole layer of support to our ECTs…I also really like the complete freedom that the DfE have given schools around mentorship. </w:t>
      </w:r>
      <w:proofErr w:type="gramStart"/>
      <w:r w:rsidRPr="006706B5">
        <w:rPr>
          <w:sz w:val="24"/>
        </w:rPr>
        <w:t>So</w:t>
      </w:r>
      <w:proofErr w:type="gramEnd"/>
      <w:r w:rsidRPr="006706B5">
        <w:rPr>
          <w:sz w:val="24"/>
        </w:rPr>
        <w:t xml:space="preserve"> we use a kind of coaching model here, which works </w:t>
      </w:r>
      <w:proofErr w:type="gramStart"/>
      <w:r w:rsidRPr="006706B5">
        <w:rPr>
          <w:sz w:val="24"/>
        </w:rPr>
        <w:t>really effectively</w:t>
      </w:r>
      <w:proofErr w:type="gramEnd"/>
      <w:r w:rsidRPr="006706B5">
        <w:rPr>
          <w:sz w:val="24"/>
        </w:rPr>
        <w:t xml:space="preserve">…So the guidance that we get [from the awarding body] are really, </w:t>
      </w:r>
      <w:proofErr w:type="gramStart"/>
      <w:r w:rsidRPr="006706B5">
        <w:rPr>
          <w:sz w:val="24"/>
        </w:rPr>
        <w:t>really well</w:t>
      </w:r>
      <w:proofErr w:type="gramEnd"/>
      <w:r w:rsidRPr="006706B5">
        <w:rPr>
          <w:sz w:val="24"/>
        </w:rPr>
        <w:t xml:space="preserve"> organised and give </w:t>
      </w:r>
      <w:proofErr w:type="gramStart"/>
      <w:r w:rsidRPr="006706B5">
        <w:rPr>
          <w:sz w:val="24"/>
        </w:rPr>
        <w:t>really good</w:t>
      </w:r>
      <w:proofErr w:type="gramEnd"/>
      <w:r w:rsidRPr="006706B5">
        <w:rPr>
          <w:sz w:val="24"/>
        </w:rPr>
        <w:t xml:space="preserve"> guidance to induction tutors. </w:t>
      </w:r>
      <w:proofErr w:type="gramStart"/>
      <w:r w:rsidRPr="006706B5">
        <w:rPr>
          <w:sz w:val="24"/>
        </w:rPr>
        <w:t>So</w:t>
      </w:r>
      <w:proofErr w:type="gramEnd"/>
      <w:r w:rsidRPr="006706B5">
        <w:rPr>
          <w:sz w:val="24"/>
        </w:rPr>
        <w:t xml:space="preserve"> there's a </w:t>
      </w:r>
      <w:proofErr w:type="gramStart"/>
      <w:r w:rsidRPr="006706B5">
        <w:rPr>
          <w:sz w:val="24"/>
        </w:rPr>
        <w:t>really clear</w:t>
      </w:r>
      <w:proofErr w:type="gramEnd"/>
      <w:r w:rsidRPr="006706B5">
        <w:rPr>
          <w:sz w:val="24"/>
        </w:rPr>
        <w:t xml:space="preserve"> step-by-step process of regular meetings, which have got an agenda, which the ECT records, where they set themselves targets, that the tutor supports them in reaching those short-term, medium-term, long-term targets. </w:t>
      </w:r>
      <w:proofErr w:type="gramStart"/>
      <w:r w:rsidRPr="006706B5">
        <w:rPr>
          <w:sz w:val="24"/>
        </w:rPr>
        <w:t>So</w:t>
      </w:r>
      <w:proofErr w:type="gramEnd"/>
      <w:r w:rsidRPr="006706B5">
        <w:rPr>
          <w:sz w:val="24"/>
        </w:rPr>
        <w:t xml:space="preserve"> the whole process is really, </w:t>
      </w:r>
      <w:proofErr w:type="gramStart"/>
      <w:r w:rsidRPr="006706B5">
        <w:rPr>
          <w:sz w:val="24"/>
        </w:rPr>
        <w:t>really well</w:t>
      </w:r>
      <w:proofErr w:type="gramEnd"/>
      <w:r w:rsidRPr="006706B5">
        <w:rPr>
          <w:sz w:val="24"/>
        </w:rPr>
        <w:t xml:space="preserve"> mapped out…I think the teaching standards are a </w:t>
      </w:r>
      <w:proofErr w:type="gramStart"/>
      <w:r w:rsidRPr="006706B5">
        <w:rPr>
          <w:sz w:val="24"/>
        </w:rPr>
        <w:t>really good</w:t>
      </w:r>
      <w:proofErr w:type="gramEnd"/>
      <w:r w:rsidRPr="006706B5">
        <w:rPr>
          <w:sz w:val="24"/>
        </w:rPr>
        <w:t xml:space="preserve"> backbone to work with… [Independent, coordinator]</w:t>
      </w:r>
    </w:p>
    <w:p w14:paraId="7BB8C103" w14:textId="31F4399C" w:rsidR="00C93FC3" w:rsidRPr="006706B5" w:rsidRDefault="00C93FC3"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lastRenderedPageBreak/>
        <w:t>In addition to being cognisant of the government policy for supporting ECTs, the excerpt above signifies how this school’s ECT programme seemed to align with the resources provided by multiple stakeholders</w:t>
      </w:r>
      <w:r w:rsidR="00E12A94" w:rsidRPr="006706B5">
        <w:rPr>
          <w:rFonts w:ascii="Times New Roman" w:hAnsi="Times New Roman" w:cs="Times New Roman"/>
          <w:sz w:val="24"/>
          <w:szCs w:val="24"/>
        </w:rPr>
        <w:t xml:space="preserve"> within its contextual dimensions</w:t>
      </w:r>
      <w:r w:rsidRPr="006706B5">
        <w:rPr>
          <w:rFonts w:ascii="Times New Roman" w:hAnsi="Times New Roman" w:cs="Times New Roman"/>
          <w:sz w:val="24"/>
          <w:szCs w:val="24"/>
        </w:rPr>
        <w:t>.</w:t>
      </w:r>
      <w:r w:rsidR="002D794D" w:rsidRPr="006706B5">
        <w:rPr>
          <w:rFonts w:ascii="Times New Roman" w:hAnsi="Times New Roman" w:cs="Times New Roman"/>
          <w:sz w:val="24"/>
          <w:szCs w:val="24"/>
        </w:rPr>
        <w:t xml:space="preserve"> Specifically, t</w:t>
      </w:r>
      <w:r w:rsidRPr="006706B5">
        <w:rPr>
          <w:rFonts w:ascii="Times New Roman" w:hAnsi="Times New Roman" w:cs="Times New Roman"/>
          <w:sz w:val="24"/>
          <w:szCs w:val="24"/>
        </w:rPr>
        <w:t>he coordinator and mentors highlighted</w:t>
      </w:r>
      <w:r w:rsidR="002D794D" w:rsidRPr="006706B5">
        <w:rPr>
          <w:rFonts w:ascii="Times New Roman" w:hAnsi="Times New Roman" w:cs="Times New Roman"/>
          <w:sz w:val="24"/>
          <w:szCs w:val="24"/>
        </w:rPr>
        <w:t xml:space="preserve"> how their programme</w:t>
      </w:r>
      <w:r w:rsidRPr="006706B5">
        <w:rPr>
          <w:rFonts w:ascii="Times New Roman" w:hAnsi="Times New Roman" w:cs="Times New Roman"/>
          <w:sz w:val="24"/>
          <w:szCs w:val="24"/>
        </w:rPr>
        <w:t xml:space="preserve"> link</w:t>
      </w:r>
      <w:r w:rsidR="002D794D" w:rsidRPr="006706B5">
        <w:rPr>
          <w:rFonts w:ascii="Times New Roman" w:hAnsi="Times New Roman" w:cs="Times New Roman"/>
          <w:sz w:val="24"/>
          <w:szCs w:val="24"/>
        </w:rPr>
        <w:t>ed</w:t>
      </w:r>
      <w:r w:rsidRPr="006706B5">
        <w:rPr>
          <w:rFonts w:ascii="Times New Roman" w:hAnsi="Times New Roman" w:cs="Times New Roman"/>
          <w:sz w:val="24"/>
          <w:szCs w:val="24"/>
        </w:rPr>
        <w:t xml:space="preserve"> </w:t>
      </w:r>
      <w:proofErr w:type="gramStart"/>
      <w:r w:rsidRPr="006706B5">
        <w:rPr>
          <w:rFonts w:ascii="Times New Roman" w:hAnsi="Times New Roman" w:cs="Times New Roman"/>
          <w:sz w:val="24"/>
          <w:szCs w:val="24"/>
        </w:rPr>
        <w:t>to:</w:t>
      </w:r>
      <w:proofErr w:type="gramEnd"/>
      <w:r w:rsidRPr="006706B5">
        <w:rPr>
          <w:rFonts w:ascii="Times New Roman" w:hAnsi="Times New Roman" w:cs="Times New Roman"/>
          <w:sz w:val="24"/>
          <w:szCs w:val="24"/>
        </w:rPr>
        <w:t xml:space="preserve"> 1) DfE’s ECF and Teachers' Standards, 2) the suggestions for implementing ECF supplied by the awarding body for </w:t>
      </w:r>
      <w:proofErr w:type="gramStart"/>
      <w:r w:rsidRPr="006706B5">
        <w:rPr>
          <w:rFonts w:ascii="Times New Roman" w:hAnsi="Times New Roman" w:cs="Times New Roman"/>
          <w:sz w:val="24"/>
          <w:szCs w:val="24"/>
        </w:rPr>
        <w:t>Independent</w:t>
      </w:r>
      <w:proofErr w:type="gramEnd"/>
      <w:r w:rsidRPr="006706B5">
        <w:rPr>
          <w:rFonts w:ascii="Times New Roman" w:hAnsi="Times New Roman" w:cs="Times New Roman"/>
          <w:sz w:val="24"/>
          <w:szCs w:val="24"/>
        </w:rPr>
        <w:t xml:space="preserve"> schools, and 3) the context for professional development (i.e., the coaching model) of this specific school. </w:t>
      </w:r>
      <w:r w:rsidR="00EC7293" w:rsidRPr="006706B5">
        <w:rPr>
          <w:rFonts w:ascii="Times New Roman" w:hAnsi="Times New Roman" w:cs="Times New Roman"/>
          <w:sz w:val="24"/>
          <w:szCs w:val="24"/>
        </w:rPr>
        <w:t>Notably, though</w:t>
      </w:r>
      <w:r w:rsidRPr="006706B5">
        <w:rPr>
          <w:rFonts w:ascii="Times New Roman" w:hAnsi="Times New Roman" w:cs="Times New Roman"/>
          <w:sz w:val="24"/>
          <w:szCs w:val="24"/>
        </w:rPr>
        <w:t>, while external contexts</w:t>
      </w:r>
      <w:r w:rsidR="00E41A37" w:rsidRPr="006706B5">
        <w:rPr>
          <w:rFonts w:ascii="Times New Roman" w:hAnsi="Times New Roman" w:cs="Times New Roman"/>
          <w:sz w:val="24"/>
          <w:szCs w:val="24"/>
        </w:rPr>
        <w:t xml:space="preserve"> </w:t>
      </w:r>
      <w:r w:rsidRPr="006706B5">
        <w:rPr>
          <w:rFonts w:ascii="Times New Roman" w:hAnsi="Times New Roman" w:cs="Times New Roman"/>
          <w:sz w:val="24"/>
          <w:szCs w:val="24"/>
        </w:rPr>
        <w:t>in the form of stakeholders such as the government and the awarding body influenced this school’s ECT programme, the nature and extent of this influence</w:t>
      </w:r>
      <w:r w:rsidR="00EC7293" w:rsidRPr="006706B5">
        <w:rPr>
          <w:rFonts w:ascii="Times New Roman" w:hAnsi="Times New Roman" w:cs="Times New Roman"/>
          <w:sz w:val="24"/>
          <w:szCs w:val="24"/>
        </w:rPr>
        <w:t>, the coordinator explained,</w:t>
      </w:r>
      <w:r w:rsidRPr="006706B5">
        <w:rPr>
          <w:rFonts w:ascii="Times New Roman" w:hAnsi="Times New Roman" w:cs="Times New Roman"/>
          <w:sz w:val="24"/>
          <w:szCs w:val="24"/>
        </w:rPr>
        <w:t xml:space="preserve"> were limited; in comparison, a much greater emphasis was placed on the sensitivity and orientation of the programme to meeting the school's</w:t>
      </w:r>
      <w:r w:rsidR="002523AE" w:rsidRPr="006706B5">
        <w:rPr>
          <w:rFonts w:ascii="Times New Roman" w:hAnsi="Times New Roman" w:cs="Times New Roman"/>
          <w:sz w:val="24"/>
          <w:szCs w:val="24"/>
        </w:rPr>
        <w:t xml:space="preserve"> professional developmental</w:t>
      </w:r>
      <w:r w:rsidRPr="006706B5">
        <w:rPr>
          <w:rFonts w:ascii="Times New Roman" w:hAnsi="Times New Roman" w:cs="Times New Roman"/>
          <w:sz w:val="24"/>
          <w:szCs w:val="24"/>
        </w:rPr>
        <w:t xml:space="preserve"> needs and values. </w:t>
      </w:r>
    </w:p>
    <w:p w14:paraId="79D17FA8" w14:textId="585A2C8A" w:rsidR="00C93FC3" w:rsidRPr="006706B5" w:rsidRDefault="00A77ACB"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Hence</w:t>
      </w:r>
      <w:r w:rsidR="00C93FC3" w:rsidRPr="006706B5">
        <w:rPr>
          <w:rFonts w:ascii="Times New Roman" w:hAnsi="Times New Roman" w:cs="Times New Roman"/>
          <w:sz w:val="24"/>
          <w:szCs w:val="24"/>
        </w:rPr>
        <w:t xml:space="preserve">, </w:t>
      </w:r>
      <w:r w:rsidR="002D794D" w:rsidRPr="006706B5">
        <w:rPr>
          <w:rFonts w:ascii="Times New Roman" w:hAnsi="Times New Roman" w:cs="Times New Roman"/>
          <w:sz w:val="24"/>
          <w:szCs w:val="24"/>
        </w:rPr>
        <w:t xml:space="preserve">the </w:t>
      </w:r>
      <w:r w:rsidR="00C93FC3" w:rsidRPr="006706B5">
        <w:rPr>
          <w:rFonts w:ascii="Times New Roman" w:hAnsi="Times New Roman" w:cs="Times New Roman"/>
          <w:sz w:val="24"/>
          <w:szCs w:val="24"/>
        </w:rPr>
        <w:t xml:space="preserve">social actors from the </w:t>
      </w:r>
      <w:proofErr w:type="gramStart"/>
      <w:r w:rsidR="00000051" w:rsidRPr="006706B5">
        <w:rPr>
          <w:rFonts w:ascii="Times New Roman" w:hAnsi="Times New Roman" w:cs="Times New Roman"/>
          <w:sz w:val="24"/>
          <w:szCs w:val="24"/>
        </w:rPr>
        <w:t>I</w:t>
      </w:r>
      <w:r w:rsidR="00C93FC3" w:rsidRPr="006706B5">
        <w:rPr>
          <w:rFonts w:ascii="Times New Roman" w:hAnsi="Times New Roman" w:cs="Times New Roman"/>
          <w:sz w:val="24"/>
          <w:szCs w:val="24"/>
        </w:rPr>
        <w:t>ndependent</w:t>
      </w:r>
      <w:proofErr w:type="gramEnd"/>
      <w:r w:rsidR="00C93FC3" w:rsidRPr="006706B5">
        <w:rPr>
          <w:rFonts w:ascii="Times New Roman" w:hAnsi="Times New Roman" w:cs="Times New Roman"/>
          <w:sz w:val="24"/>
          <w:szCs w:val="24"/>
        </w:rPr>
        <w:t xml:space="preserve"> school in our study exhibited the greatest confidence in exercising autonomy when enacting the ECF, resulting in their ECT programme appearing to be more </w:t>
      </w:r>
      <w:r w:rsidR="00C93FC3" w:rsidRPr="006706B5">
        <w:rPr>
          <w:rFonts w:ascii="Times New Roman" w:hAnsi="Times New Roman" w:cs="Times New Roman"/>
          <w:i/>
          <w:iCs/>
          <w:sz w:val="24"/>
          <w:szCs w:val="24"/>
        </w:rPr>
        <w:t xml:space="preserve">a part of </w:t>
      </w:r>
      <w:r w:rsidR="00C93FC3" w:rsidRPr="006706B5">
        <w:rPr>
          <w:rFonts w:ascii="Times New Roman" w:hAnsi="Times New Roman" w:cs="Times New Roman"/>
          <w:sz w:val="24"/>
          <w:szCs w:val="24"/>
        </w:rPr>
        <w:t xml:space="preserve">rather than </w:t>
      </w:r>
      <w:r w:rsidR="00C93FC3" w:rsidRPr="006706B5">
        <w:rPr>
          <w:rFonts w:ascii="Times New Roman" w:hAnsi="Times New Roman" w:cs="Times New Roman"/>
          <w:i/>
          <w:iCs/>
          <w:sz w:val="24"/>
          <w:szCs w:val="24"/>
        </w:rPr>
        <w:t xml:space="preserve">imposed on </w:t>
      </w:r>
      <w:r w:rsidR="00C93FC3" w:rsidRPr="006706B5">
        <w:rPr>
          <w:rFonts w:ascii="Times New Roman" w:hAnsi="Times New Roman" w:cs="Times New Roman"/>
          <w:sz w:val="24"/>
          <w:szCs w:val="24"/>
        </w:rPr>
        <w:t xml:space="preserve">or </w:t>
      </w:r>
      <w:r w:rsidR="00C93FC3" w:rsidRPr="006706B5">
        <w:rPr>
          <w:rFonts w:ascii="Times New Roman" w:hAnsi="Times New Roman" w:cs="Times New Roman"/>
          <w:i/>
          <w:iCs/>
          <w:sz w:val="24"/>
          <w:szCs w:val="24"/>
        </w:rPr>
        <w:t xml:space="preserve">external to </w:t>
      </w:r>
      <w:r w:rsidR="00C93FC3" w:rsidRPr="006706B5">
        <w:rPr>
          <w:rFonts w:ascii="Times New Roman" w:hAnsi="Times New Roman" w:cs="Times New Roman"/>
          <w:sz w:val="24"/>
          <w:szCs w:val="24"/>
        </w:rPr>
        <w:t xml:space="preserve">their school context. This is potentially because </w:t>
      </w:r>
      <w:proofErr w:type="gramStart"/>
      <w:r w:rsidR="00C93FC3" w:rsidRPr="006706B5">
        <w:rPr>
          <w:rFonts w:ascii="Times New Roman" w:hAnsi="Times New Roman" w:cs="Times New Roman"/>
          <w:sz w:val="24"/>
          <w:szCs w:val="24"/>
        </w:rPr>
        <w:t>Independent</w:t>
      </w:r>
      <w:proofErr w:type="gramEnd"/>
      <w:r w:rsidR="00C93FC3" w:rsidRPr="006706B5">
        <w:rPr>
          <w:rFonts w:ascii="Times New Roman" w:hAnsi="Times New Roman" w:cs="Times New Roman"/>
          <w:sz w:val="24"/>
          <w:szCs w:val="24"/>
        </w:rPr>
        <w:t xml:space="preserve"> schools are not typically bound by the same contractual obligations as other types of schools in England. Therefore, they have greater freedom in shaping teachers’ workload and enacting policy-relevant programmes (Keddie, 2014), including the one for supporting ECTs, which this article focuses on. From the perspective of contextual dimensions (</w:t>
      </w:r>
      <w:r w:rsidR="0094745A" w:rsidRPr="006706B5">
        <w:rPr>
          <w:rFonts w:ascii="Times New Roman" w:hAnsi="Times New Roman" w:cs="Times New Roman"/>
          <w:sz w:val="24"/>
          <w:szCs w:val="24"/>
        </w:rPr>
        <w:t xml:space="preserve">as discussed in </w:t>
      </w:r>
      <w:r w:rsidR="00C93FC3" w:rsidRPr="006706B5">
        <w:rPr>
          <w:rFonts w:ascii="Times New Roman" w:hAnsi="Times New Roman" w:cs="Times New Roman"/>
          <w:sz w:val="24"/>
          <w:szCs w:val="24"/>
        </w:rPr>
        <w:t xml:space="preserve">Braun et al., 2011), the </w:t>
      </w:r>
      <w:proofErr w:type="gramStart"/>
      <w:r w:rsidR="00C93FC3" w:rsidRPr="006706B5">
        <w:rPr>
          <w:rFonts w:ascii="Times New Roman" w:hAnsi="Times New Roman" w:cs="Times New Roman"/>
          <w:sz w:val="24"/>
          <w:szCs w:val="24"/>
        </w:rPr>
        <w:t>Independent</w:t>
      </w:r>
      <w:proofErr w:type="gramEnd"/>
      <w:r w:rsidR="00C93FC3" w:rsidRPr="006706B5">
        <w:rPr>
          <w:rFonts w:ascii="Times New Roman" w:hAnsi="Times New Roman" w:cs="Times New Roman"/>
          <w:sz w:val="24"/>
          <w:szCs w:val="24"/>
        </w:rPr>
        <w:t xml:space="preserve"> school in our sample maintained the synergy between its situated context and externally imposed government expectations by </w:t>
      </w:r>
      <w:r w:rsidR="00C93FC3" w:rsidRPr="006706B5">
        <w:rPr>
          <w:rFonts w:ascii="Times New Roman" w:hAnsi="Times New Roman" w:cs="Times New Roman"/>
          <w:i/>
          <w:iCs/>
          <w:sz w:val="24"/>
          <w:szCs w:val="24"/>
        </w:rPr>
        <w:t>enhancing</w:t>
      </w:r>
      <w:r w:rsidR="00C93FC3" w:rsidRPr="006706B5">
        <w:rPr>
          <w:rFonts w:ascii="Times New Roman" w:hAnsi="Times New Roman" w:cs="Times New Roman"/>
          <w:sz w:val="24"/>
          <w:szCs w:val="24"/>
        </w:rPr>
        <w:t xml:space="preserve"> its </w:t>
      </w:r>
      <w:r w:rsidR="002D794D" w:rsidRPr="006706B5">
        <w:rPr>
          <w:rFonts w:ascii="Times New Roman" w:hAnsi="Times New Roman" w:cs="Times New Roman"/>
          <w:sz w:val="24"/>
          <w:szCs w:val="24"/>
        </w:rPr>
        <w:t xml:space="preserve">core </w:t>
      </w:r>
      <w:r w:rsidR="00C93FC3" w:rsidRPr="006706B5">
        <w:rPr>
          <w:rFonts w:ascii="Times New Roman" w:hAnsi="Times New Roman" w:cs="Times New Roman"/>
          <w:sz w:val="24"/>
          <w:szCs w:val="24"/>
        </w:rPr>
        <w:t xml:space="preserve">professional context through the process of enacting the ECF. </w:t>
      </w:r>
    </w:p>
    <w:p w14:paraId="751B3BB3" w14:textId="4B870C67" w:rsidR="00C93FC3" w:rsidRPr="006706B5" w:rsidRDefault="00C93FC3"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In comparison, the MAT school in our sample had subscribed to a government-approved external provider to deliver </w:t>
      </w:r>
      <w:r w:rsidR="00E65571" w:rsidRPr="006706B5">
        <w:rPr>
          <w:rFonts w:ascii="Times New Roman" w:hAnsi="Times New Roman" w:cs="Times New Roman"/>
          <w:sz w:val="24"/>
          <w:szCs w:val="24"/>
        </w:rPr>
        <w:t xml:space="preserve">the </w:t>
      </w:r>
      <w:r w:rsidRPr="006706B5">
        <w:rPr>
          <w:rFonts w:ascii="Times New Roman" w:hAnsi="Times New Roman" w:cs="Times New Roman"/>
          <w:sz w:val="24"/>
          <w:szCs w:val="24"/>
        </w:rPr>
        <w:t>ECF</w:t>
      </w:r>
      <w:r w:rsidR="00A77ACB" w:rsidRPr="006706B5">
        <w:rPr>
          <w:rFonts w:ascii="Times New Roman" w:hAnsi="Times New Roman" w:cs="Times New Roman"/>
          <w:sz w:val="24"/>
          <w:szCs w:val="24"/>
        </w:rPr>
        <w:t xml:space="preserve"> (</w:t>
      </w:r>
      <w:r w:rsidRPr="006706B5">
        <w:rPr>
          <w:rFonts w:ascii="Times New Roman" w:hAnsi="Times New Roman" w:cs="Times New Roman"/>
          <w:sz w:val="24"/>
          <w:szCs w:val="24"/>
        </w:rPr>
        <w:t xml:space="preserve">whereas the </w:t>
      </w:r>
      <w:proofErr w:type="gramStart"/>
      <w:r w:rsidRPr="006706B5">
        <w:rPr>
          <w:rFonts w:ascii="Times New Roman" w:hAnsi="Times New Roman" w:cs="Times New Roman"/>
          <w:sz w:val="24"/>
          <w:szCs w:val="24"/>
        </w:rPr>
        <w:t>Independent</w:t>
      </w:r>
      <w:proofErr w:type="gramEnd"/>
      <w:r w:rsidRPr="006706B5">
        <w:rPr>
          <w:rFonts w:ascii="Times New Roman" w:hAnsi="Times New Roman" w:cs="Times New Roman"/>
          <w:sz w:val="24"/>
          <w:szCs w:val="24"/>
        </w:rPr>
        <w:t xml:space="preserve"> school had their own programme</w:t>
      </w:r>
      <w:r w:rsidR="00A77ACB" w:rsidRPr="006706B5">
        <w:rPr>
          <w:rFonts w:ascii="Times New Roman" w:hAnsi="Times New Roman" w:cs="Times New Roman"/>
          <w:sz w:val="24"/>
          <w:szCs w:val="24"/>
        </w:rPr>
        <w:t>, as noted above)</w:t>
      </w:r>
      <w:r w:rsidR="00000051" w:rsidRPr="006706B5">
        <w:rPr>
          <w:rFonts w:ascii="Times New Roman" w:hAnsi="Times New Roman" w:cs="Times New Roman"/>
          <w:sz w:val="24"/>
          <w:szCs w:val="24"/>
        </w:rPr>
        <w:t xml:space="preserve">. </w:t>
      </w:r>
      <w:r w:rsidR="003F719E" w:rsidRPr="006706B5">
        <w:rPr>
          <w:rFonts w:ascii="Times New Roman" w:hAnsi="Times New Roman" w:cs="Times New Roman"/>
          <w:sz w:val="24"/>
          <w:szCs w:val="24"/>
        </w:rPr>
        <w:t xml:space="preserve">While </w:t>
      </w:r>
      <w:r w:rsidR="0008273D" w:rsidRPr="006706B5">
        <w:rPr>
          <w:rFonts w:ascii="Times New Roman" w:hAnsi="Times New Roman" w:cs="Times New Roman"/>
          <w:sz w:val="24"/>
          <w:szCs w:val="24"/>
        </w:rPr>
        <w:t xml:space="preserve">coordinators of both types of schools reflected on the </w:t>
      </w:r>
      <w:r w:rsidR="0008273D" w:rsidRPr="006706B5">
        <w:rPr>
          <w:rFonts w:ascii="Times New Roman" w:hAnsi="Times New Roman" w:cs="Times New Roman"/>
          <w:sz w:val="24"/>
          <w:szCs w:val="24"/>
        </w:rPr>
        <w:lastRenderedPageBreak/>
        <w:t xml:space="preserve">importance of </w:t>
      </w:r>
      <w:r w:rsidR="00E064B3" w:rsidRPr="006706B5">
        <w:rPr>
          <w:rFonts w:ascii="Times New Roman" w:hAnsi="Times New Roman" w:cs="Times New Roman"/>
          <w:sz w:val="24"/>
          <w:szCs w:val="24"/>
        </w:rPr>
        <w:t xml:space="preserve">a </w:t>
      </w:r>
      <w:r w:rsidR="0008273D" w:rsidRPr="006706B5">
        <w:rPr>
          <w:rFonts w:ascii="Times New Roman" w:hAnsi="Times New Roman" w:cs="Times New Roman"/>
          <w:sz w:val="24"/>
          <w:szCs w:val="24"/>
        </w:rPr>
        <w:t xml:space="preserve">coaching model for professional development (which can be </w:t>
      </w:r>
      <w:r w:rsidR="001C378E" w:rsidRPr="006706B5">
        <w:rPr>
          <w:rFonts w:ascii="Times New Roman" w:hAnsi="Times New Roman" w:cs="Times New Roman"/>
          <w:sz w:val="24"/>
          <w:szCs w:val="24"/>
        </w:rPr>
        <w:t xml:space="preserve">conceptualised as a </w:t>
      </w:r>
      <w:r w:rsidR="0094745A" w:rsidRPr="006706B5">
        <w:rPr>
          <w:rFonts w:ascii="Times New Roman" w:hAnsi="Times New Roman" w:cs="Times New Roman"/>
          <w:sz w:val="24"/>
          <w:szCs w:val="24"/>
        </w:rPr>
        <w:t xml:space="preserve">means to </w:t>
      </w:r>
      <w:r w:rsidR="001C378E" w:rsidRPr="006706B5">
        <w:rPr>
          <w:rFonts w:ascii="Times New Roman" w:hAnsi="Times New Roman" w:cs="Times New Roman"/>
          <w:i/>
          <w:iCs/>
          <w:sz w:val="24"/>
          <w:szCs w:val="24"/>
        </w:rPr>
        <w:t>coached habitus formation</w:t>
      </w:r>
      <w:r w:rsidR="001C378E" w:rsidRPr="006706B5">
        <w:rPr>
          <w:rFonts w:ascii="Times New Roman" w:hAnsi="Times New Roman" w:cs="Times New Roman"/>
          <w:sz w:val="24"/>
          <w:szCs w:val="24"/>
        </w:rPr>
        <w:t xml:space="preserve"> </w:t>
      </w:r>
      <w:r w:rsidR="00A8490E" w:rsidRPr="006706B5">
        <w:rPr>
          <w:rFonts w:ascii="Times New Roman" w:hAnsi="Times New Roman" w:cs="Times New Roman"/>
          <w:sz w:val="24"/>
          <w:szCs w:val="24"/>
        </w:rPr>
        <w:t>for</w:t>
      </w:r>
      <w:r w:rsidR="001C378E" w:rsidRPr="006706B5">
        <w:rPr>
          <w:rFonts w:ascii="Times New Roman" w:hAnsi="Times New Roman" w:cs="Times New Roman"/>
          <w:sz w:val="24"/>
          <w:szCs w:val="24"/>
        </w:rPr>
        <w:t xml:space="preserve"> new and established professionals in school settings—see Gupta, 202</w:t>
      </w:r>
      <w:r w:rsidR="00A95F2A" w:rsidRPr="006706B5">
        <w:rPr>
          <w:rFonts w:ascii="Times New Roman" w:hAnsi="Times New Roman" w:cs="Times New Roman"/>
          <w:sz w:val="24"/>
          <w:szCs w:val="24"/>
        </w:rPr>
        <w:t>5</w:t>
      </w:r>
      <w:r w:rsidR="0008273D" w:rsidRPr="006706B5">
        <w:rPr>
          <w:rFonts w:ascii="Times New Roman" w:hAnsi="Times New Roman" w:cs="Times New Roman"/>
          <w:sz w:val="24"/>
          <w:szCs w:val="24"/>
        </w:rPr>
        <w:t>),</w:t>
      </w:r>
      <w:r w:rsidR="00145C34" w:rsidRPr="006706B5">
        <w:rPr>
          <w:rFonts w:ascii="Times New Roman" w:hAnsi="Times New Roman" w:cs="Times New Roman"/>
          <w:sz w:val="24"/>
          <w:szCs w:val="24"/>
        </w:rPr>
        <w:t xml:space="preserve"> the MAT school </w:t>
      </w:r>
      <w:r w:rsidR="00000051" w:rsidRPr="006706B5">
        <w:rPr>
          <w:rFonts w:ascii="Times New Roman" w:hAnsi="Times New Roman" w:cs="Times New Roman"/>
          <w:sz w:val="24"/>
          <w:szCs w:val="24"/>
        </w:rPr>
        <w:t>had a</w:t>
      </w:r>
      <w:r w:rsidRPr="006706B5">
        <w:rPr>
          <w:rFonts w:ascii="Times New Roman" w:hAnsi="Times New Roman" w:cs="Times New Roman"/>
          <w:sz w:val="24"/>
          <w:szCs w:val="24"/>
        </w:rPr>
        <w:t xml:space="preserve"> stronger influence of </w:t>
      </w:r>
      <w:r w:rsidR="00613C37" w:rsidRPr="006706B5">
        <w:rPr>
          <w:rFonts w:ascii="Times New Roman" w:hAnsi="Times New Roman" w:cs="Times New Roman"/>
          <w:sz w:val="24"/>
          <w:szCs w:val="24"/>
        </w:rPr>
        <w:t xml:space="preserve">its </w:t>
      </w:r>
      <w:r w:rsidRPr="006706B5">
        <w:rPr>
          <w:rFonts w:ascii="Times New Roman" w:hAnsi="Times New Roman" w:cs="Times New Roman"/>
          <w:sz w:val="24"/>
          <w:szCs w:val="24"/>
        </w:rPr>
        <w:t xml:space="preserve">Trust </w:t>
      </w:r>
      <w:r w:rsidR="00C34EBB" w:rsidRPr="006706B5">
        <w:rPr>
          <w:rFonts w:ascii="Times New Roman" w:hAnsi="Times New Roman" w:cs="Times New Roman"/>
          <w:sz w:val="24"/>
          <w:szCs w:val="24"/>
        </w:rPr>
        <w:t>for enacting the Framework in comparison to the role the</w:t>
      </w:r>
      <w:r w:rsidRPr="006706B5">
        <w:rPr>
          <w:rFonts w:ascii="Times New Roman" w:hAnsi="Times New Roman" w:cs="Times New Roman"/>
          <w:sz w:val="24"/>
          <w:szCs w:val="24"/>
        </w:rPr>
        <w:t xml:space="preserve"> awarding body</w:t>
      </w:r>
      <w:r w:rsidR="00000051" w:rsidRPr="006706B5">
        <w:rPr>
          <w:rFonts w:ascii="Times New Roman" w:hAnsi="Times New Roman" w:cs="Times New Roman"/>
          <w:sz w:val="24"/>
          <w:szCs w:val="24"/>
        </w:rPr>
        <w:t xml:space="preserve"> </w:t>
      </w:r>
      <w:r w:rsidR="00C34EBB" w:rsidRPr="006706B5">
        <w:rPr>
          <w:rFonts w:ascii="Times New Roman" w:hAnsi="Times New Roman" w:cs="Times New Roman"/>
          <w:sz w:val="24"/>
          <w:szCs w:val="24"/>
        </w:rPr>
        <w:t xml:space="preserve">played </w:t>
      </w:r>
      <w:r w:rsidRPr="006706B5">
        <w:rPr>
          <w:rFonts w:ascii="Times New Roman" w:hAnsi="Times New Roman" w:cs="Times New Roman"/>
          <w:sz w:val="24"/>
          <w:szCs w:val="24"/>
        </w:rPr>
        <w:t xml:space="preserve">in the case of the Independent school. This influence was evident in the choice of the </w:t>
      </w:r>
      <w:r w:rsidR="002D794D" w:rsidRPr="006706B5">
        <w:rPr>
          <w:rFonts w:ascii="Times New Roman" w:hAnsi="Times New Roman" w:cs="Times New Roman"/>
          <w:sz w:val="24"/>
          <w:szCs w:val="24"/>
        </w:rPr>
        <w:t xml:space="preserve">government-approved </w:t>
      </w:r>
      <w:r w:rsidRPr="006706B5">
        <w:rPr>
          <w:rFonts w:ascii="Times New Roman" w:hAnsi="Times New Roman" w:cs="Times New Roman"/>
          <w:sz w:val="24"/>
          <w:szCs w:val="24"/>
        </w:rPr>
        <w:t xml:space="preserve">provider, which was in alignment with the values and norms of the Trust in terms of mentoring practices (e.g., the emphasis being placed on instructional coaching for professional development), thus rendering the provider seemingly appropriate for the </w:t>
      </w:r>
      <w:r w:rsidR="002D794D" w:rsidRPr="006706B5">
        <w:rPr>
          <w:rFonts w:ascii="Times New Roman" w:hAnsi="Times New Roman" w:cs="Times New Roman"/>
          <w:sz w:val="24"/>
          <w:szCs w:val="24"/>
        </w:rPr>
        <w:t>contextual</w:t>
      </w:r>
      <w:r w:rsidR="0047669D" w:rsidRPr="006706B5">
        <w:rPr>
          <w:rFonts w:ascii="Times New Roman" w:hAnsi="Times New Roman" w:cs="Times New Roman"/>
          <w:sz w:val="24"/>
          <w:szCs w:val="24"/>
        </w:rPr>
        <w:t xml:space="preserve"> dimensions</w:t>
      </w:r>
      <w:r w:rsidRPr="006706B5">
        <w:rPr>
          <w:rFonts w:ascii="Times New Roman" w:hAnsi="Times New Roman" w:cs="Times New Roman"/>
          <w:sz w:val="24"/>
          <w:szCs w:val="24"/>
        </w:rPr>
        <w:t xml:space="preserve"> of the schools affiliated with this Trust (see </w:t>
      </w:r>
      <w:proofErr w:type="spellStart"/>
      <w:r w:rsidRPr="006706B5">
        <w:rPr>
          <w:rFonts w:ascii="Times New Roman" w:hAnsi="Times New Roman" w:cs="Times New Roman"/>
          <w:sz w:val="24"/>
          <w:szCs w:val="24"/>
        </w:rPr>
        <w:t>Spicksley</w:t>
      </w:r>
      <w:proofErr w:type="spellEnd"/>
      <w:r w:rsidRPr="006706B5">
        <w:rPr>
          <w:rFonts w:ascii="Times New Roman" w:hAnsi="Times New Roman" w:cs="Times New Roman"/>
          <w:sz w:val="24"/>
          <w:szCs w:val="24"/>
        </w:rPr>
        <w:t xml:space="preserve">, 2023 for differences in ECT support approaches </w:t>
      </w:r>
      <w:r w:rsidR="00DE02DF" w:rsidRPr="006706B5">
        <w:rPr>
          <w:rFonts w:ascii="Times New Roman" w:hAnsi="Times New Roman" w:cs="Times New Roman"/>
          <w:sz w:val="24"/>
          <w:szCs w:val="24"/>
        </w:rPr>
        <w:t>adopted by designated</w:t>
      </w:r>
      <w:r w:rsidRPr="006706B5">
        <w:rPr>
          <w:rFonts w:ascii="Times New Roman" w:hAnsi="Times New Roman" w:cs="Times New Roman"/>
          <w:sz w:val="24"/>
          <w:szCs w:val="24"/>
        </w:rPr>
        <w:t xml:space="preserve"> external providers). </w:t>
      </w:r>
    </w:p>
    <w:p w14:paraId="30CE42FB" w14:textId="77777777" w:rsidR="00C93FC3" w:rsidRPr="006706B5" w:rsidRDefault="00C93FC3" w:rsidP="00475B79">
      <w:pPr>
        <w:spacing w:line="360" w:lineRule="auto"/>
        <w:ind w:left="720"/>
        <w:rPr>
          <w:rFonts w:ascii="Times New Roman" w:hAnsi="Times New Roman" w:cs="Times New Roman"/>
          <w:sz w:val="24"/>
          <w:szCs w:val="24"/>
        </w:rPr>
      </w:pPr>
      <w:r w:rsidRPr="006706B5">
        <w:rPr>
          <w:rFonts w:ascii="Times New Roman" w:hAnsi="Times New Roman" w:cs="Times New Roman"/>
          <w:sz w:val="24"/>
          <w:szCs w:val="24"/>
        </w:rPr>
        <w:t>The training that we've received through being an ECT mentor through [external provider] has explicitly taught us how to do that [mentoring] and given us the opportunity to practise that [through regular sessions with ECTs]. I think us, like lots of multi-academy trusts, like lots of schools, are embedding coaching and similar things within their internal practice, so it's massively linked up. The coaching that we do with ECTs will look very similar to the coaching we would do with experienced staff. The model is the same because the model's based on evidence; it's just been embedded. [MAT, Mentor1]</w:t>
      </w:r>
    </w:p>
    <w:p w14:paraId="73EC61E2" w14:textId="030634F4" w:rsidR="00C93FC3" w:rsidRPr="006706B5" w:rsidRDefault="00C93FC3" w:rsidP="00CB28C2">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Therefore, as shown above, </w:t>
      </w:r>
      <w:r w:rsidR="002D794D" w:rsidRPr="006706B5">
        <w:rPr>
          <w:rFonts w:ascii="Times New Roman" w:hAnsi="Times New Roman" w:cs="Times New Roman"/>
          <w:sz w:val="24"/>
          <w:szCs w:val="24"/>
        </w:rPr>
        <w:t xml:space="preserve">the </w:t>
      </w:r>
      <w:r w:rsidRPr="006706B5">
        <w:rPr>
          <w:rFonts w:ascii="Times New Roman" w:hAnsi="Times New Roman" w:cs="Times New Roman"/>
          <w:sz w:val="24"/>
          <w:szCs w:val="24"/>
        </w:rPr>
        <w:t xml:space="preserve">participants from the MAT school perceived their ECT programme as being ‘coherent’ with the (Trust-directed) school context. Nevertheless, some tensions were reported by participants from this school arising on occasions when this coherency was disrupted due to the difference between the specific context of the school (e.g., </w:t>
      </w:r>
      <w:r w:rsidR="002D794D" w:rsidRPr="006706B5">
        <w:rPr>
          <w:rFonts w:ascii="Times New Roman" w:hAnsi="Times New Roman" w:cs="Times New Roman"/>
          <w:sz w:val="24"/>
          <w:szCs w:val="24"/>
        </w:rPr>
        <w:t>a particular</w:t>
      </w:r>
      <w:r w:rsidRPr="006706B5">
        <w:rPr>
          <w:rFonts w:ascii="Times New Roman" w:hAnsi="Times New Roman" w:cs="Times New Roman"/>
          <w:sz w:val="24"/>
          <w:szCs w:val="24"/>
        </w:rPr>
        <w:t xml:space="preserve"> approach to teaching and collegiality expected from the ECTs as staff members for everyday functioning of the school), the Trust’s suggestions (e.g., the resources supplied were too ‘nationally’ oriented and not sufficiently school-specific) and the content from the external provider (e.g., at times, the material teachers were asked to use were inappropriate for the secondary school context or the timeline of professional development </w:t>
      </w:r>
      <w:r w:rsidRPr="006706B5">
        <w:rPr>
          <w:rFonts w:ascii="Times New Roman" w:hAnsi="Times New Roman" w:cs="Times New Roman"/>
          <w:sz w:val="24"/>
          <w:szCs w:val="24"/>
        </w:rPr>
        <w:lastRenderedPageBreak/>
        <w:t xml:space="preserve">activities did not align with what ECTs </w:t>
      </w:r>
      <w:r w:rsidR="00E44AB1" w:rsidRPr="006706B5">
        <w:rPr>
          <w:rFonts w:ascii="Times New Roman" w:hAnsi="Times New Roman" w:cs="Times New Roman"/>
          <w:sz w:val="24"/>
          <w:szCs w:val="24"/>
        </w:rPr>
        <w:t xml:space="preserve">felt they </w:t>
      </w:r>
      <w:r w:rsidRPr="006706B5">
        <w:rPr>
          <w:rFonts w:ascii="Times New Roman" w:hAnsi="Times New Roman" w:cs="Times New Roman"/>
          <w:sz w:val="24"/>
          <w:szCs w:val="24"/>
        </w:rPr>
        <w:t xml:space="preserve">needed at a given point </w:t>
      </w:r>
      <w:r w:rsidR="002D794D" w:rsidRPr="006706B5">
        <w:rPr>
          <w:rFonts w:ascii="Times New Roman" w:hAnsi="Times New Roman" w:cs="Times New Roman"/>
          <w:sz w:val="24"/>
          <w:szCs w:val="24"/>
        </w:rPr>
        <w:t>of</w:t>
      </w:r>
      <w:r w:rsidRPr="006706B5">
        <w:rPr>
          <w:rFonts w:ascii="Times New Roman" w:hAnsi="Times New Roman" w:cs="Times New Roman"/>
          <w:sz w:val="24"/>
          <w:szCs w:val="24"/>
        </w:rPr>
        <w:t xml:space="preserve"> time). This dynamic speaks directly to the scholarly discussions on the micropolitics of policy enactments in MATs in England (see Innes, 2021 for a</w:t>
      </w:r>
      <w:r w:rsidR="00C5793C" w:rsidRPr="006706B5">
        <w:rPr>
          <w:rFonts w:ascii="Times New Roman" w:hAnsi="Times New Roman" w:cs="Times New Roman"/>
          <w:sz w:val="24"/>
          <w:szCs w:val="24"/>
        </w:rPr>
        <w:t xml:space="preserve">n </w:t>
      </w:r>
      <w:r w:rsidRPr="006706B5">
        <w:rPr>
          <w:rFonts w:ascii="Times New Roman" w:hAnsi="Times New Roman" w:cs="Times New Roman"/>
          <w:sz w:val="24"/>
          <w:szCs w:val="24"/>
        </w:rPr>
        <w:t>analysis of this)</w:t>
      </w:r>
      <w:r w:rsidR="000E69B1" w:rsidRPr="006706B5">
        <w:rPr>
          <w:rFonts w:ascii="Times New Roman" w:hAnsi="Times New Roman" w:cs="Times New Roman"/>
          <w:sz w:val="24"/>
          <w:szCs w:val="24"/>
        </w:rPr>
        <w:t xml:space="preserve">. It signals </w:t>
      </w:r>
      <w:r w:rsidRPr="006706B5">
        <w:rPr>
          <w:rFonts w:ascii="Times New Roman" w:hAnsi="Times New Roman" w:cs="Times New Roman"/>
          <w:sz w:val="24"/>
          <w:szCs w:val="24"/>
        </w:rPr>
        <w:t xml:space="preserve">the tensions arising from dissonance between </w:t>
      </w:r>
      <w:r w:rsidR="000E69B1" w:rsidRPr="006706B5">
        <w:rPr>
          <w:rFonts w:ascii="Times New Roman" w:hAnsi="Times New Roman" w:cs="Times New Roman"/>
          <w:sz w:val="24"/>
          <w:szCs w:val="24"/>
        </w:rPr>
        <w:t xml:space="preserve">the </w:t>
      </w:r>
      <w:r w:rsidRPr="006706B5">
        <w:rPr>
          <w:rFonts w:ascii="Times New Roman" w:hAnsi="Times New Roman" w:cs="Times New Roman"/>
          <w:sz w:val="24"/>
          <w:szCs w:val="24"/>
        </w:rPr>
        <w:t xml:space="preserve">situated context of the school and </w:t>
      </w:r>
      <w:r w:rsidR="000E69B1" w:rsidRPr="006706B5">
        <w:rPr>
          <w:rFonts w:ascii="Times New Roman" w:hAnsi="Times New Roman" w:cs="Times New Roman"/>
          <w:sz w:val="24"/>
          <w:szCs w:val="24"/>
        </w:rPr>
        <w:t xml:space="preserve">the </w:t>
      </w:r>
      <w:r w:rsidRPr="006706B5">
        <w:rPr>
          <w:rFonts w:ascii="Times New Roman" w:hAnsi="Times New Roman" w:cs="Times New Roman"/>
          <w:sz w:val="24"/>
          <w:szCs w:val="24"/>
        </w:rPr>
        <w:t>external context created by the expectation from the Trust</w:t>
      </w:r>
      <w:r w:rsidR="000E69B1" w:rsidRPr="006706B5">
        <w:rPr>
          <w:rFonts w:ascii="Times New Roman" w:hAnsi="Times New Roman" w:cs="Times New Roman"/>
          <w:sz w:val="24"/>
          <w:szCs w:val="24"/>
        </w:rPr>
        <w:t>,</w:t>
      </w:r>
      <w:r w:rsidRPr="006706B5">
        <w:rPr>
          <w:rFonts w:ascii="Times New Roman" w:hAnsi="Times New Roman" w:cs="Times New Roman"/>
          <w:sz w:val="24"/>
          <w:szCs w:val="24"/>
        </w:rPr>
        <w:t xml:space="preserve"> as well as the external provider they had subscribed to for delivering ECF</w:t>
      </w:r>
      <w:r w:rsidR="000E69B1" w:rsidRPr="006706B5">
        <w:rPr>
          <w:rFonts w:ascii="Times New Roman" w:hAnsi="Times New Roman" w:cs="Times New Roman"/>
          <w:sz w:val="24"/>
          <w:szCs w:val="24"/>
        </w:rPr>
        <w:t xml:space="preserve">. </w:t>
      </w:r>
      <w:r w:rsidR="006E60F5" w:rsidRPr="006706B5">
        <w:rPr>
          <w:rFonts w:ascii="Times New Roman" w:hAnsi="Times New Roman" w:cs="Times New Roman"/>
          <w:sz w:val="24"/>
          <w:szCs w:val="24"/>
        </w:rPr>
        <w:t>The</w:t>
      </w:r>
      <w:r w:rsidR="000E69B1" w:rsidRPr="006706B5">
        <w:rPr>
          <w:rFonts w:ascii="Times New Roman" w:hAnsi="Times New Roman" w:cs="Times New Roman"/>
          <w:sz w:val="24"/>
          <w:szCs w:val="24"/>
        </w:rPr>
        <w:t xml:space="preserve"> outcome </w:t>
      </w:r>
      <w:r w:rsidR="006E60F5" w:rsidRPr="006706B5">
        <w:rPr>
          <w:rFonts w:ascii="Times New Roman" w:hAnsi="Times New Roman" w:cs="Times New Roman"/>
          <w:sz w:val="24"/>
          <w:szCs w:val="24"/>
        </w:rPr>
        <w:t xml:space="preserve">of this in practice </w:t>
      </w:r>
      <w:r w:rsidR="000E69B1" w:rsidRPr="006706B5">
        <w:rPr>
          <w:rFonts w:ascii="Times New Roman" w:hAnsi="Times New Roman" w:cs="Times New Roman"/>
          <w:sz w:val="24"/>
          <w:szCs w:val="24"/>
        </w:rPr>
        <w:t xml:space="preserve">was </w:t>
      </w:r>
      <w:r w:rsidR="006E60F5" w:rsidRPr="006706B5">
        <w:rPr>
          <w:rFonts w:ascii="Times New Roman" w:hAnsi="Times New Roman" w:cs="Times New Roman"/>
          <w:sz w:val="24"/>
          <w:szCs w:val="24"/>
        </w:rPr>
        <w:t xml:space="preserve">the evidence of </w:t>
      </w:r>
      <w:r w:rsidR="000E69B1" w:rsidRPr="006706B5">
        <w:rPr>
          <w:rFonts w:ascii="Times New Roman" w:hAnsi="Times New Roman" w:cs="Times New Roman"/>
          <w:sz w:val="24"/>
          <w:szCs w:val="24"/>
        </w:rPr>
        <w:t>competing interests</w:t>
      </w:r>
      <w:r w:rsidR="006E60F5" w:rsidRPr="006706B5">
        <w:rPr>
          <w:rFonts w:ascii="Times New Roman" w:hAnsi="Times New Roman" w:cs="Times New Roman"/>
          <w:sz w:val="24"/>
          <w:szCs w:val="24"/>
        </w:rPr>
        <w:t xml:space="preserve"> with</w:t>
      </w:r>
      <w:r w:rsidR="000E69B1" w:rsidRPr="006706B5">
        <w:rPr>
          <w:rFonts w:ascii="Times New Roman" w:hAnsi="Times New Roman" w:cs="Times New Roman"/>
          <w:sz w:val="24"/>
          <w:szCs w:val="24"/>
        </w:rPr>
        <w:t xml:space="preserve">in </w:t>
      </w:r>
      <w:r w:rsidR="00577A5A" w:rsidRPr="006706B5">
        <w:rPr>
          <w:rFonts w:ascii="Times New Roman" w:hAnsi="Times New Roman" w:cs="Times New Roman"/>
          <w:sz w:val="24"/>
          <w:szCs w:val="24"/>
        </w:rPr>
        <w:t xml:space="preserve">the professional context </w:t>
      </w:r>
      <w:r w:rsidR="008F6ECE" w:rsidRPr="006706B5">
        <w:rPr>
          <w:rFonts w:ascii="Times New Roman" w:hAnsi="Times New Roman" w:cs="Times New Roman"/>
          <w:sz w:val="24"/>
          <w:szCs w:val="24"/>
        </w:rPr>
        <w:t>of this school</w:t>
      </w:r>
      <w:r w:rsidR="00CB28C2" w:rsidRPr="006706B5">
        <w:rPr>
          <w:rFonts w:ascii="Times New Roman" w:hAnsi="Times New Roman" w:cs="Times New Roman"/>
          <w:sz w:val="24"/>
          <w:szCs w:val="24"/>
        </w:rPr>
        <w:t>.</w:t>
      </w:r>
      <w:r w:rsidRPr="006706B5">
        <w:rPr>
          <w:rFonts w:ascii="Times New Roman" w:hAnsi="Times New Roman" w:cs="Times New Roman"/>
          <w:sz w:val="24"/>
          <w:szCs w:val="24"/>
        </w:rPr>
        <w:t xml:space="preserve"> </w:t>
      </w:r>
    </w:p>
    <w:p w14:paraId="4E741EFA" w14:textId="77777777" w:rsidR="00C93FC3" w:rsidRPr="006706B5" w:rsidRDefault="00C93FC3" w:rsidP="005E73A8">
      <w:pPr>
        <w:pStyle w:val="Heading2"/>
        <w:spacing w:line="480" w:lineRule="auto"/>
        <w:rPr>
          <w:rFonts w:ascii="Times New Roman" w:eastAsia="Times New Roman" w:hAnsi="Times New Roman" w:cs="Times New Roman"/>
          <w:b/>
          <w:bCs/>
          <w:i/>
          <w:iCs/>
          <w:color w:val="auto"/>
          <w:sz w:val="24"/>
          <w:szCs w:val="24"/>
          <w:lang w:eastAsia="en-GB"/>
        </w:rPr>
      </w:pPr>
      <w:r w:rsidRPr="006706B5">
        <w:rPr>
          <w:rFonts w:ascii="Times New Roman" w:eastAsia="Times New Roman" w:hAnsi="Times New Roman" w:cs="Times New Roman"/>
          <w:b/>
          <w:bCs/>
          <w:i/>
          <w:iCs/>
          <w:color w:val="auto"/>
          <w:sz w:val="24"/>
          <w:szCs w:val="24"/>
          <w:lang w:eastAsia="en-GB"/>
        </w:rPr>
        <w:t>Weak embedding of the ECT programme in school context: a case of Faith-based and Local Authority schools</w:t>
      </w:r>
    </w:p>
    <w:p w14:paraId="57D52AAB" w14:textId="0BFCE6F2" w:rsidR="00C93FC3" w:rsidRPr="006706B5" w:rsidRDefault="00C93FC3" w:rsidP="002226D6">
      <w:pPr>
        <w:spacing w:line="480" w:lineRule="auto"/>
        <w:rPr>
          <w:rFonts w:ascii="Times New Roman" w:hAnsi="Times New Roman" w:cs="Times New Roman"/>
          <w:sz w:val="24"/>
          <w:szCs w:val="24"/>
        </w:rPr>
      </w:pPr>
      <w:r w:rsidRPr="006706B5">
        <w:rPr>
          <w:rFonts w:ascii="Times New Roman" w:hAnsi="Times New Roman" w:cs="Times New Roman"/>
          <w:sz w:val="24"/>
          <w:szCs w:val="24"/>
        </w:rPr>
        <w:t>The ECT programme coordinators in both</w:t>
      </w:r>
      <w:r w:rsidR="00581689" w:rsidRPr="006706B5">
        <w:rPr>
          <w:rFonts w:ascii="Times New Roman" w:hAnsi="Times New Roman" w:cs="Times New Roman"/>
          <w:sz w:val="24"/>
          <w:szCs w:val="24"/>
        </w:rPr>
        <w:t xml:space="preserve"> the </w:t>
      </w:r>
      <w:r w:rsidRPr="006706B5">
        <w:rPr>
          <w:rFonts w:ascii="Times New Roman" w:hAnsi="Times New Roman" w:cs="Times New Roman"/>
          <w:sz w:val="24"/>
          <w:szCs w:val="24"/>
        </w:rPr>
        <w:t>Faith-based and</w:t>
      </w:r>
      <w:r w:rsidR="00581689" w:rsidRPr="006706B5">
        <w:rPr>
          <w:rFonts w:ascii="Times New Roman" w:hAnsi="Times New Roman" w:cs="Times New Roman"/>
          <w:sz w:val="24"/>
          <w:szCs w:val="24"/>
        </w:rPr>
        <w:t xml:space="preserve"> the </w:t>
      </w:r>
      <w:r w:rsidRPr="006706B5">
        <w:rPr>
          <w:rFonts w:ascii="Times New Roman" w:hAnsi="Times New Roman" w:cs="Times New Roman"/>
          <w:sz w:val="24"/>
          <w:szCs w:val="24"/>
        </w:rPr>
        <w:t>LA school</w:t>
      </w:r>
      <w:r w:rsidR="00983AFA" w:rsidRPr="006706B5">
        <w:rPr>
          <w:rFonts w:ascii="Times New Roman" w:hAnsi="Times New Roman" w:cs="Times New Roman"/>
          <w:sz w:val="24"/>
          <w:szCs w:val="24"/>
        </w:rPr>
        <w:t>s</w:t>
      </w:r>
      <w:r w:rsidRPr="006706B5">
        <w:rPr>
          <w:rFonts w:ascii="Times New Roman" w:hAnsi="Times New Roman" w:cs="Times New Roman"/>
          <w:sz w:val="24"/>
          <w:szCs w:val="24"/>
        </w:rPr>
        <w:t xml:space="preserve"> in our sample </w:t>
      </w:r>
      <w:r w:rsidR="00450DB0" w:rsidRPr="006706B5">
        <w:rPr>
          <w:rFonts w:ascii="Times New Roman" w:hAnsi="Times New Roman" w:cs="Times New Roman"/>
          <w:sz w:val="24"/>
          <w:szCs w:val="24"/>
        </w:rPr>
        <w:t xml:space="preserve">did not feel they had the </w:t>
      </w:r>
      <w:r w:rsidRPr="006706B5">
        <w:rPr>
          <w:rFonts w:ascii="Times New Roman" w:hAnsi="Times New Roman" w:cs="Times New Roman"/>
          <w:sz w:val="24"/>
          <w:szCs w:val="24"/>
        </w:rPr>
        <w:t xml:space="preserve">autonomy to enact the ECF confidently and in alignment with the school’s priorities and context. Just like the MAT school in our sample, </w:t>
      </w:r>
      <w:proofErr w:type="gramStart"/>
      <w:r w:rsidRPr="006706B5">
        <w:rPr>
          <w:rFonts w:ascii="Times New Roman" w:hAnsi="Times New Roman" w:cs="Times New Roman"/>
          <w:sz w:val="24"/>
          <w:szCs w:val="24"/>
        </w:rPr>
        <w:t>both of these</w:t>
      </w:r>
      <w:proofErr w:type="gramEnd"/>
      <w:r w:rsidRPr="006706B5">
        <w:rPr>
          <w:rFonts w:ascii="Times New Roman" w:hAnsi="Times New Roman" w:cs="Times New Roman"/>
          <w:sz w:val="24"/>
          <w:szCs w:val="24"/>
        </w:rPr>
        <w:t xml:space="preserve"> schools decided to opt for an external provider to help curate their ECT programme. However, reflecting on how this was experienced in practice, coordinators of these schools spoke about a gross mismatch between the practices their respective providers insisted they</w:t>
      </w:r>
      <w:r w:rsidR="006E60F5" w:rsidRPr="006706B5">
        <w:rPr>
          <w:rFonts w:ascii="Times New Roman" w:hAnsi="Times New Roman" w:cs="Times New Roman"/>
          <w:sz w:val="24"/>
          <w:szCs w:val="24"/>
        </w:rPr>
        <w:t xml:space="preserve"> should</w:t>
      </w:r>
      <w:r w:rsidRPr="006706B5">
        <w:rPr>
          <w:rFonts w:ascii="Times New Roman" w:hAnsi="Times New Roman" w:cs="Times New Roman"/>
          <w:sz w:val="24"/>
          <w:szCs w:val="24"/>
        </w:rPr>
        <w:t xml:space="preserve"> adopt and their </w:t>
      </w:r>
      <w:r w:rsidR="00890659" w:rsidRPr="006706B5">
        <w:rPr>
          <w:rFonts w:ascii="Times New Roman" w:hAnsi="Times New Roman" w:cs="Times New Roman"/>
          <w:sz w:val="24"/>
          <w:szCs w:val="24"/>
        </w:rPr>
        <w:t>schools</w:t>
      </w:r>
      <w:r w:rsidR="00793BFE" w:rsidRPr="006706B5">
        <w:rPr>
          <w:rFonts w:ascii="Times New Roman" w:hAnsi="Times New Roman" w:cs="Times New Roman"/>
          <w:sz w:val="24"/>
          <w:szCs w:val="24"/>
        </w:rPr>
        <w:t>’</w:t>
      </w:r>
      <w:r w:rsidRPr="006706B5">
        <w:rPr>
          <w:rFonts w:ascii="Times New Roman" w:hAnsi="Times New Roman" w:cs="Times New Roman"/>
          <w:sz w:val="24"/>
          <w:szCs w:val="24"/>
        </w:rPr>
        <w:t xml:space="preserve"> professional context. How th</w:t>
      </w:r>
      <w:r w:rsidR="000C151E" w:rsidRPr="006706B5">
        <w:rPr>
          <w:rFonts w:ascii="Times New Roman" w:hAnsi="Times New Roman" w:cs="Times New Roman"/>
          <w:sz w:val="24"/>
          <w:szCs w:val="24"/>
        </w:rPr>
        <w:t>e</w:t>
      </w:r>
      <w:r w:rsidRPr="006706B5">
        <w:rPr>
          <w:rFonts w:ascii="Times New Roman" w:hAnsi="Times New Roman" w:cs="Times New Roman"/>
          <w:sz w:val="24"/>
          <w:szCs w:val="24"/>
        </w:rPr>
        <w:t xml:space="preserve"> disjointedness of </w:t>
      </w:r>
      <w:r w:rsidR="00CE4F28" w:rsidRPr="006706B5">
        <w:rPr>
          <w:rFonts w:ascii="Times New Roman" w:hAnsi="Times New Roman" w:cs="Times New Roman"/>
          <w:sz w:val="24"/>
          <w:szCs w:val="24"/>
        </w:rPr>
        <w:t>the</w:t>
      </w:r>
      <w:r w:rsidR="002226D6" w:rsidRPr="006706B5">
        <w:rPr>
          <w:rFonts w:ascii="Times New Roman" w:hAnsi="Times New Roman" w:cs="Times New Roman"/>
          <w:sz w:val="24"/>
          <w:szCs w:val="24"/>
        </w:rPr>
        <w:t xml:space="preserve"> ECT programme</w:t>
      </w:r>
      <w:r w:rsidRPr="006706B5">
        <w:rPr>
          <w:rFonts w:ascii="Times New Roman" w:hAnsi="Times New Roman" w:cs="Times New Roman"/>
          <w:sz w:val="24"/>
          <w:szCs w:val="24"/>
        </w:rPr>
        <w:t xml:space="preserve"> vis-à-vis </w:t>
      </w:r>
      <w:r w:rsidR="002226D6" w:rsidRPr="006706B5">
        <w:rPr>
          <w:rFonts w:ascii="Times New Roman" w:hAnsi="Times New Roman" w:cs="Times New Roman"/>
          <w:sz w:val="24"/>
          <w:szCs w:val="24"/>
        </w:rPr>
        <w:t>the school’s</w:t>
      </w:r>
      <w:r w:rsidRPr="006706B5">
        <w:rPr>
          <w:rFonts w:ascii="Times New Roman" w:hAnsi="Times New Roman" w:cs="Times New Roman"/>
          <w:sz w:val="24"/>
          <w:szCs w:val="24"/>
        </w:rPr>
        <w:t xml:space="preserve"> context</w:t>
      </w:r>
      <w:r w:rsidR="006E60F5" w:rsidRPr="006706B5">
        <w:rPr>
          <w:rFonts w:ascii="Times New Roman" w:hAnsi="Times New Roman" w:cs="Times New Roman"/>
          <w:sz w:val="24"/>
          <w:szCs w:val="24"/>
        </w:rPr>
        <w:t>ual</w:t>
      </w:r>
      <w:r w:rsidR="000276B9" w:rsidRPr="006706B5">
        <w:rPr>
          <w:rFonts w:ascii="Times New Roman" w:hAnsi="Times New Roman" w:cs="Times New Roman"/>
          <w:sz w:val="24"/>
          <w:szCs w:val="24"/>
        </w:rPr>
        <w:t xml:space="preserve"> dimension</w:t>
      </w:r>
      <w:r w:rsidR="002226D6" w:rsidRPr="006706B5">
        <w:rPr>
          <w:rFonts w:ascii="Times New Roman" w:hAnsi="Times New Roman" w:cs="Times New Roman"/>
          <w:sz w:val="24"/>
          <w:szCs w:val="24"/>
        </w:rPr>
        <w:t>s</w:t>
      </w:r>
      <w:r w:rsidRPr="006706B5">
        <w:rPr>
          <w:rFonts w:ascii="Times New Roman" w:hAnsi="Times New Roman" w:cs="Times New Roman"/>
          <w:sz w:val="24"/>
          <w:szCs w:val="24"/>
        </w:rPr>
        <w:t xml:space="preserve"> played out and</w:t>
      </w:r>
      <w:r w:rsidR="002226D6" w:rsidRPr="006706B5">
        <w:rPr>
          <w:rFonts w:ascii="Times New Roman" w:hAnsi="Times New Roman" w:cs="Times New Roman"/>
          <w:sz w:val="24"/>
          <w:szCs w:val="24"/>
        </w:rPr>
        <w:t xml:space="preserve"> the</w:t>
      </w:r>
      <w:r w:rsidRPr="006706B5">
        <w:rPr>
          <w:rFonts w:ascii="Times New Roman" w:hAnsi="Times New Roman" w:cs="Times New Roman"/>
          <w:sz w:val="24"/>
          <w:szCs w:val="24"/>
        </w:rPr>
        <w:t xml:space="preserve"> </w:t>
      </w:r>
      <w:r w:rsidR="00430F03" w:rsidRPr="006706B5">
        <w:rPr>
          <w:rFonts w:ascii="Times New Roman" w:hAnsi="Times New Roman" w:cs="Times New Roman"/>
          <w:sz w:val="24"/>
          <w:szCs w:val="24"/>
        </w:rPr>
        <w:t>varied</w:t>
      </w:r>
      <w:r w:rsidR="00890659" w:rsidRPr="006706B5">
        <w:rPr>
          <w:rFonts w:ascii="Times New Roman" w:hAnsi="Times New Roman" w:cs="Times New Roman"/>
          <w:sz w:val="24"/>
          <w:szCs w:val="24"/>
        </w:rPr>
        <w:t xml:space="preserve"> </w:t>
      </w:r>
      <w:r w:rsidR="002226D6" w:rsidRPr="006706B5">
        <w:rPr>
          <w:rFonts w:ascii="Times New Roman" w:hAnsi="Times New Roman" w:cs="Times New Roman"/>
          <w:sz w:val="24"/>
          <w:szCs w:val="24"/>
        </w:rPr>
        <w:t>ways in which this was articulated</w:t>
      </w:r>
      <w:r w:rsidR="00430F03" w:rsidRPr="006706B5">
        <w:rPr>
          <w:rFonts w:ascii="Times New Roman" w:hAnsi="Times New Roman" w:cs="Times New Roman"/>
          <w:sz w:val="24"/>
          <w:szCs w:val="24"/>
        </w:rPr>
        <w:t xml:space="preserve"> </w:t>
      </w:r>
      <w:r w:rsidR="00FA30E9" w:rsidRPr="006706B5">
        <w:rPr>
          <w:rFonts w:ascii="Times New Roman" w:hAnsi="Times New Roman" w:cs="Times New Roman"/>
          <w:sz w:val="24"/>
          <w:szCs w:val="24"/>
        </w:rPr>
        <w:t xml:space="preserve">by coordinators </w:t>
      </w:r>
      <w:r w:rsidRPr="006706B5">
        <w:rPr>
          <w:rFonts w:ascii="Times New Roman" w:hAnsi="Times New Roman" w:cs="Times New Roman"/>
          <w:sz w:val="24"/>
          <w:szCs w:val="24"/>
        </w:rPr>
        <w:t>in both schools ha</w:t>
      </w:r>
      <w:r w:rsidR="00430F03" w:rsidRPr="006706B5">
        <w:rPr>
          <w:rFonts w:ascii="Times New Roman" w:hAnsi="Times New Roman" w:cs="Times New Roman"/>
          <w:sz w:val="24"/>
          <w:szCs w:val="24"/>
        </w:rPr>
        <w:t>ve</w:t>
      </w:r>
      <w:r w:rsidRPr="006706B5">
        <w:rPr>
          <w:rFonts w:ascii="Times New Roman" w:hAnsi="Times New Roman" w:cs="Times New Roman"/>
          <w:sz w:val="24"/>
          <w:szCs w:val="24"/>
        </w:rPr>
        <w:t xml:space="preserve"> been typified in the excerpts below: </w:t>
      </w:r>
    </w:p>
    <w:p w14:paraId="27D2D7C3" w14:textId="77777777" w:rsidR="00C93FC3" w:rsidRPr="006706B5" w:rsidRDefault="00C93FC3" w:rsidP="00793BFE">
      <w:pPr>
        <w:spacing w:line="360" w:lineRule="auto"/>
        <w:ind w:left="720"/>
        <w:rPr>
          <w:rFonts w:ascii="Times New Roman" w:hAnsi="Times New Roman" w:cs="Times New Roman"/>
          <w:sz w:val="24"/>
          <w:szCs w:val="24"/>
        </w:rPr>
      </w:pPr>
      <w:proofErr w:type="gramStart"/>
      <w:r w:rsidRPr="006706B5">
        <w:rPr>
          <w:rFonts w:ascii="Times New Roman" w:hAnsi="Times New Roman" w:cs="Times New Roman"/>
          <w:sz w:val="24"/>
          <w:szCs w:val="24"/>
        </w:rPr>
        <w:t>So</w:t>
      </w:r>
      <w:proofErr w:type="gramEnd"/>
      <w:r w:rsidRPr="006706B5">
        <w:rPr>
          <w:rFonts w:ascii="Times New Roman" w:hAnsi="Times New Roman" w:cs="Times New Roman"/>
          <w:sz w:val="24"/>
          <w:szCs w:val="24"/>
        </w:rPr>
        <w:t xml:space="preserve"> three years </w:t>
      </w:r>
      <w:proofErr w:type="gramStart"/>
      <w:r w:rsidRPr="006706B5">
        <w:rPr>
          <w:rFonts w:ascii="Times New Roman" w:hAnsi="Times New Roman" w:cs="Times New Roman"/>
          <w:sz w:val="24"/>
          <w:szCs w:val="24"/>
        </w:rPr>
        <w:t>ago</w:t>
      </w:r>
      <w:proofErr w:type="gramEnd"/>
      <w:r w:rsidRPr="006706B5">
        <w:rPr>
          <w:rFonts w:ascii="Times New Roman" w:hAnsi="Times New Roman" w:cs="Times New Roman"/>
          <w:sz w:val="24"/>
          <w:szCs w:val="24"/>
        </w:rPr>
        <w:t xml:space="preserve"> when ECT started, I went with the fully led induction route and a year </w:t>
      </w:r>
      <w:proofErr w:type="gramStart"/>
      <w:r w:rsidRPr="006706B5">
        <w:rPr>
          <w:rFonts w:ascii="Times New Roman" w:hAnsi="Times New Roman" w:cs="Times New Roman"/>
          <w:sz w:val="24"/>
          <w:szCs w:val="24"/>
        </w:rPr>
        <w:t>in</w:t>
      </w:r>
      <w:proofErr w:type="gramEnd"/>
      <w:r w:rsidRPr="006706B5">
        <w:rPr>
          <w:rFonts w:ascii="Times New Roman" w:hAnsi="Times New Roman" w:cs="Times New Roman"/>
          <w:sz w:val="24"/>
          <w:szCs w:val="24"/>
        </w:rPr>
        <w:t xml:space="preserve"> and I didn't like it at all. It wasn't working for us. It was it was one size fits all. You </w:t>
      </w:r>
      <w:proofErr w:type="gramStart"/>
      <w:r w:rsidRPr="006706B5">
        <w:rPr>
          <w:rFonts w:ascii="Times New Roman" w:hAnsi="Times New Roman" w:cs="Times New Roman"/>
          <w:sz w:val="24"/>
          <w:szCs w:val="24"/>
        </w:rPr>
        <w:t>have to</w:t>
      </w:r>
      <w:proofErr w:type="gramEnd"/>
      <w:r w:rsidRPr="006706B5">
        <w:rPr>
          <w:rFonts w:ascii="Times New Roman" w:hAnsi="Times New Roman" w:cs="Times New Roman"/>
          <w:sz w:val="24"/>
          <w:szCs w:val="24"/>
        </w:rPr>
        <w:t xml:space="preserve"> follow this path. There was an online thing that you had to do, and it was </w:t>
      </w:r>
      <w:proofErr w:type="gramStart"/>
      <w:r w:rsidRPr="006706B5">
        <w:rPr>
          <w:rFonts w:ascii="Times New Roman" w:hAnsi="Times New Roman" w:cs="Times New Roman"/>
          <w:sz w:val="24"/>
          <w:szCs w:val="24"/>
        </w:rPr>
        <w:t>really unclear</w:t>
      </w:r>
      <w:proofErr w:type="gramEnd"/>
      <w:r w:rsidRPr="006706B5">
        <w:rPr>
          <w:rFonts w:ascii="Times New Roman" w:hAnsi="Times New Roman" w:cs="Times New Roman"/>
          <w:sz w:val="24"/>
          <w:szCs w:val="24"/>
        </w:rPr>
        <w:t xml:space="preserve"> </w:t>
      </w:r>
      <w:proofErr w:type="gramStart"/>
      <w:r w:rsidRPr="006706B5">
        <w:rPr>
          <w:rFonts w:ascii="Times New Roman" w:hAnsi="Times New Roman" w:cs="Times New Roman"/>
          <w:sz w:val="24"/>
          <w:szCs w:val="24"/>
        </w:rPr>
        <w:t>what</w:t>
      </w:r>
      <w:proofErr w:type="gramEnd"/>
      <w:r w:rsidRPr="006706B5">
        <w:rPr>
          <w:rFonts w:ascii="Times New Roman" w:hAnsi="Times New Roman" w:cs="Times New Roman"/>
          <w:sz w:val="24"/>
          <w:szCs w:val="24"/>
        </w:rPr>
        <w:t xml:space="preserve"> you had to do. I felt really disjointed, and I felt that what you give for a curriculum and what the government were then giving for the curriculum, there was a massive drop off and we were going back over old things that they didn't need to go over. So last year I went into the - I can't remember now what it's called - to the middle version of it, and still, it was really disjointed. I still felt really frustrated because at [their school], we have a…bespoke model. [Faith-based, coordinator]</w:t>
      </w:r>
    </w:p>
    <w:p w14:paraId="5EAC0E0F" w14:textId="77777777" w:rsidR="00C93FC3" w:rsidRPr="006706B5" w:rsidRDefault="00C93FC3" w:rsidP="00793BFE">
      <w:pPr>
        <w:spacing w:line="360" w:lineRule="auto"/>
        <w:ind w:left="720"/>
        <w:rPr>
          <w:rFonts w:ascii="Times New Roman" w:hAnsi="Times New Roman" w:cs="Times New Roman"/>
          <w:sz w:val="24"/>
          <w:szCs w:val="24"/>
        </w:rPr>
      </w:pPr>
      <w:r w:rsidRPr="006706B5">
        <w:rPr>
          <w:rFonts w:ascii="Times New Roman" w:hAnsi="Times New Roman" w:cs="Times New Roman"/>
          <w:sz w:val="24"/>
          <w:szCs w:val="24"/>
        </w:rPr>
        <w:lastRenderedPageBreak/>
        <w:t>So they [ECTs] still have a programme in school, and an online programme through their ECT provision, and it's linked….we try and make sure it's linked to what we're doing [as part of the whole CPD programme] as well…I'm hoping the ECTs think, oh, that makes sense, rather than, well, the school does one thing and I'm having to do this as an extra. [LA, coordinator-1]</w:t>
      </w:r>
    </w:p>
    <w:p w14:paraId="09A43476" w14:textId="106B0B38" w:rsidR="00C93FC3" w:rsidRPr="006706B5" w:rsidRDefault="00C93FC3" w:rsidP="00681CDC">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As shown above, while coordinators of both schools identified weak embedding of their ECT programme in their school context, their prospective course of action differed significantly.  Having carefully reviewed the nature and extent of </w:t>
      </w:r>
      <w:r w:rsidR="00C07C57" w:rsidRPr="006706B5">
        <w:rPr>
          <w:rFonts w:ascii="Times New Roman" w:hAnsi="Times New Roman" w:cs="Times New Roman"/>
          <w:sz w:val="24"/>
          <w:szCs w:val="24"/>
        </w:rPr>
        <w:t>practical</w:t>
      </w:r>
      <w:r w:rsidRPr="006706B5">
        <w:rPr>
          <w:rFonts w:ascii="Times New Roman" w:hAnsi="Times New Roman" w:cs="Times New Roman"/>
          <w:sz w:val="24"/>
          <w:szCs w:val="24"/>
        </w:rPr>
        <w:t xml:space="preserve"> incoherence</w:t>
      </w:r>
      <w:r w:rsidR="00C07C57" w:rsidRPr="006706B5">
        <w:rPr>
          <w:rFonts w:ascii="Times New Roman" w:hAnsi="Times New Roman" w:cs="Times New Roman"/>
          <w:sz w:val="24"/>
          <w:szCs w:val="24"/>
        </w:rPr>
        <w:t xml:space="preserve"> in their approach to enacting the ECF</w:t>
      </w:r>
      <w:r w:rsidRPr="006706B5">
        <w:rPr>
          <w:rFonts w:ascii="Times New Roman" w:hAnsi="Times New Roman" w:cs="Times New Roman"/>
          <w:sz w:val="24"/>
          <w:szCs w:val="24"/>
        </w:rPr>
        <w:t xml:space="preserve">, the coordinator of the Faith-based school realised that subscribing to another government-approved external provider may not resolve the issue </w:t>
      </w:r>
      <w:r w:rsidRPr="006706B5">
        <w:rPr>
          <w:rFonts w:ascii="Times New Roman" w:hAnsi="Times New Roman" w:cs="Times New Roman"/>
          <w:i/>
          <w:iCs/>
          <w:sz w:val="24"/>
          <w:szCs w:val="24"/>
        </w:rPr>
        <w:t>per se</w:t>
      </w:r>
      <w:r w:rsidRPr="006706B5">
        <w:rPr>
          <w:rFonts w:ascii="Times New Roman" w:hAnsi="Times New Roman" w:cs="Times New Roman"/>
          <w:sz w:val="24"/>
          <w:szCs w:val="24"/>
        </w:rPr>
        <w:t xml:space="preserve"> and to effectively enact ECF for the benefit of the school more holistically they decided to, therefore, liaise with another Faith-based school in the region. The aim here was to co-develop an ECT programme that was appropriately bespoke and aligned with the broader context of professional learning, growth, and </w:t>
      </w:r>
      <w:r w:rsidR="00793BFE" w:rsidRPr="006706B5">
        <w:rPr>
          <w:rFonts w:ascii="Times New Roman" w:hAnsi="Times New Roman" w:cs="Times New Roman"/>
          <w:sz w:val="24"/>
          <w:szCs w:val="24"/>
        </w:rPr>
        <w:t xml:space="preserve">staff </w:t>
      </w:r>
      <w:r w:rsidRPr="006706B5">
        <w:rPr>
          <w:rFonts w:ascii="Times New Roman" w:hAnsi="Times New Roman" w:cs="Times New Roman"/>
          <w:sz w:val="24"/>
          <w:szCs w:val="24"/>
        </w:rPr>
        <w:t xml:space="preserve">development in both schools. Indeed, studies have shown the effectiveness of policy enactment processes in the context of schools working together collegially and using their shared network to enhance specific practices (see Ainscow &amp; Howes, 2007). Doing so can also be seen as the school </w:t>
      </w:r>
      <w:r w:rsidR="00C07C57" w:rsidRPr="006706B5">
        <w:rPr>
          <w:rFonts w:ascii="Times New Roman" w:hAnsi="Times New Roman" w:cs="Times New Roman"/>
          <w:sz w:val="24"/>
          <w:szCs w:val="24"/>
        </w:rPr>
        <w:t>solidifying</w:t>
      </w:r>
      <w:r w:rsidRPr="006706B5">
        <w:rPr>
          <w:rFonts w:ascii="Times New Roman" w:hAnsi="Times New Roman" w:cs="Times New Roman"/>
          <w:sz w:val="24"/>
          <w:szCs w:val="24"/>
        </w:rPr>
        <w:t xml:space="preserve"> its professional context through working with an institution with </w:t>
      </w:r>
      <w:r w:rsidR="00681CDC" w:rsidRPr="006706B5">
        <w:rPr>
          <w:rFonts w:ascii="Times New Roman" w:hAnsi="Times New Roman" w:cs="Times New Roman"/>
          <w:sz w:val="24"/>
          <w:szCs w:val="24"/>
        </w:rPr>
        <w:t xml:space="preserve">a </w:t>
      </w:r>
      <w:r w:rsidRPr="006706B5">
        <w:rPr>
          <w:rFonts w:ascii="Times New Roman" w:hAnsi="Times New Roman" w:cs="Times New Roman"/>
          <w:sz w:val="24"/>
          <w:szCs w:val="24"/>
        </w:rPr>
        <w:t xml:space="preserve">similarly situated context, thus </w:t>
      </w:r>
      <w:r w:rsidR="00681CDC" w:rsidRPr="006706B5">
        <w:rPr>
          <w:rFonts w:ascii="Times New Roman" w:hAnsi="Times New Roman" w:cs="Times New Roman"/>
          <w:sz w:val="24"/>
          <w:szCs w:val="24"/>
        </w:rPr>
        <w:t>navigating external policy expectations successfully without deprioritising the wider context of the school in the process.</w:t>
      </w:r>
    </w:p>
    <w:p w14:paraId="7B7D52A1" w14:textId="468A7992" w:rsidR="00C93FC3" w:rsidRPr="006706B5" w:rsidRDefault="00C93FC3" w:rsidP="005703D6">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In comparison to the above, the LA school coordinators</w:t>
      </w:r>
      <w:r w:rsidR="00E65571" w:rsidRPr="006706B5">
        <w:rPr>
          <w:rFonts w:ascii="Times New Roman" w:hAnsi="Times New Roman" w:cs="Times New Roman"/>
          <w:sz w:val="24"/>
          <w:szCs w:val="24"/>
        </w:rPr>
        <w:t xml:space="preserve"> (this was the only school in our sample with two ECT programme leads—both were interviewed as part of this study)</w:t>
      </w:r>
      <w:r w:rsidRPr="006706B5">
        <w:rPr>
          <w:rFonts w:ascii="Times New Roman" w:hAnsi="Times New Roman" w:cs="Times New Roman"/>
          <w:sz w:val="24"/>
          <w:szCs w:val="24"/>
        </w:rPr>
        <w:t xml:space="preserve">, although they expressed concerns about their external provider, did not necessarily think of a solution outside of subscribing to another external provider to deliver </w:t>
      </w:r>
      <w:r w:rsidR="00E65571" w:rsidRPr="006706B5">
        <w:rPr>
          <w:rFonts w:ascii="Times New Roman" w:hAnsi="Times New Roman" w:cs="Times New Roman"/>
          <w:sz w:val="24"/>
          <w:szCs w:val="24"/>
        </w:rPr>
        <w:t xml:space="preserve">the </w:t>
      </w:r>
      <w:r w:rsidRPr="006706B5">
        <w:rPr>
          <w:rFonts w:ascii="Times New Roman" w:hAnsi="Times New Roman" w:cs="Times New Roman"/>
          <w:sz w:val="24"/>
          <w:szCs w:val="24"/>
        </w:rPr>
        <w:t xml:space="preserve">ECF. </w:t>
      </w:r>
      <w:r w:rsidR="00DA49EC" w:rsidRPr="006706B5">
        <w:rPr>
          <w:rFonts w:ascii="Times New Roman" w:hAnsi="Times New Roman" w:cs="Times New Roman"/>
          <w:sz w:val="24"/>
          <w:szCs w:val="24"/>
        </w:rPr>
        <w:t>As such, d</w:t>
      </w:r>
      <w:r w:rsidRPr="006706B5">
        <w:rPr>
          <w:rFonts w:ascii="Times New Roman" w:hAnsi="Times New Roman" w:cs="Times New Roman"/>
          <w:sz w:val="24"/>
          <w:szCs w:val="24"/>
        </w:rPr>
        <w:t>uring interviews, it became clear that they would move away from their current provider</w:t>
      </w:r>
      <w:r w:rsidR="005703D6" w:rsidRPr="006706B5">
        <w:rPr>
          <w:rFonts w:ascii="Times New Roman" w:hAnsi="Times New Roman" w:cs="Times New Roman"/>
          <w:sz w:val="24"/>
          <w:szCs w:val="24"/>
        </w:rPr>
        <w:t xml:space="preserve">; </w:t>
      </w:r>
      <w:r w:rsidRPr="006706B5">
        <w:rPr>
          <w:rFonts w:ascii="Times New Roman" w:hAnsi="Times New Roman" w:cs="Times New Roman"/>
          <w:sz w:val="24"/>
          <w:szCs w:val="24"/>
        </w:rPr>
        <w:t xml:space="preserve">however, instead of considering partnering with another school with the same governance </w:t>
      </w:r>
      <w:r w:rsidR="00DA49EC" w:rsidRPr="006706B5">
        <w:rPr>
          <w:rFonts w:ascii="Times New Roman" w:hAnsi="Times New Roman" w:cs="Times New Roman"/>
          <w:sz w:val="24"/>
          <w:szCs w:val="24"/>
        </w:rPr>
        <w:lastRenderedPageBreak/>
        <w:t>model</w:t>
      </w:r>
      <w:r w:rsidRPr="006706B5">
        <w:rPr>
          <w:rFonts w:ascii="Times New Roman" w:hAnsi="Times New Roman" w:cs="Times New Roman"/>
          <w:sz w:val="24"/>
          <w:szCs w:val="24"/>
        </w:rPr>
        <w:t xml:space="preserve"> (like the Faith-based school did), they decided to solicit services from another </w:t>
      </w:r>
      <w:r w:rsidR="00DA49EC" w:rsidRPr="006706B5">
        <w:rPr>
          <w:rFonts w:ascii="Times New Roman" w:hAnsi="Times New Roman" w:cs="Times New Roman"/>
          <w:sz w:val="24"/>
          <w:szCs w:val="24"/>
        </w:rPr>
        <w:t xml:space="preserve">government-approved </w:t>
      </w:r>
      <w:r w:rsidRPr="006706B5">
        <w:rPr>
          <w:rFonts w:ascii="Times New Roman" w:hAnsi="Times New Roman" w:cs="Times New Roman"/>
          <w:sz w:val="24"/>
          <w:szCs w:val="24"/>
        </w:rPr>
        <w:t>external provider</w:t>
      </w:r>
      <w:r w:rsidR="005703D6" w:rsidRPr="006706B5">
        <w:rPr>
          <w:rFonts w:ascii="Times New Roman" w:hAnsi="Times New Roman" w:cs="Times New Roman"/>
          <w:sz w:val="24"/>
          <w:szCs w:val="24"/>
        </w:rPr>
        <w:t>. Doing so may potentially result in yet another mismatch between the external context of the ECF-instructed ECT support and the situated and professional contextual attributes of their school</w:t>
      </w:r>
      <w:r w:rsidR="00DA49EC" w:rsidRPr="006706B5">
        <w:rPr>
          <w:rFonts w:ascii="Times New Roman" w:hAnsi="Times New Roman" w:cs="Times New Roman"/>
          <w:sz w:val="24"/>
          <w:szCs w:val="24"/>
        </w:rPr>
        <w:t>, as had been the case in the past</w:t>
      </w:r>
      <w:r w:rsidR="005703D6" w:rsidRPr="006706B5">
        <w:rPr>
          <w:rFonts w:ascii="Times New Roman" w:hAnsi="Times New Roman" w:cs="Times New Roman"/>
          <w:sz w:val="24"/>
          <w:szCs w:val="24"/>
        </w:rPr>
        <w:t>.</w:t>
      </w:r>
    </w:p>
    <w:p w14:paraId="11D7DA6F" w14:textId="763264B0" w:rsidR="00C93FC3" w:rsidRPr="006706B5" w:rsidRDefault="00C93FC3"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Importantly, </w:t>
      </w:r>
      <w:r w:rsidR="00DA49EC" w:rsidRPr="006706B5">
        <w:rPr>
          <w:rFonts w:ascii="Times New Roman" w:hAnsi="Times New Roman" w:cs="Times New Roman"/>
          <w:sz w:val="24"/>
          <w:szCs w:val="24"/>
        </w:rPr>
        <w:t>although varying by nature and extent as demonstrated above, the contextual</w:t>
      </w:r>
      <w:r w:rsidRPr="006706B5">
        <w:rPr>
          <w:rFonts w:ascii="Times New Roman" w:hAnsi="Times New Roman" w:cs="Times New Roman"/>
          <w:sz w:val="24"/>
          <w:szCs w:val="24"/>
        </w:rPr>
        <w:t xml:space="preserve"> disjointedness </w:t>
      </w:r>
      <w:r w:rsidR="00DA49EC" w:rsidRPr="006706B5">
        <w:rPr>
          <w:rFonts w:ascii="Times New Roman" w:hAnsi="Times New Roman" w:cs="Times New Roman"/>
          <w:sz w:val="24"/>
          <w:szCs w:val="24"/>
        </w:rPr>
        <w:t xml:space="preserve">in all three schools that subscribed to external providers </w:t>
      </w:r>
      <w:r w:rsidRPr="006706B5">
        <w:rPr>
          <w:rFonts w:ascii="Times New Roman" w:hAnsi="Times New Roman" w:cs="Times New Roman"/>
          <w:sz w:val="24"/>
          <w:szCs w:val="24"/>
        </w:rPr>
        <w:t xml:space="preserve">informed the experiences of </w:t>
      </w:r>
      <w:r w:rsidR="00DA49EC" w:rsidRPr="006706B5">
        <w:rPr>
          <w:rFonts w:ascii="Times New Roman" w:hAnsi="Times New Roman" w:cs="Times New Roman"/>
          <w:sz w:val="24"/>
          <w:szCs w:val="24"/>
        </w:rPr>
        <w:t xml:space="preserve">the </w:t>
      </w:r>
      <w:r w:rsidRPr="006706B5">
        <w:rPr>
          <w:rFonts w:ascii="Times New Roman" w:hAnsi="Times New Roman" w:cs="Times New Roman"/>
          <w:sz w:val="24"/>
          <w:szCs w:val="24"/>
        </w:rPr>
        <w:t xml:space="preserve">ECTs </w:t>
      </w:r>
      <w:r w:rsidR="00DA49EC" w:rsidRPr="006706B5">
        <w:rPr>
          <w:rFonts w:ascii="Times New Roman" w:hAnsi="Times New Roman" w:cs="Times New Roman"/>
          <w:sz w:val="24"/>
          <w:szCs w:val="24"/>
        </w:rPr>
        <w:t xml:space="preserve">somewhat similarly </w:t>
      </w:r>
      <w:r w:rsidRPr="006706B5">
        <w:rPr>
          <w:rFonts w:ascii="Times New Roman" w:hAnsi="Times New Roman" w:cs="Times New Roman"/>
          <w:sz w:val="24"/>
          <w:szCs w:val="24"/>
        </w:rPr>
        <w:t xml:space="preserve">(the Faith-based, MAT and LA schools). </w:t>
      </w:r>
      <w:r w:rsidR="00DA49EC" w:rsidRPr="006706B5">
        <w:rPr>
          <w:rFonts w:ascii="Times New Roman" w:hAnsi="Times New Roman" w:cs="Times New Roman"/>
          <w:sz w:val="24"/>
          <w:szCs w:val="24"/>
        </w:rPr>
        <w:t>As</w:t>
      </w:r>
      <w:r w:rsidRPr="006706B5">
        <w:rPr>
          <w:rFonts w:ascii="Times New Roman" w:hAnsi="Times New Roman" w:cs="Times New Roman"/>
          <w:sz w:val="24"/>
          <w:szCs w:val="24"/>
        </w:rPr>
        <w:t xml:space="preserve"> mentioned above in the</w:t>
      </w:r>
      <w:r w:rsidR="00DA49EC" w:rsidRPr="006706B5">
        <w:rPr>
          <w:rFonts w:ascii="Times New Roman" w:hAnsi="Times New Roman" w:cs="Times New Roman"/>
          <w:sz w:val="24"/>
          <w:szCs w:val="24"/>
        </w:rPr>
        <w:t xml:space="preserve"> case of the</w:t>
      </w:r>
      <w:r w:rsidRPr="006706B5">
        <w:rPr>
          <w:rFonts w:ascii="Times New Roman" w:hAnsi="Times New Roman" w:cs="Times New Roman"/>
          <w:sz w:val="24"/>
          <w:szCs w:val="24"/>
        </w:rPr>
        <w:t xml:space="preserve"> MAT school</w:t>
      </w:r>
      <w:r w:rsidR="00DA49EC" w:rsidRPr="006706B5">
        <w:rPr>
          <w:rFonts w:ascii="Times New Roman" w:hAnsi="Times New Roman" w:cs="Times New Roman"/>
          <w:sz w:val="24"/>
          <w:szCs w:val="24"/>
        </w:rPr>
        <w:t xml:space="preserve"> in our sample</w:t>
      </w:r>
      <w:r w:rsidRPr="006706B5">
        <w:rPr>
          <w:rFonts w:ascii="Times New Roman" w:hAnsi="Times New Roman" w:cs="Times New Roman"/>
          <w:sz w:val="24"/>
          <w:szCs w:val="24"/>
        </w:rPr>
        <w:t>,</w:t>
      </w:r>
      <w:r w:rsidR="00DA49EC" w:rsidRPr="006706B5">
        <w:rPr>
          <w:rFonts w:ascii="Times New Roman" w:hAnsi="Times New Roman" w:cs="Times New Roman"/>
          <w:sz w:val="24"/>
          <w:szCs w:val="24"/>
        </w:rPr>
        <w:t xml:space="preserve"> the</w:t>
      </w:r>
      <w:r w:rsidRPr="006706B5">
        <w:rPr>
          <w:rFonts w:ascii="Times New Roman" w:hAnsi="Times New Roman" w:cs="Times New Roman"/>
          <w:sz w:val="24"/>
          <w:szCs w:val="24"/>
        </w:rPr>
        <w:t xml:space="preserve"> ECTs in both Faith-based and LA schools complained that the online resources provided by their external provider were at times problematic in terms of being ‘repetitive’ (as they felt they had covered those in their teacher training programmes), ‘academic’ and lacking practical orientation, and sometimes not relevant to their day-to-day professional practice (</w:t>
      </w:r>
      <w:r w:rsidR="00DA49EC" w:rsidRPr="006706B5">
        <w:rPr>
          <w:rFonts w:ascii="Times New Roman" w:hAnsi="Times New Roman" w:cs="Times New Roman"/>
          <w:sz w:val="24"/>
          <w:szCs w:val="24"/>
        </w:rPr>
        <w:t>for instance, the</w:t>
      </w:r>
      <w:r w:rsidRPr="006706B5">
        <w:rPr>
          <w:rFonts w:ascii="Times New Roman" w:hAnsi="Times New Roman" w:cs="Times New Roman"/>
          <w:sz w:val="24"/>
          <w:szCs w:val="24"/>
        </w:rPr>
        <w:t xml:space="preserve"> examples provided were from primary schools which do not apply to secondary school settings—as also alluded to earlier in the article). </w:t>
      </w:r>
    </w:p>
    <w:p w14:paraId="20E39630" w14:textId="0321B317" w:rsidR="00C93FC3" w:rsidRPr="006706B5" w:rsidRDefault="00C93FC3"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These issues came up much more strongly in the LA school than in others in our sample. </w:t>
      </w:r>
      <w:r w:rsidRPr="006706B5">
        <w:rPr>
          <w:rFonts w:ascii="Times New Roman" w:hAnsi="Times New Roman" w:cs="Times New Roman"/>
          <w:i/>
          <w:iCs/>
          <w:sz w:val="24"/>
          <w:szCs w:val="24"/>
        </w:rPr>
        <w:t>All</w:t>
      </w:r>
      <w:r w:rsidRPr="006706B5">
        <w:rPr>
          <w:rFonts w:ascii="Times New Roman" w:hAnsi="Times New Roman" w:cs="Times New Roman"/>
          <w:sz w:val="24"/>
          <w:szCs w:val="24"/>
        </w:rPr>
        <w:t xml:space="preserve"> the ECTs in this school shared their frustration stemming from the feeling that they had ‘wasted’ a lot of their time figuring out how to use the resources given to them by their external provider. This is likely because the LA school appeared to experience a greater disconnect between the </w:t>
      </w:r>
      <w:r w:rsidR="002E4EB9" w:rsidRPr="006706B5">
        <w:rPr>
          <w:rFonts w:ascii="Times New Roman" w:hAnsi="Times New Roman" w:cs="Times New Roman"/>
          <w:sz w:val="24"/>
          <w:szCs w:val="24"/>
        </w:rPr>
        <w:t>contextual dimensions of their school</w:t>
      </w:r>
      <w:r w:rsidRPr="006706B5">
        <w:rPr>
          <w:rFonts w:ascii="Times New Roman" w:hAnsi="Times New Roman" w:cs="Times New Roman"/>
          <w:sz w:val="24"/>
          <w:szCs w:val="24"/>
        </w:rPr>
        <w:t xml:space="preserve"> and their ECT programme as compared to the other two </w:t>
      </w:r>
      <w:r w:rsidR="002E4EB9" w:rsidRPr="006706B5">
        <w:rPr>
          <w:rFonts w:ascii="Times New Roman" w:hAnsi="Times New Roman" w:cs="Times New Roman"/>
          <w:sz w:val="24"/>
          <w:szCs w:val="24"/>
        </w:rPr>
        <w:t xml:space="preserve">types of </w:t>
      </w:r>
      <w:r w:rsidRPr="006706B5">
        <w:rPr>
          <w:rFonts w:ascii="Times New Roman" w:hAnsi="Times New Roman" w:cs="Times New Roman"/>
          <w:sz w:val="24"/>
          <w:szCs w:val="24"/>
        </w:rPr>
        <w:t>schools in our sample which had also subscribed to an external provider but privileged, much more strongly</w:t>
      </w:r>
      <w:r w:rsidR="005D26BB" w:rsidRPr="006706B5">
        <w:rPr>
          <w:rFonts w:ascii="Times New Roman" w:hAnsi="Times New Roman" w:cs="Times New Roman"/>
          <w:sz w:val="24"/>
          <w:szCs w:val="24"/>
        </w:rPr>
        <w:t xml:space="preserve"> although contextually varyingly</w:t>
      </w:r>
      <w:r w:rsidRPr="006706B5">
        <w:rPr>
          <w:rFonts w:ascii="Times New Roman" w:hAnsi="Times New Roman" w:cs="Times New Roman"/>
          <w:sz w:val="24"/>
          <w:szCs w:val="24"/>
        </w:rPr>
        <w:t xml:space="preserve">, their own school’s context in the delivery of the ECF more broadly. This privileging was clear through the Trust’s influence in shaping the ECT programme of the MAT school and the Faith-based school transitioning to partner with another school under the same governance model, and therefore with </w:t>
      </w:r>
      <w:r w:rsidR="005D26BB" w:rsidRPr="006706B5">
        <w:rPr>
          <w:rFonts w:ascii="Times New Roman" w:hAnsi="Times New Roman" w:cs="Times New Roman"/>
          <w:sz w:val="24"/>
          <w:szCs w:val="24"/>
        </w:rPr>
        <w:t xml:space="preserve">a </w:t>
      </w:r>
      <w:r w:rsidRPr="006706B5">
        <w:rPr>
          <w:rFonts w:ascii="Times New Roman" w:hAnsi="Times New Roman" w:cs="Times New Roman"/>
          <w:sz w:val="24"/>
          <w:szCs w:val="24"/>
        </w:rPr>
        <w:t xml:space="preserve">similarly situated context to </w:t>
      </w:r>
      <w:r w:rsidR="001008D5" w:rsidRPr="006706B5">
        <w:rPr>
          <w:rFonts w:ascii="Times New Roman" w:hAnsi="Times New Roman" w:cs="Times New Roman"/>
          <w:sz w:val="24"/>
          <w:szCs w:val="24"/>
        </w:rPr>
        <w:t>enact</w:t>
      </w:r>
      <w:r w:rsidR="005D26BB" w:rsidRPr="006706B5">
        <w:rPr>
          <w:rFonts w:ascii="Times New Roman" w:hAnsi="Times New Roman" w:cs="Times New Roman"/>
          <w:sz w:val="24"/>
          <w:szCs w:val="24"/>
        </w:rPr>
        <w:t xml:space="preserve"> the</w:t>
      </w:r>
      <w:r w:rsidRPr="006706B5">
        <w:rPr>
          <w:rFonts w:ascii="Times New Roman" w:hAnsi="Times New Roman" w:cs="Times New Roman"/>
          <w:sz w:val="24"/>
          <w:szCs w:val="24"/>
        </w:rPr>
        <w:t xml:space="preserve"> ECF. </w:t>
      </w:r>
    </w:p>
    <w:p w14:paraId="56057C50" w14:textId="77777777"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lastRenderedPageBreak/>
        <w:t xml:space="preserve">Conclusion </w:t>
      </w:r>
    </w:p>
    <w:p w14:paraId="2B7EF0D7" w14:textId="61394214"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In conclusion, this article has provided valuable insights into the practices and processes surrounding the enactment of the 2019 ECF-mandated mentorship programmes for ECTs. By identifying both similarities and differences across various </w:t>
      </w:r>
      <w:r w:rsidR="00B66492" w:rsidRPr="006706B5">
        <w:rPr>
          <w:rFonts w:ascii="Times New Roman" w:hAnsi="Times New Roman" w:cs="Times New Roman"/>
          <w:sz w:val="24"/>
          <w:szCs w:val="24"/>
        </w:rPr>
        <w:t xml:space="preserve">types of </w:t>
      </w:r>
      <w:r w:rsidRPr="006706B5">
        <w:rPr>
          <w:rFonts w:ascii="Times New Roman" w:hAnsi="Times New Roman" w:cs="Times New Roman"/>
          <w:sz w:val="24"/>
          <w:szCs w:val="24"/>
        </w:rPr>
        <w:t xml:space="preserve">schools in the enactment of this policy, the article illustrates that while schools may materially appear to adopt similar approaches to embedding new policies, there are significant differences in their enactment strategies shaped by </w:t>
      </w:r>
      <w:r w:rsidR="00D66F27" w:rsidRPr="006706B5">
        <w:rPr>
          <w:rFonts w:ascii="Times New Roman" w:hAnsi="Times New Roman" w:cs="Times New Roman"/>
          <w:sz w:val="24"/>
          <w:szCs w:val="24"/>
        </w:rPr>
        <w:t xml:space="preserve">the </w:t>
      </w:r>
      <w:r w:rsidR="00663C89" w:rsidRPr="006706B5">
        <w:rPr>
          <w:rFonts w:ascii="Times New Roman" w:hAnsi="Times New Roman" w:cs="Times New Roman"/>
          <w:sz w:val="24"/>
          <w:szCs w:val="24"/>
        </w:rPr>
        <w:t>uniquely positio</w:t>
      </w:r>
      <w:r w:rsidR="00D66F27" w:rsidRPr="006706B5">
        <w:rPr>
          <w:rFonts w:ascii="Times New Roman" w:hAnsi="Times New Roman" w:cs="Times New Roman"/>
          <w:sz w:val="24"/>
          <w:szCs w:val="24"/>
        </w:rPr>
        <w:t>ned contextual dimension</w:t>
      </w:r>
      <w:r w:rsidR="00DB4E18" w:rsidRPr="006706B5">
        <w:rPr>
          <w:rFonts w:ascii="Times New Roman" w:hAnsi="Times New Roman" w:cs="Times New Roman"/>
          <w:sz w:val="24"/>
          <w:szCs w:val="24"/>
        </w:rPr>
        <w:t>s</w:t>
      </w:r>
      <w:r w:rsidR="00D66F27" w:rsidRPr="006706B5">
        <w:rPr>
          <w:rFonts w:ascii="Times New Roman" w:hAnsi="Times New Roman" w:cs="Times New Roman"/>
          <w:sz w:val="24"/>
          <w:szCs w:val="24"/>
        </w:rPr>
        <w:t xml:space="preserve"> of </w:t>
      </w:r>
      <w:r w:rsidRPr="006706B5">
        <w:rPr>
          <w:rFonts w:ascii="Times New Roman" w:hAnsi="Times New Roman" w:cs="Times New Roman"/>
          <w:sz w:val="24"/>
          <w:szCs w:val="24"/>
        </w:rPr>
        <w:t xml:space="preserve">each institution. The context of a school—primarily understood through its governance structure in this article—emerges as a crucial factor in discerning the nature, deciphering the extent, and scoping the </w:t>
      </w:r>
      <w:r w:rsidR="00D07B28" w:rsidRPr="006706B5">
        <w:rPr>
          <w:rFonts w:ascii="Times New Roman" w:hAnsi="Times New Roman" w:cs="Times New Roman"/>
          <w:sz w:val="24"/>
          <w:szCs w:val="24"/>
        </w:rPr>
        <w:t>embedding</w:t>
      </w:r>
      <w:r w:rsidRPr="006706B5">
        <w:rPr>
          <w:rFonts w:ascii="Times New Roman" w:hAnsi="Times New Roman" w:cs="Times New Roman"/>
          <w:sz w:val="24"/>
          <w:szCs w:val="24"/>
        </w:rPr>
        <w:t xml:space="preserve"> of </w:t>
      </w:r>
      <w:r w:rsidR="00DF69A6" w:rsidRPr="006706B5">
        <w:rPr>
          <w:rFonts w:ascii="Times New Roman" w:hAnsi="Times New Roman" w:cs="Times New Roman"/>
          <w:sz w:val="24"/>
          <w:szCs w:val="24"/>
        </w:rPr>
        <w:t>this</w:t>
      </w:r>
      <w:r w:rsidRPr="006706B5">
        <w:rPr>
          <w:rFonts w:ascii="Times New Roman" w:hAnsi="Times New Roman" w:cs="Times New Roman"/>
          <w:sz w:val="24"/>
          <w:szCs w:val="24"/>
        </w:rPr>
        <w:t xml:space="preserve"> policy</w:t>
      </w:r>
      <w:r w:rsidR="00DF69A6" w:rsidRPr="006706B5">
        <w:rPr>
          <w:rFonts w:ascii="Times New Roman" w:hAnsi="Times New Roman" w:cs="Times New Roman"/>
          <w:sz w:val="24"/>
          <w:szCs w:val="24"/>
        </w:rPr>
        <w:t>’s</w:t>
      </w:r>
      <w:r w:rsidR="00810459" w:rsidRPr="006706B5">
        <w:rPr>
          <w:rFonts w:ascii="Times New Roman" w:hAnsi="Times New Roman" w:cs="Times New Roman"/>
          <w:sz w:val="24"/>
          <w:szCs w:val="24"/>
        </w:rPr>
        <w:t xml:space="preserve"> enactment</w:t>
      </w:r>
      <w:r w:rsidRPr="006706B5">
        <w:rPr>
          <w:rFonts w:ascii="Times New Roman" w:hAnsi="Times New Roman" w:cs="Times New Roman"/>
          <w:sz w:val="24"/>
          <w:szCs w:val="24"/>
        </w:rPr>
        <w:t xml:space="preserve">. This reflects the distinction between 'policy-as-text' and 'policy-as-discourse', illustrating how </w:t>
      </w:r>
      <w:r w:rsidR="00980F86" w:rsidRPr="006706B5">
        <w:rPr>
          <w:rFonts w:ascii="Times New Roman" w:hAnsi="Times New Roman" w:cs="Times New Roman"/>
          <w:sz w:val="24"/>
          <w:szCs w:val="24"/>
        </w:rPr>
        <w:t xml:space="preserve">policy </w:t>
      </w:r>
      <w:r w:rsidRPr="006706B5">
        <w:rPr>
          <w:rFonts w:ascii="Times New Roman" w:hAnsi="Times New Roman" w:cs="Times New Roman"/>
          <w:sz w:val="24"/>
          <w:szCs w:val="24"/>
        </w:rPr>
        <w:t>mandates are heavily mediated by contextual dimensions</w:t>
      </w:r>
      <w:r w:rsidR="00980F86" w:rsidRPr="006706B5">
        <w:rPr>
          <w:rFonts w:ascii="Times New Roman" w:hAnsi="Times New Roman" w:cs="Times New Roman"/>
          <w:sz w:val="24"/>
          <w:szCs w:val="24"/>
        </w:rPr>
        <w:t xml:space="preserve"> of a school</w:t>
      </w:r>
      <w:r w:rsidRPr="006706B5">
        <w:rPr>
          <w:rFonts w:ascii="Times New Roman" w:hAnsi="Times New Roman" w:cs="Times New Roman"/>
          <w:sz w:val="24"/>
          <w:szCs w:val="24"/>
        </w:rPr>
        <w:t xml:space="preserve"> and processes of meaning-making</w:t>
      </w:r>
      <w:r w:rsidR="00DF3A70" w:rsidRPr="006706B5">
        <w:rPr>
          <w:rFonts w:ascii="Times New Roman" w:hAnsi="Times New Roman" w:cs="Times New Roman"/>
          <w:sz w:val="24"/>
          <w:szCs w:val="24"/>
        </w:rPr>
        <w:t xml:space="preserve"> involving relevant stakeholders</w:t>
      </w:r>
      <w:r w:rsidRPr="006706B5">
        <w:rPr>
          <w:rFonts w:ascii="Times New Roman" w:hAnsi="Times New Roman" w:cs="Times New Roman"/>
          <w:sz w:val="24"/>
          <w:szCs w:val="24"/>
        </w:rPr>
        <w:t xml:space="preserve"> (Ball et al., 2012).</w:t>
      </w:r>
    </w:p>
    <w:p w14:paraId="24F21C07" w14:textId="2A011CCA" w:rsidR="00E21FE4" w:rsidRPr="006706B5" w:rsidRDefault="00E21FE4" w:rsidP="005E73A8">
      <w:pPr>
        <w:spacing w:line="480" w:lineRule="auto"/>
        <w:rPr>
          <w:rFonts w:ascii="Times New Roman" w:hAnsi="Times New Roman" w:cs="Times New Roman"/>
          <w:sz w:val="24"/>
          <w:szCs w:val="24"/>
        </w:rPr>
      </w:pPr>
      <w:r w:rsidRPr="006706B5">
        <w:rPr>
          <w:rFonts w:ascii="Times New Roman" w:hAnsi="Times New Roman" w:cs="Times New Roman"/>
          <w:b/>
          <w:bCs/>
          <w:sz w:val="24"/>
          <w:szCs w:val="24"/>
        </w:rPr>
        <w:tab/>
      </w:r>
      <w:r w:rsidR="00C93FC3" w:rsidRPr="006706B5">
        <w:rPr>
          <w:rFonts w:ascii="Times New Roman" w:hAnsi="Times New Roman" w:cs="Times New Roman"/>
          <w:sz w:val="24"/>
          <w:szCs w:val="24"/>
        </w:rPr>
        <w:t>As mentioned above, the discussion presented here highlights that policy enactments are significantly influenced by the school context</w:t>
      </w:r>
      <w:r w:rsidR="00313E73" w:rsidRPr="006706B5">
        <w:rPr>
          <w:rFonts w:ascii="Times New Roman" w:hAnsi="Times New Roman" w:cs="Times New Roman"/>
          <w:sz w:val="24"/>
          <w:szCs w:val="24"/>
        </w:rPr>
        <w:t xml:space="preserve">, </w:t>
      </w:r>
      <w:r w:rsidR="00472227" w:rsidRPr="006706B5">
        <w:rPr>
          <w:rFonts w:ascii="Times New Roman" w:hAnsi="Times New Roman" w:cs="Times New Roman"/>
          <w:sz w:val="24"/>
          <w:szCs w:val="24"/>
        </w:rPr>
        <w:t xml:space="preserve">reinforcing the </w:t>
      </w:r>
      <w:r w:rsidR="00AC73BA" w:rsidRPr="006706B5">
        <w:rPr>
          <w:rFonts w:ascii="Times New Roman" w:hAnsi="Times New Roman" w:cs="Times New Roman"/>
          <w:sz w:val="24"/>
          <w:szCs w:val="24"/>
        </w:rPr>
        <w:t xml:space="preserve">need for the ECF to contextualise </w:t>
      </w:r>
      <w:r w:rsidR="00FE3D00" w:rsidRPr="006706B5">
        <w:rPr>
          <w:rFonts w:ascii="Times New Roman" w:hAnsi="Times New Roman" w:cs="Times New Roman"/>
          <w:sz w:val="24"/>
          <w:szCs w:val="24"/>
        </w:rPr>
        <w:t xml:space="preserve">the programme in relation to schools (as </w:t>
      </w:r>
      <w:r w:rsidR="002C2129" w:rsidRPr="006706B5">
        <w:rPr>
          <w:rFonts w:ascii="Times New Roman" w:hAnsi="Times New Roman" w:cs="Times New Roman"/>
          <w:sz w:val="24"/>
          <w:szCs w:val="24"/>
        </w:rPr>
        <w:t xml:space="preserve">also </w:t>
      </w:r>
      <w:r w:rsidR="00FE3D00" w:rsidRPr="006706B5">
        <w:rPr>
          <w:rFonts w:ascii="Times New Roman" w:hAnsi="Times New Roman" w:cs="Times New Roman"/>
          <w:sz w:val="24"/>
          <w:szCs w:val="24"/>
        </w:rPr>
        <w:t xml:space="preserve">noted in </w:t>
      </w:r>
      <w:r w:rsidR="002E4656" w:rsidRPr="006706B5">
        <w:rPr>
          <w:rFonts w:ascii="Times New Roman" w:hAnsi="Times New Roman" w:cs="Times New Roman"/>
          <w:sz w:val="24"/>
          <w:szCs w:val="24"/>
        </w:rPr>
        <w:t xml:space="preserve">studies on ECF pilots—see Hardman et al., </w:t>
      </w:r>
      <w:r w:rsidR="00B87A89" w:rsidRPr="006706B5">
        <w:rPr>
          <w:rFonts w:ascii="Times New Roman" w:hAnsi="Times New Roman" w:cs="Times New Roman"/>
          <w:sz w:val="24"/>
          <w:szCs w:val="24"/>
        </w:rPr>
        <w:t>2020</w:t>
      </w:r>
      <w:r w:rsidR="00FE3D00" w:rsidRPr="006706B5">
        <w:rPr>
          <w:rFonts w:ascii="Times New Roman" w:hAnsi="Times New Roman" w:cs="Times New Roman"/>
          <w:sz w:val="24"/>
          <w:szCs w:val="24"/>
        </w:rPr>
        <w:t>)</w:t>
      </w:r>
      <w:r w:rsidR="00C93FC3" w:rsidRPr="006706B5">
        <w:rPr>
          <w:rFonts w:ascii="Times New Roman" w:hAnsi="Times New Roman" w:cs="Times New Roman"/>
          <w:sz w:val="24"/>
          <w:szCs w:val="24"/>
        </w:rPr>
        <w:t>.</w:t>
      </w:r>
      <w:r w:rsidR="00A80356" w:rsidRPr="006706B5">
        <w:rPr>
          <w:rFonts w:ascii="Times New Roman" w:hAnsi="Times New Roman" w:cs="Times New Roman"/>
          <w:sz w:val="24"/>
          <w:szCs w:val="24"/>
        </w:rPr>
        <w:t xml:space="preserve"> </w:t>
      </w:r>
      <w:r w:rsidR="00C93FC3" w:rsidRPr="006706B5">
        <w:rPr>
          <w:rFonts w:ascii="Times New Roman" w:hAnsi="Times New Roman" w:cs="Times New Roman"/>
          <w:sz w:val="24"/>
          <w:szCs w:val="24"/>
        </w:rPr>
        <w:t>The article argues that in schools that exhibit a greater sense of freedom and confidence in exercising autonomy</w:t>
      </w:r>
      <w:r w:rsidR="00DF69A6" w:rsidRPr="006706B5">
        <w:rPr>
          <w:rFonts w:ascii="Times New Roman" w:hAnsi="Times New Roman" w:cs="Times New Roman"/>
          <w:sz w:val="24"/>
          <w:szCs w:val="24"/>
        </w:rPr>
        <w:t xml:space="preserve"> in policy enactment</w:t>
      </w:r>
      <w:r w:rsidR="00C93FC3" w:rsidRPr="006706B5">
        <w:rPr>
          <w:rFonts w:ascii="Times New Roman" w:hAnsi="Times New Roman" w:cs="Times New Roman"/>
          <w:sz w:val="24"/>
          <w:szCs w:val="24"/>
        </w:rPr>
        <w:t>, there is a tendency to innovate and adapt policy-driven inputs in ways that align with the specific needs of the school</w:t>
      </w:r>
      <w:r w:rsidR="008660C8" w:rsidRPr="006706B5">
        <w:rPr>
          <w:rFonts w:ascii="Times New Roman" w:hAnsi="Times New Roman" w:cs="Times New Roman"/>
          <w:sz w:val="24"/>
          <w:szCs w:val="24"/>
        </w:rPr>
        <w:t xml:space="preserve">, aiming to </w:t>
      </w:r>
      <w:r w:rsidR="008660C8" w:rsidRPr="006706B5">
        <w:rPr>
          <w:rFonts w:ascii="Times New Roman" w:hAnsi="Times New Roman" w:cs="Times New Roman"/>
          <w:i/>
          <w:iCs/>
          <w:sz w:val="24"/>
          <w:szCs w:val="24"/>
        </w:rPr>
        <w:t>bolster</w:t>
      </w:r>
      <w:r w:rsidR="008660C8" w:rsidRPr="006706B5">
        <w:rPr>
          <w:rFonts w:ascii="Times New Roman" w:hAnsi="Times New Roman" w:cs="Times New Roman"/>
          <w:sz w:val="24"/>
          <w:szCs w:val="24"/>
        </w:rPr>
        <w:t xml:space="preserve"> rather than </w:t>
      </w:r>
      <w:r w:rsidR="008660C8" w:rsidRPr="006706B5">
        <w:rPr>
          <w:rFonts w:ascii="Times New Roman" w:hAnsi="Times New Roman" w:cs="Times New Roman"/>
          <w:i/>
          <w:iCs/>
          <w:sz w:val="24"/>
          <w:szCs w:val="24"/>
        </w:rPr>
        <w:t>alter</w:t>
      </w:r>
      <w:r w:rsidR="008660C8" w:rsidRPr="006706B5">
        <w:rPr>
          <w:rFonts w:ascii="Times New Roman" w:hAnsi="Times New Roman" w:cs="Times New Roman"/>
          <w:sz w:val="24"/>
          <w:szCs w:val="24"/>
        </w:rPr>
        <w:t xml:space="preserve"> the contextual dimensions of their school</w:t>
      </w:r>
      <w:r w:rsidR="00C93FC3" w:rsidRPr="006706B5">
        <w:rPr>
          <w:rFonts w:ascii="Times New Roman" w:hAnsi="Times New Roman" w:cs="Times New Roman"/>
          <w:sz w:val="24"/>
          <w:szCs w:val="24"/>
        </w:rPr>
        <w:t>. In such cases, the focus shifts away from strict policy implementation and to privileging the school’s context</w:t>
      </w:r>
      <w:r w:rsidR="00220734" w:rsidRPr="006706B5">
        <w:rPr>
          <w:rFonts w:ascii="Times New Roman" w:hAnsi="Times New Roman" w:cs="Times New Roman"/>
          <w:sz w:val="24"/>
          <w:szCs w:val="24"/>
        </w:rPr>
        <w:t xml:space="preserve">, making </w:t>
      </w:r>
      <w:r w:rsidR="00E95D0A" w:rsidRPr="006706B5">
        <w:rPr>
          <w:rFonts w:ascii="Times New Roman" w:hAnsi="Times New Roman" w:cs="Times New Roman"/>
          <w:sz w:val="24"/>
          <w:szCs w:val="24"/>
        </w:rPr>
        <w:t>policy-relevant</w:t>
      </w:r>
      <w:r w:rsidR="00220734" w:rsidRPr="006706B5">
        <w:rPr>
          <w:rFonts w:ascii="Times New Roman" w:hAnsi="Times New Roman" w:cs="Times New Roman"/>
          <w:sz w:val="24"/>
          <w:szCs w:val="24"/>
        </w:rPr>
        <w:t xml:space="preserve"> changes to school practices a part of the broader </w:t>
      </w:r>
      <w:r w:rsidR="00E95D0A" w:rsidRPr="006706B5">
        <w:rPr>
          <w:rFonts w:ascii="Times New Roman" w:hAnsi="Times New Roman" w:cs="Times New Roman"/>
          <w:sz w:val="24"/>
          <w:szCs w:val="24"/>
        </w:rPr>
        <w:t xml:space="preserve">context of the school instead of </w:t>
      </w:r>
      <w:r w:rsidR="00F95FBB" w:rsidRPr="006706B5">
        <w:rPr>
          <w:rFonts w:ascii="Times New Roman" w:hAnsi="Times New Roman" w:cs="Times New Roman"/>
          <w:sz w:val="24"/>
          <w:szCs w:val="24"/>
        </w:rPr>
        <w:t>these</w:t>
      </w:r>
      <w:r w:rsidR="00E95D0A" w:rsidRPr="006706B5">
        <w:rPr>
          <w:rFonts w:ascii="Times New Roman" w:hAnsi="Times New Roman" w:cs="Times New Roman"/>
          <w:sz w:val="24"/>
          <w:szCs w:val="24"/>
        </w:rPr>
        <w:t xml:space="preserve"> appearing to be external to it</w:t>
      </w:r>
      <w:r w:rsidR="00C93FC3" w:rsidRPr="006706B5">
        <w:rPr>
          <w:rFonts w:ascii="Times New Roman" w:hAnsi="Times New Roman" w:cs="Times New Roman"/>
          <w:sz w:val="24"/>
          <w:szCs w:val="24"/>
        </w:rPr>
        <w:t xml:space="preserve">. Conversely, in schools where </w:t>
      </w:r>
      <w:r w:rsidR="008660C8" w:rsidRPr="006706B5">
        <w:rPr>
          <w:rFonts w:ascii="Times New Roman" w:hAnsi="Times New Roman" w:cs="Times New Roman"/>
          <w:sz w:val="24"/>
          <w:szCs w:val="24"/>
        </w:rPr>
        <w:t xml:space="preserve">the </w:t>
      </w:r>
      <w:r w:rsidR="00C93FC3" w:rsidRPr="006706B5">
        <w:rPr>
          <w:rFonts w:ascii="Times New Roman" w:hAnsi="Times New Roman" w:cs="Times New Roman"/>
          <w:sz w:val="24"/>
          <w:szCs w:val="24"/>
        </w:rPr>
        <w:t xml:space="preserve">emphasis is placed primarily on adhering to </w:t>
      </w:r>
      <w:r w:rsidR="008660C8" w:rsidRPr="006706B5">
        <w:rPr>
          <w:rFonts w:ascii="Times New Roman" w:hAnsi="Times New Roman" w:cs="Times New Roman"/>
          <w:sz w:val="24"/>
          <w:szCs w:val="24"/>
        </w:rPr>
        <w:t xml:space="preserve">external </w:t>
      </w:r>
      <w:r w:rsidR="00C93FC3" w:rsidRPr="006706B5">
        <w:rPr>
          <w:rFonts w:ascii="Times New Roman" w:hAnsi="Times New Roman" w:cs="Times New Roman"/>
          <w:sz w:val="24"/>
          <w:szCs w:val="24"/>
        </w:rPr>
        <w:t>policy</w:t>
      </w:r>
      <w:r w:rsidR="00EA7214" w:rsidRPr="006706B5">
        <w:rPr>
          <w:rFonts w:ascii="Times New Roman" w:hAnsi="Times New Roman" w:cs="Times New Roman"/>
          <w:sz w:val="24"/>
          <w:szCs w:val="24"/>
        </w:rPr>
        <w:t xml:space="preserve"> and transforming school practices</w:t>
      </w:r>
      <w:r w:rsidR="008660C8" w:rsidRPr="006706B5">
        <w:rPr>
          <w:rFonts w:ascii="Times New Roman" w:hAnsi="Times New Roman" w:cs="Times New Roman"/>
          <w:sz w:val="24"/>
          <w:szCs w:val="24"/>
        </w:rPr>
        <w:t xml:space="preserve"> as per the policy</w:t>
      </w:r>
      <w:r w:rsidR="00C93FC3" w:rsidRPr="006706B5">
        <w:rPr>
          <w:rFonts w:ascii="Times New Roman" w:hAnsi="Times New Roman" w:cs="Times New Roman"/>
          <w:sz w:val="24"/>
          <w:szCs w:val="24"/>
        </w:rPr>
        <w:t xml:space="preserve">, the misalignment between </w:t>
      </w:r>
      <w:r w:rsidR="00EA7214" w:rsidRPr="006706B5">
        <w:rPr>
          <w:rFonts w:ascii="Times New Roman" w:hAnsi="Times New Roman" w:cs="Times New Roman"/>
          <w:sz w:val="24"/>
          <w:szCs w:val="24"/>
        </w:rPr>
        <w:t xml:space="preserve">the </w:t>
      </w:r>
      <w:r w:rsidR="00C93FC3" w:rsidRPr="006706B5">
        <w:rPr>
          <w:rFonts w:ascii="Times New Roman" w:hAnsi="Times New Roman" w:cs="Times New Roman"/>
          <w:sz w:val="24"/>
          <w:szCs w:val="24"/>
        </w:rPr>
        <w:t>context</w:t>
      </w:r>
      <w:r w:rsidR="00EA7214" w:rsidRPr="006706B5">
        <w:rPr>
          <w:rFonts w:ascii="Times New Roman" w:hAnsi="Times New Roman" w:cs="Times New Roman"/>
          <w:sz w:val="24"/>
          <w:szCs w:val="24"/>
        </w:rPr>
        <w:t>ual dimensions</w:t>
      </w:r>
      <w:r w:rsidR="00C93FC3" w:rsidRPr="006706B5">
        <w:rPr>
          <w:rFonts w:ascii="Times New Roman" w:hAnsi="Times New Roman" w:cs="Times New Roman"/>
          <w:sz w:val="24"/>
          <w:szCs w:val="24"/>
        </w:rPr>
        <w:t xml:space="preserve"> </w:t>
      </w:r>
      <w:r w:rsidR="008660C8" w:rsidRPr="006706B5">
        <w:rPr>
          <w:rFonts w:ascii="Times New Roman" w:hAnsi="Times New Roman" w:cs="Times New Roman"/>
          <w:sz w:val="24"/>
          <w:szCs w:val="24"/>
        </w:rPr>
        <w:t xml:space="preserve">of the school and new </w:t>
      </w:r>
      <w:r w:rsidR="00146F80" w:rsidRPr="006706B5">
        <w:rPr>
          <w:rFonts w:ascii="Times New Roman" w:hAnsi="Times New Roman" w:cs="Times New Roman"/>
          <w:sz w:val="24"/>
          <w:szCs w:val="24"/>
        </w:rPr>
        <w:lastRenderedPageBreak/>
        <w:t xml:space="preserve">policy-induced </w:t>
      </w:r>
      <w:r w:rsidR="008660C8" w:rsidRPr="006706B5">
        <w:rPr>
          <w:rFonts w:ascii="Times New Roman" w:hAnsi="Times New Roman" w:cs="Times New Roman"/>
          <w:sz w:val="24"/>
          <w:szCs w:val="24"/>
        </w:rPr>
        <w:t>adjustments to the school is</w:t>
      </w:r>
      <w:r w:rsidR="006B57CD" w:rsidRPr="006706B5">
        <w:rPr>
          <w:rFonts w:ascii="Times New Roman" w:hAnsi="Times New Roman" w:cs="Times New Roman"/>
          <w:sz w:val="24"/>
          <w:szCs w:val="24"/>
        </w:rPr>
        <w:t xml:space="preserve"> likely </w:t>
      </w:r>
      <w:r w:rsidR="008660C8" w:rsidRPr="006706B5">
        <w:rPr>
          <w:rFonts w:ascii="Times New Roman" w:hAnsi="Times New Roman" w:cs="Times New Roman"/>
          <w:sz w:val="24"/>
          <w:szCs w:val="24"/>
        </w:rPr>
        <w:t xml:space="preserve">to </w:t>
      </w:r>
      <w:r w:rsidR="006B57CD" w:rsidRPr="006706B5">
        <w:rPr>
          <w:rFonts w:ascii="Times New Roman" w:hAnsi="Times New Roman" w:cs="Times New Roman"/>
          <w:sz w:val="24"/>
          <w:szCs w:val="24"/>
        </w:rPr>
        <w:t xml:space="preserve">be experienced </w:t>
      </w:r>
      <w:r w:rsidR="00C93FC3" w:rsidRPr="006706B5">
        <w:rPr>
          <w:rFonts w:ascii="Times New Roman" w:hAnsi="Times New Roman" w:cs="Times New Roman"/>
          <w:sz w:val="24"/>
          <w:szCs w:val="24"/>
        </w:rPr>
        <w:t>more acutely</w:t>
      </w:r>
      <w:r w:rsidR="00146F80" w:rsidRPr="006706B5">
        <w:rPr>
          <w:rFonts w:ascii="Times New Roman" w:hAnsi="Times New Roman" w:cs="Times New Roman"/>
          <w:sz w:val="24"/>
          <w:szCs w:val="24"/>
        </w:rPr>
        <w:t xml:space="preserve">, which in turn unsettles the school context more broadly. </w:t>
      </w:r>
    </w:p>
    <w:p w14:paraId="7AD9F676" w14:textId="1201F754" w:rsidR="00E21FE4" w:rsidRPr="006706B5" w:rsidRDefault="006B57CD" w:rsidP="00000051">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Considering</w:t>
      </w:r>
      <w:r w:rsidR="00E21FE4" w:rsidRPr="006706B5">
        <w:rPr>
          <w:rFonts w:ascii="Times New Roman" w:hAnsi="Times New Roman" w:cs="Times New Roman"/>
          <w:sz w:val="24"/>
          <w:szCs w:val="24"/>
        </w:rPr>
        <w:t xml:space="preserve"> the findings and discussion provided in this article, </w:t>
      </w:r>
      <w:r w:rsidR="00C93FC3" w:rsidRPr="006706B5">
        <w:rPr>
          <w:rFonts w:ascii="Times New Roman" w:hAnsi="Times New Roman" w:cs="Times New Roman"/>
          <w:sz w:val="24"/>
          <w:szCs w:val="24"/>
        </w:rPr>
        <w:t>we propose th</w:t>
      </w:r>
      <w:r w:rsidR="00E21FE4" w:rsidRPr="006706B5">
        <w:rPr>
          <w:rFonts w:ascii="Times New Roman" w:hAnsi="Times New Roman" w:cs="Times New Roman"/>
          <w:sz w:val="24"/>
          <w:szCs w:val="24"/>
        </w:rPr>
        <w:t xml:space="preserve">e following recommendations. Firstly, </w:t>
      </w:r>
      <w:r w:rsidR="0033031A" w:rsidRPr="006706B5">
        <w:rPr>
          <w:rFonts w:ascii="Times New Roman" w:hAnsi="Times New Roman" w:cs="Times New Roman"/>
          <w:sz w:val="24"/>
          <w:szCs w:val="24"/>
        </w:rPr>
        <w:t>p</w:t>
      </w:r>
      <w:r w:rsidR="00E21FE4" w:rsidRPr="006706B5">
        <w:rPr>
          <w:rFonts w:ascii="Times New Roman" w:hAnsi="Times New Roman" w:cs="Times New Roman"/>
          <w:sz w:val="24"/>
          <w:szCs w:val="24"/>
        </w:rPr>
        <w:t>olicymakers</w:t>
      </w:r>
      <w:r w:rsidR="00C93FC3" w:rsidRPr="006706B5">
        <w:rPr>
          <w:rFonts w:ascii="Times New Roman" w:hAnsi="Times New Roman" w:cs="Times New Roman"/>
          <w:sz w:val="24"/>
          <w:szCs w:val="24"/>
        </w:rPr>
        <w:t xml:space="preserve"> should frame policies in a manner that positions social actors as enactors rather than merely implementers or deliverers of policies. This approach would more accurately reflect the role that schools—and their context</w:t>
      </w:r>
      <w:r w:rsidRPr="006706B5">
        <w:rPr>
          <w:rFonts w:ascii="Times New Roman" w:hAnsi="Times New Roman" w:cs="Times New Roman"/>
          <w:sz w:val="24"/>
          <w:szCs w:val="24"/>
        </w:rPr>
        <w:t xml:space="preserve"> and teachers as policy actors</w:t>
      </w:r>
      <w:r w:rsidR="00C93FC3" w:rsidRPr="006706B5">
        <w:rPr>
          <w:rFonts w:ascii="Times New Roman" w:hAnsi="Times New Roman" w:cs="Times New Roman"/>
          <w:sz w:val="24"/>
          <w:szCs w:val="24"/>
        </w:rPr>
        <w:t xml:space="preserve">—play in </w:t>
      </w:r>
      <w:r w:rsidR="00DF69A6" w:rsidRPr="006706B5">
        <w:rPr>
          <w:rFonts w:ascii="Times New Roman" w:hAnsi="Times New Roman" w:cs="Times New Roman"/>
          <w:sz w:val="24"/>
          <w:szCs w:val="24"/>
        </w:rPr>
        <w:t>policy enactments</w:t>
      </w:r>
      <w:r w:rsidR="00C93FC3" w:rsidRPr="006706B5">
        <w:rPr>
          <w:rFonts w:ascii="Times New Roman" w:hAnsi="Times New Roman" w:cs="Times New Roman"/>
          <w:sz w:val="24"/>
          <w:szCs w:val="24"/>
        </w:rPr>
        <w:t xml:space="preserve">. Moreover, it is essential to provide schools with increased autonomy and freedom, along with </w:t>
      </w:r>
      <w:r w:rsidR="009D1299" w:rsidRPr="006706B5">
        <w:rPr>
          <w:rFonts w:ascii="Times New Roman" w:hAnsi="Times New Roman" w:cs="Times New Roman"/>
          <w:sz w:val="24"/>
          <w:szCs w:val="24"/>
        </w:rPr>
        <w:t xml:space="preserve">appropriate </w:t>
      </w:r>
      <w:r w:rsidR="00C93FC3" w:rsidRPr="006706B5">
        <w:rPr>
          <w:rFonts w:ascii="Times New Roman" w:hAnsi="Times New Roman" w:cs="Times New Roman"/>
          <w:sz w:val="24"/>
          <w:szCs w:val="24"/>
        </w:rPr>
        <w:t>resources to enact policies effectively, while also continually reviewing and adjusting support structures to meet the evolving needs of educators</w:t>
      </w:r>
      <w:r w:rsidR="0001641D" w:rsidRPr="006706B5">
        <w:rPr>
          <w:rFonts w:ascii="Times New Roman" w:hAnsi="Times New Roman" w:cs="Times New Roman"/>
          <w:sz w:val="24"/>
          <w:szCs w:val="24"/>
        </w:rPr>
        <w:t xml:space="preserve">, </w:t>
      </w:r>
      <w:r w:rsidR="00C93FC3" w:rsidRPr="006706B5">
        <w:rPr>
          <w:rFonts w:ascii="Times New Roman" w:hAnsi="Times New Roman" w:cs="Times New Roman"/>
          <w:sz w:val="24"/>
          <w:szCs w:val="24"/>
        </w:rPr>
        <w:t>encompassing not just ECTs but also mentors</w:t>
      </w:r>
      <w:r w:rsidR="00146F80" w:rsidRPr="006706B5">
        <w:rPr>
          <w:rFonts w:ascii="Times New Roman" w:hAnsi="Times New Roman" w:cs="Times New Roman"/>
          <w:sz w:val="24"/>
          <w:szCs w:val="24"/>
        </w:rPr>
        <w:t>, ECT coordinators</w:t>
      </w:r>
      <w:r w:rsidR="00C93FC3" w:rsidRPr="006706B5">
        <w:rPr>
          <w:rFonts w:ascii="Times New Roman" w:hAnsi="Times New Roman" w:cs="Times New Roman"/>
          <w:sz w:val="24"/>
          <w:szCs w:val="24"/>
        </w:rPr>
        <w:t xml:space="preserve"> and others involved in the process.</w:t>
      </w:r>
      <w:r w:rsidR="00E21FE4" w:rsidRPr="006706B5">
        <w:rPr>
          <w:rFonts w:ascii="Times New Roman" w:hAnsi="Times New Roman" w:cs="Times New Roman"/>
          <w:sz w:val="24"/>
          <w:szCs w:val="24"/>
        </w:rPr>
        <w:t xml:space="preserve"> Secondly, s</w:t>
      </w:r>
      <w:r w:rsidR="00C93FC3" w:rsidRPr="006706B5">
        <w:rPr>
          <w:rFonts w:ascii="Times New Roman" w:hAnsi="Times New Roman" w:cs="Times New Roman"/>
          <w:sz w:val="24"/>
          <w:szCs w:val="24"/>
        </w:rPr>
        <w:t xml:space="preserve">chool-based social actors should acknowledge, identify, and share the significance of the school context among staff—whether they are directly or indirectly involved in </w:t>
      </w:r>
      <w:r w:rsidR="00146F80" w:rsidRPr="006706B5">
        <w:rPr>
          <w:rFonts w:ascii="Times New Roman" w:hAnsi="Times New Roman" w:cs="Times New Roman"/>
          <w:sz w:val="24"/>
          <w:szCs w:val="24"/>
        </w:rPr>
        <w:t xml:space="preserve">the </w:t>
      </w:r>
      <w:r w:rsidR="00C93FC3" w:rsidRPr="006706B5">
        <w:rPr>
          <w:rFonts w:ascii="Times New Roman" w:hAnsi="Times New Roman" w:cs="Times New Roman"/>
          <w:sz w:val="24"/>
          <w:szCs w:val="24"/>
        </w:rPr>
        <w:t>relevant policy enactment practices—to reclaim and exercise their freedom and autonomy in these processes. They should ensure that the ECT programme is integrated into the contextual dimensions</w:t>
      </w:r>
      <w:r w:rsidR="00CB247C" w:rsidRPr="006706B5">
        <w:rPr>
          <w:rFonts w:ascii="Times New Roman" w:hAnsi="Times New Roman" w:cs="Times New Roman"/>
          <w:sz w:val="24"/>
          <w:szCs w:val="24"/>
        </w:rPr>
        <w:t xml:space="preserve"> </w:t>
      </w:r>
      <w:r w:rsidR="00C93FC3" w:rsidRPr="006706B5">
        <w:rPr>
          <w:rFonts w:ascii="Times New Roman" w:hAnsi="Times New Roman" w:cs="Times New Roman"/>
          <w:sz w:val="24"/>
          <w:szCs w:val="24"/>
        </w:rPr>
        <w:t>of the school</w:t>
      </w:r>
      <w:r w:rsidR="00146F80" w:rsidRPr="006706B5">
        <w:rPr>
          <w:rFonts w:ascii="Times New Roman" w:hAnsi="Times New Roman" w:cs="Times New Roman"/>
          <w:sz w:val="24"/>
          <w:szCs w:val="24"/>
        </w:rPr>
        <w:t xml:space="preserve"> and enhances these dimensions for the benefit of the school more sustainably</w:t>
      </w:r>
      <w:r w:rsidR="00C93FC3" w:rsidRPr="006706B5">
        <w:rPr>
          <w:rFonts w:ascii="Times New Roman" w:hAnsi="Times New Roman" w:cs="Times New Roman"/>
          <w:sz w:val="24"/>
          <w:szCs w:val="24"/>
        </w:rPr>
        <w:t xml:space="preserve">. </w:t>
      </w:r>
    </w:p>
    <w:p w14:paraId="1028736E" w14:textId="409402BB" w:rsidR="00C219FB" w:rsidRPr="006706B5" w:rsidRDefault="00C93FC3" w:rsidP="005E73A8">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Ensuring th</w:t>
      </w:r>
      <w:r w:rsidR="00E21FE4" w:rsidRPr="006706B5">
        <w:rPr>
          <w:rFonts w:ascii="Times New Roman" w:hAnsi="Times New Roman" w:cs="Times New Roman"/>
          <w:sz w:val="24"/>
          <w:szCs w:val="24"/>
        </w:rPr>
        <w:t xml:space="preserve">e above </w:t>
      </w:r>
      <w:r w:rsidRPr="006706B5">
        <w:rPr>
          <w:rFonts w:ascii="Times New Roman" w:hAnsi="Times New Roman" w:cs="Times New Roman"/>
          <w:sz w:val="24"/>
          <w:szCs w:val="24"/>
        </w:rPr>
        <w:t xml:space="preserve">will enhance the </w:t>
      </w:r>
      <w:r w:rsidR="00146F80" w:rsidRPr="006706B5">
        <w:rPr>
          <w:rFonts w:ascii="Times New Roman" w:hAnsi="Times New Roman" w:cs="Times New Roman"/>
          <w:sz w:val="24"/>
          <w:szCs w:val="24"/>
        </w:rPr>
        <w:t xml:space="preserve">impact of the </w:t>
      </w:r>
      <w:r w:rsidR="000626F5" w:rsidRPr="006706B5">
        <w:rPr>
          <w:rFonts w:ascii="Times New Roman" w:hAnsi="Times New Roman" w:cs="Times New Roman"/>
          <w:sz w:val="24"/>
          <w:szCs w:val="24"/>
        </w:rPr>
        <w:t>ECF</w:t>
      </w:r>
      <w:r w:rsidRPr="006706B5">
        <w:rPr>
          <w:rFonts w:ascii="Times New Roman" w:hAnsi="Times New Roman" w:cs="Times New Roman"/>
          <w:sz w:val="24"/>
          <w:szCs w:val="24"/>
        </w:rPr>
        <w:t xml:space="preserve"> on professional developmental practices</w:t>
      </w:r>
      <w:r w:rsidR="00146F80" w:rsidRPr="006706B5">
        <w:rPr>
          <w:rFonts w:ascii="Times New Roman" w:hAnsi="Times New Roman" w:cs="Times New Roman"/>
          <w:sz w:val="24"/>
          <w:szCs w:val="24"/>
        </w:rPr>
        <w:t xml:space="preserve"> not only for the ECTs but also for more established schoolteachers who may or may not be involved in ECT programmes</w:t>
      </w:r>
      <w:r w:rsidRPr="006706B5">
        <w:rPr>
          <w:rFonts w:ascii="Times New Roman" w:hAnsi="Times New Roman" w:cs="Times New Roman"/>
          <w:sz w:val="24"/>
          <w:szCs w:val="24"/>
        </w:rPr>
        <w:t xml:space="preserve">. Treating the ECT programme as an </w:t>
      </w:r>
      <w:r w:rsidRPr="006706B5">
        <w:rPr>
          <w:rFonts w:ascii="Times New Roman" w:hAnsi="Times New Roman" w:cs="Times New Roman"/>
          <w:i/>
          <w:iCs/>
          <w:sz w:val="24"/>
          <w:szCs w:val="24"/>
        </w:rPr>
        <w:t>additional</w:t>
      </w:r>
      <w:r w:rsidRPr="006706B5">
        <w:rPr>
          <w:rFonts w:ascii="Times New Roman" w:hAnsi="Times New Roman" w:cs="Times New Roman"/>
          <w:sz w:val="24"/>
          <w:szCs w:val="24"/>
        </w:rPr>
        <w:t xml:space="preserve"> task for coordinators, mentors, and ECTs, disconnected from other school activities</w:t>
      </w:r>
      <w:r w:rsidR="0044094A" w:rsidRPr="006706B5">
        <w:rPr>
          <w:rFonts w:ascii="Times New Roman" w:hAnsi="Times New Roman" w:cs="Times New Roman"/>
          <w:sz w:val="24"/>
          <w:szCs w:val="24"/>
        </w:rPr>
        <w:t xml:space="preserve"> and their own responsibilities and roles</w:t>
      </w:r>
      <w:r w:rsidRPr="006706B5">
        <w:rPr>
          <w:rFonts w:ascii="Times New Roman" w:hAnsi="Times New Roman" w:cs="Times New Roman"/>
          <w:sz w:val="24"/>
          <w:szCs w:val="24"/>
        </w:rPr>
        <w:t>, can render the programme less cohesive and burdensome. By aligning the ECT programme with the school's context, the activities are likely to become more relevant, time-efficient, and meaningful for all involved</w:t>
      </w:r>
      <w:r w:rsidR="000626F5" w:rsidRPr="006706B5">
        <w:rPr>
          <w:rFonts w:ascii="Times New Roman" w:hAnsi="Times New Roman" w:cs="Times New Roman"/>
          <w:sz w:val="24"/>
          <w:szCs w:val="24"/>
        </w:rPr>
        <w:t xml:space="preserve"> </w:t>
      </w:r>
      <w:r w:rsidR="00961B96" w:rsidRPr="006706B5">
        <w:rPr>
          <w:rFonts w:ascii="Times New Roman" w:hAnsi="Times New Roman" w:cs="Times New Roman"/>
          <w:sz w:val="24"/>
          <w:szCs w:val="24"/>
        </w:rPr>
        <w:t>over time</w:t>
      </w:r>
      <w:r w:rsidRPr="006706B5">
        <w:rPr>
          <w:rFonts w:ascii="Times New Roman" w:hAnsi="Times New Roman" w:cs="Times New Roman"/>
          <w:sz w:val="24"/>
          <w:szCs w:val="24"/>
        </w:rPr>
        <w:t>.</w:t>
      </w:r>
      <w:r w:rsidR="0072592A" w:rsidRPr="006706B5">
        <w:rPr>
          <w:rFonts w:ascii="Times New Roman" w:hAnsi="Times New Roman" w:cs="Times New Roman"/>
          <w:sz w:val="24"/>
          <w:szCs w:val="24"/>
        </w:rPr>
        <w:t xml:space="preserve"> We have explored specific ways this may be achieved in </w:t>
      </w:r>
      <w:r w:rsidR="00B567E2" w:rsidRPr="006706B5">
        <w:rPr>
          <w:rFonts w:ascii="Times New Roman" w:hAnsi="Times New Roman" w:cs="Times New Roman"/>
          <w:sz w:val="24"/>
          <w:szCs w:val="24"/>
        </w:rPr>
        <w:t>some of the outputs from our research project and associated impact work</w:t>
      </w:r>
      <w:r w:rsidR="00C219FB" w:rsidRPr="006706B5">
        <w:rPr>
          <w:rFonts w:ascii="Times New Roman" w:hAnsi="Times New Roman" w:cs="Times New Roman"/>
          <w:sz w:val="24"/>
          <w:szCs w:val="24"/>
        </w:rPr>
        <w:t xml:space="preserve">. Specifically, the readers of this article may potentially be </w:t>
      </w:r>
      <w:r w:rsidR="00C219FB" w:rsidRPr="006706B5">
        <w:rPr>
          <w:rFonts w:ascii="Times New Roman" w:hAnsi="Times New Roman" w:cs="Times New Roman"/>
          <w:sz w:val="24"/>
          <w:szCs w:val="24"/>
        </w:rPr>
        <w:lastRenderedPageBreak/>
        <w:t xml:space="preserve">interested in exploring our project report (Gupta &amp; Newman, 2025), a </w:t>
      </w:r>
      <w:r w:rsidR="00DD5A99" w:rsidRPr="006706B5">
        <w:rPr>
          <w:rFonts w:ascii="Times New Roman" w:hAnsi="Times New Roman" w:cs="Times New Roman"/>
          <w:sz w:val="24"/>
          <w:szCs w:val="24"/>
        </w:rPr>
        <w:t>research evidence-based</w:t>
      </w:r>
      <w:r w:rsidR="00C219FB" w:rsidRPr="006706B5">
        <w:rPr>
          <w:rFonts w:ascii="Times New Roman" w:hAnsi="Times New Roman" w:cs="Times New Roman"/>
          <w:sz w:val="24"/>
          <w:szCs w:val="24"/>
        </w:rPr>
        <w:t xml:space="preserve"> Toolkit that outlines our recommendations for enhancing mentorship programmes for ECTs (Gupta &amp; Newman, 2024). Acknowledging the value of partnerships and collaborative exchange among school leaders (Nicholson &amp; Wilkins, 2024), we have co-founded the 'ECT Coordinator Mentorship Network', designed to bring together practitioners from various schools to share ideas, challenges, and opportunities related to their mentorship programmes. We have also co-produced a Workbook with some members of this network. This output provides instructions on how to use our Toolkit in ways that work best for individual schools, regardless of their governance model (Newman et al., 2025).</w:t>
      </w:r>
      <w:r w:rsidR="00805B2E" w:rsidRPr="006706B5">
        <w:rPr>
          <w:rFonts w:ascii="Times New Roman" w:hAnsi="Times New Roman" w:cs="Times New Roman"/>
          <w:sz w:val="24"/>
          <w:szCs w:val="24"/>
        </w:rPr>
        <w:t xml:space="preserve"> Our practitioner-facing outputs are designed to be relevant to schools in the UK and internationally, where mentorship programmes are viewed as a valuable part of teachers’ professional learning. </w:t>
      </w:r>
    </w:p>
    <w:p w14:paraId="4AC44575" w14:textId="152ED454" w:rsidR="00C93FC3" w:rsidRPr="006706B5" w:rsidRDefault="00004161" w:rsidP="00004161">
      <w:pPr>
        <w:spacing w:line="480" w:lineRule="auto"/>
        <w:ind w:firstLine="720"/>
        <w:rPr>
          <w:rFonts w:ascii="Times New Roman" w:hAnsi="Times New Roman" w:cs="Times New Roman"/>
          <w:sz w:val="24"/>
          <w:szCs w:val="24"/>
        </w:rPr>
      </w:pPr>
      <w:r w:rsidRPr="006706B5">
        <w:rPr>
          <w:rFonts w:ascii="Times New Roman" w:hAnsi="Times New Roman" w:cs="Times New Roman"/>
          <w:sz w:val="24"/>
          <w:szCs w:val="24"/>
        </w:rPr>
        <w:t xml:space="preserve">Like all research efforts, our work has its scope and limitations. As mentioned at the beginning of this article, our research findings are drawn from four schools in the South of England, and while we believe the ECF enactment practices highlighted here will </w:t>
      </w:r>
      <w:r w:rsidR="00805B2E" w:rsidRPr="006706B5">
        <w:rPr>
          <w:rFonts w:ascii="Times New Roman" w:hAnsi="Times New Roman" w:cs="Times New Roman"/>
          <w:sz w:val="24"/>
          <w:szCs w:val="24"/>
        </w:rPr>
        <w:t>likely speak to</w:t>
      </w:r>
      <w:r w:rsidRPr="006706B5">
        <w:rPr>
          <w:rFonts w:ascii="Times New Roman" w:hAnsi="Times New Roman" w:cs="Times New Roman"/>
          <w:sz w:val="24"/>
          <w:szCs w:val="24"/>
        </w:rPr>
        <w:t xml:space="preserve"> </w:t>
      </w:r>
      <w:r w:rsidR="00805B2E" w:rsidRPr="006706B5">
        <w:rPr>
          <w:rFonts w:ascii="Times New Roman" w:hAnsi="Times New Roman" w:cs="Times New Roman"/>
          <w:sz w:val="24"/>
          <w:szCs w:val="24"/>
        </w:rPr>
        <w:t>experiences in</w:t>
      </w:r>
      <w:r w:rsidRPr="006706B5">
        <w:rPr>
          <w:rFonts w:ascii="Times New Roman" w:hAnsi="Times New Roman" w:cs="Times New Roman"/>
          <w:sz w:val="24"/>
          <w:szCs w:val="24"/>
        </w:rPr>
        <w:t xml:space="preserve"> </w:t>
      </w:r>
      <w:r w:rsidR="00BD78E8" w:rsidRPr="006706B5">
        <w:rPr>
          <w:rFonts w:ascii="Times New Roman" w:hAnsi="Times New Roman" w:cs="Times New Roman"/>
          <w:sz w:val="24"/>
          <w:szCs w:val="24"/>
        </w:rPr>
        <w:t xml:space="preserve">other </w:t>
      </w:r>
      <w:r w:rsidRPr="006706B5">
        <w:rPr>
          <w:rFonts w:ascii="Times New Roman" w:hAnsi="Times New Roman" w:cs="Times New Roman"/>
          <w:sz w:val="24"/>
          <w:szCs w:val="24"/>
        </w:rPr>
        <w:t>schools in England</w:t>
      </w:r>
      <w:r w:rsidR="009D1299" w:rsidRPr="006706B5">
        <w:rPr>
          <w:rFonts w:ascii="Times New Roman" w:hAnsi="Times New Roman" w:cs="Times New Roman"/>
          <w:sz w:val="24"/>
          <w:szCs w:val="24"/>
        </w:rPr>
        <w:t xml:space="preserve"> (supported by </w:t>
      </w:r>
      <w:r w:rsidR="00BD78E8" w:rsidRPr="006706B5">
        <w:rPr>
          <w:rFonts w:ascii="Times New Roman" w:hAnsi="Times New Roman" w:cs="Times New Roman"/>
          <w:sz w:val="24"/>
          <w:szCs w:val="24"/>
        </w:rPr>
        <w:t>the</w:t>
      </w:r>
      <w:r w:rsidR="009D1299" w:rsidRPr="006706B5">
        <w:rPr>
          <w:rFonts w:ascii="Times New Roman" w:hAnsi="Times New Roman" w:cs="Times New Roman"/>
          <w:sz w:val="24"/>
          <w:szCs w:val="24"/>
        </w:rPr>
        <w:t xml:space="preserve"> resonance </w:t>
      </w:r>
      <w:r w:rsidR="00BD78E8" w:rsidRPr="006706B5">
        <w:rPr>
          <w:rFonts w:ascii="Times New Roman" w:hAnsi="Times New Roman" w:cs="Times New Roman"/>
          <w:sz w:val="24"/>
          <w:szCs w:val="24"/>
        </w:rPr>
        <w:t xml:space="preserve">of our findings </w:t>
      </w:r>
      <w:r w:rsidR="009D1299" w:rsidRPr="006706B5">
        <w:rPr>
          <w:rFonts w:ascii="Times New Roman" w:hAnsi="Times New Roman" w:cs="Times New Roman"/>
          <w:sz w:val="24"/>
          <w:szCs w:val="24"/>
        </w:rPr>
        <w:t>with other literature)</w:t>
      </w:r>
      <w:r w:rsidRPr="006706B5">
        <w:rPr>
          <w:rFonts w:ascii="Times New Roman" w:hAnsi="Times New Roman" w:cs="Times New Roman"/>
          <w:sz w:val="24"/>
          <w:szCs w:val="24"/>
        </w:rPr>
        <w:t xml:space="preserve"> it is possible that schools within and beyond this geographical focus would have approached embedding ECF into their school context differently to how we have reported here. Furthermore, it became apparent to us </w:t>
      </w:r>
      <w:proofErr w:type="gramStart"/>
      <w:r w:rsidRPr="006706B5">
        <w:rPr>
          <w:rFonts w:ascii="Times New Roman" w:hAnsi="Times New Roman" w:cs="Times New Roman"/>
          <w:sz w:val="24"/>
          <w:szCs w:val="24"/>
        </w:rPr>
        <w:t>during the course of</w:t>
      </w:r>
      <w:proofErr w:type="gramEnd"/>
      <w:r w:rsidRPr="006706B5">
        <w:rPr>
          <w:rFonts w:ascii="Times New Roman" w:hAnsi="Times New Roman" w:cs="Times New Roman"/>
          <w:sz w:val="24"/>
          <w:szCs w:val="24"/>
        </w:rPr>
        <w:t xml:space="preserve"> our research that the policy trajectory in this domain of practice can be quite dynamic and therefore more research on policy enactments in relation to the prospective policy focuses might reveal various other aspects of enactment of policies aiming to address the evolving dynamics regarding teacher retention and recruitment crisis. Finally, since this is a topic of international significance, we would suggest </w:t>
      </w:r>
      <w:r w:rsidR="00805B2E" w:rsidRPr="006706B5">
        <w:rPr>
          <w:rFonts w:ascii="Times New Roman" w:hAnsi="Times New Roman" w:cs="Times New Roman"/>
          <w:sz w:val="24"/>
          <w:szCs w:val="24"/>
        </w:rPr>
        <w:t xml:space="preserve">that </w:t>
      </w:r>
      <w:r w:rsidRPr="006706B5">
        <w:rPr>
          <w:rFonts w:ascii="Times New Roman" w:hAnsi="Times New Roman" w:cs="Times New Roman"/>
          <w:sz w:val="24"/>
          <w:szCs w:val="24"/>
        </w:rPr>
        <w:t xml:space="preserve">more cross-country and comparative research on how ECTs are supported </w:t>
      </w:r>
      <w:r w:rsidR="00805B2E" w:rsidRPr="006706B5">
        <w:rPr>
          <w:rFonts w:ascii="Times New Roman" w:hAnsi="Times New Roman" w:cs="Times New Roman"/>
          <w:sz w:val="24"/>
          <w:szCs w:val="24"/>
        </w:rPr>
        <w:t xml:space="preserve">would likely </w:t>
      </w:r>
      <w:r w:rsidRPr="006706B5">
        <w:rPr>
          <w:rFonts w:ascii="Times New Roman" w:hAnsi="Times New Roman" w:cs="Times New Roman"/>
          <w:sz w:val="24"/>
          <w:szCs w:val="24"/>
        </w:rPr>
        <w:t>generate a more comprehensive understanding of the global challenge of teacher shortage</w:t>
      </w:r>
      <w:r w:rsidR="00956859" w:rsidRPr="006706B5">
        <w:rPr>
          <w:rFonts w:ascii="Times New Roman" w:hAnsi="Times New Roman" w:cs="Times New Roman"/>
          <w:sz w:val="24"/>
          <w:szCs w:val="24"/>
        </w:rPr>
        <w:t xml:space="preserve">, potentially leading to </w:t>
      </w:r>
      <w:r w:rsidR="009D5552" w:rsidRPr="006706B5">
        <w:rPr>
          <w:rFonts w:ascii="Times New Roman" w:hAnsi="Times New Roman" w:cs="Times New Roman"/>
          <w:sz w:val="24"/>
          <w:szCs w:val="24"/>
        </w:rPr>
        <w:t>generating</w:t>
      </w:r>
      <w:r w:rsidR="00956859" w:rsidRPr="006706B5">
        <w:rPr>
          <w:rFonts w:ascii="Times New Roman" w:hAnsi="Times New Roman" w:cs="Times New Roman"/>
          <w:sz w:val="24"/>
          <w:szCs w:val="24"/>
        </w:rPr>
        <w:t xml:space="preserve"> ideas on effective and </w:t>
      </w:r>
      <w:r w:rsidR="00956859" w:rsidRPr="006706B5">
        <w:rPr>
          <w:rFonts w:ascii="Times New Roman" w:hAnsi="Times New Roman" w:cs="Times New Roman"/>
          <w:sz w:val="24"/>
          <w:szCs w:val="24"/>
        </w:rPr>
        <w:lastRenderedPageBreak/>
        <w:t xml:space="preserve">sustainable approaches to addressing this </w:t>
      </w:r>
      <w:r w:rsidR="009D5552" w:rsidRPr="006706B5">
        <w:rPr>
          <w:rFonts w:ascii="Times New Roman" w:hAnsi="Times New Roman" w:cs="Times New Roman"/>
          <w:sz w:val="24"/>
          <w:szCs w:val="24"/>
        </w:rPr>
        <w:t>challenge</w:t>
      </w:r>
      <w:r w:rsidR="00805B2E" w:rsidRPr="006706B5">
        <w:rPr>
          <w:rFonts w:ascii="Times New Roman" w:hAnsi="Times New Roman" w:cs="Times New Roman"/>
          <w:sz w:val="24"/>
          <w:szCs w:val="24"/>
        </w:rPr>
        <w:t xml:space="preserve"> worldwide</w:t>
      </w:r>
      <w:r w:rsidRPr="006706B5">
        <w:rPr>
          <w:rFonts w:ascii="Times New Roman" w:hAnsi="Times New Roman" w:cs="Times New Roman"/>
          <w:sz w:val="24"/>
          <w:szCs w:val="24"/>
        </w:rPr>
        <w:t xml:space="preserve">. </w:t>
      </w:r>
      <w:r w:rsidR="00E6134E" w:rsidRPr="006706B5">
        <w:rPr>
          <w:rFonts w:ascii="Times New Roman" w:hAnsi="Times New Roman" w:cs="Times New Roman"/>
          <w:sz w:val="24"/>
          <w:szCs w:val="24"/>
        </w:rPr>
        <w:t xml:space="preserve">Overall, this study serves as a significant contribution </w:t>
      </w:r>
      <w:r w:rsidR="00961B96" w:rsidRPr="006706B5">
        <w:rPr>
          <w:rFonts w:ascii="Times New Roman" w:hAnsi="Times New Roman" w:cs="Times New Roman"/>
          <w:sz w:val="24"/>
          <w:szCs w:val="24"/>
        </w:rPr>
        <w:t>to</w:t>
      </w:r>
      <w:r w:rsidR="00E6134E" w:rsidRPr="006706B5">
        <w:rPr>
          <w:rFonts w:ascii="Times New Roman" w:hAnsi="Times New Roman" w:cs="Times New Roman"/>
          <w:sz w:val="24"/>
          <w:szCs w:val="24"/>
        </w:rPr>
        <w:t xml:space="preserve"> moving the scholarly discourse forward in this regard. </w:t>
      </w:r>
    </w:p>
    <w:p w14:paraId="66A97D88" w14:textId="77777777" w:rsidR="00C93FC3" w:rsidRPr="006706B5" w:rsidRDefault="00C93FC3" w:rsidP="005E73A8">
      <w:pPr>
        <w:pStyle w:val="Heading1"/>
        <w:keepLines w:val="0"/>
        <w:spacing w:after="60" w:line="480" w:lineRule="auto"/>
        <w:ind w:right="567"/>
        <w:contextualSpacing/>
        <w:rPr>
          <w:rFonts w:ascii="Times New Roman" w:eastAsia="Times New Roman" w:hAnsi="Times New Roman" w:cs="Times New Roman"/>
          <w:b/>
          <w:bCs/>
          <w:color w:val="auto"/>
          <w:kern w:val="32"/>
          <w:sz w:val="24"/>
          <w:szCs w:val="24"/>
          <w:lang w:eastAsia="en-GB"/>
          <w14:ligatures w14:val="none"/>
        </w:rPr>
      </w:pPr>
      <w:bookmarkStart w:id="2" w:name="_Toc168055180"/>
      <w:r w:rsidRPr="006706B5">
        <w:rPr>
          <w:rFonts w:ascii="Times New Roman" w:eastAsia="Times New Roman" w:hAnsi="Times New Roman" w:cs="Times New Roman"/>
          <w:b/>
          <w:bCs/>
          <w:color w:val="auto"/>
          <w:kern w:val="32"/>
          <w:sz w:val="24"/>
          <w:szCs w:val="24"/>
          <w:lang w:eastAsia="en-GB"/>
          <w14:ligatures w14:val="none"/>
        </w:rPr>
        <w:t>Author contributions</w:t>
      </w:r>
    </w:p>
    <w:p w14:paraId="0F41B70E" w14:textId="182E0B96"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Our contributions to the article were as follows: Achala Gupta (project conceptualisation, data collection, data analysis and writing); Rachele Newman (data collection and providing comments on previous drafts</w:t>
      </w:r>
      <w:r w:rsidR="003E4619" w:rsidRPr="006706B5">
        <w:rPr>
          <w:rFonts w:ascii="Times New Roman" w:hAnsi="Times New Roman" w:cs="Times New Roman"/>
          <w:sz w:val="24"/>
          <w:szCs w:val="24"/>
        </w:rPr>
        <w:t>, including respon</w:t>
      </w:r>
      <w:r w:rsidR="00E6134E" w:rsidRPr="006706B5">
        <w:rPr>
          <w:rFonts w:ascii="Times New Roman" w:hAnsi="Times New Roman" w:cs="Times New Roman"/>
          <w:sz w:val="24"/>
          <w:szCs w:val="24"/>
        </w:rPr>
        <w:t>ses</w:t>
      </w:r>
      <w:r w:rsidR="003E4619" w:rsidRPr="006706B5">
        <w:rPr>
          <w:rFonts w:ascii="Times New Roman" w:hAnsi="Times New Roman" w:cs="Times New Roman"/>
          <w:sz w:val="24"/>
          <w:szCs w:val="24"/>
        </w:rPr>
        <w:t xml:space="preserve"> to</w:t>
      </w:r>
      <w:r w:rsidR="00F764D5" w:rsidRPr="006706B5">
        <w:rPr>
          <w:rFonts w:ascii="Times New Roman" w:hAnsi="Times New Roman" w:cs="Times New Roman"/>
          <w:sz w:val="24"/>
          <w:szCs w:val="24"/>
        </w:rPr>
        <w:t xml:space="preserve"> the</w:t>
      </w:r>
      <w:r w:rsidR="003E4619" w:rsidRPr="006706B5">
        <w:rPr>
          <w:rFonts w:ascii="Times New Roman" w:hAnsi="Times New Roman" w:cs="Times New Roman"/>
          <w:sz w:val="24"/>
          <w:szCs w:val="24"/>
        </w:rPr>
        <w:t xml:space="preserve"> </w:t>
      </w:r>
      <w:r w:rsidR="00F764D5" w:rsidRPr="006706B5">
        <w:rPr>
          <w:rFonts w:ascii="Times New Roman" w:hAnsi="Times New Roman" w:cs="Times New Roman"/>
          <w:sz w:val="24"/>
          <w:szCs w:val="24"/>
        </w:rPr>
        <w:t>comments provided by the</w:t>
      </w:r>
      <w:r w:rsidR="003E4619" w:rsidRPr="006706B5">
        <w:rPr>
          <w:rFonts w:ascii="Times New Roman" w:hAnsi="Times New Roman" w:cs="Times New Roman"/>
          <w:sz w:val="24"/>
          <w:szCs w:val="24"/>
        </w:rPr>
        <w:t xml:space="preserve"> reviewers and the editor</w:t>
      </w:r>
      <w:r w:rsidRPr="006706B5">
        <w:rPr>
          <w:rFonts w:ascii="Times New Roman" w:hAnsi="Times New Roman" w:cs="Times New Roman"/>
          <w:sz w:val="24"/>
          <w:szCs w:val="24"/>
        </w:rPr>
        <w:t xml:space="preserve">). </w:t>
      </w:r>
    </w:p>
    <w:p w14:paraId="67185619" w14:textId="77777777" w:rsidR="00C93FC3" w:rsidRPr="006706B5" w:rsidRDefault="00C93FC3" w:rsidP="005E73A8">
      <w:pPr>
        <w:pStyle w:val="Heading1"/>
        <w:keepLines w:val="0"/>
        <w:spacing w:after="60" w:line="480" w:lineRule="auto"/>
        <w:ind w:right="567"/>
        <w:contextualSpacing/>
        <w:rPr>
          <w:rFonts w:ascii="Times New Roman" w:eastAsia="Times New Roman" w:hAnsi="Times New Roman" w:cs="Times New Roman"/>
          <w:b/>
          <w:bCs/>
          <w:color w:val="auto"/>
          <w:kern w:val="32"/>
          <w:sz w:val="24"/>
          <w:szCs w:val="24"/>
          <w:lang w:eastAsia="en-GB"/>
          <w14:ligatures w14:val="none"/>
        </w:rPr>
      </w:pPr>
      <w:r w:rsidRPr="006706B5">
        <w:rPr>
          <w:rFonts w:ascii="Times New Roman" w:eastAsia="Times New Roman" w:hAnsi="Times New Roman" w:cs="Times New Roman"/>
          <w:b/>
          <w:bCs/>
          <w:color w:val="auto"/>
          <w:kern w:val="32"/>
          <w:sz w:val="24"/>
          <w:szCs w:val="24"/>
          <w:lang w:eastAsia="en-GB"/>
          <w14:ligatures w14:val="none"/>
        </w:rPr>
        <w:t>Ethics statement</w:t>
      </w:r>
      <w:bookmarkEnd w:id="2"/>
    </w:p>
    <w:p w14:paraId="2BABD7E6"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The University of Southampton Guidelines for conducting ethical research involving human participants were followed throughout this research project (ERGO reference number: 86340).</w:t>
      </w:r>
    </w:p>
    <w:p w14:paraId="7A864BB9" w14:textId="77777777" w:rsidR="00C93FC3" w:rsidRPr="006706B5" w:rsidRDefault="00C93FC3" w:rsidP="005E73A8">
      <w:pPr>
        <w:pStyle w:val="Heading1"/>
        <w:keepLines w:val="0"/>
        <w:spacing w:after="60" w:line="480" w:lineRule="auto"/>
        <w:ind w:right="567"/>
        <w:contextualSpacing/>
        <w:rPr>
          <w:rFonts w:ascii="Times New Roman" w:eastAsia="Times New Roman" w:hAnsi="Times New Roman" w:cs="Times New Roman"/>
          <w:b/>
          <w:bCs/>
          <w:color w:val="auto"/>
          <w:kern w:val="32"/>
          <w:sz w:val="24"/>
          <w:szCs w:val="24"/>
          <w:lang w:eastAsia="en-GB"/>
          <w14:ligatures w14:val="none"/>
        </w:rPr>
      </w:pPr>
      <w:r w:rsidRPr="006706B5">
        <w:rPr>
          <w:rFonts w:ascii="Times New Roman" w:eastAsia="Times New Roman" w:hAnsi="Times New Roman" w:cs="Times New Roman"/>
          <w:b/>
          <w:bCs/>
          <w:color w:val="auto"/>
          <w:kern w:val="32"/>
          <w:sz w:val="24"/>
          <w:szCs w:val="24"/>
          <w:lang w:eastAsia="en-GB"/>
          <w14:ligatures w14:val="none"/>
        </w:rPr>
        <w:t>Acknowledgements</w:t>
      </w:r>
    </w:p>
    <w:p w14:paraId="0D13E8C1" w14:textId="77777777" w:rsidR="00C93FC3" w:rsidRPr="006706B5" w:rsidRDefault="00C93FC3" w:rsidP="005E73A8">
      <w:pPr>
        <w:tabs>
          <w:tab w:val="left" w:pos="1841"/>
        </w:tabs>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Many thanks to all the participants of this research project for their time and for sharing their insights into the topic of this research with us. </w:t>
      </w:r>
    </w:p>
    <w:p w14:paraId="4FD4E0FF" w14:textId="77777777" w:rsidR="00C93FC3" w:rsidRPr="006706B5" w:rsidRDefault="00C93FC3" w:rsidP="005E73A8">
      <w:pPr>
        <w:pStyle w:val="Heading1"/>
        <w:keepLines w:val="0"/>
        <w:spacing w:after="60" w:line="480" w:lineRule="auto"/>
        <w:ind w:right="567"/>
        <w:contextualSpacing/>
        <w:rPr>
          <w:rFonts w:ascii="Times New Roman" w:eastAsia="Times New Roman" w:hAnsi="Times New Roman" w:cs="Times New Roman"/>
          <w:b/>
          <w:bCs/>
          <w:color w:val="auto"/>
          <w:kern w:val="32"/>
          <w:sz w:val="24"/>
          <w:szCs w:val="24"/>
          <w:lang w:eastAsia="en-GB"/>
          <w14:ligatures w14:val="none"/>
        </w:rPr>
      </w:pPr>
      <w:r w:rsidRPr="006706B5">
        <w:rPr>
          <w:rFonts w:ascii="Times New Roman" w:eastAsia="Times New Roman" w:hAnsi="Times New Roman" w:cs="Times New Roman"/>
          <w:b/>
          <w:bCs/>
          <w:color w:val="auto"/>
          <w:kern w:val="32"/>
          <w:sz w:val="24"/>
          <w:szCs w:val="24"/>
          <w:lang w:eastAsia="en-GB"/>
          <w14:ligatures w14:val="none"/>
        </w:rPr>
        <w:t>Funder information</w:t>
      </w:r>
    </w:p>
    <w:p w14:paraId="34C868E9" w14:textId="564BBCC8"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We are grateful to the Society for Educational Studies for funding this project (under the 2023 small-grant award scheme). </w:t>
      </w:r>
      <w:r w:rsidR="0090245E" w:rsidRPr="006706B5">
        <w:rPr>
          <w:rFonts w:ascii="Times New Roman" w:hAnsi="Times New Roman" w:cs="Times New Roman"/>
          <w:sz w:val="24"/>
          <w:szCs w:val="24"/>
        </w:rPr>
        <w:t>We would also like to acknowledge the additional funding support from the University of Southampton under their ‘</w:t>
      </w:r>
      <w:r w:rsidR="008F2578" w:rsidRPr="006706B5">
        <w:rPr>
          <w:rFonts w:ascii="Times New Roman" w:hAnsi="Times New Roman" w:cs="Times New Roman"/>
          <w:sz w:val="24"/>
          <w:szCs w:val="24"/>
        </w:rPr>
        <w:t>2023-24 Impact Fund</w:t>
      </w:r>
      <w:r w:rsidR="0090245E" w:rsidRPr="006706B5">
        <w:rPr>
          <w:rFonts w:ascii="Times New Roman" w:hAnsi="Times New Roman" w:cs="Times New Roman"/>
          <w:sz w:val="24"/>
          <w:szCs w:val="24"/>
        </w:rPr>
        <w:t>’</w:t>
      </w:r>
      <w:r w:rsidR="00872374" w:rsidRPr="006706B5">
        <w:rPr>
          <w:rFonts w:ascii="Times New Roman" w:hAnsi="Times New Roman" w:cs="Times New Roman"/>
          <w:sz w:val="24"/>
          <w:szCs w:val="24"/>
        </w:rPr>
        <w:t xml:space="preserve"> and ‘</w:t>
      </w:r>
      <w:r w:rsidR="00DC41AB" w:rsidRPr="006706B5">
        <w:rPr>
          <w:rFonts w:ascii="Times New Roman" w:hAnsi="Times New Roman" w:cs="Times New Roman"/>
          <w:sz w:val="24"/>
          <w:szCs w:val="24"/>
        </w:rPr>
        <w:t>Higher Education Innovation Fund (HEIF): 2024-25 Knowledge Exchange Project Proposals</w:t>
      </w:r>
      <w:r w:rsidR="00872374" w:rsidRPr="006706B5">
        <w:rPr>
          <w:rFonts w:ascii="Times New Roman" w:hAnsi="Times New Roman" w:cs="Times New Roman"/>
          <w:sz w:val="24"/>
          <w:szCs w:val="24"/>
        </w:rPr>
        <w:t xml:space="preserve">’ schemes that facilitated research impact activities and enabled </w:t>
      </w:r>
      <w:r w:rsidR="008F69A1" w:rsidRPr="006706B5">
        <w:rPr>
          <w:rFonts w:ascii="Times New Roman" w:hAnsi="Times New Roman" w:cs="Times New Roman"/>
          <w:sz w:val="24"/>
          <w:szCs w:val="24"/>
        </w:rPr>
        <w:t>the publication of practitioner-focused outputs from th</w:t>
      </w:r>
      <w:r w:rsidR="008C4E18" w:rsidRPr="006706B5">
        <w:rPr>
          <w:rFonts w:ascii="Times New Roman" w:hAnsi="Times New Roman" w:cs="Times New Roman"/>
          <w:sz w:val="24"/>
          <w:szCs w:val="24"/>
        </w:rPr>
        <w:t>is research project</w:t>
      </w:r>
      <w:r w:rsidR="008F69A1" w:rsidRPr="006706B5">
        <w:rPr>
          <w:rFonts w:ascii="Times New Roman" w:hAnsi="Times New Roman" w:cs="Times New Roman"/>
          <w:sz w:val="24"/>
          <w:szCs w:val="24"/>
        </w:rPr>
        <w:t xml:space="preserve">. </w:t>
      </w:r>
    </w:p>
    <w:p w14:paraId="076D770F" w14:textId="77777777" w:rsidR="00C93FC3" w:rsidRPr="006706B5" w:rsidRDefault="00C93FC3" w:rsidP="005E73A8">
      <w:pPr>
        <w:pStyle w:val="Heading1"/>
        <w:keepLines w:val="0"/>
        <w:spacing w:after="60" w:line="480" w:lineRule="auto"/>
        <w:ind w:right="567"/>
        <w:contextualSpacing/>
        <w:rPr>
          <w:rFonts w:ascii="Times New Roman" w:eastAsia="Times New Roman" w:hAnsi="Times New Roman" w:cs="Times New Roman"/>
          <w:b/>
          <w:bCs/>
          <w:color w:val="auto"/>
          <w:kern w:val="32"/>
          <w:sz w:val="24"/>
          <w:szCs w:val="24"/>
          <w:lang w:eastAsia="en-GB"/>
          <w14:ligatures w14:val="none"/>
        </w:rPr>
      </w:pPr>
      <w:r w:rsidRPr="006706B5">
        <w:rPr>
          <w:rFonts w:ascii="Times New Roman" w:eastAsia="Times New Roman" w:hAnsi="Times New Roman" w:cs="Times New Roman"/>
          <w:b/>
          <w:bCs/>
          <w:color w:val="auto"/>
          <w:kern w:val="32"/>
          <w:sz w:val="24"/>
          <w:szCs w:val="24"/>
          <w:lang w:eastAsia="en-GB"/>
          <w14:ligatures w14:val="none"/>
        </w:rPr>
        <w:lastRenderedPageBreak/>
        <w:t xml:space="preserve">Declaration of interest </w:t>
      </w:r>
    </w:p>
    <w:p w14:paraId="0D7D27B6"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The authors report no conflicts of interest related to the research presented in this article.</w:t>
      </w:r>
    </w:p>
    <w:p w14:paraId="15691982" w14:textId="77777777"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t>References</w:t>
      </w:r>
    </w:p>
    <w:p w14:paraId="7C044007"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Ainscow, M., &amp; Howes, A. (2007). Working together to improve urban secondary schools: a study of practice in one city. School Leadership &amp; Management, 27(3), 285–300. https://doi.org/10.1080/13632430701379578</w:t>
      </w:r>
    </w:p>
    <w:p w14:paraId="5E49D99B" w14:textId="40D7CFA0" w:rsidR="0070714C" w:rsidRPr="006706B5" w:rsidRDefault="0070714C"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Allen, B., Hannay, T. &amp; McInerney, L. (2025). Teacher recruitment and retention in 2025: Social disadvantage and teacher labour market dynamics. </w:t>
      </w:r>
      <w:hyperlink r:id="rId9" w:history="1">
        <w:r w:rsidR="005C1552" w:rsidRPr="006706B5">
          <w:rPr>
            <w:rStyle w:val="Hyperlink"/>
            <w:rFonts w:ascii="Times New Roman" w:hAnsi="Times New Roman" w:cs="Times New Roman"/>
            <w:color w:val="auto"/>
            <w:sz w:val="24"/>
            <w:szCs w:val="24"/>
          </w:rPr>
          <w:t>https://teachertapp.com/uk/publications/teacher-recruitment-and-retention-in-2025/</w:t>
        </w:r>
      </w:hyperlink>
      <w:r w:rsidR="005C1552" w:rsidRPr="006706B5">
        <w:rPr>
          <w:rFonts w:ascii="Times New Roman" w:hAnsi="Times New Roman" w:cs="Times New Roman"/>
          <w:sz w:val="24"/>
          <w:szCs w:val="24"/>
        </w:rPr>
        <w:t xml:space="preserve"> </w:t>
      </w:r>
    </w:p>
    <w:p w14:paraId="4A194866" w14:textId="5519EA99"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Ball, S.J. (1994). Education reform. A critical and post-structural approach, Buckingham, UK: Open University Press.</w:t>
      </w:r>
    </w:p>
    <w:p w14:paraId="46FB54A2"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Ball, S. J., &amp; Olmedo, A. (2012). Care of the self, resistance and subjectivity under neoliberal governmentalities. Critical Studies in Education, 54(1), 85–96. https://doi.org/10.1080/17508487.2013.740678</w:t>
      </w:r>
    </w:p>
    <w:p w14:paraId="32EAB40D"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Ball, S. J., Maguire, M., &amp; Braun, A. (2012). How Schools Do Policy: Policy Enactments in Secondary Schools. Routledge.</w:t>
      </w:r>
    </w:p>
    <w:p w14:paraId="710A3175"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Bowe, R., Ball, S. J., &amp; Gold, A. (1992). Reforming Education and Changing Schools: Case Studies in Policy Sociology. London: Routledge.</w:t>
      </w:r>
    </w:p>
    <w:p w14:paraId="2F18546F" w14:textId="77777777" w:rsidR="00C93FC3" w:rsidRPr="006706B5" w:rsidRDefault="00C93FC3" w:rsidP="005E73A8">
      <w:pPr>
        <w:spacing w:line="480" w:lineRule="auto"/>
        <w:rPr>
          <w:rFonts w:ascii="Times New Roman" w:hAnsi="Times New Roman" w:cs="Times New Roman"/>
          <w:sz w:val="24"/>
          <w:szCs w:val="24"/>
        </w:rPr>
      </w:pPr>
      <w:bookmarkStart w:id="3" w:name="_Hlk190335385"/>
      <w:r w:rsidRPr="006706B5">
        <w:rPr>
          <w:rFonts w:ascii="Times New Roman" w:hAnsi="Times New Roman" w:cs="Times New Roman"/>
          <w:sz w:val="24"/>
          <w:szCs w:val="24"/>
        </w:rPr>
        <w:t>Bradbury</w:t>
      </w:r>
      <w:bookmarkEnd w:id="3"/>
      <w:r w:rsidRPr="006706B5">
        <w:rPr>
          <w:rFonts w:ascii="Times New Roman" w:hAnsi="Times New Roman" w:cs="Times New Roman"/>
          <w:sz w:val="24"/>
          <w:szCs w:val="24"/>
        </w:rPr>
        <w:t xml:space="preserve">, A., Braun, A., Duncan, S., </w:t>
      </w:r>
      <w:proofErr w:type="spellStart"/>
      <w:r w:rsidRPr="006706B5">
        <w:rPr>
          <w:rFonts w:ascii="Times New Roman" w:hAnsi="Times New Roman" w:cs="Times New Roman"/>
          <w:sz w:val="24"/>
          <w:szCs w:val="24"/>
        </w:rPr>
        <w:t>Harmey</w:t>
      </w:r>
      <w:proofErr w:type="spellEnd"/>
      <w:r w:rsidRPr="006706B5">
        <w:rPr>
          <w:rFonts w:ascii="Times New Roman" w:hAnsi="Times New Roman" w:cs="Times New Roman"/>
          <w:sz w:val="24"/>
          <w:szCs w:val="24"/>
        </w:rPr>
        <w:t>, S., Levy, R., &amp; Moss, G. (2022). Crisis policy enactment: primary school leaders’ responses to the Covid-19 pandemic in England. Journal of Education Policy, 38(5), 761–781. https://doi.org/10.1080/02680939.2022.2097316</w:t>
      </w:r>
    </w:p>
    <w:p w14:paraId="536BF4C6"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lastRenderedPageBreak/>
        <w:t xml:space="preserve">Braun, A., Maguire, M., &amp; Ball, S. J. (2010). Policy enactments in the UK secondary school: examining policy, practice and school positioning. Journal of Education Policy, 25(4), 547–560. </w:t>
      </w:r>
    </w:p>
    <w:p w14:paraId="6F9A3096" w14:textId="3BDB5DC8"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Braun, A., Ball, S. J., Maguire, M., &amp; Hoskins, K. (2011). Taking context seriously: towards explaining policy enactments in the secondary school. Discourse: Studies in the Cultural Politics of Education, 32(4), 585–596. </w:t>
      </w:r>
      <w:hyperlink r:id="rId10" w:history="1">
        <w:r w:rsidR="000E6D3C" w:rsidRPr="006706B5">
          <w:rPr>
            <w:rStyle w:val="Hyperlink"/>
            <w:rFonts w:ascii="Times New Roman" w:hAnsi="Times New Roman" w:cs="Times New Roman"/>
            <w:color w:val="auto"/>
            <w:sz w:val="24"/>
            <w:szCs w:val="24"/>
          </w:rPr>
          <w:t>https://doi.org/10.1080/01596306.2011.601555</w:t>
        </w:r>
      </w:hyperlink>
      <w:r w:rsidRPr="006706B5">
        <w:rPr>
          <w:rFonts w:ascii="Times New Roman" w:hAnsi="Times New Roman" w:cs="Times New Roman"/>
          <w:sz w:val="24"/>
          <w:szCs w:val="24"/>
        </w:rPr>
        <w:t xml:space="preserve"> </w:t>
      </w:r>
    </w:p>
    <w:p w14:paraId="0946D079" w14:textId="5450EFF6"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Braun, V. and Clarke, V., </w:t>
      </w:r>
      <w:r w:rsidR="00E74588" w:rsidRPr="006706B5">
        <w:rPr>
          <w:rFonts w:ascii="Times New Roman" w:hAnsi="Times New Roman" w:cs="Times New Roman"/>
          <w:sz w:val="24"/>
          <w:szCs w:val="24"/>
        </w:rPr>
        <w:t>(</w:t>
      </w:r>
      <w:r w:rsidRPr="006706B5">
        <w:rPr>
          <w:rFonts w:ascii="Times New Roman" w:hAnsi="Times New Roman" w:cs="Times New Roman"/>
          <w:sz w:val="24"/>
          <w:szCs w:val="24"/>
        </w:rPr>
        <w:t>2020</w:t>
      </w:r>
      <w:r w:rsidR="00E74588" w:rsidRPr="006706B5">
        <w:rPr>
          <w:rFonts w:ascii="Times New Roman" w:hAnsi="Times New Roman" w:cs="Times New Roman"/>
          <w:sz w:val="24"/>
          <w:szCs w:val="24"/>
        </w:rPr>
        <w:t>)</w:t>
      </w:r>
      <w:r w:rsidRPr="006706B5">
        <w:rPr>
          <w:rFonts w:ascii="Times New Roman" w:hAnsi="Times New Roman" w:cs="Times New Roman"/>
          <w:sz w:val="24"/>
          <w:szCs w:val="24"/>
        </w:rPr>
        <w:t xml:space="preserve">. One size </w:t>
      </w:r>
      <w:proofErr w:type="gramStart"/>
      <w:r w:rsidRPr="006706B5">
        <w:rPr>
          <w:rFonts w:ascii="Times New Roman" w:hAnsi="Times New Roman" w:cs="Times New Roman"/>
          <w:sz w:val="24"/>
          <w:szCs w:val="24"/>
        </w:rPr>
        <w:t>fits</w:t>
      </w:r>
      <w:proofErr w:type="gramEnd"/>
      <w:r w:rsidRPr="006706B5">
        <w:rPr>
          <w:rFonts w:ascii="Times New Roman" w:hAnsi="Times New Roman" w:cs="Times New Roman"/>
          <w:sz w:val="24"/>
          <w:szCs w:val="24"/>
        </w:rPr>
        <w:t xml:space="preserve"> all? What counts as quality practice in (reflexive) thematic analysis? Qualitative research in psychology, 18 (3), 1–25.</w:t>
      </w:r>
    </w:p>
    <w:p w14:paraId="455A467D" w14:textId="77777777" w:rsidR="00077146" w:rsidRPr="006706B5" w:rsidRDefault="00C93FC3" w:rsidP="00077146">
      <w:pPr>
        <w:spacing w:line="480" w:lineRule="auto"/>
        <w:rPr>
          <w:rFonts w:ascii="Times New Roman" w:hAnsi="Times New Roman" w:cs="Times New Roman"/>
          <w:sz w:val="24"/>
          <w:szCs w:val="24"/>
        </w:rPr>
      </w:pPr>
      <w:r w:rsidRPr="006706B5">
        <w:rPr>
          <w:rFonts w:ascii="Times New Roman" w:hAnsi="Times New Roman" w:cs="Times New Roman"/>
          <w:sz w:val="24"/>
          <w:szCs w:val="24"/>
        </w:rPr>
        <w:t>Creswell, J.W., 2013. Qualitative inquiry and research design: choosing among five approaches. London: Sage.</w:t>
      </w:r>
    </w:p>
    <w:p w14:paraId="1D1E77EA" w14:textId="40129718" w:rsidR="00077146" w:rsidRPr="006706B5" w:rsidRDefault="00077146" w:rsidP="00077146">
      <w:pPr>
        <w:spacing w:line="480" w:lineRule="auto"/>
        <w:rPr>
          <w:rFonts w:ascii="Times New Roman" w:hAnsi="Times New Roman" w:cs="Times New Roman"/>
          <w:sz w:val="24"/>
          <w:szCs w:val="24"/>
        </w:rPr>
      </w:pPr>
      <w:r w:rsidRPr="006706B5">
        <w:rPr>
          <w:rFonts w:ascii="Times New Roman" w:hAnsi="Times New Roman" w:cs="Times New Roman"/>
          <w:sz w:val="24"/>
          <w:szCs w:val="24"/>
        </w:rPr>
        <w:t>Daly C, Hardman M, Taylor R. (2022)</w:t>
      </w:r>
      <w:r w:rsidR="00E74588" w:rsidRPr="006706B5">
        <w:rPr>
          <w:rFonts w:ascii="Times New Roman" w:hAnsi="Times New Roman" w:cs="Times New Roman"/>
          <w:sz w:val="24"/>
          <w:szCs w:val="24"/>
        </w:rPr>
        <w:t>.</w:t>
      </w:r>
      <w:r w:rsidRPr="006706B5">
        <w:rPr>
          <w:rFonts w:ascii="Times New Roman" w:hAnsi="Times New Roman" w:cs="Times New Roman"/>
          <w:sz w:val="24"/>
          <w:szCs w:val="24"/>
        </w:rPr>
        <w:t> The Early Career Framework pilots: lessons learned. In: Ovenden-Hope T, (ed.) </w:t>
      </w:r>
      <w:r w:rsidRPr="006706B5">
        <w:rPr>
          <w:rFonts w:ascii="Times New Roman" w:hAnsi="Times New Roman" w:cs="Times New Roman"/>
          <w:i/>
          <w:iCs/>
          <w:sz w:val="24"/>
          <w:szCs w:val="24"/>
        </w:rPr>
        <w:t>The Early Career Framework: origins, outcomes and opportunities</w:t>
      </w:r>
      <w:r w:rsidRPr="006706B5">
        <w:rPr>
          <w:rFonts w:ascii="Times New Roman" w:hAnsi="Times New Roman" w:cs="Times New Roman"/>
          <w:sz w:val="24"/>
          <w:szCs w:val="24"/>
        </w:rPr>
        <w:t xml:space="preserve">. John Catt Educational Ltd. </w:t>
      </w:r>
    </w:p>
    <w:p w14:paraId="06ABE652" w14:textId="7E523C2F" w:rsidR="00F93A4F" w:rsidRPr="006706B5" w:rsidRDefault="00F93A4F"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DfE (n.d.). </w:t>
      </w:r>
      <w:r w:rsidR="00C62830" w:rsidRPr="006706B5">
        <w:rPr>
          <w:rFonts w:ascii="Times New Roman" w:hAnsi="Times New Roman" w:cs="Times New Roman"/>
          <w:sz w:val="24"/>
          <w:szCs w:val="24"/>
        </w:rPr>
        <w:t xml:space="preserve">Early career framework induction evaluation. </w:t>
      </w:r>
      <w:hyperlink r:id="rId11" w:history="1">
        <w:r w:rsidR="00C62830" w:rsidRPr="006706B5">
          <w:rPr>
            <w:rStyle w:val="Hyperlink"/>
            <w:rFonts w:ascii="Times New Roman" w:hAnsi="Times New Roman" w:cs="Times New Roman"/>
            <w:color w:val="auto"/>
            <w:sz w:val="24"/>
            <w:szCs w:val="24"/>
          </w:rPr>
          <w:t>https://www.gov.uk/government/publications/early-career-framework-induction-evaluation</w:t>
        </w:r>
      </w:hyperlink>
      <w:r w:rsidRPr="006706B5">
        <w:rPr>
          <w:rFonts w:ascii="Times New Roman" w:hAnsi="Times New Roman" w:cs="Times New Roman"/>
          <w:sz w:val="24"/>
          <w:szCs w:val="24"/>
        </w:rPr>
        <w:t xml:space="preserve"> </w:t>
      </w:r>
    </w:p>
    <w:p w14:paraId="4A5456C5"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DfE (2019a). Teacher recruitment and retention strategy. London: DfE Publishing. </w:t>
      </w:r>
      <w:hyperlink r:id="rId12" w:history="1">
        <w:r w:rsidRPr="006706B5">
          <w:rPr>
            <w:rStyle w:val="Hyperlink"/>
            <w:rFonts w:ascii="Times New Roman" w:hAnsi="Times New Roman" w:cs="Times New Roman"/>
            <w:color w:val="auto"/>
            <w:sz w:val="24"/>
            <w:szCs w:val="24"/>
          </w:rPr>
          <w:t>https://assets.publishing.service.gov.uk/media/5c8fc653ed915d07a80a33fa/DFE_Teacher_Retention_Strategy_Report.pdf</w:t>
        </w:r>
      </w:hyperlink>
    </w:p>
    <w:p w14:paraId="2091A400" w14:textId="77777777" w:rsidR="00C93FC3" w:rsidRPr="006706B5" w:rsidRDefault="00C93FC3" w:rsidP="005E73A8">
      <w:pPr>
        <w:spacing w:line="480" w:lineRule="auto"/>
      </w:pPr>
      <w:r w:rsidRPr="006706B5">
        <w:rPr>
          <w:rFonts w:ascii="Times New Roman" w:hAnsi="Times New Roman" w:cs="Times New Roman"/>
          <w:sz w:val="24"/>
          <w:szCs w:val="24"/>
        </w:rPr>
        <w:t xml:space="preserve">DfE (2019b). Early career framework. London: DfE Publishing. </w:t>
      </w:r>
      <w:hyperlink r:id="rId13" w:history="1">
        <w:r w:rsidRPr="006706B5">
          <w:rPr>
            <w:rStyle w:val="Hyperlink"/>
            <w:rFonts w:ascii="Times New Roman" w:hAnsi="Times New Roman" w:cs="Times New Roman"/>
            <w:color w:val="auto"/>
            <w:sz w:val="24"/>
            <w:szCs w:val="24"/>
          </w:rPr>
          <w:t>https://assets.publishing.service.gov.uk/media/60795936d3bf7f400b462d74/Early-Career_Framework_April_2021.pdf</w:t>
        </w:r>
      </w:hyperlink>
    </w:p>
    <w:p w14:paraId="54B83D99" w14:textId="32316996" w:rsidR="00D34702" w:rsidRPr="006706B5" w:rsidRDefault="00D34702" w:rsidP="004533E9">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DfE (2024a). </w:t>
      </w:r>
      <w:r w:rsidR="004533E9" w:rsidRPr="006706B5">
        <w:rPr>
          <w:rFonts w:ascii="Times New Roman" w:hAnsi="Times New Roman" w:cs="Times New Roman"/>
          <w:sz w:val="24"/>
          <w:szCs w:val="24"/>
        </w:rPr>
        <w:t>Outcomes of the review of the Initial Teacher Training Core Content Framework and Early Career Framework</w:t>
      </w:r>
      <w:r w:rsidRPr="006706B5">
        <w:rPr>
          <w:rFonts w:ascii="Times New Roman" w:hAnsi="Times New Roman" w:cs="Times New Roman"/>
          <w:sz w:val="24"/>
          <w:szCs w:val="24"/>
        </w:rPr>
        <w:t xml:space="preserve">. London: DfE Publishing. </w:t>
      </w:r>
      <w:hyperlink r:id="rId14" w:history="1">
        <w:r w:rsidR="00520385" w:rsidRPr="006706B5">
          <w:rPr>
            <w:rStyle w:val="Hyperlink"/>
            <w:rFonts w:ascii="Times New Roman" w:hAnsi="Times New Roman" w:cs="Times New Roman"/>
            <w:color w:val="auto"/>
            <w:sz w:val="24"/>
            <w:szCs w:val="24"/>
          </w:rPr>
          <w:t>https://assets.publishing.service.gov.uk/media/661d24ba08c3be25cfbd3e62/Outcomes_of_the_review_of_the_Initial_Teacher_Training_Core_Content_Framework_and_Early_Career_Framework.pdf</w:t>
        </w:r>
      </w:hyperlink>
      <w:r w:rsidR="00520385" w:rsidRPr="006706B5">
        <w:rPr>
          <w:rFonts w:ascii="Times New Roman" w:hAnsi="Times New Roman" w:cs="Times New Roman"/>
          <w:sz w:val="24"/>
          <w:szCs w:val="24"/>
        </w:rPr>
        <w:t xml:space="preserve"> </w:t>
      </w:r>
    </w:p>
    <w:p w14:paraId="0E4D6513" w14:textId="6E68342E" w:rsidR="00C93FC3" w:rsidRPr="006706B5" w:rsidRDefault="00C93FC3" w:rsidP="005E73A8">
      <w:pPr>
        <w:spacing w:line="480" w:lineRule="auto"/>
        <w:rPr>
          <w:rFonts w:ascii="Times New Roman" w:hAnsi="Times New Roman" w:cs="Times New Roman"/>
          <w:sz w:val="24"/>
          <w:szCs w:val="24"/>
        </w:rPr>
      </w:pPr>
      <w:bookmarkStart w:id="4" w:name="_Hlk200455849"/>
      <w:r w:rsidRPr="006706B5">
        <w:rPr>
          <w:rFonts w:ascii="Times New Roman" w:hAnsi="Times New Roman" w:cs="Times New Roman"/>
          <w:sz w:val="24"/>
          <w:szCs w:val="24"/>
        </w:rPr>
        <w:t>DfE (2024</w:t>
      </w:r>
      <w:r w:rsidR="00D34702" w:rsidRPr="006706B5">
        <w:rPr>
          <w:rFonts w:ascii="Times New Roman" w:hAnsi="Times New Roman" w:cs="Times New Roman"/>
          <w:sz w:val="24"/>
          <w:szCs w:val="24"/>
        </w:rPr>
        <w:t>b</w:t>
      </w:r>
      <w:r w:rsidRPr="006706B5">
        <w:rPr>
          <w:rFonts w:ascii="Times New Roman" w:hAnsi="Times New Roman" w:cs="Times New Roman"/>
          <w:sz w:val="24"/>
          <w:szCs w:val="24"/>
        </w:rPr>
        <w:t xml:space="preserve">). </w:t>
      </w:r>
      <w:bookmarkStart w:id="5" w:name="_Hlk174966965"/>
      <w:r w:rsidRPr="006706B5">
        <w:rPr>
          <w:rFonts w:ascii="Times New Roman" w:hAnsi="Times New Roman" w:cs="Times New Roman"/>
          <w:sz w:val="24"/>
          <w:szCs w:val="24"/>
        </w:rPr>
        <w:t>Initial teacher training and early career framework</w:t>
      </w:r>
      <w:bookmarkEnd w:id="5"/>
      <w:r w:rsidRPr="006706B5">
        <w:rPr>
          <w:rFonts w:ascii="Times New Roman" w:hAnsi="Times New Roman" w:cs="Times New Roman"/>
          <w:sz w:val="24"/>
          <w:szCs w:val="24"/>
        </w:rPr>
        <w:t xml:space="preserve">. London: DfE Publishing. </w:t>
      </w:r>
      <w:hyperlink r:id="rId15" w:history="1">
        <w:r w:rsidRPr="006706B5">
          <w:rPr>
            <w:rStyle w:val="Hyperlink"/>
            <w:rFonts w:ascii="Times New Roman" w:hAnsi="Times New Roman" w:cs="Times New Roman"/>
            <w:color w:val="auto"/>
            <w:sz w:val="24"/>
            <w:szCs w:val="24"/>
          </w:rPr>
          <w:t>https://www.gov.uk/government/publications/initial-teacher-training-and-early-career-framework</w:t>
        </w:r>
      </w:hyperlink>
      <w:r w:rsidRPr="006706B5">
        <w:rPr>
          <w:rFonts w:ascii="Times New Roman" w:hAnsi="Times New Roman" w:cs="Times New Roman"/>
          <w:sz w:val="24"/>
          <w:szCs w:val="24"/>
        </w:rPr>
        <w:t xml:space="preserve"> </w:t>
      </w:r>
    </w:p>
    <w:p w14:paraId="4A2B51E8" w14:textId="77777777" w:rsidR="00C93FC3" w:rsidRPr="006706B5" w:rsidRDefault="00C93FC3" w:rsidP="005E73A8">
      <w:pPr>
        <w:spacing w:line="480" w:lineRule="auto"/>
        <w:rPr>
          <w:rFonts w:ascii="Times New Roman" w:hAnsi="Times New Roman" w:cs="Times New Roman"/>
          <w:sz w:val="24"/>
          <w:szCs w:val="24"/>
        </w:rPr>
      </w:pPr>
      <w:bookmarkStart w:id="6" w:name="_Hlk179378983"/>
      <w:bookmarkEnd w:id="4"/>
      <w:r w:rsidRPr="006706B5">
        <w:rPr>
          <w:rFonts w:ascii="Times New Roman" w:hAnsi="Times New Roman" w:cs="Times New Roman"/>
          <w:sz w:val="24"/>
          <w:szCs w:val="24"/>
        </w:rPr>
        <w:t xml:space="preserve">Gupta, A. (2019). Teacher-entrepreneurialism: a case of teacher identity formation in </w:t>
      </w:r>
      <w:proofErr w:type="spellStart"/>
      <w:r w:rsidRPr="006706B5">
        <w:rPr>
          <w:rFonts w:ascii="Times New Roman" w:hAnsi="Times New Roman" w:cs="Times New Roman"/>
          <w:sz w:val="24"/>
          <w:szCs w:val="24"/>
        </w:rPr>
        <w:t>neoliberalizing</w:t>
      </w:r>
      <w:proofErr w:type="spellEnd"/>
      <w:r w:rsidRPr="006706B5">
        <w:rPr>
          <w:rFonts w:ascii="Times New Roman" w:hAnsi="Times New Roman" w:cs="Times New Roman"/>
          <w:sz w:val="24"/>
          <w:szCs w:val="24"/>
        </w:rPr>
        <w:t xml:space="preserve"> education space in contemporary India. Critical Studies in Education, 62(4), 422–438.</w:t>
      </w:r>
    </w:p>
    <w:p w14:paraId="3DE40F0C" w14:textId="1949102E" w:rsidR="00A95F2A" w:rsidRPr="006706B5" w:rsidRDefault="00A95F2A"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Gupta, A. (2025). Coached habitus: Mapping the role of shadow education in shaping students' educational trajectories. </w:t>
      </w:r>
      <w:r w:rsidRPr="006706B5">
        <w:rPr>
          <w:rFonts w:ascii="Times New Roman" w:hAnsi="Times New Roman" w:cs="Times New Roman"/>
          <w:i/>
          <w:iCs/>
          <w:sz w:val="24"/>
          <w:szCs w:val="24"/>
        </w:rPr>
        <w:t>British Educational Research Journal</w:t>
      </w:r>
      <w:r w:rsidRPr="006706B5">
        <w:rPr>
          <w:rFonts w:ascii="Times New Roman" w:hAnsi="Times New Roman" w:cs="Times New Roman"/>
          <w:sz w:val="24"/>
          <w:szCs w:val="24"/>
        </w:rPr>
        <w:t>, </w:t>
      </w:r>
      <w:r w:rsidRPr="006706B5">
        <w:rPr>
          <w:rFonts w:ascii="Times New Roman" w:hAnsi="Times New Roman" w:cs="Times New Roman"/>
          <w:i/>
          <w:iCs/>
          <w:sz w:val="24"/>
          <w:szCs w:val="24"/>
        </w:rPr>
        <w:t>51</w:t>
      </w:r>
      <w:r w:rsidRPr="006706B5">
        <w:rPr>
          <w:rFonts w:ascii="Times New Roman" w:hAnsi="Times New Roman" w:cs="Times New Roman"/>
          <w:sz w:val="24"/>
          <w:szCs w:val="24"/>
        </w:rPr>
        <w:t>(2), 514-532.</w:t>
      </w:r>
    </w:p>
    <w:p w14:paraId="1AE07212" w14:textId="2ACF3B62" w:rsidR="00D96B22" w:rsidRPr="006706B5" w:rsidRDefault="00D96B22" w:rsidP="00D96B22">
      <w:pPr>
        <w:spacing w:before="240" w:line="480" w:lineRule="auto"/>
        <w:rPr>
          <w:rFonts w:ascii="Times New Roman" w:hAnsi="Times New Roman" w:cs="Times New Roman"/>
          <w:sz w:val="24"/>
          <w:szCs w:val="24"/>
        </w:rPr>
      </w:pPr>
      <w:r w:rsidRPr="006706B5">
        <w:rPr>
          <w:rFonts w:ascii="Times New Roman" w:hAnsi="Times New Roman" w:cs="Times New Roman"/>
          <w:sz w:val="24"/>
          <w:szCs w:val="24"/>
        </w:rPr>
        <w:t xml:space="preserve">Gupta, A. &amp; Newman, R. (2025). </w:t>
      </w:r>
      <w:r w:rsidRPr="006706B5">
        <w:rPr>
          <w:rFonts w:ascii="Times New Roman" w:hAnsi="Times New Roman" w:cs="Times New Roman"/>
          <w:i/>
          <w:iCs/>
          <w:sz w:val="24"/>
          <w:szCs w:val="24"/>
        </w:rPr>
        <w:t>Nature and effectiveness of mentorship provision for supporting early-career teachers in England: An empirical investigation</w:t>
      </w:r>
      <w:r w:rsidRPr="006706B5">
        <w:rPr>
          <w:rFonts w:ascii="Times New Roman" w:hAnsi="Times New Roman" w:cs="Times New Roman"/>
          <w:sz w:val="24"/>
          <w:szCs w:val="24"/>
        </w:rPr>
        <w:t xml:space="preserve">. Southampton: </w:t>
      </w:r>
      <w:r w:rsidRPr="00753606">
        <w:rPr>
          <w:rFonts w:ascii="Times New Roman" w:hAnsi="Times New Roman" w:cs="Times New Roman"/>
          <w:sz w:val="24"/>
          <w:szCs w:val="24"/>
        </w:rPr>
        <w:t xml:space="preserve">University of Southampton. </w:t>
      </w:r>
      <w:hyperlink r:id="rId16" w:history="1">
        <w:r w:rsidRPr="00753606">
          <w:rPr>
            <w:rStyle w:val="Hyperlink"/>
            <w:rFonts w:ascii="Times New Roman" w:hAnsi="Times New Roman" w:cs="Times New Roman"/>
            <w:color w:val="auto"/>
            <w:sz w:val="24"/>
            <w:szCs w:val="24"/>
          </w:rPr>
          <w:t>https://shorturl.at/90rHA</w:t>
        </w:r>
      </w:hyperlink>
      <w:r w:rsidR="00043B23" w:rsidRPr="00753606">
        <w:t xml:space="preserve"> </w:t>
      </w:r>
      <w:r w:rsidR="00753606" w:rsidRPr="00753606">
        <w:t xml:space="preserve">&amp; </w:t>
      </w:r>
      <w:hyperlink r:id="rId17" w:tgtFrame="_blank" w:tooltip="http://doi.org/10.5258/SOTON/P1229" w:history="1">
        <w:r w:rsidR="00753606" w:rsidRPr="00753606">
          <w:rPr>
            <w:rStyle w:val="Hyperlink"/>
          </w:rPr>
          <w:t>http://doi.org/10.5258/SOTON/P1229</w:t>
        </w:r>
      </w:hyperlink>
    </w:p>
    <w:p w14:paraId="7AF22079"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Gupta, A., &amp; Newman, R. (2024). Research evidence-based toolkit for enhancing mentorship practices for Early Career Teachers. Southampton: University of Southampton. </w:t>
      </w:r>
      <w:hyperlink r:id="rId18" w:history="1">
        <w:r w:rsidRPr="006706B5">
          <w:rPr>
            <w:rStyle w:val="Hyperlink"/>
            <w:rFonts w:ascii="Times New Roman" w:hAnsi="Times New Roman" w:cs="Times New Roman"/>
            <w:color w:val="auto"/>
            <w:sz w:val="24"/>
            <w:szCs w:val="24"/>
          </w:rPr>
          <w:t>https://doi.org/10.5281/zenodo.14289911</w:t>
        </w:r>
      </w:hyperlink>
      <w:r w:rsidRPr="006706B5">
        <w:rPr>
          <w:rFonts w:ascii="Times New Roman" w:hAnsi="Times New Roman" w:cs="Times New Roman"/>
          <w:sz w:val="24"/>
          <w:szCs w:val="24"/>
        </w:rPr>
        <w:t xml:space="preserve"> </w:t>
      </w:r>
    </w:p>
    <w:p w14:paraId="35D4B114"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Gupta, A., &amp; Zhao, X. (2023). Teachers’ work under </w:t>
      </w:r>
      <w:proofErr w:type="spellStart"/>
      <w:r w:rsidRPr="006706B5">
        <w:rPr>
          <w:rFonts w:ascii="Times New Roman" w:hAnsi="Times New Roman" w:cs="Times New Roman"/>
          <w:sz w:val="24"/>
          <w:szCs w:val="24"/>
        </w:rPr>
        <w:t>responsibilising</w:t>
      </w:r>
      <w:proofErr w:type="spellEnd"/>
      <w:r w:rsidRPr="006706B5">
        <w:rPr>
          <w:rFonts w:ascii="Times New Roman" w:hAnsi="Times New Roman" w:cs="Times New Roman"/>
          <w:sz w:val="24"/>
          <w:szCs w:val="24"/>
        </w:rPr>
        <w:t xml:space="preserve"> policies: an analysis of educators’ views on China’s 2021 educational reforms. Journal of Education Policy, 39(4), 622–639.</w:t>
      </w:r>
    </w:p>
    <w:p w14:paraId="654B2758" w14:textId="77777777" w:rsidR="00077146" w:rsidRPr="006706B5" w:rsidRDefault="00077146" w:rsidP="00077146">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Hardman, M., Taylor, B., Daly, C., Glegg, P., Stiasny, B., Pillinger, C., &amp; Gandolfi, H. (2020). </w:t>
      </w:r>
      <w:r w:rsidRPr="006706B5">
        <w:rPr>
          <w:rFonts w:ascii="Times New Roman" w:hAnsi="Times New Roman" w:cs="Times New Roman"/>
          <w:i/>
          <w:iCs/>
          <w:sz w:val="24"/>
          <w:szCs w:val="24"/>
        </w:rPr>
        <w:t>Early career teacher support: pilot report</w:t>
      </w:r>
      <w:r w:rsidRPr="006706B5">
        <w:rPr>
          <w:rFonts w:ascii="Times New Roman" w:hAnsi="Times New Roman" w:cs="Times New Roman"/>
          <w:sz w:val="24"/>
          <w:szCs w:val="24"/>
        </w:rPr>
        <w:t xml:space="preserve">. Education Endowment Foundation. </w:t>
      </w:r>
    </w:p>
    <w:p w14:paraId="3B9A0E21"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lastRenderedPageBreak/>
        <w:t xml:space="preserve">Hobson, A. J., Ashby, P., </w:t>
      </w:r>
      <w:proofErr w:type="spellStart"/>
      <w:r w:rsidRPr="006706B5">
        <w:rPr>
          <w:rFonts w:ascii="Times New Roman" w:hAnsi="Times New Roman" w:cs="Times New Roman"/>
          <w:sz w:val="24"/>
          <w:szCs w:val="24"/>
        </w:rPr>
        <w:t>Malderez</w:t>
      </w:r>
      <w:proofErr w:type="spellEnd"/>
      <w:r w:rsidRPr="006706B5">
        <w:rPr>
          <w:rFonts w:ascii="Times New Roman" w:hAnsi="Times New Roman" w:cs="Times New Roman"/>
          <w:sz w:val="24"/>
          <w:szCs w:val="24"/>
        </w:rPr>
        <w:t>, A., &amp; Tomlinson, P. D. (2009). Mentoring beginning teachers: What we know and what we don’t. </w:t>
      </w:r>
      <w:r w:rsidRPr="006706B5">
        <w:rPr>
          <w:rFonts w:ascii="Times New Roman" w:hAnsi="Times New Roman" w:cs="Times New Roman"/>
          <w:i/>
          <w:iCs/>
          <w:sz w:val="24"/>
          <w:szCs w:val="24"/>
        </w:rPr>
        <w:t>Teaching and Teacher Education, 25</w:t>
      </w:r>
      <w:r w:rsidRPr="006706B5">
        <w:rPr>
          <w:rFonts w:ascii="Times New Roman" w:hAnsi="Times New Roman" w:cs="Times New Roman"/>
          <w:sz w:val="24"/>
          <w:szCs w:val="24"/>
        </w:rPr>
        <w:t>(1), 207–216.</w:t>
      </w:r>
    </w:p>
    <w:p w14:paraId="201CD4DE"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Innes, M. (2021). The micro-politics of policy enactment in a multi-academy trust. School Leadership &amp; Management, 41(4–5), 334–351. https://doi.org/10.1080/13632434.2021.2002839 </w:t>
      </w:r>
    </w:p>
    <w:p w14:paraId="0D1F0A10"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Keddie, A. (2014). ‘It's like Spiderman … with great power comes great responsibility’: School autonomy, school context and the audit culture. School Leadership and Management, 34(5), 502–517.</w:t>
      </w:r>
    </w:p>
    <w:bookmarkEnd w:id="6"/>
    <w:p w14:paraId="7AD1D13D"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Maguire, M., Gewirtz, S., Towers, E., &amp; Neumann, E. (2019). Contextualising policy work: policy enactment and the specificities of English secondary schools. Research Papers in Education, 35(4), 488–509. https://doi.org/10.1080/02671522.2019.1601758</w:t>
      </w:r>
    </w:p>
    <w:p w14:paraId="5E5511A9"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McCarthy, M., Riddle, S., &amp; Hickey, A. (2025). The teacher as double agent: performative compliance, allegiance and survival in the contemporary classroom. Teachers and Teaching, 1–15. https://doi.org/10.1080/13540602.2025.2478150</w:t>
      </w:r>
    </w:p>
    <w:p w14:paraId="00936E05"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Murtagh, L., Dawes, L., Rushton, E. A., &amp; Ball-Smith, C. (2024). Early career teacher mentoring in England: a case study of compliance and mediation. Professional Development in Education, 1-14.</w:t>
      </w:r>
    </w:p>
    <w:p w14:paraId="604A3559" w14:textId="3486912E" w:rsidR="00CC1F27" w:rsidRPr="006706B5" w:rsidRDefault="00AE5904"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National Education Union (2024). </w:t>
      </w:r>
      <w:r w:rsidRPr="006706B5">
        <w:rPr>
          <w:rFonts w:ascii="Times New Roman" w:hAnsi="Times New Roman" w:cs="Times New Roman"/>
          <w:i/>
          <w:iCs/>
          <w:sz w:val="24"/>
          <w:szCs w:val="24"/>
        </w:rPr>
        <w:t>Global teacher recruitment and retention crisis</w:t>
      </w:r>
      <w:r w:rsidRPr="006706B5">
        <w:rPr>
          <w:rFonts w:ascii="Times New Roman" w:hAnsi="Times New Roman" w:cs="Times New Roman"/>
          <w:sz w:val="24"/>
          <w:szCs w:val="24"/>
        </w:rPr>
        <w:t xml:space="preserve">. </w:t>
      </w:r>
      <w:hyperlink r:id="rId19" w:history="1">
        <w:r w:rsidR="00280135" w:rsidRPr="006706B5">
          <w:rPr>
            <w:rStyle w:val="Hyperlink"/>
            <w:rFonts w:ascii="Times New Roman" w:hAnsi="Times New Roman" w:cs="Times New Roman"/>
            <w:color w:val="auto"/>
            <w:sz w:val="24"/>
            <w:szCs w:val="24"/>
          </w:rPr>
          <w:t>https://neu.org.uk/latest/press-releases/global-teacher-recruitment-and-retention-crisis</w:t>
        </w:r>
      </w:hyperlink>
      <w:r w:rsidR="00280135" w:rsidRPr="006706B5">
        <w:rPr>
          <w:rFonts w:ascii="Times New Roman" w:hAnsi="Times New Roman" w:cs="Times New Roman"/>
          <w:sz w:val="24"/>
          <w:szCs w:val="24"/>
        </w:rPr>
        <w:t xml:space="preserve"> </w:t>
      </w:r>
    </w:p>
    <w:p w14:paraId="09CE528A" w14:textId="2B0E1987" w:rsidR="00882FF4" w:rsidRPr="006706B5" w:rsidRDefault="00882FF4" w:rsidP="005E73A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 xml:space="preserve">National Foundation for Educational Research (n.d.). </w:t>
      </w:r>
      <w:hyperlink r:id="rId20" w:history="1">
        <w:r w:rsidR="00A82046" w:rsidRPr="006706B5">
          <w:rPr>
            <w:rStyle w:val="Hyperlink"/>
            <w:rFonts w:ascii="Times New Roman" w:hAnsi="Times New Roman" w:cs="Times New Roman"/>
            <w:color w:val="auto"/>
            <w:sz w:val="24"/>
            <w:szCs w:val="24"/>
          </w:rPr>
          <w:t>https://www.nfer.ac.uk/publications/teacher-labour-market-in-england-annual-report-2025/</w:t>
        </w:r>
      </w:hyperlink>
      <w:r w:rsidR="00A82046" w:rsidRPr="006706B5">
        <w:rPr>
          <w:rFonts w:ascii="Times New Roman" w:hAnsi="Times New Roman" w:cs="Times New Roman"/>
          <w:sz w:val="24"/>
          <w:szCs w:val="24"/>
        </w:rPr>
        <w:t xml:space="preserve"> </w:t>
      </w:r>
    </w:p>
    <w:p w14:paraId="1DB050D7" w14:textId="77777777" w:rsidR="00BE2BFE" w:rsidRPr="006706B5" w:rsidRDefault="00D14EFC"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lastRenderedPageBreak/>
        <w:t xml:space="preserve">Newman, R., Gupta, A., Andrews, T., Boulton, A., Nicol, L., &amp; Wheeler, S. (2025). </w:t>
      </w:r>
      <w:r w:rsidRPr="006706B5">
        <w:rPr>
          <w:rFonts w:ascii="Times New Roman" w:hAnsi="Times New Roman" w:cs="Times New Roman"/>
          <w:i/>
          <w:iCs/>
          <w:sz w:val="24"/>
          <w:szCs w:val="24"/>
        </w:rPr>
        <w:t>Culture, conditions and curation: A workbook for creating an environment for effective teacher professional learning</w:t>
      </w:r>
      <w:r w:rsidRPr="006706B5">
        <w:rPr>
          <w:rFonts w:ascii="Times New Roman" w:hAnsi="Times New Roman" w:cs="Times New Roman"/>
          <w:sz w:val="24"/>
          <w:szCs w:val="24"/>
        </w:rPr>
        <w:t xml:space="preserve">. Southampton: University of Southampton. DOI: </w:t>
      </w:r>
      <w:hyperlink r:id="rId21" w:tgtFrame="_blank" w:history="1">
        <w:r w:rsidRPr="006706B5">
          <w:rPr>
            <w:rStyle w:val="Hyperlink"/>
            <w:rFonts w:ascii="Times New Roman" w:hAnsi="Times New Roman" w:cs="Times New Roman"/>
            <w:color w:val="auto"/>
            <w:sz w:val="24"/>
            <w:szCs w:val="24"/>
          </w:rPr>
          <w:t>https://doi.org/10.5258/SOTON/P1228</w:t>
        </w:r>
      </w:hyperlink>
      <w:r w:rsidRPr="006706B5">
        <w:rPr>
          <w:rFonts w:ascii="Times New Roman" w:hAnsi="Times New Roman" w:cs="Times New Roman"/>
          <w:sz w:val="24"/>
          <w:szCs w:val="24"/>
        </w:rPr>
        <w:t> </w:t>
      </w:r>
    </w:p>
    <w:p w14:paraId="32F05F54" w14:textId="7B7DA1AC"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Nicholson, P. M., &amp; Wilkins, A. W. (2024). Intermediaries in local schooling landscapes: policy enactment and partnership building during times of crisis. Journal of Education Policy, 40(1), 89–110. https://doi.org/10.1080/02680939.2024.2346140</w:t>
      </w:r>
    </w:p>
    <w:p w14:paraId="4A85E51E"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Perryman, J. (2006). Panoptic performativity and school inspection regimes: disciplinary mechanisms and life under special measures. Journal of Education Policy, 21(2), 147–161. </w:t>
      </w:r>
    </w:p>
    <w:p w14:paraId="0DB39FCF" w14:textId="721284B1" w:rsidR="00C93FC3" w:rsidRPr="006706B5" w:rsidRDefault="00924AA7"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Perryman, J., Bradbury, A., Calvert, G., &amp; Kilian, K. (2024). ‘A Tipping Point’ in Teacher Retention and Accountability: The Case of Inspection. </w:t>
      </w:r>
      <w:r w:rsidRPr="006706B5">
        <w:rPr>
          <w:rFonts w:ascii="Times New Roman" w:hAnsi="Times New Roman" w:cs="Times New Roman"/>
          <w:i/>
          <w:iCs/>
          <w:sz w:val="24"/>
          <w:szCs w:val="24"/>
        </w:rPr>
        <w:t>British Journal of Educational Studies</w:t>
      </w:r>
      <w:r w:rsidRPr="006706B5">
        <w:rPr>
          <w:rFonts w:ascii="Times New Roman" w:hAnsi="Times New Roman" w:cs="Times New Roman"/>
          <w:sz w:val="24"/>
          <w:szCs w:val="24"/>
        </w:rPr>
        <w:t>, </w:t>
      </w:r>
      <w:r w:rsidRPr="006706B5">
        <w:rPr>
          <w:rFonts w:ascii="Times New Roman" w:hAnsi="Times New Roman" w:cs="Times New Roman"/>
          <w:i/>
          <w:iCs/>
          <w:sz w:val="24"/>
          <w:szCs w:val="24"/>
        </w:rPr>
        <w:t>73</w:t>
      </w:r>
      <w:r w:rsidRPr="006706B5">
        <w:rPr>
          <w:rFonts w:ascii="Times New Roman" w:hAnsi="Times New Roman" w:cs="Times New Roman"/>
          <w:sz w:val="24"/>
          <w:szCs w:val="24"/>
        </w:rPr>
        <w:t xml:space="preserve">(2), 181–200. https://doi.org/10.1080/00071005.2024.2439791 </w:t>
      </w:r>
      <w:r w:rsidR="00C93FC3" w:rsidRPr="006706B5">
        <w:rPr>
          <w:rFonts w:ascii="Times New Roman" w:hAnsi="Times New Roman" w:cs="Times New Roman"/>
          <w:sz w:val="24"/>
          <w:szCs w:val="24"/>
        </w:rPr>
        <w:t xml:space="preserve"> </w:t>
      </w:r>
    </w:p>
    <w:p w14:paraId="3F067335"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Priestley, M., Biesta, G. J. J. and Robinson, S. (2015) </w:t>
      </w:r>
      <w:r w:rsidRPr="006706B5">
        <w:rPr>
          <w:rFonts w:ascii="Times New Roman" w:hAnsi="Times New Roman" w:cs="Times New Roman"/>
          <w:i/>
          <w:iCs/>
          <w:sz w:val="24"/>
          <w:szCs w:val="24"/>
        </w:rPr>
        <w:t>Teacher Agency: An Ecological Approach</w:t>
      </w:r>
      <w:r w:rsidRPr="006706B5">
        <w:rPr>
          <w:rFonts w:ascii="Times New Roman" w:hAnsi="Times New Roman" w:cs="Times New Roman"/>
          <w:sz w:val="24"/>
          <w:szCs w:val="24"/>
        </w:rPr>
        <w:t> (London, Bloomsbury Academic).</w:t>
      </w:r>
    </w:p>
    <w:p w14:paraId="0C068418" w14:textId="77777777" w:rsidR="00211007" w:rsidRPr="006706B5" w:rsidRDefault="00211007" w:rsidP="00211007">
      <w:pPr>
        <w:spacing w:line="480" w:lineRule="auto"/>
        <w:rPr>
          <w:rFonts w:ascii="Times New Roman" w:hAnsi="Times New Roman" w:cs="Times New Roman"/>
          <w:sz w:val="24"/>
          <w:szCs w:val="24"/>
        </w:rPr>
      </w:pPr>
      <w:r w:rsidRPr="006706B5">
        <w:rPr>
          <w:rFonts w:ascii="Times New Roman" w:hAnsi="Times New Roman" w:cs="Times New Roman"/>
          <w:sz w:val="24"/>
          <w:szCs w:val="24"/>
        </w:rPr>
        <w:t>Proudfoot, K., &amp; Boyd, P. (2023). The Instrumental Motivation of Teachers: Implications of High-Stakes Accountability for Professional Learning. </w:t>
      </w:r>
      <w:r w:rsidRPr="006706B5">
        <w:rPr>
          <w:rFonts w:ascii="Times New Roman" w:hAnsi="Times New Roman" w:cs="Times New Roman"/>
          <w:i/>
          <w:iCs/>
          <w:sz w:val="24"/>
          <w:szCs w:val="24"/>
        </w:rPr>
        <w:t>British Journal of Educational Studies</w:t>
      </w:r>
      <w:r w:rsidRPr="006706B5">
        <w:rPr>
          <w:rFonts w:ascii="Times New Roman" w:hAnsi="Times New Roman" w:cs="Times New Roman"/>
          <w:sz w:val="24"/>
          <w:szCs w:val="24"/>
        </w:rPr>
        <w:t>, </w:t>
      </w:r>
      <w:r w:rsidRPr="006706B5">
        <w:rPr>
          <w:rFonts w:ascii="Times New Roman" w:hAnsi="Times New Roman" w:cs="Times New Roman"/>
          <w:i/>
          <w:iCs/>
          <w:sz w:val="24"/>
          <w:szCs w:val="24"/>
        </w:rPr>
        <w:t>72</w:t>
      </w:r>
      <w:r w:rsidRPr="006706B5">
        <w:rPr>
          <w:rFonts w:ascii="Times New Roman" w:hAnsi="Times New Roman" w:cs="Times New Roman"/>
          <w:sz w:val="24"/>
          <w:szCs w:val="24"/>
        </w:rPr>
        <w:t xml:space="preserve">(3), 295–320. https://doi.org/10.1080/00071005.2023.2267657 </w:t>
      </w:r>
    </w:p>
    <w:p w14:paraId="757E9C21"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Sims, S., &amp; </w:t>
      </w:r>
      <w:proofErr w:type="spellStart"/>
      <w:r w:rsidRPr="006706B5">
        <w:rPr>
          <w:rFonts w:ascii="Times New Roman" w:hAnsi="Times New Roman" w:cs="Times New Roman"/>
          <w:sz w:val="24"/>
          <w:szCs w:val="24"/>
        </w:rPr>
        <w:t>Jerrim</w:t>
      </w:r>
      <w:proofErr w:type="spellEnd"/>
      <w:r w:rsidRPr="006706B5">
        <w:rPr>
          <w:rFonts w:ascii="Times New Roman" w:hAnsi="Times New Roman" w:cs="Times New Roman"/>
          <w:sz w:val="24"/>
          <w:szCs w:val="24"/>
        </w:rPr>
        <w:t>, J. (2020). TALIS 2018: Teacher working conditions, turnover and attrition. </w:t>
      </w:r>
      <w:hyperlink r:id="rId22" w:history="1">
        <w:r w:rsidRPr="006706B5">
          <w:rPr>
            <w:rStyle w:val="Hyperlink"/>
            <w:rFonts w:ascii="Times New Roman" w:hAnsi="Times New Roman" w:cs="Times New Roman"/>
            <w:color w:val="auto"/>
            <w:sz w:val="24"/>
            <w:szCs w:val="24"/>
          </w:rPr>
          <w:t>www.gov.uk/government/publications</w:t>
        </w:r>
      </w:hyperlink>
    </w:p>
    <w:p w14:paraId="1538A310"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Spencer, P., Harrop, S., Thomas, J., &amp; Cain, T. (2017). The professional development needs of early career teachers, and the extent to which they are met: a survey of teachers in England. Professional Development in Education, 44(1), 33–46. </w:t>
      </w:r>
      <w:hyperlink r:id="rId23" w:history="1">
        <w:r w:rsidRPr="006706B5">
          <w:rPr>
            <w:rStyle w:val="Hyperlink"/>
            <w:rFonts w:ascii="Times New Roman" w:hAnsi="Times New Roman" w:cs="Times New Roman"/>
            <w:color w:val="auto"/>
            <w:sz w:val="24"/>
            <w:szCs w:val="24"/>
          </w:rPr>
          <w:t>https://doi.org/10.1080/19415257.2017.1299028</w:t>
        </w:r>
      </w:hyperlink>
      <w:r w:rsidRPr="006706B5">
        <w:rPr>
          <w:rFonts w:ascii="Times New Roman" w:hAnsi="Times New Roman" w:cs="Times New Roman"/>
          <w:sz w:val="24"/>
          <w:szCs w:val="24"/>
        </w:rPr>
        <w:t xml:space="preserve"> </w:t>
      </w:r>
    </w:p>
    <w:p w14:paraId="38D46711" w14:textId="77777777" w:rsidR="00C93FC3" w:rsidRPr="006706B5" w:rsidRDefault="00C93FC3" w:rsidP="005E73A8">
      <w:pPr>
        <w:spacing w:line="480" w:lineRule="auto"/>
        <w:rPr>
          <w:rFonts w:ascii="Times New Roman" w:hAnsi="Times New Roman" w:cs="Times New Roman"/>
          <w:sz w:val="24"/>
          <w:szCs w:val="24"/>
        </w:rPr>
      </w:pPr>
      <w:proofErr w:type="spellStart"/>
      <w:r w:rsidRPr="006706B5">
        <w:rPr>
          <w:rFonts w:ascii="Times New Roman" w:hAnsi="Times New Roman" w:cs="Times New Roman"/>
          <w:sz w:val="24"/>
          <w:szCs w:val="24"/>
        </w:rPr>
        <w:lastRenderedPageBreak/>
        <w:t>Spicksley</w:t>
      </w:r>
      <w:proofErr w:type="spellEnd"/>
      <w:r w:rsidRPr="006706B5">
        <w:rPr>
          <w:rFonts w:ascii="Times New Roman" w:hAnsi="Times New Roman" w:cs="Times New Roman"/>
          <w:sz w:val="24"/>
          <w:szCs w:val="24"/>
        </w:rPr>
        <w:t>, K. (2023) Instructional coaching in the early career framework: ‘</w:t>
      </w:r>
      <w:proofErr w:type="spellStart"/>
      <w:r w:rsidRPr="006706B5">
        <w:rPr>
          <w:rFonts w:ascii="Times New Roman" w:hAnsi="Times New Roman" w:cs="Times New Roman"/>
          <w:sz w:val="24"/>
          <w:szCs w:val="24"/>
        </w:rPr>
        <w:t>judgementoring</w:t>
      </w:r>
      <w:proofErr w:type="spellEnd"/>
      <w:r w:rsidRPr="006706B5">
        <w:rPr>
          <w:rFonts w:ascii="Times New Roman" w:hAnsi="Times New Roman" w:cs="Times New Roman"/>
          <w:sz w:val="24"/>
          <w:szCs w:val="24"/>
        </w:rPr>
        <w:t xml:space="preserve">’ by another </w:t>
      </w:r>
      <w:proofErr w:type="gramStart"/>
      <w:r w:rsidRPr="006706B5">
        <w:rPr>
          <w:rFonts w:ascii="Times New Roman" w:hAnsi="Times New Roman" w:cs="Times New Roman"/>
          <w:sz w:val="24"/>
          <w:szCs w:val="24"/>
        </w:rPr>
        <w:t>name?,</w:t>
      </w:r>
      <w:proofErr w:type="gramEnd"/>
      <w:r w:rsidRPr="006706B5">
        <w:rPr>
          <w:rFonts w:ascii="Times New Roman" w:hAnsi="Times New Roman" w:cs="Times New Roman"/>
          <w:sz w:val="24"/>
          <w:szCs w:val="24"/>
        </w:rPr>
        <w:t> The Forum, 65 (2), 46–58.</w:t>
      </w:r>
    </w:p>
    <w:p w14:paraId="4782D13D"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Towers, E., Gewirtz, S., Maguire, M., &amp; Neumann, E. (2022). A profession in crisis? Teachers’ responses to England’s high-stakes accountability reforms in secondary education. Teaching and Teacher Education, 117, 103778.</w:t>
      </w:r>
    </w:p>
    <w:p w14:paraId="6F887394" w14:textId="4E6AF590" w:rsidR="002957FD" w:rsidRPr="006706B5" w:rsidRDefault="002957FD"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West, A., Mattei, P., &amp; Roberts, J. (2011). Accountability and Sanctions in English Schools. </w:t>
      </w:r>
      <w:r w:rsidRPr="006706B5">
        <w:rPr>
          <w:rFonts w:ascii="Times New Roman" w:hAnsi="Times New Roman" w:cs="Times New Roman"/>
          <w:i/>
          <w:iCs/>
          <w:sz w:val="24"/>
          <w:szCs w:val="24"/>
        </w:rPr>
        <w:t>British Journal of Educational Studies</w:t>
      </w:r>
      <w:r w:rsidRPr="006706B5">
        <w:rPr>
          <w:rFonts w:ascii="Times New Roman" w:hAnsi="Times New Roman" w:cs="Times New Roman"/>
          <w:sz w:val="24"/>
          <w:szCs w:val="24"/>
        </w:rPr>
        <w:t>, </w:t>
      </w:r>
      <w:r w:rsidRPr="006706B5">
        <w:rPr>
          <w:rFonts w:ascii="Times New Roman" w:hAnsi="Times New Roman" w:cs="Times New Roman"/>
          <w:i/>
          <w:iCs/>
          <w:sz w:val="24"/>
          <w:szCs w:val="24"/>
        </w:rPr>
        <w:t>59</w:t>
      </w:r>
      <w:r w:rsidRPr="006706B5">
        <w:rPr>
          <w:rFonts w:ascii="Times New Roman" w:hAnsi="Times New Roman" w:cs="Times New Roman"/>
          <w:sz w:val="24"/>
          <w:szCs w:val="24"/>
        </w:rPr>
        <w:t xml:space="preserve">(1), 41–62. https://doi.org/10.1080/00071005.2010.529416 </w:t>
      </w:r>
    </w:p>
    <w:p w14:paraId="00A1F7BE" w14:textId="77777777" w:rsidR="00C93FC3" w:rsidRPr="006706B5" w:rsidRDefault="00C93FC3" w:rsidP="005E73A8">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t>Table and figure</w:t>
      </w:r>
    </w:p>
    <w:p w14:paraId="60A9DAAF" w14:textId="77777777" w:rsidR="00C93FC3" w:rsidRPr="006706B5" w:rsidRDefault="00C93FC3" w:rsidP="005E73A8">
      <w:pPr>
        <w:pStyle w:val="Heading2"/>
        <w:spacing w:line="480" w:lineRule="auto"/>
        <w:rPr>
          <w:rFonts w:ascii="Times New Roman" w:hAnsi="Times New Roman" w:cs="Times New Roman"/>
          <w:color w:val="auto"/>
          <w:sz w:val="24"/>
          <w:szCs w:val="24"/>
        </w:rPr>
      </w:pPr>
      <w:r w:rsidRPr="006706B5">
        <w:rPr>
          <w:rFonts w:ascii="Times New Roman" w:hAnsi="Times New Roman" w:cs="Times New Roman"/>
          <w:color w:val="auto"/>
          <w:sz w:val="24"/>
          <w:szCs w:val="24"/>
        </w:rPr>
        <w:t>Table 1: Distribution of the interviewed participants</w:t>
      </w:r>
    </w:p>
    <w:tbl>
      <w:tblPr>
        <w:tblStyle w:val="TableGrid"/>
        <w:tblW w:w="0" w:type="auto"/>
        <w:tblLook w:val="04A0" w:firstRow="1" w:lastRow="0" w:firstColumn="1" w:lastColumn="0" w:noHBand="0" w:noVBand="1"/>
      </w:tblPr>
      <w:tblGrid>
        <w:gridCol w:w="2084"/>
        <w:gridCol w:w="1376"/>
        <w:gridCol w:w="1408"/>
        <w:gridCol w:w="2518"/>
        <w:gridCol w:w="1630"/>
      </w:tblGrid>
      <w:tr w:rsidR="006706B5" w:rsidRPr="006706B5" w14:paraId="1298FAB8" w14:textId="77777777" w:rsidTr="00E93304">
        <w:tc>
          <w:tcPr>
            <w:tcW w:w="2099" w:type="dxa"/>
            <w:vMerge w:val="restart"/>
          </w:tcPr>
          <w:p w14:paraId="6F376149" w14:textId="77777777" w:rsidR="00C93FC3" w:rsidRPr="006706B5" w:rsidRDefault="00C93FC3" w:rsidP="005E73A8">
            <w:pPr>
              <w:spacing w:line="480" w:lineRule="auto"/>
              <w:rPr>
                <w:rFonts w:ascii="Times New Roman" w:hAnsi="Times New Roman" w:cs="Times New Roman"/>
                <w:b/>
                <w:bCs/>
                <w:sz w:val="24"/>
                <w:szCs w:val="24"/>
              </w:rPr>
            </w:pPr>
            <w:r w:rsidRPr="006706B5">
              <w:rPr>
                <w:rFonts w:ascii="Times New Roman" w:hAnsi="Times New Roman" w:cs="Times New Roman"/>
                <w:b/>
                <w:bCs/>
                <w:sz w:val="24"/>
                <w:szCs w:val="24"/>
              </w:rPr>
              <w:t>School type</w:t>
            </w:r>
          </w:p>
        </w:tc>
        <w:tc>
          <w:tcPr>
            <w:tcW w:w="6917" w:type="dxa"/>
            <w:gridSpan w:val="4"/>
          </w:tcPr>
          <w:p w14:paraId="3A9C2089" w14:textId="77777777" w:rsidR="00C93FC3" w:rsidRPr="006706B5" w:rsidRDefault="00C93FC3" w:rsidP="005E73A8">
            <w:pPr>
              <w:spacing w:line="480" w:lineRule="auto"/>
              <w:jc w:val="center"/>
              <w:rPr>
                <w:rFonts w:ascii="Times New Roman" w:hAnsi="Times New Roman" w:cs="Times New Roman"/>
                <w:b/>
                <w:bCs/>
                <w:sz w:val="24"/>
                <w:szCs w:val="24"/>
              </w:rPr>
            </w:pPr>
            <w:r w:rsidRPr="006706B5">
              <w:rPr>
                <w:rFonts w:ascii="Times New Roman" w:hAnsi="Times New Roman" w:cs="Times New Roman"/>
                <w:b/>
                <w:bCs/>
                <w:sz w:val="24"/>
                <w:szCs w:val="24"/>
              </w:rPr>
              <w:t>Participants of the ECT programme</w:t>
            </w:r>
          </w:p>
        </w:tc>
      </w:tr>
      <w:tr w:rsidR="006706B5" w:rsidRPr="006706B5" w14:paraId="38A9E245" w14:textId="77777777" w:rsidTr="00E93304">
        <w:tc>
          <w:tcPr>
            <w:tcW w:w="2099" w:type="dxa"/>
            <w:vMerge/>
          </w:tcPr>
          <w:p w14:paraId="11D71B3F" w14:textId="77777777" w:rsidR="00C93FC3" w:rsidRPr="006706B5" w:rsidRDefault="00C93FC3" w:rsidP="005E73A8">
            <w:pPr>
              <w:spacing w:line="480" w:lineRule="auto"/>
              <w:rPr>
                <w:rFonts w:ascii="Times New Roman" w:hAnsi="Times New Roman" w:cs="Times New Roman"/>
                <w:b/>
                <w:bCs/>
                <w:sz w:val="24"/>
                <w:szCs w:val="24"/>
              </w:rPr>
            </w:pPr>
          </w:p>
        </w:tc>
        <w:tc>
          <w:tcPr>
            <w:tcW w:w="1298" w:type="dxa"/>
          </w:tcPr>
          <w:p w14:paraId="043CEE6C"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Coordinator</w:t>
            </w:r>
          </w:p>
        </w:tc>
        <w:tc>
          <w:tcPr>
            <w:tcW w:w="1418" w:type="dxa"/>
          </w:tcPr>
          <w:p w14:paraId="309350FE"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Mentor</w:t>
            </w:r>
          </w:p>
        </w:tc>
        <w:tc>
          <w:tcPr>
            <w:tcW w:w="2551" w:type="dxa"/>
          </w:tcPr>
          <w:p w14:paraId="1E96FD1D"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Early Career Teacher</w:t>
            </w:r>
          </w:p>
        </w:tc>
        <w:tc>
          <w:tcPr>
            <w:tcW w:w="1650" w:type="dxa"/>
          </w:tcPr>
          <w:p w14:paraId="2178F709"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Total </w:t>
            </w:r>
          </w:p>
        </w:tc>
      </w:tr>
      <w:tr w:rsidR="006706B5" w:rsidRPr="006706B5" w14:paraId="302C445C" w14:textId="77777777" w:rsidTr="00E93304">
        <w:tc>
          <w:tcPr>
            <w:tcW w:w="2099" w:type="dxa"/>
          </w:tcPr>
          <w:p w14:paraId="685A4E46" w14:textId="77777777" w:rsidR="00C93FC3" w:rsidRPr="006706B5" w:rsidRDefault="00C93FC3" w:rsidP="005E73A8">
            <w:pPr>
              <w:spacing w:line="480" w:lineRule="auto"/>
              <w:rPr>
                <w:rFonts w:ascii="Times New Roman" w:hAnsi="Times New Roman" w:cs="Times New Roman"/>
                <w:b/>
                <w:bCs/>
                <w:sz w:val="24"/>
                <w:szCs w:val="24"/>
              </w:rPr>
            </w:pPr>
            <w:bookmarkStart w:id="7" w:name="_Hlk177629583"/>
            <w:r w:rsidRPr="006706B5">
              <w:rPr>
                <w:rFonts w:ascii="Times New Roman" w:hAnsi="Times New Roman" w:cs="Times New Roman"/>
                <w:sz w:val="24"/>
                <w:szCs w:val="24"/>
              </w:rPr>
              <w:t xml:space="preserve">Faith-based </w:t>
            </w:r>
          </w:p>
        </w:tc>
        <w:tc>
          <w:tcPr>
            <w:tcW w:w="1298" w:type="dxa"/>
          </w:tcPr>
          <w:p w14:paraId="6B79D222"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1</w:t>
            </w:r>
          </w:p>
        </w:tc>
        <w:tc>
          <w:tcPr>
            <w:tcW w:w="1418" w:type="dxa"/>
          </w:tcPr>
          <w:p w14:paraId="3B7F421C"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2</w:t>
            </w:r>
          </w:p>
        </w:tc>
        <w:tc>
          <w:tcPr>
            <w:tcW w:w="2551" w:type="dxa"/>
          </w:tcPr>
          <w:p w14:paraId="1C180B69"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4</w:t>
            </w:r>
          </w:p>
        </w:tc>
        <w:tc>
          <w:tcPr>
            <w:tcW w:w="1650" w:type="dxa"/>
          </w:tcPr>
          <w:p w14:paraId="617A6973"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7</w:t>
            </w:r>
          </w:p>
        </w:tc>
      </w:tr>
      <w:tr w:rsidR="006706B5" w:rsidRPr="006706B5" w14:paraId="2C64B5C2" w14:textId="77777777" w:rsidTr="00E93304">
        <w:tc>
          <w:tcPr>
            <w:tcW w:w="2099" w:type="dxa"/>
          </w:tcPr>
          <w:p w14:paraId="2D474042" w14:textId="77777777" w:rsidR="00C93FC3" w:rsidRPr="006706B5" w:rsidRDefault="00C93FC3" w:rsidP="005E73A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Independent</w:t>
            </w:r>
          </w:p>
        </w:tc>
        <w:tc>
          <w:tcPr>
            <w:tcW w:w="1298" w:type="dxa"/>
          </w:tcPr>
          <w:p w14:paraId="2178FEB8"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1</w:t>
            </w:r>
          </w:p>
        </w:tc>
        <w:tc>
          <w:tcPr>
            <w:tcW w:w="1418" w:type="dxa"/>
          </w:tcPr>
          <w:p w14:paraId="39D08B0C"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3</w:t>
            </w:r>
          </w:p>
        </w:tc>
        <w:tc>
          <w:tcPr>
            <w:tcW w:w="2551" w:type="dxa"/>
          </w:tcPr>
          <w:p w14:paraId="107319AA"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2</w:t>
            </w:r>
          </w:p>
        </w:tc>
        <w:tc>
          <w:tcPr>
            <w:tcW w:w="1650" w:type="dxa"/>
          </w:tcPr>
          <w:p w14:paraId="2AAC3B1E"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6</w:t>
            </w:r>
          </w:p>
        </w:tc>
      </w:tr>
      <w:tr w:rsidR="006706B5" w:rsidRPr="006706B5" w14:paraId="61B0F4A2" w14:textId="77777777" w:rsidTr="00E93304">
        <w:tc>
          <w:tcPr>
            <w:tcW w:w="2099" w:type="dxa"/>
          </w:tcPr>
          <w:p w14:paraId="2E9D8E5F" w14:textId="77777777" w:rsidR="00C93FC3" w:rsidRPr="006706B5" w:rsidRDefault="00C93FC3" w:rsidP="005E73A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Local Authority</w:t>
            </w:r>
          </w:p>
        </w:tc>
        <w:tc>
          <w:tcPr>
            <w:tcW w:w="1298" w:type="dxa"/>
          </w:tcPr>
          <w:p w14:paraId="6D6BA382"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2</w:t>
            </w:r>
          </w:p>
        </w:tc>
        <w:tc>
          <w:tcPr>
            <w:tcW w:w="1418" w:type="dxa"/>
          </w:tcPr>
          <w:p w14:paraId="556C99A0"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6</w:t>
            </w:r>
          </w:p>
        </w:tc>
        <w:tc>
          <w:tcPr>
            <w:tcW w:w="2551" w:type="dxa"/>
          </w:tcPr>
          <w:p w14:paraId="424E8271"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6</w:t>
            </w:r>
          </w:p>
        </w:tc>
        <w:tc>
          <w:tcPr>
            <w:tcW w:w="1650" w:type="dxa"/>
          </w:tcPr>
          <w:p w14:paraId="58EEF16E"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14</w:t>
            </w:r>
          </w:p>
        </w:tc>
      </w:tr>
      <w:tr w:rsidR="006706B5" w:rsidRPr="006706B5" w14:paraId="0C2B6308" w14:textId="77777777" w:rsidTr="00E93304">
        <w:tc>
          <w:tcPr>
            <w:tcW w:w="2099" w:type="dxa"/>
          </w:tcPr>
          <w:p w14:paraId="5CA5C55D" w14:textId="7BF29D32" w:rsidR="00C93FC3" w:rsidRPr="006706B5" w:rsidRDefault="00C93FC3" w:rsidP="005E73A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Multi</w:t>
            </w:r>
            <w:r w:rsidR="007B1487">
              <w:rPr>
                <w:rFonts w:ascii="Times New Roman" w:hAnsi="Times New Roman" w:cs="Times New Roman"/>
                <w:sz w:val="24"/>
                <w:szCs w:val="24"/>
              </w:rPr>
              <w:t>-</w:t>
            </w:r>
            <w:r w:rsidRPr="006706B5">
              <w:rPr>
                <w:rFonts w:ascii="Times New Roman" w:hAnsi="Times New Roman" w:cs="Times New Roman"/>
                <w:sz w:val="24"/>
                <w:szCs w:val="24"/>
              </w:rPr>
              <w:t xml:space="preserve">Academy Trust </w:t>
            </w:r>
          </w:p>
        </w:tc>
        <w:tc>
          <w:tcPr>
            <w:tcW w:w="1298" w:type="dxa"/>
          </w:tcPr>
          <w:p w14:paraId="5E916ACF"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1</w:t>
            </w:r>
          </w:p>
        </w:tc>
        <w:tc>
          <w:tcPr>
            <w:tcW w:w="1418" w:type="dxa"/>
          </w:tcPr>
          <w:p w14:paraId="0BBB61DE"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4</w:t>
            </w:r>
          </w:p>
        </w:tc>
        <w:tc>
          <w:tcPr>
            <w:tcW w:w="2551" w:type="dxa"/>
          </w:tcPr>
          <w:p w14:paraId="2EA62CE2"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4</w:t>
            </w:r>
          </w:p>
        </w:tc>
        <w:tc>
          <w:tcPr>
            <w:tcW w:w="1650" w:type="dxa"/>
          </w:tcPr>
          <w:p w14:paraId="3814AC86"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9</w:t>
            </w:r>
          </w:p>
        </w:tc>
      </w:tr>
      <w:bookmarkEnd w:id="7"/>
      <w:tr w:rsidR="006706B5" w:rsidRPr="006706B5" w14:paraId="532D29E1" w14:textId="77777777" w:rsidTr="00E93304">
        <w:tc>
          <w:tcPr>
            <w:tcW w:w="2099" w:type="dxa"/>
          </w:tcPr>
          <w:p w14:paraId="7782CEEB" w14:textId="77777777" w:rsidR="00C93FC3" w:rsidRPr="006706B5" w:rsidRDefault="00C93FC3" w:rsidP="005E73A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Total</w:t>
            </w:r>
          </w:p>
        </w:tc>
        <w:tc>
          <w:tcPr>
            <w:tcW w:w="1298" w:type="dxa"/>
          </w:tcPr>
          <w:p w14:paraId="7049033B"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5</w:t>
            </w:r>
          </w:p>
        </w:tc>
        <w:tc>
          <w:tcPr>
            <w:tcW w:w="1418" w:type="dxa"/>
          </w:tcPr>
          <w:p w14:paraId="3C0DE3FF"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15</w:t>
            </w:r>
          </w:p>
        </w:tc>
        <w:tc>
          <w:tcPr>
            <w:tcW w:w="2551" w:type="dxa"/>
          </w:tcPr>
          <w:p w14:paraId="7BF08753"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16</w:t>
            </w:r>
          </w:p>
        </w:tc>
        <w:tc>
          <w:tcPr>
            <w:tcW w:w="1650" w:type="dxa"/>
          </w:tcPr>
          <w:p w14:paraId="55846540" w14:textId="77777777" w:rsidR="00C93FC3" w:rsidRPr="006706B5" w:rsidRDefault="00C93FC3" w:rsidP="005E73A8">
            <w:pPr>
              <w:spacing w:line="480" w:lineRule="auto"/>
              <w:rPr>
                <w:rFonts w:ascii="Times New Roman" w:hAnsi="Times New Roman" w:cs="Times New Roman"/>
                <w:sz w:val="24"/>
                <w:szCs w:val="24"/>
              </w:rPr>
            </w:pPr>
            <w:r w:rsidRPr="006706B5">
              <w:rPr>
                <w:rFonts w:ascii="Times New Roman" w:hAnsi="Times New Roman" w:cs="Times New Roman"/>
                <w:sz w:val="24"/>
                <w:szCs w:val="24"/>
              </w:rPr>
              <w:t>36</w:t>
            </w:r>
          </w:p>
        </w:tc>
      </w:tr>
    </w:tbl>
    <w:p w14:paraId="5D4D5231" w14:textId="77777777" w:rsidR="0007694E" w:rsidRPr="006706B5" w:rsidRDefault="0007694E" w:rsidP="0007694E">
      <w:pPr>
        <w:pStyle w:val="Heading1"/>
        <w:spacing w:line="480" w:lineRule="auto"/>
        <w:rPr>
          <w:rFonts w:ascii="Times New Roman" w:hAnsi="Times New Roman" w:cs="Times New Roman"/>
          <w:b/>
          <w:bCs/>
          <w:color w:val="auto"/>
          <w:sz w:val="24"/>
          <w:szCs w:val="24"/>
        </w:rPr>
      </w:pPr>
      <w:r w:rsidRPr="006706B5">
        <w:rPr>
          <w:rFonts w:ascii="Times New Roman" w:hAnsi="Times New Roman" w:cs="Times New Roman"/>
          <w:b/>
          <w:bCs/>
          <w:color w:val="auto"/>
          <w:sz w:val="24"/>
          <w:szCs w:val="24"/>
        </w:rPr>
        <w:t>Table and figure</w:t>
      </w:r>
    </w:p>
    <w:p w14:paraId="7A5701B5" w14:textId="77777777" w:rsidR="0007694E" w:rsidRPr="006706B5" w:rsidRDefault="0007694E" w:rsidP="0007694E">
      <w:pPr>
        <w:pStyle w:val="Heading2"/>
        <w:spacing w:line="480" w:lineRule="auto"/>
        <w:rPr>
          <w:rFonts w:ascii="Times New Roman" w:hAnsi="Times New Roman" w:cs="Times New Roman"/>
          <w:color w:val="auto"/>
          <w:sz w:val="24"/>
          <w:szCs w:val="24"/>
        </w:rPr>
      </w:pPr>
      <w:r w:rsidRPr="006706B5">
        <w:rPr>
          <w:rFonts w:ascii="Times New Roman" w:hAnsi="Times New Roman" w:cs="Times New Roman"/>
          <w:color w:val="auto"/>
          <w:sz w:val="24"/>
          <w:szCs w:val="24"/>
        </w:rPr>
        <w:t>Table 1: Distribution of the interviewed participants</w:t>
      </w:r>
    </w:p>
    <w:tbl>
      <w:tblPr>
        <w:tblStyle w:val="TableGrid"/>
        <w:tblW w:w="0" w:type="auto"/>
        <w:tblLook w:val="04A0" w:firstRow="1" w:lastRow="0" w:firstColumn="1" w:lastColumn="0" w:noHBand="0" w:noVBand="1"/>
      </w:tblPr>
      <w:tblGrid>
        <w:gridCol w:w="2084"/>
        <w:gridCol w:w="1376"/>
        <w:gridCol w:w="1408"/>
        <w:gridCol w:w="2518"/>
        <w:gridCol w:w="1630"/>
      </w:tblGrid>
      <w:tr w:rsidR="006706B5" w:rsidRPr="006706B5" w14:paraId="51CC862C" w14:textId="77777777" w:rsidTr="002A6E08">
        <w:tc>
          <w:tcPr>
            <w:tcW w:w="2099" w:type="dxa"/>
            <w:vMerge w:val="restart"/>
          </w:tcPr>
          <w:p w14:paraId="76E969C6" w14:textId="77777777" w:rsidR="0007694E" w:rsidRPr="006706B5" w:rsidRDefault="0007694E" w:rsidP="002A6E08">
            <w:pPr>
              <w:spacing w:line="480" w:lineRule="auto"/>
              <w:rPr>
                <w:rFonts w:ascii="Times New Roman" w:hAnsi="Times New Roman" w:cs="Times New Roman"/>
                <w:b/>
                <w:bCs/>
                <w:sz w:val="24"/>
                <w:szCs w:val="24"/>
              </w:rPr>
            </w:pPr>
            <w:r w:rsidRPr="006706B5">
              <w:rPr>
                <w:rFonts w:ascii="Times New Roman" w:hAnsi="Times New Roman" w:cs="Times New Roman"/>
                <w:b/>
                <w:bCs/>
                <w:sz w:val="24"/>
                <w:szCs w:val="24"/>
              </w:rPr>
              <w:t>School type</w:t>
            </w:r>
          </w:p>
        </w:tc>
        <w:tc>
          <w:tcPr>
            <w:tcW w:w="6917" w:type="dxa"/>
            <w:gridSpan w:val="4"/>
          </w:tcPr>
          <w:p w14:paraId="738BB5DB" w14:textId="77777777" w:rsidR="0007694E" w:rsidRPr="006706B5" w:rsidRDefault="0007694E" w:rsidP="002A6E08">
            <w:pPr>
              <w:spacing w:line="480" w:lineRule="auto"/>
              <w:jc w:val="center"/>
              <w:rPr>
                <w:rFonts w:ascii="Times New Roman" w:hAnsi="Times New Roman" w:cs="Times New Roman"/>
                <w:b/>
                <w:bCs/>
                <w:sz w:val="24"/>
                <w:szCs w:val="24"/>
              </w:rPr>
            </w:pPr>
            <w:r w:rsidRPr="006706B5">
              <w:rPr>
                <w:rFonts w:ascii="Times New Roman" w:hAnsi="Times New Roman" w:cs="Times New Roman"/>
                <w:b/>
                <w:bCs/>
                <w:sz w:val="24"/>
                <w:szCs w:val="24"/>
              </w:rPr>
              <w:t>Participants of the ECT programme</w:t>
            </w:r>
          </w:p>
        </w:tc>
      </w:tr>
      <w:tr w:rsidR="006706B5" w:rsidRPr="006706B5" w14:paraId="0622F640" w14:textId="77777777" w:rsidTr="002A6E08">
        <w:tc>
          <w:tcPr>
            <w:tcW w:w="2099" w:type="dxa"/>
            <w:vMerge/>
          </w:tcPr>
          <w:p w14:paraId="2E442A51" w14:textId="77777777" w:rsidR="0007694E" w:rsidRPr="006706B5" w:rsidRDefault="0007694E" w:rsidP="002A6E08">
            <w:pPr>
              <w:spacing w:line="480" w:lineRule="auto"/>
              <w:rPr>
                <w:rFonts w:ascii="Times New Roman" w:hAnsi="Times New Roman" w:cs="Times New Roman"/>
                <w:b/>
                <w:bCs/>
                <w:sz w:val="24"/>
                <w:szCs w:val="24"/>
              </w:rPr>
            </w:pPr>
          </w:p>
        </w:tc>
        <w:tc>
          <w:tcPr>
            <w:tcW w:w="1298" w:type="dxa"/>
          </w:tcPr>
          <w:p w14:paraId="08182139"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Coordinator</w:t>
            </w:r>
          </w:p>
        </w:tc>
        <w:tc>
          <w:tcPr>
            <w:tcW w:w="1418" w:type="dxa"/>
          </w:tcPr>
          <w:p w14:paraId="20BF393D"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Mentor</w:t>
            </w:r>
          </w:p>
        </w:tc>
        <w:tc>
          <w:tcPr>
            <w:tcW w:w="2551" w:type="dxa"/>
          </w:tcPr>
          <w:p w14:paraId="63038F1B"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Early Career Teacher</w:t>
            </w:r>
          </w:p>
        </w:tc>
        <w:tc>
          <w:tcPr>
            <w:tcW w:w="1650" w:type="dxa"/>
          </w:tcPr>
          <w:p w14:paraId="1A95F69F"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Total </w:t>
            </w:r>
          </w:p>
        </w:tc>
      </w:tr>
      <w:tr w:rsidR="006706B5" w:rsidRPr="006706B5" w14:paraId="65DDA806" w14:textId="77777777" w:rsidTr="002A6E08">
        <w:tc>
          <w:tcPr>
            <w:tcW w:w="2099" w:type="dxa"/>
          </w:tcPr>
          <w:p w14:paraId="064DA97B" w14:textId="77777777" w:rsidR="0007694E" w:rsidRPr="006706B5" w:rsidRDefault="0007694E" w:rsidP="002A6E0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lastRenderedPageBreak/>
              <w:t xml:space="preserve">Faith-based </w:t>
            </w:r>
          </w:p>
        </w:tc>
        <w:tc>
          <w:tcPr>
            <w:tcW w:w="1298" w:type="dxa"/>
          </w:tcPr>
          <w:p w14:paraId="6C6B77F2"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1</w:t>
            </w:r>
          </w:p>
        </w:tc>
        <w:tc>
          <w:tcPr>
            <w:tcW w:w="1418" w:type="dxa"/>
          </w:tcPr>
          <w:p w14:paraId="71E57BD1"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2</w:t>
            </w:r>
          </w:p>
        </w:tc>
        <w:tc>
          <w:tcPr>
            <w:tcW w:w="2551" w:type="dxa"/>
          </w:tcPr>
          <w:p w14:paraId="0BCBF957"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4</w:t>
            </w:r>
          </w:p>
        </w:tc>
        <w:tc>
          <w:tcPr>
            <w:tcW w:w="1650" w:type="dxa"/>
          </w:tcPr>
          <w:p w14:paraId="2B292E30"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7</w:t>
            </w:r>
          </w:p>
        </w:tc>
      </w:tr>
      <w:tr w:rsidR="006706B5" w:rsidRPr="006706B5" w14:paraId="315D0E05" w14:textId="77777777" w:rsidTr="002A6E08">
        <w:tc>
          <w:tcPr>
            <w:tcW w:w="2099" w:type="dxa"/>
          </w:tcPr>
          <w:p w14:paraId="0383DE0D" w14:textId="77777777" w:rsidR="0007694E" w:rsidRPr="006706B5" w:rsidRDefault="0007694E" w:rsidP="002A6E0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Independent</w:t>
            </w:r>
          </w:p>
        </w:tc>
        <w:tc>
          <w:tcPr>
            <w:tcW w:w="1298" w:type="dxa"/>
          </w:tcPr>
          <w:p w14:paraId="74EA5377"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1</w:t>
            </w:r>
          </w:p>
        </w:tc>
        <w:tc>
          <w:tcPr>
            <w:tcW w:w="1418" w:type="dxa"/>
          </w:tcPr>
          <w:p w14:paraId="5C90E5A7"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3</w:t>
            </w:r>
          </w:p>
        </w:tc>
        <w:tc>
          <w:tcPr>
            <w:tcW w:w="2551" w:type="dxa"/>
          </w:tcPr>
          <w:p w14:paraId="3DC72763"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2</w:t>
            </w:r>
          </w:p>
        </w:tc>
        <w:tc>
          <w:tcPr>
            <w:tcW w:w="1650" w:type="dxa"/>
          </w:tcPr>
          <w:p w14:paraId="1C3ED423"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6</w:t>
            </w:r>
          </w:p>
        </w:tc>
      </w:tr>
      <w:tr w:rsidR="006706B5" w:rsidRPr="006706B5" w14:paraId="5D2A9426" w14:textId="77777777" w:rsidTr="002A6E08">
        <w:tc>
          <w:tcPr>
            <w:tcW w:w="2099" w:type="dxa"/>
          </w:tcPr>
          <w:p w14:paraId="59EF9E59" w14:textId="77777777" w:rsidR="0007694E" w:rsidRPr="006706B5" w:rsidRDefault="0007694E" w:rsidP="002A6E0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Local Authority</w:t>
            </w:r>
          </w:p>
        </w:tc>
        <w:tc>
          <w:tcPr>
            <w:tcW w:w="1298" w:type="dxa"/>
          </w:tcPr>
          <w:p w14:paraId="589A8F94"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2</w:t>
            </w:r>
          </w:p>
        </w:tc>
        <w:tc>
          <w:tcPr>
            <w:tcW w:w="1418" w:type="dxa"/>
          </w:tcPr>
          <w:p w14:paraId="3C82F30A"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6</w:t>
            </w:r>
          </w:p>
        </w:tc>
        <w:tc>
          <w:tcPr>
            <w:tcW w:w="2551" w:type="dxa"/>
          </w:tcPr>
          <w:p w14:paraId="06B28B0C"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6</w:t>
            </w:r>
          </w:p>
        </w:tc>
        <w:tc>
          <w:tcPr>
            <w:tcW w:w="1650" w:type="dxa"/>
          </w:tcPr>
          <w:p w14:paraId="0A8CF89F"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14</w:t>
            </w:r>
          </w:p>
        </w:tc>
      </w:tr>
      <w:tr w:rsidR="006706B5" w:rsidRPr="006706B5" w14:paraId="15100E59" w14:textId="77777777" w:rsidTr="002A6E08">
        <w:tc>
          <w:tcPr>
            <w:tcW w:w="2099" w:type="dxa"/>
          </w:tcPr>
          <w:p w14:paraId="45824BF9" w14:textId="77777777" w:rsidR="0007694E" w:rsidRPr="006706B5" w:rsidRDefault="0007694E" w:rsidP="002A6E0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 xml:space="preserve">Multi-Academy Trust </w:t>
            </w:r>
          </w:p>
        </w:tc>
        <w:tc>
          <w:tcPr>
            <w:tcW w:w="1298" w:type="dxa"/>
          </w:tcPr>
          <w:p w14:paraId="32A964F4"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1</w:t>
            </w:r>
          </w:p>
        </w:tc>
        <w:tc>
          <w:tcPr>
            <w:tcW w:w="1418" w:type="dxa"/>
          </w:tcPr>
          <w:p w14:paraId="2792A1C9"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4</w:t>
            </w:r>
          </w:p>
        </w:tc>
        <w:tc>
          <w:tcPr>
            <w:tcW w:w="2551" w:type="dxa"/>
          </w:tcPr>
          <w:p w14:paraId="3F5557E3"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4</w:t>
            </w:r>
          </w:p>
        </w:tc>
        <w:tc>
          <w:tcPr>
            <w:tcW w:w="1650" w:type="dxa"/>
          </w:tcPr>
          <w:p w14:paraId="48197E53"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9</w:t>
            </w:r>
          </w:p>
        </w:tc>
      </w:tr>
      <w:tr w:rsidR="0007694E" w:rsidRPr="006706B5" w14:paraId="6A9074A6" w14:textId="77777777" w:rsidTr="002A6E08">
        <w:tc>
          <w:tcPr>
            <w:tcW w:w="2099" w:type="dxa"/>
          </w:tcPr>
          <w:p w14:paraId="240317CB" w14:textId="77777777" w:rsidR="0007694E" w:rsidRPr="006706B5" w:rsidRDefault="0007694E" w:rsidP="002A6E08">
            <w:pPr>
              <w:spacing w:line="480" w:lineRule="auto"/>
              <w:rPr>
                <w:rFonts w:ascii="Times New Roman" w:hAnsi="Times New Roman" w:cs="Times New Roman"/>
                <w:b/>
                <w:bCs/>
                <w:sz w:val="24"/>
                <w:szCs w:val="24"/>
              </w:rPr>
            </w:pPr>
            <w:r w:rsidRPr="006706B5">
              <w:rPr>
                <w:rFonts w:ascii="Times New Roman" w:hAnsi="Times New Roman" w:cs="Times New Roman"/>
                <w:sz w:val="24"/>
                <w:szCs w:val="24"/>
              </w:rPr>
              <w:t>Total</w:t>
            </w:r>
          </w:p>
        </w:tc>
        <w:tc>
          <w:tcPr>
            <w:tcW w:w="1298" w:type="dxa"/>
          </w:tcPr>
          <w:p w14:paraId="25B487B6"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5</w:t>
            </w:r>
          </w:p>
        </w:tc>
        <w:tc>
          <w:tcPr>
            <w:tcW w:w="1418" w:type="dxa"/>
          </w:tcPr>
          <w:p w14:paraId="19C7171A"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15</w:t>
            </w:r>
          </w:p>
        </w:tc>
        <w:tc>
          <w:tcPr>
            <w:tcW w:w="2551" w:type="dxa"/>
          </w:tcPr>
          <w:p w14:paraId="05CE0CF3"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16</w:t>
            </w:r>
          </w:p>
        </w:tc>
        <w:tc>
          <w:tcPr>
            <w:tcW w:w="1650" w:type="dxa"/>
          </w:tcPr>
          <w:p w14:paraId="4CD38B36"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sz w:val="24"/>
                <w:szCs w:val="24"/>
              </w:rPr>
              <w:t>36</w:t>
            </w:r>
          </w:p>
        </w:tc>
      </w:tr>
    </w:tbl>
    <w:p w14:paraId="42D802EF" w14:textId="77777777" w:rsidR="0007694E" w:rsidRPr="006706B5" w:rsidRDefault="0007694E" w:rsidP="0007694E">
      <w:pPr>
        <w:spacing w:line="480" w:lineRule="auto"/>
        <w:rPr>
          <w:rFonts w:ascii="Times New Roman" w:hAnsi="Times New Roman" w:cs="Times New Roman"/>
          <w:sz w:val="24"/>
          <w:szCs w:val="24"/>
        </w:rPr>
      </w:pPr>
    </w:p>
    <w:p w14:paraId="73F5639D" w14:textId="77777777" w:rsidR="0007694E" w:rsidRPr="006706B5" w:rsidRDefault="0007694E" w:rsidP="0007694E">
      <w:pPr>
        <w:pStyle w:val="Heading2"/>
        <w:spacing w:line="480" w:lineRule="auto"/>
        <w:rPr>
          <w:rFonts w:ascii="Times New Roman" w:hAnsi="Times New Roman" w:cs="Times New Roman"/>
          <w:color w:val="auto"/>
          <w:sz w:val="24"/>
          <w:szCs w:val="24"/>
        </w:rPr>
      </w:pPr>
      <w:r w:rsidRPr="006706B5">
        <w:rPr>
          <w:rFonts w:ascii="Times New Roman" w:hAnsi="Times New Roman" w:cs="Times New Roman"/>
          <w:color w:val="auto"/>
          <w:sz w:val="24"/>
          <w:szCs w:val="24"/>
        </w:rPr>
        <w:t>Figure 1: Embeddedness of ECT programme in school context</w:t>
      </w:r>
    </w:p>
    <w:tbl>
      <w:tblPr>
        <w:tblStyle w:val="TableGrid"/>
        <w:tblW w:w="0" w:type="auto"/>
        <w:jc w:val="center"/>
        <w:tblLook w:val="04A0" w:firstRow="1" w:lastRow="0" w:firstColumn="1" w:lastColumn="0" w:noHBand="0" w:noVBand="1"/>
      </w:tblPr>
      <w:tblGrid>
        <w:gridCol w:w="4236"/>
        <w:gridCol w:w="4078"/>
      </w:tblGrid>
      <w:tr w:rsidR="006706B5" w:rsidRPr="006706B5" w14:paraId="0D711571" w14:textId="77777777" w:rsidTr="002A6E08">
        <w:trPr>
          <w:trHeight w:val="3084"/>
          <w:jc w:val="center"/>
        </w:trPr>
        <w:tc>
          <w:tcPr>
            <w:tcW w:w="4236" w:type="dxa"/>
          </w:tcPr>
          <w:p w14:paraId="27FB613E"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noProof/>
                <w:sz w:val="24"/>
                <w:szCs w:val="24"/>
              </w:rPr>
              <w:drawing>
                <wp:inline distT="0" distB="0" distL="0" distR="0" wp14:anchorId="39CF1301" wp14:editId="5818E51A">
                  <wp:extent cx="2381534" cy="1999397"/>
                  <wp:effectExtent l="0" t="0" r="0" b="12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1CE4DE1" w14:textId="77777777" w:rsidR="0007694E" w:rsidRPr="006706B5" w:rsidRDefault="0007694E" w:rsidP="002A6E08">
            <w:pPr>
              <w:pStyle w:val="ListParagraph"/>
              <w:numPr>
                <w:ilvl w:val="1"/>
                <w:numId w:val="3"/>
              </w:numPr>
              <w:spacing w:line="480" w:lineRule="auto"/>
              <w:jc w:val="center"/>
              <w:rPr>
                <w:rFonts w:ascii="Times New Roman" w:hAnsi="Times New Roman" w:cs="Times New Roman"/>
                <w:kern w:val="0"/>
                <w:sz w:val="24"/>
                <w:szCs w:val="24"/>
                <w14:ligatures w14:val="none"/>
              </w:rPr>
            </w:pPr>
            <w:r w:rsidRPr="006706B5">
              <w:rPr>
                <w:rFonts w:ascii="Times New Roman" w:hAnsi="Times New Roman" w:cs="Times New Roman"/>
                <w:sz w:val="24"/>
                <w:szCs w:val="24"/>
              </w:rPr>
              <w:t>Strongest embedding</w:t>
            </w:r>
          </w:p>
        </w:tc>
        <w:tc>
          <w:tcPr>
            <w:tcW w:w="4078" w:type="dxa"/>
          </w:tcPr>
          <w:p w14:paraId="128EA016" w14:textId="77777777" w:rsidR="0007694E" w:rsidRPr="006706B5" w:rsidRDefault="0007694E" w:rsidP="002A6E08">
            <w:pPr>
              <w:spacing w:line="480" w:lineRule="auto"/>
              <w:rPr>
                <w:rFonts w:ascii="Times New Roman" w:hAnsi="Times New Roman" w:cs="Times New Roman"/>
                <w:sz w:val="24"/>
                <w:szCs w:val="24"/>
              </w:rPr>
            </w:pPr>
            <w:r w:rsidRPr="006706B5">
              <w:rPr>
                <w:rFonts w:ascii="Times New Roman" w:hAnsi="Times New Roman" w:cs="Times New Roman"/>
                <w:noProof/>
                <w:sz w:val="24"/>
                <w:szCs w:val="24"/>
              </w:rPr>
              <w:drawing>
                <wp:inline distT="0" distB="0" distL="0" distR="0" wp14:anchorId="4E1A0B2F" wp14:editId="582BE3C3">
                  <wp:extent cx="2268220" cy="1822505"/>
                  <wp:effectExtent l="0" t="19050" r="1778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4A01C7A" w14:textId="77777777" w:rsidR="0007694E" w:rsidRPr="006706B5" w:rsidRDefault="0007694E" w:rsidP="002A6E08">
            <w:pPr>
              <w:spacing w:line="480" w:lineRule="auto"/>
              <w:jc w:val="center"/>
              <w:rPr>
                <w:rFonts w:ascii="Times New Roman" w:hAnsi="Times New Roman" w:cs="Times New Roman"/>
                <w:sz w:val="24"/>
                <w:szCs w:val="24"/>
              </w:rPr>
            </w:pPr>
            <w:r w:rsidRPr="006706B5">
              <w:rPr>
                <w:rFonts w:ascii="Times New Roman" w:hAnsi="Times New Roman" w:cs="Times New Roman"/>
                <w:sz w:val="24"/>
                <w:szCs w:val="24"/>
              </w:rPr>
              <w:t>1.2 Strong embedding</w:t>
            </w:r>
          </w:p>
        </w:tc>
      </w:tr>
      <w:tr w:rsidR="006706B5" w:rsidRPr="006706B5" w14:paraId="772194C8" w14:textId="77777777" w:rsidTr="002A6E08">
        <w:trPr>
          <w:trHeight w:val="3081"/>
          <w:jc w:val="center"/>
        </w:trPr>
        <w:tc>
          <w:tcPr>
            <w:tcW w:w="4236" w:type="dxa"/>
          </w:tcPr>
          <w:p w14:paraId="46504E77" w14:textId="77777777" w:rsidR="0007694E" w:rsidRPr="006706B5" w:rsidRDefault="0007694E" w:rsidP="002A6E08">
            <w:pPr>
              <w:spacing w:line="480" w:lineRule="auto"/>
              <w:rPr>
                <w:rFonts w:ascii="Times New Roman" w:hAnsi="Times New Roman" w:cs="Times New Roman"/>
                <w:noProof/>
                <w:sz w:val="24"/>
                <w:szCs w:val="24"/>
              </w:rPr>
            </w:pPr>
            <w:r w:rsidRPr="006706B5">
              <w:rPr>
                <w:rFonts w:ascii="Times New Roman" w:hAnsi="Times New Roman" w:cs="Times New Roman"/>
                <w:noProof/>
                <w:sz w:val="24"/>
                <w:szCs w:val="24"/>
              </w:rPr>
              <w:drawing>
                <wp:inline distT="0" distB="0" distL="0" distR="0" wp14:anchorId="26CD99F1" wp14:editId="38976DD2">
                  <wp:extent cx="2320505" cy="1793875"/>
                  <wp:effectExtent l="0" t="0" r="22860" b="158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11DF10D6" w14:textId="77777777" w:rsidR="0007694E" w:rsidRPr="006706B5" w:rsidRDefault="0007694E" w:rsidP="002A6E08">
            <w:pPr>
              <w:spacing w:line="480" w:lineRule="auto"/>
              <w:jc w:val="center"/>
              <w:rPr>
                <w:rFonts w:ascii="Times New Roman" w:hAnsi="Times New Roman" w:cs="Times New Roman"/>
                <w:noProof/>
                <w:sz w:val="24"/>
                <w:szCs w:val="24"/>
              </w:rPr>
            </w:pPr>
            <w:r w:rsidRPr="006706B5">
              <w:rPr>
                <w:rFonts w:ascii="Times New Roman" w:hAnsi="Times New Roman" w:cs="Times New Roman"/>
                <w:noProof/>
                <w:sz w:val="24"/>
                <w:szCs w:val="24"/>
              </w:rPr>
              <w:t>1.3 Weak embedding</w:t>
            </w:r>
          </w:p>
        </w:tc>
        <w:tc>
          <w:tcPr>
            <w:tcW w:w="4078" w:type="dxa"/>
          </w:tcPr>
          <w:p w14:paraId="3595A0E8" w14:textId="77777777" w:rsidR="0007694E" w:rsidRPr="006706B5" w:rsidRDefault="0007694E" w:rsidP="002A6E08">
            <w:pPr>
              <w:spacing w:line="480" w:lineRule="auto"/>
              <w:rPr>
                <w:rFonts w:ascii="Times New Roman" w:hAnsi="Times New Roman" w:cs="Times New Roman"/>
                <w:noProof/>
                <w:sz w:val="24"/>
                <w:szCs w:val="24"/>
              </w:rPr>
            </w:pPr>
            <w:r w:rsidRPr="006706B5">
              <w:rPr>
                <w:rFonts w:ascii="Times New Roman" w:hAnsi="Times New Roman" w:cs="Times New Roman"/>
                <w:noProof/>
                <w:sz w:val="24"/>
                <w:szCs w:val="24"/>
              </w:rPr>
              <w:drawing>
                <wp:inline distT="0" distB="0" distL="0" distR="0" wp14:anchorId="245CDEC4" wp14:editId="19DAD800">
                  <wp:extent cx="2268747" cy="1794294"/>
                  <wp:effectExtent l="0" t="0" r="0" b="158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84AC2D7" w14:textId="77777777" w:rsidR="0007694E" w:rsidRPr="006706B5" w:rsidRDefault="0007694E" w:rsidP="002A6E08">
            <w:pPr>
              <w:spacing w:line="480" w:lineRule="auto"/>
              <w:jc w:val="center"/>
              <w:rPr>
                <w:rFonts w:ascii="Times New Roman" w:hAnsi="Times New Roman" w:cs="Times New Roman"/>
                <w:noProof/>
                <w:sz w:val="24"/>
                <w:szCs w:val="24"/>
              </w:rPr>
            </w:pPr>
            <w:r w:rsidRPr="006706B5">
              <w:rPr>
                <w:rFonts w:ascii="Times New Roman" w:hAnsi="Times New Roman" w:cs="Times New Roman"/>
                <w:noProof/>
                <w:sz w:val="24"/>
                <w:szCs w:val="24"/>
              </w:rPr>
              <w:t>1.4 Weakest embedding</w:t>
            </w:r>
          </w:p>
        </w:tc>
      </w:tr>
    </w:tbl>
    <w:p w14:paraId="5E55C553" w14:textId="7CED6471" w:rsidR="0007694E" w:rsidRPr="006706B5" w:rsidRDefault="0007694E" w:rsidP="0007694E">
      <w:pPr>
        <w:spacing w:before="240" w:line="480" w:lineRule="auto"/>
        <w:rPr>
          <w:rFonts w:ascii="Times New Roman" w:hAnsi="Times New Roman" w:cs="Times New Roman"/>
          <w:sz w:val="24"/>
          <w:szCs w:val="24"/>
        </w:rPr>
      </w:pPr>
      <w:r w:rsidRPr="006706B5">
        <w:rPr>
          <w:rFonts w:ascii="Times New Roman" w:hAnsi="Times New Roman" w:cs="Times New Roman"/>
          <w:sz w:val="24"/>
          <w:szCs w:val="24"/>
        </w:rPr>
        <w:t xml:space="preserve">Figure 1.1 shows the strongest embedding of the ECT programme in the school context. The school's orange tint within the broader orange framework </w:t>
      </w:r>
      <w:r w:rsidR="007173ED">
        <w:rPr>
          <w:rFonts w:ascii="Times New Roman" w:hAnsi="Times New Roman" w:cs="Times New Roman"/>
          <w:sz w:val="24"/>
          <w:szCs w:val="24"/>
        </w:rPr>
        <w:t xml:space="preserve">signifies </w:t>
      </w:r>
      <w:r w:rsidRPr="006706B5">
        <w:rPr>
          <w:rFonts w:ascii="Times New Roman" w:hAnsi="Times New Roman" w:cs="Times New Roman"/>
          <w:sz w:val="24"/>
          <w:szCs w:val="24"/>
        </w:rPr>
        <w:t xml:space="preserve">the guidance provided by </w:t>
      </w:r>
      <w:r w:rsidRPr="006706B5">
        <w:rPr>
          <w:rFonts w:ascii="Times New Roman" w:hAnsi="Times New Roman" w:cs="Times New Roman"/>
          <w:sz w:val="24"/>
          <w:szCs w:val="24"/>
        </w:rPr>
        <w:lastRenderedPageBreak/>
        <w:t xml:space="preserve">the relevant </w:t>
      </w:r>
      <w:r w:rsidR="007173ED">
        <w:rPr>
          <w:rFonts w:ascii="Times New Roman" w:hAnsi="Times New Roman" w:cs="Times New Roman"/>
          <w:sz w:val="24"/>
          <w:szCs w:val="24"/>
        </w:rPr>
        <w:t xml:space="preserve">awarding body </w:t>
      </w:r>
      <w:r w:rsidRPr="006706B5">
        <w:rPr>
          <w:rFonts w:ascii="Times New Roman" w:hAnsi="Times New Roman" w:cs="Times New Roman"/>
          <w:sz w:val="24"/>
          <w:szCs w:val="24"/>
        </w:rPr>
        <w:t xml:space="preserve">to all the affiliated </w:t>
      </w:r>
      <w:proofErr w:type="gramStart"/>
      <w:r w:rsidRPr="006706B5">
        <w:rPr>
          <w:rFonts w:ascii="Times New Roman" w:hAnsi="Times New Roman" w:cs="Times New Roman"/>
          <w:sz w:val="24"/>
          <w:szCs w:val="24"/>
        </w:rPr>
        <w:t>Independent</w:t>
      </w:r>
      <w:proofErr w:type="gramEnd"/>
      <w:r w:rsidRPr="006706B5">
        <w:rPr>
          <w:rFonts w:ascii="Times New Roman" w:hAnsi="Times New Roman" w:cs="Times New Roman"/>
          <w:sz w:val="24"/>
          <w:szCs w:val="24"/>
        </w:rPr>
        <w:t xml:space="preserve"> schools</w:t>
      </w:r>
      <w:r w:rsidR="00A900FB">
        <w:rPr>
          <w:rFonts w:ascii="Times New Roman" w:hAnsi="Times New Roman" w:cs="Times New Roman"/>
          <w:sz w:val="24"/>
          <w:szCs w:val="24"/>
        </w:rPr>
        <w:t>,</w:t>
      </w:r>
      <w:r w:rsidR="00120514">
        <w:rPr>
          <w:rFonts w:ascii="Times New Roman" w:hAnsi="Times New Roman" w:cs="Times New Roman"/>
          <w:sz w:val="24"/>
          <w:szCs w:val="24"/>
        </w:rPr>
        <w:t xml:space="preserve"> whilst simultaneously providing the school with </w:t>
      </w:r>
      <w:r w:rsidRPr="006706B5">
        <w:rPr>
          <w:rFonts w:ascii="Times New Roman" w:hAnsi="Times New Roman" w:cs="Times New Roman"/>
          <w:sz w:val="24"/>
          <w:szCs w:val="24"/>
        </w:rPr>
        <w:t xml:space="preserve">a sense of agency and </w:t>
      </w:r>
      <w:r w:rsidR="00120514">
        <w:rPr>
          <w:rFonts w:ascii="Times New Roman" w:hAnsi="Times New Roman" w:cs="Times New Roman"/>
          <w:sz w:val="24"/>
          <w:szCs w:val="24"/>
        </w:rPr>
        <w:t xml:space="preserve">acknowledging its </w:t>
      </w:r>
      <w:r w:rsidRPr="006706B5">
        <w:rPr>
          <w:rFonts w:ascii="Times New Roman" w:hAnsi="Times New Roman" w:cs="Times New Roman"/>
          <w:sz w:val="24"/>
          <w:szCs w:val="24"/>
        </w:rPr>
        <w:t>uniqueness</w:t>
      </w:r>
      <w:r w:rsidR="00120514">
        <w:rPr>
          <w:rFonts w:ascii="Times New Roman" w:hAnsi="Times New Roman" w:cs="Times New Roman"/>
          <w:sz w:val="24"/>
          <w:szCs w:val="24"/>
        </w:rPr>
        <w:t xml:space="preserve">, resulting in </w:t>
      </w:r>
      <w:r w:rsidRPr="006706B5">
        <w:rPr>
          <w:rFonts w:ascii="Times New Roman" w:hAnsi="Times New Roman" w:cs="Times New Roman"/>
          <w:sz w:val="24"/>
          <w:szCs w:val="24"/>
        </w:rPr>
        <w:t xml:space="preserve">the school enacting the ECF </w:t>
      </w:r>
      <w:r w:rsidR="00D1732B">
        <w:rPr>
          <w:rFonts w:ascii="Times New Roman" w:hAnsi="Times New Roman" w:cs="Times New Roman"/>
          <w:sz w:val="24"/>
          <w:szCs w:val="24"/>
        </w:rPr>
        <w:t xml:space="preserve">by strengthening its own </w:t>
      </w:r>
      <w:r w:rsidR="00A900FB">
        <w:rPr>
          <w:rFonts w:ascii="Times New Roman" w:hAnsi="Times New Roman" w:cs="Times New Roman"/>
          <w:sz w:val="24"/>
          <w:szCs w:val="24"/>
        </w:rPr>
        <w:t>contextual dimensions.</w:t>
      </w:r>
      <w:r w:rsidRPr="006706B5">
        <w:rPr>
          <w:rFonts w:ascii="Times New Roman" w:hAnsi="Times New Roman" w:cs="Times New Roman"/>
          <w:sz w:val="24"/>
          <w:szCs w:val="24"/>
        </w:rPr>
        <w:t xml:space="preserve"> </w:t>
      </w:r>
    </w:p>
    <w:p w14:paraId="1B7FE6FC" w14:textId="2A8E819F" w:rsidR="0007694E" w:rsidRPr="006706B5" w:rsidRDefault="0007694E" w:rsidP="0007694E">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Figure 1.2 illustrates a somewhat strong alignment between the ECT programme and the school context. This is symbolised through the homogenously green colour that all schools under the same Trust had assumed because of </w:t>
      </w:r>
      <w:r w:rsidR="002A48DF">
        <w:rPr>
          <w:rFonts w:ascii="Times New Roman" w:hAnsi="Times New Roman" w:cs="Times New Roman"/>
          <w:sz w:val="24"/>
          <w:szCs w:val="24"/>
        </w:rPr>
        <w:t>a</w:t>
      </w:r>
      <w:r w:rsidRPr="006706B5">
        <w:rPr>
          <w:rFonts w:ascii="Times New Roman" w:hAnsi="Times New Roman" w:cs="Times New Roman"/>
          <w:sz w:val="24"/>
          <w:szCs w:val="24"/>
        </w:rPr>
        <w:t xml:space="preserve"> strong influence of the Trust in shaping the ECT programme, in both theory and practice. The placement of the external provider of the programme suggests some influence of its services on the actual practice of the programme amidst the prevailing role of the Trust in the everyday functioning of the programme. </w:t>
      </w:r>
    </w:p>
    <w:p w14:paraId="14CCFF42" w14:textId="1516AAFB" w:rsidR="0007694E" w:rsidRPr="006706B5" w:rsidRDefault="0007694E" w:rsidP="0007694E">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Figure 1.3 demonstrates a weaker embedding of the ECT programme with school context due to </w:t>
      </w:r>
      <w:r w:rsidR="00FF6919">
        <w:rPr>
          <w:rFonts w:ascii="Times New Roman" w:hAnsi="Times New Roman" w:cs="Times New Roman"/>
          <w:sz w:val="24"/>
          <w:szCs w:val="24"/>
        </w:rPr>
        <w:t>differences in the</w:t>
      </w:r>
      <w:r w:rsidRPr="006706B5">
        <w:rPr>
          <w:rFonts w:ascii="Times New Roman" w:hAnsi="Times New Roman" w:cs="Times New Roman"/>
          <w:sz w:val="24"/>
          <w:szCs w:val="24"/>
        </w:rPr>
        <w:t xml:space="preserve"> </w:t>
      </w:r>
      <w:r w:rsidR="00FF6919">
        <w:rPr>
          <w:rFonts w:ascii="Times New Roman" w:hAnsi="Times New Roman" w:cs="Times New Roman"/>
          <w:sz w:val="24"/>
          <w:szCs w:val="24"/>
        </w:rPr>
        <w:t xml:space="preserve">professional developmental context </w:t>
      </w:r>
      <w:r w:rsidRPr="006706B5">
        <w:rPr>
          <w:rFonts w:ascii="Times New Roman" w:hAnsi="Times New Roman" w:cs="Times New Roman"/>
          <w:sz w:val="24"/>
          <w:szCs w:val="24"/>
        </w:rPr>
        <w:t xml:space="preserve">of the school and </w:t>
      </w:r>
      <w:r w:rsidR="00DD3291">
        <w:rPr>
          <w:rFonts w:ascii="Times New Roman" w:hAnsi="Times New Roman" w:cs="Times New Roman"/>
          <w:sz w:val="24"/>
          <w:szCs w:val="24"/>
        </w:rPr>
        <w:t>that of the</w:t>
      </w:r>
      <w:r w:rsidRPr="006706B5">
        <w:rPr>
          <w:rFonts w:ascii="Times New Roman" w:hAnsi="Times New Roman" w:cs="Times New Roman"/>
          <w:sz w:val="24"/>
          <w:szCs w:val="24"/>
        </w:rPr>
        <w:t xml:space="preserve"> external provider </w:t>
      </w:r>
      <w:r w:rsidR="00DD3291">
        <w:rPr>
          <w:rFonts w:ascii="Times New Roman" w:hAnsi="Times New Roman" w:cs="Times New Roman"/>
          <w:sz w:val="24"/>
          <w:szCs w:val="24"/>
        </w:rPr>
        <w:t xml:space="preserve">for </w:t>
      </w:r>
      <w:r w:rsidRPr="006706B5">
        <w:rPr>
          <w:rFonts w:ascii="Times New Roman" w:hAnsi="Times New Roman" w:cs="Times New Roman"/>
          <w:sz w:val="24"/>
          <w:szCs w:val="24"/>
        </w:rPr>
        <w:t>the ECF</w:t>
      </w:r>
      <w:r w:rsidR="00DD3291">
        <w:rPr>
          <w:rFonts w:ascii="Times New Roman" w:hAnsi="Times New Roman" w:cs="Times New Roman"/>
          <w:sz w:val="24"/>
          <w:szCs w:val="24"/>
        </w:rPr>
        <w:t>.</w:t>
      </w:r>
      <w:r w:rsidRPr="006706B5">
        <w:rPr>
          <w:rFonts w:ascii="Times New Roman" w:hAnsi="Times New Roman" w:cs="Times New Roman"/>
          <w:sz w:val="24"/>
          <w:szCs w:val="24"/>
        </w:rPr>
        <w:t xml:space="preserve"> This disconnect led to the school leaving the external provider and instead partnering with another school of the same governance structure (both were faith-based) to co-produce their ECT programmes—this is denoted by intersecting interests in the figure, despite specific institutional differences between schools. </w:t>
      </w:r>
    </w:p>
    <w:p w14:paraId="5FBAE63B" w14:textId="77777777" w:rsidR="00522A5C" w:rsidRPr="006706B5" w:rsidRDefault="00522A5C" w:rsidP="00522A5C">
      <w:pPr>
        <w:spacing w:line="480" w:lineRule="auto"/>
        <w:rPr>
          <w:rFonts w:ascii="Times New Roman" w:hAnsi="Times New Roman" w:cs="Times New Roman"/>
          <w:sz w:val="24"/>
          <w:szCs w:val="24"/>
        </w:rPr>
      </w:pPr>
      <w:r w:rsidRPr="006706B5">
        <w:rPr>
          <w:rFonts w:ascii="Times New Roman" w:hAnsi="Times New Roman" w:cs="Times New Roman"/>
          <w:sz w:val="24"/>
          <w:szCs w:val="24"/>
        </w:rPr>
        <w:t xml:space="preserve">Figure 1.4 reflects the weakest alignment between the approach of the external provider of the ECF and the school context, signifying </w:t>
      </w:r>
      <w:r>
        <w:rPr>
          <w:rFonts w:ascii="Times New Roman" w:hAnsi="Times New Roman" w:cs="Times New Roman"/>
          <w:sz w:val="24"/>
          <w:szCs w:val="24"/>
        </w:rPr>
        <w:t>a</w:t>
      </w:r>
      <w:r w:rsidRPr="006706B5">
        <w:rPr>
          <w:rFonts w:ascii="Times New Roman" w:hAnsi="Times New Roman" w:cs="Times New Roman"/>
          <w:sz w:val="24"/>
          <w:szCs w:val="24"/>
        </w:rPr>
        <w:t xml:space="preserve"> noticeably disjointed nature of the ECT programme in the school’s context. Recognising this, the school moved away from its provider and partnered with another provider. The disjointedness </w:t>
      </w:r>
      <w:r>
        <w:rPr>
          <w:rFonts w:ascii="Times New Roman" w:hAnsi="Times New Roman" w:cs="Times New Roman"/>
          <w:sz w:val="24"/>
          <w:szCs w:val="24"/>
        </w:rPr>
        <w:t xml:space="preserve">is likely to </w:t>
      </w:r>
      <w:r w:rsidRPr="006706B5">
        <w:rPr>
          <w:rFonts w:ascii="Times New Roman" w:hAnsi="Times New Roman" w:cs="Times New Roman"/>
          <w:sz w:val="24"/>
          <w:szCs w:val="24"/>
        </w:rPr>
        <w:t>persis</w:t>
      </w:r>
      <w:r>
        <w:rPr>
          <w:rFonts w:ascii="Times New Roman" w:hAnsi="Times New Roman" w:cs="Times New Roman"/>
          <w:sz w:val="24"/>
          <w:szCs w:val="24"/>
        </w:rPr>
        <w:t>t</w:t>
      </w:r>
      <w:r w:rsidRPr="006706B5">
        <w:rPr>
          <w:rFonts w:ascii="Times New Roman" w:hAnsi="Times New Roman" w:cs="Times New Roman"/>
          <w:sz w:val="24"/>
          <w:szCs w:val="24"/>
        </w:rPr>
        <w:t xml:space="preserve"> due to</w:t>
      </w:r>
      <w:r>
        <w:rPr>
          <w:rFonts w:ascii="Times New Roman" w:hAnsi="Times New Roman" w:cs="Times New Roman"/>
          <w:sz w:val="24"/>
          <w:szCs w:val="24"/>
        </w:rPr>
        <w:t xml:space="preserve"> the potential misalignment as mentioned above</w:t>
      </w:r>
      <w:r w:rsidRPr="006706B5">
        <w:rPr>
          <w:rFonts w:ascii="Times New Roman" w:hAnsi="Times New Roman" w:cs="Times New Roman"/>
          <w:sz w:val="24"/>
          <w:szCs w:val="24"/>
        </w:rPr>
        <w:t>.</w:t>
      </w:r>
    </w:p>
    <w:p w14:paraId="226F4FF1" w14:textId="152FA433" w:rsidR="00C93FC3" w:rsidRPr="006706B5" w:rsidRDefault="00C93FC3" w:rsidP="00522A5C">
      <w:pPr>
        <w:spacing w:line="480" w:lineRule="auto"/>
        <w:rPr>
          <w:rFonts w:ascii="Times New Roman" w:hAnsi="Times New Roman" w:cs="Times New Roman"/>
          <w:sz w:val="24"/>
          <w:szCs w:val="24"/>
        </w:rPr>
      </w:pPr>
    </w:p>
    <w:sectPr w:rsidR="00C93FC3" w:rsidRPr="006706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B184" w14:textId="77777777" w:rsidR="00750755" w:rsidRDefault="00750755" w:rsidP="00E21FE4">
      <w:pPr>
        <w:spacing w:after="0" w:line="240" w:lineRule="auto"/>
      </w:pPr>
      <w:r>
        <w:separator/>
      </w:r>
    </w:p>
  </w:endnote>
  <w:endnote w:type="continuationSeparator" w:id="0">
    <w:p w14:paraId="79D00A6F" w14:textId="77777777" w:rsidR="00750755" w:rsidRDefault="00750755" w:rsidP="00E2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2748" w14:textId="77777777" w:rsidR="00750755" w:rsidRDefault="00750755" w:rsidP="00E21FE4">
      <w:pPr>
        <w:spacing w:after="0" w:line="240" w:lineRule="auto"/>
      </w:pPr>
      <w:r>
        <w:separator/>
      </w:r>
    </w:p>
  </w:footnote>
  <w:footnote w:type="continuationSeparator" w:id="0">
    <w:p w14:paraId="5C46CBE4" w14:textId="77777777" w:rsidR="00750755" w:rsidRDefault="00750755" w:rsidP="00E21FE4">
      <w:pPr>
        <w:spacing w:after="0" w:line="240" w:lineRule="auto"/>
      </w:pPr>
      <w:r>
        <w:continuationSeparator/>
      </w:r>
    </w:p>
  </w:footnote>
  <w:footnote w:id="1">
    <w:p w14:paraId="57269455" w14:textId="35F80B1F" w:rsidR="001F44B9" w:rsidRPr="00B70DF3" w:rsidRDefault="001F44B9" w:rsidP="00F93AA7">
      <w:pPr>
        <w:pStyle w:val="FootnoteText"/>
        <w:rPr>
          <w:rFonts w:ascii="Times New Roman" w:hAnsi="Times New Roman" w:cs="Times New Roman"/>
        </w:rPr>
      </w:pPr>
      <w:r w:rsidRPr="00B70DF3">
        <w:rPr>
          <w:rStyle w:val="FootnoteReference"/>
        </w:rPr>
        <w:footnoteRef/>
      </w:r>
      <w:r w:rsidRPr="00B70DF3">
        <w:t xml:space="preserve"> </w:t>
      </w:r>
      <w:bookmarkStart w:id="1" w:name="_Hlk203391755"/>
      <w:r w:rsidR="00F93AA7" w:rsidRPr="00B70DF3">
        <w:rPr>
          <w:rFonts w:ascii="Times New Roman" w:hAnsi="Times New Roman" w:cs="Times New Roman"/>
        </w:rPr>
        <w:t xml:space="preserve">Faith-based schools are state-funded and teach the national curriculum, but they have the freedom to choose what they teach in religious studies. They have their own admission criteria and staff policies. In comparison, Faith academies often create their curriculum. </w:t>
      </w:r>
      <w:bookmarkEnd w:id="1"/>
      <w:r w:rsidR="00F93AA7" w:rsidRPr="00B70DF3">
        <w:rPr>
          <w:rFonts w:ascii="Times New Roman" w:hAnsi="Times New Roman" w:cs="Times New Roman"/>
        </w:rPr>
        <w:t xml:space="preserve">Independent schools charge fees from pupils, and they are not obliged to teach the National Curriculum. They are nonetheless registered with the government and are subject to regular inspections, like any other school. LA schools are often referred to as State or Community schools. They receive funding from their local authority or directly from the government. </w:t>
      </w:r>
      <w:r w:rsidR="00B07A93" w:rsidRPr="00B70DF3">
        <w:rPr>
          <w:rFonts w:ascii="Times New Roman" w:hAnsi="Times New Roman" w:cs="Times New Roman"/>
        </w:rPr>
        <w:t>MATs or Academies</w:t>
      </w:r>
      <w:r w:rsidR="00F93AA7" w:rsidRPr="00B70DF3">
        <w:rPr>
          <w:rFonts w:ascii="Times New Roman" w:hAnsi="Times New Roman" w:cs="Times New Roman"/>
        </w:rPr>
        <w:t xml:space="preserve"> receive funding directly from the government and are run by an Academy Trust. Academies have more control over their curriculum and their term dates than LA schools do, though they must follow the same rules on admissions, Special Educational Needs and exclusions as State schools, and their pupils sit the same exams.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E97"/>
    <w:multiLevelType w:val="hybridMultilevel"/>
    <w:tmpl w:val="67E432A6"/>
    <w:lvl w:ilvl="0" w:tplc="8A5C4CB2">
      <w:start w:val="1"/>
      <w:numFmt w:val="decimal"/>
      <w:lvlText w:val="%1."/>
      <w:lvlJc w:val="left"/>
      <w:pPr>
        <w:ind w:left="360" w:hanging="360"/>
      </w:pPr>
      <w:rPr>
        <w:rFonts w:ascii="Lucida Sans" w:hAnsi="Lucida Sans" w:hint="default"/>
        <w:b w:val="0"/>
        <w:bCs w:val="0"/>
        <w:i w:val="0"/>
        <w:iCs w:val="0"/>
        <w:color w:val="auto"/>
        <w:sz w:val="18"/>
        <w:szCs w:val="1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7E0659"/>
    <w:multiLevelType w:val="hybridMultilevel"/>
    <w:tmpl w:val="F508E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9D2D3F"/>
    <w:multiLevelType w:val="hybridMultilevel"/>
    <w:tmpl w:val="23F6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F850DA"/>
    <w:multiLevelType w:val="hybridMultilevel"/>
    <w:tmpl w:val="E7F8D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912989"/>
    <w:multiLevelType w:val="multilevel"/>
    <w:tmpl w:val="BA8E82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80337188">
    <w:abstractNumId w:val="3"/>
  </w:num>
  <w:num w:numId="2" w16cid:durableId="1139616720">
    <w:abstractNumId w:val="1"/>
  </w:num>
  <w:num w:numId="3" w16cid:durableId="2098019101">
    <w:abstractNumId w:val="4"/>
  </w:num>
  <w:num w:numId="4" w16cid:durableId="689140028">
    <w:abstractNumId w:val="0"/>
  </w:num>
  <w:num w:numId="5" w16cid:durableId="1483697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wNbM0t7AwMjSzMDdW0lEKTi0uzszPAykwNKwFAPj+PFstAAAA"/>
  </w:docVars>
  <w:rsids>
    <w:rsidRoot w:val="00184907"/>
    <w:rsid w:val="00000051"/>
    <w:rsid w:val="00003F15"/>
    <w:rsid w:val="00004161"/>
    <w:rsid w:val="00007BAB"/>
    <w:rsid w:val="0001641D"/>
    <w:rsid w:val="000276B9"/>
    <w:rsid w:val="00027EDE"/>
    <w:rsid w:val="000312D5"/>
    <w:rsid w:val="00031955"/>
    <w:rsid w:val="0003503D"/>
    <w:rsid w:val="000370CD"/>
    <w:rsid w:val="00037280"/>
    <w:rsid w:val="000421AA"/>
    <w:rsid w:val="00043B23"/>
    <w:rsid w:val="00060607"/>
    <w:rsid w:val="000626F5"/>
    <w:rsid w:val="00070AD3"/>
    <w:rsid w:val="000724C6"/>
    <w:rsid w:val="000725F2"/>
    <w:rsid w:val="0007694E"/>
    <w:rsid w:val="00076A93"/>
    <w:rsid w:val="00077146"/>
    <w:rsid w:val="0008081E"/>
    <w:rsid w:val="00081221"/>
    <w:rsid w:val="0008273D"/>
    <w:rsid w:val="0008615F"/>
    <w:rsid w:val="000924E6"/>
    <w:rsid w:val="000C151E"/>
    <w:rsid w:val="000C1D50"/>
    <w:rsid w:val="000C3C35"/>
    <w:rsid w:val="000C44C6"/>
    <w:rsid w:val="000D2A99"/>
    <w:rsid w:val="000D2DE9"/>
    <w:rsid w:val="000D5B69"/>
    <w:rsid w:val="000D5C75"/>
    <w:rsid w:val="000E115D"/>
    <w:rsid w:val="000E3AF9"/>
    <w:rsid w:val="000E3DCE"/>
    <w:rsid w:val="000E69B1"/>
    <w:rsid w:val="000E6D3C"/>
    <w:rsid w:val="000E709D"/>
    <w:rsid w:val="000F2B17"/>
    <w:rsid w:val="000F2CA5"/>
    <w:rsid w:val="000F4C38"/>
    <w:rsid w:val="000F566D"/>
    <w:rsid w:val="000F6EA8"/>
    <w:rsid w:val="000F7AA4"/>
    <w:rsid w:val="000F7E6A"/>
    <w:rsid w:val="001008D5"/>
    <w:rsid w:val="00101E28"/>
    <w:rsid w:val="00103146"/>
    <w:rsid w:val="001054C9"/>
    <w:rsid w:val="0010601E"/>
    <w:rsid w:val="00120514"/>
    <w:rsid w:val="0012375F"/>
    <w:rsid w:val="001274A3"/>
    <w:rsid w:val="001275D2"/>
    <w:rsid w:val="001310EE"/>
    <w:rsid w:val="00131183"/>
    <w:rsid w:val="00142C6D"/>
    <w:rsid w:val="00144FCF"/>
    <w:rsid w:val="001459B0"/>
    <w:rsid w:val="00145C34"/>
    <w:rsid w:val="00145F26"/>
    <w:rsid w:val="00146F80"/>
    <w:rsid w:val="001471C0"/>
    <w:rsid w:val="00152377"/>
    <w:rsid w:val="0015730F"/>
    <w:rsid w:val="00157875"/>
    <w:rsid w:val="00162278"/>
    <w:rsid w:val="001630A3"/>
    <w:rsid w:val="00167CAF"/>
    <w:rsid w:val="00181CE5"/>
    <w:rsid w:val="00184907"/>
    <w:rsid w:val="00190A5F"/>
    <w:rsid w:val="00197035"/>
    <w:rsid w:val="001A4F0C"/>
    <w:rsid w:val="001B32EC"/>
    <w:rsid w:val="001C04B1"/>
    <w:rsid w:val="001C050E"/>
    <w:rsid w:val="001C378E"/>
    <w:rsid w:val="001C5516"/>
    <w:rsid w:val="001C5E24"/>
    <w:rsid w:val="001C7F8D"/>
    <w:rsid w:val="001D2F5D"/>
    <w:rsid w:val="001D7BA2"/>
    <w:rsid w:val="001E04B5"/>
    <w:rsid w:val="001E4ECB"/>
    <w:rsid w:val="001F3B58"/>
    <w:rsid w:val="001F44B9"/>
    <w:rsid w:val="001F4627"/>
    <w:rsid w:val="001F7655"/>
    <w:rsid w:val="00203F5B"/>
    <w:rsid w:val="00205F96"/>
    <w:rsid w:val="00211007"/>
    <w:rsid w:val="002118F7"/>
    <w:rsid w:val="00213E00"/>
    <w:rsid w:val="002142B0"/>
    <w:rsid w:val="00220734"/>
    <w:rsid w:val="002226D6"/>
    <w:rsid w:val="002239C9"/>
    <w:rsid w:val="00234CB0"/>
    <w:rsid w:val="00235526"/>
    <w:rsid w:val="0024339C"/>
    <w:rsid w:val="00244513"/>
    <w:rsid w:val="0024475B"/>
    <w:rsid w:val="0024631E"/>
    <w:rsid w:val="00250469"/>
    <w:rsid w:val="002518AC"/>
    <w:rsid w:val="002523AE"/>
    <w:rsid w:val="00261D93"/>
    <w:rsid w:val="00265A45"/>
    <w:rsid w:val="002673FF"/>
    <w:rsid w:val="00270E29"/>
    <w:rsid w:val="00273FC4"/>
    <w:rsid w:val="00277EB8"/>
    <w:rsid w:val="00280135"/>
    <w:rsid w:val="00280326"/>
    <w:rsid w:val="002820B0"/>
    <w:rsid w:val="00283B3E"/>
    <w:rsid w:val="00286A61"/>
    <w:rsid w:val="002932BA"/>
    <w:rsid w:val="002957FD"/>
    <w:rsid w:val="00296007"/>
    <w:rsid w:val="00297BF4"/>
    <w:rsid w:val="002A37FA"/>
    <w:rsid w:val="002A48DF"/>
    <w:rsid w:val="002A5849"/>
    <w:rsid w:val="002A649F"/>
    <w:rsid w:val="002B16FB"/>
    <w:rsid w:val="002B285E"/>
    <w:rsid w:val="002B2C6A"/>
    <w:rsid w:val="002B3436"/>
    <w:rsid w:val="002B6847"/>
    <w:rsid w:val="002C2129"/>
    <w:rsid w:val="002C4237"/>
    <w:rsid w:val="002D3825"/>
    <w:rsid w:val="002D652A"/>
    <w:rsid w:val="002D794D"/>
    <w:rsid w:val="002E11E3"/>
    <w:rsid w:val="002E4656"/>
    <w:rsid w:val="002E4EB9"/>
    <w:rsid w:val="002E59D1"/>
    <w:rsid w:val="002F0C39"/>
    <w:rsid w:val="00301FB0"/>
    <w:rsid w:val="00304E8D"/>
    <w:rsid w:val="00305326"/>
    <w:rsid w:val="003138E0"/>
    <w:rsid w:val="00313E73"/>
    <w:rsid w:val="00316807"/>
    <w:rsid w:val="003228BD"/>
    <w:rsid w:val="00326088"/>
    <w:rsid w:val="003267C5"/>
    <w:rsid w:val="00327355"/>
    <w:rsid w:val="0033031A"/>
    <w:rsid w:val="003328E4"/>
    <w:rsid w:val="00335AAE"/>
    <w:rsid w:val="0033701D"/>
    <w:rsid w:val="003370A7"/>
    <w:rsid w:val="00337EF4"/>
    <w:rsid w:val="00345025"/>
    <w:rsid w:val="00345032"/>
    <w:rsid w:val="003507AF"/>
    <w:rsid w:val="0037258B"/>
    <w:rsid w:val="00373D30"/>
    <w:rsid w:val="00376973"/>
    <w:rsid w:val="0038706C"/>
    <w:rsid w:val="003A330B"/>
    <w:rsid w:val="003A5864"/>
    <w:rsid w:val="003A5B04"/>
    <w:rsid w:val="003A61D8"/>
    <w:rsid w:val="003B0619"/>
    <w:rsid w:val="003B2927"/>
    <w:rsid w:val="003B2BAD"/>
    <w:rsid w:val="003B3F52"/>
    <w:rsid w:val="003C039E"/>
    <w:rsid w:val="003C3737"/>
    <w:rsid w:val="003C43BD"/>
    <w:rsid w:val="003C65D5"/>
    <w:rsid w:val="003C6B75"/>
    <w:rsid w:val="003C7CBE"/>
    <w:rsid w:val="003D0E4F"/>
    <w:rsid w:val="003D5D30"/>
    <w:rsid w:val="003D7EF0"/>
    <w:rsid w:val="003E4619"/>
    <w:rsid w:val="003E6B12"/>
    <w:rsid w:val="003F719E"/>
    <w:rsid w:val="00402870"/>
    <w:rsid w:val="00421148"/>
    <w:rsid w:val="00423309"/>
    <w:rsid w:val="00430F03"/>
    <w:rsid w:val="00433636"/>
    <w:rsid w:val="0043727F"/>
    <w:rsid w:val="0043768F"/>
    <w:rsid w:val="0044094A"/>
    <w:rsid w:val="00446A29"/>
    <w:rsid w:val="00450A91"/>
    <w:rsid w:val="00450DB0"/>
    <w:rsid w:val="00452F38"/>
    <w:rsid w:val="004533E9"/>
    <w:rsid w:val="0045530D"/>
    <w:rsid w:val="00460FBE"/>
    <w:rsid w:val="00463DFE"/>
    <w:rsid w:val="00470658"/>
    <w:rsid w:val="00472227"/>
    <w:rsid w:val="004746C8"/>
    <w:rsid w:val="00475B79"/>
    <w:rsid w:val="0047669D"/>
    <w:rsid w:val="00481E08"/>
    <w:rsid w:val="00482B1B"/>
    <w:rsid w:val="0048473A"/>
    <w:rsid w:val="00486764"/>
    <w:rsid w:val="004878BC"/>
    <w:rsid w:val="004940ED"/>
    <w:rsid w:val="00494ED7"/>
    <w:rsid w:val="004B2B64"/>
    <w:rsid w:val="004B2D20"/>
    <w:rsid w:val="004B3B69"/>
    <w:rsid w:val="004B69EC"/>
    <w:rsid w:val="004C01C4"/>
    <w:rsid w:val="004C2E43"/>
    <w:rsid w:val="004C6D7F"/>
    <w:rsid w:val="004C799A"/>
    <w:rsid w:val="004D0FB3"/>
    <w:rsid w:val="004D372B"/>
    <w:rsid w:val="004D630B"/>
    <w:rsid w:val="004D72D3"/>
    <w:rsid w:val="004D7811"/>
    <w:rsid w:val="004F0F03"/>
    <w:rsid w:val="004F299D"/>
    <w:rsid w:val="004F29CF"/>
    <w:rsid w:val="004F630F"/>
    <w:rsid w:val="00500379"/>
    <w:rsid w:val="00501F60"/>
    <w:rsid w:val="00503A07"/>
    <w:rsid w:val="00511FE7"/>
    <w:rsid w:val="00520385"/>
    <w:rsid w:val="00522A5C"/>
    <w:rsid w:val="00522B33"/>
    <w:rsid w:val="00525291"/>
    <w:rsid w:val="00530357"/>
    <w:rsid w:val="00536388"/>
    <w:rsid w:val="0054017C"/>
    <w:rsid w:val="005417F0"/>
    <w:rsid w:val="00543410"/>
    <w:rsid w:val="00545303"/>
    <w:rsid w:val="0054543E"/>
    <w:rsid w:val="00546B09"/>
    <w:rsid w:val="00554DBB"/>
    <w:rsid w:val="005567FD"/>
    <w:rsid w:val="00562B5E"/>
    <w:rsid w:val="00563EC2"/>
    <w:rsid w:val="00567FD7"/>
    <w:rsid w:val="005703D6"/>
    <w:rsid w:val="00577A5A"/>
    <w:rsid w:val="00581689"/>
    <w:rsid w:val="005939B2"/>
    <w:rsid w:val="00594EA2"/>
    <w:rsid w:val="005B0B4D"/>
    <w:rsid w:val="005B132F"/>
    <w:rsid w:val="005B55C9"/>
    <w:rsid w:val="005B5725"/>
    <w:rsid w:val="005B65A6"/>
    <w:rsid w:val="005C1552"/>
    <w:rsid w:val="005C52F2"/>
    <w:rsid w:val="005C6196"/>
    <w:rsid w:val="005C7F3A"/>
    <w:rsid w:val="005D2289"/>
    <w:rsid w:val="005D26BB"/>
    <w:rsid w:val="005D57A3"/>
    <w:rsid w:val="005D6C03"/>
    <w:rsid w:val="005D7A02"/>
    <w:rsid w:val="005E25D6"/>
    <w:rsid w:val="005E3CF3"/>
    <w:rsid w:val="005E73A8"/>
    <w:rsid w:val="00604F56"/>
    <w:rsid w:val="00612D03"/>
    <w:rsid w:val="006135CF"/>
    <w:rsid w:val="00613C37"/>
    <w:rsid w:val="006143C0"/>
    <w:rsid w:val="00635280"/>
    <w:rsid w:val="00637A32"/>
    <w:rsid w:val="006435AF"/>
    <w:rsid w:val="00650339"/>
    <w:rsid w:val="00663C89"/>
    <w:rsid w:val="00665059"/>
    <w:rsid w:val="006668C4"/>
    <w:rsid w:val="006706B5"/>
    <w:rsid w:val="006709E8"/>
    <w:rsid w:val="00681399"/>
    <w:rsid w:val="00681CDC"/>
    <w:rsid w:val="00682293"/>
    <w:rsid w:val="006852F3"/>
    <w:rsid w:val="006918E5"/>
    <w:rsid w:val="00694FA3"/>
    <w:rsid w:val="006A3B27"/>
    <w:rsid w:val="006A6424"/>
    <w:rsid w:val="006B0750"/>
    <w:rsid w:val="006B4696"/>
    <w:rsid w:val="006B4C86"/>
    <w:rsid w:val="006B54C2"/>
    <w:rsid w:val="006B57CD"/>
    <w:rsid w:val="006B7EE4"/>
    <w:rsid w:val="006D3AE7"/>
    <w:rsid w:val="006D7E02"/>
    <w:rsid w:val="006E07D8"/>
    <w:rsid w:val="006E29BF"/>
    <w:rsid w:val="006E60F5"/>
    <w:rsid w:val="006F1DFC"/>
    <w:rsid w:val="006F36B0"/>
    <w:rsid w:val="006F47E0"/>
    <w:rsid w:val="006F517E"/>
    <w:rsid w:val="006F652A"/>
    <w:rsid w:val="006F7643"/>
    <w:rsid w:val="006F7A70"/>
    <w:rsid w:val="0070064E"/>
    <w:rsid w:val="00703441"/>
    <w:rsid w:val="0070714C"/>
    <w:rsid w:val="00712B58"/>
    <w:rsid w:val="0071443B"/>
    <w:rsid w:val="007173ED"/>
    <w:rsid w:val="0072592A"/>
    <w:rsid w:val="00726D12"/>
    <w:rsid w:val="0072753F"/>
    <w:rsid w:val="00727A6C"/>
    <w:rsid w:val="00734B7A"/>
    <w:rsid w:val="00735C96"/>
    <w:rsid w:val="00735F4D"/>
    <w:rsid w:val="00736D7F"/>
    <w:rsid w:val="007405C1"/>
    <w:rsid w:val="00743C3F"/>
    <w:rsid w:val="00750755"/>
    <w:rsid w:val="00753606"/>
    <w:rsid w:val="007549A3"/>
    <w:rsid w:val="00755A3A"/>
    <w:rsid w:val="007619A7"/>
    <w:rsid w:val="00762A76"/>
    <w:rsid w:val="007664C9"/>
    <w:rsid w:val="00766F71"/>
    <w:rsid w:val="00782993"/>
    <w:rsid w:val="0078495B"/>
    <w:rsid w:val="00792797"/>
    <w:rsid w:val="00793481"/>
    <w:rsid w:val="00793BFE"/>
    <w:rsid w:val="00796B3A"/>
    <w:rsid w:val="00797CAF"/>
    <w:rsid w:val="007A16B7"/>
    <w:rsid w:val="007A2281"/>
    <w:rsid w:val="007A495C"/>
    <w:rsid w:val="007B0B1C"/>
    <w:rsid w:val="007B1310"/>
    <w:rsid w:val="007B1487"/>
    <w:rsid w:val="007C7EA4"/>
    <w:rsid w:val="007D070E"/>
    <w:rsid w:val="007D172D"/>
    <w:rsid w:val="007E08C4"/>
    <w:rsid w:val="007E4120"/>
    <w:rsid w:val="007E79D1"/>
    <w:rsid w:val="007F0300"/>
    <w:rsid w:val="007F1090"/>
    <w:rsid w:val="007F21B9"/>
    <w:rsid w:val="007F4356"/>
    <w:rsid w:val="00805B2E"/>
    <w:rsid w:val="00810459"/>
    <w:rsid w:val="008157AD"/>
    <w:rsid w:val="00820158"/>
    <w:rsid w:val="008227CF"/>
    <w:rsid w:val="008269EE"/>
    <w:rsid w:val="00832EFB"/>
    <w:rsid w:val="00834E5F"/>
    <w:rsid w:val="00840904"/>
    <w:rsid w:val="008439B8"/>
    <w:rsid w:val="00845212"/>
    <w:rsid w:val="00847F43"/>
    <w:rsid w:val="00856687"/>
    <w:rsid w:val="00860000"/>
    <w:rsid w:val="008647C4"/>
    <w:rsid w:val="00864892"/>
    <w:rsid w:val="00864B7D"/>
    <w:rsid w:val="008660C8"/>
    <w:rsid w:val="00870D97"/>
    <w:rsid w:val="00871E3D"/>
    <w:rsid w:val="00872374"/>
    <w:rsid w:val="00876254"/>
    <w:rsid w:val="00882FF4"/>
    <w:rsid w:val="00884EB0"/>
    <w:rsid w:val="00885887"/>
    <w:rsid w:val="00890659"/>
    <w:rsid w:val="008914DD"/>
    <w:rsid w:val="00893E6B"/>
    <w:rsid w:val="0089516B"/>
    <w:rsid w:val="008A0DAD"/>
    <w:rsid w:val="008A6C43"/>
    <w:rsid w:val="008A72FB"/>
    <w:rsid w:val="008B16B1"/>
    <w:rsid w:val="008B202C"/>
    <w:rsid w:val="008C4E18"/>
    <w:rsid w:val="008C6A2E"/>
    <w:rsid w:val="008D018F"/>
    <w:rsid w:val="008D6043"/>
    <w:rsid w:val="008E22EA"/>
    <w:rsid w:val="008E3E99"/>
    <w:rsid w:val="008E6F60"/>
    <w:rsid w:val="008F05F8"/>
    <w:rsid w:val="008F1A7A"/>
    <w:rsid w:val="008F2578"/>
    <w:rsid w:val="008F2F19"/>
    <w:rsid w:val="008F4E56"/>
    <w:rsid w:val="008F69A1"/>
    <w:rsid w:val="008F6ECE"/>
    <w:rsid w:val="00901758"/>
    <w:rsid w:val="009023CD"/>
    <w:rsid w:val="0090245E"/>
    <w:rsid w:val="00906614"/>
    <w:rsid w:val="00906CAB"/>
    <w:rsid w:val="009125AD"/>
    <w:rsid w:val="00913695"/>
    <w:rsid w:val="0091478F"/>
    <w:rsid w:val="009173E9"/>
    <w:rsid w:val="00921A8B"/>
    <w:rsid w:val="009229E1"/>
    <w:rsid w:val="009244E1"/>
    <w:rsid w:val="00924AA7"/>
    <w:rsid w:val="00924AEB"/>
    <w:rsid w:val="009274F5"/>
    <w:rsid w:val="00941AB5"/>
    <w:rsid w:val="0094736B"/>
    <w:rsid w:val="0094745A"/>
    <w:rsid w:val="00950883"/>
    <w:rsid w:val="00956859"/>
    <w:rsid w:val="00961B96"/>
    <w:rsid w:val="00970890"/>
    <w:rsid w:val="00974504"/>
    <w:rsid w:val="009762ED"/>
    <w:rsid w:val="00977534"/>
    <w:rsid w:val="00980F86"/>
    <w:rsid w:val="00983AFA"/>
    <w:rsid w:val="00992E4A"/>
    <w:rsid w:val="00996BE9"/>
    <w:rsid w:val="009A1D9B"/>
    <w:rsid w:val="009A5F57"/>
    <w:rsid w:val="009B310F"/>
    <w:rsid w:val="009B742C"/>
    <w:rsid w:val="009B7723"/>
    <w:rsid w:val="009C5DC5"/>
    <w:rsid w:val="009C6378"/>
    <w:rsid w:val="009C6622"/>
    <w:rsid w:val="009D1299"/>
    <w:rsid w:val="009D261C"/>
    <w:rsid w:val="009D3769"/>
    <w:rsid w:val="009D3D59"/>
    <w:rsid w:val="009D5552"/>
    <w:rsid w:val="009F0712"/>
    <w:rsid w:val="009F08AA"/>
    <w:rsid w:val="009F274C"/>
    <w:rsid w:val="009F3E76"/>
    <w:rsid w:val="00A06CF4"/>
    <w:rsid w:val="00A074D5"/>
    <w:rsid w:val="00A1156A"/>
    <w:rsid w:val="00A153D1"/>
    <w:rsid w:val="00A206DE"/>
    <w:rsid w:val="00A20D49"/>
    <w:rsid w:val="00A22698"/>
    <w:rsid w:val="00A2638E"/>
    <w:rsid w:val="00A34BCF"/>
    <w:rsid w:val="00A371F8"/>
    <w:rsid w:val="00A40878"/>
    <w:rsid w:val="00A4694D"/>
    <w:rsid w:val="00A501F5"/>
    <w:rsid w:val="00A532D0"/>
    <w:rsid w:val="00A54875"/>
    <w:rsid w:val="00A5598A"/>
    <w:rsid w:val="00A64A90"/>
    <w:rsid w:val="00A66756"/>
    <w:rsid w:val="00A66B42"/>
    <w:rsid w:val="00A70282"/>
    <w:rsid w:val="00A75274"/>
    <w:rsid w:val="00A75294"/>
    <w:rsid w:val="00A770B2"/>
    <w:rsid w:val="00A77ACB"/>
    <w:rsid w:val="00A80356"/>
    <w:rsid w:val="00A82046"/>
    <w:rsid w:val="00A828DF"/>
    <w:rsid w:val="00A8490E"/>
    <w:rsid w:val="00A87DA9"/>
    <w:rsid w:val="00A900FB"/>
    <w:rsid w:val="00A90DA6"/>
    <w:rsid w:val="00A91F47"/>
    <w:rsid w:val="00A95F2A"/>
    <w:rsid w:val="00AA502F"/>
    <w:rsid w:val="00AA625B"/>
    <w:rsid w:val="00AB0D8C"/>
    <w:rsid w:val="00AB5278"/>
    <w:rsid w:val="00AB68EE"/>
    <w:rsid w:val="00AC0979"/>
    <w:rsid w:val="00AC14CD"/>
    <w:rsid w:val="00AC73BA"/>
    <w:rsid w:val="00AD08FC"/>
    <w:rsid w:val="00AD7B5F"/>
    <w:rsid w:val="00AE57D7"/>
    <w:rsid w:val="00AE5904"/>
    <w:rsid w:val="00AF10C7"/>
    <w:rsid w:val="00B010C2"/>
    <w:rsid w:val="00B02E0B"/>
    <w:rsid w:val="00B0376E"/>
    <w:rsid w:val="00B0566E"/>
    <w:rsid w:val="00B06400"/>
    <w:rsid w:val="00B0669E"/>
    <w:rsid w:val="00B0790D"/>
    <w:rsid w:val="00B07A93"/>
    <w:rsid w:val="00B166C2"/>
    <w:rsid w:val="00B238B2"/>
    <w:rsid w:val="00B244DE"/>
    <w:rsid w:val="00B24780"/>
    <w:rsid w:val="00B24B47"/>
    <w:rsid w:val="00B27416"/>
    <w:rsid w:val="00B276CA"/>
    <w:rsid w:val="00B27E60"/>
    <w:rsid w:val="00B4162B"/>
    <w:rsid w:val="00B43E8F"/>
    <w:rsid w:val="00B464FB"/>
    <w:rsid w:val="00B50A5A"/>
    <w:rsid w:val="00B567E2"/>
    <w:rsid w:val="00B57958"/>
    <w:rsid w:val="00B57B8F"/>
    <w:rsid w:val="00B57DDC"/>
    <w:rsid w:val="00B66492"/>
    <w:rsid w:val="00B70DF3"/>
    <w:rsid w:val="00B7293F"/>
    <w:rsid w:val="00B808E2"/>
    <w:rsid w:val="00B812B7"/>
    <w:rsid w:val="00B849B3"/>
    <w:rsid w:val="00B876BD"/>
    <w:rsid w:val="00B87A89"/>
    <w:rsid w:val="00B93539"/>
    <w:rsid w:val="00B95714"/>
    <w:rsid w:val="00BA682B"/>
    <w:rsid w:val="00BB3286"/>
    <w:rsid w:val="00BB46AC"/>
    <w:rsid w:val="00BB4E86"/>
    <w:rsid w:val="00BC2F7C"/>
    <w:rsid w:val="00BC4224"/>
    <w:rsid w:val="00BD1356"/>
    <w:rsid w:val="00BD28D9"/>
    <w:rsid w:val="00BD52FB"/>
    <w:rsid w:val="00BD78E8"/>
    <w:rsid w:val="00BE2BFE"/>
    <w:rsid w:val="00BE4541"/>
    <w:rsid w:val="00BF349C"/>
    <w:rsid w:val="00C00B3A"/>
    <w:rsid w:val="00C02DB9"/>
    <w:rsid w:val="00C07C57"/>
    <w:rsid w:val="00C175F5"/>
    <w:rsid w:val="00C219FB"/>
    <w:rsid w:val="00C21A9D"/>
    <w:rsid w:val="00C23666"/>
    <w:rsid w:val="00C23ADC"/>
    <w:rsid w:val="00C25A5A"/>
    <w:rsid w:val="00C25B20"/>
    <w:rsid w:val="00C34BFB"/>
    <w:rsid w:val="00C34EBB"/>
    <w:rsid w:val="00C35E5F"/>
    <w:rsid w:val="00C40DA7"/>
    <w:rsid w:val="00C44781"/>
    <w:rsid w:val="00C50A6C"/>
    <w:rsid w:val="00C541E3"/>
    <w:rsid w:val="00C5787B"/>
    <w:rsid w:val="00C5793C"/>
    <w:rsid w:val="00C57F47"/>
    <w:rsid w:val="00C60B52"/>
    <w:rsid w:val="00C62830"/>
    <w:rsid w:val="00C6564F"/>
    <w:rsid w:val="00C656B7"/>
    <w:rsid w:val="00C67BC1"/>
    <w:rsid w:val="00C75E49"/>
    <w:rsid w:val="00C76576"/>
    <w:rsid w:val="00C91591"/>
    <w:rsid w:val="00C93FC3"/>
    <w:rsid w:val="00C9517A"/>
    <w:rsid w:val="00CB247C"/>
    <w:rsid w:val="00CB28C2"/>
    <w:rsid w:val="00CC04F8"/>
    <w:rsid w:val="00CC1F27"/>
    <w:rsid w:val="00CD510E"/>
    <w:rsid w:val="00CE176F"/>
    <w:rsid w:val="00CE2F6A"/>
    <w:rsid w:val="00CE470F"/>
    <w:rsid w:val="00CE4B7E"/>
    <w:rsid w:val="00CE4F28"/>
    <w:rsid w:val="00CE5503"/>
    <w:rsid w:val="00CE7520"/>
    <w:rsid w:val="00CF4811"/>
    <w:rsid w:val="00CF71FB"/>
    <w:rsid w:val="00CF788D"/>
    <w:rsid w:val="00D05B89"/>
    <w:rsid w:val="00D07B28"/>
    <w:rsid w:val="00D14EFC"/>
    <w:rsid w:val="00D156F2"/>
    <w:rsid w:val="00D16F8F"/>
    <w:rsid w:val="00D1732B"/>
    <w:rsid w:val="00D2004E"/>
    <w:rsid w:val="00D2298B"/>
    <w:rsid w:val="00D229D8"/>
    <w:rsid w:val="00D34702"/>
    <w:rsid w:val="00D365EB"/>
    <w:rsid w:val="00D41B83"/>
    <w:rsid w:val="00D44918"/>
    <w:rsid w:val="00D44A29"/>
    <w:rsid w:val="00D44E36"/>
    <w:rsid w:val="00D50122"/>
    <w:rsid w:val="00D6104E"/>
    <w:rsid w:val="00D62614"/>
    <w:rsid w:val="00D64CD1"/>
    <w:rsid w:val="00D65A32"/>
    <w:rsid w:val="00D66F27"/>
    <w:rsid w:val="00D7050D"/>
    <w:rsid w:val="00D71C9D"/>
    <w:rsid w:val="00D72300"/>
    <w:rsid w:val="00D73814"/>
    <w:rsid w:val="00D75B78"/>
    <w:rsid w:val="00D813D9"/>
    <w:rsid w:val="00D86269"/>
    <w:rsid w:val="00D864D1"/>
    <w:rsid w:val="00D90815"/>
    <w:rsid w:val="00D90B9E"/>
    <w:rsid w:val="00D90BF0"/>
    <w:rsid w:val="00D94840"/>
    <w:rsid w:val="00D96B22"/>
    <w:rsid w:val="00DA36D9"/>
    <w:rsid w:val="00DA40F0"/>
    <w:rsid w:val="00DA451E"/>
    <w:rsid w:val="00DA472D"/>
    <w:rsid w:val="00DA49EC"/>
    <w:rsid w:val="00DA7344"/>
    <w:rsid w:val="00DB0B98"/>
    <w:rsid w:val="00DB12B3"/>
    <w:rsid w:val="00DB4E18"/>
    <w:rsid w:val="00DC41AB"/>
    <w:rsid w:val="00DC5482"/>
    <w:rsid w:val="00DC7403"/>
    <w:rsid w:val="00DC7A4B"/>
    <w:rsid w:val="00DD0C02"/>
    <w:rsid w:val="00DD3291"/>
    <w:rsid w:val="00DD375A"/>
    <w:rsid w:val="00DD4631"/>
    <w:rsid w:val="00DD5A99"/>
    <w:rsid w:val="00DE02DF"/>
    <w:rsid w:val="00DE22ED"/>
    <w:rsid w:val="00DE3794"/>
    <w:rsid w:val="00DF3A70"/>
    <w:rsid w:val="00DF5280"/>
    <w:rsid w:val="00DF69A6"/>
    <w:rsid w:val="00DF7493"/>
    <w:rsid w:val="00E045DE"/>
    <w:rsid w:val="00E05AE9"/>
    <w:rsid w:val="00E064B3"/>
    <w:rsid w:val="00E07A15"/>
    <w:rsid w:val="00E127F7"/>
    <w:rsid w:val="00E1280C"/>
    <w:rsid w:val="00E12A94"/>
    <w:rsid w:val="00E13C1B"/>
    <w:rsid w:val="00E1579E"/>
    <w:rsid w:val="00E167F4"/>
    <w:rsid w:val="00E21FE4"/>
    <w:rsid w:val="00E25069"/>
    <w:rsid w:val="00E303FF"/>
    <w:rsid w:val="00E32046"/>
    <w:rsid w:val="00E41A37"/>
    <w:rsid w:val="00E44AB1"/>
    <w:rsid w:val="00E46F56"/>
    <w:rsid w:val="00E47245"/>
    <w:rsid w:val="00E52082"/>
    <w:rsid w:val="00E6134E"/>
    <w:rsid w:val="00E62585"/>
    <w:rsid w:val="00E62A07"/>
    <w:rsid w:val="00E62FB1"/>
    <w:rsid w:val="00E63B4B"/>
    <w:rsid w:val="00E65571"/>
    <w:rsid w:val="00E66C8E"/>
    <w:rsid w:val="00E71EC7"/>
    <w:rsid w:val="00E7397E"/>
    <w:rsid w:val="00E739C1"/>
    <w:rsid w:val="00E74588"/>
    <w:rsid w:val="00E74779"/>
    <w:rsid w:val="00E80F28"/>
    <w:rsid w:val="00E82595"/>
    <w:rsid w:val="00E84BA9"/>
    <w:rsid w:val="00E94811"/>
    <w:rsid w:val="00E95D0A"/>
    <w:rsid w:val="00E95EE8"/>
    <w:rsid w:val="00EA0844"/>
    <w:rsid w:val="00EA1178"/>
    <w:rsid w:val="00EA2345"/>
    <w:rsid w:val="00EA3CB9"/>
    <w:rsid w:val="00EA6FDD"/>
    <w:rsid w:val="00EA7214"/>
    <w:rsid w:val="00EC06BE"/>
    <w:rsid w:val="00EC4C27"/>
    <w:rsid w:val="00EC7293"/>
    <w:rsid w:val="00ED2FA2"/>
    <w:rsid w:val="00ED3933"/>
    <w:rsid w:val="00ED5C02"/>
    <w:rsid w:val="00ED7019"/>
    <w:rsid w:val="00EE2639"/>
    <w:rsid w:val="00EE2D9E"/>
    <w:rsid w:val="00EE5C3E"/>
    <w:rsid w:val="00F02738"/>
    <w:rsid w:val="00F0382F"/>
    <w:rsid w:val="00F071C9"/>
    <w:rsid w:val="00F0788A"/>
    <w:rsid w:val="00F07F5E"/>
    <w:rsid w:val="00F13A22"/>
    <w:rsid w:val="00F149BD"/>
    <w:rsid w:val="00F1751E"/>
    <w:rsid w:val="00F20FA1"/>
    <w:rsid w:val="00F349D5"/>
    <w:rsid w:val="00F3502D"/>
    <w:rsid w:val="00F41911"/>
    <w:rsid w:val="00F46971"/>
    <w:rsid w:val="00F50824"/>
    <w:rsid w:val="00F51958"/>
    <w:rsid w:val="00F55D5C"/>
    <w:rsid w:val="00F5656F"/>
    <w:rsid w:val="00F62961"/>
    <w:rsid w:val="00F675FF"/>
    <w:rsid w:val="00F67AC5"/>
    <w:rsid w:val="00F71C31"/>
    <w:rsid w:val="00F73A79"/>
    <w:rsid w:val="00F764D5"/>
    <w:rsid w:val="00F814AC"/>
    <w:rsid w:val="00F81955"/>
    <w:rsid w:val="00F92145"/>
    <w:rsid w:val="00F93A4F"/>
    <w:rsid w:val="00F93AA7"/>
    <w:rsid w:val="00F948B9"/>
    <w:rsid w:val="00F94A60"/>
    <w:rsid w:val="00F95FBB"/>
    <w:rsid w:val="00FA1105"/>
    <w:rsid w:val="00FA30E9"/>
    <w:rsid w:val="00FA3A72"/>
    <w:rsid w:val="00FA5AF9"/>
    <w:rsid w:val="00FA5C15"/>
    <w:rsid w:val="00FA73A3"/>
    <w:rsid w:val="00FB40C3"/>
    <w:rsid w:val="00FC113A"/>
    <w:rsid w:val="00FC4F4B"/>
    <w:rsid w:val="00FD0D58"/>
    <w:rsid w:val="00FD1095"/>
    <w:rsid w:val="00FD66E0"/>
    <w:rsid w:val="00FD7BA4"/>
    <w:rsid w:val="00FE3D00"/>
    <w:rsid w:val="00FE65C1"/>
    <w:rsid w:val="00FF5A12"/>
    <w:rsid w:val="00FF6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199E"/>
  <w15:chartTrackingRefBased/>
  <w15:docId w15:val="{89F3866C-CB33-4648-AD7A-A2EDFFB0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02"/>
  </w:style>
  <w:style w:type="paragraph" w:styleId="Heading1">
    <w:name w:val="heading 1"/>
    <w:basedOn w:val="Normal"/>
    <w:next w:val="Normal"/>
    <w:link w:val="Heading1Char"/>
    <w:uiPriority w:val="9"/>
    <w:qFormat/>
    <w:rsid w:val="00184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4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4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907"/>
    <w:rPr>
      <w:rFonts w:eastAsiaTheme="majorEastAsia" w:cstheme="majorBidi"/>
      <w:color w:val="272727" w:themeColor="text1" w:themeTint="D8"/>
    </w:rPr>
  </w:style>
  <w:style w:type="paragraph" w:styleId="Title">
    <w:name w:val="Title"/>
    <w:basedOn w:val="Normal"/>
    <w:next w:val="Normal"/>
    <w:link w:val="TitleChar"/>
    <w:uiPriority w:val="10"/>
    <w:qFormat/>
    <w:rsid w:val="00184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907"/>
    <w:pPr>
      <w:spacing w:before="160"/>
      <w:jc w:val="center"/>
    </w:pPr>
    <w:rPr>
      <w:i/>
      <w:iCs/>
      <w:color w:val="404040" w:themeColor="text1" w:themeTint="BF"/>
    </w:rPr>
  </w:style>
  <w:style w:type="character" w:customStyle="1" w:styleId="QuoteChar">
    <w:name w:val="Quote Char"/>
    <w:basedOn w:val="DefaultParagraphFont"/>
    <w:link w:val="Quote"/>
    <w:uiPriority w:val="29"/>
    <w:rsid w:val="00184907"/>
    <w:rPr>
      <w:i/>
      <w:iCs/>
      <w:color w:val="404040" w:themeColor="text1" w:themeTint="BF"/>
    </w:rPr>
  </w:style>
  <w:style w:type="paragraph" w:styleId="ListParagraph">
    <w:name w:val="List Paragraph"/>
    <w:basedOn w:val="Normal"/>
    <w:uiPriority w:val="34"/>
    <w:qFormat/>
    <w:rsid w:val="00184907"/>
    <w:pPr>
      <w:ind w:left="720"/>
      <w:contextualSpacing/>
    </w:pPr>
  </w:style>
  <w:style w:type="character" w:styleId="IntenseEmphasis">
    <w:name w:val="Intense Emphasis"/>
    <w:basedOn w:val="DefaultParagraphFont"/>
    <w:uiPriority w:val="21"/>
    <w:qFormat/>
    <w:rsid w:val="00184907"/>
    <w:rPr>
      <w:i/>
      <w:iCs/>
      <w:color w:val="0F4761" w:themeColor="accent1" w:themeShade="BF"/>
    </w:rPr>
  </w:style>
  <w:style w:type="paragraph" w:styleId="IntenseQuote">
    <w:name w:val="Intense Quote"/>
    <w:basedOn w:val="Normal"/>
    <w:next w:val="Normal"/>
    <w:link w:val="IntenseQuoteChar"/>
    <w:uiPriority w:val="30"/>
    <w:qFormat/>
    <w:rsid w:val="00184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907"/>
    <w:rPr>
      <w:i/>
      <w:iCs/>
      <w:color w:val="0F4761" w:themeColor="accent1" w:themeShade="BF"/>
    </w:rPr>
  </w:style>
  <w:style w:type="character" w:styleId="IntenseReference">
    <w:name w:val="Intense Reference"/>
    <w:basedOn w:val="DefaultParagraphFont"/>
    <w:uiPriority w:val="32"/>
    <w:qFormat/>
    <w:rsid w:val="00184907"/>
    <w:rPr>
      <w:b/>
      <w:bCs/>
      <w:smallCaps/>
      <w:color w:val="0F4761" w:themeColor="accent1" w:themeShade="BF"/>
      <w:spacing w:val="5"/>
    </w:rPr>
  </w:style>
  <w:style w:type="paragraph" w:customStyle="1" w:styleId="Articletitle">
    <w:name w:val="Article title"/>
    <w:basedOn w:val="Normal"/>
    <w:next w:val="Normal"/>
    <w:qFormat/>
    <w:rsid w:val="00A074D5"/>
    <w:pPr>
      <w:spacing w:after="120" w:line="360" w:lineRule="auto"/>
    </w:pPr>
    <w:rPr>
      <w:rFonts w:ascii="Times New Roman" w:eastAsia="Times New Roman" w:hAnsi="Times New Roman" w:cs="Times New Roman"/>
      <w:b/>
      <w:kern w:val="0"/>
      <w:sz w:val="28"/>
      <w:szCs w:val="24"/>
      <w:lang w:eastAsia="en-GB"/>
      <w14:ligatures w14:val="none"/>
    </w:rPr>
  </w:style>
  <w:style w:type="paragraph" w:customStyle="1" w:styleId="Authornames">
    <w:name w:val="Author names"/>
    <w:basedOn w:val="Normal"/>
    <w:next w:val="Normal"/>
    <w:qFormat/>
    <w:rsid w:val="00A074D5"/>
    <w:pPr>
      <w:spacing w:before="240" w:after="0" w:line="360" w:lineRule="auto"/>
    </w:pPr>
    <w:rPr>
      <w:rFonts w:ascii="Times New Roman" w:eastAsia="Times New Roman" w:hAnsi="Times New Roman" w:cs="Times New Roman"/>
      <w:kern w:val="0"/>
      <w:sz w:val="28"/>
      <w:szCs w:val="24"/>
      <w:lang w:eastAsia="en-GB"/>
      <w14:ligatures w14:val="none"/>
    </w:rPr>
  </w:style>
  <w:style w:type="paragraph" w:customStyle="1" w:styleId="Affiliation">
    <w:name w:val="Affiliation"/>
    <w:basedOn w:val="Normal"/>
    <w:qFormat/>
    <w:rsid w:val="00A074D5"/>
    <w:pPr>
      <w:spacing w:before="240" w:after="0" w:line="360" w:lineRule="auto"/>
    </w:pPr>
    <w:rPr>
      <w:rFonts w:ascii="Times New Roman" w:eastAsia="Times New Roman" w:hAnsi="Times New Roman" w:cs="Times New Roman"/>
      <w:i/>
      <w:kern w:val="0"/>
      <w:sz w:val="24"/>
      <w:szCs w:val="24"/>
      <w:lang w:eastAsia="en-GB"/>
      <w14:ligatures w14:val="none"/>
    </w:rPr>
  </w:style>
  <w:style w:type="paragraph" w:customStyle="1" w:styleId="Correspondencedetails">
    <w:name w:val="Correspondence details"/>
    <w:basedOn w:val="Normal"/>
    <w:qFormat/>
    <w:rsid w:val="00A074D5"/>
    <w:pPr>
      <w:spacing w:before="240" w:after="0" w:line="360" w:lineRule="auto"/>
    </w:pPr>
    <w:rPr>
      <w:rFonts w:ascii="Times New Roman" w:eastAsia="Times New Roman" w:hAnsi="Times New Roman" w:cs="Times New Roman"/>
      <w:kern w:val="0"/>
      <w:sz w:val="24"/>
      <w:szCs w:val="24"/>
      <w:lang w:eastAsia="en-GB"/>
      <w14:ligatures w14:val="none"/>
    </w:rPr>
  </w:style>
  <w:style w:type="paragraph" w:customStyle="1" w:styleId="Displayedquotation">
    <w:name w:val="Displayed quotation"/>
    <w:basedOn w:val="Normal"/>
    <w:qFormat/>
    <w:rsid w:val="00C93FC3"/>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C93FC3"/>
    <w:rPr>
      <w:color w:val="467886" w:themeColor="hyperlink"/>
      <w:u w:val="single"/>
    </w:rPr>
  </w:style>
  <w:style w:type="table" w:styleId="TableGrid">
    <w:name w:val="Table Grid"/>
    <w:basedOn w:val="TableNormal"/>
    <w:uiPriority w:val="39"/>
    <w:rsid w:val="00C9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69EE"/>
    <w:rPr>
      <w:color w:val="605E5C"/>
      <w:shd w:val="clear" w:color="auto" w:fill="E1DFDD"/>
    </w:rPr>
  </w:style>
  <w:style w:type="character" w:styleId="FollowedHyperlink">
    <w:name w:val="FollowedHyperlink"/>
    <w:basedOn w:val="DefaultParagraphFont"/>
    <w:uiPriority w:val="99"/>
    <w:semiHidden/>
    <w:unhideWhenUsed/>
    <w:rsid w:val="00337EF4"/>
    <w:rPr>
      <w:color w:val="96607D" w:themeColor="followedHyperlink"/>
      <w:u w:val="single"/>
    </w:rPr>
  </w:style>
  <w:style w:type="character" w:styleId="CommentReference">
    <w:name w:val="annotation reference"/>
    <w:basedOn w:val="DefaultParagraphFont"/>
    <w:uiPriority w:val="99"/>
    <w:semiHidden/>
    <w:unhideWhenUsed/>
    <w:rsid w:val="005C7F3A"/>
    <w:rPr>
      <w:sz w:val="16"/>
      <w:szCs w:val="16"/>
    </w:rPr>
  </w:style>
  <w:style w:type="paragraph" w:styleId="CommentText">
    <w:name w:val="annotation text"/>
    <w:basedOn w:val="Normal"/>
    <w:link w:val="CommentTextChar"/>
    <w:uiPriority w:val="99"/>
    <w:unhideWhenUsed/>
    <w:rsid w:val="005C7F3A"/>
    <w:pPr>
      <w:spacing w:line="240" w:lineRule="auto"/>
    </w:pPr>
    <w:rPr>
      <w:sz w:val="20"/>
      <w:szCs w:val="20"/>
    </w:rPr>
  </w:style>
  <w:style w:type="character" w:customStyle="1" w:styleId="CommentTextChar">
    <w:name w:val="Comment Text Char"/>
    <w:basedOn w:val="DefaultParagraphFont"/>
    <w:link w:val="CommentText"/>
    <w:uiPriority w:val="99"/>
    <w:rsid w:val="005C7F3A"/>
    <w:rPr>
      <w:sz w:val="20"/>
      <w:szCs w:val="20"/>
    </w:rPr>
  </w:style>
  <w:style w:type="paragraph" w:styleId="CommentSubject">
    <w:name w:val="annotation subject"/>
    <w:basedOn w:val="CommentText"/>
    <w:next w:val="CommentText"/>
    <w:link w:val="CommentSubjectChar"/>
    <w:uiPriority w:val="99"/>
    <w:semiHidden/>
    <w:unhideWhenUsed/>
    <w:rsid w:val="005C7F3A"/>
    <w:rPr>
      <w:b/>
      <w:bCs/>
    </w:rPr>
  </w:style>
  <w:style w:type="character" w:customStyle="1" w:styleId="CommentSubjectChar">
    <w:name w:val="Comment Subject Char"/>
    <w:basedOn w:val="CommentTextChar"/>
    <w:link w:val="CommentSubject"/>
    <w:uiPriority w:val="99"/>
    <w:semiHidden/>
    <w:rsid w:val="005C7F3A"/>
    <w:rPr>
      <w:b/>
      <w:bCs/>
      <w:sz w:val="20"/>
      <w:szCs w:val="20"/>
    </w:rPr>
  </w:style>
  <w:style w:type="paragraph" w:styleId="Revision">
    <w:name w:val="Revision"/>
    <w:hidden/>
    <w:uiPriority w:val="99"/>
    <w:semiHidden/>
    <w:rsid w:val="00A206DE"/>
    <w:pPr>
      <w:spacing w:after="0" w:line="240" w:lineRule="auto"/>
    </w:pPr>
  </w:style>
  <w:style w:type="paragraph" w:styleId="FootnoteText">
    <w:name w:val="footnote text"/>
    <w:basedOn w:val="Normal"/>
    <w:link w:val="FootnoteTextChar"/>
    <w:uiPriority w:val="99"/>
    <w:semiHidden/>
    <w:unhideWhenUsed/>
    <w:rsid w:val="00E21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FE4"/>
    <w:rPr>
      <w:sz w:val="20"/>
      <w:szCs w:val="20"/>
    </w:rPr>
  </w:style>
  <w:style w:type="character" w:styleId="FootnoteReference">
    <w:name w:val="footnote reference"/>
    <w:basedOn w:val="DefaultParagraphFont"/>
    <w:uiPriority w:val="99"/>
    <w:semiHidden/>
    <w:unhideWhenUsed/>
    <w:rsid w:val="00E21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55857">
      <w:bodyDiv w:val="1"/>
      <w:marLeft w:val="0"/>
      <w:marRight w:val="0"/>
      <w:marTop w:val="0"/>
      <w:marBottom w:val="0"/>
      <w:divBdr>
        <w:top w:val="none" w:sz="0" w:space="0" w:color="auto"/>
        <w:left w:val="none" w:sz="0" w:space="0" w:color="auto"/>
        <w:bottom w:val="none" w:sz="0" w:space="0" w:color="auto"/>
        <w:right w:val="none" w:sz="0" w:space="0" w:color="auto"/>
      </w:divBdr>
    </w:div>
    <w:div w:id="571621014">
      <w:bodyDiv w:val="1"/>
      <w:marLeft w:val="0"/>
      <w:marRight w:val="0"/>
      <w:marTop w:val="0"/>
      <w:marBottom w:val="0"/>
      <w:divBdr>
        <w:top w:val="none" w:sz="0" w:space="0" w:color="auto"/>
        <w:left w:val="none" w:sz="0" w:space="0" w:color="auto"/>
        <w:bottom w:val="none" w:sz="0" w:space="0" w:color="auto"/>
        <w:right w:val="none" w:sz="0" w:space="0" w:color="auto"/>
      </w:divBdr>
    </w:div>
    <w:div w:id="618024204">
      <w:bodyDiv w:val="1"/>
      <w:marLeft w:val="0"/>
      <w:marRight w:val="0"/>
      <w:marTop w:val="0"/>
      <w:marBottom w:val="0"/>
      <w:divBdr>
        <w:top w:val="none" w:sz="0" w:space="0" w:color="auto"/>
        <w:left w:val="none" w:sz="0" w:space="0" w:color="auto"/>
        <w:bottom w:val="none" w:sz="0" w:space="0" w:color="auto"/>
        <w:right w:val="none" w:sz="0" w:space="0" w:color="auto"/>
      </w:divBdr>
    </w:div>
    <w:div w:id="953944581">
      <w:bodyDiv w:val="1"/>
      <w:marLeft w:val="0"/>
      <w:marRight w:val="0"/>
      <w:marTop w:val="0"/>
      <w:marBottom w:val="0"/>
      <w:divBdr>
        <w:top w:val="none" w:sz="0" w:space="0" w:color="auto"/>
        <w:left w:val="none" w:sz="0" w:space="0" w:color="auto"/>
        <w:bottom w:val="none" w:sz="0" w:space="0" w:color="auto"/>
        <w:right w:val="none" w:sz="0" w:space="0" w:color="auto"/>
      </w:divBdr>
    </w:div>
    <w:div w:id="1480003871">
      <w:bodyDiv w:val="1"/>
      <w:marLeft w:val="0"/>
      <w:marRight w:val="0"/>
      <w:marTop w:val="0"/>
      <w:marBottom w:val="0"/>
      <w:divBdr>
        <w:top w:val="none" w:sz="0" w:space="0" w:color="auto"/>
        <w:left w:val="none" w:sz="0" w:space="0" w:color="auto"/>
        <w:bottom w:val="none" w:sz="0" w:space="0" w:color="auto"/>
        <w:right w:val="none" w:sz="0" w:space="0" w:color="auto"/>
      </w:divBdr>
    </w:div>
    <w:div w:id="1901474140">
      <w:bodyDiv w:val="1"/>
      <w:marLeft w:val="0"/>
      <w:marRight w:val="0"/>
      <w:marTop w:val="0"/>
      <w:marBottom w:val="0"/>
      <w:divBdr>
        <w:top w:val="none" w:sz="0" w:space="0" w:color="auto"/>
        <w:left w:val="none" w:sz="0" w:space="0" w:color="auto"/>
        <w:bottom w:val="none" w:sz="0" w:space="0" w:color="auto"/>
        <w:right w:val="none" w:sz="0" w:space="0" w:color="auto"/>
      </w:divBdr>
    </w:div>
    <w:div w:id="214384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0795936d3bf7f400b462d74/Early-Career_Framework_April_2021.pdf" TargetMode="External"/><Relationship Id="rId18" Type="http://schemas.openxmlformats.org/officeDocument/2006/relationships/hyperlink" Target="https://doi.org/10.5281/zenodo.14289911" TargetMode="External"/><Relationship Id="rId26" Type="http://schemas.openxmlformats.org/officeDocument/2006/relationships/diagramQuickStyle" Target="diagrams/quickStyle1.xml"/><Relationship Id="rId39" Type="http://schemas.openxmlformats.org/officeDocument/2006/relationships/diagramData" Target="diagrams/data4.xml"/><Relationship Id="rId21" Type="http://schemas.openxmlformats.org/officeDocument/2006/relationships/hyperlink" Target="https://doi.org/10.5258/SOTON/P1228" TargetMode="External"/><Relationship Id="rId34" Type="http://schemas.openxmlformats.org/officeDocument/2006/relationships/diagramData" Target="diagrams/data3.xml"/><Relationship Id="rId42" Type="http://schemas.openxmlformats.org/officeDocument/2006/relationships/diagramColors" Target="diagrams/colors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horturl.at/90rHA"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career-framework-induction-evaluation"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Colors" Target="diagrams/colors3.xml"/><Relationship Id="rId40" Type="http://schemas.openxmlformats.org/officeDocument/2006/relationships/diagramLayout" Target="diagrams/layout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initial-teacher-training-and-early-career-framework" TargetMode="External"/><Relationship Id="rId23" Type="http://schemas.openxmlformats.org/officeDocument/2006/relationships/hyperlink" Target="https://doi.org/10.1080/19415257.2017.1299028" TargetMode="External"/><Relationship Id="rId28" Type="http://schemas.microsoft.com/office/2007/relationships/diagramDrawing" Target="diagrams/drawing1.xml"/><Relationship Id="rId36" Type="http://schemas.openxmlformats.org/officeDocument/2006/relationships/diagramQuickStyle" Target="diagrams/quickStyle3.xml"/><Relationship Id="rId10" Type="http://schemas.openxmlformats.org/officeDocument/2006/relationships/hyperlink" Target="https://doi.org/10.1080/01596306.2011.601555" TargetMode="External"/><Relationship Id="rId19" Type="http://schemas.openxmlformats.org/officeDocument/2006/relationships/hyperlink" Target="https://neu.org.uk/latest/press-releases/global-teacher-recruitment-and-retention-crisis" TargetMode="External"/><Relationship Id="rId31" Type="http://schemas.openxmlformats.org/officeDocument/2006/relationships/diagramQuickStyle" Target="diagrams/quickStyle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chertapp.com/uk/publications/teacher-recruitment-and-retention-in-2025/" TargetMode="External"/><Relationship Id="rId14" Type="http://schemas.openxmlformats.org/officeDocument/2006/relationships/hyperlink" Target="https://assets.publishing.service.gov.uk/media/661d24ba08c3be25cfbd3e62/Outcomes_of_the_review_of_the_Initial_Teacher_Training_Core_Content_Framework_and_Early_Career_Framework.pdf" TargetMode="External"/><Relationship Id="rId22" Type="http://schemas.openxmlformats.org/officeDocument/2006/relationships/hyperlink" Target="http://www.gov.uk/government/publications"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Layout" Target="diagrams/layout3.xml"/><Relationship Id="rId43" Type="http://schemas.microsoft.com/office/2007/relationships/diagramDrawing" Target="diagrams/drawing4.xml"/><Relationship Id="rId8" Type="http://schemas.openxmlformats.org/officeDocument/2006/relationships/hyperlink" Target="mailto:Achala.Gupta@soton.ac.uk" TargetMode="External"/><Relationship Id="rId3" Type="http://schemas.openxmlformats.org/officeDocument/2006/relationships/styles" Target="styles.xml"/><Relationship Id="rId12" Type="http://schemas.openxmlformats.org/officeDocument/2006/relationships/hyperlink" Target="https://assets.publishing.service.gov.uk/media/5c8fc653ed915d07a80a33fa/DFE_Teacher_Retention_Strategy_Report.pdf" TargetMode="External"/><Relationship Id="rId17" Type="http://schemas.openxmlformats.org/officeDocument/2006/relationships/hyperlink" Target="http://doi.org/10.5258/SOTON/P1229"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microsoft.com/office/2007/relationships/diagramDrawing" Target="diagrams/drawing3.xml"/><Relationship Id="rId20" Type="http://schemas.openxmlformats.org/officeDocument/2006/relationships/hyperlink" Target="https://www.nfer.ac.uk/publications/teacher-labour-market-in-england-annual-report-2025/" TargetMode="External"/><Relationship Id="rId41" Type="http://schemas.openxmlformats.org/officeDocument/2006/relationships/diagramQuickStyle" Target="diagrams/quickStyle4.xm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FC294A-6FE0-4362-A898-0CA5240C2D5D}" type="doc">
      <dgm:prSet loTypeId="urn:microsoft.com/office/officeart/2005/8/layout/venn2" loCatId="relationship" qsTypeId="urn:microsoft.com/office/officeart/2005/8/quickstyle/simple4" qsCatId="simple" csTypeId="urn:microsoft.com/office/officeart/2005/8/colors/accent2_3" csCatId="accent2" phldr="1"/>
      <dgm:spPr/>
      <dgm:t>
        <a:bodyPr/>
        <a:lstStyle/>
        <a:p>
          <a:endParaRPr lang="en-GB"/>
        </a:p>
      </dgm:t>
    </dgm:pt>
    <dgm:pt modelId="{81449FDB-D49C-434C-9E34-0A27AB7F6717}">
      <dgm:prSet phldrT="[Text]" custT="1"/>
      <dgm:spPr/>
      <dgm:t>
        <a:bodyPr/>
        <a:lstStyle/>
        <a:p>
          <a:r>
            <a:rPr lang="en-GB" sz="800"/>
            <a:t>Independent schools association</a:t>
          </a:r>
        </a:p>
      </dgm:t>
    </dgm:pt>
    <dgm:pt modelId="{D4619155-8B6E-4E8E-BBEC-F9F92F3A4333}" type="parTrans" cxnId="{22BA0D23-02AB-4A2F-8CD0-168FC42B1B1B}">
      <dgm:prSet/>
      <dgm:spPr/>
      <dgm:t>
        <a:bodyPr/>
        <a:lstStyle/>
        <a:p>
          <a:endParaRPr lang="en-GB" sz="2400"/>
        </a:p>
      </dgm:t>
    </dgm:pt>
    <dgm:pt modelId="{307B6F61-6EBB-491C-A434-AD84B5BD6FED}" type="sibTrans" cxnId="{22BA0D23-02AB-4A2F-8CD0-168FC42B1B1B}">
      <dgm:prSet/>
      <dgm:spPr/>
      <dgm:t>
        <a:bodyPr/>
        <a:lstStyle/>
        <a:p>
          <a:endParaRPr lang="en-GB" sz="2400"/>
        </a:p>
      </dgm:t>
    </dgm:pt>
    <dgm:pt modelId="{0FD70E90-FB87-43A4-ADBF-61C88C618699}">
      <dgm:prSet phldrT="[Text]" custT="1"/>
      <dgm:spPr/>
      <dgm:t>
        <a:bodyPr/>
        <a:lstStyle/>
        <a:p>
          <a:endParaRPr lang="en-GB" sz="900"/>
        </a:p>
        <a:p>
          <a:r>
            <a:rPr lang="en-GB" sz="900"/>
            <a:t>Independent school context</a:t>
          </a:r>
        </a:p>
      </dgm:t>
    </dgm:pt>
    <dgm:pt modelId="{2E70C32B-96EE-49BD-ACF1-7A0749FF2655}" type="parTrans" cxnId="{4F3F4DA8-3B3E-4546-8EAC-4CDCB054F611}">
      <dgm:prSet/>
      <dgm:spPr/>
      <dgm:t>
        <a:bodyPr/>
        <a:lstStyle/>
        <a:p>
          <a:endParaRPr lang="en-GB" sz="2400"/>
        </a:p>
      </dgm:t>
    </dgm:pt>
    <dgm:pt modelId="{EB8BF58D-A932-452B-8336-1D004A10B51F}" type="sibTrans" cxnId="{4F3F4DA8-3B3E-4546-8EAC-4CDCB054F611}">
      <dgm:prSet/>
      <dgm:spPr/>
      <dgm:t>
        <a:bodyPr/>
        <a:lstStyle/>
        <a:p>
          <a:endParaRPr lang="en-GB" sz="2400"/>
        </a:p>
      </dgm:t>
    </dgm:pt>
    <dgm:pt modelId="{9CE96EEE-1A86-4459-8110-59981FAEBEEB}">
      <dgm:prSet phldrT="[Text]" custT="1"/>
      <dgm:spPr/>
      <dgm:t>
        <a:bodyPr/>
        <a:lstStyle/>
        <a:p>
          <a:r>
            <a:rPr lang="en-GB" sz="900"/>
            <a:t>In-house ECF-informed ECT programme</a:t>
          </a:r>
        </a:p>
      </dgm:t>
    </dgm:pt>
    <dgm:pt modelId="{35DE0284-3F03-48AB-813C-F46A1ABFD3BF}" type="parTrans" cxnId="{DC893374-E646-49A7-A591-E30ED1665C5C}">
      <dgm:prSet/>
      <dgm:spPr/>
      <dgm:t>
        <a:bodyPr/>
        <a:lstStyle/>
        <a:p>
          <a:endParaRPr lang="en-GB"/>
        </a:p>
      </dgm:t>
    </dgm:pt>
    <dgm:pt modelId="{D3236046-378D-46EB-B018-EFF9B6522214}" type="sibTrans" cxnId="{DC893374-E646-49A7-A591-E30ED1665C5C}">
      <dgm:prSet/>
      <dgm:spPr/>
      <dgm:t>
        <a:bodyPr/>
        <a:lstStyle/>
        <a:p>
          <a:endParaRPr lang="en-GB"/>
        </a:p>
      </dgm:t>
    </dgm:pt>
    <dgm:pt modelId="{34851760-51F6-4677-BAD1-538E42571081}" type="pres">
      <dgm:prSet presAssocID="{20FC294A-6FE0-4362-A898-0CA5240C2D5D}" presName="Name0" presStyleCnt="0">
        <dgm:presLayoutVars>
          <dgm:chMax val="7"/>
          <dgm:resizeHandles val="exact"/>
        </dgm:presLayoutVars>
      </dgm:prSet>
      <dgm:spPr/>
    </dgm:pt>
    <dgm:pt modelId="{68ACDF88-9F7F-4EB8-8CB6-A87CE8F0350E}" type="pres">
      <dgm:prSet presAssocID="{20FC294A-6FE0-4362-A898-0CA5240C2D5D}" presName="comp1" presStyleCnt="0"/>
      <dgm:spPr/>
    </dgm:pt>
    <dgm:pt modelId="{E86FED72-51EF-4F97-AFA6-AC3BAA90B1BF}" type="pres">
      <dgm:prSet presAssocID="{20FC294A-6FE0-4362-A898-0CA5240C2D5D}" presName="circle1" presStyleLbl="node1" presStyleIdx="0" presStyleCnt="3" custScaleX="110137"/>
      <dgm:spPr/>
    </dgm:pt>
    <dgm:pt modelId="{6AA236F7-F62E-46F4-8098-5DBB5CB7DBCB}" type="pres">
      <dgm:prSet presAssocID="{20FC294A-6FE0-4362-A898-0CA5240C2D5D}" presName="c1text" presStyleLbl="node1" presStyleIdx="0" presStyleCnt="3">
        <dgm:presLayoutVars>
          <dgm:bulletEnabled val="1"/>
        </dgm:presLayoutVars>
      </dgm:prSet>
      <dgm:spPr/>
    </dgm:pt>
    <dgm:pt modelId="{6E9C22EF-DCCC-4F3A-A6DE-D49530C1AE24}" type="pres">
      <dgm:prSet presAssocID="{20FC294A-6FE0-4362-A898-0CA5240C2D5D}" presName="comp2" presStyleCnt="0"/>
      <dgm:spPr/>
    </dgm:pt>
    <dgm:pt modelId="{FB2D4182-A917-40E1-911C-4D4E6D830A0D}" type="pres">
      <dgm:prSet presAssocID="{20FC294A-6FE0-4362-A898-0CA5240C2D5D}" presName="circle2" presStyleLbl="node1" presStyleIdx="1" presStyleCnt="3" custScaleX="118044"/>
      <dgm:spPr/>
    </dgm:pt>
    <dgm:pt modelId="{0764224C-3EE3-4CE5-831E-7F36094FD34F}" type="pres">
      <dgm:prSet presAssocID="{20FC294A-6FE0-4362-A898-0CA5240C2D5D}" presName="c2text" presStyleLbl="node1" presStyleIdx="1" presStyleCnt="3">
        <dgm:presLayoutVars>
          <dgm:bulletEnabled val="1"/>
        </dgm:presLayoutVars>
      </dgm:prSet>
      <dgm:spPr/>
    </dgm:pt>
    <dgm:pt modelId="{8934D179-BC17-4843-BD2F-C32894D2389C}" type="pres">
      <dgm:prSet presAssocID="{20FC294A-6FE0-4362-A898-0CA5240C2D5D}" presName="comp3" presStyleCnt="0"/>
      <dgm:spPr/>
    </dgm:pt>
    <dgm:pt modelId="{30F45D46-BD6E-4320-84CD-AC20CB6A8EBE}" type="pres">
      <dgm:prSet presAssocID="{20FC294A-6FE0-4362-A898-0CA5240C2D5D}" presName="circle3" presStyleLbl="node1" presStyleIdx="2" presStyleCnt="3" custScaleX="137271" custScaleY="62360"/>
      <dgm:spPr/>
    </dgm:pt>
    <dgm:pt modelId="{DF757A76-5FA2-4362-A39E-667E1F98B81C}" type="pres">
      <dgm:prSet presAssocID="{20FC294A-6FE0-4362-A898-0CA5240C2D5D}" presName="c3text" presStyleLbl="node1" presStyleIdx="2" presStyleCnt="3">
        <dgm:presLayoutVars>
          <dgm:bulletEnabled val="1"/>
        </dgm:presLayoutVars>
      </dgm:prSet>
      <dgm:spPr/>
    </dgm:pt>
  </dgm:ptLst>
  <dgm:cxnLst>
    <dgm:cxn modelId="{22BA0D23-02AB-4A2F-8CD0-168FC42B1B1B}" srcId="{20FC294A-6FE0-4362-A898-0CA5240C2D5D}" destId="{81449FDB-D49C-434C-9E34-0A27AB7F6717}" srcOrd="0" destOrd="0" parTransId="{D4619155-8B6E-4E8E-BBEC-F9F92F3A4333}" sibTransId="{307B6F61-6EBB-491C-A434-AD84B5BD6FED}"/>
    <dgm:cxn modelId="{738BA829-11D7-4AA8-BB98-A06B698CC5EA}" type="presOf" srcId="{20FC294A-6FE0-4362-A898-0CA5240C2D5D}" destId="{34851760-51F6-4677-BAD1-538E42571081}" srcOrd="0" destOrd="0" presId="urn:microsoft.com/office/officeart/2005/8/layout/venn2"/>
    <dgm:cxn modelId="{740D976D-BDC0-4F9E-9A60-4EB515006751}" type="presOf" srcId="{81449FDB-D49C-434C-9E34-0A27AB7F6717}" destId="{6AA236F7-F62E-46F4-8098-5DBB5CB7DBCB}" srcOrd="1" destOrd="0" presId="urn:microsoft.com/office/officeart/2005/8/layout/venn2"/>
    <dgm:cxn modelId="{DC893374-E646-49A7-A591-E30ED1665C5C}" srcId="{20FC294A-6FE0-4362-A898-0CA5240C2D5D}" destId="{9CE96EEE-1A86-4459-8110-59981FAEBEEB}" srcOrd="2" destOrd="0" parTransId="{35DE0284-3F03-48AB-813C-F46A1ABFD3BF}" sibTransId="{D3236046-378D-46EB-B018-EFF9B6522214}"/>
    <dgm:cxn modelId="{E0C9BD7C-1A19-480C-8230-21FD536CE78C}" type="presOf" srcId="{0FD70E90-FB87-43A4-ADBF-61C88C618699}" destId="{0764224C-3EE3-4CE5-831E-7F36094FD34F}" srcOrd="1" destOrd="0" presId="urn:microsoft.com/office/officeart/2005/8/layout/venn2"/>
    <dgm:cxn modelId="{A1E4E885-C1C0-4736-89BF-B7D7CF1E464D}" type="presOf" srcId="{81449FDB-D49C-434C-9E34-0A27AB7F6717}" destId="{E86FED72-51EF-4F97-AFA6-AC3BAA90B1BF}" srcOrd="0" destOrd="0" presId="urn:microsoft.com/office/officeart/2005/8/layout/venn2"/>
    <dgm:cxn modelId="{8D02C487-0D47-401D-B899-36D01C5DB15A}" type="presOf" srcId="{9CE96EEE-1A86-4459-8110-59981FAEBEEB}" destId="{DF757A76-5FA2-4362-A39E-667E1F98B81C}" srcOrd="1" destOrd="0" presId="urn:microsoft.com/office/officeart/2005/8/layout/venn2"/>
    <dgm:cxn modelId="{4F3F4DA8-3B3E-4546-8EAC-4CDCB054F611}" srcId="{20FC294A-6FE0-4362-A898-0CA5240C2D5D}" destId="{0FD70E90-FB87-43A4-ADBF-61C88C618699}" srcOrd="1" destOrd="0" parTransId="{2E70C32B-96EE-49BD-ACF1-7A0749FF2655}" sibTransId="{EB8BF58D-A932-452B-8336-1D004A10B51F}"/>
    <dgm:cxn modelId="{145F82F1-4518-4FE1-A52D-984DF4BFD705}" type="presOf" srcId="{0FD70E90-FB87-43A4-ADBF-61C88C618699}" destId="{FB2D4182-A917-40E1-911C-4D4E6D830A0D}" srcOrd="0" destOrd="0" presId="urn:microsoft.com/office/officeart/2005/8/layout/venn2"/>
    <dgm:cxn modelId="{5A9EEAF6-ADE1-4949-8D64-D95207A4B2EE}" type="presOf" srcId="{9CE96EEE-1A86-4459-8110-59981FAEBEEB}" destId="{30F45D46-BD6E-4320-84CD-AC20CB6A8EBE}" srcOrd="0" destOrd="0" presId="urn:microsoft.com/office/officeart/2005/8/layout/venn2"/>
    <dgm:cxn modelId="{A14EDBC1-6D2E-4326-9025-95DCDB4DBC1D}" type="presParOf" srcId="{34851760-51F6-4677-BAD1-538E42571081}" destId="{68ACDF88-9F7F-4EB8-8CB6-A87CE8F0350E}" srcOrd="0" destOrd="0" presId="urn:microsoft.com/office/officeart/2005/8/layout/venn2"/>
    <dgm:cxn modelId="{77DACC8A-9B36-4ACF-BB61-55E088314A15}" type="presParOf" srcId="{68ACDF88-9F7F-4EB8-8CB6-A87CE8F0350E}" destId="{E86FED72-51EF-4F97-AFA6-AC3BAA90B1BF}" srcOrd="0" destOrd="0" presId="urn:microsoft.com/office/officeart/2005/8/layout/venn2"/>
    <dgm:cxn modelId="{FAD4AB70-B88A-44AD-BDA2-08347895A778}" type="presParOf" srcId="{68ACDF88-9F7F-4EB8-8CB6-A87CE8F0350E}" destId="{6AA236F7-F62E-46F4-8098-5DBB5CB7DBCB}" srcOrd="1" destOrd="0" presId="urn:microsoft.com/office/officeart/2005/8/layout/venn2"/>
    <dgm:cxn modelId="{CB6643A7-2CC7-496A-9DF1-7E95D5A0C337}" type="presParOf" srcId="{34851760-51F6-4677-BAD1-538E42571081}" destId="{6E9C22EF-DCCC-4F3A-A6DE-D49530C1AE24}" srcOrd="1" destOrd="0" presId="urn:microsoft.com/office/officeart/2005/8/layout/venn2"/>
    <dgm:cxn modelId="{CB228D28-97F2-4350-A9ED-3D751E64DE6A}" type="presParOf" srcId="{6E9C22EF-DCCC-4F3A-A6DE-D49530C1AE24}" destId="{FB2D4182-A917-40E1-911C-4D4E6D830A0D}" srcOrd="0" destOrd="0" presId="urn:microsoft.com/office/officeart/2005/8/layout/venn2"/>
    <dgm:cxn modelId="{ABF68029-A89B-471F-A4FC-151B5E2E42CF}" type="presParOf" srcId="{6E9C22EF-DCCC-4F3A-A6DE-D49530C1AE24}" destId="{0764224C-3EE3-4CE5-831E-7F36094FD34F}" srcOrd="1" destOrd="0" presId="urn:microsoft.com/office/officeart/2005/8/layout/venn2"/>
    <dgm:cxn modelId="{21DAC89A-8FCC-47F3-8B2A-AD86103F5303}" type="presParOf" srcId="{34851760-51F6-4677-BAD1-538E42571081}" destId="{8934D179-BC17-4843-BD2F-C32894D2389C}" srcOrd="2" destOrd="0" presId="urn:microsoft.com/office/officeart/2005/8/layout/venn2"/>
    <dgm:cxn modelId="{139BEEA3-A8D3-437F-89AA-75F3D11F553D}" type="presParOf" srcId="{8934D179-BC17-4843-BD2F-C32894D2389C}" destId="{30F45D46-BD6E-4320-84CD-AC20CB6A8EBE}" srcOrd="0" destOrd="0" presId="urn:microsoft.com/office/officeart/2005/8/layout/venn2"/>
    <dgm:cxn modelId="{3FB28066-DDCA-45BE-B0BD-F64EDAE70EFA}" type="presParOf" srcId="{8934D179-BC17-4843-BD2F-C32894D2389C}" destId="{DF757A76-5FA2-4362-A39E-667E1F98B81C}" srcOrd="1" destOrd="0" presId="urn:microsoft.com/office/officeart/2005/8/layout/ven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FC294A-6FE0-4362-A898-0CA5240C2D5D}" type="doc">
      <dgm:prSet loTypeId="urn:microsoft.com/office/officeart/2005/8/layout/venn2" loCatId="relationship" qsTypeId="urn:microsoft.com/office/officeart/2005/8/quickstyle/simple1" qsCatId="simple" csTypeId="urn:microsoft.com/office/officeart/2005/8/colors/accent6_2" csCatId="accent6" phldr="1"/>
      <dgm:spPr/>
      <dgm:t>
        <a:bodyPr/>
        <a:lstStyle/>
        <a:p>
          <a:endParaRPr lang="en-GB"/>
        </a:p>
      </dgm:t>
    </dgm:pt>
    <dgm:pt modelId="{81449FDB-D49C-434C-9E34-0A27AB7F6717}">
      <dgm:prSet phldrT="[Text]" custT="1"/>
      <dgm:spPr/>
      <dgm:t>
        <a:bodyPr/>
        <a:lstStyle/>
        <a:p>
          <a:r>
            <a:rPr lang="en-GB" sz="900"/>
            <a:t>Multi-academy trust</a:t>
          </a:r>
        </a:p>
      </dgm:t>
    </dgm:pt>
    <dgm:pt modelId="{D4619155-8B6E-4E8E-BBEC-F9F92F3A4333}" type="parTrans" cxnId="{22BA0D23-02AB-4A2F-8CD0-168FC42B1B1B}">
      <dgm:prSet/>
      <dgm:spPr/>
      <dgm:t>
        <a:bodyPr/>
        <a:lstStyle/>
        <a:p>
          <a:endParaRPr lang="en-GB" sz="2400"/>
        </a:p>
      </dgm:t>
    </dgm:pt>
    <dgm:pt modelId="{307B6F61-6EBB-491C-A434-AD84B5BD6FED}" type="sibTrans" cxnId="{22BA0D23-02AB-4A2F-8CD0-168FC42B1B1B}">
      <dgm:prSet/>
      <dgm:spPr/>
      <dgm:t>
        <a:bodyPr/>
        <a:lstStyle/>
        <a:p>
          <a:endParaRPr lang="en-GB" sz="2400"/>
        </a:p>
      </dgm:t>
    </dgm:pt>
    <dgm:pt modelId="{00F65991-4B6E-4D72-964E-AF04D47010CB}">
      <dgm:prSet custT="1"/>
      <dgm:spPr/>
      <dgm:t>
        <a:bodyPr/>
        <a:lstStyle/>
        <a:p>
          <a:endParaRPr lang="en-GB" sz="800"/>
        </a:p>
        <a:p>
          <a:endParaRPr lang="en-GB" sz="800"/>
        </a:p>
        <a:p>
          <a:endParaRPr lang="en-GB" sz="800"/>
        </a:p>
        <a:p>
          <a:endParaRPr lang="en-GB" sz="800"/>
        </a:p>
        <a:p>
          <a:endParaRPr lang="en-GB" sz="800"/>
        </a:p>
        <a:p>
          <a:endParaRPr lang="en-GB" sz="800"/>
        </a:p>
        <a:p>
          <a:r>
            <a:rPr lang="en-GB" sz="900"/>
            <a:t>Multi-academy school Context</a:t>
          </a:r>
        </a:p>
      </dgm:t>
    </dgm:pt>
    <dgm:pt modelId="{D215FCA7-7502-4F33-91AE-60E1276FBDB6}" type="parTrans" cxnId="{AE48812D-13C4-4208-BD39-B60E2FEA3AEE}">
      <dgm:prSet/>
      <dgm:spPr/>
      <dgm:t>
        <a:bodyPr/>
        <a:lstStyle/>
        <a:p>
          <a:endParaRPr lang="en-GB"/>
        </a:p>
      </dgm:t>
    </dgm:pt>
    <dgm:pt modelId="{D3E0972C-5927-4918-B461-E3F83953AD8B}" type="sibTrans" cxnId="{AE48812D-13C4-4208-BD39-B60E2FEA3AEE}">
      <dgm:prSet/>
      <dgm:spPr/>
      <dgm:t>
        <a:bodyPr/>
        <a:lstStyle/>
        <a:p>
          <a:endParaRPr lang="en-GB"/>
        </a:p>
      </dgm:t>
    </dgm:pt>
    <dgm:pt modelId="{F72E7D9F-F246-4942-BBAC-CCD3246A43B7}">
      <dgm:prSet custT="1"/>
      <dgm:spPr>
        <a:solidFill>
          <a:schemeClr val="accent6">
            <a:lumMod val="20000"/>
            <a:lumOff val="80000"/>
          </a:schemeClr>
        </a:solidFill>
      </dgm:spPr>
      <dgm:t>
        <a:bodyPr/>
        <a:lstStyle/>
        <a:p>
          <a:r>
            <a:rPr lang="en-GB" sz="800">
              <a:solidFill>
                <a:sysClr val="windowText" lastClr="000000"/>
              </a:solidFill>
            </a:rPr>
            <a:t>DfE approved ECF provider </a:t>
          </a:r>
        </a:p>
      </dgm:t>
    </dgm:pt>
    <dgm:pt modelId="{A01D123A-553F-43E3-A8C1-53EE577C6B12}" type="parTrans" cxnId="{20CC2299-386A-45BF-BA65-30E15C760E5E}">
      <dgm:prSet/>
      <dgm:spPr/>
      <dgm:t>
        <a:bodyPr/>
        <a:lstStyle/>
        <a:p>
          <a:endParaRPr lang="en-GB"/>
        </a:p>
      </dgm:t>
    </dgm:pt>
    <dgm:pt modelId="{DCE8C5A1-51DB-4035-9F51-9A55B7A7CA25}" type="sibTrans" cxnId="{20CC2299-386A-45BF-BA65-30E15C760E5E}">
      <dgm:prSet/>
      <dgm:spPr/>
      <dgm:t>
        <a:bodyPr/>
        <a:lstStyle/>
        <a:p>
          <a:endParaRPr lang="en-GB"/>
        </a:p>
      </dgm:t>
    </dgm:pt>
    <dgm:pt modelId="{34851760-51F6-4677-BAD1-538E42571081}" type="pres">
      <dgm:prSet presAssocID="{20FC294A-6FE0-4362-A898-0CA5240C2D5D}" presName="Name0" presStyleCnt="0">
        <dgm:presLayoutVars>
          <dgm:chMax val="7"/>
          <dgm:resizeHandles val="exact"/>
        </dgm:presLayoutVars>
      </dgm:prSet>
      <dgm:spPr/>
    </dgm:pt>
    <dgm:pt modelId="{68ACDF88-9F7F-4EB8-8CB6-A87CE8F0350E}" type="pres">
      <dgm:prSet presAssocID="{20FC294A-6FE0-4362-A898-0CA5240C2D5D}" presName="comp1" presStyleCnt="0"/>
      <dgm:spPr/>
    </dgm:pt>
    <dgm:pt modelId="{E86FED72-51EF-4F97-AFA6-AC3BAA90B1BF}" type="pres">
      <dgm:prSet presAssocID="{20FC294A-6FE0-4362-A898-0CA5240C2D5D}" presName="circle1" presStyleLbl="node1" presStyleIdx="0" presStyleCnt="3"/>
      <dgm:spPr/>
    </dgm:pt>
    <dgm:pt modelId="{6AA236F7-F62E-46F4-8098-5DBB5CB7DBCB}" type="pres">
      <dgm:prSet presAssocID="{20FC294A-6FE0-4362-A898-0CA5240C2D5D}" presName="c1text" presStyleLbl="node1" presStyleIdx="0" presStyleCnt="3">
        <dgm:presLayoutVars>
          <dgm:bulletEnabled val="1"/>
        </dgm:presLayoutVars>
      </dgm:prSet>
      <dgm:spPr/>
    </dgm:pt>
    <dgm:pt modelId="{6E9C22EF-DCCC-4F3A-A6DE-D49530C1AE24}" type="pres">
      <dgm:prSet presAssocID="{20FC294A-6FE0-4362-A898-0CA5240C2D5D}" presName="comp2" presStyleCnt="0"/>
      <dgm:spPr/>
    </dgm:pt>
    <dgm:pt modelId="{FB2D4182-A917-40E1-911C-4D4E6D830A0D}" type="pres">
      <dgm:prSet presAssocID="{20FC294A-6FE0-4362-A898-0CA5240C2D5D}" presName="circle2" presStyleLbl="node1" presStyleIdx="1" presStyleCnt="3"/>
      <dgm:spPr/>
    </dgm:pt>
    <dgm:pt modelId="{0764224C-3EE3-4CE5-831E-7F36094FD34F}" type="pres">
      <dgm:prSet presAssocID="{20FC294A-6FE0-4362-A898-0CA5240C2D5D}" presName="c2text" presStyleLbl="node1" presStyleIdx="1" presStyleCnt="3">
        <dgm:presLayoutVars>
          <dgm:bulletEnabled val="1"/>
        </dgm:presLayoutVars>
      </dgm:prSet>
      <dgm:spPr/>
    </dgm:pt>
    <dgm:pt modelId="{26A951A1-C9CB-4085-A0EC-D74B168B42F1}" type="pres">
      <dgm:prSet presAssocID="{20FC294A-6FE0-4362-A898-0CA5240C2D5D}" presName="comp3" presStyleCnt="0"/>
      <dgm:spPr/>
    </dgm:pt>
    <dgm:pt modelId="{49483C90-1059-4741-BEC3-E1CE8D4EF135}" type="pres">
      <dgm:prSet presAssocID="{20FC294A-6FE0-4362-A898-0CA5240C2D5D}" presName="circle3" presStyleLbl="node1" presStyleIdx="2" presStyleCnt="3" custScaleX="87181" custScaleY="72779" custLinFactNeighborX="85800" custLinFactNeighborY="-15706"/>
      <dgm:spPr/>
    </dgm:pt>
    <dgm:pt modelId="{509141C9-2978-499C-9AB5-4ACF5C55BA8E}" type="pres">
      <dgm:prSet presAssocID="{20FC294A-6FE0-4362-A898-0CA5240C2D5D}" presName="c3text" presStyleLbl="node1" presStyleIdx="2" presStyleCnt="3">
        <dgm:presLayoutVars>
          <dgm:bulletEnabled val="1"/>
        </dgm:presLayoutVars>
      </dgm:prSet>
      <dgm:spPr/>
    </dgm:pt>
  </dgm:ptLst>
  <dgm:cxnLst>
    <dgm:cxn modelId="{22BA0D23-02AB-4A2F-8CD0-168FC42B1B1B}" srcId="{20FC294A-6FE0-4362-A898-0CA5240C2D5D}" destId="{81449FDB-D49C-434C-9E34-0A27AB7F6717}" srcOrd="0" destOrd="0" parTransId="{D4619155-8B6E-4E8E-BBEC-F9F92F3A4333}" sibTransId="{307B6F61-6EBB-491C-A434-AD84B5BD6FED}"/>
    <dgm:cxn modelId="{738BA829-11D7-4AA8-BB98-A06B698CC5EA}" type="presOf" srcId="{20FC294A-6FE0-4362-A898-0CA5240C2D5D}" destId="{34851760-51F6-4677-BAD1-538E42571081}" srcOrd="0" destOrd="0" presId="urn:microsoft.com/office/officeart/2005/8/layout/venn2"/>
    <dgm:cxn modelId="{AE48812D-13C4-4208-BD39-B60E2FEA3AEE}" srcId="{20FC294A-6FE0-4362-A898-0CA5240C2D5D}" destId="{00F65991-4B6E-4D72-964E-AF04D47010CB}" srcOrd="1" destOrd="0" parTransId="{D215FCA7-7502-4F33-91AE-60E1276FBDB6}" sibTransId="{D3E0972C-5927-4918-B461-E3F83953AD8B}"/>
    <dgm:cxn modelId="{135E5832-17CC-4C2A-B4C0-CFE06CF70946}" type="presOf" srcId="{00F65991-4B6E-4D72-964E-AF04D47010CB}" destId="{FB2D4182-A917-40E1-911C-4D4E6D830A0D}" srcOrd="0" destOrd="0" presId="urn:microsoft.com/office/officeart/2005/8/layout/venn2"/>
    <dgm:cxn modelId="{740D976D-BDC0-4F9E-9A60-4EB515006751}" type="presOf" srcId="{81449FDB-D49C-434C-9E34-0A27AB7F6717}" destId="{6AA236F7-F62E-46F4-8098-5DBB5CB7DBCB}" srcOrd="1" destOrd="0" presId="urn:microsoft.com/office/officeart/2005/8/layout/venn2"/>
    <dgm:cxn modelId="{A1E4E885-C1C0-4736-89BF-B7D7CF1E464D}" type="presOf" srcId="{81449FDB-D49C-434C-9E34-0A27AB7F6717}" destId="{E86FED72-51EF-4F97-AFA6-AC3BAA90B1BF}" srcOrd="0" destOrd="0" presId="urn:microsoft.com/office/officeart/2005/8/layout/venn2"/>
    <dgm:cxn modelId="{20CC2299-386A-45BF-BA65-30E15C760E5E}" srcId="{20FC294A-6FE0-4362-A898-0CA5240C2D5D}" destId="{F72E7D9F-F246-4942-BBAC-CCD3246A43B7}" srcOrd="2" destOrd="0" parTransId="{A01D123A-553F-43E3-A8C1-53EE577C6B12}" sibTransId="{DCE8C5A1-51DB-4035-9F51-9A55B7A7CA25}"/>
    <dgm:cxn modelId="{31372FA0-BF77-4F97-B98C-A69EA7A074C7}" type="presOf" srcId="{00F65991-4B6E-4D72-964E-AF04D47010CB}" destId="{0764224C-3EE3-4CE5-831E-7F36094FD34F}" srcOrd="1" destOrd="0" presId="urn:microsoft.com/office/officeart/2005/8/layout/venn2"/>
    <dgm:cxn modelId="{2C441FB7-8112-4F4F-B0A8-CC6F9890AA99}" type="presOf" srcId="{F72E7D9F-F246-4942-BBAC-CCD3246A43B7}" destId="{509141C9-2978-499C-9AB5-4ACF5C55BA8E}" srcOrd="1" destOrd="0" presId="urn:microsoft.com/office/officeart/2005/8/layout/venn2"/>
    <dgm:cxn modelId="{F67B98D7-A8C1-449A-80D8-FCBF7A29479C}" type="presOf" srcId="{F72E7D9F-F246-4942-BBAC-CCD3246A43B7}" destId="{49483C90-1059-4741-BEC3-E1CE8D4EF135}" srcOrd="0" destOrd="0" presId="urn:microsoft.com/office/officeart/2005/8/layout/venn2"/>
    <dgm:cxn modelId="{A14EDBC1-6D2E-4326-9025-95DCDB4DBC1D}" type="presParOf" srcId="{34851760-51F6-4677-BAD1-538E42571081}" destId="{68ACDF88-9F7F-4EB8-8CB6-A87CE8F0350E}" srcOrd="0" destOrd="0" presId="urn:microsoft.com/office/officeart/2005/8/layout/venn2"/>
    <dgm:cxn modelId="{77DACC8A-9B36-4ACF-BB61-55E088314A15}" type="presParOf" srcId="{68ACDF88-9F7F-4EB8-8CB6-A87CE8F0350E}" destId="{E86FED72-51EF-4F97-AFA6-AC3BAA90B1BF}" srcOrd="0" destOrd="0" presId="urn:microsoft.com/office/officeart/2005/8/layout/venn2"/>
    <dgm:cxn modelId="{FAD4AB70-B88A-44AD-BDA2-08347895A778}" type="presParOf" srcId="{68ACDF88-9F7F-4EB8-8CB6-A87CE8F0350E}" destId="{6AA236F7-F62E-46F4-8098-5DBB5CB7DBCB}" srcOrd="1" destOrd="0" presId="urn:microsoft.com/office/officeart/2005/8/layout/venn2"/>
    <dgm:cxn modelId="{CB6643A7-2CC7-496A-9DF1-7E95D5A0C337}" type="presParOf" srcId="{34851760-51F6-4677-BAD1-538E42571081}" destId="{6E9C22EF-DCCC-4F3A-A6DE-D49530C1AE24}" srcOrd="1" destOrd="0" presId="urn:microsoft.com/office/officeart/2005/8/layout/venn2"/>
    <dgm:cxn modelId="{CB228D28-97F2-4350-A9ED-3D751E64DE6A}" type="presParOf" srcId="{6E9C22EF-DCCC-4F3A-A6DE-D49530C1AE24}" destId="{FB2D4182-A917-40E1-911C-4D4E6D830A0D}" srcOrd="0" destOrd="0" presId="urn:microsoft.com/office/officeart/2005/8/layout/venn2"/>
    <dgm:cxn modelId="{ABF68029-A89B-471F-A4FC-151B5E2E42CF}" type="presParOf" srcId="{6E9C22EF-DCCC-4F3A-A6DE-D49530C1AE24}" destId="{0764224C-3EE3-4CE5-831E-7F36094FD34F}" srcOrd="1" destOrd="0" presId="urn:microsoft.com/office/officeart/2005/8/layout/venn2"/>
    <dgm:cxn modelId="{F0D58736-C1F9-4376-98C9-465169936041}" type="presParOf" srcId="{34851760-51F6-4677-BAD1-538E42571081}" destId="{26A951A1-C9CB-4085-A0EC-D74B168B42F1}" srcOrd="2" destOrd="0" presId="urn:microsoft.com/office/officeart/2005/8/layout/venn2"/>
    <dgm:cxn modelId="{5142420B-4C3A-4370-AE13-1C13271A5C42}" type="presParOf" srcId="{26A951A1-C9CB-4085-A0EC-D74B168B42F1}" destId="{49483C90-1059-4741-BEC3-E1CE8D4EF135}" srcOrd="0" destOrd="0" presId="urn:microsoft.com/office/officeart/2005/8/layout/venn2"/>
    <dgm:cxn modelId="{11210CB2-9C8B-42E6-A829-E81FB2B8FFEA}" type="presParOf" srcId="{26A951A1-C9CB-4085-A0EC-D74B168B42F1}" destId="{509141C9-2978-499C-9AB5-4ACF5C55BA8E}" srcOrd="1" destOrd="0" presId="urn:microsoft.com/office/officeart/2005/8/layout/ven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0FC294A-6FE0-4362-A898-0CA5240C2D5D}" type="doc">
      <dgm:prSet loTypeId="urn:microsoft.com/office/officeart/2005/8/layout/rings+Icon" loCatId="relationship" qsTypeId="urn:microsoft.com/office/officeart/2005/8/quickstyle/simple1" qsCatId="simple" csTypeId="urn:microsoft.com/office/officeart/2005/8/colors/accent3_3" csCatId="accent3" phldr="1"/>
      <dgm:spPr/>
      <dgm:t>
        <a:bodyPr/>
        <a:lstStyle/>
        <a:p>
          <a:endParaRPr lang="en-GB"/>
        </a:p>
      </dgm:t>
    </dgm:pt>
    <dgm:pt modelId="{81449FDB-D49C-434C-9E34-0A27AB7F6717}">
      <dgm:prSet phldrT="[Text]"/>
      <dgm:spPr/>
      <dgm:t>
        <a:bodyPr/>
        <a:lstStyle/>
        <a:p>
          <a:r>
            <a:rPr lang="en-GB"/>
            <a:t>Another faith-based school context</a:t>
          </a:r>
        </a:p>
      </dgm:t>
    </dgm:pt>
    <dgm:pt modelId="{D4619155-8B6E-4E8E-BBEC-F9F92F3A4333}" type="parTrans" cxnId="{22BA0D23-02AB-4A2F-8CD0-168FC42B1B1B}">
      <dgm:prSet/>
      <dgm:spPr/>
      <dgm:t>
        <a:bodyPr/>
        <a:lstStyle/>
        <a:p>
          <a:endParaRPr lang="en-GB"/>
        </a:p>
      </dgm:t>
    </dgm:pt>
    <dgm:pt modelId="{307B6F61-6EBB-491C-A434-AD84B5BD6FED}" type="sibTrans" cxnId="{22BA0D23-02AB-4A2F-8CD0-168FC42B1B1B}">
      <dgm:prSet/>
      <dgm:spPr/>
      <dgm:t>
        <a:bodyPr/>
        <a:lstStyle/>
        <a:p>
          <a:endParaRPr lang="en-GB"/>
        </a:p>
      </dgm:t>
    </dgm:pt>
    <dgm:pt modelId="{0FD70E90-FB87-43A4-ADBF-61C88C618699}">
      <dgm:prSet phldrT="[Text]"/>
      <dgm:spPr/>
      <dgm:t>
        <a:bodyPr/>
        <a:lstStyle/>
        <a:p>
          <a:r>
            <a:rPr lang="en-GB"/>
            <a:t>DfE approved ECF provider </a:t>
          </a:r>
        </a:p>
      </dgm:t>
    </dgm:pt>
    <dgm:pt modelId="{2E70C32B-96EE-49BD-ACF1-7A0749FF2655}" type="parTrans" cxnId="{4F3F4DA8-3B3E-4546-8EAC-4CDCB054F611}">
      <dgm:prSet/>
      <dgm:spPr/>
      <dgm:t>
        <a:bodyPr/>
        <a:lstStyle/>
        <a:p>
          <a:endParaRPr lang="en-GB"/>
        </a:p>
      </dgm:t>
    </dgm:pt>
    <dgm:pt modelId="{EB8BF58D-A932-452B-8336-1D004A10B51F}" type="sibTrans" cxnId="{4F3F4DA8-3B3E-4546-8EAC-4CDCB054F611}">
      <dgm:prSet/>
      <dgm:spPr/>
      <dgm:t>
        <a:bodyPr/>
        <a:lstStyle/>
        <a:p>
          <a:endParaRPr lang="en-GB"/>
        </a:p>
      </dgm:t>
    </dgm:pt>
    <dgm:pt modelId="{F30EB211-7AEE-47BC-95AB-366864B929BE}">
      <dgm:prSet/>
      <dgm:spPr/>
      <dgm:t>
        <a:bodyPr/>
        <a:lstStyle/>
        <a:p>
          <a:r>
            <a:rPr lang="en-GB"/>
            <a:t>Faith-based school context</a:t>
          </a:r>
        </a:p>
      </dgm:t>
    </dgm:pt>
    <dgm:pt modelId="{23A53A2F-64F7-4EE3-B562-40C38C20CC00}" type="parTrans" cxnId="{4E959C5E-63E0-487A-A09A-E29F14CAE08F}">
      <dgm:prSet/>
      <dgm:spPr/>
      <dgm:t>
        <a:bodyPr/>
        <a:lstStyle/>
        <a:p>
          <a:endParaRPr lang="en-GB"/>
        </a:p>
      </dgm:t>
    </dgm:pt>
    <dgm:pt modelId="{741B8B20-E251-4529-A428-2DFC7C830DFF}" type="sibTrans" cxnId="{4E959C5E-63E0-487A-A09A-E29F14CAE08F}">
      <dgm:prSet/>
      <dgm:spPr/>
      <dgm:t>
        <a:bodyPr/>
        <a:lstStyle/>
        <a:p>
          <a:endParaRPr lang="en-GB"/>
        </a:p>
      </dgm:t>
    </dgm:pt>
    <dgm:pt modelId="{F7AFE2C4-2F7A-4E2C-8A31-B74FA26DCDAE}" type="pres">
      <dgm:prSet presAssocID="{20FC294A-6FE0-4362-A898-0CA5240C2D5D}" presName="Name0" presStyleCnt="0">
        <dgm:presLayoutVars>
          <dgm:chMax val="7"/>
          <dgm:dir/>
          <dgm:resizeHandles val="exact"/>
        </dgm:presLayoutVars>
      </dgm:prSet>
      <dgm:spPr/>
    </dgm:pt>
    <dgm:pt modelId="{6D6F36B1-9D72-4DEE-9EA9-4B5F84E78481}" type="pres">
      <dgm:prSet presAssocID="{20FC294A-6FE0-4362-A898-0CA5240C2D5D}" presName="ellipse1" presStyleLbl="vennNode1" presStyleIdx="0" presStyleCnt="3" custLinFactNeighborX="-8179" custLinFactNeighborY="11944">
        <dgm:presLayoutVars>
          <dgm:bulletEnabled val="1"/>
        </dgm:presLayoutVars>
      </dgm:prSet>
      <dgm:spPr/>
    </dgm:pt>
    <dgm:pt modelId="{A13B6D32-BBF1-4E7A-9318-09A7B736B754}" type="pres">
      <dgm:prSet presAssocID="{20FC294A-6FE0-4362-A898-0CA5240C2D5D}" presName="ellipse2" presStyleLbl="vennNode1" presStyleIdx="1" presStyleCnt="3">
        <dgm:presLayoutVars>
          <dgm:bulletEnabled val="1"/>
        </dgm:presLayoutVars>
      </dgm:prSet>
      <dgm:spPr/>
    </dgm:pt>
    <dgm:pt modelId="{B29872BE-EC00-4EE2-B8CA-773DAD7E46EB}" type="pres">
      <dgm:prSet presAssocID="{20FC294A-6FE0-4362-A898-0CA5240C2D5D}" presName="ellipse3" presStyleLbl="vennNode1" presStyleIdx="2" presStyleCnt="3" custScaleX="83421" custScaleY="86578" custLinFactX="100000" custLinFactY="-98750" custLinFactNeighborX="163198" custLinFactNeighborY="-100000">
        <dgm:presLayoutVars>
          <dgm:bulletEnabled val="1"/>
        </dgm:presLayoutVars>
      </dgm:prSet>
      <dgm:spPr/>
    </dgm:pt>
  </dgm:ptLst>
  <dgm:cxnLst>
    <dgm:cxn modelId="{A5E4C804-1C55-4928-AEAE-76F7C6AE7DCA}" type="presOf" srcId="{20FC294A-6FE0-4362-A898-0CA5240C2D5D}" destId="{F7AFE2C4-2F7A-4E2C-8A31-B74FA26DCDAE}" srcOrd="0" destOrd="0" presId="urn:microsoft.com/office/officeart/2005/8/layout/rings+Icon"/>
    <dgm:cxn modelId="{22BA0D23-02AB-4A2F-8CD0-168FC42B1B1B}" srcId="{20FC294A-6FE0-4362-A898-0CA5240C2D5D}" destId="{81449FDB-D49C-434C-9E34-0A27AB7F6717}" srcOrd="0" destOrd="0" parTransId="{D4619155-8B6E-4E8E-BBEC-F9F92F3A4333}" sibTransId="{307B6F61-6EBB-491C-A434-AD84B5BD6FED}"/>
    <dgm:cxn modelId="{B2DCD129-EBC6-49DE-880E-E67771ABB14D}" type="presOf" srcId="{81449FDB-D49C-434C-9E34-0A27AB7F6717}" destId="{6D6F36B1-9D72-4DEE-9EA9-4B5F84E78481}" srcOrd="0" destOrd="0" presId="urn:microsoft.com/office/officeart/2005/8/layout/rings+Icon"/>
    <dgm:cxn modelId="{4E959C5E-63E0-487A-A09A-E29F14CAE08F}" srcId="{20FC294A-6FE0-4362-A898-0CA5240C2D5D}" destId="{F30EB211-7AEE-47BC-95AB-366864B929BE}" srcOrd="1" destOrd="0" parTransId="{23A53A2F-64F7-4EE3-B562-40C38C20CC00}" sibTransId="{741B8B20-E251-4529-A428-2DFC7C830DFF}"/>
    <dgm:cxn modelId="{4F3F4DA8-3B3E-4546-8EAC-4CDCB054F611}" srcId="{20FC294A-6FE0-4362-A898-0CA5240C2D5D}" destId="{0FD70E90-FB87-43A4-ADBF-61C88C618699}" srcOrd="2" destOrd="0" parTransId="{2E70C32B-96EE-49BD-ACF1-7A0749FF2655}" sibTransId="{EB8BF58D-A932-452B-8336-1D004A10B51F}"/>
    <dgm:cxn modelId="{FEEB62EE-4EE5-4A85-A252-E9298B7B7B96}" type="presOf" srcId="{0FD70E90-FB87-43A4-ADBF-61C88C618699}" destId="{B29872BE-EC00-4EE2-B8CA-773DAD7E46EB}" srcOrd="0" destOrd="0" presId="urn:microsoft.com/office/officeart/2005/8/layout/rings+Icon"/>
    <dgm:cxn modelId="{3FECF7F8-FB42-4E17-A138-AFFAFAE03690}" type="presOf" srcId="{F30EB211-7AEE-47BC-95AB-366864B929BE}" destId="{A13B6D32-BBF1-4E7A-9318-09A7B736B754}" srcOrd="0" destOrd="0" presId="urn:microsoft.com/office/officeart/2005/8/layout/rings+Icon"/>
    <dgm:cxn modelId="{EB11626D-C4B4-4793-905D-67D155B382D5}" type="presParOf" srcId="{F7AFE2C4-2F7A-4E2C-8A31-B74FA26DCDAE}" destId="{6D6F36B1-9D72-4DEE-9EA9-4B5F84E78481}" srcOrd="0" destOrd="0" presId="urn:microsoft.com/office/officeart/2005/8/layout/rings+Icon"/>
    <dgm:cxn modelId="{267179F5-CFFE-4B3F-BD84-10345B689C7C}" type="presParOf" srcId="{F7AFE2C4-2F7A-4E2C-8A31-B74FA26DCDAE}" destId="{A13B6D32-BBF1-4E7A-9318-09A7B736B754}" srcOrd="1" destOrd="0" presId="urn:microsoft.com/office/officeart/2005/8/layout/rings+Icon"/>
    <dgm:cxn modelId="{1A2F63F1-8CCE-42E7-A389-36B4C62FBEDA}" type="presParOf" srcId="{F7AFE2C4-2F7A-4E2C-8A31-B74FA26DCDAE}" destId="{B29872BE-EC00-4EE2-B8CA-773DAD7E46EB}" srcOrd="2" destOrd="0" presId="urn:microsoft.com/office/officeart/2005/8/layout/rings+Icon"/>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0FC294A-6FE0-4362-A898-0CA5240C2D5D}" type="doc">
      <dgm:prSet loTypeId="urn:microsoft.com/office/officeart/2005/8/layout/rings+Icon" loCatId="relationship" qsTypeId="urn:microsoft.com/office/officeart/2005/8/quickstyle/simple1" qsCatId="simple" csTypeId="urn:microsoft.com/office/officeart/2005/8/colors/colorful4" csCatId="colorful" phldr="1"/>
      <dgm:spPr/>
      <dgm:t>
        <a:bodyPr/>
        <a:lstStyle/>
        <a:p>
          <a:endParaRPr lang="en-GB"/>
        </a:p>
      </dgm:t>
    </dgm:pt>
    <dgm:pt modelId="{81449FDB-D49C-434C-9E34-0A27AB7F6717}">
      <dgm:prSet phldrT="[Text]" custT="1"/>
      <dgm:spPr/>
      <dgm:t>
        <a:bodyPr/>
        <a:lstStyle/>
        <a:p>
          <a:r>
            <a:rPr lang="en-GB" sz="900"/>
            <a:t>DfE approved ECF provider 1</a:t>
          </a:r>
        </a:p>
      </dgm:t>
    </dgm:pt>
    <dgm:pt modelId="{D4619155-8B6E-4E8E-BBEC-F9F92F3A4333}" type="parTrans" cxnId="{22BA0D23-02AB-4A2F-8CD0-168FC42B1B1B}">
      <dgm:prSet/>
      <dgm:spPr/>
      <dgm:t>
        <a:bodyPr/>
        <a:lstStyle/>
        <a:p>
          <a:endParaRPr lang="en-GB" sz="2800"/>
        </a:p>
      </dgm:t>
    </dgm:pt>
    <dgm:pt modelId="{307B6F61-6EBB-491C-A434-AD84B5BD6FED}" type="sibTrans" cxnId="{22BA0D23-02AB-4A2F-8CD0-168FC42B1B1B}">
      <dgm:prSet/>
      <dgm:spPr/>
      <dgm:t>
        <a:bodyPr/>
        <a:lstStyle/>
        <a:p>
          <a:endParaRPr lang="en-GB" sz="2800"/>
        </a:p>
      </dgm:t>
    </dgm:pt>
    <dgm:pt modelId="{0FD70E90-FB87-43A4-ADBF-61C88C618699}">
      <dgm:prSet phldrT="[Text]" custT="1"/>
      <dgm:spPr/>
      <dgm:t>
        <a:bodyPr/>
        <a:lstStyle/>
        <a:p>
          <a:r>
            <a:rPr lang="en-GB" sz="900"/>
            <a:t>DfE approved ECF provider 2 </a:t>
          </a:r>
        </a:p>
      </dgm:t>
    </dgm:pt>
    <dgm:pt modelId="{2E70C32B-96EE-49BD-ACF1-7A0749FF2655}" type="parTrans" cxnId="{4F3F4DA8-3B3E-4546-8EAC-4CDCB054F611}">
      <dgm:prSet/>
      <dgm:spPr/>
      <dgm:t>
        <a:bodyPr/>
        <a:lstStyle/>
        <a:p>
          <a:endParaRPr lang="en-GB" sz="2800"/>
        </a:p>
      </dgm:t>
    </dgm:pt>
    <dgm:pt modelId="{EB8BF58D-A932-452B-8336-1D004A10B51F}" type="sibTrans" cxnId="{4F3F4DA8-3B3E-4546-8EAC-4CDCB054F611}">
      <dgm:prSet/>
      <dgm:spPr/>
      <dgm:t>
        <a:bodyPr/>
        <a:lstStyle/>
        <a:p>
          <a:endParaRPr lang="en-GB" sz="2800"/>
        </a:p>
      </dgm:t>
    </dgm:pt>
    <dgm:pt modelId="{F30EB211-7AEE-47BC-95AB-366864B929BE}">
      <dgm:prSet custT="1"/>
      <dgm:spPr/>
      <dgm:t>
        <a:bodyPr/>
        <a:lstStyle/>
        <a:p>
          <a:r>
            <a:rPr lang="en-GB" sz="900"/>
            <a:t>Local-authority school context</a:t>
          </a:r>
        </a:p>
      </dgm:t>
    </dgm:pt>
    <dgm:pt modelId="{23A53A2F-64F7-4EE3-B562-40C38C20CC00}" type="parTrans" cxnId="{4E959C5E-63E0-487A-A09A-E29F14CAE08F}">
      <dgm:prSet/>
      <dgm:spPr/>
      <dgm:t>
        <a:bodyPr/>
        <a:lstStyle/>
        <a:p>
          <a:endParaRPr lang="en-GB" sz="2800"/>
        </a:p>
      </dgm:t>
    </dgm:pt>
    <dgm:pt modelId="{741B8B20-E251-4529-A428-2DFC7C830DFF}" type="sibTrans" cxnId="{4E959C5E-63E0-487A-A09A-E29F14CAE08F}">
      <dgm:prSet/>
      <dgm:spPr/>
      <dgm:t>
        <a:bodyPr/>
        <a:lstStyle/>
        <a:p>
          <a:endParaRPr lang="en-GB" sz="2800"/>
        </a:p>
      </dgm:t>
    </dgm:pt>
    <dgm:pt modelId="{F7AFE2C4-2F7A-4E2C-8A31-B74FA26DCDAE}" type="pres">
      <dgm:prSet presAssocID="{20FC294A-6FE0-4362-A898-0CA5240C2D5D}" presName="Name0" presStyleCnt="0">
        <dgm:presLayoutVars>
          <dgm:chMax val="7"/>
          <dgm:dir/>
          <dgm:resizeHandles val="exact"/>
        </dgm:presLayoutVars>
      </dgm:prSet>
      <dgm:spPr/>
    </dgm:pt>
    <dgm:pt modelId="{6D6F36B1-9D72-4DEE-9EA9-4B5F84E78481}" type="pres">
      <dgm:prSet presAssocID="{20FC294A-6FE0-4362-A898-0CA5240C2D5D}" presName="ellipse1" presStyleLbl="vennNode1" presStyleIdx="0" presStyleCnt="3" custScaleX="84554" custScaleY="78515">
        <dgm:presLayoutVars>
          <dgm:bulletEnabled val="1"/>
        </dgm:presLayoutVars>
      </dgm:prSet>
      <dgm:spPr/>
    </dgm:pt>
    <dgm:pt modelId="{A13B6D32-BBF1-4E7A-9318-09A7B736B754}" type="pres">
      <dgm:prSet presAssocID="{20FC294A-6FE0-4362-A898-0CA5240C2D5D}" presName="ellipse2" presStyleLbl="vennNode1" presStyleIdx="1" presStyleCnt="3" custLinFactNeighborX="4011" custLinFactNeighborY="5371">
        <dgm:presLayoutVars>
          <dgm:bulletEnabled val="1"/>
        </dgm:presLayoutVars>
      </dgm:prSet>
      <dgm:spPr/>
    </dgm:pt>
    <dgm:pt modelId="{B29872BE-EC00-4EE2-B8CA-773DAD7E46EB}" type="pres">
      <dgm:prSet presAssocID="{20FC294A-6FE0-4362-A898-0CA5240C2D5D}" presName="ellipse3" presStyleLbl="vennNode1" presStyleIdx="2" presStyleCnt="3" custScaleX="93228" custScaleY="69542" custLinFactY="-2703" custLinFactNeighborX="-4749" custLinFactNeighborY="-100000">
        <dgm:presLayoutVars>
          <dgm:bulletEnabled val="1"/>
        </dgm:presLayoutVars>
      </dgm:prSet>
      <dgm:spPr/>
    </dgm:pt>
  </dgm:ptLst>
  <dgm:cxnLst>
    <dgm:cxn modelId="{A5E4C804-1C55-4928-AEAE-76F7C6AE7DCA}" type="presOf" srcId="{20FC294A-6FE0-4362-A898-0CA5240C2D5D}" destId="{F7AFE2C4-2F7A-4E2C-8A31-B74FA26DCDAE}" srcOrd="0" destOrd="0" presId="urn:microsoft.com/office/officeart/2005/8/layout/rings+Icon"/>
    <dgm:cxn modelId="{22BA0D23-02AB-4A2F-8CD0-168FC42B1B1B}" srcId="{20FC294A-6FE0-4362-A898-0CA5240C2D5D}" destId="{81449FDB-D49C-434C-9E34-0A27AB7F6717}" srcOrd="0" destOrd="0" parTransId="{D4619155-8B6E-4E8E-BBEC-F9F92F3A4333}" sibTransId="{307B6F61-6EBB-491C-A434-AD84B5BD6FED}"/>
    <dgm:cxn modelId="{B2DCD129-EBC6-49DE-880E-E67771ABB14D}" type="presOf" srcId="{81449FDB-D49C-434C-9E34-0A27AB7F6717}" destId="{6D6F36B1-9D72-4DEE-9EA9-4B5F84E78481}" srcOrd="0" destOrd="0" presId="urn:microsoft.com/office/officeart/2005/8/layout/rings+Icon"/>
    <dgm:cxn modelId="{4E959C5E-63E0-487A-A09A-E29F14CAE08F}" srcId="{20FC294A-6FE0-4362-A898-0CA5240C2D5D}" destId="{F30EB211-7AEE-47BC-95AB-366864B929BE}" srcOrd="1" destOrd="0" parTransId="{23A53A2F-64F7-4EE3-B562-40C38C20CC00}" sibTransId="{741B8B20-E251-4529-A428-2DFC7C830DFF}"/>
    <dgm:cxn modelId="{4F3F4DA8-3B3E-4546-8EAC-4CDCB054F611}" srcId="{20FC294A-6FE0-4362-A898-0CA5240C2D5D}" destId="{0FD70E90-FB87-43A4-ADBF-61C88C618699}" srcOrd="2" destOrd="0" parTransId="{2E70C32B-96EE-49BD-ACF1-7A0749FF2655}" sibTransId="{EB8BF58D-A932-452B-8336-1D004A10B51F}"/>
    <dgm:cxn modelId="{FEEB62EE-4EE5-4A85-A252-E9298B7B7B96}" type="presOf" srcId="{0FD70E90-FB87-43A4-ADBF-61C88C618699}" destId="{B29872BE-EC00-4EE2-B8CA-773DAD7E46EB}" srcOrd="0" destOrd="0" presId="urn:microsoft.com/office/officeart/2005/8/layout/rings+Icon"/>
    <dgm:cxn modelId="{3FECF7F8-FB42-4E17-A138-AFFAFAE03690}" type="presOf" srcId="{F30EB211-7AEE-47BC-95AB-366864B929BE}" destId="{A13B6D32-BBF1-4E7A-9318-09A7B736B754}" srcOrd="0" destOrd="0" presId="urn:microsoft.com/office/officeart/2005/8/layout/rings+Icon"/>
    <dgm:cxn modelId="{EB11626D-C4B4-4793-905D-67D155B382D5}" type="presParOf" srcId="{F7AFE2C4-2F7A-4E2C-8A31-B74FA26DCDAE}" destId="{6D6F36B1-9D72-4DEE-9EA9-4B5F84E78481}" srcOrd="0" destOrd="0" presId="urn:microsoft.com/office/officeart/2005/8/layout/rings+Icon"/>
    <dgm:cxn modelId="{267179F5-CFFE-4B3F-BD84-10345B689C7C}" type="presParOf" srcId="{F7AFE2C4-2F7A-4E2C-8A31-B74FA26DCDAE}" destId="{A13B6D32-BBF1-4E7A-9318-09A7B736B754}" srcOrd="1" destOrd="0" presId="urn:microsoft.com/office/officeart/2005/8/layout/rings+Icon"/>
    <dgm:cxn modelId="{1A2F63F1-8CCE-42E7-A389-36B4C62FBEDA}" type="presParOf" srcId="{F7AFE2C4-2F7A-4E2C-8A31-B74FA26DCDAE}" destId="{B29872BE-EC00-4EE2-B8CA-773DAD7E46EB}" srcOrd="2" destOrd="0" presId="urn:microsoft.com/office/officeart/2005/8/layout/rings+Icon"/>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6FED72-51EF-4F97-AFA6-AC3BAA90B1BF}">
      <dsp:nvSpPr>
        <dsp:cNvPr id="0" name=""/>
        <dsp:cNvSpPr/>
      </dsp:nvSpPr>
      <dsp:spPr>
        <a:xfrm>
          <a:off x="89729" y="0"/>
          <a:ext cx="2202075" cy="1999397"/>
        </a:xfrm>
        <a:prstGeom prst="ellipse">
          <a:avLst/>
        </a:prstGeom>
        <a:gradFill rotWithShape="0">
          <a:gsLst>
            <a:gs pos="0">
              <a:schemeClr val="accent2">
                <a:shade val="80000"/>
                <a:hueOff val="0"/>
                <a:satOff val="0"/>
                <a:lumOff val="0"/>
                <a:alphaOff val="0"/>
                <a:satMod val="103000"/>
                <a:lumMod val="102000"/>
                <a:tint val="94000"/>
              </a:schemeClr>
            </a:gs>
            <a:gs pos="50000">
              <a:schemeClr val="accent2">
                <a:shade val="80000"/>
                <a:hueOff val="0"/>
                <a:satOff val="0"/>
                <a:lumOff val="0"/>
                <a:alphaOff val="0"/>
                <a:satMod val="110000"/>
                <a:lumMod val="100000"/>
                <a:shade val="100000"/>
              </a:schemeClr>
            </a:gs>
            <a:gs pos="100000">
              <a:schemeClr val="accent2">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t>Independent schools association</a:t>
          </a:r>
        </a:p>
      </dsp:txBody>
      <dsp:txXfrm>
        <a:off x="805954" y="99969"/>
        <a:ext cx="769625" cy="299909"/>
      </dsp:txXfrm>
    </dsp:sp>
    <dsp:sp modelId="{FB2D4182-A917-40E1-911C-4D4E6D830A0D}">
      <dsp:nvSpPr>
        <dsp:cNvPr id="0" name=""/>
        <dsp:cNvSpPr/>
      </dsp:nvSpPr>
      <dsp:spPr>
        <a:xfrm>
          <a:off x="305703" y="499849"/>
          <a:ext cx="1770126" cy="1499547"/>
        </a:xfrm>
        <a:prstGeom prst="ellipse">
          <a:avLst/>
        </a:prstGeom>
        <a:gradFill rotWithShape="0">
          <a:gsLst>
            <a:gs pos="0">
              <a:schemeClr val="accent2">
                <a:shade val="80000"/>
                <a:hueOff val="-227502"/>
                <a:satOff val="4255"/>
                <a:lumOff val="13560"/>
                <a:alphaOff val="0"/>
                <a:satMod val="103000"/>
                <a:lumMod val="102000"/>
                <a:tint val="94000"/>
              </a:schemeClr>
            </a:gs>
            <a:gs pos="50000">
              <a:schemeClr val="accent2">
                <a:shade val="80000"/>
                <a:hueOff val="-227502"/>
                <a:satOff val="4255"/>
                <a:lumOff val="13560"/>
                <a:alphaOff val="0"/>
                <a:satMod val="110000"/>
                <a:lumMod val="100000"/>
                <a:shade val="100000"/>
              </a:schemeClr>
            </a:gs>
            <a:gs pos="100000">
              <a:schemeClr val="accent2">
                <a:shade val="80000"/>
                <a:hueOff val="-227502"/>
                <a:satOff val="4255"/>
                <a:lumOff val="1356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endParaRPr lang="en-GB" sz="900" kern="1200"/>
        </a:p>
        <a:p>
          <a:pPr marL="0" lvl="0" indent="0" algn="ctr" defTabSz="400050">
            <a:lnSpc>
              <a:spcPct val="90000"/>
            </a:lnSpc>
            <a:spcBef>
              <a:spcPct val="0"/>
            </a:spcBef>
            <a:spcAft>
              <a:spcPct val="35000"/>
            </a:spcAft>
            <a:buNone/>
          </a:pPr>
          <a:r>
            <a:rPr lang="en-GB" sz="900" kern="1200"/>
            <a:t>Independent school context</a:t>
          </a:r>
        </a:p>
      </dsp:txBody>
      <dsp:txXfrm>
        <a:off x="778327" y="593570"/>
        <a:ext cx="824878" cy="281165"/>
      </dsp:txXfrm>
    </dsp:sp>
    <dsp:sp modelId="{30F45D46-BD6E-4320-84CD-AC20CB6A8EBE}">
      <dsp:nvSpPr>
        <dsp:cNvPr id="0" name=""/>
        <dsp:cNvSpPr/>
      </dsp:nvSpPr>
      <dsp:spPr>
        <a:xfrm>
          <a:off x="504618" y="1187841"/>
          <a:ext cx="1372296" cy="623411"/>
        </a:xfrm>
        <a:prstGeom prst="ellipse">
          <a:avLst/>
        </a:prstGeom>
        <a:gradFill rotWithShape="0">
          <a:gsLst>
            <a:gs pos="0">
              <a:schemeClr val="accent2">
                <a:shade val="80000"/>
                <a:hueOff val="-455004"/>
                <a:satOff val="8510"/>
                <a:lumOff val="27121"/>
                <a:alphaOff val="0"/>
                <a:satMod val="103000"/>
                <a:lumMod val="102000"/>
                <a:tint val="94000"/>
              </a:schemeClr>
            </a:gs>
            <a:gs pos="50000">
              <a:schemeClr val="accent2">
                <a:shade val="80000"/>
                <a:hueOff val="-455004"/>
                <a:satOff val="8510"/>
                <a:lumOff val="27121"/>
                <a:alphaOff val="0"/>
                <a:satMod val="110000"/>
                <a:lumMod val="100000"/>
                <a:shade val="100000"/>
              </a:schemeClr>
            </a:gs>
            <a:gs pos="100000">
              <a:schemeClr val="accent2">
                <a:shade val="80000"/>
                <a:hueOff val="-455004"/>
                <a:satOff val="8510"/>
                <a:lumOff val="27121"/>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t>In-house ECF-informed ECT programme</a:t>
          </a:r>
        </a:p>
      </dsp:txBody>
      <dsp:txXfrm>
        <a:off x="705587" y="1343694"/>
        <a:ext cx="970359" cy="3117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6FED72-51EF-4F97-AFA6-AC3BAA90B1BF}">
      <dsp:nvSpPr>
        <dsp:cNvPr id="0" name=""/>
        <dsp:cNvSpPr/>
      </dsp:nvSpPr>
      <dsp:spPr>
        <a:xfrm>
          <a:off x="222857" y="0"/>
          <a:ext cx="1822505" cy="1822505"/>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t>Multi-academy trust</a:t>
          </a:r>
        </a:p>
      </dsp:txBody>
      <dsp:txXfrm>
        <a:off x="815627" y="91125"/>
        <a:ext cx="636965" cy="273375"/>
      </dsp:txXfrm>
    </dsp:sp>
    <dsp:sp modelId="{FB2D4182-A917-40E1-911C-4D4E6D830A0D}">
      <dsp:nvSpPr>
        <dsp:cNvPr id="0" name=""/>
        <dsp:cNvSpPr/>
      </dsp:nvSpPr>
      <dsp:spPr>
        <a:xfrm>
          <a:off x="450670" y="455626"/>
          <a:ext cx="1366878" cy="1366878"/>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900" kern="1200"/>
            <a:t>Multi-academy school Context</a:t>
          </a:r>
        </a:p>
      </dsp:txBody>
      <dsp:txXfrm>
        <a:off x="815627" y="541056"/>
        <a:ext cx="636965" cy="256289"/>
      </dsp:txXfrm>
    </dsp:sp>
    <dsp:sp modelId="{49483C90-1059-4741-BEC3-E1CE8D4EF135}">
      <dsp:nvSpPr>
        <dsp:cNvPr id="0" name=""/>
        <dsp:cNvSpPr/>
      </dsp:nvSpPr>
      <dsp:spPr>
        <a:xfrm>
          <a:off x="1473780" y="892157"/>
          <a:ext cx="794439" cy="663200"/>
        </a:xfrm>
        <a:prstGeom prst="ellipse">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rPr>
            <a:t>DfE approved ECF provider </a:t>
          </a:r>
        </a:p>
      </dsp:txBody>
      <dsp:txXfrm>
        <a:off x="1590123" y="1057957"/>
        <a:ext cx="561753" cy="3316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F36B1-9D72-4DEE-9EA9-4B5F84E78481}">
      <dsp:nvSpPr>
        <dsp:cNvPr id="0" name=""/>
        <dsp:cNvSpPr/>
      </dsp:nvSpPr>
      <dsp:spPr>
        <a:xfrm>
          <a:off x="25174" y="128534"/>
          <a:ext cx="1076161" cy="1076145"/>
        </a:xfrm>
        <a:prstGeom prst="ellipse">
          <a:avLst/>
        </a:prstGeom>
        <a:solidFill>
          <a:schemeClr val="accent3">
            <a:shade val="80000"/>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Another faith-based school context</a:t>
          </a:r>
        </a:p>
      </dsp:txBody>
      <dsp:txXfrm>
        <a:off x="182774" y="286132"/>
        <a:ext cx="760961" cy="760949"/>
      </dsp:txXfrm>
    </dsp:sp>
    <dsp:sp modelId="{A13B6D32-BBF1-4E7A-9318-09A7B736B754}">
      <dsp:nvSpPr>
        <dsp:cNvPr id="0" name=""/>
        <dsp:cNvSpPr/>
      </dsp:nvSpPr>
      <dsp:spPr>
        <a:xfrm>
          <a:off x="667103" y="717729"/>
          <a:ext cx="1076161" cy="1076145"/>
        </a:xfrm>
        <a:prstGeom prst="ellipse">
          <a:avLst/>
        </a:prstGeom>
        <a:solidFill>
          <a:schemeClr val="accent3">
            <a:shade val="80000"/>
            <a:alpha val="50000"/>
            <a:hueOff val="-128999"/>
            <a:satOff val="-26493"/>
            <a:lumOff val="1988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Faith-based school context</a:t>
          </a:r>
        </a:p>
      </dsp:txBody>
      <dsp:txXfrm>
        <a:off x="824703" y="875327"/>
        <a:ext cx="760961" cy="760949"/>
      </dsp:txXfrm>
    </dsp:sp>
    <dsp:sp modelId="{B29872BE-EC00-4EE2-B8CA-773DAD7E46EB}">
      <dsp:nvSpPr>
        <dsp:cNvPr id="0" name=""/>
        <dsp:cNvSpPr/>
      </dsp:nvSpPr>
      <dsp:spPr>
        <a:xfrm>
          <a:off x="1422760" y="0"/>
          <a:ext cx="897744" cy="931705"/>
        </a:xfrm>
        <a:prstGeom prst="ellipse">
          <a:avLst/>
        </a:prstGeom>
        <a:solidFill>
          <a:schemeClr val="accent3">
            <a:shade val="80000"/>
            <a:alpha val="50000"/>
            <a:hueOff val="-257998"/>
            <a:satOff val="-52986"/>
            <a:lumOff val="397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DfE approved ECF provider </a:t>
          </a:r>
        </a:p>
      </dsp:txBody>
      <dsp:txXfrm>
        <a:off x="1554232" y="136445"/>
        <a:ext cx="634800" cy="65881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F36B1-9D72-4DEE-9EA9-4B5F84E78481}">
      <dsp:nvSpPr>
        <dsp:cNvPr id="0" name=""/>
        <dsp:cNvSpPr/>
      </dsp:nvSpPr>
      <dsp:spPr>
        <a:xfrm>
          <a:off x="102245" y="57815"/>
          <a:ext cx="910149" cy="845133"/>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DfE approved ECF provider 1</a:t>
          </a:r>
        </a:p>
      </dsp:txBody>
      <dsp:txXfrm>
        <a:off x="235533" y="181582"/>
        <a:ext cx="643573" cy="597599"/>
      </dsp:txXfrm>
    </dsp:sp>
    <dsp:sp modelId="{A13B6D32-BBF1-4E7A-9318-09A7B736B754}">
      <dsp:nvSpPr>
        <dsp:cNvPr id="0" name=""/>
        <dsp:cNvSpPr/>
      </dsp:nvSpPr>
      <dsp:spPr>
        <a:xfrm>
          <a:off x="616327" y="717894"/>
          <a:ext cx="1076412" cy="1076396"/>
        </a:xfrm>
        <a:prstGeom prst="ellipse">
          <a:avLst/>
        </a:prstGeom>
        <a:solidFill>
          <a:schemeClr val="accent4">
            <a:alpha val="50000"/>
            <a:hueOff val="3299968"/>
            <a:satOff val="-14601"/>
            <a:lumOff val="-24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Local-authority school context</a:t>
          </a:r>
        </a:p>
      </dsp:txBody>
      <dsp:txXfrm>
        <a:off x="773964" y="875529"/>
        <a:ext cx="761138" cy="761126"/>
      </dsp:txXfrm>
    </dsp:sp>
    <dsp:sp modelId="{B29872BE-EC00-4EE2-B8CA-773DAD7E46EB}">
      <dsp:nvSpPr>
        <dsp:cNvPr id="0" name=""/>
        <dsp:cNvSpPr/>
      </dsp:nvSpPr>
      <dsp:spPr>
        <a:xfrm>
          <a:off x="1111865" y="0"/>
          <a:ext cx="1003517" cy="748547"/>
        </a:xfrm>
        <a:prstGeom prst="ellipse">
          <a:avLst/>
        </a:prstGeom>
        <a:solidFill>
          <a:schemeClr val="accent4">
            <a:alpha val="50000"/>
            <a:hueOff val="6599937"/>
            <a:satOff val="-29202"/>
            <a:lumOff val="-49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DfE approved ECF provider 2 </a:t>
          </a:r>
        </a:p>
      </dsp:txBody>
      <dsp:txXfrm>
        <a:off x="1258827" y="109622"/>
        <a:ext cx="709593" cy="529303"/>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3.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4.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1954D-1837-4B67-8963-1D1A5629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32</Pages>
  <Words>8662</Words>
  <Characters>51854</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Achala Gupta</dc:creator>
  <cp:keywords/>
  <dc:description/>
  <cp:lastModifiedBy>Achala Gupta</cp:lastModifiedBy>
  <cp:revision>52</cp:revision>
  <dcterms:created xsi:type="dcterms:W3CDTF">2025-07-12T08:32:00Z</dcterms:created>
  <dcterms:modified xsi:type="dcterms:W3CDTF">2025-07-15T09:25:00Z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b6daf113-8957-4b4a-88f2-8b8255ad6496</vt:lpwstr>
  </property>
</Properties>
</file>