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A343E2" w14:textId="7B29E33B" w:rsidR="00E76176" w:rsidRPr="00CE04FC" w:rsidRDefault="00E76176" w:rsidP="000F36C0">
      <w:pPr>
        <w:spacing w:before="240" w:after="0" w:line="240" w:lineRule="auto"/>
        <w:jc w:val="center"/>
        <w:rPr>
          <w:rFonts w:ascii="Times New Roman" w:hAnsi="Times New Roman" w:cs="Times New Roman"/>
        </w:rPr>
      </w:pPr>
      <w:r w:rsidRPr="00CE04FC">
        <w:rPr>
          <w:rFonts w:ascii="Times New Roman" w:hAnsi="Times New Roman" w:cs="Times New Roman"/>
          <w:b/>
          <w:bCs/>
          <w:sz w:val="28"/>
          <w:szCs w:val="28"/>
        </w:rPr>
        <w:t>Machine Learning-Enhanced Uncertainty Quantification for Renewable-Powered Hybrid Green Ammonia and Refrigeration Systems</w:t>
      </w:r>
      <w:r w:rsidR="005C7B9F" w:rsidRPr="00CE04FC">
        <w:rPr>
          <w:rFonts w:ascii="Times New Roman" w:hAnsi="Times New Roman" w:cs="Times New Roman"/>
          <w:b/>
          <w:bCs/>
          <w:sz w:val="28"/>
          <w:szCs w:val="28"/>
        </w:rPr>
        <w:t>: Technoeconomic and Environmental Effects</w:t>
      </w:r>
    </w:p>
    <w:p w14:paraId="28D99838" w14:textId="56D3B0BC" w:rsidR="009449AD" w:rsidRPr="00CE04FC" w:rsidRDefault="009449AD" w:rsidP="002A40BD">
      <w:pPr>
        <w:spacing w:before="240" w:after="0" w:line="240" w:lineRule="auto"/>
        <w:jc w:val="center"/>
        <w:rPr>
          <w:rFonts w:ascii="Times New Roman" w:hAnsi="Times New Roman" w:cs="Times New Roman"/>
          <w:vertAlign w:val="superscript"/>
        </w:rPr>
      </w:pPr>
      <w:r w:rsidRPr="00CE04FC">
        <w:rPr>
          <w:rFonts w:ascii="Times New Roman" w:hAnsi="Times New Roman" w:cs="Times New Roman"/>
        </w:rPr>
        <w:t>Muzumil Anwar</w:t>
      </w:r>
      <w:r w:rsidRPr="00CE04FC">
        <w:rPr>
          <w:rFonts w:ascii="Times New Roman" w:hAnsi="Times New Roman" w:cs="Times New Roman"/>
          <w:vertAlign w:val="superscript"/>
        </w:rPr>
        <w:t>1</w:t>
      </w:r>
      <w:r w:rsidR="00373266" w:rsidRPr="00CE04FC">
        <w:rPr>
          <w:rFonts w:ascii="Times New Roman" w:hAnsi="Times New Roman" w:cs="Times New Roman"/>
          <w:vertAlign w:val="superscript"/>
        </w:rPr>
        <w:t>*</w:t>
      </w:r>
      <w:r w:rsidRPr="00CE04FC">
        <w:rPr>
          <w:rFonts w:ascii="Times New Roman" w:hAnsi="Times New Roman" w:cs="Times New Roman"/>
        </w:rPr>
        <w:t>, Israfil Soyler</w:t>
      </w:r>
      <w:r w:rsidR="00C65E82" w:rsidRPr="00CE04FC">
        <w:rPr>
          <w:rFonts w:ascii="Times New Roman" w:hAnsi="Times New Roman" w:cs="Times New Roman"/>
          <w:vertAlign w:val="superscript"/>
        </w:rPr>
        <w:t>1</w:t>
      </w:r>
      <w:r w:rsidRPr="00CE04FC">
        <w:rPr>
          <w:rFonts w:ascii="Times New Roman" w:hAnsi="Times New Roman" w:cs="Times New Roman"/>
        </w:rPr>
        <w:t>, Nader Karimi</w:t>
      </w:r>
      <w:r w:rsidR="00B3427C" w:rsidRPr="00CE04FC">
        <w:rPr>
          <w:rFonts w:ascii="Times New Roman" w:hAnsi="Times New Roman" w:cs="Times New Roman"/>
          <w:vertAlign w:val="superscript"/>
        </w:rPr>
        <w:t>2</w:t>
      </w:r>
      <w:r w:rsidRPr="00CE04FC">
        <w:rPr>
          <w:rFonts w:ascii="Times New Roman" w:hAnsi="Times New Roman" w:cs="Times New Roman"/>
          <w:vertAlign w:val="superscript"/>
        </w:rPr>
        <w:t>*</w:t>
      </w:r>
    </w:p>
    <w:p w14:paraId="3EB1615A" w14:textId="77777777" w:rsidR="009449AD" w:rsidRPr="00CE04FC" w:rsidRDefault="009449AD" w:rsidP="0056522D">
      <w:pPr>
        <w:spacing w:after="0" w:line="240" w:lineRule="auto"/>
        <w:jc w:val="center"/>
        <w:rPr>
          <w:rFonts w:ascii="Times New Roman" w:hAnsi="Times New Roman" w:cs="Times New Roman"/>
        </w:rPr>
      </w:pPr>
    </w:p>
    <w:p w14:paraId="35F09EB3" w14:textId="5586B857" w:rsidR="009449AD" w:rsidRPr="00CE04FC" w:rsidRDefault="0099004C" w:rsidP="0056522D">
      <w:pPr>
        <w:spacing w:after="0" w:line="240" w:lineRule="auto"/>
        <w:jc w:val="center"/>
        <w:rPr>
          <w:rFonts w:ascii="Times New Roman" w:hAnsi="Times New Roman" w:cs="Times New Roman"/>
        </w:rPr>
      </w:pPr>
      <w:r>
        <w:rPr>
          <w:rFonts w:ascii="Times New Roman" w:hAnsi="Times New Roman" w:cs="Times New Roman"/>
          <w:vertAlign w:val="superscript"/>
        </w:rPr>
        <w:t>1</w:t>
      </w:r>
      <w:r w:rsidR="009449AD" w:rsidRPr="00CE04FC">
        <w:rPr>
          <w:rFonts w:ascii="Times New Roman" w:hAnsi="Times New Roman" w:cs="Times New Roman"/>
        </w:rPr>
        <w:t>School of Engineering and Materials Science, Queen Mary University of London, London E1 4NS, United Kingdom</w:t>
      </w:r>
    </w:p>
    <w:p w14:paraId="4CE568F4" w14:textId="410CB9ED" w:rsidR="00B64EB2" w:rsidRPr="00CE04FC" w:rsidRDefault="00B64EB2" w:rsidP="00B64EB2">
      <w:pPr>
        <w:jc w:val="center"/>
        <w:rPr>
          <w:rFonts w:ascii="Times New Roman" w:hAnsi="Times New Roman" w:cs="Times New Roman"/>
        </w:rPr>
      </w:pPr>
      <w:r w:rsidRPr="00CE04FC">
        <w:rPr>
          <w:rFonts w:ascii="Times New Roman" w:hAnsi="Times New Roman" w:cs="Times New Roman"/>
          <w:vertAlign w:val="superscript"/>
        </w:rPr>
        <w:t>2</w:t>
      </w:r>
      <w:r w:rsidRPr="00CE04FC">
        <w:rPr>
          <w:rFonts w:ascii="Times New Roman" w:hAnsi="Times New Roman" w:cs="Times New Roman"/>
        </w:rPr>
        <w:t>School of Engineering, University of Southampton, Southampton S017 1BJ</w:t>
      </w:r>
      <w:r w:rsidRPr="00CE04FC">
        <w:rPr>
          <w:rStyle w:val="kno-fv-vq"/>
          <w:rFonts w:ascii="Times New Roman" w:hAnsi="Times New Roman" w:cs="Times New Roman"/>
        </w:rPr>
        <w:t>, United</w:t>
      </w:r>
      <w:r w:rsidRPr="00CE04FC">
        <w:rPr>
          <w:rFonts w:ascii="Times New Roman" w:hAnsi="Times New Roman" w:cs="Times New Roman"/>
        </w:rPr>
        <w:t xml:space="preserve"> Kingdom</w:t>
      </w:r>
    </w:p>
    <w:p w14:paraId="294CA740" w14:textId="528177D5" w:rsidR="00D75860" w:rsidRPr="00CE04FC" w:rsidRDefault="009449AD" w:rsidP="0056522D">
      <w:pPr>
        <w:spacing w:before="240" w:after="0" w:line="240" w:lineRule="auto"/>
        <w:jc w:val="center"/>
        <w:rPr>
          <w:rFonts w:ascii="Times New Roman" w:eastAsiaTheme="majorEastAsia" w:hAnsi="Times New Roman" w:cs="Times New Roman"/>
          <w:b/>
          <w:bCs/>
        </w:rPr>
      </w:pPr>
      <w:r w:rsidRPr="00CE04FC">
        <w:rPr>
          <w:rFonts w:ascii="Times New Roman" w:hAnsi="Times New Roman" w:cs="Times New Roman"/>
          <w:vertAlign w:val="superscript"/>
        </w:rPr>
        <w:t>*</w:t>
      </w:r>
      <w:r w:rsidRPr="00CE04FC">
        <w:rPr>
          <w:rFonts w:ascii="Times New Roman" w:hAnsi="Times New Roman" w:cs="Times New Roman"/>
        </w:rPr>
        <w:t>Corresponding author:</w:t>
      </w:r>
      <w:r w:rsidR="00373266" w:rsidRPr="00CE04FC">
        <w:rPr>
          <w:rFonts w:ascii="Times New Roman" w:hAnsi="Times New Roman" w:cs="Times New Roman"/>
        </w:rPr>
        <w:t xml:space="preserve"> </w:t>
      </w:r>
      <w:r w:rsidR="0013767F" w:rsidRPr="00CE04FC">
        <w:rPr>
          <w:rFonts w:ascii="Times New Roman" w:hAnsi="Times New Roman" w:cs="Times New Roman"/>
        </w:rPr>
        <w:t>m</w:t>
      </w:r>
      <w:r w:rsidR="00373266" w:rsidRPr="00CE04FC">
        <w:rPr>
          <w:rFonts w:ascii="Times New Roman" w:hAnsi="Times New Roman" w:cs="Times New Roman"/>
        </w:rPr>
        <w:t>uzumil.anwar@qmul.ac.uk;</w:t>
      </w:r>
      <w:r w:rsidRPr="00CE04FC">
        <w:rPr>
          <w:rFonts w:ascii="Times New Roman" w:hAnsi="Times New Roman" w:cs="Times New Roman"/>
        </w:rPr>
        <w:t xml:space="preserve"> n</w:t>
      </w:r>
      <w:r w:rsidR="00334C9F" w:rsidRPr="00CE04FC">
        <w:rPr>
          <w:rFonts w:ascii="Times New Roman" w:hAnsi="Times New Roman" w:cs="Times New Roman"/>
        </w:rPr>
        <w:t>ader</w:t>
      </w:r>
      <w:r w:rsidR="00190A82" w:rsidRPr="00CE04FC">
        <w:rPr>
          <w:rFonts w:ascii="Times New Roman" w:hAnsi="Times New Roman" w:cs="Times New Roman"/>
        </w:rPr>
        <w:t>karimi.melb@gmail.com</w:t>
      </w:r>
      <w:r w:rsidR="00260F21">
        <w:rPr>
          <w:rFonts w:ascii="Times New Roman" w:eastAsiaTheme="majorEastAsia" w:hAnsi="Times New Roman" w:cs="Times New Roman"/>
          <w:b/>
          <w:bCs/>
        </w:rPr>
        <w:pict w14:anchorId="337AFDB5">
          <v:rect id="_x0000_i1025" style="width:0;height:1.5pt" o:hralign="center" o:bullet="t" o:hrstd="t" o:hr="t" fillcolor="#a0a0a0" stroked="f"/>
        </w:pict>
      </w:r>
    </w:p>
    <w:p w14:paraId="7CB8FF3D" w14:textId="77777777" w:rsidR="00D75860" w:rsidRPr="00CE04FC" w:rsidRDefault="00D75860" w:rsidP="00D75860">
      <w:pPr>
        <w:keepNext/>
        <w:keepLines/>
        <w:spacing w:after="80" w:line="240" w:lineRule="auto"/>
        <w:ind w:left="432" w:hanging="432"/>
        <w:outlineLvl w:val="0"/>
        <w:rPr>
          <w:rFonts w:ascii="Times New Roman" w:eastAsiaTheme="majorEastAsia" w:hAnsi="Times New Roman" w:cs="Times New Roman"/>
          <w:b/>
        </w:rPr>
      </w:pPr>
      <w:r w:rsidRPr="00CE04FC">
        <w:rPr>
          <w:rFonts w:ascii="Times New Roman" w:eastAsiaTheme="majorEastAsia" w:hAnsi="Times New Roman" w:cs="Times New Roman"/>
          <w:b/>
        </w:rPr>
        <w:t>Abstract</w:t>
      </w:r>
    </w:p>
    <w:p w14:paraId="3EFBA386" w14:textId="3C78F99F" w:rsidR="00D2445E" w:rsidRPr="00CE04FC" w:rsidRDefault="00D2445E" w:rsidP="006A4B9B">
      <w:pPr>
        <w:spacing w:line="240" w:lineRule="auto"/>
        <w:jc w:val="both"/>
        <w:rPr>
          <w:rFonts w:ascii="Times New Roman" w:hAnsi="Times New Roman" w:cs="Times New Roman"/>
        </w:rPr>
      </w:pPr>
      <w:r w:rsidRPr="00CE04FC">
        <w:rPr>
          <w:rFonts w:ascii="Times New Roman" w:hAnsi="Times New Roman" w:cs="Times New Roman"/>
        </w:rPr>
        <w:t xml:space="preserve">Renewable-powered ammonia production is a promising route for sustainable energy and hydrogen storage but is highly sensitive to operational uncertainty from variable power supply and component performance. This study presents a novel machine learning–enhanced uncertainty quantification (ML-UQ) framework that, for the first time, integrates a high-fidelity surrogate model—an artificial neural network with autoregressive feedback—into Aspen Plus simulations of a hybrid ammonia production system coupled with a vapour absorption refrigeration unit for heat recovery. The framework captures nonlinear interactions among six critical uncertain parameters, including renewable power variability, heat exchanger effectiveness, and compressor efficiency. It reduces </w:t>
      </w:r>
      <w:r w:rsidR="00623472" w:rsidRPr="00CE04FC">
        <w:rPr>
          <w:rFonts w:ascii="Times New Roman" w:hAnsi="Times New Roman" w:cs="Times New Roman"/>
        </w:rPr>
        <w:t xml:space="preserve">the </w:t>
      </w:r>
      <w:r w:rsidRPr="00CE04FC">
        <w:rPr>
          <w:rFonts w:ascii="Times New Roman" w:hAnsi="Times New Roman" w:cs="Times New Roman"/>
        </w:rPr>
        <w:t xml:space="preserve">computational cost by three orders of magnitude while maintaining high predictive accuracy (R² = 0.97, MAE = 8.57, RMSE = 11.3). The ANN surrogate enables scalable uncertainty propagation via polynomial chaos expansion. Results show that, across nominal power levels of 10–20 MW, uncertainties can cause up to 18% variation in ammonia output, 30% in refrigeration, and 40–50% in CO₂ emissions reduction. Heat exchanger effectiveness alone accounts for nearly 50% of total variability. Economic analysis indicates a 5% increase in the levelized cost of ammonia and 30–40% variation in annual refrigeration revenue. This work delivers the first computationally feasible, ML-assisted surrogate-based UQ framework for hybrid green ammonia systems. More broadly, it offers a practical and readily scalable tool for designing resilient, economically viable, and low-carbon energy and chemical </w:t>
      </w:r>
      <w:r w:rsidR="00FE0351" w:rsidRPr="00CE04FC">
        <w:rPr>
          <w:rFonts w:ascii="Times New Roman" w:hAnsi="Times New Roman" w:cs="Times New Roman"/>
        </w:rPr>
        <w:t xml:space="preserve">manufacturing </w:t>
      </w:r>
      <w:r w:rsidRPr="00CE04FC">
        <w:rPr>
          <w:rFonts w:ascii="Times New Roman" w:hAnsi="Times New Roman" w:cs="Times New Roman"/>
        </w:rPr>
        <w:t>systems.</w:t>
      </w:r>
    </w:p>
    <w:p w14:paraId="28F001DB" w14:textId="425D62EF" w:rsidR="00D75860" w:rsidRPr="00CE04FC" w:rsidRDefault="00D75860" w:rsidP="09DD4F78">
      <w:pPr>
        <w:spacing w:before="240" w:line="240" w:lineRule="auto"/>
        <w:jc w:val="both"/>
        <w:rPr>
          <w:rFonts w:ascii="Times New Roman" w:hAnsi="Times New Roman" w:cs="Times New Roman"/>
        </w:rPr>
      </w:pPr>
      <w:r w:rsidRPr="00CE04FC">
        <w:rPr>
          <w:rFonts w:ascii="Times New Roman" w:hAnsi="Times New Roman" w:cs="Times New Roman"/>
          <w:b/>
          <w:bCs/>
        </w:rPr>
        <w:t>Keywords:</w:t>
      </w:r>
      <w:r w:rsidRPr="00CE04FC">
        <w:rPr>
          <w:rFonts w:ascii="Times New Roman" w:hAnsi="Times New Roman" w:cs="Times New Roman"/>
        </w:rPr>
        <w:t xml:space="preserve"> Uncertainty quantification; Machine learning; </w:t>
      </w:r>
      <w:r w:rsidR="006A4B9B" w:rsidRPr="00CE04FC">
        <w:rPr>
          <w:rFonts w:ascii="Times New Roman" w:hAnsi="Times New Roman" w:cs="Times New Roman"/>
        </w:rPr>
        <w:t>Techno</w:t>
      </w:r>
      <w:r w:rsidR="00982E2D">
        <w:rPr>
          <w:rFonts w:ascii="Times New Roman" w:hAnsi="Times New Roman" w:cs="Times New Roman"/>
        </w:rPr>
        <w:t>-</w:t>
      </w:r>
      <w:r w:rsidR="006A4B9B" w:rsidRPr="00CE04FC">
        <w:rPr>
          <w:rFonts w:ascii="Times New Roman" w:hAnsi="Times New Roman" w:cs="Times New Roman"/>
        </w:rPr>
        <w:t>economic</w:t>
      </w:r>
      <w:r w:rsidR="002C01DA">
        <w:rPr>
          <w:rFonts w:ascii="Times New Roman" w:hAnsi="Times New Roman" w:cs="Times New Roman"/>
        </w:rPr>
        <w:t>s</w:t>
      </w:r>
      <w:r w:rsidRPr="00CE04FC">
        <w:rPr>
          <w:rFonts w:ascii="Times New Roman" w:hAnsi="Times New Roman" w:cs="Times New Roman"/>
        </w:rPr>
        <w:t>; Green ammonia production; Waste heat recovery;</w:t>
      </w:r>
      <w:r w:rsidR="005F2AE8" w:rsidRPr="00CE04FC">
        <w:rPr>
          <w:rFonts w:ascii="Times New Roman" w:hAnsi="Times New Roman" w:cs="Times New Roman"/>
        </w:rPr>
        <w:t xml:space="preserve"> Hybridised </w:t>
      </w:r>
      <w:r w:rsidR="00AC61EF" w:rsidRPr="00CE04FC">
        <w:rPr>
          <w:rFonts w:ascii="Times New Roman" w:hAnsi="Times New Roman" w:cs="Times New Roman"/>
        </w:rPr>
        <w:t>e</w:t>
      </w:r>
      <w:r w:rsidR="005F2AE8" w:rsidRPr="00CE04FC">
        <w:rPr>
          <w:rFonts w:ascii="Times New Roman" w:hAnsi="Times New Roman" w:cs="Times New Roman"/>
        </w:rPr>
        <w:t xml:space="preserve">nergy </w:t>
      </w:r>
      <w:r w:rsidR="00AC61EF" w:rsidRPr="00CE04FC">
        <w:rPr>
          <w:rFonts w:ascii="Times New Roman" w:hAnsi="Times New Roman" w:cs="Times New Roman"/>
        </w:rPr>
        <w:t>s</w:t>
      </w:r>
      <w:r w:rsidR="005F2AE8" w:rsidRPr="00CE04FC">
        <w:rPr>
          <w:rFonts w:ascii="Times New Roman" w:hAnsi="Times New Roman" w:cs="Times New Roman"/>
        </w:rPr>
        <w:t>yst</w:t>
      </w:r>
      <w:r w:rsidR="00AC61EF" w:rsidRPr="00CE04FC">
        <w:rPr>
          <w:rFonts w:ascii="Times New Roman" w:hAnsi="Times New Roman" w:cs="Times New Roman"/>
        </w:rPr>
        <w:t>ems</w:t>
      </w:r>
      <w:r w:rsidRPr="00CE04FC">
        <w:rPr>
          <w:rFonts w:ascii="Times New Roman" w:hAnsi="Times New Roman" w:cs="Times New Roman"/>
        </w:rPr>
        <w:t xml:space="preserve">. </w:t>
      </w:r>
    </w:p>
    <w:p w14:paraId="1A84034E" w14:textId="2BEB9694" w:rsidR="00D75860" w:rsidRPr="00CE04FC" w:rsidRDefault="00D75860" w:rsidP="00D75860">
      <w:pPr>
        <w:spacing w:line="240" w:lineRule="auto"/>
        <w:jc w:val="both"/>
        <w:rPr>
          <w:rFonts w:ascii="Times New Roman" w:hAnsi="Times New Roman" w:cs="Times New Roman"/>
          <w:b/>
          <w:bCs/>
        </w:rPr>
      </w:pPr>
      <w:r w:rsidRPr="00CE04FC">
        <w:rPr>
          <w:rFonts w:ascii="Times New Roman" w:hAnsi="Times New Roman" w:cs="Times New Roman"/>
          <w:b/>
          <w:bCs/>
        </w:rPr>
        <w:t>Nomenclature:</w:t>
      </w:r>
    </w:p>
    <w:tbl>
      <w:tblPr>
        <w:tblStyle w:val="TableGrid"/>
        <w:tblW w:w="0" w:type="auto"/>
        <w:tblLook w:val="04A0" w:firstRow="1" w:lastRow="0" w:firstColumn="1" w:lastColumn="0" w:noHBand="0" w:noVBand="1"/>
      </w:tblPr>
      <w:tblGrid>
        <w:gridCol w:w="1276"/>
        <w:gridCol w:w="7740"/>
      </w:tblGrid>
      <w:tr w:rsidR="00CE04FC" w:rsidRPr="00CE04FC" w14:paraId="7D05AFDA" w14:textId="77777777" w:rsidTr="007D40E1">
        <w:trPr>
          <w:trHeight w:val="70"/>
        </w:trPr>
        <w:tc>
          <w:tcPr>
            <w:tcW w:w="1276" w:type="dxa"/>
          </w:tcPr>
          <w:p w14:paraId="7286FEE0" w14:textId="77777777" w:rsidR="00D75860" w:rsidRPr="00CE04FC" w:rsidRDefault="00D75860" w:rsidP="00D75860">
            <w:pPr>
              <w:jc w:val="both"/>
              <w:rPr>
                <w:rFonts w:ascii="Times New Roman" w:hAnsi="Times New Roman" w:cs="Times New Roman"/>
              </w:rPr>
            </w:pPr>
            <w:r w:rsidRPr="00CE04FC">
              <w:rPr>
                <w:rFonts w:ascii="Times New Roman" w:hAnsi="Times New Roman" w:cs="Times New Roman"/>
              </w:rPr>
              <w:t xml:space="preserve">AWE  </w:t>
            </w:r>
          </w:p>
        </w:tc>
        <w:tc>
          <w:tcPr>
            <w:tcW w:w="7740" w:type="dxa"/>
          </w:tcPr>
          <w:p w14:paraId="3FECDDCC" w14:textId="77777777" w:rsidR="00D75860" w:rsidRPr="00CE04FC" w:rsidRDefault="00D75860" w:rsidP="00D75860">
            <w:pPr>
              <w:jc w:val="both"/>
              <w:rPr>
                <w:rFonts w:ascii="Times New Roman" w:hAnsi="Times New Roman" w:cs="Times New Roman"/>
              </w:rPr>
            </w:pPr>
            <w:r w:rsidRPr="00CE04FC">
              <w:rPr>
                <w:rFonts w:ascii="Times New Roman" w:hAnsi="Times New Roman" w:cs="Times New Roman"/>
              </w:rPr>
              <w:t>Alkaline water electrolyser</w:t>
            </w:r>
          </w:p>
        </w:tc>
      </w:tr>
      <w:tr w:rsidR="00CE04FC" w:rsidRPr="00CE04FC" w14:paraId="7AE1DC4D" w14:textId="77777777" w:rsidTr="007D40E1">
        <w:trPr>
          <w:trHeight w:val="70"/>
        </w:trPr>
        <w:tc>
          <w:tcPr>
            <w:tcW w:w="1276" w:type="dxa"/>
          </w:tcPr>
          <w:p w14:paraId="444C05B9" w14:textId="24BDF201" w:rsidR="002A2BB0" w:rsidRPr="00CE04FC" w:rsidRDefault="00260F21" w:rsidP="002A2BB0">
            <w:pPr>
              <w:jc w:val="both"/>
              <w:rPr>
                <w:rFonts w:ascii="Times New Roman" w:hAnsi="Times New Roman" w:cs="Times New Roman"/>
              </w:rPr>
            </w:pPr>
            <m:oMathPara>
              <m:oMathParaPr>
                <m:jc m:val="left"/>
              </m:oMathParaPr>
              <m:oMath>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l</m:t>
                    </m:r>
                  </m:sup>
                </m:sSup>
              </m:oMath>
            </m:oMathPara>
          </w:p>
        </w:tc>
        <w:tc>
          <w:tcPr>
            <w:tcW w:w="7740" w:type="dxa"/>
          </w:tcPr>
          <w:p w14:paraId="338470A3" w14:textId="25F9D167" w:rsidR="002A2BB0" w:rsidRPr="00CE04FC" w:rsidRDefault="002A2BB0" w:rsidP="002A2BB0">
            <w:pPr>
              <w:jc w:val="both"/>
              <w:rPr>
                <w:rFonts w:ascii="Times New Roman" w:hAnsi="Times New Roman" w:cs="Times New Roman"/>
              </w:rPr>
            </w:pPr>
            <w:r w:rsidRPr="00CE04FC">
              <w:rPr>
                <w:rFonts w:ascii="Times New Roman" w:hAnsi="Times New Roman" w:cs="Times New Roman"/>
              </w:rPr>
              <w:t>Activation function elementwise</w:t>
            </w:r>
          </w:p>
        </w:tc>
      </w:tr>
      <w:tr w:rsidR="00CE04FC" w:rsidRPr="00CE04FC" w14:paraId="64B10E4C" w14:textId="77777777" w:rsidTr="007D40E1">
        <w:trPr>
          <w:trHeight w:val="47"/>
        </w:trPr>
        <w:tc>
          <w:tcPr>
            <w:tcW w:w="1276" w:type="dxa"/>
          </w:tcPr>
          <w:p w14:paraId="5E3828BE"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ASU</w:t>
            </w:r>
          </w:p>
        </w:tc>
        <w:tc>
          <w:tcPr>
            <w:tcW w:w="7740" w:type="dxa"/>
          </w:tcPr>
          <w:p w14:paraId="2B7FE64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Air separation unit</w:t>
            </w:r>
          </w:p>
        </w:tc>
      </w:tr>
      <w:tr w:rsidR="00CE04FC" w:rsidRPr="00CE04FC" w14:paraId="0664C837" w14:textId="77777777" w:rsidTr="007D40E1">
        <w:trPr>
          <w:trHeight w:val="47"/>
        </w:trPr>
        <w:tc>
          <w:tcPr>
            <w:tcW w:w="1276" w:type="dxa"/>
          </w:tcPr>
          <w:p w14:paraId="777E6CC5" w14:textId="77777777" w:rsidR="002A2BB0" w:rsidRPr="00CE04FC" w:rsidRDefault="00260F21" w:rsidP="002A2BB0">
            <w:pPr>
              <w:jc w:val="both"/>
              <w:rPr>
                <w:rFonts w:ascii="Times New Roman" w:hAnsi="Times New Roman" w:cs="Times New Roman"/>
              </w:rPr>
            </w:pPr>
            <m:oMathPara>
              <m:oMathParaPr>
                <m:jc m:val="left"/>
              </m:oMathParaPr>
              <m:oMath>
                <m:sSup>
                  <m:sSupPr>
                    <m:ctrlPr>
                      <w:rPr>
                        <w:rFonts w:ascii="Cambria Math" w:hAnsi="Cambria Math" w:cs="Times New Roman"/>
                      </w:rPr>
                    </m:ctrlPr>
                  </m:sSupPr>
                  <m:e>
                    <m:r>
                      <w:rPr>
                        <w:rFonts w:ascii="Cambria Math" w:hAnsi="Cambria Math" w:cs="Times New Roman"/>
                      </w:rPr>
                      <m:t>b</m:t>
                    </m:r>
                  </m:e>
                  <m:sup>
                    <m:r>
                      <w:rPr>
                        <w:rFonts w:ascii="Cambria Math" w:hAnsi="Cambria Math" w:cs="Times New Roman"/>
                      </w:rPr>
                      <m:t>l</m:t>
                    </m:r>
                  </m:sup>
                </m:sSup>
              </m:oMath>
            </m:oMathPara>
          </w:p>
        </w:tc>
        <w:tc>
          <w:tcPr>
            <w:tcW w:w="7740" w:type="dxa"/>
          </w:tcPr>
          <w:p w14:paraId="481FC8BD"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Bias vector</w:t>
            </w:r>
          </w:p>
        </w:tc>
      </w:tr>
      <w:tr w:rsidR="00CE04FC" w:rsidRPr="00CE04FC" w14:paraId="53E26E98" w14:textId="77777777" w:rsidTr="503EB2BB">
        <w:trPr>
          <w:trHeight w:val="300"/>
        </w:trPr>
        <w:tc>
          <w:tcPr>
            <w:tcW w:w="1276" w:type="dxa"/>
          </w:tcPr>
          <w:p w14:paraId="7B5832B5" w14:textId="51AA4712" w:rsidR="08FD1CA9" w:rsidRPr="00CE04FC" w:rsidRDefault="08FD1CA9" w:rsidP="503EB2BB">
            <w:pPr>
              <w:jc w:val="both"/>
              <w:rPr>
                <w:rFonts w:ascii="Times New Roman" w:hAnsi="Times New Roman" w:cs="Times New Roman"/>
              </w:rPr>
            </w:pPr>
            <w:r w:rsidRPr="00CE04FC">
              <w:rPr>
                <w:rFonts w:ascii="Times New Roman" w:hAnsi="Times New Roman" w:cs="Times New Roman"/>
              </w:rPr>
              <w:t>C</w:t>
            </w:r>
            <w:r w:rsidRPr="00CE04FC">
              <w:rPr>
                <w:rFonts w:ascii="Times New Roman" w:hAnsi="Times New Roman" w:cs="Times New Roman"/>
                <w:vertAlign w:val="subscript"/>
              </w:rPr>
              <w:t>eff</w:t>
            </w:r>
          </w:p>
        </w:tc>
        <w:tc>
          <w:tcPr>
            <w:tcW w:w="7740" w:type="dxa"/>
          </w:tcPr>
          <w:p w14:paraId="6CC7F53E" w14:textId="5B39A138" w:rsidR="503EB2BB" w:rsidRPr="00CE04FC" w:rsidRDefault="00AE6610" w:rsidP="503EB2BB">
            <w:pPr>
              <w:jc w:val="both"/>
              <w:rPr>
                <w:rFonts w:ascii="Times New Roman" w:hAnsi="Times New Roman" w:cs="Times New Roman"/>
              </w:rPr>
            </w:pPr>
            <w:r w:rsidRPr="00CE04FC">
              <w:rPr>
                <w:rFonts w:ascii="Times New Roman" w:hAnsi="Times New Roman" w:cs="Times New Roman"/>
              </w:rPr>
              <w:t>Compressor’s isentropic efficiency</w:t>
            </w:r>
          </w:p>
        </w:tc>
      </w:tr>
      <w:tr w:rsidR="00CE04FC" w:rsidRPr="00CE04FC" w14:paraId="44C600D9" w14:textId="77777777" w:rsidTr="007D40E1">
        <w:trPr>
          <w:trHeight w:val="47"/>
        </w:trPr>
        <w:tc>
          <w:tcPr>
            <w:tcW w:w="1276" w:type="dxa"/>
          </w:tcPr>
          <w:p w14:paraId="63619961" w14:textId="77777777" w:rsidR="002A2BB0" w:rsidRPr="00CE04FC" w:rsidRDefault="00260F21" w:rsidP="002A2BB0">
            <w:pPr>
              <w:jc w:val="both"/>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k</m:t>
                  </m:r>
                </m:sub>
              </m:sSub>
            </m:oMath>
            <w:r w:rsidR="002A2BB0" w:rsidRPr="00CE04FC">
              <w:rPr>
                <w:rFonts w:ascii="Times New Roman" w:hAnsi="Times New Roman" w:cs="Times New Roman"/>
              </w:rPr>
              <w:t xml:space="preserve"> </w:t>
            </w:r>
            <w:r w:rsidR="002A2BB0" w:rsidRPr="00CE04FC">
              <w:rPr>
                <w:rFonts w:ascii="Times New Roman" w:hAnsi="Times New Roman" w:cs="Times New Roman"/>
              </w:rPr>
              <w:tab/>
            </w:r>
          </w:p>
        </w:tc>
        <w:tc>
          <w:tcPr>
            <w:tcW w:w="7740" w:type="dxa"/>
          </w:tcPr>
          <w:p w14:paraId="32460F4E"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PCE coefficients</w:t>
            </w:r>
          </w:p>
        </w:tc>
      </w:tr>
      <w:tr w:rsidR="00CE04FC" w:rsidRPr="00CE04FC" w14:paraId="4588AF90" w14:textId="77777777" w:rsidTr="007D40E1">
        <w:trPr>
          <w:trHeight w:val="47"/>
        </w:trPr>
        <w:tc>
          <w:tcPr>
            <w:tcW w:w="1276" w:type="dxa"/>
          </w:tcPr>
          <w:p w14:paraId="7B1B52AE"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CPU</w:t>
            </w:r>
          </w:p>
        </w:tc>
        <w:tc>
          <w:tcPr>
            <w:tcW w:w="7740" w:type="dxa"/>
          </w:tcPr>
          <w:p w14:paraId="623FD2D9"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Central processing unit</w:t>
            </w:r>
          </w:p>
        </w:tc>
      </w:tr>
      <w:tr w:rsidR="00CE04FC" w:rsidRPr="00CE04FC" w14:paraId="3ACFB99D" w14:textId="77777777" w:rsidTr="007D40E1">
        <w:trPr>
          <w:trHeight w:val="47"/>
        </w:trPr>
        <w:tc>
          <w:tcPr>
            <w:tcW w:w="1276" w:type="dxa"/>
          </w:tcPr>
          <w:p w14:paraId="27C41443"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CoV</w:t>
            </w:r>
          </w:p>
        </w:tc>
        <w:tc>
          <w:tcPr>
            <w:tcW w:w="7740" w:type="dxa"/>
          </w:tcPr>
          <w:p w14:paraId="284A05DD"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Coefficient of variation</w:t>
            </w:r>
          </w:p>
        </w:tc>
      </w:tr>
      <w:tr w:rsidR="00CE04FC" w:rsidRPr="00CE04FC" w14:paraId="6C084F40" w14:textId="77777777" w:rsidTr="007D40E1">
        <w:trPr>
          <w:trHeight w:val="47"/>
        </w:trPr>
        <w:tc>
          <w:tcPr>
            <w:tcW w:w="1276" w:type="dxa"/>
          </w:tcPr>
          <w:p w14:paraId="4E109D1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d</w:t>
            </w:r>
            <w:r w:rsidRPr="00CE04FC">
              <w:rPr>
                <w:rFonts w:ascii="Times New Roman" w:hAnsi="Times New Roman" w:cs="Times New Roman"/>
              </w:rPr>
              <w:tab/>
            </w:r>
          </w:p>
        </w:tc>
        <w:tc>
          <w:tcPr>
            <w:tcW w:w="7740" w:type="dxa"/>
          </w:tcPr>
          <w:p w14:paraId="6E6677A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Dimension</w:t>
            </w:r>
          </w:p>
        </w:tc>
      </w:tr>
      <w:tr w:rsidR="00CE04FC" w:rsidRPr="00CE04FC" w14:paraId="23A99629" w14:textId="77777777" w:rsidTr="007D40E1">
        <w:tc>
          <w:tcPr>
            <w:tcW w:w="1276" w:type="dxa"/>
          </w:tcPr>
          <w:p w14:paraId="15D53C85"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GHG</w:t>
            </w:r>
          </w:p>
        </w:tc>
        <w:tc>
          <w:tcPr>
            <w:tcW w:w="7740" w:type="dxa"/>
          </w:tcPr>
          <w:p w14:paraId="307F6DF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Greenhouse gasses</w:t>
            </w:r>
          </w:p>
        </w:tc>
      </w:tr>
      <w:tr w:rsidR="00CE04FC" w:rsidRPr="00CE04FC" w14:paraId="31AB4D2B" w14:textId="77777777" w:rsidTr="007D40E1">
        <w:tc>
          <w:tcPr>
            <w:tcW w:w="1276" w:type="dxa"/>
          </w:tcPr>
          <w:p w14:paraId="3BF2740B"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HB</w:t>
            </w:r>
          </w:p>
        </w:tc>
        <w:tc>
          <w:tcPr>
            <w:tcW w:w="7740" w:type="dxa"/>
          </w:tcPr>
          <w:p w14:paraId="5F5A98F8"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Haber Bosch</w:t>
            </w:r>
          </w:p>
        </w:tc>
      </w:tr>
      <w:tr w:rsidR="00CE04FC" w:rsidRPr="00CE04FC" w14:paraId="25E52DE8" w14:textId="77777777" w:rsidTr="007D40E1">
        <w:tc>
          <w:tcPr>
            <w:tcW w:w="1276" w:type="dxa"/>
          </w:tcPr>
          <w:p w14:paraId="13BC33C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HPC</w:t>
            </w:r>
          </w:p>
        </w:tc>
        <w:tc>
          <w:tcPr>
            <w:tcW w:w="7740" w:type="dxa"/>
          </w:tcPr>
          <w:p w14:paraId="361A3161" w14:textId="77777777" w:rsidR="002A2BB0" w:rsidRPr="00CE04FC" w:rsidRDefault="002A2BB0" w:rsidP="002A2BB0">
            <w:pPr>
              <w:jc w:val="both"/>
              <w:rPr>
                <w:rFonts w:ascii="Times New Roman" w:hAnsi="Times New Roman" w:cs="Times New Roman"/>
              </w:rPr>
            </w:pPr>
            <w:r w:rsidRPr="00CE04FC">
              <w:rPr>
                <w:rFonts w:ascii="Times New Roman" w:hAnsi="Times New Roman" w:cs="Times New Roman"/>
              </w:rPr>
              <w:t>High performance computer cluster</w:t>
            </w:r>
          </w:p>
        </w:tc>
      </w:tr>
      <w:tr w:rsidR="00CE04FC" w:rsidRPr="00CE04FC" w14:paraId="74B89581" w14:textId="77777777" w:rsidTr="007D40E1">
        <w:tc>
          <w:tcPr>
            <w:tcW w:w="1276" w:type="dxa"/>
          </w:tcPr>
          <w:p w14:paraId="40A2771C" w14:textId="2E87646F" w:rsidR="0091136F" w:rsidRPr="00CE04FC" w:rsidRDefault="0091136F" w:rsidP="0091136F">
            <w:pPr>
              <w:jc w:val="both"/>
              <w:rPr>
                <w:rFonts w:ascii="Times New Roman" w:hAnsi="Times New Roman" w:cs="Times New Roman"/>
              </w:rPr>
            </w:pPr>
            <w:r w:rsidRPr="00CE04FC">
              <w:rPr>
                <w:rFonts w:ascii="Times New Roman" w:hAnsi="Times New Roman" w:cs="Times New Roman"/>
              </w:rPr>
              <w:t>λ</w:t>
            </w:r>
          </w:p>
        </w:tc>
        <w:tc>
          <w:tcPr>
            <w:tcW w:w="7740" w:type="dxa"/>
          </w:tcPr>
          <w:p w14:paraId="33C05639" w14:textId="1B24BA49" w:rsidR="0091136F" w:rsidRPr="00CE04FC" w:rsidRDefault="0091136F" w:rsidP="0091136F">
            <w:pPr>
              <w:jc w:val="both"/>
              <w:rPr>
                <w:rFonts w:ascii="Times New Roman" w:hAnsi="Times New Roman" w:cs="Times New Roman"/>
              </w:rPr>
            </w:pPr>
            <w:r w:rsidRPr="00CE04FC">
              <w:rPr>
                <w:rFonts w:ascii="Times New Roman" w:hAnsi="Times New Roman" w:cs="Times New Roman"/>
              </w:rPr>
              <w:t>Simulation outputs</w:t>
            </w:r>
          </w:p>
        </w:tc>
      </w:tr>
      <w:tr w:rsidR="00CE04FC" w:rsidRPr="00CE04FC" w14:paraId="2A2AC307" w14:textId="77777777" w:rsidTr="007D40E1">
        <w:tc>
          <w:tcPr>
            <w:tcW w:w="1276" w:type="dxa"/>
          </w:tcPr>
          <w:p w14:paraId="1B2FDDA8" w14:textId="6B0B52B1" w:rsidR="0091136F" w:rsidRPr="00CE04FC" w:rsidRDefault="0091136F" w:rsidP="0091136F">
            <w:pPr>
              <w:jc w:val="both"/>
              <w:rPr>
                <w:rFonts w:ascii="Times New Roman" w:hAnsi="Times New Roman" w:cs="Times New Roman"/>
              </w:rPr>
            </w:pPr>
            <m:oMath>
              <m:r>
                <w:rPr>
                  <w:rFonts w:ascii="Cambria Math" w:hAnsi="Cambria Math" w:cs="Times New Roman"/>
                </w:rPr>
                <m:t>ξ</m:t>
              </m:r>
            </m:oMath>
            <w:r w:rsidRPr="00CE04FC">
              <w:rPr>
                <w:rFonts w:ascii="Times New Roman" w:hAnsi="Times New Roman" w:cs="Times New Roman"/>
              </w:rPr>
              <w:tab/>
            </w:r>
          </w:p>
        </w:tc>
        <w:tc>
          <w:tcPr>
            <w:tcW w:w="7740" w:type="dxa"/>
          </w:tcPr>
          <w:p w14:paraId="16573220" w14:textId="2C7037C7" w:rsidR="0091136F" w:rsidRPr="00CE04FC" w:rsidRDefault="0091136F" w:rsidP="0091136F">
            <w:pPr>
              <w:jc w:val="both"/>
              <w:rPr>
                <w:rFonts w:ascii="Times New Roman" w:hAnsi="Times New Roman" w:cs="Times New Roman"/>
              </w:rPr>
            </w:pPr>
            <w:r w:rsidRPr="00CE04FC">
              <w:rPr>
                <w:rFonts w:ascii="Times New Roman" w:hAnsi="Times New Roman" w:cs="Times New Roman"/>
              </w:rPr>
              <w:t>Quadrature points</w:t>
            </w:r>
          </w:p>
        </w:tc>
      </w:tr>
      <w:tr w:rsidR="00CE04FC" w:rsidRPr="00CE04FC" w14:paraId="4AD4D4EF" w14:textId="77777777" w:rsidTr="007D40E1">
        <w:tc>
          <w:tcPr>
            <w:tcW w:w="1276" w:type="dxa"/>
          </w:tcPr>
          <w:p w14:paraId="6CCF9425"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LCOA</w:t>
            </w:r>
          </w:p>
        </w:tc>
        <w:tc>
          <w:tcPr>
            <w:tcW w:w="7740" w:type="dxa"/>
          </w:tcPr>
          <w:p w14:paraId="727342C1" w14:textId="0F9C24A9" w:rsidR="0091136F" w:rsidRPr="00CE04FC" w:rsidRDefault="003753C0" w:rsidP="0091136F">
            <w:pPr>
              <w:jc w:val="both"/>
              <w:rPr>
                <w:rFonts w:ascii="Times New Roman" w:hAnsi="Times New Roman" w:cs="Times New Roman"/>
              </w:rPr>
            </w:pPr>
            <w:r w:rsidRPr="00CE04FC">
              <w:rPr>
                <w:rFonts w:ascii="Times New Roman" w:hAnsi="Times New Roman" w:cs="Times New Roman"/>
              </w:rPr>
              <w:t>Levelized</w:t>
            </w:r>
            <w:r w:rsidR="0091136F" w:rsidRPr="00CE04FC">
              <w:rPr>
                <w:rFonts w:ascii="Times New Roman" w:hAnsi="Times New Roman" w:cs="Times New Roman"/>
              </w:rPr>
              <w:t xml:space="preserve"> cost of ammonia</w:t>
            </w:r>
          </w:p>
        </w:tc>
      </w:tr>
      <w:tr w:rsidR="00CE04FC" w:rsidRPr="00CE04FC" w14:paraId="6885C9EE" w14:textId="77777777" w:rsidTr="007D40E1">
        <w:tc>
          <w:tcPr>
            <w:tcW w:w="1276" w:type="dxa"/>
          </w:tcPr>
          <w:p w14:paraId="46DCFAEA" w14:textId="77777777" w:rsidR="0091136F" w:rsidRPr="00CE04FC" w:rsidRDefault="0091136F" w:rsidP="0091136F">
            <w:pPr>
              <w:rPr>
                <w:rFonts w:ascii="Times New Roman" w:hAnsi="Times New Roman" w:cs="Times New Roman"/>
              </w:rPr>
            </w:pPr>
            <w:r w:rsidRPr="00CE04FC">
              <w:rPr>
                <w:rFonts w:ascii="Times New Roman" w:hAnsi="Times New Roman" w:cs="Times New Roman"/>
              </w:rPr>
              <w:t xml:space="preserve">N             </w:t>
            </w:r>
          </w:p>
        </w:tc>
        <w:tc>
          <w:tcPr>
            <w:tcW w:w="7740" w:type="dxa"/>
          </w:tcPr>
          <w:p w14:paraId="2692CB16"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Number of PCE terms</w:t>
            </w:r>
          </w:p>
        </w:tc>
      </w:tr>
      <w:tr w:rsidR="00CE04FC" w:rsidRPr="00CE04FC" w14:paraId="731BA31D" w14:textId="77777777" w:rsidTr="007D40E1">
        <w:tc>
          <w:tcPr>
            <w:tcW w:w="1276" w:type="dxa"/>
          </w:tcPr>
          <w:p w14:paraId="6FA09F7A" w14:textId="77777777" w:rsidR="0091136F" w:rsidRPr="00CE04FC" w:rsidRDefault="0091136F" w:rsidP="0091136F">
            <w:pPr>
              <w:rPr>
                <w:rFonts w:ascii="Times New Roman" w:hAnsi="Times New Roman" w:cs="Times New Roman"/>
              </w:rPr>
            </w:pPr>
            <w:r w:rsidRPr="00CE04FC">
              <w:rPr>
                <w:rFonts w:ascii="Times New Roman" w:hAnsi="Times New Roman" w:cs="Times New Roman"/>
              </w:rPr>
              <w:lastRenderedPageBreak/>
              <w:t>N</w:t>
            </w:r>
            <w:r w:rsidRPr="00CE04FC">
              <w:rPr>
                <w:rFonts w:ascii="Times New Roman" w:hAnsi="Times New Roman" w:cs="Times New Roman"/>
                <w:vertAlign w:val="subscript"/>
              </w:rPr>
              <w:t>ord</w:t>
            </w:r>
            <w:r w:rsidRPr="00CE04FC">
              <w:rPr>
                <w:rFonts w:ascii="Times New Roman" w:hAnsi="Times New Roman" w:cs="Times New Roman"/>
              </w:rPr>
              <w:tab/>
            </w:r>
          </w:p>
        </w:tc>
        <w:tc>
          <w:tcPr>
            <w:tcW w:w="7740" w:type="dxa"/>
          </w:tcPr>
          <w:p w14:paraId="0012FA5E"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Parameter used for quadrature point generation</w:t>
            </w:r>
          </w:p>
        </w:tc>
      </w:tr>
      <w:tr w:rsidR="00CE04FC" w:rsidRPr="00CE04FC" w14:paraId="380C8235" w14:textId="77777777" w:rsidTr="007D40E1">
        <w:tc>
          <w:tcPr>
            <w:tcW w:w="1276" w:type="dxa"/>
          </w:tcPr>
          <w:p w14:paraId="064D8DDF"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w:t>
            </w:r>
          </w:p>
        </w:tc>
        <w:tc>
          <w:tcPr>
            <w:tcW w:w="7740" w:type="dxa"/>
          </w:tcPr>
          <w:p w14:paraId="6848485A"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Order of PCE model</w:t>
            </w:r>
          </w:p>
        </w:tc>
      </w:tr>
      <w:tr w:rsidR="00CE04FC" w:rsidRPr="00CE04FC" w14:paraId="09CD1637" w14:textId="77777777" w:rsidTr="007D40E1">
        <w:tc>
          <w:tcPr>
            <w:tcW w:w="1276" w:type="dxa"/>
          </w:tcPr>
          <w:p w14:paraId="52EBF91B"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PCE</w:t>
            </w:r>
          </w:p>
        </w:tc>
        <w:tc>
          <w:tcPr>
            <w:tcW w:w="7740" w:type="dxa"/>
          </w:tcPr>
          <w:p w14:paraId="41C05015"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 xml:space="preserve">Polynomial chaos expansion </w:t>
            </w:r>
          </w:p>
        </w:tc>
      </w:tr>
      <w:tr w:rsidR="00CE04FC" w:rsidRPr="00CE04FC" w14:paraId="44007B31" w14:textId="77777777" w:rsidTr="007D40E1">
        <w:tc>
          <w:tcPr>
            <w:tcW w:w="1276" w:type="dxa"/>
          </w:tcPr>
          <w:p w14:paraId="1BD9F4A1"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PDF</w:t>
            </w:r>
          </w:p>
        </w:tc>
        <w:tc>
          <w:tcPr>
            <w:tcW w:w="7740" w:type="dxa"/>
          </w:tcPr>
          <w:p w14:paraId="138A8441"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Probability density function</w:t>
            </w:r>
          </w:p>
        </w:tc>
      </w:tr>
      <w:tr w:rsidR="00CE04FC" w:rsidRPr="00CE04FC" w14:paraId="2C0E98DE" w14:textId="77777777" w:rsidTr="007D40E1">
        <w:tc>
          <w:tcPr>
            <w:tcW w:w="1276" w:type="dxa"/>
          </w:tcPr>
          <w:p w14:paraId="6182EEE0" w14:textId="6430B090" w:rsidR="0091136F" w:rsidRPr="00CE04FC" w:rsidRDefault="005A6FAA" w:rsidP="0091136F">
            <w:pPr>
              <w:jc w:val="both"/>
              <w:rPr>
                <w:rFonts w:ascii="Times New Roman" w:hAnsi="Times New Roman" w:cs="Times New Roman"/>
              </w:rPr>
            </w:pPr>
            <w:r w:rsidRPr="00CE04FC">
              <w:rPr>
                <w:rFonts w:ascii="Times New Roman" w:hAnsi="Times New Roman" w:cs="Times New Roman"/>
              </w:rPr>
              <w:t>P</w:t>
            </w:r>
            <w:r w:rsidR="0091136F" w:rsidRPr="00CE04FC">
              <w:rPr>
                <w:rFonts w:ascii="Times New Roman" w:hAnsi="Times New Roman" w:cs="Times New Roman"/>
                <w:vertAlign w:val="subscript"/>
              </w:rPr>
              <w:t>sample</w:t>
            </w:r>
          </w:p>
        </w:tc>
        <w:tc>
          <w:tcPr>
            <w:tcW w:w="7740" w:type="dxa"/>
          </w:tcPr>
          <w:p w14:paraId="7712ECAD"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Sample parameters</w:t>
            </w:r>
          </w:p>
        </w:tc>
      </w:tr>
      <w:tr w:rsidR="00CE04FC" w:rsidRPr="00CE04FC" w14:paraId="3E226EF3" w14:textId="77777777" w:rsidTr="007D40E1">
        <w:tc>
          <w:tcPr>
            <w:tcW w:w="1276" w:type="dxa"/>
          </w:tcPr>
          <w:p w14:paraId="470B4567"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S</w:t>
            </w:r>
          </w:p>
        </w:tc>
        <w:tc>
          <w:tcPr>
            <w:tcW w:w="7740" w:type="dxa"/>
          </w:tcPr>
          <w:p w14:paraId="16726892"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Main sensitivity</w:t>
            </w:r>
          </w:p>
        </w:tc>
      </w:tr>
      <w:tr w:rsidR="00CE04FC" w:rsidRPr="00CE04FC" w14:paraId="01413C10" w14:textId="77777777" w:rsidTr="007D40E1">
        <w:tc>
          <w:tcPr>
            <w:tcW w:w="1276" w:type="dxa"/>
          </w:tcPr>
          <w:p w14:paraId="4A0725CF"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SD</w:t>
            </w:r>
          </w:p>
        </w:tc>
        <w:tc>
          <w:tcPr>
            <w:tcW w:w="7740" w:type="dxa"/>
          </w:tcPr>
          <w:p w14:paraId="0F42659F"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Standard deviation</w:t>
            </w:r>
          </w:p>
        </w:tc>
      </w:tr>
      <w:tr w:rsidR="00CE04FC" w:rsidRPr="00CE04FC" w14:paraId="2EDE0299" w14:textId="77777777" w:rsidTr="007D40E1">
        <w:tc>
          <w:tcPr>
            <w:tcW w:w="1276" w:type="dxa"/>
          </w:tcPr>
          <w:p w14:paraId="3EA9E73D"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UQ</w:t>
            </w:r>
          </w:p>
        </w:tc>
        <w:tc>
          <w:tcPr>
            <w:tcW w:w="7740" w:type="dxa"/>
          </w:tcPr>
          <w:p w14:paraId="1718D632"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Uncertainty quantification</w:t>
            </w:r>
          </w:p>
        </w:tc>
      </w:tr>
      <w:tr w:rsidR="00CE04FC" w:rsidRPr="00CE04FC" w14:paraId="1A524D1B" w14:textId="77777777" w:rsidTr="007D40E1">
        <w:tc>
          <w:tcPr>
            <w:tcW w:w="1276" w:type="dxa"/>
          </w:tcPr>
          <w:p w14:paraId="16167789"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UQTk</w:t>
            </w:r>
          </w:p>
        </w:tc>
        <w:tc>
          <w:tcPr>
            <w:tcW w:w="7740" w:type="dxa"/>
          </w:tcPr>
          <w:p w14:paraId="76F46EF9"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Uncertainty quantification tool kit</w:t>
            </w:r>
          </w:p>
        </w:tc>
      </w:tr>
      <w:tr w:rsidR="00CE04FC" w:rsidRPr="00CE04FC" w14:paraId="5431003B" w14:textId="77777777" w:rsidTr="007D40E1">
        <w:tc>
          <w:tcPr>
            <w:tcW w:w="1276" w:type="dxa"/>
          </w:tcPr>
          <w:p w14:paraId="6264C804"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VARC</w:t>
            </w:r>
          </w:p>
        </w:tc>
        <w:tc>
          <w:tcPr>
            <w:tcW w:w="7740" w:type="dxa"/>
          </w:tcPr>
          <w:p w14:paraId="4F5A3F08" w14:textId="4E436ECC" w:rsidR="0091136F" w:rsidRPr="00CE04FC" w:rsidRDefault="0091136F" w:rsidP="0091136F">
            <w:pPr>
              <w:jc w:val="both"/>
              <w:rPr>
                <w:rFonts w:ascii="Times New Roman" w:hAnsi="Times New Roman" w:cs="Times New Roman"/>
              </w:rPr>
            </w:pPr>
            <w:r w:rsidRPr="00CE04FC">
              <w:rPr>
                <w:rFonts w:ascii="Times New Roman" w:hAnsi="Times New Roman" w:cs="Times New Roman"/>
              </w:rPr>
              <w:t>Vapo</w:t>
            </w:r>
            <w:r w:rsidR="0010691A" w:rsidRPr="00CE04FC">
              <w:rPr>
                <w:rFonts w:ascii="Times New Roman" w:hAnsi="Times New Roman" w:cs="Times New Roman"/>
              </w:rPr>
              <w:t>u</w:t>
            </w:r>
            <w:r w:rsidRPr="00CE04FC">
              <w:rPr>
                <w:rFonts w:ascii="Times New Roman" w:hAnsi="Times New Roman" w:cs="Times New Roman"/>
              </w:rPr>
              <w:t>r absorption refrigeration cycle</w:t>
            </w:r>
          </w:p>
        </w:tc>
      </w:tr>
      <w:tr w:rsidR="00CE04FC" w:rsidRPr="00CE04FC" w14:paraId="1A710F04" w14:textId="77777777" w:rsidTr="007D40E1">
        <w:tc>
          <w:tcPr>
            <w:tcW w:w="1276" w:type="dxa"/>
          </w:tcPr>
          <w:p w14:paraId="76E2A79B" w14:textId="77777777" w:rsidR="0091136F" w:rsidRPr="00CE04FC" w:rsidRDefault="00260F21" w:rsidP="0091136F">
            <w:pPr>
              <w:jc w:val="both"/>
              <w:rPr>
                <w:rFonts w:ascii="Times New Roman" w:hAnsi="Times New Roman" w:cs="Times New Roman"/>
              </w:rPr>
            </w:pPr>
            <m:oMathPara>
              <m:oMathParaPr>
                <m:jc m:val="left"/>
              </m:oMathParaPr>
              <m:oMath>
                <m:sSup>
                  <m:sSupPr>
                    <m:ctrlPr>
                      <w:rPr>
                        <w:rFonts w:ascii="Cambria Math" w:hAnsi="Cambria Math" w:cs="Times New Roman"/>
                      </w:rPr>
                    </m:ctrlPr>
                  </m:sSupPr>
                  <m:e>
                    <m:r>
                      <w:rPr>
                        <w:rFonts w:ascii="Cambria Math" w:hAnsi="Cambria Math" w:cs="Times New Roman"/>
                      </w:rPr>
                      <m:t>W</m:t>
                    </m:r>
                  </m:e>
                  <m:sup>
                    <m:r>
                      <w:rPr>
                        <w:rFonts w:ascii="Cambria Math" w:hAnsi="Cambria Math" w:cs="Times New Roman"/>
                      </w:rPr>
                      <m:t>l</m:t>
                    </m:r>
                  </m:sup>
                </m:sSup>
              </m:oMath>
            </m:oMathPara>
          </w:p>
        </w:tc>
        <w:tc>
          <w:tcPr>
            <w:tcW w:w="7740" w:type="dxa"/>
          </w:tcPr>
          <w:p w14:paraId="7044CCC8"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Weight matrix</w:t>
            </w:r>
          </w:p>
        </w:tc>
      </w:tr>
      <w:tr w:rsidR="00CE04FC" w:rsidRPr="00CE04FC" w14:paraId="1C2F9288" w14:textId="77777777" w:rsidTr="007D40E1">
        <w:tc>
          <w:tcPr>
            <w:tcW w:w="1276" w:type="dxa"/>
          </w:tcPr>
          <w:p w14:paraId="65A29CC9" w14:textId="69592611" w:rsidR="0091136F" w:rsidRPr="00CE04FC" w:rsidRDefault="0091136F" w:rsidP="0091136F">
            <w:pPr>
              <w:jc w:val="both"/>
              <w:rPr>
                <w:rFonts w:ascii="Times New Roman" w:eastAsia="Aptos" w:hAnsi="Times New Roman" w:cs="Times New Roman"/>
              </w:rPr>
            </w:pPr>
            <w:r w:rsidRPr="00CE04FC">
              <w:rPr>
                <w:rFonts w:ascii="Times New Roman" w:hAnsi="Times New Roman" w:cs="Times New Roman"/>
              </w:rPr>
              <w:t>Ψ</w:t>
            </w:r>
            <w:r w:rsidRPr="00CE04FC">
              <w:rPr>
                <w:rFonts w:ascii="Times New Roman" w:hAnsi="Times New Roman" w:cs="Times New Roman"/>
                <w:vertAlign w:val="subscript"/>
              </w:rPr>
              <w:t>k</w:t>
            </w:r>
          </w:p>
        </w:tc>
        <w:tc>
          <w:tcPr>
            <w:tcW w:w="7740" w:type="dxa"/>
          </w:tcPr>
          <w:p w14:paraId="2A65BDD0" w14:textId="1C165596" w:rsidR="0091136F" w:rsidRPr="00CE04FC" w:rsidRDefault="0091136F" w:rsidP="0091136F">
            <w:pPr>
              <w:jc w:val="both"/>
              <w:rPr>
                <w:rFonts w:ascii="Times New Roman" w:hAnsi="Times New Roman" w:cs="Times New Roman"/>
              </w:rPr>
            </w:pPr>
            <w:r w:rsidRPr="00CE04FC">
              <w:rPr>
                <w:rFonts w:ascii="Times New Roman" w:hAnsi="Times New Roman" w:cs="Times New Roman"/>
              </w:rPr>
              <w:t>Multidimensional orthogonal polynomials</w:t>
            </w:r>
          </w:p>
        </w:tc>
      </w:tr>
      <w:tr w:rsidR="00CE04FC" w:rsidRPr="00CE04FC" w14:paraId="21087DF9" w14:textId="77777777" w:rsidTr="007D40E1">
        <w:tc>
          <w:tcPr>
            <w:tcW w:w="1276" w:type="dxa"/>
          </w:tcPr>
          <w:p w14:paraId="7E59D7C1"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WHR</w:t>
            </w:r>
          </w:p>
        </w:tc>
        <w:tc>
          <w:tcPr>
            <w:tcW w:w="7740" w:type="dxa"/>
          </w:tcPr>
          <w:p w14:paraId="57B6F602"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Waste heat recovery</w:t>
            </w:r>
          </w:p>
        </w:tc>
      </w:tr>
      <w:tr w:rsidR="00CE04FC" w:rsidRPr="00CE04FC" w14:paraId="10308898" w14:textId="77777777" w:rsidTr="007D40E1">
        <w:tc>
          <w:tcPr>
            <w:tcW w:w="1276" w:type="dxa"/>
          </w:tcPr>
          <w:p w14:paraId="5DD58BBA"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x</w:t>
            </w:r>
          </w:p>
        </w:tc>
        <w:tc>
          <w:tcPr>
            <w:tcW w:w="7740" w:type="dxa"/>
          </w:tcPr>
          <w:p w14:paraId="645E4957"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Uncertain parameter</w:t>
            </w:r>
          </w:p>
        </w:tc>
      </w:tr>
      <w:tr w:rsidR="00CE04FC" w:rsidRPr="00CE04FC" w14:paraId="6D90BCD0" w14:textId="77777777" w:rsidTr="007D40E1">
        <w:tc>
          <w:tcPr>
            <w:tcW w:w="1276" w:type="dxa"/>
          </w:tcPr>
          <w:p w14:paraId="30F4D79B" w14:textId="77777777" w:rsidR="0091136F" w:rsidRPr="00CE04FC" w:rsidRDefault="00260F21" w:rsidP="0091136F">
            <w:pPr>
              <w:jc w:val="both"/>
              <w:rPr>
                <w:rFonts w:ascii="Times New Roman" w:hAnsi="Times New Roman" w:cs="Times New Roman"/>
              </w:rPr>
            </w:pPr>
            <m:oMathPara>
              <m:oMathParaPr>
                <m:jc m:val="left"/>
              </m:oMathParaPr>
              <m:oMath>
                <m:acc>
                  <m:accPr>
                    <m:ctrlPr>
                      <w:rPr>
                        <w:rFonts w:ascii="Cambria Math" w:hAnsi="Cambria Math" w:cs="Times New Roman"/>
                      </w:rPr>
                    </m:ctrlPr>
                  </m:accPr>
                  <m:e>
                    <m:r>
                      <w:rPr>
                        <w:rFonts w:ascii="Cambria Math" w:hAnsi="Cambria Math" w:cs="Times New Roman"/>
                      </w:rPr>
                      <m:t>y</m:t>
                    </m:r>
                  </m:e>
                </m:acc>
              </m:oMath>
            </m:oMathPara>
          </w:p>
        </w:tc>
        <w:tc>
          <w:tcPr>
            <w:tcW w:w="7740" w:type="dxa"/>
          </w:tcPr>
          <w:p w14:paraId="3C002B7A"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Outputs</w:t>
            </w:r>
          </w:p>
        </w:tc>
      </w:tr>
      <w:tr w:rsidR="00CE04FC" w:rsidRPr="00CE04FC" w14:paraId="7651688F" w14:textId="77777777" w:rsidTr="007D40E1">
        <w:tc>
          <w:tcPr>
            <w:tcW w:w="1276" w:type="dxa"/>
          </w:tcPr>
          <w:p w14:paraId="0215253A" w14:textId="77777777" w:rsidR="0091136F" w:rsidRPr="00CE04FC" w:rsidRDefault="0091136F" w:rsidP="0091136F">
            <w:pPr>
              <w:rPr>
                <w:rFonts w:ascii="Times New Roman" w:hAnsi="Times New Roman" w:cs="Times New Roman"/>
              </w:rPr>
            </w:pPr>
            <w:r w:rsidRPr="00CE04FC">
              <w:rPr>
                <w:rFonts w:ascii="Times New Roman" w:hAnsi="Times New Roman" w:cs="Times New Roman"/>
              </w:rPr>
              <w:t>π</w:t>
            </w:r>
            <w:r w:rsidRPr="00CE04FC">
              <w:rPr>
                <w:rFonts w:ascii="Times New Roman" w:hAnsi="Times New Roman" w:cs="Times New Roman"/>
              </w:rPr>
              <w:tab/>
            </w:r>
          </w:p>
        </w:tc>
        <w:tc>
          <w:tcPr>
            <w:tcW w:w="7740" w:type="dxa"/>
          </w:tcPr>
          <w:p w14:paraId="0041C5E4" w14:textId="77777777" w:rsidR="0091136F" w:rsidRPr="00CE04FC" w:rsidRDefault="0091136F" w:rsidP="0091136F">
            <w:pPr>
              <w:jc w:val="both"/>
              <w:rPr>
                <w:rFonts w:ascii="Times New Roman" w:hAnsi="Times New Roman" w:cs="Times New Roman"/>
              </w:rPr>
            </w:pPr>
            <w:r w:rsidRPr="00CE04FC">
              <w:rPr>
                <w:rFonts w:ascii="Times New Roman" w:hAnsi="Times New Roman" w:cs="Times New Roman"/>
              </w:rPr>
              <w:t>Probability density function (PDF)</w:t>
            </w:r>
          </w:p>
        </w:tc>
      </w:tr>
    </w:tbl>
    <w:p w14:paraId="2C2537A5" w14:textId="77777777" w:rsidR="00D75860" w:rsidRPr="00CE04FC" w:rsidRDefault="00D75860" w:rsidP="00EB4E92">
      <w:pPr>
        <w:pStyle w:val="Heading1"/>
        <w:rPr>
          <w:rFonts w:cs="Times New Roman"/>
          <w:bCs/>
          <w:szCs w:val="22"/>
        </w:rPr>
      </w:pPr>
      <w:r w:rsidRPr="00CE04FC">
        <w:rPr>
          <w:rFonts w:cs="Times New Roman"/>
          <w:szCs w:val="22"/>
        </w:rPr>
        <w:t>Introduction</w:t>
      </w:r>
    </w:p>
    <w:p w14:paraId="79538031" w14:textId="4C4C5E72" w:rsidR="009D7C9C" w:rsidRPr="00CE04FC" w:rsidRDefault="00700802" w:rsidP="00700802">
      <w:pPr>
        <w:pStyle w:val="ListParagraph"/>
        <w:numPr>
          <w:ilvl w:val="1"/>
          <w:numId w:val="5"/>
        </w:numPr>
        <w:rPr>
          <w:rFonts w:ascii="Times New Roman" w:hAnsi="Times New Roman" w:cs="Times New Roman"/>
          <w:b/>
          <w:bCs/>
        </w:rPr>
      </w:pPr>
      <w:r w:rsidRPr="00CE04FC">
        <w:rPr>
          <w:rFonts w:ascii="Times New Roman" w:hAnsi="Times New Roman" w:cs="Times New Roman"/>
          <w:b/>
          <w:bCs/>
        </w:rPr>
        <w:t xml:space="preserve"> </w:t>
      </w:r>
      <w:r w:rsidR="009D7C9C" w:rsidRPr="00CE04FC">
        <w:rPr>
          <w:rFonts w:ascii="Times New Roman" w:hAnsi="Times New Roman" w:cs="Times New Roman"/>
          <w:b/>
          <w:bCs/>
        </w:rPr>
        <w:t>Background</w:t>
      </w:r>
    </w:p>
    <w:p w14:paraId="3D410E7D" w14:textId="385FC55D" w:rsidR="0059111E" w:rsidRPr="00CE04FC" w:rsidRDefault="003245AA" w:rsidP="003245AA">
      <w:pPr>
        <w:autoSpaceDE w:val="0"/>
        <w:autoSpaceDN w:val="0"/>
        <w:adjustRightInd w:val="0"/>
        <w:spacing w:before="240" w:line="240" w:lineRule="auto"/>
        <w:contextualSpacing/>
        <w:jc w:val="both"/>
        <w:rPr>
          <w:rFonts w:ascii="Times New Roman" w:hAnsi="Times New Roman" w:cs="Times New Roman"/>
        </w:rPr>
      </w:pPr>
      <w:r w:rsidRPr="00CE04FC">
        <w:rPr>
          <w:rFonts w:ascii="Times New Roman" w:eastAsia="Times New Roman" w:hAnsi="Times New Roman" w:cs="Times New Roman"/>
          <w:kern w:val="0"/>
          <w14:ligatures w14:val="none"/>
        </w:rPr>
        <w:t xml:space="preserve">The increasing utilisation of renewable power sources, particularly wind and solar photovoltaic, presents challenges due to their inherent variability and intermittency, thereby necessitating efficient and scalable energy storage solutions </w:t>
      </w:r>
      <w:r w:rsidR="00F12185" w:rsidRPr="00CE04FC">
        <w:rPr>
          <w:rFonts w:ascii="Times New Roman" w:hAnsi="Times New Roman" w:cs="Times New Roman"/>
        </w:rPr>
        <w:fldChar w:fldCharType="begin">
          <w:fldData xml:space="preserve">PEVuZE5vdGU+PENpdGU+PEF1dGhvcj5XYW5nPC9BdXRob3I+PFllYXI+MjAyNDwvWWVhcj48UmVj
TnVtPjE3PC9SZWNOdW0+PERpc3BsYXlUZXh0PihBbG1vZGZlciBldCBhbC4sIDIwMjI7IFkuIFdh
bmcgZXQgYWwuLCAyMDI0KTwvRGlzcGxheVRleHQ+PHJlY29yZD48cmVjLW51bWJlcj4xNzwvcmVj
LW51bWJlcj48Zm9yZWlnbi1rZXlzPjxrZXkgYXBwPSJFTiIgZGItaWQ9IjB4MHo1enhhdHphdDlv
ZTkwMjd4ZWEycGUyd2U1ZGVlNWRleiIgdGltZXN0YW1wPSIxNzM2Nzc5NjMyIj4xNzwva2V5Pjwv
Zm9yZWlnbi1rZXlzPjxyZWYtdHlwZSBuYW1lPSJKb3VybmFsIEFydGljbGUiPjE3PC9yZWYtdHlw
ZT48Y29udHJpYnV0b3JzPjxhdXRob3JzPjxhdXRob3I+V2FuZywgWWl6aGVuPC9hdXRob3I+PGF1
dGhvcj5XYW5nLCBaaGlxaWFuPC9hdXRob3I+PGF1dGhvcj5TaGVuZywgSGFvPC9hdXRob3I+PC9h
dXRob3JzPjwvY29udHJpYnV0b3JzPjx0aXRsZXM+PHRpdGxlPk9wdGltaXppbmcgd2luZCB0dXJi
aW5lIGludGVncmF0aW9uIGluIG1pY3JvZ3JpZHMgdGhyb3VnaCBlbmhhbmNlZCBtdWx0aS1jb250
cm9sIG9mIGVuZXJneSBzdG9yYWdlIGFuZCBtaWNyby1yZXNvdXJjZXMgZm9yIGVuaGFuY2VkIHN0
YWJpbGl0eTwvdGl0bGU+PHNlY29uZGFyeS10aXRsZT5Kb3VybmFsIG9mIENsZWFuZXIgUHJvZHVj
dGlvbjwvc2Vjb25kYXJ5LXRpdGxlPjwvdGl0bGVzPjxwZXJpb2RpY2FsPjxmdWxsLXRpdGxlPkpv
dXJuYWwgb2YgQ2xlYW5lciBQcm9kdWN0aW9uPC9mdWxsLXRpdGxlPjwvcGVyaW9kaWNhbD48cGFn
ZXM+MTQwOTY1PC9wYWdlcz48dm9sdW1lPjQ0NDwvdm9sdW1lPjxrZXl3b3Jkcz48a2V5d29yZD5N
aWNyb2dyaWRzPC9rZXl3b3JkPjxrZXl3b3JkPkVuZXJneSBzdG9yYWdlIHN5c3RlbXM8L2tleXdv
cmQ+PGtleXdvcmQ+UG93ZXIgY29udmVydGVyczwva2V5d29yZD48a2V5d29yZD5Ecm9vcCBjb250
cm9sPC9rZXl3b3JkPjxrZXl3b3JkPk11bHRpcGxlIGNvbnRyb2w8L2tleXdvcmQ+PGtleXdvcmQ+
RHluYW1pYyBzdGFiaWxpdHk8L2tleXdvcmQ+PC9rZXl3b3Jkcz48ZGF0ZXM+PHllYXI+MjAyNDwv
eWVhcj48cHViLWRhdGVzPjxkYXRlPjIwMjQvMDMvMTAvPC9kYXRlPjwvcHViLWRhdGVzPjwvZGF0
ZXM+PGlzYm4+MDk1OS02NTI2PC9pc2JuPjx1cmxzPjxyZWxhdGVkLXVybHM+PHVybD5odHRwczov
L3d3dy5zY2llbmNlZGlyZWN0LmNvbS9zY2llbmNlL2FydGljbGUvcGlpL1MwOTU5NjUyNjI0MDA0
MTI4PC91cmw+PC9yZWxhdGVkLXVybHM+PC91cmxzPjxlbGVjdHJvbmljLXJlc291cmNlLW51bT5o
dHRwczovL2RvaS5vcmcvMTAuMTAxNi9qLmpjbGVwcm8uMjAyNC4xNDA5NjU8L2VsZWN0cm9uaWMt
cmVzb3VyY2UtbnVtPjwvcmVjb3JkPjwvQ2l0ZT48Q2l0ZT48QXV0aG9yPkFsbW9kZmVyPC9BdXRo
b3I+PFllYXI+MjAyMjwvWWVhcj48UmVjTnVtPjE5PC9SZWNOdW0+PHJlY29yZD48cmVjLW51bWJl
cj4xOTwvcmVjLW51bWJlcj48Zm9yZWlnbi1rZXlzPjxrZXkgYXBwPSJFTiIgZGItaWQ9IjB4MHo1
enhhdHphdDlvZTkwMjd4ZWEycGUyd2U1ZGVlNWRleiIgdGltZXN0YW1wPSIxNzQ0MTEyODQ2Ij4x
OTwva2V5PjwvZm9yZWlnbi1rZXlzPjxyZWYtdHlwZSBuYW1lPSJKb3VybmFsIEFydGljbGUiPjE3
PC9yZWYtdHlwZT48Y29udHJpYnV0b3JzPjxhdXRob3JzPjxhdXRob3I+QWxtb2RmZXIsIFJvbGxh
PC9hdXRob3I+PGF1dGhvcj5aYXllZCwgTW9oYW1lZCBFPC9hdXRob3I+PGF1dGhvcj5BYmQgRWxh
eml6LCBNb2hhbWVkPC9hdXRob3I+PGF1dGhvcj5BYm9lbG1hYXJlZiwgTW91c3RhZmEgTTwvYXV0
aG9yPjxhdXRob3I+TXVkaHNoLCBNb2hhbW1lZDwvYXV0aG9yPjxhdXRob3I+RWxzaGVpa2gsIEFt
bWFyIEg8L2F1dGhvcj48L2F1dGhvcnM+PC9jb250cmlidXRvcnM+PHRpdGxlcz48dGl0bGU+TW9k
ZWxpbmcgb2YgYSBzb2xhci1wb3dlcmVkIHRoZXJtb2VsZWN0cmljIGFpci1jb25kaXRpb25pbmcg
c3lzdGVtIHVzaW5nIGEgcmFuZG9tIHZlY3RvciBmdW5jdGlvbmFsIGxpbmsgbmV0d29yayBpbnRl
Z3JhdGVkIHdpdGggamVsbHlmaXNoIHNlYXJjaCBhbGdvcml0aG08L3RpdGxlPjxzZWNvbmRhcnkt
dGl0bGU+Q2FzZSBTdHVkaWVzIGluIFRoZXJtYWwgRW5naW5lZXJpbmc8L3NlY29uZGFyeS10aXRs
ZT48L3RpdGxlcz48cGVyaW9kaWNhbD48ZnVsbC10aXRsZT5DYXNlIFN0dWRpZXMgaW4gVGhlcm1h
bCBFbmdpbmVlcmluZzwvZnVsbC10aXRsZT48L3BlcmlvZGljYWw+PHBhZ2VzPjEwMTc5NzwvcGFn
ZXM+PHZvbHVtZT4zMTwvdm9sdW1lPjxkYXRlcz48eWVhcj4yMDIyPC95ZWFyPjwvZGF0ZXM+PGlz
Ym4+MjIxNC0xNTdYPC9pc2JuPjx1cmxzPjwvdXJscz48L3JlY29yZD48L0NpdGU+PC9FbmROb3Rl
PgB=
</w:fldData>
        </w:fldChar>
      </w:r>
      <w:r w:rsidR="00C355F3" w:rsidRPr="00CE04FC">
        <w:rPr>
          <w:rFonts w:ascii="Times New Roman" w:hAnsi="Times New Roman" w:cs="Times New Roman"/>
        </w:rPr>
        <w:instrText xml:space="preserve"> ADDIN EN.CITE </w:instrText>
      </w:r>
      <w:r w:rsidR="00C355F3" w:rsidRPr="00CE04FC">
        <w:rPr>
          <w:rFonts w:ascii="Times New Roman" w:hAnsi="Times New Roman" w:cs="Times New Roman"/>
        </w:rPr>
        <w:fldChar w:fldCharType="begin">
          <w:fldData xml:space="preserve">PEVuZE5vdGU+PENpdGU+PEF1dGhvcj5XYW5nPC9BdXRob3I+PFllYXI+MjAyNDwvWWVhcj48UmVj
TnVtPjE3PC9SZWNOdW0+PERpc3BsYXlUZXh0PihBbG1vZGZlciBldCBhbC4sIDIwMjI7IFkuIFdh
bmcgZXQgYWwuLCAyMDI0KTwvRGlzcGxheVRleHQ+PHJlY29yZD48cmVjLW51bWJlcj4xNzwvcmVj
LW51bWJlcj48Zm9yZWlnbi1rZXlzPjxrZXkgYXBwPSJFTiIgZGItaWQ9IjB4MHo1enhhdHphdDlv
ZTkwMjd4ZWEycGUyd2U1ZGVlNWRleiIgdGltZXN0YW1wPSIxNzM2Nzc5NjMyIj4xNzwva2V5Pjwv
Zm9yZWlnbi1rZXlzPjxyZWYtdHlwZSBuYW1lPSJKb3VybmFsIEFydGljbGUiPjE3PC9yZWYtdHlw
ZT48Y29udHJpYnV0b3JzPjxhdXRob3JzPjxhdXRob3I+V2FuZywgWWl6aGVuPC9hdXRob3I+PGF1
dGhvcj5XYW5nLCBaaGlxaWFuPC9hdXRob3I+PGF1dGhvcj5TaGVuZywgSGFvPC9hdXRob3I+PC9h
dXRob3JzPjwvY29udHJpYnV0b3JzPjx0aXRsZXM+PHRpdGxlPk9wdGltaXppbmcgd2luZCB0dXJi
aW5lIGludGVncmF0aW9uIGluIG1pY3JvZ3JpZHMgdGhyb3VnaCBlbmhhbmNlZCBtdWx0aS1jb250
cm9sIG9mIGVuZXJneSBzdG9yYWdlIGFuZCBtaWNyby1yZXNvdXJjZXMgZm9yIGVuaGFuY2VkIHN0
YWJpbGl0eTwvdGl0bGU+PHNlY29uZGFyeS10aXRsZT5Kb3VybmFsIG9mIENsZWFuZXIgUHJvZHVj
dGlvbjwvc2Vjb25kYXJ5LXRpdGxlPjwvdGl0bGVzPjxwZXJpb2RpY2FsPjxmdWxsLXRpdGxlPkpv
dXJuYWwgb2YgQ2xlYW5lciBQcm9kdWN0aW9uPC9mdWxsLXRpdGxlPjwvcGVyaW9kaWNhbD48cGFn
ZXM+MTQwOTY1PC9wYWdlcz48dm9sdW1lPjQ0NDwvdm9sdW1lPjxrZXl3b3Jkcz48a2V5d29yZD5N
aWNyb2dyaWRzPC9rZXl3b3JkPjxrZXl3b3JkPkVuZXJneSBzdG9yYWdlIHN5c3RlbXM8L2tleXdv
cmQ+PGtleXdvcmQ+UG93ZXIgY29udmVydGVyczwva2V5d29yZD48a2V5d29yZD5Ecm9vcCBjb250
cm9sPC9rZXl3b3JkPjxrZXl3b3JkPk11bHRpcGxlIGNvbnRyb2w8L2tleXdvcmQ+PGtleXdvcmQ+
RHluYW1pYyBzdGFiaWxpdHk8L2tleXdvcmQ+PC9rZXl3b3Jkcz48ZGF0ZXM+PHllYXI+MjAyNDwv
eWVhcj48cHViLWRhdGVzPjxkYXRlPjIwMjQvMDMvMTAvPC9kYXRlPjwvcHViLWRhdGVzPjwvZGF0
ZXM+PGlzYm4+MDk1OS02NTI2PC9pc2JuPjx1cmxzPjxyZWxhdGVkLXVybHM+PHVybD5odHRwczov
L3d3dy5zY2llbmNlZGlyZWN0LmNvbS9zY2llbmNlL2FydGljbGUvcGlpL1MwOTU5NjUyNjI0MDA0
MTI4PC91cmw+PC9yZWxhdGVkLXVybHM+PC91cmxzPjxlbGVjdHJvbmljLXJlc291cmNlLW51bT5o
dHRwczovL2RvaS5vcmcvMTAuMTAxNi9qLmpjbGVwcm8uMjAyNC4xNDA5NjU8L2VsZWN0cm9uaWMt
cmVzb3VyY2UtbnVtPjwvcmVjb3JkPjwvQ2l0ZT48Q2l0ZT48QXV0aG9yPkFsbW9kZmVyPC9BdXRo
b3I+PFllYXI+MjAyMjwvWWVhcj48UmVjTnVtPjE5PC9SZWNOdW0+PHJlY29yZD48cmVjLW51bWJl
cj4xOTwvcmVjLW51bWJlcj48Zm9yZWlnbi1rZXlzPjxrZXkgYXBwPSJFTiIgZGItaWQ9IjB4MHo1
enhhdHphdDlvZTkwMjd4ZWEycGUyd2U1ZGVlNWRleiIgdGltZXN0YW1wPSIxNzQ0MTEyODQ2Ij4x
OTwva2V5PjwvZm9yZWlnbi1rZXlzPjxyZWYtdHlwZSBuYW1lPSJKb3VybmFsIEFydGljbGUiPjE3
PC9yZWYtdHlwZT48Y29udHJpYnV0b3JzPjxhdXRob3JzPjxhdXRob3I+QWxtb2RmZXIsIFJvbGxh
PC9hdXRob3I+PGF1dGhvcj5aYXllZCwgTW9oYW1lZCBFPC9hdXRob3I+PGF1dGhvcj5BYmQgRWxh
eml6LCBNb2hhbWVkPC9hdXRob3I+PGF1dGhvcj5BYm9lbG1hYXJlZiwgTW91c3RhZmEgTTwvYXV0
aG9yPjxhdXRob3I+TXVkaHNoLCBNb2hhbW1lZDwvYXV0aG9yPjxhdXRob3I+RWxzaGVpa2gsIEFt
bWFyIEg8L2F1dGhvcj48L2F1dGhvcnM+PC9jb250cmlidXRvcnM+PHRpdGxlcz48dGl0bGU+TW9k
ZWxpbmcgb2YgYSBzb2xhci1wb3dlcmVkIHRoZXJtb2VsZWN0cmljIGFpci1jb25kaXRpb25pbmcg
c3lzdGVtIHVzaW5nIGEgcmFuZG9tIHZlY3RvciBmdW5jdGlvbmFsIGxpbmsgbmV0d29yayBpbnRl
Z3JhdGVkIHdpdGggamVsbHlmaXNoIHNlYXJjaCBhbGdvcml0aG08L3RpdGxlPjxzZWNvbmRhcnkt
dGl0bGU+Q2FzZSBTdHVkaWVzIGluIFRoZXJtYWwgRW5naW5lZXJpbmc8L3NlY29uZGFyeS10aXRs
ZT48L3RpdGxlcz48cGVyaW9kaWNhbD48ZnVsbC10aXRsZT5DYXNlIFN0dWRpZXMgaW4gVGhlcm1h
bCBFbmdpbmVlcmluZzwvZnVsbC10aXRsZT48L3BlcmlvZGljYWw+PHBhZ2VzPjEwMTc5NzwvcGFn
ZXM+PHZvbHVtZT4zMTwvdm9sdW1lPjxkYXRlcz48eWVhcj4yMDIyPC95ZWFyPjwvZGF0ZXM+PGlz
Ym4+MjIxNC0xNTdYPC9pc2JuPjx1cmxzPjwvdXJscz48L3JlY29yZD48L0NpdGU+PC9FbmROb3Rl
PgB=
</w:fldData>
        </w:fldChar>
      </w:r>
      <w:r w:rsidR="00C355F3" w:rsidRPr="00CE04FC">
        <w:rPr>
          <w:rFonts w:ascii="Times New Roman" w:hAnsi="Times New Roman" w:cs="Times New Roman"/>
        </w:rPr>
        <w:instrText xml:space="preserve"> ADDIN EN.CITE.DATA </w:instrText>
      </w:r>
      <w:r w:rsidR="00C355F3" w:rsidRPr="00CE04FC">
        <w:rPr>
          <w:rFonts w:ascii="Times New Roman" w:hAnsi="Times New Roman" w:cs="Times New Roman"/>
        </w:rPr>
      </w:r>
      <w:r w:rsidR="00C355F3" w:rsidRPr="00CE04FC">
        <w:rPr>
          <w:rFonts w:ascii="Times New Roman" w:hAnsi="Times New Roman" w:cs="Times New Roman"/>
        </w:rPr>
        <w:fldChar w:fldCharType="end"/>
      </w:r>
      <w:r w:rsidR="00F12185" w:rsidRPr="00CE04FC">
        <w:rPr>
          <w:rFonts w:ascii="Times New Roman" w:hAnsi="Times New Roman" w:cs="Times New Roman"/>
        </w:rPr>
      </w:r>
      <w:r w:rsidR="00F12185" w:rsidRPr="00CE04FC">
        <w:rPr>
          <w:rFonts w:ascii="Times New Roman" w:hAnsi="Times New Roman" w:cs="Times New Roman"/>
        </w:rPr>
        <w:fldChar w:fldCharType="separate"/>
      </w:r>
      <w:r w:rsidR="00C355F3" w:rsidRPr="00CE04FC">
        <w:rPr>
          <w:rFonts w:ascii="Times New Roman" w:hAnsi="Times New Roman" w:cs="Times New Roman"/>
          <w:noProof/>
        </w:rPr>
        <w:t>(Almodfer et al., 2022; Y. Wang et al., 2024)</w:t>
      </w:r>
      <w:r w:rsidR="00F12185" w:rsidRPr="00CE04FC">
        <w:rPr>
          <w:rFonts w:ascii="Times New Roman" w:hAnsi="Times New Roman" w:cs="Times New Roman"/>
        </w:rPr>
        <w:fldChar w:fldCharType="end"/>
      </w:r>
      <w:r w:rsidR="00F12185" w:rsidRPr="00CE04FC">
        <w:rPr>
          <w:rFonts w:ascii="Times New Roman" w:hAnsi="Times New Roman" w:cs="Times New Roman"/>
          <w:i/>
          <w:iCs/>
        </w:rPr>
        <w:t xml:space="preserve">. </w:t>
      </w:r>
      <w:r w:rsidRPr="00CE04FC">
        <w:rPr>
          <w:rFonts w:ascii="Times New Roman" w:eastAsia="Times New Roman" w:hAnsi="Times New Roman" w:cs="Times New Roman"/>
          <w:kern w:val="0"/>
          <w14:ligatures w14:val="none"/>
        </w:rPr>
        <w:t xml:space="preserve">Among the various energy carriers, hydrogen has emerged as a promising long-term option, particularly in its green form—produced via water electrolysis powered by renewable energy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&lt;EndNote&gt;&lt;Cite&gt;&lt;Author&gt;Samitha Weerakoon&lt;/Author&gt;&lt;Year&gt;2024&lt;/Year&gt;&lt;RecNum&gt;18&lt;/RecNum&gt;&lt;DisplayText&gt;(Samitha Weerakoon &amp;amp; Assadi, 2024)&lt;/DisplayText&gt;&lt;record&gt;&lt;rec-number&gt;18&lt;/rec-number&gt;&lt;foreign-keys&gt;&lt;key app="EN" db-id="0x0z5zxatzat9oe9027xea2pe2we5dee5dez" timestamp="1736780138"&gt;18&lt;/key&gt;&lt;/foreign-keys&gt;&lt;ref-type name="Journal Article"&gt;17&lt;/ref-type&gt;&lt;contributors&gt;&lt;authors&gt;&lt;author&gt;Samitha Weerakoon, A. H.&lt;/author&gt;&lt;author&gt;Assadi, Mohsen&lt;/author&gt;&lt;/authors&gt;&lt;/contributors&gt;&lt;titles&gt;&lt;title&gt;Techno economic analysis and performance based ranking of 3–200 kW fuel flexible micro gas turbines running on 100% hydrogen, hydrogen fuel blends, and natural gas&lt;/title&gt;&lt;secondary-title&gt;Journal of Cleaner Production&lt;/secondary-title&gt;&lt;/titles&gt;&lt;periodical&gt;&lt;full-title&gt;Journal of Cleaner Production&lt;/full-title&gt;&lt;/periodical&gt;&lt;pages&gt;143819&lt;/pages&gt;&lt;volume&gt;477&lt;/volume&gt;&lt;keywords&gt;&lt;keyword&gt;Micro gas turbine&lt;/keyword&gt;&lt;keyword&gt;Hydrogen fuel&lt;/keyword&gt;&lt;keyword&gt;Techno-economic assessment&lt;/keyword&gt;&lt;keyword&gt;Energy transition&lt;/keyword&gt;&lt;keyword&gt;Energy economic management&lt;/keyword&gt;&lt;/keywords&gt;&lt;dates&gt;&lt;year&gt;2024&lt;/year&gt;&lt;pub-dates&gt;&lt;date&gt;2024/10/20/&lt;/date&gt;&lt;/pub-dates&gt;&lt;/dates&gt;&lt;isbn&gt;0959-6526&lt;/isbn&gt;&lt;urls&gt;&lt;related-urls&gt;&lt;url&gt;https://www.sciencedirect.com/science/article/pii/S0959652624032682&lt;/url&gt;&lt;/related-urls&gt;&lt;/urls&gt;&lt;electronic-resource-num&gt;https://doi.org/10.1016/j.jclepro.2024.143819&lt;/electronic-resource-num&gt;&lt;/record&gt;&lt;/Cite&gt;&lt;/EndNote&gt;</w:instrText>
      </w:r>
      <w:r w:rsidRPr="00CE04FC">
        <w:rPr>
          <w:rFonts w:ascii="Times New Roman" w:hAnsi="Times New Roman" w:cs="Times New Roman"/>
        </w:rPr>
        <w:fldChar w:fldCharType="separate"/>
      </w:r>
      <w:r w:rsidRPr="00CE04FC">
        <w:rPr>
          <w:rFonts w:ascii="Times New Roman" w:hAnsi="Times New Roman" w:cs="Times New Roman"/>
          <w:noProof/>
        </w:rPr>
        <w:t>(Samitha Weerakoon &amp; Assadi, 2024)</w:t>
      </w:r>
      <w:r w:rsidRPr="00CE04FC">
        <w:rPr>
          <w:rFonts w:ascii="Times New Roman" w:hAnsi="Times New Roman" w:cs="Times New Roman"/>
        </w:rPr>
        <w:fldChar w:fldCharType="end"/>
      </w:r>
      <w:r w:rsidRPr="00CE04FC">
        <w:rPr>
          <w:rFonts w:ascii="Times New Roman" w:eastAsia="Times New Roman" w:hAnsi="Times New Roman" w:cs="Times New Roman"/>
          <w:kern w:val="0"/>
          <w14:ligatures w14:val="none"/>
        </w:rPr>
        <w:t xml:space="preserve">, the practical deployment of hydrogen is constrained by high storage costs, energy-intensive liquefaction processes, and transportation safety concerns </w:t>
      </w:r>
      <w:r w:rsidRPr="00CE04FC">
        <w:rPr>
          <w:rFonts w:ascii="Times New Roman" w:hAnsi="Times New Roman" w:cs="Times New Roman"/>
        </w:rPr>
        <w:fldChar w:fldCharType="begin"/>
      </w:r>
      <w:r w:rsidR="0015317D" w:rsidRPr="00CE04FC">
        <w:rPr>
          <w:rFonts w:ascii="Times New Roman" w:hAnsi="Times New Roman" w:cs="Times New Roman"/>
        </w:rPr>
        <w:instrText xml:space="preserve"> ADDIN EN.CITE &lt;EndNote&gt;&lt;Cite&gt;&lt;Author&gt;Zhang&lt;/Author&gt;&lt;Year&gt;2023&lt;/Year&gt;&lt;RecNum&gt;19&lt;/RecNum&gt;&lt;DisplayText&gt;(T. Zhang et al., 2023)&lt;/DisplayText&gt;&lt;record&gt;&lt;rec-number&gt;19&lt;/rec-number&gt;&lt;foreign-keys&gt;&lt;key app="EN" db-id="0x0z5zxatzat9oe9027xea2pe2we5dee5dez" timestamp="1736780266"&gt;19&lt;/key&gt;&lt;/foreign-keys&gt;&lt;ref-type name="Journal Article"&gt;17&lt;/ref-type&gt;&lt;contributors&gt;&lt;authors&gt;&lt;author&gt;Zhang, Tongtong&lt;/author&gt;&lt;author&gt;Uratani, Joao&lt;/author&gt;&lt;author&gt;Huang, Yixuan&lt;/author&gt;&lt;author&gt;Xu, Lejin&lt;/author&gt;&lt;author&gt;Griffiths, Steve&lt;/author&gt;&lt;author&gt;Ding, Yulong&lt;/author&gt;&lt;/authors&gt;&lt;/contributors&gt;&lt;titles&gt;&lt;title&gt;Hydrogen liquefaction and storage: Recent progress and perspectives&lt;/title&gt;&lt;secondary-title&gt;Renewable and Sustainable Energy Reviews&lt;/secondary-title&gt;&lt;/titles&gt;&lt;periodical&gt;&lt;full-title&gt;Renewable and Sustainable Energy Reviews&lt;/full-title&gt;&lt;/periodical&gt;&lt;pages&gt;113204&lt;/pages&gt;&lt;volume&gt;176&lt;/volume&gt;&lt;keywords&gt;&lt;keyword&gt;Hydrogen economy&lt;/keyword&gt;&lt;keyword&gt;Hydrogen storage&lt;/keyword&gt;&lt;keyword&gt;Liquid hydrogen&lt;/keyword&gt;&lt;keyword&gt;Hydrogen liquefaction&lt;/keyword&gt;&lt;keyword&gt;Hydrogen transmission&lt;/keyword&gt;&lt;/keywords&gt;&lt;dates&gt;&lt;year&gt;2023&lt;/year&gt;&lt;pub-dates&gt;&lt;date&gt;2023/04/01/&lt;/date&gt;&lt;/pub-dates&gt;&lt;/dates&gt;&lt;isbn&gt;1364-0321&lt;/isbn&gt;&lt;urls&gt;&lt;related-urls&gt;&lt;url&gt;https://www.sciencedirect.com/science/article/pii/S1364032123000606&lt;/url&gt;&lt;/related-urls&gt;&lt;/urls&gt;&lt;electronic-resource-num&gt;https://doi.org/10.1016/j.rser.2023.113204&lt;/electronic-resource-num&gt;&lt;/record&gt;&lt;/Cite&gt;&lt;/EndNote&gt;</w:instrText>
      </w:r>
      <w:r w:rsidRPr="00CE04FC">
        <w:rPr>
          <w:rFonts w:ascii="Times New Roman" w:hAnsi="Times New Roman" w:cs="Times New Roman"/>
        </w:rPr>
        <w:fldChar w:fldCharType="separate"/>
      </w:r>
      <w:r w:rsidR="0015317D" w:rsidRPr="00CE04FC">
        <w:rPr>
          <w:rFonts w:ascii="Times New Roman" w:hAnsi="Times New Roman" w:cs="Times New Roman"/>
          <w:noProof/>
        </w:rPr>
        <w:t>(T. Zhang et al., 2023)</w:t>
      </w:r>
      <w:r w:rsidRPr="00CE04FC">
        <w:rPr>
          <w:rFonts w:ascii="Times New Roman" w:hAnsi="Times New Roman" w:cs="Times New Roman"/>
        </w:rPr>
        <w:fldChar w:fldCharType="end"/>
      </w:r>
      <w:r w:rsidRPr="00CE04FC">
        <w:rPr>
          <w:rFonts w:ascii="Times New Roman" w:eastAsia="Times New Roman" w:hAnsi="Times New Roman" w:cs="Times New Roman"/>
          <w:kern w:val="0"/>
          <w14:ligatures w14:val="none"/>
        </w:rPr>
        <w:t xml:space="preserve">. In this context, ammonia is gaining recognition as an alternative hydrogen carrier, owing to its higher volumetric energy density, ease of storage under moderate pressure and temperature, and existing global infrastructure for handling and distribution </w:t>
      </w:r>
      <w:r w:rsidRPr="00CE04FC">
        <w:rPr>
          <w:rFonts w:ascii="Times New Roman" w:hAnsi="Times New Roman" w:cs="Times New Roman"/>
        </w:rPr>
        <w:fldChar w:fldCharType="begin">
          <w:fldData xml:space="preserve">PEVuZE5vdGU+PENpdGU+PEF1dGhvcj5YaW5nPC9BdXRob3I+PFllYXI+MjAyNDwvWWVhcj48UmVj
TnVtPjI5PC9SZWNOdW0+PERpc3BsYXlUZXh0PihEw61hei1Nb3R0YSBldCBhbC4sIDIwMjM7IFhp
bmcgJmFtcDsgSmlhbmcsIDIwMjQpPC9EaXNwbGF5VGV4dD48cmVjb3JkPjxyZWMtbnVtYmVyPjI5
PC9yZWMtbnVtYmVyPjxmb3JlaWduLWtleXM+PGtleSBhcHA9IkVOIiBkYi1pZD0iMHgwejV6eGF0
emF0OW9lOTAyN3hlYTJwZTJ3ZTVkZWU1ZGV6IiB0aW1lc3RhbXA9IjE3MzY5MzczMzEiPjI5PC9r
ZXk+PC9mb3JlaWduLWtleXM+PHJlZi10eXBlIG5hbWU9IkpvdXJuYWwgQXJ0aWNsZSI+MTc8L3Jl
Zi10eXBlPjxjb250cmlidXRvcnM+PGF1dGhvcnM+PGF1dGhvcj5YaW5nLCBaaGloYW88L2F1dGhv
cj48YXV0aG9yPkppYW5nLCBYaTwvYXV0aG9yPjwvYXV0aG9ycz48L2NvbnRyaWJ1dG9ycz48dGl0
bGVzPjx0aXRsZT5OZXVyYWwgbmV0d29yayBwb3RlbnRpYWwtYmFzZWQgbW9sZWN1bGFyIGludmVz
dGlnYXRpb24gb2YgcG9sbHV0YW50IGZvcm1hdGlvbiBvZiBhbW1vbmlhIGFuZCBhbW1vbmlhLWh5
ZHJvZ2VuIGNvbWJ1c3Rpb248L3RpdGxlPjxzZWNvbmRhcnktdGl0bGU+Q2hlbWljYWwgRW5naW5l
ZXJpbmcgSm91cm5hbDwvc2Vjb25kYXJ5LXRpdGxlPjwvdGl0bGVzPjxwZXJpb2RpY2FsPjxmdWxs
LXRpdGxlPkNoZW1pY2FsIEVuZ2luZWVyaW5nIEpvdXJuYWw8L2Z1bGwtdGl0bGU+PC9wZXJpb2Rp
Y2FsPjxwYWdlcz4xNTE0OTI8L3BhZ2VzPjx2b2x1bWU+NDg5PC92b2x1bWU+PGtleXdvcmRzPjxr
ZXl3b3JkPkFtbW9uaWE8L2tleXdvcmQ+PGtleXdvcmQ+SHlkcm9nZW48L2tleXdvcmQ+PGtleXdv
cmQ+Tk88L2tleXdvcmQ+PGtleXdvcmQ+TmV1cmFsIG5ldHdvcmsgcG90ZW50aWFsPC9rZXl3b3Jk
PjxrZXl3b3JkPlJlYWN0aXZlIG1vbGVjdWxhciBkeW5hbWljczwva2V5d29yZD48L2tleXdvcmRz
PjxkYXRlcz48eWVhcj4yMDI0PC95ZWFyPjxwdWItZGF0ZXM+PGRhdGU+MjAyNC8wNi8wMS88L2Rh
dGU+PC9wdWItZGF0ZXM+PC9kYXRlcz48aXNibj4xMzg1LTg5NDc8L2lzYm4+PHVybHM+PHJlbGF0
ZWQtdXJscz48dXJsPmh0dHBzOi8vd3d3LnNjaWVuY2VkaXJlY3QuY29tL3NjaWVuY2UvYXJ0aWNs
ZS9waWkvUzEzODU4OTQ3MjQwMjk3OTY8L3VybD48L3JlbGF0ZWQtdXJscz48L3VybHM+PGVsZWN0
cm9uaWMtcmVzb3VyY2UtbnVtPmh0dHBzOi8vZG9pLm9yZy8xMC4xMDE2L2ouY2VqLjIwMjQuMTUx
NDkyPC9lbGVjdHJvbmljLXJlc291cmNlLW51bT48L3JlY29yZD48L0NpdGU+PENpdGU+PEF1dGhv
cj5Ew61hei1Nb3R0YTwvQXV0aG9yPjxZZWFyPjIwMjM8L1llYXI+PFJlY051bT4yMTwvUmVjTnVt
PjxyZWNvcmQ+PHJlYy1udW1iZXI+MjE8L3JlYy1udW1iZXI+PGZvcmVpZ24ta2V5cz48a2V5IGFw
cD0iRU4iIGRiLWlkPSIweDB6NXp4YXR6YXQ5b2U5MDI3eGVhMnBlMndlNWRlZTVkZXoiIHRpbWVz
dGFtcD0iMTczNjc4MTM4NyI+MjE8L2tleT48L2ZvcmVpZ24ta2V5cz48cmVmLXR5cGUgbmFtZT0i
Sm91cm5hbCBBcnRpY2xlIj4xNzwvcmVmLXR5cGU+PGNvbnRyaWJ1dG9ycz48YXV0aG9ycz48YXV0
aG9yPkTDrWF6LU1vdHRhLCBBcm1hbmRvPC9hdXRob3I+PGF1dGhvcj5Ew61hei1Hb256w6FsZXos
IEZyYW5jaXNjbzwvYXV0aG9yPjxhdXRob3I+VmlsbGEtQXJyaWV0YSwgTWFudWVsPC9hdXRob3I+
PC9hdXRob3JzPjwvY29udHJpYnV0b3JzPjx0aXRsZXM+PHRpdGxlPkVuZXJneSBzdXN0YWluYWJp
bGl0eSBhc3Nlc3NtZW50IG9mIG9mZnNob3JlIHdpbmQtcG93ZXJlZCBhbW1vbmlhPC90aXRsZT48
c2Vjb25kYXJ5LXRpdGxlPkpvdXJuYWwgb2YgQ2xlYW5lciBQcm9kdWN0aW9uPC9zZWNvbmRhcnkt
dGl0bGU+PC90aXRsZXM+PHBlcmlvZGljYWw+PGZ1bGwtdGl0bGU+Sm91cm5hbCBvZiBDbGVhbmVy
IFByb2R1Y3Rpb248L2Z1bGwtdGl0bGU+PC9wZXJpb2RpY2FsPjxwYWdlcz4xMzg0MTk8L3BhZ2Vz
Pjx2b2x1bWU+NDIwPC92b2x1bWU+PGtleXdvcmRzPjxrZXl3b3JkPlN1c3RhaW5hYmxlIGVuZXJn
eTwva2V5d29yZD48a2V5d29yZD5HcmVlbiBhbW1vbmlhIHByb2R1Y3Rpb248L2tleXdvcmQ+PGtl
eXdvcmQ+T2Zmc2hvcmUgd2luZCBlbmVyZ3k8L2tleXdvcmQ+PGtleXdvcmQ+UG93ZXItdG8tQW1t
b25pYTwva2V5d29yZD48L2tleXdvcmRzPjxkYXRlcz48eWVhcj4yMDIzPC95ZWFyPjxwdWItZGF0
ZXM+PGRhdGU+MjAyMy8wOS8yNS88L2RhdGU+PC9wdWItZGF0ZXM+PC9kYXRlcz48aXNibj4wOTU5
LTY1MjY8L2lzYm4+PHVybHM+PHJlbGF0ZWQtdXJscz48dXJsPmh0dHBzOi8vd3d3LnNjaWVuY2Vk
aXJlY3QuY29tL3NjaWVuY2UvYXJ0aWNsZS9waWkvUzA5NTk2NTI2MjMwMjU3NzU8L3VybD48L3Jl
bGF0ZWQtdXJscz48L3VybHM+PGVsZWN0cm9uaWMtcmVzb3VyY2UtbnVtPmh0dHBzOi8vZG9pLm9y
Zy8xMC4xMDE2L2ouamNsZXByby4yMDIzLjEzODQxOTwvZWxlY3Ryb25pYy1yZXNvdXJjZS1udW0+
PC9yZWNvcmQ+PC9DaXRlPjwvRW5kTm90ZT5=
</w:fldData>
        </w:fldChar>
      </w:r>
      <w:r w:rsidRPr="00CE04FC">
        <w:rPr>
          <w:rFonts w:ascii="Times New Roman" w:hAnsi="Times New Roman" w:cs="Times New Roman"/>
        </w:rPr>
        <w:instrText xml:space="preserve"> ADDIN EN.CITE </w:instrText>
      </w:r>
      <w:r w:rsidRPr="00CE04FC">
        <w:rPr>
          <w:rFonts w:ascii="Times New Roman" w:hAnsi="Times New Roman" w:cs="Times New Roman"/>
        </w:rPr>
        <w:fldChar w:fldCharType="begin">
          <w:fldData xml:space="preserve">PEVuZE5vdGU+PENpdGU+PEF1dGhvcj5YaW5nPC9BdXRob3I+PFllYXI+MjAyNDwvWWVhcj48UmVj
TnVtPjI5PC9SZWNOdW0+PERpc3BsYXlUZXh0PihEw61hei1Nb3R0YSBldCBhbC4sIDIwMjM7IFhp
bmcgJmFtcDsgSmlhbmcsIDIwMjQpPC9EaXNwbGF5VGV4dD48cmVjb3JkPjxyZWMtbnVtYmVyPjI5
PC9yZWMtbnVtYmVyPjxmb3JlaWduLWtleXM+PGtleSBhcHA9IkVOIiBkYi1pZD0iMHgwejV6eGF0
emF0OW9lOTAyN3hlYTJwZTJ3ZTVkZWU1ZGV6IiB0aW1lc3RhbXA9IjE3MzY5MzczMzEiPjI5PC9r
ZXk+PC9mb3JlaWduLWtleXM+PHJlZi10eXBlIG5hbWU9IkpvdXJuYWwgQXJ0aWNsZSI+MTc8L3Jl
Zi10eXBlPjxjb250cmlidXRvcnM+PGF1dGhvcnM+PGF1dGhvcj5YaW5nLCBaaGloYW88L2F1dGhv
cj48YXV0aG9yPkppYW5nLCBYaTwvYXV0aG9yPjwvYXV0aG9ycz48L2NvbnRyaWJ1dG9ycz48dGl0
bGVzPjx0aXRsZT5OZXVyYWwgbmV0d29yayBwb3RlbnRpYWwtYmFzZWQgbW9sZWN1bGFyIGludmVz
dGlnYXRpb24gb2YgcG9sbHV0YW50IGZvcm1hdGlvbiBvZiBhbW1vbmlhIGFuZCBhbW1vbmlhLWh5
ZHJvZ2VuIGNvbWJ1c3Rpb248L3RpdGxlPjxzZWNvbmRhcnktdGl0bGU+Q2hlbWljYWwgRW5naW5l
ZXJpbmcgSm91cm5hbDwvc2Vjb25kYXJ5LXRpdGxlPjwvdGl0bGVzPjxwZXJpb2RpY2FsPjxmdWxs
LXRpdGxlPkNoZW1pY2FsIEVuZ2luZWVyaW5nIEpvdXJuYWw8L2Z1bGwtdGl0bGU+PC9wZXJpb2Rp
Y2FsPjxwYWdlcz4xNTE0OTI8L3BhZ2VzPjx2b2x1bWU+NDg5PC92b2x1bWU+PGtleXdvcmRzPjxr
ZXl3b3JkPkFtbW9uaWE8L2tleXdvcmQ+PGtleXdvcmQ+SHlkcm9nZW48L2tleXdvcmQ+PGtleXdv
cmQ+Tk88L2tleXdvcmQ+PGtleXdvcmQ+TmV1cmFsIG5ldHdvcmsgcG90ZW50aWFsPC9rZXl3b3Jk
PjxrZXl3b3JkPlJlYWN0aXZlIG1vbGVjdWxhciBkeW5hbWljczwva2V5d29yZD48L2tleXdvcmRz
PjxkYXRlcz48eWVhcj4yMDI0PC95ZWFyPjxwdWItZGF0ZXM+PGRhdGU+MjAyNC8wNi8wMS88L2Rh
dGU+PC9wdWItZGF0ZXM+PC9kYXRlcz48aXNibj4xMzg1LTg5NDc8L2lzYm4+PHVybHM+PHJlbGF0
ZWQtdXJscz48dXJsPmh0dHBzOi8vd3d3LnNjaWVuY2VkaXJlY3QuY29tL3NjaWVuY2UvYXJ0aWNs
ZS9waWkvUzEzODU4OTQ3MjQwMjk3OTY8L3VybD48L3JlbGF0ZWQtdXJscz48L3VybHM+PGVsZWN0
cm9uaWMtcmVzb3VyY2UtbnVtPmh0dHBzOi8vZG9pLm9yZy8xMC4xMDE2L2ouY2VqLjIwMjQuMTUx
NDkyPC9lbGVjdHJvbmljLXJlc291cmNlLW51bT48L3JlY29yZD48L0NpdGU+PENpdGU+PEF1dGhv
cj5Ew61hei1Nb3R0YTwvQXV0aG9yPjxZZWFyPjIwMjM8L1llYXI+PFJlY051bT4yMTwvUmVjTnVt
PjxyZWNvcmQ+PHJlYy1udW1iZXI+MjE8L3JlYy1udW1iZXI+PGZvcmVpZ24ta2V5cz48a2V5IGFw
cD0iRU4iIGRiLWlkPSIweDB6NXp4YXR6YXQ5b2U5MDI3eGVhMnBlMndlNWRlZTVkZXoiIHRpbWVz
dGFtcD0iMTczNjc4MTM4NyI+MjE8L2tleT48L2ZvcmVpZ24ta2V5cz48cmVmLXR5cGUgbmFtZT0i
Sm91cm5hbCBBcnRpY2xlIj4xNzwvcmVmLXR5cGU+PGNvbnRyaWJ1dG9ycz48YXV0aG9ycz48YXV0
aG9yPkTDrWF6LU1vdHRhLCBBcm1hbmRvPC9hdXRob3I+PGF1dGhvcj5Ew61hei1Hb256w6FsZXos
IEZyYW5jaXNjbzwvYXV0aG9yPjxhdXRob3I+VmlsbGEtQXJyaWV0YSwgTWFudWVsPC9hdXRob3I+
PC9hdXRob3JzPjwvY29udHJpYnV0b3JzPjx0aXRsZXM+PHRpdGxlPkVuZXJneSBzdXN0YWluYWJp
bGl0eSBhc3Nlc3NtZW50IG9mIG9mZnNob3JlIHdpbmQtcG93ZXJlZCBhbW1vbmlhPC90aXRsZT48
c2Vjb25kYXJ5LXRpdGxlPkpvdXJuYWwgb2YgQ2xlYW5lciBQcm9kdWN0aW9uPC9zZWNvbmRhcnkt
dGl0bGU+PC90aXRsZXM+PHBlcmlvZGljYWw+PGZ1bGwtdGl0bGU+Sm91cm5hbCBvZiBDbGVhbmVy
IFByb2R1Y3Rpb248L2Z1bGwtdGl0bGU+PC9wZXJpb2RpY2FsPjxwYWdlcz4xMzg0MTk8L3BhZ2Vz
Pjx2b2x1bWU+NDIwPC92b2x1bWU+PGtleXdvcmRzPjxrZXl3b3JkPlN1c3RhaW5hYmxlIGVuZXJn
eTwva2V5d29yZD48a2V5d29yZD5HcmVlbiBhbW1vbmlhIHByb2R1Y3Rpb248L2tleXdvcmQ+PGtl
eXdvcmQ+T2Zmc2hvcmUgd2luZCBlbmVyZ3k8L2tleXdvcmQ+PGtleXdvcmQ+UG93ZXItdG8tQW1t
b25pYTwva2V5d29yZD48L2tleXdvcmRzPjxkYXRlcz48eWVhcj4yMDIzPC95ZWFyPjxwdWItZGF0
ZXM+PGRhdGU+MjAyMy8wOS8yNS88L2RhdGU+PC9wdWItZGF0ZXM+PC9kYXRlcz48aXNibj4wOTU5
LTY1MjY8L2lzYm4+PHVybHM+PHJlbGF0ZWQtdXJscz48dXJsPmh0dHBzOi8vd3d3LnNjaWVuY2Vk
aXJlY3QuY29tL3NjaWVuY2UvYXJ0aWNsZS9waWkvUzA5NTk2NTI2MjMwMjU3NzU8L3VybD48L3Jl
bGF0ZWQtdXJscz48L3VybHM+PGVsZWN0cm9uaWMtcmVzb3VyY2UtbnVtPmh0dHBzOi8vZG9pLm9y
Zy8xMC4xMDE2L2ouamNsZXByby4yMDIzLjEzODQxOTwvZWxlY3Ryb25pYy1yZXNvdXJjZS1udW0+
PC9yZWNvcmQ+PC9DaXRlPjwvRW5kTm90ZT5=
</w:fldData>
        </w:fldChar>
      </w:r>
      <w:r w:rsidRPr="00CE04FC">
        <w:rPr>
          <w:rFonts w:ascii="Times New Roman" w:hAnsi="Times New Roman" w:cs="Times New Roman"/>
        </w:rPr>
        <w:instrText xml:space="preserve"> ADDIN EN.CITE.DATA </w:instrText>
      </w:r>
      <w:r w:rsidRPr="00CE04FC">
        <w:rPr>
          <w:rFonts w:ascii="Times New Roman" w:hAnsi="Times New Roman" w:cs="Times New Roman"/>
        </w:rPr>
      </w:r>
      <w:r w:rsidRPr="00CE04FC">
        <w:rPr>
          <w:rFonts w:ascii="Times New Roman" w:hAnsi="Times New Roman" w:cs="Times New Roman"/>
        </w:rPr>
        <w:fldChar w:fldCharType="end"/>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noProof/>
        </w:rPr>
        <w:t>(Díaz-Motta et al., 2023; Xing &amp; Jiang, 2024)</w:t>
      </w:r>
      <w:r w:rsidRPr="00CE04FC">
        <w:rPr>
          <w:rFonts w:ascii="Times New Roman" w:hAnsi="Times New Roman" w:cs="Times New Roman"/>
        </w:rPr>
        <w:fldChar w:fldCharType="end"/>
      </w:r>
      <w:r w:rsidRPr="00CE04FC">
        <w:rPr>
          <w:rFonts w:ascii="Times New Roman" w:hAnsi="Times New Roman" w:cs="Times New Roman"/>
        </w:rPr>
        <w:t>.</w:t>
      </w:r>
      <w:r w:rsidR="004B1534" w:rsidRPr="00CE04FC">
        <w:rPr>
          <w:rFonts w:ascii="Times New Roman" w:hAnsi="Times New Roman" w:cs="Times New Roman"/>
        </w:rPr>
        <w:t xml:space="preserve"> Despite these advantages, ammonia synthesis is highly sensitive to fluctuations in renewable power supply, leading to operational uncertainties that challenge the economic viability </w:t>
      </w:r>
      <w:r w:rsidR="004B1534" w:rsidRPr="00CE04FC">
        <w:rPr>
          <w:rFonts w:ascii="Times New Roman" w:hAnsi="Times New Roman" w:cs="Times New Roman"/>
        </w:rPr>
        <w:fldChar w:fldCharType="begin"/>
      </w:r>
      <w:r w:rsidR="004B1534" w:rsidRPr="00CE04FC">
        <w:rPr>
          <w:rFonts w:ascii="Times New Roman" w:hAnsi="Times New Roman" w:cs="Times New Roman"/>
        </w:rPr>
        <w:instrText xml:space="preserve"> ADDIN EN.CITE &lt;EndNote&gt;&lt;Cite&gt;&lt;Author&gt;Verleysen&lt;/Author&gt;&lt;Year&gt;2020&lt;/Year&gt;&lt;RecNum&gt;43&lt;/RecNum&gt;&lt;DisplayText&gt;(Rehman et al., 2024; Verleysen et al., 2020)&lt;/DisplayText&gt;&lt;record&gt;&lt;rec-number&gt;43&lt;/rec-number&gt;&lt;foreign-keys&gt;&lt;key app="EN" db-id="0x0z5zxatzat9oe9027xea2pe2we5dee5dez" timestamp="1744921016"&gt;43&lt;/key&gt;&lt;/foreign-keys&gt;&lt;ref-type name="Journal Article"&gt;17&lt;/ref-type&gt;&lt;contributors&gt;&lt;authors&gt;&lt;author&gt;Verleysen, Kevin&lt;/author&gt;&lt;author&gt;Coppitters, Diederik&lt;/author&gt;&lt;author&gt;Parente, Alessandro&lt;/author&gt;&lt;author&gt;De Paepe, Ward&lt;/author&gt;&lt;author&gt;Contino, Francesco&lt;/author&gt;&lt;/authors&gt;&lt;/contributors&gt;&lt;titles&gt;&lt;title&gt;How can power-to-ammonia be robust? Optimization of an ammonia synthesis plant powered by a wind turbine considering operational uncertainties&lt;/title&gt;&lt;secondary-title&gt;Fuel&lt;/secondary-title&gt;&lt;/titles&gt;&lt;periodical&gt;&lt;full-title&gt;Fuel&lt;/full-title&gt;&lt;/periodical&gt;&lt;pages&gt;117049&lt;/pages&gt;&lt;volume&gt;266&lt;/volume&gt;&lt;dates&gt;&lt;year&gt;2020&lt;/year&gt;&lt;/dates&gt;&lt;isbn&gt;0016-2361&lt;/isbn&gt;&lt;urls&gt;&lt;/urls&gt;&lt;/record&gt;&lt;/Cite&gt;&lt;Cite&gt;&lt;Author&gt;Rehman&lt;/Author&gt;&lt;Year&gt;2024&lt;/Year&gt;&lt;RecNum&gt;18&lt;/RecNum&gt;&lt;record&gt;&lt;rec-number&gt;18&lt;/rec-number&gt;&lt;foreign-keys&gt;&lt;key app="EN" db-id="0x0z5zxatzat9oe9027xea2pe2we5dee5dez" timestamp="1744112818"&gt;18&lt;/key&gt;&lt;/foreign-keys&gt;&lt;ref-type name="Journal Article"&gt;17&lt;/ref-type&gt;&lt;contributors&gt;&lt;authors&gt;&lt;author&gt;Rehman, Shafiqur&lt;/author&gt;&lt;author&gt;Zayed, Mohamed E&lt;/author&gt;&lt;author&gt;Irshad, Kashif&lt;/author&gt;&lt;author&gt;Menesy, Ahmed S&lt;/author&gt;&lt;author&gt;Kotb, Kotb M&lt;/author&gt;&lt;author&gt;Alzahrani, Atif Saeed&lt;/author&gt;&lt;author&gt;Alhems, Luai M&lt;/author&gt;&lt;/authors&gt;&lt;/contributors&gt;&lt;titles&gt;&lt;title&gt;Design, commissioning and operation of a large-scale solar linear Fresnel system integrated with evacuated compound receiver: Field testing, thermodynamic analysis, and enhanced machine learning-based optimization&lt;/title&gt;&lt;secondary-title&gt;Solar Energy&lt;/secondary-title&gt;&lt;/titles&gt;&lt;periodical&gt;&lt;full-title&gt;Solar Energy&lt;/full-title&gt;&lt;/periodical&gt;&lt;pages&gt;112785&lt;/pages&gt;&lt;volume&gt;278&lt;/volume&gt;&lt;dates&gt;&lt;year&gt;2024&lt;/year&gt;&lt;/dates&gt;&lt;isbn&gt;0038-092X&lt;/isbn&gt;&lt;urls&gt;&lt;/urls&gt;&lt;/record&gt;&lt;/Cite&gt;&lt;/EndNote&gt;</w:instrText>
      </w:r>
      <w:r w:rsidR="004B1534" w:rsidRPr="00CE04FC">
        <w:rPr>
          <w:rFonts w:ascii="Times New Roman" w:hAnsi="Times New Roman" w:cs="Times New Roman"/>
        </w:rPr>
        <w:fldChar w:fldCharType="separate"/>
      </w:r>
      <w:r w:rsidR="004B1534" w:rsidRPr="00CE04FC">
        <w:rPr>
          <w:rFonts w:ascii="Times New Roman" w:hAnsi="Times New Roman" w:cs="Times New Roman"/>
          <w:noProof/>
        </w:rPr>
        <w:t>(Rehman et al., 2024; Verleysen et al., 2020)</w:t>
      </w:r>
      <w:r w:rsidR="004B1534" w:rsidRPr="00CE04FC">
        <w:rPr>
          <w:rFonts w:ascii="Times New Roman" w:hAnsi="Times New Roman" w:cs="Times New Roman"/>
        </w:rPr>
        <w:fldChar w:fldCharType="end"/>
      </w:r>
      <w:r w:rsidR="004B1534" w:rsidRPr="00CE04FC">
        <w:rPr>
          <w:rFonts w:ascii="Times New Roman" w:hAnsi="Times New Roman" w:cs="Times New Roman"/>
        </w:rPr>
        <w:t xml:space="preserve">. However, </w:t>
      </w:r>
      <w:r w:rsidR="0005356B" w:rsidRPr="00CE04FC">
        <w:rPr>
          <w:rFonts w:ascii="Times New Roman" w:hAnsi="Times New Roman" w:cs="Times New Roman"/>
        </w:rPr>
        <w:t>systematic,</w:t>
      </w:r>
      <w:r w:rsidR="004B1534" w:rsidRPr="00CE04FC">
        <w:rPr>
          <w:rFonts w:ascii="Times New Roman" w:hAnsi="Times New Roman" w:cs="Times New Roman"/>
        </w:rPr>
        <w:t xml:space="preserve"> and cost-effective evaluation of these uncertainties remains unexplored and calls for further research</w:t>
      </w:r>
      <w:r w:rsidR="00DE5471" w:rsidRPr="00CE04FC">
        <w:rPr>
          <w:rFonts w:ascii="Times New Roman" w:hAnsi="Times New Roman" w:cs="Times New Roman"/>
        </w:rPr>
        <w:t>.</w:t>
      </w:r>
    </w:p>
    <w:p w14:paraId="7C7477C3" w14:textId="6C756109" w:rsidR="00026B1B" w:rsidRPr="00CE04FC" w:rsidRDefault="00026B1B" w:rsidP="00026B1B">
      <w:pPr>
        <w:pStyle w:val="Heading2"/>
        <w:rPr>
          <w:szCs w:val="22"/>
        </w:rPr>
      </w:pPr>
      <w:r w:rsidRPr="00CE04FC">
        <w:rPr>
          <w:szCs w:val="22"/>
        </w:rPr>
        <w:t xml:space="preserve"> </w:t>
      </w:r>
      <w:r w:rsidR="00A15585" w:rsidRPr="00CE04FC">
        <w:rPr>
          <w:szCs w:val="22"/>
        </w:rPr>
        <w:t>Literature review</w:t>
      </w:r>
    </w:p>
    <w:p w14:paraId="77B3891A" w14:textId="30E452D2" w:rsidR="001C25D3" w:rsidRPr="00CE04FC" w:rsidRDefault="001C25D3" w:rsidP="00A15585">
      <w:pPr>
        <w:pStyle w:val="Heading3"/>
      </w:pPr>
      <w:r w:rsidRPr="00CE04FC">
        <w:t>Green ammonia production</w:t>
      </w:r>
    </w:p>
    <w:p w14:paraId="52AAD0A1" w14:textId="760E5C58" w:rsidR="001A2CFD" w:rsidRPr="00CE04FC" w:rsidRDefault="001A2CFD" w:rsidP="001A2CFD">
      <w:pPr>
        <w:jc w:val="both"/>
        <w:rPr>
          <w:rFonts w:ascii="Times New Roman" w:hAnsi="Times New Roman" w:cs="Times New Roman"/>
        </w:rPr>
      </w:pPr>
      <w:r w:rsidRPr="00CE04FC">
        <w:rPr>
          <w:rFonts w:ascii="Times New Roman" w:eastAsia="Times New Roman" w:hAnsi="Times New Roman" w:cs="Times New Roman"/>
          <w:kern w:val="0"/>
          <w14:ligatures w14:val="none"/>
        </w:rPr>
        <w:t>Recent advancements have focused on decarbonising ammonia production through the integration of renewable energy sources, enhancing both economic viability and sustainability. For instance,</w:t>
      </w:r>
      <w:r w:rsidR="002822C9" w:rsidRPr="00CE04FC">
        <w:rPr>
          <w:rFonts w:ascii="Times New Roman" w:eastAsia="Times New Roman" w:hAnsi="Times New Roman" w:cs="Times New Roman"/>
          <w:kern w:val="0"/>
          <w14:ligatures w14:val="none"/>
        </w:rPr>
        <w:t xml:space="preserve"> </w:t>
      </w:r>
      <w:r w:rsidRPr="00CE04FC">
        <w:rPr>
          <w:rFonts w:ascii="Times New Roman" w:eastAsia="Times New Roman" w:hAnsi="Times New Roman" w:cs="Times New Roman"/>
          <w:kern w:val="0"/>
          <w14:ligatures w14:val="none"/>
        </w:rPr>
        <w:fldChar w:fldCharType="begin"/>
      </w:r>
      <w:r w:rsidRPr="00CE04FC">
        <w:rPr>
          <w:rFonts w:ascii="Times New Roman" w:eastAsia="Times New Roman" w:hAnsi="Times New Roman" w:cs="Times New Roman"/>
          <w:kern w:val="0"/>
          <w14:ligatures w14:val="none"/>
        </w:rPr>
        <w:instrText xml:space="preserve"> ADDIN EN.CITE &lt;EndNote&gt;&lt;Cite&gt;&lt;Author&gt;Shamsi&lt;/Author&gt;&lt;Year&gt;2024&lt;/Year&gt;&lt;RecNum&gt;42&lt;/RecNum&gt;&lt;DisplayText&gt;(Shamsi et al., 2024)&lt;/DisplayText&gt;&lt;record&gt;&lt;rec-number&gt;42&lt;/rec-number&gt;&lt;foreign-keys&gt;&lt;key app="EN" db-id="0x0z5zxatzat9oe9027xea2pe2we5dee5dez" timestamp="1744834777"&gt;42&lt;/key&gt;&lt;/foreign-keys&gt;&lt;ref-type name="Journal Article"&gt;17&lt;/ref-type&gt;&lt;contributors&gt;&lt;authors&gt;&lt;author&gt;Shamsi, M&lt;/author&gt;&lt;author&gt;Karami, B&lt;/author&gt;&lt;author&gt;Cheraghdar, A&lt;/author&gt;&lt;author&gt;Mousavian, S&lt;/author&gt;&lt;author&gt;Makki, M&lt;/author&gt;&lt;author&gt;Rooeentan, S&lt;/author&gt;&lt;/authors&gt;&lt;/contributors&gt;&lt;titles&gt;&lt;title&gt;Evaluation of an environmentally-friendly poly-generation system driven by geothermal energy for green ammonia production&lt;/title&gt;&lt;secondary-title&gt;Fuel&lt;/secondary-title&gt;&lt;/titles&gt;&lt;periodical&gt;&lt;full-title&gt;Fuel&lt;/full-title&gt;&lt;/periodical&gt;&lt;pages&gt;131037&lt;/pages&gt;&lt;volume&gt;365&lt;/volume&gt;&lt;dates&gt;&lt;year&gt;2024&lt;/year&gt;&lt;/dates&gt;&lt;isbn&gt;0016-2361&lt;/isbn&gt;&lt;urls&gt;&lt;/urls&gt;&lt;/record&gt;&lt;/Cite&gt;&lt;/EndNote&gt;</w:instrText>
      </w:r>
      <w:r w:rsidRPr="00CE04FC">
        <w:rPr>
          <w:rFonts w:ascii="Times New Roman" w:eastAsia="Times New Roman" w:hAnsi="Times New Roman" w:cs="Times New Roman"/>
          <w:kern w:val="0"/>
          <w14:ligatures w14:val="none"/>
        </w:rPr>
        <w:fldChar w:fldCharType="separate"/>
      </w:r>
      <w:r w:rsidRPr="00CE04FC">
        <w:rPr>
          <w:rFonts w:ascii="Times New Roman" w:eastAsia="Times New Roman" w:hAnsi="Times New Roman" w:cs="Times New Roman"/>
          <w:noProof/>
          <w:kern w:val="0"/>
          <w14:ligatures w14:val="none"/>
        </w:rPr>
        <w:t>Shamsi et al., 2024</w:t>
      </w:r>
      <w:r w:rsidRPr="00CE04FC">
        <w:rPr>
          <w:rFonts w:ascii="Times New Roman" w:eastAsia="Times New Roman" w:hAnsi="Times New Roman" w:cs="Times New Roman"/>
          <w:kern w:val="0"/>
          <w14:ligatures w14:val="none"/>
        </w:rPr>
        <w:fldChar w:fldCharType="end"/>
      </w:r>
      <w:r w:rsidRPr="00CE04FC">
        <w:rPr>
          <w:rFonts w:ascii="Times New Roman" w:eastAsia="Times New Roman" w:hAnsi="Times New Roman" w:cs="Times New Roman"/>
          <w:kern w:val="0"/>
          <w14:ligatures w14:val="none"/>
        </w:rPr>
        <w:t xml:space="preserve"> demonstrated a geothermal-powered polygeneration system that integrates a PEM electrolyser, an organic Rankine cycle, and an air separation unit, co-producing ammonia, electricity, oxygen, and thermal energy. This configuration achieved an ammonia output of 2.085 kg/s at a competitive cost of $2.24/kg with a payback period of just three years, underscoring the feasibility of geothermal-based synthesis. Electrolyser selection has also proven critical; </w:t>
      </w:r>
      <w:r w:rsidRPr="00CE04FC">
        <w:rPr>
          <w:rFonts w:ascii="Times New Roman" w:eastAsia="Times New Roman" w:hAnsi="Times New Roman" w:cs="Times New Roman"/>
          <w:kern w:val="0"/>
          <w14:ligatures w14:val="none"/>
        </w:rPr>
        <w:fldChar w:fldCharType="begin"/>
      </w:r>
      <w:r w:rsidRPr="00CE04FC">
        <w:rPr>
          <w:rFonts w:ascii="Times New Roman" w:eastAsia="Times New Roman" w:hAnsi="Times New Roman" w:cs="Times New Roman"/>
          <w:kern w:val="0"/>
          <w14:ligatures w14:val="none"/>
        </w:rPr>
        <w:instrText xml:space="preserve"> ADDIN EN.CITE &lt;EndNote&gt;&lt;Cite&gt;&lt;Author&gt;Nami&lt;/Author&gt;&lt;Year&gt;2024&lt;/Year&gt;&lt;RecNum&gt;41&lt;/RecNum&gt;&lt;DisplayText&gt;(Nami et al., 2024)&lt;/DisplayText&gt;&lt;record&gt;&lt;rec-number&gt;41&lt;/rec-number&gt;&lt;foreign-keys&gt;&lt;key app="EN" db-id="0x0z5zxatzat9oe9027xea2pe2we5dee5dez" timestamp="1744834445"&gt;41&lt;/key&gt;&lt;/foreign-keys&gt;&lt;ref-type name="Journal Article"&gt;17&lt;/ref-type&gt;&lt;contributors&gt;&lt;authors&gt;&lt;author&gt;Nami, Hossein&lt;/author&gt;&lt;author&gt;Hendriksen, Peter Vang&lt;/author&gt;&lt;author&gt;Frandsen, Henrik Lund&lt;/author&gt;&lt;/authors&gt;&lt;/contributors&gt;&lt;titles&gt;&lt;title&gt;Green ammonia production using current and emerging electrolysis technologies&lt;/title&gt;&lt;secondary-title&gt;Renewable and Sustainable Energy Reviews&lt;/secondary-title&gt;&lt;/titles&gt;&lt;periodical&gt;&lt;full-title&gt;Renewable and Sustainable Energy Reviews&lt;/full-title&gt;&lt;/periodical&gt;&lt;pages&gt;114517&lt;/pages&gt;&lt;volume&gt;199&lt;/volume&gt;&lt;dates&gt;&lt;year&gt;2024&lt;/year&gt;&lt;/dates&gt;&lt;isbn&gt;1364-0321&lt;/isbn&gt;&lt;urls&gt;&lt;/urls&gt;&lt;/record&gt;&lt;/Cite&gt;&lt;/EndNote&gt;</w:instrText>
      </w:r>
      <w:r w:rsidRPr="00CE04FC">
        <w:rPr>
          <w:rFonts w:ascii="Times New Roman" w:eastAsia="Times New Roman" w:hAnsi="Times New Roman" w:cs="Times New Roman"/>
          <w:kern w:val="0"/>
          <w14:ligatures w14:val="none"/>
        </w:rPr>
        <w:fldChar w:fldCharType="separate"/>
      </w:r>
      <w:r w:rsidRPr="00CE04FC">
        <w:rPr>
          <w:rFonts w:ascii="Times New Roman" w:eastAsia="Times New Roman" w:hAnsi="Times New Roman" w:cs="Times New Roman"/>
          <w:noProof/>
          <w:kern w:val="0"/>
          <w14:ligatures w14:val="none"/>
        </w:rPr>
        <w:t>Nami et al., 2024</w:t>
      </w:r>
      <w:r w:rsidRPr="00CE04FC">
        <w:rPr>
          <w:rFonts w:ascii="Times New Roman" w:eastAsia="Times New Roman" w:hAnsi="Times New Roman" w:cs="Times New Roman"/>
          <w:kern w:val="0"/>
          <w14:ligatures w14:val="none"/>
        </w:rPr>
        <w:fldChar w:fldCharType="end"/>
      </w:r>
      <w:r w:rsidRPr="00CE04FC">
        <w:rPr>
          <w:rFonts w:ascii="Times New Roman" w:eastAsia="Times New Roman" w:hAnsi="Times New Roman" w:cs="Times New Roman"/>
          <w:kern w:val="0"/>
          <w14:ligatures w14:val="none"/>
        </w:rPr>
        <w:t xml:space="preserve">  compared alkaline (AEC) and solid oxide (SOEC) electrolysers, revealing that while AEC is cost-effective today, SOEC's higher efficiency and thermal integration capabilities could reduce production costs to 340 €/t with low-cost electricity (10 €/MWh), making it competitive with fossil-based ammonia. To further expand renewable integration, decentralised ammonia production systems leveraging biomass gasification, biogas reforming, and electrolysis have been modelled in Aspen Plus, maintaining consistent primary energy consumption (~14–15 kW/kg NH₃) without compromising process efficiency </w:t>
      </w:r>
      <w:r w:rsidRPr="00CE04FC">
        <w:rPr>
          <w:rFonts w:ascii="Times New Roman" w:eastAsia="Times New Roman" w:hAnsi="Times New Roman" w:cs="Times New Roman"/>
          <w:kern w:val="0"/>
          <w14:ligatures w14:val="none"/>
        </w:rPr>
        <w:fldChar w:fldCharType="begin"/>
      </w:r>
      <w:r w:rsidRPr="00CE04FC">
        <w:rPr>
          <w:rFonts w:ascii="Times New Roman" w:eastAsia="Times New Roman" w:hAnsi="Times New Roman" w:cs="Times New Roman"/>
          <w:kern w:val="0"/>
          <w14:ligatures w14:val="none"/>
        </w:rPr>
        <w:instrText xml:space="preserve"> ADDIN EN.CITE &lt;EndNote&gt;&lt;Cite&gt;&lt;Author&gt;Frattini&lt;/Author&gt;&lt;Year&gt;2016&lt;/Year&gt;&lt;RecNum&gt;35&lt;/RecNum&gt;&lt;DisplayText&gt;(Frattini et al., 2016)&lt;/DisplayText&gt;&lt;record&gt;&lt;rec-number&gt;35&lt;/rec-number&gt;&lt;foreign-keys&gt;&lt;key app="EN" db-id="0x0z5zxatzat9oe9027xea2pe2we5dee5dez" timestamp="1744830895"&gt;35&lt;/key&gt;&lt;/foreign-keys&gt;&lt;ref-type name="Journal Article"&gt;17&lt;/ref-type&gt;&lt;contributors&gt;&lt;authors&gt;&lt;author&gt;Frattini, Domenico&lt;/author&gt;&lt;author&gt;Cinti, Giovanni&lt;/author&gt;&lt;author&gt;Bidini, Gianni&lt;/author&gt;&lt;author&gt;Desideri, Umberto&lt;/author&gt;&lt;author&gt;Cioffi, Raffaele&lt;/author&gt;&lt;author&gt;Jannelli, Elio&lt;/author&gt;&lt;/authors&gt;&lt;/contributors&gt;&lt;titles&gt;&lt;title&gt;A system approach in energy evaluation of different renewable energies sources integration in ammonia production plants&lt;/title&gt;&lt;secondary-title&gt;Renewable Energy&lt;/secondary-title&gt;&lt;/titles&gt;&lt;periodical&gt;&lt;full-title&gt;Renewable Energy&lt;/full-title&gt;&lt;/periodical&gt;&lt;pages&gt;472-482&lt;/pages&gt;&lt;volume&gt;99&lt;/volume&gt;&lt;dates&gt;&lt;year&gt;2016&lt;/year&gt;&lt;/dates&gt;&lt;isbn&gt;0960-1481&lt;/isbn&gt;&lt;urls&gt;&lt;/urls&gt;&lt;/record&gt;&lt;/Cite&gt;&lt;/EndNote&gt;</w:instrText>
      </w:r>
      <w:r w:rsidRPr="00CE04FC">
        <w:rPr>
          <w:rFonts w:ascii="Times New Roman" w:eastAsia="Times New Roman" w:hAnsi="Times New Roman" w:cs="Times New Roman"/>
          <w:kern w:val="0"/>
          <w14:ligatures w14:val="none"/>
        </w:rPr>
        <w:fldChar w:fldCharType="separate"/>
      </w:r>
      <w:r w:rsidRPr="00CE04FC">
        <w:rPr>
          <w:rFonts w:ascii="Times New Roman" w:eastAsia="Times New Roman" w:hAnsi="Times New Roman" w:cs="Times New Roman"/>
          <w:noProof/>
          <w:kern w:val="0"/>
          <w14:ligatures w14:val="none"/>
        </w:rPr>
        <w:t>(Frattini et al., 2016)</w:t>
      </w:r>
      <w:r w:rsidRPr="00CE04FC">
        <w:rPr>
          <w:rFonts w:ascii="Times New Roman" w:eastAsia="Times New Roman" w:hAnsi="Times New Roman" w:cs="Times New Roman"/>
          <w:kern w:val="0"/>
          <w14:ligatures w14:val="none"/>
        </w:rPr>
        <w:fldChar w:fldCharType="end"/>
      </w:r>
      <w:r w:rsidRPr="00CE04FC">
        <w:rPr>
          <w:rFonts w:ascii="Times New Roman" w:eastAsia="Times New Roman" w:hAnsi="Times New Roman" w:cs="Times New Roman"/>
          <w:kern w:val="0"/>
          <w14:ligatures w14:val="none"/>
        </w:rPr>
        <w:t>. To further optimise energy and exergy efficiencies</w:t>
      </w:r>
      <w:r w:rsidR="00F0650E" w:rsidRPr="00CE04FC">
        <w:rPr>
          <w:rFonts w:ascii="Times New Roman" w:eastAsia="Times New Roman" w:hAnsi="Times New Roman" w:cs="Times New Roman"/>
          <w:kern w:val="0"/>
          <w14:ligatures w14:val="none"/>
        </w:rPr>
        <w:t>, a</w:t>
      </w:r>
      <w:r w:rsidRPr="00CE04FC">
        <w:rPr>
          <w:rFonts w:ascii="Times New Roman" w:eastAsia="Times New Roman" w:hAnsi="Times New Roman" w:cs="Times New Roman"/>
          <w:kern w:val="0"/>
          <w14:ligatures w14:val="none"/>
        </w:rPr>
        <w:t xml:space="preserve"> recent study </w:t>
      </w:r>
      <w:r w:rsidRPr="00CE04FC">
        <w:rPr>
          <w:rFonts w:ascii="Times New Roman" w:eastAsia="Times New Roman" w:hAnsi="Times New Roman" w:cs="Times New Roman"/>
          <w:kern w:val="0"/>
          <w14:ligatures w14:val="none"/>
        </w:rPr>
        <w:fldChar w:fldCharType="begin"/>
      </w:r>
      <w:r w:rsidRPr="00CE04FC">
        <w:rPr>
          <w:rFonts w:ascii="Times New Roman" w:eastAsia="Times New Roman" w:hAnsi="Times New Roman" w:cs="Times New Roman"/>
          <w:kern w:val="0"/>
          <w14:ligatures w14:val="none"/>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Pr="00CE04FC">
        <w:rPr>
          <w:rFonts w:ascii="Times New Roman" w:eastAsia="Times New Roman" w:hAnsi="Times New Roman" w:cs="Times New Roman"/>
          <w:kern w:val="0"/>
          <w14:ligatures w14:val="none"/>
        </w:rPr>
        <w:fldChar w:fldCharType="separate"/>
      </w:r>
      <w:r w:rsidRPr="00CE04FC">
        <w:rPr>
          <w:rFonts w:ascii="Times New Roman" w:eastAsia="Times New Roman" w:hAnsi="Times New Roman" w:cs="Times New Roman"/>
          <w:noProof/>
          <w:kern w:val="0"/>
          <w14:ligatures w14:val="none"/>
        </w:rPr>
        <w:t>(Anwar et al., 2024)</w:t>
      </w:r>
      <w:r w:rsidRPr="00CE04FC">
        <w:rPr>
          <w:rFonts w:ascii="Times New Roman" w:eastAsia="Times New Roman" w:hAnsi="Times New Roman" w:cs="Times New Roman"/>
          <w:kern w:val="0"/>
          <w14:ligatures w14:val="none"/>
        </w:rPr>
        <w:fldChar w:fldCharType="end"/>
      </w:r>
      <w:r w:rsidRPr="00CE04FC">
        <w:rPr>
          <w:rFonts w:ascii="Times New Roman" w:eastAsia="Times New Roman" w:hAnsi="Times New Roman" w:cs="Times New Roman"/>
          <w:kern w:val="0"/>
          <w14:ligatures w14:val="none"/>
        </w:rPr>
        <w:t xml:space="preserve">  conducted 4E analysis (energy, exergy environment</w:t>
      </w:r>
      <w:r w:rsidR="00340C7F" w:rsidRPr="00CE04FC">
        <w:rPr>
          <w:rFonts w:ascii="Times New Roman" w:eastAsia="Times New Roman" w:hAnsi="Times New Roman" w:cs="Times New Roman"/>
          <w:kern w:val="0"/>
          <w14:ligatures w14:val="none"/>
        </w:rPr>
        <w:t xml:space="preserve"> and</w:t>
      </w:r>
      <w:r w:rsidRPr="00CE04FC">
        <w:rPr>
          <w:rFonts w:ascii="Times New Roman" w:eastAsia="Times New Roman" w:hAnsi="Times New Roman" w:cs="Times New Roman"/>
          <w:kern w:val="0"/>
          <w14:ligatures w14:val="none"/>
        </w:rPr>
        <w:t xml:space="preserve"> economy) and compared waste heat </w:t>
      </w:r>
      <w:r w:rsidRPr="00CE04FC">
        <w:rPr>
          <w:rFonts w:ascii="Times New Roman" w:eastAsia="Times New Roman" w:hAnsi="Times New Roman" w:cs="Times New Roman"/>
          <w:kern w:val="0"/>
          <w14:ligatures w14:val="none"/>
        </w:rPr>
        <w:lastRenderedPageBreak/>
        <w:t xml:space="preserve">recovery methods in green ammonia plants. It was found that the vapour absorption refrigeration cycle significantly outperforms the Kalina cycle by enhancing energy efficiency by 8%, </w:t>
      </w:r>
      <w:r w:rsidRPr="00CE04FC">
        <w:rPr>
          <w:rFonts w:ascii="Times New Roman" w:hAnsi="Times New Roman" w:cs="Times New Roman"/>
        </w:rPr>
        <w:t xml:space="preserve">improving exergy efficiency by 11%, and quadrupling emission savings, all while maintaining cost-effectiveness. Beyond traditional methods, emerging low-pressure synthesis techniques—including thermochemical looping, solid-state synthesis, and photocatalysis—seek to bypass the energy-intensive Haber–Bosch process. These methods promise reduced energy demand and enhanced integration with variable renewable sources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&lt;EndNote&gt;&lt;Cite&gt;&lt;Author&gt;Klaas&lt;/Author&gt;&lt;Year&gt;2021&lt;/Year&gt;&lt;RecNum&gt;37&lt;/RecNum&gt;&lt;DisplayText&gt;(Klaas et al., 2021)&lt;/DisplayText&gt;&lt;record&gt;&lt;rec-number&gt;37&lt;/rec-number&gt;&lt;foreign-keys&gt;&lt;key app="EN" db-id="0x0z5zxatzat9oe9027xea2pe2we5dee5dez" timestamp="1744831032"&gt;37&lt;/key&gt;&lt;/foreign-keys&gt;&lt;ref-type name="Journal Article"&gt;17&lt;/ref-type&gt;&lt;contributors&gt;&lt;authors&gt;&lt;author&gt;Klaas, Lena&lt;/author&gt;&lt;author&gt;Guban, Dorottya&lt;/author&gt;&lt;author&gt;Roeb, Martin&lt;/author&gt;&lt;author&gt;Sattler, Christian&lt;/author&gt;&lt;/authors&gt;&lt;/contributors&gt;&lt;titles&gt;&lt;title&gt;Recent progress towards solar energy integration into low-pressure green ammonia production technologies&lt;/title&gt;&lt;secondary-title&gt;International Journal of Hydrogen Energy&lt;/secondary-title&gt;&lt;/titles&gt;&lt;periodical&gt;&lt;full-title&gt;International Journal of Hydrogen Energy&lt;/full-title&gt;&lt;/periodical&gt;&lt;pages&gt;25121-25136&lt;/pages&gt;&lt;volume&gt;46&lt;/volume&gt;&lt;number&gt;49&lt;/number&gt;&lt;dates&gt;&lt;year&gt;2021&lt;/year&gt;&lt;/dates&gt;&lt;isbn&gt;0360-3199&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rPr>
        <w:t>(Klaas et al., 2021)</w:t>
      </w:r>
      <w:r w:rsidRPr="00CE04FC">
        <w:rPr>
          <w:rFonts w:ascii="Times New Roman" w:hAnsi="Times New Roman" w:cs="Times New Roman"/>
        </w:rPr>
        <w:fldChar w:fldCharType="end"/>
      </w:r>
      <w:r w:rsidRPr="00CE04FC">
        <w:rPr>
          <w:rFonts w:ascii="Times New Roman" w:hAnsi="Times New Roman" w:cs="Times New Roman"/>
        </w:rPr>
        <w:t xml:space="preserve">. Additionally,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&lt;EndNote&gt;&lt;Cite&gt;&lt;Author&gt;Laimon&lt;/Author&gt;&lt;Year&gt;2024&lt;/Year&gt;&lt;RecNum&gt;36&lt;/RecNum&gt;&lt;DisplayText&gt;(Laimon &amp;amp; Goh, 2024)&lt;/DisplayText&gt;&lt;record&gt;&lt;rec-number&gt;36&lt;/rec-number&gt;&lt;foreign-keys&gt;&lt;key app="EN" db-id="0x0z5zxatzat9oe9027xea2pe2we5dee5dez" timestamp="1744830967"&gt;36&lt;/key&gt;&lt;/foreign-keys&gt;&lt;ref-type name="Journal Article"&gt;17&lt;/ref-type&gt;&lt;contributors&gt;&lt;authors&gt;&lt;author&gt;Laimon, M&lt;/author&gt;&lt;author&gt;Goh, S&lt;/author&gt;&lt;/authors&gt;&lt;/contributors&gt;&lt;titles&gt;&lt;title&gt;Unlocking potential in renewable energy curtailment for green ammonia production&lt;/title&gt;&lt;secondary-title&gt;International Journal of Hydrogen Energy&lt;/secondary-title&gt;&lt;/titles&gt;&lt;periodical&gt;&lt;full-title&gt;International Journal of Hydrogen Energy&lt;/full-title&gt;&lt;/periodical&gt;&lt;pages&gt;964-971&lt;/pages&gt;&lt;volume&gt;71&lt;/volume&gt;&lt;dates&gt;&lt;year&gt;2024&lt;/year&gt;&lt;/dates&gt;&lt;isbn&gt;0360-3199&lt;/isbn&gt;&lt;urls&gt;&lt;/urls&gt;&lt;/record&gt;&lt;/Cite&gt;&lt;/EndNote&gt;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rPr>
        <w:t>Laimon &amp; Goh, 2024</w:t>
      </w:r>
      <w:r w:rsidRPr="00CE04FC">
        <w:rPr>
          <w:rFonts w:ascii="Times New Roman" w:hAnsi="Times New Roman" w:cs="Times New Roman"/>
        </w:rPr>
        <w:fldChar w:fldCharType="end"/>
      </w:r>
      <w:r w:rsidRPr="00CE04FC">
        <w:rPr>
          <w:rFonts w:ascii="Times New Roman" w:hAnsi="Times New Roman" w:cs="Times New Roman"/>
        </w:rPr>
        <w:t xml:space="preserve"> introduced a framework to repurpose curtailed renewable electricity for ammonia synthesis, incorporating capacity factor adjustments and monetising by-products, achieving levelized costs of $1.5/kg for hydrogen and $401/t for ammonia. This strategy not only improves economic feasibility but also enhances grid stability by utilising surplus renewable energy.</w:t>
      </w:r>
      <w:r w:rsidR="00F0425F" w:rsidRPr="00CE04FC">
        <w:rPr>
          <w:rFonts w:ascii="Times New Roman" w:hAnsi="Times New Roman" w:cs="Times New Roman"/>
        </w:rPr>
        <w:t xml:space="preserve"> </w:t>
      </w:r>
      <w:r w:rsidR="005F7991" w:rsidRPr="00CE04FC">
        <w:rPr>
          <w:rFonts w:ascii="Times New Roman" w:hAnsi="Times New Roman" w:cs="Times New Roman"/>
        </w:rPr>
        <w:t>While the economics and efficiency of green ammonia production have been widely studied, the impacts of uncertainties on economic outcomes and plant performance remain largely unexplored.</w:t>
      </w:r>
    </w:p>
    <w:p w14:paraId="3B38CFBA" w14:textId="3B9FAECB" w:rsidR="008747FF" w:rsidRPr="00CE04FC" w:rsidRDefault="008747FF" w:rsidP="00C47A2D">
      <w:pPr>
        <w:autoSpaceDE w:val="0"/>
        <w:autoSpaceDN w:val="0"/>
        <w:adjustRightInd w:val="0"/>
        <w:spacing w:before="240" w:line="240" w:lineRule="auto"/>
        <w:contextualSpacing/>
        <w:jc w:val="both"/>
        <w:rPr>
          <w:rFonts w:ascii="Times New Roman" w:eastAsia="Times New Roman" w:hAnsi="Times New Roman" w:cs="Times New Roman"/>
          <w:kern w:val="0"/>
          <w14:ligatures w14:val="none"/>
        </w:rPr>
      </w:pPr>
      <w:r w:rsidRPr="00CE04FC">
        <w:rPr>
          <w:rFonts w:ascii="Times New Roman" w:hAnsi="Times New Roman" w:cs="Times New Roman"/>
        </w:rPr>
        <w:t>Machine Learning (ML) has further accelerated innovation in green ammonia production, enabling efficient processing of high-dimensional data, optimising plant performance, and supporting real-time decision-making</w:t>
      </w:r>
      <w:r w:rsidR="00D84D04" w:rsidRPr="00CE04FC">
        <w:rPr>
          <w:rFonts w:ascii="Times New Roman" w:hAnsi="Times New Roman" w:cs="Times New Roman"/>
        </w:rPr>
        <w:t xml:space="preserve"> </w:t>
      </w:r>
      <w:r w:rsidR="00883CB3" w:rsidRPr="00CE04FC">
        <w:rPr>
          <w:rFonts w:ascii="Times New Roman" w:hAnsi="Times New Roman" w:cs="Times New Roman"/>
        </w:rPr>
        <w:fldChar w:fldCharType="begin">
          <w:fldData xml:space="preserve">PEVuZE5vdGU+PENpdGU+PEF1dGhvcj5TYXJrZXI8L0F1dGhvcj48WWVhcj4yMDIxPC9ZZWFyPjxS
ZWNOdW0+ODQ8L1JlY051bT48RGlzcGxheVRleHQ+KFNhcmtlciwgMjAyMTsgWmFraSBldCBhbC4s
IDIwMjQ7IFpoYW5nICZhbXA7IEppYW5nLCAyMDE4KTwvRGlzcGxheVRleHQ+PHJlY29yZD48cmVj
LW51bWJlcj44NDwvcmVjLW51bWJlcj48Zm9yZWlnbi1rZXlzPjxrZXkgYXBwPSJFTiIgZGItaWQ9
IjB4MHo1enhhdHphdDlvZTkwMjd4ZWEycGUyd2U1ZGVlNWRleiIgdGltZXN0YW1wPSIxNzQ2ODE2
NjY2Ij44NDwva2V5PjwvZm9yZWlnbi1rZXlzPjxyZWYtdHlwZSBuYW1lPSJKb3VybmFsIEFydGlj
bGUiPjE3PC9yZWYtdHlwZT48Y29udHJpYnV0b3JzPjxhdXRob3JzPjxhdXRob3I+U2Fya2VyLCBJ
cWJhbCBIPC9hdXRob3I+PC9hdXRob3JzPjwvY29udHJpYnV0b3JzPjx0aXRsZXM+PHRpdGxlPk1h
Y2hpbmUgbGVhcm5pbmc6IEFsZ29yaXRobXMsIHJlYWwtd29ybGQgYXBwbGljYXRpb25zIGFuZCBy
ZXNlYXJjaCBkaXJlY3Rpb25zPC90aXRsZT48c2Vjb25kYXJ5LXRpdGxlPlNOIGNvbXB1dGVyIHNj
aWVuY2U8L3NlY29uZGFyeS10aXRsZT48L3RpdGxlcz48cGVyaW9kaWNhbD48ZnVsbC10aXRsZT5T
TiBjb21wdXRlciBzY2llbmNlPC9mdWxsLXRpdGxlPjwvcGVyaW9kaWNhbD48cGFnZXM+MTYwPC9w
YWdlcz48dm9sdW1lPjI8L3ZvbHVtZT48bnVtYmVyPjM8L251bWJlcj48ZGF0ZXM+PHllYXI+MjAy
MTwveWVhcj48L2RhdGVzPjxpc2JuPjI2NjItOTk1WDwvaXNibj48dXJscz48L3VybHM+PC9yZWNv
cmQ+PC9DaXRlPjxDaXRlPjxBdXRob3I+Wmhhbmc8L0F1dGhvcj48WWVhcj4yMDE4PC9ZZWFyPjxS
ZWNOdW0+ODM8L1JlY051bT48cmVjb3JkPjxyZWMtbnVtYmVyPjgzPC9yZWMtbnVtYmVyPjxmb3Jl
aWduLWtleXM+PGtleSBhcHA9IkVOIiBkYi1pZD0iMHgwejV6eGF0emF0OW9lOTAyN3hlYTJwZTJ3
ZTVkZWU1ZGV6IiB0aW1lc3RhbXA9IjE3NDY4MTY1NjMiPjgzPC9rZXk+PC9mb3JlaWduLWtleXM+
PHJlZi10eXBlIG5hbWU9IkpvdXJuYWwgQXJ0aWNsZSI+MTc8L3JlZi10eXBlPjxjb250cmlidXRv
cnM+PGF1dGhvcnM+PGF1dGhvcj5aaGFuZywgS2FpPC9hdXRob3I+PGF1dGhvcj5KaWFuZywgWGk8
L2F1dGhvcj48L2F1dGhvcnM+PC9jb250cmlidXRvcnM+PHRpdGxlcz48dGl0bGU+QW4gaW52ZXN0
aWdhdGlvbiBvZiBmdWVsIHZhcmlhYmlsaXR5IGVmZmVjdCBvbiBiaW8tc3luZ2FzIGNvbWJ1c3Rp
b24gdXNpbmcgdW5jZXJ0YWludHkgcXVhbnRpZmljYXRpb248L3RpdGxlPjxzZWNvbmRhcnktdGl0
bGU+RnVlbDwvc2Vjb25kYXJ5LXRpdGxlPjwvdGl0bGVzPjxwZXJpb2RpY2FsPjxmdWxsLXRpdGxl
PkZ1ZWw8L2Z1bGwtdGl0bGU+PC9wZXJpb2RpY2FsPjxwYWdlcz4yODMtMjk1PC9wYWdlcz48dm9s
dW1lPjIyMDwvdm9sdW1lPjxkYXRlcz48eWVhcj4yMDE4PC95ZWFyPjwvZGF0ZXM+PGlzYm4+MDAx
Ni0yMzYxPC9pc2JuPjx1cmxzPjwvdXJscz48L3JlY29yZD48L0NpdGU+PENpdGU+PEF1dGhvcj5a
YWtpPC9BdXRob3I+PFllYXI+MjAyNDwvWWVhcj48UmVjTnVtPjgyPC9SZWNOdW0+PHJlY29yZD48
cmVjLW51bWJlcj44MjwvcmVjLW51bWJlcj48Zm9yZWlnbi1rZXlzPjxrZXkgYXBwPSJFTiIgZGIt
aWQ9IjB4MHo1enhhdHphdDlvZTkwMjd4ZWEycGUyd2U1ZGVlNWRleiIgdGltZXN0YW1wPSIxNzQ2
ODE2NTI3Ij44Mjwva2V5PjwvZm9yZWlnbi1rZXlzPjxyZWYtdHlwZSBuYW1lPSJKb3VybmFsIEFy
dGljbGUiPjE3PC9yZWYtdHlwZT48Y29udHJpYnV0b3JzPjxhdXRob3JzPjxhdXRob3I+WmFraSwg
QXNocmFmIE08L2F1dGhvcj48YXV0aG9yPlpheWVkLCBNb2hhbWVkIEU8L2F1dGhvcj48YXV0aG9y
PkFsaGVtcywgTHVhaSBNPC9hdXRob3I+PC9hdXRob3JzPjwvY29udHJpYnV0b3JzPjx0aXRsZXM+
PHRpdGxlPkxldmVyYWdpbmcgbWFjaGluZSBsZWFybmluZyB0ZWNobmlxdWVzIGFuZCBpbi1zaXR1
IG1lYXN1cmVtZW50cyBmb3IgcHJlY2lzZSBwcmVkaWN0aW5nIHRoZSBlbmVyZ3kgcGVyZm9ybWFu
Y2Ugb2YgcmVnZW5lcmF0aXZlIGNvdW50ZXItZmxvdyBpbmRpcmVjdCBldmFwb3JhdGl2ZSBjb29s
ZXIgaW4gYSBzZW1pLWFyaWQgY2xpbWF0ZSBidWlsZGluZzwvdGl0bGU+PHNlY29uZGFyeS10aXRs
ZT5Kb3VybmFsIG9mIEJ1aWxkaW5nIEVuZ2luZWVyaW5nPC9zZWNvbmRhcnktdGl0bGU+PC90aXRs
ZXM+PHBlcmlvZGljYWw+PGZ1bGwtdGl0bGU+Sm91cm5hbCBvZiBCdWlsZGluZyBFbmdpbmVlcmlu
ZzwvZnVsbC10aXRsZT48L3BlcmlvZGljYWw+PHBhZ2VzPjExMDMxODwvcGFnZXM+PHZvbHVtZT45
NTwvdm9sdW1lPjxkYXRlcz48eWVhcj4yMDI0PC95ZWFyPjwvZGF0ZXM+PGlzYm4+MjM1Mi03MTAy
PC9pc2JuPjx1cmxzPjwvdXJscz48L3JlY29yZD48L0NpdGU+PC9FbmROb3RlPn==
</w:fldData>
        </w:fldChar>
      </w:r>
      <w:r w:rsidR="00883CB3" w:rsidRPr="00CE04FC">
        <w:rPr>
          <w:rFonts w:ascii="Times New Roman" w:hAnsi="Times New Roman" w:cs="Times New Roman"/>
        </w:rPr>
        <w:instrText xml:space="preserve"> ADDIN EN.CITE </w:instrText>
      </w:r>
      <w:r w:rsidR="00883CB3" w:rsidRPr="00CE04FC">
        <w:rPr>
          <w:rFonts w:ascii="Times New Roman" w:hAnsi="Times New Roman" w:cs="Times New Roman"/>
        </w:rPr>
        <w:fldChar w:fldCharType="begin">
          <w:fldData xml:space="preserve">PEVuZE5vdGU+PENpdGU+PEF1dGhvcj5TYXJrZXI8L0F1dGhvcj48WWVhcj4yMDIxPC9ZZWFyPjxS
ZWNOdW0+ODQ8L1JlY051bT48RGlzcGxheVRleHQ+KFNhcmtlciwgMjAyMTsgWmFraSBldCBhbC4s
IDIwMjQ7IFpoYW5nICZhbXA7IEppYW5nLCAyMDE4KTwvRGlzcGxheVRleHQ+PHJlY29yZD48cmVj
LW51bWJlcj44NDwvcmVjLW51bWJlcj48Zm9yZWlnbi1rZXlzPjxrZXkgYXBwPSJFTiIgZGItaWQ9
IjB4MHo1enhhdHphdDlvZTkwMjd4ZWEycGUyd2U1ZGVlNWRleiIgdGltZXN0YW1wPSIxNzQ2ODE2
NjY2Ij44NDwva2V5PjwvZm9yZWlnbi1rZXlzPjxyZWYtdHlwZSBuYW1lPSJKb3VybmFsIEFydGlj
bGUiPjE3PC9yZWYtdHlwZT48Y29udHJpYnV0b3JzPjxhdXRob3JzPjxhdXRob3I+U2Fya2VyLCBJ
cWJhbCBIPC9hdXRob3I+PC9hdXRob3JzPjwvY29udHJpYnV0b3JzPjx0aXRsZXM+PHRpdGxlPk1h
Y2hpbmUgbGVhcm5pbmc6IEFsZ29yaXRobXMsIHJlYWwtd29ybGQgYXBwbGljYXRpb25zIGFuZCBy
ZXNlYXJjaCBkaXJlY3Rpb25zPC90aXRsZT48c2Vjb25kYXJ5LXRpdGxlPlNOIGNvbXB1dGVyIHNj
aWVuY2U8L3NlY29uZGFyeS10aXRsZT48L3RpdGxlcz48cGVyaW9kaWNhbD48ZnVsbC10aXRsZT5T
TiBjb21wdXRlciBzY2llbmNlPC9mdWxsLXRpdGxlPjwvcGVyaW9kaWNhbD48cGFnZXM+MTYwPC9w
YWdlcz48dm9sdW1lPjI8L3ZvbHVtZT48bnVtYmVyPjM8L251bWJlcj48ZGF0ZXM+PHllYXI+MjAy
MTwveWVhcj48L2RhdGVzPjxpc2JuPjI2NjItOTk1WDwvaXNibj48dXJscz48L3VybHM+PC9yZWNv
cmQ+PC9DaXRlPjxDaXRlPjxBdXRob3I+Wmhhbmc8L0F1dGhvcj48WWVhcj4yMDE4PC9ZZWFyPjxS
ZWNOdW0+ODM8L1JlY051bT48cmVjb3JkPjxyZWMtbnVtYmVyPjgzPC9yZWMtbnVtYmVyPjxmb3Jl
aWduLWtleXM+PGtleSBhcHA9IkVOIiBkYi1pZD0iMHgwejV6eGF0emF0OW9lOTAyN3hlYTJwZTJ3
ZTVkZWU1ZGV6IiB0aW1lc3RhbXA9IjE3NDY4MTY1NjMiPjgzPC9rZXk+PC9mb3JlaWduLWtleXM+
PHJlZi10eXBlIG5hbWU9IkpvdXJuYWwgQXJ0aWNsZSI+MTc8L3JlZi10eXBlPjxjb250cmlidXRv
cnM+PGF1dGhvcnM+PGF1dGhvcj5aaGFuZywgS2FpPC9hdXRob3I+PGF1dGhvcj5KaWFuZywgWGk8
L2F1dGhvcj48L2F1dGhvcnM+PC9jb250cmlidXRvcnM+PHRpdGxlcz48dGl0bGU+QW4gaW52ZXN0
aWdhdGlvbiBvZiBmdWVsIHZhcmlhYmlsaXR5IGVmZmVjdCBvbiBiaW8tc3luZ2FzIGNvbWJ1c3Rp
b24gdXNpbmcgdW5jZXJ0YWludHkgcXVhbnRpZmljYXRpb248L3RpdGxlPjxzZWNvbmRhcnktdGl0
bGU+RnVlbDwvc2Vjb25kYXJ5LXRpdGxlPjwvdGl0bGVzPjxwZXJpb2RpY2FsPjxmdWxsLXRpdGxl
PkZ1ZWw8L2Z1bGwtdGl0bGU+PC9wZXJpb2RpY2FsPjxwYWdlcz4yODMtMjk1PC9wYWdlcz48dm9s
dW1lPjIyMDwvdm9sdW1lPjxkYXRlcz48eWVhcj4yMDE4PC95ZWFyPjwvZGF0ZXM+PGlzYm4+MDAx
Ni0yMzYxPC9pc2JuPjx1cmxzPjwvdXJscz48L3JlY29yZD48L0NpdGU+PENpdGU+PEF1dGhvcj5a
YWtpPC9BdXRob3I+PFllYXI+MjAyNDwvWWVhcj48UmVjTnVtPjgyPC9SZWNOdW0+PHJlY29yZD48
cmVjLW51bWJlcj44MjwvcmVjLW51bWJlcj48Zm9yZWlnbi1rZXlzPjxrZXkgYXBwPSJFTiIgZGIt
aWQ9IjB4MHo1enhhdHphdDlvZTkwMjd4ZWEycGUyd2U1ZGVlNWRleiIgdGltZXN0YW1wPSIxNzQ2
ODE2NTI3Ij44Mjwva2V5PjwvZm9yZWlnbi1rZXlzPjxyZWYtdHlwZSBuYW1lPSJKb3VybmFsIEFy
dGljbGUiPjE3PC9yZWYtdHlwZT48Y29udHJpYnV0b3JzPjxhdXRob3JzPjxhdXRob3I+WmFraSwg
QXNocmFmIE08L2F1dGhvcj48YXV0aG9yPlpheWVkLCBNb2hhbWVkIEU8L2F1dGhvcj48YXV0aG9y
PkFsaGVtcywgTHVhaSBNPC9hdXRob3I+PC9hdXRob3JzPjwvY29udHJpYnV0b3JzPjx0aXRsZXM+
PHRpdGxlPkxldmVyYWdpbmcgbWFjaGluZSBsZWFybmluZyB0ZWNobmlxdWVzIGFuZCBpbi1zaXR1
IG1lYXN1cmVtZW50cyBmb3IgcHJlY2lzZSBwcmVkaWN0aW5nIHRoZSBlbmVyZ3kgcGVyZm9ybWFu
Y2Ugb2YgcmVnZW5lcmF0aXZlIGNvdW50ZXItZmxvdyBpbmRpcmVjdCBldmFwb3JhdGl2ZSBjb29s
ZXIgaW4gYSBzZW1pLWFyaWQgY2xpbWF0ZSBidWlsZGluZzwvdGl0bGU+PHNlY29uZGFyeS10aXRs
ZT5Kb3VybmFsIG9mIEJ1aWxkaW5nIEVuZ2luZWVyaW5nPC9zZWNvbmRhcnktdGl0bGU+PC90aXRs
ZXM+PHBlcmlvZGljYWw+PGZ1bGwtdGl0bGU+Sm91cm5hbCBvZiBCdWlsZGluZyBFbmdpbmVlcmlu
ZzwvZnVsbC10aXRsZT48L3BlcmlvZGljYWw+PHBhZ2VzPjExMDMxODwvcGFnZXM+PHZvbHVtZT45
NTwvdm9sdW1lPjxkYXRlcz48eWVhcj4yMDI0PC95ZWFyPjwvZGF0ZXM+PGlzYm4+MjM1Mi03MTAy
PC9pc2JuPjx1cmxzPjwvdXJscz48L3JlY29yZD48L0NpdGU+PC9FbmROb3RlPn==
</w:fldData>
        </w:fldChar>
      </w:r>
      <w:r w:rsidR="00883CB3" w:rsidRPr="00CE04FC">
        <w:rPr>
          <w:rFonts w:ascii="Times New Roman" w:hAnsi="Times New Roman" w:cs="Times New Roman"/>
        </w:rPr>
        <w:instrText xml:space="preserve"> ADDIN EN.CITE.DATA </w:instrText>
      </w:r>
      <w:r w:rsidR="00883CB3" w:rsidRPr="00CE04FC">
        <w:rPr>
          <w:rFonts w:ascii="Times New Roman" w:hAnsi="Times New Roman" w:cs="Times New Roman"/>
        </w:rPr>
      </w:r>
      <w:r w:rsidR="00883CB3" w:rsidRPr="00CE04FC">
        <w:rPr>
          <w:rFonts w:ascii="Times New Roman" w:hAnsi="Times New Roman" w:cs="Times New Roman"/>
        </w:rPr>
        <w:fldChar w:fldCharType="end"/>
      </w:r>
      <w:r w:rsidR="00883CB3" w:rsidRPr="00CE04FC">
        <w:rPr>
          <w:rFonts w:ascii="Times New Roman" w:hAnsi="Times New Roman" w:cs="Times New Roman"/>
        </w:rPr>
      </w:r>
      <w:r w:rsidR="00883CB3" w:rsidRPr="00CE04FC">
        <w:rPr>
          <w:rFonts w:ascii="Times New Roman" w:hAnsi="Times New Roman" w:cs="Times New Roman"/>
        </w:rPr>
        <w:fldChar w:fldCharType="separate"/>
      </w:r>
      <w:r w:rsidR="00883CB3" w:rsidRPr="00CE04FC">
        <w:rPr>
          <w:rFonts w:ascii="Times New Roman" w:hAnsi="Times New Roman" w:cs="Times New Roman"/>
        </w:rPr>
        <w:t>(Sarker, 2021; Zaki et al., 2024; Zhang &amp; Jiang, 2018)</w:t>
      </w:r>
      <w:r w:rsidR="00883CB3" w:rsidRPr="00CE04FC">
        <w:rPr>
          <w:rFonts w:ascii="Times New Roman" w:hAnsi="Times New Roman" w:cs="Times New Roman"/>
        </w:rPr>
        <w:fldChar w:fldCharType="end"/>
      </w:r>
      <w:r w:rsidR="00AF6735" w:rsidRPr="00CE04FC">
        <w:rPr>
          <w:rFonts w:ascii="Times New Roman" w:hAnsi="Times New Roman" w:cs="Times New Roman"/>
        </w:rPr>
        <w:t>.</w:t>
      </w:r>
      <w:r w:rsidRPr="00CE04FC">
        <w:rPr>
          <w:rFonts w:ascii="Times New Roman" w:hAnsi="Times New Roman" w:cs="Times New Roman"/>
        </w:rPr>
        <w:t xml:space="preserve"> ML-driven models have been instrumental in predicting energy consumption, detecting inefficiencies, and suggesting corrective strategies that lead to cost savings and emission reductions </w:t>
      </w:r>
      <w:r w:rsidRPr="00CE04FC">
        <w:rPr>
          <w:rFonts w:ascii="Times New Roman" w:hAnsi="Times New Roman" w:cs="Times New Roman"/>
        </w:rPr>
        <w:fldChar w:fldCharType="begin"/>
      </w:r>
      <w:r w:rsidR="006C5681" w:rsidRPr="00CE04FC">
        <w:rPr>
          <w:rFonts w:ascii="Times New Roman" w:hAnsi="Times New Roman" w:cs="Times New Roman"/>
        </w:rPr>
        <w:instrText xml:space="preserve"> ADDIN EN.CITE &lt;EndNote&gt;&lt;Cite&gt;&lt;Author&gt;El-Maghraby&lt;/Author&gt;&lt;Year&gt;2024&lt;/Year&gt;&lt;RecNum&gt;57&lt;/RecNum&gt;&lt;DisplayText&gt;(El-Maghraby et al., 2024; Qaiyum et al., 2025)&lt;/DisplayText&gt;&lt;record&gt;&lt;rec-number&gt;57&lt;/rec-number&gt;&lt;foreign-keys&gt;&lt;key app="EN" db-id="0x0z5zxatzat9oe9027xea2pe2we5dee5dez" timestamp="1745345741"&gt;57&lt;/key&gt;&lt;/foreign-keys&gt;&lt;ref-type name="Journal Article"&gt;17&lt;/ref-type&gt;&lt;contributors&gt;&lt;authors&gt;&lt;author&gt;El-Maghraby, Rehab M&lt;/author&gt;&lt;author&gt;Mohamed, Ahmed Y&lt;/author&gt;&lt;author&gt;Hassanean, MHM&lt;/author&gt;&lt;/authors&gt;&lt;/contributors&gt;&lt;titles&gt;&lt;title&gt;Improving energy efficiency in ammonia production plants using machine learning&lt;/title&gt;&lt;secondary-title&gt;Fuel&lt;/secondary-title&gt;&lt;/titles&gt;&lt;periodical&gt;&lt;full-title&gt;Fuel&lt;/full-title&gt;&lt;/periodical&gt;&lt;pages&gt;130910&lt;/pages&gt;&lt;volume&gt;363&lt;/volume&gt;&lt;dates&gt;&lt;year&gt;2024&lt;/year&gt;&lt;/dates&gt;&lt;isbn&gt;0016-2361&lt;/isbn&gt;&lt;urls&gt;&lt;/urls&gt;&lt;/record&gt;&lt;/Cite&gt;&lt;Cite&gt;&lt;Author&gt;Qaiyum&lt;/Author&gt;&lt;Year&gt;2025&lt;/Year&gt;&lt;RecNum&gt;95&lt;/RecNum&gt;&lt;record&gt;&lt;rec-number&gt;95&lt;/rec-number&gt;&lt;foreign-keys&gt;&lt;key app="EN" db-id="0x0z5zxatzat9oe9027xea2pe2we5dee5dez" timestamp="1754305793"&gt;95&lt;/key&gt;&lt;/foreign-keys&gt;&lt;ref-type name="Journal Article"&gt;17&lt;/ref-type&gt;&lt;contributors&gt;&lt;authors&gt;&lt;author&gt;Qaiyum, Sana&lt;/author&gt;&lt;author&gt;Irshad, Kashif&lt;/author&gt;&lt;author&gt;Zayed, Mohamed E&lt;/author&gt;&lt;author&gt;Algarni, Salem&lt;/author&gt;&lt;author&gt;Alqahtani, Talal&lt;/author&gt;&lt;author&gt;Khan, Asif Irshad&lt;/author&gt;&lt;/authors&gt;&lt;/contributors&gt;&lt;titles&gt;&lt;title&gt;Benchmarking Reinforcement Learning and Accurate Modeling of Ground Source Heat Pump Systems: Intelligent Strategy Using Spiking Recurrent Neural Network Combined with Spider Wasp Inspired Optimization Algorithm&lt;/title&gt;&lt;secondary-title&gt;Results in Engineering&lt;/secondary-title&gt;&lt;/titles&gt;&lt;periodical&gt;&lt;full-title&gt;Results in Engineering&lt;/full-title&gt;&lt;/periodical&gt;&lt;pages&gt;105724&lt;/pages&gt;&lt;dates&gt;&lt;year&gt;2025&lt;/year&gt;&lt;/dates&gt;&lt;isbn&gt;2590-1230&lt;/isbn&gt;&lt;urls&gt;&lt;/urls&gt;&lt;/record&gt;&lt;/Cite&gt;&lt;/EndNote&gt;</w:instrText>
      </w:r>
      <w:r w:rsidRPr="00CE04FC">
        <w:rPr>
          <w:rFonts w:ascii="Times New Roman" w:hAnsi="Times New Roman" w:cs="Times New Roman"/>
        </w:rPr>
        <w:fldChar w:fldCharType="separate"/>
      </w:r>
      <w:r w:rsidR="006C5681" w:rsidRPr="00CE04FC">
        <w:rPr>
          <w:rFonts w:ascii="Times New Roman" w:hAnsi="Times New Roman" w:cs="Times New Roman"/>
          <w:noProof/>
        </w:rPr>
        <w:t>(El-Maghraby et al., 2024; Qaiyum et al., 2025)</w:t>
      </w:r>
      <w:r w:rsidRPr="00CE04FC">
        <w:rPr>
          <w:rFonts w:ascii="Times New Roman" w:hAnsi="Times New Roman" w:cs="Times New Roman"/>
        </w:rPr>
        <w:fldChar w:fldCharType="end"/>
      </w:r>
      <w:r w:rsidRPr="00CE04FC">
        <w:rPr>
          <w:rFonts w:ascii="Times New Roman" w:hAnsi="Times New Roman" w:cs="Times New Roman"/>
        </w:rPr>
        <w:t xml:space="preserve">. Advanced optimisation frameworks and hybrid systems—such as geothermal-biomass co-production—have demonstrated improved ammonia yields and reduced environmental footprints </w:t>
      </w:r>
      <w:r w:rsidRPr="00CE04FC">
        <w:rPr>
          <w:rFonts w:ascii="Times New Roman" w:hAnsi="Times New Roman" w:cs="Times New Roman"/>
        </w:rPr>
        <w:fldChar w:fldCharType="begin"/>
      </w:r>
      <w:r w:rsidR="00CC5B81" w:rsidRPr="00CE04FC">
        <w:rPr>
          <w:rFonts w:ascii="Times New Roman" w:hAnsi="Times New Roman" w:cs="Times New Roman"/>
        </w:rPr>
        <w:instrText xml:space="preserve"> ADDIN EN.CITE &lt;EndNote&gt;&lt;Cite&gt;&lt;Author&gt;Yin&lt;/Author&gt;&lt;Year&gt;2024&lt;/Year&gt;&lt;RecNum&gt;54&lt;/RecNum&gt;&lt;DisplayText&gt;(Yin, 2024; Zayed et al., 2025)&lt;/DisplayText&gt;&lt;record&gt;&lt;rec-number&gt;54&lt;/rec-number&gt;&lt;foreign-keys&gt;&lt;key app="EN" db-id="0x0z5zxatzat9oe9027xea2pe2we5dee5dez" timestamp="1745345313"&gt;54&lt;/key&gt;&lt;/foreign-keys&gt;&lt;ref-type name="Journal Article"&gt;17&lt;/ref-type&gt;&lt;contributors&gt;&lt;authors&gt;&lt;author&gt;Yin, Nan&lt;/author&gt;&lt;/authors&gt;&lt;/contributors&gt;&lt;titles&gt;&lt;title&gt;Enhancing energy efficiency and reducing emissions in a novel biomass-geothermal hybrid system for hydrogen/ammonia production using machine learning and multi-level heat recovery&lt;/title&gt;&lt;secondary-title&gt;International Journal of Hydrogen Energy&lt;/secondary-title&gt;&lt;/titles&gt;&lt;periodical&gt;&lt;full-title&gt;International Journal of Hydrogen Energy&lt;/full-title&gt;&lt;/periodical&gt;&lt;pages&gt;959-974&lt;/pages&gt;&lt;volume&gt;92&lt;/volume&gt;&lt;dates&gt;&lt;year&gt;2024&lt;/year&gt;&lt;/dates&gt;&lt;isbn&gt;0360-3199&lt;/isbn&gt;&lt;urls&gt;&lt;/urls&gt;&lt;/record&gt;&lt;/Cite&gt;&lt;Cite&gt;&lt;Author&gt;Zayed&lt;/Author&gt;&lt;Year&gt;2025&lt;/Year&gt;&lt;RecNum&gt;96&lt;/RecNum&gt;&lt;record&gt;&lt;rec-number&gt;96&lt;/rec-number&gt;&lt;foreign-keys&gt;&lt;key app="EN" db-id="0x0z5zxatzat9oe9027xea2pe2we5dee5dez" timestamp="1754305855"&gt;96&lt;/key&gt;&lt;/foreign-keys&gt;&lt;ref-type name="Journal Article"&gt;17&lt;/ref-type&gt;&lt;contributors&gt;&lt;authors&gt;&lt;author&gt;Zayed, Mohamed E&lt;/author&gt;&lt;author&gt;Rehman, Shafiqur&lt;/author&gt;&lt;author&gt;Elgendy, Ibrahim A&lt;/author&gt;&lt;author&gt;Al-Shaikhi, Ali&lt;/author&gt;&lt;author&gt;Mohandes, Mohamed A&lt;/author&gt;&lt;author&gt;Irshad, Kashif&lt;/author&gt;&lt;author&gt;Abdelrazik, AS&lt;/author&gt;&lt;author&gt;Alam, Mohamed Azad&lt;/author&gt;&lt;/authors&gt;&lt;/contributors&gt;&lt;titles&gt;&lt;title&gt;Benchmarking reinforcement learning and prototyping development of floating solar power system: Experimental study and LSTM modeling combined with brown-bear optimization algorithm&lt;/title&gt;&lt;secondary-title&gt;Energy Conversion and Management&lt;/secondary-title&gt;&lt;/titles&gt;&lt;periodical&gt;&lt;full-title&gt;Energy Conversion and Management&lt;/full-title&gt;&lt;/periodical&gt;&lt;pages&gt;119696&lt;/pages&gt;&lt;volume&gt;332&lt;/volume&gt;&lt;dates&gt;&lt;year&gt;2025&lt;/year&gt;&lt;/dates&gt;&lt;isbn&gt;0196-8904&lt;/isbn&gt;&lt;urls&gt;&lt;/urls&gt;&lt;/record&gt;&lt;/Cite&gt;&lt;/EndNote&gt;</w:instrText>
      </w:r>
      <w:r w:rsidRPr="00CE04FC">
        <w:rPr>
          <w:rFonts w:ascii="Times New Roman" w:hAnsi="Times New Roman" w:cs="Times New Roman"/>
        </w:rPr>
        <w:fldChar w:fldCharType="separate"/>
      </w:r>
      <w:r w:rsidR="00CC5B81" w:rsidRPr="00CE04FC">
        <w:rPr>
          <w:rFonts w:ascii="Times New Roman" w:hAnsi="Times New Roman" w:cs="Times New Roman"/>
          <w:noProof/>
        </w:rPr>
        <w:t>(Yin, 2024; Zayed et al., 2025)</w:t>
      </w:r>
      <w:r w:rsidRPr="00CE04FC">
        <w:rPr>
          <w:rFonts w:ascii="Times New Roman" w:hAnsi="Times New Roman" w:cs="Times New Roman"/>
        </w:rPr>
        <w:fldChar w:fldCharType="end"/>
      </w:r>
      <w:r w:rsidRPr="00CE04FC">
        <w:rPr>
          <w:rFonts w:ascii="Times New Roman" w:hAnsi="Times New Roman" w:cs="Times New Roman"/>
        </w:rPr>
        <w:t xml:space="preserve">. Moreover, deep learning and physics-informed modelling have shown strong potential in optimising reactor configurations and understanding reaction kinetics, offering scalable solutions for process enhancement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&lt;EndNote&gt;&lt;Cite&gt;&lt;Author&gt;Deng&lt;/Author&gt;&lt;Year&gt;2024&lt;/Year&gt;&lt;RecNum&gt;56&lt;/RecNum&gt;&lt;DisplayText&gt;(Deng et al., 2024; Park et al., 2025)&lt;/DisplayText&gt;&lt;record&gt;&lt;rec-number&gt;56&lt;/rec-number&gt;&lt;foreign-keys&gt;&lt;key app="EN" db-id="0x0z5zxatzat9oe9027xea2pe2we5dee5dez" timestamp="1745345702"&gt;56&lt;/key&gt;&lt;/foreign-keys&gt;&lt;ref-type name="Journal Article"&gt;17&lt;/ref-type&gt;&lt;contributors&gt;&lt;authors&gt;&lt;author&gt;Deng, Zhihua&lt;/author&gt;&lt;author&gt;Zhang, Lan&lt;/author&gt;&lt;author&gt;Miao, Bin&lt;/author&gt;&lt;author&gt;Liu, Qinglin&lt;/author&gt;&lt;author&gt;Pan, Zehua&lt;/author&gt;&lt;author&gt;Zhang, Weike&lt;/author&gt;&lt;author&gt;Ding, Ovi Lian&lt;/author&gt;&lt;author&gt;Chan, Siew Hwa&lt;/author&gt;&lt;/authors&gt;&lt;/contributors&gt;&lt;titles&gt;&lt;title&gt;A novel combination of machine learning and intelligent optimization algorithm for modeling and optimization of green ammonia synthesis&lt;/title&gt;&lt;secondary-title&gt;Energy Conversion and Management&lt;/secondary-title&gt;&lt;/titles&gt;&lt;periodical&gt;&lt;full-title&gt;Energy Conversion and Management&lt;/full-title&gt;&lt;/periodical&gt;&lt;pages&gt;118429&lt;/pages&gt;&lt;volume&gt;311&lt;/volume&gt;&lt;dates&gt;&lt;year&gt;2024&lt;/year&gt;&lt;/dates&gt;&lt;isbn&gt;0196-8904&lt;/isbn&gt;&lt;urls&gt;&lt;/urls&gt;&lt;/record&gt;&lt;/Cite&gt;&lt;Cite&gt;&lt;Author&gt;Park&lt;/Author&gt;&lt;Year&gt;2025&lt;/Year&gt;&lt;RecNum&gt;59&lt;/RecNum&gt;&lt;record&gt;&lt;rec-number&gt;59&lt;/rec-number&gt;&lt;foreign-keys&gt;&lt;key app="EN" db-id="0x0z5zxatzat9oe9027xea2pe2we5dee5dez" timestamp="1745345927"&gt;59&lt;/key&gt;&lt;/foreign-keys&gt;&lt;ref-type name="Journal Article"&gt;17&lt;/ref-type&gt;&lt;contributors&gt;&lt;authors&gt;&lt;author&gt;Park, Jingyu&lt;/author&gt;&lt;author&gt;Gbadago, Dela Quarme&lt;/author&gt;&lt;author&gt;Mori, Shinsuke&lt;/author&gt;&lt;author&gt;Hwang, Sungwon&lt;/author&gt;&lt;/authors&gt;&lt;/contributors&gt;&lt;titles&gt;&lt;title&gt;Renewable ammonia synthesis via experiments and optimization using periodic operation and machine learning integrated approaches&lt;/title&gt;&lt;secondary-title&gt;Energy Conversion and Management&lt;/secondary-title&gt;&lt;/titles&gt;&lt;periodical&gt;&lt;full-title&gt;Energy Conversion and Management&lt;/full-title&gt;&lt;/periodical&gt;&lt;pages&gt;119286&lt;/pages&gt;&lt;volume&gt;324&lt;/volume&gt;&lt;dates&gt;&lt;year&gt;2025&lt;/year&gt;&lt;/dates&gt;&lt;isbn&gt;0196-8904&lt;/isbn&gt;&lt;urls&gt;&lt;/urls&gt;&lt;/record&gt;&lt;/Cite&gt;&lt;/EndNote&gt;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rPr>
        <w:t>(Deng et al., 2024; Park et al., 2025)</w:t>
      </w:r>
      <w:r w:rsidRPr="00CE04FC">
        <w:rPr>
          <w:rFonts w:ascii="Times New Roman" w:hAnsi="Times New Roman" w:cs="Times New Roman"/>
        </w:rPr>
        <w:fldChar w:fldCharType="end"/>
      </w:r>
      <w:r w:rsidRPr="00CE04FC">
        <w:rPr>
          <w:rFonts w:ascii="Times New Roman" w:hAnsi="Times New Roman" w:cs="Times New Roman"/>
        </w:rPr>
        <w:t xml:space="preserve">. These technological advancements highlight the critical role of artificial intelligence in elevating technoeconomic analysis, emissions estimation, and system-wide optimisation within green ammonia production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&lt;EndNote&gt;&lt;Cite&gt;&lt;Author&gt;Adeli&lt;/Author&gt;&lt;Year&gt;2024&lt;/Year&gt;&lt;RecNum&gt;55&lt;/RecNum&gt;&lt;DisplayText&gt;(Adeli et al., 2024; Lee et al., 2024)&lt;/DisplayText&gt;&lt;record&gt;&lt;rec-number&gt;55&lt;/rec-number&gt;&lt;foreign-keys&gt;&lt;key app="EN" db-id="0x0z5zxatzat9oe9027xea2pe2we5dee5dez" timestamp="1745345630"&gt;55&lt;/key&gt;&lt;/foreign-keys&gt;&lt;ref-type name="Journal Article"&gt;17&lt;/ref-type&gt;&lt;contributors&gt;&lt;authors&gt;&lt;author&gt;Adeli, K&lt;/author&gt;&lt;author&gt;Nachtane, M&lt;/author&gt;&lt;author&gt;Tarfaoui, M&lt;/author&gt;&lt;author&gt;Faik, A&lt;/author&gt;&lt;author&gt;Pollet, BG&lt;/author&gt;&lt;author&gt;Saifaoui, D&lt;/author&gt;&lt;/authors&gt;&lt;/contributors&gt;&lt;titles&gt;&lt;title&gt;Deep learning analysis of green ammonia synthesis: Evaluating techno-economic feasibility for sustainable production&lt;/title&gt;&lt;secondary-title&gt;International Journal of Hydrogen Energy&lt;/secondary-title&gt;&lt;/titles&gt;&lt;periodical&gt;&lt;full-title&gt;International Journal of Hydrogen Energy&lt;/full-title&gt;&lt;/periodical&gt;&lt;pages&gt;1224-1232&lt;/pages&gt;&lt;volume&gt;87&lt;/volume&gt;&lt;dates&gt;&lt;year&gt;2024&lt;/year&gt;&lt;/dates&gt;&lt;isbn&gt;0360-3199&lt;/isbn&gt;&lt;urls&gt;&lt;/urls&gt;&lt;/record&gt;&lt;/Cite&gt;&lt;Cite&gt;&lt;Author&gt;Lee&lt;/Author&gt;&lt;Year&gt;2024&lt;/Year&gt;&lt;RecNum&gt;58&lt;/RecNum&gt;&lt;record&gt;&lt;rec-number&gt;58&lt;/rec-number&gt;&lt;foreign-keys&gt;&lt;key app="EN" db-id="0x0z5zxatzat9oe9027xea2pe2we5dee5dez" timestamp="1745345848"&gt;58&lt;/key&gt;&lt;/foreign-keys&gt;&lt;ref-type name="Journal Article"&gt;17&lt;/ref-type&gt;&lt;contributors&gt;&lt;authors&gt;&lt;author&gt;Lee, Youn-Jun&lt;/author&gt;&lt;author&gt;Kang, Jin-Kyu&lt;/author&gt;&lt;author&gt;Jung, Sung-Hyo&lt;/author&gt;&lt;author&gt;Lee, Chang-Gu&lt;/author&gt;&lt;author&gt;Park, Seong-Jik&lt;/author&gt;&lt;author&gt;Park, Jun-Min&lt;/author&gt;&lt;author&gt;Park, Cheol&lt;/author&gt;&lt;/authors&gt;&lt;/contributors&gt;&lt;titles&gt;&lt;title&gt;Prediction and optimization of the efficiency and energy consumption of an ammonia vacuum thermal stripping process using experiments and machine learning models&lt;/title&gt;&lt;secondary-title&gt;Environmental Technology &amp;amp; Innovation&lt;/secondary-title&gt;&lt;/titles&gt;&lt;periodical&gt;&lt;full-title&gt;Environmental Technology &amp;amp; Innovation&lt;/full-title&gt;&lt;/periodical&gt;&lt;pages&gt;103610&lt;/pages&gt;&lt;volume&gt;34&lt;/volume&gt;&lt;dates&gt;&lt;year&gt;2024&lt;/year&gt;&lt;/dates&gt;&lt;isbn&gt;2352-1864&lt;/isbn&gt;&lt;urls&gt;&lt;/urls&gt;&lt;/record&gt;&lt;/Cite&gt;&lt;/EndNote&gt;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rPr>
        <w:t>(Adeli et al., 2024; Lee et al., 2024)</w:t>
      </w:r>
      <w:r w:rsidRPr="00CE04FC">
        <w:rPr>
          <w:rFonts w:ascii="Times New Roman" w:hAnsi="Times New Roman" w:cs="Times New Roman"/>
        </w:rPr>
        <w:fldChar w:fldCharType="end"/>
      </w:r>
      <w:r w:rsidRPr="00CE04FC">
        <w:rPr>
          <w:rFonts w:ascii="Times New Roman" w:hAnsi="Times New Roman" w:cs="Times New Roman"/>
        </w:rPr>
        <w:t>.</w:t>
      </w:r>
      <w:r w:rsidR="009E6463" w:rsidRPr="00CE04FC">
        <w:rPr>
          <w:rFonts w:ascii="Times New Roman" w:hAnsi="Times New Roman" w:cs="Times New Roman"/>
        </w:rPr>
        <w:t xml:space="preserve"> </w:t>
      </w:r>
      <w:r w:rsidR="002F4E57" w:rsidRPr="00CE04FC">
        <w:rPr>
          <w:rFonts w:ascii="Times New Roman" w:hAnsi="Times New Roman" w:cs="Times New Roman"/>
        </w:rPr>
        <w:t xml:space="preserve">However, the consideration of uncertainties in machine learning–enhanced analyses </w:t>
      </w:r>
      <w:r w:rsidR="00410FA0" w:rsidRPr="00CE04FC">
        <w:rPr>
          <w:rFonts w:ascii="Times New Roman" w:hAnsi="Times New Roman" w:cs="Times New Roman"/>
        </w:rPr>
        <w:t>is still</w:t>
      </w:r>
      <w:r w:rsidR="002F4E57" w:rsidRPr="00CE04FC">
        <w:rPr>
          <w:rFonts w:ascii="Times New Roman" w:hAnsi="Times New Roman" w:cs="Times New Roman"/>
        </w:rPr>
        <w:t xml:space="preserve"> rare.</w:t>
      </w:r>
    </w:p>
    <w:p w14:paraId="63FCAE01" w14:textId="6625A91E" w:rsidR="00DA35BD" w:rsidRPr="00CE04FC" w:rsidRDefault="0014355E" w:rsidP="00A15585">
      <w:pPr>
        <w:pStyle w:val="Heading3"/>
      </w:pPr>
      <w:r w:rsidRPr="00CE04FC">
        <w:t>Application</w:t>
      </w:r>
      <w:r w:rsidR="00261013" w:rsidRPr="00CE04FC">
        <w:t>s</w:t>
      </w:r>
      <w:r w:rsidRPr="00CE04FC">
        <w:t xml:space="preserve"> of </w:t>
      </w:r>
      <w:r w:rsidR="00261013" w:rsidRPr="00CE04FC">
        <w:t>u</w:t>
      </w:r>
      <w:r w:rsidR="00A15585" w:rsidRPr="00CE04FC">
        <w:t xml:space="preserve">ncertainty </w:t>
      </w:r>
      <w:r w:rsidR="00261013" w:rsidRPr="00CE04FC">
        <w:t>q</w:t>
      </w:r>
      <w:r w:rsidR="00A15585" w:rsidRPr="00CE04FC">
        <w:t>uantification</w:t>
      </w:r>
      <w:r w:rsidR="00F5248F" w:rsidRPr="00CE04FC">
        <w:t xml:space="preserve"> to </w:t>
      </w:r>
      <w:r w:rsidR="00D506A0" w:rsidRPr="00CE04FC">
        <w:t xml:space="preserve">energy and </w:t>
      </w:r>
      <w:r w:rsidR="00F5248F" w:rsidRPr="00CE04FC">
        <w:t xml:space="preserve">production </w:t>
      </w:r>
      <w:r w:rsidR="00D506A0" w:rsidRPr="00CE04FC">
        <w:t>systems</w:t>
      </w:r>
    </w:p>
    <w:p w14:paraId="543FD60A" w14:textId="398B1B3C" w:rsidR="00B21DF9" w:rsidRPr="00CE04FC" w:rsidRDefault="00B21DF9" w:rsidP="006A4B9B">
      <w:pPr>
        <w:autoSpaceDE w:val="0"/>
        <w:autoSpaceDN w:val="0"/>
        <w:adjustRightInd w:val="0"/>
        <w:spacing w:line="240" w:lineRule="auto"/>
        <w:contextualSpacing/>
        <w:jc w:val="both"/>
        <w:rPr>
          <w:rFonts w:ascii="Times New Roman" w:hAnsi="Times New Roman" w:cs="Times New Roman"/>
        </w:rPr>
      </w:pPr>
      <w:r w:rsidRPr="00CE04FC">
        <w:rPr>
          <w:rFonts w:ascii="Times New Roman" w:hAnsi="Times New Roman" w:cs="Times New Roman"/>
        </w:rPr>
        <w:t xml:space="preserve">Uncertainty Quantification is a critical framework for assessing the reliability and resilience of energy systems under variable conditions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&lt;EndNote&gt;&lt;Cite&gt;&lt;Author&gt;Smith&lt;/Author&gt;&lt;Year&gt;2024&lt;/Year&gt;&lt;RecNum&gt;78&lt;/RecNum&gt;&lt;DisplayText&gt;(Smith, 2024)&lt;/DisplayText&gt;&lt;record&gt;&lt;rec-number&gt;78&lt;/rec-number&gt;&lt;foreign-keys&gt;&lt;key app="EN" db-id="0x0z5zxatzat9oe9027xea2pe2we5dee5dez" timestamp="1746701695"&gt;78&lt;/key&gt;&lt;/foreign-keys&gt;&lt;ref-type name="Book"&gt;6&lt;/ref-type&gt;&lt;contributors&gt;&lt;authors&gt;&lt;author&gt;Smith, Ralph C&lt;/author&gt;&lt;/authors&gt;&lt;/contributors&gt;&lt;titles&gt;&lt;title&gt;Uncertainty quantification: theory, implementation, and applications&lt;/title&gt;&lt;/titles&gt;&lt;dates&gt;&lt;year&gt;2024&lt;/year&gt;&lt;/dates&gt;&lt;publisher&gt;SIAM&lt;/publisher&gt;&lt;isbn&gt;1611977835&lt;/isbn&gt;&lt;urls&gt;&lt;/urls&gt;&lt;/record&gt;&lt;/Cite&gt;&lt;/EndNote&gt;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noProof/>
        </w:rPr>
        <w:t>(Smith, 2024)</w:t>
      </w:r>
      <w:r w:rsidR="00C43AE8" w:rsidRPr="00CE04FC">
        <w:rPr>
          <w:rFonts w:ascii="Times New Roman" w:hAnsi="Times New Roman" w:cs="Times New Roman"/>
        </w:rPr>
        <w:fldChar w:fldCharType="end"/>
      </w:r>
      <w:r w:rsidRPr="00CE04FC">
        <w:rPr>
          <w:rFonts w:ascii="Times New Roman" w:hAnsi="Times New Roman" w:cs="Times New Roman"/>
        </w:rPr>
        <w:t>. It systematically measures uncertainties in system inputs and outputs, classifying them as either </w:t>
      </w:r>
      <w:r w:rsidRPr="00CE04FC">
        <w:rPr>
          <w:rFonts w:ascii="Times New Roman" w:hAnsi="Times New Roman" w:cs="Times New Roman"/>
          <w:i/>
          <w:iCs/>
        </w:rPr>
        <w:t>aleatoric</w:t>
      </w:r>
      <w:r w:rsidRPr="00CE04FC">
        <w:rPr>
          <w:rFonts w:ascii="Times New Roman" w:hAnsi="Times New Roman" w:cs="Times New Roman"/>
        </w:rPr>
        <w:t> (inherent variability) or </w:t>
      </w:r>
      <w:r w:rsidRPr="00CE04FC">
        <w:rPr>
          <w:rFonts w:ascii="Times New Roman" w:hAnsi="Times New Roman" w:cs="Times New Roman"/>
          <w:i/>
          <w:iCs/>
        </w:rPr>
        <w:t>epistemic</w:t>
      </w:r>
      <w:r w:rsidRPr="00CE04FC">
        <w:rPr>
          <w:rFonts w:ascii="Times New Roman" w:hAnsi="Times New Roman" w:cs="Times New Roman"/>
        </w:rPr>
        <w:t xml:space="preserve"> (knowledge-based uncertainty) </w:t>
      </w:r>
      <w:r w:rsidR="00C43AE8" w:rsidRPr="00CE04FC">
        <w:rPr>
          <w:rFonts w:ascii="Times New Roman" w:hAnsi="Times New Roman" w:cs="Times New Roman"/>
        </w:rPr>
        <w:fldChar w:fldCharType="begin">
          <w:fldData xml:space="preserve">PEVuZE5vdGU+PENpdGU+PEF1dGhvcj5IZWx0b248L0F1dGhvcj48WWVhcj4yMDEwPC9ZZWFyPjxS
ZWNOdW0+MzI5PC9SZWNOdW0+PERpc3BsYXlUZXh0PihBYmRhciBldCBhbC4sIDIwMjE7IEhlbHRv
biBldCBhbC4sIDIwMTA7IFdhbmcsIDIwMTkpPC9EaXNwbGF5VGV4dD48cmVjb3JkPjxyZWMtbnVt
YmVyPjMyOTwvcmVjLW51bWJlcj48Zm9yZWlnbi1rZXlzPjxrZXkgYXBwPSJFTiIgZGItaWQ9InBy
NTB4d3dhZHRzdDIxZTV6eHF4eHgyZTB2cHB6czB6emZweiIgdGltZXN0YW1wPSIxNzM0MzczNzI4
Ij4zMjk8L2tleT48L2ZvcmVpZ24ta2V5cz48cmVmLXR5cGUgbmFtZT0iSm91cm5hbCBBcnRpY2xl
Ij4xNzwvcmVmLXR5cGU+PGNvbnRyaWJ1dG9ycz48YXV0aG9ycz48YXV0aG9yPkhlbHRvbiwgSm9u
IEM8L2F1dGhvcj48YXV0aG9yPkpvaG5zb24sIEpheSBEPC9hdXRob3I+PGF1dGhvcj5PYmVya2Ft
cGYsIFdpbGxpYW0gTDwvYXV0aG9yPjxhdXRob3I+U2FsbGFiZXJyeSwgQ2VkcmljIEo8L2F1dGhv
cj48L2F1dGhvcnM+PC9jb250cmlidXRvcnM+PHRpdGxlcz48dGl0bGU+UmVwcmVzZW50YXRpb24g
b2YgYW5hbHlzaXMgcmVzdWx0cyBpbnZvbHZpbmcgYWxlYXRvcnkgYW5kIGVwaXN0ZW1pYyB1bmNl
cnRhaW50eTwvdGl0bGU+PHNlY29uZGFyeS10aXRsZT5JbnRlcm5hdGlvbmFsIEpvdXJuYWwgb2Yg
R2VuZXJhbCBTeXN0ZW1zPC9zZWNvbmRhcnktdGl0bGU+PC90aXRsZXM+PHBlcmlvZGljYWw+PGZ1
bGwtdGl0bGU+SW50ZXJuYXRpb25hbCBKb3VybmFsIG9mIEdlbmVyYWwgU3lzdGVtczwvZnVsbC10
aXRsZT48L3BlcmlvZGljYWw+PHBhZ2VzPjYwNS02NDY8L3BhZ2VzPjx2b2x1bWU+Mzk8L3ZvbHVt
ZT48bnVtYmVyPjY8L251bWJlcj48ZGF0ZXM+PHllYXI+MjAxMDwveWVhcj48L2RhdGVzPjxpc2Ju
PjAzMDgtMTA3OTwvaXNibj48dXJscz48L3VybHM+PC9yZWNvcmQ+PC9DaXRlPjxDaXRlPjxBdXRo
b3I+QWJkYXI8L0F1dGhvcj48WWVhcj4yMDIxPC9ZZWFyPjxSZWNOdW0+OTM8L1JlY051bT48cmVj
b3JkPjxyZWMtbnVtYmVyPjkzPC9yZWMtbnVtYmVyPjxmb3JlaWduLWtleXM+PGtleSBhcHA9IkVO
IiBkYi1pZD0iMHgwejV6eGF0emF0OW9lOTAyN3hlYTJwZTJ3ZTVkZWU1ZGV6IiB0aW1lc3RhbXA9
IjE3NDg2NDI0MjkiPjkzPC9rZXk+PC9mb3JlaWduLWtleXM+PHJlZi10eXBlIG5hbWU9IkpvdXJu
YWwgQXJ0aWNsZSI+MTc8L3JlZi10eXBlPjxjb250cmlidXRvcnM+PGF1dGhvcnM+PGF1dGhvcj5B
YmRhciwgTW9sb3VkPC9hdXRob3I+PGF1dGhvcj5Qb3VycGFuYWgsIEZhcmhhZDwvYXV0aG9yPjxh
dXRob3I+SHVzc2FpbiwgU2FkaXE8L2F1dGhvcj48YXV0aG9yPlJlemF6YWRlZ2FuLCBEYW5hPC9h
dXRob3I+PGF1dGhvcj5MaXUsIExpPC9hdXRob3I+PGF1dGhvcj5HaGF2YW16YWRlaCwgTW9oYW1t
YWQ8L2F1dGhvcj48YXV0aG9yPkZpZWd1dGgsIFBhdWw8L2F1dGhvcj48YXV0aG9yPkNhbywgWGlh
b2NodW48L2F1dGhvcj48YXV0aG9yPktob3NyYXZpLCBBYmJhczwvYXV0aG9yPjxhdXRob3I+QWNo
YXJ5YSwgVSBSYWplbmRyYTwvYXV0aG9yPjwvYXV0aG9ycz48L2NvbnRyaWJ1dG9ycz48dGl0bGVz
Pjx0aXRsZT5BIHJldmlldyBvZiB1bmNlcnRhaW50eSBxdWFudGlmaWNhdGlvbiBpbiBkZWVwIGxl
YXJuaW5nOiBUZWNobmlxdWVzLCBhcHBsaWNhdGlvbnMgYW5kIGNoYWxsZW5nZXM8L3RpdGxlPjxz
ZWNvbmRhcnktdGl0bGU+SW5mb3JtYXRpb24gZnVzaW9uPC9zZWNvbmRhcnktdGl0bGU+PC90aXRs
ZXM+PHBlcmlvZGljYWw+PGZ1bGwtdGl0bGU+SW5mb3JtYXRpb24gZnVzaW9uPC9mdWxsLXRpdGxl
PjwvcGVyaW9kaWNhbD48cGFnZXM+MjQzLTI5NzwvcGFnZXM+PHZvbHVtZT43Njwvdm9sdW1lPjxk
YXRlcz48eWVhcj4yMDIxPC95ZWFyPjwvZGF0ZXM+PGlzYm4+MTU2Ni0yNTM1PC9pc2JuPjx1cmxz
PjwvdXJscz48L3JlY29yZD48L0NpdGU+PENpdGU+PEF1dGhvcj5XYW5nPC9BdXRob3I+PFllYXI+
MjAxOTwvWWVhcj48UmVjTnVtPjMyODwvUmVjTnVtPjxyZWNvcmQ+PHJlYy1udW1iZXI+MzI4PC9y
ZWMtbnVtYmVyPjxmb3JlaWduLWtleXM+PGtleSBhcHA9IkVOIiBkYi1pZD0icHI1MHh3d2FkdHN0
MjFlNXp4cXh4eDJlMHZwcHpzMHp6ZnB6IiB0aW1lc3RhbXA9IjE3MzQzNzM2ODAiPjMyODwva2V5
PjwvZm9yZWlnbi1rZXlzPjxyZWYtdHlwZSBuYW1lPSJCb29rIFNlY3Rpb24iPjU8L3JlZi10eXBl
Pjxjb250cmlidXRvcnM+PGF1dGhvcnM+PGF1dGhvcj5XYW5nLCBIYWk8L2F1dGhvcj48L2F1dGhv
cnM+PC9jb250cmlidXRvcnM+PHRpdGxlcz48dGl0bGU+VW5jZXJ0YWludHkgcXVhbnRpZmljYXRp
b24gYW5kIG1pbmltaXphdGlvbjwvdGl0bGU+PHNlY29uZGFyeS10aXRsZT5Db21wdXRlciBBaWRl
ZCBDaGVtaWNhbCBFbmdpbmVlcmluZzwvc2Vjb25kYXJ5LXRpdGxlPjwvdGl0bGVzPjxwYWdlcz43
MjMtNzYyPC9wYWdlcz48dm9sdW1lPjQ1PC92b2x1bWU+PGRhdGVzPjx5ZWFyPjIwMTk8L3llYXI+
PC9kYXRlcz48cHVibGlzaGVyPkVsc2V2aWVyPC9wdWJsaXNoZXI+PGlzYm4+MTU3MC03OTQ2PC9p
c2JuPjx1cmxzPjwvdXJscz48L3JlY29yZD48L0NpdGU+PC9FbmROb3RlPn==
</w:fldData>
        </w:fldChar>
      </w:r>
      <w:r w:rsidR="000A6C3A" w:rsidRPr="00CE04FC">
        <w:rPr>
          <w:rFonts w:ascii="Times New Roman" w:hAnsi="Times New Roman" w:cs="Times New Roman"/>
        </w:rPr>
        <w:instrText xml:space="preserve"> ADDIN EN.CITE </w:instrText>
      </w:r>
      <w:r w:rsidR="000A6C3A" w:rsidRPr="00CE04FC">
        <w:rPr>
          <w:rFonts w:ascii="Times New Roman" w:hAnsi="Times New Roman" w:cs="Times New Roman"/>
        </w:rPr>
        <w:fldChar w:fldCharType="begin">
          <w:fldData xml:space="preserve">PEVuZE5vdGU+PENpdGU+PEF1dGhvcj5IZWx0b248L0F1dGhvcj48WWVhcj4yMDEwPC9ZZWFyPjxS
ZWNOdW0+MzI5PC9SZWNOdW0+PERpc3BsYXlUZXh0PihBYmRhciBldCBhbC4sIDIwMjE7IEhlbHRv
biBldCBhbC4sIDIwMTA7IFdhbmcsIDIwMTkpPC9EaXNwbGF5VGV4dD48cmVjb3JkPjxyZWMtbnVt
YmVyPjMyOTwvcmVjLW51bWJlcj48Zm9yZWlnbi1rZXlzPjxrZXkgYXBwPSJFTiIgZGItaWQ9InBy
NTB4d3dhZHRzdDIxZTV6eHF4eHgyZTB2cHB6czB6emZweiIgdGltZXN0YW1wPSIxNzM0MzczNzI4
Ij4zMjk8L2tleT48L2ZvcmVpZ24ta2V5cz48cmVmLXR5cGUgbmFtZT0iSm91cm5hbCBBcnRpY2xl
Ij4xNzwvcmVmLXR5cGU+PGNvbnRyaWJ1dG9ycz48YXV0aG9ycz48YXV0aG9yPkhlbHRvbiwgSm9u
IEM8L2F1dGhvcj48YXV0aG9yPkpvaG5zb24sIEpheSBEPC9hdXRob3I+PGF1dGhvcj5PYmVya2Ft
cGYsIFdpbGxpYW0gTDwvYXV0aG9yPjxhdXRob3I+U2FsbGFiZXJyeSwgQ2VkcmljIEo8L2F1dGhv
cj48L2F1dGhvcnM+PC9jb250cmlidXRvcnM+PHRpdGxlcz48dGl0bGU+UmVwcmVzZW50YXRpb24g
b2YgYW5hbHlzaXMgcmVzdWx0cyBpbnZvbHZpbmcgYWxlYXRvcnkgYW5kIGVwaXN0ZW1pYyB1bmNl
cnRhaW50eTwvdGl0bGU+PHNlY29uZGFyeS10aXRsZT5JbnRlcm5hdGlvbmFsIEpvdXJuYWwgb2Yg
R2VuZXJhbCBTeXN0ZW1zPC9zZWNvbmRhcnktdGl0bGU+PC90aXRsZXM+PHBlcmlvZGljYWw+PGZ1
bGwtdGl0bGU+SW50ZXJuYXRpb25hbCBKb3VybmFsIG9mIEdlbmVyYWwgU3lzdGVtczwvZnVsbC10
aXRsZT48L3BlcmlvZGljYWw+PHBhZ2VzPjYwNS02NDY8L3BhZ2VzPjx2b2x1bWU+Mzk8L3ZvbHVt
ZT48bnVtYmVyPjY8L251bWJlcj48ZGF0ZXM+PHllYXI+MjAxMDwveWVhcj48L2RhdGVzPjxpc2Ju
PjAzMDgtMTA3OTwvaXNibj48dXJscz48L3VybHM+PC9yZWNvcmQ+PC9DaXRlPjxDaXRlPjxBdXRo
b3I+QWJkYXI8L0F1dGhvcj48WWVhcj4yMDIxPC9ZZWFyPjxSZWNOdW0+OTM8L1JlY051bT48cmVj
b3JkPjxyZWMtbnVtYmVyPjkzPC9yZWMtbnVtYmVyPjxmb3JlaWduLWtleXM+PGtleSBhcHA9IkVO
IiBkYi1pZD0iMHgwejV6eGF0emF0OW9lOTAyN3hlYTJwZTJ3ZTVkZWU1ZGV6IiB0aW1lc3RhbXA9
IjE3NDg2NDI0MjkiPjkzPC9rZXk+PC9mb3JlaWduLWtleXM+PHJlZi10eXBlIG5hbWU9IkpvdXJu
YWwgQXJ0aWNsZSI+MTc8L3JlZi10eXBlPjxjb250cmlidXRvcnM+PGF1dGhvcnM+PGF1dGhvcj5B
YmRhciwgTW9sb3VkPC9hdXRob3I+PGF1dGhvcj5Qb3VycGFuYWgsIEZhcmhhZDwvYXV0aG9yPjxh
dXRob3I+SHVzc2FpbiwgU2FkaXE8L2F1dGhvcj48YXV0aG9yPlJlemF6YWRlZ2FuLCBEYW5hPC9h
dXRob3I+PGF1dGhvcj5MaXUsIExpPC9hdXRob3I+PGF1dGhvcj5HaGF2YW16YWRlaCwgTW9oYW1t
YWQ8L2F1dGhvcj48YXV0aG9yPkZpZWd1dGgsIFBhdWw8L2F1dGhvcj48YXV0aG9yPkNhbywgWGlh
b2NodW48L2F1dGhvcj48YXV0aG9yPktob3NyYXZpLCBBYmJhczwvYXV0aG9yPjxhdXRob3I+QWNo
YXJ5YSwgVSBSYWplbmRyYTwvYXV0aG9yPjwvYXV0aG9ycz48L2NvbnRyaWJ1dG9ycz48dGl0bGVz
Pjx0aXRsZT5BIHJldmlldyBvZiB1bmNlcnRhaW50eSBxdWFudGlmaWNhdGlvbiBpbiBkZWVwIGxl
YXJuaW5nOiBUZWNobmlxdWVzLCBhcHBsaWNhdGlvbnMgYW5kIGNoYWxsZW5nZXM8L3RpdGxlPjxz
ZWNvbmRhcnktdGl0bGU+SW5mb3JtYXRpb24gZnVzaW9uPC9zZWNvbmRhcnktdGl0bGU+PC90aXRs
ZXM+PHBlcmlvZGljYWw+PGZ1bGwtdGl0bGU+SW5mb3JtYXRpb24gZnVzaW9uPC9mdWxsLXRpdGxl
PjwvcGVyaW9kaWNhbD48cGFnZXM+MjQzLTI5NzwvcGFnZXM+PHZvbHVtZT43Njwvdm9sdW1lPjxk
YXRlcz48eWVhcj4yMDIxPC95ZWFyPjwvZGF0ZXM+PGlzYm4+MTU2Ni0yNTM1PC9pc2JuPjx1cmxz
PjwvdXJscz48L3JlY29yZD48L0NpdGU+PENpdGU+PEF1dGhvcj5XYW5nPC9BdXRob3I+PFllYXI+
MjAxOTwvWWVhcj48UmVjTnVtPjMyODwvUmVjTnVtPjxyZWNvcmQ+PHJlYy1udW1iZXI+MzI4PC9y
ZWMtbnVtYmVyPjxmb3JlaWduLWtleXM+PGtleSBhcHA9IkVOIiBkYi1pZD0icHI1MHh3d2FkdHN0
MjFlNXp4cXh4eDJlMHZwcHpzMHp6ZnB6IiB0aW1lc3RhbXA9IjE3MzQzNzM2ODAiPjMyODwva2V5
PjwvZm9yZWlnbi1rZXlzPjxyZWYtdHlwZSBuYW1lPSJCb29rIFNlY3Rpb24iPjU8L3JlZi10eXBl
Pjxjb250cmlidXRvcnM+PGF1dGhvcnM+PGF1dGhvcj5XYW5nLCBIYWk8L2F1dGhvcj48L2F1dGhv
cnM+PC9jb250cmlidXRvcnM+PHRpdGxlcz48dGl0bGU+VW5jZXJ0YWludHkgcXVhbnRpZmljYXRp
b24gYW5kIG1pbmltaXphdGlvbjwvdGl0bGU+PHNlY29uZGFyeS10aXRsZT5Db21wdXRlciBBaWRl
ZCBDaGVtaWNhbCBFbmdpbmVlcmluZzwvc2Vjb25kYXJ5LXRpdGxlPjwvdGl0bGVzPjxwYWdlcz43
MjMtNzYyPC9wYWdlcz48dm9sdW1lPjQ1PC92b2x1bWU+PGRhdGVzPjx5ZWFyPjIwMTk8L3llYXI+
PC9kYXRlcz48cHVibGlzaGVyPkVsc2V2aWVyPC9wdWJsaXNoZXI+PGlzYm4+MTU3MC03OTQ2PC9p
c2JuPjx1cmxzPjwvdXJscz48L3JlY29yZD48L0NpdGU+PC9FbmROb3RlPn==
</w:fldData>
        </w:fldChar>
      </w:r>
      <w:r w:rsidR="000A6C3A" w:rsidRPr="00CE04FC">
        <w:rPr>
          <w:rFonts w:ascii="Times New Roman" w:hAnsi="Times New Roman" w:cs="Times New Roman"/>
        </w:rPr>
        <w:instrText xml:space="preserve"> ADDIN EN.CITE.DATA </w:instrText>
      </w:r>
      <w:r w:rsidR="000A6C3A" w:rsidRPr="00CE04FC">
        <w:rPr>
          <w:rFonts w:ascii="Times New Roman" w:hAnsi="Times New Roman" w:cs="Times New Roman"/>
        </w:rPr>
      </w:r>
      <w:r w:rsidR="000A6C3A" w:rsidRPr="00CE04FC">
        <w:rPr>
          <w:rFonts w:ascii="Times New Roman" w:hAnsi="Times New Roman" w:cs="Times New Roman"/>
        </w:rPr>
        <w:fldChar w:fldCharType="end"/>
      </w:r>
      <w:r w:rsidR="00C43AE8" w:rsidRPr="00CE04FC">
        <w:rPr>
          <w:rFonts w:ascii="Times New Roman" w:hAnsi="Times New Roman" w:cs="Times New Roman"/>
        </w:rPr>
      </w:r>
      <w:r w:rsidR="00C43AE8" w:rsidRPr="00CE04FC">
        <w:rPr>
          <w:rFonts w:ascii="Times New Roman" w:hAnsi="Times New Roman" w:cs="Times New Roman"/>
        </w:rPr>
        <w:fldChar w:fldCharType="separate"/>
      </w:r>
      <w:r w:rsidR="00C43AE8" w:rsidRPr="00CE04FC">
        <w:rPr>
          <w:rFonts w:ascii="Times New Roman" w:hAnsi="Times New Roman" w:cs="Times New Roman"/>
          <w:noProof/>
        </w:rPr>
        <w:t>(Abdar et al., 2021; Helton et al., 2010; Wang, 2019)</w:t>
      </w:r>
      <w:r w:rsidR="00C43AE8" w:rsidRPr="00CE04FC">
        <w:rPr>
          <w:rFonts w:ascii="Times New Roman" w:hAnsi="Times New Roman" w:cs="Times New Roman"/>
        </w:rPr>
        <w:fldChar w:fldCharType="end"/>
      </w:r>
      <w:r w:rsidR="00C43AE8" w:rsidRPr="00CE04FC">
        <w:rPr>
          <w:rFonts w:ascii="Times New Roman" w:hAnsi="Times New Roman" w:cs="Times New Roman"/>
        </w:rPr>
        <w:t>.</w:t>
      </w:r>
      <w:r w:rsidR="00ED05AF" w:rsidRPr="00CE04FC">
        <w:rPr>
          <w:rFonts w:ascii="Times New Roman" w:hAnsi="Times New Roman" w:cs="Times New Roman"/>
        </w:rPr>
        <w:t xml:space="preserve"> </w:t>
      </w:r>
      <w:r w:rsidRPr="00CE04FC">
        <w:rPr>
          <w:rFonts w:ascii="Times New Roman" w:hAnsi="Times New Roman" w:cs="Times New Roman"/>
        </w:rPr>
        <w:t xml:space="preserve">While aleatoric uncertainties are irreducible due to their stochastic nature, epistemic uncertainties can be reduced through improved data collection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&lt;EndNote&gt;&lt;Cite&gt;&lt;Author&gt;Gholaminezhad&lt;/Author&gt;&lt;Year&gt;2016&lt;/Year&gt;&lt;RecNum&gt;326&lt;/RecNum&gt;&lt;DisplayText&gt;(Gholaminezhad et al., 2016)&lt;/DisplayText&gt;&lt;record&gt;&lt;rec-number&gt;326&lt;/rec-number&gt;&lt;foreign-keys&gt;&lt;key app="EN" db-id="pr50xwwadtst21e5zxqxxx2e0vppzs0zzfpz" timestamp="1733163598"&gt;326&lt;/key&gt;&lt;/foreign-keys&gt;&lt;ref-type name="Journal Article"&gt;17&lt;/ref-type&gt;&lt;contributors&gt;&lt;authors&gt;&lt;author&gt;Gholaminezhad, Iman&lt;/author&gt;&lt;author&gt;Assimi, Hirad&lt;/author&gt;&lt;author&gt;Jamali, Ali&lt;/author&gt;&lt;author&gt;Vajari, Dina Ashouri&lt;/author&gt;&lt;/authors&gt;&lt;/contributors&gt;&lt;titles&gt;&lt;title&gt;Uncertainty quantification and robust modeling of selective laser melting process using stochastic multi-objective approach&lt;/title&gt;&lt;secondary-title&gt;The International Journal of Advanced Manufacturing Technology&lt;/secondary-title&gt;&lt;/titles&gt;&lt;periodical&gt;&lt;full-title&gt;The International Journal of Advanced Manufacturing Technology&lt;/full-title&gt;&lt;/periodical&gt;&lt;pages&gt;1425-1441&lt;/pages&gt;&lt;volume&gt;86&lt;/volume&gt;&lt;dates&gt;&lt;year&gt;2016&lt;/year&gt;&lt;/dates&gt;&lt;isbn&gt;0268-3768&lt;/isbn&gt;&lt;urls&gt;&lt;/urls&gt;&lt;/record&gt;&lt;/Cite&gt;&lt;/EndNote&gt;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rPr>
        <w:t>(Gholaminezhad et al., 2016)</w:t>
      </w:r>
      <w:r w:rsidR="00C43AE8" w:rsidRPr="00CE04FC">
        <w:rPr>
          <w:rFonts w:ascii="Times New Roman" w:hAnsi="Times New Roman" w:cs="Times New Roman"/>
        </w:rPr>
        <w:fldChar w:fldCharType="end"/>
      </w:r>
      <w:r w:rsidRPr="00CE04FC">
        <w:rPr>
          <w:rFonts w:ascii="Times New Roman" w:hAnsi="Times New Roman" w:cs="Times New Roman"/>
        </w:rPr>
        <w:t>. Accurate UQ enables robust performance predictions, which are vital for decision-making in complex production systems</w:t>
      </w:r>
      <w:r w:rsidR="00C43BFC" w:rsidRPr="00CE04FC">
        <w:rPr>
          <w:rFonts w:ascii="Times New Roman" w:hAnsi="Times New Roman" w:cs="Times New Roman"/>
        </w:rPr>
        <w:t xml:space="preserve">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&lt;EndNote&gt;&lt;Cite&gt;&lt;Author&gt;Nannapaneni&lt;/Author&gt;&lt;Year&gt;2014&lt;/Year&gt;&lt;RecNum&gt;311&lt;/RecNum&gt;&lt;DisplayText&gt;(Nannapaneni &amp;amp; Mahadevan, 2014)&lt;/DisplayText&gt;&lt;record&gt;&lt;rec-number&gt;311&lt;/rec-number&gt;&lt;foreign-keys&gt;&lt;key app="EN" db-id="pr50xwwadtst21e5zxqxxx2e0vppzs0zzfpz" timestamp="1733065973"&gt;311&lt;/key&gt;&lt;/foreign-keys&gt;&lt;ref-type name="Conference Proceedings"&gt;10&lt;/ref-type&gt;&lt;contributors&gt;&lt;authors&gt;&lt;author&gt;S. Nannapaneni&lt;/author&gt;&lt;author&gt;S. Mahadevan&lt;/author&gt;&lt;/authors&gt;&lt;/contributors&gt;&lt;titles&gt;&lt;title&gt;Uncertainty quantification in performance evaluation of manufacturing processes&lt;/title&gt;&lt;secondary-title&gt;2014 IEEE International Conference on Big Data (Big Data)&lt;/secondary-title&gt;&lt;alt-title&gt;2014 IEEE International Conference on Big Data (Big Data)&lt;/alt-title&gt;&lt;/titles&gt;&lt;pages&gt;996-1005&lt;/pages&gt;&lt;dates&gt;&lt;year&gt;2014&lt;/year&gt;&lt;pub-dates&gt;&lt;date&gt;27-30 Oct. 2014&lt;/date&gt;&lt;/pub-dates&gt;&lt;/dates&gt;&lt;urls&gt;&lt;/urls&gt;&lt;electronic-resource-num&gt;10.1109/BigData.2014.7004333&lt;/electronic-resource-num&gt;&lt;/record&gt;&lt;/Cite&gt;&lt;/EndNote&gt;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rPr>
        <w:t>(Nannapaneni &amp; Mahadevan, 2014)</w:t>
      </w:r>
      <w:r w:rsidR="00C43AE8" w:rsidRPr="00CE04FC">
        <w:rPr>
          <w:rFonts w:ascii="Times New Roman" w:hAnsi="Times New Roman" w:cs="Times New Roman"/>
        </w:rPr>
        <w:fldChar w:fldCharType="end"/>
      </w:r>
      <w:r w:rsidR="006A4B9B" w:rsidRPr="00CE04FC">
        <w:rPr>
          <w:rFonts w:ascii="Times New Roman" w:hAnsi="Times New Roman" w:cs="Times New Roman"/>
        </w:rPr>
        <w:t xml:space="preserve">. </w:t>
      </w:r>
      <w:r w:rsidR="006A4B9B" w:rsidRPr="00CE04FC">
        <w:rPr>
          <w:rFonts w:ascii="Times New Roman" w:eastAsia="Times New Roman" w:hAnsi="Times New Roman" w:cs="Times New Roman"/>
          <w:kern w:val="0"/>
          <w14:ligatures w14:val="none"/>
        </w:rPr>
        <w:fldChar w:fldCharType="begin"/>
      </w:r>
      <w:r w:rsidR="006A4B9B" w:rsidRPr="00CE04FC">
        <w:rPr>
          <w:rFonts w:ascii="Times New Roman" w:eastAsia="Times New Roman" w:hAnsi="Times New Roman" w:cs="Times New Roman"/>
          <w:kern w:val="0"/>
          <w14:ligatures w14:val="none"/>
        </w:rPr>
        <w:instrText xml:space="preserve"> ADDIN EN.CITE &lt;EndNote&gt;&lt;Cite&gt;&lt;Author&gt;Zayed&lt;/Author&gt;&lt;Year&gt;2023&lt;/Year&gt;&lt;RecNum&gt;97&lt;/RecNum&gt;&lt;DisplayText&gt;(Zayed et al., 2023)&lt;/DisplayText&gt;&lt;record&gt;&lt;rec-number&gt;97&lt;/rec-number&gt;&lt;foreign-keys&gt;&lt;key app="EN" db-id="0x0z5zxatzat9oe9027xea2pe2we5dee5dez" timestamp="1754305874"&gt;97&lt;/key&gt;&lt;/foreign-keys&gt;&lt;ref-type name="Journal Article"&gt;17&lt;/ref-type&gt;&lt;contributors&gt;&lt;authors&gt;&lt;author&gt;Zayed, Mohamad E&lt;/author&gt;&lt;author&gt;Kabeel, AE&lt;/author&gt;&lt;author&gt;Shboul, Bashar&lt;/author&gt;&lt;author&gt;Ashraf, Waqar Muhammad&lt;/author&gt;&lt;author&gt;Ghazy, Mohamed&lt;/author&gt;&lt;author&gt;Irshad, Kashif&lt;/author&gt;&lt;author&gt;Rehman, Shafiqur&lt;/author&gt;&lt;author&gt;Zayed, Abdelhameed AA&lt;/author&gt;&lt;/authors&gt;&lt;/contributors&gt;&lt;titles&gt;&lt;title&gt;Performance augmentation and machine learning-based modeling of wavy corrugated solar air collector embedded with thermal energy storage: Support vector machine combined with Monte Carlo simulation&lt;/title&gt;&lt;secondary-title&gt;Journal of Energy Storage&lt;/secondary-title&gt;&lt;/titles&gt;&lt;periodical&gt;&lt;full-title&gt;Journal of Energy Storage&lt;/full-title&gt;&lt;/periodical&gt;&lt;pages&gt;109533&lt;/pages&gt;&lt;volume&gt;74&lt;/volume&gt;&lt;dates&gt;&lt;year&gt;2023&lt;/year&gt;&lt;/dates&gt;&lt;isbn&gt;2352-152X&lt;/isbn&gt;&lt;urls&gt;&lt;/urls&gt;&lt;/record&gt;&lt;/Cite&gt;&lt;/EndNote&gt;</w:instrText>
      </w:r>
      <w:r w:rsidR="006A4B9B" w:rsidRPr="00CE04FC">
        <w:rPr>
          <w:rFonts w:ascii="Times New Roman" w:eastAsia="Times New Roman" w:hAnsi="Times New Roman" w:cs="Times New Roman"/>
          <w:kern w:val="0"/>
          <w14:ligatures w14:val="none"/>
        </w:rPr>
        <w:fldChar w:fldCharType="separate"/>
      </w:r>
      <w:r w:rsidR="006A4B9B" w:rsidRPr="00CE04FC">
        <w:rPr>
          <w:rFonts w:ascii="Times New Roman" w:eastAsia="Times New Roman" w:hAnsi="Times New Roman" w:cs="Times New Roman"/>
          <w:kern w:val="0"/>
          <w14:ligatures w14:val="none"/>
        </w:rPr>
        <w:t>Zayed et al., 2023</w:t>
      </w:r>
      <w:r w:rsidR="006A4B9B" w:rsidRPr="00CE04FC">
        <w:rPr>
          <w:rFonts w:ascii="Times New Roman" w:eastAsia="Times New Roman" w:hAnsi="Times New Roman" w:cs="Times New Roman"/>
          <w:kern w:val="0"/>
          <w14:ligatures w14:val="none"/>
        </w:rPr>
        <w:fldChar w:fldCharType="end"/>
      </w:r>
      <w:r w:rsidR="003F3497" w:rsidRPr="00CE04FC">
        <w:rPr>
          <w:rFonts w:ascii="Times New Roman" w:hAnsi="Times New Roman" w:cs="Times New Roman"/>
        </w:rPr>
        <w:t xml:space="preserve"> applied a hybrid framework combining support vector machines and Monte Carlo simulation to assess how geometric and thermal parameters affect the performance of a wavy corrugated solar air collector with thermal energy storage. Their sensitivity analysis of key inputs demonstrated the effectiveness of data-driven modelling in renewable thermal energy systems. </w:t>
      </w:r>
      <w:r w:rsidRPr="00CE04FC">
        <w:rPr>
          <w:rFonts w:ascii="Times New Roman" w:hAnsi="Times New Roman" w:cs="Times New Roman"/>
        </w:rPr>
        <w:t xml:space="preserve">Traditional UQ methods, such as Monte Carlo simulations, are reliable but computationally expensive, making them impractical for large-scale systems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&lt;EndNote&gt;&lt;Cite&gt;&lt;Author&gt;Knio&lt;/Author&gt;&lt;Year&gt;2001&lt;/Year&gt;&lt;RecNum&gt;330&lt;/RecNum&gt;&lt;DisplayText&gt;(Knio et al., 2001)&lt;/DisplayText&gt;&lt;record&gt;&lt;rec-number&gt;330&lt;/rec-number&gt;&lt;foreign-keys&gt;&lt;key app="EN" db-id="pr50xwwadtst21e5zxqxxx2e0vppzs0zzfpz" timestamp="1734373763"&gt;330&lt;/key&gt;&lt;/foreign-keys&gt;&lt;ref-type name="Journal Article"&gt;17&lt;/ref-type&gt;&lt;contributors&gt;&lt;authors&gt;&lt;author&gt;Knio, Omar M&lt;/author&gt;&lt;author&gt;Najm, Habib N&lt;/author&gt;&lt;author&gt;Ghanem, Roger G&lt;/author&gt;&lt;/authors&gt;&lt;/contributors&gt;&lt;titles&gt;&lt;title&gt;A stochastic projection method for fluid flow: I. basic formulation&lt;/title&gt;&lt;secondary-title&gt;Journal of computational Physics&lt;/secondary-title&gt;&lt;/titles&gt;&lt;periodical&gt;&lt;full-title&gt;Journal of computational Physics&lt;/full-title&gt;&lt;/periodical&gt;&lt;pages&gt;481-511&lt;/pages&gt;&lt;volume&gt;173&lt;/volume&gt;&lt;number&gt;2&lt;/number&gt;&lt;dates&gt;&lt;year&gt;2001&lt;/year&gt;&lt;/dates&gt;&lt;isbn&gt;0021-9991&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rPr>
        <w:t>(Knio et al., 2001)</w:t>
      </w:r>
      <w:r w:rsidR="00C43AE8" w:rsidRPr="00CE04FC">
        <w:rPr>
          <w:rFonts w:ascii="Times New Roman" w:hAnsi="Times New Roman" w:cs="Times New Roman"/>
        </w:rPr>
        <w:fldChar w:fldCharType="end"/>
      </w:r>
      <w:r w:rsidRPr="00CE04FC">
        <w:rPr>
          <w:rFonts w:ascii="Times New Roman" w:hAnsi="Times New Roman" w:cs="Times New Roman"/>
        </w:rPr>
        <w:t>. To overcome this limitation, surrogate models like Gaussian Processes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&lt;EndNote&gt;&lt;Cite&gt;&lt;Author&gt;Tripathy&lt;/Author&gt;&lt;Year&gt;2016&lt;/Year&gt;&lt;RecNum&gt;331&lt;/RecNum&gt;&lt;DisplayText&gt;(Bilionis &amp;amp; Zabaras, 2012; Tripathy et al., 2016)&lt;/DisplayText&gt;&lt;record&gt;&lt;rec-number&gt;331&lt;/rec-number&gt;&lt;foreign-keys&gt;&lt;key app="EN" db-id="pr50xwwadtst21e5zxqxxx2e0vppzs0zzfpz" timestamp="1734373800"&gt;331&lt;/key&gt;&lt;/foreign-keys&gt;&lt;ref-type name="Journal Article"&gt;17&lt;/ref-type&gt;&lt;contributors&gt;&lt;authors&gt;&lt;author&gt;Tripathy, Rohit&lt;/author&gt;&lt;author&gt;Bilionis, Ilias&lt;/author&gt;&lt;author&gt;Gonzalez, Marcial&lt;/author&gt;&lt;/authors&gt;&lt;/contributors&gt;&lt;titles&gt;&lt;title&gt;Gaussian processes with built-in dimensionality reduction: Applications to high-dimensional uncertainty propagation&lt;/title&gt;&lt;secondary-title&gt;Journal of Computational Physics&lt;/secondary-title&gt;&lt;/titles&gt;&lt;periodical&gt;&lt;full-title&gt;Journal of computational Physics&lt;/full-title&gt;&lt;/periodical&gt;&lt;pages&gt;191-223&lt;/pages&gt;&lt;volume&gt;321&lt;/volume&gt;&lt;dates&gt;&lt;year&gt;2016&lt;/year&gt;&lt;/dates&gt;&lt;isbn&gt;0021-9991&lt;/isbn&gt;&lt;urls&gt;&lt;/urls&gt;&lt;/record&gt;&lt;/Cite&gt;&lt;Cite&gt;&lt;Author&gt;Bilionis&lt;/Author&gt;&lt;Year&gt;2012&lt;/Year&gt;&lt;RecNum&gt;332&lt;/RecNum&gt;&lt;record&gt;&lt;rec-number&gt;332&lt;/rec-number&gt;&lt;foreign-keys&gt;&lt;key app="EN" db-id="pr50xwwadtst21e5zxqxxx2e0vppzs0zzfpz" timestamp="1734373856"&gt;332&lt;/key&gt;&lt;/foreign-keys&gt;&lt;ref-type name="Journal Article"&gt;17&lt;/ref-type&gt;&lt;contributors&gt;&lt;authors&gt;&lt;author&gt;Bilionis, Ilias&lt;/author&gt;&lt;author&gt;Zabaras, Nicholas&lt;/author&gt;&lt;/authors&gt;&lt;/contributors&gt;&lt;titles&gt;&lt;title&gt;Multi-output local Gaussian process regression: Applications to uncertainty quantification&lt;/title&gt;&lt;secondary-title&gt;Journal of Computational Physics&lt;/secondary-title&gt;&lt;/titles&gt;&lt;periodical&gt;&lt;full-title&gt;Journal of computational Physics&lt;/full-title&gt;&lt;/periodical&gt;&lt;pages&gt;5718-5746&lt;/pages&gt;&lt;volume&gt;231&lt;/volume&gt;&lt;number&gt;17&lt;/number&gt;&lt;dates&gt;&lt;year&gt;2012&lt;/year&gt;&lt;/dates&gt;&lt;isbn&gt;0021-9991&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rPr>
        <w:t>(Bilionis &amp; Zabaras, 2012; Tripathy et al., 2016)</w:t>
      </w:r>
      <w:r w:rsidR="00C43AE8" w:rsidRPr="00CE04FC">
        <w:rPr>
          <w:rFonts w:ascii="Times New Roman" w:hAnsi="Times New Roman" w:cs="Times New Roman"/>
        </w:rPr>
        <w:fldChar w:fldCharType="end"/>
      </w:r>
      <w:r w:rsidRPr="00CE04FC">
        <w:rPr>
          <w:rFonts w:ascii="Times New Roman" w:hAnsi="Times New Roman" w:cs="Times New Roman"/>
        </w:rPr>
        <w:t xml:space="preserve"> and PCE</w:t>
      </w:r>
      <w:r w:rsidR="00C43AE8" w:rsidRPr="00CE04FC">
        <w:rPr>
          <w:rFonts w:ascii="Times New Roman" w:hAnsi="Times New Roman" w:cs="Times New Roman"/>
        </w:rPr>
        <w:t xml:space="preserve"> </w:t>
      </w:r>
      <w:r w:rsidR="00C43AE8"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&lt;EndNote&gt;&lt;Cite&gt;&lt;Author&gt;Zhang&lt;/Author&gt;&lt;Year&gt;2018&lt;/Year&gt;&lt;RecNum&gt;1&lt;/RecNum&gt;&lt;DisplayText&gt;(Najm, 2009; Zhang &amp;amp; Jiang, 2018)&lt;/DisplayText&gt;&lt;record&gt;&lt;rec-number&gt;1&lt;/rec-number&gt;&lt;foreign-keys&gt;&lt;key app="EN" db-id="0x0z5zxatzat9oe9027xea2pe2we5dee5dez" timestamp="1734376446"&gt;1&lt;/key&gt;&lt;/foreign-keys&gt;&lt;ref-type name="Journal Article"&gt;17&lt;/ref-type&gt;&lt;contributors&gt;&lt;authors&gt;&lt;author&gt;Zhang, Kai&lt;/author&gt;&lt;author&gt;Jiang, Xi&lt;/author&gt;&lt;/authors&gt;&lt;/contributors&gt;&lt;titles&gt;&lt;title&gt;An investigation of fuel variability effect on bio-syngas combustion using uncertainty quantification&lt;/title&gt;&lt;secondary-title&gt;Fuel&lt;/secondary-title&gt;&lt;/titles&gt;&lt;periodical&gt;&lt;full-title&gt;Fuel&lt;/full-title&gt;&lt;/periodical&gt;&lt;pages&gt;283-295&lt;/pages&gt;&lt;volume&gt;220&lt;/volume&gt;&lt;dates&gt;&lt;year&gt;2018&lt;/year&gt;&lt;/dates&gt;&lt;isbn&gt;0016-2361&lt;/isbn&gt;&lt;urls&gt;&lt;/urls&gt;&lt;/record&gt;&lt;/Cite&gt;&lt;Cite&gt;&lt;Author&gt;Najm&lt;/Author&gt;&lt;Year&gt;2009&lt;/Year&gt;&lt;RecNum&gt;2&lt;/RecNum&gt;&lt;record&gt;&lt;rec-number&gt;2&lt;/rec-number&gt;&lt;foreign-keys&gt;&lt;key app="EN" db-id="0x0z5zxatzat9oe9027xea2pe2we5dee5dez" timestamp="1734376492"&gt;2&lt;/key&gt;&lt;/foreign-keys&gt;&lt;ref-type name="Journal Article"&gt;17&lt;/ref-type&gt;&lt;contributors&gt;&lt;authors&gt;&lt;author&gt;Najm, Habib N&lt;/author&gt;&lt;/authors&gt;&lt;/contributors&gt;&lt;titles&gt;&lt;title&gt;Uncertainty quantification and polynomial chaos techniques in computational fluid dynamics&lt;/title&gt;&lt;secondary-title&gt;Annual review of fluid mechanics&lt;/secondary-title&gt;&lt;/titles&gt;&lt;periodical&gt;&lt;full-title&gt;Annual review of fluid mechanics&lt;/full-title&gt;&lt;/periodical&gt;&lt;pages&gt;35-52&lt;/pages&gt;&lt;volume&gt;41&lt;/volume&gt;&lt;number&gt;1&lt;/number&gt;&lt;dates&gt;&lt;year&gt;2009&lt;/year&gt;&lt;/dates&gt;&lt;isbn&gt;0066-4189&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noProof/>
        </w:rPr>
        <w:t>(Najm, 2009; Zhang &amp; Jiang, 2018)</w:t>
      </w:r>
      <w:r w:rsidR="00C43AE8" w:rsidRPr="00CE04FC">
        <w:rPr>
          <w:rFonts w:ascii="Times New Roman" w:hAnsi="Times New Roman" w:cs="Times New Roman"/>
        </w:rPr>
        <w:fldChar w:fldCharType="end"/>
      </w:r>
      <w:r w:rsidR="00ED05AF" w:rsidRPr="00CE04FC">
        <w:rPr>
          <w:rFonts w:ascii="Times New Roman" w:hAnsi="Times New Roman" w:cs="Times New Roman"/>
        </w:rPr>
        <w:t xml:space="preserve"> </w:t>
      </w:r>
      <w:r w:rsidRPr="00CE04FC">
        <w:rPr>
          <w:rFonts w:ascii="Times New Roman" w:hAnsi="Times New Roman" w:cs="Times New Roman"/>
        </w:rPr>
        <w:t xml:space="preserve">have been developed. PCE, initially introduced by Wiener and later refined </w:t>
      </w:r>
      <w:r w:rsidR="00C43AE8" w:rsidRPr="00CE04FC">
        <w:rPr>
          <w:rFonts w:ascii="Times New Roman" w:hAnsi="Times New Roman" w:cs="Times New Roman"/>
        </w:rPr>
        <w:fldChar w:fldCharType="begin"/>
      </w:r>
      <w:r w:rsidR="00C43AE8" w:rsidRPr="00CE04FC">
        <w:rPr>
          <w:rFonts w:ascii="Times New Roman" w:hAnsi="Times New Roman" w:cs="Times New Roman"/>
        </w:rPr>
        <w:instrText xml:space="preserve"> ADDIN EN.CITE &lt;EndNote&gt;&lt;Cite&gt;&lt;Author&gt;Egolfopoulos&lt;/Author&gt;&lt;Year&gt;2014&lt;/Year&gt;&lt;RecNum&gt;3&lt;/RecNum&gt;&lt;DisplayText&gt;(Egolfopoulos et al., 2014)&lt;/DisplayText&gt;&lt;record&gt;&lt;rec-number&gt;3&lt;/rec-number&gt;&lt;foreign-keys&gt;&lt;key app="EN" db-id="0x0z5zxatzat9oe9027xea2pe2we5dee5dez" timestamp="1734376554"&gt;3&lt;/key&gt;&lt;/foreign-keys&gt;&lt;ref-type name="Journal Article"&gt;17&lt;/ref-type&gt;&lt;contributors&gt;&lt;authors&gt;&lt;author&gt;Egolfopoulos, Fokion N&lt;/author&gt;&lt;author&gt;Hansen, Nils&lt;/author&gt;&lt;author&gt;Ju, Yiguang&lt;/author&gt;&lt;author&gt;Kohse-Höinghaus, Katharina&lt;/author&gt;&lt;author&gt;Law, Chung King&lt;/author&gt;&lt;author&gt;Qi, Fei&lt;/author&gt;&lt;/authors&gt;&lt;/contributors&gt;&lt;titles&gt;&lt;title&gt;Advances and challenges in laminar flame experiments and implications for combustion chemistry&lt;/title&gt;&lt;secondary-title&gt;Progress in Energy and Combustion Science&lt;/secondary-title&gt;&lt;/titles&gt;&lt;periodical&gt;&lt;full-title&gt;Progress in Energy and Combustion Science&lt;/full-title&gt;&lt;/periodical&gt;&lt;pages&gt;36-67&lt;/pages&gt;&lt;volume&gt;43&lt;/volume&gt;&lt;dates&gt;&lt;year&gt;2014&lt;/year&gt;&lt;/dates&gt;&lt;isbn&gt;0360-1285&lt;/isbn&gt;&lt;urls&gt;&lt;/urls&gt;&lt;/record&gt;&lt;/Cite&gt;&lt;/EndNote&gt;</w:instrText>
      </w:r>
      <w:r w:rsidR="00C43AE8" w:rsidRPr="00CE04FC">
        <w:rPr>
          <w:rFonts w:ascii="Times New Roman" w:hAnsi="Times New Roman" w:cs="Times New Roman"/>
        </w:rPr>
        <w:fldChar w:fldCharType="separate"/>
      </w:r>
      <w:r w:rsidR="00C43AE8" w:rsidRPr="00CE04FC">
        <w:rPr>
          <w:rFonts w:ascii="Times New Roman" w:hAnsi="Times New Roman" w:cs="Times New Roman"/>
          <w:noProof/>
        </w:rPr>
        <w:t>(Egolfopoulos et al., 2014)</w:t>
      </w:r>
      <w:r w:rsidR="00C43AE8" w:rsidRPr="00CE04FC">
        <w:rPr>
          <w:rFonts w:ascii="Times New Roman" w:hAnsi="Times New Roman" w:cs="Times New Roman"/>
        </w:rPr>
        <w:fldChar w:fldCharType="end"/>
      </w:r>
      <w:r w:rsidRPr="00CE04FC">
        <w:rPr>
          <w:rFonts w:ascii="Times New Roman" w:hAnsi="Times New Roman" w:cs="Times New Roman"/>
        </w:rPr>
        <w:t>, is particularly effective—it reduces computational costs while maintaining accuracy in uncertainty propagation, making it ideal for analysing variability in energy and manufacturing systems.</w:t>
      </w:r>
    </w:p>
    <w:p w14:paraId="3C5CBCE3" w14:textId="4CDBD93C" w:rsidR="00FA0470" w:rsidRPr="00CE04FC" w:rsidRDefault="001943BF" w:rsidP="00D27C29">
      <w:pPr>
        <w:spacing w:before="240" w:line="240" w:lineRule="auto"/>
        <w:jc w:val="both"/>
        <w:rPr>
          <w:rFonts w:ascii="Times New Roman" w:hAnsi="Times New Roman" w:cs="Times New Roman"/>
        </w:rPr>
      </w:pPr>
      <w:r w:rsidRPr="00CE04FC">
        <w:rPr>
          <w:rFonts w:ascii="Times New Roman" w:hAnsi="Times New Roman" w:cs="Times New Roman"/>
        </w:rPr>
        <w:t xml:space="preserve">Despite its importance, UQ is still underexplored in renewable-powered ammonia production. Few studies have examined how renewable supply fluctuations, process inefficiencies, and equipment variability affect outputs in hybrid ammonia systems. Extending UQ beyond ammonia synthesis to wider energy and manufacturing contexts is essential for robust, data-driven decision-making. As UQ advances, its integration into process modelling will be pivotal for improving predictive reliability and ensuring the long-term viability of sustainable production systems. </w:t>
      </w:r>
      <w:r w:rsidR="001865E4" w:rsidRPr="00CE04FC">
        <w:rPr>
          <w:rFonts w:ascii="Times New Roman" w:hAnsi="Times New Roman" w:cs="Times New Roman"/>
        </w:rPr>
        <w:t xml:space="preserve">However, </w:t>
      </w:r>
      <w:r w:rsidR="00B15297" w:rsidRPr="00CE04FC">
        <w:rPr>
          <w:rFonts w:ascii="Times New Roman" w:hAnsi="Times New Roman" w:cs="Times New Roman"/>
        </w:rPr>
        <w:t xml:space="preserve">the high </w:t>
      </w:r>
      <w:r w:rsidR="00FF7FD0" w:rsidRPr="00CE04FC">
        <w:rPr>
          <w:rFonts w:ascii="Times New Roman" w:hAnsi="Times New Roman" w:cs="Times New Roman"/>
        </w:rPr>
        <w:t>computational</w:t>
      </w:r>
      <w:r w:rsidR="00B15297" w:rsidRPr="00CE04FC">
        <w:rPr>
          <w:rFonts w:ascii="Times New Roman" w:hAnsi="Times New Roman" w:cs="Times New Roman"/>
        </w:rPr>
        <w:t xml:space="preserve"> </w:t>
      </w:r>
      <w:r w:rsidR="00B15297" w:rsidRPr="00CE04FC">
        <w:rPr>
          <w:rFonts w:ascii="Times New Roman" w:hAnsi="Times New Roman" w:cs="Times New Roman"/>
        </w:rPr>
        <w:lastRenderedPageBreak/>
        <w:t>cost of such analyses has slowed down the progress</w:t>
      </w:r>
      <w:r w:rsidR="00A259AE" w:rsidRPr="00CE04FC">
        <w:rPr>
          <w:rFonts w:ascii="Times New Roman" w:hAnsi="Times New Roman" w:cs="Times New Roman"/>
        </w:rPr>
        <w:t xml:space="preserve"> on this front</w:t>
      </w:r>
      <w:r w:rsidR="00FF7FD0" w:rsidRPr="00CE04FC">
        <w:rPr>
          <w:rFonts w:ascii="Times New Roman" w:hAnsi="Times New Roman" w:cs="Times New Roman"/>
        </w:rPr>
        <w:t xml:space="preserve">. </w:t>
      </w:r>
      <w:r w:rsidR="00FA0470" w:rsidRPr="00CE04FC">
        <w:rPr>
          <w:rFonts w:ascii="Times New Roman" w:hAnsi="Times New Roman" w:cs="Times New Roman"/>
        </w:rPr>
        <w:t>The integration of machine learning surrogates for real-time predictions remains an outstanding challenge, emphasi</w:t>
      </w:r>
      <w:r w:rsidR="00662F63" w:rsidRPr="00CE04FC">
        <w:rPr>
          <w:rFonts w:ascii="Times New Roman" w:hAnsi="Times New Roman" w:cs="Times New Roman"/>
        </w:rPr>
        <w:t>s</w:t>
      </w:r>
      <w:r w:rsidR="00FA0470" w:rsidRPr="00CE04FC">
        <w:rPr>
          <w:rFonts w:ascii="Times New Roman" w:hAnsi="Times New Roman" w:cs="Times New Roman"/>
        </w:rPr>
        <w:t xml:space="preserve">ing the need for more scalable, high-fidelity UQ approaches in multi-scale energy and </w:t>
      </w:r>
      <w:r w:rsidR="00FD7815" w:rsidRPr="00CE04FC">
        <w:rPr>
          <w:rFonts w:ascii="Times New Roman" w:hAnsi="Times New Roman" w:cs="Times New Roman"/>
        </w:rPr>
        <w:t>production</w:t>
      </w:r>
      <w:r w:rsidR="00FA0470" w:rsidRPr="00CE04FC">
        <w:rPr>
          <w:rFonts w:ascii="Times New Roman" w:hAnsi="Times New Roman" w:cs="Times New Roman"/>
        </w:rPr>
        <w:t xml:space="preserve"> systems.</w:t>
      </w:r>
      <w:r w:rsidR="0086143D" w:rsidRPr="00CE04FC">
        <w:t xml:space="preserve"> </w:t>
      </w:r>
      <w:r w:rsidR="0086143D" w:rsidRPr="00CE04FC">
        <w:rPr>
          <w:rFonts w:ascii="Times New Roman" w:hAnsi="Times New Roman" w:cs="Times New Roman"/>
        </w:rPr>
        <w:t xml:space="preserve">For example, </w:t>
      </w:r>
      <w:r w:rsidR="00DB54C0" w:rsidRPr="00CE04FC">
        <w:rPr>
          <w:rFonts w:ascii="Times New Roman" w:hAnsi="Times New Roman" w:cs="Times New Roman"/>
        </w:rPr>
        <w:fldChar w:fldCharType="begin"/>
      </w:r>
      <w:r w:rsidR="00DB54C0" w:rsidRPr="00CE04FC">
        <w:rPr>
          <w:rFonts w:ascii="Times New Roman" w:hAnsi="Times New Roman" w:cs="Times New Roman"/>
        </w:rPr>
        <w:instrText xml:space="preserve"> ADDIN EN.CITE &lt;EndNote&gt;&lt;Cite&gt;&lt;Author&gt;Soyler&lt;/Author&gt;&lt;Year&gt;2023&lt;/Year&gt;&lt;RecNum&gt;46&lt;/RecNum&gt;&lt;DisplayText&gt;(Soyler et al., 2023)&lt;/DisplayText&gt;&lt;record&gt;&lt;rec-number&gt;46&lt;/rec-number&gt;&lt;foreign-keys&gt;&lt;key app="EN" db-id="0x0z5zxatzat9oe9027xea2pe2we5dee5dez" timestamp="1745160434"&gt;46&lt;/key&gt;&lt;/foreign-keys&gt;&lt;ref-type name="Journal Article"&gt;17&lt;/ref-type&gt;&lt;contributors&gt;&lt;authors&gt;&lt;author&gt;Soyler, Israfil&lt;/author&gt;&lt;author&gt;Zhang, Kai&lt;/author&gt;&lt;author&gt;Duwig, Christophe&lt;/author&gt;&lt;author&gt;Jiang, Xi&lt;/author&gt;&lt;author&gt;Karimi, Nader&lt;/author&gt;&lt;/authors&gt;&lt;/contributors&gt;&lt;titles&gt;&lt;title&gt;Uncertainty quantification of the premixed combustion characteristics of NH3/H2/N2 fuel blends&lt;/title&gt;&lt;secondary-title&gt;International Journal of Hydrogen Energy&lt;/secondary-title&gt;&lt;/titles&gt;&lt;periodical&gt;&lt;full-title&gt;International Journal of Hydrogen Energy&lt;/full-title&gt;&lt;/periodical&gt;&lt;pages&gt;14477-14491&lt;/pages&gt;&lt;volume&gt;48&lt;/volume&gt;&lt;number&gt;38&lt;/number&gt;&lt;keywords&gt;&lt;keyword&gt;Uncertainty quantification&lt;/keyword&gt;&lt;keyword&gt;Data-driven modelling&lt;/keyword&gt;&lt;keyword&gt;Flame physicochemical properties&lt;/keyword&gt;&lt;keyword&gt;Ammonia fuel blends&lt;/keyword&gt;&lt;keyword&gt;Ammonia combustion&lt;/keyword&gt;&lt;/keywords&gt;&lt;dates&gt;&lt;year&gt;2023&lt;/year&gt;&lt;pub-dates&gt;&lt;date&gt;2023/05/01/&lt;/date&gt;&lt;/pub-dates&gt;&lt;/dates&gt;&lt;isbn&gt;0360-3199&lt;/isbn&gt;&lt;urls&gt;&lt;related-urls&gt;&lt;url&gt;https://www.sciencedirect.com/science/article/pii/S0360319922061651&lt;/url&gt;&lt;/related-urls&gt;&lt;/urls&gt;&lt;electronic-resource-num&gt;https://doi.org/10.1016/j.ijhydene.2022.12.303&lt;/electronic-resource-num&gt;&lt;/record&gt;&lt;/Cite&gt;&lt;/EndNote&gt;</w:instrText>
      </w:r>
      <w:r w:rsidR="00DB54C0" w:rsidRPr="00CE04FC">
        <w:rPr>
          <w:rFonts w:ascii="Times New Roman" w:hAnsi="Times New Roman" w:cs="Times New Roman"/>
        </w:rPr>
        <w:fldChar w:fldCharType="separate"/>
      </w:r>
      <w:r w:rsidR="00DB54C0" w:rsidRPr="00CE04FC">
        <w:rPr>
          <w:rFonts w:ascii="Times New Roman" w:hAnsi="Times New Roman" w:cs="Times New Roman"/>
          <w:noProof/>
        </w:rPr>
        <w:t>Soyler et al., 2023</w:t>
      </w:r>
      <w:r w:rsidR="00DB54C0" w:rsidRPr="00CE04FC">
        <w:rPr>
          <w:rFonts w:ascii="Times New Roman" w:hAnsi="Times New Roman" w:cs="Times New Roman"/>
        </w:rPr>
        <w:fldChar w:fldCharType="end"/>
      </w:r>
      <w:r w:rsidR="00E12F0C" w:rsidRPr="00CE04FC">
        <w:rPr>
          <w:rFonts w:ascii="Times New Roman" w:hAnsi="Times New Roman" w:cs="Times New Roman"/>
        </w:rPr>
        <w:t xml:space="preserve"> </w:t>
      </w:r>
      <w:r w:rsidR="0086143D" w:rsidRPr="00CE04FC">
        <w:rPr>
          <w:rFonts w:ascii="Times New Roman" w:hAnsi="Times New Roman" w:cs="Times New Roman"/>
        </w:rPr>
        <w:t xml:space="preserve">showed that PCE can be an efficient alternative to Monte Carlo for assessing fuel composition effects in ammonia–hydrogen flames. However, even using a one-dimensional </w:t>
      </w:r>
      <w:r w:rsidR="00D67677" w:rsidRPr="00CE04FC">
        <w:rPr>
          <w:rFonts w:ascii="Times New Roman" w:hAnsi="Times New Roman" w:cs="Times New Roman"/>
        </w:rPr>
        <w:t>model</w:t>
      </w:r>
      <w:r w:rsidR="0086143D" w:rsidRPr="00CE04FC">
        <w:rPr>
          <w:rFonts w:ascii="Times New Roman" w:hAnsi="Times New Roman" w:cs="Times New Roman"/>
        </w:rPr>
        <w:t xml:space="preserve">, their uncertainty analysis of </w:t>
      </w:r>
      <w:r w:rsidR="005C6266" w:rsidRPr="00CE04FC">
        <w:rPr>
          <w:rFonts w:ascii="Times New Roman" w:hAnsi="Times New Roman" w:cs="Times New Roman"/>
        </w:rPr>
        <w:t xml:space="preserve">the </w:t>
      </w:r>
      <w:r w:rsidR="0086143D" w:rsidRPr="00CE04FC">
        <w:rPr>
          <w:rFonts w:ascii="Times New Roman" w:hAnsi="Times New Roman" w:cs="Times New Roman"/>
        </w:rPr>
        <w:t xml:space="preserve">basic combustion </w:t>
      </w:r>
      <w:r w:rsidR="005C6266" w:rsidRPr="00CE04FC">
        <w:rPr>
          <w:rFonts w:ascii="Times New Roman" w:hAnsi="Times New Roman" w:cs="Times New Roman"/>
        </w:rPr>
        <w:t>characteristics</w:t>
      </w:r>
      <w:r w:rsidR="0086143D" w:rsidRPr="00CE04FC">
        <w:rPr>
          <w:rFonts w:ascii="Times New Roman" w:hAnsi="Times New Roman" w:cs="Times New Roman"/>
        </w:rPr>
        <w:t xml:space="preserve"> still required 6,000 CPU hours. In a subsequent study,</w:t>
      </w:r>
      <w:r w:rsidR="00DB54C0" w:rsidRPr="00CE04FC">
        <w:rPr>
          <w:rFonts w:ascii="Times New Roman" w:hAnsi="Times New Roman" w:cs="Times New Roman"/>
        </w:rPr>
        <w:t xml:space="preserve"> </w:t>
      </w:r>
      <w:r w:rsidR="00DB54C0" w:rsidRPr="00CE04FC">
        <w:rPr>
          <w:rFonts w:ascii="Times New Roman" w:hAnsi="Times New Roman" w:cs="Times New Roman"/>
        </w:rPr>
        <w:fldChar w:fldCharType="begin"/>
      </w:r>
      <w:r w:rsidR="00DB54C0" w:rsidRPr="00CE04FC">
        <w:rPr>
          <w:rFonts w:ascii="Times New Roman" w:hAnsi="Times New Roman" w:cs="Times New Roman"/>
        </w:rPr>
        <w:instrText xml:space="preserve"> ADDIN EN.CITE &lt;EndNote&gt;&lt;Cite&gt;&lt;Author&gt;Soyler&lt;/Author&gt;&lt;Year&gt;2024&lt;/Year&gt;&lt;RecNum&gt;45&lt;/RecNum&gt;&lt;DisplayText&gt;(Soyler et al., 2024)&lt;/DisplayText&gt;&lt;record&gt;&lt;rec-number&gt;45&lt;/rec-number&gt;&lt;foreign-keys&gt;&lt;key app="EN" db-id="0x0z5zxatzat9oe9027xea2pe2we5dee5dez" timestamp="1738875271"&gt;45&lt;/key&gt;&lt;/foreign-keys&gt;&lt;ref-type name="Journal Article"&gt;17&lt;/ref-type&gt;&lt;contributors&gt;&lt;authors&gt;&lt;author&gt;Soyler, Israfil&lt;/author&gt;&lt;author&gt;Zhang, Kai&lt;/author&gt;&lt;author&gt;Jiang, Xi&lt;/author&gt;&lt;author&gt;Karimi, Nader&lt;/author&gt;&lt;/authors&gt;&lt;/contributors&gt;&lt;titles&gt;&lt;title&gt;Effects of compositional uncertainties in cracked NH3/biosyngas fuel blends on the combustion characteristics and performance of a combined-cycle gas turbine: A numerical thermokinetic study&lt;/title&gt;&lt;secondary-title&gt;International Journal of Hydrogen Energy&lt;/secondary-title&gt;&lt;/titles&gt;&lt;periodical&gt;&lt;full-title&gt;International journal of hydrogen energy&lt;/full-title&gt;&lt;/periodical&gt;&lt;pages&gt;504-517&lt;/pages&gt;&lt;volume&gt;69&lt;/volume&gt;&lt;dates&gt;&lt;year&gt;2024&lt;/year&gt;&lt;/dates&gt;&lt;isbn&gt;0360-3199&lt;/isbn&gt;&lt;urls&gt;&lt;/urls&gt;&lt;/record&gt;&lt;/Cite&gt;&lt;/EndNote&gt;</w:instrText>
      </w:r>
      <w:r w:rsidR="00DB54C0" w:rsidRPr="00CE04FC">
        <w:rPr>
          <w:rFonts w:ascii="Times New Roman" w:hAnsi="Times New Roman" w:cs="Times New Roman"/>
        </w:rPr>
        <w:fldChar w:fldCharType="separate"/>
      </w:r>
      <w:r w:rsidR="00DB54C0" w:rsidRPr="00CE04FC">
        <w:rPr>
          <w:rFonts w:ascii="Times New Roman" w:hAnsi="Times New Roman" w:cs="Times New Roman"/>
          <w:noProof/>
        </w:rPr>
        <w:t>Soyler et al., 2024</w:t>
      </w:r>
      <w:r w:rsidR="00DB54C0" w:rsidRPr="00CE04FC">
        <w:rPr>
          <w:rFonts w:ascii="Times New Roman" w:hAnsi="Times New Roman" w:cs="Times New Roman"/>
        </w:rPr>
        <w:fldChar w:fldCharType="end"/>
      </w:r>
      <w:r w:rsidR="0086143D" w:rsidRPr="00CE04FC">
        <w:rPr>
          <w:rFonts w:ascii="Times New Roman" w:hAnsi="Times New Roman" w:cs="Times New Roman"/>
        </w:rPr>
        <w:t xml:space="preserve"> extended the method to NH₃/syngas combustion, requiring 1,296 samples per simulation—underscoring the persistent computational challenges in surrogate-based UQ.</w:t>
      </w:r>
    </w:p>
    <w:p w14:paraId="6B6C8B01" w14:textId="18F0020C" w:rsidR="009D7C9C" w:rsidRPr="00CE04FC" w:rsidRDefault="00BC5FA9" w:rsidP="0078115A">
      <w:pPr>
        <w:pStyle w:val="Heading2"/>
        <w:spacing w:after="0"/>
        <w:rPr>
          <w:szCs w:val="22"/>
        </w:rPr>
      </w:pPr>
      <w:r w:rsidRPr="00CE04FC">
        <w:rPr>
          <w:rFonts w:eastAsiaTheme="minorHAnsi"/>
          <w:b w:val="0"/>
          <w:szCs w:val="22"/>
        </w:rPr>
        <w:t xml:space="preserve"> </w:t>
      </w:r>
      <w:r w:rsidR="00A87B86" w:rsidRPr="00CE04FC">
        <w:rPr>
          <w:szCs w:val="22"/>
        </w:rPr>
        <w:t>Objectives and novelties</w:t>
      </w:r>
    </w:p>
    <w:p w14:paraId="4FDF769E" w14:textId="6D7008FA" w:rsidR="008A425B" w:rsidRPr="00CE04FC" w:rsidRDefault="008A425B" w:rsidP="005203F5">
      <w:pPr>
        <w:pStyle w:val="ds-markdown-paragraph"/>
        <w:shd w:val="clear" w:color="auto" w:fill="FFFFFF"/>
        <w:spacing w:before="0" w:beforeAutospacing="0" w:after="0" w:afterAutospacing="0"/>
        <w:jc w:val="both"/>
        <w:rPr>
          <w:sz w:val="22"/>
          <w:szCs w:val="22"/>
        </w:rPr>
      </w:pPr>
      <w:r w:rsidRPr="00CE04FC">
        <w:rPr>
          <w:sz w:val="22"/>
          <w:szCs w:val="22"/>
        </w:rPr>
        <w:t>The primary objective of this work is to develop a robust methodology for quantifying the effects of uncertainties from multiple sources on the performance of ammonia production systems, and ultimately on their economic and environmental outcomes. To this end, we apply UQ to a hybrid ammonia production system, where performance is affected by uncertainties in heat exchangers, compressors, and renewable power supply. As process models become increasingly complex, traditional UQ methods are computationally prohibitive. To overcome this challenge, we introduce a novel machine learning–enhanced UQ framework that integrates an artificial neural network (ANN) surrogate model with Aspen Plus simulations. The ANN is coupled with the Uncertainty Quantification Toolkit (UQTk) to enable efficient uncertainty propagation, dramatically reducing computational cost while maintaining accuracy. This framework allows extensive analysis of uncertainties in ammonia production, refrigeration generation, GHG emissions reduction, and revenue—tasks that would otherwise be intractable using conventional methods.</w:t>
      </w:r>
    </w:p>
    <w:p w14:paraId="1D6B60F9" w14:textId="4FB90719" w:rsidR="00F9668C" w:rsidRPr="00CE04FC" w:rsidRDefault="00F9668C" w:rsidP="00BC5FA9">
      <w:pPr>
        <w:pStyle w:val="ds-markdown-paragraph"/>
        <w:shd w:val="clear" w:color="auto" w:fill="FFFFFF"/>
        <w:spacing w:before="206" w:beforeAutospacing="0" w:after="206" w:afterAutospacing="0"/>
        <w:jc w:val="both"/>
        <w:rPr>
          <w:sz w:val="22"/>
          <w:szCs w:val="22"/>
        </w:rPr>
      </w:pPr>
      <w:r w:rsidRPr="00CE04FC">
        <w:rPr>
          <w:sz w:val="22"/>
          <w:szCs w:val="22"/>
        </w:rPr>
        <w:t>The key novelty of this work lies in its seamless integration of ML within the UQ framework, enabling scalable and efficient uncertainty quantification for hybridi</w:t>
      </w:r>
      <w:r w:rsidR="00662F63" w:rsidRPr="00CE04FC">
        <w:rPr>
          <w:sz w:val="22"/>
          <w:szCs w:val="22"/>
        </w:rPr>
        <w:t>s</w:t>
      </w:r>
      <w:r w:rsidRPr="00CE04FC">
        <w:rPr>
          <w:sz w:val="22"/>
          <w:szCs w:val="22"/>
        </w:rPr>
        <w:t xml:space="preserve">ed ammonia production. </w:t>
      </w:r>
      <w:r w:rsidR="00612426" w:rsidRPr="00CE04FC">
        <w:rPr>
          <w:sz w:val="22"/>
          <w:szCs w:val="22"/>
        </w:rPr>
        <w:t>T</w:t>
      </w:r>
      <w:r w:rsidR="00066AAA" w:rsidRPr="00CE04FC">
        <w:rPr>
          <w:sz w:val="22"/>
          <w:szCs w:val="22"/>
        </w:rPr>
        <w:t xml:space="preserve">o the best of our knowledge, this study presents the first uncertainty quantification analysis of such hybrid ammonia-refrigeration systems and is among the earliest to apply machine learning techniques to ammonia production more broadly. </w:t>
      </w:r>
      <w:r w:rsidRPr="00CE04FC">
        <w:rPr>
          <w:sz w:val="22"/>
          <w:szCs w:val="22"/>
        </w:rPr>
        <w:t xml:space="preserve">By replacing exhaustive simulations with an ML-based surrogate model, our approach achieves </w:t>
      </w:r>
      <w:r w:rsidR="008A30FF" w:rsidRPr="00CE04FC">
        <w:rPr>
          <w:sz w:val="22"/>
          <w:szCs w:val="22"/>
        </w:rPr>
        <w:t>remarkably high</w:t>
      </w:r>
      <w:r w:rsidR="00A95749" w:rsidRPr="00CE04FC">
        <w:rPr>
          <w:sz w:val="22"/>
          <w:szCs w:val="22"/>
        </w:rPr>
        <w:t xml:space="preserve"> </w:t>
      </w:r>
      <w:r w:rsidRPr="00CE04FC">
        <w:rPr>
          <w:sz w:val="22"/>
          <w:szCs w:val="22"/>
        </w:rPr>
        <w:t xml:space="preserve">computational efficiency without compromising </w:t>
      </w:r>
      <w:r w:rsidR="00595AF0" w:rsidRPr="00CE04FC">
        <w:rPr>
          <w:sz w:val="22"/>
          <w:szCs w:val="22"/>
        </w:rPr>
        <w:t>accuracy</w:t>
      </w:r>
      <w:r w:rsidRPr="00CE04FC">
        <w:rPr>
          <w:sz w:val="22"/>
          <w:szCs w:val="22"/>
        </w:rPr>
        <w:t>, making high-fidelity UQ feasible for complex, real-world energy systems.</w:t>
      </w:r>
    </w:p>
    <w:p w14:paraId="7E0AA599" w14:textId="77777777" w:rsidR="007C3735" w:rsidRPr="00CE04FC" w:rsidRDefault="00D75860" w:rsidP="00054F2E">
      <w:pPr>
        <w:pStyle w:val="Heading1"/>
        <w:spacing w:before="0"/>
        <w:rPr>
          <w:rFonts w:cs="Times New Roman"/>
          <w:szCs w:val="22"/>
        </w:rPr>
      </w:pPr>
      <w:r w:rsidRPr="00CE04FC">
        <w:rPr>
          <w:rFonts w:cs="Times New Roman"/>
          <w:szCs w:val="22"/>
        </w:rPr>
        <w:t>Methodolog</w:t>
      </w:r>
      <w:r w:rsidR="007C3735" w:rsidRPr="00CE04FC">
        <w:rPr>
          <w:rFonts w:cs="Times New Roman"/>
          <w:szCs w:val="22"/>
        </w:rPr>
        <w:t xml:space="preserve">y </w:t>
      </w:r>
    </w:p>
    <w:p w14:paraId="616F9BE3" w14:textId="5E390771" w:rsidR="00D75860" w:rsidRPr="00CE04FC" w:rsidRDefault="00926502" w:rsidP="00054F2E">
      <w:pPr>
        <w:pStyle w:val="Heading1"/>
        <w:numPr>
          <w:ilvl w:val="0"/>
          <w:numId w:val="0"/>
        </w:numPr>
        <w:spacing w:before="0"/>
        <w:rPr>
          <w:rFonts w:cs="Times New Roman"/>
          <w:szCs w:val="22"/>
        </w:rPr>
      </w:pPr>
      <w:r w:rsidRPr="00CE04FC">
        <w:rPr>
          <w:rFonts w:cs="Times New Roman"/>
          <w:szCs w:val="22"/>
        </w:rPr>
        <w:t>2.1 System</w:t>
      </w:r>
      <w:r w:rsidR="00D75860" w:rsidRPr="00CE04FC">
        <w:rPr>
          <w:rFonts w:cs="Times New Roman"/>
          <w:szCs w:val="22"/>
        </w:rPr>
        <w:t xml:space="preserve"> description</w:t>
      </w:r>
    </w:p>
    <w:p w14:paraId="1B013757" w14:textId="31676A8C" w:rsidR="005203F5" w:rsidRPr="00CE04FC" w:rsidRDefault="005203F5" w:rsidP="0006064F">
      <w:pPr>
        <w:spacing w:line="240" w:lineRule="auto"/>
        <w:jc w:val="both"/>
        <w:rPr>
          <w:rFonts w:ascii="Times New Roman" w:hAnsi="Times New Roman" w:cs="Times New Roman"/>
        </w:rPr>
      </w:pPr>
      <w:r w:rsidRPr="00CE04FC">
        <w:rPr>
          <w:rFonts w:ascii="Times New Roman" w:hAnsi="Times New Roman" w:cs="Times New Roman"/>
        </w:rPr>
        <w:t>Our previous study showed that integrating a green ammonia plant with a vapo</w:t>
      </w:r>
      <w:r w:rsidR="004979BD" w:rsidRPr="00CE04FC">
        <w:rPr>
          <w:rFonts w:ascii="Times New Roman" w:hAnsi="Times New Roman" w:cs="Times New Roman"/>
        </w:rPr>
        <w:t>u</w:t>
      </w:r>
      <w:r w:rsidRPr="00CE04FC">
        <w:rPr>
          <w:rFonts w:ascii="Times New Roman" w:hAnsi="Times New Roman" w:cs="Times New Roman"/>
        </w:rPr>
        <w:t xml:space="preserve">r absorption refrigeration cycle significantly improves energy and exergy efficiencies while ensuring economic viability and substantial CO₂ reduction </w:t>
      </w:r>
      <w:r w:rsidR="00421567" w:rsidRPr="00CE04FC">
        <w:rPr>
          <w:rFonts w:ascii="Times New Roman" w:hAnsi="Times New Roman" w:cs="Times New Roman"/>
        </w:rPr>
        <w:fldChar w:fldCharType="begin"/>
      </w:r>
      <w:r w:rsidR="00421567"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00421567" w:rsidRPr="00CE04FC">
        <w:rPr>
          <w:rFonts w:ascii="Times New Roman" w:hAnsi="Times New Roman" w:cs="Times New Roman"/>
        </w:rPr>
        <w:fldChar w:fldCharType="separate"/>
      </w:r>
      <w:r w:rsidR="00421567" w:rsidRPr="00CE04FC">
        <w:rPr>
          <w:rFonts w:ascii="Times New Roman" w:hAnsi="Times New Roman" w:cs="Times New Roman"/>
        </w:rPr>
        <w:t>(Anwar et al., 2024)</w:t>
      </w:r>
      <w:r w:rsidR="00421567" w:rsidRPr="00CE04FC">
        <w:rPr>
          <w:rFonts w:ascii="Times New Roman" w:hAnsi="Times New Roman" w:cs="Times New Roman"/>
        </w:rPr>
        <w:fldChar w:fldCharType="end"/>
      </w:r>
      <w:r w:rsidR="00421567" w:rsidRPr="00CE04FC">
        <w:rPr>
          <w:rFonts w:ascii="Times New Roman" w:hAnsi="Times New Roman" w:cs="Times New Roman"/>
        </w:rPr>
        <w:t xml:space="preserve">. </w:t>
      </w:r>
      <w:r w:rsidRPr="00CE04FC">
        <w:rPr>
          <w:rFonts w:ascii="Times New Roman" w:hAnsi="Times New Roman" w:cs="Times New Roman"/>
        </w:rPr>
        <w:t xml:space="preserve">However, that analysis did not consider operational uncertainties. Here, we examine six key uncertain parameters: heat exchanger effectiveness (HE1–HE4), compressor isentropic efficiency, and electrolyser input power, chosen for their strong influence on ammonia synthesis and thermal integration </w:t>
      </w:r>
      <w:r w:rsidR="00421567" w:rsidRPr="00CE04FC">
        <w:rPr>
          <w:rFonts w:ascii="Times New Roman" w:hAnsi="Times New Roman" w:cs="Times New Roman"/>
        </w:rPr>
        <w:fldChar w:fldCharType="begin"/>
      </w:r>
      <w:r w:rsidR="00421567" w:rsidRPr="00CE04FC">
        <w:rPr>
          <w:rFonts w:ascii="Times New Roman" w:hAnsi="Times New Roman" w:cs="Times New Roman"/>
        </w:rPr>
        <w:instrText xml:space="preserve"> ADDIN EN.CITE &lt;EndNote&gt;&lt;Cite&gt;&lt;Author&gt;Rajeh&lt;/Author&gt;&lt;Year&gt;2024&lt;/Year&gt;&lt;RecNum&gt;16&lt;/RecNum&gt;&lt;DisplayText&gt;(Rajeh et al., 2024)&lt;/DisplayText&gt;&lt;record&gt;&lt;rec-number&gt;16&lt;/rec-number&gt;&lt;foreign-keys&gt;&lt;key app="EN" db-id="0x0z5zxatzat9oe9027xea2pe2we5dee5dez" timestamp="1744112736"&gt;16&lt;/key&gt;&lt;/foreign-keys&gt;&lt;ref-type name="Journal Article"&gt;17&lt;/ref-type&gt;&lt;contributors&gt;&lt;authors&gt;&lt;author&gt;Rajeh, Taha&lt;/author&gt;&lt;author&gt;Al-Kbodi, Basher Hassan&lt;/author&gt;&lt;author&gt;Li, Yang&lt;/author&gt;&lt;author&gt;Zhao, Jun&lt;/author&gt;&lt;author&gt;Zayed, Mohamed E&lt;/author&gt;&lt;author&gt;Rehman, Shafiqur&lt;/author&gt;&lt;/authors&gt;&lt;/contributors&gt;&lt;titles&gt;&lt;title&gt;Comparative numerical modeling complemented with multi-objective optimization and dynamic life cycle assessment of coaxial ground heat exchangers with oval-shaped and typical circular-shaped configurations&lt;/title&gt;&lt;secondary-title&gt;Applied Thermal Engineering&lt;/secondary-title&gt;&lt;/titles&gt;&lt;periodical&gt;&lt;full-title&gt;Applied Thermal Engineering&lt;/full-title&gt;&lt;/periodical&gt;&lt;pages&gt;122673&lt;/pages&gt;&lt;volume&gt;244&lt;/volume&gt;&lt;dates&gt;&lt;year&gt;2024&lt;/year&gt;&lt;/dates&gt;&lt;isbn&gt;1359-4311&lt;/isbn&gt;&lt;urls&gt;&lt;/urls&gt;&lt;/record&gt;&lt;/Cite&gt;&lt;/EndNote&gt;</w:instrText>
      </w:r>
      <w:r w:rsidR="00421567" w:rsidRPr="00CE04FC">
        <w:rPr>
          <w:rFonts w:ascii="Times New Roman" w:hAnsi="Times New Roman" w:cs="Times New Roman"/>
        </w:rPr>
        <w:fldChar w:fldCharType="separate"/>
      </w:r>
      <w:r w:rsidR="00421567" w:rsidRPr="00CE04FC">
        <w:rPr>
          <w:rFonts w:ascii="Times New Roman" w:hAnsi="Times New Roman" w:cs="Times New Roman"/>
        </w:rPr>
        <w:t>(Rajeh et al., 2024)</w:t>
      </w:r>
      <w:r w:rsidR="00421567" w:rsidRPr="00CE04FC">
        <w:rPr>
          <w:rFonts w:ascii="Times New Roman" w:hAnsi="Times New Roman" w:cs="Times New Roman"/>
        </w:rPr>
        <w:fldChar w:fldCharType="end"/>
      </w:r>
      <w:r w:rsidRPr="00CE04FC">
        <w:rPr>
          <w:rFonts w:ascii="Times New Roman" w:hAnsi="Times New Roman" w:cs="Times New Roman"/>
        </w:rPr>
        <w:t xml:space="preserve">. Heat exchanger effectiveness can vary up to 20% due to fouling and degradation </w:t>
      </w:r>
      <w:r w:rsidR="009234F3" w:rsidRPr="00CE04FC">
        <w:rPr>
          <w:rFonts w:ascii="Times New Roman" w:hAnsi="Times New Roman" w:cs="Times New Roman"/>
        </w:rPr>
        <w:fldChar w:fldCharType="begin">
          <w:fldData xml:space="preserve">PEVuZE5vdGU+PENpdGU+PEF1dGhvcj5adWJhaXI8L0F1dGhvcj48WWVhcj4yMDAwPC9ZZWFyPjxS
ZWNOdW0+ODE8L1JlY051bT48RGlzcGxheVRleHQ+KEthcmltaSBTaG9hciBldCBhbC4sIDIwMjM7
IFBhbG1lciBldCBhbC4sIDIwMTY7IFp1YmFpciBldCBhbC4sIDIwMDApPC9EaXNwbGF5VGV4dD48
cmVjb3JkPjxyZWMtbnVtYmVyPjgxPC9yZWMtbnVtYmVyPjxmb3JlaWduLWtleXM+PGtleSBhcHA9
IkVOIiBkYi1pZD0iMHgwejV6eGF0emF0OW9lOTAyN3hlYTJwZTJ3ZTVkZWU1ZGV6IiB0aW1lc3Rh
bXA9IjE3NDY4MTU4MzgiPjgxPC9rZXk+PC9mb3JlaWduLWtleXM+PHJlZi10eXBlIG5hbWU9Ikpv
dXJuYWwgQXJ0aWNsZSI+MTc8L3JlZi10eXBlPjxjb250cmlidXRvcnM+PGF1dGhvcnM+PGF1dGhv
cj5adWJhaXIsIFN5ZWQgTTwvYXV0aG9yPjxhdXRob3I+U2hlaWtoLCBBbndhciBLPC9hdXRob3I+
PGF1dGhvcj5Zb3VuYXMsIE11aGFtbWFkPC9hdXRob3I+PGF1dGhvcj5CdWRhaXIsIE1PPC9hdXRo
b3I+PC9hdXRob3JzPjwvY29udHJpYnV0b3JzPjx0aXRsZXM+PHRpdGxlPkEgcmlzayBiYXNlZCBo
ZWF0IGV4Y2hhbmdlciBhbmFseXNpcyBzdWJqZWN0IHRvIGZvdWxpbmc6IFBhcnQgSTogUGVyZm9y
bWFuY2UgZXZhbHVhdGlvbjwvdGl0bGU+PHNlY29uZGFyeS10aXRsZT5FbmVyZ3k8L3NlY29uZGFy
eS10aXRsZT48L3RpdGxlcz48cGVyaW9kaWNhbD48ZnVsbC10aXRsZT5FbmVyZ3k8L2Z1bGwtdGl0
bGU+PC9wZXJpb2RpY2FsPjxwYWdlcz40MjctNDQzPC9wYWdlcz48dm9sdW1lPjI1PC92b2x1bWU+
PG51bWJlcj41PC9udW1iZXI+PGRhdGVzPjx5ZWFyPjIwMDA8L3llYXI+PC9kYXRlcz48aXNibj4w
MzYwLTU0NDI8L2lzYm4+PHVybHM+PC91cmxzPjwvcmVjb3JkPjwvQ2l0ZT48Q2l0ZT48QXV0aG9y
PkthcmltaSBTaG9hcjwvQXV0aG9yPjxZZWFyPjIwMjM8L1llYXI+PFJlY051bT44MDwvUmVjTnVt
PjxyZWNvcmQ+PHJlYy1udW1iZXI+ODA8L3JlYy1udW1iZXI+PGZvcmVpZ24ta2V5cz48a2V5IGFw
cD0iRU4iIGRiLWlkPSIweDB6NXp4YXR6YXQ5b2U5MDI3eGVhMnBlMndlNWRlZTVkZXoiIHRpbWVz
dGFtcD0iMTc0NjgxNTc5MyI+ODA8L2tleT48L2ZvcmVpZ24ta2V5cz48cmVmLXR5cGUgbmFtZT0i
Sm91cm5hbCBBcnRpY2xlIj4xNzwvcmVmLXR5cGU+PGNvbnRyaWJ1dG9ycz48YXV0aG9ycz48YXV0
aG9yPkthcmltaSBTaG9hciwgWmFocmE8L2F1dGhvcj48YXV0aG9yPlBvdXJwYXNoYSwgSGFkaTwv
YXV0aG9yPjxhdXRob3I+WmVpbmFsaSBIZXJpcywgU2FlZWQ8L2F1dGhvcj48YXV0aG9yPk1vdXNh
dmksIFNleWVkIEJvcmhhbjwvYXV0aG9yPjxhdXRob3I+TW9oYW1tYWRwb3VyZmFyZCwgTW91c2E8
L2F1dGhvcj48L2F1dGhvcnM+PC9jb250cmlidXRvcnM+PHRpdGxlcz48dGl0bGU+VGhlIGVmZmVj
dCBvZiBoZWF0IHRyYW5zZmVyIGNoYXJhY3RlcmlzdGljcyBvZiBtYWNyb21vbGVjdWxlIGZvdWxp
bmcgb24gaGVhdCBleGNoYW5nZXIgc3VyZmFjZTogQSBkeW5hbWljIHNpbXVsYXRpb24gc3R1ZHk8
L3RpdGxlPjxzZWNvbmRhcnktdGl0bGU+VGhlIENhbmFkaWFuIEpvdXJuYWwgb2YgQ2hlbWljYWwg
RW5naW5lZXJpbmc8L3NlY29uZGFyeS10aXRsZT48L3RpdGxlcz48cGVyaW9kaWNhbD48ZnVsbC10
aXRsZT5UaGUgQ2FuYWRpYW4gSm91cm5hbCBvZiBDaGVtaWNhbCBFbmdpbmVlcmluZzwvZnVsbC10
aXRsZT48L3BlcmlvZGljYWw+PHBhZ2VzPjU4MDItNTgxNzwvcGFnZXM+PHZvbHVtZT4xMDE8L3Zv
bHVtZT48bnVtYmVyPjEwPC9udW1iZXI+PGRhdGVzPjx5ZWFyPjIwMjM8L3llYXI+PC9kYXRlcz48
aXNibj4wMDA4LTQwMzQ8L2lzYm4+PHVybHM+PC91cmxzPjwvcmVjb3JkPjwvQ2l0ZT48Q2l0ZT48
QXV0aG9yPlBhbG1lcjwvQXV0aG9yPjxZZWFyPjIwMTY8L1llYXI+PFJlY051bT43OTwvUmVjTnVt
PjxyZWNvcmQ+PHJlYy1udW1iZXI+Nzk8L3JlYy1udW1iZXI+PGZvcmVpZ24ta2V5cz48a2V5IGFw
cD0iRU4iIGRiLWlkPSIweDB6NXp4YXR6YXQ5b2U5MDI3eGVhMnBlMndlNWRlZTVkZXoiIHRpbWVz
dGFtcD0iMTc0NjgxNTE0NyI+Nzk8L2tleT48L2ZvcmVpZ24ta2V5cz48cmVmLXR5cGUgbmFtZT0i
Sm91cm5hbCBBcnRpY2xlIj4xNzwvcmVmLXR5cGU+PGNvbnRyaWJ1dG9ycz48YXV0aG9ycz48YXV0
aG9yPlBhbG1lciwgS3lsZSBBPC9hdXRob3I+PGF1dGhvcj5IYWxlLCBXaWxsaWFtIFQ8L2F1dGhv
cj48YXV0aG9yPlN1Y2gsIEt5bGUgRDwvYXV0aG9yPjxhdXRob3I+U2hlYSwgQnJpYW4gUjwvYXV0
aG9yPjxhdXRob3I+Qm9sbGFzLCBHZW9yZ2UgTTwvYXV0aG9yPjwvYXV0aG9ycz48L2NvbnRyaWJ1
dG9ycz48dGl0bGVzPjx0aXRsZT5PcHRpbWFsIGRlc2lnbiBvZiB0ZXN0cyBmb3IgaGVhdCBleGNo
YW5nZXIgZm91bGluZyBpZGVudGlmaWNhdGlvbjwvdGl0bGU+PHNlY29uZGFyeS10aXRsZT5BcHBs
aWVkIFRoZXJtYWwgRW5naW5lZXJpbmc8L3NlY29uZGFyeS10aXRsZT48L3RpdGxlcz48cGVyaW9k
aWNhbD48ZnVsbC10aXRsZT5BcHBsaWVkIFRoZXJtYWwgRW5naW5lZXJpbmc8L2Z1bGwtdGl0bGU+
PC9wZXJpb2RpY2FsPjxwYWdlcz4zODItMzkzPC9wYWdlcz48dm9sdW1lPjk1PC92b2x1bWU+PGRh
dGVzPjx5ZWFyPjIwMTY8L3llYXI+PC9kYXRlcz48aXNibj4xMzU5LTQzMTE8L2lzYm4+PHVybHM+
PC91cmxzPjwvcmVjb3JkPjwvQ2l0ZT48L0VuZE5vdGU+
</w:fldData>
        </w:fldChar>
      </w:r>
      <w:r w:rsidR="009234F3" w:rsidRPr="00CE04FC">
        <w:rPr>
          <w:rFonts w:ascii="Times New Roman" w:hAnsi="Times New Roman" w:cs="Times New Roman"/>
        </w:rPr>
        <w:instrText xml:space="preserve"> ADDIN EN.CITE </w:instrText>
      </w:r>
      <w:r w:rsidR="009234F3" w:rsidRPr="00CE04FC">
        <w:rPr>
          <w:rFonts w:ascii="Times New Roman" w:hAnsi="Times New Roman" w:cs="Times New Roman"/>
        </w:rPr>
        <w:fldChar w:fldCharType="begin">
          <w:fldData xml:space="preserve">PEVuZE5vdGU+PENpdGU+PEF1dGhvcj5adWJhaXI8L0F1dGhvcj48WWVhcj4yMDAwPC9ZZWFyPjxS
ZWNOdW0+ODE8L1JlY051bT48RGlzcGxheVRleHQ+KEthcmltaSBTaG9hciBldCBhbC4sIDIwMjM7
IFBhbG1lciBldCBhbC4sIDIwMTY7IFp1YmFpciBldCBhbC4sIDIwMDApPC9EaXNwbGF5VGV4dD48
cmVjb3JkPjxyZWMtbnVtYmVyPjgxPC9yZWMtbnVtYmVyPjxmb3JlaWduLWtleXM+PGtleSBhcHA9
IkVOIiBkYi1pZD0iMHgwejV6eGF0emF0OW9lOTAyN3hlYTJwZTJ3ZTVkZWU1ZGV6IiB0aW1lc3Rh
bXA9IjE3NDY4MTU4MzgiPjgxPC9rZXk+PC9mb3JlaWduLWtleXM+PHJlZi10eXBlIG5hbWU9Ikpv
dXJuYWwgQXJ0aWNsZSI+MTc8L3JlZi10eXBlPjxjb250cmlidXRvcnM+PGF1dGhvcnM+PGF1dGhv
cj5adWJhaXIsIFN5ZWQgTTwvYXV0aG9yPjxhdXRob3I+U2hlaWtoLCBBbndhciBLPC9hdXRob3I+
PGF1dGhvcj5Zb3VuYXMsIE11aGFtbWFkPC9hdXRob3I+PGF1dGhvcj5CdWRhaXIsIE1PPC9hdXRo
b3I+PC9hdXRob3JzPjwvY29udHJpYnV0b3JzPjx0aXRsZXM+PHRpdGxlPkEgcmlzayBiYXNlZCBo
ZWF0IGV4Y2hhbmdlciBhbmFseXNpcyBzdWJqZWN0IHRvIGZvdWxpbmc6IFBhcnQgSTogUGVyZm9y
bWFuY2UgZXZhbHVhdGlvbjwvdGl0bGU+PHNlY29uZGFyeS10aXRsZT5FbmVyZ3k8L3NlY29uZGFy
eS10aXRsZT48L3RpdGxlcz48cGVyaW9kaWNhbD48ZnVsbC10aXRsZT5FbmVyZ3k8L2Z1bGwtdGl0
bGU+PC9wZXJpb2RpY2FsPjxwYWdlcz40MjctNDQzPC9wYWdlcz48dm9sdW1lPjI1PC92b2x1bWU+
PG51bWJlcj41PC9udW1iZXI+PGRhdGVzPjx5ZWFyPjIwMDA8L3llYXI+PC9kYXRlcz48aXNibj4w
MzYwLTU0NDI8L2lzYm4+PHVybHM+PC91cmxzPjwvcmVjb3JkPjwvQ2l0ZT48Q2l0ZT48QXV0aG9y
PkthcmltaSBTaG9hcjwvQXV0aG9yPjxZZWFyPjIwMjM8L1llYXI+PFJlY051bT44MDwvUmVjTnVt
PjxyZWNvcmQ+PHJlYy1udW1iZXI+ODA8L3JlYy1udW1iZXI+PGZvcmVpZ24ta2V5cz48a2V5IGFw
cD0iRU4iIGRiLWlkPSIweDB6NXp4YXR6YXQ5b2U5MDI3eGVhMnBlMndlNWRlZTVkZXoiIHRpbWVz
dGFtcD0iMTc0NjgxNTc5MyI+ODA8L2tleT48L2ZvcmVpZ24ta2V5cz48cmVmLXR5cGUgbmFtZT0i
Sm91cm5hbCBBcnRpY2xlIj4xNzwvcmVmLXR5cGU+PGNvbnRyaWJ1dG9ycz48YXV0aG9ycz48YXV0
aG9yPkthcmltaSBTaG9hciwgWmFocmE8L2F1dGhvcj48YXV0aG9yPlBvdXJwYXNoYSwgSGFkaTwv
YXV0aG9yPjxhdXRob3I+WmVpbmFsaSBIZXJpcywgU2FlZWQ8L2F1dGhvcj48YXV0aG9yPk1vdXNh
dmksIFNleWVkIEJvcmhhbjwvYXV0aG9yPjxhdXRob3I+TW9oYW1tYWRwb3VyZmFyZCwgTW91c2E8
L2F1dGhvcj48L2F1dGhvcnM+PC9jb250cmlidXRvcnM+PHRpdGxlcz48dGl0bGU+VGhlIGVmZmVj
dCBvZiBoZWF0IHRyYW5zZmVyIGNoYXJhY3RlcmlzdGljcyBvZiBtYWNyb21vbGVjdWxlIGZvdWxp
bmcgb24gaGVhdCBleGNoYW5nZXIgc3VyZmFjZTogQSBkeW5hbWljIHNpbXVsYXRpb24gc3R1ZHk8
L3RpdGxlPjxzZWNvbmRhcnktdGl0bGU+VGhlIENhbmFkaWFuIEpvdXJuYWwgb2YgQ2hlbWljYWwg
RW5naW5lZXJpbmc8L3NlY29uZGFyeS10aXRsZT48L3RpdGxlcz48cGVyaW9kaWNhbD48ZnVsbC10
aXRsZT5UaGUgQ2FuYWRpYW4gSm91cm5hbCBvZiBDaGVtaWNhbCBFbmdpbmVlcmluZzwvZnVsbC10
aXRsZT48L3BlcmlvZGljYWw+PHBhZ2VzPjU4MDItNTgxNzwvcGFnZXM+PHZvbHVtZT4xMDE8L3Zv
bHVtZT48bnVtYmVyPjEwPC9udW1iZXI+PGRhdGVzPjx5ZWFyPjIwMjM8L3llYXI+PC9kYXRlcz48
aXNibj4wMDA4LTQwMzQ8L2lzYm4+PHVybHM+PC91cmxzPjwvcmVjb3JkPjwvQ2l0ZT48Q2l0ZT48
QXV0aG9yPlBhbG1lcjwvQXV0aG9yPjxZZWFyPjIwMTY8L1llYXI+PFJlY051bT43OTwvUmVjTnVt
PjxyZWNvcmQ+PHJlYy1udW1iZXI+Nzk8L3JlYy1udW1iZXI+PGZvcmVpZ24ta2V5cz48a2V5IGFw
cD0iRU4iIGRiLWlkPSIweDB6NXp4YXR6YXQ5b2U5MDI3eGVhMnBlMndlNWRlZTVkZXoiIHRpbWVz
dGFtcD0iMTc0NjgxNTE0NyI+Nzk8L2tleT48L2ZvcmVpZ24ta2V5cz48cmVmLXR5cGUgbmFtZT0i
Sm91cm5hbCBBcnRpY2xlIj4xNzwvcmVmLXR5cGU+PGNvbnRyaWJ1dG9ycz48YXV0aG9ycz48YXV0
aG9yPlBhbG1lciwgS3lsZSBBPC9hdXRob3I+PGF1dGhvcj5IYWxlLCBXaWxsaWFtIFQ8L2F1dGhv
cj48YXV0aG9yPlN1Y2gsIEt5bGUgRDwvYXV0aG9yPjxhdXRob3I+U2hlYSwgQnJpYW4gUjwvYXV0
aG9yPjxhdXRob3I+Qm9sbGFzLCBHZW9yZ2UgTTwvYXV0aG9yPjwvYXV0aG9ycz48L2NvbnRyaWJ1
dG9ycz48dGl0bGVzPjx0aXRsZT5PcHRpbWFsIGRlc2lnbiBvZiB0ZXN0cyBmb3IgaGVhdCBleGNo
YW5nZXIgZm91bGluZyBpZGVudGlmaWNhdGlvbjwvdGl0bGU+PHNlY29uZGFyeS10aXRsZT5BcHBs
aWVkIFRoZXJtYWwgRW5naW5lZXJpbmc8L3NlY29uZGFyeS10aXRsZT48L3RpdGxlcz48cGVyaW9k
aWNhbD48ZnVsbC10aXRsZT5BcHBsaWVkIFRoZXJtYWwgRW5naW5lZXJpbmc8L2Z1bGwtdGl0bGU+
PC9wZXJpb2RpY2FsPjxwYWdlcz4zODItMzkzPC9wYWdlcz48dm9sdW1lPjk1PC92b2x1bWU+PGRh
dGVzPjx5ZWFyPjIwMTY8L3llYXI+PC9kYXRlcz48aXNibj4xMzU5LTQzMTE8L2lzYm4+PHVybHM+
PC91cmxzPjwvcmVjb3JkPjwvQ2l0ZT48L0VuZE5vdGU+
</w:fldData>
        </w:fldChar>
      </w:r>
      <w:r w:rsidR="009234F3" w:rsidRPr="00CE04FC">
        <w:rPr>
          <w:rFonts w:ascii="Times New Roman" w:hAnsi="Times New Roman" w:cs="Times New Roman"/>
        </w:rPr>
        <w:instrText xml:space="preserve"> ADDIN EN.CITE.DATA </w:instrText>
      </w:r>
      <w:r w:rsidR="009234F3" w:rsidRPr="00CE04FC">
        <w:rPr>
          <w:rFonts w:ascii="Times New Roman" w:hAnsi="Times New Roman" w:cs="Times New Roman"/>
        </w:rPr>
      </w:r>
      <w:r w:rsidR="009234F3" w:rsidRPr="00CE04FC">
        <w:rPr>
          <w:rFonts w:ascii="Times New Roman" w:hAnsi="Times New Roman" w:cs="Times New Roman"/>
        </w:rPr>
        <w:fldChar w:fldCharType="end"/>
      </w:r>
      <w:r w:rsidR="009234F3" w:rsidRPr="00CE04FC">
        <w:rPr>
          <w:rFonts w:ascii="Times New Roman" w:hAnsi="Times New Roman" w:cs="Times New Roman"/>
        </w:rPr>
      </w:r>
      <w:r w:rsidR="009234F3" w:rsidRPr="00CE04FC">
        <w:rPr>
          <w:rFonts w:ascii="Times New Roman" w:hAnsi="Times New Roman" w:cs="Times New Roman"/>
        </w:rPr>
        <w:fldChar w:fldCharType="separate"/>
      </w:r>
      <w:r w:rsidR="009234F3" w:rsidRPr="00CE04FC">
        <w:rPr>
          <w:rFonts w:ascii="Times New Roman" w:hAnsi="Times New Roman" w:cs="Times New Roman"/>
        </w:rPr>
        <w:t>(Karimi Shoar et al., 2023; Palmer et al., 2016; Zubair et al., 2000)</w:t>
      </w:r>
      <w:r w:rsidR="009234F3" w:rsidRPr="00CE04FC">
        <w:rPr>
          <w:rFonts w:ascii="Times New Roman" w:hAnsi="Times New Roman" w:cs="Times New Roman"/>
        </w:rPr>
        <w:fldChar w:fldCharType="end"/>
      </w:r>
      <w:r w:rsidRPr="00CE04FC">
        <w:rPr>
          <w:rFonts w:ascii="Times New Roman" w:hAnsi="Times New Roman" w:cs="Times New Roman"/>
        </w:rPr>
        <w:t xml:space="preserve">, compressor efficiency fluctuates by ~6% </w:t>
      </w:r>
      <w:r w:rsidR="00BF797A" w:rsidRPr="00CE04FC">
        <w:rPr>
          <w:rFonts w:ascii="Times New Roman" w:hAnsi="Times New Roman" w:cs="Times New Roman"/>
        </w:rPr>
        <w:fldChar w:fldCharType="begin">
          <w:fldData xml:space="preserve">PEVuZE5vdGU+PENpdGU+PEF1dGhvcj5HcmVzaDwvQXV0aG9yPjxZZWFyPjIwMTg8L1llYXI+PFJl
Y051bT40ODwvUmVjTnVtPjxEaXNwbGF5VGV4dD4oR3Jlc2gsIDIwMTg7IEphaW4gZXQgYWwuLCAy
MDEzOyBMb3UgZXQgYWwuLCAyMDEzKTwvRGlzcGxheVRleHQ+PHJlY29yZD48cmVjLW51bWJlcj40
ODwvcmVjLW51bWJlcj48Zm9yZWlnbi1rZXlzPjxrZXkgYXBwPSJFTiIgZGItaWQ9IjB4MHo1enhh
dHphdDlvZTkwMjd4ZWEycGUyd2U1ZGVlNWRleiIgdGltZXN0YW1wPSIxNzM5MDQ4Njk0Ij40ODwv
a2V5PjwvZm9yZWlnbi1rZXlzPjxyZWYtdHlwZSBuYW1lPSJCb29rIj42PC9yZWYtdHlwZT48Y29u
dHJpYnV0b3JzPjxhdXRob3JzPjxhdXRob3I+R3Jlc2gsIFRoZW9kb3JlPC9hdXRob3I+PC9hdXRo
b3JzPjwvY29udHJpYnV0b3JzPjx0aXRsZXM+PHRpdGxlPkNvbXByZXNzb3IgcGVyZm9ybWFuY2U6
IGFlcm9keW5hbWljcyBmb3IgdGhlIHVzZXI8L3RpdGxlPjwvdGl0bGVzPjxkYXRlcz48eWVhcj4y
MDE4PC95ZWFyPjwvZGF0ZXM+PHB1Ymxpc2hlcj5CdXR0ZXJ3b3J0aC1IZWluZW1hbm48L3B1Ymxp
c2hlcj48aXNibj4wMTI4MTQyMjAwPC9pc2JuPjx1cmxzPjwvdXJscz48L3JlY29yZD48L0NpdGU+
PENpdGU+PEF1dGhvcj5KYWluPC9BdXRob3I+PFllYXI+MjAxMzwvWWVhcj48UmVjTnVtPjUxPC9S
ZWNOdW0+PHJlY29yZD48cmVjLW51bWJlcj41MTwvcmVjLW51bWJlcj48Zm9yZWlnbi1rZXlzPjxr
ZXkgYXBwPSJFTiIgZGItaWQ9IjB4MHo1enhhdHphdDlvZTkwMjd4ZWEycGUyd2U1ZGVlNWRleiIg
dGltZXN0YW1wPSIxNzM5MDQ4ODQ4Ij41MTwva2V5PjwvZm9yZWlnbi1rZXlzPjxyZWYtdHlwZSBu
YW1lPSJKb3VybmFsIEFydGljbGUiPjE3PC9yZWYtdHlwZT48Y29udHJpYnV0b3JzPjxhdXRob3Jz
PjxhdXRob3I+SmFpbiwgVmFpYmhhdjwvYXV0aG9yPjxhdXRob3I+S2FjaGh3YWhhLCBTUzwvYXV0
aG9yPjxhdXRob3I+U2FjaGRldmEsIEd1bHNoYW48L2F1dGhvcj48L2F1dGhvcnM+PC9jb250cmli
dXRvcnM+PHRpdGxlcz48dGl0bGU+VGhlcm1vZHluYW1pYyBwZXJmb3JtYW5jZSBhbmFseXNpcyBv
ZiBhIHZhcG9yIGNvbXByZXNzaW9u4oCTYWJzb3JwdGlvbiBjYXNjYWRlZCByZWZyaWdlcmF0aW9u
IHN5c3RlbTwvdGl0bGU+PHNlY29uZGFyeS10aXRsZT5FbmVyZ3kgY29udmVyc2lvbiBhbmQgbWFu
YWdlbWVudDwvc2Vjb25kYXJ5LXRpdGxlPjwvdGl0bGVzPjxwZXJpb2RpY2FsPjxmdWxsLXRpdGxl
PkVuZXJneSBjb252ZXJzaW9uIGFuZCBtYW5hZ2VtZW50PC9mdWxsLXRpdGxlPjwvcGVyaW9kaWNh
bD48cGFnZXM+Njg1LTcwMDwvcGFnZXM+PHZvbHVtZT43NTwvdm9sdW1lPjxkYXRlcz48eWVhcj4y
MDEzPC95ZWFyPjwvZGF0ZXM+PGlzYm4+MDE5Ni04OTA0PC9pc2JuPjx1cmxzPjwvdXJscz48L3Jl
Y29yZD48L0NpdGU+PENpdGU+PEF1dGhvcj5Mb3U8L0F1dGhvcj48WWVhcj4yMDEzPC9ZZWFyPjxS
ZWNOdW0+NTM8L1JlY051bT48cmVjb3JkPjxyZWMtbnVtYmVyPjUzPC9yZWMtbnVtYmVyPjxmb3Jl
aWduLWtleXM+PGtleSBhcHA9IkVOIiBkYi1pZD0iMHgwejV6eGF0emF0OW9lOTAyN3hlYTJwZTJ3
ZTVkZWU1ZGV6IiB0aW1lc3RhbXA9IjE3MzkxMTkxODMiPjUzPC9rZXk+PC9mb3JlaWduLWtleXM+
PHJlZi10eXBlIG5hbWU9IkpvdXJuYWwgQXJ0aWNsZSI+MTc8L3JlZi10eXBlPjxjb250cmlidXRv
cnM+PGF1dGhvcnM+PGF1dGhvcj5Mb3UsIEZhbmd5dWFuPC9hdXRob3I+PGF1dGhvcj5GYWJpYW4s
IEpvaG48L2F1dGhvcj48YXV0aG9yPktleSwgTmljb2xlIEwuPC9hdXRob3I+PC9hdXRob3JzPjwv
Y29udHJpYnV0b3JzPjx0aXRsZXM+PHRpdGxlPlRoZSBFZmZlY3Qgb2YgR2FzIE1vZGVscyBvbiBD
b21wcmVzc29yIEVmZmljaWVuY3kgSW5jbHVkaW5nIFVuY2VydGFpbnR5PC90aXRsZT48c2Vjb25k
YXJ5LXRpdGxlPkpvdXJuYWwgb2YgRW5naW5lZXJpbmcgZm9yIEdhcyBUdXJiaW5lcyBhbmQgUG93
ZXI8L3NlY29uZGFyeS10aXRsZT48L3RpdGxlcz48cGVyaW9kaWNhbD48ZnVsbC10aXRsZT5Kb3Vy
bmFsIG9mIEVuZ2luZWVyaW5nIGZvciBHYXMgVHVyYmluZXMgYW5kIFBvd2VyPC9mdWxsLXRpdGxl
PjwvcGVyaW9kaWNhbD48dm9sdW1lPjEzNjwvdm9sdW1lPjxudW1iZXI+MTwvbnVtYmVyPjxkYXRl
cz48eWVhcj4yMDEzPC95ZWFyPjwvZGF0ZXM+PGlzYm4+MDc0Mi00Nzk1PC9pc2JuPjx1cmxzPjxy
ZWxhdGVkLXVybHM+PHVybD5odHRwczovL2RvaS5vcmcvMTAuMTExNS8xLjQwMjUzMTc8L3VybD48
L3JlbGF0ZWQtdXJscz48L3VybHM+PGVsZWN0cm9uaWMtcmVzb3VyY2UtbnVtPjEwLjExMTUvMS40
MDI1MzE3PC9lbGVjdHJvbmljLXJlc291cmNlLW51bT48YWNjZXNzLWRhdGU+Mi85LzIwMjU8L2Fj
Y2Vzcy1kYXRlPjwvcmVjb3JkPjwvQ2l0ZT48L0VuZE5vdGU+
</w:fldData>
        </w:fldChar>
      </w:r>
      <w:r w:rsidR="00BF797A" w:rsidRPr="00CE04FC">
        <w:rPr>
          <w:rFonts w:ascii="Times New Roman" w:hAnsi="Times New Roman" w:cs="Times New Roman"/>
        </w:rPr>
        <w:instrText xml:space="preserve"> ADDIN EN.CITE </w:instrText>
      </w:r>
      <w:r w:rsidR="00BF797A" w:rsidRPr="00CE04FC">
        <w:rPr>
          <w:rFonts w:ascii="Times New Roman" w:hAnsi="Times New Roman" w:cs="Times New Roman"/>
        </w:rPr>
        <w:fldChar w:fldCharType="begin">
          <w:fldData xml:space="preserve">PEVuZE5vdGU+PENpdGU+PEF1dGhvcj5HcmVzaDwvQXV0aG9yPjxZZWFyPjIwMTg8L1llYXI+PFJl
Y051bT40ODwvUmVjTnVtPjxEaXNwbGF5VGV4dD4oR3Jlc2gsIDIwMTg7IEphaW4gZXQgYWwuLCAy
MDEzOyBMb3UgZXQgYWwuLCAyMDEzKTwvRGlzcGxheVRleHQ+PHJlY29yZD48cmVjLW51bWJlcj40
ODwvcmVjLW51bWJlcj48Zm9yZWlnbi1rZXlzPjxrZXkgYXBwPSJFTiIgZGItaWQ9IjB4MHo1enhh
dHphdDlvZTkwMjd4ZWEycGUyd2U1ZGVlNWRleiIgdGltZXN0YW1wPSIxNzM5MDQ4Njk0Ij40ODwv
a2V5PjwvZm9yZWlnbi1rZXlzPjxyZWYtdHlwZSBuYW1lPSJCb29rIj42PC9yZWYtdHlwZT48Y29u
dHJpYnV0b3JzPjxhdXRob3JzPjxhdXRob3I+R3Jlc2gsIFRoZW9kb3JlPC9hdXRob3I+PC9hdXRo
b3JzPjwvY29udHJpYnV0b3JzPjx0aXRsZXM+PHRpdGxlPkNvbXByZXNzb3IgcGVyZm9ybWFuY2U6
IGFlcm9keW5hbWljcyBmb3IgdGhlIHVzZXI8L3RpdGxlPjwvdGl0bGVzPjxkYXRlcz48eWVhcj4y
MDE4PC95ZWFyPjwvZGF0ZXM+PHB1Ymxpc2hlcj5CdXR0ZXJ3b3J0aC1IZWluZW1hbm48L3B1Ymxp
c2hlcj48aXNibj4wMTI4MTQyMjAwPC9pc2JuPjx1cmxzPjwvdXJscz48L3JlY29yZD48L0NpdGU+
PENpdGU+PEF1dGhvcj5KYWluPC9BdXRob3I+PFllYXI+MjAxMzwvWWVhcj48UmVjTnVtPjUxPC9S
ZWNOdW0+PHJlY29yZD48cmVjLW51bWJlcj41MTwvcmVjLW51bWJlcj48Zm9yZWlnbi1rZXlzPjxr
ZXkgYXBwPSJFTiIgZGItaWQ9IjB4MHo1enhhdHphdDlvZTkwMjd4ZWEycGUyd2U1ZGVlNWRleiIg
dGltZXN0YW1wPSIxNzM5MDQ4ODQ4Ij41MTwva2V5PjwvZm9yZWlnbi1rZXlzPjxyZWYtdHlwZSBu
YW1lPSJKb3VybmFsIEFydGljbGUiPjE3PC9yZWYtdHlwZT48Y29udHJpYnV0b3JzPjxhdXRob3Jz
PjxhdXRob3I+SmFpbiwgVmFpYmhhdjwvYXV0aG9yPjxhdXRob3I+S2FjaGh3YWhhLCBTUzwvYXV0
aG9yPjxhdXRob3I+U2FjaGRldmEsIEd1bHNoYW48L2F1dGhvcj48L2F1dGhvcnM+PC9jb250cmli
dXRvcnM+PHRpdGxlcz48dGl0bGU+VGhlcm1vZHluYW1pYyBwZXJmb3JtYW5jZSBhbmFseXNpcyBv
ZiBhIHZhcG9yIGNvbXByZXNzaW9u4oCTYWJzb3JwdGlvbiBjYXNjYWRlZCByZWZyaWdlcmF0aW9u
IHN5c3RlbTwvdGl0bGU+PHNlY29uZGFyeS10aXRsZT5FbmVyZ3kgY29udmVyc2lvbiBhbmQgbWFu
YWdlbWVudDwvc2Vjb25kYXJ5LXRpdGxlPjwvdGl0bGVzPjxwZXJpb2RpY2FsPjxmdWxsLXRpdGxl
PkVuZXJneSBjb252ZXJzaW9uIGFuZCBtYW5hZ2VtZW50PC9mdWxsLXRpdGxlPjwvcGVyaW9kaWNh
bD48cGFnZXM+Njg1LTcwMDwvcGFnZXM+PHZvbHVtZT43NTwvdm9sdW1lPjxkYXRlcz48eWVhcj4y
MDEzPC95ZWFyPjwvZGF0ZXM+PGlzYm4+MDE5Ni04OTA0PC9pc2JuPjx1cmxzPjwvdXJscz48L3Jl
Y29yZD48L0NpdGU+PENpdGU+PEF1dGhvcj5Mb3U8L0F1dGhvcj48WWVhcj4yMDEzPC9ZZWFyPjxS
ZWNOdW0+NTM8L1JlY051bT48cmVjb3JkPjxyZWMtbnVtYmVyPjUzPC9yZWMtbnVtYmVyPjxmb3Jl
aWduLWtleXM+PGtleSBhcHA9IkVOIiBkYi1pZD0iMHgwejV6eGF0emF0OW9lOTAyN3hlYTJwZTJ3
ZTVkZWU1ZGV6IiB0aW1lc3RhbXA9IjE3MzkxMTkxODMiPjUzPC9rZXk+PC9mb3JlaWduLWtleXM+
PHJlZi10eXBlIG5hbWU9IkpvdXJuYWwgQXJ0aWNsZSI+MTc8L3JlZi10eXBlPjxjb250cmlidXRv
cnM+PGF1dGhvcnM+PGF1dGhvcj5Mb3UsIEZhbmd5dWFuPC9hdXRob3I+PGF1dGhvcj5GYWJpYW4s
IEpvaG48L2F1dGhvcj48YXV0aG9yPktleSwgTmljb2xlIEwuPC9hdXRob3I+PC9hdXRob3JzPjwv
Y29udHJpYnV0b3JzPjx0aXRsZXM+PHRpdGxlPlRoZSBFZmZlY3Qgb2YgR2FzIE1vZGVscyBvbiBD
b21wcmVzc29yIEVmZmljaWVuY3kgSW5jbHVkaW5nIFVuY2VydGFpbnR5PC90aXRsZT48c2Vjb25k
YXJ5LXRpdGxlPkpvdXJuYWwgb2YgRW5naW5lZXJpbmcgZm9yIEdhcyBUdXJiaW5lcyBhbmQgUG93
ZXI8L3NlY29uZGFyeS10aXRsZT48L3RpdGxlcz48cGVyaW9kaWNhbD48ZnVsbC10aXRsZT5Kb3Vy
bmFsIG9mIEVuZ2luZWVyaW5nIGZvciBHYXMgVHVyYmluZXMgYW5kIFBvd2VyPC9mdWxsLXRpdGxl
PjwvcGVyaW9kaWNhbD48dm9sdW1lPjEzNjwvdm9sdW1lPjxudW1iZXI+MTwvbnVtYmVyPjxkYXRl
cz48eWVhcj4yMDEzPC95ZWFyPjwvZGF0ZXM+PGlzYm4+MDc0Mi00Nzk1PC9pc2JuPjx1cmxzPjxy
ZWxhdGVkLXVybHM+PHVybD5odHRwczovL2RvaS5vcmcvMTAuMTExNS8xLjQwMjUzMTc8L3VybD48
L3JlbGF0ZWQtdXJscz48L3VybHM+PGVsZWN0cm9uaWMtcmVzb3VyY2UtbnVtPjEwLjExMTUvMS40
MDI1MzE3PC9lbGVjdHJvbmljLXJlc291cmNlLW51bT48YWNjZXNzLWRhdGU+Mi85LzIwMjU8L2Fj
Y2Vzcy1kYXRlPjwvcmVjb3JkPjwvQ2l0ZT48L0VuZE5vdGU+
</w:fldData>
        </w:fldChar>
      </w:r>
      <w:r w:rsidR="00BF797A" w:rsidRPr="00CE04FC">
        <w:rPr>
          <w:rFonts w:ascii="Times New Roman" w:hAnsi="Times New Roman" w:cs="Times New Roman"/>
        </w:rPr>
        <w:instrText xml:space="preserve"> ADDIN EN.CITE.DATA </w:instrText>
      </w:r>
      <w:r w:rsidR="00BF797A" w:rsidRPr="00CE04FC">
        <w:rPr>
          <w:rFonts w:ascii="Times New Roman" w:hAnsi="Times New Roman" w:cs="Times New Roman"/>
        </w:rPr>
      </w:r>
      <w:r w:rsidR="00BF797A" w:rsidRPr="00CE04FC">
        <w:rPr>
          <w:rFonts w:ascii="Times New Roman" w:hAnsi="Times New Roman" w:cs="Times New Roman"/>
        </w:rPr>
        <w:fldChar w:fldCharType="end"/>
      </w:r>
      <w:r w:rsidR="00BF797A" w:rsidRPr="00CE04FC">
        <w:rPr>
          <w:rFonts w:ascii="Times New Roman" w:hAnsi="Times New Roman" w:cs="Times New Roman"/>
        </w:rPr>
      </w:r>
      <w:r w:rsidR="00BF797A" w:rsidRPr="00CE04FC">
        <w:rPr>
          <w:rFonts w:ascii="Times New Roman" w:hAnsi="Times New Roman" w:cs="Times New Roman"/>
        </w:rPr>
        <w:fldChar w:fldCharType="separate"/>
      </w:r>
      <w:r w:rsidR="00BF797A" w:rsidRPr="00CE04FC">
        <w:rPr>
          <w:rFonts w:ascii="Times New Roman" w:hAnsi="Times New Roman" w:cs="Times New Roman"/>
        </w:rPr>
        <w:t>(Gresh, 2018; Jain et al., 2013; Lou et al., 2013)</w:t>
      </w:r>
      <w:r w:rsidR="00BF797A" w:rsidRPr="00CE04FC">
        <w:rPr>
          <w:rFonts w:ascii="Times New Roman" w:hAnsi="Times New Roman" w:cs="Times New Roman"/>
        </w:rPr>
        <w:fldChar w:fldCharType="end"/>
      </w:r>
      <w:r w:rsidR="009234F3" w:rsidRPr="00CE04FC">
        <w:rPr>
          <w:rFonts w:ascii="Times New Roman" w:hAnsi="Times New Roman" w:cs="Times New Roman"/>
        </w:rPr>
        <w:t>,</w:t>
      </w:r>
      <w:r w:rsidR="00BF797A" w:rsidRPr="00CE04FC">
        <w:rPr>
          <w:rFonts w:ascii="Times New Roman" w:hAnsi="Times New Roman" w:cs="Times New Roman"/>
        </w:rPr>
        <w:t xml:space="preserve"> </w:t>
      </w:r>
      <w:r w:rsidRPr="00CE04FC">
        <w:rPr>
          <w:rFonts w:ascii="Times New Roman" w:hAnsi="Times New Roman" w:cs="Times New Roman"/>
        </w:rPr>
        <w:t xml:space="preserve">and electrolyser power, from intermittent renewables, can change by up to 10% </w:t>
      </w:r>
      <w:r w:rsidR="00BF797A" w:rsidRPr="00CE04FC">
        <w:rPr>
          <w:rFonts w:ascii="Times New Roman" w:hAnsi="Times New Roman" w:cs="Times New Roman"/>
        </w:rPr>
        <w:fldChar w:fldCharType="begin">
          <w:fldData xml:space="preserve">PEVuZE5vdGU+PENpdGU+PEF1dGhvcj5TdWJlcnU8L0F1dGhvcj48WWVhcj4yMDE0PC9ZZWFyPjxS
ZWNOdW0+MjA8L1JlY051bT48RGlzcGxheVRleHQ+KExlZSBldCBhbC4sIDIwMTc7IFN1YmVydSBl
dCBhbC4sIDIwMTQ7IFZlcmxleXNlbiBldCBhbC4sIDIwMjApPC9EaXNwbGF5VGV4dD48cmVjb3Jk
PjxyZWMtbnVtYmVyPjIwPC9yZWMtbnVtYmVyPjxmb3JlaWduLWtleXM+PGtleSBhcHA9IkVOIiBk
Yi1pZD0iMHgwejV6eGF0emF0OW9lOTAyN3hlYTJwZTJ3ZTVkZWU1ZGV6IiB0aW1lc3RhbXA9IjE3
MzY3ODExMTQiPjIwPC9rZXk+PC9mb3JlaWduLWtleXM+PHJlZi10eXBlIG5hbWU9IkpvdXJuYWwg
QXJ0aWNsZSI+MTc8L3JlZi10eXBlPjxjb250cmlidXRvcnM+PGF1dGhvcnM+PGF1dGhvcj5TdWJl
cnUsIE1vaGFtbWVkIFlla2luaTwvYXV0aG9yPjxhdXRob3I+TXVzdGFmYSwgTW9oZCBXYXppcjwv
YXV0aG9yPjxhdXRob3I+QmFzaGlyLCBOb3VydWRkZWVuPC9hdXRob3I+PC9hdXRob3JzPjwvY29u
dHJpYnV0b3JzPjx0aXRsZXM+PHRpdGxlPkVuZXJneSBzdG9yYWdlIHN5c3RlbXMgZm9yIHJlbmV3
YWJsZSBlbmVyZ3kgcG93ZXIgc2VjdG9yIGludGVncmF0aW9uIGFuZCBtaXRpZ2F0aW9uIG9mIGlu
dGVybWl0dGVuY3k8L3RpdGxlPjxzZWNvbmRhcnktdGl0bGU+UmVuZXdhYmxlIGFuZCBTdXN0YWlu
YWJsZSBFbmVyZ3kgUmV2aWV3czwvc2Vjb25kYXJ5LXRpdGxlPjwvdGl0bGVzPjxwZXJpb2RpY2Fs
PjxmdWxsLXRpdGxlPlJlbmV3YWJsZSBhbmQgU3VzdGFpbmFibGUgRW5lcmd5IFJldmlld3M8L2Z1
bGwtdGl0bGU+PC9wZXJpb2RpY2FsPjxwYWdlcz40OTktNTE0PC9wYWdlcz48dm9sdW1lPjM1PC92
b2x1bWU+PGRhdGVzPjx5ZWFyPjIwMTQ8L3llYXI+PC9kYXRlcz48aXNibj4xMzY0LTAzMjE8L2lz
Ym4+PHVybHM+PC91cmxzPjwvcmVjb3JkPjwvQ2l0ZT48Q2l0ZT48QXV0aG9yPlZlcmxleXNlbjwv
QXV0aG9yPjxZZWFyPjIwMjA8L1llYXI+PFJlY051bT40MzwvUmVjTnVtPjxyZWNvcmQ+PHJlYy1u
dW1iZXI+NDM8L3JlYy1udW1iZXI+PGZvcmVpZ24ta2V5cz48a2V5IGFwcD0iRU4iIGRiLWlkPSIw
eDB6NXp4YXR6YXQ5b2U5MDI3eGVhMnBlMndlNWRlZTVkZXoiIHRpbWVzdGFtcD0iMTc0NDkyMTAx
NiI+NDM8L2tleT48L2ZvcmVpZ24ta2V5cz48cmVmLXR5cGUgbmFtZT0iSm91cm5hbCBBcnRpY2xl
Ij4xNzwvcmVmLXR5cGU+PGNvbnRyaWJ1dG9ycz48YXV0aG9ycz48YXV0aG9yPlZlcmxleXNlbiwg
S2V2aW48L2F1dGhvcj48YXV0aG9yPkNvcHBpdHRlcnMsIERpZWRlcmlrPC9hdXRob3I+PGF1dGhv
cj5QYXJlbnRlLCBBbGVzc2FuZHJvPC9hdXRob3I+PGF1dGhvcj5EZSBQYWVwZSwgV2FyZDwvYXV0
aG9yPjxhdXRob3I+Q29udGlubywgRnJhbmNlc2NvPC9hdXRob3I+PC9hdXRob3JzPjwvY29udHJp
YnV0b3JzPjx0aXRsZXM+PHRpdGxlPkhvdyBjYW4gcG93ZXItdG8tYW1tb25pYSBiZSByb2J1c3Q/
IE9wdGltaXphdGlvbiBvZiBhbiBhbW1vbmlhIHN5bnRoZXNpcyBwbGFudCBwb3dlcmVkIGJ5IGEg
d2luZCB0dXJiaW5lIGNvbnNpZGVyaW5nIG9wZXJhdGlvbmFsIHVuY2VydGFpbnRpZXM8L3RpdGxl
PjxzZWNvbmRhcnktdGl0bGU+RnVlbDwvc2Vjb25kYXJ5LXRpdGxlPjwvdGl0bGVzPjxwZXJpb2Rp
Y2FsPjxmdWxsLXRpdGxlPkZ1ZWw8L2Z1bGwtdGl0bGU+PC9wZXJpb2RpY2FsPjxwYWdlcz4xMTcw
NDk8L3BhZ2VzPjx2b2x1bWU+MjY2PC92b2x1bWU+PGRhdGVzPjx5ZWFyPjIwMjA8L3llYXI+PC9k
YXRlcz48aXNibj4wMDE2LTIzNjE8L2lzYm4+PHVybHM+PC91cmxzPjwvcmVjb3JkPjwvQ2l0ZT48
Q2l0ZT48QXV0aG9yPkxlZTwvQXV0aG9yPjxZZWFyPjIwMTc8L1llYXI+PFJlY051bT41MDwvUmVj
TnVtPjxyZWNvcmQ+PHJlYy1udW1iZXI+NTA8L3JlYy1udW1iZXI+PGZvcmVpZ24ta2V5cz48a2V5
IGFwcD0iRU4iIGRiLWlkPSIweDB6NXp4YXR6YXQ5b2U5MDI3eGVhMnBlMndlNWRlZTVkZXoiIHRp
bWVzdGFtcD0iMTczOTA0ODc3OSI+NTA8L2tleT48L2ZvcmVpZ24ta2V5cz48cmVmLXR5cGUgbmFt
ZT0iSm91cm5hbCBBcnRpY2xlIj4xNzwvcmVmLXR5cGU+PGNvbnRyaWJ1dG9ycz48YXV0aG9ycz48
YXV0aG9yPkxlZSwgQm9yZXVtPC9hdXRob3I+PGF1dGhvcj5IZW8sIEp1aGVvbjwvYXV0aG9yPjxh
dXRob3I+Q2hvaSwgTmFrIEhlb248L2F1dGhvcj48YXV0aG9yPk1vb24sIENoYW5naHdhbjwvYXV0
aG9yPjxhdXRob3I+TW9vbiwgU2FuZ2Jvbmc8L2F1dGhvcj48YXV0aG9yPkxpbSwgSGFua3dvbjwv
YXV0aG9yPjwvYXV0aG9ycz48L2NvbnRyaWJ1dG9ycz48dGl0bGVzPjx0aXRsZT5FY29ub21pYyBl
dmFsdWF0aW9uIHdpdGggdW5jZXJ0YWludHkgYW5hbHlzaXMgdXNpbmcgYSBNb250ZS1DYXJsbyBz
aW11bGF0aW9uIG1ldGhvZCBmb3IgaHlkcm9nZW4gcHJvZHVjdGlvbiBmcm9tIGhpZ2ggcHJlc3N1
cmUgUEVNIHdhdGVyIGVsZWN0cm9seXNpcyBpbiBLb3JlYTwvdGl0bGU+PHNlY29uZGFyeS10aXRs
ZT5JbnRlcm5hdGlvbmFsIGpvdXJuYWwgb2YgaHlkcm9nZW4gZW5lcmd5PC9zZWNvbmRhcnktdGl0
bGU+PC90aXRsZXM+PHBlcmlvZGljYWw+PGZ1bGwtdGl0bGU+SW50ZXJuYXRpb25hbCBqb3VybmFs
IG9mIGh5ZHJvZ2VuIGVuZXJneTwvZnVsbC10aXRsZT48L3BlcmlvZGljYWw+PHBhZ2VzPjI0NjEy
LTI0NjE5PC9wYWdlcz48dm9sdW1lPjQyPC92b2x1bWU+PG51bWJlcj4zOTwvbnVtYmVyPjxkYXRl
cz48eWVhcj4yMDE3PC95ZWFyPjwvZGF0ZXM+PGlzYm4+MDM2MC0zMTk5PC9pc2JuPjx1cmxzPjwv
dXJscz48L3JlY29yZD48L0NpdGU+PC9FbmROb3RlPn==
</w:fldData>
        </w:fldChar>
      </w:r>
      <w:r w:rsidR="00BF797A" w:rsidRPr="00CE04FC">
        <w:rPr>
          <w:rFonts w:ascii="Times New Roman" w:hAnsi="Times New Roman" w:cs="Times New Roman"/>
        </w:rPr>
        <w:instrText xml:space="preserve"> ADDIN EN.CITE </w:instrText>
      </w:r>
      <w:r w:rsidR="00BF797A" w:rsidRPr="00CE04FC">
        <w:rPr>
          <w:rFonts w:ascii="Times New Roman" w:hAnsi="Times New Roman" w:cs="Times New Roman"/>
        </w:rPr>
        <w:fldChar w:fldCharType="begin">
          <w:fldData xml:space="preserve">PEVuZE5vdGU+PENpdGU+PEF1dGhvcj5TdWJlcnU8L0F1dGhvcj48WWVhcj4yMDE0PC9ZZWFyPjxS
ZWNOdW0+MjA8L1JlY051bT48RGlzcGxheVRleHQ+KExlZSBldCBhbC4sIDIwMTc7IFN1YmVydSBl
dCBhbC4sIDIwMTQ7IFZlcmxleXNlbiBldCBhbC4sIDIwMjApPC9EaXNwbGF5VGV4dD48cmVjb3Jk
PjxyZWMtbnVtYmVyPjIwPC9yZWMtbnVtYmVyPjxmb3JlaWduLWtleXM+PGtleSBhcHA9IkVOIiBk
Yi1pZD0iMHgwejV6eGF0emF0OW9lOTAyN3hlYTJwZTJ3ZTVkZWU1ZGV6IiB0aW1lc3RhbXA9IjE3
MzY3ODExMTQiPjIwPC9rZXk+PC9mb3JlaWduLWtleXM+PHJlZi10eXBlIG5hbWU9IkpvdXJuYWwg
QXJ0aWNsZSI+MTc8L3JlZi10eXBlPjxjb250cmlidXRvcnM+PGF1dGhvcnM+PGF1dGhvcj5TdWJl
cnUsIE1vaGFtbWVkIFlla2luaTwvYXV0aG9yPjxhdXRob3I+TXVzdGFmYSwgTW9oZCBXYXppcjwv
YXV0aG9yPjxhdXRob3I+QmFzaGlyLCBOb3VydWRkZWVuPC9hdXRob3I+PC9hdXRob3JzPjwvY29u
dHJpYnV0b3JzPjx0aXRsZXM+PHRpdGxlPkVuZXJneSBzdG9yYWdlIHN5c3RlbXMgZm9yIHJlbmV3
YWJsZSBlbmVyZ3kgcG93ZXIgc2VjdG9yIGludGVncmF0aW9uIGFuZCBtaXRpZ2F0aW9uIG9mIGlu
dGVybWl0dGVuY3k8L3RpdGxlPjxzZWNvbmRhcnktdGl0bGU+UmVuZXdhYmxlIGFuZCBTdXN0YWlu
YWJsZSBFbmVyZ3kgUmV2aWV3czwvc2Vjb25kYXJ5LXRpdGxlPjwvdGl0bGVzPjxwZXJpb2RpY2Fs
PjxmdWxsLXRpdGxlPlJlbmV3YWJsZSBhbmQgU3VzdGFpbmFibGUgRW5lcmd5IFJldmlld3M8L2Z1
bGwtdGl0bGU+PC9wZXJpb2RpY2FsPjxwYWdlcz40OTktNTE0PC9wYWdlcz48dm9sdW1lPjM1PC92
b2x1bWU+PGRhdGVzPjx5ZWFyPjIwMTQ8L3llYXI+PC9kYXRlcz48aXNibj4xMzY0LTAzMjE8L2lz
Ym4+PHVybHM+PC91cmxzPjwvcmVjb3JkPjwvQ2l0ZT48Q2l0ZT48QXV0aG9yPlZlcmxleXNlbjwv
QXV0aG9yPjxZZWFyPjIwMjA8L1llYXI+PFJlY051bT40MzwvUmVjTnVtPjxyZWNvcmQ+PHJlYy1u
dW1iZXI+NDM8L3JlYy1udW1iZXI+PGZvcmVpZ24ta2V5cz48a2V5IGFwcD0iRU4iIGRiLWlkPSIw
eDB6NXp4YXR6YXQ5b2U5MDI3eGVhMnBlMndlNWRlZTVkZXoiIHRpbWVzdGFtcD0iMTc0NDkyMTAx
NiI+NDM8L2tleT48L2ZvcmVpZ24ta2V5cz48cmVmLXR5cGUgbmFtZT0iSm91cm5hbCBBcnRpY2xl
Ij4xNzwvcmVmLXR5cGU+PGNvbnRyaWJ1dG9ycz48YXV0aG9ycz48YXV0aG9yPlZlcmxleXNlbiwg
S2V2aW48L2F1dGhvcj48YXV0aG9yPkNvcHBpdHRlcnMsIERpZWRlcmlrPC9hdXRob3I+PGF1dGhv
cj5QYXJlbnRlLCBBbGVzc2FuZHJvPC9hdXRob3I+PGF1dGhvcj5EZSBQYWVwZSwgV2FyZDwvYXV0
aG9yPjxhdXRob3I+Q29udGlubywgRnJhbmNlc2NvPC9hdXRob3I+PC9hdXRob3JzPjwvY29udHJp
YnV0b3JzPjx0aXRsZXM+PHRpdGxlPkhvdyBjYW4gcG93ZXItdG8tYW1tb25pYSBiZSByb2J1c3Q/
IE9wdGltaXphdGlvbiBvZiBhbiBhbW1vbmlhIHN5bnRoZXNpcyBwbGFudCBwb3dlcmVkIGJ5IGEg
d2luZCB0dXJiaW5lIGNvbnNpZGVyaW5nIG9wZXJhdGlvbmFsIHVuY2VydGFpbnRpZXM8L3RpdGxl
PjxzZWNvbmRhcnktdGl0bGU+RnVlbDwvc2Vjb25kYXJ5LXRpdGxlPjwvdGl0bGVzPjxwZXJpb2Rp
Y2FsPjxmdWxsLXRpdGxlPkZ1ZWw8L2Z1bGwtdGl0bGU+PC9wZXJpb2RpY2FsPjxwYWdlcz4xMTcw
NDk8L3BhZ2VzPjx2b2x1bWU+MjY2PC92b2x1bWU+PGRhdGVzPjx5ZWFyPjIwMjA8L3llYXI+PC9k
YXRlcz48aXNibj4wMDE2LTIzNjE8L2lzYm4+PHVybHM+PC91cmxzPjwvcmVjb3JkPjwvQ2l0ZT48
Q2l0ZT48QXV0aG9yPkxlZTwvQXV0aG9yPjxZZWFyPjIwMTc8L1llYXI+PFJlY051bT41MDwvUmVj
TnVtPjxyZWNvcmQ+PHJlYy1udW1iZXI+NTA8L3JlYy1udW1iZXI+PGZvcmVpZ24ta2V5cz48a2V5
IGFwcD0iRU4iIGRiLWlkPSIweDB6NXp4YXR6YXQ5b2U5MDI3eGVhMnBlMndlNWRlZTVkZXoiIHRp
bWVzdGFtcD0iMTczOTA0ODc3OSI+NTA8L2tleT48L2ZvcmVpZ24ta2V5cz48cmVmLXR5cGUgbmFt
ZT0iSm91cm5hbCBBcnRpY2xlIj4xNzwvcmVmLXR5cGU+PGNvbnRyaWJ1dG9ycz48YXV0aG9ycz48
YXV0aG9yPkxlZSwgQm9yZXVtPC9hdXRob3I+PGF1dGhvcj5IZW8sIEp1aGVvbjwvYXV0aG9yPjxh
dXRob3I+Q2hvaSwgTmFrIEhlb248L2F1dGhvcj48YXV0aG9yPk1vb24sIENoYW5naHdhbjwvYXV0
aG9yPjxhdXRob3I+TW9vbiwgU2FuZ2Jvbmc8L2F1dGhvcj48YXV0aG9yPkxpbSwgSGFua3dvbjwv
YXV0aG9yPjwvYXV0aG9ycz48L2NvbnRyaWJ1dG9ycz48dGl0bGVzPjx0aXRsZT5FY29ub21pYyBl
dmFsdWF0aW9uIHdpdGggdW5jZXJ0YWludHkgYW5hbHlzaXMgdXNpbmcgYSBNb250ZS1DYXJsbyBz
aW11bGF0aW9uIG1ldGhvZCBmb3IgaHlkcm9nZW4gcHJvZHVjdGlvbiBmcm9tIGhpZ2ggcHJlc3N1
cmUgUEVNIHdhdGVyIGVsZWN0cm9seXNpcyBpbiBLb3JlYTwvdGl0bGU+PHNlY29uZGFyeS10aXRs
ZT5JbnRlcm5hdGlvbmFsIGpvdXJuYWwgb2YgaHlkcm9nZW4gZW5lcmd5PC9zZWNvbmRhcnktdGl0
bGU+PC90aXRsZXM+PHBlcmlvZGljYWw+PGZ1bGwtdGl0bGU+SW50ZXJuYXRpb25hbCBqb3VybmFs
IG9mIGh5ZHJvZ2VuIGVuZXJneTwvZnVsbC10aXRsZT48L3BlcmlvZGljYWw+PHBhZ2VzPjI0NjEy
LTI0NjE5PC9wYWdlcz48dm9sdW1lPjQyPC92b2x1bWU+PG51bWJlcj4zOTwvbnVtYmVyPjxkYXRl
cz48eWVhcj4yMDE3PC95ZWFyPjwvZGF0ZXM+PGlzYm4+MDM2MC0zMTk5PC9pc2JuPjx1cmxzPjwv
dXJscz48L3JlY29yZD48L0NpdGU+PC9FbmROb3RlPn==
</w:fldData>
        </w:fldChar>
      </w:r>
      <w:r w:rsidR="00BF797A" w:rsidRPr="00CE04FC">
        <w:rPr>
          <w:rFonts w:ascii="Times New Roman" w:hAnsi="Times New Roman" w:cs="Times New Roman"/>
        </w:rPr>
        <w:instrText xml:space="preserve"> ADDIN EN.CITE.DATA </w:instrText>
      </w:r>
      <w:r w:rsidR="00BF797A" w:rsidRPr="00CE04FC">
        <w:rPr>
          <w:rFonts w:ascii="Times New Roman" w:hAnsi="Times New Roman" w:cs="Times New Roman"/>
        </w:rPr>
      </w:r>
      <w:r w:rsidR="00BF797A" w:rsidRPr="00CE04FC">
        <w:rPr>
          <w:rFonts w:ascii="Times New Roman" w:hAnsi="Times New Roman" w:cs="Times New Roman"/>
        </w:rPr>
        <w:fldChar w:fldCharType="end"/>
      </w:r>
      <w:r w:rsidR="00BF797A" w:rsidRPr="00CE04FC">
        <w:rPr>
          <w:rFonts w:ascii="Times New Roman" w:hAnsi="Times New Roman" w:cs="Times New Roman"/>
        </w:rPr>
      </w:r>
      <w:r w:rsidR="00BF797A" w:rsidRPr="00CE04FC">
        <w:rPr>
          <w:rFonts w:ascii="Times New Roman" w:hAnsi="Times New Roman" w:cs="Times New Roman"/>
        </w:rPr>
        <w:fldChar w:fldCharType="separate"/>
      </w:r>
      <w:r w:rsidR="00BF797A" w:rsidRPr="00CE04FC">
        <w:rPr>
          <w:rFonts w:ascii="Times New Roman" w:hAnsi="Times New Roman" w:cs="Times New Roman"/>
        </w:rPr>
        <w:t>(Lee et al., 2017; Suberu et al., 2014; Verleysen et al., 2020)</w:t>
      </w:r>
      <w:r w:rsidR="00BF797A" w:rsidRPr="00CE04FC">
        <w:rPr>
          <w:rFonts w:ascii="Times New Roman" w:hAnsi="Times New Roman" w:cs="Times New Roman"/>
        </w:rPr>
        <w:fldChar w:fldCharType="end"/>
      </w:r>
      <w:r w:rsidR="009234F3" w:rsidRPr="00CE04FC">
        <w:rPr>
          <w:rFonts w:ascii="Times New Roman" w:hAnsi="Times New Roman" w:cs="Times New Roman"/>
        </w:rPr>
        <w:t>.</w:t>
      </w:r>
    </w:p>
    <w:p w14:paraId="7B8D3638" w14:textId="7CF31CDF" w:rsidR="00D75860" w:rsidRPr="00CE04FC" w:rsidRDefault="00EA7818" w:rsidP="00D75860">
      <w:pPr>
        <w:spacing w:line="240" w:lineRule="auto"/>
        <w:jc w:val="both"/>
        <w:rPr>
          <w:rFonts w:ascii="Times New Roman" w:hAnsi="Times New Roman" w:cs="Times New Roman"/>
        </w:rPr>
      </w:pPr>
      <w:r w:rsidRPr="00CE04FC">
        <w:rPr>
          <w:rFonts w:ascii="Times New Roman" w:hAnsi="Times New Roman" w:cs="Times New Roman"/>
        </w:rPr>
        <w:t xml:space="preserve">The schematic diagram shown in </w:t>
      </w:r>
      <w:r w:rsidRPr="00CE04FC">
        <w:rPr>
          <w:rFonts w:ascii="Times New Roman" w:hAnsi="Times New Roman" w:cs="Times New Roman"/>
        </w:rPr>
        <w:fldChar w:fldCharType="begin"/>
      </w:r>
      <w:r w:rsidRPr="00CE04FC">
        <w:rPr>
          <w:rFonts w:ascii="Times New Roman" w:hAnsi="Times New Roman" w:cs="Times New Roman"/>
        </w:rPr>
        <w:instrText xml:space="preserve"> REF _Ref187150570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w:t>
      </w:r>
      <w:r w:rsidRPr="00CE04FC">
        <w:rPr>
          <w:rFonts w:ascii="Times New Roman" w:hAnsi="Times New Roman" w:cs="Times New Roman"/>
        </w:rPr>
        <w:fldChar w:fldCharType="end"/>
      </w:r>
      <w:r w:rsidRPr="00CE04FC">
        <w:rPr>
          <w:rFonts w:ascii="Times New Roman" w:hAnsi="Times New Roman" w:cs="Times New Roman"/>
        </w:rPr>
        <w:t xml:space="preserve"> represents the integrated system combining a power to hydrogen unit with Haber-Bosch</w:t>
      </w:r>
      <w:r w:rsidR="00261BB9" w:rsidRPr="00CE04FC">
        <w:rPr>
          <w:rFonts w:ascii="Times New Roman" w:hAnsi="Times New Roman" w:cs="Times New Roman"/>
        </w:rPr>
        <w:t xml:space="preserve"> (HB)</w:t>
      </w:r>
      <w:r w:rsidRPr="00CE04FC">
        <w:rPr>
          <w:rFonts w:ascii="Times New Roman" w:hAnsi="Times New Roman" w:cs="Times New Roman"/>
        </w:rPr>
        <w:t xml:space="preserve"> process and waste heat recovery (WHR) i.e. vapo</w:t>
      </w:r>
      <w:r w:rsidR="0010691A" w:rsidRPr="00CE04FC">
        <w:rPr>
          <w:rFonts w:ascii="Times New Roman" w:hAnsi="Times New Roman" w:cs="Times New Roman"/>
        </w:rPr>
        <w:t>u</w:t>
      </w:r>
      <w:r w:rsidRPr="00CE04FC">
        <w:rPr>
          <w:rFonts w:ascii="Times New Roman" w:hAnsi="Times New Roman" w:cs="Times New Roman"/>
        </w:rPr>
        <w:t xml:space="preserve">r absorption refrigeration cycle (VARC). </w:t>
      </w:r>
      <w:r w:rsidR="00D75860" w:rsidRPr="00CE04FC">
        <w:rPr>
          <w:rFonts w:ascii="Times New Roman" w:hAnsi="Times New Roman" w:cs="Times New Roman"/>
        </w:rPr>
        <w:t xml:space="preserve">The power to hydrogen and </w:t>
      </w:r>
      <w:r w:rsidR="00484DC5" w:rsidRPr="00CE04FC">
        <w:rPr>
          <w:rFonts w:ascii="Times New Roman" w:hAnsi="Times New Roman" w:cs="Times New Roman"/>
        </w:rPr>
        <w:t>H</w:t>
      </w:r>
      <w:r w:rsidR="0063465A" w:rsidRPr="00CE04FC">
        <w:rPr>
          <w:rFonts w:ascii="Times New Roman" w:hAnsi="Times New Roman" w:cs="Times New Roman"/>
        </w:rPr>
        <w:t>B</w:t>
      </w:r>
      <w:r w:rsidR="00D75860" w:rsidRPr="00CE04FC">
        <w:rPr>
          <w:rFonts w:ascii="Times New Roman" w:hAnsi="Times New Roman" w:cs="Times New Roman"/>
        </w:rPr>
        <w:t xml:space="preserve"> </w:t>
      </w:r>
      <w:r w:rsidR="00AC4AAC" w:rsidRPr="00CE04FC">
        <w:rPr>
          <w:rFonts w:ascii="Times New Roman" w:hAnsi="Times New Roman" w:cs="Times New Roman"/>
        </w:rPr>
        <w:t>sub-</w:t>
      </w:r>
      <w:r w:rsidR="00D75860" w:rsidRPr="00CE04FC">
        <w:rPr>
          <w:rFonts w:ascii="Times New Roman" w:hAnsi="Times New Roman" w:cs="Times New Roman"/>
        </w:rPr>
        <w:t>systems utilises air, water, and renewable power as inputs, producing green ammonia as the primary output and generating waste thermal energy as a byproduct.</w:t>
      </w:r>
      <w:r w:rsidR="00F23935" w:rsidRPr="00CE04FC">
        <w:rPr>
          <w:rFonts w:ascii="Times New Roman" w:hAnsi="Times New Roman" w:cs="Times New Roman"/>
        </w:rPr>
        <w:t xml:space="preserve"> </w:t>
      </w:r>
      <w:r w:rsidR="008741C4" w:rsidRPr="00CE04FC">
        <w:rPr>
          <w:rFonts w:ascii="Times New Roman" w:hAnsi="Times New Roman" w:cs="Times New Roman"/>
        </w:rPr>
        <w:t>It is assumed that the renewable power input undergoes gradual, non-abrupt fluctuations, allowing the system to be modelled under quasi-steady-state conditions for the purpose of uncertainty quantification.</w:t>
      </w:r>
      <w:r w:rsidR="00D75860" w:rsidRPr="00CE04FC">
        <w:rPr>
          <w:rFonts w:ascii="Times New Roman" w:hAnsi="Times New Roman" w:cs="Times New Roman"/>
        </w:rPr>
        <w:t xml:space="preserve"> This waste heat is effectively harnessed by VARC for refrigeration production, thus forming a hybridised ammonia synthesis plant. The refrigeration output from VARC represents a low carbon energy vector with significant economic value </w:t>
      </w:r>
      <w:r w:rsidR="00D75860"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00D75860" w:rsidRPr="00CE04FC">
        <w:rPr>
          <w:rFonts w:ascii="Times New Roman" w:hAnsi="Times New Roman" w:cs="Times New Roman"/>
        </w:rPr>
        <w:fldChar w:fldCharType="separate"/>
      </w:r>
      <w:r w:rsidR="00063EF7" w:rsidRPr="00CE04FC">
        <w:rPr>
          <w:rFonts w:ascii="Times New Roman" w:hAnsi="Times New Roman" w:cs="Times New Roman"/>
        </w:rPr>
        <w:t>(Anwar et al., 2024)</w:t>
      </w:r>
      <w:r w:rsidR="00D75860" w:rsidRPr="00CE04FC">
        <w:rPr>
          <w:rFonts w:ascii="Times New Roman" w:hAnsi="Times New Roman" w:cs="Times New Roman"/>
        </w:rPr>
        <w:fldChar w:fldCharType="end"/>
      </w:r>
      <w:r w:rsidR="00D75860" w:rsidRPr="00CE04FC">
        <w:rPr>
          <w:rFonts w:ascii="Times New Roman" w:hAnsi="Times New Roman" w:cs="Times New Roman"/>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E04FC" w:rsidRPr="00CE04FC" w14:paraId="2B90A5C7" w14:textId="77777777" w:rsidTr="007D40E1">
        <w:trPr>
          <w:jc w:val="center"/>
        </w:trPr>
        <w:tc>
          <w:tcPr>
            <w:tcW w:w="9016" w:type="dxa"/>
          </w:tcPr>
          <w:p w14:paraId="73660311"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lastRenderedPageBreak/>
              <w:drawing>
                <wp:inline distT="0" distB="0" distL="0" distR="0" wp14:anchorId="4B25265E" wp14:editId="6B3DD1B1">
                  <wp:extent cx="5731510" cy="1564005"/>
                  <wp:effectExtent l="0" t="0" r="2540" b="0"/>
                  <wp:docPr id="1533916236" name="Picture 1" descr="A diagram of a chem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16236" name="Picture 1" descr="A diagram of a chemical process&#10;&#10;Description automatically generated"/>
                          <pic:cNvPicPr/>
                        </pic:nvPicPr>
                        <pic:blipFill>
                          <a:blip r:embed="rId6"/>
                          <a:stretch>
                            <a:fillRect/>
                          </a:stretch>
                        </pic:blipFill>
                        <pic:spPr>
                          <a:xfrm>
                            <a:off x="0" y="0"/>
                            <a:ext cx="5731510" cy="1564005"/>
                          </a:xfrm>
                          <a:prstGeom prst="rect">
                            <a:avLst/>
                          </a:prstGeom>
                        </pic:spPr>
                      </pic:pic>
                    </a:graphicData>
                  </a:graphic>
                </wp:inline>
              </w:drawing>
            </w:r>
          </w:p>
        </w:tc>
      </w:tr>
      <w:tr w:rsidR="00CE04FC" w:rsidRPr="00CE04FC" w14:paraId="66328D67" w14:textId="77777777" w:rsidTr="007D40E1">
        <w:trPr>
          <w:jc w:val="center"/>
        </w:trPr>
        <w:tc>
          <w:tcPr>
            <w:tcW w:w="9016" w:type="dxa"/>
          </w:tcPr>
          <w:p w14:paraId="67348DD8" w14:textId="2BFBA116" w:rsidR="00D75860" w:rsidRPr="00CE04FC" w:rsidRDefault="00D75860" w:rsidP="00D75860">
            <w:pPr>
              <w:spacing w:after="200"/>
              <w:jc w:val="center"/>
              <w:rPr>
                <w:rFonts w:ascii="Times New Roman" w:hAnsi="Times New Roman" w:cs="Times New Roman"/>
              </w:rPr>
            </w:pPr>
            <w:bookmarkStart w:id="0" w:name="_Ref187150570"/>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w:t>
            </w:r>
            <w:r w:rsidRPr="00CE04FC">
              <w:rPr>
                <w:rFonts w:ascii="Times New Roman" w:hAnsi="Times New Roman" w:cs="Times New Roman"/>
              </w:rPr>
              <w:fldChar w:fldCharType="end"/>
            </w:r>
            <w:bookmarkEnd w:id="0"/>
            <w:r w:rsidRPr="00CE04FC">
              <w:rPr>
                <w:rFonts w:ascii="Times New Roman" w:hAnsi="Times New Roman" w:cs="Times New Roman"/>
              </w:rPr>
              <w:t xml:space="preserve"> Schematic of the investigated power to hydrogen and HB </w:t>
            </w:r>
            <w:r w:rsidR="00AC4AAC" w:rsidRPr="00CE04FC">
              <w:rPr>
                <w:rFonts w:ascii="Times New Roman" w:hAnsi="Times New Roman" w:cs="Times New Roman"/>
              </w:rPr>
              <w:t>sub-</w:t>
            </w:r>
            <w:r w:rsidRPr="00CE04FC">
              <w:rPr>
                <w:rFonts w:ascii="Times New Roman" w:hAnsi="Times New Roman" w:cs="Times New Roman"/>
              </w:rPr>
              <w:t xml:space="preserve">system integrated with VARC, forming the hybridised ammonia production system. </w:t>
            </w:r>
          </w:p>
        </w:tc>
      </w:tr>
    </w:tbl>
    <w:p w14:paraId="3C67A4E0" w14:textId="133CFD0C" w:rsidR="00D75860" w:rsidRPr="00CE04FC" w:rsidRDefault="00AC4ACA" w:rsidP="00C52BB3">
      <w:pPr>
        <w:pStyle w:val="Heading2"/>
        <w:spacing w:after="0"/>
      </w:pPr>
      <w:r w:rsidRPr="00CE04FC">
        <w:t xml:space="preserve"> </w:t>
      </w:r>
      <w:r w:rsidR="00D75860" w:rsidRPr="00CE04FC">
        <w:t>Aspen Plus model</w:t>
      </w:r>
    </w:p>
    <w:p w14:paraId="57D9C2BA" w14:textId="7B07529D" w:rsidR="00720D48" w:rsidRPr="00CE04FC" w:rsidRDefault="005422F1" w:rsidP="00720D48">
      <w:pPr>
        <w:spacing w:after="100" w:afterAutospacing="1" w:line="240" w:lineRule="auto"/>
        <w:jc w:val="both"/>
        <w:rPr>
          <w:rFonts w:ascii="Times New Roman" w:hAnsi="Times New Roman" w:cs="Times New Roman"/>
        </w:rPr>
      </w:pPr>
      <w:r w:rsidRPr="00CE04FC">
        <w:rPr>
          <w:rFonts w:ascii="Times New Roman" w:hAnsi="Times New Roman" w:cs="Times New Roman"/>
        </w:rPr>
        <w:t>Aspen Plus V11</w:t>
      </w:r>
      <w:r w:rsidR="00B36D86" w:rsidRPr="00CE04FC">
        <w:rPr>
          <w:rFonts w:ascii="Times New Roman" w:hAnsi="Times New Roman" w:cs="Times New Roman"/>
        </w:rPr>
        <w:t xml:space="preserve"> </w:t>
      </w:r>
      <w:r w:rsidR="00724C43" w:rsidRPr="00CE04FC">
        <w:rPr>
          <w:rFonts w:ascii="Times New Roman" w:hAnsi="Times New Roman" w:cs="Times New Roman"/>
        </w:rPr>
        <w:t>was used to conduct p</w:t>
      </w:r>
      <w:r w:rsidR="00720D48" w:rsidRPr="00CE04FC">
        <w:rPr>
          <w:rFonts w:ascii="Times New Roman" w:hAnsi="Times New Roman" w:cs="Times New Roman"/>
        </w:rPr>
        <w:t>rocess simulations. A detailed illustration of Aspen Plus</w:t>
      </w:r>
      <w:r w:rsidR="0070002D" w:rsidRPr="00CE04FC">
        <w:rPr>
          <w:rFonts w:ascii="Times New Roman" w:hAnsi="Times New Roman" w:cs="Times New Roman"/>
        </w:rPr>
        <w:t xml:space="preserve"> simulation</w:t>
      </w:r>
      <w:r w:rsidR="00720D48" w:rsidRPr="00CE04FC">
        <w:rPr>
          <w:rFonts w:ascii="Times New Roman" w:hAnsi="Times New Roman" w:cs="Times New Roman"/>
        </w:rPr>
        <w:t xml:space="preserve"> model</w:t>
      </w:r>
      <w:r w:rsidR="0070002D" w:rsidRPr="00CE04FC">
        <w:rPr>
          <w:rFonts w:ascii="Times New Roman" w:hAnsi="Times New Roman" w:cs="Times New Roman"/>
        </w:rPr>
        <w:t>s</w:t>
      </w:r>
      <w:r w:rsidR="00720D48" w:rsidRPr="00CE04FC">
        <w:rPr>
          <w:rFonts w:ascii="Times New Roman" w:hAnsi="Times New Roman" w:cs="Times New Roman"/>
        </w:rPr>
        <w:t xml:space="preserve"> of the hybridised ammonia production system, </w:t>
      </w:r>
      <w:r w:rsidR="00AE4747" w:rsidRPr="00CE04FC">
        <w:rPr>
          <w:rFonts w:ascii="Times New Roman" w:hAnsi="Times New Roman" w:cs="Times New Roman"/>
        </w:rPr>
        <w:t>incorporating</w:t>
      </w:r>
      <w:r w:rsidR="00720D48" w:rsidRPr="00CE04FC">
        <w:rPr>
          <w:rFonts w:ascii="Times New Roman" w:hAnsi="Times New Roman" w:cs="Times New Roman"/>
        </w:rPr>
        <w:t xml:space="preserve"> an</w:t>
      </w:r>
      <w:r w:rsidR="007C5CA9" w:rsidRPr="00CE04FC">
        <w:rPr>
          <w:rFonts w:ascii="Times New Roman" w:hAnsi="Times New Roman" w:cs="Times New Roman"/>
        </w:rPr>
        <w:t xml:space="preserve"> alkaline water electrolyser (AWE</w:t>
      </w:r>
      <w:r w:rsidR="00105CA6" w:rsidRPr="00CE04FC">
        <w:rPr>
          <w:rFonts w:ascii="Times New Roman" w:hAnsi="Times New Roman" w:cs="Times New Roman"/>
        </w:rPr>
        <w:t>), air</w:t>
      </w:r>
      <w:r w:rsidR="00720D48" w:rsidRPr="00CE04FC">
        <w:rPr>
          <w:rFonts w:ascii="Times New Roman" w:hAnsi="Times New Roman" w:cs="Times New Roman"/>
        </w:rPr>
        <w:t xml:space="preserve"> separation unit</w:t>
      </w:r>
      <w:r w:rsidR="00AE4747" w:rsidRPr="00CE04FC">
        <w:rPr>
          <w:rFonts w:ascii="Times New Roman" w:hAnsi="Times New Roman" w:cs="Times New Roman"/>
        </w:rPr>
        <w:t xml:space="preserve"> (ASU)</w:t>
      </w:r>
      <w:r w:rsidR="00720D48" w:rsidRPr="00CE04FC">
        <w:rPr>
          <w:rFonts w:ascii="Times New Roman" w:hAnsi="Times New Roman" w:cs="Times New Roman"/>
        </w:rPr>
        <w:t xml:space="preserve">, and </w:t>
      </w:r>
      <w:r w:rsidR="00A6055C" w:rsidRPr="00CE04FC">
        <w:rPr>
          <w:rFonts w:ascii="Times New Roman" w:hAnsi="Times New Roman" w:cs="Times New Roman"/>
        </w:rPr>
        <w:t>VARC</w:t>
      </w:r>
      <w:r w:rsidR="00720D48" w:rsidRPr="00CE04FC">
        <w:rPr>
          <w:rFonts w:ascii="Times New Roman" w:hAnsi="Times New Roman" w:cs="Times New Roman"/>
        </w:rPr>
        <w:t xml:space="preserve">, is shown in </w:t>
      </w:r>
      <w:r w:rsidR="00720D48" w:rsidRPr="00CE04FC">
        <w:rPr>
          <w:rFonts w:ascii="Times New Roman" w:hAnsi="Times New Roman" w:cs="Times New Roman"/>
        </w:rPr>
        <w:fldChar w:fldCharType="begin"/>
      </w:r>
      <w:r w:rsidR="00720D48" w:rsidRPr="00CE04FC">
        <w:rPr>
          <w:rFonts w:ascii="Times New Roman" w:hAnsi="Times New Roman" w:cs="Times New Roman"/>
        </w:rPr>
        <w:instrText xml:space="preserve"> REF _Ref187150991 \h  \* MERGEFORMAT </w:instrText>
      </w:r>
      <w:r w:rsidR="00720D48" w:rsidRPr="00CE04FC">
        <w:rPr>
          <w:rFonts w:ascii="Times New Roman" w:hAnsi="Times New Roman" w:cs="Times New Roman"/>
        </w:rPr>
      </w:r>
      <w:r w:rsidR="00720D48" w:rsidRPr="00CE04FC">
        <w:rPr>
          <w:rFonts w:ascii="Times New Roman" w:hAnsi="Times New Roman" w:cs="Times New Roman"/>
        </w:rPr>
        <w:fldChar w:fldCharType="separate"/>
      </w:r>
      <w:r w:rsidR="001476C8" w:rsidRPr="00CE04FC">
        <w:rPr>
          <w:rFonts w:ascii="Times New Roman" w:hAnsi="Times New Roman" w:cs="Times New Roman"/>
        </w:rPr>
        <w:t>Figure 2</w:t>
      </w:r>
      <w:r w:rsidR="00720D48" w:rsidRPr="00CE04FC">
        <w:rPr>
          <w:rFonts w:ascii="Times New Roman" w:hAnsi="Times New Roman" w:cs="Times New Roman"/>
        </w:rPr>
        <w:fldChar w:fldCharType="end"/>
      </w:r>
      <w:r w:rsidR="00720D48" w:rsidRPr="00CE04FC">
        <w:rPr>
          <w:rFonts w:ascii="Times New Roman" w:hAnsi="Times New Roman" w:cs="Times New Roman"/>
        </w:rPr>
        <w:t>. In this system, nitrogen was produced through the</w:t>
      </w:r>
      <w:r w:rsidR="00A108ED" w:rsidRPr="00CE04FC">
        <w:rPr>
          <w:rFonts w:ascii="Times New Roman" w:hAnsi="Times New Roman" w:cs="Times New Roman"/>
        </w:rPr>
        <w:t xml:space="preserve"> </w:t>
      </w:r>
      <w:r w:rsidR="00720D48" w:rsidRPr="00CE04FC">
        <w:rPr>
          <w:rFonts w:ascii="Times New Roman" w:hAnsi="Times New Roman" w:cs="Times New Roman"/>
        </w:rPr>
        <w:t xml:space="preserve">ASU, hydrogen was generated via </w:t>
      </w:r>
      <w:r w:rsidR="007B2C82" w:rsidRPr="00CE04FC">
        <w:rPr>
          <w:rFonts w:ascii="Times New Roman" w:hAnsi="Times New Roman" w:cs="Times New Roman"/>
        </w:rPr>
        <w:t>AWE</w:t>
      </w:r>
      <w:r w:rsidR="002618DB" w:rsidRPr="00CE04FC">
        <w:rPr>
          <w:rFonts w:ascii="Times New Roman" w:hAnsi="Times New Roman" w:cs="Times New Roman"/>
        </w:rPr>
        <w:t xml:space="preserve">. During electrolysis, </w:t>
      </w:r>
      <w:r w:rsidR="00720D48" w:rsidRPr="00CE04FC">
        <w:rPr>
          <w:rFonts w:ascii="Times New Roman" w:hAnsi="Times New Roman" w:cs="Times New Roman"/>
        </w:rPr>
        <w:t xml:space="preserve">water </w:t>
      </w:r>
      <w:r w:rsidR="001266BA" w:rsidRPr="00CE04FC">
        <w:rPr>
          <w:rFonts w:ascii="Times New Roman" w:hAnsi="Times New Roman" w:cs="Times New Roman"/>
        </w:rPr>
        <w:t>wa</w:t>
      </w:r>
      <w:r w:rsidR="00720D48" w:rsidRPr="00CE04FC">
        <w:rPr>
          <w:rFonts w:ascii="Times New Roman" w:hAnsi="Times New Roman" w:cs="Times New Roman"/>
        </w:rPr>
        <w:t>s decomposed in the electrolyser</w:t>
      </w:r>
      <w:r w:rsidR="001266BA" w:rsidRPr="00CE04FC">
        <w:rPr>
          <w:rFonts w:ascii="Times New Roman" w:hAnsi="Times New Roman" w:cs="Times New Roman"/>
        </w:rPr>
        <w:t>, producing</w:t>
      </w:r>
      <w:r w:rsidR="00720D48" w:rsidRPr="00CE04FC">
        <w:rPr>
          <w:rFonts w:ascii="Times New Roman" w:hAnsi="Times New Roman" w:cs="Times New Roman"/>
        </w:rPr>
        <w:t xml:space="preserve"> hydrogen and oxygen. The</w:t>
      </w:r>
      <w:r w:rsidR="001266BA" w:rsidRPr="00CE04FC">
        <w:rPr>
          <w:rFonts w:ascii="Times New Roman" w:hAnsi="Times New Roman" w:cs="Times New Roman"/>
        </w:rPr>
        <w:t xml:space="preserve"> resulting</w:t>
      </w:r>
      <w:r w:rsidR="00720D48" w:rsidRPr="00CE04FC">
        <w:rPr>
          <w:rFonts w:ascii="Times New Roman" w:hAnsi="Times New Roman" w:cs="Times New Roman"/>
        </w:rPr>
        <w:t xml:space="preserve"> hydrogen and nitrogen streams were </w:t>
      </w:r>
      <w:r w:rsidR="00A71836" w:rsidRPr="00CE04FC">
        <w:rPr>
          <w:rFonts w:ascii="Times New Roman" w:hAnsi="Times New Roman" w:cs="Times New Roman"/>
        </w:rPr>
        <w:t xml:space="preserve">then supplied to the </w:t>
      </w:r>
      <w:r w:rsidR="00720D48" w:rsidRPr="00CE04FC">
        <w:rPr>
          <w:rFonts w:ascii="Times New Roman" w:hAnsi="Times New Roman" w:cs="Times New Roman"/>
        </w:rPr>
        <w:t xml:space="preserve">HB </w:t>
      </w:r>
      <w:r w:rsidR="00AC4AAC" w:rsidRPr="00CE04FC">
        <w:rPr>
          <w:rFonts w:ascii="Times New Roman" w:hAnsi="Times New Roman" w:cs="Times New Roman"/>
        </w:rPr>
        <w:t>sub-</w:t>
      </w:r>
      <w:r w:rsidR="00720D48" w:rsidRPr="00CE04FC">
        <w:rPr>
          <w:rFonts w:ascii="Times New Roman" w:hAnsi="Times New Roman" w:cs="Times New Roman"/>
        </w:rPr>
        <w:t>system</w:t>
      </w:r>
      <w:r w:rsidR="00A71836" w:rsidRPr="00CE04FC">
        <w:rPr>
          <w:rFonts w:ascii="Times New Roman" w:hAnsi="Times New Roman" w:cs="Times New Roman"/>
        </w:rPr>
        <w:t xml:space="preserve"> for</w:t>
      </w:r>
      <w:r w:rsidR="00720D48" w:rsidRPr="00CE04FC">
        <w:rPr>
          <w:rFonts w:ascii="Times New Roman" w:hAnsi="Times New Roman" w:cs="Times New Roman"/>
        </w:rPr>
        <w:t xml:space="preserve"> ammonia synthesis. The</w:t>
      </w:r>
      <w:r w:rsidR="00686E58" w:rsidRPr="00CE04FC">
        <w:rPr>
          <w:rFonts w:ascii="Times New Roman" w:hAnsi="Times New Roman" w:cs="Times New Roman"/>
        </w:rPr>
        <w:t xml:space="preserve"> VARC was</w:t>
      </w:r>
      <w:r w:rsidR="005341CA" w:rsidRPr="00CE04FC">
        <w:rPr>
          <w:rFonts w:ascii="Times New Roman" w:hAnsi="Times New Roman" w:cs="Times New Roman"/>
        </w:rPr>
        <w:t xml:space="preserve"> integrated with HB </w:t>
      </w:r>
      <w:r w:rsidR="00535CED" w:rsidRPr="00CE04FC">
        <w:rPr>
          <w:rFonts w:ascii="Times New Roman" w:hAnsi="Times New Roman" w:cs="Times New Roman"/>
        </w:rPr>
        <w:t>th</w:t>
      </w:r>
      <w:r w:rsidR="00B36D86" w:rsidRPr="00CE04FC">
        <w:rPr>
          <w:rFonts w:ascii="Times New Roman" w:hAnsi="Times New Roman" w:cs="Times New Roman"/>
        </w:rPr>
        <w:t>r</w:t>
      </w:r>
      <w:r w:rsidR="00535CED" w:rsidRPr="00CE04FC">
        <w:rPr>
          <w:rFonts w:ascii="Times New Roman" w:hAnsi="Times New Roman" w:cs="Times New Roman"/>
        </w:rPr>
        <w:t xml:space="preserve">ough </w:t>
      </w:r>
      <w:r w:rsidR="00720D48" w:rsidRPr="00CE04FC">
        <w:rPr>
          <w:rFonts w:ascii="Times New Roman" w:hAnsi="Times New Roman" w:cs="Times New Roman"/>
        </w:rPr>
        <w:t xml:space="preserve">waste heat streams, specifically high-temperature (HT) and low-temperature (LT) streams labelled HB2-HT and HB2-LT, respectively. </w:t>
      </w:r>
      <w:r w:rsidR="005A7B5D" w:rsidRPr="00CE04FC">
        <w:rPr>
          <w:rFonts w:ascii="Times New Roman" w:hAnsi="Times New Roman" w:cs="Times New Roman"/>
        </w:rPr>
        <w:t xml:space="preserve">To </w:t>
      </w:r>
      <w:r w:rsidR="0037430B" w:rsidRPr="00CE04FC">
        <w:rPr>
          <w:rFonts w:ascii="Times New Roman" w:hAnsi="Times New Roman" w:cs="Times New Roman"/>
        </w:rPr>
        <w:t>maximise</w:t>
      </w:r>
      <w:r w:rsidR="005A7B5D" w:rsidRPr="00CE04FC">
        <w:rPr>
          <w:rFonts w:ascii="Times New Roman" w:hAnsi="Times New Roman" w:cs="Times New Roman"/>
        </w:rPr>
        <w:t xml:space="preserve"> the </w:t>
      </w:r>
      <w:r w:rsidR="0005254D" w:rsidRPr="00CE04FC">
        <w:rPr>
          <w:rFonts w:ascii="Times New Roman" w:hAnsi="Times New Roman" w:cs="Times New Roman"/>
        </w:rPr>
        <w:t xml:space="preserve">utilisation of waste heat, a </w:t>
      </w:r>
      <w:r w:rsidR="00720D48" w:rsidRPr="00CE04FC">
        <w:rPr>
          <w:rFonts w:ascii="Times New Roman" w:hAnsi="Times New Roman" w:cs="Times New Roman"/>
        </w:rPr>
        <w:t xml:space="preserve">pre-heating </w:t>
      </w:r>
      <w:r w:rsidR="0031717A" w:rsidRPr="00CE04FC">
        <w:rPr>
          <w:rFonts w:ascii="Times New Roman" w:hAnsi="Times New Roman" w:cs="Times New Roman"/>
        </w:rPr>
        <w:t>system</w:t>
      </w:r>
      <w:r w:rsidR="00720D48" w:rsidRPr="00CE04FC">
        <w:rPr>
          <w:rFonts w:ascii="Times New Roman" w:hAnsi="Times New Roman" w:cs="Times New Roman"/>
        </w:rPr>
        <w:t xml:space="preserve"> was </w:t>
      </w:r>
      <w:r w:rsidR="0031717A" w:rsidRPr="00CE04FC">
        <w:rPr>
          <w:rFonts w:ascii="Times New Roman" w:hAnsi="Times New Roman" w:cs="Times New Roman"/>
        </w:rPr>
        <w:t xml:space="preserve">introduced. This </w:t>
      </w:r>
      <w:r w:rsidR="00725410" w:rsidRPr="00CE04FC">
        <w:rPr>
          <w:rFonts w:ascii="Times New Roman" w:hAnsi="Times New Roman" w:cs="Times New Roman"/>
        </w:rPr>
        <w:t>mechanism utilised hot outlet streams from the electrolyser</w:t>
      </w:r>
      <w:r w:rsidR="00A00980" w:rsidRPr="00CE04FC">
        <w:rPr>
          <w:rFonts w:ascii="Times New Roman" w:hAnsi="Times New Roman" w:cs="Times New Roman"/>
        </w:rPr>
        <w:t xml:space="preserve">, including </w:t>
      </w:r>
      <w:r w:rsidR="006E38F9" w:rsidRPr="00CE04FC">
        <w:rPr>
          <w:rFonts w:ascii="Times New Roman" w:hAnsi="Times New Roman" w:cs="Times New Roman"/>
        </w:rPr>
        <w:t>oxygen streams (O2-HT, O2-LT)</w:t>
      </w:r>
      <w:r w:rsidR="00720D48" w:rsidRPr="00CE04FC">
        <w:rPr>
          <w:rFonts w:ascii="Times New Roman" w:hAnsi="Times New Roman" w:cs="Times New Roman"/>
        </w:rPr>
        <w:t xml:space="preserve"> and</w:t>
      </w:r>
      <w:r w:rsidR="006E38F9" w:rsidRPr="00CE04FC">
        <w:rPr>
          <w:rFonts w:ascii="Times New Roman" w:hAnsi="Times New Roman" w:cs="Times New Roman"/>
        </w:rPr>
        <w:t xml:space="preserve"> hydrogen streams (H2-HT, H2-LT)</w:t>
      </w:r>
      <w:r w:rsidR="00720D48" w:rsidRPr="00CE04FC">
        <w:rPr>
          <w:rFonts w:ascii="Times New Roman" w:hAnsi="Times New Roman" w:cs="Times New Roman"/>
        </w:rPr>
        <w:t xml:space="preserve">. Additionally, a third pre-heater was also used to extract heat from the stream </w:t>
      </w:r>
      <w:r w:rsidR="00E549ED" w:rsidRPr="00CE04FC">
        <w:rPr>
          <w:rFonts w:ascii="Times New Roman" w:hAnsi="Times New Roman" w:cs="Times New Roman"/>
        </w:rPr>
        <w:t xml:space="preserve">HB streams </w:t>
      </w:r>
      <w:r w:rsidR="00720D48" w:rsidRPr="00CE04FC">
        <w:rPr>
          <w:rFonts w:ascii="Times New Roman" w:hAnsi="Times New Roman" w:cs="Times New Roman"/>
        </w:rPr>
        <w:t>(HB1-HT, HB1-LT)</w:t>
      </w:r>
      <w:r w:rsidR="00AB2808" w:rsidRPr="00CE04FC">
        <w:rPr>
          <w:rFonts w:ascii="Times New Roman" w:hAnsi="Times New Roman" w:cs="Times New Roman"/>
        </w:rPr>
        <w:t>,</w:t>
      </w:r>
      <w:r w:rsidR="0031360C" w:rsidRPr="00CE04FC">
        <w:rPr>
          <w:rFonts w:ascii="Times New Roman" w:hAnsi="Times New Roman" w:cs="Times New Roman"/>
        </w:rPr>
        <w:t xml:space="preserve"> </w:t>
      </w:r>
      <w:r w:rsidR="004A413B" w:rsidRPr="00CE04FC">
        <w:rPr>
          <w:rFonts w:ascii="Times New Roman" w:hAnsi="Times New Roman" w:cs="Times New Roman"/>
        </w:rPr>
        <w:t>that hot stream was</w:t>
      </w:r>
      <w:r w:rsidR="00133761" w:rsidRPr="00CE04FC">
        <w:rPr>
          <w:rFonts w:ascii="Times New Roman" w:hAnsi="Times New Roman" w:cs="Times New Roman"/>
        </w:rPr>
        <w:t xml:space="preserve"> located </w:t>
      </w:r>
      <w:r w:rsidR="00720D48" w:rsidRPr="00CE04FC">
        <w:rPr>
          <w:rFonts w:ascii="Times New Roman" w:hAnsi="Times New Roman" w:cs="Times New Roman"/>
        </w:rPr>
        <w:t xml:space="preserve">preceding </w:t>
      </w:r>
      <w:r w:rsidR="00230E3A" w:rsidRPr="00CE04FC">
        <w:rPr>
          <w:rFonts w:ascii="Times New Roman" w:hAnsi="Times New Roman" w:cs="Times New Roman"/>
        </w:rPr>
        <w:t xml:space="preserve">to </w:t>
      </w:r>
      <w:r w:rsidR="00720D48" w:rsidRPr="00CE04FC">
        <w:rPr>
          <w:rFonts w:ascii="Times New Roman" w:hAnsi="Times New Roman" w:cs="Times New Roman"/>
        </w:rPr>
        <w:t>the ammonia reactor</w:t>
      </w:r>
      <w:r w:rsidR="00230E3A" w:rsidRPr="00CE04FC">
        <w:rPr>
          <w:rFonts w:ascii="Times New Roman" w:hAnsi="Times New Roman" w:cs="Times New Roman"/>
        </w:rPr>
        <w:t xml:space="preserve"> in HB </w:t>
      </w:r>
      <w:r w:rsidR="00AC4AAC" w:rsidRPr="00CE04FC">
        <w:rPr>
          <w:rFonts w:ascii="Times New Roman" w:hAnsi="Times New Roman" w:cs="Times New Roman"/>
        </w:rPr>
        <w:t>sub-</w:t>
      </w:r>
      <w:r w:rsidR="00230E3A" w:rsidRPr="00CE04FC">
        <w:rPr>
          <w:rFonts w:ascii="Times New Roman" w:hAnsi="Times New Roman" w:cs="Times New Roman"/>
        </w:rPr>
        <w:t>system</w:t>
      </w:r>
      <w:r w:rsidR="00720D48" w:rsidRPr="00CE04FC">
        <w:rPr>
          <w:rFonts w:ascii="Times New Roman" w:hAnsi="Times New Roman" w:cs="Times New Roman"/>
        </w:rPr>
        <w:t xml:space="preserve">. This arrangement enhanced thermal efficiency and optimised the recovery of waste heat for the integrated WHR applications </w:t>
      </w:r>
      <w:r w:rsidR="00720D48"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00720D48" w:rsidRPr="00CE04FC">
        <w:rPr>
          <w:rFonts w:ascii="Times New Roman" w:hAnsi="Times New Roman" w:cs="Times New Roman"/>
        </w:rPr>
        <w:fldChar w:fldCharType="separate"/>
      </w:r>
      <w:r w:rsidR="00063EF7" w:rsidRPr="00CE04FC">
        <w:rPr>
          <w:rFonts w:ascii="Times New Roman" w:hAnsi="Times New Roman" w:cs="Times New Roman"/>
          <w:noProof/>
        </w:rPr>
        <w:t>(Anwar et al., 2024)</w:t>
      </w:r>
      <w:r w:rsidR="00720D48" w:rsidRPr="00CE04FC">
        <w:rPr>
          <w:rFonts w:ascii="Times New Roman" w:hAnsi="Times New Roman" w:cs="Times New Roman"/>
        </w:rPr>
        <w:fldChar w:fldCharType="end"/>
      </w:r>
      <w:r w:rsidR="00720D48" w:rsidRPr="00CE04FC">
        <w:rPr>
          <w:rFonts w:ascii="Times New Roman" w:hAnsi="Times New Roman" w:cs="Times New Roman"/>
        </w:rPr>
        <w:t xml:space="preserve">. It is </w:t>
      </w:r>
      <w:r w:rsidR="009645A0" w:rsidRPr="00CE04FC">
        <w:rPr>
          <w:rFonts w:ascii="Times New Roman" w:hAnsi="Times New Roman" w:cs="Times New Roman"/>
        </w:rPr>
        <w:t xml:space="preserve">important to </w:t>
      </w:r>
      <w:r w:rsidR="00FB2D1C" w:rsidRPr="00CE04FC">
        <w:rPr>
          <w:rFonts w:ascii="Times New Roman" w:hAnsi="Times New Roman" w:cs="Times New Roman"/>
        </w:rPr>
        <w:t>no</w:t>
      </w:r>
      <w:r w:rsidR="008F7771" w:rsidRPr="00CE04FC">
        <w:rPr>
          <w:rFonts w:ascii="Times New Roman" w:hAnsi="Times New Roman" w:cs="Times New Roman"/>
        </w:rPr>
        <w:t>t</w:t>
      </w:r>
      <w:r w:rsidR="00FB2D1C" w:rsidRPr="00CE04FC">
        <w:rPr>
          <w:rFonts w:ascii="Times New Roman" w:hAnsi="Times New Roman" w:cs="Times New Roman"/>
        </w:rPr>
        <w:t>e</w:t>
      </w:r>
      <w:r w:rsidR="00BB5342" w:rsidRPr="00CE04FC">
        <w:rPr>
          <w:rFonts w:ascii="Times New Roman" w:hAnsi="Times New Roman" w:cs="Times New Roman"/>
        </w:rPr>
        <w:t xml:space="preserve"> here</w:t>
      </w:r>
      <w:r w:rsidR="009645A0" w:rsidRPr="00CE04FC">
        <w:rPr>
          <w:rFonts w:ascii="Times New Roman" w:hAnsi="Times New Roman" w:cs="Times New Roman"/>
        </w:rPr>
        <w:t xml:space="preserve"> </w:t>
      </w:r>
      <w:r w:rsidR="00720D48" w:rsidRPr="00CE04FC">
        <w:rPr>
          <w:rFonts w:ascii="Times New Roman" w:hAnsi="Times New Roman" w:cs="Times New Roman"/>
        </w:rPr>
        <w:t xml:space="preserve">that the hybridised ammonia production model in Aspen Plus </w:t>
      </w:r>
      <w:r w:rsidR="008F7771" w:rsidRPr="00CE04FC">
        <w:rPr>
          <w:rFonts w:ascii="Times New Roman" w:hAnsi="Times New Roman" w:cs="Times New Roman"/>
        </w:rPr>
        <w:t>was</w:t>
      </w:r>
      <w:r w:rsidR="00720D48" w:rsidRPr="00CE04FC">
        <w:rPr>
          <w:rFonts w:ascii="Times New Roman" w:hAnsi="Times New Roman" w:cs="Times New Roman"/>
        </w:rPr>
        <w:t xml:space="preserve"> validated </w:t>
      </w:r>
      <w:r w:rsidR="00FB2D1C" w:rsidRPr="00CE04FC">
        <w:rPr>
          <w:rFonts w:ascii="Times New Roman" w:hAnsi="Times New Roman" w:cs="Times New Roman"/>
        </w:rPr>
        <w:t xml:space="preserve">extensively </w:t>
      </w:r>
      <w:r w:rsidR="00720D48" w:rsidRPr="00CE04FC">
        <w:rPr>
          <w:rFonts w:ascii="Times New Roman" w:hAnsi="Times New Roman" w:cs="Times New Roman"/>
        </w:rPr>
        <w:t xml:space="preserve">in our previous work </w:t>
      </w:r>
      <w:r w:rsidR="00720D48"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00720D48" w:rsidRPr="00CE04FC">
        <w:rPr>
          <w:rFonts w:ascii="Times New Roman" w:hAnsi="Times New Roman" w:cs="Times New Roman"/>
        </w:rPr>
        <w:fldChar w:fldCharType="separate"/>
      </w:r>
      <w:r w:rsidR="00063EF7" w:rsidRPr="00CE04FC">
        <w:rPr>
          <w:rFonts w:ascii="Times New Roman" w:hAnsi="Times New Roman" w:cs="Times New Roman"/>
          <w:noProof/>
        </w:rPr>
        <w:t>(Anwar et al., 2024)</w:t>
      </w:r>
      <w:r w:rsidR="00720D48" w:rsidRPr="00CE04FC">
        <w:rPr>
          <w:rFonts w:ascii="Times New Roman" w:hAnsi="Times New Roman" w:cs="Times New Roman"/>
        </w:rPr>
        <w:fldChar w:fldCharType="end"/>
      </w:r>
      <w:r w:rsidR="00720D48" w:rsidRPr="00CE04FC">
        <w:rPr>
          <w:rFonts w:ascii="Times New Roman" w:hAnsi="Times New Roman" w:cs="Times New Roman"/>
        </w:rPr>
        <w:t>.</w:t>
      </w:r>
      <w:r w:rsidR="000D7E2D" w:rsidRPr="00CE04FC">
        <w:rPr>
          <w:rFonts w:ascii="Times New Roman" w:hAnsi="Times New Roman" w:cs="Times New Roman"/>
        </w:rPr>
        <w:t xml:space="preserve"> Therefore, the validation is not repeated here.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E04FC" w:rsidRPr="00CE04FC" w14:paraId="4A1514A4" w14:textId="77777777" w:rsidTr="007D40E1">
        <w:tc>
          <w:tcPr>
            <w:tcW w:w="9016" w:type="dxa"/>
          </w:tcPr>
          <w:p w14:paraId="2A95A62F" w14:textId="0F1E4E90" w:rsidR="00D75860" w:rsidRPr="00CE04FC" w:rsidRDefault="00241E2F"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18B8A55C" wp14:editId="4F6AE5F9">
                  <wp:extent cx="5483488" cy="3609892"/>
                  <wp:effectExtent l="0" t="0" r="3175" b="0"/>
                  <wp:docPr id="1028" name="Picture 4">
                    <a:extLst xmlns:a="http://schemas.openxmlformats.org/drawingml/2006/main">
                      <a:ext uri="{FF2B5EF4-FFF2-40B4-BE49-F238E27FC236}">
                        <a16:creationId xmlns:a16="http://schemas.microsoft.com/office/drawing/2014/main" id="{870E143C-A6BD-98D4-0916-51E4E7B97E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870E143C-A6BD-98D4-0916-51E4E7B97E26}"/>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53240" cy="3655811"/>
                          </a:xfrm>
                          <a:prstGeom prst="rect">
                            <a:avLst/>
                          </a:prstGeom>
                          <a:noFill/>
                        </pic:spPr>
                      </pic:pic>
                    </a:graphicData>
                  </a:graphic>
                </wp:inline>
              </w:drawing>
            </w:r>
          </w:p>
        </w:tc>
      </w:tr>
      <w:tr w:rsidR="00CE04FC" w:rsidRPr="00CE04FC" w14:paraId="2E872CC6" w14:textId="77777777" w:rsidTr="00C15D0F">
        <w:trPr>
          <w:trHeight w:val="393"/>
        </w:trPr>
        <w:tc>
          <w:tcPr>
            <w:tcW w:w="9016" w:type="dxa"/>
          </w:tcPr>
          <w:p w14:paraId="25C5C0EE" w14:textId="781FB3F8" w:rsidR="00D75860" w:rsidRPr="00CE04FC" w:rsidRDefault="00D75860" w:rsidP="006E6C19">
            <w:pPr>
              <w:keepNext/>
              <w:jc w:val="center"/>
              <w:rPr>
                <w:rFonts w:ascii="Times New Roman" w:hAnsi="Times New Roman" w:cs="Times New Roman"/>
              </w:rPr>
            </w:pPr>
            <w:bookmarkStart w:id="1" w:name="_Ref187150991"/>
            <w:r w:rsidRPr="00CE04FC">
              <w:rPr>
                <w:rFonts w:ascii="Times New Roman" w:hAnsi="Times New Roman" w:cs="Times New Roman"/>
              </w:rPr>
              <w:lastRenderedPageBreak/>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2</w:t>
            </w:r>
            <w:r w:rsidRPr="00CE04FC">
              <w:rPr>
                <w:rFonts w:ascii="Times New Roman" w:hAnsi="Times New Roman" w:cs="Times New Roman"/>
              </w:rPr>
              <w:fldChar w:fldCharType="end"/>
            </w:r>
            <w:bookmarkEnd w:id="1"/>
            <w:r w:rsidRPr="00CE04FC">
              <w:rPr>
                <w:rFonts w:ascii="Times New Roman" w:hAnsi="Times New Roman" w:cs="Times New Roman"/>
              </w:rPr>
              <w:t xml:space="preserve"> Aspen plus model illustration of </w:t>
            </w:r>
            <w:r w:rsidR="000D7E2D" w:rsidRPr="00CE04FC">
              <w:rPr>
                <w:rFonts w:ascii="Times New Roman" w:hAnsi="Times New Roman" w:cs="Times New Roman"/>
              </w:rPr>
              <w:t xml:space="preserve">the </w:t>
            </w:r>
            <w:r w:rsidRPr="00CE04FC">
              <w:rPr>
                <w:rFonts w:ascii="Times New Roman" w:hAnsi="Times New Roman" w:cs="Times New Roman"/>
              </w:rPr>
              <w:t>hybridised ammonia production system</w:t>
            </w:r>
            <w:r w:rsidR="006A766C" w:rsidRPr="00CE04FC">
              <w:rPr>
                <w:rFonts w:ascii="Times New Roman" w:hAnsi="Times New Roman" w:cs="Times New Roman"/>
              </w:rPr>
              <w:t>.</w:t>
            </w:r>
          </w:p>
        </w:tc>
      </w:tr>
    </w:tbl>
    <w:p w14:paraId="6F8B24A9" w14:textId="6C243C18" w:rsidR="00D75860" w:rsidRPr="00CE04FC" w:rsidRDefault="00773BCE" w:rsidP="00DA28C8">
      <w:pPr>
        <w:autoSpaceDE w:val="0"/>
        <w:autoSpaceDN w:val="0"/>
        <w:adjustRightInd w:val="0"/>
        <w:spacing w:before="240" w:line="240" w:lineRule="auto"/>
        <w:contextualSpacing/>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_Ref187514532 \h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3</w:t>
      </w:r>
      <w:r w:rsidRPr="00CE04FC">
        <w:rPr>
          <w:rFonts w:ascii="Times New Roman" w:hAnsi="Times New Roman" w:cs="Times New Roman"/>
        </w:rPr>
        <w:fldChar w:fldCharType="end"/>
      </w:r>
      <w:r w:rsidR="0091276A" w:rsidRPr="00CE04FC">
        <w:rPr>
          <w:rFonts w:ascii="Times New Roman" w:hAnsi="Times New Roman" w:cs="Times New Roman"/>
        </w:rPr>
        <w:t xml:space="preserve"> displays the Aspen Plus process models developed for the hybrid ammonia production system. The system components include: (1) a cryogenic air separation unit for nitrogen generation (</w:t>
      </w:r>
      <w:r w:rsidRPr="00CE04FC">
        <w:rPr>
          <w:rFonts w:ascii="Times New Roman" w:hAnsi="Times New Roman" w:cs="Times New Roman"/>
        </w:rPr>
        <w:fldChar w:fldCharType="begin"/>
      </w:r>
      <w:r w:rsidRPr="00CE04FC">
        <w:rPr>
          <w:rFonts w:ascii="Times New Roman" w:hAnsi="Times New Roman" w:cs="Times New Roman"/>
        </w:rPr>
        <w:instrText xml:space="preserve"> REF _Ref187514532 \h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3</w:t>
      </w:r>
      <w:r w:rsidRPr="00CE04FC">
        <w:rPr>
          <w:rFonts w:ascii="Times New Roman" w:hAnsi="Times New Roman" w:cs="Times New Roman"/>
        </w:rPr>
        <w:fldChar w:fldCharType="end"/>
      </w:r>
      <w:r w:rsidR="0091276A" w:rsidRPr="00CE04FC">
        <w:rPr>
          <w:rFonts w:ascii="Times New Roman" w:hAnsi="Times New Roman" w:cs="Times New Roman"/>
        </w:rPr>
        <w:t>a), (2) an alkaline water electrolyser for hydrogen production (</w:t>
      </w:r>
      <w:r w:rsidRPr="00CE04FC">
        <w:rPr>
          <w:rFonts w:ascii="Times New Roman" w:hAnsi="Times New Roman" w:cs="Times New Roman"/>
        </w:rPr>
        <w:fldChar w:fldCharType="begin"/>
      </w:r>
      <w:r w:rsidRPr="00CE04FC">
        <w:rPr>
          <w:rFonts w:ascii="Times New Roman" w:hAnsi="Times New Roman" w:cs="Times New Roman"/>
        </w:rPr>
        <w:instrText xml:space="preserve"> REF _Ref187514532 \h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3</w:t>
      </w:r>
      <w:r w:rsidRPr="00CE04FC">
        <w:rPr>
          <w:rFonts w:ascii="Times New Roman" w:hAnsi="Times New Roman" w:cs="Times New Roman"/>
        </w:rPr>
        <w:fldChar w:fldCharType="end"/>
      </w:r>
      <w:r w:rsidR="0091276A" w:rsidRPr="00CE04FC">
        <w:rPr>
          <w:rFonts w:ascii="Times New Roman" w:hAnsi="Times New Roman" w:cs="Times New Roman"/>
        </w:rPr>
        <w:t xml:space="preserve">b) modelled following </w:t>
      </w:r>
      <w:r w:rsidR="002A0596" w:rsidRPr="00CE04FC">
        <w:rPr>
          <w:rFonts w:ascii="Times New Roman" w:hAnsi="Times New Roman" w:cs="Times New Roman"/>
        </w:rPr>
        <w:fldChar w:fldCharType="begin"/>
      </w:r>
      <w:r w:rsidR="002A0596" w:rsidRPr="00CE04FC">
        <w:rPr>
          <w:rFonts w:ascii="Times New Roman" w:hAnsi="Times New Roman" w:cs="Times New Roman"/>
        </w:rPr>
        <w:instrText xml:space="preserve"> ADDIN EN.CITE &lt;EndNote&gt;&lt;Cite&gt;&lt;Author&gt;Sanchez&lt;/Author&gt;&lt;Year&gt;2020&lt;/Year&gt;&lt;RecNum&gt;210&lt;/RecNum&gt;&lt;DisplayText&gt;(Sanchez et al., 2020)&lt;/DisplayText&gt;&lt;record&gt;&lt;rec-number&gt;210&lt;/rec-number&gt;&lt;foreign-keys&gt;&lt;key app="EN" db-id="pr50xwwadtst21e5zxqxxx2e0vppzs0zzfpz" timestamp="1703946072"&gt;210&lt;/key&gt;&lt;/foreign-keys&gt;&lt;ref-type name="Journal Article"&gt;17&lt;/ref-type&gt;&lt;contributors&gt;&lt;authors&gt;&lt;author&gt;Sanchez, Monica&lt;/author&gt;&lt;author&gt;Amores, Ernesto&lt;/author&gt;&lt;author&gt;Abad, David&lt;/author&gt;&lt;author&gt;Rodriguez, Lourdes&lt;/author&gt;&lt;author&gt;Clemente-Jul, Carmen&lt;/author&gt;&lt;/authors&gt;&lt;/contributors&gt;&lt;titles&gt;&lt;title&gt;Aspen Plus model of an alkaline electrolysis system for hydrogen production&lt;/title&gt;&lt;secondary-title&gt;International journal of hydrogen energy&lt;/secondary-title&gt;&lt;/titles&gt;&lt;periodical&gt;&lt;full-title&gt;International journal of hydrogen energy&lt;/full-title&gt;&lt;/periodical&gt;&lt;pages&gt;3916-3929&lt;/pages&gt;&lt;volume&gt;45&lt;/volume&gt;&lt;number&gt;7&lt;/number&gt;&lt;dates&gt;&lt;year&gt;2020&lt;/year&gt;&lt;/dates&gt;&lt;isbn&gt;0360-3199&lt;/isbn&gt;&lt;urls&gt;&lt;/urls&gt;&lt;/record&gt;&lt;/Cite&gt;&lt;/EndNote&gt;</w:instrText>
      </w:r>
      <w:r w:rsidR="002A0596" w:rsidRPr="00CE04FC">
        <w:rPr>
          <w:rFonts w:ascii="Times New Roman" w:hAnsi="Times New Roman" w:cs="Times New Roman"/>
        </w:rPr>
        <w:fldChar w:fldCharType="separate"/>
      </w:r>
      <w:r w:rsidR="002A0596" w:rsidRPr="00CE04FC">
        <w:rPr>
          <w:rFonts w:ascii="Times New Roman" w:hAnsi="Times New Roman" w:cs="Times New Roman"/>
        </w:rPr>
        <w:t>Sanchez et al., 2020</w:t>
      </w:r>
      <w:r w:rsidR="002A0596" w:rsidRPr="00CE04FC">
        <w:rPr>
          <w:rFonts w:ascii="Times New Roman" w:hAnsi="Times New Roman" w:cs="Times New Roman"/>
        </w:rPr>
        <w:fldChar w:fldCharType="end"/>
      </w:r>
      <w:r w:rsidR="0091276A" w:rsidRPr="00CE04FC">
        <w:rPr>
          <w:rFonts w:ascii="Times New Roman" w:hAnsi="Times New Roman" w:cs="Times New Roman"/>
        </w:rPr>
        <w:t xml:space="preserve"> with validated performance, and (3) a Haber-Bosch synthesis loop where ammonia is produced under high-pressure, high-temperature conditions (</w:t>
      </w:r>
      <w:r w:rsidRPr="00CE04FC">
        <w:rPr>
          <w:rFonts w:ascii="Times New Roman" w:hAnsi="Times New Roman" w:cs="Times New Roman"/>
        </w:rPr>
        <w:fldChar w:fldCharType="begin"/>
      </w:r>
      <w:r w:rsidRPr="00CE04FC">
        <w:rPr>
          <w:rFonts w:ascii="Times New Roman" w:hAnsi="Times New Roman" w:cs="Times New Roman"/>
        </w:rPr>
        <w:instrText xml:space="preserve"> REF _Ref187514532 \h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3</w:t>
      </w:r>
      <w:r w:rsidRPr="00CE04FC">
        <w:rPr>
          <w:rFonts w:ascii="Times New Roman" w:hAnsi="Times New Roman" w:cs="Times New Roman"/>
        </w:rPr>
        <w:fldChar w:fldCharType="end"/>
      </w:r>
      <w:r w:rsidR="0091276A" w:rsidRPr="00CE04FC">
        <w:rPr>
          <w:rFonts w:ascii="Times New Roman" w:hAnsi="Times New Roman" w:cs="Times New Roman"/>
        </w:rPr>
        <w:t xml:space="preserve">c), with model validation against </w:t>
      </w:r>
      <w:r w:rsidR="00E42887" w:rsidRPr="00CE04FC">
        <w:rPr>
          <w:rFonts w:ascii="Times New Roman" w:hAnsi="Times New Roman" w:cs="Times New Roman"/>
        </w:rPr>
        <w:fldChar w:fldCharType="begin"/>
      </w:r>
      <w:r w:rsidR="00E42887" w:rsidRPr="00CE04FC">
        <w:rPr>
          <w:rFonts w:ascii="Times New Roman" w:hAnsi="Times New Roman" w:cs="Times New Roman"/>
        </w:rPr>
        <w:instrText xml:space="preserve"> ADDIN EN.CITE &lt;EndNote&gt;&lt;Cite&gt;&lt;Author&gt;Ishaq&lt;/Author&gt;&lt;Year&gt;2020&lt;/Year&gt;&lt;RecNum&gt;245&lt;/RecNum&gt;&lt;DisplayText&gt;(Ishaq &amp;amp; Dincer, 2020)&lt;/DisplayText&gt;&lt;record&gt;&lt;rec-number&gt;245&lt;/rec-number&gt;&lt;foreign-keys&gt;&lt;key app="EN" db-id="pr50xwwadtst21e5zxqxxx2e0vppzs0zzfpz" timestamp="1711891374"&gt;245&lt;/key&gt;&lt;/foreign-keys&gt;&lt;ref-type name="Journal Article"&gt;17&lt;/ref-type&gt;&lt;contributors&gt;&lt;authors&gt;&lt;author&gt;Ishaq, H&lt;/author&gt;&lt;author&gt;Dincer, I&lt;/author&gt;&lt;/authors&gt;&lt;/contributors&gt;&lt;titles&gt;&lt;title&gt;Design and simulation of a new cascaded ammonia synthesis system driven by renewables&lt;/title&gt;&lt;secondary-title&gt;Sustainable Energy Technologies and Assessments&lt;/secondary-title&gt;&lt;/titles&gt;&lt;periodical&gt;&lt;full-title&gt;Sustainable Energy Technologies and Assessments&lt;/full-title&gt;&lt;/periodical&gt;&lt;pages&gt;100725&lt;/pages&gt;&lt;volume&gt;40&lt;/volume&gt;&lt;dates&gt;&lt;year&gt;2020&lt;/year&gt;&lt;/dates&gt;&lt;isbn&gt;2213-1388&lt;/isbn&gt;&lt;urls&gt;&lt;/urls&gt;&lt;/record&gt;&lt;/Cite&gt;&lt;/EndNote&gt;</w:instrText>
      </w:r>
      <w:r w:rsidR="00E42887" w:rsidRPr="00CE04FC">
        <w:rPr>
          <w:rFonts w:ascii="Times New Roman" w:hAnsi="Times New Roman" w:cs="Times New Roman"/>
        </w:rPr>
        <w:fldChar w:fldCharType="separate"/>
      </w:r>
      <w:r w:rsidR="00E42887" w:rsidRPr="00CE04FC">
        <w:rPr>
          <w:rFonts w:ascii="Times New Roman" w:hAnsi="Times New Roman" w:cs="Times New Roman"/>
        </w:rPr>
        <w:t>Ishaq &amp; Dincer, 2020</w:t>
      </w:r>
      <w:r w:rsidR="00E42887" w:rsidRPr="00CE04FC">
        <w:rPr>
          <w:rFonts w:ascii="Times New Roman" w:hAnsi="Times New Roman" w:cs="Times New Roman"/>
        </w:rPr>
        <w:fldChar w:fldCharType="end"/>
      </w:r>
      <w:r w:rsidR="0091276A" w:rsidRPr="00CE04FC">
        <w:rPr>
          <w:rFonts w:ascii="Times New Roman" w:hAnsi="Times New Roman" w:cs="Times New Roman"/>
        </w:rPr>
        <w:t xml:space="preserve"> data. For enhanced efficiency through waste heat recovery, the Haber-Bosch process was thermally integrated with a VARC. This integration was achieved using two high-temperature waste heat streams: HB1-HT (upstream of the HB reactor) and HB2-HT (outlet of high-pressure compressors), which serve as heat sources for the VARC system through dedicated heat exchangers. This configuration ensures continuous heat supply while maintaining energy balance across the hybrid system.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E04FC" w:rsidRPr="00CE04FC" w14:paraId="5015E2D8" w14:textId="77777777" w:rsidTr="004E78D5">
        <w:trPr>
          <w:jc w:val="center"/>
        </w:trPr>
        <w:tc>
          <w:tcPr>
            <w:tcW w:w="9026" w:type="dxa"/>
          </w:tcPr>
          <w:p w14:paraId="480A596F"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r>
      <w:tr w:rsidR="00CE04FC" w:rsidRPr="00CE04FC" w14:paraId="1F8D1123" w14:textId="77777777" w:rsidTr="004E78D5">
        <w:trPr>
          <w:jc w:val="center"/>
        </w:trPr>
        <w:tc>
          <w:tcPr>
            <w:tcW w:w="9026" w:type="dxa"/>
          </w:tcPr>
          <w:p w14:paraId="48E54B78" w14:textId="1CD935DB" w:rsidR="001821A2" w:rsidRPr="00CE04FC" w:rsidRDefault="00C9560B" w:rsidP="00D75860">
            <w:pPr>
              <w:rPr>
                <w:rFonts w:ascii="Times New Roman" w:hAnsi="Times New Roman" w:cs="Times New Roman"/>
              </w:rPr>
            </w:pPr>
            <w:r w:rsidRPr="00CE04FC">
              <w:rPr>
                <w:rFonts w:ascii="Times New Roman" w:hAnsi="Times New Roman" w:cs="Times New Roman"/>
                <w:noProof/>
                <w:lang w:eastAsia="en-GB"/>
              </w:rPr>
              <w:drawing>
                <wp:inline distT="0" distB="0" distL="0" distR="0" wp14:anchorId="53F3D35F" wp14:editId="678A5C87">
                  <wp:extent cx="5650786" cy="2802577"/>
                  <wp:effectExtent l="0" t="0" r="7620" b="0"/>
                  <wp:docPr id="1481739260"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54417" name="Picture 1" descr="A diagram of a circuit&#10;&#10;Description automatically generated"/>
                          <pic:cNvPicPr/>
                        </pic:nvPicPr>
                        <pic:blipFill>
                          <a:blip r:embed="rId8"/>
                          <a:stretch>
                            <a:fillRect/>
                          </a:stretch>
                        </pic:blipFill>
                        <pic:spPr>
                          <a:xfrm>
                            <a:off x="0" y="0"/>
                            <a:ext cx="5709959" cy="2831924"/>
                          </a:xfrm>
                          <a:prstGeom prst="rect">
                            <a:avLst/>
                          </a:prstGeom>
                        </pic:spPr>
                      </pic:pic>
                    </a:graphicData>
                  </a:graphic>
                </wp:inline>
              </w:drawing>
            </w:r>
          </w:p>
        </w:tc>
      </w:tr>
      <w:tr w:rsidR="00CE04FC" w:rsidRPr="00CE04FC" w14:paraId="264490DA" w14:textId="77777777" w:rsidTr="004E78D5">
        <w:trPr>
          <w:jc w:val="center"/>
        </w:trPr>
        <w:tc>
          <w:tcPr>
            <w:tcW w:w="9026" w:type="dxa"/>
          </w:tcPr>
          <w:p w14:paraId="396657D6" w14:textId="09BF2CBA" w:rsidR="001821A2" w:rsidRPr="00CE04FC" w:rsidRDefault="001821A2" w:rsidP="002B5D0D">
            <w:pPr>
              <w:spacing w:before="240"/>
              <w:rPr>
                <w:rFonts w:ascii="Times New Roman" w:hAnsi="Times New Roman" w:cs="Times New Roman"/>
              </w:rPr>
            </w:pPr>
            <w:r w:rsidRPr="00CE04FC">
              <w:rPr>
                <w:rFonts w:ascii="Times New Roman" w:hAnsi="Times New Roman" w:cs="Times New Roman"/>
              </w:rPr>
              <w:t>(b)</w:t>
            </w:r>
          </w:p>
        </w:tc>
      </w:tr>
      <w:tr w:rsidR="00CE04FC" w:rsidRPr="00CE04FC" w14:paraId="5BA1670C" w14:textId="77777777" w:rsidTr="004E78D5">
        <w:trPr>
          <w:jc w:val="center"/>
        </w:trPr>
        <w:tc>
          <w:tcPr>
            <w:tcW w:w="9026" w:type="dxa"/>
          </w:tcPr>
          <w:p w14:paraId="72AC6B68"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01BFDEBE" wp14:editId="1171918E">
                  <wp:extent cx="5730299" cy="3431969"/>
                  <wp:effectExtent l="0" t="0" r="3810" b="0"/>
                  <wp:docPr id="17532362"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7651" name="Picture 1" descr="A diagram of a machine&#10;&#10;Description automatically generated"/>
                          <pic:cNvPicPr/>
                        </pic:nvPicPr>
                        <pic:blipFill>
                          <a:blip r:embed="rId9"/>
                          <a:stretch>
                            <a:fillRect/>
                          </a:stretch>
                        </pic:blipFill>
                        <pic:spPr>
                          <a:xfrm>
                            <a:off x="0" y="0"/>
                            <a:ext cx="5737508" cy="3436287"/>
                          </a:xfrm>
                          <a:prstGeom prst="rect">
                            <a:avLst/>
                          </a:prstGeom>
                        </pic:spPr>
                      </pic:pic>
                    </a:graphicData>
                  </a:graphic>
                </wp:inline>
              </w:drawing>
            </w:r>
          </w:p>
        </w:tc>
      </w:tr>
      <w:tr w:rsidR="00CE04FC" w:rsidRPr="00CE04FC" w14:paraId="0FD562F2" w14:textId="77777777" w:rsidTr="004E78D5">
        <w:trPr>
          <w:jc w:val="center"/>
        </w:trPr>
        <w:tc>
          <w:tcPr>
            <w:tcW w:w="9026" w:type="dxa"/>
          </w:tcPr>
          <w:p w14:paraId="59FB1159" w14:textId="1D840D6A" w:rsidR="00D75860" w:rsidRPr="00CE04FC" w:rsidRDefault="00D75860" w:rsidP="00D75860">
            <w:pPr>
              <w:spacing w:before="240"/>
              <w:rPr>
                <w:rFonts w:ascii="Times New Roman" w:hAnsi="Times New Roman" w:cs="Times New Roman"/>
              </w:rPr>
            </w:pPr>
            <w:r w:rsidRPr="00CE04FC">
              <w:rPr>
                <w:rFonts w:ascii="Times New Roman" w:hAnsi="Times New Roman" w:cs="Times New Roman"/>
              </w:rPr>
              <w:lastRenderedPageBreak/>
              <w:t>(</w:t>
            </w:r>
            <w:r w:rsidR="001821A2" w:rsidRPr="00CE04FC">
              <w:rPr>
                <w:rFonts w:ascii="Times New Roman" w:hAnsi="Times New Roman" w:cs="Times New Roman"/>
              </w:rPr>
              <w:t>c</w:t>
            </w:r>
            <w:r w:rsidRPr="00CE04FC">
              <w:rPr>
                <w:rFonts w:ascii="Times New Roman" w:hAnsi="Times New Roman" w:cs="Times New Roman"/>
              </w:rPr>
              <w:t>)</w:t>
            </w:r>
          </w:p>
        </w:tc>
      </w:tr>
      <w:tr w:rsidR="00CE04FC" w:rsidRPr="00CE04FC" w14:paraId="55260A00" w14:textId="77777777" w:rsidTr="004E78D5">
        <w:trPr>
          <w:jc w:val="center"/>
        </w:trPr>
        <w:tc>
          <w:tcPr>
            <w:tcW w:w="9026" w:type="dxa"/>
          </w:tcPr>
          <w:p w14:paraId="084188B4"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405BB0D4" wp14:editId="41F3EF54">
                  <wp:extent cx="5979524" cy="3586348"/>
                  <wp:effectExtent l="0" t="0" r="2540" b="0"/>
                  <wp:docPr id="1641597499"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91755" name="Picture 1" descr="A diagram of a machine&#10;&#10;Description automatically generated"/>
                          <pic:cNvPicPr/>
                        </pic:nvPicPr>
                        <pic:blipFill>
                          <a:blip r:embed="rId10"/>
                          <a:stretch>
                            <a:fillRect/>
                          </a:stretch>
                        </pic:blipFill>
                        <pic:spPr>
                          <a:xfrm>
                            <a:off x="0" y="0"/>
                            <a:ext cx="6005683" cy="3602037"/>
                          </a:xfrm>
                          <a:prstGeom prst="rect">
                            <a:avLst/>
                          </a:prstGeom>
                        </pic:spPr>
                      </pic:pic>
                    </a:graphicData>
                  </a:graphic>
                </wp:inline>
              </w:drawing>
            </w:r>
          </w:p>
        </w:tc>
      </w:tr>
      <w:tr w:rsidR="00CE04FC" w:rsidRPr="00CE04FC" w14:paraId="3FE2DB08" w14:textId="77777777" w:rsidTr="004E78D5">
        <w:trPr>
          <w:jc w:val="center"/>
        </w:trPr>
        <w:tc>
          <w:tcPr>
            <w:tcW w:w="9026" w:type="dxa"/>
          </w:tcPr>
          <w:p w14:paraId="05AB3D68" w14:textId="77777777" w:rsidR="00643777" w:rsidRPr="00CE04FC" w:rsidRDefault="00643777" w:rsidP="00D75860">
            <w:pPr>
              <w:spacing w:before="240"/>
              <w:rPr>
                <w:rFonts w:ascii="Times New Roman" w:hAnsi="Times New Roman" w:cs="Times New Roman"/>
              </w:rPr>
            </w:pPr>
          </w:p>
          <w:p w14:paraId="076D59A6" w14:textId="77777777" w:rsidR="00643777" w:rsidRPr="00CE04FC" w:rsidRDefault="00643777" w:rsidP="00D75860">
            <w:pPr>
              <w:spacing w:before="240"/>
              <w:rPr>
                <w:rFonts w:ascii="Times New Roman" w:hAnsi="Times New Roman" w:cs="Times New Roman"/>
              </w:rPr>
            </w:pPr>
          </w:p>
          <w:p w14:paraId="7FC90E21" w14:textId="77777777" w:rsidR="00643777" w:rsidRPr="00CE04FC" w:rsidRDefault="00643777" w:rsidP="00D75860">
            <w:pPr>
              <w:spacing w:before="240"/>
              <w:rPr>
                <w:rFonts w:ascii="Times New Roman" w:hAnsi="Times New Roman" w:cs="Times New Roman"/>
              </w:rPr>
            </w:pPr>
          </w:p>
          <w:p w14:paraId="2F5A8D13" w14:textId="0914D8AD" w:rsidR="00D75860" w:rsidRPr="00CE04FC" w:rsidRDefault="00D75860" w:rsidP="00D75860">
            <w:pPr>
              <w:spacing w:before="240"/>
              <w:rPr>
                <w:rFonts w:ascii="Times New Roman" w:hAnsi="Times New Roman" w:cs="Times New Roman"/>
              </w:rPr>
            </w:pPr>
            <w:r w:rsidRPr="00CE04FC">
              <w:rPr>
                <w:rFonts w:ascii="Times New Roman" w:hAnsi="Times New Roman" w:cs="Times New Roman"/>
              </w:rPr>
              <w:t>(</w:t>
            </w:r>
            <w:r w:rsidR="002B5D0D" w:rsidRPr="00CE04FC">
              <w:rPr>
                <w:rFonts w:ascii="Times New Roman" w:hAnsi="Times New Roman" w:cs="Times New Roman"/>
              </w:rPr>
              <w:t>d</w:t>
            </w:r>
            <w:r w:rsidRPr="00CE04FC">
              <w:rPr>
                <w:rFonts w:ascii="Times New Roman" w:hAnsi="Times New Roman" w:cs="Times New Roman"/>
              </w:rPr>
              <w:t>)</w:t>
            </w:r>
          </w:p>
        </w:tc>
      </w:tr>
      <w:tr w:rsidR="00CE04FC" w:rsidRPr="00CE04FC" w14:paraId="1076AD70" w14:textId="77777777" w:rsidTr="004E78D5">
        <w:trPr>
          <w:jc w:val="center"/>
        </w:trPr>
        <w:tc>
          <w:tcPr>
            <w:tcW w:w="9026" w:type="dxa"/>
          </w:tcPr>
          <w:p w14:paraId="7CF9A688" w14:textId="62C19B2C" w:rsidR="00D75860" w:rsidRPr="00CE04FC" w:rsidRDefault="00976C6B"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386ACC23" wp14:editId="47E5ACFD">
                  <wp:extent cx="4316095" cy="3063834"/>
                  <wp:effectExtent l="0" t="0" r="8255" b="3810"/>
                  <wp:docPr id="396869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69390" name=""/>
                          <pic:cNvPicPr/>
                        </pic:nvPicPr>
                        <pic:blipFill>
                          <a:blip r:embed="rId11"/>
                          <a:stretch>
                            <a:fillRect/>
                          </a:stretch>
                        </pic:blipFill>
                        <pic:spPr>
                          <a:xfrm>
                            <a:off x="0" y="0"/>
                            <a:ext cx="4367309" cy="3100189"/>
                          </a:xfrm>
                          <a:prstGeom prst="rect">
                            <a:avLst/>
                          </a:prstGeom>
                        </pic:spPr>
                      </pic:pic>
                    </a:graphicData>
                  </a:graphic>
                </wp:inline>
              </w:drawing>
            </w:r>
          </w:p>
        </w:tc>
      </w:tr>
      <w:tr w:rsidR="00CE04FC" w:rsidRPr="00CE04FC" w14:paraId="761A5B44" w14:textId="77777777" w:rsidTr="004E78D5">
        <w:trPr>
          <w:jc w:val="center"/>
        </w:trPr>
        <w:tc>
          <w:tcPr>
            <w:tcW w:w="9026" w:type="dxa"/>
          </w:tcPr>
          <w:p w14:paraId="33E8693F" w14:textId="5AD4E89C" w:rsidR="00D75860" w:rsidRPr="00CE04FC" w:rsidRDefault="00D75860" w:rsidP="00D75860">
            <w:pPr>
              <w:spacing w:before="240" w:after="200"/>
              <w:jc w:val="center"/>
              <w:rPr>
                <w:rFonts w:ascii="Times New Roman" w:hAnsi="Times New Roman" w:cs="Times New Roman"/>
              </w:rPr>
            </w:pPr>
            <w:bookmarkStart w:id="2" w:name="_Ref187514532"/>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3</w:t>
            </w:r>
            <w:r w:rsidRPr="00CE04FC">
              <w:rPr>
                <w:rFonts w:ascii="Times New Roman" w:hAnsi="Times New Roman" w:cs="Times New Roman"/>
              </w:rPr>
              <w:fldChar w:fldCharType="end"/>
            </w:r>
            <w:bookmarkEnd w:id="2"/>
            <w:r w:rsidRPr="00CE04FC">
              <w:rPr>
                <w:rFonts w:ascii="Times New Roman" w:hAnsi="Times New Roman" w:cs="Times New Roman"/>
              </w:rPr>
              <w:t xml:space="preserve"> Aspen Plus models of (a) </w:t>
            </w:r>
            <w:r w:rsidR="002B5D0D" w:rsidRPr="00CE04FC">
              <w:rPr>
                <w:rFonts w:ascii="Times New Roman" w:hAnsi="Times New Roman" w:cs="Times New Roman"/>
              </w:rPr>
              <w:t xml:space="preserve">ASU, (b) </w:t>
            </w:r>
            <w:r w:rsidRPr="00CE04FC">
              <w:rPr>
                <w:rFonts w:ascii="Times New Roman" w:hAnsi="Times New Roman" w:cs="Times New Roman"/>
              </w:rPr>
              <w:t>AWE</w:t>
            </w:r>
            <w:r w:rsidR="002B5D0D" w:rsidRPr="00CE04FC">
              <w:rPr>
                <w:rFonts w:ascii="Times New Roman" w:hAnsi="Times New Roman" w:cs="Times New Roman"/>
              </w:rPr>
              <w:t>,</w:t>
            </w:r>
            <w:r w:rsidRPr="00CE04FC">
              <w:rPr>
                <w:rFonts w:ascii="Times New Roman" w:hAnsi="Times New Roman" w:cs="Times New Roman"/>
              </w:rPr>
              <w:t xml:space="preserve"> (</w:t>
            </w:r>
            <w:r w:rsidR="002B5D0D" w:rsidRPr="00CE04FC">
              <w:rPr>
                <w:rFonts w:ascii="Times New Roman" w:hAnsi="Times New Roman" w:cs="Times New Roman"/>
              </w:rPr>
              <w:t>c</w:t>
            </w:r>
            <w:r w:rsidRPr="00CE04FC">
              <w:rPr>
                <w:rFonts w:ascii="Times New Roman" w:hAnsi="Times New Roman" w:cs="Times New Roman"/>
              </w:rPr>
              <w:t xml:space="preserve">) HB </w:t>
            </w:r>
            <w:r w:rsidR="00AC4AAC" w:rsidRPr="00CE04FC">
              <w:rPr>
                <w:rFonts w:ascii="Times New Roman" w:hAnsi="Times New Roman" w:cs="Times New Roman"/>
              </w:rPr>
              <w:t>sub-</w:t>
            </w:r>
            <w:r w:rsidRPr="00CE04FC">
              <w:rPr>
                <w:rFonts w:ascii="Times New Roman" w:hAnsi="Times New Roman" w:cs="Times New Roman"/>
              </w:rPr>
              <w:t>system, (</w:t>
            </w:r>
            <w:r w:rsidR="002B5D0D" w:rsidRPr="00CE04FC">
              <w:rPr>
                <w:rFonts w:ascii="Times New Roman" w:hAnsi="Times New Roman" w:cs="Times New Roman"/>
              </w:rPr>
              <w:t>d</w:t>
            </w:r>
            <w:r w:rsidRPr="00CE04FC">
              <w:rPr>
                <w:rFonts w:ascii="Times New Roman" w:hAnsi="Times New Roman" w:cs="Times New Roman"/>
              </w:rPr>
              <w:t>) VARC</w:t>
            </w:r>
            <w:r w:rsidR="004350EC" w:rsidRPr="00CE04FC">
              <w:rPr>
                <w:rFonts w:ascii="Times New Roman" w:hAnsi="Times New Roman" w:cs="Times New Roman"/>
              </w:rPr>
              <w:t>.</w:t>
            </w:r>
          </w:p>
        </w:tc>
      </w:tr>
    </w:tbl>
    <w:p w14:paraId="5A6298A5" w14:textId="77777777" w:rsidR="00F63435" w:rsidRDefault="00FA0D81" w:rsidP="006D57A5">
      <w:pPr>
        <w:pStyle w:val="Heading2"/>
        <w:numPr>
          <w:ilvl w:val="0"/>
          <w:numId w:val="0"/>
        </w:numPr>
        <w:ind w:left="360" w:hanging="360"/>
        <w:rPr>
          <w:szCs w:val="22"/>
        </w:rPr>
      </w:pPr>
      <w:r w:rsidRPr="00CE04FC">
        <w:rPr>
          <w:szCs w:val="22"/>
        </w:rPr>
        <w:t xml:space="preserve"> </w:t>
      </w:r>
    </w:p>
    <w:p w14:paraId="6C2C478C" w14:textId="1386C8F0" w:rsidR="00D75860" w:rsidRPr="00CE04FC" w:rsidRDefault="00D75860" w:rsidP="00FA0D81">
      <w:pPr>
        <w:pStyle w:val="Heading2"/>
        <w:rPr>
          <w:szCs w:val="22"/>
        </w:rPr>
      </w:pPr>
      <w:r w:rsidRPr="00CE04FC">
        <w:rPr>
          <w:szCs w:val="22"/>
        </w:rPr>
        <w:lastRenderedPageBreak/>
        <w:t>Machine Learning</w:t>
      </w:r>
    </w:p>
    <w:p w14:paraId="1459808A" w14:textId="56A29C16" w:rsidR="005A4A76" w:rsidRPr="00CE04FC" w:rsidRDefault="007C3DBE" w:rsidP="002E1F8C">
      <w:pPr>
        <w:spacing w:after="0"/>
        <w:jc w:val="both"/>
        <w:rPr>
          <w:rFonts w:ascii="Times New Roman" w:hAnsi="Times New Roman" w:cs="Times New Roman"/>
        </w:rPr>
      </w:pPr>
      <w:r w:rsidRPr="00CE04FC">
        <w:rPr>
          <w:rFonts w:ascii="Times New Roman" w:hAnsi="Times New Roman" w:cs="Times New Roman"/>
        </w:rPr>
        <w:t xml:space="preserve">The study employed a NARX-configured feedforward ANN with autoregressive feedback to model the integrated ammonia production system. This architecture combines feedforward ANN's nonlinear approximation capability with temporal memory through input/output delays, effectively capturing system dynamics and uncertainty propagation. As shown in </w:t>
      </w:r>
      <w:r w:rsidR="001B4F35" w:rsidRPr="00CE04FC">
        <w:rPr>
          <w:rFonts w:ascii="Times New Roman" w:hAnsi="Times New Roman" w:cs="Times New Roman"/>
        </w:rPr>
        <w:fldChar w:fldCharType="begin"/>
      </w:r>
      <w:r w:rsidR="001B4F35" w:rsidRPr="00CE04FC">
        <w:rPr>
          <w:rFonts w:ascii="Times New Roman" w:hAnsi="Times New Roman" w:cs="Times New Roman"/>
        </w:rPr>
        <w:instrText xml:space="preserve"> REF _Ref197457591 \h  \* MERGEFORMAT </w:instrText>
      </w:r>
      <w:r w:rsidR="001B4F35" w:rsidRPr="00CE04FC">
        <w:rPr>
          <w:rFonts w:ascii="Times New Roman" w:hAnsi="Times New Roman" w:cs="Times New Roman"/>
        </w:rPr>
      </w:r>
      <w:r w:rsidR="001B4F35" w:rsidRPr="00CE04FC">
        <w:rPr>
          <w:rFonts w:ascii="Times New Roman" w:hAnsi="Times New Roman" w:cs="Times New Roman"/>
        </w:rPr>
        <w:fldChar w:fldCharType="separate"/>
      </w:r>
      <w:r w:rsidR="001B4F35" w:rsidRPr="00CE04FC">
        <w:rPr>
          <w:rFonts w:ascii="Times New Roman" w:hAnsi="Times New Roman" w:cs="Times New Roman"/>
        </w:rPr>
        <w:t>Figure 4</w:t>
      </w:r>
      <w:r w:rsidR="001B4F35" w:rsidRPr="00CE04FC">
        <w:rPr>
          <w:rFonts w:ascii="Times New Roman" w:hAnsi="Times New Roman" w:cs="Times New Roman"/>
        </w:rPr>
        <w:fldChar w:fldCharType="end"/>
      </w:r>
      <w:r w:rsidRPr="00CE04FC">
        <w:rPr>
          <w:rFonts w:ascii="Times New Roman" w:hAnsi="Times New Roman" w:cs="Times New Roman"/>
        </w:rPr>
        <w:t xml:space="preserve">, the network comprises an input layer, fifteen </w:t>
      </w:r>
      <w:r w:rsidR="004A26FF" w:rsidRPr="00CE04FC">
        <w:rPr>
          <w:rFonts w:ascii="Times New Roman" w:hAnsi="Times New Roman" w:cs="Times New Roman"/>
        </w:rPr>
        <w:t>fully connected</w:t>
      </w:r>
      <w:r w:rsidRPr="00CE04FC">
        <w:rPr>
          <w:rFonts w:ascii="Times New Roman" w:hAnsi="Times New Roman" w:cs="Times New Roman"/>
        </w:rPr>
        <w:t xml:space="preserve"> hidden layers using tansig activation functions, and a linear output layer (purelin) for continuous regression. Input and feedback delays (1-2 timesteps) were incorporated to account for historical trends in key parameters (renewable power, heat exchanger effectiveness, compressor efficiency) and outputs (ammonia production, refrigeration). The network was first trained in open-loop mode before conversion to closed-loop for multi-step forecasting. A step-ahead prediction variant was also developed by reducing one delay, enabling proactive system control through single-timestep anticipation.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E04FC" w:rsidRPr="00CE04FC" w14:paraId="021F462C" w14:textId="77777777" w:rsidTr="00A81B96">
        <w:tc>
          <w:tcPr>
            <w:tcW w:w="9016" w:type="dxa"/>
          </w:tcPr>
          <w:p w14:paraId="3D29A803" w14:textId="317B357C" w:rsidR="00A81B96" w:rsidRPr="00CE04FC" w:rsidRDefault="00A81B96" w:rsidP="00A81B96">
            <w:pPr>
              <w:jc w:val="center"/>
              <w:rPr>
                <w:rFonts w:ascii="Times New Roman" w:hAnsi="Times New Roman" w:cs="Times New Roman"/>
              </w:rPr>
            </w:pPr>
            <w:r w:rsidRPr="00CE04FC">
              <w:rPr>
                <w:rFonts w:ascii="Times New Roman" w:hAnsi="Times New Roman" w:cs="Times New Roman"/>
                <w:noProof/>
              </w:rPr>
              <w:drawing>
                <wp:inline distT="0" distB="0" distL="0" distR="0" wp14:anchorId="5EBF997B" wp14:editId="013B23E0">
                  <wp:extent cx="2484610" cy="2425148"/>
                  <wp:effectExtent l="0" t="0" r="0" b="0"/>
                  <wp:docPr id="1116457537" name="Picture 1" descr="A diagram of a neural net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57537" name="Picture 1" descr="A diagram of a neural network&#10;&#10;AI-generated content may be incorrect."/>
                          <pic:cNvPicPr/>
                        </pic:nvPicPr>
                        <pic:blipFill>
                          <a:blip r:embed="rId12"/>
                          <a:stretch>
                            <a:fillRect/>
                          </a:stretch>
                        </pic:blipFill>
                        <pic:spPr>
                          <a:xfrm>
                            <a:off x="0" y="0"/>
                            <a:ext cx="2520506" cy="2460185"/>
                          </a:xfrm>
                          <a:prstGeom prst="rect">
                            <a:avLst/>
                          </a:prstGeom>
                        </pic:spPr>
                      </pic:pic>
                    </a:graphicData>
                  </a:graphic>
                </wp:inline>
              </w:drawing>
            </w:r>
          </w:p>
        </w:tc>
      </w:tr>
      <w:tr w:rsidR="00CE04FC" w:rsidRPr="00CE04FC" w14:paraId="49847548" w14:textId="77777777" w:rsidTr="00A81B96">
        <w:tc>
          <w:tcPr>
            <w:tcW w:w="9016" w:type="dxa"/>
          </w:tcPr>
          <w:p w14:paraId="04D3B99D" w14:textId="02271921" w:rsidR="00A81B96" w:rsidRPr="00CE04FC" w:rsidRDefault="00A81B96" w:rsidP="00A81B96">
            <w:pPr>
              <w:pStyle w:val="Caption"/>
              <w:jc w:val="center"/>
              <w:rPr>
                <w:rFonts w:ascii="Times New Roman" w:hAnsi="Times New Roman" w:cs="Times New Roman"/>
                <w:i w:val="0"/>
                <w:iCs w:val="0"/>
                <w:color w:val="auto"/>
                <w:sz w:val="22"/>
                <w:szCs w:val="22"/>
              </w:rPr>
            </w:pPr>
            <w:bookmarkStart w:id="3" w:name="_Ref197457591"/>
            <w:r w:rsidRPr="00CE04FC">
              <w:rPr>
                <w:rFonts w:ascii="Times New Roman" w:hAnsi="Times New Roman" w:cs="Times New Roman"/>
                <w:i w:val="0"/>
                <w:iCs w:val="0"/>
                <w:color w:val="auto"/>
                <w:sz w:val="22"/>
                <w:szCs w:val="22"/>
              </w:rPr>
              <w:t xml:space="preserve">Figure </w:t>
            </w:r>
            <w:r w:rsidRPr="00CE04FC">
              <w:rPr>
                <w:rFonts w:ascii="Times New Roman" w:hAnsi="Times New Roman" w:cs="Times New Roman"/>
                <w:i w:val="0"/>
                <w:iCs w:val="0"/>
                <w:color w:val="auto"/>
                <w:sz w:val="22"/>
                <w:szCs w:val="22"/>
              </w:rPr>
              <w:fldChar w:fldCharType="begin"/>
            </w:r>
            <w:r w:rsidRPr="00CE04FC">
              <w:rPr>
                <w:rFonts w:ascii="Times New Roman" w:hAnsi="Times New Roman" w:cs="Times New Roman"/>
                <w:i w:val="0"/>
                <w:iCs w:val="0"/>
                <w:color w:val="auto"/>
                <w:sz w:val="22"/>
                <w:szCs w:val="22"/>
              </w:rPr>
              <w:instrText xml:space="preserve"> SEQ Figure \* ARABIC </w:instrText>
            </w:r>
            <w:r w:rsidRPr="00CE04FC">
              <w:rPr>
                <w:rFonts w:ascii="Times New Roman" w:hAnsi="Times New Roman" w:cs="Times New Roman"/>
                <w:i w:val="0"/>
                <w:iCs w:val="0"/>
                <w:color w:val="auto"/>
                <w:sz w:val="22"/>
                <w:szCs w:val="22"/>
              </w:rPr>
              <w:fldChar w:fldCharType="separate"/>
            </w:r>
            <w:r w:rsidRPr="00CE04FC">
              <w:rPr>
                <w:rFonts w:ascii="Times New Roman" w:hAnsi="Times New Roman" w:cs="Times New Roman"/>
                <w:i w:val="0"/>
                <w:iCs w:val="0"/>
                <w:noProof/>
                <w:color w:val="auto"/>
                <w:sz w:val="22"/>
                <w:szCs w:val="22"/>
              </w:rPr>
              <w:t>4</w:t>
            </w:r>
            <w:r w:rsidRPr="00CE04FC">
              <w:rPr>
                <w:rFonts w:ascii="Times New Roman" w:hAnsi="Times New Roman" w:cs="Times New Roman"/>
                <w:i w:val="0"/>
                <w:iCs w:val="0"/>
                <w:color w:val="auto"/>
                <w:sz w:val="22"/>
                <w:szCs w:val="22"/>
              </w:rPr>
              <w:fldChar w:fldCharType="end"/>
            </w:r>
            <w:bookmarkEnd w:id="3"/>
            <w:r w:rsidRPr="00CE04FC">
              <w:rPr>
                <w:rFonts w:ascii="Times New Roman" w:hAnsi="Times New Roman" w:cs="Times New Roman"/>
                <w:i w:val="0"/>
                <w:iCs w:val="0"/>
                <w:color w:val="auto"/>
                <w:sz w:val="22"/>
                <w:szCs w:val="22"/>
              </w:rPr>
              <w:t xml:space="preserve"> Architecture of ML model</w:t>
            </w:r>
            <w:r w:rsidR="00E361AA" w:rsidRPr="00CE04FC">
              <w:rPr>
                <w:rFonts w:ascii="Times New Roman" w:hAnsi="Times New Roman" w:cs="Times New Roman"/>
                <w:i w:val="0"/>
                <w:iCs w:val="0"/>
                <w:color w:val="auto"/>
                <w:sz w:val="22"/>
                <w:szCs w:val="22"/>
              </w:rPr>
              <w:t>.</w:t>
            </w:r>
          </w:p>
        </w:tc>
      </w:tr>
    </w:tbl>
    <w:p w14:paraId="46AEF7C0" w14:textId="4A136340" w:rsidR="00443200" w:rsidRPr="00CE04FC" w:rsidRDefault="00F804AE" w:rsidP="006F045B">
      <w:pPr>
        <w:jc w:val="both"/>
        <w:rPr>
          <w:rFonts w:ascii="Times New Roman" w:hAnsi="Times New Roman" w:cs="Times New Roman"/>
        </w:rPr>
      </w:pPr>
      <w:r w:rsidRPr="00CE04FC">
        <w:rPr>
          <w:rFonts w:ascii="Times New Roman" w:hAnsi="Times New Roman" w:cs="Times New Roman"/>
        </w:rPr>
        <w:t>The hyperparameter tuning process proceeded in two phases. Initial baseline configurations were established through empirical evaluation of delay lengths, hidden layer architecture, learning rates, epoch counts, and training functions. Subsequently, Bayesian optimi</w:t>
      </w:r>
      <w:r w:rsidR="007066E8" w:rsidRPr="00CE04FC">
        <w:rPr>
          <w:rFonts w:ascii="Times New Roman" w:hAnsi="Times New Roman" w:cs="Times New Roman"/>
        </w:rPr>
        <w:t>s</w:t>
      </w:r>
      <w:r w:rsidRPr="00CE04FC">
        <w:rPr>
          <w:rFonts w:ascii="Times New Roman" w:hAnsi="Times New Roman" w:cs="Times New Roman"/>
        </w:rPr>
        <w:t>ation refined key parameters—neuron count, learning rate, and regulari</w:t>
      </w:r>
      <w:r w:rsidR="007066E8" w:rsidRPr="00CE04FC">
        <w:rPr>
          <w:rFonts w:ascii="Times New Roman" w:hAnsi="Times New Roman" w:cs="Times New Roman"/>
        </w:rPr>
        <w:t>s</w:t>
      </w:r>
      <w:r w:rsidRPr="00CE04FC">
        <w:rPr>
          <w:rFonts w:ascii="Times New Roman" w:hAnsi="Times New Roman" w:cs="Times New Roman"/>
        </w:rPr>
        <w:t>ation strength—using a probabilistic surrogate model to minimi</w:t>
      </w:r>
      <w:r w:rsidR="007066E8" w:rsidRPr="00CE04FC">
        <w:rPr>
          <w:rFonts w:ascii="Times New Roman" w:hAnsi="Times New Roman" w:cs="Times New Roman"/>
        </w:rPr>
        <w:t>s</w:t>
      </w:r>
      <w:r w:rsidRPr="00CE04FC">
        <w:rPr>
          <w:rFonts w:ascii="Times New Roman" w:hAnsi="Times New Roman" w:cs="Times New Roman"/>
        </w:rPr>
        <w:t xml:space="preserve">e cross-validated MSE while efficiently navigating the search space </w:t>
      </w:r>
      <w:r w:rsidR="0013307A" w:rsidRPr="00CE04FC">
        <w:rPr>
          <w:rFonts w:ascii="Times New Roman" w:hAnsi="Times New Roman" w:cs="Times New Roman"/>
        </w:rPr>
        <w:fldChar w:fldCharType="begin"/>
      </w:r>
      <w:r w:rsidR="0013307A" w:rsidRPr="00CE04FC">
        <w:rPr>
          <w:rFonts w:ascii="Times New Roman" w:hAnsi="Times New Roman" w:cs="Times New Roman"/>
        </w:rPr>
        <w:instrText xml:space="preserve"> ADDIN EN.CITE &lt;EndNote&gt;&lt;Cite&gt;&lt;Author&gt;Snoek&lt;/Author&gt;&lt;Year&gt;2012&lt;/Year&gt;&lt;RecNum&gt;70&lt;/RecNum&gt;&lt;DisplayText&gt;(Snoek et al., 2012; Z. Wang et al., 2024)&lt;/DisplayText&gt;&lt;record&gt;&lt;rec-number&gt;70&lt;/rec-number&gt;&lt;foreign-keys&gt;&lt;key app="EN" db-id="0x0z5zxatzat9oe9027xea2pe2we5dee5dez" timestamp="1746286555"&gt;70&lt;/key&gt;&lt;/foreign-keys&gt;&lt;ref-type name="Journal Article"&gt;17&lt;/ref-type&gt;&lt;contributors&gt;&lt;authors&gt;&lt;author&gt;Snoek, Jasper&lt;/author&gt;&lt;author&gt;Larochelle, Hugo&lt;/author&gt;&lt;author&gt;Adams, Ryan P&lt;/author&gt;&lt;/authors&gt;&lt;/contributors&gt;&lt;titles&gt;&lt;title&gt;Practical bayesian optimization of machine learning algorithms&lt;/title&gt;&lt;secondary-title&gt;Advances in neural information processing systems&lt;/secondary-title&gt;&lt;/titles&gt;&lt;periodical&gt;&lt;full-title&gt;Advances in neural information processing systems&lt;/full-title&gt;&lt;/periodical&gt;&lt;volume&gt;25&lt;/volume&gt;&lt;dates&gt;&lt;year&gt;2012&lt;/year&gt;&lt;/dates&gt;&lt;urls&gt;&lt;/urls&gt;&lt;/record&gt;&lt;/Cite&gt;&lt;Cite&gt;&lt;Author&gt;Wang&lt;/Author&gt;&lt;Year&gt;2024&lt;/Year&gt;&lt;RecNum&gt;71&lt;/RecNum&gt;&lt;record&gt;&lt;rec-number&gt;71&lt;/rec-number&gt;&lt;foreign-keys&gt;&lt;key app="EN" db-id="0x0z5zxatzat9oe9027xea2pe2we5dee5dez" timestamp="1746286724"&gt;71&lt;/key&gt;&lt;/foreign-keys&gt;&lt;ref-type name="Journal Article"&gt;17&lt;/ref-type&gt;&lt;contributors&gt;&lt;authors&gt;&lt;author&gt;Wang, Zi&lt;/author&gt;&lt;author&gt;Dahl, George E&lt;/author&gt;&lt;author&gt;Swersky, Kevin&lt;/author&gt;&lt;author&gt;Lee, Chansoo&lt;/author&gt;&lt;author&gt;Nado, Zachary&lt;/author&gt;&lt;author&gt;Gilmer, Justin&lt;/author&gt;&lt;author&gt;Snoek, Jasper&lt;/author&gt;&lt;author&gt;Ghahramani, Zoubin&lt;/author&gt;&lt;/authors&gt;&lt;/contributors&gt;&lt;titles&gt;&lt;title&gt;Pre-trained Gaussian processes for Bayesian optimization&lt;/title&gt;&lt;secondary-title&gt;Journal of Machine Learning Research&lt;/secondary-title&gt;&lt;/titles&gt;&lt;periodical&gt;&lt;full-title&gt;Journal of Machine Learning Research&lt;/full-title&gt;&lt;/periodical&gt;&lt;pages&gt;1-83&lt;/pages&gt;&lt;volume&gt;25&lt;/volume&gt;&lt;number&gt;212&lt;/number&gt;&lt;dates&gt;&lt;year&gt;2024&lt;/year&gt;&lt;/dates&gt;&lt;isbn&gt;1533-7928&lt;/isbn&gt;&lt;urls&gt;&lt;/urls&gt;&lt;/record&gt;&lt;/Cite&gt;&lt;/EndNote&gt;</w:instrText>
      </w:r>
      <w:r w:rsidR="0013307A" w:rsidRPr="00CE04FC">
        <w:rPr>
          <w:rFonts w:ascii="Times New Roman" w:hAnsi="Times New Roman" w:cs="Times New Roman"/>
        </w:rPr>
        <w:fldChar w:fldCharType="separate"/>
      </w:r>
      <w:r w:rsidR="0013307A" w:rsidRPr="00CE04FC">
        <w:rPr>
          <w:rFonts w:ascii="Times New Roman" w:hAnsi="Times New Roman" w:cs="Times New Roman"/>
        </w:rPr>
        <w:t>(Snoek et al., 2012; Z. Wang et al., 2024)</w:t>
      </w:r>
      <w:r w:rsidR="0013307A" w:rsidRPr="00CE04FC">
        <w:rPr>
          <w:rFonts w:ascii="Times New Roman" w:hAnsi="Times New Roman" w:cs="Times New Roman"/>
        </w:rPr>
        <w:fldChar w:fldCharType="end"/>
      </w:r>
      <w:r w:rsidRPr="00CE04FC">
        <w:rPr>
          <w:rFonts w:ascii="Times New Roman" w:hAnsi="Times New Roman" w:cs="Times New Roman"/>
        </w:rPr>
        <w:t>. This approach optimally balances exploration and exploitation, particularly valuable for computationally intensive model evaluations. The final model employed Levenberg-Marquardt backpropagation</w:t>
      </w:r>
      <w:r w:rsidR="00C355F3" w:rsidRPr="00CE04FC">
        <w:rPr>
          <w:rFonts w:ascii="Times New Roman" w:hAnsi="Times New Roman" w:cs="Times New Roman"/>
        </w:rPr>
        <w:t xml:space="preserve"> </w:t>
      </w:r>
      <w:r w:rsidR="00C355F3" w:rsidRPr="00CE04FC">
        <w:rPr>
          <w:rFonts w:ascii="Times New Roman" w:hAnsi="Times New Roman" w:cs="Times New Roman"/>
        </w:rPr>
        <w:fldChar w:fldCharType="begin"/>
      </w:r>
      <w:r w:rsidR="00C355F3" w:rsidRPr="00CE04FC">
        <w:rPr>
          <w:rFonts w:ascii="Times New Roman" w:hAnsi="Times New Roman" w:cs="Times New Roman"/>
        </w:rPr>
        <w:instrText xml:space="preserve"> ADDIN EN.CITE &lt;EndNote&gt;&lt;Cite&gt;&lt;Author&gt;Yang&lt;/Author&gt;&lt;Year&gt;2021&lt;/Year&gt;&lt;RecNum&gt;32&lt;/RecNum&gt;&lt;DisplayText&gt;(Yang et al., 2021)&lt;/DisplayText&gt;&lt;record&gt;&lt;rec-number&gt;32&lt;/rec-number&gt;&lt;foreign-keys&gt;&lt;key app="EN" db-id="0x0z5zxatzat9oe9027xea2pe2we5dee5dez" timestamp="1744718165"&gt;32&lt;/key&gt;&lt;/foreign-keys&gt;&lt;ref-type name="Journal Article"&gt;17&lt;/ref-type&gt;&lt;contributors&gt;&lt;authors&gt;&lt;author&gt;Yang, Bo&lt;/author&gt;&lt;author&gt;Chen, Yijun&lt;/author&gt;&lt;author&gt;Guo, Zhengxun&lt;/author&gt;&lt;author&gt;Wang, Jingbo&lt;/author&gt;&lt;author&gt;Zeng, Chunyuan&lt;/author&gt;&lt;author&gt;Li, Danyang&lt;/author&gt;&lt;author&gt;Shu, Hongchun&lt;/author&gt;&lt;author&gt;Shan, Jieshan&lt;/author&gt;&lt;author&gt;Fu, Ting&lt;/author&gt;&lt;author&gt;Zhang, Xiaoshun&lt;/author&gt;&lt;/authors&gt;&lt;/contributors&gt;&lt;titles&gt;&lt;title&gt;Levenberg‐Marquardt backpropagation algorithm for parameter identification of solid oxide fuel cells&lt;/title&gt;&lt;secondary-title&gt;International Journal of Energy Research&lt;/secondary-title&gt;&lt;/titles&gt;&lt;periodical&gt;&lt;full-title&gt;International Journal of Energy Research&lt;/full-title&gt;&lt;/periodical&gt;&lt;pages&gt;17903-17923&lt;/pages&gt;&lt;volume&gt;45&lt;/volume&gt;&lt;number&gt;12&lt;/number&gt;&lt;dates&gt;&lt;year&gt;2021&lt;/year&gt;&lt;/dates&gt;&lt;isbn&gt;0363-907X&lt;/isbn&gt;&lt;urls&gt;&lt;/urls&gt;&lt;/record&gt;&lt;/Cite&gt;&lt;/EndNote&gt;</w:instrText>
      </w:r>
      <w:r w:rsidR="00C355F3" w:rsidRPr="00CE04FC">
        <w:rPr>
          <w:rFonts w:ascii="Times New Roman" w:hAnsi="Times New Roman" w:cs="Times New Roman"/>
        </w:rPr>
        <w:fldChar w:fldCharType="separate"/>
      </w:r>
      <w:r w:rsidR="00C355F3" w:rsidRPr="00CE04FC">
        <w:rPr>
          <w:rFonts w:ascii="Times New Roman" w:hAnsi="Times New Roman" w:cs="Times New Roman"/>
        </w:rPr>
        <w:t>(Yang et al., 2021)</w:t>
      </w:r>
      <w:r w:rsidR="00C355F3" w:rsidRPr="00CE04FC">
        <w:rPr>
          <w:rFonts w:ascii="Times New Roman" w:hAnsi="Times New Roman" w:cs="Times New Roman"/>
        </w:rPr>
        <w:fldChar w:fldCharType="end"/>
      </w:r>
      <w:r w:rsidRPr="00CE04FC">
        <w:rPr>
          <w:rFonts w:ascii="Times New Roman" w:hAnsi="Times New Roman" w:cs="Times New Roman"/>
        </w:rPr>
        <w:t xml:space="preserve"> for rapid convergence, achieving excellent predictive performance (R² = 0.967, MAE = 8.57, RMSE = 11.3, Grayson Index = 0.98). Cross-validation with multiple input sets from the uncertainty quantification toolkit confirmed the model's robustness and generali</w:t>
      </w:r>
      <w:r w:rsidR="007066E8" w:rsidRPr="00CE04FC">
        <w:rPr>
          <w:rFonts w:ascii="Times New Roman" w:hAnsi="Times New Roman" w:cs="Times New Roman"/>
        </w:rPr>
        <w:t>s</w:t>
      </w:r>
      <w:r w:rsidRPr="00CE04FC">
        <w:rPr>
          <w:rFonts w:ascii="Times New Roman" w:hAnsi="Times New Roman" w:cs="Times New Roman"/>
        </w:rPr>
        <w:t xml:space="preserve">ation capability. The surrogate demonstrated both computational efficiency and strong agreement with Aspen Plus simulations, as evidenced by probability density function analyses in Section 2.5.1. </w:t>
      </w:r>
      <w:r w:rsidR="00443200" w:rsidRPr="00CE04FC">
        <w:rPr>
          <w:rFonts w:ascii="Times New Roman" w:hAnsi="Times New Roman" w:cs="Times New Roman"/>
        </w:rPr>
        <w:t xml:space="preserve">Once validated, the </w:t>
      </w:r>
      <w:r w:rsidR="00BB49BE" w:rsidRPr="00CE04FC">
        <w:rPr>
          <w:rFonts w:ascii="Times New Roman" w:hAnsi="Times New Roman" w:cs="Times New Roman"/>
        </w:rPr>
        <w:t>ML model</w:t>
      </w:r>
      <w:r w:rsidR="00443200" w:rsidRPr="00CE04FC">
        <w:rPr>
          <w:rFonts w:ascii="Times New Roman" w:hAnsi="Times New Roman" w:cs="Times New Roman"/>
        </w:rPr>
        <w:t xml:space="preserve"> was used to predict system </w:t>
      </w:r>
      <w:r w:rsidR="0019758D" w:rsidRPr="00CE04FC">
        <w:rPr>
          <w:rFonts w:ascii="Times New Roman" w:hAnsi="Times New Roman" w:cs="Times New Roman"/>
        </w:rPr>
        <w:t>behaviour</w:t>
      </w:r>
      <w:r w:rsidR="00443200" w:rsidRPr="00CE04FC">
        <w:rPr>
          <w:rFonts w:ascii="Times New Roman" w:hAnsi="Times New Roman" w:cs="Times New Roman"/>
        </w:rPr>
        <w:t xml:space="preserve"> across six configurations (10–20 MW power input), enabling comprehensive UQ analysis without the computational burden of extensive simulations. The final ANN predictive model is expressed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3"/>
        <w:gridCol w:w="473"/>
      </w:tblGrid>
      <w:tr w:rsidR="00CE04FC" w:rsidRPr="00CE04FC" w14:paraId="4FEF0735" w14:textId="77777777" w:rsidTr="00BC4E7E">
        <w:tc>
          <w:tcPr>
            <w:tcW w:w="8647" w:type="dxa"/>
          </w:tcPr>
          <w:p w14:paraId="13CF54FE" w14:textId="77777777" w:rsidR="00553A6A" w:rsidRPr="00CE04FC" w:rsidRDefault="00260F21" w:rsidP="007D40E1">
            <w:pPr>
              <w:jc w:val="both"/>
              <w:rPr>
                <w:rFonts w:ascii="Times New Roman" w:hAnsi="Times New Roman" w:cs="Times New Roman"/>
              </w:rPr>
            </w:pPr>
            <m:oMathPara>
              <m:oMath>
                <m:acc>
                  <m:accPr>
                    <m:ctrlPr>
                      <w:rPr>
                        <w:rFonts w:ascii="Cambria Math" w:hAnsi="Cambria Math" w:cs="Times New Roman"/>
                      </w:rPr>
                    </m:ctrlPr>
                  </m:accPr>
                  <m:e>
                    <m:r>
                      <w:rPr>
                        <w:rFonts w:ascii="Cambria Math" w:hAnsi="Cambria Math" w:cs="Times New Roman"/>
                      </w:rPr>
                      <m:t>y</m:t>
                    </m:r>
                  </m:e>
                </m:acc>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ANN</m:t>
                    </m:r>
                  </m:sub>
                </m:sSub>
                <m:d>
                  <m:dPr>
                    <m:ctrlPr>
                      <w:rPr>
                        <w:rFonts w:ascii="Cambria Math" w:hAnsi="Cambria Math" w:cs="Times New Roman"/>
                      </w:rPr>
                    </m:ctrlPr>
                  </m:dPr>
                  <m:e>
                    <m:r>
                      <w:rPr>
                        <w:rFonts w:ascii="Cambria Math" w:hAnsi="Cambria Math" w:cs="Times New Roman"/>
                      </w:rPr>
                      <m:t>x</m:t>
                    </m:r>
                  </m:e>
                </m:d>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l</m:t>
                    </m:r>
                  </m:sup>
                </m:sSup>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W</m:t>
                    </m:r>
                  </m:e>
                  <m:sup>
                    <m:r>
                      <w:rPr>
                        <w:rFonts w:ascii="Cambria Math" w:hAnsi="Cambria Math" w:cs="Times New Roman"/>
                      </w:rPr>
                      <m:t>l</m:t>
                    </m:r>
                  </m:sup>
                </m:sSup>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l</m:t>
                    </m:r>
                    <m:r>
                      <m:rPr>
                        <m:sty m:val="p"/>
                      </m:rPr>
                      <w:rPr>
                        <w:rFonts w:ascii="Cambria Math" w:hAnsi="Cambria Math" w:cs="Times New Roman"/>
                      </w:rPr>
                      <m:t>-1</m:t>
                    </m:r>
                  </m:sup>
                </m:sSup>
                <m:d>
                  <m:dPr>
                    <m:ctrlPr>
                      <w:rPr>
                        <w:rFonts w:ascii="Cambria Math" w:hAnsi="Cambria Math" w:cs="Times New Roman"/>
                      </w:rPr>
                    </m:ctrlPr>
                  </m:dPr>
                  <m:e>
                    <m:r>
                      <m:rPr>
                        <m:sty m:val="p"/>
                      </m:rPr>
                      <w:rPr>
                        <w:rFonts w:ascii="Cambria Math" w:hAnsi="Cambria Math" w:cs="Times New Roman"/>
                      </w:rPr>
                      <m:t xml:space="preserve">.  .  . </m:t>
                    </m:r>
                    <m:sSup>
                      <m:sSupPr>
                        <m:ctrlPr>
                          <w:rPr>
                            <w:rFonts w:ascii="Cambria Math" w:hAnsi="Cambria Math" w:cs="Times New Roman"/>
                          </w:rPr>
                        </m:ctrlPr>
                      </m:sSupPr>
                      <m:e>
                        <m:r>
                          <w:rPr>
                            <w:rFonts w:ascii="Cambria Math" w:hAnsi="Cambria Math" w:cs="Times New Roman"/>
                          </w:rPr>
                          <m:t>σ</m:t>
                        </m:r>
                      </m:e>
                      <m:sup>
                        <m:r>
                          <w:rPr>
                            <w:rFonts w:ascii="Cambria Math" w:hAnsi="Cambria Math" w:cs="Times New Roman"/>
                          </w:rPr>
                          <m:t>l</m:t>
                        </m:r>
                      </m:sup>
                    </m:sSup>
                    <m:d>
                      <m:dPr>
                        <m:ctrlPr>
                          <w:rPr>
                            <w:rFonts w:ascii="Cambria Math" w:hAnsi="Cambria Math" w:cs="Times New Roman"/>
                          </w:rPr>
                        </m:ctrlPr>
                      </m:dPr>
                      <m:e>
                        <m:sSup>
                          <m:sSupPr>
                            <m:ctrlPr>
                              <w:rPr>
                                <w:rFonts w:ascii="Cambria Math" w:hAnsi="Cambria Math" w:cs="Times New Roman"/>
                              </w:rPr>
                            </m:ctrlPr>
                          </m:sSupPr>
                          <m:e>
                            <m:r>
                              <w:rPr>
                                <w:rFonts w:ascii="Cambria Math" w:hAnsi="Cambria Math" w:cs="Times New Roman"/>
                              </w:rPr>
                              <m:t>W</m:t>
                            </m:r>
                          </m:e>
                          <m:sup>
                            <m:r>
                              <m:rPr>
                                <m:sty m:val="p"/>
                              </m:rPr>
                              <w:rPr>
                                <w:rFonts w:ascii="Cambria Math" w:hAnsi="Cambria Math" w:cs="Times New Roman"/>
                              </w:rPr>
                              <m:t>1</m:t>
                            </m:r>
                          </m:sup>
                        </m:sSup>
                        <m:r>
                          <w:rPr>
                            <w:rFonts w:ascii="Cambria Math" w:hAnsi="Cambria Math" w:cs="Times New Roman"/>
                          </w:rPr>
                          <m:t>x</m:t>
                        </m:r>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b</m:t>
                            </m:r>
                          </m:e>
                          <m:sup>
                            <m:r>
                              <m:rPr>
                                <m:sty m:val="p"/>
                              </m:rPr>
                              <w:rPr>
                                <w:rFonts w:ascii="Cambria Math" w:hAnsi="Cambria Math" w:cs="Times New Roman"/>
                              </w:rPr>
                              <m:t>1</m:t>
                            </m:r>
                          </m:sup>
                        </m:sSup>
                      </m:e>
                    </m:d>
                    <m:r>
                      <m:rPr>
                        <m:sty m:val="p"/>
                      </m:rPr>
                      <w:rPr>
                        <w:rFonts w:ascii="Cambria Math" w:hAnsi="Cambria Math" w:cs="Times New Roman"/>
                      </w:rPr>
                      <m:t xml:space="preserve">.  .  . </m:t>
                    </m:r>
                  </m:e>
                </m:d>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b</m:t>
                    </m:r>
                  </m:e>
                  <m:sup>
                    <m:r>
                      <w:rPr>
                        <w:rFonts w:ascii="Cambria Math" w:hAnsi="Cambria Math" w:cs="Times New Roman"/>
                      </w:rPr>
                      <m:t>L</m:t>
                    </m:r>
                  </m:sup>
                </m:sSup>
                <m:r>
                  <m:rPr>
                    <m:sty m:val="p"/>
                  </m:rPr>
                  <w:rPr>
                    <w:rFonts w:ascii="Cambria Math" w:hAnsi="Cambria Math" w:cs="Times New Roman"/>
                  </w:rPr>
                  <m:t xml:space="preserve">) </m:t>
                </m:r>
              </m:oMath>
            </m:oMathPara>
          </w:p>
        </w:tc>
        <w:tc>
          <w:tcPr>
            <w:tcW w:w="369" w:type="dxa"/>
          </w:tcPr>
          <w:p w14:paraId="13FC44FB" w14:textId="1BC13915" w:rsidR="00553A6A" w:rsidRPr="00CE04FC" w:rsidRDefault="00553A6A" w:rsidP="00BC4E7E">
            <w:pPr>
              <w:jc w:val="both"/>
              <w:rPr>
                <w:rFonts w:ascii="Times New Roman" w:hAnsi="Times New Roman" w:cs="Times New Roman"/>
              </w:rPr>
            </w:pPr>
            <w:bookmarkStart w:id="4" w:name="_Ref188029718"/>
            <w:r w:rsidRPr="00CE04FC">
              <w:rPr>
                <w:rFonts w:ascii="Times New Roman"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w:t>
            </w:r>
            <w:r w:rsidRPr="00CE04FC">
              <w:rPr>
                <w:rFonts w:ascii="Times New Roman" w:hAnsi="Times New Roman" w:cs="Times New Roman"/>
              </w:rPr>
              <w:fldChar w:fldCharType="end"/>
            </w:r>
            <w:bookmarkEnd w:id="4"/>
            <w:r w:rsidRPr="00CE04FC">
              <w:rPr>
                <w:rFonts w:ascii="Times New Roman" w:hAnsi="Times New Roman" w:cs="Times New Roman"/>
              </w:rPr>
              <w:t>)</w:t>
            </w:r>
          </w:p>
        </w:tc>
      </w:tr>
    </w:tbl>
    <w:p w14:paraId="43BA8FB7" w14:textId="7EBD96B6" w:rsidR="006D57A5" w:rsidRDefault="008627DD" w:rsidP="00474D8B">
      <w:pPr>
        <w:spacing w:before="240" w:line="240" w:lineRule="auto"/>
        <w:jc w:val="both"/>
        <w:rPr>
          <w:rFonts w:ascii="Times New Roman" w:hAnsi="Times New Roman" w:cs="Times New Roman"/>
        </w:rPr>
      </w:pPr>
      <w:r w:rsidRPr="00CE04FC">
        <w:rPr>
          <w:rFonts w:ascii="Times New Roman" w:hAnsi="Times New Roman" w:cs="Times New Roman"/>
        </w:rPr>
        <w:t>As shown later, t</w:t>
      </w:r>
      <w:r w:rsidR="00443200" w:rsidRPr="00CE04FC">
        <w:rPr>
          <w:rFonts w:ascii="Times New Roman" w:hAnsi="Times New Roman" w:cs="Times New Roman"/>
        </w:rPr>
        <w:t>his approach significantly enhances computational efficiency while maintaining precision in UQ analysis.</w:t>
      </w:r>
    </w:p>
    <w:p w14:paraId="4A4BCB36" w14:textId="77777777" w:rsidR="006D57A5" w:rsidRDefault="006D57A5">
      <w:pPr>
        <w:rPr>
          <w:rFonts w:ascii="Times New Roman" w:hAnsi="Times New Roman" w:cs="Times New Roman"/>
        </w:rPr>
      </w:pPr>
      <w:r>
        <w:rPr>
          <w:rFonts w:ascii="Times New Roman" w:hAnsi="Times New Roman" w:cs="Times New Roman"/>
        </w:rPr>
        <w:br w:type="page"/>
      </w:r>
    </w:p>
    <w:p w14:paraId="38004E03" w14:textId="77777777" w:rsidR="00443200" w:rsidRPr="00CE04FC" w:rsidRDefault="00443200" w:rsidP="00474D8B">
      <w:pPr>
        <w:spacing w:before="240" w:line="240" w:lineRule="auto"/>
        <w:jc w:val="both"/>
        <w:rPr>
          <w:rFonts w:ascii="Times New Roman" w:hAnsi="Times New Roman" w:cs="Times New Roman"/>
        </w:rPr>
      </w:pPr>
    </w:p>
    <w:p w14:paraId="54DCD26E" w14:textId="1D2BAF7B" w:rsidR="00D75860" w:rsidRPr="00CE04FC" w:rsidRDefault="00262026" w:rsidP="00B324D0">
      <w:pPr>
        <w:pStyle w:val="Heading2"/>
        <w:spacing w:before="240"/>
        <w:rPr>
          <w:szCs w:val="22"/>
        </w:rPr>
      </w:pPr>
      <w:bookmarkStart w:id="5" w:name="_Ref187927501"/>
      <w:r w:rsidRPr="00CE04FC">
        <w:rPr>
          <w:szCs w:val="22"/>
        </w:rPr>
        <w:t xml:space="preserve"> </w:t>
      </w:r>
      <w:r w:rsidR="00D75860" w:rsidRPr="00CE04FC">
        <w:rPr>
          <w:szCs w:val="22"/>
        </w:rPr>
        <w:t xml:space="preserve">Uncertainty Quantification </w:t>
      </w:r>
      <w:bookmarkEnd w:id="5"/>
    </w:p>
    <w:p w14:paraId="67C8C94F" w14:textId="1047D425" w:rsidR="007B13F4" w:rsidRPr="00CE04FC" w:rsidRDefault="00334840" w:rsidP="007B13F4">
      <w:pPr>
        <w:spacing w:line="240" w:lineRule="auto"/>
        <w:jc w:val="both"/>
        <w:rPr>
          <w:rFonts w:ascii="Times New Roman" w:hAnsi="Times New Roman" w:cs="Times New Roman"/>
        </w:rPr>
      </w:pPr>
      <w:r w:rsidRPr="00CE04FC">
        <w:rPr>
          <w:rFonts w:ascii="Times New Roman" w:hAnsi="Times New Roman" w:cs="Times New Roman"/>
        </w:rPr>
        <w:t>In this study, an open-source</w:t>
      </w:r>
      <w:r w:rsidR="00ED1A3B" w:rsidRPr="00CE04FC">
        <w:rPr>
          <w:rFonts w:ascii="Times New Roman" w:hAnsi="Times New Roman" w:cs="Times New Roman"/>
        </w:rPr>
        <w:t xml:space="preserve"> </w:t>
      </w:r>
      <w:r w:rsidRPr="00CE04FC">
        <w:rPr>
          <w:rFonts w:ascii="Times New Roman" w:hAnsi="Times New Roman" w:cs="Times New Roman"/>
        </w:rPr>
        <w:t>UQTk</w:t>
      </w:r>
      <w:r w:rsidR="00ED1A3B" w:rsidRPr="00CE04FC">
        <w:rPr>
          <w:rFonts w:ascii="Times New Roman" w:hAnsi="Times New Roman" w:cs="Times New Roman"/>
        </w:rPr>
        <w:t>,</w:t>
      </w:r>
      <w:r w:rsidRPr="00CE04FC">
        <w:rPr>
          <w:rFonts w:ascii="Times New Roman" w:hAnsi="Times New Roman" w:cs="Times New Roman"/>
        </w:rPr>
        <w:t xml:space="preserve"> version 3.1.2 </w:t>
      </w:r>
      <w:r w:rsidR="00BB113F" w:rsidRPr="00CE04FC">
        <w:rPr>
          <w:rFonts w:ascii="Times New Roman" w:hAnsi="Times New Roman" w:cs="Times New Roman"/>
        </w:rPr>
        <w:fldChar w:fldCharType="begin"/>
      </w:r>
      <w:r w:rsidR="00B0332A" w:rsidRPr="00CE04FC">
        <w:rPr>
          <w:rFonts w:ascii="Times New Roman" w:hAnsi="Times New Roman" w:cs="Times New Roman"/>
        </w:rPr>
        <w:instrText xml:space="preserve"> ADDIN EN.CITE &lt;EndNote&gt;&lt;Cite&gt;&lt;Author&gt;Bert Debusschere&lt;/Author&gt;&lt;Year&gt;2024&lt;/Year&gt;&lt;RecNum&gt;7&lt;/RecNum&gt;&lt;DisplayText&gt;(Bert Debusschere, 2024; Sargsyan et al., 2022)&lt;/DisplayText&gt;&lt;record&gt;&lt;rec-number&gt;7&lt;/rec-number&gt;&lt;foreign-keys&gt;&lt;key app="EN" db-id="0x0z5zxatzat9oe9027xea2pe2we5dee5dez" timestamp="1734377650"&gt;7&lt;/key&gt;&lt;/foreign-keys&gt;&lt;ref-type name="Journal Article"&gt;17&lt;/ref-type&gt;&lt;contributors&gt;&lt;authors&gt;&lt;author&gt;Bert Debusschere, Caitlin Curry, Cosmin Safta, Katherine Johnston, Kenny Chowdhary&lt;/author&gt;&lt;/authors&gt;&lt;/contributors&gt;&lt;titles&gt;&lt;title&gt;UQ Toolkit. UQ Toolkit version 3.1.1.&lt;/title&gt;&lt;/titles&gt;&lt;dates&gt;&lt;year&gt;2024&lt;/year&gt;&lt;/dates&gt;&lt;urls&gt;&lt;related-urls&gt;&lt;url&gt;https://www.sandia.gov/uqtoolkit/&lt;/url&gt;&lt;/related-urls&gt;&lt;/urls&gt;&lt;/record&gt;&lt;/Cite&gt;&lt;Cite&gt;&lt;Author&gt;Sargsyan&lt;/Author&gt;&lt;Year&gt;2022&lt;/Year&gt;&lt;RecNum&gt;88&lt;/RecNum&gt;&lt;record&gt;&lt;rec-number&gt;88&lt;/rec-number&gt;&lt;foreign-keys&gt;&lt;key app="EN" db-id="0x0z5zxatzat9oe9027xea2pe2we5dee5dez" timestamp="1747046944"&gt;88&lt;/key&gt;&lt;/foreign-keys&gt;&lt;ref-type name="Report"&gt;27&lt;/ref-type&gt;&lt;contributors&gt;&lt;authors&gt;&lt;author&gt;Sargsyan, Khachik&lt;/author&gt;&lt;author&gt;Safta, Cosmin&lt;/author&gt;&lt;author&gt;Boll, Luke&lt;/author&gt;&lt;author&gt;Johnston, Katherine&lt;/author&gt;&lt;author&gt;Khalil, Mohammad&lt;/author&gt;&lt;author&gt;Chowdhary, Kamaljit&lt;/author&gt;&lt;author&gt;Rai, Prashant&lt;/author&gt;&lt;author&gt;Casey, Tiernan&lt;/author&gt;&lt;author&gt;Zeng, Xiaoshu&lt;/author&gt;&lt;author&gt;Debusschere, Bert&lt;/author&gt;&lt;/authors&gt;&lt;/contributors&gt;&lt;titles&gt;&lt;title&gt;UQTk Version 3.1. 2 User Manual&lt;/title&gt;&lt;/titles&gt;&lt;dates&gt;&lt;year&gt;2022&lt;/year&gt;&lt;/dates&gt;&lt;publisher&gt;Sandia National Lab.(SNL-NM), Albuquerque, NM (United States)&lt;/publisher&gt;&lt;urls&gt;&lt;/urls&gt;&lt;/record&gt;&lt;/Cite&gt;&lt;/EndNote&gt;</w:instrText>
      </w:r>
      <w:r w:rsidR="00BB113F" w:rsidRPr="00CE04FC">
        <w:rPr>
          <w:rFonts w:ascii="Times New Roman" w:hAnsi="Times New Roman" w:cs="Times New Roman"/>
        </w:rPr>
        <w:fldChar w:fldCharType="separate"/>
      </w:r>
      <w:r w:rsidR="00063EF7" w:rsidRPr="00CE04FC">
        <w:rPr>
          <w:rFonts w:ascii="Times New Roman" w:hAnsi="Times New Roman" w:cs="Times New Roman"/>
          <w:noProof/>
        </w:rPr>
        <w:t>(Bert Debusschere, 2024; Sargsyan et al., 2022)</w:t>
      </w:r>
      <w:r w:rsidR="00BB113F" w:rsidRPr="00CE04FC">
        <w:rPr>
          <w:rFonts w:ascii="Times New Roman" w:hAnsi="Times New Roman" w:cs="Times New Roman"/>
        </w:rPr>
        <w:fldChar w:fldCharType="end"/>
      </w:r>
      <w:r w:rsidRPr="00CE04FC">
        <w:rPr>
          <w:rFonts w:ascii="Times New Roman" w:hAnsi="Times New Roman" w:cs="Times New Roman"/>
        </w:rPr>
        <w:t xml:space="preserve"> was employed to construct PCE models and process the resulting data. UQTk works by running the model thousands of times with different input samples, allowing uncertainty to be propagated through the system. </w:t>
      </w:r>
      <w:r w:rsidR="00BB113F" w:rsidRPr="00CE04FC">
        <w:rPr>
          <w:rFonts w:ascii="Times New Roman" w:hAnsi="Times New Roman" w:cs="Times New Roman"/>
        </w:rPr>
        <w:t>A python script was developed to generate random parameter samples u</w:t>
      </w:r>
      <w:r w:rsidR="001A279B" w:rsidRPr="00CE04FC">
        <w:rPr>
          <w:rFonts w:ascii="Times New Roman" w:hAnsi="Times New Roman" w:cs="Times New Roman"/>
        </w:rPr>
        <w:t>tili</w:t>
      </w:r>
      <w:r w:rsidR="00BB113F" w:rsidRPr="00CE04FC">
        <w:rPr>
          <w:rFonts w:ascii="Times New Roman" w:hAnsi="Times New Roman" w:cs="Times New Roman"/>
        </w:rPr>
        <w:t>sing the mean values</w:t>
      </w:r>
      <w:r w:rsidR="006A51FA" w:rsidRPr="00CE04FC">
        <w:rPr>
          <w:rFonts w:ascii="Times New Roman" w:hAnsi="Times New Roman" w:cs="Times New Roman"/>
        </w:rPr>
        <w:t xml:space="preserve"> which can be</w:t>
      </w:r>
      <w:r w:rsidR="00BB113F" w:rsidRPr="00CE04FC">
        <w:rPr>
          <w:rFonts w:ascii="Times New Roman" w:hAnsi="Times New Roman" w:cs="Times New Roman"/>
        </w:rPr>
        <w:t xml:space="preserve"> seen in </w:t>
      </w:r>
      <w:r w:rsidR="00BB113F" w:rsidRPr="00CE04FC">
        <w:rPr>
          <w:rFonts w:ascii="Times New Roman" w:hAnsi="Times New Roman" w:cs="Times New Roman"/>
        </w:rPr>
        <w:fldChar w:fldCharType="begin"/>
      </w:r>
      <w:r w:rsidR="00BB113F" w:rsidRPr="00CE04FC">
        <w:rPr>
          <w:rFonts w:ascii="Times New Roman" w:hAnsi="Times New Roman" w:cs="Times New Roman"/>
        </w:rPr>
        <w:instrText xml:space="preserve"> REF _Ref187925430 \h  \* MERGEFORMAT </w:instrText>
      </w:r>
      <w:r w:rsidR="00BB113F" w:rsidRPr="00CE04FC">
        <w:rPr>
          <w:rFonts w:ascii="Times New Roman" w:hAnsi="Times New Roman" w:cs="Times New Roman"/>
        </w:rPr>
      </w:r>
      <w:r w:rsidR="00BB113F" w:rsidRPr="00CE04FC">
        <w:rPr>
          <w:rFonts w:ascii="Times New Roman" w:hAnsi="Times New Roman" w:cs="Times New Roman"/>
        </w:rPr>
        <w:fldChar w:fldCharType="separate"/>
      </w:r>
      <w:r w:rsidR="001476C8" w:rsidRPr="00CE04FC">
        <w:rPr>
          <w:rFonts w:ascii="Times New Roman" w:hAnsi="Times New Roman" w:cs="Times New Roman"/>
        </w:rPr>
        <w:t xml:space="preserve">Table </w:t>
      </w:r>
      <w:r w:rsidR="001476C8" w:rsidRPr="00CE04FC">
        <w:rPr>
          <w:rFonts w:ascii="Times New Roman" w:hAnsi="Times New Roman" w:cs="Times New Roman"/>
          <w:noProof/>
        </w:rPr>
        <w:t>1</w:t>
      </w:r>
      <w:r w:rsidR="00BB113F" w:rsidRPr="00CE04FC">
        <w:rPr>
          <w:rFonts w:ascii="Times New Roman" w:hAnsi="Times New Roman" w:cs="Times New Roman"/>
        </w:rPr>
        <w:fldChar w:fldCharType="end"/>
      </w:r>
      <w:bookmarkStart w:id="6" w:name="_Ref187925430"/>
      <w:r w:rsidR="00C00A46" w:rsidRPr="00CE04FC">
        <w:rPr>
          <w:rFonts w:ascii="Times New Roman" w:hAnsi="Times New Roman" w:cs="Times New Roman"/>
        </w:rPr>
        <w:t>.</w:t>
      </w:r>
      <w:bookmarkStart w:id="7" w:name="_Ref198059094"/>
    </w:p>
    <w:p w14:paraId="2DCCB9F2" w14:textId="629D31C8" w:rsidR="00D75860" w:rsidRPr="00CE04FC" w:rsidRDefault="00D75860" w:rsidP="007C7530">
      <w:pPr>
        <w:spacing w:line="240" w:lineRule="auto"/>
        <w:jc w:val="center"/>
        <w:rPr>
          <w:rFonts w:ascii="Times New Roman" w:hAnsi="Times New Roman" w:cs="Times New Roman"/>
        </w:rPr>
      </w:pPr>
      <w:r w:rsidRPr="00CE04FC">
        <w:rPr>
          <w:rFonts w:ascii="Times New Roman" w:hAnsi="Times New Roman" w:cs="Times New Roman"/>
        </w:rPr>
        <w:t xml:space="preserve">Table </w:t>
      </w:r>
      <w:r w:rsidRPr="00CE04FC">
        <w:rPr>
          <w:rFonts w:ascii="Times New Roman" w:hAnsi="Times New Roman" w:cs="Times New Roman"/>
        </w:rPr>
        <w:fldChar w:fldCharType="begin"/>
      </w:r>
      <w:r w:rsidRPr="00CE04FC">
        <w:rPr>
          <w:rFonts w:ascii="Times New Roman" w:hAnsi="Times New Roman" w:cs="Times New Roman"/>
        </w:rPr>
        <w:instrText xml:space="preserve"> SEQ Table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w:t>
      </w:r>
      <w:r w:rsidRPr="00CE04FC">
        <w:rPr>
          <w:rFonts w:ascii="Times New Roman" w:hAnsi="Times New Roman" w:cs="Times New Roman"/>
        </w:rPr>
        <w:fldChar w:fldCharType="end"/>
      </w:r>
      <w:bookmarkEnd w:id="6"/>
      <w:bookmarkEnd w:id="7"/>
      <w:r w:rsidRPr="00CE04FC">
        <w:rPr>
          <w:rFonts w:ascii="Times New Roman" w:hAnsi="Times New Roman" w:cs="Times New Roman"/>
        </w:rPr>
        <w:t xml:space="preserve"> Mean values of </w:t>
      </w:r>
      <w:r w:rsidR="00A2731B" w:rsidRPr="00CE04FC">
        <w:rPr>
          <w:rFonts w:ascii="Times New Roman" w:hAnsi="Times New Roman" w:cs="Times New Roman"/>
        </w:rPr>
        <w:t>uncertain</w:t>
      </w:r>
      <w:r w:rsidRPr="00CE04FC">
        <w:rPr>
          <w:rFonts w:ascii="Times New Roman" w:hAnsi="Times New Roman" w:cs="Times New Roman"/>
        </w:rPr>
        <w:t xml:space="preserve"> parameter</w:t>
      </w:r>
      <w:r w:rsidR="00641E3D" w:rsidRPr="00CE04FC">
        <w:rPr>
          <w:rFonts w:ascii="Times New Roman" w:hAnsi="Times New Roman" w:cs="Times New Roman"/>
        </w:rPr>
        <w:t>s</w:t>
      </w:r>
      <w:r w:rsidRPr="00CE04FC">
        <w:rPr>
          <w:rFonts w:ascii="Times New Roman" w:hAnsi="Times New Roman" w:cs="Times New Roman"/>
        </w:rPr>
        <w:t>.</w:t>
      </w:r>
    </w:p>
    <w:tbl>
      <w:tblPr>
        <w:tblStyle w:val="TableGrid"/>
        <w:tblW w:w="0" w:type="auto"/>
        <w:tblLook w:val="04A0" w:firstRow="1" w:lastRow="0" w:firstColumn="1" w:lastColumn="0" w:noHBand="0" w:noVBand="1"/>
      </w:tblPr>
      <w:tblGrid>
        <w:gridCol w:w="2405"/>
        <w:gridCol w:w="992"/>
        <w:gridCol w:w="993"/>
        <w:gridCol w:w="992"/>
        <w:gridCol w:w="992"/>
        <w:gridCol w:w="992"/>
        <w:gridCol w:w="994"/>
      </w:tblGrid>
      <w:tr w:rsidR="00CE04FC" w:rsidRPr="00CE04FC" w14:paraId="41307B89" w14:textId="77777777" w:rsidTr="6859B18D">
        <w:tc>
          <w:tcPr>
            <w:tcW w:w="2405" w:type="dxa"/>
          </w:tcPr>
          <w:p w14:paraId="22065514" w14:textId="4D5A1582" w:rsidR="008B6782" w:rsidRPr="00CE04FC" w:rsidRDefault="00CB7C5D" w:rsidP="00D75860">
            <w:pPr>
              <w:jc w:val="center"/>
              <w:rPr>
                <w:rFonts w:ascii="Times New Roman" w:hAnsi="Times New Roman" w:cs="Times New Roman"/>
                <w:b/>
                <w:bCs/>
              </w:rPr>
            </w:pPr>
            <w:r w:rsidRPr="00CE04FC">
              <w:rPr>
                <w:rFonts w:ascii="Times New Roman" w:hAnsi="Times New Roman" w:cs="Times New Roman"/>
                <w:b/>
                <w:bCs/>
              </w:rPr>
              <w:t>Nominal p</w:t>
            </w:r>
            <w:r w:rsidR="00B450CA" w:rsidRPr="00CE04FC">
              <w:rPr>
                <w:rFonts w:ascii="Times New Roman" w:hAnsi="Times New Roman" w:cs="Times New Roman"/>
                <w:b/>
                <w:bCs/>
              </w:rPr>
              <w:t>ower input</w:t>
            </w:r>
            <w:r w:rsidR="00C44915" w:rsidRPr="00CE04FC">
              <w:rPr>
                <w:rFonts w:ascii="Times New Roman" w:hAnsi="Times New Roman" w:cs="Times New Roman"/>
                <w:b/>
                <w:bCs/>
              </w:rPr>
              <w:t xml:space="preserve"> (</w:t>
            </w:r>
            <w:r w:rsidR="008B6782" w:rsidRPr="00CE04FC">
              <w:rPr>
                <w:rFonts w:ascii="Times New Roman" w:hAnsi="Times New Roman" w:cs="Times New Roman"/>
                <w:b/>
                <w:bCs/>
              </w:rPr>
              <w:t>MW)</w:t>
            </w:r>
          </w:p>
        </w:tc>
        <w:tc>
          <w:tcPr>
            <w:tcW w:w="992" w:type="dxa"/>
          </w:tcPr>
          <w:p w14:paraId="67FAA3C6"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10</w:t>
            </w:r>
          </w:p>
        </w:tc>
        <w:tc>
          <w:tcPr>
            <w:tcW w:w="993" w:type="dxa"/>
          </w:tcPr>
          <w:p w14:paraId="1569D606"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12</w:t>
            </w:r>
          </w:p>
        </w:tc>
        <w:tc>
          <w:tcPr>
            <w:tcW w:w="992" w:type="dxa"/>
          </w:tcPr>
          <w:p w14:paraId="184457A8"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14</w:t>
            </w:r>
          </w:p>
        </w:tc>
        <w:tc>
          <w:tcPr>
            <w:tcW w:w="992" w:type="dxa"/>
          </w:tcPr>
          <w:p w14:paraId="10E399B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16</w:t>
            </w:r>
          </w:p>
        </w:tc>
        <w:tc>
          <w:tcPr>
            <w:tcW w:w="992" w:type="dxa"/>
          </w:tcPr>
          <w:p w14:paraId="068C67C9"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18</w:t>
            </w:r>
          </w:p>
        </w:tc>
        <w:tc>
          <w:tcPr>
            <w:tcW w:w="994" w:type="dxa"/>
          </w:tcPr>
          <w:p w14:paraId="537631E1"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20</w:t>
            </w:r>
          </w:p>
        </w:tc>
      </w:tr>
      <w:tr w:rsidR="00CE04FC" w:rsidRPr="00CE04FC" w14:paraId="48979CDA" w14:textId="77777777" w:rsidTr="6859B18D">
        <w:tc>
          <w:tcPr>
            <w:tcW w:w="2405" w:type="dxa"/>
            <w:vAlign w:val="center"/>
          </w:tcPr>
          <w:p w14:paraId="7C0017CC" w14:textId="29106EA8" w:rsidR="008B6782" w:rsidRPr="00CE04FC" w:rsidRDefault="008B6782" w:rsidP="00D75860">
            <w:pPr>
              <w:jc w:val="center"/>
              <w:rPr>
                <w:rFonts w:ascii="Times New Roman" w:hAnsi="Times New Roman" w:cs="Times New Roman"/>
                <w:b/>
                <w:bCs/>
              </w:rPr>
            </w:pPr>
            <w:r w:rsidRPr="00CE04FC">
              <w:rPr>
                <w:rFonts w:ascii="Times New Roman" w:hAnsi="Times New Roman" w:cs="Times New Roman"/>
                <w:b/>
                <w:bCs/>
              </w:rPr>
              <w:t>Parameters</w:t>
            </w:r>
          </w:p>
          <w:p w14:paraId="2A9DF5EE" w14:textId="77777777" w:rsidR="008B6782" w:rsidRPr="00CE04FC" w:rsidRDefault="008B6782" w:rsidP="00D75860">
            <w:pPr>
              <w:jc w:val="center"/>
              <w:rPr>
                <w:rFonts w:ascii="Times New Roman" w:hAnsi="Times New Roman" w:cs="Times New Roman"/>
                <w:b/>
                <w:bCs/>
              </w:rPr>
            </w:pPr>
            <w:r w:rsidRPr="00CE04FC">
              <w:rPr>
                <w:rFonts w:ascii="Times New Roman" w:hAnsi="Times New Roman" w:cs="Times New Roman"/>
                <w:b/>
                <w:bCs/>
              </w:rPr>
              <w:t>(P)</w:t>
            </w:r>
          </w:p>
        </w:tc>
        <w:tc>
          <w:tcPr>
            <w:tcW w:w="5955" w:type="dxa"/>
            <w:gridSpan w:val="6"/>
          </w:tcPr>
          <w:p w14:paraId="0C5F41DB" w14:textId="77777777" w:rsidR="008B6782" w:rsidRPr="00CE04FC" w:rsidRDefault="008B6782" w:rsidP="00D75860">
            <w:pPr>
              <w:jc w:val="center"/>
              <w:rPr>
                <w:rFonts w:ascii="Times New Roman" w:hAnsi="Times New Roman" w:cs="Times New Roman"/>
                <w:b/>
                <w:bCs/>
              </w:rPr>
            </w:pPr>
            <w:r w:rsidRPr="00CE04FC">
              <w:rPr>
                <w:rFonts w:ascii="Times New Roman" w:hAnsi="Times New Roman" w:cs="Times New Roman"/>
                <w:b/>
                <w:bCs/>
              </w:rPr>
              <w:t>Mean values</w:t>
            </w:r>
          </w:p>
        </w:tc>
      </w:tr>
      <w:tr w:rsidR="00CE04FC" w:rsidRPr="00CE04FC" w14:paraId="2BCD13E4" w14:textId="77777777" w:rsidTr="6859B18D">
        <w:tc>
          <w:tcPr>
            <w:tcW w:w="2405" w:type="dxa"/>
            <w:vAlign w:val="center"/>
          </w:tcPr>
          <w:p w14:paraId="7B69250B"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HE1 (kW)</w:t>
            </w:r>
          </w:p>
        </w:tc>
        <w:tc>
          <w:tcPr>
            <w:tcW w:w="992" w:type="dxa"/>
          </w:tcPr>
          <w:p w14:paraId="0BBF0CA3"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811.37</w:t>
            </w:r>
          </w:p>
        </w:tc>
        <w:tc>
          <w:tcPr>
            <w:tcW w:w="993" w:type="dxa"/>
          </w:tcPr>
          <w:p w14:paraId="3B548396"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874.80</w:t>
            </w:r>
          </w:p>
        </w:tc>
        <w:tc>
          <w:tcPr>
            <w:tcW w:w="992" w:type="dxa"/>
          </w:tcPr>
          <w:p w14:paraId="3448D813"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979.75</w:t>
            </w:r>
          </w:p>
        </w:tc>
        <w:tc>
          <w:tcPr>
            <w:tcW w:w="992" w:type="dxa"/>
          </w:tcPr>
          <w:p w14:paraId="69962EC9" w14:textId="5C7594C4"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1030.5</w:t>
            </w:r>
            <w:r w:rsidR="40AB0302" w:rsidRPr="00CE04FC">
              <w:rPr>
                <w:rFonts w:ascii="Times New Roman" w:hAnsi="Times New Roman" w:cs="Times New Roman"/>
              </w:rPr>
              <w:t>5</w:t>
            </w:r>
          </w:p>
        </w:tc>
        <w:tc>
          <w:tcPr>
            <w:tcW w:w="992" w:type="dxa"/>
          </w:tcPr>
          <w:p w14:paraId="418DC5B6"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1176.94</w:t>
            </w:r>
          </w:p>
        </w:tc>
        <w:tc>
          <w:tcPr>
            <w:tcW w:w="994" w:type="dxa"/>
          </w:tcPr>
          <w:p w14:paraId="76E6B82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1313.47</w:t>
            </w:r>
          </w:p>
        </w:tc>
      </w:tr>
      <w:tr w:rsidR="00CE04FC" w:rsidRPr="00CE04FC" w14:paraId="6988603A" w14:textId="77777777" w:rsidTr="6859B18D">
        <w:tc>
          <w:tcPr>
            <w:tcW w:w="2405" w:type="dxa"/>
            <w:vAlign w:val="center"/>
          </w:tcPr>
          <w:p w14:paraId="7580EB97"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HE2 (kW)</w:t>
            </w:r>
          </w:p>
        </w:tc>
        <w:tc>
          <w:tcPr>
            <w:tcW w:w="992" w:type="dxa"/>
          </w:tcPr>
          <w:p w14:paraId="6DDAF0EB"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63.12</w:t>
            </w:r>
          </w:p>
        </w:tc>
        <w:tc>
          <w:tcPr>
            <w:tcW w:w="993" w:type="dxa"/>
          </w:tcPr>
          <w:p w14:paraId="03596B53"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77.13</w:t>
            </w:r>
          </w:p>
        </w:tc>
        <w:tc>
          <w:tcPr>
            <w:tcW w:w="992" w:type="dxa"/>
          </w:tcPr>
          <w:p w14:paraId="1876FDB0"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91.13</w:t>
            </w:r>
          </w:p>
        </w:tc>
        <w:tc>
          <w:tcPr>
            <w:tcW w:w="992" w:type="dxa"/>
          </w:tcPr>
          <w:p w14:paraId="27EEF4B3"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101.72</w:t>
            </w:r>
          </w:p>
        </w:tc>
        <w:tc>
          <w:tcPr>
            <w:tcW w:w="992" w:type="dxa"/>
          </w:tcPr>
          <w:p w14:paraId="152E2D81"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115.91</w:t>
            </w:r>
          </w:p>
        </w:tc>
        <w:tc>
          <w:tcPr>
            <w:tcW w:w="994" w:type="dxa"/>
          </w:tcPr>
          <w:p w14:paraId="2794635D"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126.22</w:t>
            </w:r>
          </w:p>
        </w:tc>
      </w:tr>
      <w:tr w:rsidR="00CE04FC" w:rsidRPr="00CE04FC" w14:paraId="1CB99CE3" w14:textId="77777777" w:rsidTr="6859B18D">
        <w:tc>
          <w:tcPr>
            <w:tcW w:w="2405" w:type="dxa"/>
            <w:vAlign w:val="center"/>
          </w:tcPr>
          <w:p w14:paraId="2FE08FC7"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HE3 (kW)</w:t>
            </w:r>
          </w:p>
        </w:tc>
        <w:tc>
          <w:tcPr>
            <w:tcW w:w="992" w:type="dxa"/>
          </w:tcPr>
          <w:p w14:paraId="54F895B1"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28.53</w:t>
            </w:r>
          </w:p>
        </w:tc>
        <w:tc>
          <w:tcPr>
            <w:tcW w:w="993" w:type="dxa"/>
          </w:tcPr>
          <w:p w14:paraId="5F937D51"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33.72</w:t>
            </w:r>
          </w:p>
        </w:tc>
        <w:tc>
          <w:tcPr>
            <w:tcW w:w="992" w:type="dxa"/>
          </w:tcPr>
          <w:p w14:paraId="383B7A59"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38.48</w:t>
            </w:r>
          </w:p>
        </w:tc>
        <w:tc>
          <w:tcPr>
            <w:tcW w:w="992" w:type="dxa"/>
          </w:tcPr>
          <w:p w14:paraId="5CD16DB7"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41.76</w:t>
            </w:r>
          </w:p>
        </w:tc>
        <w:tc>
          <w:tcPr>
            <w:tcW w:w="992" w:type="dxa"/>
          </w:tcPr>
          <w:p w14:paraId="696AE6F6"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45.69</w:t>
            </w:r>
          </w:p>
        </w:tc>
        <w:tc>
          <w:tcPr>
            <w:tcW w:w="994" w:type="dxa"/>
          </w:tcPr>
          <w:p w14:paraId="452B514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48.31</w:t>
            </w:r>
          </w:p>
        </w:tc>
      </w:tr>
      <w:tr w:rsidR="00CE04FC" w:rsidRPr="00CE04FC" w14:paraId="24BDD718" w14:textId="77777777" w:rsidTr="6859B18D">
        <w:tc>
          <w:tcPr>
            <w:tcW w:w="2405" w:type="dxa"/>
            <w:vAlign w:val="center"/>
          </w:tcPr>
          <w:p w14:paraId="17C46E49"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HE4 (kW)</w:t>
            </w:r>
          </w:p>
        </w:tc>
        <w:tc>
          <w:tcPr>
            <w:tcW w:w="992" w:type="dxa"/>
          </w:tcPr>
          <w:p w14:paraId="65C79460"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675.84</w:t>
            </w:r>
          </w:p>
        </w:tc>
        <w:tc>
          <w:tcPr>
            <w:tcW w:w="993" w:type="dxa"/>
          </w:tcPr>
          <w:p w14:paraId="34940702"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710.21</w:t>
            </w:r>
          </w:p>
        </w:tc>
        <w:tc>
          <w:tcPr>
            <w:tcW w:w="992" w:type="dxa"/>
          </w:tcPr>
          <w:p w14:paraId="2DDDB34A"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765.11</w:t>
            </w:r>
          </w:p>
        </w:tc>
        <w:tc>
          <w:tcPr>
            <w:tcW w:w="992" w:type="dxa"/>
          </w:tcPr>
          <w:p w14:paraId="2D33F660"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814.68</w:t>
            </w:r>
          </w:p>
        </w:tc>
        <w:tc>
          <w:tcPr>
            <w:tcW w:w="992" w:type="dxa"/>
          </w:tcPr>
          <w:p w14:paraId="3D7F883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878.02</w:t>
            </w:r>
          </w:p>
        </w:tc>
        <w:tc>
          <w:tcPr>
            <w:tcW w:w="994" w:type="dxa"/>
          </w:tcPr>
          <w:p w14:paraId="60993018"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913.66</w:t>
            </w:r>
          </w:p>
        </w:tc>
      </w:tr>
      <w:tr w:rsidR="00CE04FC" w:rsidRPr="00CE04FC" w14:paraId="6DA6AEED" w14:textId="77777777" w:rsidTr="6859B18D">
        <w:tc>
          <w:tcPr>
            <w:tcW w:w="2405" w:type="dxa"/>
            <w:vAlign w:val="center"/>
          </w:tcPr>
          <w:p w14:paraId="21F17309"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P</w:t>
            </w:r>
            <w:r w:rsidRPr="00CE04FC">
              <w:rPr>
                <w:rFonts w:ascii="Times New Roman" w:hAnsi="Times New Roman" w:cs="Times New Roman"/>
                <w:vertAlign w:val="subscript"/>
              </w:rPr>
              <w:t>in</w:t>
            </w:r>
            <w:r w:rsidRPr="00CE04FC">
              <w:rPr>
                <w:rFonts w:ascii="Times New Roman" w:hAnsi="Times New Roman" w:cs="Times New Roman"/>
              </w:rPr>
              <w:t xml:space="preserve"> (MW)</w:t>
            </w:r>
          </w:p>
        </w:tc>
        <w:tc>
          <w:tcPr>
            <w:tcW w:w="992" w:type="dxa"/>
          </w:tcPr>
          <w:p w14:paraId="46D6E667"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10</w:t>
            </w:r>
          </w:p>
        </w:tc>
        <w:tc>
          <w:tcPr>
            <w:tcW w:w="993" w:type="dxa"/>
          </w:tcPr>
          <w:p w14:paraId="3D51D7DB"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12</w:t>
            </w:r>
          </w:p>
        </w:tc>
        <w:tc>
          <w:tcPr>
            <w:tcW w:w="992" w:type="dxa"/>
          </w:tcPr>
          <w:p w14:paraId="07D2CF9E"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14</w:t>
            </w:r>
          </w:p>
        </w:tc>
        <w:tc>
          <w:tcPr>
            <w:tcW w:w="992" w:type="dxa"/>
          </w:tcPr>
          <w:p w14:paraId="3D7398D2"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16</w:t>
            </w:r>
          </w:p>
        </w:tc>
        <w:tc>
          <w:tcPr>
            <w:tcW w:w="992" w:type="dxa"/>
          </w:tcPr>
          <w:p w14:paraId="16BA8184"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18</w:t>
            </w:r>
          </w:p>
        </w:tc>
        <w:tc>
          <w:tcPr>
            <w:tcW w:w="994" w:type="dxa"/>
          </w:tcPr>
          <w:p w14:paraId="0C075489"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20</w:t>
            </w:r>
          </w:p>
        </w:tc>
      </w:tr>
      <w:tr w:rsidR="00CE04FC" w:rsidRPr="00CE04FC" w14:paraId="460E60C0" w14:textId="77777777" w:rsidTr="6859B18D">
        <w:tc>
          <w:tcPr>
            <w:tcW w:w="2405" w:type="dxa"/>
            <w:vAlign w:val="center"/>
          </w:tcPr>
          <w:p w14:paraId="2E919B3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C</w:t>
            </w:r>
            <w:r w:rsidRPr="00CE04FC">
              <w:rPr>
                <w:rFonts w:ascii="Times New Roman" w:hAnsi="Times New Roman" w:cs="Times New Roman"/>
                <w:vertAlign w:val="subscript"/>
              </w:rPr>
              <w:t>eff</w:t>
            </w:r>
            <w:r w:rsidRPr="00CE04FC">
              <w:rPr>
                <w:rFonts w:ascii="Times New Roman" w:hAnsi="Times New Roman" w:cs="Times New Roman"/>
              </w:rPr>
              <w:t xml:space="preserve"> (%)</w:t>
            </w:r>
          </w:p>
        </w:tc>
        <w:tc>
          <w:tcPr>
            <w:tcW w:w="992" w:type="dxa"/>
          </w:tcPr>
          <w:p w14:paraId="22FC0351"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c>
          <w:tcPr>
            <w:tcW w:w="993" w:type="dxa"/>
          </w:tcPr>
          <w:p w14:paraId="391803B5"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c>
          <w:tcPr>
            <w:tcW w:w="992" w:type="dxa"/>
          </w:tcPr>
          <w:p w14:paraId="695302F4"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c>
          <w:tcPr>
            <w:tcW w:w="992" w:type="dxa"/>
          </w:tcPr>
          <w:p w14:paraId="30A5406E"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c>
          <w:tcPr>
            <w:tcW w:w="992" w:type="dxa"/>
          </w:tcPr>
          <w:p w14:paraId="4EA5841E"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c>
          <w:tcPr>
            <w:tcW w:w="994" w:type="dxa"/>
          </w:tcPr>
          <w:p w14:paraId="3ECA49AA" w14:textId="77777777" w:rsidR="008B6782" w:rsidRPr="00CE04FC" w:rsidRDefault="008B6782" w:rsidP="00D75860">
            <w:pPr>
              <w:jc w:val="center"/>
              <w:rPr>
                <w:rFonts w:ascii="Times New Roman" w:hAnsi="Times New Roman" w:cs="Times New Roman"/>
              </w:rPr>
            </w:pPr>
            <w:r w:rsidRPr="00CE04FC">
              <w:rPr>
                <w:rFonts w:ascii="Times New Roman" w:hAnsi="Times New Roman" w:cs="Times New Roman"/>
              </w:rPr>
              <w:t>75</w:t>
            </w:r>
          </w:p>
        </w:tc>
      </w:tr>
    </w:tbl>
    <w:p w14:paraId="66BA81DE" w14:textId="065E4167" w:rsidR="00D75860" w:rsidRPr="00CE04FC" w:rsidRDefault="00C44915" w:rsidP="00C44915">
      <w:pPr>
        <w:spacing w:before="240" w:line="240" w:lineRule="auto"/>
        <w:jc w:val="both"/>
        <w:rPr>
          <w:rFonts w:ascii="Times New Roman" w:hAnsi="Times New Roman" w:cs="Times New Roman"/>
        </w:rPr>
      </w:pPr>
      <w:r w:rsidRPr="00CE04FC">
        <w:rPr>
          <w:rFonts w:ascii="Times New Roman" w:hAnsi="Times New Roman" w:cs="Times New Roman"/>
        </w:rPr>
        <w:t>T</w:t>
      </w:r>
      <w:r w:rsidR="00D75860" w:rsidRPr="00CE04FC">
        <w:rPr>
          <w:rFonts w:ascii="Times New Roman" w:hAnsi="Times New Roman" w:cs="Times New Roman"/>
        </w:rPr>
        <w:t xml:space="preserve">he uncertainty in the simulation parameters </w:t>
      </w:r>
      <w:r w:rsidR="00F10EA8" w:rsidRPr="00CE04FC">
        <w:rPr>
          <w:rFonts w:ascii="Times New Roman" w:hAnsi="Times New Roman" w:cs="Times New Roman"/>
        </w:rPr>
        <w:t xml:space="preserve">is </w:t>
      </w:r>
      <w:r w:rsidR="00D75860" w:rsidRPr="00CE04FC">
        <w:rPr>
          <w:rFonts w:ascii="Times New Roman" w:hAnsi="Times New Roman" w:cs="Times New Roman"/>
        </w:rPr>
        <w:t xml:space="preserve">represented by Eq. </w:t>
      </w:r>
      <w:r w:rsidR="00D75860" w:rsidRPr="00CE04FC">
        <w:rPr>
          <w:rFonts w:ascii="Times New Roman" w:hAnsi="Times New Roman" w:cs="Times New Roman"/>
        </w:rPr>
        <w:fldChar w:fldCharType="begin"/>
      </w:r>
      <w:r w:rsidR="00D75860" w:rsidRPr="00CE04FC">
        <w:rPr>
          <w:rFonts w:ascii="Times New Roman" w:hAnsi="Times New Roman" w:cs="Times New Roman"/>
        </w:rPr>
        <w:instrText xml:space="preserve"> REF _Ref188029182 \h  \* MERGEFORMAT </w:instrText>
      </w:r>
      <w:r w:rsidR="00D75860" w:rsidRPr="00CE04FC">
        <w:rPr>
          <w:rFonts w:ascii="Times New Roman" w:hAnsi="Times New Roman" w:cs="Times New Roman"/>
        </w:rPr>
      </w:r>
      <w:r w:rsidR="00D75860" w:rsidRPr="00CE04FC">
        <w:rPr>
          <w:rFonts w:ascii="Times New Roman" w:hAnsi="Times New Roman" w:cs="Times New Roman"/>
        </w:rPr>
        <w:fldChar w:fldCharType="separate"/>
      </w:r>
      <w:r w:rsidR="001476C8" w:rsidRPr="00CE04FC">
        <w:rPr>
          <w:rFonts w:ascii="Times New Roman" w:hAnsi="Times New Roman" w:cs="Times New Roman"/>
        </w:rPr>
        <w:t>(2</w:t>
      </w:r>
      <w:r w:rsidR="00D75860" w:rsidRPr="00CE04FC">
        <w:rPr>
          <w:rFonts w:ascii="Times New Roman" w:hAnsi="Times New Roman" w:cs="Times New Roman"/>
        </w:rPr>
        <w:fldChar w:fldCharType="end"/>
      </w:r>
      <w:r w:rsidR="00D75860" w:rsidRPr="00CE04FC">
        <w:rPr>
          <w:rFonts w:ascii="Times New Roman" w:hAnsi="Times New Roman" w:cs="Times New Roman"/>
        </w:rPr>
        <w:t>).</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562"/>
      </w:tblGrid>
      <w:tr w:rsidR="00CE04FC" w:rsidRPr="00CE04FC" w14:paraId="0C341A11" w14:textId="77777777" w:rsidTr="007D40E1">
        <w:trPr>
          <w:trHeight w:val="267"/>
        </w:trPr>
        <w:tc>
          <w:tcPr>
            <w:tcW w:w="8505" w:type="dxa"/>
            <w:vAlign w:val="bottom"/>
            <w:hideMark/>
          </w:tcPr>
          <w:p w14:paraId="1C1514D1" w14:textId="77777777" w:rsidR="00D75860" w:rsidRPr="00CE04FC" w:rsidRDefault="00260F21" w:rsidP="00D75860">
            <w:pPr>
              <w:spacing w:after="160"/>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sample</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μ</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σ</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d</m:t>
                    </m:r>
                  </m:sub>
                </m:sSub>
              </m:oMath>
            </m:oMathPara>
          </w:p>
        </w:tc>
        <w:tc>
          <w:tcPr>
            <w:tcW w:w="562" w:type="dxa"/>
            <w:vAlign w:val="center"/>
            <w:hideMark/>
          </w:tcPr>
          <w:p w14:paraId="6FCC505E" w14:textId="230148B6" w:rsidR="00D75860" w:rsidRPr="00CE04FC" w:rsidRDefault="00D75860" w:rsidP="00D75860">
            <w:pPr>
              <w:spacing w:after="160"/>
              <w:jc w:val="right"/>
              <w:rPr>
                <w:rFonts w:ascii="Times New Roman" w:hAnsi="Times New Roman" w:cs="Times New Roman"/>
              </w:rPr>
            </w:pPr>
            <w:bookmarkStart w:id="8" w:name="_Ref188029182"/>
            <w:r w:rsidRPr="00CE04FC">
              <w:rPr>
                <w:rFonts w:ascii="Times New Roman"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2</w:t>
            </w:r>
            <w:r w:rsidRPr="00CE04FC">
              <w:rPr>
                <w:rFonts w:ascii="Times New Roman" w:hAnsi="Times New Roman" w:cs="Times New Roman"/>
              </w:rPr>
              <w:fldChar w:fldCharType="end"/>
            </w:r>
            <w:bookmarkEnd w:id="8"/>
            <w:r w:rsidRPr="00CE04FC">
              <w:rPr>
                <w:rFonts w:ascii="Times New Roman" w:hAnsi="Times New Roman" w:cs="Times New Roman"/>
              </w:rPr>
              <w:t>)</w:t>
            </w:r>
          </w:p>
        </w:tc>
      </w:tr>
    </w:tbl>
    <w:p w14:paraId="69A15710" w14:textId="5E0C2C9B" w:rsidR="00950A08" w:rsidRPr="00CE04FC" w:rsidRDefault="00D75860" w:rsidP="00D75860">
      <w:pPr>
        <w:spacing w:line="240" w:lineRule="auto"/>
        <w:jc w:val="both"/>
        <w:rPr>
          <w:rFonts w:ascii="Times New Roman" w:eastAsiaTheme="minorEastAsia" w:hAnsi="Times New Roman" w:cs="Times New Roman"/>
        </w:rPr>
      </w:pPr>
      <w:r w:rsidRPr="00CE04FC">
        <w:rPr>
          <w:rFonts w:ascii="Times New Roman" w:hAnsi="Times New Roman" w:cs="Times New Roman"/>
        </w:rPr>
        <w:t xml:space="preserve">Here,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sample</m:t>
            </m:r>
          </m:sub>
        </m:sSub>
      </m:oMath>
      <w:r w:rsidRPr="00CE04FC">
        <w:rPr>
          <w:rFonts w:ascii="Times New Roman" w:hAnsi="Times New Roman" w:cs="Times New Roman"/>
        </w:rPr>
        <w:t xml:space="preserve"> represents one of the simulation parameters, where its uncertainty is randomly sampled. The mean value and standard deviation of the corresponding parameters are denoted as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μ</m:t>
            </m:r>
          </m:sub>
        </m:sSub>
      </m:oMath>
      <w:r w:rsidRPr="00CE04FC">
        <w:rPr>
          <w:rFonts w:ascii="Times New Roman" w:hAnsi="Times New Roman" w:cs="Times New Roman"/>
        </w:rPr>
        <w:t xml:space="preserve"> and is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σ</m:t>
            </m:r>
          </m:sub>
        </m:sSub>
      </m:oMath>
      <w:r w:rsidRPr="00CE04FC">
        <w:rPr>
          <w:rFonts w:ascii="Times New Roman" w:eastAsiaTheme="minorEastAsia" w:hAnsi="Times New Roman" w:cs="Times New Roman"/>
        </w:rPr>
        <w:t>, respectively, that can be seen in</w:t>
      </w:r>
      <w:r w:rsidR="00950A08" w:rsidRPr="00CE04FC">
        <w:rPr>
          <w:rFonts w:ascii="Times New Roman" w:eastAsiaTheme="minorEastAsia" w:hAnsi="Times New Roman" w:cs="Times New Roman"/>
        </w:rPr>
        <w:t xml:space="preserve"> </w:t>
      </w:r>
      <w:r w:rsidR="00950A08" w:rsidRPr="00CE04FC">
        <w:rPr>
          <w:rFonts w:ascii="Times New Roman" w:eastAsiaTheme="minorEastAsia" w:hAnsi="Times New Roman" w:cs="Times New Roman"/>
        </w:rPr>
        <w:fldChar w:fldCharType="begin"/>
      </w:r>
      <w:r w:rsidR="00950A08" w:rsidRPr="00CE04FC">
        <w:rPr>
          <w:rFonts w:ascii="Times New Roman" w:eastAsiaTheme="minorEastAsia" w:hAnsi="Times New Roman" w:cs="Times New Roman"/>
        </w:rPr>
        <w:instrText xml:space="preserve"> REF _Ref198059094 \h </w:instrText>
      </w:r>
      <w:r w:rsidR="00950A08" w:rsidRPr="00CE04FC">
        <w:rPr>
          <w:rFonts w:ascii="Times New Roman" w:eastAsiaTheme="minorEastAsia" w:hAnsi="Times New Roman" w:cs="Times New Roman"/>
        </w:rPr>
      </w:r>
      <w:r w:rsidR="00950A08" w:rsidRPr="00CE04FC">
        <w:rPr>
          <w:rFonts w:ascii="Times New Roman" w:eastAsiaTheme="minorEastAsia" w:hAnsi="Times New Roman" w:cs="Times New Roman"/>
        </w:rPr>
        <w:fldChar w:fldCharType="separate"/>
      </w:r>
      <w:r w:rsidR="00950A08" w:rsidRPr="00CE04FC">
        <w:rPr>
          <w:rFonts w:ascii="Times New Roman" w:hAnsi="Times New Roman" w:cs="Times New Roman"/>
        </w:rPr>
        <w:t xml:space="preserve">Table </w:t>
      </w:r>
      <w:r w:rsidR="00950A08" w:rsidRPr="00CE04FC">
        <w:rPr>
          <w:rFonts w:ascii="Times New Roman" w:hAnsi="Times New Roman" w:cs="Times New Roman"/>
          <w:noProof/>
        </w:rPr>
        <w:t>1</w:t>
      </w:r>
      <w:r w:rsidR="00950A08" w:rsidRPr="00CE04FC">
        <w:rPr>
          <w:rFonts w:ascii="Times New Roman" w:eastAsiaTheme="minorEastAsia" w:hAnsi="Times New Roman" w:cs="Times New Roman"/>
        </w:rPr>
        <w:fldChar w:fldCharType="end"/>
      </w:r>
      <w:r w:rsidR="00950A08" w:rsidRPr="00CE04FC">
        <w:rPr>
          <w:rFonts w:ascii="Times New Roman" w:eastAsiaTheme="minorEastAsia" w:hAnsi="Times New Roman" w:cs="Times New Roman"/>
        </w:rPr>
        <w:t>.</w:t>
      </w:r>
    </w:p>
    <w:p w14:paraId="58ABA0C6" w14:textId="221DEE70" w:rsidR="00FA1B70" w:rsidRPr="00CE04FC" w:rsidRDefault="00D75860" w:rsidP="00D75860">
      <w:pPr>
        <w:spacing w:line="240" w:lineRule="auto"/>
        <w:jc w:val="both"/>
        <w:rPr>
          <w:rFonts w:ascii="Times New Roman" w:hAnsi="Times New Roman" w:cs="Times New Roman"/>
        </w:rPr>
      </w:pPr>
      <w:r w:rsidRPr="00CE04FC">
        <w:rPr>
          <w:rFonts w:ascii="Times New Roman" w:eastAsiaTheme="minorEastAsia" w:hAnsi="Times New Roman" w:cs="Times New Roman"/>
        </w:rPr>
        <w:t xml:space="preserve"> </w:t>
      </w:r>
      <w:r w:rsidRPr="00CE04FC">
        <w:rPr>
          <w:rFonts w:ascii="Times New Roman" w:hAnsi="Times New Roman" w:cs="Times New Roman"/>
        </w:rPr>
        <w:t xml:space="preserve">In Equation </w:t>
      </w:r>
      <w:r w:rsidRPr="00CE04FC">
        <w:rPr>
          <w:rFonts w:ascii="Times New Roman" w:hAnsi="Times New Roman" w:cs="Times New Roman"/>
        </w:rPr>
        <w:fldChar w:fldCharType="begin"/>
      </w:r>
      <w:r w:rsidRPr="00CE04FC">
        <w:rPr>
          <w:rFonts w:ascii="Times New Roman" w:hAnsi="Times New Roman" w:cs="Times New Roman"/>
        </w:rPr>
        <w:instrText xml:space="preserve"> REF _Ref188029182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noProof/>
        </w:rPr>
        <w:t>(2</w:t>
      </w:r>
      <w:r w:rsidRPr="00CE04FC">
        <w:rPr>
          <w:rFonts w:ascii="Times New Roman" w:hAnsi="Times New Roman" w:cs="Times New Roman"/>
        </w:rPr>
        <w:fldChar w:fldCharType="end"/>
      </w:r>
      <w:r w:rsidRPr="00CE04FC">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d</m:t>
            </m:r>
          </m:sub>
        </m:sSub>
      </m:oMath>
      <w:r w:rsidRPr="00CE04FC">
        <w:rPr>
          <w:rFonts w:ascii="Times New Roman" w:hAnsi="Times New Roman" w:cs="Times New Roman"/>
        </w:rPr>
        <w:t xml:space="preserve">  represents the random variable components, referred to as dimensions, which can be expressed as </w:t>
      </w:r>
      <m:oMath>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d</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HE1</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HE2</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HE3</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HE4</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in</m:t>
                </m:r>
              </m:sub>
            </m:sSub>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eff</m:t>
                </m:r>
              </m:sub>
            </m:sSub>
          </m:sub>
        </m:sSub>
        <m:r>
          <m:rPr>
            <m:sty m:val="p"/>
          </m:rPr>
          <w:rPr>
            <w:rFonts w:ascii="Cambria Math" w:hAnsi="Cambria Math" w:cs="Times New Roman"/>
          </w:rPr>
          <m:t>)</m:t>
        </m:r>
      </m:oMath>
      <w:r w:rsidRPr="00CE04FC">
        <w:rPr>
          <w:rFonts w:ascii="Times New Roman" w:hAnsi="Times New Roman" w:cs="Times New Roman"/>
        </w:rPr>
        <w:t xml:space="preserve"> where </w:t>
      </w:r>
      <m:oMath>
        <m:r>
          <w:rPr>
            <w:rFonts w:ascii="Cambria Math" w:hAnsi="Cambria Math" w:cs="Times New Roman"/>
          </w:rPr>
          <m:t>d</m:t>
        </m:r>
      </m:oMath>
      <w:r w:rsidRPr="00CE04FC">
        <w:rPr>
          <w:rFonts w:ascii="Times New Roman" w:hAnsi="Times New Roman" w:cs="Times New Roman"/>
        </w:rPr>
        <w:t xml:space="preserve"> indicates the dimensionality. </w:t>
      </w:r>
      <w:r w:rsidR="00FA1B70" w:rsidRPr="00CE04FC">
        <w:rPr>
          <w:rFonts w:ascii="Times New Roman" w:hAnsi="Times New Roman" w:cs="Times New Roman"/>
        </w:rPr>
        <w:t>These random variables, referred to as quadrature points, are generated according to the distribution type associated with the orthogonal polynomial series.</w:t>
      </w:r>
    </w:p>
    <w:p w14:paraId="5A483AF3" w14:textId="378B1C99" w:rsidR="00D83D5E" w:rsidRPr="00CE04FC" w:rsidRDefault="00D83D5E" w:rsidP="00D75860">
      <w:pPr>
        <w:spacing w:line="240" w:lineRule="auto"/>
        <w:jc w:val="both"/>
        <w:rPr>
          <w:rFonts w:ascii="Times New Roman" w:hAnsi="Times New Roman" w:cs="Times New Roman"/>
        </w:rPr>
      </w:pPr>
      <w:r w:rsidRPr="00CE04FC">
        <w:rPr>
          <w:rFonts w:ascii="Times New Roman" w:hAnsi="Times New Roman" w:cs="Times New Roman"/>
        </w:rPr>
        <w:t xml:space="preserve">Several orthogonal polynomial series from the Wiener-Askey scheme are available in UQTk, including Laguerre, Jacobi, Hermite, and Legendre polynomials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&lt;EndNote&gt;&lt;Cite&gt;&lt;Author&gt;Xiu&lt;/Author&gt;&lt;Year&gt;2002&lt;/Year&gt;&lt;RecNum&gt;11&lt;/RecNum&gt;&lt;DisplayText&gt;(Xiu &amp;amp; Karniadakis, 2002)&lt;/DisplayText&gt;&lt;record&gt;&lt;rec-number&gt;11&lt;/rec-number&gt;&lt;foreign-keys&gt;&lt;key app="EN" db-id="0x0z5zxatzat9oe9027xea2pe2we5dee5dez" timestamp="1734378218"&gt;11&lt;/key&gt;&lt;/foreign-keys&gt;&lt;ref-type name="Journal Article"&gt;17&lt;/ref-type&gt;&lt;contributors&gt;&lt;authors&gt;&lt;author&gt;Xiu, Dongbin&lt;/author&gt;&lt;author&gt;Karniadakis, George Em&lt;/author&gt;&lt;/authors&gt;&lt;/contributors&gt;&lt;titles&gt;&lt;title&gt;The Wiener--Askey polynomial chaos for stochastic differential equations&lt;/title&gt;&lt;secondary-title&gt;SIAM journal on scientific computing&lt;/secondary-title&gt;&lt;/titles&gt;&lt;periodical&gt;&lt;full-title&gt;SIAM journal on scientific computing&lt;/full-title&gt;&lt;/periodical&gt;&lt;pages&gt;619-644&lt;/pages&gt;&lt;volume&gt;24&lt;/volume&gt;&lt;number&gt;2&lt;/number&gt;&lt;dates&gt;&lt;year&gt;2002&lt;/year&gt;&lt;/dates&gt;&lt;isbn&gt;1064-8275&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noProof/>
        </w:rPr>
        <w:t>(Xiu &amp; Karniadakis, 2002)</w:t>
      </w:r>
      <w:r w:rsidRPr="00CE04FC">
        <w:rPr>
          <w:rFonts w:ascii="Times New Roman" w:hAnsi="Times New Roman" w:cs="Times New Roman"/>
        </w:rPr>
        <w:fldChar w:fldCharType="end"/>
      </w:r>
      <w:r w:rsidRPr="00CE04FC">
        <w:rPr>
          <w:rFonts w:ascii="Times New Roman" w:hAnsi="Times New Roman" w:cs="Times New Roman"/>
        </w:rPr>
        <w:t>. The choice of method for constructing PCE is inherently linked to the distribution type of the uncertain parameters, such as uniform, normal, or exponential. PCE has been widely recogni</w:t>
      </w:r>
      <w:r w:rsidR="00A778D2" w:rsidRPr="00CE04FC">
        <w:rPr>
          <w:rFonts w:ascii="Times New Roman" w:hAnsi="Times New Roman" w:cs="Times New Roman"/>
        </w:rPr>
        <w:t>s</w:t>
      </w:r>
      <w:r w:rsidRPr="00CE04FC">
        <w:rPr>
          <w:rFonts w:ascii="Times New Roman" w:hAnsi="Times New Roman" w:cs="Times New Roman"/>
        </w:rPr>
        <w:t>ed in the literature as a robust method for quantifying uncertainties in complex engineering systems, providing a computationally efficient means of capturing the statistical properties of model outputs</w:t>
      </w:r>
      <w:r w:rsidR="00654B84" w:rsidRPr="00CE04FC">
        <w:rPr>
          <w:rFonts w:ascii="Times New Roman" w:hAnsi="Times New Roman" w:cs="Times New Roman"/>
        </w:rPr>
        <w:t xml:space="preserve"> </w:t>
      </w:r>
      <w:r w:rsidR="00213F5D" w:rsidRPr="00CE04FC">
        <w:rPr>
          <w:rFonts w:ascii="Times New Roman" w:eastAsia="Times New Roman" w:hAnsi="Times New Roman" w:cs="Times New Roman"/>
          <w:kern w:val="0"/>
          <w14:ligatures w14:val="none"/>
        </w:rPr>
        <w:fldChar w:fldCharType="begin">
          <w:fldData xml:space="preserve">PEVuZE5vdGU+PENpdGU+PEF1dGhvcj5SZWFnYW48L0F1dGhvcj48WWVhcj4yMDA1PC9ZZWFyPjxS
ZWNOdW0+OTE8L1JlY051bT48RGlzcGxheVRleHQ+KExlIE1hxLF0cmUgZXQgYWwuLCAyMDAyOyBO
YWptIGV0IGFsLiwgMjAwOTsgUmVhZ2FuIGV0IGFsLiwgMjAwNSk8L0Rpc3BsYXlUZXh0PjxyZWNv
cmQ+PHJlYy1udW1iZXI+OTE8L3JlYy1udW1iZXI+PGZvcmVpZ24ta2V5cz48a2V5IGFwcD0iRU4i
IGRiLWlkPSIweDB6NXp4YXR6YXQ5b2U5MDI3eGVhMnBlMndlNWRlZTVkZXoiIHRpbWVzdGFtcD0i
MTc0NzA1MTYwNSI+OTE8L2tleT48L2ZvcmVpZ24ta2V5cz48cmVmLXR5cGUgbmFtZT0iSm91cm5h
bCBBcnRpY2xlIj4xNzwvcmVmLXR5cGU+PGNvbnRyaWJ1dG9ycz48YXV0aG9ycz48YXV0aG9yPlJl
YWdhbiwgTWF0dGhldyBUPC9hdXRob3I+PGF1dGhvcj5OYWptLCBIYWJpYiBOPC9hdXRob3I+PGF1
dGhvcj5Qw6liYXksIFBoaWxpcHBlIFA8L2F1dGhvcj48YXV0aG9yPktuaW8sIE9tYXIgTTwvYXV0
aG9yPjxhdXRob3I+R2hhbmVtLCBSb2dlciBHPC9hdXRob3I+PC9hdXRob3JzPjwvY29udHJpYnV0
b3JzPjx0aXRsZXM+PHRpdGxlPlF1YW50aWZ5aW5nIHVuY2VydGFpbnR5IGluIGNoZW1pY2FsIHN5
c3RlbXMgbW9kZWxpbmc8L3RpdGxlPjxzZWNvbmRhcnktdGl0bGU+SW50ZXJuYXRpb25hbCBqb3Vy
bmFsIG9mIGNoZW1pY2FsIGtpbmV0aWNzPC9zZWNvbmRhcnktdGl0bGU+PC90aXRsZXM+PHBlcmlv
ZGljYWw+PGZ1bGwtdGl0bGU+SW50ZXJuYXRpb25hbCBqb3VybmFsIG9mIGNoZW1pY2FsIGtpbmV0
aWNzPC9mdWxsLXRpdGxlPjwvcGVyaW9kaWNhbD48cGFnZXM+MzY4LTM4MjwvcGFnZXM+PHZvbHVt
ZT4zNzwvdm9sdW1lPjxudW1iZXI+NjwvbnVtYmVyPjxkYXRlcz48eWVhcj4yMDA1PC95ZWFyPjwv
ZGF0ZXM+PGlzYm4+MDUzOC04MDY2PC9pc2JuPjx1cmxzPjwvdXJscz48L3JlY29yZD48L0NpdGU+
PENpdGU+PEF1dGhvcj5OYWptPC9BdXRob3I+PFllYXI+MjAwOTwvWWVhcj48UmVjTnVtPjQ8L1Jl
Y051bT48cmVjb3JkPjxyZWMtbnVtYmVyPjQ8L3JlYy1udW1iZXI+PGZvcmVpZ24ta2V5cz48a2V5
IGFwcD0iRU4iIGRiLWlkPSIweDB6NXp4YXR6YXQ5b2U5MDI3eGVhMnBlMndlNWRlZTVkZXoiIHRp
bWVzdGFtcD0iMTczNDM3NjU5MiI+NDwva2V5PjwvZm9yZWlnbi1rZXlzPjxyZWYtdHlwZSBuYW1l
PSJKb3VybmFsIEFydGljbGUiPjE3PC9yZWYtdHlwZT48Y29udHJpYnV0b3JzPjxhdXRob3JzPjxh
dXRob3I+TmFqbSwgSGFiaWIgTjwvYXV0aG9yPjxhdXRob3I+RGVidXNzY2hlcmUsIEJlcnQgSjwv
YXV0aG9yPjxhdXRob3I+TWFyem91aywgWW91c3NlZiBNPC9hdXRob3I+PGF1dGhvcj5XaWRtZXIs
IFN0ZXZlPC9hdXRob3I+PGF1dGhvcj5MZSBNYcOudHJlLCBPUDwvYXV0aG9yPjwvYXV0aG9ycz48
L2NvbnRyaWJ1dG9ycz48dGl0bGVzPjx0aXRsZT5VbmNlcnRhaW50eSBxdWFudGlmaWNhdGlvbiBp
biBjaGVtaWNhbCBzeXN0ZW1zPC90aXRsZT48c2Vjb25kYXJ5LXRpdGxlPkludGVybmF0aW9uYWwg
am91cm5hbCBmb3IgbnVtZXJpY2FsIG1ldGhvZHMgaW4gZW5naW5lZXJpbmc8L3NlY29uZGFyeS10
aXRsZT48L3RpdGxlcz48cGVyaW9kaWNhbD48ZnVsbC10aXRsZT5JbnRlcm5hdGlvbmFsIGpvdXJu
YWwgZm9yIG51bWVyaWNhbCBtZXRob2RzIGluIGVuZ2luZWVyaW5nPC9mdWxsLXRpdGxlPjwvcGVy
aW9kaWNhbD48cGFnZXM+Nzg5LTgxNDwvcGFnZXM+PHZvbHVtZT44MDwvdm9sdW1lPjxudW1iZXI+
NuKAkDc8L251bWJlcj48ZGF0ZXM+PHllYXI+MjAwOTwveWVhcj48L2RhdGVzPjxpc2JuPjAwMjkt
NTk4MTwvaXNibj48dXJscz48L3VybHM+PC9yZWNvcmQ+PC9DaXRlPjxDaXRlPjxBdXRob3I+TGUg
TWHEsXRyZTwvQXV0aG9yPjxZZWFyPjIwMDI8L1llYXI+PFJlY051bT45MjwvUmVjTnVtPjxyZWNv
cmQ+PHJlYy1udW1iZXI+OTI8L3JlYy1udW1iZXI+PGZvcmVpZ24ta2V5cz48a2V5IGFwcD0iRU4i
IGRiLWlkPSIweDB6NXp4YXR6YXQ5b2U5MDI3eGVhMnBlMndlNWRlZTVkZXoiIHRpbWVzdGFtcD0i
MTc0NzA1MTc3NSI+OTI8L2tleT48L2ZvcmVpZ24ta2V5cz48cmVmLXR5cGUgbmFtZT0iSm91cm5h
bCBBcnRpY2xlIj4xNzwvcmVmLXR5cGU+PGNvbnRyaWJ1dG9ycz48YXV0aG9ycz48YXV0aG9yPkxl
IE1hxLF0cmUsIE9saXZpZXIgUDwvYXV0aG9yPjxhdXRob3I+UmVhZ2FuLCBNYXR0aGV3IFQ8L2F1
dGhvcj48YXV0aG9yPk5ham0sIEhhYmliIE48L2F1dGhvcj48YXV0aG9yPkdoYW5lbSwgUm9nZXIg
RzwvYXV0aG9yPjxhdXRob3I+S25pbywgT21hciBNPC9hdXRob3I+PC9hdXRob3JzPjwvY29udHJp
YnV0b3JzPjx0aXRsZXM+PHRpdGxlPkEgc3RvY2hhc3RpYyBwcm9qZWN0aW9uIG1ldGhvZCBmb3Ig
Zmx1aWQgZmxvdzogSUkuIFJhbmRvbSBwcm9jZXNzPC90aXRsZT48c2Vjb25kYXJ5LXRpdGxlPkpv
dXJuYWwgb2YgY29tcHV0YXRpb25hbCBQaHlzaWNzPC9zZWNvbmRhcnktdGl0bGU+PC90aXRsZXM+
PHBlcmlvZGljYWw+PGZ1bGwtdGl0bGU+Sm91cm5hbCBvZiBjb21wdXRhdGlvbmFsIFBoeXNpY3M8
L2Z1bGwtdGl0bGU+PC9wZXJpb2RpY2FsPjxwYWdlcz45LTQ0PC9wYWdlcz48dm9sdW1lPjE4MTwv
dm9sdW1lPjxudW1iZXI+MTwvbnVtYmVyPjxkYXRlcz48eWVhcj4yMDAyPC95ZWFyPjwvZGF0ZXM+
PGlzYm4+MDAyMS05OTkxPC9pc2JuPjx1cmxzPjwvdXJscz48L3JlY29yZD48L0NpdGU+PC9FbmRO
b3RlPn==
</w:fldData>
        </w:fldChar>
      </w:r>
      <w:r w:rsidR="00213F5D" w:rsidRPr="00CE04FC">
        <w:rPr>
          <w:rFonts w:ascii="Times New Roman" w:eastAsia="Times New Roman" w:hAnsi="Times New Roman" w:cs="Times New Roman"/>
          <w:kern w:val="0"/>
          <w14:ligatures w14:val="none"/>
        </w:rPr>
        <w:instrText xml:space="preserve"> ADDIN EN.CITE </w:instrText>
      </w:r>
      <w:r w:rsidR="00213F5D" w:rsidRPr="00CE04FC">
        <w:rPr>
          <w:rFonts w:ascii="Times New Roman" w:eastAsia="Times New Roman" w:hAnsi="Times New Roman" w:cs="Times New Roman"/>
          <w:kern w:val="0"/>
          <w14:ligatures w14:val="none"/>
        </w:rPr>
        <w:fldChar w:fldCharType="begin">
          <w:fldData xml:space="preserve">PEVuZE5vdGU+PENpdGU+PEF1dGhvcj5SZWFnYW48L0F1dGhvcj48WWVhcj4yMDA1PC9ZZWFyPjxS
ZWNOdW0+OTE8L1JlY051bT48RGlzcGxheVRleHQ+KExlIE1hxLF0cmUgZXQgYWwuLCAyMDAyOyBO
YWptIGV0IGFsLiwgMjAwOTsgUmVhZ2FuIGV0IGFsLiwgMjAwNSk8L0Rpc3BsYXlUZXh0PjxyZWNv
cmQ+PHJlYy1udW1iZXI+OTE8L3JlYy1udW1iZXI+PGZvcmVpZ24ta2V5cz48a2V5IGFwcD0iRU4i
IGRiLWlkPSIweDB6NXp4YXR6YXQ5b2U5MDI3eGVhMnBlMndlNWRlZTVkZXoiIHRpbWVzdGFtcD0i
MTc0NzA1MTYwNSI+OTE8L2tleT48L2ZvcmVpZ24ta2V5cz48cmVmLXR5cGUgbmFtZT0iSm91cm5h
bCBBcnRpY2xlIj4xNzwvcmVmLXR5cGU+PGNvbnRyaWJ1dG9ycz48YXV0aG9ycz48YXV0aG9yPlJl
YWdhbiwgTWF0dGhldyBUPC9hdXRob3I+PGF1dGhvcj5OYWptLCBIYWJpYiBOPC9hdXRob3I+PGF1
dGhvcj5Qw6liYXksIFBoaWxpcHBlIFA8L2F1dGhvcj48YXV0aG9yPktuaW8sIE9tYXIgTTwvYXV0
aG9yPjxhdXRob3I+R2hhbmVtLCBSb2dlciBHPC9hdXRob3I+PC9hdXRob3JzPjwvY29udHJpYnV0
b3JzPjx0aXRsZXM+PHRpdGxlPlF1YW50aWZ5aW5nIHVuY2VydGFpbnR5IGluIGNoZW1pY2FsIHN5
c3RlbXMgbW9kZWxpbmc8L3RpdGxlPjxzZWNvbmRhcnktdGl0bGU+SW50ZXJuYXRpb25hbCBqb3Vy
bmFsIG9mIGNoZW1pY2FsIGtpbmV0aWNzPC9zZWNvbmRhcnktdGl0bGU+PC90aXRsZXM+PHBlcmlv
ZGljYWw+PGZ1bGwtdGl0bGU+SW50ZXJuYXRpb25hbCBqb3VybmFsIG9mIGNoZW1pY2FsIGtpbmV0
aWNzPC9mdWxsLXRpdGxlPjwvcGVyaW9kaWNhbD48cGFnZXM+MzY4LTM4MjwvcGFnZXM+PHZvbHVt
ZT4zNzwvdm9sdW1lPjxudW1iZXI+NjwvbnVtYmVyPjxkYXRlcz48eWVhcj4yMDA1PC95ZWFyPjwv
ZGF0ZXM+PGlzYm4+MDUzOC04MDY2PC9pc2JuPjx1cmxzPjwvdXJscz48L3JlY29yZD48L0NpdGU+
PENpdGU+PEF1dGhvcj5OYWptPC9BdXRob3I+PFllYXI+MjAwOTwvWWVhcj48UmVjTnVtPjQ8L1Jl
Y051bT48cmVjb3JkPjxyZWMtbnVtYmVyPjQ8L3JlYy1udW1iZXI+PGZvcmVpZ24ta2V5cz48a2V5
IGFwcD0iRU4iIGRiLWlkPSIweDB6NXp4YXR6YXQ5b2U5MDI3eGVhMnBlMndlNWRlZTVkZXoiIHRp
bWVzdGFtcD0iMTczNDM3NjU5MiI+NDwva2V5PjwvZm9yZWlnbi1rZXlzPjxyZWYtdHlwZSBuYW1l
PSJKb3VybmFsIEFydGljbGUiPjE3PC9yZWYtdHlwZT48Y29udHJpYnV0b3JzPjxhdXRob3JzPjxh
dXRob3I+TmFqbSwgSGFiaWIgTjwvYXV0aG9yPjxhdXRob3I+RGVidXNzY2hlcmUsIEJlcnQgSjwv
YXV0aG9yPjxhdXRob3I+TWFyem91aywgWW91c3NlZiBNPC9hdXRob3I+PGF1dGhvcj5XaWRtZXIs
IFN0ZXZlPC9hdXRob3I+PGF1dGhvcj5MZSBNYcOudHJlLCBPUDwvYXV0aG9yPjwvYXV0aG9ycz48
L2NvbnRyaWJ1dG9ycz48dGl0bGVzPjx0aXRsZT5VbmNlcnRhaW50eSBxdWFudGlmaWNhdGlvbiBp
biBjaGVtaWNhbCBzeXN0ZW1zPC90aXRsZT48c2Vjb25kYXJ5LXRpdGxlPkludGVybmF0aW9uYWwg
am91cm5hbCBmb3IgbnVtZXJpY2FsIG1ldGhvZHMgaW4gZW5naW5lZXJpbmc8L3NlY29uZGFyeS10
aXRsZT48L3RpdGxlcz48cGVyaW9kaWNhbD48ZnVsbC10aXRsZT5JbnRlcm5hdGlvbmFsIGpvdXJu
YWwgZm9yIG51bWVyaWNhbCBtZXRob2RzIGluIGVuZ2luZWVyaW5nPC9mdWxsLXRpdGxlPjwvcGVy
aW9kaWNhbD48cGFnZXM+Nzg5LTgxNDwvcGFnZXM+PHZvbHVtZT44MDwvdm9sdW1lPjxudW1iZXI+
NuKAkDc8L251bWJlcj48ZGF0ZXM+PHllYXI+MjAwOTwveWVhcj48L2RhdGVzPjxpc2JuPjAwMjkt
NTk4MTwvaXNibj48dXJscz48L3VybHM+PC9yZWNvcmQ+PC9DaXRlPjxDaXRlPjxBdXRob3I+TGUg
TWHEsXRyZTwvQXV0aG9yPjxZZWFyPjIwMDI8L1llYXI+PFJlY051bT45MjwvUmVjTnVtPjxyZWNv
cmQ+PHJlYy1udW1iZXI+OTI8L3JlYy1udW1iZXI+PGZvcmVpZ24ta2V5cz48a2V5IGFwcD0iRU4i
IGRiLWlkPSIweDB6NXp4YXR6YXQ5b2U5MDI3eGVhMnBlMndlNWRlZTVkZXoiIHRpbWVzdGFtcD0i
MTc0NzA1MTc3NSI+OTI8L2tleT48L2ZvcmVpZ24ta2V5cz48cmVmLXR5cGUgbmFtZT0iSm91cm5h
bCBBcnRpY2xlIj4xNzwvcmVmLXR5cGU+PGNvbnRyaWJ1dG9ycz48YXV0aG9ycz48YXV0aG9yPkxl
IE1hxLF0cmUsIE9saXZpZXIgUDwvYXV0aG9yPjxhdXRob3I+UmVhZ2FuLCBNYXR0aGV3IFQ8L2F1
dGhvcj48YXV0aG9yPk5ham0sIEhhYmliIE48L2F1dGhvcj48YXV0aG9yPkdoYW5lbSwgUm9nZXIg
RzwvYXV0aG9yPjxhdXRob3I+S25pbywgT21hciBNPC9hdXRob3I+PC9hdXRob3JzPjwvY29udHJp
YnV0b3JzPjx0aXRsZXM+PHRpdGxlPkEgc3RvY2hhc3RpYyBwcm9qZWN0aW9uIG1ldGhvZCBmb3Ig
Zmx1aWQgZmxvdzogSUkuIFJhbmRvbSBwcm9jZXNzPC90aXRsZT48c2Vjb25kYXJ5LXRpdGxlPkpv
dXJuYWwgb2YgY29tcHV0YXRpb25hbCBQaHlzaWNzPC9zZWNvbmRhcnktdGl0bGU+PC90aXRsZXM+
PHBlcmlvZGljYWw+PGZ1bGwtdGl0bGU+Sm91cm5hbCBvZiBjb21wdXRhdGlvbmFsIFBoeXNpY3M8
L2Z1bGwtdGl0bGU+PC9wZXJpb2RpY2FsPjxwYWdlcz45LTQ0PC9wYWdlcz48dm9sdW1lPjE4MTwv
dm9sdW1lPjxudW1iZXI+MTwvbnVtYmVyPjxkYXRlcz48eWVhcj4yMDAyPC95ZWFyPjwvZGF0ZXM+
PGlzYm4+MDAyMS05OTkxPC9pc2JuPjx1cmxzPjwvdXJscz48L3JlY29yZD48L0NpdGU+PC9FbmRO
b3RlPn==
</w:fldData>
        </w:fldChar>
      </w:r>
      <w:r w:rsidR="00213F5D" w:rsidRPr="00CE04FC">
        <w:rPr>
          <w:rFonts w:ascii="Times New Roman" w:eastAsia="Times New Roman" w:hAnsi="Times New Roman" w:cs="Times New Roman"/>
          <w:kern w:val="0"/>
          <w14:ligatures w14:val="none"/>
        </w:rPr>
        <w:instrText xml:space="preserve"> ADDIN EN.CITE.DATA </w:instrText>
      </w:r>
      <w:r w:rsidR="00213F5D" w:rsidRPr="00CE04FC">
        <w:rPr>
          <w:rFonts w:ascii="Times New Roman" w:eastAsia="Times New Roman" w:hAnsi="Times New Roman" w:cs="Times New Roman"/>
          <w:kern w:val="0"/>
          <w14:ligatures w14:val="none"/>
        </w:rPr>
      </w:r>
      <w:r w:rsidR="00213F5D" w:rsidRPr="00CE04FC">
        <w:rPr>
          <w:rFonts w:ascii="Times New Roman" w:eastAsia="Times New Roman" w:hAnsi="Times New Roman" w:cs="Times New Roman"/>
          <w:kern w:val="0"/>
          <w14:ligatures w14:val="none"/>
        </w:rPr>
        <w:fldChar w:fldCharType="end"/>
      </w:r>
      <w:r w:rsidR="00213F5D" w:rsidRPr="00CE04FC">
        <w:rPr>
          <w:rFonts w:ascii="Times New Roman" w:eastAsia="Times New Roman" w:hAnsi="Times New Roman" w:cs="Times New Roman"/>
          <w:kern w:val="0"/>
          <w14:ligatures w14:val="none"/>
        </w:rPr>
      </w:r>
      <w:r w:rsidR="00213F5D" w:rsidRPr="00CE04FC">
        <w:rPr>
          <w:rFonts w:ascii="Times New Roman" w:eastAsia="Times New Roman" w:hAnsi="Times New Roman" w:cs="Times New Roman"/>
          <w:kern w:val="0"/>
          <w14:ligatures w14:val="none"/>
        </w:rPr>
        <w:fldChar w:fldCharType="separate"/>
      </w:r>
      <w:r w:rsidR="00213F5D" w:rsidRPr="00CE04FC">
        <w:rPr>
          <w:rFonts w:ascii="Times New Roman" w:eastAsia="Times New Roman" w:hAnsi="Times New Roman" w:cs="Times New Roman"/>
          <w:noProof/>
          <w:kern w:val="0"/>
          <w14:ligatures w14:val="none"/>
        </w:rPr>
        <w:t>(Le Maıtre et al., 2002; Najm et al., 2009; Reagan et al., 2005)</w:t>
      </w:r>
      <w:r w:rsidR="00213F5D" w:rsidRPr="00CE04FC">
        <w:rPr>
          <w:rFonts w:ascii="Times New Roman" w:eastAsia="Times New Roman" w:hAnsi="Times New Roman" w:cs="Times New Roman"/>
          <w:kern w:val="0"/>
          <w14:ligatures w14:val="none"/>
        </w:rPr>
        <w:fldChar w:fldCharType="end"/>
      </w:r>
      <w:r w:rsidRPr="00CE04FC">
        <w:rPr>
          <w:rFonts w:ascii="Times New Roman" w:hAnsi="Times New Roman" w:cs="Times New Roman"/>
        </w:rPr>
        <w:t>. In this study, the uncertainties in system parameters were assumed to be uniformly distributed, reflecting bounded variability without a specific directional bias. Consequently, Legendre polynomials were selected, as they are well-suited for uniformly distributed random variables</w:t>
      </w:r>
      <w:r w:rsidR="000561EB" w:rsidRPr="00CE04FC">
        <w:rPr>
          <w:rFonts w:ascii="Times New Roman" w:hAnsi="Times New Roman" w:cs="Times New Roman"/>
        </w:rPr>
        <w:t xml:space="preserve"> </w:t>
      </w:r>
      <w:r w:rsidRPr="00CE04FC">
        <w:rPr>
          <w:rFonts w:ascii="Times New Roman" w:hAnsi="Times New Roman" w:cs="Times New Roman"/>
        </w:rPr>
        <w:fldChar w:fldCharType="begin"/>
      </w:r>
      <w:r w:rsidRPr="00CE04FC">
        <w:rPr>
          <w:rFonts w:ascii="Times New Roman" w:hAnsi="Times New Roman" w:cs="Times New Roman"/>
        </w:rPr>
        <w:instrText xml:space="preserve"> ADDIN EN.CITE &lt;EndNote&gt;&lt;Cite&gt;&lt;Author&gt;Sargsyan&lt;/Author&gt;&lt;Year&gt;2022&lt;/Year&gt;&lt;RecNum&gt;88&lt;/RecNum&gt;&lt;DisplayText&gt;(Mueller et al., 2025; Sargsyan et al., 2022)&lt;/DisplayText&gt;&lt;record&gt;&lt;rec-number&gt;88&lt;/rec-number&gt;&lt;foreign-keys&gt;&lt;key app="EN" db-id="0x0z5zxatzat9oe9027xea2pe2we5dee5dez" timestamp="1747046944"&gt;88&lt;/key&gt;&lt;/foreign-keys&gt;&lt;ref-type name="Report"&gt;27&lt;/ref-type&gt;&lt;contributors&gt;&lt;authors&gt;&lt;author&gt;Sargsyan, Khachik&lt;/author&gt;&lt;author&gt;Safta, Cosmin&lt;/author&gt;&lt;author&gt;Boll, Luke&lt;/author&gt;&lt;author&gt;Johnston, Katherine&lt;/author&gt;&lt;author&gt;Khalil, Mohammad&lt;/author&gt;&lt;author&gt;Chowdhary, Kamaljit&lt;/author&gt;&lt;author&gt;Rai, Prashant&lt;/author&gt;&lt;author&gt;Casey, Tiernan&lt;/author&gt;&lt;author&gt;Zeng, Xiaoshu&lt;/author&gt;&lt;author&gt;Debusschere, Bert&lt;/author&gt;&lt;/authors&gt;&lt;/contributors&gt;&lt;titles&gt;&lt;title&gt;UQTk Version 3.1. 2 User Manual&lt;/title&gt;&lt;/titles&gt;&lt;dates&gt;&lt;year&gt;2022&lt;/year&gt;&lt;/dates&gt;&lt;publisher&gt;Sandia National Lab.(SNL-NM), Albuquerque, NM (United States)&lt;/publisher&gt;&lt;urls&gt;&lt;/urls&gt;&lt;/record&gt;&lt;/Cite&gt;&lt;Cite&gt;&lt;Author&gt;Mueller&lt;/Author&gt;&lt;Year&gt;2025&lt;/Year&gt;&lt;RecNum&gt;89&lt;/RecNum&gt;&lt;record&gt;&lt;rec-number&gt;89&lt;/rec-number&gt;&lt;foreign-keys&gt;&lt;key app="EN" db-id="0x0z5zxatzat9oe9027xea2pe2we5dee5dez" timestamp="1747046981"&gt;89&lt;/key&gt;&lt;/foreign-keys&gt;&lt;ref-type name="Journal Article"&gt;17&lt;/ref-type&gt;&lt;contributors&gt;&lt;authors&gt;&lt;author&gt;Mueller, Joy N&lt;/author&gt;&lt;author&gt;Sargsyan, Khachik&lt;/author&gt;&lt;author&gt;Daniels, Craig J&lt;/author&gt;&lt;author&gt;Najm, Habib N&lt;/author&gt;&lt;/authors&gt;&lt;/contributors&gt;&lt;titles&gt;&lt;title&gt;Polynomial Chaos Surrogate Construction for Random Fields with Parametric Uncertainty&lt;/title&gt;&lt;secondary-title&gt;SIAM/ASA Journal on Uncertainty Quantification&lt;/secondary-title&gt;&lt;/titles&gt;&lt;periodical&gt;&lt;full-title&gt;SIAM/ASA Journal on Uncertainty Quantification&lt;/full-title&gt;&lt;/periodical&gt;&lt;pages&gt;1-29&lt;/pages&gt;&lt;volume&gt;13&lt;/volume&gt;&lt;number&gt;1&lt;/number&gt;&lt;dates&gt;&lt;year&gt;2025&lt;/year&gt;&lt;/dates&gt;&lt;isbn&gt;2166-2525&lt;/isbn&gt;&lt;urls&gt;&lt;/urls&gt;&lt;/record&gt;&lt;/Cite&gt;&lt;/EndNote&gt;</w:instrText>
      </w:r>
      <w:r w:rsidRPr="00CE04FC">
        <w:rPr>
          <w:rFonts w:ascii="Times New Roman" w:hAnsi="Times New Roman" w:cs="Times New Roman"/>
        </w:rPr>
        <w:fldChar w:fldCharType="separate"/>
      </w:r>
      <w:r w:rsidRPr="00CE04FC">
        <w:rPr>
          <w:rFonts w:ascii="Times New Roman" w:hAnsi="Times New Roman" w:cs="Times New Roman"/>
          <w:noProof/>
        </w:rPr>
        <w:t>(Mueller et al., 2025; Sargsyan et al., 2022)</w:t>
      </w:r>
      <w:r w:rsidRPr="00CE04FC">
        <w:rPr>
          <w:rFonts w:ascii="Times New Roman" w:hAnsi="Times New Roman" w:cs="Times New Roman"/>
        </w:rPr>
        <w:fldChar w:fldCharType="end"/>
      </w:r>
      <w:r w:rsidRPr="00CE04FC">
        <w:rPr>
          <w:rFonts w:ascii="Times New Roman" w:hAnsi="Times New Roman" w:cs="Times New Roman"/>
        </w:rPr>
        <w:t xml:space="preserve">. This choice is consistent with the steady-state assumptions of the renewable energy inputs and aligns with prior studies demonstrating the applicability of Legendre-based PCE for systematic uncertainty propagation in energy systems </w:t>
      </w:r>
      <w:r w:rsidR="00867ED4" w:rsidRPr="00CE04FC">
        <w:rPr>
          <w:rFonts w:ascii="Times New Roman" w:hAnsi="Times New Roman" w:cs="Times New Roman"/>
        </w:rPr>
        <w:fldChar w:fldCharType="begin"/>
      </w:r>
      <w:r w:rsidR="008B2386" w:rsidRPr="00CE04FC">
        <w:rPr>
          <w:rFonts w:ascii="Times New Roman" w:hAnsi="Times New Roman" w:cs="Times New Roman"/>
        </w:rPr>
        <w:instrText xml:space="preserve"> ADDIN EN.CITE &lt;EndNote&gt;&lt;Cite&gt;&lt;Author&gt;Gillcrist&lt;/Author&gt;&lt;Year&gt;2024&lt;/Year&gt;&lt;RecNum&gt;90&lt;/RecNum&gt;&lt;DisplayText&gt;(Gillcrist et al., 2024; Xiong et al., 2014)&lt;/DisplayText&gt;&lt;record&gt;&lt;rec-number&gt;90&lt;/rec-number&gt;&lt;foreign-keys&gt;&lt;key app="EN" db-id="0x0z5zxatzat9oe9027xea2pe2we5dee5dez" timestamp="1747047629"&gt;90&lt;/key&gt;&lt;/foreign-keys&gt;&lt;ref-type name="Journal Article"&gt;17&lt;/ref-type&gt;&lt;contributors&gt;&lt;authors&gt;&lt;author&gt;Gillcrist, David J&lt;/author&gt;&lt;author&gt;Alemazkoor, Negin&lt;/author&gt;&lt;author&gt;Chen, Yanlai&lt;/author&gt;&lt;author&gt;Tootkaboni, Mazdak&lt;/author&gt;&lt;/authors&gt;&lt;/contributors&gt;&lt;titles&gt;&lt;title&gt;Design of Experiments via Multi-Fidelity Surrogates and Statistical Sensitivity Measures&lt;/title&gt;&lt;secondary-title&gt;Journal of Machine Learning for Modeling and Computing&lt;/secondary-title&gt;&lt;/titles&gt;&lt;periodical&gt;&lt;full-title&gt;Journal of Machine Learning for Modeling and Computing&lt;/full-title&gt;&lt;/periodical&gt;&lt;volume&gt;5&lt;/volume&gt;&lt;number&gt;4&lt;/number&gt;&lt;dates&gt;&lt;year&gt;2024&lt;/year&gt;&lt;/dates&gt;&lt;isbn&gt;2689-3967&lt;/isbn&gt;&lt;urls&gt;&lt;/urls&gt;&lt;/record&gt;&lt;/Cite&gt;&lt;Cite&gt;&lt;Author&gt;Xiong&lt;/Author&gt;&lt;Year&gt;2014&lt;/Year&gt;&lt;RecNum&gt;12&lt;/RecNum&gt;&lt;record&gt;&lt;rec-number&gt;12&lt;/rec-number&gt;&lt;foreign-keys&gt;&lt;key app="EN" db-id="0x0z5zxatzat9oe9027xea2pe2we5dee5dez" timestamp="1734378246"&gt;12&lt;/key&gt;&lt;/foreign-keys&gt;&lt;ref-type name="Journal Article"&gt;17&lt;/ref-type&gt;&lt;contributors&gt;&lt;authors&gt;&lt;author&gt;Xiong, Fenfen&lt;/author&gt;&lt;author&gt;Chen, Shishi&lt;/author&gt;&lt;author&gt;Xiong, Ying&lt;/author&gt;&lt;/authors&gt;&lt;/contributors&gt;&lt;titles&gt;&lt;title&gt;Dynamic system uncertainty propagation using polynomial chaos&lt;/title&gt;&lt;secondary-title&gt;Chinese Journal of Aeronautics&lt;/secondary-title&gt;&lt;/titles&gt;&lt;periodical&gt;&lt;full-title&gt;Chinese Journal of Aeronautics&lt;/full-title&gt;&lt;/periodical&gt;&lt;pages&gt;1156-1170&lt;/pages&gt;&lt;volume&gt;27&lt;/volume&gt;&lt;number&gt;5&lt;/number&gt;&lt;dates&gt;&lt;year&gt;2014&lt;/year&gt;&lt;/dates&gt;&lt;isbn&gt;1000-9361&lt;/isbn&gt;&lt;urls&gt;&lt;/urls&gt;&lt;/record&gt;&lt;/Cite&gt;&lt;/EndNote&gt;</w:instrText>
      </w:r>
      <w:r w:rsidR="00867ED4" w:rsidRPr="00CE04FC">
        <w:rPr>
          <w:rFonts w:ascii="Times New Roman" w:hAnsi="Times New Roman" w:cs="Times New Roman"/>
        </w:rPr>
        <w:fldChar w:fldCharType="separate"/>
      </w:r>
      <w:r w:rsidR="008B2386" w:rsidRPr="00CE04FC">
        <w:rPr>
          <w:rFonts w:ascii="Times New Roman" w:hAnsi="Times New Roman" w:cs="Times New Roman"/>
          <w:noProof/>
        </w:rPr>
        <w:t>(Gillcrist et al., 2024; Xiong et al., 2014)</w:t>
      </w:r>
      <w:r w:rsidR="00867ED4" w:rsidRPr="00CE04FC">
        <w:rPr>
          <w:rFonts w:ascii="Times New Roman" w:hAnsi="Times New Roman" w:cs="Times New Roman"/>
        </w:rPr>
        <w:fldChar w:fldCharType="end"/>
      </w:r>
      <w:r w:rsidRPr="00CE04FC">
        <w:rPr>
          <w:rFonts w:ascii="Times New Roman" w:hAnsi="Times New Roman" w:cs="Times New Roman"/>
        </w:rPr>
        <w:t>. Each uncertain parameter is defined within the interval [−1,1], allowing for a mathematically structured and representative characterisation of variability across the input space.</w:t>
      </w:r>
    </w:p>
    <w:p w14:paraId="76B953FE" w14:textId="35CC722E"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t xml:space="preserve">Consequently, </w:t>
      </w:r>
      <w:r w:rsidR="006752AC" w:rsidRPr="00CE04FC">
        <w:rPr>
          <w:rFonts w:ascii="Times New Roman" w:hAnsi="Times New Roman" w:cs="Times New Roman"/>
        </w:rPr>
        <w:t xml:space="preserve">Eq. </w:t>
      </w:r>
      <w:r w:rsidR="00B2555E" w:rsidRPr="00CE04FC">
        <w:rPr>
          <w:rFonts w:ascii="Times New Roman" w:hAnsi="Times New Roman" w:cs="Times New Roman"/>
        </w:rPr>
        <w:fldChar w:fldCharType="begin"/>
      </w:r>
      <w:r w:rsidR="00B2555E" w:rsidRPr="00CE04FC">
        <w:rPr>
          <w:rFonts w:ascii="Times New Roman" w:hAnsi="Times New Roman" w:cs="Times New Roman"/>
        </w:rPr>
        <w:instrText xml:space="preserve"> REF _Ref190340370 \h </w:instrText>
      </w:r>
      <w:r w:rsidR="00412369" w:rsidRPr="00CE04FC">
        <w:rPr>
          <w:rFonts w:ascii="Times New Roman" w:hAnsi="Times New Roman" w:cs="Times New Roman"/>
        </w:rPr>
        <w:instrText xml:space="preserve"> \* MERGEFORMAT </w:instrText>
      </w:r>
      <w:r w:rsidR="00B2555E" w:rsidRPr="00CE04FC">
        <w:rPr>
          <w:rFonts w:ascii="Times New Roman" w:hAnsi="Times New Roman" w:cs="Times New Roman"/>
        </w:rPr>
      </w:r>
      <w:r w:rsidR="00B2555E" w:rsidRPr="00CE04FC">
        <w:rPr>
          <w:rFonts w:ascii="Times New Roman" w:hAnsi="Times New Roman" w:cs="Times New Roman"/>
        </w:rPr>
        <w:fldChar w:fldCharType="separate"/>
      </w:r>
      <w:r w:rsidR="001476C8" w:rsidRPr="00CE04FC">
        <w:rPr>
          <w:rFonts w:ascii="Times New Roman" w:hAnsi="Times New Roman" w:cs="Times New Roman"/>
        </w:rPr>
        <w:t>(</w:t>
      </w:r>
      <w:r w:rsidR="001476C8" w:rsidRPr="00CE04FC">
        <w:rPr>
          <w:rFonts w:ascii="Times New Roman" w:hAnsi="Times New Roman" w:cs="Times New Roman"/>
          <w:noProof/>
        </w:rPr>
        <w:t>3</w:t>
      </w:r>
      <w:r w:rsidR="00B2555E" w:rsidRPr="00CE04FC">
        <w:rPr>
          <w:rFonts w:ascii="Times New Roman" w:hAnsi="Times New Roman" w:cs="Times New Roman"/>
        </w:rPr>
        <w:fldChar w:fldCharType="end"/>
      </w:r>
      <w:r w:rsidR="006752AC" w:rsidRPr="00CE04FC">
        <w:rPr>
          <w:rFonts w:ascii="Times New Roman" w:hAnsi="Times New Roman" w:cs="Times New Roman"/>
        </w:rPr>
        <w:t xml:space="preserve">) represents </w:t>
      </w:r>
      <w:r w:rsidRPr="00CE04FC">
        <w:rPr>
          <w:rFonts w:ascii="Times New Roman" w:hAnsi="Times New Roman" w:cs="Times New Roman"/>
        </w:rPr>
        <w:t>the PCE of a simulation output (</w:t>
      </w:r>
      <m:oMath>
        <m:r>
          <w:rPr>
            <w:rFonts w:ascii="Cambria Math" w:hAnsi="Cambria Math" w:cs="Times New Roman"/>
          </w:rPr>
          <m:t>λ</m:t>
        </m:r>
      </m:oMath>
      <w:r w:rsidRPr="00CE04FC">
        <w:rPr>
          <w:rFonts w:ascii="Times New Roman" w:hAnsi="Times New Roman" w:cs="Times New Roman"/>
        </w:rPr>
        <w:t>)</w:t>
      </w:r>
      <w:r w:rsidR="00C53FFB" w:rsidRPr="00CE04FC">
        <w:rPr>
          <w:rFonts w:ascii="Times New Roman" w:hAnsi="Times New Roman" w:cs="Times New Roman"/>
        </w:rPr>
        <w:t>.</w:t>
      </w:r>
      <w:r w:rsidRPr="00CE04FC">
        <w:rPr>
          <w:rFonts w:ascii="Times New Roman" w:hAnsi="Times New Roman" w:cs="Times New Roman"/>
        </w:rPr>
        <w:t xml:space="preserve"> </w:t>
      </w:r>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521"/>
      </w:tblGrid>
      <w:tr w:rsidR="00CE04FC" w:rsidRPr="00CE04FC" w14:paraId="4FF1109C" w14:textId="77777777" w:rsidTr="007D40E1">
        <w:trPr>
          <w:trHeight w:val="354"/>
        </w:trPr>
        <w:tc>
          <w:tcPr>
            <w:tcW w:w="8505" w:type="dxa"/>
            <w:vAlign w:val="center"/>
          </w:tcPr>
          <w:p w14:paraId="3ED82BDD" w14:textId="77777777" w:rsidR="00D75860" w:rsidRPr="00CE04FC" w:rsidRDefault="00D75860" w:rsidP="00D75860">
            <w:pPr>
              <w:jc w:val="center"/>
              <w:rPr>
                <w:rFonts w:ascii="Times New Roman" w:hAnsi="Times New Roman" w:cs="Times New Roman"/>
              </w:rPr>
            </w:pPr>
            <m:oMathPara>
              <m:oMathParaPr>
                <m:jc m:val="center"/>
              </m:oMathParaPr>
              <m:oMath>
                <m:r>
                  <w:rPr>
                    <w:rFonts w:ascii="Cambria Math" w:hAnsi="Cambria Math" w:cs="Times New Roman"/>
                  </w:rPr>
                  <m:t>λ</m:t>
                </m:r>
                <m:r>
                  <m:rPr>
                    <m:sty m:val="p"/>
                  </m:rPr>
                  <w:rPr>
                    <w:rFonts w:ascii="Cambria Math" w:hAnsi="Cambria Math" w:cs="Times New Roman"/>
                  </w:rPr>
                  <m:t>=</m:t>
                </m:r>
                <m:nary>
                  <m:naryPr>
                    <m:chr m:val="∑"/>
                    <m:limLoc m:val="undOvr"/>
                    <m:ctrlPr>
                      <w:rPr>
                        <w:rFonts w:ascii="Cambria Math" w:hAnsi="Cambria Math" w:cs="Times New Roman"/>
                      </w:rPr>
                    </m:ctrlPr>
                  </m:naryPr>
                  <m:sub>
                    <m:r>
                      <w:rPr>
                        <w:rFonts w:ascii="Cambria Math" w:hAnsi="Cambria Math" w:cs="Times New Roman"/>
                      </w:rPr>
                      <m:t>k</m:t>
                    </m:r>
                    <m:r>
                      <m:rPr>
                        <m:sty m:val="p"/>
                      </m:rPr>
                      <w:rPr>
                        <w:rFonts w:ascii="Cambria Math" w:hAnsi="Cambria Math" w:cs="Times New Roman"/>
                      </w:rPr>
                      <m:t>=0</m:t>
                    </m:r>
                  </m:sub>
                  <m:sup>
                    <m:r>
                      <w:rPr>
                        <w:rFonts w:ascii="Cambria Math" w:hAnsi="Cambria Math" w:cs="Times New Roman"/>
                      </w:rPr>
                      <m:t>P</m:t>
                    </m:r>
                  </m:sup>
                  <m:e>
                    <m:sSub>
                      <m:sSubPr>
                        <m:ctrlPr>
                          <w:rPr>
                            <w:rFonts w:ascii="Cambria Math" w:hAnsi="Cambria Math" w:cs="Times New Roman"/>
                          </w:rPr>
                        </m:ctrlPr>
                      </m:sSubPr>
                      <m:e>
                        <m:r>
                          <w:rPr>
                            <w:rFonts w:ascii="Cambria Math" w:hAnsi="Cambria Math" w:cs="Times New Roman"/>
                          </w:rPr>
                          <m:t>C</m:t>
                        </m:r>
                      </m:e>
                      <m:sub>
                        <m:r>
                          <w:rPr>
                            <w:rFonts w:ascii="Cambria Math" w:hAnsi="Cambria Math" w:cs="Times New Roman"/>
                          </w:rPr>
                          <m:t>k</m:t>
                        </m:r>
                      </m:sub>
                    </m:sSub>
                    <m:sSub>
                      <m:sSubPr>
                        <m:ctrlPr>
                          <w:rPr>
                            <w:rFonts w:ascii="Cambria Math" w:hAnsi="Cambria Math" w:cs="Times New Roman"/>
                          </w:rPr>
                        </m:ctrlPr>
                      </m:sSubPr>
                      <m:e>
                        <m:r>
                          <w:rPr>
                            <w:rFonts w:ascii="Cambria Math" w:hAnsi="Cambria Math" w:cs="Times New Roman"/>
                          </w:rPr>
                          <m:t>Ψ</m:t>
                        </m:r>
                      </m:e>
                      <m:sub>
                        <m:r>
                          <w:rPr>
                            <w:rFonts w:ascii="Cambria Math" w:hAnsi="Cambria Math" w:cs="Times New Roman"/>
                          </w:rPr>
                          <m:t>k</m:t>
                        </m:r>
                      </m:sub>
                    </m:sSub>
                  </m:e>
                </m:nary>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ξ</m:t>
                    </m:r>
                  </m:e>
                  <m:sub>
                    <m:r>
                      <w:rPr>
                        <w:rFonts w:ascii="Cambria Math" w:hAnsi="Cambria Math" w:cs="Times New Roman"/>
                      </w:rPr>
                      <m:t>d</m:t>
                    </m:r>
                  </m:sub>
                </m:sSub>
                <m:r>
                  <m:rPr>
                    <m:sty m:val="p"/>
                  </m:rPr>
                  <w:rPr>
                    <w:rFonts w:ascii="Cambria Math" w:hAnsi="Cambria Math" w:cs="Times New Roman"/>
                  </w:rPr>
                  <m:t>)</m:t>
                </m:r>
              </m:oMath>
            </m:oMathPara>
          </w:p>
        </w:tc>
        <w:tc>
          <w:tcPr>
            <w:tcW w:w="521" w:type="dxa"/>
            <w:vAlign w:val="center"/>
          </w:tcPr>
          <w:p w14:paraId="0617890B" w14:textId="0F7005DD" w:rsidR="00D75860" w:rsidRPr="00CE04FC" w:rsidRDefault="00D75860" w:rsidP="00D75860">
            <w:pPr>
              <w:jc w:val="right"/>
              <w:rPr>
                <w:rFonts w:ascii="Times New Roman" w:hAnsi="Times New Roman" w:cs="Times New Roman"/>
              </w:rPr>
            </w:pPr>
            <w:bookmarkStart w:id="9" w:name="_Ref190340370"/>
            <w:r w:rsidRPr="00CE04FC">
              <w:rPr>
                <w:rFonts w:ascii="Times New Roman"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bookmarkStart w:id="10" w:name="_Ref188029109"/>
            <w:r w:rsidR="001476C8" w:rsidRPr="00CE04FC">
              <w:rPr>
                <w:rFonts w:ascii="Times New Roman" w:hAnsi="Times New Roman" w:cs="Times New Roman"/>
                <w:noProof/>
              </w:rPr>
              <w:t>3</w:t>
            </w:r>
            <w:bookmarkEnd w:id="10"/>
            <w:r w:rsidRPr="00CE04FC">
              <w:rPr>
                <w:rFonts w:ascii="Times New Roman" w:hAnsi="Times New Roman" w:cs="Times New Roman"/>
                <w:noProof/>
              </w:rPr>
              <w:fldChar w:fldCharType="end"/>
            </w:r>
            <w:bookmarkEnd w:id="9"/>
            <w:r w:rsidRPr="00CE04FC">
              <w:rPr>
                <w:rFonts w:ascii="Times New Roman" w:hAnsi="Times New Roman" w:cs="Times New Roman"/>
              </w:rPr>
              <w:t>)</w:t>
            </w:r>
          </w:p>
        </w:tc>
      </w:tr>
    </w:tbl>
    <w:p w14:paraId="2D730AB4" w14:textId="50F49483" w:rsidR="009F00D0" w:rsidRPr="00CE04FC" w:rsidRDefault="009F00D0" w:rsidP="009F00D0">
      <w:pPr>
        <w:tabs>
          <w:tab w:val="left" w:pos="2867"/>
        </w:tabs>
        <w:spacing w:before="240" w:line="240" w:lineRule="auto"/>
        <w:jc w:val="both"/>
        <w:rPr>
          <w:rFonts w:ascii="Times New Roman" w:hAnsi="Times New Roman" w:cs="Times New Roman"/>
        </w:rPr>
      </w:pPr>
      <w:r w:rsidRPr="00CE04FC">
        <w:rPr>
          <w:rFonts w:ascii="Times New Roman" w:hAnsi="Times New Roman" w:cs="Times New Roman"/>
        </w:rPr>
        <w:lastRenderedPageBreak/>
        <w:t xml:space="preserve">Here, </w:t>
      </w:r>
      <m:oMath>
        <m:r>
          <w:rPr>
            <w:rFonts w:ascii="Cambria Math" w:hAnsi="Cambria Math" w:cs="Times New Roman"/>
          </w:rPr>
          <m:t>λ</m:t>
        </m:r>
      </m:oMath>
      <w:r w:rsidRPr="00CE04FC">
        <w:rPr>
          <w:rFonts w:ascii="Times New Roman" w:eastAsiaTheme="minorEastAsia" w:hAnsi="Times New Roman" w:cs="Times New Roman"/>
        </w:rPr>
        <w:t xml:space="preserve"> </w:t>
      </w:r>
      <w:r w:rsidRPr="00CE04FC">
        <w:rPr>
          <w:rFonts w:ascii="Times New Roman" w:hAnsi="Times New Roman" w:cs="Times New Roman"/>
        </w:rPr>
        <w:t xml:space="preserve">represents a simulation output </w:t>
      </w:r>
      <w:r w:rsidR="00F10EA8" w:rsidRPr="00CE04FC">
        <w:rPr>
          <w:rFonts w:ascii="Times New Roman" w:hAnsi="Times New Roman" w:cs="Times New Roman"/>
        </w:rPr>
        <w:t>(</w:t>
      </w:r>
      <w:r w:rsidRPr="00CE04FC">
        <w:rPr>
          <w:rFonts w:ascii="Times New Roman" w:hAnsi="Times New Roman" w:cs="Times New Roman"/>
        </w:rPr>
        <w:t>i.e. ammonia production and refrigeration generation from hybridised ammonia production system</w:t>
      </w:r>
      <w:r w:rsidR="00F10EA8" w:rsidRPr="00CE04FC">
        <w:rPr>
          <w:rFonts w:ascii="Times New Roman" w:hAnsi="Times New Roman" w:cs="Times New Roman"/>
        </w:rPr>
        <w:t>)</w:t>
      </w:r>
      <w:r w:rsidRPr="00CE04FC">
        <w:rPr>
          <w:rFonts w:ascii="Times New Roman" w:hAnsi="Times New Roman" w:cs="Times New Roman"/>
        </w:rPr>
        <w:t xml:space="preserve">, P </w:t>
      </w:r>
      <w:r w:rsidR="00E062C2" w:rsidRPr="00CE04FC">
        <w:rPr>
          <w:rFonts w:ascii="Times New Roman" w:hAnsi="Times New Roman" w:cs="Times New Roman"/>
        </w:rPr>
        <w:t>represent</w:t>
      </w:r>
      <w:r w:rsidRPr="00CE04FC">
        <w:rPr>
          <w:rFonts w:ascii="Times New Roman" w:hAnsi="Times New Roman" w:cs="Times New Roman"/>
        </w:rPr>
        <w:t>s the order of the</w:t>
      </w:r>
      <w:r w:rsidR="007268DB" w:rsidRPr="00CE04FC">
        <w:rPr>
          <w:rFonts w:ascii="Times New Roman" w:hAnsi="Times New Roman" w:cs="Times New Roman"/>
        </w:rPr>
        <w:t xml:space="preserve"> polynomial chaos expansion</w:t>
      </w:r>
      <w:r w:rsidR="00E104FA" w:rsidRPr="00CE04FC">
        <w:rPr>
          <w:rFonts w:ascii="Times New Roman" w:hAnsi="Times New Roman" w:cs="Times New Roman"/>
        </w:rPr>
        <w:t xml:space="preserve"> </w:t>
      </w:r>
      <w:r w:rsidRPr="00CE04FC">
        <w:rPr>
          <w:rFonts w:ascii="Times New Roman" w:hAnsi="Times New Roman" w:cs="Times New Roman"/>
        </w:rPr>
        <w:t xml:space="preserve">model, </w:t>
      </w:r>
      <w:r w:rsidR="007268DB" w:rsidRPr="00CE04FC">
        <w:rPr>
          <w:rFonts w:ascii="Times New Roman" w:eastAsiaTheme="minorEastAsia" w:hAnsi="Times New Roman" w:cs="Times New Roman"/>
        </w:rPr>
        <w:t xml:space="preserve">while </w:t>
      </w:r>
      <m:oMath>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d>
          <m:dPr>
            <m:ctrlPr>
              <w:rPr>
                <w:rFonts w:ascii="Cambria Math" w:eastAsiaTheme="minorEastAsia" w:hAnsi="Cambria Math" w:cs="Times New Roman"/>
                <w:i/>
              </w:rPr>
            </m:ctrlPr>
          </m:dPr>
          <m:e>
            <m:r>
              <w:rPr>
                <w:rFonts w:ascii="Cambria Math" w:eastAsiaTheme="minorEastAsia" w:hAnsi="Cambria Math" w:cs="Times New Roman"/>
              </w:rPr>
              <m:t>ξ</m:t>
            </m:r>
          </m:e>
        </m:d>
      </m:oMath>
      <w:r w:rsidRPr="00CE04FC">
        <w:rPr>
          <w:rFonts w:ascii="Times New Roman" w:eastAsiaTheme="minorEastAsia" w:hAnsi="Times New Roman" w:cs="Times New Roman"/>
        </w:rPr>
        <w:t xml:space="preserve"> </w:t>
      </w:r>
      <w:r w:rsidR="00E062C2" w:rsidRPr="00CE04FC">
        <w:rPr>
          <w:rFonts w:ascii="Times New Roman" w:hAnsi="Times New Roman" w:cs="Times New Roman"/>
        </w:rPr>
        <w:t>denotes</w:t>
      </w:r>
      <w:r w:rsidRPr="00CE04FC">
        <w:rPr>
          <w:rFonts w:ascii="Times New Roman" w:hAnsi="Times New Roman" w:cs="Times New Roman"/>
        </w:rPr>
        <w:t xml:space="preserve"> the multidimensional orthogonal polynomial chaos Legendre-Uniform basis functions</w:t>
      </w:r>
      <w:r w:rsidR="00B964DB" w:rsidRPr="00CE04FC">
        <w:rPr>
          <w:rFonts w:ascii="Times New Roman" w:hAnsi="Times New Roman" w:cs="Times New Roman"/>
        </w:rPr>
        <w:t>. T</w:t>
      </w:r>
      <w:r w:rsidR="002C2CFF" w:rsidRPr="00CE04FC">
        <w:rPr>
          <w:rFonts w:ascii="Times New Roman" w:hAnsi="Times New Roman" w:cs="Times New Roman"/>
        </w:rPr>
        <w:t xml:space="preserve">he </w:t>
      </w:r>
      <w:r w:rsidR="005D3BDE" w:rsidRPr="00CE04FC">
        <w:rPr>
          <w:rFonts w:ascii="Times New Roman" w:hAnsi="Times New Roman" w:cs="Times New Roman"/>
        </w:rPr>
        <w:t>coefficients</w:t>
      </w:r>
      <w:r w:rsidRPr="00CE04FC">
        <w:rPr>
          <w:rFonts w:ascii="Times New Roman"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k</m:t>
            </m:r>
          </m:sub>
        </m:sSub>
      </m:oMath>
      <w:r w:rsidRPr="00CE04FC">
        <w:rPr>
          <w:rFonts w:ascii="Times New Roman" w:eastAsiaTheme="minorEastAsia" w:hAnsi="Times New Roman" w:cs="Times New Roman"/>
        </w:rPr>
        <w:t xml:space="preserve"> </w:t>
      </w:r>
      <w:r w:rsidR="002C2CFF" w:rsidRPr="00CE04FC">
        <w:rPr>
          <w:rFonts w:ascii="Times New Roman" w:eastAsiaTheme="minorEastAsia" w:hAnsi="Times New Roman" w:cs="Times New Roman"/>
        </w:rPr>
        <w:t xml:space="preserve">corresponds </w:t>
      </w:r>
      <w:r w:rsidR="005D3BDE" w:rsidRPr="00CE04FC">
        <w:rPr>
          <w:rFonts w:ascii="Times New Roman" w:eastAsiaTheme="minorEastAsia" w:hAnsi="Times New Roman" w:cs="Times New Roman"/>
        </w:rPr>
        <w:t>to</w:t>
      </w:r>
      <w:r w:rsidRPr="00CE04FC">
        <w:rPr>
          <w:rFonts w:ascii="Times New Roman" w:hAnsi="Times New Roman" w:cs="Times New Roman"/>
        </w:rPr>
        <w:t xml:space="preserve"> the PCE coefficients. </w:t>
      </w:r>
    </w:p>
    <w:p w14:paraId="4733D629" w14:textId="41211954" w:rsidR="00897CFA" w:rsidRPr="00CE04FC" w:rsidRDefault="009F00D0" w:rsidP="009F00D0">
      <w:pPr>
        <w:tabs>
          <w:tab w:val="left" w:pos="2867"/>
        </w:tabs>
        <w:spacing w:before="240" w:line="240" w:lineRule="auto"/>
        <w:jc w:val="both"/>
        <w:rPr>
          <w:rFonts w:ascii="Times New Roman" w:hAnsi="Times New Roman" w:cs="Times New Roman"/>
        </w:rPr>
      </w:pPr>
      <w:r w:rsidRPr="00CE04FC">
        <w:rPr>
          <w:rFonts w:ascii="Times New Roman" w:hAnsi="Times New Roman" w:cs="Times New Roman"/>
        </w:rPr>
        <w:t xml:space="preserve">In UQTk, </w:t>
      </w:r>
      <w:r w:rsidR="00E34465" w:rsidRPr="00CE04FC">
        <w:rPr>
          <w:rFonts w:ascii="Times New Roman" w:hAnsi="Times New Roman" w:cs="Times New Roman"/>
        </w:rPr>
        <w:t xml:space="preserve">the methods to perform </w:t>
      </w:r>
      <w:r w:rsidRPr="00CE04FC">
        <w:rPr>
          <w:rFonts w:ascii="Times New Roman" w:hAnsi="Times New Roman" w:cs="Times New Roman"/>
        </w:rPr>
        <w:t xml:space="preserve">quadrature integration </w:t>
      </w:r>
      <w:r w:rsidR="00536F99" w:rsidRPr="00CE04FC">
        <w:rPr>
          <w:rFonts w:ascii="Times New Roman" w:hAnsi="Times New Roman" w:cs="Times New Roman"/>
        </w:rPr>
        <w:t xml:space="preserve">are either </w:t>
      </w:r>
      <w:r w:rsidRPr="00CE04FC">
        <w:rPr>
          <w:rFonts w:ascii="Times New Roman" w:hAnsi="Times New Roman" w:cs="Times New Roman"/>
        </w:rPr>
        <w:t xml:space="preserve">the sparse tensor product method </w:t>
      </w:r>
      <w:r w:rsidR="00CC6DDC" w:rsidRPr="00CE04FC">
        <w:rPr>
          <w:rFonts w:ascii="Times New Roman" w:hAnsi="Times New Roman" w:cs="Times New Roman"/>
        </w:rPr>
        <w:t>o</w:t>
      </w:r>
      <w:r w:rsidR="00536F99" w:rsidRPr="00CE04FC">
        <w:rPr>
          <w:rFonts w:ascii="Times New Roman" w:hAnsi="Times New Roman" w:cs="Times New Roman"/>
        </w:rPr>
        <w:t xml:space="preserve">r full tensor product method. </w:t>
      </w:r>
      <w:r w:rsidRPr="00CE04FC">
        <w:rPr>
          <w:rFonts w:ascii="Times New Roman" w:hAnsi="Times New Roman" w:cs="Times New Roman"/>
        </w:rPr>
        <w:t>For full tensor product</w:t>
      </w:r>
      <w:r w:rsidR="00E9556F" w:rsidRPr="00CE04FC">
        <w:rPr>
          <w:rFonts w:ascii="Times New Roman" w:hAnsi="Times New Roman" w:cs="Times New Roman"/>
        </w:rPr>
        <w:t xml:space="preserve"> techn</w:t>
      </w:r>
      <w:r w:rsidR="009E57B1" w:rsidRPr="00CE04FC">
        <w:rPr>
          <w:rFonts w:ascii="Times New Roman" w:hAnsi="Times New Roman" w:cs="Times New Roman"/>
        </w:rPr>
        <w:t>ique</w:t>
      </w:r>
      <w:r w:rsidRPr="00CE04FC">
        <w:rPr>
          <w:rFonts w:ascii="Times New Roman" w:hAnsi="Times New Roman" w:cs="Times New Roman"/>
        </w:rPr>
        <w:t>,</w:t>
      </w:r>
      <w:r w:rsidR="009E57B1" w:rsidRPr="00CE04FC">
        <w:rPr>
          <w:rFonts w:ascii="Times New Roman" w:hAnsi="Times New Roman" w:cs="Times New Roman"/>
        </w:rPr>
        <w:t xml:space="preserve"> the function must be integrate using</w:t>
      </w:r>
      <w:r w:rsidRPr="00CE04FC">
        <w:rPr>
          <w:rFonts w:ascii="Times New Roman" w:hAnsi="Times New Roman" w:cs="Times New Roman"/>
        </w:rPr>
        <w:t xml:space="preserve"> the quadrature points </w:t>
      </w:r>
      <w:r w:rsidRPr="00CE04FC">
        <w:rPr>
          <w:rFonts w:ascii="Times New Roman" w:eastAsiaTheme="minorEastAsia" w:hAnsi="Times New Roman" w:cs="Times New Roman"/>
        </w:rPr>
        <w:t>(</w:t>
      </w:r>
      <m:oMath>
        <m:sSub>
          <m:sSubPr>
            <m:ctrlPr>
              <w:rPr>
                <w:rFonts w:ascii="Cambria Math" w:eastAsiaTheme="minorEastAsia" w:hAnsi="Cambria Math" w:cs="Times New Roman"/>
                <w:i/>
              </w:rPr>
            </m:ctrlPr>
          </m:sSubPr>
          <m:e>
            <m:r>
              <w:rPr>
                <w:rFonts w:ascii="Cambria Math" w:eastAsiaTheme="minorEastAsia" w:hAnsi="Cambria Math" w:cs="Times New Roman"/>
              </w:rPr>
              <m:t>ξ</m:t>
            </m:r>
          </m:e>
          <m:sub>
            <m:r>
              <w:rPr>
                <w:rFonts w:ascii="Cambria Math" w:eastAsiaTheme="minorEastAsia" w:hAnsi="Cambria Math" w:cs="Times New Roman"/>
              </w:rPr>
              <m:t>d</m:t>
            </m:r>
          </m:sub>
        </m:sSub>
      </m:oMath>
      <w:r w:rsidRPr="00CE04FC">
        <w:rPr>
          <w:rFonts w:ascii="Times New Roman" w:eastAsiaTheme="minorEastAsia" w:hAnsi="Times New Roman" w:cs="Times New Roman"/>
        </w:rPr>
        <w:t>)</w:t>
      </w:r>
      <w:r w:rsidRPr="00CE04FC">
        <w:rPr>
          <w:rFonts w:ascii="Times New Roman" w:hAnsi="Times New Roman" w:cs="Times New Roman"/>
        </w:rPr>
        <w:t xml:space="preserve">, and their number is determined by </w:t>
      </w:r>
      <w:r w:rsidRPr="00CE04FC">
        <w:rPr>
          <w:rFonts w:ascii="Times New Roman" w:eastAsiaTheme="minorEastAsia" w:hAnsi="Times New Roman" w:cs="Times New Roman"/>
        </w:rPr>
        <w:t>(N</w:t>
      </w:r>
      <w:r w:rsidRPr="00CE04FC">
        <w:rPr>
          <w:rFonts w:ascii="Times New Roman" w:eastAsiaTheme="minorEastAsia" w:hAnsi="Times New Roman" w:cs="Times New Roman"/>
          <w:vertAlign w:val="subscript"/>
        </w:rPr>
        <w:t>ord</w:t>
      </w:r>
      <w:r w:rsidRPr="00CE04FC">
        <w:rPr>
          <w:rFonts w:ascii="Times New Roman" w:eastAsiaTheme="minorEastAsia" w:hAnsi="Times New Roman" w:cs="Times New Roman"/>
        </w:rPr>
        <w:t>)</w:t>
      </w:r>
      <w:r w:rsidRPr="00CE04FC">
        <w:rPr>
          <w:rFonts w:ascii="Times New Roman" w:eastAsiaTheme="minorEastAsia" w:hAnsi="Times New Roman" w:cs="Times New Roman"/>
          <w:vertAlign w:val="superscript"/>
        </w:rPr>
        <w:t>d</w:t>
      </w:r>
      <w:r w:rsidRPr="00CE04FC">
        <w:rPr>
          <w:rFonts w:ascii="Times New Roman" w:hAnsi="Times New Roman" w:cs="Times New Roman"/>
        </w:rPr>
        <w:t xml:space="preserve">, where </w:t>
      </w:r>
      <w:r w:rsidRPr="00CE04FC">
        <w:rPr>
          <w:rFonts w:ascii="Times New Roman" w:eastAsiaTheme="minorEastAsia" w:hAnsi="Times New Roman" w:cs="Times New Roman"/>
        </w:rPr>
        <w:t>N</w:t>
      </w:r>
      <w:r w:rsidRPr="00CE04FC">
        <w:rPr>
          <w:rFonts w:ascii="Times New Roman" w:eastAsiaTheme="minorEastAsia" w:hAnsi="Times New Roman" w:cs="Times New Roman"/>
          <w:vertAlign w:val="subscript"/>
        </w:rPr>
        <w:t>ord</w:t>
      </w:r>
      <w:r w:rsidRPr="00CE04FC">
        <w:rPr>
          <w:rFonts w:ascii="Times New Roman" w:eastAsiaTheme="minorEastAsia" w:hAnsi="Times New Roman" w:cs="Times New Roman"/>
        </w:rPr>
        <w:t>=P+1</w:t>
      </w:r>
      <w:r w:rsidRPr="00CE04FC">
        <w:rPr>
          <w:rFonts w:ascii="Times New Roman" w:hAnsi="Times New Roman" w:cs="Times New Roman"/>
        </w:rPr>
        <w:t xml:space="preserve"> is the order of expansion. In this study, P was set to </w:t>
      </w:r>
      <w:r w:rsidR="006E753D" w:rsidRPr="00CE04FC">
        <w:rPr>
          <w:rFonts w:ascii="Times New Roman" w:hAnsi="Times New Roman" w:cs="Times New Roman"/>
        </w:rPr>
        <w:t>three</w:t>
      </w:r>
      <w:r w:rsidRPr="00CE04FC">
        <w:rPr>
          <w:rFonts w:ascii="Times New Roman" w:hAnsi="Times New Roman" w:cs="Times New Roman"/>
        </w:rPr>
        <w:t xml:space="preserve">, resulting in </w:t>
      </w:r>
      <m:oMath>
        <m:sSup>
          <m:sSupPr>
            <m:ctrlPr>
              <w:rPr>
                <w:rFonts w:ascii="Cambria Math" w:eastAsiaTheme="minorEastAsia" w:hAnsi="Cambria Math" w:cs="Times New Roman"/>
                <w:i/>
              </w:rPr>
            </m:ctrlPr>
          </m:sSupPr>
          <m:e>
            <m:r>
              <w:rPr>
                <w:rFonts w:ascii="Cambria Math" w:eastAsiaTheme="minorEastAsia" w:hAnsi="Cambria Math" w:cs="Times New Roman"/>
              </w:rPr>
              <m:t>(3+1)</m:t>
            </m:r>
          </m:e>
          <m:sup>
            <m:r>
              <w:rPr>
                <w:rFonts w:ascii="Cambria Math" w:eastAsiaTheme="minorEastAsia" w:hAnsi="Cambria Math" w:cs="Times New Roman"/>
              </w:rPr>
              <m:t>6</m:t>
            </m:r>
          </m:sup>
        </m:sSup>
        <m:r>
          <w:rPr>
            <w:rFonts w:ascii="Cambria Math" w:eastAsiaTheme="minorEastAsia" w:hAnsi="Cambria Math" w:cs="Times New Roman"/>
          </w:rPr>
          <m:t>=4096</m:t>
        </m:r>
      </m:oMath>
      <w:r w:rsidRPr="00CE04FC">
        <w:rPr>
          <w:rFonts w:ascii="Times New Roman" w:eastAsiaTheme="minorEastAsia" w:hAnsi="Times New Roman" w:cs="Times New Roman"/>
        </w:rPr>
        <w:t xml:space="preserve"> is</w:t>
      </w:r>
      <w:r w:rsidRPr="00CE04FC">
        <w:rPr>
          <w:rFonts w:ascii="Times New Roman" w:hAnsi="Times New Roman" w:cs="Times New Roman"/>
        </w:rPr>
        <w:t xml:space="preserve"> quadrature points used for the integration. It is </w:t>
      </w:r>
      <w:r w:rsidR="00D1739E" w:rsidRPr="00CE04FC">
        <w:rPr>
          <w:rFonts w:ascii="Times New Roman" w:hAnsi="Times New Roman" w:cs="Times New Roman"/>
        </w:rPr>
        <w:t>crucial to hi</w:t>
      </w:r>
      <w:r w:rsidR="00CC6DDC" w:rsidRPr="00CE04FC">
        <w:rPr>
          <w:rFonts w:ascii="Times New Roman" w:hAnsi="Times New Roman" w:cs="Times New Roman"/>
        </w:rPr>
        <w:t xml:space="preserve">ghlight that </w:t>
      </w:r>
      <w:r w:rsidRPr="00CE04FC">
        <w:rPr>
          <w:rFonts w:ascii="Times New Roman" w:hAnsi="Times New Roman" w:cs="Times New Roman"/>
        </w:rPr>
        <w:t xml:space="preserve">in high-dimensional </w:t>
      </w:r>
      <w:r w:rsidR="00B50090" w:rsidRPr="00CE04FC">
        <w:rPr>
          <w:rFonts w:ascii="Times New Roman" w:hAnsi="Times New Roman" w:cs="Times New Roman"/>
        </w:rPr>
        <w:t>problems</w:t>
      </w:r>
      <w:r w:rsidRPr="00CE04FC">
        <w:rPr>
          <w:rFonts w:ascii="Times New Roman" w:hAnsi="Times New Roman" w:cs="Times New Roman"/>
        </w:rPr>
        <w:t xml:space="preserve">, this </w:t>
      </w:r>
      <w:r w:rsidR="0045158A" w:rsidRPr="00CE04FC">
        <w:rPr>
          <w:rFonts w:ascii="Times New Roman" w:hAnsi="Times New Roman" w:cs="Times New Roman"/>
        </w:rPr>
        <w:t>technique</w:t>
      </w:r>
      <w:r w:rsidRPr="00CE04FC">
        <w:rPr>
          <w:rFonts w:ascii="Times New Roman" w:hAnsi="Times New Roman" w:cs="Times New Roman"/>
        </w:rPr>
        <w:t xml:space="preserve"> demands significantly more computational </w:t>
      </w:r>
      <w:r w:rsidR="0012321B" w:rsidRPr="00CE04FC">
        <w:rPr>
          <w:rFonts w:ascii="Times New Roman" w:hAnsi="Times New Roman" w:cs="Times New Roman"/>
        </w:rPr>
        <w:t>resources</w:t>
      </w:r>
      <w:r w:rsidRPr="00CE04FC">
        <w:rPr>
          <w:rFonts w:ascii="Times New Roman" w:hAnsi="Times New Roman" w:cs="Times New Roman"/>
        </w:rPr>
        <w:t>, leading to the issue known as the curse of</w:t>
      </w:r>
      <w:r w:rsidR="00897CFA" w:rsidRPr="00CE04FC">
        <w:rPr>
          <w:rFonts w:ascii="Times New Roman" w:hAnsi="Times New Roman" w:cs="Times New Roman"/>
        </w:rPr>
        <w:t xml:space="preserve"> dimensionality </w:t>
      </w:r>
      <w:r w:rsidR="000E1D61" w:rsidRPr="00CE04FC">
        <w:rPr>
          <w:rFonts w:ascii="Times New Roman" w:hAnsi="Times New Roman" w:cs="Times New Roman"/>
        </w:rPr>
        <w:fldChar w:fldCharType="begin"/>
      </w:r>
      <w:r w:rsidR="00063EF7" w:rsidRPr="00CE04FC">
        <w:rPr>
          <w:rFonts w:ascii="Times New Roman" w:hAnsi="Times New Roman" w:cs="Times New Roman"/>
        </w:rPr>
        <w:instrText xml:space="preserve"> ADDIN EN.CITE &lt;EndNote&gt;&lt;Cite&gt;&lt;Author&gt;Indyk&lt;/Author&gt;&lt;Year&gt;1998&lt;/Year&gt;&lt;RecNum&gt;55&lt;/RecNum&gt;&lt;DisplayText&gt;(Indyk &amp;amp; Motwani, 1998)&lt;/DisplayText&gt;&lt;record&gt;&lt;rec-number&gt;55&lt;/rec-number&gt;&lt;foreign-keys&gt;&lt;key app="EN" db-id="0x0z5zxatzat9oe9027xea2pe2we5dee5dez" timestamp="1739362873"&gt;55&lt;/key&gt;&lt;/foreign-keys&gt;&lt;ref-type name="Conference Proceedings"&gt;10&lt;/ref-type&gt;&lt;contributors&gt;&lt;authors&gt;&lt;author&gt;Indyk, Piotr&lt;/author&gt;&lt;author&gt;Motwani, Rajeev&lt;/author&gt;&lt;/authors&gt;&lt;/contributors&gt;&lt;titles&gt;&lt;title&gt;Approximate nearest neighbors: towards removing the curse of dimensionality&lt;/title&gt;&lt;secondary-title&gt;Proceedings of the thirtieth annual ACM symposium on Theory of computing&lt;/secondary-title&gt;&lt;/titles&gt;&lt;pages&gt;604-613&lt;/pages&gt;&lt;dates&gt;&lt;year&gt;1998&lt;/year&gt;&lt;/dates&gt;&lt;urls&gt;&lt;/urls&gt;&lt;/record&gt;&lt;/Cite&gt;&lt;/EndNote&gt;</w:instrText>
      </w:r>
      <w:r w:rsidR="000E1D61" w:rsidRPr="00CE04FC">
        <w:rPr>
          <w:rFonts w:ascii="Times New Roman" w:hAnsi="Times New Roman" w:cs="Times New Roman"/>
        </w:rPr>
        <w:fldChar w:fldCharType="separate"/>
      </w:r>
      <w:r w:rsidR="00063EF7" w:rsidRPr="00CE04FC">
        <w:rPr>
          <w:rFonts w:ascii="Times New Roman" w:hAnsi="Times New Roman" w:cs="Times New Roman"/>
          <w:noProof/>
        </w:rPr>
        <w:t>(Indyk &amp; Motwani, 1998)</w:t>
      </w:r>
      <w:r w:rsidR="000E1D61" w:rsidRPr="00CE04FC">
        <w:rPr>
          <w:rFonts w:ascii="Times New Roman" w:hAnsi="Times New Roman" w:cs="Times New Roman"/>
        </w:rPr>
        <w:fldChar w:fldCharType="end"/>
      </w:r>
      <w:r w:rsidR="00897CFA" w:rsidRPr="00CE04FC">
        <w:rPr>
          <w:rFonts w:ascii="Times New Roman" w:hAnsi="Times New Roman" w:cs="Times New Roman"/>
        </w:rPr>
        <w:t xml:space="preserve">. Furthermore, </w:t>
      </w:r>
      <w:r w:rsidR="00D975E8" w:rsidRPr="00CE04FC">
        <w:rPr>
          <w:rFonts w:ascii="Times New Roman" w:hAnsi="Times New Roman" w:cs="Times New Roman"/>
        </w:rPr>
        <w:t>growing</w:t>
      </w:r>
      <w:r w:rsidR="00897CFA" w:rsidRPr="00CE04FC">
        <w:rPr>
          <w:rFonts w:ascii="Times New Roman" w:hAnsi="Times New Roman" w:cs="Times New Roman"/>
        </w:rPr>
        <w:t xml:space="preserve"> the order of PCE beyond a certain threshold does not always improve the results.</w:t>
      </w:r>
    </w:p>
    <w:p w14:paraId="2D466674" w14:textId="7375A366"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t xml:space="preserve">For balance accuracy and computational efficiency, a </w:t>
      </w:r>
      <w:r w:rsidR="00446D45" w:rsidRPr="00CE04FC">
        <w:rPr>
          <w:rFonts w:ascii="Times New Roman" w:hAnsi="Times New Roman" w:cs="Times New Roman"/>
        </w:rPr>
        <w:t>third</w:t>
      </w:r>
      <w:r w:rsidRPr="00CE04FC">
        <w:rPr>
          <w:rFonts w:ascii="Times New Roman" w:hAnsi="Times New Roman" w:cs="Times New Roman"/>
        </w:rPr>
        <w:t xml:space="preserve">-order PCE analysis was chosen for this study. Increasing the order substantially amplifies the computational cost, as it scales the random sample numbers </w:t>
      </w:r>
      <w:r w:rsidRPr="00CE04FC">
        <w:rPr>
          <w:rFonts w:ascii="Times New Roman" w:eastAsiaTheme="minorEastAsia" w:hAnsi="Times New Roman" w:cs="Times New Roman"/>
        </w:rPr>
        <w:t>(N</w:t>
      </w:r>
      <w:r w:rsidRPr="00CE04FC">
        <w:rPr>
          <w:rFonts w:ascii="Times New Roman" w:eastAsiaTheme="minorEastAsia" w:hAnsi="Times New Roman" w:cs="Times New Roman"/>
          <w:vertAlign w:val="subscript"/>
        </w:rPr>
        <w:t>ord</w:t>
      </w:r>
      <w:r w:rsidRPr="00CE04FC">
        <w:rPr>
          <w:rFonts w:ascii="Times New Roman" w:eastAsiaTheme="minorEastAsia" w:hAnsi="Times New Roman" w:cs="Times New Roman"/>
        </w:rPr>
        <w:t>)</w:t>
      </w:r>
      <w:r w:rsidRPr="00CE04FC">
        <w:rPr>
          <w:rFonts w:ascii="Times New Roman" w:eastAsiaTheme="minorEastAsia" w:hAnsi="Times New Roman" w:cs="Times New Roman"/>
          <w:vertAlign w:val="superscript"/>
        </w:rPr>
        <w:t>6</w:t>
      </w:r>
      <w:r w:rsidRPr="00CE04FC">
        <w:rPr>
          <w:rFonts w:ascii="Times New Roman" w:hAnsi="Times New Roman" w:cs="Times New Roman"/>
        </w:rPr>
        <w:t xml:space="preserve">, for instance, </w:t>
      </w:r>
      <w:r w:rsidRPr="00CE04FC">
        <w:rPr>
          <w:rFonts w:ascii="Times New Roman" w:eastAsiaTheme="minorEastAsia" w:hAnsi="Times New Roman" w:cs="Times New Roman"/>
        </w:rPr>
        <w:t xml:space="preserve">6 </w:t>
      </w:r>
      <w:r w:rsidRPr="00CE04FC">
        <w:rPr>
          <w:rFonts w:ascii="Times New Roman" w:eastAsiaTheme="minorEastAsia" w:hAnsi="Times New Roman" w:cs="Times New Roman"/>
          <w:vertAlign w:val="superscript"/>
        </w:rPr>
        <w:t xml:space="preserve">6 </w:t>
      </w:r>
      <w:r w:rsidRPr="00CE04FC">
        <w:rPr>
          <w:rFonts w:ascii="Times New Roman" w:eastAsiaTheme="minorEastAsia" w:hAnsi="Times New Roman" w:cs="Times New Roman"/>
        </w:rPr>
        <w:t>= 46656</w:t>
      </w:r>
      <w:r w:rsidRPr="00CE04FC">
        <w:rPr>
          <w:rFonts w:ascii="Times New Roman" w:eastAsiaTheme="minorEastAsia" w:hAnsi="Times New Roman" w:cs="Times New Roman"/>
          <w:iCs/>
        </w:rPr>
        <w:t>.</w:t>
      </w:r>
    </w:p>
    <w:p w14:paraId="00D53B39" w14:textId="6FFACEAD"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t xml:space="preserve">The 4096 quadrature points in </w:t>
      </w:r>
      <m:oMath>
        <m:r>
          <w:rPr>
            <w:rFonts w:ascii="Cambria Math" w:eastAsiaTheme="minorEastAsia" w:hAnsi="Cambria Math" w:cs="Times New Roman"/>
          </w:rPr>
          <m:t>ξ</m:t>
        </m:r>
      </m:oMath>
      <w:r w:rsidRPr="00CE04FC">
        <w:rPr>
          <w:rFonts w:ascii="Times New Roman" w:hAnsi="Times New Roman" w:cs="Times New Roman"/>
        </w:rPr>
        <w:t xml:space="preserve"> are transformed into 4096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sample</m:t>
            </m:r>
          </m:sub>
        </m:sSub>
      </m:oMath>
      <w:r w:rsidRPr="00CE04FC">
        <w:rPr>
          <w:rFonts w:ascii="Times New Roman" w:eastAsiaTheme="minorEastAsia" w:hAnsi="Times New Roman" w:cs="Times New Roman"/>
        </w:rPr>
        <w:t xml:space="preserve"> </w:t>
      </w:r>
      <w:r w:rsidRPr="00CE04FC">
        <w:rPr>
          <w:rFonts w:ascii="Times New Roman" w:hAnsi="Times New Roman" w:cs="Times New Roman"/>
        </w:rPr>
        <w:t>values using Eq</w:t>
      </w:r>
      <w:r w:rsidR="00E205A5" w:rsidRPr="00CE04FC">
        <w:rPr>
          <w:rFonts w:ascii="Times New Roman" w:hAnsi="Times New Roman" w:cs="Times New Roman"/>
        </w:rPr>
        <w:t>.</w:t>
      </w:r>
      <w:r w:rsidRPr="00CE04FC">
        <w:rPr>
          <w:rFonts w:ascii="Times New Roman" w:hAnsi="Times New Roman" w:cs="Times New Roman"/>
        </w:rPr>
        <w:t xml:space="preserve"> (1). These </w:t>
      </w:r>
      <m:oMath>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sample</m:t>
            </m:r>
          </m:sub>
        </m:sSub>
      </m:oMath>
      <w:r w:rsidRPr="00CE04FC">
        <w:rPr>
          <w:rFonts w:ascii="Times New Roman" w:hAnsi="Times New Roman" w:cs="Times New Roman"/>
        </w:rPr>
        <w:t xml:space="preserve">  simulations then performed in Aspen Plus to compute outputs, ammonia production and refrigeration generation, across </w:t>
      </w:r>
      <w:r w:rsidR="00B813B3" w:rsidRPr="00CE04FC">
        <w:rPr>
          <w:rFonts w:ascii="Times New Roman" w:hAnsi="Times New Roman" w:cs="Times New Roman"/>
        </w:rPr>
        <w:t>nominal</w:t>
      </w:r>
      <w:r w:rsidR="003E59B6" w:rsidRPr="00CE04FC">
        <w:rPr>
          <w:rFonts w:ascii="Times New Roman" w:hAnsi="Times New Roman" w:cs="Times New Roman"/>
        </w:rPr>
        <w:t xml:space="preserve"> power</w:t>
      </w:r>
      <w:r w:rsidR="00D60D1A" w:rsidRPr="00CE04FC">
        <w:rPr>
          <w:rFonts w:ascii="Times New Roman" w:hAnsi="Times New Roman" w:cs="Times New Roman"/>
        </w:rPr>
        <w:t xml:space="preserve"> inp</w:t>
      </w:r>
      <w:r w:rsidR="002F0C8C" w:rsidRPr="00CE04FC">
        <w:rPr>
          <w:rFonts w:ascii="Times New Roman" w:hAnsi="Times New Roman" w:cs="Times New Roman"/>
        </w:rPr>
        <w:t>uts</w:t>
      </w:r>
      <w:r w:rsidRPr="00CE04FC">
        <w:rPr>
          <w:rFonts w:ascii="Times New Roman" w:hAnsi="Times New Roman" w:cs="Times New Roman"/>
        </w:rPr>
        <w:t xml:space="preserve"> of </w:t>
      </w:r>
      <w:r w:rsidR="00F44C83" w:rsidRPr="00CE04FC">
        <w:rPr>
          <w:rFonts w:ascii="Times New Roman" w:hAnsi="Times New Roman" w:cs="Times New Roman"/>
        </w:rPr>
        <w:t xml:space="preserve">the </w:t>
      </w:r>
      <w:r w:rsidRPr="00CE04FC">
        <w:rPr>
          <w:rFonts w:ascii="Times New Roman" w:hAnsi="Times New Roman" w:cs="Times New Roman"/>
        </w:rPr>
        <w:t xml:space="preserve">hybridised ammonia production system. </w:t>
      </w:r>
    </w:p>
    <w:p w14:paraId="0F4DAD56" w14:textId="7F4524A6"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t xml:space="preserve">To determine the coefficients </w:t>
      </w:r>
      <m:oMath>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k</m:t>
            </m:r>
          </m:sub>
        </m:sSub>
      </m:oMath>
      <w:r w:rsidRPr="00CE04FC">
        <w:rPr>
          <w:rFonts w:ascii="Times New Roman" w:hAnsi="Times New Roman" w:cs="Times New Roman"/>
        </w:rPr>
        <w:t xml:space="preserve">, the </w:t>
      </w:r>
      <w:r w:rsidR="00B17EF8" w:rsidRPr="00CE04FC">
        <w:rPr>
          <w:rFonts w:ascii="Times New Roman" w:hAnsi="Times New Roman" w:cs="Times New Roman"/>
        </w:rPr>
        <w:t>n</w:t>
      </w:r>
      <w:r w:rsidRPr="00CE04FC">
        <w:rPr>
          <w:rFonts w:ascii="Times New Roman" w:hAnsi="Times New Roman" w:cs="Times New Roman"/>
        </w:rPr>
        <w:t>on-</w:t>
      </w:r>
      <w:r w:rsidR="00B17EF8" w:rsidRPr="00CE04FC">
        <w:rPr>
          <w:rFonts w:ascii="Times New Roman" w:hAnsi="Times New Roman" w:cs="Times New Roman"/>
        </w:rPr>
        <w:t>i</w:t>
      </w:r>
      <w:r w:rsidRPr="00CE04FC">
        <w:rPr>
          <w:rFonts w:ascii="Times New Roman" w:hAnsi="Times New Roman" w:cs="Times New Roman"/>
        </w:rPr>
        <w:t xml:space="preserve">ntrusive </w:t>
      </w:r>
      <w:r w:rsidR="00B17EF8" w:rsidRPr="00CE04FC">
        <w:rPr>
          <w:rFonts w:ascii="Times New Roman" w:hAnsi="Times New Roman" w:cs="Times New Roman"/>
        </w:rPr>
        <w:t>s</w:t>
      </w:r>
      <w:r w:rsidRPr="00CE04FC">
        <w:rPr>
          <w:rFonts w:ascii="Times New Roman" w:hAnsi="Times New Roman" w:cs="Times New Roman"/>
        </w:rPr>
        <w:t xml:space="preserve">pectral </w:t>
      </w:r>
      <w:r w:rsidR="00B17EF8" w:rsidRPr="00CE04FC">
        <w:rPr>
          <w:rFonts w:ascii="Times New Roman" w:hAnsi="Times New Roman" w:cs="Times New Roman"/>
        </w:rPr>
        <w:t>p</w:t>
      </w:r>
      <w:r w:rsidRPr="00CE04FC">
        <w:rPr>
          <w:rFonts w:ascii="Times New Roman" w:hAnsi="Times New Roman" w:cs="Times New Roman"/>
        </w:rPr>
        <w:t>rojection method is employed, utili</w:t>
      </w:r>
      <w:r w:rsidR="0067385E" w:rsidRPr="00CE04FC">
        <w:rPr>
          <w:rFonts w:ascii="Times New Roman" w:hAnsi="Times New Roman" w:cs="Times New Roman"/>
        </w:rPr>
        <w:t>s</w:t>
      </w:r>
      <w:r w:rsidRPr="00CE04FC">
        <w:rPr>
          <w:rFonts w:ascii="Times New Roman" w:hAnsi="Times New Roman" w:cs="Times New Roman"/>
        </w:rPr>
        <w:t xml:space="preserve">ing Gauss-Legendre quadrature integration </w:t>
      </w:r>
      <w:r w:rsidRPr="00CE04FC">
        <w:rPr>
          <w:rFonts w:ascii="Times New Roman" w:hAnsi="Times New Roman" w:cs="Times New Roman"/>
        </w:rPr>
        <w:fldChar w:fldCharType="begin"/>
      </w:r>
      <w:r w:rsidR="00063EF7" w:rsidRPr="00CE04FC">
        <w:rPr>
          <w:rFonts w:ascii="Times New Roman" w:hAnsi="Times New Roman" w:cs="Times New Roman"/>
        </w:rPr>
        <w:instrText xml:space="preserve"> ADDIN EN.CITE &lt;EndNote&gt;&lt;Cite&gt;&lt;Author&gt;Jansohn&lt;/Author&gt;&lt;Year&gt;2013&lt;/Year&gt;&lt;RecNum&gt;13&lt;/RecNum&gt;&lt;DisplayText&gt;(Jansohn, 2013)&lt;/DisplayText&gt;&lt;record&gt;&lt;rec-number&gt;13&lt;/rec-number&gt;&lt;foreign-keys&gt;&lt;key app="EN" db-id="0x0z5zxatzat9oe9027xea2pe2we5dee5dez" timestamp="1734378311"&gt;13&lt;/key&gt;&lt;/foreign-keys&gt;&lt;ref-type name="Journal Article"&gt;17&lt;/ref-type&gt;&lt;contributors&gt;&lt;authors&gt;&lt;author&gt;Jansohn, Peter&lt;/author&gt;&lt;/authors&gt;&lt;/contributors&gt;&lt;titles&gt;&lt;title&gt;Modern gas turbine systems: High efficiency, low emission, fuel flexible power generation&lt;/title&gt;&lt;/titles&gt;&lt;dates&gt;&lt;year&gt;2013&lt;/year&gt;&lt;/dates&gt;&lt;isbn&gt;0857096060&lt;/isbn&gt;&lt;urls&gt;&lt;/urls&gt;&lt;/record&gt;&lt;/Cite&gt;&lt;/EndNote&gt;</w:instrText>
      </w:r>
      <w:r w:rsidRPr="00CE04FC">
        <w:rPr>
          <w:rFonts w:ascii="Times New Roman" w:hAnsi="Times New Roman" w:cs="Times New Roman"/>
        </w:rPr>
        <w:fldChar w:fldCharType="separate"/>
      </w:r>
      <w:r w:rsidR="00063EF7" w:rsidRPr="00CE04FC">
        <w:rPr>
          <w:rFonts w:ascii="Times New Roman" w:hAnsi="Times New Roman" w:cs="Times New Roman"/>
          <w:noProof/>
        </w:rPr>
        <w:t>(Jansohn, 2013)</w:t>
      </w:r>
      <w:r w:rsidRPr="00CE04FC">
        <w:rPr>
          <w:rFonts w:ascii="Times New Roman" w:hAnsi="Times New Roman" w:cs="Times New Roman"/>
        </w:rPr>
        <w:fldChar w:fldCharType="end"/>
      </w:r>
      <w:r w:rsidRPr="00CE04FC">
        <w:rPr>
          <w:rFonts w:ascii="Times New Roman" w:hAnsi="Times New Roman" w:cs="Times New Roman"/>
        </w:rPr>
        <w:t xml:space="preserve"> as described in Eq. </w:t>
      </w:r>
      <w:r w:rsidR="0043252C" w:rsidRPr="00CE04FC">
        <w:rPr>
          <w:rFonts w:ascii="Times New Roman" w:hAnsi="Times New Roman" w:cs="Times New Roman"/>
        </w:rPr>
        <w:fldChar w:fldCharType="begin"/>
      </w:r>
      <w:r w:rsidR="0043252C" w:rsidRPr="00CE04FC">
        <w:rPr>
          <w:rFonts w:ascii="Times New Roman" w:hAnsi="Times New Roman" w:cs="Times New Roman"/>
        </w:rPr>
        <w:instrText xml:space="preserve"> REF _Ref195812690 \h </w:instrText>
      </w:r>
      <w:r w:rsidR="00412369" w:rsidRPr="00CE04FC">
        <w:rPr>
          <w:rFonts w:ascii="Times New Roman" w:hAnsi="Times New Roman" w:cs="Times New Roman"/>
        </w:rPr>
        <w:instrText xml:space="preserve"> \* MERGEFORMAT </w:instrText>
      </w:r>
      <w:r w:rsidR="0043252C" w:rsidRPr="00CE04FC">
        <w:rPr>
          <w:rFonts w:ascii="Times New Roman" w:hAnsi="Times New Roman" w:cs="Times New Roman"/>
        </w:rPr>
      </w:r>
      <w:r w:rsidR="0043252C" w:rsidRPr="00CE04FC">
        <w:rPr>
          <w:rFonts w:ascii="Times New Roman" w:hAnsi="Times New Roman" w:cs="Times New Roman"/>
        </w:rPr>
        <w:fldChar w:fldCharType="separate"/>
      </w:r>
      <w:r w:rsidR="001476C8" w:rsidRPr="00CE04FC">
        <w:rPr>
          <w:rFonts w:ascii="Times New Roman" w:eastAsiaTheme="minorEastAsia" w:hAnsi="Times New Roman" w:cs="Times New Roman"/>
        </w:rPr>
        <w:t>(</w:t>
      </w:r>
      <w:r w:rsidR="001476C8" w:rsidRPr="00CE04FC">
        <w:rPr>
          <w:rFonts w:ascii="Times New Roman" w:hAnsi="Times New Roman" w:cs="Times New Roman"/>
          <w:noProof/>
        </w:rPr>
        <w:t>4</w:t>
      </w:r>
      <w:r w:rsidR="0043252C" w:rsidRPr="00CE04FC">
        <w:rPr>
          <w:rFonts w:ascii="Times New Roman" w:hAnsi="Times New Roman" w:cs="Times New Roman"/>
        </w:rPr>
        <w:fldChar w:fldCharType="end"/>
      </w:r>
      <w:r w:rsidRPr="00CE04FC">
        <w:rPr>
          <w:rFonts w:ascii="Times New Roman" w:hAnsi="Times New Roman" w:cs="Times New Roman"/>
        </w:rPr>
        <w: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1511"/>
        <w:gridCol w:w="473"/>
      </w:tblGrid>
      <w:tr w:rsidR="00CE04FC" w:rsidRPr="00CE04FC" w14:paraId="3146C806" w14:textId="77777777" w:rsidTr="007D40E1">
        <w:tc>
          <w:tcPr>
            <w:tcW w:w="7230" w:type="dxa"/>
          </w:tcPr>
          <w:p w14:paraId="31FF757D" w14:textId="77777777" w:rsidR="00D75860" w:rsidRPr="00CE04FC" w:rsidRDefault="00260F21" w:rsidP="00D75860">
            <w:pPr>
              <w:autoSpaceDE w:val="0"/>
              <w:autoSpaceDN w:val="0"/>
              <w:adjustRightInd w:val="0"/>
              <w:jc w:val="both"/>
              <w:rPr>
                <w:rFonts w:ascii="Times New Roman" w:eastAsiaTheme="minorEastAsia" w:hAnsi="Times New Roman" w:cs="Times New Roman"/>
              </w:rPr>
            </w:pPr>
            <m:oMathPara>
              <m:oMathParaPr>
                <m:jc m:val="center"/>
              </m:oMathParaPr>
              <m:oMath>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k</m:t>
                    </m:r>
                  </m:sub>
                </m:sSub>
                <m:r>
                  <w:rPr>
                    <w:rFonts w:ascii="Cambria Math" w:eastAsiaTheme="minorEastAsia" w:hAnsi="Cambria Math" w:cs="Times New Roman"/>
                  </w:rPr>
                  <m:t>=</m:t>
                </m:r>
                <m:f>
                  <m:fPr>
                    <m:ctrlPr>
                      <w:rPr>
                        <w:rFonts w:ascii="Cambria Math" w:eastAsiaTheme="minorEastAsia" w:hAnsi="Cambria Math" w:cs="Times New Roman"/>
                        <w:i/>
                      </w:rPr>
                    </m:ctrlPr>
                  </m:fPr>
                  <m:num>
                    <m:d>
                      <m:dPr>
                        <m:begChr m:val="〈"/>
                        <m:endChr m:val="〉"/>
                        <m:ctrlPr>
                          <w:rPr>
                            <w:rFonts w:ascii="Cambria Math" w:eastAsiaTheme="minorEastAsia" w:hAnsi="Cambria Math" w:cs="Times New Roman"/>
                            <w:i/>
                          </w:rPr>
                        </m:ctrlPr>
                      </m:dPr>
                      <m:e>
                        <m:r>
                          <w:rPr>
                            <w:rFonts w:ascii="Cambria Math" w:hAnsi="Cambria Math" w:cs="Times New Roman"/>
                          </w:rPr>
                          <m:t>λ</m:t>
                        </m:r>
                        <m:r>
                          <w:rPr>
                            <w:rFonts w:ascii="Cambria Math" w:eastAsiaTheme="minorEastAsia" w:hAnsi="Cambria Math" w:cs="Times New Roman"/>
                          </w:rPr>
                          <m:t>(ξ)</m:t>
                        </m:r>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r>
                          <w:rPr>
                            <w:rFonts w:ascii="Cambria Math" w:eastAsiaTheme="minorEastAsia" w:hAnsi="Cambria Math" w:cs="Times New Roman"/>
                          </w:rPr>
                          <m:t>(ξ)</m:t>
                        </m:r>
                      </m:e>
                    </m:d>
                  </m:num>
                  <m:den>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e>
                          <m:sup>
                            <m:r>
                              <w:rPr>
                                <w:rFonts w:ascii="Cambria Math" w:eastAsiaTheme="minorEastAsia" w:hAnsi="Cambria Math" w:cs="Times New Roman"/>
                              </w:rPr>
                              <m:t>2</m:t>
                            </m:r>
                          </m:sup>
                        </m:sSup>
                        <m:r>
                          <w:rPr>
                            <w:rFonts w:ascii="Cambria Math" w:eastAsiaTheme="minorEastAsia" w:hAnsi="Cambria Math" w:cs="Times New Roman"/>
                          </w:rPr>
                          <m:t>(ξ)</m:t>
                        </m:r>
                      </m:e>
                    </m:d>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e>
                          <m:sup>
                            <m:r>
                              <w:rPr>
                                <w:rFonts w:ascii="Cambria Math" w:eastAsiaTheme="minorEastAsia" w:hAnsi="Cambria Math" w:cs="Times New Roman"/>
                              </w:rPr>
                              <m:t>2</m:t>
                            </m:r>
                          </m:sup>
                        </m:sSup>
                        <m:r>
                          <w:rPr>
                            <w:rFonts w:ascii="Cambria Math" w:eastAsiaTheme="minorEastAsia" w:hAnsi="Cambria Math" w:cs="Times New Roman"/>
                          </w:rPr>
                          <m:t>(ξ)</m:t>
                        </m:r>
                      </m:e>
                    </m:d>
                  </m:den>
                </m:f>
                <m:nary>
                  <m:naryPr>
                    <m:limLoc m:val="subSup"/>
                    <m:ctrlPr>
                      <w:rPr>
                        <w:rFonts w:ascii="Cambria Math" w:eastAsiaTheme="minorEastAsia" w:hAnsi="Cambria Math" w:cs="Times New Roman"/>
                        <w:i/>
                      </w:rPr>
                    </m:ctrlPr>
                  </m:naryPr>
                  <m:sub>
                    <m:r>
                      <w:rPr>
                        <w:rFonts w:ascii="Cambria Math" w:eastAsiaTheme="minorEastAsia" w:hAnsi="Cambria Math" w:cs="Times New Roman"/>
                      </w:rPr>
                      <m:t>-1</m:t>
                    </m:r>
                  </m:sub>
                  <m:sup>
                    <m:r>
                      <w:rPr>
                        <w:rFonts w:ascii="Cambria Math" w:eastAsiaTheme="minorEastAsia" w:hAnsi="Cambria Math" w:cs="Times New Roman"/>
                      </w:rPr>
                      <m:t>1</m:t>
                    </m:r>
                  </m:sup>
                  <m:e>
                    <m:r>
                      <w:rPr>
                        <w:rFonts w:ascii="Cambria Math" w:hAnsi="Cambria Math" w:cs="Times New Roman"/>
                      </w:rPr>
                      <m:t>λ</m:t>
                    </m:r>
                    <m:d>
                      <m:dPr>
                        <m:ctrlPr>
                          <w:rPr>
                            <w:rFonts w:ascii="Cambria Math" w:eastAsiaTheme="minorEastAsia" w:hAnsi="Cambria Math" w:cs="Times New Roman"/>
                            <w:i/>
                          </w:rPr>
                        </m:ctrlPr>
                      </m:dPr>
                      <m:e>
                        <m:r>
                          <w:rPr>
                            <w:rFonts w:ascii="Cambria Math" w:eastAsiaTheme="minorEastAsia" w:hAnsi="Cambria Math" w:cs="Times New Roman"/>
                          </w:rPr>
                          <m:t>ξ</m:t>
                        </m:r>
                      </m:e>
                    </m:d>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d>
                      <m:dPr>
                        <m:ctrlPr>
                          <w:rPr>
                            <w:rFonts w:ascii="Cambria Math" w:eastAsiaTheme="minorEastAsia" w:hAnsi="Cambria Math" w:cs="Times New Roman"/>
                            <w:i/>
                          </w:rPr>
                        </m:ctrlPr>
                      </m:dPr>
                      <m:e>
                        <m:r>
                          <w:rPr>
                            <w:rFonts w:ascii="Cambria Math" w:eastAsiaTheme="minorEastAsia" w:hAnsi="Cambria Math" w:cs="Times New Roman"/>
                          </w:rPr>
                          <m:t>ξ</m:t>
                        </m:r>
                      </m:e>
                    </m:d>
                    <m:r>
                      <w:rPr>
                        <w:rFonts w:ascii="Cambria Math" w:eastAsiaTheme="minorEastAsia" w:hAnsi="Cambria Math" w:cs="Times New Roman"/>
                      </w:rPr>
                      <m:t>π</m:t>
                    </m:r>
                    <m:d>
                      <m:dPr>
                        <m:ctrlPr>
                          <w:rPr>
                            <w:rFonts w:ascii="Cambria Math" w:eastAsiaTheme="minorEastAsia" w:hAnsi="Cambria Math" w:cs="Times New Roman"/>
                            <w:i/>
                          </w:rPr>
                        </m:ctrlPr>
                      </m:dPr>
                      <m:e>
                        <m:r>
                          <w:rPr>
                            <w:rFonts w:ascii="Cambria Math" w:eastAsiaTheme="minorEastAsia" w:hAnsi="Cambria Math" w:cs="Times New Roman"/>
                          </w:rPr>
                          <m:t>ξ</m:t>
                        </m:r>
                      </m:e>
                    </m:d>
                    <m:r>
                      <w:rPr>
                        <w:rFonts w:ascii="Cambria Math" w:eastAsiaTheme="minorEastAsia" w:hAnsi="Cambria Math" w:cs="Times New Roman"/>
                      </w:rPr>
                      <m:t>d</m:t>
                    </m:r>
                    <m:d>
                      <m:dPr>
                        <m:ctrlPr>
                          <w:rPr>
                            <w:rFonts w:ascii="Cambria Math" w:eastAsiaTheme="minorEastAsia" w:hAnsi="Cambria Math" w:cs="Times New Roman"/>
                            <w:i/>
                          </w:rPr>
                        </m:ctrlPr>
                      </m:dPr>
                      <m:e>
                        <m:r>
                          <w:rPr>
                            <w:rFonts w:ascii="Cambria Math" w:eastAsiaTheme="minorEastAsia" w:hAnsi="Cambria Math" w:cs="Times New Roman"/>
                          </w:rPr>
                          <m:t>ξ</m:t>
                        </m:r>
                      </m:e>
                    </m:d>
                  </m:e>
                </m:nary>
              </m:oMath>
            </m:oMathPara>
          </w:p>
        </w:tc>
        <w:tc>
          <w:tcPr>
            <w:tcW w:w="1511" w:type="dxa"/>
            <w:vAlign w:val="center"/>
          </w:tcPr>
          <w:p w14:paraId="304B190F" w14:textId="77777777" w:rsidR="00D75860" w:rsidRPr="00CE04FC" w:rsidRDefault="00D75860" w:rsidP="00D75860">
            <w:pPr>
              <w:jc w:val="right"/>
              <w:rPr>
                <w:rFonts w:ascii="Times New Roman" w:eastAsiaTheme="minorEastAsia" w:hAnsi="Times New Roman" w:cs="Times New Roman"/>
                <w:i/>
              </w:rPr>
            </w:pPr>
            <m:oMathPara>
              <m:oMathParaPr>
                <m:jc m:val="center"/>
              </m:oMathParaPr>
              <m:oMath>
                <m:r>
                  <w:rPr>
                    <w:rFonts w:ascii="Cambria Math" w:eastAsiaTheme="minorEastAsia" w:hAnsi="Cambria Math" w:cs="Times New Roman"/>
                  </w:rPr>
                  <m:t>k=0, …, P</m:t>
                </m:r>
              </m:oMath>
            </m:oMathPara>
          </w:p>
        </w:tc>
        <w:tc>
          <w:tcPr>
            <w:tcW w:w="473" w:type="dxa"/>
            <w:vAlign w:val="center"/>
          </w:tcPr>
          <w:p w14:paraId="4C0D3212" w14:textId="29CFF778" w:rsidR="00D75860" w:rsidRPr="00CE04FC" w:rsidRDefault="00D75860" w:rsidP="00D75860">
            <w:pPr>
              <w:jc w:val="right"/>
              <w:rPr>
                <w:rFonts w:ascii="Times New Roman" w:eastAsiaTheme="minorEastAsia" w:hAnsi="Times New Roman" w:cs="Times New Roman"/>
              </w:rPr>
            </w:pPr>
            <w:bookmarkStart w:id="11" w:name="_Ref195812690"/>
            <w:r w:rsidRPr="00CE04FC">
              <w:rPr>
                <w:rFonts w:ascii="Times New Roman" w:eastAsiaTheme="minorEastAsia"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bookmarkStart w:id="12" w:name="_Ref188029091"/>
            <w:r w:rsidR="001476C8" w:rsidRPr="00CE04FC">
              <w:rPr>
                <w:rFonts w:ascii="Times New Roman" w:hAnsi="Times New Roman" w:cs="Times New Roman"/>
                <w:noProof/>
              </w:rPr>
              <w:t>4</w:t>
            </w:r>
            <w:bookmarkEnd w:id="12"/>
            <w:r w:rsidRPr="00CE04FC">
              <w:rPr>
                <w:rFonts w:ascii="Times New Roman" w:hAnsi="Times New Roman" w:cs="Times New Roman"/>
                <w:noProof/>
              </w:rPr>
              <w:fldChar w:fldCharType="end"/>
            </w:r>
            <w:bookmarkEnd w:id="11"/>
            <w:r w:rsidRPr="00CE04FC">
              <w:rPr>
                <w:rFonts w:ascii="Times New Roman" w:eastAsiaTheme="minorEastAsia" w:hAnsi="Times New Roman" w:cs="Times New Roman"/>
              </w:rPr>
              <w:t>)</w:t>
            </w:r>
          </w:p>
        </w:tc>
      </w:tr>
    </w:tbl>
    <w:p w14:paraId="03746A7F" w14:textId="16137810" w:rsidR="00D75860" w:rsidRPr="00CE04FC" w:rsidRDefault="007D0C47" w:rsidP="00E46F07">
      <w:pPr>
        <w:spacing w:line="240" w:lineRule="auto"/>
        <w:jc w:val="both"/>
        <w:rPr>
          <w:rFonts w:ascii="Times New Roman" w:hAnsi="Times New Roman" w:cs="Times New Roman"/>
        </w:rPr>
      </w:pPr>
      <w:r w:rsidRPr="00CE04FC">
        <w:rPr>
          <w:rFonts w:ascii="Times New Roman" w:hAnsi="Times New Roman" w:cs="Times New Roman"/>
        </w:rPr>
        <w:t>w</w:t>
      </w:r>
      <w:r w:rsidR="00562A50" w:rsidRPr="00CE04FC">
        <w:rPr>
          <w:rFonts w:ascii="Times New Roman" w:hAnsi="Times New Roman" w:cs="Times New Roman"/>
        </w:rPr>
        <w:t>here</w:t>
      </w:r>
      <w:r w:rsidRPr="00CE04FC">
        <w:rPr>
          <w:rFonts w:ascii="Times New Roman" w:hAnsi="Times New Roman" w:cs="Times New Roman"/>
        </w:rPr>
        <w:t xml:space="preserve"> </w:t>
      </w:r>
      <m:oMath>
        <m:d>
          <m:dPr>
            <m:ctrlPr>
              <w:rPr>
                <w:rFonts w:ascii="Cambria Math" w:eastAsiaTheme="minorEastAsia" w:hAnsi="Cambria Math" w:cs="Times New Roman"/>
                <w:i/>
              </w:rPr>
            </m:ctrlPr>
          </m:dPr>
          <m:e>
            <m:r>
              <w:rPr>
                <w:rFonts w:ascii="Cambria Math" w:eastAsiaTheme="minorEastAsia" w:hAnsi="Cambria Math" w:cs="Times New Roman"/>
              </w:rPr>
              <m:t>ξ</m:t>
            </m:r>
          </m:e>
        </m:d>
        <m:r>
          <w:rPr>
            <w:rFonts w:ascii="Cambria Math" w:eastAsiaTheme="minorEastAsia" w:hAnsi="Cambria Math" w:cs="Times New Roman"/>
          </w:rPr>
          <m:t xml:space="preserve"> </m:t>
        </m:r>
      </m:oMath>
      <w:r w:rsidRPr="00CE04FC">
        <w:rPr>
          <w:rFonts w:ascii="Times New Roman" w:hAnsi="Times New Roman" w:cs="Times New Roman"/>
        </w:rPr>
        <w:t>denote</w:t>
      </w:r>
      <w:r w:rsidR="00562A50" w:rsidRPr="00CE04FC">
        <w:rPr>
          <w:rFonts w:ascii="Times New Roman" w:hAnsi="Times New Roman" w:cs="Times New Roman"/>
        </w:rPr>
        <w:t>s the germ samples</w:t>
      </w:r>
      <w:r w:rsidRPr="00CE04FC">
        <w:rPr>
          <w:rFonts w:ascii="Times New Roman" w:hAnsi="Times New Roman" w:cs="Times New Roman"/>
        </w:rPr>
        <w:t xml:space="preserve"> and</w:t>
      </w:r>
      <w:r w:rsidR="00562A50" w:rsidRPr="00CE04FC">
        <w:rPr>
          <w:rFonts w:ascii="Times New Roman" w:hAnsi="Times New Roman" w:cs="Times New Roman"/>
        </w:rPr>
        <w:t xml:space="preserve"> </w:t>
      </w:r>
      <m:oMath>
        <m:r>
          <w:rPr>
            <w:rFonts w:ascii="Cambria Math" w:eastAsiaTheme="minorEastAsia" w:hAnsi="Cambria Math" w:cs="Times New Roman"/>
          </w:rPr>
          <m:t>π</m:t>
        </m:r>
        <m:d>
          <m:dPr>
            <m:ctrlPr>
              <w:rPr>
                <w:rFonts w:ascii="Cambria Math" w:eastAsiaTheme="minorEastAsia" w:hAnsi="Cambria Math" w:cs="Times New Roman"/>
                <w:i/>
              </w:rPr>
            </m:ctrlPr>
          </m:dPr>
          <m:e>
            <m:r>
              <w:rPr>
                <w:rFonts w:ascii="Cambria Math" w:eastAsiaTheme="minorEastAsia" w:hAnsi="Cambria Math" w:cs="Times New Roman"/>
              </w:rPr>
              <m:t>ξ</m:t>
            </m:r>
          </m:e>
        </m:d>
        <m:r>
          <w:rPr>
            <w:rFonts w:ascii="Cambria Math" w:eastAsiaTheme="minorEastAsia" w:hAnsi="Cambria Math" w:cs="Times New Roman"/>
          </w:rPr>
          <m:t xml:space="preserve"> </m:t>
        </m:r>
      </m:oMath>
      <w:r w:rsidRPr="00CE04FC">
        <w:rPr>
          <w:rFonts w:ascii="Times New Roman" w:hAnsi="Times New Roman" w:cs="Times New Roman"/>
        </w:rPr>
        <w:t xml:space="preserve">represents the PDF </w:t>
      </w:r>
      <w:r w:rsidR="00562A50" w:rsidRPr="00CE04FC">
        <w:rPr>
          <w:rFonts w:ascii="Times New Roman" w:hAnsi="Times New Roman" w:cs="Times New Roman"/>
        </w:rPr>
        <w:t xml:space="preserve">for each input </w:t>
      </w:r>
      <w:r w:rsidR="008E08BA" w:rsidRPr="00CE04FC">
        <w:rPr>
          <w:rFonts w:ascii="Times New Roman" w:hAnsi="Times New Roman" w:cs="Times New Roman"/>
        </w:rPr>
        <w:t>parameter</w:t>
      </w:r>
      <w:r w:rsidR="00562A50" w:rsidRPr="00CE04FC">
        <w:rPr>
          <w:rFonts w:ascii="Times New Roman" w:hAnsi="Times New Roman" w:cs="Times New Roman"/>
        </w:rPr>
        <w:t>s</w:t>
      </w:r>
      <w:r w:rsidR="008E08BA" w:rsidRPr="00CE04FC">
        <w:rPr>
          <w:rFonts w:ascii="Times New Roman" w:hAnsi="Times New Roman" w:cs="Times New Roman"/>
        </w:rPr>
        <w:t xml:space="preserve"> mentioned</w:t>
      </w:r>
      <w:r w:rsidR="00E46F07" w:rsidRPr="00CE04FC">
        <w:rPr>
          <w:rFonts w:ascii="Times New Roman" w:hAnsi="Times New Roman" w:cs="Times New Roman"/>
        </w:rPr>
        <w:t xml:space="preserve"> i</w:t>
      </w:r>
      <w:r w:rsidR="008E08BA" w:rsidRPr="00CE04FC">
        <w:rPr>
          <w:rFonts w:ascii="Times New Roman" w:hAnsi="Times New Roman" w:cs="Times New Roman"/>
        </w:rPr>
        <w:t>n</w:t>
      </w:r>
      <w:r w:rsidR="00E46F07" w:rsidRPr="00CE04FC">
        <w:rPr>
          <w:rFonts w:ascii="Times New Roman" w:hAnsi="Times New Roman" w:cs="Times New Roman"/>
        </w:rPr>
        <w:t xml:space="preserve"> </w:t>
      </w:r>
      <w:r w:rsidR="00C6440D" w:rsidRPr="00CE04FC">
        <w:rPr>
          <w:rFonts w:ascii="Times New Roman" w:hAnsi="Times New Roman" w:cs="Times New Roman"/>
        </w:rPr>
        <w:fldChar w:fldCharType="begin"/>
      </w:r>
      <w:r w:rsidR="00C6440D" w:rsidRPr="00CE04FC">
        <w:rPr>
          <w:rFonts w:ascii="Times New Roman" w:hAnsi="Times New Roman" w:cs="Times New Roman"/>
        </w:rPr>
        <w:instrText xml:space="preserve"> REF _Ref187925430 \h </w:instrText>
      </w:r>
      <w:r w:rsidR="00412369" w:rsidRPr="00CE04FC">
        <w:rPr>
          <w:rFonts w:ascii="Times New Roman" w:hAnsi="Times New Roman" w:cs="Times New Roman"/>
        </w:rPr>
        <w:instrText xml:space="preserve"> \* MERGEFORMAT </w:instrText>
      </w:r>
      <w:r w:rsidR="00C6440D" w:rsidRPr="00CE04FC">
        <w:rPr>
          <w:rFonts w:ascii="Times New Roman" w:hAnsi="Times New Roman" w:cs="Times New Roman"/>
        </w:rPr>
      </w:r>
      <w:r w:rsidR="00C6440D" w:rsidRPr="00CE04FC">
        <w:rPr>
          <w:rFonts w:ascii="Times New Roman" w:hAnsi="Times New Roman" w:cs="Times New Roman"/>
        </w:rPr>
        <w:fldChar w:fldCharType="separate"/>
      </w:r>
      <w:r w:rsidR="001476C8" w:rsidRPr="00CE04FC">
        <w:rPr>
          <w:rFonts w:ascii="Times New Roman" w:hAnsi="Times New Roman" w:cs="Times New Roman"/>
        </w:rPr>
        <w:t xml:space="preserve">Table </w:t>
      </w:r>
      <w:r w:rsidR="001476C8" w:rsidRPr="00CE04FC">
        <w:rPr>
          <w:rFonts w:ascii="Times New Roman" w:hAnsi="Times New Roman" w:cs="Times New Roman"/>
          <w:noProof/>
        </w:rPr>
        <w:t>1</w:t>
      </w:r>
      <w:r w:rsidR="00C6440D" w:rsidRPr="00CE04FC">
        <w:rPr>
          <w:rFonts w:ascii="Times New Roman" w:hAnsi="Times New Roman" w:cs="Times New Roman"/>
        </w:rPr>
        <w:fldChar w:fldCharType="end"/>
      </w:r>
      <w:r w:rsidR="00782ED2" w:rsidRPr="00CE04FC">
        <w:rPr>
          <w:rFonts w:ascii="Times New Roman" w:hAnsi="Times New Roman" w:cs="Times New Roman"/>
        </w:rPr>
        <w:t>.</w:t>
      </w:r>
      <w:r w:rsidR="00AF4403" w:rsidRPr="00CE04FC">
        <w:rPr>
          <w:rFonts w:ascii="Times New Roman" w:hAnsi="Times New Roman" w:cs="Times New Roman"/>
        </w:rPr>
        <w:tab/>
      </w:r>
    </w:p>
    <w:p w14:paraId="4823E090" w14:textId="5B92E799" w:rsidR="00B964F7" w:rsidRPr="00CE04FC" w:rsidRDefault="002948AC" w:rsidP="00B964F7">
      <w:pPr>
        <w:spacing w:line="240" w:lineRule="auto"/>
        <w:jc w:val="both"/>
        <w:rPr>
          <w:rFonts w:ascii="Times New Roman" w:hAnsi="Times New Roman" w:cs="Times New Roman"/>
        </w:rPr>
      </w:pPr>
      <w:r w:rsidRPr="00CE04FC">
        <w:rPr>
          <w:rFonts w:ascii="Times New Roman" w:hAnsi="Times New Roman" w:cs="Times New Roman"/>
        </w:rPr>
        <w:t>G</w:t>
      </w:r>
      <w:r w:rsidR="00B964F7" w:rsidRPr="00CE04FC">
        <w:rPr>
          <w:rFonts w:ascii="Times New Roman" w:hAnsi="Times New Roman" w:cs="Times New Roman"/>
        </w:rPr>
        <w:t xml:space="preserve">lobal sensitivity analysis plays a crucial role in UQ as it identifies the parameters that most significantly impact the output </w:t>
      </w:r>
      <w:r w:rsidR="00B964F7" w:rsidRPr="00CE04FC">
        <w:rPr>
          <w:rFonts w:ascii="Times New Roman" w:hAnsi="Times New Roman" w:cs="Times New Roman"/>
        </w:rPr>
        <w:fldChar w:fldCharType="begin"/>
      </w:r>
      <w:r w:rsidR="00063EF7" w:rsidRPr="00CE04FC">
        <w:rPr>
          <w:rFonts w:ascii="Times New Roman" w:hAnsi="Times New Roman" w:cs="Times New Roman"/>
        </w:rPr>
        <w:instrText xml:space="preserve"> ADDIN EN.CITE &lt;EndNote&gt;&lt;Cite&gt;&lt;Author&gt;Kucherenko&lt;/Author&gt;&lt;Year&gt;2017&lt;/Year&gt;&lt;RecNum&gt;14&lt;/RecNum&gt;&lt;DisplayText&gt;(Kucherenko &amp;amp; Song, 2017)&lt;/DisplayText&gt;&lt;record&gt;&lt;rec-number&gt;14&lt;/rec-number&gt;&lt;foreign-keys&gt;&lt;key app="EN" db-id="0x0z5zxatzat9oe9027xea2pe2we5dee5dez" timestamp="1734378363"&gt;14&lt;/key&gt;&lt;/foreign-keys&gt;&lt;ref-type name="Journal Article"&gt;17&lt;/ref-type&gt;&lt;contributors&gt;&lt;authors&gt;&lt;author&gt;Kucherenko, Sergei&lt;/author&gt;&lt;author&gt;Song, Shufang&lt;/author&gt;&lt;/authors&gt;&lt;/contributors&gt;&lt;titles&gt;&lt;title&gt;Different numerical estimators for main effect global sensitivity indices&lt;/title&gt;&lt;secondary-title&gt;Reliability Engineering &amp;amp; System Safety&lt;/secondary-title&gt;&lt;/titles&gt;&lt;periodical&gt;&lt;full-title&gt;Reliability Engineering &amp;amp; System Safety&lt;/full-title&gt;&lt;/periodical&gt;&lt;pages&gt;222-238&lt;/pages&gt;&lt;volume&gt;165&lt;/volume&gt;&lt;dates&gt;&lt;year&gt;2017&lt;/year&gt;&lt;/dates&gt;&lt;isbn&gt;0951-8320&lt;/isbn&gt;&lt;urls&gt;&lt;/urls&gt;&lt;/record&gt;&lt;/Cite&gt;&lt;/EndNote&gt;</w:instrText>
      </w:r>
      <w:r w:rsidR="00B964F7" w:rsidRPr="00CE04FC">
        <w:rPr>
          <w:rFonts w:ascii="Times New Roman" w:hAnsi="Times New Roman" w:cs="Times New Roman"/>
        </w:rPr>
        <w:fldChar w:fldCharType="separate"/>
      </w:r>
      <w:r w:rsidR="00063EF7" w:rsidRPr="00CE04FC">
        <w:rPr>
          <w:rFonts w:ascii="Times New Roman" w:hAnsi="Times New Roman" w:cs="Times New Roman"/>
          <w:noProof/>
        </w:rPr>
        <w:t>(Kucherenko &amp; Song, 2017)</w:t>
      </w:r>
      <w:r w:rsidR="00B964F7" w:rsidRPr="00CE04FC">
        <w:rPr>
          <w:rFonts w:ascii="Times New Roman" w:hAnsi="Times New Roman" w:cs="Times New Roman"/>
        </w:rPr>
        <w:fldChar w:fldCharType="end"/>
      </w:r>
      <w:r w:rsidR="00B964F7" w:rsidRPr="00CE04FC">
        <w:rPr>
          <w:rFonts w:ascii="Times New Roman" w:hAnsi="Times New Roman" w:cs="Times New Roman"/>
        </w:rPr>
        <w:t xml:space="preserve">. In this study, Sobol’ indices, a widely used method for sensitivity analysis, were applied. </w:t>
      </w:r>
      <w:r w:rsidR="00CE2B11" w:rsidRPr="00CE04FC">
        <w:rPr>
          <w:rFonts w:ascii="Times New Roman" w:hAnsi="Times New Roman" w:cs="Times New Roman"/>
        </w:rPr>
        <w:t xml:space="preserve">Eq. </w:t>
      </w:r>
      <w:r w:rsidR="00CE2B11" w:rsidRPr="00CE04FC">
        <w:rPr>
          <w:rFonts w:ascii="Times New Roman" w:hAnsi="Times New Roman" w:cs="Times New Roman"/>
        </w:rPr>
        <w:fldChar w:fldCharType="begin"/>
      </w:r>
      <w:r w:rsidR="00CE2B11" w:rsidRPr="00CE04FC">
        <w:rPr>
          <w:rFonts w:ascii="Times New Roman" w:hAnsi="Times New Roman" w:cs="Times New Roman"/>
        </w:rPr>
        <w:instrText xml:space="preserve"> REF _Ref188028727 \h  \* MERGEFORMAT </w:instrText>
      </w:r>
      <w:r w:rsidR="00CE2B11" w:rsidRPr="00CE04FC">
        <w:rPr>
          <w:rFonts w:ascii="Times New Roman" w:hAnsi="Times New Roman" w:cs="Times New Roman"/>
        </w:rPr>
      </w:r>
      <w:r w:rsidR="00CE2B11" w:rsidRPr="00CE04FC">
        <w:rPr>
          <w:rFonts w:ascii="Times New Roman" w:hAnsi="Times New Roman" w:cs="Times New Roman"/>
        </w:rPr>
        <w:fldChar w:fldCharType="separate"/>
      </w:r>
      <w:r w:rsidR="001476C8" w:rsidRPr="00CE04FC">
        <w:rPr>
          <w:rFonts w:ascii="Times New Roman" w:hAnsi="Times New Roman" w:cs="Times New Roman"/>
        </w:rPr>
        <w:t>(</w:t>
      </w:r>
      <w:r w:rsidR="001476C8" w:rsidRPr="00CE04FC">
        <w:rPr>
          <w:rFonts w:ascii="Times New Roman" w:hAnsi="Times New Roman" w:cs="Times New Roman"/>
          <w:noProof/>
        </w:rPr>
        <w:t>5</w:t>
      </w:r>
      <w:r w:rsidR="00CE2B11" w:rsidRPr="00CE04FC">
        <w:rPr>
          <w:rFonts w:ascii="Times New Roman" w:hAnsi="Times New Roman" w:cs="Times New Roman"/>
        </w:rPr>
        <w:fldChar w:fldCharType="end"/>
      </w:r>
      <w:r w:rsidR="00CE2B11" w:rsidRPr="00CE04FC">
        <w:rPr>
          <w:rFonts w:ascii="Times New Roman" w:hAnsi="Times New Roman" w:cs="Times New Roman"/>
        </w:rPr>
        <w:t xml:space="preserve">) was used to </w:t>
      </w:r>
      <w:r w:rsidR="00BD5AC4" w:rsidRPr="00CE04FC">
        <w:rPr>
          <w:rFonts w:ascii="Times New Roman" w:hAnsi="Times New Roman" w:cs="Times New Roman"/>
        </w:rPr>
        <w:t>compute the s</w:t>
      </w:r>
      <w:r w:rsidR="00B964F7" w:rsidRPr="00CE04FC">
        <w:rPr>
          <w:rFonts w:ascii="Times New Roman" w:hAnsi="Times New Roman" w:cs="Times New Roman"/>
        </w:rPr>
        <w:t>ensitivity index</w:t>
      </w:r>
      <w:r w:rsidR="00BD5AC4" w:rsidRPr="00CE04FC">
        <w:rPr>
          <w:rFonts w:ascii="Times New Roman" w:hAnsi="Times New Roman" w:cs="Times New Roman"/>
        </w:rPr>
        <w:t xml:space="preserve"> to measure the </w:t>
      </w:r>
      <w:r w:rsidR="00B964F7" w:rsidRPr="00CE04FC">
        <w:rPr>
          <w:rFonts w:ascii="Times New Roman" w:hAnsi="Times New Roman" w:cs="Times New Roman"/>
        </w:rPr>
        <w:t xml:space="preserve">contribution </w:t>
      </w:r>
      <w:r w:rsidR="008851AA" w:rsidRPr="00CE04FC">
        <w:rPr>
          <w:rFonts w:ascii="Times New Roman" w:hAnsi="Times New Roman" w:cs="Times New Roman"/>
        </w:rPr>
        <w:t>of the</w:t>
      </w:r>
      <w:r w:rsidR="00844BFD" w:rsidRPr="00CE04FC">
        <w:rPr>
          <w:rFonts w:ascii="Times New Roman" w:hAnsi="Times New Roman" w:cs="Times New Roman"/>
        </w:rPr>
        <w:t xml:space="preserve"> variance of</w:t>
      </w:r>
      <w:r w:rsidR="00B964F7" w:rsidRPr="00CE04FC">
        <w:rPr>
          <w:rFonts w:ascii="Times New Roman" w:hAnsi="Times New Roman" w:cs="Times New Roman"/>
        </w:rPr>
        <w:t xml:space="preserve"> single parameter to the </w:t>
      </w:r>
      <w:r w:rsidR="0013259C" w:rsidRPr="00CE04FC">
        <w:rPr>
          <w:rFonts w:ascii="Times New Roman" w:hAnsi="Times New Roman" w:cs="Times New Roman"/>
        </w:rPr>
        <w:t>overall</w:t>
      </w:r>
      <w:r w:rsidR="00B964F7" w:rsidRPr="00CE04FC">
        <w:rPr>
          <w:rFonts w:ascii="Times New Roman" w:hAnsi="Times New Roman" w:cs="Times New Roman"/>
        </w:rPr>
        <w:t xml:space="preserve"> output variance</w:t>
      </w:r>
      <w:r w:rsidR="0013259C" w:rsidRPr="00CE04FC">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511"/>
      </w:tblGrid>
      <w:tr w:rsidR="00CE04FC" w:rsidRPr="00CE04FC" w14:paraId="1E1300F6" w14:textId="77777777" w:rsidTr="007D40E1">
        <w:tc>
          <w:tcPr>
            <w:tcW w:w="8505" w:type="dxa"/>
          </w:tcPr>
          <w:p w14:paraId="68D49030" w14:textId="77777777" w:rsidR="00D75860" w:rsidRPr="00CE04FC" w:rsidRDefault="00260F21" w:rsidP="00D75860">
            <w:pPr>
              <w:jc w:val="both"/>
              <w:rPr>
                <w:rFonts w:ascii="Times New Roman" w:hAnsi="Times New Roman" w:cs="Times New Roman"/>
              </w:rPr>
            </w:pPr>
            <m:oMathPara>
              <m:oMathParaPr>
                <m:jc m:val="center"/>
              </m:oMathParaPr>
              <m:oMath>
                <m:sSub>
                  <m:sSubPr>
                    <m:ctrlPr>
                      <w:rPr>
                        <w:rFonts w:ascii="Cambria Math" w:eastAsiaTheme="minorEastAsia" w:hAnsi="Cambria Math" w:cs="Times New Roman"/>
                        <w:i/>
                      </w:rPr>
                    </m:ctrlPr>
                  </m:sSubPr>
                  <m:e>
                    <m:r>
                      <w:rPr>
                        <w:rFonts w:ascii="Cambria Math" w:eastAsiaTheme="minorEastAsia" w:hAnsi="Cambria Math" w:cs="Times New Roman"/>
                      </w:rPr>
                      <m:t>S</m:t>
                    </m:r>
                  </m:e>
                  <m:sub>
                    <m:r>
                      <w:rPr>
                        <w:rFonts w:ascii="Cambria Math" w:eastAsiaTheme="minorEastAsia" w:hAnsi="Cambria Math" w:cs="Times New Roman"/>
                      </w:rPr>
                      <m:t>d</m:t>
                    </m:r>
                  </m:sub>
                </m:sSub>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V[λ]</m:t>
                    </m:r>
                  </m:den>
                </m:f>
                <m:nary>
                  <m:naryPr>
                    <m:chr m:val="∑"/>
                    <m:limLoc m:val="undOvr"/>
                    <m:subHide m:val="1"/>
                    <m:supHide m:val="1"/>
                    <m:ctrlPr>
                      <w:rPr>
                        <w:rFonts w:ascii="Cambria Math" w:eastAsiaTheme="minorEastAsia" w:hAnsi="Cambria Math" w:cs="Times New Roman"/>
                        <w:i/>
                      </w:rPr>
                    </m:ctrlPr>
                  </m:naryPr>
                  <m:sub/>
                  <m:sup/>
                  <m:e>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d</m:t>
                            </m:r>
                          </m:sub>
                        </m:sSub>
                      </m:e>
                      <m:sup>
                        <m:r>
                          <w:rPr>
                            <w:rFonts w:ascii="Cambria Math" w:eastAsiaTheme="minorEastAsia" w:hAnsi="Cambria Math" w:cs="Times New Roman"/>
                          </w:rPr>
                          <m:t>2</m:t>
                        </m:r>
                      </m:sup>
                    </m:sSup>
                    <m:d>
                      <m:dPr>
                        <m:begChr m:val="〈"/>
                        <m:endChr m:val="〉"/>
                        <m:ctrlPr>
                          <w:rPr>
                            <w:rFonts w:ascii="Cambria Math" w:eastAsiaTheme="minorEastAsia" w:hAnsi="Cambria Math" w:cs="Times New Roman"/>
                            <w:i/>
                          </w:rPr>
                        </m:ctrlPr>
                      </m:dPr>
                      <m:e>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d</m:t>
                                </m:r>
                              </m:sub>
                            </m:sSub>
                          </m:e>
                          <m:sup>
                            <m:r>
                              <w:rPr>
                                <w:rFonts w:ascii="Cambria Math" w:eastAsiaTheme="minorEastAsia" w:hAnsi="Cambria Math" w:cs="Times New Roman"/>
                              </w:rPr>
                              <m:t>2</m:t>
                            </m:r>
                          </m:sup>
                        </m:sSup>
                      </m:e>
                    </m:d>
                  </m:e>
                </m:nary>
              </m:oMath>
            </m:oMathPara>
          </w:p>
        </w:tc>
        <w:tc>
          <w:tcPr>
            <w:tcW w:w="511" w:type="dxa"/>
            <w:vAlign w:val="center"/>
          </w:tcPr>
          <w:p w14:paraId="3DAC8264" w14:textId="1997181B" w:rsidR="00D75860" w:rsidRPr="00CE04FC" w:rsidRDefault="00D75860" w:rsidP="00D75860">
            <w:pPr>
              <w:jc w:val="right"/>
              <w:rPr>
                <w:rFonts w:ascii="Times New Roman" w:hAnsi="Times New Roman" w:cs="Times New Roman"/>
              </w:rPr>
            </w:pPr>
            <w:bookmarkStart w:id="13" w:name="_Ref188028727"/>
            <w:r w:rsidRPr="00CE04FC">
              <w:rPr>
                <w:rFonts w:ascii="Times New Roman"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bookmarkStart w:id="14" w:name="_Ref188028463"/>
            <w:r w:rsidR="001476C8" w:rsidRPr="00CE04FC">
              <w:rPr>
                <w:rFonts w:ascii="Times New Roman" w:hAnsi="Times New Roman" w:cs="Times New Roman"/>
                <w:noProof/>
              </w:rPr>
              <w:t>5</w:t>
            </w:r>
            <w:bookmarkEnd w:id="14"/>
            <w:r w:rsidRPr="00CE04FC">
              <w:rPr>
                <w:rFonts w:ascii="Times New Roman" w:hAnsi="Times New Roman" w:cs="Times New Roman"/>
                <w:noProof/>
              </w:rPr>
              <w:fldChar w:fldCharType="end"/>
            </w:r>
            <w:bookmarkEnd w:id="13"/>
            <w:r w:rsidRPr="00CE04FC">
              <w:rPr>
                <w:rFonts w:ascii="Times New Roman" w:hAnsi="Times New Roman" w:cs="Times New Roman"/>
              </w:rPr>
              <w:t>)</w:t>
            </w:r>
          </w:p>
        </w:tc>
      </w:tr>
    </w:tbl>
    <w:p w14:paraId="03AC5884" w14:textId="612DCE73" w:rsidR="00777064" w:rsidRPr="00CE04FC" w:rsidRDefault="00777064" w:rsidP="00777064">
      <w:pPr>
        <w:spacing w:before="240" w:line="240" w:lineRule="auto"/>
        <w:jc w:val="both"/>
        <w:rPr>
          <w:rFonts w:ascii="Times New Roman" w:hAnsi="Times New Roman" w:cs="Times New Roman"/>
        </w:rPr>
      </w:pPr>
      <w:r w:rsidRPr="00CE04FC">
        <w:rPr>
          <w:rFonts w:ascii="Times New Roman" w:hAnsi="Times New Roman" w:cs="Times New Roman"/>
        </w:rPr>
        <w:t xml:space="preserve">Here, </w:t>
      </w:r>
      <m:oMath>
        <m:sSub>
          <m:sSubPr>
            <m:ctrlPr>
              <w:rPr>
                <w:rFonts w:ascii="Cambria Math" w:eastAsiaTheme="minorEastAsia" w:hAnsi="Cambria Math" w:cs="Times New Roman"/>
                <w:i/>
              </w:rPr>
            </m:ctrlPr>
          </m:sSubPr>
          <m:e>
            <m:r>
              <w:rPr>
                <w:rFonts w:ascii="Cambria Math" w:eastAsiaTheme="minorEastAsia" w:hAnsi="Cambria Math" w:cs="Times New Roman"/>
              </w:rPr>
              <m:t>S</m:t>
            </m:r>
          </m:e>
          <m:sub>
            <m:r>
              <w:rPr>
                <w:rFonts w:ascii="Cambria Math" w:eastAsiaTheme="minorEastAsia" w:hAnsi="Cambria Math" w:cs="Times New Roman"/>
              </w:rPr>
              <m:t>d</m:t>
            </m:r>
          </m:sub>
        </m:sSub>
      </m:oMath>
      <w:r w:rsidRPr="00CE04FC">
        <w:rPr>
          <w:rFonts w:ascii="Times New Roman" w:eastAsiaTheme="minorEastAsia" w:hAnsi="Times New Roman" w:cs="Times New Roman"/>
        </w:rPr>
        <w:t xml:space="preserve"> </w:t>
      </w:r>
      <w:r w:rsidR="0023592A" w:rsidRPr="00CE04FC">
        <w:rPr>
          <w:rFonts w:ascii="Times New Roman" w:hAnsi="Times New Roman" w:cs="Times New Roman"/>
        </w:rPr>
        <w:t>denotes the</w:t>
      </w:r>
      <w:r w:rsidRPr="00CE04FC">
        <w:rPr>
          <w:rFonts w:ascii="Times New Roman" w:hAnsi="Times New Roman" w:cs="Times New Roman"/>
        </w:rPr>
        <w:t xml:space="preserve"> sensitivity </w:t>
      </w:r>
      <w:r w:rsidR="00455AD0" w:rsidRPr="00CE04FC">
        <w:rPr>
          <w:rFonts w:ascii="Times New Roman" w:hAnsi="Times New Roman" w:cs="Times New Roman"/>
        </w:rPr>
        <w:t xml:space="preserve">which </w:t>
      </w:r>
      <w:r w:rsidR="003C609B" w:rsidRPr="00CE04FC">
        <w:rPr>
          <w:rFonts w:ascii="Times New Roman" w:hAnsi="Times New Roman" w:cs="Times New Roman"/>
        </w:rPr>
        <w:t xml:space="preserve">is </w:t>
      </w:r>
      <w:r w:rsidRPr="00CE04FC">
        <w:rPr>
          <w:rFonts w:ascii="Times New Roman" w:hAnsi="Times New Roman" w:cs="Times New Roman"/>
        </w:rPr>
        <w:t xml:space="preserve">associated </w:t>
      </w:r>
      <w:r w:rsidR="0023592A" w:rsidRPr="00CE04FC">
        <w:rPr>
          <w:rFonts w:ascii="Times New Roman" w:hAnsi="Times New Roman" w:cs="Times New Roman"/>
        </w:rPr>
        <w:t>to the</w:t>
      </w:r>
      <w:r w:rsidRPr="00CE04FC">
        <w:rPr>
          <w:rFonts w:ascii="Times New Roman" w:hAnsi="Times New Roman" w:cs="Times New Roman"/>
        </w:rPr>
        <w:t xml:space="preserve"> dimension </w:t>
      </w:r>
      <w:r w:rsidRPr="00CE04FC">
        <w:rPr>
          <w:rFonts w:ascii="Times New Roman" w:eastAsiaTheme="minorEastAsia" w:hAnsi="Times New Roman" w:cs="Times New Roman"/>
        </w:rPr>
        <w:t>(</w:t>
      </w:r>
      <m:oMath>
        <m:r>
          <w:rPr>
            <w:rFonts w:ascii="Cambria Math" w:eastAsiaTheme="minorEastAsia" w:hAnsi="Cambria Math" w:cs="Times New Roman"/>
          </w:rPr>
          <m:t>d</m:t>
        </m:r>
      </m:oMath>
      <w:r w:rsidRPr="00CE04FC">
        <w:rPr>
          <w:rFonts w:ascii="Times New Roman" w:eastAsiaTheme="minorEastAsia" w:hAnsi="Times New Roman" w:cs="Times New Roman"/>
        </w:rPr>
        <w:t>)</w:t>
      </w:r>
      <w:r w:rsidR="003C609B" w:rsidRPr="00CE04FC">
        <w:rPr>
          <w:rFonts w:ascii="Times New Roman" w:hAnsi="Times New Roman" w:cs="Times New Roman"/>
        </w:rPr>
        <w:t xml:space="preserve"> and</w:t>
      </w:r>
      <w:r w:rsidRPr="00CE04FC">
        <w:rPr>
          <w:rFonts w:ascii="Times New Roman" w:hAnsi="Times New Roman" w:cs="Times New Roman"/>
        </w:rPr>
        <w:t xml:space="preserve"> corresponds to the number of uncertain parameters. </w:t>
      </w:r>
      <m:oMath>
        <m:r>
          <w:rPr>
            <w:rFonts w:ascii="Cambria Math" w:eastAsiaTheme="minorEastAsia" w:hAnsi="Cambria Math" w:cs="Times New Roman"/>
          </w:rPr>
          <m:t>V[λ]</m:t>
        </m:r>
      </m:oMath>
      <w:r w:rsidRPr="00CE04FC">
        <w:rPr>
          <w:rFonts w:ascii="Times New Roman" w:eastAsiaTheme="minorEastAsia" w:hAnsi="Times New Roman" w:cs="Times New Roman"/>
        </w:rPr>
        <w:t xml:space="preserve"> </w:t>
      </w:r>
      <w:r w:rsidR="003C609B" w:rsidRPr="00CE04FC">
        <w:rPr>
          <w:rFonts w:ascii="Times New Roman" w:hAnsi="Times New Roman" w:cs="Times New Roman"/>
        </w:rPr>
        <w:t>represents</w:t>
      </w:r>
      <w:r w:rsidRPr="00CE04FC">
        <w:rPr>
          <w:rFonts w:ascii="Times New Roman" w:hAnsi="Times New Roman" w:cs="Times New Roman"/>
        </w:rPr>
        <w:t xml:space="preserve"> the total variance. For example, the total variance of the outputs </w:t>
      </w:r>
      <w:r w:rsidR="00F10EA8" w:rsidRPr="00CE04FC">
        <w:rPr>
          <w:rFonts w:ascii="Times New Roman" w:hAnsi="Times New Roman" w:cs="Times New Roman"/>
        </w:rPr>
        <w:t>(</w:t>
      </w:r>
      <w:r w:rsidRPr="00CE04FC">
        <w:rPr>
          <w:rFonts w:ascii="Times New Roman" w:hAnsi="Times New Roman" w:cs="Times New Roman"/>
        </w:rPr>
        <w:t>i.e. NH</w:t>
      </w:r>
      <w:r w:rsidRPr="00CE04FC">
        <w:rPr>
          <w:rFonts w:ascii="Times New Roman" w:hAnsi="Times New Roman" w:cs="Times New Roman"/>
          <w:vertAlign w:val="subscript"/>
        </w:rPr>
        <w:t>3</w:t>
      </w:r>
      <w:r w:rsidRPr="00CE04FC">
        <w:rPr>
          <w:rFonts w:ascii="Times New Roman" w:hAnsi="Times New Roman" w:cs="Times New Roman"/>
        </w:rPr>
        <w:t xml:space="preserve"> production and refrigeration generation</w:t>
      </w:r>
      <w:r w:rsidR="00F10EA8" w:rsidRPr="00CE04FC">
        <w:rPr>
          <w:rFonts w:ascii="Times New Roman" w:hAnsi="Times New Roman" w:cs="Times New Roman"/>
        </w:rPr>
        <w:t>)</w:t>
      </w:r>
      <w:r w:rsidRPr="00CE04FC">
        <w:rPr>
          <w:rFonts w:ascii="Times New Roman" w:hAnsi="Times New Roman" w:cs="Times New Roman"/>
        </w:rPr>
        <w:t xml:space="preserve"> can be expressed as shown in Eq. </w:t>
      </w:r>
      <w:r w:rsidRPr="00CE04FC">
        <w:rPr>
          <w:rFonts w:ascii="Times New Roman" w:hAnsi="Times New Roman" w:cs="Times New Roman"/>
        </w:rPr>
        <w:fldChar w:fldCharType="begin"/>
      </w:r>
      <w:r w:rsidRPr="00CE04FC">
        <w:rPr>
          <w:rFonts w:ascii="Times New Roman" w:hAnsi="Times New Roman" w:cs="Times New Roman"/>
        </w:rPr>
        <w:instrText xml:space="preserve"> REF _Ref188028474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eastAsiaTheme="minorEastAsia" w:hAnsi="Times New Roman" w:cs="Times New Roman"/>
        </w:rPr>
        <w:t>(</w:t>
      </w:r>
      <w:r w:rsidR="001476C8" w:rsidRPr="00CE04FC">
        <w:rPr>
          <w:rFonts w:ascii="Times New Roman" w:hAnsi="Times New Roman" w:cs="Times New Roman"/>
          <w:noProof/>
        </w:rPr>
        <w:t>6</w:t>
      </w:r>
      <w:r w:rsidRPr="00CE04FC">
        <w:rPr>
          <w:rFonts w:ascii="Times New Roman" w:hAnsi="Times New Roman" w:cs="Times New Roman"/>
        </w:rPr>
        <w:fldChar w:fldCharType="end"/>
      </w:r>
      <w:r w:rsidRPr="00CE04FC">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511"/>
      </w:tblGrid>
      <w:tr w:rsidR="00CE04FC" w:rsidRPr="00CE04FC" w14:paraId="3ABB06F9" w14:textId="77777777" w:rsidTr="007D40E1">
        <w:tc>
          <w:tcPr>
            <w:tcW w:w="8505" w:type="dxa"/>
            <w:vAlign w:val="center"/>
          </w:tcPr>
          <w:p w14:paraId="7AFB05D4" w14:textId="77777777" w:rsidR="00D75860" w:rsidRPr="00CE04FC" w:rsidRDefault="00D75860" w:rsidP="00D75860">
            <w:pPr>
              <w:jc w:val="center"/>
              <w:rPr>
                <w:rFonts w:ascii="Times New Roman" w:eastAsiaTheme="minorEastAsia" w:hAnsi="Times New Roman" w:cs="Times New Roman"/>
              </w:rPr>
            </w:pPr>
            <m:oMathPara>
              <m:oMathParaPr>
                <m:jc m:val="center"/>
              </m:oMathParaPr>
              <m:oMath>
                <m:r>
                  <w:rPr>
                    <w:rFonts w:ascii="Cambria Math" w:eastAsiaTheme="minorEastAsia" w:hAnsi="Cambria Math" w:cs="Times New Roman"/>
                  </w:rPr>
                  <m:t>V</m:t>
                </m:r>
                <m:d>
                  <m:dPr>
                    <m:begChr m:val="["/>
                    <m:endChr m:val="]"/>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NH</m:t>
                        </m:r>
                      </m:e>
                      <m:sub>
                        <m:r>
                          <w:rPr>
                            <w:rFonts w:ascii="Cambria Math" w:eastAsiaTheme="minorEastAsia" w:hAnsi="Cambria Math" w:cs="Times New Roman"/>
                          </w:rPr>
                          <m:t>3</m:t>
                        </m:r>
                      </m:sub>
                    </m:sSub>
                    <m:r>
                      <w:rPr>
                        <w:rFonts w:ascii="Cambria Math" w:eastAsiaTheme="minorEastAsia" w:hAnsi="Cambria Math" w:cs="Times New Roman"/>
                      </w:rPr>
                      <m:t>/ref</m:t>
                    </m:r>
                  </m:e>
                </m:d>
                <m:r>
                  <w:rPr>
                    <w:rFonts w:ascii="Cambria Math" w:eastAsiaTheme="minorEastAsia" w:hAnsi="Cambria Math" w:cs="Times New Roman"/>
                  </w:rPr>
                  <m:t>=</m:t>
                </m:r>
                <m:nary>
                  <m:naryPr>
                    <m:chr m:val="∑"/>
                    <m:limLoc m:val="undOvr"/>
                    <m:supHide m:val="1"/>
                    <m:ctrlPr>
                      <w:rPr>
                        <w:rFonts w:ascii="Cambria Math" w:eastAsiaTheme="minorEastAsia" w:hAnsi="Cambria Math" w:cs="Times New Roman"/>
                        <w:i/>
                      </w:rPr>
                    </m:ctrlPr>
                  </m:naryPr>
                  <m:sub>
                    <m:r>
                      <w:rPr>
                        <w:rFonts w:ascii="Cambria Math" w:eastAsiaTheme="minorEastAsia" w:hAnsi="Cambria Math" w:cs="Times New Roman"/>
                      </w:rPr>
                      <m:t>k&gt;0</m:t>
                    </m:r>
                  </m:sub>
                  <m:sup/>
                  <m:e>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k</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k</m:t>
                            </m:r>
                          </m:sub>
                        </m:sSub>
                      </m:e>
                      <m:sup>
                        <m:r>
                          <w:rPr>
                            <w:rFonts w:ascii="Cambria Math" w:eastAsiaTheme="minorEastAsia" w:hAnsi="Cambria Math" w:cs="Times New Roman"/>
                          </w:rPr>
                          <m:t>2</m:t>
                        </m:r>
                      </m:sup>
                    </m:sSup>
                  </m:e>
                </m:nary>
              </m:oMath>
            </m:oMathPara>
          </w:p>
        </w:tc>
        <w:tc>
          <w:tcPr>
            <w:tcW w:w="511" w:type="dxa"/>
            <w:vAlign w:val="center"/>
          </w:tcPr>
          <w:p w14:paraId="0B1B8B48" w14:textId="626D017D" w:rsidR="00D75860" w:rsidRPr="00CE04FC" w:rsidRDefault="00D75860" w:rsidP="00D75860">
            <w:pPr>
              <w:jc w:val="right"/>
              <w:rPr>
                <w:rFonts w:ascii="Times New Roman" w:eastAsiaTheme="minorEastAsia" w:hAnsi="Times New Roman" w:cs="Times New Roman"/>
              </w:rPr>
            </w:pPr>
            <w:bookmarkStart w:id="15" w:name="_Ref188028474"/>
            <w:r w:rsidRPr="00CE04FC">
              <w:rPr>
                <w:rFonts w:ascii="Times New Roman" w:eastAsiaTheme="minorEastAsia"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6</w:t>
            </w:r>
            <w:r w:rsidRPr="00CE04FC">
              <w:rPr>
                <w:rFonts w:ascii="Times New Roman" w:hAnsi="Times New Roman" w:cs="Times New Roman"/>
                <w:noProof/>
              </w:rPr>
              <w:fldChar w:fldCharType="end"/>
            </w:r>
            <w:bookmarkEnd w:id="15"/>
            <w:r w:rsidRPr="00CE04FC">
              <w:rPr>
                <w:rFonts w:ascii="Times New Roman" w:eastAsiaTheme="minorEastAsia" w:hAnsi="Times New Roman" w:cs="Times New Roman"/>
              </w:rPr>
              <w:t>)</w:t>
            </w:r>
          </w:p>
        </w:tc>
      </w:tr>
    </w:tbl>
    <w:p w14:paraId="17FB96FC" w14:textId="2F92ED1A" w:rsidR="00D75860" w:rsidRPr="00CE04FC" w:rsidRDefault="00D75860" w:rsidP="00241EBC">
      <w:pPr>
        <w:spacing w:before="240" w:line="240" w:lineRule="auto"/>
        <w:jc w:val="both"/>
        <w:rPr>
          <w:rFonts w:ascii="Times New Roman" w:hAnsi="Times New Roman" w:cs="Times New Roman"/>
        </w:rPr>
      </w:pPr>
      <w:r w:rsidRPr="00CE04FC">
        <w:rPr>
          <w:rFonts w:ascii="Times New Roman" w:hAnsi="Times New Roman" w:cs="Times New Roman"/>
        </w:rPr>
        <w:t>The numerator in Eq. (</w:t>
      </w:r>
      <w:r w:rsidRPr="00CE04FC">
        <w:rPr>
          <w:rFonts w:ascii="Times New Roman" w:hAnsi="Times New Roman" w:cs="Times New Roman"/>
        </w:rPr>
        <w:fldChar w:fldCharType="begin"/>
      </w:r>
      <w:r w:rsidRPr="00CE04FC">
        <w:rPr>
          <w:rFonts w:ascii="Times New Roman" w:hAnsi="Times New Roman" w:cs="Times New Roman"/>
        </w:rPr>
        <w:instrText xml:space="preserve"> REF _Ref188028463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noProof/>
        </w:rPr>
        <w:t>5</w:t>
      </w:r>
      <w:r w:rsidRPr="00CE04FC">
        <w:rPr>
          <w:rFonts w:ascii="Times New Roman" w:hAnsi="Times New Roman" w:cs="Times New Roman"/>
        </w:rPr>
        <w:fldChar w:fldCharType="end"/>
      </w:r>
      <w:r w:rsidRPr="00CE04FC">
        <w:rPr>
          <w:rFonts w:ascii="Times New Roman" w:hAnsi="Times New Roman" w:cs="Times New Roman"/>
        </w:rPr>
        <w:t xml:space="preserve">) can be further expressed as shown in Eq. </w:t>
      </w:r>
      <w:r w:rsidRPr="00CE04FC">
        <w:rPr>
          <w:rFonts w:ascii="Times New Roman" w:hAnsi="Times New Roman" w:cs="Times New Roman"/>
        </w:rPr>
        <w:fldChar w:fldCharType="begin"/>
      </w:r>
      <w:r w:rsidRPr="00CE04FC">
        <w:rPr>
          <w:rFonts w:ascii="Times New Roman" w:hAnsi="Times New Roman" w:cs="Times New Roman"/>
        </w:rPr>
        <w:instrText xml:space="preserve"> REF _Ref188028420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eastAsiaTheme="minorEastAsia" w:hAnsi="Times New Roman" w:cs="Times New Roman"/>
        </w:rPr>
        <w:t>(</w:t>
      </w:r>
      <w:r w:rsidR="001476C8" w:rsidRPr="00CE04FC">
        <w:rPr>
          <w:rFonts w:ascii="Times New Roman" w:hAnsi="Times New Roman" w:cs="Times New Roman"/>
          <w:noProof/>
        </w:rPr>
        <w:t>7</w:t>
      </w:r>
      <w:r w:rsidRPr="00CE04FC">
        <w:rPr>
          <w:rFonts w:ascii="Times New Roman" w:hAnsi="Times New Roman" w:cs="Times New Roman"/>
        </w:rPr>
        <w:fldChar w:fldCharType="end"/>
      </w:r>
      <w:r w:rsidRPr="00CE04FC">
        <w:rPr>
          <w:rFonts w:ascii="Times New Roman" w:hAnsi="Times New Roman" w:cs="Times New Roman"/>
        </w:rPr>
        <w:t xml:space="preserve">). For this study, the dimensionality d=6, the total order P = 3, and the number of </w:t>
      </w:r>
      <w:r w:rsidR="0027267F" w:rsidRPr="00CE04FC">
        <w:rPr>
          <w:rFonts w:ascii="Times New Roman" w:hAnsi="Times New Roman" w:cs="Times New Roman"/>
        </w:rPr>
        <w:t>PC</w:t>
      </w:r>
      <w:r w:rsidRPr="00CE04FC">
        <w:rPr>
          <w:rFonts w:ascii="Times New Roman" w:hAnsi="Times New Roman" w:cs="Times New Roman"/>
        </w:rPr>
        <w:t xml:space="preserve"> terms is calculated as </w:t>
      </w:r>
      <w:r w:rsidRPr="00CE04FC">
        <w:rPr>
          <w:rFonts w:ascii="Times New Roman" w:eastAsiaTheme="minorEastAsia" w:hAnsi="Times New Roman" w:cs="Times New Roman"/>
          <w:i/>
          <w:iCs/>
        </w:rPr>
        <w:t xml:space="preserve">N = </w:t>
      </w:r>
      <w:r w:rsidRPr="00CE04FC">
        <w:rPr>
          <w:rFonts w:ascii="Times New Roman" w:eastAsiaTheme="minorEastAsia" w:hAnsi="Times New Roman" w:cs="Times New Roman"/>
        </w:rPr>
        <w:t>(d+P)! /(d!P!)</w:t>
      </w:r>
      <w:r w:rsidRPr="00CE04FC">
        <w:rPr>
          <w:rFonts w:ascii="Times New Roman" w:eastAsiaTheme="minorEastAsia" w:hAnsi="Times New Roman" w:cs="Times New Roman"/>
          <w:i/>
          <w:iCs/>
        </w:rPr>
        <w:t xml:space="preserve"> =</w:t>
      </w:r>
      <w:r w:rsidRPr="00CE04FC">
        <w:rPr>
          <w:rFonts w:ascii="Times New Roman" w:eastAsiaTheme="minorEastAsia" w:hAnsi="Times New Roman" w:cs="Times New Roman"/>
        </w:rPr>
        <w:t xml:space="preserve"> 84. </w:t>
      </w:r>
      <w:r w:rsidRPr="00CE04FC">
        <w:rPr>
          <w:rFonts w:ascii="Times New Roman" w:hAnsi="Times New Roman" w:cs="Times New Roman"/>
        </w:rPr>
        <w:t xml:space="preserve">The first term in Eq. </w:t>
      </w:r>
      <w:r w:rsidRPr="00CE04FC">
        <w:rPr>
          <w:rFonts w:ascii="Times New Roman" w:hAnsi="Times New Roman" w:cs="Times New Roman"/>
        </w:rPr>
        <w:fldChar w:fldCharType="begin"/>
      </w:r>
      <w:r w:rsidRPr="00CE04FC">
        <w:rPr>
          <w:rFonts w:ascii="Times New Roman" w:hAnsi="Times New Roman" w:cs="Times New Roman"/>
        </w:rPr>
        <w:instrText xml:space="preserve"> REF _Ref188028420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eastAsiaTheme="minorEastAsia" w:hAnsi="Times New Roman" w:cs="Times New Roman"/>
        </w:rPr>
        <w:t>(</w:t>
      </w:r>
      <w:r w:rsidR="001476C8" w:rsidRPr="00CE04FC">
        <w:rPr>
          <w:rFonts w:ascii="Times New Roman" w:hAnsi="Times New Roman" w:cs="Times New Roman"/>
          <w:noProof/>
        </w:rPr>
        <w:t>7</w:t>
      </w:r>
      <w:r w:rsidRPr="00CE04FC">
        <w:rPr>
          <w:rFonts w:ascii="Times New Roman" w:hAnsi="Times New Roman" w:cs="Times New Roman"/>
        </w:rPr>
        <w:fldChar w:fldCharType="end"/>
      </w:r>
      <w:r w:rsidRPr="00CE04FC">
        <w:rPr>
          <w:rFonts w:ascii="Times New Roman" w:hAnsi="Times New Roman" w:cs="Times New Roman"/>
        </w:rPr>
        <w:t>) corresponds to the mean value without any deviation and is thus equal to zero.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3"/>
        <w:gridCol w:w="473"/>
      </w:tblGrid>
      <w:tr w:rsidR="00CE04FC" w:rsidRPr="00CE04FC" w14:paraId="6D3AE011" w14:textId="77777777" w:rsidTr="007D40E1">
        <w:trPr>
          <w:trHeight w:val="381"/>
        </w:trPr>
        <w:tc>
          <w:tcPr>
            <w:tcW w:w="8663" w:type="dxa"/>
          </w:tcPr>
          <w:p w14:paraId="29DBF6BF" w14:textId="77777777" w:rsidR="00D75860" w:rsidRPr="00CE04FC" w:rsidRDefault="00D75860" w:rsidP="00D75860">
            <w:pPr>
              <w:jc w:val="center"/>
              <w:rPr>
                <w:rFonts w:ascii="Times New Roman" w:eastAsiaTheme="minorEastAsia" w:hAnsi="Times New Roman" w:cs="Times New Roman"/>
              </w:rPr>
            </w:pPr>
            <m:oMath>
              <m:r>
                <w:rPr>
                  <w:rFonts w:ascii="Cambria Math" w:eastAsiaTheme="minorEastAsia" w:hAnsi="Cambria Math" w:cs="Times New Roman"/>
                </w:rPr>
                <m:t>Var</m:t>
              </m:r>
              <m:d>
                <m:dPr>
                  <m:ctrlPr>
                    <w:rPr>
                      <w:rFonts w:ascii="Cambria Math" w:eastAsiaTheme="minorEastAsia" w:hAnsi="Cambria Math" w:cs="Times New Roman"/>
                      <w:i/>
                    </w:rPr>
                  </m:ctrlPr>
                </m:dPr>
                <m:e>
                  <m:sSub>
                    <m:sSubPr>
                      <m:ctrlPr>
                        <w:rPr>
                          <w:rFonts w:ascii="Cambria Math" w:eastAsiaTheme="minorEastAsia" w:hAnsi="Cambria Math" w:cs="Times New Roman"/>
                          <w:i/>
                        </w:rPr>
                      </m:ctrlPr>
                    </m:sSubPr>
                    <m:e>
                      <m:r>
                        <w:rPr>
                          <w:rFonts w:ascii="Cambria Math" w:eastAsiaTheme="minorEastAsia" w:hAnsi="Cambria Math" w:cs="Times New Roman"/>
                        </w:rPr>
                        <m:t>NH</m:t>
                      </m:r>
                    </m:e>
                    <m:sub>
                      <m:r>
                        <w:rPr>
                          <w:rFonts w:ascii="Cambria Math" w:eastAsiaTheme="minorEastAsia" w:hAnsi="Cambria Math" w:cs="Times New Roman"/>
                        </w:rPr>
                        <m:t>3</m:t>
                      </m:r>
                    </m:sub>
                  </m:sSub>
                  <m:r>
                    <w:rPr>
                      <w:rFonts w:ascii="Cambria Math" w:eastAsiaTheme="minorEastAsia" w:hAnsi="Cambria Math" w:cs="Times New Roman"/>
                    </w:rPr>
                    <m:t>/ref</m:t>
                  </m:r>
                </m:e>
              </m:d>
              <m:r>
                <w:rPr>
                  <w:rFonts w:ascii="Cambria Math" w:eastAsiaTheme="minorEastAsia" w:hAnsi="Cambria Math" w:cs="Times New Roman"/>
                </w:rPr>
                <m:t>=0+</m:t>
              </m:r>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1</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1</m:t>
                      </m:r>
                    </m:sub>
                  </m:sSub>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2</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1</m:t>
                      </m:r>
                    </m:sub>
                  </m:sSub>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3</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1</m:t>
                      </m:r>
                    </m:sub>
                  </m:sSub>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4</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2</m:t>
                      </m:r>
                    </m:sub>
                  </m:sSub>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λ</m:t>
                      </m:r>
                    </m:e>
                    <m:sub>
                      <m:r>
                        <w:rPr>
                          <w:rFonts w:ascii="Cambria Math" w:eastAsiaTheme="minorEastAsia" w:hAnsi="Cambria Math" w:cs="Times New Roman"/>
                        </w:rPr>
                        <m:t>5</m:t>
                      </m:r>
                    </m:sub>
                  </m:sSub>
                </m:e>
                <m:sup>
                  <m:r>
                    <w:rPr>
                      <w:rFonts w:ascii="Cambria Math" w:eastAsiaTheme="minorEastAsia" w:hAnsi="Cambria Math" w:cs="Times New Roman"/>
                    </w:rPr>
                    <m:t>2</m:t>
                  </m:r>
                </m:sup>
              </m:sSup>
              <m:sSup>
                <m:sSupPr>
                  <m:ctrlPr>
                    <w:rPr>
                      <w:rFonts w:ascii="Cambria Math" w:eastAsiaTheme="minorEastAsia" w:hAnsi="Cambria Math" w:cs="Times New Roman"/>
                      <w:i/>
                    </w:rPr>
                  </m:ctrlPr>
                </m:sSupPr>
                <m:e>
                  <m:sSub>
                    <m:sSubPr>
                      <m:ctrlPr>
                        <w:rPr>
                          <w:rFonts w:ascii="Cambria Math" w:eastAsiaTheme="minorEastAsia" w:hAnsi="Cambria Math" w:cs="Times New Roman"/>
                          <w:i/>
                        </w:rPr>
                      </m:ctrlPr>
                    </m:sSubPr>
                    <m:e>
                      <m:r>
                        <w:rPr>
                          <w:rFonts w:ascii="Cambria Math" w:eastAsiaTheme="minorEastAsia" w:hAnsi="Cambria Math" w:cs="Times New Roman"/>
                        </w:rPr>
                        <m:t>Ψ</m:t>
                      </m:r>
                    </m:e>
                    <m:sub>
                      <m:r>
                        <w:rPr>
                          <w:rFonts w:ascii="Cambria Math" w:eastAsiaTheme="minorEastAsia" w:hAnsi="Cambria Math" w:cs="Times New Roman"/>
                        </w:rPr>
                        <m:t>1</m:t>
                      </m:r>
                    </m:sub>
                  </m:sSub>
                </m:e>
                <m:sup>
                  <m:r>
                    <w:rPr>
                      <w:rFonts w:ascii="Cambria Math" w:eastAsiaTheme="minorEastAsia" w:hAnsi="Cambria Math" w:cs="Times New Roman"/>
                    </w:rPr>
                    <m:t>2</m:t>
                  </m:r>
                </m:sup>
              </m:sSup>
              <m:r>
                <w:rPr>
                  <w:rFonts w:ascii="Cambria Math" w:eastAsiaTheme="minorEastAsia" w:hAnsi="Cambria Math" w:cs="Times New Roman"/>
                </w:rPr>
                <m:t>+…</m:t>
              </m:r>
            </m:oMath>
            <w:r w:rsidRPr="00CE04FC">
              <w:rPr>
                <w:rFonts w:ascii="Times New Roman" w:eastAsiaTheme="minorEastAsia" w:hAnsi="Times New Roman" w:cs="Times New Roman"/>
              </w:rPr>
              <w:t xml:space="preserve"> (84 terms)</w:t>
            </w:r>
          </w:p>
        </w:tc>
        <w:tc>
          <w:tcPr>
            <w:tcW w:w="363" w:type="dxa"/>
          </w:tcPr>
          <w:p w14:paraId="7695D5E0" w14:textId="1A39F615" w:rsidR="00D75860" w:rsidRPr="00CE04FC" w:rsidRDefault="00D75860" w:rsidP="00D75860">
            <w:pPr>
              <w:jc w:val="right"/>
              <w:rPr>
                <w:rFonts w:ascii="Times New Roman" w:eastAsiaTheme="minorEastAsia" w:hAnsi="Times New Roman" w:cs="Times New Roman"/>
              </w:rPr>
            </w:pPr>
            <w:bookmarkStart w:id="16" w:name="_Ref188028420"/>
            <w:r w:rsidRPr="00CE04FC">
              <w:rPr>
                <w:rFonts w:ascii="Times New Roman" w:eastAsiaTheme="minorEastAsia" w:hAnsi="Times New Roman" w:cs="Times New Roman"/>
              </w:rPr>
              <w:t>(</w:t>
            </w:r>
            <w:r w:rsidRPr="00CE04FC">
              <w:rPr>
                <w:rFonts w:ascii="Times New Roman" w:hAnsi="Times New Roman" w:cs="Times New Roman"/>
              </w:rPr>
              <w:fldChar w:fldCharType="begin"/>
            </w:r>
            <w:r w:rsidRPr="00CE04FC">
              <w:rPr>
                <w:rFonts w:ascii="Times New Roman" w:hAnsi="Times New Roman" w:cs="Times New Roman"/>
              </w:rPr>
              <w:instrText xml:space="preserve"> SEQ Equation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7</w:t>
            </w:r>
            <w:r w:rsidRPr="00CE04FC">
              <w:rPr>
                <w:rFonts w:ascii="Times New Roman" w:hAnsi="Times New Roman" w:cs="Times New Roman"/>
                <w:noProof/>
              </w:rPr>
              <w:fldChar w:fldCharType="end"/>
            </w:r>
            <w:bookmarkEnd w:id="16"/>
            <w:r w:rsidRPr="00CE04FC">
              <w:rPr>
                <w:rFonts w:ascii="Times New Roman" w:eastAsiaTheme="minorEastAsia" w:hAnsi="Times New Roman" w:cs="Times New Roman"/>
              </w:rPr>
              <w:t>)</w:t>
            </w:r>
          </w:p>
        </w:tc>
      </w:tr>
    </w:tbl>
    <w:p w14:paraId="06B2E963" w14:textId="3BE09CB2" w:rsidR="00D75860" w:rsidRPr="00CE04FC" w:rsidRDefault="00B324D0" w:rsidP="00B24DBC">
      <w:pPr>
        <w:pStyle w:val="Heading2"/>
        <w:spacing w:before="240" w:after="0"/>
        <w:rPr>
          <w:szCs w:val="22"/>
        </w:rPr>
      </w:pPr>
      <w:bookmarkStart w:id="17" w:name="_Ref187923990"/>
      <w:r w:rsidRPr="00CE04FC">
        <w:rPr>
          <w:szCs w:val="22"/>
        </w:rPr>
        <w:t xml:space="preserve"> </w:t>
      </w:r>
      <w:r w:rsidR="00D75860" w:rsidRPr="00CE04FC">
        <w:rPr>
          <w:szCs w:val="22"/>
        </w:rPr>
        <w:t>Machine learning enhanced uncertainty quantification</w:t>
      </w:r>
      <w:bookmarkEnd w:id="17"/>
    </w:p>
    <w:p w14:paraId="7D767231" w14:textId="65BE1100" w:rsidR="005C39DC" w:rsidRPr="00CE04FC" w:rsidRDefault="005C39DC" w:rsidP="005C39DC">
      <w:pPr>
        <w:spacing w:line="240" w:lineRule="auto"/>
        <w:jc w:val="both"/>
        <w:rPr>
          <w:rFonts w:ascii="Times New Roman" w:hAnsi="Times New Roman" w:cs="Times New Roman"/>
        </w:rPr>
      </w:pPr>
      <w:r w:rsidRPr="00CE04FC">
        <w:rPr>
          <w:rFonts w:ascii="Times New Roman" w:hAnsi="Times New Roman" w:cs="Times New Roman"/>
        </w:rPr>
        <w:t xml:space="preserve">The conventional UQ approach using Aspen Plus simulations required 4,096 simulations per nominal power input, resulting in over 1,050 CPU hours. Simulations were performed on a Dell XPS 17 9700 with an 11th Gen Intel Core i9-11900H CPU @ 2.50 GHz and 64 GB RAM. Extending this analysis across nominal power inputs from 10 MW to 20 MW—reflecting typical scales of modular green </w:t>
      </w:r>
      <w:r w:rsidRPr="00CE04FC">
        <w:rPr>
          <w:rFonts w:ascii="Times New Roman" w:hAnsi="Times New Roman" w:cs="Times New Roman"/>
        </w:rPr>
        <w:lastRenderedPageBreak/>
        <w:t xml:space="preserve">ammonia systems powered by intermittent renewable sources </w:t>
      </w:r>
      <w:r w:rsidR="00B24DBC" w:rsidRPr="00CE04FC">
        <w:rPr>
          <w:rFonts w:ascii="Times New Roman" w:hAnsi="Times New Roman" w:cs="Times New Roman"/>
        </w:rPr>
        <w:fldChar w:fldCharType="begin">
          <w:fldData xml:space="preserve">PEVuZE5vdGU+PENpdGU+PEF1dGhvcj5DaGl0cmFuc2g8L0F1dGhvcj48WWVhcj4yMDIxPC9ZZWFy
PjxSZWNOdW0+ODY8L1JlY051bT48RGlzcGxheVRleHQ+KENoaXRyYW5zaCAmYW1wOyBCaW5kYWws
IDIwMjE7IFl1ZW4gZXQgYWwuLCAyMDEwOyBZLiBaaGFuZyBldCBhbC4sIDIwMjMpPC9EaXNwbGF5
VGV4dD48cmVjb3JkPjxyZWMtbnVtYmVyPjg2PC9yZWMtbnVtYmVyPjxmb3JlaWduLWtleXM+PGtl
eSBhcHA9IkVOIiBkYi1pZD0iMHgwejV6eGF0emF0OW9lOTAyN3hlYTJwZTJ3ZTVkZWU1ZGV6IiB0
aW1lc3RhbXA9IjE3NDY4MTc5NjIiPjg2PC9rZXk+PC9mb3JlaWduLWtleXM+PHJlZi10eXBlIG5h
bWU9IkpvdXJuYWwgQXJ0aWNsZSI+MTc8L3JlZi10eXBlPjxjb250cmlidXRvcnM+PGF1dGhvcnM+
PGF1dGhvcj5DaGl0cmFuc2gsIEFwYXI8L2F1dGhvcj48YXV0aG9yPkJpbmRhbCwgUmFuaml0IEt1
bWFyPC9hdXRob3I+PC9hdXRob3JzPjwvY29udHJpYnV0b3JzPjx0aXRsZXM+PHRpdGxlPkEgUmV2
aWV3IG9uIEVuZXJneSBTdG9yYWdlIFN5c3RlbSBvZiBTbWFydCBHcmlkIFN5c3RlbTwvdGl0bGU+
PHNlY29uZGFyeS10aXRsZT5wdWJsaXNoZWQgaW4gSW50ZXJuYXRpb25hbCBKb3VybmFsIG9mIFNj
aWVuY2UgYW5kIFJlc2VhcmNoIChJSlNSKTwvc2Vjb25kYXJ5LXRpdGxlPjwvdGl0bGVzPjxwZXJp
b2RpY2FsPjxmdWxsLXRpdGxlPnB1Ymxpc2hlZCBpbiBJbnRlcm5hdGlvbmFsIEpvdXJuYWwgb2Yg
U2NpZW5jZSBhbmQgUmVzZWFyY2ggKElKU1IpPC9mdWxsLXRpdGxlPjwvcGVyaW9kaWNhbD48dm9s
dW1lPjEwPC92b2x1bWU+PG51bWJlcj42PC9udW1iZXI+PGRhdGVzPjx5ZWFyPjIwMjE8L3llYXI+
PC9kYXRlcz48dXJscz48L3VybHM+PC9yZWNvcmQ+PC9DaXRlPjxDaXRlPjxBdXRob3I+WXVlbjwv
QXV0aG9yPjxZZWFyPjIwMTA8L1llYXI+PFJlY051bT44NzwvUmVjTnVtPjxyZWNvcmQ+PHJlYy1u
dW1iZXI+ODc8L3JlYy1udW1iZXI+PGZvcmVpZ24ta2V5cz48a2V5IGFwcD0iRU4iIGRiLWlkPSIw
eDB6NXp4YXR6YXQ5b2U5MDI3eGVhMnBlMndlNWRlZTVkZXoiIHRpbWVzdGFtcD0iMTc0NjgxODAx
NCI+ODc8L2tleT48L2ZvcmVpZ24ta2V5cz48cmVmLXR5cGUgbmFtZT0iSm91cm5hbCBBcnRpY2xl
Ij4xNzwvcmVmLXR5cGU+PGNvbnRyaWJ1dG9ycz48YXV0aG9ycz48YXV0aG9yPll1ZW4sIENoZXJy
eTwvYXV0aG9yPjxhdXRob3I+T3VkYWxvdiwgQWxleGFuZHJlPC9hdXRob3I+PGF1dGhvcj5UaW1i
dXMsIEFkcmlhbjwvYXV0aG9yPjwvYXV0aG9ycz48L2NvbnRyaWJ1dG9ycz48dGl0bGVzPjx0aXRs
ZT5UaGUgcHJvdmlzaW9uIG9mIGZyZXF1ZW5jeSBjb250cm9sIHJlc2VydmVzIGZyb20gbXVsdGlw
bGUgbWljcm9ncmlkczwvdGl0bGU+PHNlY29uZGFyeS10aXRsZT5JRUVFIFRyYW5zYWN0aW9ucyBv
biBJbmR1c3RyaWFsIEVsZWN0cm9uaWNzPC9zZWNvbmRhcnktdGl0bGU+PC90aXRsZXM+PHBlcmlv
ZGljYWw+PGZ1bGwtdGl0bGU+SUVFRSBUcmFuc2FjdGlvbnMgb24gSW5kdXN0cmlhbCBFbGVjdHJv
bmljczwvZnVsbC10aXRsZT48L3BlcmlvZGljYWw+PHBhZ2VzPjE3My0xODM8L3BhZ2VzPjx2b2x1
bWU+NTg8L3ZvbHVtZT48bnVtYmVyPjE8L251bWJlcj48ZGF0ZXM+PHllYXI+MjAxMDwveWVhcj48
L2RhdGVzPjxpc2JuPjAyNzgtMDA0NjwvaXNibj48dXJscz48L3VybHM+PC9yZWNvcmQ+PC9DaXRl
PjxDaXRlPjxBdXRob3I+Wmhhbmc8L0F1dGhvcj48WWVhcj4yMDIzPC9ZZWFyPjxSZWNOdW0+ODU8
L1JlY051bT48cmVjb3JkPjxyZWMtbnVtYmVyPjg1PC9yZWMtbnVtYmVyPjxmb3JlaWduLWtleXM+
PGtleSBhcHA9IkVOIiBkYi1pZD0iMHgwejV6eGF0emF0OW9lOTAyN3hlYTJwZTJ3ZTVkZWU1ZGV6
IiB0aW1lc3RhbXA9IjE3NDY4MTc4OTkiPjg1PC9rZXk+PC9mb3JlaWduLWtleXM+PHJlZi10eXBl
IG5hbWU9IkpvdXJuYWwgQXJ0aWNsZSI+MTc8L3JlZi10eXBlPjxjb250cmlidXRvcnM+PGF1dGhv
cnM+PGF1dGhvcj5aaGFuZywgWW9uZ2xlaTwvYXV0aG9yPjxhdXRob3I+UGVuZywgWGluPC9hdXRo
b3I+PGF1dGhvcj5ZdWFuLCBYaWJvPC9hdXRob3I+PGF1dGhvcj5MaSwgWWFuPC9hdXRob3I+PGF1
dGhvcj5XYW5nLCBLYWk8L2F1dGhvcj48L2F1dGhvcnM+PC9jb250cmlidXRvcnM+PHRpdGxlcz48
dGl0bGU+QSB1bmlkaXJlY3Rpb25hbCBjYXNjYWRlZCBoaWdoLXBvd2VyIHdpbmQgY29udmVydGVy
IHdpdGggcmVkdWNlZCBudW1iZXIgb2YgYWN0aXZlIGRldmljZXM8L3RpdGxlPjxzZWNvbmRhcnkt
dGl0bGU+SUVFRSBBY2Nlc3M8L3NlY29uZGFyeS10aXRsZT48L3RpdGxlcz48cGVyaW9kaWNhbD48
ZnVsbC10aXRsZT5JRUVFIEFjY2VzczwvZnVsbC10aXRsZT48L3BlcmlvZGljYWw+PHBhZ2VzPjEw
OTAyLTEwOTExPC9wYWdlcz48dm9sdW1lPjExPC92b2x1bWU+PGRhdGVzPjx5ZWFyPjIwMjM8L3ll
YXI+PC9kYXRlcz48aXNibj4yMTY5LTM1MzY8L2lzYm4+PHVybHM+PC91cmxzPjwvcmVjb3JkPjwv
Q2l0ZT48L0VuZE5vdGU+AG==
</w:fldData>
        </w:fldChar>
      </w:r>
      <w:r w:rsidR="00B24DBC" w:rsidRPr="00CE04FC">
        <w:rPr>
          <w:rFonts w:ascii="Times New Roman" w:hAnsi="Times New Roman" w:cs="Times New Roman"/>
        </w:rPr>
        <w:instrText xml:space="preserve"> ADDIN EN.CITE </w:instrText>
      </w:r>
      <w:r w:rsidR="00B24DBC" w:rsidRPr="00CE04FC">
        <w:rPr>
          <w:rFonts w:ascii="Times New Roman" w:hAnsi="Times New Roman" w:cs="Times New Roman"/>
        </w:rPr>
        <w:fldChar w:fldCharType="begin">
          <w:fldData xml:space="preserve">PEVuZE5vdGU+PENpdGU+PEF1dGhvcj5DaGl0cmFuc2g8L0F1dGhvcj48WWVhcj4yMDIxPC9ZZWFy
PjxSZWNOdW0+ODY8L1JlY051bT48RGlzcGxheVRleHQ+KENoaXRyYW5zaCAmYW1wOyBCaW5kYWws
IDIwMjE7IFl1ZW4gZXQgYWwuLCAyMDEwOyBZLiBaaGFuZyBldCBhbC4sIDIwMjMpPC9EaXNwbGF5
VGV4dD48cmVjb3JkPjxyZWMtbnVtYmVyPjg2PC9yZWMtbnVtYmVyPjxmb3JlaWduLWtleXM+PGtl
eSBhcHA9IkVOIiBkYi1pZD0iMHgwejV6eGF0emF0OW9lOTAyN3hlYTJwZTJ3ZTVkZWU1ZGV6IiB0
aW1lc3RhbXA9IjE3NDY4MTc5NjIiPjg2PC9rZXk+PC9mb3JlaWduLWtleXM+PHJlZi10eXBlIG5h
bWU9IkpvdXJuYWwgQXJ0aWNsZSI+MTc8L3JlZi10eXBlPjxjb250cmlidXRvcnM+PGF1dGhvcnM+
PGF1dGhvcj5DaGl0cmFuc2gsIEFwYXI8L2F1dGhvcj48YXV0aG9yPkJpbmRhbCwgUmFuaml0IEt1
bWFyPC9hdXRob3I+PC9hdXRob3JzPjwvY29udHJpYnV0b3JzPjx0aXRsZXM+PHRpdGxlPkEgUmV2
aWV3IG9uIEVuZXJneSBTdG9yYWdlIFN5c3RlbSBvZiBTbWFydCBHcmlkIFN5c3RlbTwvdGl0bGU+
PHNlY29uZGFyeS10aXRsZT5wdWJsaXNoZWQgaW4gSW50ZXJuYXRpb25hbCBKb3VybmFsIG9mIFNj
aWVuY2UgYW5kIFJlc2VhcmNoIChJSlNSKTwvc2Vjb25kYXJ5LXRpdGxlPjwvdGl0bGVzPjxwZXJp
b2RpY2FsPjxmdWxsLXRpdGxlPnB1Ymxpc2hlZCBpbiBJbnRlcm5hdGlvbmFsIEpvdXJuYWwgb2Yg
U2NpZW5jZSBhbmQgUmVzZWFyY2ggKElKU1IpPC9mdWxsLXRpdGxlPjwvcGVyaW9kaWNhbD48dm9s
dW1lPjEwPC92b2x1bWU+PG51bWJlcj42PC9udW1iZXI+PGRhdGVzPjx5ZWFyPjIwMjE8L3llYXI+
PC9kYXRlcz48dXJscz48L3VybHM+PC9yZWNvcmQ+PC9DaXRlPjxDaXRlPjxBdXRob3I+WXVlbjwv
QXV0aG9yPjxZZWFyPjIwMTA8L1llYXI+PFJlY051bT44NzwvUmVjTnVtPjxyZWNvcmQ+PHJlYy1u
dW1iZXI+ODc8L3JlYy1udW1iZXI+PGZvcmVpZ24ta2V5cz48a2V5IGFwcD0iRU4iIGRiLWlkPSIw
eDB6NXp4YXR6YXQ5b2U5MDI3eGVhMnBlMndlNWRlZTVkZXoiIHRpbWVzdGFtcD0iMTc0NjgxODAx
NCI+ODc8L2tleT48L2ZvcmVpZ24ta2V5cz48cmVmLXR5cGUgbmFtZT0iSm91cm5hbCBBcnRpY2xl
Ij4xNzwvcmVmLXR5cGU+PGNvbnRyaWJ1dG9ycz48YXV0aG9ycz48YXV0aG9yPll1ZW4sIENoZXJy
eTwvYXV0aG9yPjxhdXRob3I+T3VkYWxvdiwgQWxleGFuZHJlPC9hdXRob3I+PGF1dGhvcj5UaW1i
dXMsIEFkcmlhbjwvYXV0aG9yPjwvYXV0aG9ycz48L2NvbnRyaWJ1dG9ycz48dGl0bGVzPjx0aXRs
ZT5UaGUgcHJvdmlzaW9uIG9mIGZyZXF1ZW5jeSBjb250cm9sIHJlc2VydmVzIGZyb20gbXVsdGlw
bGUgbWljcm9ncmlkczwvdGl0bGU+PHNlY29uZGFyeS10aXRsZT5JRUVFIFRyYW5zYWN0aW9ucyBv
biBJbmR1c3RyaWFsIEVsZWN0cm9uaWNzPC9zZWNvbmRhcnktdGl0bGU+PC90aXRsZXM+PHBlcmlv
ZGljYWw+PGZ1bGwtdGl0bGU+SUVFRSBUcmFuc2FjdGlvbnMgb24gSW5kdXN0cmlhbCBFbGVjdHJv
bmljczwvZnVsbC10aXRsZT48L3BlcmlvZGljYWw+PHBhZ2VzPjE3My0xODM8L3BhZ2VzPjx2b2x1
bWU+NTg8L3ZvbHVtZT48bnVtYmVyPjE8L251bWJlcj48ZGF0ZXM+PHllYXI+MjAxMDwveWVhcj48
L2RhdGVzPjxpc2JuPjAyNzgtMDA0NjwvaXNibj48dXJscz48L3VybHM+PC9yZWNvcmQ+PC9DaXRl
PjxDaXRlPjxBdXRob3I+Wmhhbmc8L0F1dGhvcj48WWVhcj4yMDIzPC9ZZWFyPjxSZWNOdW0+ODU8
L1JlY051bT48cmVjb3JkPjxyZWMtbnVtYmVyPjg1PC9yZWMtbnVtYmVyPjxmb3JlaWduLWtleXM+
PGtleSBhcHA9IkVOIiBkYi1pZD0iMHgwejV6eGF0emF0OW9lOTAyN3hlYTJwZTJ3ZTVkZWU1ZGV6
IiB0aW1lc3RhbXA9IjE3NDY4MTc4OTkiPjg1PC9rZXk+PC9mb3JlaWduLWtleXM+PHJlZi10eXBl
IG5hbWU9IkpvdXJuYWwgQXJ0aWNsZSI+MTc8L3JlZi10eXBlPjxjb250cmlidXRvcnM+PGF1dGhv
cnM+PGF1dGhvcj5aaGFuZywgWW9uZ2xlaTwvYXV0aG9yPjxhdXRob3I+UGVuZywgWGluPC9hdXRo
b3I+PGF1dGhvcj5ZdWFuLCBYaWJvPC9hdXRob3I+PGF1dGhvcj5MaSwgWWFuPC9hdXRob3I+PGF1
dGhvcj5XYW5nLCBLYWk8L2F1dGhvcj48L2F1dGhvcnM+PC9jb250cmlidXRvcnM+PHRpdGxlcz48
dGl0bGU+QSB1bmlkaXJlY3Rpb25hbCBjYXNjYWRlZCBoaWdoLXBvd2VyIHdpbmQgY29udmVydGVy
IHdpdGggcmVkdWNlZCBudW1iZXIgb2YgYWN0aXZlIGRldmljZXM8L3RpdGxlPjxzZWNvbmRhcnkt
dGl0bGU+SUVFRSBBY2Nlc3M8L3NlY29uZGFyeS10aXRsZT48L3RpdGxlcz48cGVyaW9kaWNhbD48
ZnVsbC10aXRsZT5JRUVFIEFjY2VzczwvZnVsbC10aXRsZT48L3BlcmlvZGljYWw+PHBhZ2VzPjEw
OTAyLTEwOTExPC9wYWdlcz48dm9sdW1lPjExPC92b2x1bWU+PGRhdGVzPjx5ZWFyPjIwMjM8L3ll
YXI+PC9kYXRlcz48aXNibj4yMTY5LTM1MzY8L2lzYm4+PHVybHM+PC91cmxzPjwvcmVjb3JkPjwv
Q2l0ZT48L0VuZE5vdGU+AG==
</w:fldData>
        </w:fldChar>
      </w:r>
      <w:r w:rsidR="00B24DBC" w:rsidRPr="00CE04FC">
        <w:rPr>
          <w:rFonts w:ascii="Times New Roman" w:hAnsi="Times New Roman" w:cs="Times New Roman"/>
        </w:rPr>
        <w:instrText xml:space="preserve"> ADDIN EN.CITE.DATA </w:instrText>
      </w:r>
      <w:r w:rsidR="00B24DBC" w:rsidRPr="00CE04FC">
        <w:rPr>
          <w:rFonts w:ascii="Times New Roman" w:hAnsi="Times New Roman" w:cs="Times New Roman"/>
        </w:rPr>
      </w:r>
      <w:r w:rsidR="00B24DBC" w:rsidRPr="00CE04FC">
        <w:rPr>
          <w:rFonts w:ascii="Times New Roman" w:hAnsi="Times New Roman" w:cs="Times New Roman"/>
        </w:rPr>
        <w:fldChar w:fldCharType="end"/>
      </w:r>
      <w:r w:rsidR="00B24DBC" w:rsidRPr="00CE04FC">
        <w:rPr>
          <w:rFonts w:ascii="Times New Roman" w:hAnsi="Times New Roman" w:cs="Times New Roman"/>
        </w:rPr>
      </w:r>
      <w:r w:rsidR="00B24DBC" w:rsidRPr="00CE04FC">
        <w:rPr>
          <w:rFonts w:ascii="Times New Roman" w:hAnsi="Times New Roman" w:cs="Times New Roman"/>
        </w:rPr>
        <w:fldChar w:fldCharType="separate"/>
      </w:r>
      <w:r w:rsidR="00B24DBC" w:rsidRPr="00CE04FC">
        <w:rPr>
          <w:rFonts w:ascii="Times New Roman" w:hAnsi="Times New Roman" w:cs="Times New Roman"/>
        </w:rPr>
        <w:t>(Chitransh &amp; Bindal, 2021; Yuen et al., 2010; Y. Zhang et al., 2023)</w:t>
      </w:r>
      <w:r w:rsidR="00B24DBC" w:rsidRPr="00CE04FC">
        <w:rPr>
          <w:rFonts w:ascii="Times New Roman" w:hAnsi="Times New Roman" w:cs="Times New Roman"/>
        </w:rPr>
        <w:fldChar w:fldCharType="end"/>
      </w:r>
      <w:r w:rsidRPr="00CE04FC">
        <w:rPr>
          <w:rFonts w:ascii="Times New Roman" w:hAnsi="Times New Roman" w:cs="Times New Roman"/>
        </w:rPr>
        <w:t>—made exhaustive direct simulations computationally infeasible.</w:t>
      </w:r>
    </w:p>
    <w:p w14:paraId="4407B304" w14:textId="1198B601" w:rsidR="005C39DC" w:rsidRPr="00CE04FC" w:rsidRDefault="005C39DC" w:rsidP="005C39DC">
      <w:pPr>
        <w:spacing w:line="240" w:lineRule="auto"/>
        <w:jc w:val="both"/>
        <w:rPr>
          <w:rFonts w:ascii="Times New Roman" w:hAnsi="Times New Roman" w:cs="Times New Roman"/>
        </w:rPr>
      </w:pPr>
      <w:r w:rsidRPr="00CE04FC">
        <w:rPr>
          <w:rFonts w:ascii="Times New Roman" w:hAnsi="Times New Roman" w:cs="Times New Roman"/>
        </w:rPr>
        <w:t>To overcome this limitation, we developed a novel machine learning–enhanced UQ framework by integrating an artificial neural network (ANN) surrogate with Aspen Plus simulations. This approach drastically reduces computational overhead while maintaining high predictive fidelity. Embedding the ANN within the UQ workflow achieved a three-order-of-magnitude reduction in computational cost compared to direct simulation. For example, analysing six system capacities (10–20 MW) with conventional simulations would require over 24,000 full-process runs, totalling approximately 6,300 CPU hours. In contrast, once trained, the ANN model completed the same uncertainty propagation in under 7 hours on the same hardware. This efficiency becomes even more critical as system complexity increases. Moreover, the framework is simulation-agnostic and scalable, allowing integration with platforms such as ANSYS, Aspen Plus, COMSOL, or MATLAB/Simulink. Its main strength is enabling rigorous uncertainty analysis for complex, nonlinear, and tightly coupled energy systems that are otherwise intractable with conventional methods.</w:t>
      </w:r>
    </w:p>
    <w:p w14:paraId="766B8BF9" w14:textId="4E683C16" w:rsidR="005C39DC" w:rsidRPr="00CE04FC" w:rsidRDefault="005C39DC" w:rsidP="005C39DC">
      <w:pPr>
        <w:spacing w:line="240" w:lineRule="auto"/>
        <w:jc w:val="both"/>
        <w:rPr>
          <w:rFonts w:ascii="Times New Roman" w:hAnsi="Times New Roman" w:cs="Times New Roman"/>
        </w:rPr>
      </w:pPr>
      <w:r w:rsidRPr="00CE04FC">
        <w:rPr>
          <w:rFonts w:ascii="Times New Roman" w:hAnsi="Times New Roman" w:cs="Times New Roman"/>
        </w:rPr>
        <w:t>We focused on six critical uncertain parameters: four heat exchanger effectiveness values (HE1–HE4), compressor efficiency (C</w:t>
      </w:r>
      <w:r w:rsidRPr="00CE04FC">
        <w:rPr>
          <w:rFonts w:ascii="Times New Roman" w:hAnsi="Times New Roman" w:cs="Times New Roman"/>
          <w:vertAlign w:val="subscript"/>
        </w:rPr>
        <w:t>eff</w:t>
      </w:r>
      <w:r w:rsidRPr="00CE04FC">
        <w:rPr>
          <w:rFonts w:ascii="Times New Roman" w:hAnsi="Times New Roman" w:cs="Times New Roman"/>
        </w:rPr>
        <w:t>), and electrolyser power input (P</w:t>
      </w:r>
      <w:r w:rsidRPr="00CE04FC">
        <w:rPr>
          <w:rFonts w:ascii="Times New Roman" w:hAnsi="Times New Roman" w:cs="Times New Roman"/>
          <w:vertAlign w:val="subscript"/>
        </w:rPr>
        <w:t>in</w:t>
      </w:r>
      <w:r w:rsidRPr="00CE04FC">
        <w:rPr>
          <w:rFonts w:ascii="Times New Roman" w:hAnsi="Times New Roman" w:cs="Times New Roman"/>
        </w:rPr>
        <w:t xml:space="preserve">). Using UQTk, these parameters were systematically sampled to ensure comprehensive coverage of the input space. The sampled inputs were processed through Aspen Plus to generate outputs for ammonia production and refrigeration generation. Unlike traditional direct simulations, the ANN surrogate replaces Aspen Plus runs, as illustrated in </w:t>
      </w:r>
      <w:r w:rsidR="00B24DBC" w:rsidRPr="00CE04FC">
        <w:rPr>
          <w:rFonts w:ascii="Times New Roman" w:hAnsi="Times New Roman" w:cs="Times New Roman"/>
        </w:rPr>
        <w:fldChar w:fldCharType="begin"/>
      </w:r>
      <w:r w:rsidR="00B24DBC" w:rsidRPr="00CE04FC">
        <w:rPr>
          <w:rFonts w:ascii="Times New Roman" w:hAnsi="Times New Roman" w:cs="Times New Roman"/>
        </w:rPr>
        <w:instrText xml:space="preserve"> REF _Ref187229352 \h  \* MERGEFORMAT </w:instrText>
      </w:r>
      <w:r w:rsidR="00B24DBC" w:rsidRPr="00CE04FC">
        <w:rPr>
          <w:rFonts w:ascii="Times New Roman" w:hAnsi="Times New Roman" w:cs="Times New Roman"/>
        </w:rPr>
      </w:r>
      <w:r w:rsidR="00B24DBC" w:rsidRPr="00CE04FC">
        <w:rPr>
          <w:rFonts w:ascii="Times New Roman" w:hAnsi="Times New Roman" w:cs="Times New Roman"/>
        </w:rPr>
        <w:fldChar w:fldCharType="separate"/>
      </w:r>
      <w:r w:rsidR="00B24DBC" w:rsidRPr="00CE04FC">
        <w:rPr>
          <w:rFonts w:ascii="Times New Roman" w:hAnsi="Times New Roman" w:cs="Times New Roman"/>
        </w:rPr>
        <w:t xml:space="preserve">Figure </w:t>
      </w:r>
      <w:r w:rsidR="00B24DBC" w:rsidRPr="00CE04FC">
        <w:rPr>
          <w:rFonts w:ascii="Times New Roman" w:hAnsi="Times New Roman" w:cs="Times New Roman"/>
          <w:noProof/>
        </w:rPr>
        <w:t>5</w:t>
      </w:r>
      <w:r w:rsidR="00B24DBC" w:rsidRPr="00CE04FC">
        <w:rPr>
          <w:rFonts w:ascii="Times New Roman" w:hAnsi="Times New Roman" w:cs="Times New Roman"/>
        </w:rPr>
        <w:fldChar w:fldCharType="end"/>
      </w:r>
      <w:r w:rsidRPr="00CE04FC">
        <w:rPr>
          <w:rFonts w:ascii="Times New Roman" w:hAnsi="Times New Roman" w:cs="Times New Roman"/>
        </w:rPr>
        <w:t>. While ML-UQ approaches have been applied in other engineering domains, this represents one of the first implementations tailored to hybrid green ammonia systems, providing a scalable alternative for UQ in this emerging field.</w:t>
      </w:r>
    </w:p>
    <w:p w14:paraId="782C69EA" w14:textId="549A14EC" w:rsidR="00D75860" w:rsidRPr="00CE04FC" w:rsidRDefault="005C39DC" w:rsidP="00D75860">
      <w:pPr>
        <w:spacing w:line="240" w:lineRule="auto"/>
        <w:jc w:val="both"/>
        <w:rPr>
          <w:rFonts w:ascii="Times New Roman" w:hAnsi="Times New Roman" w:cs="Times New Roman"/>
        </w:rPr>
      </w:pPr>
      <w:r w:rsidRPr="00CE04FC">
        <w:rPr>
          <w:rFonts w:ascii="Times New Roman" w:hAnsi="Times New Roman" w:cs="Times New Roman"/>
        </w:rPr>
        <w:t>The ANN model was trained on the Aspen Plus simulation data, with its parameters optimi</w:t>
      </w:r>
      <w:r w:rsidR="0059512F" w:rsidRPr="00CE04FC">
        <w:rPr>
          <w:rFonts w:ascii="Times New Roman" w:hAnsi="Times New Roman" w:cs="Times New Roman"/>
        </w:rPr>
        <w:t>s</w:t>
      </w:r>
      <w:r w:rsidRPr="00CE04FC">
        <w:rPr>
          <w:rFonts w:ascii="Times New Roman" w:hAnsi="Times New Roman" w:cs="Times New Roman"/>
        </w:rPr>
        <w:t>ed to minimi</w:t>
      </w:r>
      <w:r w:rsidR="0059512F" w:rsidRPr="00CE04FC">
        <w:rPr>
          <w:rFonts w:ascii="Times New Roman" w:hAnsi="Times New Roman" w:cs="Times New Roman"/>
        </w:rPr>
        <w:t>s</w:t>
      </w:r>
      <w:r w:rsidRPr="00CE04FC">
        <w:rPr>
          <w:rFonts w:ascii="Times New Roman" w:hAnsi="Times New Roman" w:cs="Times New Roman"/>
        </w:rPr>
        <w:t>e prediction error. Once validated, the ML-based model performed the UQ analysis in place of the full simulation. This integration greatly reduced computational time and resource usage while efficiently predicting system outputs—ammonia production, refrigeration generation, GHG emission reduction, and revenue—across the parameter space. By replacing exhaustive simulations that would have been prohibitive for large-scale analyses, the ML surrogate enabled comprehensive uncertainty quantification. This approach not only streamlines the analysis process but also supports timely, resource-efficient decision-making, highlighting the substantial benefits of ML-enhanced UQ in complex energy systems.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E04FC" w:rsidRPr="00CE04FC" w14:paraId="17B13BBF" w14:textId="77777777" w:rsidTr="007D40E1">
        <w:trPr>
          <w:jc w:val="center"/>
        </w:trPr>
        <w:tc>
          <w:tcPr>
            <w:tcW w:w="9026" w:type="dxa"/>
          </w:tcPr>
          <w:p w14:paraId="5AE82A72" w14:textId="16621045" w:rsidR="00D75860" w:rsidRPr="00CE04FC" w:rsidRDefault="00326456"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4B16E1CF" wp14:editId="7AABD679">
                  <wp:extent cx="4033728" cy="2479853"/>
                  <wp:effectExtent l="0" t="0" r="5080" b="0"/>
                  <wp:docPr id="1930379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79508" name=""/>
                          <pic:cNvPicPr/>
                        </pic:nvPicPr>
                        <pic:blipFill>
                          <a:blip r:embed="rId13"/>
                          <a:stretch>
                            <a:fillRect/>
                          </a:stretch>
                        </pic:blipFill>
                        <pic:spPr>
                          <a:xfrm>
                            <a:off x="0" y="0"/>
                            <a:ext cx="4070593" cy="2502517"/>
                          </a:xfrm>
                          <a:prstGeom prst="rect">
                            <a:avLst/>
                          </a:prstGeom>
                        </pic:spPr>
                      </pic:pic>
                    </a:graphicData>
                  </a:graphic>
                </wp:inline>
              </w:drawing>
            </w:r>
          </w:p>
        </w:tc>
      </w:tr>
      <w:tr w:rsidR="00CE04FC" w:rsidRPr="00CE04FC" w14:paraId="2D6CD642" w14:textId="77777777" w:rsidTr="007D40E1">
        <w:trPr>
          <w:jc w:val="center"/>
        </w:trPr>
        <w:tc>
          <w:tcPr>
            <w:tcW w:w="9026" w:type="dxa"/>
          </w:tcPr>
          <w:p w14:paraId="36B020A6" w14:textId="79710D61" w:rsidR="00347532" w:rsidRPr="00CE04FC" w:rsidRDefault="00D75860" w:rsidP="00EE09F9">
            <w:pPr>
              <w:jc w:val="center"/>
              <w:rPr>
                <w:rFonts w:ascii="Times New Roman" w:hAnsi="Times New Roman" w:cs="Times New Roman"/>
              </w:rPr>
            </w:pPr>
            <w:bookmarkStart w:id="18" w:name="_Ref187229352"/>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5</w:t>
            </w:r>
            <w:r w:rsidRPr="00CE04FC">
              <w:rPr>
                <w:rFonts w:ascii="Times New Roman" w:hAnsi="Times New Roman" w:cs="Times New Roman"/>
              </w:rPr>
              <w:fldChar w:fldCharType="end"/>
            </w:r>
            <w:bookmarkEnd w:id="18"/>
            <w:r w:rsidR="00A62CE4" w:rsidRPr="00CE04FC">
              <w:rPr>
                <w:rFonts w:ascii="Times New Roman" w:hAnsi="Times New Roman" w:cs="Times New Roman"/>
              </w:rPr>
              <w:t xml:space="preserve">. Schematic </w:t>
            </w:r>
            <w:r w:rsidR="00563289" w:rsidRPr="00CE04FC">
              <w:rPr>
                <w:rFonts w:ascii="Times New Roman" w:hAnsi="Times New Roman" w:cs="Times New Roman"/>
              </w:rPr>
              <w:t xml:space="preserve">representation of the novel </w:t>
            </w:r>
            <w:r w:rsidR="0084798D" w:rsidRPr="00CE04FC">
              <w:rPr>
                <w:rFonts w:ascii="Times New Roman" w:hAnsi="Times New Roman" w:cs="Times New Roman"/>
              </w:rPr>
              <w:t>‘</w:t>
            </w:r>
            <w:r w:rsidRPr="00CE04FC">
              <w:rPr>
                <w:rFonts w:ascii="Times New Roman" w:hAnsi="Times New Roman" w:cs="Times New Roman"/>
              </w:rPr>
              <w:t>ML enhanced UQ</w:t>
            </w:r>
            <w:r w:rsidR="0084798D" w:rsidRPr="00CE04FC">
              <w:rPr>
                <w:rFonts w:ascii="Times New Roman" w:hAnsi="Times New Roman" w:cs="Times New Roman"/>
              </w:rPr>
              <w:t xml:space="preserve"> analysis</w:t>
            </w:r>
            <w:r w:rsidR="00045ED8" w:rsidRPr="00CE04FC">
              <w:rPr>
                <w:rFonts w:ascii="Times New Roman" w:hAnsi="Times New Roman" w:cs="Times New Roman"/>
              </w:rPr>
              <w:t>’</w:t>
            </w:r>
            <w:r w:rsidR="0084798D" w:rsidRPr="00CE04FC">
              <w:rPr>
                <w:rFonts w:ascii="Times New Roman" w:hAnsi="Times New Roman" w:cs="Times New Roman"/>
              </w:rPr>
              <w:t xml:space="preserve"> for the hybridised ammonia production system</w:t>
            </w:r>
            <w:r w:rsidRPr="00CE04FC">
              <w:rPr>
                <w:rFonts w:ascii="Times New Roman" w:hAnsi="Times New Roman" w:cs="Times New Roman"/>
              </w:rPr>
              <w:t>.</w:t>
            </w:r>
          </w:p>
          <w:p w14:paraId="14521E9B" w14:textId="77777777" w:rsidR="00D75860" w:rsidRPr="00CE04FC" w:rsidRDefault="00D75860" w:rsidP="00D75860">
            <w:pPr>
              <w:keepNext/>
              <w:jc w:val="center"/>
              <w:rPr>
                <w:rFonts w:ascii="Times New Roman" w:hAnsi="Times New Roman" w:cs="Times New Roman"/>
              </w:rPr>
            </w:pPr>
          </w:p>
        </w:tc>
      </w:tr>
    </w:tbl>
    <w:p w14:paraId="4364736C" w14:textId="11186F28" w:rsidR="00D75860" w:rsidRPr="00CE04FC" w:rsidRDefault="00D75860" w:rsidP="008F298B">
      <w:pPr>
        <w:pStyle w:val="Heading3"/>
      </w:pPr>
      <w:r w:rsidRPr="00CE04FC">
        <w:t xml:space="preserve"> </w:t>
      </w:r>
      <w:bookmarkStart w:id="19" w:name="_Ref189680195"/>
      <w:r w:rsidRPr="00CE04FC">
        <w:t>ML model validation</w:t>
      </w:r>
      <w:bookmarkEnd w:id="19"/>
    </w:p>
    <w:p w14:paraId="73FD7FDC" w14:textId="77777777" w:rsidR="00A22ABF" w:rsidRPr="00CE04FC" w:rsidRDefault="00A22ABF" w:rsidP="0047369F">
      <w:pPr>
        <w:pStyle w:val="ds-markdown-paragraph"/>
        <w:shd w:val="clear" w:color="auto" w:fill="FFFFFF"/>
        <w:spacing w:before="0" w:beforeAutospacing="0" w:after="206" w:afterAutospacing="0"/>
        <w:jc w:val="both"/>
        <w:rPr>
          <w:sz w:val="22"/>
          <w:szCs w:val="22"/>
        </w:rPr>
      </w:pPr>
      <w:r w:rsidRPr="00CE04FC">
        <w:rPr>
          <w:sz w:val="22"/>
          <w:szCs w:val="22"/>
        </w:rPr>
        <w:t xml:space="preserve">The ML model was rigorously validated through multiple approaches, including R² evaluation, output distribution comparisons, and uncertainty quantification assessment. Through iterative dataset </w:t>
      </w:r>
      <w:r w:rsidRPr="00CE04FC">
        <w:rPr>
          <w:sz w:val="22"/>
          <w:szCs w:val="22"/>
        </w:rPr>
        <w:lastRenderedPageBreak/>
        <w:t>expansion, the model achieved strong predictive performance (R² = 0.97, MAE = 8.57, RMSE = 11.3), demonstrating excellent agreement with Aspen Plus simulations. Cross-validation using alternative UQTk-generated sample sets confirmed consistent performance across different data subsets, supporting framework reliability.</w:t>
      </w:r>
    </w:p>
    <w:p w14:paraId="46077BE4" w14:textId="55AF30B7" w:rsidR="00A22ABF" w:rsidRPr="00CE04FC" w:rsidRDefault="00A22ABF" w:rsidP="72F55116">
      <w:pPr>
        <w:pStyle w:val="ds-markdown-paragraph"/>
        <w:shd w:val="clear" w:color="auto" w:fill="FFFFFF" w:themeFill="background1"/>
        <w:spacing w:before="0" w:beforeAutospacing="0" w:after="206" w:afterAutospacing="0"/>
        <w:jc w:val="both"/>
        <w:rPr>
          <w:sz w:val="22"/>
          <w:szCs w:val="22"/>
        </w:rPr>
      </w:pPr>
      <w:r w:rsidRPr="00CE04FC">
        <w:rPr>
          <w:sz w:val="22"/>
          <w:szCs w:val="22"/>
        </w:rPr>
        <w:t xml:space="preserve">For model development, the dataset was progressively expanded and partitioned into 70% training, 15% validation, and 15% test sets. Additional </w:t>
      </w:r>
      <w:r w:rsidR="00A41804" w:rsidRPr="00CE04FC">
        <w:rPr>
          <w:sz w:val="22"/>
          <w:szCs w:val="22"/>
        </w:rPr>
        <w:t>cross-</w:t>
      </w:r>
      <w:r w:rsidRPr="00CE04FC">
        <w:rPr>
          <w:sz w:val="22"/>
          <w:szCs w:val="22"/>
        </w:rPr>
        <w:t>validation using completely unseen "blind" data further verified the model's ability to accurately predict system behaviour under varying conditions.</w:t>
      </w:r>
      <w:r w:rsidR="00FF0068" w:rsidRPr="00CE04FC">
        <w:rPr>
          <w:sz w:val="22"/>
          <w:szCs w:val="22"/>
        </w:rPr>
        <w:t xml:space="preserve"> </w:t>
      </w:r>
      <w:r w:rsidR="00D02993" w:rsidRPr="00CE04FC">
        <w:rPr>
          <w:sz w:val="22"/>
          <w:szCs w:val="22"/>
        </w:rPr>
        <w:fldChar w:fldCharType="begin"/>
      </w:r>
      <w:r w:rsidR="00D02993" w:rsidRPr="00CE04FC">
        <w:rPr>
          <w:sz w:val="22"/>
          <w:szCs w:val="22"/>
        </w:rPr>
        <w:instrText xml:space="preserve"> REF _Ref186548978 \h  \* MERGEFORMAT </w:instrText>
      </w:r>
      <w:r w:rsidR="00D02993" w:rsidRPr="00CE04FC">
        <w:rPr>
          <w:sz w:val="22"/>
          <w:szCs w:val="22"/>
        </w:rPr>
      </w:r>
      <w:r w:rsidR="00D02993" w:rsidRPr="00CE04FC">
        <w:rPr>
          <w:sz w:val="22"/>
          <w:szCs w:val="22"/>
        </w:rPr>
        <w:fldChar w:fldCharType="separate"/>
      </w:r>
      <w:r w:rsidR="00D02993" w:rsidRPr="00CE04FC">
        <w:rPr>
          <w:sz w:val="22"/>
          <w:szCs w:val="22"/>
        </w:rPr>
        <w:t>Figure 6</w:t>
      </w:r>
      <w:r w:rsidR="00D02993" w:rsidRPr="00CE04FC">
        <w:rPr>
          <w:sz w:val="22"/>
          <w:szCs w:val="22"/>
        </w:rPr>
        <w:fldChar w:fldCharType="end"/>
      </w:r>
      <w:r w:rsidR="00172E34" w:rsidRPr="00CE04FC">
        <w:rPr>
          <w:sz w:val="22"/>
          <w:szCs w:val="22"/>
        </w:rPr>
        <w:t xml:space="preserve"> </w:t>
      </w:r>
      <w:r w:rsidRPr="00CE04FC">
        <w:rPr>
          <w:sz w:val="22"/>
          <w:szCs w:val="22"/>
        </w:rPr>
        <w:t xml:space="preserve">compares probability density functions (PDFs) between Aspen Plus simulations and data-driven </w:t>
      </w:r>
      <w:r w:rsidR="00235529" w:rsidRPr="00CE04FC">
        <w:rPr>
          <w:sz w:val="22"/>
          <w:szCs w:val="22"/>
        </w:rPr>
        <w:t>model results</w:t>
      </w:r>
      <w:r w:rsidRPr="00CE04FC">
        <w:rPr>
          <w:sz w:val="22"/>
          <w:szCs w:val="22"/>
        </w:rPr>
        <w:t xml:space="preserve"> for both ammonia production and refrigeration generation. The ammonia production PDF shows a uniform distribution (</w:t>
      </w:r>
      <w:r w:rsidR="00D02993" w:rsidRPr="00CE04FC">
        <w:rPr>
          <w:sz w:val="22"/>
          <w:szCs w:val="22"/>
        </w:rPr>
        <w:fldChar w:fldCharType="begin"/>
      </w:r>
      <w:r w:rsidR="00D02993" w:rsidRPr="00CE04FC">
        <w:rPr>
          <w:sz w:val="22"/>
          <w:szCs w:val="22"/>
        </w:rPr>
        <w:instrText xml:space="preserve"> REF _Ref186548978 \h  \* MERGEFORMAT </w:instrText>
      </w:r>
      <w:r w:rsidR="00D02993" w:rsidRPr="00CE04FC">
        <w:rPr>
          <w:sz w:val="22"/>
          <w:szCs w:val="22"/>
        </w:rPr>
      </w:r>
      <w:r w:rsidR="00D02993" w:rsidRPr="00CE04FC">
        <w:rPr>
          <w:sz w:val="22"/>
          <w:szCs w:val="22"/>
        </w:rPr>
        <w:fldChar w:fldCharType="separate"/>
      </w:r>
      <w:r w:rsidR="00D02993" w:rsidRPr="00CE04FC">
        <w:rPr>
          <w:sz w:val="22"/>
          <w:szCs w:val="22"/>
        </w:rPr>
        <w:t>Figure 6</w:t>
      </w:r>
      <w:r w:rsidR="00D02993" w:rsidRPr="00CE04FC">
        <w:rPr>
          <w:sz w:val="22"/>
          <w:szCs w:val="22"/>
        </w:rPr>
        <w:fldChar w:fldCharType="end"/>
      </w:r>
      <w:r w:rsidRPr="00CE04FC">
        <w:rPr>
          <w:sz w:val="22"/>
          <w:szCs w:val="22"/>
        </w:rPr>
        <w:t>a), reflecting linear variation propagation primarily influenced by input power and two heat exchangers. In contrast, refrigeration generation exhibits a normal distribution (</w:t>
      </w:r>
      <w:r w:rsidR="00D02993" w:rsidRPr="00CE04FC">
        <w:rPr>
          <w:sz w:val="22"/>
          <w:szCs w:val="22"/>
        </w:rPr>
        <w:fldChar w:fldCharType="begin"/>
      </w:r>
      <w:r w:rsidR="00D02993" w:rsidRPr="00CE04FC">
        <w:rPr>
          <w:sz w:val="22"/>
          <w:szCs w:val="22"/>
        </w:rPr>
        <w:instrText xml:space="preserve"> REF _Ref186548978 \h  \* MERGEFORMAT </w:instrText>
      </w:r>
      <w:r w:rsidR="00D02993" w:rsidRPr="00CE04FC">
        <w:rPr>
          <w:sz w:val="22"/>
          <w:szCs w:val="22"/>
        </w:rPr>
      </w:r>
      <w:r w:rsidR="00D02993" w:rsidRPr="00CE04FC">
        <w:rPr>
          <w:sz w:val="22"/>
          <w:szCs w:val="22"/>
        </w:rPr>
        <w:fldChar w:fldCharType="separate"/>
      </w:r>
      <w:r w:rsidR="00D02993" w:rsidRPr="00CE04FC">
        <w:rPr>
          <w:sz w:val="22"/>
          <w:szCs w:val="22"/>
        </w:rPr>
        <w:t>Figure 6</w:t>
      </w:r>
      <w:r w:rsidR="00D02993" w:rsidRPr="00CE04FC">
        <w:rPr>
          <w:sz w:val="22"/>
          <w:szCs w:val="22"/>
        </w:rPr>
        <w:fldChar w:fldCharType="end"/>
      </w:r>
      <w:r w:rsidRPr="00CE04FC">
        <w:rPr>
          <w:sz w:val="22"/>
          <w:szCs w:val="22"/>
        </w:rPr>
        <w:t xml:space="preserve">b, bell-shaped curve), resulting from the combined effects of multiple interacting uncertainties (input power, several heat exchangers, compressor efficiency) following Central Limit Theorem principles </w:t>
      </w:r>
      <w:r w:rsidR="00F80535" w:rsidRPr="00CE04FC">
        <w:rPr>
          <w:sz w:val="22"/>
          <w:szCs w:val="22"/>
        </w:rPr>
        <w:fldChar w:fldCharType="begin"/>
      </w:r>
      <w:r w:rsidR="00F80535" w:rsidRPr="00CE04FC">
        <w:rPr>
          <w:sz w:val="22"/>
          <w:szCs w:val="22"/>
        </w:rPr>
        <w:instrText xml:space="preserve"> ADDIN EN.CITE &lt;EndNote&gt;&lt;Cite&gt;&lt;Author&gt;Spanos&lt;/Author&gt;&lt;Year&gt;1986&lt;/Year&gt;&lt;RecNum&gt;69&lt;/RecNum&gt;&lt;DisplayText&gt;(Davidson, 1994; Spanos, 1986)&lt;/DisplayText&gt;&lt;record&gt;&lt;rec-number&gt;69&lt;/rec-number&gt;&lt;foreign-keys&gt;&lt;key app="EN" db-id="0x0z5zxatzat9oe9027xea2pe2we5dee5dez" timestamp="1745959472"&gt;69&lt;/key&gt;&lt;/foreign-keys&gt;&lt;ref-type name="Book"&gt;6&lt;/ref-type&gt;&lt;contributors&gt;&lt;authors&gt;&lt;author&gt;Spanos, Aris&lt;/author&gt;&lt;/authors&gt;&lt;/contributors&gt;&lt;titles&gt;&lt;title&gt;Statistical foundations of econometric modelling&lt;/title&gt;&lt;/titles&gt;&lt;dates&gt;&lt;year&gt;1986&lt;/year&gt;&lt;/dates&gt;&lt;publisher&gt;Cambridge University Press&lt;/publisher&gt;&lt;isbn&gt;0521269121&lt;/isbn&gt;&lt;urls&gt;&lt;/urls&gt;&lt;/record&gt;&lt;/Cite&gt;&lt;Cite&gt;&lt;Author&gt;Davidson&lt;/Author&gt;&lt;Year&gt;1994&lt;/Year&gt;&lt;RecNum&gt;30&lt;/RecNum&gt;&lt;record&gt;&lt;rec-number&gt;30&lt;/rec-number&gt;&lt;foreign-keys&gt;&lt;key app="EN" db-id="0x0z5zxatzat9oe9027xea2pe2we5dee5dez" timestamp="1744657321"&gt;30&lt;/key&gt;&lt;/foreign-keys&gt;&lt;ref-type name="Book"&gt;6&lt;/ref-type&gt;&lt;contributors&gt;&lt;authors&gt;&lt;author&gt;Davidson, James&lt;/author&gt;&lt;/authors&gt;&lt;/contributors&gt;&lt;titles&gt;&lt;title&gt;Stochastic limit theory: An introduction for econometricians&lt;/title&gt;&lt;/titles&gt;&lt;dates&gt;&lt;year&gt;1994&lt;/year&gt;&lt;/dates&gt;&lt;publisher&gt;OUP Oxford&lt;/publisher&gt;&lt;isbn&gt;0191525049&lt;/isbn&gt;&lt;urls&gt;&lt;/urls&gt;&lt;/record&gt;&lt;/Cite&gt;&lt;/EndNote&gt;</w:instrText>
      </w:r>
      <w:r w:rsidR="00F80535" w:rsidRPr="00CE04FC">
        <w:rPr>
          <w:sz w:val="22"/>
          <w:szCs w:val="22"/>
        </w:rPr>
        <w:fldChar w:fldCharType="separate"/>
      </w:r>
      <w:r w:rsidR="00F80535" w:rsidRPr="00CE04FC">
        <w:rPr>
          <w:sz w:val="22"/>
          <w:szCs w:val="22"/>
        </w:rPr>
        <w:t>(Davidson, 1994; Spanos, 1986)</w:t>
      </w:r>
      <w:r w:rsidR="00F80535" w:rsidRPr="00CE04FC">
        <w:rPr>
          <w:sz w:val="22"/>
          <w:szCs w:val="22"/>
        </w:rPr>
        <w:fldChar w:fldCharType="end"/>
      </w:r>
      <w:r w:rsidRPr="00CE04FC">
        <w:rPr>
          <w:sz w:val="22"/>
          <w:szCs w:val="22"/>
        </w:rPr>
        <w:t>.</w:t>
      </w:r>
    </w:p>
    <w:p w14:paraId="59323DA4" w14:textId="2B6A5121" w:rsidR="00EE09F9" w:rsidRPr="00CE04FC" w:rsidRDefault="00A22ABF" w:rsidP="000E5393">
      <w:pPr>
        <w:pStyle w:val="ds-markdown-paragraph"/>
        <w:shd w:val="clear" w:color="auto" w:fill="FFFFFF"/>
        <w:spacing w:before="0" w:beforeAutospacing="0" w:after="206" w:afterAutospacing="0"/>
        <w:jc w:val="both"/>
        <w:rPr>
          <w:sz w:val="22"/>
          <w:szCs w:val="22"/>
        </w:rPr>
      </w:pPr>
      <w:r w:rsidRPr="00CE04FC">
        <w:rPr>
          <w:sz w:val="22"/>
          <w:szCs w:val="22"/>
        </w:rPr>
        <w:t>The excellent agreement between simulation and DDM results across both output metrics validates the model's accuracy for comprehensive uncertainty quantification analysis. This confirmation enables reliable use of the data-driven approach for further system investigations without requiring additional computationally intensive simulations.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0"/>
        <w:gridCol w:w="4446"/>
      </w:tblGrid>
      <w:tr w:rsidR="00CE04FC" w:rsidRPr="00CE04FC" w14:paraId="277321DF" w14:textId="77777777" w:rsidTr="007D40E1">
        <w:tc>
          <w:tcPr>
            <w:tcW w:w="4475" w:type="dxa"/>
          </w:tcPr>
          <w:p w14:paraId="2643BD38"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c>
          <w:tcPr>
            <w:tcW w:w="4541" w:type="dxa"/>
          </w:tcPr>
          <w:p w14:paraId="0FBED80D"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74A90487" w14:textId="77777777" w:rsidTr="007D40E1">
        <w:tc>
          <w:tcPr>
            <w:tcW w:w="4475" w:type="dxa"/>
          </w:tcPr>
          <w:p w14:paraId="06E735DE"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7EA9931C" wp14:editId="4A7D86CB">
                  <wp:extent cx="2771429" cy="1526650"/>
                  <wp:effectExtent l="0" t="0" r="0" b="0"/>
                  <wp:docPr id="1634249702" name="Picture 1" descr="A graph of a number of mass produ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9702" name="Picture 1" descr="A graph of a number of mass production&#10;&#10;Description automatically generated with medium confidence"/>
                          <pic:cNvPicPr/>
                        </pic:nvPicPr>
                        <pic:blipFill>
                          <a:blip r:embed="rId14"/>
                          <a:stretch>
                            <a:fillRect/>
                          </a:stretch>
                        </pic:blipFill>
                        <pic:spPr>
                          <a:xfrm>
                            <a:off x="0" y="0"/>
                            <a:ext cx="2785569" cy="1534439"/>
                          </a:xfrm>
                          <a:prstGeom prst="rect">
                            <a:avLst/>
                          </a:prstGeom>
                        </pic:spPr>
                      </pic:pic>
                    </a:graphicData>
                  </a:graphic>
                </wp:inline>
              </w:drawing>
            </w:r>
          </w:p>
        </w:tc>
        <w:tc>
          <w:tcPr>
            <w:tcW w:w="4541" w:type="dxa"/>
          </w:tcPr>
          <w:p w14:paraId="6F0A2E8F" w14:textId="3A31EC54" w:rsidR="00D75860" w:rsidRPr="00CE04FC" w:rsidRDefault="00AC4957"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28442517" wp14:editId="26A3E386">
                  <wp:extent cx="2677363" cy="1521700"/>
                  <wp:effectExtent l="0" t="0" r="8890" b="2540"/>
                  <wp:docPr id="1376710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10829" name=""/>
                          <pic:cNvPicPr/>
                        </pic:nvPicPr>
                        <pic:blipFill>
                          <a:blip r:embed="rId15"/>
                          <a:stretch>
                            <a:fillRect/>
                          </a:stretch>
                        </pic:blipFill>
                        <pic:spPr>
                          <a:xfrm>
                            <a:off x="0" y="0"/>
                            <a:ext cx="2693651" cy="1530957"/>
                          </a:xfrm>
                          <a:prstGeom prst="rect">
                            <a:avLst/>
                          </a:prstGeom>
                        </pic:spPr>
                      </pic:pic>
                    </a:graphicData>
                  </a:graphic>
                </wp:inline>
              </w:drawing>
            </w:r>
          </w:p>
        </w:tc>
      </w:tr>
      <w:tr w:rsidR="00CE04FC" w:rsidRPr="00CE04FC" w14:paraId="425C0C95" w14:textId="77777777" w:rsidTr="007D40E1">
        <w:tc>
          <w:tcPr>
            <w:tcW w:w="9016" w:type="dxa"/>
            <w:gridSpan w:val="2"/>
          </w:tcPr>
          <w:p w14:paraId="131FB47E" w14:textId="1A9CE7AF" w:rsidR="00D75860" w:rsidRPr="00CE04FC" w:rsidRDefault="00D75860" w:rsidP="00D75860">
            <w:pPr>
              <w:jc w:val="center"/>
              <w:rPr>
                <w:rFonts w:ascii="Times New Roman" w:hAnsi="Times New Roman" w:cs="Times New Roman"/>
              </w:rPr>
            </w:pPr>
            <w:bookmarkStart w:id="20" w:name="_Ref186548978"/>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6</w:t>
            </w:r>
            <w:r w:rsidRPr="00CE04FC">
              <w:rPr>
                <w:rFonts w:ascii="Times New Roman" w:hAnsi="Times New Roman" w:cs="Times New Roman"/>
              </w:rPr>
              <w:fldChar w:fldCharType="end"/>
            </w:r>
            <w:bookmarkEnd w:id="20"/>
            <w:r w:rsidRPr="00CE04FC">
              <w:rPr>
                <w:rFonts w:ascii="Times New Roman" w:hAnsi="Times New Roman" w:cs="Times New Roman"/>
              </w:rPr>
              <w:t xml:space="preserve"> Validation of </w:t>
            </w:r>
            <w:r w:rsidR="00524564" w:rsidRPr="00CE04FC">
              <w:rPr>
                <w:rFonts w:ascii="Times New Roman" w:hAnsi="Times New Roman" w:cs="Times New Roman"/>
              </w:rPr>
              <w:t>ML model</w:t>
            </w:r>
            <w:r w:rsidR="000F4F7A" w:rsidRPr="00CE04FC">
              <w:rPr>
                <w:rFonts w:ascii="Times New Roman" w:hAnsi="Times New Roman" w:cs="Times New Roman"/>
              </w:rPr>
              <w:t xml:space="preserve">, </w:t>
            </w:r>
            <w:r w:rsidR="00524564" w:rsidRPr="00CE04FC">
              <w:rPr>
                <w:rFonts w:ascii="Times New Roman" w:hAnsi="Times New Roman" w:cs="Times New Roman"/>
              </w:rPr>
              <w:t>comparison of the</w:t>
            </w:r>
            <w:r w:rsidR="004C5C22" w:rsidRPr="00CE04FC">
              <w:rPr>
                <w:rFonts w:ascii="Times New Roman" w:hAnsi="Times New Roman" w:cs="Times New Roman"/>
              </w:rPr>
              <w:t xml:space="preserve"> ML and </w:t>
            </w:r>
            <w:r w:rsidR="00C5738B" w:rsidRPr="00CE04FC">
              <w:rPr>
                <w:rFonts w:ascii="Times New Roman" w:hAnsi="Times New Roman" w:cs="Times New Roman"/>
              </w:rPr>
              <w:t>simulations-based</w:t>
            </w:r>
            <w:r w:rsidR="00524564" w:rsidRPr="00CE04FC">
              <w:rPr>
                <w:rFonts w:ascii="Times New Roman" w:hAnsi="Times New Roman" w:cs="Times New Roman"/>
              </w:rPr>
              <w:t xml:space="preserve"> </w:t>
            </w:r>
            <w:r w:rsidRPr="00CE04FC">
              <w:rPr>
                <w:rFonts w:ascii="Times New Roman" w:hAnsi="Times New Roman" w:cs="Times New Roman"/>
              </w:rPr>
              <w:t>PDF</w:t>
            </w:r>
            <w:r w:rsidR="00524564" w:rsidRPr="00CE04FC">
              <w:rPr>
                <w:rFonts w:ascii="Times New Roman" w:hAnsi="Times New Roman" w:cs="Times New Roman"/>
              </w:rPr>
              <w:t>s</w:t>
            </w:r>
            <w:r w:rsidRPr="00CE04FC">
              <w:rPr>
                <w:rFonts w:ascii="Times New Roman" w:hAnsi="Times New Roman" w:cs="Times New Roman"/>
              </w:rPr>
              <w:t xml:space="preserve"> of (a) ammonia production, (b) refrigeration.</w:t>
            </w:r>
          </w:p>
        </w:tc>
      </w:tr>
    </w:tbl>
    <w:p w14:paraId="30C637EB" w14:textId="77777777" w:rsidR="00D75860" w:rsidRPr="00CE04FC" w:rsidRDefault="00D75860" w:rsidP="002D0D24">
      <w:pPr>
        <w:pStyle w:val="Heading1"/>
        <w:rPr>
          <w:rFonts w:cs="Times New Roman"/>
          <w:szCs w:val="22"/>
        </w:rPr>
      </w:pPr>
      <w:r w:rsidRPr="00CE04FC">
        <w:rPr>
          <w:rFonts w:cs="Times New Roman"/>
          <w:szCs w:val="22"/>
        </w:rPr>
        <w:t>Results and Discussion</w:t>
      </w:r>
    </w:p>
    <w:p w14:paraId="3F5BEE2A" w14:textId="7AC4F6AC" w:rsidR="00D75860" w:rsidRPr="00CE04FC" w:rsidRDefault="00A63EF2" w:rsidP="00EB40FA">
      <w:pPr>
        <w:pStyle w:val="Heading2"/>
        <w:numPr>
          <w:ilvl w:val="1"/>
          <w:numId w:val="4"/>
        </w:numPr>
        <w:spacing w:before="240" w:after="0"/>
        <w:rPr>
          <w:szCs w:val="22"/>
        </w:rPr>
      </w:pPr>
      <w:r w:rsidRPr="00CE04FC">
        <w:rPr>
          <w:szCs w:val="22"/>
        </w:rPr>
        <w:t xml:space="preserve"> </w:t>
      </w:r>
      <w:r w:rsidR="00D75860" w:rsidRPr="00CE04FC">
        <w:rPr>
          <w:szCs w:val="22"/>
        </w:rPr>
        <w:t>UQ analysis</w:t>
      </w:r>
    </w:p>
    <w:p w14:paraId="64DA8F46" w14:textId="393A6731" w:rsidR="00771DD5" w:rsidRPr="00CE04FC" w:rsidRDefault="00A47768" w:rsidP="00EB40FA">
      <w:pPr>
        <w:spacing w:line="240" w:lineRule="auto"/>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_Ref187586240 \h </w:instrText>
      </w:r>
      <w:r w:rsidR="00952345" w:rsidRPr="00CE04FC">
        <w:rPr>
          <w:rFonts w:ascii="Times New Roman" w:hAnsi="Times New Roman" w:cs="Times New Roman"/>
        </w:rPr>
        <w:instrText xml:space="preserve">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7</w:t>
      </w:r>
      <w:r w:rsidRPr="00CE04FC">
        <w:rPr>
          <w:rFonts w:ascii="Times New Roman" w:hAnsi="Times New Roman" w:cs="Times New Roman"/>
        </w:rPr>
        <w:fldChar w:fldCharType="end"/>
      </w:r>
      <w:r w:rsidR="00771DD5" w:rsidRPr="00CE04FC">
        <w:rPr>
          <w:rFonts w:ascii="Times New Roman" w:hAnsi="Times New Roman" w:cs="Times New Roman"/>
        </w:rPr>
        <w:t xml:space="preserve"> presents the Pearson correlation heatmap analysing relationships between input parameters and system outputs in the hybrid ammonia production system </w:t>
      </w:r>
      <w:r w:rsidR="00265A0F" w:rsidRPr="00CE04FC">
        <w:rPr>
          <w:rFonts w:ascii="Times New Roman" w:hAnsi="Times New Roman" w:cs="Times New Roman"/>
        </w:rPr>
        <w:fldChar w:fldCharType="begin"/>
      </w:r>
      <w:r w:rsidR="00265A0F" w:rsidRPr="00CE04FC">
        <w:rPr>
          <w:rFonts w:ascii="Times New Roman" w:hAnsi="Times New Roman" w:cs="Times New Roman"/>
        </w:rPr>
        <w:instrText xml:space="preserve"> ADDIN EN.CITE &lt;EndNote&gt;&lt;Cite&gt;&lt;Author&gt;Üstün&lt;/Author&gt;&lt;Year&gt;2024&lt;/Year&gt;&lt;RecNum&gt;62&lt;/RecNum&gt;&lt;DisplayText&gt;(Üstün et al., 2024)&lt;/DisplayText&gt;&lt;record&gt;&lt;rec-number&gt;62&lt;/rec-number&gt;&lt;foreign-keys&gt;&lt;key app="EN" db-id="0x0z5zxatzat9oe9027xea2pe2we5dee5dez" timestamp="1745435635"&gt;62&lt;/key&gt;&lt;/foreign-keys&gt;&lt;ref-type name="Journal Article"&gt;17&lt;/ref-type&gt;&lt;contributors&gt;&lt;authors&gt;&lt;author&gt;Üstün, Cihat Emre&lt;/author&gt;&lt;author&gt;Eckart, Sven&lt;/author&gt;&lt;author&gt;Valera-Medina, Agustin&lt;/author&gt;&lt;author&gt;Paykani, Amin&lt;/author&gt;&lt;/authors&gt;&lt;/contributors&gt;&lt;titles&gt;&lt;title&gt;Data-driven prediction of laminar burning velocity for ternary ammonia/hydrogen/methane/air premixed flames&lt;/title&gt;&lt;secondary-title&gt;Fuel&lt;/secondary-title&gt;&lt;/titles&gt;&lt;periodical&gt;&lt;full-title&gt;Fuel&lt;/full-title&gt;&lt;/periodical&gt;&lt;pages&gt;131581&lt;/pages&gt;&lt;volume&gt;368&lt;/volume&gt;&lt;dates&gt;&lt;year&gt;2024&lt;/year&gt;&lt;/dates&gt;&lt;isbn&gt;0016-2361&lt;/isbn&gt;&lt;urls&gt;&lt;/urls&gt;&lt;/record&gt;&lt;/Cite&gt;&lt;/EndNote&gt;</w:instrText>
      </w:r>
      <w:r w:rsidR="00265A0F" w:rsidRPr="00CE04FC">
        <w:rPr>
          <w:rFonts w:ascii="Times New Roman" w:hAnsi="Times New Roman" w:cs="Times New Roman"/>
        </w:rPr>
        <w:fldChar w:fldCharType="separate"/>
      </w:r>
      <w:r w:rsidR="00265A0F" w:rsidRPr="00CE04FC">
        <w:rPr>
          <w:rFonts w:ascii="Times New Roman" w:hAnsi="Times New Roman" w:cs="Times New Roman"/>
        </w:rPr>
        <w:t>(Üstün et al., 2024)</w:t>
      </w:r>
      <w:r w:rsidR="00265A0F" w:rsidRPr="00CE04FC">
        <w:rPr>
          <w:rFonts w:ascii="Times New Roman" w:hAnsi="Times New Roman" w:cs="Times New Roman"/>
        </w:rPr>
        <w:fldChar w:fldCharType="end"/>
      </w:r>
      <w:r w:rsidR="00771DD5" w:rsidRPr="00CE04FC">
        <w:rPr>
          <w:rFonts w:ascii="Times New Roman" w:hAnsi="Times New Roman" w:cs="Times New Roman"/>
        </w:rPr>
        <w:t xml:space="preserve">. The heatmap evaluates correlations between six uncertain inputs - heat exchanger effectiveness values HE1 through HE4, power input Pin, and compressor efficiency </w:t>
      </w:r>
      <w:r w:rsidR="00C46DE7" w:rsidRPr="00CE04FC">
        <w:rPr>
          <w:rFonts w:ascii="Times New Roman" w:hAnsi="Times New Roman" w:cs="Times New Roman"/>
        </w:rPr>
        <w:t>(</w:t>
      </w:r>
      <w:r w:rsidR="00771DD5" w:rsidRPr="00CE04FC">
        <w:rPr>
          <w:rFonts w:ascii="Times New Roman" w:hAnsi="Times New Roman" w:cs="Times New Roman"/>
        </w:rPr>
        <w:t>C</w:t>
      </w:r>
      <w:r w:rsidR="00771DD5" w:rsidRPr="00CE04FC">
        <w:rPr>
          <w:rFonts w:ascii="Times New Roman" w:hAnsi="Times New Roman" w:cs="Times New Roman"/>
          <w:vertAlign w:val="subscript"/>
        </w:rPr>
        <w:t>eff</w:t>
      </w:r>
      <w:r w:rsidR="00C46DE7" w:rsidRPr="00CE04FC">
        <w:rPr>
          <w:rFonts w:ascii="Times New Roman" w:hAnsi="Times New Roman" w:cs="Times New Roman"/>
        </w:rPr>
        <w:t>),</w:t>
      </w:r>
      <w:r w:rsidR="00771DD5" w:rsidRPr="00CE04FC">
        <w:rPr>
          <w:rFonts w:ascii="Times New Roman" w:hAnsi="Times New Roman" w:cs="Times New Roman"/>
        </w:rPr>
        <w:t xml:space="preserve"> and two key outputs: ammonia production </w:t>
      </w:r>
      <w:r w:rsidR="00C46DE7" w:rsidRPr="00CE04FC">
        <w:rPr>
          <w:rFonts w:ascii="Times New Roman" w:hAnsi="Times New Roman" w:cs="Times New Roman"/>
        </w:rPr>
        <w:t>(</w:t>
      </w:r>
      <w:r w:rsidR="00771DD5" w:rsidRPr="00CE04FC">
        <w:rPr>
          <w:rFonts w:ascii="Times New Roman" w:hAnsi="Times New Roman" w:cs="Times New Roman"/>
        </w:rPr>
        <w:t>NH₃</w:t>
      </w:r>
      <w:r w:rsidR="00C46DE7" w:rsidRPr="00CE04FC">
        <w:rPr>
          <w:rFonts w:ascii="Times New Roman" w:hAnsi="Times New Roman" w:cs="Times New Roman"/>
        </w:rPr>
        <w:t>)</w:t>
      </w:r>
      <w:r w:rsidR="00771DD5" w:rsidRPr="00CE04FC">
        <w:rPr>
          <w:rFonts w:ascii="Times New Roman" w:hAnsi="Times New Roman" w:cs="Times New Roman"/>
        </w:rPr>
        <w:t xml:space="preserve"> and refrigeration generation </w:t>
      </w:r>
      <w:r w:rsidR="00C46DE7" w:rsidRPr="00CE04FC">
        <w:rPr>
          <w:rFonts w:ascii="Times New Roman" w:hAnsi="Times New Roman" w:cs="Times New Roman"/>
        </w:rPr>
        <w:t>(</w:t>
      </w:r>
      <w:r w:rsidR="00771DD5" w:rsidRPr="00CE04FC">
        <w:rPr>
          <w:rFonts w:ascii="Times New Roman" w:hAnsi="Times New Roman" w:cs="Times New Roman"/>
        </w:rPr>
        <w:t>Ref</w:t>
      </w:r>
      <w:r w:rsidR="00C46DE7" w:rsidRPr="00CE04FC">
        <w:rPr>
          <w:rFonts w:ascii="Times New Roman" w:hAnsi="Times New Roman" w:cs="Times New Roman"/>
        </w:rPr>
        <w:t>)</w:t>
      </w:r>
      <w:r w:rsidR="00771DD5" w:rsidRPr="00CE04FC">
        <w:rPr>
          <w:rFonts w:ascii="Times New Roman" w:hAnsi="Times New Roman" w:cs="Times New Roman"/>
        </w:rPr>
        <w:t xml:space="preserve">. The diagonal elements naturally display perfect correlation coefficients of </w:t>
      </w:r>
      <w:r w:rsidR="00446D45" w:rsidRPr="00CE04FC">
        <w:rPr>
          <w:rFonts w:ascii="Times New Roman" w:hAnsi="Times New Roman" w:cs="Times New Roman"/>
        </w:rPr>
        <w:t>one</w:t>
      </w:r>
      <w:r w:rsidR="00771DD5" w:rsidRPr="00CE04FC">
        <w:rPr>
          <w:rFonts w:ascii="Times New Roman" w:hAnsi="Times New Roman" w:cs="Times New Roman"/>
        </w:rPr>
        <w:t>, representing each parameter's correlation with itself.</w:t>
      </w:r>
    </w:p>
    <w:p w14:paraId="2FB76EE9" w14:textId="7746A9AB" w:rsidR="00771DD5" w:rsidRPr="00CE04FC" w:rsidRDefault="00771DD5" w:rsidP="00771DD5">
      <w:pPr>
        <w:spacing w:before="240" w:line="240" w:lineRule="auto"/>
        <w:jc w:val="both"/>
        <w:rPr>
          <w:rFonts w:ascii="Times New Roman" w:hAnsi="Times New Roman" w:cs="Times New Roman"/>
        </w:rPr>
      </w:pPr>
      <w:r w:rsidRPr="00CE04FC">
        <w:rPr>
          <w:rFonts w:ascii="Times New Roman" w:hAnsi="Times New Roman" w:cs="Times New Roman"/>
        </w:rPr>
        <w:t>The analysis reveals statistically significant positive correlations between power input Pin and both system outputs, with p-values of 0.009 for ammonia production and 0.007 for refrigeration generation, underscoring Pin's critical influence on system performance. Among the heat exchangers, HE1 and HE4 show meaningful correlations with outputs (p=0.016-0.038), confirming their substantial contribution to heat recovery efficiency. In contrast, HE2, HE3 and compressor efficiency C</w:t>
      </w:r>
      <w:r w:rsidRPr="00CE04FC">
        <w:rPr>
          <w:rFonts w:ascii="Times New Roman" w:hAnsi="Times New Roman" w:cs="Times New Roman"/>
          <w:vertAlign w:val="subscript"/>
        </w:rPr>
        <w:t>eff</w:t>
      </w:r>
      <w:r w:rsidRPr="00CE04FC">
        <w:rPr>
          <w:rFonts w:ascii="Times New Roman" w:hAnsi="Times New Roman" w:cs="Times New Roman"/>
        </w:rPr>
        <w:t xml:space="preserve"> demonstrate weaker correlations (p&gt;0.1) with both NH₃ and Ref production, indicating their relatively minor impact under the examined operating conditions. These quantitative insights help identify the most influential parameters for system optimi</w:t>
      </w:r>
      <w:r w:rsidR="007066E8" w:rsidRPr="00CE04FC">
        <w:rPr>
          <w:rFonts w:ascii="Times New Roman" w:hAnsi="Times New Roman" w:cs="Times New Roman"/>
        </w:rPr>
        <w:t>s</w:t>
      </w:r>
      <w:r w:rsidRPr="00CE04FC">
        <w:rPr>
          <w:rFonts w:ascii="Times New Roman" w:hAnsi="Times New Roman" w:cs="Times New Roman"/>
        </w:rPr>
        <w:t>ation while highlighting components where performance improvements would yield limited benefits.</w:t>
      </w:r>
    </w:p>
    <w:p w14:paraId="2B26AB80" w14:textId="23DAC904" w:rsidR="00771DD5" w:rsidRPr="00CE04FC" w:rsidRDefault="00771DD5" w:rsidP="00771DD5">
      <w:pPr>
        <w:spacing w:before="240" w:line="240" w:lineRule="auto"/>
        <w:jc w:val="both"/>
        <w:rPr>
          <w:rFonts w:ascii="Times New Roman" w:hAnsi="Times New Roman" w:cs="Times New Roman"/>
        </w:rPr>
      </w:pPr>
      <w:r w:rsidRPr="00CE04FC">
        <w:rPr>
          <w:rFonts w:ascii="Times New Roman" w:hAnsi="Times New Roman" w:cs="Times New Roman"/>
        </w:rPr>
        <w:lastRenderedPageBreak/>
        <w:t>The correlation patterns align with the system's thermodynamic behaviour, where power input and primary heat exchangers dominate the energy conversion processes, while secondary heat exchangers and compression efficiency play more peripheral roles in overall performance. These findings provide valuable guidance for prioriti</w:t>
      </w:r>
      <w:r w:rsidR="00E00BD3" w:rsidRPr="00CE04FC">
        <w:rPr>
          <w:rFonts w:ascii="Times New Roman" w:hAnsi="Times New Roman" w:cs="Times New Roman"/>
        </w:rPr>
        <w:t>s</w:t>
      </w:r>
      <w:r w:rsidRPr="00CE04FC">
        <w:rPr>
          <w:rFonts w:ascii="Times New Roman" w:hAnsi="Times New Roman" w:cs="Times New Roman"/>
        </w:rPr>
        <w:t>ing operational monitoring and maintenance efforts in the hybrid ammonia production system.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E04FC" w:rsidRPr="00CE04FC" w14:paraId="6A7C0758" w14:textId="77777777" w:rsidTr="007D40E1">
        <w:trPr>
          <w:jc w:val="center"/>
        </w:trPr>
        <w:tc>
          <w:tcPr>
            <w:tcW w:w="9016" w:type="dxa"/>
          </w:tcPr>
          <w:p w14:paraId="781C231D" w14:textId="2761C261" w:rsidR="00D75860" w:rsidRPr="00CE04FC" w:rsidRDefault="00BE28E1"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6C6AC459" wp14:editId="183B94DF">
                  <wp:extent cx="2862469" cy="2314458"/>
                  <wp:effectExtent l="0" t="0" r="0" b="0"/>
                  <wp:docPr id="783243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43121" name=""/>
                          <pic:cNvPicPr/>
                        </pic:nvPicPr>
                        <pic:blipFill>
                          <a:blip r:embed="rId16"/>
                          <a:stretch>
                            <a:fillRect/>
                          </a:stretch>
                        </pic:blipFill>
                        <pic:spPr>
                          <a:xfrm>
                            <a:off x="0" y="0"/>
                            <a:ext cx="2871960" cy="2322132"/>
                          </a:xfrm>
                          <a:prstGeom prst="rect">
                            <a:avLst/>
                          </a:prstGeom>
                        </pic:spPr>
                      </pic:pic>
                    </a:graphicData>
                  </a:graphic>
                </wp:inline>
              </w:drawing>
            </w:r>
          </w:p>
        </w:tc>
      </w:tr>
      <w:tr w:rsidR="00CE04FC" w:rsidRPr="00CE04FC" w14:paraId="3912FD63" w14:textId="77777777" w:rsidTr="007D40E1">
        <w:trPr>
          <w:jc w:val="center"/>
        </w:trPr>
        <w:tc>
          <w:tcPr>
            <w:tcW w:w="9016" w:type="dxa"/>
          </w:tcPr>
          <w:p w14:paraId="3332A5E4" w14:textId="38D5E3C3" w:rsidR="00D75860" w:rsidRPr="00CE04FC" w:rsidRDefault="00D75860" w:rsidP="00D75860">
            <w:pPr>
              <w:spacing w:after="200"/>
              <w:jc w:val="center"/>
              <w:rPr>
                <w:rFonts w:ascii="Times New Roman" w:hAnsi="Times New Roman" w:cs="Times New Roman"/>
              </w:rPr>
            </w:pPr>
            <w:bookmarkStart w:id="21" w:name="_Ref187586240"/>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7</w:t>
            </w:r>
            <w:r w:rsidRPr="00CE04FC">
              <w:rPr>
                <w:rFonts w:ascii="Times New Roman" w:hAnsi="Times New Roman" w:cs="Times New Roman"/>
              </w:rPr>
              <w:fldChar w:fldCharType="end"/>
            </w:r>
            <w:bookmarkEnd w:id="21"/>
            <w:r w:rsidRPr="00CE04FC">
              <w:rPr>
                <w:rFonts w:ascii="Times New Roman" w:hAnsi="Times New Roman" w:cs="Times New Roman"/>
              </w:rPr>
              <w:t xml:space="preserve"> Heatmap of Pearson correlation between </w:t>
            </w:r>
            <w:r w:rsidR="00705A83" w:rsidRPr="00CE04FC">
              <w:rPr>
                <w:rFonts w:ascii="Times New Roman" w:hAnsi="Times New Roman" w:cs="Times New Roman"/>
              </w:rPr>
              <w:t xml:space="preserve">the </w:t>
            </w:r>
            <w:r w:rsidRPr="00CE04FC">
              <w:rPr>
                <w:rFonts w:ascii="Times New Roman" w:hAnsi="Times New Roman" w:cs="Times New Roman"/>
              </w:rPr>
              <w:t>input and output parameters.</w:t>
            </w:r>
          </w:p>
        </w:tc>
      </w:tr>
    </w:tbl>
    <w:p w14:paraId="288F8579" w14:textId="48E749EF" w:rsidR="00D75860" w:rsidRPr="00CE04FC" w:rsidRDefault="001A05C3" w:rsidP="00D75860">
      <w:pPr>
        <w:spacing w:line="240" w:lineRule="auto"/>
        <w:jc w:val="both"/>
        <w:rPr>
          <w:rFonts w:ascii="Times New Roman" w:hAnsi="Times New Roman" w:cs="Times New Roman"/>
        </w:rPr>
      </w:pPr>
      <w:r w:rsidRPr="00CE04FC">
        <w:rPr>
          <w:rFonts w:ascii="Times New Roman" w:hAnsi="Times New Roman" w:cs="Times New Roman"/>
        </w:rPr>
        <w:t>M</w:t>
      </w:r>
      <w:r w:rsidR="00D75860" w:rsidRPr="00CE04FC">
        <w:rPr>
          <w:rFonts w:ascii="Times New Roman" w:hAnsi="Times New Roman" w:cs="Times New Roman"/>
        </w:rPr>
        <w:t xml:space="preserve">ore results are produced by using UQTk to generate the combination of input parameters and data driven model was used to generate results with respect to that specific combination of parameters. </w:t>
      </w:r>
      <w:r w:rsidR="00D75860" w:rsidRPr="00CE04FC">
        <w:rPr>
          <w:rFonts w:ascii="Times New Roman" w:hAnsi="Times New Roman" w:cs="Times New Roman"/>
        </w:rPr>
        <w:fldChar w:fldCharType="begin"/>
      </w:r>
      <w:r w:rsidR="00D75860" w:rsidRPr="00CE04FC">
        <w:rPr>
          <w:rFonts w:ascii="Times New Roman" w:hAnsi="Times New Roman" w:cs="Times New Roman"/>
        </w:rPr>
        <w:instrText xml:space="preserve"> REF _Ref186555029 \h  \* MERGEFORMAT </w:instrText>
      </w:r>
      <w:r w:rsidR="00D75860" w:rsidRPr="00CE04FC">
        <w:rPr>
          <w:rFonts w:ascii="Times New Roman" w:hAnsi="Times New Roman" w:cs="Times New Roman"/>
        </w:rPr>
      </w:r>
      <w:r w:rsidR="00D75860" w:rsidRPr="00CE04FC">
        <w:rPr>
          <w:rFonts w:ascii="Times New Roman" w:hAnsi="Times New Roman" w:cs="Times New Roman"/>
        </w:rPr>
        <w:fldChar w:fldCharType="separate"/>
      </w:r>
      <w:r w:rsidR="001476C8" w:rsidRPr="00CE04FC">
        <w:rPr>
          <w:rFonts w:ascii="Times New Roman" w:hAnsi="Times New Roman" w:cs="Times New Roman"/>
        </w:rPr>
        <w:t>Figure 8</w:t>
      </w:r>
      <w:r w:rsidR="00D75860" w:rsidRPr="00CE04FC">
        <w:rPr>
          <w:rFonts w:ascii="Times New Roman" w:hAnsi="Times New Roman" w:cs="Times New Roman"/>
        </w:rPr>
        <w:fldChar w:fldCharType="end"/>
      </w:r>
      <w:r w:rsidR="00D75860" w:rsidRPr="00CE04FC">
        <w:rPr>
          <w:rFonts w:ascii="Times New Roman" w:hAnsi="Times New Roman" w:cs="Times New Roman"/>
        </w:rPr>
        <w:t xml:space="preserve"> shows the PDFs of different scaled HB </w:t>
      </w:r>
      <w:r w:rsidR="00AC4AAC" w:rsidRPr="00CE04FC">
        <w:rPr>
          <w:rFonts w:ascii="Times New Roman" w:hAnsi="Times New Roman" w:cs="Times New Roman"/>
        </w:rPr>
        <w:t>sub-</w:t>
      </w:r>
      <w:r w:rsidR="00D75860" w:rsidRPr="00CE04FC">
        <w:rPr>
          <w:rFonts w:ascii="Times New Roman" w:hAnsi="Times New Roman" w:cs="Times New Roman"/>
        </w:rPr>
        <w:t>system for ammonia production and refrigeration from hybridised HB and vapo</w:t>
      </w:r>
      <w:r w:rsidR="0010691A" w:rsidRPr="00CE04FC">
        <w:rPr>
          <w:rFonts w:ascii="Times New Roman" w:hAnsi="Times New Roman" w:cs="Times New Roman"/>
        </w:rPr>
        <w:t>u</w:t>
      </w:r>
      <w:r w:rsidR="00D75860" w:rsidRPr="00CE04FC">
        <w:rPr>
          <w:rFonts w:ascii="Times New Roman" w:hAnsi="Times New Roman" w:cs="Times New Roman"/>
        </w:rPr>
        <w:t xml:space="preserve">r absorption refrigeration cycle. </w:t>
      </w:r>
      <w:r w:rsidR="00D75860" w:rsidRPr="00CE04FC">
        <w:rPr>
          <w:rFonts w:ascii="Times New Roman" w:hAnsi="Times New Roman" w:cs="Times New Roman"/>
        </w:rPr>
        <w:fldChar w:fldCharType="begin"/>
      </w:r>
      <w:r w:rsidR="00D75860" w:rsidRPr="00CE04FC">
        <w:rPr>
          <w:rFonts w:ascii="Times New Roman" w:hAnsi="Times New Roman" w:cs="Times New Roman"/>
        </w:rPr>
        <w:instrText xml:space="preserve"> REF _Ref186555029 \h  \* MERGEFORMAT </w:instrText>
      </w:r>
      <w:r w:rsidR="00D75860" w:rsidRPr="00CE04FC">
        <w:rPr>
          <w:rFonts w:ascii="Times New Roman" w:hAnsi="Times New Roman" w:cs="Times New Roman"/>
        </w:rPr>
      </w:r>
      <w:r w:rsidR="00D75860" w:rsidRPr="00CE04FC">
        <w:rPr>
          <w:rFonts w:ascii="Times New Roman" w:hAnsi="Times New Roman" w:cs="Times New Roman"/>
        </w:rPr>
        <w:fldChar w:fldCharType="separate"/>
      </w:r>
      <w:r w:rsidR="001476C8" w:rsidRPr="00CE04FC">
        <w:rPr>
          <w:rFonts w:ascii="Times New Roman" w:hAnsi="Times New Roman" w:cs="Times New Roman"/>
        </w:rPr>
        <w:t>Figure 8</w:t>
      </w:r>
      <w:r w:rsidR="00D75860" w:rsidRPr="00CE04FC">
        <w:rPr>
          <w:rFonts w:ascii="Times New Roman" w:hAnsi="Times New Roman" w:cs="Times New Roman"/>
        </w:rPr>
        <w:fldChar w:fldCharType="end"/>
      </w:r>
      <w:r w:rsidR="00D75860" w:rsidRPr="00CE04FC">
        <w:rPr>
          <w:rFonts w:ascii="Times New Roman" w:hAnsi="Times New Roman" w:cs="Times New Roman"/>
        </w:rPr>
        <w:t xml:space="preserve">a presents the uniformly distributed curve of the minimum and maximum values of ammonia production, along with the system's PDF across the 10MW to 20MW range. In contrast, </w:t>
      </w:r>
      <w:r w:rsidR="00D75860" w:rsidRPr="00CE04FC">
        <w:rPr>
          <w:rFonts w:ascii="Times New Roman" w:hAnsi="Times New Roman" w:cs="Times New Roman"/>
        </w:rPr>
        <w:fldChar w:fldCharType="begin"/>
      </w:r>
      <w:r w:rsidR="00D75860" w:rsidRPr="00CE04FC">
        <w:rPr>
          <w:rFonts w:ascii="Times New Roman" w:hAnsi="Times New Roman" w:cs="Times New Roman"/>
        </w:rPr>
        <w:instrText xml:space="preserve"> REF _Ref186555029 \h  \* MERGEFORMAT </w:instrText>
      </w:r>
      <w:r w:rsidR="00D75860" w:rsidRPr="00CE04FC">
        <w:rPr>
          <w:rFonts w:ascii="Times New Roman" w:hAnsi="Times New Roman" w:cs="Times New Roman"/>
        </w:rPr>
      </w:r>
      <w:r w:rsidR="00D75860" w:rsidRPr="00CE04FC">
        <w:rPr>
          <w:rFonts w:ascii="Times New Roman" w:hAnsi="Times New Roman" w:cs="Times New Roman"/>
        </w:rPr>
        <w:fldChar w:fldCharType="separate"/>
      </w:r>
      <w:r w:rsidR="001476C8" w:rsidRPr="00CE04FC">
        <w:rPr>
          <w:rFonts w:ascii="Times New Roman" w:hAnsi="Times New Roman" w:cs="Times New Roman"/>
        </w:rPr>
        <w:t>Figure 8</w:t>
      </w:r>
      <w:r w:rsidR="00D75860" w:rsidRPr="00CE04FC">
        <w:rPr>
          <w:rFonts w:ascii="Times New Roman" w:hAnsi="Times New Roman" w:cs="Times New Roman"/>
        </w:rPr>
        <w:fldChar w:fldCharType="end"/>
      </w:r>
      <w:r w:rsidR="00D75860" w:rsidRPr="00CE04FC">
        <w:rPr>
          <w:rFonts w:ascii="Times New Roman" w:hAnsi="Times New Roman" w:cs="Times New Roman"/>
        </w:rPr>
        <w:t xml:space="preserve">b illustrates the minimum and maximum values of refrigeration generation from hybridised ammonia production system for </w:t>
      </w:r>
      <w:r w:rsidR="00C4385C" w:rsidRPr="00CE04FC">
        <w:rPr>
          <w:rFonts w:ascii="Times New Roman" w:hAnsi="Times New Roman" w:cs="Times New Roman"/>
        </w:rPr>
        <w:t xml:space="preserve">nominal </w:t>
      </w:r>
      <w:r w:rsidR="002F0C8C" w:rsidRPr="00CE04FC">
        <w:rPr>
          <w:rFonts w:ascii="Times New Roman" w:hAnsi="Times New Roman" w:cs="Times New Roman"/>
        </w:rPr>
        <w:t xml:space="preserve">power </w:t>
      </w:r>
      <w:r w:rsidR="00875762" w:rsidRPr="00CE04FC">
        <w:rPr>
          <w:rFonts w:ascii="Times New Roman" w:hAnsi="Times New Roman" w:cs="Times New Roman"/>
        </w:rPr>
        <w:t>input</w:t>
      </w:r>
      <w:r w:rsidR="002F0C8C" w:rsidRPr="00CE04FC">
        <w:rPr>
          <w:rFonts w:ascii="Times New Roman" w:hAnsi="Times New Roman" w:cs="Times New Roman"/>
        </w:rPr>
        <w:t>s</w:t>
      </w:r>
      <w:r w:rsidR="00D75860" w:rsidRPr="00CE04FC">
        <w:rPr>
          <w:rFonts w:ascii="Times New Roman" w:hAnsi="Times New Roman" w:cs="Times New Roman"/>
        </w:rPr>
        <w:t xml:space="preserve"> (10MW to 20MW), where the PDF follows a bell-shaped (normal) distribution. The difference in probability density function shapes between </w:t>
      </w:r>
      <w:r w:rsidR="00D75860" w:rsidRPr="00CE04FC">
        <w:rPr>
          <w:rFonts w:ascii="Times New Roman" w:hAnsi="Times New Roman" w:cs="Times New Roman"/>
        </w:rPr>
        <w:fldChar w:fldCharType="begin"/>
      </w:r>
      <w:r w:rsidR="00D75860" w:rsidRPr="00CE04FC">
        <w:rPr>
          <w:rFonts w:ascii="Times New Roman" w:hAnsi="Times New Roman" w:cs="Times New Roman"/>
        </w:rPr>
        <w:instrText xml:space="preserve"> REF _Ref186555029 \h  \* MERGEFORMAT </w:instrText>
      </w:r>
      <w:r w:rsidR="00D75860" w:rsidRPr="00CE04FC">
        <w:rPr>
          <w:rFonts w:ascii="Times New Roman" w:hAnsi="Times New Roman" w:cs="Times New Roman"/>
        </w:rPr>
      </w:r>
      <w:r w:rsidR="00D75860" w:rsidRPr="00CE04FC">
        <w:rPr>
          <w:rFonts w:ascii="Times New Roman" w:hAnsi="Times New Roman" w:cs="Times New Roman"/>
        </w:rPr>
        <w:fldChar w:fldCharType="separate"/>
      </w:r>
      <w:r w:rsidR="001476C8" w:rsidRPr="00CE04FC">
        <w:rPr>
          <w:rFonts w:ascii="Times New Roman" w:hAnsi="Times New Roman" w:cs="Times New Roman"/>
        </w:rPr>
        <w:t>Figure 8</w:t>
      </w:r>
      <w:r w:rsidR="00D75860" w:rsidRPr="00CE04FC">
        <w:rPr>
          <w:rFonts w:ascii="Times New Roman" w:hAnsi="Times New Roman" w:cs="Times New Roman"/>
        </w:rPr>
        <w:fldChar w:fldCharType="end"/>
      </w:r>
      <w:r w:rsidR="00D75860" w:rsidRPr="00CE04FC">
        <w:rPr>
          <w:rFonts w:ascii="Times New Roman" w:hAnsi="Times New Roman" w:cs="Times New Roman"/>
        </w:rPr>
        <w:t>a</w:t>
      </w:r>
      <w:r w:rsidR="00C4385C" w:rsidRPr="00CE04FC">
        <w:rPr>
          <w:rFonts w:ascii="Times New Roman" w:hAnsi="Times New Roman" w:cs="Times New Roman"/>
        </w:rPr>
        <w:t xml:space="preserve"> and </w:t>
      </w:r>
      <w:r w:rsidR="0099004C">
        <w:rPr>
          <w:rFonts w:ascii="Times New Roman" w:hAnsi="Times New Roman" w:cs="Times New Roman"/>
        </w:rPr>
        <w:t>8</w:t>
      </w:r>
      <w:r w:rsidR="00D75860" w:rsidRPr="00CE04FC">
        <w:rPr>
          <w:rFonts w:ascii="Times New Roman" w:hAnsi="Times New Roman" w:cs="Times New Roman"/>
        </w:rPr>
        <w:t>b is driven by the distinct uncertainty propagation mechanisms in ammonia and refrigeration production. Ammonia production followed a uniform distribution, suggesting that input uncertainties were evenly distributed, leading to a uniform spread of output values. In contrast, refrigeration production exhibits a normal distribution due to the nonlinear interactions of uncertain parameters introduced by the VARC in hybridised ammonia production system. The combined effects of uncertainties, resulting in a bell-shaped distribution where values concentrate around a mean. This distinction underscores the differing stochastic behaviour of ammonia and refrigeration production in the hybridi</w:t>
      </w:r>
      <w:r w:rsidR="00CC6F3F" w:rsidRPr="00CE04FC">
        <w:rPr>
          <w:rFonts w:ascii="Times New Roman" w:hAnsi="Times New Roman" w:cs="Times New Roman"/>
        </w:rPr>
        <w:t>s</w:t>
      </w:r>
      <w:r w:rsidR="00D75860" w:rsidRPr="00CE04FC">
        <w:rPr>
          <w:rFonts w:ascii="Times New Roman" w:hAnsi="Times New Roman" w:cs="Times New Roman"/>
        </w:rPr>
        <w:t>ed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8"/>
        <w:gridCol w:w="4458"/>
      </w:tblGrid>
      <w:tr w:rsidR="00CE04FC" w:rsidRPr="00CE04FC" w14:paraId="173D5350" w14:textId="77777777" w:rsidTr="007D40E1">
        <w:tc>
          <w:tcPr>
            <w:tcW w:w="4568" w:type="dxa"/>
          </w:tcPr>
          <w:p w14:paraId="250049E0"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c>
          <w:tcPr>
            <w:tcW w:w="4458" w:type="dxa"/>
          </w:tcPr>
          <w:p w14:paraId="171EE4D4"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4E1CAC83" w14:textId="77777777" w:rsidTr="007D40E1">
        <w:tc>
          <w:tcPr>
            <w:tcW w:w="4568" w:type="dxa"/>
          </w:tcPr>
          <w:p w14:paraId="26B1E3AE"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13157974" wp14:editId="39E11F4C">
                  <wp:extent cx="2763671" cy="1658019"/>
                  <wp:effectExtent l="0" t="0" r="0" b="0"/>
                  <wp:docPr id="1254460512"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60512" name="Picture 1" descr="A graph of different colored lines&#10;&#10;Description automatically generated"/>
                          <pic:cNvPicPr/>
                        </pic:nvPicPr>
                        <pic:blipFill>
                          <a:blip r:embed="rId17"/>
                          <a:stretch>
                            <a:fillRect/>
                          </a:stretch>
                        </pic:blipFill>
                        <pic:spPr>
                          <a:xfrm>
                            <a:off x="0" y="0"/>
                            <a:ext cx="2772508" cy="1663321"/>
                          </a:xfrm>
                          <a:prstGeom prst="rect">
                            <a:avLst/>
                          </a:prstGeom>
                        </pic:spPr>
                      </pic:pic>
                    </a:graphicData>
                  </a:graphic>
                </wp:inline>
              </w:drawing>
            </w:r>
          </w:p>
        </w:tc>
        <w:tc>
          <w:tcPr>
            <w:tcW w:w="4458" w:type="dxa"/>
          </w:tcPr>
          <w:p w14:paraId="117845DB" w14:textId="779B3819" w:rsidR="00D75860" w:rsidRPr="00CE04FC" w:rsidRDefault="00400EF8"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18C402FB" wp14:editId="3204FB9F">
                  <wp:extent cx="2670810" cy="1573014"/>
                  <wp:effectExtent l="0" t="0" r="0" b="8255"/>
                  <wp:docPr id="2005882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82790" name=""/>
                          <pic:cNvPicPr/>
                        </pic:nvPicPr>
                        <pic:blipFill>
                          <a:blip r:embed="rId18"/>
                          <a:stretch>
                            <a:fillRect/>
                          </a:stretch>
                        </pic:blipFill>
                        <pic:spPr>
                          <a:xfrm>
                            <a:off x="0" y="0"/>
                            <a:ext cx="2675884" cy="1576002"/>
                          </a:xfrm>
                          <a:prstGeom prst="rect">
                            <a:avLst/>
                          </a:prstGeom>
                        </pic:spPr>
                      </pic:pic>
                    </a:graphicData>
                  </a:graphic>
                </wp:inline>
              </w:drawing>
            </w:r>
          </w:p>
        </w:tc>
      </w:tr>
      <w:tr w:rsidR="00CE04FC" w:rsidRPr="00CE04FC" w14:paraId="1D461624" w14:textId="77777777" w:rsidTr="007D40E1">
        <w:tc>
          <w:tcPr>
            <w:tcW w:w="9026" w:type="dxa"/>
            <w:gridSpan w:val="2"/>
          </w:tcPr>
          <w:p w14:paraId="3D130225" w14:textId="32F96F36" w:rsidR="00D75860" w:rsidRPr="00CE04FC" w:rsidRDefault="00D75860" w:rsidP="00D75860">
            <w:pPr>
              <w:spacing w:before="240" w:after="200"/>
              <w:jc w:val="center"/>
              <w:rPr>
                <w:rFonts w:ascii="Times New Roman" w:hAnsi="Times New Roman" w:cs="Times New Roman"/>
              </w:rPr>
            </w:pPr>
            <w:bookmarkStart w:id="22" w:name="_Ref186555029"/>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8</w:t>
            </w:r>
            <w:r w:rsidRPr="00CE04FC">
              <w:rPr>
                <w:rFonts w:ascii="Times New Roman" w:hAnsi="Times New Roman" w:cs="Times New Roman"/>
              </w:rPr>
              <w:fldChar w:fldCharType="end"/>
            </w:r>
            <w:bookmarkEnd w:id="22"/>
            <w:r w:rsidRPr="00CE04FC">
              <w:rPr>
                <w:rFonts w:ascii="Times New Roman" w:hAnsi="Times New Roman" w:cs="Times New Roman"/>
              </w:rPr>
              <w:t xml:space="preserve"> PDF</w:t>
            </w:r>
            <w:r w:rsidR="00DC1635" w:rsidRPr="00CE04FC">
              <w:rPr>
                <w:rFonts w:ascii="Times New Roman" w:hAnsi="Times New Roman" w:cs="Times New Roman"/>
              </w:rPr>
              <w:t>s</w:t>
            </w:r>
            <w:r w:rsidRPr="00CE04FC">
              <w:rPr>
                <w:rFonts w:ascii="Times New Roman" w:hAnsi="Times New Roman" w:cs="Times New Roman"/>
              </w:rPr>
              <w:t xml:space="preserve"> of </w:t>
            </w:r>
            <w:r w:rsidR="00DC1635" w:rsidRPr="00CE04FC">
              <w:rPr>
                <w:rFonts w:ascii="Times New Roman" w:hAnsi="Times New Roman" w:cs="Times New Roman"/>
              </w:rPr>
              <w:t xml:space="preserve">the </w:t>
            </w:r>
            <w:r w:rsidR="00875762" w:rsidRPr="00CE04FC">
              <w:rPr>
                <w:rFonts w:ascii="Times New Roman" w:hAnsi="Times New Roman" w:cs="Times New Roman"/>
              </w:rPr>
              <w:t>h</w:t>
            </w:r>
            <w:r w:rsidRPr="00CE04FC">
              <w:rPr>
                <w:rFonts w:ascii="Times New Roman" w:hAnsi="Times New Roman" w:cs="Times New Roman"/>
              </w:rPr>
              <w:t>ybridised ammonia production system for</w:t>
            </w:r>
            <w:r w:rsidR="00C4385C" w:rsidRPr="00CE04FC">
              <w:rPr>
                <w:rFonts w:ascii="Times New Roman" w:hAnsi="Times New Roman" w:cs="Times New Roman"/>
              </w:rPr>
              <w:t xml:space="preserve"> </w:t>
            </w:r>
            <w:r w:rsidR="00DC1635" w:rsidRPr="00CE04FC">
              <w:rPr>
                <w:rFonts w:ascii="Times New Roman" w:hAnsi="Times New Roman" w:cs="Times New Roman"/>
              </w:rPr>
              <w:t xml:space="preserve">different values of the </w:t>
            </w:r>
            <w:r w:rsidR="00C4385C" w:rsidRPr="00CE04FC">
              <w:rPr>
                <w:rFonts w:ascii="Times New Roman" w:hAnsi="Times New Roman" w:cs="Times New Roman"/>
              </w:rPr>
              <w:t xml:space="preserve">nominal </w:t>
            </w:r>
            <w:r w:rsidR="002F0C8C" w:rsidRPr="00CE04FC">
              <w:rPr>
                <w:rFonts w:ascii="Times New Roman" w:hAnsi="Times New Roman" w:cs="Times New Roman"/>
              </w:rPr>
              <w:t xml:space="preserve">power </w:t>
            </w:r>
            <w:r w:rsidR="003C32D7" w:rsidRPr="00CE04FC">
              <w:rPr>
                <w:rFonts w:ascii="Times New Roman" w:hAnsi="Times New Roman" w:cs="Times New Roman"/>
              </w:rPr>
              <w:t>input</w:t>
            </w:r>
            <w:r w:rsidR="00AA6548" w:rsidRPr="00CE04FC">
              <w:rPr>
                <w:rFonts w:ascii="Times New Roman" w:hAnsi="Times New Roman" w:cs="Times New Roman"/>
              </w:rPr>
              <w:t xml:space="preserve"> of</w:t>
            </w:r>
            <w:r w:rsidRPr="00CE04FC">
              <w:rPr>
                <w:rFonts w:ascii="Times New Roman" w:hAnsi="Times New Roman" w:cs="Times New Roman"/>
              </w:rPr>
              <w:t xml:space="preserve"> (a) ammonia production, (b) refrigeration.</w:t>
            </w:r>
          </w:p>
        </w:tc>
      </w:tr>
    </w:tbl>
    <w:p w14:paraId="24CC2E9C" w14:textId="77ED6355"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lastRenderedPageBreak/>
        <w:fldChar w:fldCharType="begin"/>
      </w:r>
      <w:r w:rsidRPr="00CE04FC">
        <w:rPr>
          <w:rFonts w:ascii="Times New Roman" w:hAnsi="Times New Roman" w:cs="Times New Roman"/>
        </w:rPr>
        <w:instrText xml:space="preserve"> REF _Ref186644772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9</w:t>
      </w:r>
      <w:r w:rsidRPr="00CE04FC">
        <w:rPr>
          <w:rFonts w:ascii="Times New Roman" w:hAnsi="Times New Roman" w:cs="Times New Roman"/>
        </w:rPr>
        <w:fldChar w:fldCharType="end"/>
      </w:r>
      <w:r w:rsidRPr="00CE04FC">
        <w:rPr>
          <w:rFonts w:ascii="Times New Roman" w:hAnsi="Times New Roman" w:cs="Times New Roman"/>
        </w:rPr>
        <w:t xml:space="preserve"> shows the effect of </w:t>
      </w:r>
      <w:r w:rsidR="00C537EC" w:rsidRPr="00CE04FC">
        <w:rPr>
          <w:rFonts w:ascii="Times New Roman" w:hAnsi="Times New Roman" w:cs="Times New Roman"/>
        </w:rPr>
        <w:t>uncertainty in input</w:t>
      </w:r>
      <w:r w:rsidR="001D1CEC" w:rsidRPr="00CE04FC">
        <w:rPr>
          <w:rFonts w:ascii="Times New Roman" w:hAnsi="Times New Roman" w:cs="Times New Roman"/>
        </w:rPr>
        <w:t xml:space="preserve"> </w:t>
      </w:r>
      <w:r w:rsidRPr="00CE04FC">
        <w:rPr>
          <w:rFonts w:ascii="Times New Roman" w:hAnsi="Times New Roman" w:cs="Times New Roman"/>
        </w:rPr>
        <w:t xml:space="preserve">parameters </w:t>
      </w:r>
      <w:r w:rsidR="00BB7AC7" w:rsidRPr="00CE04FC">
        <w:rPr>
          <w:rFonts w:ascii="Times New Roman" w:hAnsi="Times New Roman" w:cs="Times New Roman"/>
        </w:rPr>
        <w:t>(</w:t>
      </w:r>
      <w:r w:rsidR="00FF4112" w:rsidRPr="00CE04FC">
        <w:rPr>
          <w:rFonts w:ascii="Times New Roman" w:hAnsi="Times New Roman" w:cs="Times New Roman"/>
        </w:rPr>
        <w:t xml:space="preserve">showed in </w:t>
      </w:r>
      <w:r w:rsidR="00FF4112" w:rsidRPr="00CE04FC">
        <w:rPr>
          <w:rFonts w:ascii="Times New Roman" w:hAnsi="Times New Roman" w:cs="Times New Roman"/>
        </w:rPr>
        <w:fldChar w:fldCharType="begin"/>
      </w:r>
      <w:r w:rsidR="00FF4112" w:rsidRPr="00CE04FC">
        <w:rPr>
          <w:rFonts w:ascii="Times New Roman" w:hAnsi="Times New Roman" w:cs="Times New Roman"/>
        </w:rPr>
        <w:instrText xml:space="preserve"> REF _Ref187925430 \h </w:instrText>
      </w:r>
      <w:r w:rsidR="00412369" w:rsidRPr="00CE04FC">
        <w:rPr>
          <w:rFonts w:ascii="Times New Roman" w:hAnsi="Times New Roman" w:cs="Times New Roman"/>
        </w:rPr>
        <w:instrText xml:space="preserve"> \* MERGEFORMAT </w:instrText>
      </w:r>
      <w:r w:rsidR="00FF4112" w:rsidRPr="00CE04FC">
        <w:rPr>
          <w:rFonts w:ascii="Times New Roman" w:hAnsi="Times New Roman" w:cs="Times New Roman"/>
        </w:rPr>
      </w:r>
      <w:r w:rsidR="00FF4112" w:rsidRPr="00CE04FC">
        <w:rPr>
          <w:rFonts w:ascii="Times New Roman" w:hAnsi="Times New Roman" w:cs="Times New Roman"/>
        </w:rPr>
        <w:fldChar w:fldCharType="separate"/>
      </w:r>
      <w:r w:rsidR="001476C8" w:rsidRPr="00CE04FC">
        <w:rPr>
          <w:rFonts w:ascii="Times New Roman" w:hAnsi="Times New Roman" w:cs="Times New Roman"/>
        </w:rPr>
        <w:t xml:space="preserve">Table </w:t>
      </w:r>
      <w:r w:rsidR="001476C8" w:rsidRPr="00CE04FC">
        <w:rPr>
          <w:rFonts w:ascii="Times New Roman" w:hAnsi="Times New Roman" w:cs="Times New Roman"/>
          <w:noProof/>
        </w:rPr>
        <w:t>1</w:t>
      </w:r>
      <w:r w:rsidR="00FF4112" w:rsidRPr="00CE04FC">
        <w:rPr>
          <w:rFonts w:ascii="Times New Roman" w:hAnsi="Times New Roman" w:cs="Times New Roman"/>
        </w:rPr>
        <w:fldChar w:fldCharType="end"/>
      </w:r>
      <w:r w:rsidR="00BB7AC7" w:rsidRPr="00CE04FC">
        <w:rPr>
          <w:rFonts w:ascii="Times New Roman" w:hAnsi="Times New Roman" w:cs="Times New Roman"/>
        </w:rPr>
        <w:t>)</w:t>
      </w:r>
      <w:r w:rsidR="00FF4112" w:rsidRPr="00CE04FC">
        <w:rPr>
          <w:rFonts w:ascii="Times New Roman" w:hAnsi="Times New Roman" w:cs="Times New Roman"/>
        </w:rPr>
        <w:t xml:space="preserve"> </w:t>
      </w:r>
      <w:r w:rsidRPr="00CE04FC">
        <w:rPr>
          <w:rFonts w:ascii="Times New Roman" w:hAnsi="Times New Roman" w:cs="Times New Roman"/>
        </w:rPr>
        <w:t>o</w:t>
      </w:r>
      <w:r w:rsidR="00342176" w:rsidRPr="00CE04FC">
        <w:rPr>
          <w:rFonts w:ascii="Times New Roman" w:hAnsi="Times New Roman" w:cs="Times New Roman"/>
        </w:rPr>
        <w:t>n</w:t>
      </w:r>
      <w:r w:rsidRPr="00CE04FC">
        <w:rPr>
          <w:rFonts w:ascii="Times New Roman" w:hAnsi="Times New Roman" w:cs="Times New Roman"/>
        </w:rPr>
        <w:t xml:space="preserve"> </w:t>
      </w:r>
      <w:r w:rsidR="00342176" w:rsidRPr="00CE04FC">
        <w:rPr>
          <w:rFonts w:ascii="Times New Roman" w:hAnsi="Times New Roman" w:cs="Times New Roman"/>
        </w:rPr>
        <w:t>ammonia production and refrigeration generation from</w:t>
      </w:r>
      <w:r w:rsidRPr="00CE04FC">
        <w:rPr>
          <w:rFonts w:ascii="Times New Roman" w:hAnsi="Times New Roman" w:cs="Times New Roman"/>
        </w:rPr>
        <w:t xml:space="preserve"> hybridised ammonia production system. </w:t>
      </w:r>
      <w:r w:rsidRPr="00CE04FC">
        <w:rPr>
          <w:rFonts w:ascii="Times New Roman" w:hAnsi="Times New Roman" w:cs="Times New Roman"/>
        </w:rPr>
        <w:fldChar w:fldCharType="begin"/>
      </w:r>
      <w:r w:rsidRPr="00CE04FC">
        <w:rPr>
          <w:rFonts w:ascii="Times New Roman" w:hAnsi="Times New Roman" w:cs="Times New Roman"/>
        </w:rPr>
        <w:instrText xml:space="preserve"> REF _Ref186644772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9</w:t>
      </w:r>
      <w:r w:rsidRPr="00CE04FC">
        <w:rPr>
          <w:rFonts w:ascii="Times New Roman" w:hAnsi="Times New Roman" w:cs="Times New Roman"/>
        </w:rPr>
        <w:fldChar w:fldCharType="end"/>
      </w:r>
      <w:r w:rsidRPr="00CE04FC">
        <w:rPr>
          <w:rFonts w:ascii="Times New Roman" w:hAnsi="Times New Roman" w:cs="Times New Roman"/>
        </w:rPr>
        <w:t xml:space="preserve">a shows the variation in the ammonia production </w:t>
      </w:r>
      <w:r w:rsidR="009F58AF" w:rsidRPr="00CE04FC">
        <w:rPr>
          <w:rFonts w:ascii="Times New Roman" w:hAnsi="Times New Roman" w:cs="Times New Roman"/>
        </w:rPr>
        <w:t xml:space="preserve">due to the uncertainties </w:t>
      </w:r>
      <w:r w:rsidRPr="00CE04FC">
        <w:rPr>
          <w:rFonts w:ascii="Times New Roman" w:hAnsi="Times New Roman" w:cs="Times New Roman"/>
        </w:rPr>
        <w:t>in</w:t>
      </w:r>
      <w:r w:rsidR="004B0C56" w:rsidRPr="00CE04FC">
        <w:rPr>
          <w:rFonts w:ascii="Times New Roman" w:hAnsi="Times New Roman" w:cs="Times New Roman"/>
        </w:rPr>
        <w:t xml:space="preserve"> </w:t>
      </w:r>
      <w:r w:rsidRPr="00CE04FC">
        <w:rPr>
          <w:rFonts w:ascii="Times New Roman" w:hAnsi="Times New Roman" w:cs="Times New Roman"/>
        </w:rPr>
        <w:t xml:space="preserve">HB </w:t>
      </w:r>
      <w:r w:rsidR="00AC4AAC" w:rsidRPr="00CE04FC">
        <w:rPr>
          <w:rFonts w:ascii="Times New Roman" w:hAnsi="Times New Roman" w:cs="Times New Roman"/>
        </w:rPr>
        <w:t>sub-</w:t>
      </w:r>
      <w:r w:rsidRPr="00CE04FC">
        <w:rPr>
          <w:rFonts w:ascii="Times New Roman" w:hAnsi="Times New Roman" w:cs="Times New Roman"/>
        </w:rPr>
        <w:t>systems</w:t>
      </w:r>
      <w:r w:rsidR="003C32D7" w:rsidRPr="00CE04FC">
        <w:rPr>
          <w:rFonts w:ascii="Times New Roman" w:hAnsi="Times New Roman" w:cs="Times New Roman"/>
        </w:rPr>
        <w:t xml:space="preserve"> for nominal </w:t>
      </w:r>
      <w:r w:rsidR="00DE6A64" w:rsidRPr="00CE04FC">
        <w:rPr>
          <w:rFonts w:ascii="Times New Roman" w:hAnsi="Times New Roman" w:cs="Times New Roman"/>
        </w:rPr>
        <w:t xml:space="preserve">power </w:t>
      </w:r>
      <w:r w:rsidR="003C32D7" w:rsidRPr="00CE04FC">
        <w:rPr>
          <w:rFonts w:ascii="Times New Roman" w:hAnsi="Times New Roman" w:cs="Times New Roman"/>
        </w:rPr>
        <w:t>input</w:t>
      </w:r>
      <w:r w:rsidR="00DE6A64" w:rsidRPr="00CE04FC">
        <w:rPr>
          <w:rFonts w:ascii="Times New Roman" w:hAnsi="Times New Roman" w:cs="Times New Roman"/>
        </w:rPr>
        <w:t>s</w:t>
      </w:r>
      <w:r w:rsidRPr="00CE04FC">
        <w:rPr>
          <w:rFonts w:ascii="Times New Roman" w:hAnsi="Times New Roman" w:cs="Times New Roman"/>
        </w:rPr>
        <w:t xml:space="preserve">. Overall, approximately 18% </w:t>
      </w:r>
      <w:r w:rsidR="001C527B" w:rsidRPr="00CE04FC">
        <w:rPr>
          <w:rFonts w:ascii="Times New Roman" w:hAnsi="Times New Roman" w:cs="Times New Roman"/>
        </w:rPr>
        <w:t>variability</w:t>
      </w:r>
      <w:r w:rsidRPr="00CE04FC">
        <w:rPr>
          <w:rFonts w:ascii="Times New Roman" w:hAnsi="Times New Roman" w:cs="Times New Roman"/>
        </w:rPr>
        <w:t xml:space="preserve"> in the ammonia production is noticed due to the uncertainty in the performance of heat exchangers, </w:t>
      </w:r>
      <w:r w:rsidR="0005356B" w:rsidRPr="00CE04FC">
        <w:rPr>
          <w:rFonts w:ascii="Times New Roman" w:hAnsi="Times New Roman" w:cs="Times New Roman"/>
        </w:rPr>
        <w:t>compressors,</w:t>
      </w:r>
      <w:r w:rsidRPr="00CE04FC">
        <w:rPr>
          <w:rFonts w:ascii="Times New Roman" w:hAnsi="Times New Roman" w:cs="Times New Roman"/>
        </w:rPr>
        <w:t xml:space="preserve"> and input power. Similarly, </w:t>
      </w:r>
      <w:r w:rsidRPr="00CE04FC">
        <w:rPr>
          <w:rFonts w:ascii="Times New Roman" w:hAnsi="Times New Roman" w:cs="Times New Roman"/>
        </w:rPr>
        <w:fldChar w:fldCharType="begin"/>
      </w:r>
      <w:r w:rsidRPr="00CE04FC">
        <w:rPr>
          <w:rFonts w:ascii="Times New Roman" w:hAnsi="Times New Roman" w:cs="Times New Roman"/>
        </w:rPr>
        <w:instrText xml:space="preserve"> REF _Ref186644772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9</w:t>
      </w:r>
      <w:r w:rsidRPr="00CE04FC">
        <w:rPr>
          <w:rFonts w:ascii="Times New Roman" w:hAnsi="Times New Roman" w:cs="Times New Roman"/>
        </w:rPr>
        <w:fldChar w:fldCharType="end"/>
      </w:r>
      <w:r w:rsidRPr="00CE04FC">
        <w:rPr>
          <w:rFonts w:ascii="Times New Roman" w:hAnsi="Times New Roman" w:cs="Times New Roman"/>
        </w:rPr>
        <w:t xml:space="preserve">b shows the variation in the refrigeration production due to the </w:t>
      </w:r>
      <w:r w:rsidR="009F58AF" w:rsidRPr="00CE04FC">
        <w:rPr>
          <w:rFonts w:ascii="Times New Roman" w:hAnsi="Times New Roman" w:cs="Times New Roman"/>
        </w:rPr>
        <w:t>uncertainties</w:t>
      </w:r>
      <w:r w:rsidRPr="00CE04FC">
        <w:rPr>
          <w:rFonts w:ascii="Times New Roman" w:hAnsi="Times New Roman" w:cs="Times New Roman"/>
        </w:rPr>
        <w:t xml:space="preserve"> in </w:t>
      </w:r>
      <w:r w:rsidR="006179AC" w:rsidRPr="00CE04FC">
        <w:rPr>
          <w:rFonts w:ascii="Times New Roman" w:hAnsi="Times New Roman" w:cs="Times New Roman"/>
        </w:rPr>
        <w:t>hybridised</w:t>
      </w:r>
      <w:r w:rsidRPr="00CE04FC">
        <w:rPr>
          <w:rFonts w:ascii="Times New Roman" w:hAnsi="Times New Roman" w:cs="Times New Roman"/>
        </w:rPr>
        <w:t xml:space="preserve"> ammonia production system</w:t>
      </w:r>
      <w:r w:rsidR="009F58AF" w:rsidRPr="00CE04FC">
        <w:rPr>
          <w:rFonts w:ascii="Times New Roman" w:hAnsi="Times New Roman" w:cs="Times New Roman"/>
        </w:rPr>
        <w:t>s</w:t>
      </w:r>
      <w:r w:rsidR="00DE6A64" w:rsidRPr="00CE04FC">
        <w:rPr>
          <w:rFonts w:ascii="Times New Roman" w:hAnsi="Times New Roman" w:cs="Times New Roman"/>
        </w:rPr>
        <w:t xml:space="preserve"> for nominal power inputs</w:t>
      </w:r>
      <w:r w:rsidRPr="00CE04FC">
        <w:rPr>
          <w:rFonts w:ascii="Times New Roman" w:hAnsi="Times New Roman" w:cs="Times New Roman"/>
        </w:rPr>
        <w:t xml:space="preserve">. </w:t>
      </w:r>
      <w:r w:rsidR="000C5E9E" w:rsidRPr="00CE04FC">
        <w:rPr>
          <w:rFonts w:ascii="Times New Roman" w:hAnsi="Times New Roman" w:cs="Times New Roman"/>
        </w:rPr>
        <w:t xml:space="preserve">Uncertainty in the performance of heat exchangers, compressors, and power input led to a 30% </w:t>
      </w:r>
      <w:r w:rsidR="001C527B" w:rsidRPr="00CE04FC">
        <w:rPr>
          <w:rFonts w:ascii="Times New Roman" w:hAnsi="Times New Roman" w:cs="Times New Roman"/>
        </w:rPr>
        <w:t>variation</w:t>
      </w:r>
      <w:r w:rsidR="000C5E9E" w:rsidRPr="00CE04FC">
        <w:rPr>
          <w:rFonts w:ascii="Times New Roman" w:hAnsi="Times New Roman" w:cs="Times New Roman"/>
        </w:rPr>
        <w:t xml:space="preserve"> in refrigeration production by the VARC system when coupled with the HB </w:t>
      </w:r>
      <w:r w:rsidR="00AC4AAC" w:rsidRPr="00CE04FC">
        <w:rPr>
          <w:rFonts w:ascii="Times New Roman" w:hAnsi="Times New Roman" w:cs="Times New Roman"/>
        </w:rPr>
        <w:t>sub-</w:t>
      </w:r>
      <w:r w:rsidR="000C5E9E" w:rsidRPr="00CE04FC">
        <w:rPr>
          <w:rFonts w:ascii="Times New Roman" w:hAnsi="Times New Roman" w:cs="Times New Roman"/>
        </w:rPr>
        <w:t xml:space="preserve">system. This significant </w:t>
      </w:r>
      <w:r w:rsidR="001C527B" w:rsidRPr="00CE04FC">
        <w:rPr>
          <w:rFonts w:ascii="Times New Roman" w:hAnsi="Times New Roman" w:cs="Times New Roman"/>
        </w:rPr>
        <w:t>va</w:t>
      </w:r>
      <w:r w:rsidR="00327706" w:rsidRPr="00CE04FC">
        <w:rPr>
          <w:rFonts w:ascii="Times New Roman" w:hAnsi="Times New Roman" w:cs="Times New Roman"/>
        </w:rPr>
        <w:t>riation</w:t>
      </w:r>
      <w:r w:rsidR="000C5E9E" w:rsidRPr="00CE04FC">
        <w:rPr>
          <w:rFonts w:ascii="Times New Roman" w:hAnsi="Times New Roman" w:cs="Times New Roman"/>
        </w:rPr>
        <w:t xml:space="preserve"> is expected due to the VARC system's heavy reliance on heat exchangers. A reduction in heat exchanger effectiveness can directly cause up to a 30% decline in VARC output. In contrast, the smaller variation observed in ammonia production is due to the HB </w:t>
      </w:r>
      <w:r w:rsidR="00AC4AAC" w:rsidRPr="00CE04FC">
        <w:rPr>
          <w:rFonts w:ascii="Times New Roman" w:hAnsi="Times New Roman" w:cs="Times New Roman"/>
        </w:rPr>
        <w:t>sub-</w:t>
      </w:r>
      <w:r w:rsidR="000C5E9E" w:rsidRPr="00CE04FC">
        <w:rPr>
          <w:rFonts w:ascii="Times New Roman" w:hAnsi="Times New Roman" w:cs="Times New Roman"/>
        </w:rPr>
        <w:t xml:space="preserve">system being less dependent on heat exchanger performance compared to </w:t>
      </w:r>
      <w:r w:rsidR="00C800ED" w:rsidRPr="00CE04FC">
        <w:rPr>
          <w:rFonts w:ascii="Times New Roman" w:hAnsi="Times New Roman" w:cs="Times New Roman"/>
        </w:rPr>
        <w:t>VARC system</w:t>
      </w:r>
      <w:r w:rsidR="000C5E9E" w:rsidRPr="00CE04FC">
        <w:rPr>
          <w:rFonts w:ascii="Times New Roman" w:hAnsi="Times New Roman"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4"/>
        <w:gridCol w:w="4572"/>
      </w:tblGrid>
      <w:tr w:rsidR="00CE04FC" w:rsidRPr="00CE04FC" w14:paraId="61832D76" w14:textId="77777777" w:rsidTr="00CD7690">
        <w:tc>
          <w:tcPr>
            <w:tcW w:w="4454" w:type="dxa"/>
          </w:tcPr>
          <w:p w14:paraId="4824CDBE"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c>
          <w:tcPr>
            <w:tcW w:w="4572" w:type="dxa"/>
          </w:tcPr>
          <w:p w14:paraId="46F5DF45"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4ADF8DB2" w14:textId="77777777" w:rsidTr="00CD7690">
        <w:tc>
          <w:tcPr>
            <w:tcW w:w="4454" w:type="dxa"/>
          </w:tcPr>
          <w:p w14:paraId="0073E814" w14:textId="15F4C529" w:rsidR="00D75860" w:rsidRPr="00CE04FC" w:rsidRDefault="00A8742B"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6A3C7FEC" wp14:editId="7B859463">
                  <wp:extent cx="2715492" cy="1800000"/>
                  <wp:effectExtent l="0" t="0" r="8890" b="0"/>
                  <wp:docPr id="23839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9534" name=""/>
                          <pic:cNvPicPr/>
                        </pic:nvPicPr>
                        <pic:blipFill>
                          <a:blip r:embed="rId19"/>
                          <a:stretch>
                            <a:fillRect/>
                          </a:stretch>
                        </pic:blipFill>
                        <pic:spPr>
                          <a:xfrm>
                            <a:off x="0" y="0"/>
                            <a:ext cx="2715492" cy="1800000"/>
                          </a:xfrm>
                          <a:prstGeom prst="rect">
                            <a:avLst/>
                          </a:prstGeom>
                        </pic:spPr>
                      </pic:pic>
                    </a:graphicData>
                  </a:graphic>
                </wp:inline>
              </w:drawing>
            </w:r>
          </w:p>
        </w:tc>
        <w:tc>
          <w:tcPr>
            <w:tcW w:w="4572" w:type="dxa"/>
          </w:tcPr>
          <w:p w14:paraId="799B036E" w14:textId="2FED0557" w:rsidR="00D75860" w:rsidRPr="00CE04FC" w:rsidRDefault="00B60A3B"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32F2B0D9" wp14:editId="0F67E87C">
                  <wp:extent cx="2797832" cy="1800000"/>
                  <wp:effectExtent l="0" t="0" r="2540" b="0"/>
                  <wp:docPr id="580027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27811" name=""/>
                          <pic:cNvPicPr/>
                        </pic:nvPicPr>
                        <pic:blipFill rotWithShape="1">
                          <a:blip r:embed="rId20"/>
                          <a:srcRect t="2845"/>
                          <a:stretch/>
                        </pic:blipFill>
                        <pic:spPr bwMode="auto">
                          <a:xfrm>
                            <a:off x="0" y="0"/>
                            <a:ext cx="2797832"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CE04FC" w:rsidRPr="00CE04FC" w14:paraId="5D0194EA" w14:textId="77777777" w:rsidTr="007D40E1">
        <w:tc>
          <w:tcPr>
            <w:tcW w:w="9026" w:type="dxa"/>
            <w:gridSpan w:val="2"/>
          </w:tcPr>
          <w:p w14:paraId="09D4746C" w14:textId="500B6B7C" w:rsidR="00D75860" w:rsidRPr="00CE04FC" w:rsidRDefault="00D75860" w:rsidP="00ED739D">
            <w:pPr>
              <w:jc w:val="center"/>
              <w:rPr>
                <w:rFonts w:ascii="Times New Roman" w:hAnsi="Times New Roman" w:cs="Times New Roman"/>
              </w:rPr>
            </w:pPr>
            <w:bookmarkStart w:id="23" w:name="_Ref186644772"/>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9</w:t>
            </w:r>
            <w:r w:rsidRPr="00CE04FC">
              <w:rPr>
                <w:rFonts w:ascii="Times New Roman" w:hAnsi="Times New Roman" w:cs="Times New Roman"/>
              </w:rPr>
              <w:fldChar w:fldCharType="end"/>
            </w:r>
            <w:bookmarkEnd w:id="23"/>
            <w:r w:rsidRPr="00CE04FC">
              <w:rPr>
                <w:rFonts w:ascii="Times New Roman" w:hAnsi="Times New Roman" w:cs="Times New Roman"/>
              </w:rPr>
              <w:t xml:space="preserve"> Effects of input parameters</w:t>
            </w:r>
            <w:r w:rsidR="00A30F46" w:rsidRPr="00CE04FC">
              <w:rPr>
                <w:rFonts w:ascii="Times New Roman" w:hAnsi="Times New Roman" w:cs="Times New Roman"/>
              </w:rPr>
              <w:t xml:space="preserve"> </w:t>
            </w:r>
            <w:r w:rsidRPr="00CE04FC">
              <w:rPr>
                <w:rFonts w:ascii="Times New Roman" w:hAnsi="Times New Roman" w:cs="Times New Roman"/>
              </w:rPr>
              <w:t xml:space="preserve">variability on (a) ammonia production, (b) refrigeration </w:t>
            </w:r>
            <w:r w:rsidR="008E35B7" w:rsidRPr="00CE04FC">
              <w:rPr>
                <w:rFonts w:ascii="Times New Roman" w:hAnsi="Times New Roman" w:cs="Times New Roman"/>
              </w:rPr>
              <w:t>generation</w:t>
            </w:r>
            <w:r w:rsidRPr="00CE04FC">
              <w:rPr>
                <w:rFonts w:ascii="Times New Roman" w:hAnsi="Times New Roman" w:cs="Times New Roman"/>
              </w:rPr>
              <w:t>.</w:t>
            </w:r>
          </w:p>
          <w:p w14:paraId="7D4BB8E8" w14:textId="5F09F045" w:rsidR="00ED739D" w:rsidRPr="00CE04FC" w:rsidRDefault="00ED739D" w:rsidP="00A47D27">
            <w:pPr>
              <w:jc w:val="center"/>
              <w:rPr>
                <w:rFonts w:ascii="Times New Roman" w:hAnsi="Times New Roman" w:cs="Times New Roman"/>
              </w:rPr>
            </w:pPr>
          </w:p>
        </w:tc>
      </w:tr>
    </w:tbl>
    <w:bookmarkStart w:id="24" w:name="_Hlk197940523"/>
    <w:p w14:paraId="0A5AF416" w14:textId="6F94197D" w:rsidR="009454D1" w:rsidRPr="00CE04FC" w:rsidRDefault="004545A4" w:rsidP="009454D1">
      <w:pPr>
        <w:spacing w:line="240" w:lineRule="auto"/>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_Ref186734278 \h  \* MERGEFORMAT </w:instrText>
      </w:r>
      <w:r w:rsidRPr="00CE04FC">
        <w:rPr>
          <w:rFonts w:ascii="Times New Roman" w:hAnsi="Times New Roman" w:cs="Times New Roman"/>
        </w:rPr>
      </w:r>
      <w:r w:rsidRPr="00CE04FC">
        <w:rPr>
          <w:rFonts w:ascii="Times New Roman" w:hAnsi="Times New Roman" w:cs="Times New Roman"/>
        </w:rPr>
        <w:fldChar w:fldCharType="separate"/>
      </w:r>
      <w:r w:rsidRPr="00CE04FC">
        <w:rPr>
          <w:rFonts w:ascii="Times New Roman" w:hAnsi="Times New Roman" w:cs="Times New Roman"/>
        </w:rPr>
        <w:t>Figure 10</w:t>
      </w:r>
      <w:r w:rsidRPr="00CE04FC">
        <w:rPr>
          <w:rFonts w:ascii="Times New Roman" w:hAnsi="Times New Roman" w:cs="Times New Roman"/>
        </w:rPr>
        <w:fldChar w:fldCharType="end"/>
      </w:r>
      <w:r w:rsidR="009454D1" w:rsidRPr="00CE04FC">
        <w:rPr>
          <w:rFonts w:ascii="Times New Roman" w:hAnsi="Times New Roman" w:cs="Times New Roman"/>
        </w:rPr>
        <w:t xml:space="preserve"> presents the sensitivity analysis of </w:t>
      </w:r>
      <w:r w:rsidR="00A30F46" w:rsidRPr="00CE04FC">
        <w:rPr>
          <w:rFonts w:ascii="Times New Roman" w:hAnsi="Times New Roman" w:cs="Times New Roman"/>
        </w:rPr>
        <w:t xml:space="preserve">uncertainties </w:t>
      </w:r>
      <w:r w:rsidR="009454D1" w:rsidRPr="00CE04FC">
        <w:rPr>
          <w:rFonts w:ascii="Times New Roman" w:hAnsi="Times New Roman" w:cs="Times New Roman"/>
        </w:rPr>
        <w:t xml:space="preserve">in 10–20 MW HB </w:t>
      </w:r>
      <w:r w:rsidR="00AC4AAC" w:rsidRPr="00CE04FC">
        <w:rPr>
          <w:rFonts w:ascii="Times New Roman" w:hAnsi="Times New Roman" w:cs="Times New Roman"/>
        </w:rPr>
        <w:t>sub-</w:t>
      </w:r>
      <w:r w:rsidR="009454D1" w:rsidRPr="00CE04FC">
        <w:rPr>
          <w:rFonts w:ascii="Times New Roman" w:hAnsi="Times New Roman" w:cs="Times New Roman"/>
        </w:rPr>
        <w:t>systems and hybridi</w:t>
      </w:r>
      <w:r w:rsidR="00D354F0" w:rsidRPr="00CE04FC">
        <w:rPr>
          <w:rFonts w:ascii="Times New Roman" w:hAnsi="Times New Roman" w:cs="Times New Roman"/>
        </w:rPr>
        <w:t>s</w:t>
      </w:r>
      <w:r w:rsidR="009454D1" w:rsidRPr="00CE04FC">
        <w:rPr>
          <w:rFonts w:ascii="Times New Roman" w:hAnsi="Times New Roman" w:cs="Times New Roman"/>
        </w:rPr>
        <w:t xml:space="preserve">ed ammonia production systems. </w:t>
      </w:r>
      <w:r w:rsidR="000469E9" w:rsidRPr="00CE04FC">
        <w:rPr>
          <w:rFonts w:ascii="Times New Roman" w:hAnsi="Times New Roman" w:cs="Times New Roman"/>
        </w:rPr>
        <w:fldChar w:fldCharType="begin"/>
      </w:r>
      <w:r w:rsidR="000469E9" w:rsidRPr="00CE04FC">
        <w:rPr>
          <w:rFonts w:ascii="Times New Roman" w:hAnsi="Times New Roman" w:cs="Times New Roman"/>
        </w:rPr>
        <w:instrText xml:space="preserve"> REF _Ref186734278 \h </w:instrText>
      </w:r>
      <w:r w:rsidR="00412369" w:rsidRPr="00CE04FC">
        <w:rPr>
          <w:rFonts w:ascii="Times New Roman" w:hAnsi="Times New Roman" w:cs="Times New Roman"/>
        </w:rPr>
        <w:instrText xml:space="preserve"> \* MERGEFORMAT </w:instrText>
      </w:r>
      <w:r w:rsidR="000469E9" w:rsidRPr="00CE04FC">
        <w:rPr>
          <w:rFonts w:ascii="Times New Roman" w:hAnsi="Times New Roman" w:cs="Times New Roman"/>
        </w:rPr>
      </w:r>
      <w:r w:rsidR="000469E9" w:rsidRPr="00CE04FC">
        <w:rPr>
          <w:rFonts w:ascii="Times New Roman" w:hAnsi="Times New Roman" w:cs="Times New Roman"/>
        </w:rPr>
        <w:fldChar w:fldCharType="separate"/>
      </w:r>
      <w:r w:rsidR="001476C8" w:rsidRPr="00CE04FC">
        <w:rPr>
          <w:rFonts w:ascii="Times New Roman" w:hAnsi="Times New Roman" w:cs="Times New Roman"/>
        </w:rPr>
        <w:t xml:space="preserve">Figure </w:t>
      </w:r>
      <w:r w:rsidR="001476C8" w:rsidRPr="00CE04FC">
        <w:rPr>
          <w:rFonts w:ascii="Times New Roman" w:hAnsi="Times New Roman" w:cs="Times New Roman"/>
          <w:noProof/>
        </w:rPr>
        <w:t>10</w:t>
      </w:r>
      <w:r w:rsidR="000469E9" w:rsidRPr="00CE04FC">
        <w:rPr>
          <w:rFonts w:ascii="Times New Roman" w:hAnsi="Times New Roman" w:cs="Times New Roman"/>
        </w:rPr>
        <w:fldChar w:fldCharType="end"/>
      </w:r>
      <w:r w:rsidR="009454D1" w:rsidRPr="00CE04FC">
        <w:rPr>
          <w:rFonts w:ascii="Times New Roman" w:hAnsi="Times New Roman" w:cs="Times New Roman"/>
        </w:rPr>
        <w:t xml:space="preserve">a illustrates the sensitivity of uncertain components affecting ammonia production in the HB </w:t>
      </w:r>
      <w:r w:rsidR="004724C3" w:rsidRPr="00CE04FC">
        <w:rPr>
          <w:rFonts w:ascii="Times New Roman" w:hAnsi="Times New Roman" w:cs="Times New Roman"/>
        </w:rPr>
        <w:t>sub-</w:t>
      </w:r>
      <w:r w:rsidR="009454D1" w:rsidRPr="00CE04FC">
        <w:rPr>
          <w:rFonts w:ascii="Times New Roman" w:hAnsi="Times New Roman" w:cs="Times New Roman"/>
        </w:rPr>
        <w:t xml:space="preserve">system, while </w:t>
      </w:r>
      <w:r w:rsidR="000A79B4" w:rsidRPr="00CE04FC">
        <w:rPr>
          <w:rFonts w:ascii="Times New Roman" w:hAnsi="Times New Roman" w:cs="Times New Roman"/>
        </w:rPr>
        <w:fldChar w:fldCharType="begin"/>
      </w:r>
      <w:r w:rsidR="000A79B4" w:rsidRPr="00CE04FC">
        <w:rPr>
          <w:rFonts w:ascii="Times New Roman" w:hAnsi="Times New Roman" w:cs="Times New Roman"/>
        </w:rPr>
        <w:instrText xml:space="preserve"> REF _Ref186734278 \h </w:instrText>
      </w:r>
      <w:r w:rsidR="00412369" w:rsidRPr="00CE04FC">
        <w:rPr>
          <w:rFonts w:ascii="Times New Roman" w:hAnsi="Times New Roman" w:cs="Times New Roman"/>
        </w:rPr>
        <w:instrText xml:space="preserve"> \* MERGEFORMAT </w:instrText>
      </w:r>
      <w:r w:rsidR="000A79B4" w:rsidRPr="00CE04FC">
        <w:rPr>
          <w:rFonts w:ascii="Times New Roman" w:hAnsi="Times New Roman" w:cs="Times New Roman"/>
        </w:rPr>
      </w:r>
      <w:r w:rsidR="000A79B4" w:rsidRPr="00CE04FC">
        <w:rPr>
          <w:rFonts w:ascii="Times New Roman" w:hAnsi="Times New Roman" w:cs="Times New Roman"/>
        </w:rPr>
        <w:fldChar w:fldCharType="separate"/>
      </w:r>
      <w:r w:rsidR="001476C8" w:rsidRPr="00CE04FC">
        <w:rPr>
          <w:rFonts w:ascii="Times New Roman" w:hAnsi="Times New Roman" w:cs="Times New Roman"/>
        </w:rPr>
        <w:t xml:space="preserve">Figure </w:t>
      </w:r>
      <w:r w:rsidR="001476C8" w:rsidRPr="00CE04FC">
        <w:rPr>
          <w:rFonts w:ascii="Times New Roman" w:hAnsi="Times New Roman" w:cs="Times New Roman"/>
          <w:noProof/>
        </w:rPr>
        <w:t>10</w:t>
      </w:r>
      <w:r w:rsidR="000A79B4" w:rsidRPr="00CE04FC">
        <w:rPr>
          <w:rFonts w:ascii="Times New Roman" w:hAnsi="Times New Roman" w:cs="Times New Roman"/>
        </w:rPr>
        <w:fldChar w:fldCharType="end"/>
      </w:r>
      <w:r w:rsidR="009454D1" w:rsidRPr="00CE04FC">
        <w:rPr>
          <w:rFonts w:ascii="Times New Roman" w:hAnsi="Times New Roman" w:cs="Times New Roman"/>
        </w:rPr>
        <w:t>b highlights the impact of component performance uncertainties on refrigeration generation within the hybridi</w:t>
      </w:r>
      <w:r w:rsidR="00D354F0" w:rsidRPr="00CE04FC">
        <w:rPr>
          <w:rFonts w:ascii="Times New Roman" w:hAnsi="Times New Roman" w:cs="Times New Roman"/>
        </w:rPr>
        <w:t>s</w:t>
      </w:r>
      <w:r w:rsidR="009454D1" w:rsidRPr="00CE04FC">
        <w:rPr>
          <w:rFonts w:ascii="Times New Roman" w:hAnsi="Times New Roman" w:cs="Times New Roman"/>
        </w:rPr>
        <w:t>ed ammonia production system.</w:t>
      </w:r>
    </w:p>
    <w:p w14:paraId="5E529348" w14:textId="2DC3015E" w:rsidR="009454D1" w:rsidRPr="00CE04FC" w:rsidRDefault="009454D1" w:rsidP="009454D1">
      <w:pPr>
        <w:spacing w:line="240" w:lineRule="auto"/>
        <w:jc w:val="both"/>
        <w:rPr>
          <w:rFonts w:ascii="Times New Roman" w:hAnsi="Times New Roman" w:cs="Times New Roman"/>
        </w:rPr>
      </w:pPr>
      <w:r w:rsidRPr="00CE04FC">
        <w:rPr>
          <w:rFonts w:ascii="Times New Roman" w:hAnsi="Times New Roman" w:cs="Times New Roman"/>
        </w:rPr>
        <w:t>In both cases—ammonia production and refrigeration—the most sensitive variable is the power supply (</w:t>
      </w:r>
      <w:r w:rsidR="000A0DD5" w:rsidRPr="00CE04FC">
        <w:rPr>
          <w:rFonts w:ascii="Times New Roman" w:hAnsi="Times New Roman" w:cs="Times New Roman"/>
        </w:rPr>
        <w:t>P</w:t>
      </w:r>
      <w:r w:rsidR="000A0DD5" w:rsidRPr="00CE04FC">
        <w:rPr>
          <w:rFonts w:ascii="Times New Roman" w:hAnsi="Times New Roman" w:cs="Times New Roman"/>
          <w:vertAlign w:val="subscript"/>
        </w:rPr>
        <w:t>in</w:t>
      </w:r>
      <w:r w:rsidRPr="00CE04FC">
        <w:rPr>
          <w:rFonts w:ascii="Times New Roman" w:hAnsi="Times New Roman" w:cs="Times New Roman"/>
        </w:rPr>
        <w:t>)</w:t>
      </w:r>
      <w:r w:rsidR="001A5A69" w:rsidRPr="00CE04FC">
        <w:rPr>
          <w:rFonts w:ascii="Times New Roman" w:hAnsi="Times New Roman" w:cs="Times New Roman"/>
        </w:rPr>
        <w:t xml:space="preserve"> which is </w:t>
      </w:r>
      <w:r w:rsidR="00BA01EA" w:rsidRPr="00CE04FC">
        <w:rPr>
          <w:rFonts w:ascii="Times New Roman" w:hAnsi="Times New Roman" w:cs="Times New Roman"/>
        </w:rPr>
        <w:t>almost 50% in</w:t>
      </w:r>
      <w:r w:rsidR="007177F0" w:rsidRPr="00CE04FC">
        <w:rPr>
          <w:rFonts w:ascii="Times New Roman" w:hAnsi="Times New Roman" w:cs="Times New Roman"/>
        </w:rPr>
        <w:t xml:space="preserve"> case with </w:t>
      </w:r>
      <w:r w:rsidR="007177F0" w:rsidRPr="00CE04FC">
        <w:rPr>
          <w:rFonts w:ascii="Times New Roman" w:hAnsi="Times New Roman" w:cs="Times New Roman"/>
        </w:rPr>
        <w:fldChar w:fldCharType="begin"/>
      </w:r>
      <w:r w:rsidR="007177F0" w:rsidRPr="00CE04FC">
        <w:rPr>
          <w:rFonts w:ascii="Times New Roman" w:hAnsi="Times New Roman" w:cs="Times New Roman"/>
        </w:rPr>
        <w:instrText xml:space="preserve"> REF _Ref186734278 \h </w:instrText>
      </w:r>
      <w:r w:rsidR="00412369" w:rsidRPr="00CE04FC">
        <w:rPr>
          <w:rFonts w:ascii="Times New Roman" w:hAnsi="Times New Roman" w:cs="Times New Roman"/>
        </w:rPr>
        <w:instrText xml:space="preserve"> \* MERGEFORMAT </w:instrText>
      </w:r>
      <w:r w:rsidR="007177F0" w:rsidRPr="00CE04FC">
        <w:rPr>
          <w:rFonts w:ascii="Times New Roman" w:hAnsi="Times New Roman" w:cs="Times New Roman"/>
        </w:rPr>
      </w:r>
      <w:r w:rsidR="007177F0" w:rsidRPr="00CE04FC">
        <w:rPr>
          <w:rFonts w:ascii="Times New Roman" w:hAnsi="Times New Roman" w:cs="Times New Roman"/>
        </w:rPr>
        <w:fldChar w:fldCharType="separate"/>
      </w:r>
      <w:r w:rsidR="001476C8" w:rsidRPr="00CE04FC">
        <w:rPr>
          <w:rFonts w:ascii="Times New Roman" w:hAnsi="Times New Roman" w:cs="Times New Roman"/>
        </w:rPr>
        <w:t xml:space="preserve">Figure </w:t>
      </w:r>
      <w:r w:rsidR="001476C8" w:rsidRPr="00CE04FC">
        <w:rPr>
          <w:rFonts w:ascii="Times New Roman" w:hAnsi="Times New Roman" w:cs="Times New Roman"/>
          <w:noProof/>
        </w:rPr>
        <w:t>10</w:t>
      </w:r>
      <w:r w:rsidR="007177F0" w:rsidRPr="00CE04FC">
        <w:rPr>
          <w:rFonts w:ascii="Times New Roman" w:hAnsi="Times New Roman" w:cs="Times New Roman"/>
        </w:rPr>
        <w:fldChar w:fldCharType="end"/>
      </w:r>
      <w:r w:rsidR="007177F0" w:rsidRPr="00CE04FC">
        <w:rPr>
          <w:rFonts w:ascii="Times New Roman" w:hAnsi="Times New Roman" w:cs="Times New Roman"/>
        </w:rPr>
        <w:t xml:space="preserve">a and more than 50% if we look at </w:t>
      </w:r>
      <w:r w:rsidR="007177F0" w:rsidRPr="00CE04FC">
        <w:rPr>
          <w:rFonts w:ascii="Times New Roman" w:hAnsi="Times New Roman" w:cs="Times New Roman"/>
        </w:rPr>
        <w:fldChar w:fldCharType="begin"/>
      </w:r>
      <w:r w:rsidR="007177F0" w:rsidRPr="00CE04FC">
        <w:rPr>
          <w:rFonts w:ascii="Times New Roman" w:hAnsi="Times New Roman" w:cs="Times New Roman"/>
        </w:rPr>
        <w:instrText xml:space="preserve"> REF _Ref186734278 \h </w:instrText>
      </w:r>
      <w:r w:rsidR="00412369" w:rsidRPr="00CE04FC">
        <w:rPr>
          <w:rFonts w:ascii="Times New Roman" w:hAnsi="Times New Roman" w:cs="Times New Roman"/>
        </w:rPr>
        <w:instrText xml:space="preserve"> \* MERGEFORMAT </w:instrText>
      </w:r>
      <w:r w:rsidR="007177F0" w:rsidRPr="00CE04FC">
        <w:rPr>
          <w:rFonts w:ascii="Times New Roman" w:hAnsi="Times New Roman" w:cs="Times New Roman"/>
        </w:rPr>
      </w:r>
      <w:r w:rsidR="007177F0" w:rsidRPr="00CE04FC">
        <w:rPr>
          <w:rFonts w:ascii="Times New Roman" w:hAnsi="Times New Roman" w:cs="Times New Roman"/>
        </w:rPr>
        <w:fldChar w:fldCharType="separate"/>
      </w:r>
      <w:r w:rsidR="001476C8" w:rsidRPr="00CE04FC">
        <w:rPr>
          <w:rFonts w:ascii="Times New Roman" w:hAnsi="Times New Roman" w:cs="Times New Roman"/>
        </w:rPr>
        <w:t xml:space="preserve">Figure </w:t>
      </w:r>
      <w:r w:rsidR="001476C8" w:rsidRPr="00CE04FC">
        <w:rPr>
          <w:rFonts w:ascii="Times New Roman" w:hAnsi="Times New Roman" w:cs="Times New Roman"/>
          <w:noProof/>
        </w:rPr>
        <w:t>10</w:t>
      </w:r>
      <w:r w:rsidR="007177F0" w:rsidRPr="00CE04FC">
        <w:rPr>
          <w:rFonts w:ascii="Times New Roman" w:hAnsi="Times New Roman" w:cs="Times New Roman"/>
        </w:rPr>
        <w:fldChar w:fldCharType="end"/>
      </w:r>
      <w:r w:rsidR="007177F0" w:rsidRPr="00CE04FC">
        <w:rPr>
          <w:rFonts w:ascii="Times New Roman" w:hAnsi="Times New Roman" w:cs="Times New Roman"/>
        </w:rPr>
        <w:t>b</w:t>
      </w:r>
      <w:r w:rsidR="003E69BA" w:rsidRPr="00CE04FC">
        <w:rPr>
          <w:rFonts w:ascii="Times New Roman" w:hAnsi="Times New Roman" w:cs="Times New Roman"/>
        </w:rPr>
        <w:t xml:space="preserve">. This is </w:t>
      </w:r>
      <w:r w:rsidRPr="00CE04FC">
        <w:rPr>
          <w:rFonts w:ascii="Times New Roman" w:hAnsi="Times New Roman" w:cs="Times New Roman"/>
        </w:rPr>
        <w:t>due to</w:t>
      </w:r>
      <w:r w:rsidR="0090735A" w:rsidRPr="00CE04FC">
        <w:rPr>
          <w:rFonts w:ascii="Times New Roman" w:hAnsi="Times New Roman" w:cs="Times New Roman"/>
        </w:rPr>
        <w:t xml:space="preserve"> </w:t>
      </w:r>
      <w:r w:rsidR="00A44D17" w:rsidRPr="00CE04FC">
        <w:rPr>
          <w:rFonts w:ascii="Times New Roman" w:hAnsi="Times New Roman" w:cs="Times New Roman"/>
        </w:rPr>
        <w:t>its role as the primary energy supplier of the whole hybridised system</w:t>
      </w:r>
      <w:r w:rsidRPr="00CE04FC">
        <w:rPr>
          <w:rFonts w:ascii="Times New Roman" w:hAnsi="Times New Roman" w:cs="Times New Roman"/>
        </w:rPr>
        <w:t>. Another significant source of uncertainty is the effectiveness of heat exchangers</w:t>
      </w:r>
      <w:r w:rsidR="00050BA3" w:rsidRPr="00CE04FC">
        <w:rPr>
          <w:rFonts w:ascii="Times New Roman" w:hAnsi="Times New Roman" w:cs="Times New Roman"/>
        </w:rPr>
        <w:t xml:space="preserve"> which is </w:t>
      </w:r>
      <w:r w:rsidR="00F817AE" w:rsidRPr="00CE04FC">
        <w:rPr>
          <w:rFonts w:ascii="Times New Roman" w:hAnsi="Times New Roman" w:cs="Times New Roman"/>
        </w:rPr>
        <w:t>within 12% to 18% range</w:t>
      </w:r>
      <w:r w:rsidRPr="00CE04FC">
        <w:rPr>
          <w:rFonts w:ascii="Times New Roman" w:hAnsi="Times New Roman" w:cs="Times New Roman"/>
        </w:rPr>
        <w:t>. HE1 is responsible for cooling the gas mixture to 350°C before it enters the HB reactor. In the hybridi</w:t>
      </w:r>
      <w:r w:rsidR="00D354F0" w:rsidRPr="00CE04FC">
        <w:rPr>
          <w:rFonts w:ascii="Times New Roman" w:hAnsi="Times New Roman" w:cs="Times New Roman"/>
        </w:rPr>
        <w:t>s</w:t>
      </w:r>
      <w:r w:rsidRPr="00CE04FC">
        <w:rPr>
          <w:rFonts w:ascii="Times New Roman" w:hAnsi="Times New Roman" w:cs="Times New Roman"/>
        </w:rPr>
        <w:t>ed system, this heat exchanger also functions as a preheater when integrated with VARC. Consequently, any uncertainty in its effectiveness affects the output of both systems.</w:t>
      </w:r>
    </w:p>
    <w:p w14:paraId="2116D48F" w14:textId="40515DBF" w:rsidR="006D57A5" w:rsidRDefault="009454D1" w:rsidP="00D75860">
      <w:pPr>
        <w:spacing w:line="240" w:lineRule="auto"/>
        <w:jc w:val="both"/>
        <w:rPr>
          <w:rFonts w:ascii="Times New Roman" w:hAnsi="Times New Roman" w:cs="Times New Roman"/>
        </w:rPr>
      </w:pPr>
      <w:r w:rsidRPr="00CE04FC">
        <w:rPr>
          <w:rFonts w:ascii="Times New Roman" w:hAnsi="Times New Roman" w:cs="Times New Roman"/>
        </w:rPr>
        <w:t xml:space="preserve">HE2 and HE3 represent uncertainties in the effectiveness of the heat exchangers used to cool the hydrogen and oxygen streams exiting the water </w:t>
      </w:r>
      <w:r w:rsidR="00FB4C25" w:rsidRPr="00CE04FC">
        <w:rPr>
          <w:rFonts w:ascii="Times New Roman" w:hAnsi="Times New Roman" w:cs="Times New Roman"/>
        </w:rPr>
        <w:t>electrolyser</w:t>
      </w:r>
      <w:r w:rsidRPr="00CE04FC">
        <w:rPr>
          <w:rFonts w:ascii="Times New Roman" w:hAnsi="Times New Roman" w:cs="Times New Roman"/>
        </w:rPr>
        <w:t xml:space="preserve">. Since these streams have moderate temperatures (70–90°C), variations in their effectiveness have minimal impact </w:t>
      </w:r>
      <w:r w:rsidR="003E69BA" w:rsidRPr="00CE04FC">
        <w:rPr>
          <w:rFonts w:ascii="Times New Roman" w:hAnsi="Times New Roman" w:cs="Times New Roman"/>
        </w:rPr>
        <w:t xml:space="preserve">(less than 5%) </w:t>
      </w:r>
      <w:r w:rsidRPr="00CE04FC">
        <w:rPr>
          <w:rFonts w:ascii="Times New Roman" w:hAnsi="Times New Roman" w:cs="Times New Roman"/>
        </w:rPr>
        <w:t>on ammonia production. However, in the hybridi</w:t>
      </w:r>
      <w:r w:rsidR="00D354F0" w:rsidRPr="00CE04FC">
        <w:rPr>
          <w:rFonts w:ascii="Times New Roman" w:hAnsi="Times New Roman" w:cs="Times New Roman"/>
        </w:rPr>
        <w:t>s</w:t>
      </w:r>
      <w:r w:rsidRPr="00CE04FC">
        <w:rPr>
          <w:rFonts w:ascii="Times New Roman" w:hAnsi="Times New Roman" w:cs="Times New Roman"/>
        </w:rPr>
        <w:t>ed ammonia production system for refrigeration, these heat exchangers serve as preheaters in the VARC, meaning their performance uncertainty directly influences system output</w:t>
      </w:r>
      <w:r w:rsidR="000F21C4" w:rsidRPr="00CE04FC">
        <w:rPr>
          <w:rFonts w:ascii="Times New Roman" w:hAnsi="Times New Roman" w:cs="Times New Roman"/>
        </w:rPr>
        <w:t xml:space="preserve"> (5</w:t>
      </w:r>
      <w:r w:rsidR="00435A83" w:rsidRPr="00CE04FC">
        <w:rPr>
          <w:rFonts w:ascii="Times New Roman" w:hAnsi="Times New Roman" w:cs="Times New Roman"/>
        </w:rPr>
        <w:t xml:space="preserve">% </w:t>
      </w:r>
      <w:r w:rsidR="000F21C4" w:rsidRPr="00CE04FC">
        <w:rPr>
          <w:rFonts w:ascii="Times New Roman" w:hAnsi="Times New Roman" w:cs="Times New Roman"/>
        </w:rPr>
        <w:t>-</w:t>
      </w:r>
      <w:r w:rsidR="00435A83" w:rsidRPr="00CE04FC">
        <w:rPr>
          <w:rFonts w:ascii="Times New Roman" w:hAnsi="Times New Roman" w:cs="Times New Roman"/>
        </w:rPr>
        <w:t xml:space="preserve"> </w:t>
      </w:r>
      <w:r w:rsidR="000F21C4" w:rsidRPr="00CE04FC">
        <w:rPr>
          <w:rFonts w:ascii="Times New Roman" w:hAnsi="Times New Roman" w:cs="Times New Roman"/>
        </w:rPr>
        <w:t>10%)</w:t>
      </w:r>
      <w:r w:rsidRPr="00CE04FC">
        <w:rPr>
          <w:rFonts w:ascii="Times New Roman" w:hAnsi="Times New Roman" w:cs="Times New Roman"/>
        </w:rPr>
        <w:t>.</w:t>
      </w:r>
      <w:r w:rsidR="00FB4C25" w:rsidRPr="00CE04FC">
        <w:rPr>
          <w:rFonts w:ascii="Times New Roman" w:hAnsi="Times New Roman" w:cs="Times New Roman"/>
        </w:rPr>
        <w:t xml:space="preserve"> </w:t>
      </w:r>
      <w:r w:rsidRPr="00CE04FC">
        <w:rPr>
          <w:rFonts w:ascii="Times New Roman" w:hAnsi="Times New Roman" w:cs="Times New Roman"/>
        </w:rPr>
        <w:t xml:space="preserve">HE4 is the heat exchanger responsible for cooling the gas mixture </w:t>
      </w:r>
      <w:r w:rsidR="00C0357D" w:rsidRPr="00CE04FC">
        <w:rPr>
          <w:rFonts w:ascii="Times New Roman" w:hAnsi="Times New Roman" w:cs="Times New Roman"/>
        </w:rPr>
        <w:t>downstream of</w:t>
      </w:r>
      <w:r w:rsidRPr="00CE04FC">
        <w:rPr>
          <w:rFonts w:ascii="Times New Roman" w:hAnsi="Times New Roman" w:cs="Times New Roman"/>
        </w:rPr>
        <w:t xml:space="preserve"> the HB reactor to separate ammonia from the unreacted mixture. In the hybridi</w:t>
      </w:r>
      <w:r w:rsidR="00D354F0" w:rsidRPr="00CE04FC">
        <w:rPr>
          <w:rFonts w:ascii="Times New Roman" w:hAnsi="Times New Roman" w:cs="Times New Roman"/>
        </w:rPr>
        <w:t>s</w:t>
      </w:r>
      <w:r w:rsidRPr="00CE04FC">
        <w:rPr>
          <w:rFonts w:ascii="Times New Roman" w:hAnsi="Times New Roman" w:cs="Times New Roman"/>
        </w:rPr>
        <w:t xml:space="preserve">ed system, this heat exchanger also connects the HB </w:t>
      </w:r>
      <w:r w:rsidR="00AC4AAC" w:rsidRPr="00CE04FC">
        <w:rPr>
          <w:rFonts w:ascii="Times New Roman" w:hAnsi="Times New Roman" w:cs="Times New Roman"/>
        </w:rPr>
        <w:t>sub-</w:t>
      </w:r>
      <w:r w:rsidRPr="00CE04FC">
        <w:rPr>
          <w:rFonts w:ascii="Times New Roman" w:hAnsi="Times New Roman" w:cs="Times New Roman"/>
        </w:rPr>
        <w:t>system to VARC. Therefore, any inefficiency in HE4 due to performance uncertainty has a more pronounced impact on the overall system</w:t>
      </w:r>
      <w:r w:rsidR="0021595D" w:rsidRPr="00CE04FC">
        <w:rPr>
          <w:rFonts w:ascii="Times New Roman" w:hAnsi="Times New Roman" w:cs="Times New Roman"/>
        </w:rPr>
        <w:t xml:space="preserve"> (23</w:t>
      </w:r>
      <w:r w:rsidR="00435A83" w:rsidRPr="00CE04FC">
        <w:rPr>
          <w:rFonts w:ascii="Times New Roman" w:hAnsi="Times New Roman" w:cs="Times New Roman"/>
        </w:rPr>
        <w:t xml:space="preserve">% </w:t>
      </w:r>
      <w:r w:rsidR="0021595D" w:rsidRPr="00CE04FC">
        <w:rPr>
          <w:rFonts w:ascii="Times New Roman" w:hAnsi="Times New Roman" w:cs="Times New Roman"/>
        </w:rPr>
        <w:t>-</w:t>
      </w:r>
      <w:r w:rsidR="00435A83" w:rsidRPr="00CE04FC">
        <w:rPr>
          <w:rFonts w:ascii="Times New Roman" w:hAnsi="Times New Roman" w:cs="Times New Roman"/>
        </w:rPr>
        <w:t xml:space="preserve"> 33%)</w:t>
      </w:r>
      <w:r w:rsidRPr="00CE04FC">
        <w:rPr>
          <w:rFonts w:ascii="Times New Roman" w:hAnsi="Times New Roman" w:cs="Times New Roman"/>
        </w:rPr>
        <w:t>. Additionally, C</w:t>
      </w:r>
      <w:r w:rsidRPr="00CE04FC">
        <w:rPr>
          <w:rFonts w:ascii="Times New Roman" w:hAnsi="Times New Roman" w:cs="Times New Roman"/>
          <w:vertAlign w:val="subscript"/>
        </w:rPr>
        <w:t>eff</w:t>
      </w:r>
      <w:r w:rsidRPr="00CE04FC">
        <w:rPr>
          <w:rFonts w:ascii="Times New Roman" w:hAnsi="Times New Roman" w:cs="Times New Roman"/>
        </w:rPr>
        <w:t xml:space="preserve"> represents the impact of uncertainty in the compressor’s isentropic efficiency, further influencing system performance.</w:t>
      </w:r>
    </w:p>
    <w:p w14:paraId="0C8649CC" w14:textId="77777777" w:rsidR="006D57A5" w:rsidRDefault="006D57A5">
      <w:pPr>
        <w:rPr>
          <w:rFonts w:ascii="Times New Roman" w:hAnsi="Times New Roman" w:cs="Times New Roman"/>
        </w:rPr>
      </w:pPr>
      <w:r>
        <w:rPr>
          <w:rFonts w:ascii="Times New Roman" w:hAnsi="Times New Roman" w:cs="Times New Roman"/>
        </w:rPr>
        <w:br w:type="page"/>
      </w:r>
    </w:p>
    <w:p w14:paraId="4FC12911" w14:textId="77777777" w:rsidR="00C24710" w:rsidRPr="00CE04FC" w:rsidRDefault="00C24710" w:rsidP="00D75860">
      <w:pPr>
        <w:spacing w:line="240" w:lineRule="auto"/>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554"/>
      </w:tblGrid>
      <w:tr w:rsidR="00CE04FC" w:rsidRPr="00CE04FC" w14:paraId="0B3E9C13" w14:textId="77777777" w:rsidTr="0027685A">
        <w:tc>
          <w:tcPr>
            <w:tcW w:w="4472" w:type="dxa"/>
          </w:tcPr>
          <w:bookmarkEnd w:id="24"/>
          <w:p w14:paraId="3761EF05"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c>
          <w:tcPr>
            <w:tcW w:w="4554" w:type="dxa"/>
          </w:tcPr>
          <w:p w14:paraId="431B5953"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6D568ECD" w14:textId="77777777" w:rsidTr="0027685A">
        <w:tc>
          <w:tcPr>
            <w:tcW w:w="4472" w:type="dxa"/>
          </w:tcPr>
          <w:p w14:paraId="7BF62CFC"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03D9A70A" wp14:editId="4FE9D232">
                  <wp:extent cx="2767054" cy="1606400"/>
                  <wp:effectExtent l="0" t="0" r="0" b="0"/>
                  <wp:docPr id="13784773"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773" name="Picture 1" descr="A graph with different colored bars&#10;&#10;Description automatically generated"/>
                          <pic:cNvPicPr/>
                        </pic:nvPicPr>
                        <pic:blipFill>
                          <a:blip r:embed="rId21"/>
                          <a:stretch>
                            <a:fillRect/>
                          </a:stretch>
                        </pic:blipFill>
                        <pic:spPr>
                          <a:xfrm>
                            <a:off x="0" y="0"/>
                            <a:ext cx="2778349" cy="1612957"/>
                          </a:xfrm>
                          <a:prstGeom prst="rect">
                            <a:avLst/>
                          </a:prstGeom>
                        </pic:spPr>
                      </pic:pic>
                    </a:graphicData>
                  </a:graphic>
                </wp:inline>
              </w:drawing>
            </w:r>
          </w:p>
        </w:tc>
        <w:tc>
          <w:tcPr>
            <w:tcW w:w="4554" w:type="dxa"/>
          </w:tcPr>
          <w:p w14:paraId="2E28C692" w14:textId="77777777" w:rsidR="00D75860" w:rsidRPr="00CE04FC" w:rsidRDefault="00D75860"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58319E68" wp14:editId="0296D83F">
                  <wp:extent cx="2814762" cy="1634096"/>
                  <wp:effectExtent l="0" t="0" r="5080" b="4445"/>
                  <wp:docPr id="695969911"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69911" name="Picture 1" descr="A graph with different colored bars&#10;&#10;Description automatically generated"/>
                          <pic:cNvPicPr/>
                        </pic:nvPicPr>
                        <pic:blipFill>
                          <a:blip r:embed="rId22"/>
                          <a:stretch>
                            <a:fillRect/>
                          </a:stretch>
                        </pic:blipFill>
                        <pic:spPr>
                          <a:xfrm>
                            <a:off x="0" y="0"/>
                            <a:ext cx="2827061" cy="1641236"/>
                          </a:xfrm>
                          <a:prstGeom prst="rect">
                            <a:avLst/>
                          </a:prstGeom>
                        </pic:spPr>
                      </pic:pic>
                    </a:graphicData>
                  </a:graphic>
                </wp:inline>
              </w:drawing>
            </w:r>
          </w:p>
        </w:tc>
      </w:tr>
      <w:tr w:rsidR="00CE04FC" w:rsidRPr="00CE04FC" w14:paraId="26B450BC" w14:textId="77777777" w:rsidTr="0027685A">
        <w:tc>
          <w:tcPr>
            <w:tcW w:w="9026" w:type="dxa"/>
            <w:gridSpan w:val="2"/>
          </w:tcPr>
          <w:p w14:paraId="2CB13E6B" w14:textId="2C6D0B9F" w:rsidR="00D75860" w:rsidRPr="00CE04FC" w:rsidRDefault="00D75860" w:rsidP="00D75860">
            <w:pPr>
              <w:spacing w:before="240" w:after="200"/>
              <w:jc w:val="center"/>
              <w:rPr>
                <w:rFonts w:ascii="Times New Roman" w:hAnsi="Times New Roman" w:cs="Times New Roman"/>
              </w:rPr>
            </w:pPr>
            <w:bookmarkStart w:id="25" w:name="_Ref186734278"/>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10</w:t>
            </w:r>
            <w:r w:rsidRPr="00CE04FC">
              <w:rPr>
                <w:rFonts w:ascii="Times New Roman" w:hAnsi="Times New Roman" w:cs="Times New Roman"/>
              </w:rPr>
              <w:fldChar w:fldCharType="end"/>
            </w:r>
            <w:bookmarkEnd w:id="25"/>
            <w:r w:rsidRPr="00CE04FC">
              <w:rPr>
                <w:rFonts w:ascii="Times New Roman" w:hAnsi="Times New Roman" w:cs="Times New Roman"/>
              </w:rPr>
              <w:t xml:space="preserve"> Main sensitivity of </w:t>
            </w:r>
            <w:r w:rsidR="009C732F" w:rsidRPr="00CE04FC">
              <w:rPr>
                <w:rFonts w:ascii="Times New Roman" w:hAnsi="Times New Roman" w:cs="Times New Roman"/>
              </w:rPr>
              <w:t xml:space="preserve">all </w:t>
            </w:r>
            <w:r w:rsidRPr="00CE04FC">
              <w:rPr>
                <w:rFonts w:ascii="Times New Roman" w:hAnsi="Times New Roman" w:cs="Times New Roman"/>
              </w:rPr>
              <w:t xml:space="preserve">uncertain parameters in (a) HB </w:t>
            </w:r>
            <w:r w:rsidR="004724C3" w:rsidRPr="00CE04FC">
              <w:rPr>
                <w:rFonts w:ascii="Times New Roman" w:hAnsi="Times New Roman" w:cs="Times New Roman"/>
              </w:rPr>
              <w:t>sub-</w:t>
            </w:r>
            <w:r w:rsidRPr="00CE04FC">
              <w:rPr>
                <w:rFonts w:ascii="Times New Roman" w:hAnsi="Times New Roman" w:cs="Times New Roman"/>
              </w:rPr>
              <w:t>system, (b) hybridised ammonia production system.</w:t>
            </w:r>
          </w:p>
        </w:tc>
      </w:tr>
    </w:tbl>
    <w:p w14:paraId="6E8A092C" w14:textId="148A04A7" w:rsidR="00D75860"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_Ref186737571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11</w:t>
      </w:r>
      <w:r w:rsidRPr="00CE04FC">
        <w:rPr>
          <w:rFonts w:ascii="Times New Roman" w:hAnsi="Times New Roman" w:cs="Times New Roman"/>
        </w:rPr>
        <w:fldChar w:fldCharType="end"/>
      </w:r>
      <w:r w:rsidRPr="00CE04FC">
        <w:rPr>
          <w:rFonts w:ascii="Times New Roman" w:hAnsi="Times New Roman" w:cs="Times New Roman"/>
        </w:rPr>
        <w:t xml:space="preserve"> presents the coefficient of variance (see </w:t>
      </w:r>
      <w:r w:rsidRPr="00CE04FC">
        <w:rPr>
          <w:rFonts w:ascii="Times New Roman" w:hAnsi="Times New Roman" w:cs="Times New Roman"/>
        </w:rPr>
        <w:fldChar w:fldCharType="begin"/>
      </w:r>
      <w:r w:rsidR="00063EF7" w:rsidRPr="00CE04FC">
        <w:rPr>
          <w:rFonts w:ascii="Times New Roman" w:hAnsi="Times New Roman" w:cs="Times New Roman"/>
        </w:rPr>
        <w:instrText xml:space="preserve"> ADDIN EN.CITE &lt;EndNote&gt;&lt;Cite&gt;&lt;Author&gt;Brown&lt;/Author&gt;&lt;Year&gt;1998&lt;/Year&gt;&lt;RecNum&gt;42&lt;/RecNum&gt;&lt;DisplayText&gt;(Brown, 1998)&lt;/DisplayText&gt;&lt;record&gt;&lt;rec-number&gt;42&lt;/rec-number&gt;&lt;foreign-keys&gt;&lt;key app="EN" db-id="0x0z5zxatzat9oe9027xea2pe2we5dee5dez" timestamp="1738234772"&gt;42&lt;/key&gt;&lt;/foreign-keys&gt;&lt;ref-type name="Book Section"&gt;5&lt;/ref-type&gt;&lt;contributors&gt;&lt;authors&gt;&lt;author&gt;Brown, Charles E.&lt;/author&gt;&lt;/authors&gt;&lt;secondary-authors&gt;&lt;author&gt;Brown, Charles E.&lt;/author&gt;&lt;/secondary-authors&gt;&lt;/contributors&gt;&lt;titles&gt;&lt;title&gt;Coefficient of Variation&lt;/title&gt;&lt;secondary-title&gt;Applied Multivariate Statistics in Geohydrology and Related Sciences&lt;/secondary-title&gt;&lt;/titles&gt;&lt;pages&gt;155-157&lt;/pages&gt;&lt;dates&gt;&lt;year&gt;1998&lt;/year&gt;&lt;pub-dates&gt;&lt;date&gt;1998//&lt;/date&gt;&lt;/pub-dates&gt;&lt;/dates&gt;&lt;pub-location&gt;Berlin, Heidelberg&lt;/pub-location&gt;&lt;publisher&gt;Springer Berlin Heidelberg&lt;/publisher&gt;&lt;isbn&gt;978-3-642-80328-4&lt;/isbn&gt;&lt;urls&gt;&lt;related-urls&gt;&lt;url&gt;https://doi.org/10.1007/978-3-642-80328-4_13&lt;/url&gt;&lt;/related-urls&gt;&lt;/urls&gt;&lt;electronic-resource-num&gt;10.1007/978-3-642-80328-4_13&lt;/electronic-resource-num&gt;&lt;/record&gt;&lt;/Cite&gt;&lt;/EndNote&gt;</w:instrText>
      </w:r>
      <w:r w:rsidRPr="00CE04FC">
        <w:rPr>
          <w:rFonts w:ascii="Times New Roman" w:hAnsi="Times New Roman" w:cs="Times New Roman"/>
        </w:rPr>
        <w:fldChar w:fldCharType="separate"/>
      </w:r>
      <w:r w:rsidR="00063EF7" w:rsidRPr="00CE04FC">
        <w:rPr>
          <w:rFonts w:ascii="Times New Roman" w:hAnsi="Times New Roman" w:cs="Times New Roman"/>
          <w:noProof/>
        </w:rPr>
        <w:t>(Brown, 1998)</w:t>
      </w:r>
      <w:r w:rsidRPr="00CE04FC">
        <w:rPr>
          <w:rFonts w:ascii="Times New Roman" w:hAnsi="Times New Roman" w:cs="Times New Roman"/>
        </w:rPr>
        <w:fldChar w:fldCharType="end"/>
      </w:r>
      <w:r w:rsidRPr="00CE04FC">
        <w:rPr>
          <w:rFonts w:ascii="Times New Roman" w:hAnsi="Times New Roman" w:cs="Times New Roman"/>
        </w:rPr>
        <w:t xml:space="preserve"> for definition) of ammonia production from HB </w:t>
      </w:r>
      <w:r w:rsidR="006E269D" w:rsidRPr="00CE04FC">
        <w:rPr>
          <w:rFonts w:ascii="Times New Roman" w:hAnsi="Times New Roman" w:cs="Times New Roman"/>
        </w:rPr>
        <w:t>sub-</w:t>
      </w:r>
      <w:r w:rsidRPr="00CE04FC">
        <w:rPr>
          <w:rFonts w:ascii="Times New Roman" w:hAnsi="Times New Roman" w:cs="Times New Roman"/>
        </w:rPr>
        <w:t xml:space="preserve">system and refrigeration generation from the hybridised ammonia production system. The trend of CoV for both ammonia production and refrigeration generation </w:t>
      </w:r>
      <w:r w:rsidR="007359D4" w:rsidRPr="00CE04FC">
        <w:rPr>
          <w:rFonts w:ascii="Times New Roman" w:hAnsi="Times New Roman" w:cs="Times New Roman"/>
        </w:rPr>
        <w:t>are</w:t>
      </w:r>
      <w:r w:rsidRPr="00CE04FC">
        <w:rPr>
          <w:rFonts w:ascii="Times New Roman" w:hAnsi="Times New Roman" w:cs="Times New Roman"/>
        </w:rPr>
        <w:t xml:space="preserve"> similar. It can be seen that as the capacity of HB </w:t>
      </w:r>
      <w:r w:rsidR="006E269D" w:rsidRPr="00CE04FC">
        <w:rPr>
          <w:rFonts w:ascii="Times New Roman" w:hAnsi="Times New Roman" w:cs="Times New Roman"/>
        </w:rPr>
        <w:t>sub-</w:t>
      </w:r>
      <w:r w:rsidRPr="00CE04FC">
        <w:rPr>
          <w:rFonts w:ascii="Times New Roman" w:hAnsi="Times New Roman" w:cs="Times New Roman"/>
        </w:rPr>
        <w:t xml:space="preserve">system increases, the values of CoV converges towards a reasonable range for complex engineering systems, i.e. 15-20% </w:t>
      </w:r>
      <w:r w:rsidRPr="00CE04FC">
        <w:rPr>
          <w:rFonts w:ascii="Times New Roman" w:hAnsi="Times New Roman" w:cs="Times New Roman"/>
        </w:rPr>
        <w:fldChar w:fldCharType="begin"/>
      </w:r>
      <w:r w:rsidR="00063EF7" w:rsidRPr="00CE04FC">
        <w:rPr>
          <w:rFonts w:ascii="Times New Roman" w:hAnsi="Times New Roman" w:cs="Times New Roman"/>
        </w:rPr>
        <w:instrText xml:space="preserve"> ADDIN EN.CITE &lt;EndNote&gt;&lt;Cite&gt;&lt;Author&gt;Shechtman&lt;/Author&gt;&lt;Year&gt;2013&lt;/Year&gt;&lt;RecNum&gt;16&lt;/RecNum&gt;&lt;DisplayText&gt;(Shechtman, 2013)&lt;/DisplayText&gt;&lt;record&gt;&lt;rec-number&gt;16&lt;/rec-number&gt;&lt;foreign-keys&gt;&lt;key app="EN" db-id="0x0z5zxatzat9oe9027xea2pe2we5dee5dez" timestamp="1736247044"&gt;16&lt;/key&gt;&lt;/foreign-keys&gt;&lt;ref-type name="Book Section"&gt;5&lt;/ref-type&gt;&lt;contributors&gt;&lt;authors&gt;&lt;author&gt;Shechtman, Orit&lt;/author&gt;&lt;/authors&gt;&lt;/contributors&gt;&lt;titles&gt;&lt;title&gt;The Coefficient of Variation as an Index of Measurement Reliability&lt;/title&gt;&lt;/titles&gt;&lt;pages&gt;39-49&lt;/pages&gt;&lt;dates&gt;&lt;year&gt;2013&lt;/year&gt;&lt;/dates&gt;&lt;isbn&gt;978-3-642-37130-1&lt;/isbn&gt;&lt;urls&gt;&lt;/urls&gt;&lt;electronic-resource-num&gt;10.1007/978-3-642-37131-8_4&lt;/electronic-resource-num&gt;&lt;/record&gt;&lt;/Cite&gt;&lt;/EndNote&gt;</w:instrText>
      </w:r>
      <w:r w:rsidRPr="00CE04FC">
        <w:rPr>
          <w:rFonts w:ascii="Times New Roman" w:hAnsi="Times New Roman" w:cs="Times New Roman"/>
        </w:rPr>
        <w:fldChar w:fldCharType="separate"/>
      </w:r>
      <w:r w:rsidR="00063EF7" w:rsidRPr="00CE04FC">
        <w:rPr>
          <w:rFonts w:ascii="Times New Roman" w:hAnsi="Times New Roman" w:cs="Times New Roman"/>
          <w:noProof/>
        </w:rPr>
        <w:t>(Shechtman, 2013)</w:t>
      </w:r>
      <w:r w:rsidRPr="00CE04FC">
        <w:rPr>
          <w:rFonts w:ascii="Times New Roman" w:hAnsi="Times New Roman" w:cs="Times New Roman"/>
        </w:rPr>
        <w:fldChar w:fldCharType="end"/>
      </w:r>
      <w:r w:rsidRPr="00CE04FC">
        <w:rPr>
          <w:rFonts w:ascii="Times New Roman" w:hAnsi="Times New Roman" w:cs="Times New Roman"/>
        </w:rPr>
        <w:t xml:space="preserve">. Overall, for both HB </w:t>
      </w:r>
      <w:r w:rsidR="006E269D" w:rsidRPr="00CE04FC">
        <w:rPr>
          <w:rFonts w:ascii="Times New Roman" w:hAnsi="Times New Roman" w:cs="Times New Roman"/>
        </w:rPr>
        <w:t>sub-</w:t>
      </w:r>
      <w:r w:rsidRPr="00CE04FC">
        <w:rPr>
          <w:rFonts w:ascii="Times New Roman" w:hAnsi="Times New Roman" w:cs="Times New Roman"/>
        </w:rPr>
        <w:t xml:space="preserve">system for ammonia production and </w:t>
      </w:r>
      <w:r w:rsidR="00A26638" w:rsidRPr="00CE04FC">
        <w:rPr>
          <w:rFonts w:ascii="Times New Roman" w:hAnsi="Times New Roman" w:cs="Times New Roman"/>
        </w:rPr>
        <w:t>h</w:t>
      </w:r>
      <w:r w:rsidRPr="00CE04FC">
        <w:rPr>
          <w:rFonts w:ascii="Times New Roman" w:hAnsi="Times New Roman" w:cs="Times New Roman"/>
        </w:rPr>
        <w:t xml:space="preserve">ybridised ammonia production system for refrigeration generation, the data for CoV are in acceptable ranges. It can be noticed that as the capacity of the system increases the CoV becomes more stable. This behaviour might be because as the system capacity increases, the production of ammonia and refrigeration increases </w:t>
      </w:r>
      <w:r w:rsidR="000469E9" w:rsidRPr="00CE04FC">
        <w:rPr>
          <w:rFonts w:ascii="Times New Roman" w:hAnsi="Times New Roman" w:cs="Times New Roman"/>
        </w:rPr>
        <w:t>significantly</w:t>
      </w:r>
      <w:r w:rsidRPr="00CE04FC">
        <w:rPr>
          <w:rFonts w:ascii="Times New Roman" w:hAnsi="Times New Roman" w:cs="Times New Roman"/>
        </w:rPr>
        <w:t xml:space="preserve">, which increases the mean value and the corresponding uncertainties does not increase to the same extend, lowering the impact of uncertainties.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CE04FC" w:rsidRPr="00CE04FC" w14:paraId="401F3658" w14:textId="77777777" w:rsidTr="007D40E1">
        <w:tc>
          <w:tcPr>
            <w:tcW w:w="9026" w:type="dxa"/>
          </w:tcPr>
          <w:p w14:paraId="408EC4C3" w14:textId="36A51925" w:rsidR="00D75860" w:rsidRPr="00CE04FC" w:rsidRDefault="00C06EB5"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76C275DB" wp14:editId="3C41F7A9">
                  <wp:extent cx="3165970" cy="2173184"/>
                  <wp:effectExtent l="0" t="0" r="0" b="0"/>
                  <wp:docPr id="2051276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76644" name=""/>
                          <pic:cNvPicPr/>
                        </pic:nvPicPr>
                        <pic:blipFill>
                          <a:blip r:embed="rId23"/>
                          <a:stretch>
                            <a:fillRect/>
                          </a:stretch>
                        </pic:blipFill>
                        <pic:spPr>
                          <a:xfrm>
                            <a:off x="0" y="0"/>
                            <a:ext cx="3182089" cy="2184248"/>
                          </a:xfrm>
                          <a:prstGeom prst="rect">
                            <a:avLst/>
                          </a:prstGeom>
                        </pic:spPr>
                      </pic:pic>
                    </a:graphicData>
                  </a:graphic>
                </wp:inline>
              </w:drawing>
            </w:r>
          </w:p>
        </w:tc>
      </w:tr>
      <w:tr w:rsidR="00CE04FC" w:rsidRPr="00CE04FC" w14:paraId="7F6D5553" w14:textId="77777777" w:rsidTr="007D40E1">
        <w:tc>
          <w:tcPr>
            <w:tcW w:w="9026" w:type="dxa"/>
          </w:tcPr>
          <w:p w14:paraId="0874AF14" w14:textId="1B088CF3" w:rsidR="00D75860" w:rsidRPr="00CE04FC" w:rsidRDefault="00D75860" w:rsidP="00D75860">
            <w:pPr>
              <w:spacing w:after="200"/>
              <w:jc w:val="center"/>
              <w:rPr>
                <w:rFonts w:ascii="Times New Roman" w:hAnsi="Times New Roman" w:cs="Times New Roman"/>
              </w:rPr>
            </w:pPr>
            <w:bookmarkStart w:id="26" w:name="_Ref186737571"/>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11</w:t>
            </w:r>
            <w:r w:rsidRPr="00CE04FC">
              <w:rPr>
                <w:rFonts w:ascii="Times New Roman" w:hAnsi="Times New Roman" w:cs="Times New Roman"/>
              </w:rPr>
              <w:fldChar w:fldCharType="end"/>
            </w:r>
            <w:bookmarkEnd w:id="26"/>
            <w:r w:rsidRPr="00CE04FC">
              <w:rPr>
                <w:rFonts w:ascii="Times New Roman" w:hAnsi="Times New Roman" w:cs="Times New Roman"/>
              </w:rPr>
              <w:t xml:space="preserve"> Coefficient of variance of </w:t>
            </w:r>
            <w:r w:rsidR="001A3B9C" w:rsidRPr="00CE04FC">
              <w:rPr>
                <w:rFonts w:ascii="Times New Roman" w:hAnsi="Times New Roman" w:cs="Times New Roman"/>
              </w:rPr>
              <w:t xml:space="preserve">the </w:t>
            </w:r>
            <w:r w:rsidRPr="00CE04FC">
              <w:rPr>
                <w:rFonts w:ascii="Times New Roman" w:hAnsi="Times New Roman" w:cs="Times New Roman"/>
              </w:rPr>
              <w:t>hybridised ammonia production system</w:t>
            </w:r>
            <w:r w:rsidR="008956E9" w:rsidRPr="00CE04FC">
              <w:rPr>
                <w:rFonts w:ascii="Times New Roman" w:hAnsi="Times New Roman" w:cs="Times New Roman"/>
              </w:rPr>
              <w:t xml:space="preserve"> for </w:t>
            </w:r>
            <w:r w:rsidR="001A3B9C" w:rsidRPr="00CE04FC">
              <w:rPr>
                <w:rFonts w:ascii="Times New Roman" w:hAnsi="Times New Roman" w:cs="Times New Roman"/>
              </w:rPr>
              <w:t xml:space="preserve">different values of the </w:t>
            </w:r>
            <w:r w:rsidR="008956E9" w:rsidRPr="00CE04FC">
              <w:rPr>
                <w:rFonts w:ascii="Times New Roman" w:hAnsi="Times New Roman" w:cs="Times New Roman"/>
              </w:rPr>
              <w:t>nominal power input</w:t>
            </w:r>
            <w:r w:rsidR="006A766C" w:rsidRPr="00CE04FC">
              <w:rPr>
                <w:rFonts w:ascii="Times New Roman" w:hAnsi="Times New Roman" w:cs="Times New Roman"/>
              </w:rPr>
              <w:t>.</w:t>
            </w:r>
          </w:p>
        </w:tc>
      </w:tr>
    </w:tbl>
    <w:p w14:paraId="2F37E5CD" w14:textId="2999096D" w:rsidR="007F402B" w:rsidRDefault="00D75860" w:rsidP="00D75860">
      <w:pPr>
        <w:spacing w:line="240" w:lineRule="auto"/>
        <w:jc w:val="both"/>
        <w:rPr>
          <w:rFonts w:ascii="Times New Roman" w:hAnsi="Times New Roman" w:cs="Times New Roman"/>
        </w:rPr>
      </w:pPr>
      <w:r w:rsidRPr="00CE04FC">
        <w:rPr>
          <w:rFonts w:ascii="Times New Roman" w:hAnsi="Times New Roman" w:cs="Times New Roman"/>
        </w:rPr>
        <w:t xml:space="preserve">For better understanding, an analysis is conducted to observe the impact of individual uncertainties in the system on ammonia production and refrigeration generation.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_Ref187140897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12</w:t>
      </w:r>
      <w:r w:rsidRPr="00CE04FC">
        <w:rPr>
          <w:rFonts w:ascii="Times New Roman" w:hAnsi="Times New Roman" w:cs="Times New Roman"/>
        </w:rPr>
        <w:fldChar w:fldCharType="end"/>
      </w:r>
      <w:r w:rsidRPr="00CE04FC">
        <w:rPr>
          <w:rFonts w:ascii="Times New Roman" w:hAnsi="Times New Roman" w:cs="Times New Roman"/>
        </w:rPr>
        <w:t xml:space="preserve"> shows the range of variation in ammonia production due to the uncertainties in performance of the components of HB </w:t>
      </w:r>
      <w:r w:rsidR="00AC4AAC" w:rsidRPr="00CE04FC">
        <w:rPr>
          <w:rFonts w:ascii="Times New Roman" w:hAnsi="Times New Roman" w:cs="Times New Roman"/>
        </w:rPr>
        <w:t>sub-</w:t>
      </w:r>
      <w:r w:rsidRPr="00CE04FC">
        <w:rPr>
          <w:rFonts w:ascii="Times New Roman" w:hAnsi="Times New Roman" w:cs="Times New Roman"/>
        </w:rPr>
        <w:t xml:space="preserve">system.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_Ref187140897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12</w:t>
      </w:r>
      <w:r w:rsidRPr="00CE04FC">
        <w:rPr>
          <w:rFonts w:ascii="Times New Roman" w:hAnsi="Times New Roman" w:cs="Times New Roman"/>
        </w:rPr>
        <w:fldChar w:fldCharType="end"/>
      </w:r>
      <w:r w:rsidRPr="00CE04FC">
        <w:rPr>
          <w:rFonts w:ascii="Times New Roman" w:hAnsi="Times New Roman" w:cs="Times New Roman"/>
        </w:rPr>
        <w:t>a shows the range in variation in the ammonia production</w:t>
      </w:r>
      <w:r w:rsidR="000A1CC2" w:rsidRPr="00CE04FC">
        <w:rPr>
          <w:rFonts w:ascii="Times New Roman" w:hAnsi="Times New Roman" w:cs="Times New Roman"/>
        </w:rPr>
        <w:t xml:space="preserve"> which is around 50%. This is</w:t>
      </w:r>
      <w:r w:rsidRPr="00CE04FC">
        <w:rPr>
          <w:rFonts w:ascii="Times New Roman" w:hAnsi="Times New Roman" w:cs="Times New Roman"/>
        </w:rPr>
        <w:t xml:space="preserve"> due to the uncertain power input because of intermittent power supply from renewable energy sources.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_Ref187140897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12</w:t>
      </w:r>
      <w:r w:rsidRPr="00CE04FC">
        <w:rPr>
          <w:rFonts w:ascii="Times New Roman" w:hAnsi="Times New Roman" w:cs="Times New Roman"/>
        </w:rPr>
        <w:fldChar w:fldCharType="end"/>
      </w:r>
      <w:r w:rsidRPr="00CE04FC">
        <w:rPr>
          <w:rFonts w:ascii="Times New Roman" w:hAnsi="Times New Roman" w:cs="Times New Roman"/>
        </w:rPr>
        <w:t>b and 1</w:t>
      </w:r>
      <w:r w:rsidR="0099004C">
        <w:rPr>
          <w:rFonts w:ascii="Times New Roman" w:hAnsi="Times New Roman" w:cs="Times New Roman"/>
        </w:rPr>
        <w:t>2</w:t>
      </w:r>
      <w:r w:rsidRPr="00CE04FC">
        <w:rPr>
          <w:rFonts w:ascii="Times New Roman" w:hAnsi="Times New Roman" w:cs="Times New Roman"/>
        </w:rPr>
        <w:t>c presents the variation range in ammonia production due to the uncertainties in the effectiveness of heat exchangers (</w:t>
      </w:r>
      <w:r w:rsidR="00A347C8" w:rsidRPr="00CE04FC">
        <w:rPr>
          <w:rFonts w:ascii="Times New Roman" w:hAnsi="Times New Roman" w:cs="Times New Roman"/>
        </w:rPr>
        <w:t>HE1</w:t>
      </w:r>
      <w:r w:rsidRPr="00CE04FC">
        <w:rPr>
          <w:rFonts w:ascii="Times New Roman" w:hAnsi="Times New Roman" w:cs="Times New Roman"/>
        </w:rPr>
        <w:t>, H</w:t>
      </w:r>
      <w:r w:rsidR="00A347C8" w:rsidRPr="00CE04FC">
        <w:rPr>
          <w:rFonts w:ascii="Times New Roman" w:hAnsi="Times New Roman" w:cs="Times New Roman"/>
        </w:rPr>
        <w:t>E4</w:t>
      </w:r>
      <w:r w:rsidRPr="00CE04FC">
        <w:rPr>
          <w:rFonts w:ascii="Times New Roman" w:hAnsi="Times New Roman" w:cs="Times New Roman"/>
        </w:rPr>
        <w:t>).</w:t>
      </w:r>
      <w:r w:rsidR="00556C21" w:rsidRPr="00CE04FC">
        <w:rPr>
          <w:rFonts w:ascii="Times New Roman" w:hAnsi="Times New Roman" w:cs="Times New Roman"/>
        </w:rPr>
        <w:t xml:space="preserve"> The </w:t>
      </w:r>
      <w:r w:rsidR="00BC6DEB" w:rsidRPr="00CE04FC">
        <w:rPr>
          <w:rFonts w:ascii="Times New Roman" w:hAnsi="Times New Roman" w:cs="Times New Roman"/>
        </w:rPr>
        <w:t xml:space="preserve">effectiveness of </w:t>
      </w:r>
      <w:r w:rsidR="00556C21" w:rsidRPr="00CE04FC">
        <w:rPr>
          <w:rFonts w:ascii="Times New Roman" w:hAnsi="Times New Roman" w:cs="Times New Roman"/>
        </w:rPr>
        <w:t xml:space="preserve">heat exchangers </w:t>
      </w:r>
      <w:r w:rsidR="008478A2" w:rsidRPr="00CE04FC">
        <w:rPr>
          <w:rFonts w:ascii="Times New Roman" w:hAnsi="Times New Roman" w:cs="Times New Roman"/>
        </w:rPr>
        <w:t>is</w:t>
      </w:r>
      <w:r w:rsidR="00BC6DEB" w:rsidRPr="00CE04FC">
        <w:rPr>
          <w:rFonts w:ascii="Times New Roman" w:hAnsi="Times New Roman" w:cs="Times New Roman"/>
        </w:rPr>
        <w:t xml:space="preserve"> the </w:t>
      </w:r>
      <w:r w:rsidR="00556C21" w:rsidRPr="00CE04FC">
        <w:rPr>
          <w:rFonts w:ascii="Times New Roman" w:hAnsi="Times New Roman" w:cs="Times New Roman"/>
        </w:rPr>
        <w:t xml:space="preserve">cause </w:t>
      </w:r>
      <w:r w:rsidR="00BC6DEB" w:rsidRPr="00CE04FC">
        <w:rPr>
          <w:rFonts w:ascii="Times New Roman" w:hAnsi="Times New Roman" w:cs="Times New Roman"/>
        </w:rPr>
        <w:t xml:space="preserve">of </w:t>
      </w:r>
      <w:r w:rsidR="00556C21" w:rsidRPr="00CE04FC">
        <w:rPr>
          <w:rFonts w:ascii="Times New Roman" w:hAnsi="Times New Roman" w:cs="Times New Roman"/>
        </w:rPr>
        <w:t xml:space="preserve">the remaining </w:t>
      </w:r>
      <w:r w:rsidR="00BC6DEB" w:rsidRPr="00CE04FC">
        <w:rPr>
          <w:rFonts w:ascii="Times New Roman" w:hAnsi="Times New Roman" w:cs="Times New Roman"/>
        </w:rPr>
        <w:t xml:space="preserve">50% of the overall uncertainty in the </w:t>
      </w:r>
      <w:r w:rsidR="00C71BDE" w:rsidRPr="00CE04FC">
        <w:rPr>
          <w:rFonts w:ascii="Times New Roman" w:hAnsi="Times New Roman" w:cs="Times New Roman"/>
        </w:rPr>
        <w:t>system.</w:t>
      </w:r>
      <w:r w:rsidRPr="00CE04FC">
        <w:rPr>
          <w:rFonts w:ascii="Times New Roman" w:hAnsi="Times New Roman" w:cs="Times New Roman"/>
        </w:rPr>
        <w:t xml:space="preserve">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_Ref187140897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12</w:t>
      </w:r>
      <w:r w:rsidRPr="00CE04FC">
        <w:rPr>
          <w:rFonts w:ascii="Times New Roman" w:hAnsi="Times New Roman" w:cs="Times New Roman"/>
        </w:rPr>
        <w:fldChar w:fldCharType="end"/>
      </w:r>
      <w:r w:rsidRPr="00CE04FC">
        <w:rPr>
          <w:rFonts w:ascii="Times New Roman" w:hAnsi="Times New Roman" w:cs="Times New Roman"/>
        </w:rPr>
        <w:t>d shows the range in variation in output due to the uncertainty in compressor efficiencies</w:t>
      </w:r>
      <w:r w:rsidR="00A74C84" w:rsidRPr="00CE04FC">
        <w:rPr>
          <w:rFonts w:ascii="Times New Roman" w:hAnsi="Times New Roman" w:cs="Times New Roman"/>
        </w:rPr>
        <w:t xml:space="preserve"> (C</w:t>
      </w:r>
      <w:r w:rsidR="00A74C84" w:rsidRPr="00CE04FC">
        <w:rPr>
          <w:rFonts w:ascii="Times New Roman" w:hAnsi="Times New Roman" w:cs="Times New Roman"/>
          <w:vertAlign w:val="subscript"/>
        </w:rPr>
        <w:t>eff</w:t>
      </w:r>
      <w:r w:rsidR="00A74C84" w:rsidRPr="00CE04FC">
        <w:rPr>
          <w:rFonts w:ascii="Times New Roman" w:hAnsi="Times New Roman" w:cs="Times New Roman"/>
        </w:rPr>
        <w:t>)</w:t>
      </w:r>
      <w:r w:rsidRPr="00CE04FC">
        <w:rPr>
          <w:rFonts w:ascii="Times New Roman" w:hAnsi="Times New Roman" w:cs="Times New Roman"/>
        </w:rPr>
        <w:t xml:space="preserve"> over time. Clearly, the most significant impact on output is due to the uncertainty in power input. In contrast, the variations in the output caused </w:t>
      </w:r>
      <w:r w:rsidRPr="00CE04FC">
        <w:rPr>
          <w:rFonts w:ascii="Times New Roman" w:hAnsi="Times New Roman" w:cs="Times New Roman"/>
        </w:rPr>
        <w:lastRenderedPageBreak/>
        <w:t xml:space="preserve">due to the uncertainty in the effectiveness of heat exchangers are comparatively much smaller. Nevertheless, both combined could lead to up to 50% of the overall uncertainties in the HB </w:t>
      </w:r>
      <w:r w:rsidR="00AC4AAC" w:rsidRPr="00CE04FC">
        <w:rPr>
          <w:rFonts w:ascii="Times New Roman" w:hAnsi="Times New Roman" w:cs="Times New Roman"/>
        </w:rPr>
        <w:t>sub-</w:t>
      </w:r>
      <w:r w:rsidRPr="00CE04FC">
        <w:rPr>
          <w:rFonts w:ascii="Times New Roman" w:hAnsi="Times New Roman" w:cs="Times New Roman"/>
        </w:rPr>
        <w:t xml:space="preserve">system.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296"/>
      </w:tblGrid>
      <w:tr w:rsidR="00CE04FC" w:rsidRPr="00CE04FC" w14:paraId="45958159" w14:textId="77777777" w:rsidTr="00D323DF">
        <w:trPr>
          <w:jc w:val="center"/>
        </w:trPr>
        <w:tc>
          <w:tcPr>
            <w:tcW w:w="4296" w:type="dxa"/>
          </w:tcPr>
          <w:p w14:paraId="67159E76"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(a)</w:t>
            </w:r>
          </w:p>
        </w:tc>
        <w:tc>
          <w:tcPr>
            <w:tcW w:w="4296" w:type="dxa"/>
          </w:tcPr>
          <w:p w14:paraId="436CF23A"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60F58DCF" w14:textId="77777777" w:rsidTr="00D323DF">
        <w:trPr>
          <w:jc w:val="center"/>
        </w:trPr>
        <w:tc>
          <w:tcPr>
            <w:tcW w:w="4296" w:type="dxa"/>
          </w:tcPr>
          <w:p w14:paraId="13900ADA" w14:textId="5143BB35" w:rsidR="00D75860" w:rsidRPr="00CE04FC" w:rsidRDefault="00AA3332"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2E71BEF7" wp14:editId="7126F71E">
                  <wp:extent cx="2589360" cy="1620000"/>
                  <wp:effectExtent l="0" t="0" r="1905" b="0"/>
                  <wp:docPr id="1408909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09848" name=""/>
                          <pic:cNvPicPr/>
                        </pic:nvPicPr>
                        <pic:blipFill>
                          <a:blip r:embed="rId24"/>
                          <a:stretch>
                            <a:fillRect/>
                          </a:stretch>
                        </pic:blipFill>
                        <pic:spPr>
                          <a:xfrm>
                            <a:off x="0" y="0"/>
                            <a:ext cx="2589360" cy="1620000"/>
                          </a:xfrm>
                          <a:prstGeom prst="rect">
                            <a:avLst/>
                          </a:prstGeom>
                        </pic:spPr>
                      </pic:pic>
                    </a:graphicData>
                  </a:graphic>
                </wp:inline>
              </w:drawing>
            </w:r>
          </w:p>
        </w:tc>
        <w:tc>
          <w:tcPr>
            <w:tcW w:w="4296" w:type="dxa"/>
          </w:tcPr>
          <w:p w14:paraId="17FD06AB" w14:textId="7598029F" w:rsidR="00D75860" w:rsidRPr="00CE04FC" w:rsidRDefault="00EA00B1"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63A99262" wp14:editId="5ADDD31C">
                  <wp:extent cx="2572052" cy="1620000"/>
                  <wp:effectExtent l="0" t="0" r="0" b="0"/>
                  <wp:docPr id="198290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0925" name=""/>
                          <pic:cNvPicPr/>
                        </pic:nvPicPr>
                        <pic:blipFill>
                          <a:blip r:embed="rId25"/>
                          <a:stretch>
                            <a:fillRect/>
                          </a:stretch>
                        </pic:blipFill>
                        <pic:spPr>
                          <a:xfrm>
                            <a:off x="0" y="0"/>
                            <a:ext cx="2572052" cy="1620000"/>
                          </a:xfrm>
                          <a:prstGeom prst="rect">
                            <a:avLst/>
                          </a:prstGeom>
                        </pic:spPr>
                      </pic:pic>
                    </a:graphicData>
                  </a:graphic>
                </wp:inline>
              </w:drawing>
            </w:r>
            <w:r w:rsidR="00631C2C" w:rsidRPr="00CE04FC">
              <w:rPr>
                <w:rStyle w:val="CommentReference"/>
                <w:rFonts w:ascii="Times New Roman" w:hAnsi="Times New Roman" w:cs="Times New Roman"/>
                <w:sz w:val="22"/>
                <w:szCs w:val="22"/>
              </w:rPr>
              <w:t xml:space="preserve"> </w:t>
            </w:r>
          </w:p>
        </w:tc>
      </w:tr>
      <w:tr w:rsidR="00CE04FC" w:rsidRPr="00CE04FC" w14:paraId="1EEA5CA4" w14:textId="77777777" w:rsidTr="00D323DF">
        <w:trPr>
          <w:jc w:val="center"/>
        </w:trPr>
        <w:tc>
          <w:tcPr>
            <w:tcW w:w="4296" w:type="dxa"/>
          </w:tcPr>
          <w:p w14:paraId="474E272C" w14:textId="77777777" w:rsidR="00D75860" w:rsidRPr="00CE04FC" w:rsidRDefault="00D75860" w:rsidP="00D75860">
            <w:pPr>
              <w:spacing w:before="240"/>
              <w:rPr>
                <w:rFonts w:ascii="Times New Roman" w:hAnsi="Times New Roman" w:cs="Times New Roman"/>
              </w:rPr>
            </w:pPr>
            <w:r w:rsidRPr="00CE04FC">
              <w:rPr>
                <w:rFonts w:ascii="Times New Roman" w:hAnsi="Times New Roman" w:cs="Times New Roman"/>
              </w:rPr>
              <w:t>(c)</w:t>
            </w:r>
          </w:p>
        </w:tc>
        <w:tc>
          <w:tcPr>
            <w:tcW w:w="4296" w:type="dxa"/>
          </w:tcPr>
          <w:p w14:paraId="1C41AF2F" w14:textId="77777777" w:rsidR="00D75860" w:rsidRPr="00CE04FC" w:rsidRDefault="00D75860" w:rsidP="00D75860">
            <w:pPr>
              <w:spacing w:before="240"/>
              <w:rPr>
                <w:rFonts w:ascii="Times New Roman" w:hAnsi="Times New Roman" w:cs="Times New Roman"/>
              </w:rPr>
            </w:pPr>
            <w:r w:rsidRPr="00CE04FC">
              <w:rPr>
                <w:rFonts w:ascii="Times New Roman" w:hAnsi="Times New Roman" w:cs="Times New Roman"/>
              </w:rPr>
              <w:t>(d)</w:t>
            </w:r>
          </w:p>
        </w:tc>
      </w:tr>
      <w:tr w:rsidR="00CE04FC" w:rsidRPr="00CE04FC" w14:paraId="3BCC595D" w14:textId="77777777" w:rsidTr="00D323DF">
        <w:trPr>
          <w:jc w:val="center"/>
        </w:trPr>
        <w:tc>
          <w:tcPr>
            <w:tcW w:w="4296" w:type="dxa"/>
          </w:tcPr>
          <w:p w14:paraId="1FF0CCC2" w14:textId="5ED8074E" w:rsidR="00D75860" w:rsidRPr="00CE04FC" w:rsidRDefault="00AA3332"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209D297C" wp14:editId="029C54F4">
                  <wp:extent cx="2589360" cy="1620000"/>
                  <wp:effectExtent l="0" t="0" r="1905" b="0"/>
                  <wp:docPr id="1540373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73828" name=""/>
                          <pic:cNvPicPr/>
                        </pic:nvPicPr>
                        <pic:blipFill>
                          <a:blip r:embed="rId26"/>
                          <a:stretch>
                            <a:fillRect/>
                          </a:stretch>
                        </pic:blipFill>
                        <pic:spPr>
                          <a:xfrm>
                            <a:off x="0" y="0"/>
                            <a:ext cx="2589360" cy="1620000"/>
                          </a:xfrm>
                          <a:prstGeom prst="rect">
                            <a:avLst/>
                          </a:prstGeom>
                        </pic:spPr>
                      </pic:pic>
                    </a:graphicData>
                  </a:graphic>
                </wp:inline>
              </w:drawing>
            </w:r>
          </w:p>
        </w:tc>
        <w:tc>
          <w:tcPr>
            <w:tcW w:w="4296" w:type="dxa"/>
          </w:tcPr>
          <w:p w14:paraId="73EBE565" w14:textId="0B29D0C7" w:rsidR="00D75860" w:rsidRPr="00CE04FC" w:rsidRDefault="00EA00B1"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5E3B188A" wp14:editId="6FCB51F5">
                  <wp:extent cx="2589360" cy="1620000"/>
                  <wp:effectExtent l="0" t="0" r="1905" b="0"/>
                  <wp:docPr id="912019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19122" name=""/>
                          <pic:cNvPicPr/>
                        </pic:nvPicPr>
                        <pic:blipFill>
                          <a:blip r:embed="rId27"/>
                          <a:stretch>
                            <a:fillRect/>
                          </a:stretch>
                        </pic:blipFill>
                        <pic:spPr>
                          <a:xfrm>
                            <a:off x="0" y="0"/>
                            <a:ext cx="2589360" cy="1620000"/>
                          </a:xfrm>
                          <a:prstGeom prst="rect">
                            <a:avLst/>
                          </a:prstGeom>
                        </pic:spPr>
                      </pic:pic>
                    </a:graphicData>
                  </a:graphic>
                </wp:inline>
              </w:drawing>
            </w:r>
          </w:p>
        </w:tc>
      </w:tr>
      <w:tr w:rsidR="00CE04FC" w:rsidRPr="00CE04FC" w14:paraId="2621AEB2" w14:textId="77777777" w:rsidTr="00D323DF">
        <w:trPr>
          <w:jc w:val="center"/>
        </w:trPr>
        <w:tc>
          <w:tcPr>
            <w:tcW w:w="8592" w:type="dxa"/>
            <w:gridSpan w:val="2"/>
          </w:tcPr>
          <w:p w14:paraId="298D206D" w14:textId="705C3013" w:rsidR="00D75860" w:rsidRPr="00CE04FC" w:rsidRDefault="00D75860" w:rsidP="00D75860">
            <w:pPr>
              <w:spacing w:after="200"/>
              <w:jc w:val="center"/>
              <w:rPr>
                <w:rFonts w:ascii="Times New Roman" w:hAnsi="Times New Roman" w:cs="Times New Roman"/>
              </w:rPr>
            </w:pPr>
            <w:bookmarkStart w:id="27" w:name="_Ref187140897"/>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12</w:t>
            </w:r>
            <w:r w:rsidRPr="00CE04FC">
              <w:rPr>
                <w:rFonts w:ascii="Times New Roman" w:hAnsi="Times New Roman" w:cs="Times New Roman"/>
              </w:rPr>
              <w:fldChar w:fldCharType="end"/>
            </w:r>
            <w:bookmarkEnd w:id="27"/>
            <w:r w:rsidRPr="00CE04FC">
              <w:rPr>
                <w:rFonts w:ascii="Times New Roman" w:hAnsi="Times New Roman" w:cs="Times New Roman"/>
              </w:rPr>
              <w:t xml:space="preserve"> Variation in ammonia production due to uncertainties in (a) power input</w:t>
            </w:r>
            <w:r w:rsidR="00574CCA" w:rsidRPr="00CE04FC">
              <w:rPr>
                <w:rFonts w:ascii="Times New Roman" w:hAnsi="Times New Roman" w:cs="Times New Roman"/>
              </w:rPr>
              <w:t xml:space="preserve"> P</w:t>
            </w:r>
            <w:r w:rsidR="00574CCA" w:rsidRPr="00CE04FC">
              <w:rPr>
                <w:rFonts w:ascii="Times New Roman" w:hAnsi="Times New Roman" w:cs="Times New Roman"/>
                <w:vertAlign w:val="subscript"/>
              </w:rPr>
              <w:t>in</w:t>
            </w:r>
            <w:r w:rsidRPr="00CE04FC">
              <w:rPr>
                <w:rFonts w:ascii="Times New Roman" w:hAnsi="Times New Roman" w:cs="Times New Roman"/>
              </w:rPr>
              <w:t xml:space="preserve"> (b) </w:t>
            </w:r>
            <w:r w:rsidR="00BC0B0A" w:rsidRPr="00CE04FC">
              <w:rPr>
                <w:rFonts w:ascii="Times New Roman" w:hAnsi="Times New Roman" w:cs="Times New Roman"/>
              </w:rPr>
              <w:t>preheater</w:t>
            </w:r>
            <w:r w:rsidR="00AB746C" w:rsidRPr="00CE04FC">
              <w:rPr>
                <w:rFonts w:ascii="Times New Roman" w:hAnsi="Times New Roman" w:cs="Times New Roman"/>
              </w:rPr>
              <w:t xml:space="preserve"> HE</w:t>
            </w:r>
            <w:r w:rsidR="00BC0B0A" w:rsidRPr="00CE04FC">
              <w:rPr>
                <w:rFonts w:ascii="Times New Roman" w:hAnsi="Times New Roman" w:cs="Times New Roman"/>
              </w:rPr>
              <w:t>1</w:t>
            </w:r>
            <w:r w:rsidR="00AB746C" w:rsidRPr="00CE04FC">
              <w:rPr>
                <w:rFonts w:ascii="Times New Roman" w:hAnsi="Times New Roman" w:cs="Times New Roman"/>
              </w:rPr>
              <w:t>, (</w:t>
            </w:r>
            <w:r w:rsidR="00BC0B0A" w:rsidRPr="00CE04FC">
              <w:rPr>
                <w:rFonts w:ascii="Times New Roman" w:hAnsi="Times New Roman" w:cs="Times New Roman"/>
              </w:rPr>
              <w:t>c</w:t>
            </w:r>
            <w:r w:rsidR="00AB746C" w:rsidRPr="00CE04FC">
              <w:rPr>
                <w:rFonts w:ascii="Times New Roman" w:hAnsi="Times New Roman" w:cs="Times New Roman"/>
              </w:rPr>
              <w:t xml:space="preserve">) </w:t>
            </w:r>
            <w:r w:rsidR="00BC0B0A" w:rsidRPr="00CE04FC">
              <w:rPr>
                <w:rFonts w:ascii="Times New Roman" w:hAnsi="Times New Roman" w:cs="Times New Roman"/>
              </w:rPr>
              <w:t>h</w:t>
            </w:r>
            <w:r w:rsidR="00AB746C" w:rsidRPr="00CE04FC">
              <w:rPr>
                <w:rFonts w:ascii="Times New Roman" w:hAnsi="Times New Roman" w:cs="Times New Roman"/>
              </w:rPr>
              <w:t>eat exchanger HE4</w:t>
            </w:r>
            <w:r w:rsidRPr="00CE04FC">
              <w:rPr>
                <w:rFonts w:ascii="Times New Roman" w:hAnsi="Times New Roman" w:cs="Times New Roman"/>
              </w:rPr>
              <w:t>, (d) compressors efficiency</w:t>
            </w:r>
            <w:r w:rsidR="00574CCA" w:rsidRPr="00CE04FC">
              <w:rPr>
                <w:rFonts w:ascii="Times New Roman" w:hAnsi="Times New Roman" w:cs="Times New Roman"/>
              </w:rPr>
              <w:t xml:space="preserve"> C</w:t>
            </w:r>
            <w:r w:rsidR="00574CCA" w:rsidRPr="00CE04FC">
              <w:rPr>
                <w:rFonts w:ascii="Times New Roman" w:hAnsi="Times New Roman" w:cs="Times New Roman"/>
                <w:vertAlign w:val="subscript"/>
              </w:rPr>
              <w:t>eff</w:t>
            </w:r>
            <w:r w:rsidRPr="00CE04FC">
              <w:rPr>
                <w:rFonts w:ascii="Times New Roman" w:hAnsi="Times New Roman" w:cs="Times New Roman"/>
              </w:rPr>
              <w:t xml:space="preserve">, in </w:t>
            </w:r>
            <w:r w:rsidR="00AF4DCF" w:rsidRPr="00CE04FC">
              <w:rPr>
                <w:rFonts w:ascii="Times New Roman" w:hAnsi="Times New Roman" w:cs="Times New Roman"/>
              </w:rPr>
              <w:t xml:space="preserve">the </w:t>
            </w:r>
            <w:r w:rsidRPr="00CE04FC">
              <w:rPr>
                <w:rFonts w:ascii="Times New Roman" w:hAnsi="Times New Roman" w:cs="Times New Roman"/>
              </w:rPr>
              <w:t xml:space="preserve">HB </w:t>
            </w:r>
            <w:r w:rsidR="00AC4AAC" w:rsidRPr="00CE04FC">
              <w:rPr>
                <w:rFonts w:ascii="Times New Roman" w:hAnsi="Times New Roman" w:cs="Times New Roman"/>
              </w:rPr>
              <w:t>sub-</w:t>
            </w:r>
            <w:r w:rsidRPr="00CE04FC">
              <w:rPr>
                <w:rFonts w:ascii="Times New Roman" w:hAnsi="Times New Roman" w:cs="Times New Roman"/>
              </w:rPr>
              <w:t>system</w:t>
            </w:r>
            <w:r w:rsidR="00FF57A8" w:rsidRPr="00CE04FC">
              <w:rPr>
                <w:rFonts w:ascii="Times New Roman" w:hAnsi="Times New Roman" w:cs="Times New Roman"/>
              </w:rPr>
              <w:t xml:space="preserve"> for </w:t>
            </w:r>
            <w:r w:rsidR="00AF4DCF" w:rsidRPr="00CE04FC">
              <w:rPr>
                <w:rFonts w:ascii="Times New Roman" w:hAnsi="Times New Roman" w:cs="Times New Roman"/>
              </w:rPr>
              <w:t xml:space="preserve">different values of the </w:t>
            </w:r>
            <w:r w:rsidR="00FF57A8" w:rsidRPr="00CE04FC">
              <w:rPr>
                <w:rFonts w:ascii="Times New Roman" w:hAnsi="Times New Roman" w:cs="Times New Roman"/>
              </w:rPr>
              <w:t>nominal power input</w:t>
            </w:r>
            <w:r w:rsidRPr="00CE04FC">
              <w:rPr>
                <w:rFonts w:ascii="Times New Roman" w:hAnsi="Times New Roman" w:cs="Times New Roman"/>
              </w:rPr>
              <w:t>.</w:t>
            </w:r>
          </w:p>
        </w:tc>
      </w:tr>
    </w:tbl>
    <w:p w14:paraId="616FB9F8" w14:textId="451B9F17" w:rsidR="00D9353F" w:rsidRPr="00CE04FC" w:rsidRDefault="00D75860" w:rsidP="0002109F">
      <w:pPr>
        <w:spacing w:line="240" w:lineRule="auto"/>
        <w:jc w:val="both"/>
        <w:rPr>
          <w:rFonts w:ascii="Times New Roman" w:hAnsi="Times New Roman" w:cs="Times New Roman"/>
        </w:rPr>
      </w:pPr>
      <w:r w:rsidRPr="00CE04FC">
        <w:rPr>
          <w:rFonts w:ascii="Times New Roman" w:hAnsi="Times New Roman" w:cs="Times New Roman"/>
        </w:rPr>
        <w:t xml:space="preserve">Similarly,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_Ref187140968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13</w:t>
      </w:r>
      <w:r w:rsidRPr="00CE04FC">
        <w:rPr>
          <w:rFonts w:ascii="Times New Roman" w:hAnsi="Times New Roman" w:cs="Times New Roman"/>
        </w:rPr>
        <w:fldChar w:fldCharType="end"/>
      </w:r>
      <w:r w:rsidRPr="00CE04FC">
        <w:rPr>
          <w:rFonts w:ascii="Times New Roman" w:hAnsi="Times New Roman" w:cs="Times New Roman"/>
        </w:rPr>
        <w:t xml:space="preserve"> shows the variation range in ammonia production due to the uncertainties </w:t>
      </w:r>
      <w:r w:rsidR="00FF57A8" w:rsidRPr="00CE04FC">
        <w:rPr>
          <w:rFonts w:ascii="Times New Roman" w:hAnsi="Times New Roman" w:cs="Times New Roman"/>
        </w:rPr>
        <w:t>in hybridised</w:t>
      </w:r>
      <w:r w:rsidRPr="00CE04FC">
        <w:rPr>
          <w:rFonts w:ascii="Times New Roman" w:hAnsi="Times New Roman" w:cs="Times New Roman"/>
        </w:rPr>
        <w:t xml:space="preserve"> ammonia production system</w:t>
      </w:r>
      <w:r w:rsidR="00FF57A8" w:rsidRPr="00CE04FC">
        <w:rPr>
          <w:rFonts w:ascii="Times New Roman" w:hAnsi="Times New Roman" w:cs="Times New Roman"/>
        </w:rPr>
        <w:t xml:space="preserve"> for nominal power inputs</w:t>
      </w:r>
      <w:r w:rsidRPr="00CE04FC">
        <w:rPr>
          <w:rFonts w:ascii="Times New Roman" w:hAnsi="Times New Roman" w:cs="Times New Roman"/>
        </w:rPr>
        <w:t xml:space="preserve">.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_Ref187140968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13</w:t>
      </w:r>
      <w:r w:rsidRPr="00CE04FC">
        <w:rPr>
          <w:rFonts w:ascii="Times New Roman" w:hAnsi="Times New Roman" w:cs="Times New Roman"/>
        </w:rPr>
        <w:fldChar w:fldCharType="end"/>
      </w:r>
      <w:r w:rsidRPr="00CE04FC">
        <w:rPr>
          <w:rFonts w:ascii="Times New Roman" w:hAnsi="Times New Roman" w:cs="Times New Roman"/>
        </w:rPr>
        <w:t xml:space="preserve">a shows the variation range in the output due to the uncertainty in the power supply, which could be significant due to the intermittent supply of renewable power. </w:t>
      </w:r>
      <w:r w:rsidRPr="00CE04FC">
        <w:rPr>
          <w:rFonts w:ascii="Times New Roman" w:hAnsi="Times New Roman" w:cs="Times New Roman"/>
        </w:rPr>
        <w:fldChar w:fldCharType="begin"/>
      </w:r>
      <w:r w:rsidRPr="00CE04FC">
        <w:rPr>
          <w:rFonts w:ascii="Times New Roman" w:hAnsi="Times New Roman" w:cs="Times New Roman"/>
        </w:rPr>
        <w:instrText xml:space="preserve"> REF _Ref187140968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13</w:t>
      </w:r>
      <w:r w:rsidRPr="00CE04FC">
        <w:rPr>
          <w:rFonts w:ascii="Times New Roman" w:hAnsi="Times New Roman" w:cs="Times New Roman"/>
        </w:rPr>
        <w:fldChar w:fldCharType="end"/>
      </w:r>
      <w:r w:rsidRPr="00CE04FC">
        <w:rPr>
          <w:rFonts w:ascii="Times New Roman" w:hAnsi="Times New Roman" w:cs="Times New Roman"/>
        </w:rPr>
        <w:t>b shows the variation range in refrigeration generation due to the uncertainty in heat exchanger (H</w:t>
      </w:r>
      <w:r w:rsidR="00482C1D" w:rsidRPr="00CE04FC">
        <w:rPr>
          <w:rFonts w:ascii="Times New Roman" w:hAnsi="Times New Roman" w:cs="Times New Roman"/>
        </w:rPr>
        <w:t>E1</w:t>
      </w:r>
      <w:r w:rsidRPr="00CE04FC">
        <w:rPr>
          <w:rFonts w:ascii="Times New Roman" w:hAnsi="Times New Roman" w:cs="Times New Roman"/>
        </w:rPr>
        <w:t xml:space="preserve">) which is one of the three preheaters in VARC and extract waste heat from HB </w:t>
      </w:r>
      <w:r w:rsidR="00AC4AAC" w:rsidRPr="00CE04FC">
        <w:rPr>
          <w:rFonts w:ascii="Times New Roman" w:hAnsi="Times New Roman" w:cs="Times New Roman"/>
        </w:rPr>
        <w:t>sub-</w:t>
      </w:r>
      <w:r w:rsidRPr="00CE04FC">
        <w:rPr>
          <w:rFonts w:ascii="Times New Roman" w:hAnsi="Times New Roman" w:cs="Times New Roman"/>
        </w:rPr>
        <w:t xml:space="preserve">system. </w:t>
      </w:r>
    </w:p>
    <w:p w14:paraId="09B83557" w14:textId="0D3B68F2" w:rsidR="0002109F" w:rsidRPr="00CE04FC" w:rsidRDefault="00D75860" w:rsidP="0002109F">
      <w:pPr>
        <w:spacing w:line="240" w:lineRule="auto"/>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_Ref187140968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13</w:t>
      </w:r>
      <w:r w:rsidRPr="00CE04FC">
        <w:rPr>
          <w:rFonts w:ascii="Times New Roman" w:hAnsi="Times New Roman" w:cs="Times New Roman"/>
        </w:rPr>
        <w:fldChar w:fldCharType="end"/>
      </w:r>
      <w:r w:rsidRPr="00CE04FC">
        <w:rPr>
          <w:rFonts w:ascii="Times New Roman" w:hAnsi="Times New Roman" w:cs="Times New Roman"/>
        </w:rPr>
        <w:t>c and 12d present the variation range in refrigeration caused by the uncertainties in the effectiveness of heat exchangers. These two heat exchangers (H</w:t>
      </w:r>
      <w:r w:rsidR="000C2A9C" w:rsidRPr="00CE04FC">
        <w:rPr>
          <w:rFonts w:ascii="Times New Roman" w:hAnsi="Times New Roman" w:cs="Times New Roman"/>
        </w:rPr>
        <w:t>E</w:t>
      </w:r>
      <w:r w:rsidRPr="00CE04FC">
        <w:rPr>
          <w:rFonts w:ascii="Times New Roman" w:hAnsi="Times New Roman" w:cs="Times New Roman"/>
        </w:rPr>
        <w:t>2</w:t>
      </w:r>
      <w:r w:rsidR="000C2A9C" w:rsidRPr="00CE04FC">
        <w:rPr>
          <w:rFonts w:ascii="Times New Roman" w:hAnsi="Times New Roman" w:cs="Times New Roman"/>
        </w:rPr>
        <w:t>, HE3</w:t>
      </w:r>
      <w:r w:rsidRPr="00CE04FC">
        <w:rPr>
          <w:rFonts w:ascii="Times New Roman" w:hAnsi="Times New Roman" w:cs="Times New Roman"/>
        </w:rPr>
        <w:t xml:space="preserve">), which are the other two preheaters in VARC are transferring waste heat from water electrolyser hydrogen and oxygen outlet streams. It can be noticed the variation range (2 % - 4 %) is not significant as the heat extraction from water electrolyser streams is relatively small </w:t>
      </w:r>
      <w:r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Pr="00CE04FC">
        <w:rPr>
          <w:rFonts w:ascii="Times New Roman" w:hAnsi="Times New Roman" w:cs="Times New Roman"/>
        </w:rPr>
        <w:fldChar w:fldCharType="separate"/>
      </w:r>
      <w:r w:rsidR="00063EF7" w:rsidRPr="00CE04FC">
        <w:rPr>
          <w:rFonts w:ascii="Times New Roman" w:hAnsi="Times New Roman" w:cs="Times New Roman"/>
          <w:noProof/>
        </w:rPr>
        <w:t>(Anwar et al., 2024)</w:t>
      </w:r>
      <w:r w:rsidRPr="00CE04FC">
        <w:rPr>
          <w:rFonts w:ascii="Times New Roman" w:hAnsi="Times New Roman" w:cs="Times New Roman"/>
        </w:rPr>
        <w:fldChar w:fldCharType="end"/>
      </w:r>
      <w:r w:rsidRPr="00CE04FC">
        <w:rPr>
          <w:rFonts w:ascii="Times New Roman" w:hAnsi="Times New Roman" w:cs="Times New Roman"/>
        </w:rPr>
        <w:t xml:space="preserve">. </w:t>
      </w:r>
      <w:r w:rsidR="000A79B4" w:rsidRPr="00CE04FC">
        <w:rPr>
          <w:rFonts w:ascii="Times New Roman" w:hAnsi="Times New Roman" w:cs="Times New Roman"/>
        </w:rPr>
        <w:fldChar w:fldCharType="begin"/>
      </w:r>
      <w:r w:rsidR="000A79B4" w:rsidRPr="00CE04FC">
        <w:rPr>
          <w:rFonts w:ascii="Times New Roman" w:hAnsi="Times New Roman" w:cs="Times New Roman"/>
        </w:rPr>
        <w:instrText xml:space="preserve"> REF _Ref187140968 \h  \* MERGEFORMAT </w:instrText>
      </w:r>
      <w:r w:rsidR="000A79B4" w:rsidRPr="00CE04FC">
        <w:rPr>
          <w:rFonts w:ascii="Times New Roman" w:hAnsi="Times New Roman" w:cs="Times New Roman"/>
        </w:rPr>
      </w:r>
      <w:r w:rsidR="000A79B4" w:rsidRPr="00CE04FC">
        <w:rPr>
          <w:rFonts w:ascii="Times New Roman" w:hAnsi="Times New Roman" w:cs="Times New Roman"/>
        </w:rPr>
        <w:fldChar w:fldCharType="separate"/>
      </w:r>
      <w:r w:rsidR="001476C8" w:rsidRPr="00CE04FC">
        <w:rPr>
          <w:rFonts w:ascii="Times New Roman" w:hAnsi="Times New Roman" w:cs="Times New Roman"/>
        </w:rPr>
        <w:t>Figure 13</w:t>
      </w:r>
      <w:r w:rsidR="000A79B4" w:rsidRPr="00CE04FC">
        <w:rPr>
          <w:rFonts w:ascii="Times New Roman" w:hAnsi="Times New Roman" w:cs="Times New Roman"/>
        </w:rPr>
        <w:fldChar w:fldCharType="end"/>
      </w:r>
      <w:r w:rsidR="0002109F" w:rsidRPr="00CE04FC">
        <w:rPr>
          <w:rFonts w:ascii="Times New Roman" w:hAnsi="Times New Roman" w:cs="Times New Roman"/>
        </w:rPr>
        <w:t>e illustrates the range of variations in refrigeration output caused by uncertainty in the effectiveness of the heat exchanger</w:t>
      </w:r>
      <w:r w:rsidR="0039783B" w:rsidRPr="00CE04FC">
        <w:rPr>
          <w:rFonts w:ascii="Times New Roman" w:hAnsi="Times New Roman" w:cs="Times New Roman"/>
        </w:rPr>
        <w:t xml:space="preserve"> (</w:t>
      </w:r>
      <w:r w:rsidR="00482C1D" w:rsidRPr="00CE04FC">
        <w:rPr>
          <w:rFonts w:ascii="Times New Roman" w:hAnsi="Times New Roman" w:cs="Times New Roman"/>
        </w:rPr>
        <w:t>HE4</w:t>
      </w:r>
      <w:r w:rsidR="0039783B" w:rsidRPr="00CE04FC">
        <w:rPr>
          <w:rFonts w:ascii="Times New Roman" w:hAnsi="Times New Roman" w:cs="Times New Roman"/>
        </w:rPr>
        <w:t>)</w:t>
      </w:r>
      <w:r w:rsidR="0002109F" w:rsidRPr="00CE04FC">
        <w:rPr>
          <w:rFonts w:ascii="Times New Roman" w:hAnsi="Times New Roman" w:cs="Times New Roman"/>
        </w:rPr>
        <w:t xml:space="preserve">, which connects the HB </w:t>
      </w:r>
      <w:r w:rsidR="00AC4AAC" w:rsidRPr="00CE04FC">
        <w:rPr>
          <w:rFonts w:ascii="Times New Roman" w:hAnsi="Times New Roman" w:cs="Times New Roman"/>
        </w:rPr>
        <w:t>sub-</w:t>
      </w:r>
      <w:r w:rsidR="0002109F" w:rsidRPr="00CE04FC">
        <w:rPr>
          <w:rFonts w:ascii="Times New Roman" w:hAnsi="Times New Roman" w:cs="Times New Roman"/>
        </w:rPr>
        <w:t xml:space="preserve">system to the VARC. As the primary component </w:t>
      </w:r>
      <w:r w:rsidR="0039783B" w:rsidRPr="00CE04FC">
        <w:rPr>
          <w:rFonts w:ascii="Times New Roman" w:hAnsi="Times New Roman" w:cs="Times New Roman"/>
        </w:rPr>
        <w:t xml:space="preserve">of </w:t>
      </w:r>
      <w:r w:rsidR="00D234F9" w:rsidRPr="00CE04FC">
        <w:rPr>
          <w:rFonts w:ascii="Times New Roman" w:hAnsi="Times New Roman" w:cs="Times New Roman"/>
        </w:rPr>
        <w:t>WHR</w:t>
      </w:r>
      <w:r w:rsidR="0002109F" w:rsidRPr="00CE04FC">
        <w:rPr>
          <w:rFonts w:ascii="Times New Roman" w:hAnsi="Times New Roman" w:cs="Times New Roman"/>
        </w:rPr>
        <w:t xml:space="preserve"> </w:t>
      </w:r>
      <w:r w:rsidR="0039783B" w:rsidRPr="00CE04FC">
        <w:rPr>
          <w:rFonts w:ascii="Times New Roman" w:hAnsi="Times New Roman" w:cs="Times New Roman"/>
        </w:rPr>
        <w:t>in the hybridised ammonia production system</w:t>
      </w:r>
      <w:r w:rsidR="0002109F" w:rsidRPr="00CE04FC">
        <w:rPr>
          <w:rFonts w:ascii="Times New Roman" w:hAnsi="Times New Roman" w:cs="Times New Roman"/>
        </w:rPr>
        <w:t>, this heat exchanger plays a crucial role in transferring thermal energy to the VARC. Any uncertainty in its effectiveness has a significant impact, potentially leading to fluctuations exceeding 20% in refrigeration generation.</w:t>
      </w:r>
    </w:p>
    <w:p w14:paraId="4ECF0E37" w14:textId="36AFD30E" w:rsidR="00D323DF" w:rsidRDefault="009015E6" w:rsidP="00D75860">
      <w:pPr>
        <w:spacing w:line="240" w:lineRule="auto"/>
        <w:jc w:val="both"/>
        <w:rPr>
          <w:rFonts w:ascii="Times New Roman" w:hAnsi="Times New Roman" w:cs="Times New Roman"/>
        </w:rPr>
      </w:pPr>
      <w:r w:rsidRPr="00CE04FC">
        <w:rPr>
          <w:rFonts w:ascii="Times New Roman" w:hAnsi="Times New Roman" w:cs="Times New Roman"/>
        </w:rPr>
        <w:fldChar w:fldCharType="begin"/>
      </w:r>
      <w:r w:rsidRPr="00CE04FC">
        <w:rPr>
          <w:rFonts w:ascii="Times New Roman" w:hAnsi="Times New Roman" w:cs="Times New Roman"/>
        </w:rPr>
        <w:instrText xml:space="preserve"> REF _Ref187140968 \h  \* MERGEFORMAT </w:instrText>
      </w:r>
      <w:r w:rsidRPr="00CE04FC">
        <w:rPr>
          <w:rFonts w:ascii="Times New Roman" w:hAnsi="Times New Roman" w:cs="Times New Roman"/>
        </w:rPr>
      </w:r>
      <w:r w:rsidRPr="00CE04FC">
        <w:rPr>
          <w:rFonts w:ascii="Times New Roman" w:hAnsi="Times New Roman" w:cs="Times New Roman"/>
        </w:rPr>
        <w:fldChar w:fldCharType="separate"/>
      </w:r>
      <w:r w:rsidR="001476C8" w:rsidRPr="00CE04FC">
        <w:rPr>
          <w:rFonts w:ascii="Times New Roman" w:hAnsi="Times New Roman" w:cs="Times New Roman"/>
        </w:rPr>
        <w:t>Figure 13</w:t>
      </w:r>
      <w:r w:rsidRPr="00CE04FC">
        <w:rPr>
          <w:rFonts w:ascii="Times New Roman" w:hAnsi="Times New Roman" w:cs="Times New Roman"/>
        </w:rPr>
        <w:fldChar w:fldCharType="end"/>
      </w:r>
      <w:r w:rsidR="0002109F" w:rsidRPr="00CE04FC">
        <w:rPr>
          <w:rFonts w:ascii="Times New Roman" w:hAnsi="Times New Roman" w:cs="Times New Roman"/>
        </w:rPr>
        <w:t>f presents the variations in system output resulting</w:t>
      </w:r>
      <w:r w:rsidR="008478A2" w:rsidRPr="00CE04FC">
        <w:rPr>
          <w:rFonts w:ascii="Times New Roman" w:hAnsi="Times New Roman" w:cs="Times New Roman"/>
        </w:rPr>
        <w:t xml:space="preserve"> </w:t>
      </w:r>
      <w:r w:rsidR="0002109F" w:rsidRPr="00CE04FC">
        <w:rPr>
          <w:rFonts w:ascii="Times New Roman" w:hAnsi="Times New Roman" w:cs="Times New Roman"/>
        </w:rPr>
        <w:t>from uncertainties in compressor efficiencies</w:t>
      </w:r>
      <w:r w:rsidR="00A74C84" w:rsidRPr="00CE04FC">
        <w:rPr>
          <w:rFonts w:ascii="Times New Roman" w:hAnsi="Times New Roman" w:cs="Times New Roman"/>
        </w:rPr>
        <w:t xml:space="preserve"> (C</w:t>
      </w:r>
      <w:r w:rsidR="00A74C84" w:rsidRPr="00CE04FC">
        <w:rPr>
          <w:rFonts w:ascii="Times New Roman" w:hAnsi="Times New Roman" w:cs="Times New Roman"/>
          <w:vertAlign w:val="subscript"/>
        </w:rPr>
        <w:t>eff</w:t>
      </w:r>
      <w:r w:rsidR="00A74C84" w:rsidRPr="00CE04FC">
        <w:rPr>
          <w:rFonts w:ascii="Times New Roman" w:hAnsi="Times New Roman" w:cs="Times New Roman"/>
        </w:rPr>
        <w:t>)</w:t>
      </w:r>
      <w:r w:rsidR="0002109F" w:rsidRPr="00CE04FC">
        <w:rPr>
          <w:rFonts w:ascii="Times New Roman" w:hAnsi="Times New Roman" w:cs="Times New Roman"/>
        </w:rPr>
        <w:t>. Overall, the results indicate that uncertainty in power input has the most substantial influence on system performance. Additionally, variations in heat exchanger effectiveness contribute significantly, accounting for approximately 50% of the total uncertainties in the hybridi</w:t>
      </w:r>
      <w:r w:rsidR="00274244" w:rsidRPr="00CE04FC">
        <w:rPr>
          <w:rFonts w:ascii="Times New Roman" w:hAnsi="Times New Roman" w:cs="Times New Roman"/>
        </w:rPr>
        <w:t>s</w:t>
      </w:r>
      <w:r w:rsidR="0002109F" w:rsidRPr="00CE04FC">
        <w:rPr>
          <w:rFonts w:ascii="Times New Roman" w:hAnsi="Times New Roman" w:cs="Times New Roman"/>
        </w:rPr>
        <w:t>ed ammonia production system.</w:t>
      </w:r>
    </w:p>
    <w:p w14:paraId="12408792" w14:textId="77777777" w:rsidR="00D323DF" w:rsidRDefault="00D323DF">
      <w:pPr>
        <w:rPr>
          <w:rFonts w:ascii="Times New Roman" w:hAnsi="Times New Roman" w:cs="Times New Roman"/>
        </w:rPr>
      </w:pPr>
      <w:r>
        <w:rPr>
          <w:rFonts w:ascii="Times New Roman" w:hAnsi="Times New Roman" w:cs="Times New Roman"/>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6"/>
        <w:gridCol w:w="4456"/>
      </w:tblGrid>
      <w:tr w:rsidR="00CE04FC" w:rsidRPr="00CE04FC" w14:paraId="31D514F6" w14:textId="77777777" w:rsidTr="00D323DF">
        <w:trPr>
          <w:jc w:val="center"/>
        </w:trPr>
        <w:tc>
          <w:tcPr>
            <w:tcW w:w="4336" w:type="dxa"/>
          </w:tcPr>
          <w:p w14:paraId="72E35997"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lastRenderedPageBreak/>
              <w:t>(a)</w:t>
            </w:r>
          </w:p>
        </w:tc>
        <w:tc>
          <w:tcPr>
            <w:tcW w:w="4456" w:type="dxa"/>
          </w:tcPr>
          <w:p w14:paraId="16F0E02E" w14:textId="77777777" w:rsidR="00D75860" w:rsidRPr="00CE04FC" w:rsidRDefault="00D75860" w:rsidP="00D75860">
            <w:pPr>
              <w:rPr>
                <w:rFonts w:ascii="Times New Roman" w:hAnsi="Times New Roman" w:cs="Times New Roman"/>
              </w:rPr>
            </w:pPr>
            <w:r w:rsidRPr="00CE04FC">
              <w:rPr>
                <w:rFonts w:ascii="Times New Roman" w:hAnsi="Times New Roman" w:cs="Times New Roman"/>
              </w:rPr>
              <w:t>(b)</w:t>
            </w:r>
          </w:p>
        </w:tc>
      </w:tr>
      <w:tr w:rsidR="00CE04FC" w:rsidRPr="00CE04FC" w14:paraId="7343E266" w14:textId="77777777" w:rsidTr="00D323DF">
        <w:trPr>
          <w:jc w:val="center"/>
        </w:trPr>
        <w:tc>
          <w:tcPr>
            <w:tcW w:w="4336" w:type="dxa"/>
          </w:tcPr>
          <w:p w14:paraId="5691E972" w14:textId="7C0352A5" w:rsidR="00D75860" w:rsidRPr="00CE04FC" w:rsidRDefault="00486A4A"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26868053" wp14:editId="05521CA9">
                  <wp:extent cx="2606476" cy="1620000"/>
                  <wp:effectExtent l="0" t="0" r="3810" b="0"/>
                  <wp:docPr id="203555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55088" name=""/>
                          <pic:cNvPicPr/>
                        </pic:nvPicPr>
                        <pic:blipFill rotWithShape="1">
                          <a:blip r:embed="rId28"/>
                          <a:srcRect t="5621"/>
                          <a:stretch/>
                        </pic:blipFill>
                        <pic:spPr bwMode="auto">
                          <a:xfrm>
                            <a:off x="0" y="0"/>
                            <a:ext cx="2606476" cy="1620000"/>
                          </a:xfrm>
                          <a:prstGeom prst="rect">
                            <a:avLst/>
                          </a:prstGeom>
                          <a:ln>
                            <a:noFill/>
                          </a:ln>
                          <a:extLst>
                            <a:ext uri="{53640926-AAD7-44D8-BBD7-CCE9431645EC}">
                              <a14:shadowObscured xmlns:a14="http://schemas.microsoft.com/office/drawing/2010/main"/>
                            </a:ext>
                          </a:extLst>
                        </pic:spPr>
                      </pic:pic>
                    </a:graphicData>
                  </a:graphic>
                </wp:inline>
              </w:drawing>
            </w:r>
            <w:r w:rsidR="00353536" w:rsidRPr="00CE04FC">
              <w:rPr>
                <w:rStyle w:val="CommentReference"/>
                <w:rFonts w:ascii="Times New Roman" w:hAnsi="Times New Roman" w:cs="Times New Roman"/>
                <w:sz w:val="22"/>
                <w:szCs w:val="22"/>
              </w:rPr>
              <w:t xml:space="preserve"> </w:t>
            </w:r>
          </w:p>
        </w:tc>
        <w:tc>
          <w:tcPr>
            <w:tcW w:w="4456" w:type="dxa"/>
          </w:tcPr>
          <w:p w14:paraId="36B5B094" w14:textId="38111DDA" w:rsidR="00D75860" w:rsidRPr="00CE04FC" w:rsidRDefault="000B3568"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03B2FADC" wp14:editId="5E756DAA">
                  <wp:extent cx="2607386" cy="1620000"/>
                  <wp:effectExtent l="0" t="0" r="2540" b="0"/>
                  <wp:docPr id="542760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60294" name=""/>
                          <pic:cNvPicPr/>
                        </pic:nvPicPr>
                        <pic:blipFill rotWithShape="1">
                          <a:blip r:embed="rId29"/>
                          <a:srcRect t="5255"/>
                          <a:stretch/>
                        </pic:blipFill>
                        <pic:spPr bwMode="auto">
                          <a:xfrm>
                            <a:off x="0" y="0"/>
                            <a:ext cx="2607386"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CE04FC" w:rsidRPr="00CE04FC" w14:paraId="6359601D" w14:textId="77777777" w:rsidTr="00D323DF">
        <w:trPr>
          <w:jc w:val="center"/>
        </w:trPr>
        <w:tc>
          <w:tcPr>
            <w:tcW w:w="4336" w:type="dxa"/>
          </w:tcPr>
          <w:p w14:paraId="0E514B95" w14:textId="7E90BB6B" w:rsidR="00426351" w:rsidRPr="00CE04FC" w:rsidRDefault="005971EA" w:rsidP="00D75860">
            <w:pPr>
              <w:spacing w:before="240"/>
              <w:rPr>
                <w:rFonts w:ascii="Times New Roman" w:hAnsi="Times New Roman" w:cs="Times New Roman"/>
              </w:rPr>
            </w:pPr>
            <w:r w:rsidRPr="00CE04FC">
              <w:rPr>
                <w:rFonts w:ascii="Times New Roman" w:hAnsi="Times New Roman" w:cs="Times New Roman"/>
              </w:rPr>
              <w:t xml:space="preserve"> </w:t>
            </w:r>
            <w:r w:rsidR="00D75860" w:rsidRPr="00CE04FC">
              <w:rPr>
                <w:rFonts w:ascii="Times New Roman" w:hAnsi="Times New Roman" w:cs="Times New Roman"/>
              </w:rPr>
              <w:t>(c)</w:t>
            </w:r>
          </w:p>
        </w:tc>
        <w:tc>
          <w:tcPr>
            <w:tcW w:w="4456" w:type="dxa"/>
          </w:tcPr>
          <w:p w14:paraId="5FCD5597" w14:textId="5F555CEF" w:rsidR="00D75860" w:rsidRPr="00CE04FC" w:rsidRDefault="00D75860" w:rsidP="00D75860">
            <w:pPr>
              <w:spacing w:before="240"/>
              <w:rPr>
                <w:rFonts w:ascii="Times New Roman" w:hAnsi="Times New Roman" w:cs="Times New Roman"/>
              </w:rPr>
            </w:pPr>
            <w:r w:rsidRPr="00CE04FC">
              <w:rPr>
                <w:rFonts w:ascii="Times New Roman" w:hAnsi="Times New Roman" w:cs="Times New Roman"/>
              </w:rPr>
              <w:t>(d)</w:t>
            </w:r>
          </w:p>
        </w:tc>
      </w:tr>
      <w:tr w:rsidR="00CE04FC" w:rsidRPr="00CE04FC" w14:paraId="44DB920A" w14:textId="77777777" w:rsidTr="00D323DF">
        <w:trPr>
          <w:jc w:val="center"/>
        </w:trPr>
        <w:tc>
          <w:tcPr>
            <w:tcW w:w="4336" w:type="dxa"/>
          </w:tcPr>
          <w:p w14:paraId="76C925B4" w14:textId="452506BD" w:rsidR="00D75860" w:rsidRPr="00CE04FC" w:rsidRDefault="002D5A34"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388051BC" wp14:editId="176F8EC5">
                  <wp:extent cx="2565400" cy="1646923"/>
                  <wp:effectExtent l="0" t="0" r="6350" b="0"/>
                  <wp:docPr id="1221046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46189" name=""/>
                          <pic:cNvPicPr/>
                        </pic:nvPicPr>
                        <pic:blipFill>
                          <a:blip r:embed="rId30"/>
                          <a:stretch>
                            <a:fillRect/>
                          </a:stretch>
                        </pic:blipFill>
                        <pic:spPr>
                          <a:xfrm>
                            <a:off x="0" y="0"/>
                            <a:ext cx="2570914" cy="1650463"/>
                          </a:xfrm>
                          <a:prstGeom prst="rect">
                            <a:avLst/>
                          </a:prstGeom>
                        </pic:spPr>
                      </pic:pic>
                    </a:graphicData>
                  </a:graphic>
                </wp:inline>
              </w:drawing>
            </w:r>
          </w:p>
        </w:tc>
        <w:tc>
          <w:tcPr>
            <w:tcW w:w="4456" w:type="dxa"/>
          </w:tcPr>
          <w:p w14:paraId="1DB85D2F" w14:textId="4A756F1F" w:rsidR="00D75860" w:rsidRPr="00CE04FC" w:rsidRDefault="00BA3EAB"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1634C3A4" wp14:editId="0F9FD96F">
                  <wp:extent cx="2609850" cy="1682749"/>
                  <wp:effectExtent l="0" t="0" r="0" b="0"/>
                  <wp:docPr id="513089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89243" name=""/>
                          <pic:cNvPicPr/>
                        </pic:nvPicPr>
                        <pic:blipFill>
                          <a:blip r:embed="rId31"/>
                          <a:stretch>
                            <a:fillRect/>
                          </a:stretch>
                        </pic:blipFill>
                        <pic:spPr>
                          <a:xfrm>
                            <a:off x="0" y="0"/>
                            <a:ext cx="2618447" cy="1688292"/>
                          </a:xfrm>
                          <a:prstGeom prst="rect">
                            <a:avLst/>
                          </a:prstGeom>
                        </pic:spPr>
                      </pic:pic>
                    </a:graphicData>
                  </a:graphic>
                </wp:inline>
              </w:drawing>
            </w:r>
          </w:p>
        </w:tc>
      </w:tr>
      <w:tr w:rsidR="00CE04FC" w:rsidRPr="00CE04FC" w14:paraId="534FE5BE" w14:textId="77777777" w:rsidTr="00D323DF">
        <w:trPr>
          <w:jc w:val="center"/>
        </w:trPr>
        <w:tc>
          <w:tcPr>
            <w:tcW w:w="4336" w:type="dxa"/>
          </w:tcPr>
          <w:p w14:paraId="367E6BCA" w14:textId="177487D8" w:rsidR="002D5A34" w:rsidRPr="00CE04FC" w:rsidRDefault="00D75860" w:rsidP="00D75860">
            <w:pPr>
              <w:spacing w:before="240"/>
              <w:rPr>
                <w:rFonts w:ascii="Times New Roman" w:hAnsi="Times New Roman" w:cs="Times New Roman"/>
                <w:noProof/>
              </w:rPr>
            </w:pPr>
            <w:r w:rsidRPr="00CE04FC">
              <w:rPr>
                <w:rFonts w:ascii="Times New Roman" w:hAnsi="Times New Roman" w:cs="Times New Roman"/>
              </w:rPr>
              <w:t>(e)</w:t>
            </w:r>
          </w:p>
        </w:tc>
        <w:tc>
          <w:tcPr>
            <w:tcW w:w="4456" w:type="dxa"/>
          </w:tcPr>
          <w:p w14:paraId="2AF9FC46" w14:textId="70CF0613" w:rsidR="00E2700D" w:rsidRPr="00CE04FC" w:rsidRDefault="00D75860" w:rsidP="00D75860">
            <w:pPr>
              <w:spacing w:before="240"/>
              <w:rPr>
                <w:rFonts w:ascii="Times New Roman" w:hAnsi="Times New Roman" w:cs="Times New Roman"/>
              </w:rPr>
            </w:pPr>
            <w:r w:rsidRPr="00CE04FC">
              <w:rPr>
                <w:rFonts w:ascii="Times New Roman" w:hAnsi="Times New Roman" w:cs="Times New Roman"/>
              </w:rPr>
              <w:t>(f)</w:t>
            </w:r>
          </w:p>
        </w:tc>
      </w:tr>
      <w:tr w:rsidR="00CE04FC" w:rsidRPr="00CE04FC" w14:paraId="5AFFEAA3" w14:textId="77777777" w:rsidTr="00D323DF">
        <w:trPr>
          <w:jc w:val="center"/>
        </w:trPr>
        <w:tc>
          <w:tcPr>
            <w:tcW w:w="4336" w:type="dxa"/>
          </w:tcPr>
          <w:p w14:paraId="3B2D7B79" w14:textId="274F45C4" w:rsidR="00D75860" w:rsidRPr="00CE04FC" w:rsidRDefault="00E2700D"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273447CC" wp14:editId="54CF6557">
                  <wp:extent cx="2616200" cy="1722386"/>
                  <wp:effectExtent l="0" t="0" r="0" b="0"/>
                  <wp:docPr id="1778460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60895" name=""/>
                          <pic:cNvPicPr/>
                        </pic:nvPicPr>
                        <pic:blipFill>
                          <a:blip r:embed="rId32"/>
                          <a:stretch>
                            <a:fillRect/>
                          </a:stretch>
                        </pic:blipFill>
                        <pic:spPr>
                          <a:xfrm>
                            <a:off x="0" y="0"/>
                            <a:ext cx="2633108" cy="1733518"/>
                          </a:xfrm>
                          <a:prstGeom prst="rect">
                            <a:avLst/>
                          </a:prstGeom>
                        </pic:spPr>
                      </pic:pic>
                    </a:graphicData>
                  </a:graphic>
                </wp:inline>
              </w:drawing>
            </w:r>
          </w:p>
        </w:tc>
        <w:tc>
          <w:tcPr>
            <w:tcW w:w="4456" w:type="dxa"/>
          </w:tcPr>
          <w:p w14:paraId="5AE69571" w14:textId="58440A3F" w:rsidR="00D75860" w:rsidRPr="00CE04FC" w:rsidRDefault="00203193" w:rsidP="00D75860">
            <w:pPr>
              <w:jc w:val="center"/>
              <w:rPr>
                <w:rFonts w:ascii="Times New Roman" w:hAnsi="Times New Roman" w:cs="Times New Roman"/>
              </w:rPr>
            </w:pPr>
            <w:r w:rsidRPr="00CE04FC">
              <w:rPr>
                <w:rFonts w:ascii="Times New Roman" w:hAnsi="Times New Roman" w:cs="Times New Roman"/>
                <w:noProof/>
              </w:rPr>
              <w:drawing>
                <wp:inline distT="0" distB="0" distL="0" distR="0" wp14:anchorId="4549F1BF" wp14:editId="35CF1FC1">
                  <wp:extent cx="2692400" cy="1777118"/>
                  <wp:effectExtent l="0" t="0" r="0" b="0"/>
                  <wp:docPr id="107426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6004" name=""/>
                          <pic:cNvPicPr/>
                        </pic:nvPicPr>
                        <pic:blipFill>
                          <a:blip r:embed="rId33"/>
                          <a:stretch>
                            <a:fillRect/>
                          </a:stretch>
                        </pic:blipFill>
                        <pic:spPr>
                          <a:xfrm>
                            <a:off x="0" y="0"/>
                            <a:ext cx="2702485" cy="1783774"/>
                          </a:xfrm>
                          <a:prstGeom prst="rect">
                            <a:avLst/>
                          </a:prstGeom>
                        </pic:spPr>
                      </pic:pic>
                    </a:graphicData>
                  </a:graphic>
                </wp:inline>
              </w:drawing>
            </w:r>
          </w:p>
        </w:tc>
      </w:tr>
      <w:tr w:rsidR="00CE04FC" w:rsidRPr="00CE04FC" w14:paraId="7C4CA7CB" w14:textId="77777777" w:rsidTr="00D323DF">
        <w:trPr>
          <w:jc w:val="center"/>
        </w:trPr>
        <w:tc>
          <w:tcPr>
            <w:tcW w:w="8792" w:type="dxa"/>
            <w:gridSpan w:val="2"/>
          </w:tcPr>
          <w:p w14:paraId="26D96035" w14:textId="1B53B50C" w:rsidR="00D75860" w:rsidRPr="00CE04FC" w:rsidRDefault="00D75860" w:rsidP="00D75860">
            <w:pPr>
              <w:spacing w:after="200"/>
              <w:jc w:val="center"/>
              <w:rPr>
                <w:rFonts w:ascii="Times New Roman" w:hAnsi="Times New Roman" w:cs="Times New Roman"/>
              </w:rPr>
            </w:pPr>
            <w:bookmarkStart w:id="28" w:name="_Ref187140968"/>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13</w:t>
            </w:r>
            <w:r w:rsidRPr="00CE04FC">
              <w:rPr>
                <w:rFonts w:ascii="Times New Roman" w:hAnsi="Times New Roman" w:cs="Times New Roman"/>
              </w:rPr>
              <w:fldChar w:fldCharType="end"/>
            </w:r>
            <w:bookmarkEnd w:id="28"/>
            <w:r w:rsidRPr="00CE04FC">
              <w:rPr>
                <w:rFonts w:ascii="Times New Roman" w:hAnsi="Times New Roman" w:cs="Times New Roman"/>
              </w:rPr>
              <w:t xml:space="preserve"> Variation in refrigeration generation due to uncertainties in (a) power input</w:t>
            </w:r>
            <w:r w:rsidR="00574CCA" w:rsidRPr="00CE04FC">
              <w:rPr>
                <w:rFonts w:ascii="Times New Roman" w:hAnsi="Times New Roman" w:cs="Times New Roman"/>
              </w:rPr>
              <w:t xml:space="preserve"> P</w:t>
            </w:r>
            <w:r w:rsidR="00574CCA" w:rsidRPr="00CE04FC">
              <w:rPr>
                <w:rFonts w:ascii="Times New Roman" w:hAnsi="Times New Roman" w:cs="Times New Roman"/>
                <w:vertAlign w:val="subscript"/>
              </w:rPr>
              <w:t>in</w:t>
            </w:r>
            <w:r w:rsidRPr="00CE04FC">
              <w:rPr>
                <w:rFonts w:ascii="Times New Roman" w:hAnsi="Times New Roman" w:cs="Times New Roman"/>
              </w:rPr>
              <w:t xml:space="preserve"> (b) </w:t>
            </w:r>
            <w:r w:rsidR="006009F7" w:rsidRPr="00CE04FC">
              <w:rPr>
                <w:rFonts w:ascii="Times New Roman" w:hAnsi="Times New Roman" w:cs="Times New Roman"/>
              </w:rPr>
              <w:t>pre</w:t>
            </w:r>
            <w:r w:rsidR="00A356C5" w:rsidRPr="00CE04FC">
              <w:rPr>
                <w:rFonts w:ascii="Times New Roman" w:hAnsi="Times New Roman" w:cs="Times New Roman"/>
              </w:rPr>
              <w:t>heater</w:t>
            </w:r>
            <w:r w:rsidR="00AB746C" w:rsidRPr="00CE04FC">
              <w:rPr>
                <w:rFonts w:ascii="Times New Roman" w:hAnsi="Times New Roman" w:cs="Times New Roman"/>
              </w:rPr>
              <w:t xml:space="preserve"> </w:t>
            </w:r>
            <w:r w:rsidR="00A356C5" w:rsidRPr="00CE04FC">
              <w:rPr>
                <w:rFonts w:ascii="Times New Roman" w:hAnsi="Times New Roman" w:cs="Times New Roman"/>
              </w:rPr>
              <w:t xml:space="preserve">HE1, </w:t>
            </w:r>
            <w:r w:rsidR="00C069A4" w:rsidRPr="00CE04FC">
              <w:rPr>
                <w:rFonts w:ascii="Times New Roman" w:hAnsi="Times New Roman" w:cs="Times New Roman"/>
              </w:rPr>
              <w:t xml:space="preserve">(c) </w:t>
            </w:r>
            <w:r w:rsidR="00BC0B0A" w:rsidRPr="00CE04FC">
              <w:rPr>
                <w:rFonts w:ascii="Times New Roman" w:hAnsi="Times New Roman" w:cs="Times New Roman"/>
              </w:rPr>
              <w:t>preheater</w:t>
            </w:r>
            <w:r w:rsidR="00A356C5" w:rsidRPr="00CE04FC">
              <w:rPr>
                <w:rFonts w:ascii="Times New Roman" w:hAnsi="Times New Roman" w:cs="Times New Roman"/>
              </w:rPr>
              <w:t xml:space="preserve"> HE2</w:t>
            </w:r>
            <w:r w:rsidRPr="00CE04FC">
              <w:rPr>
                <w:rFonts w:ascii="Times New Roman" w:hAnsi="Times New Roman" w:cs="Times New Roman"/>
              </w:rPr>
              <w:t>,</w:t>
            </w:r>
            <w:r w:rsidR="00D67CEF" w:rsidRPr="00CE04FC">
              <w:rPr>
                <w:rFonts w:ascii="Times New Roman" w:hAnsi="Times New Roman" w:cs="Times New Roman"/>
              </w:rPr>
              <w:t xml:space="preserve"> (d) preheater HE</w:t>
            </w:r>
            <w:r w:rsidR="00BE1DCA" w:rsidRPr="00CE04FC">
              <w:rPr>
                <w:rFonts w:ascii="Times New Roman" w:hAnsi="Times New Roman" w:cs="Times New Roman"/>
              </w:rPr>
              <w:t>3</w:t>
            </w:r>
            <w:r w:rsidR="00D67CEF" w:rsidRPr="00CE04FC">
              <w:rPr>
                <w:rFonts w:ascii="Times New Roman" w:hAnsi="Times New Roman" w:cs="Times New Roman"/>
              </w:rPr>
              <w:t xml:space="preserve">, (e) </w:t>
            </w:r>
            <w:r w:rsidR="00AB746C" w:rsidRPr="00CE04FC">
              <w:rPr>
                <w:rFonts w:ascii="Times New Roman" w:hAnsi="Times New Roman" w:cs="Times New Roman"/>
              </w:rPr>
              <w:t>heat exchanger</w:t>
            </w:r>
            <w:r w:rsidR="00D67CEF" w:rsidRPr="00CE04FC">
              <w:rPr>
                <w:rFonts w:ascii="Times New Roman" w:hAnsi="Times New Roman" w:cs="Times New Roman"/>
              </w:rPr>
              <w:t xml:space="preserve"> HE</w:t>
            </w:r>
            <w:r w:rsidR="00BE1DCA" w:rsidRPr="00CE04FC">
              <w:rPr>
                <w:rFonts w:ascii="Times New Roman" w:hAnsi="Times New Roman" w:cs="Times New Roman"/>
              </w:rPr>
              <w:t>4</w:t>
            </w:r>
            <w:r w:rsidR="004C24CE" w:rsidRPr="00CE04FC">
              <w:rPr>
                <w:rFonts w:ascii="Times New Roman" w:hAnsi="Times New Roman" w:cs="Times New Roman"/>
              </w:rPr>
              <w:t>,</w:t>
            </w:r>
            <w:r w:rsidRPr="00CE04FC">
              <w:rPr>
                <w:rFonts w:ascii="Times New Roman" w:hAnsi="Times New Roman" w:cs="Times New Roman"/>
              </w:rPr>
              <w:t xml:space="preserve"> (</w:t>
            </w:r>
            <w:r w:rsidR="00C069A4" w:rsidRPr="00CE04FC">
              <w:rPr>
                <w:rFonts w:ascii="Times New Roman" w:hAnsi="Times New Roman" w:cs="Times New Roman"/>
              </w:rPr>
              <w:t>f</w:t>
            </w:r>
            <w:r w:rsidRPr="00CE04FC">
              <w:rPr>
                <w:rFonts w:ascii="Times New Roman" w:hAnsi="Times New Roman" w:cs="Times New Roman"/>
              </w:rPr>
              <w:t>) compressors efficiency</w:t>
            </w:r>
            <w:r w:rsidR="00574CCA" w:rsidRPr="00CE04FC">
              <w:rPr>
                <w:rFonts w:ascii="Times New Roman" w:hAnsi="Times New Roman" w:cs="Times New Roman"/>
              </w:rPr>
              <w:t xml:space="preserve"> C</w:t>
            </w:r>
            <w:r w:rsidR="00574CCA" w:rsidRPr="00CE04FC">
              <w:rPr>
                <w:rFonts w:ascii="Times New Roman" w:hAnsi="Times New Roman" w:cs="Times New Roman"/>
                <w:vertAlign w:val="subscript"/>
              </w:rPr>
              <w:t>eff</w:t>
            </w:r>
            <w:r w:rsidRPr="00CE04FC">
              <w:rPr>
                <w:rFonts w:ascii="Times New Roman" w:hAnsi="Times New Roman" w:cs="Times New Roman"/>
              </w:rPr>
              <w:t>, in</w:t>
            </w:r>
            <w:r w:rsidR="00E8138F" w:rsidRPr="00CE04FC">
              <w:rPr>
                <w:rFonts w:ascii="Times New Roman" w:hAnsi="Times New Roman" w:cs="Times New Roman"/>
              </w:rPr>
              <w:t xml:space="preserve"> </w:t>
            </w:r>
            <w:r w:rsidR="00E106A3" w:rsidRPr="00CE04FC">
              <w:rPr>
                <w:rFonts w:ascii="Times New Roman" w:hAnsi="Times New Roman" w:cs="Times New Roman"/>
              </w:rPr>
              <w:t xml:space="preserve">the </w:t>
            </w:r>
            <w:r w:rsidRPr="00CE04FC">
              <w:rPr>
                <w:rFonts w:ascii="Times New Roman" w:hAnsi="Times New Roman" w:cs="Times New Roman"/>
              </w:rPr>
              <w:t>hybridised ammonia production system</w:t>
            </w:r>
            <w:r w:rsidR="00B232C9" w:rsidRPr="00CE04FC">
              <w:rPr>
                <w:rFonts w:ascii="Times New Roman" w:hAnsi="Times New Roman" w:cs="Times New Roman"/>
              </w:rPr>
              <w:t xml:space="preserve"> for </w:t>
            </w:r>
            <w:r w:rsidR="007B417D" w:rsidRPr="00CE04FC">
              <w:rPr>
                <w:rFonts w:ascii="Times New Roman" w:hAnsi="Times New Roman" w:cs="Times New Roman"/>
              </w:rPr>
              <w:t xml:space="preserve">different values of the </w:t>
            </w:r>
            <w:r w:rsidR="00B232C9" w:rsidRPr="00CE04FC">
              <w:rPr>
                <w:rFonts w:ascii="Times New Roman" w:hAnsi="Times New Roman" w:cs="Times New Roman"/>
              </w:rPr>
              <w:t>nominal power input</w:t>
            </w:r>
            <w:r w:rsidRPr="00CE04FC">
              <w:rPr>
                <w:rFonts w:ascii="Times New Roman" w:hAnsi="Times New Roman" w:cs="Times New Roman"/>
              </w:rPr>
              <w:t>.</w:t>
            </w:r>
          </w:p>
        </w:tc>
      </w:tr>
    </w:tbl>
    <w:p w14:paraId="23CE0F15" w14:textId="12CD9F9A" w:rsidR="00D75860" w:rsidRPr="00CE04FC" w:rsidRDefault="00A63EF2" w:rsidP="00A63EF2">
      <w:pPr>
        <w:pStyle w:val="Heading2"/>
        <w:rPr>
          <w:szCs w:val="22"/>
        </w:rPr>
      </w:pPr>
      <w:r w:rsidRPr="00CE04FC">
        <w:rPr>
          <w:szCs w:val="22"/>
        </w:rPr>
        <w:t xml:space="preserve"> </w:t>
      </w:r>
      <w:r w:rsidR="00D75860" w:rsidRPr="00CE04FC">
        <w:rPr>
          <w:szCs w:val="22"/>
        </w:rPr>
        <w:t>Environmental and economic analysis</w:t>
      </w:r>
    </w:p>
    <w:p w14:paraId="3E426880" w14:textId="414C2D07" w:rsidR="00532C46" w:rsidRPr="00CE04FC" w:rsidRDefault="00532C46" w:rsidP="00532C46">
      <w:pPr>
        <w:spacing w:line="240" w:lineRule="auto"/>
        <w:jc w:val="both"/>
        <w:rPr>
          <w:rFonts w:ascii="Times New Roman" w:hAnsi="Times New Roman" w:cs="Times New Roman"/>
        </w:rPr>
      </w:pPr>
      <w:r w:rsidRPr="00CE04FC">
        <w:rPr>
          <w:rFonts w:ascii="Times New Roman" w:hAnsi="Times New Roman" w:cs="Times New Roman"/>
        </w:rPr>
        <w:t xml:space="preserve">The environmental analysis adopted U.S. energy sector assumptions from the EIA </w:t>
      </w:r>
      <w:r w:rsidR="00F25F0D" w:rsidRPr="00CE04FC">
        <w:rPr>
          <w:rFonts w:ascii="Times New Roman" w:hAnsi="Times New Roman" w:cs="Times New Roman"/>
        </w:rPr>
        <w:fldChar w:fldCharType="begin"/>
      </w:r>
      <w:r w:rsidR="00F25F0D" w:rsidRPr="00CE04FC">
        <w:rPr>
          <w:rFonts w:ascii="Times New Roman" w:hAnsi="Times New Roman" w:cs="Times New Roman"/>
        </w:rPr>
        <w:instrText xml:space="preserve"> ADDIN EN.CITE &lt;EndNote&gt;&lt;Cite&gt;&lt;Author&gt;EIA&lt;/Author&gt;&lt;Year&gt;2022&lt;/Year&gt;&lt;RecNum&gt;218&lt;/RecNum&gt;&lt;DisplayText&gt;(&lt;style face="bold"&gt;EIA&lt;/style&gt;, 2022)&lt;/DisplayText&gt;&lt;record&gt;&lt;rec-number&gt;218&lt;/rec-number&gt;&lt;foreign-keys&gt;&lt;key app="EN" db-id="pr50xwwadtst21e5zxqxxx2e0vppzs0zzfpz" timestamp="1705176874"&gt;218&lt;/key&gt;&lt;/foreign-keys&gt;&lt;ref-type name="Web Page"&gt;12&lt;/ref-type&gt;&lt;contributors&gt;&lt;authors&gt;&lt;author&gt;&lt;style face="bold" font="default" size="100%"&gt;EIA&lt;/style&gt;&lt;/author&gt;&lt;/authors&gt;&lt;/contributors&gt;&lt;titles&gt;&lt;title&gt;&lt;style face="bold" font="default" size="100%"&gt;U.S. Energy Information Administration (EIA)&lt;/style&gt;&lt;/title&gt;&lt;/titles&gt;&lt;dates&gt;&lt;year&gt;2022&lt;/year&gt;&lt;/dates&gt;&lt;urls&gt;&lt;related-urls&gt;&lt;url&gt;https://www.eia.gov/&lt;/url&gt;&lt;/related-urls&gt;&lt;/urls&gt;&lt;/record&gt;&lt;/Cite&gt;&lt;/EndNote&gt;</w:instrText>
      </w:r>
      <w:r w:rsidR="00F25F0D" w:rsidRPr="00CE04FC">
        <w:rPr>
          <w:rFonts w:ascii="Times New Roman" w:hAnsi="Times New Roman" w:cs="Times New Roman"/>
        </w:rPr>
        <w:fldChar w:fldCharType="separate"/>
      </w:r>
      <w:r w:rsidR="00F25F0D" w:rsidRPr="00CE04FC">
        <w:rPr>
          <w:rFonts w:ascii="Times New Roman" w:hAnsi="Times New Roman" w:cs="Times New Roman"/>
          <w:noProof/>
        </w:rPr>
        <w:t>(EIA, 2022)</w:t>
      </w:r>
      <w:r w:rsidR="00F25F0D" w:rsidRPr="00CE04FC">
        <w:rPr>
          <w:rFonts w:ascii="Times New Roman" w:hAnsi="Times New Roman" w:cs="Times New Roman"/>
        </w:rPr>
        <w:fldChar w:fldCharType="end"/>
      </w:r>
      <w:r w:rsidRPr="00CE04FC">
        <w:rPr>
          <w:rFonts w:ascii="Times New Roman" w:hAnsi="Times New Roman" w:cs="Times New Roman"/>
        </w:rPr>
        <w:t>, where electricity generation is sourced from natural gas (40%), coal (20%), nuclear (18%), and renewables (22%). This mix results in substantial GHG emissions: 80% CO₂ (0.85 kg/kWh), 11% CH₄ (0.015 kg/kWh), and 6.1% N₂O (0.001 kg/kWh). The assessment assumed that conventional vapour compression refrigeration requires 284.33 W of electric power per kilowatt of cooling</w:t>
      </w:r>
      <w:r w:rsidR="009D018F" w:rsidRPr="00CE04FC">
        <w:rPr>
          <w:rFonts w:ascii="Times New Roman" w:hAnsi="Times New Roman" w:cs="Times New Roman"/>
        </w:rPr>
        <w:t xml:space="preserve"> </w:t>
      </w:r>
      <w:r w:rsidR="009D018F" w:rsidRPr="00CE04FC">
        <w:rPr>
          <w:rFonts w:ascii="Times New Roman" w:hAnsi="Times New Roman" w:cs="Times New Roman"/>
        </w:rPr>
        <w:fldChar w:fldCharType="begin"/>
      </w:r>
      <w:r w:rsidR="009D018F" w:rsidRPr="00CE04FC">
        <w:rPr>
          <w:rFonts w:ascii="Times New Roman" w:hAnsi="Times New Roman" w:cs="Times New Roman"/>
        </w:rPr>
        <w:instrText xml:space="preserve"> ADDIN EN.CITE &lt;EndNote&gt;&lt;Cite&gt;&lt;Author&gt;EIA&lt;/Author&gt;&lt;Year&gt;2022&lt;/Year&gt;&lt;RecNum&gt;218&lt;/RecNum&gt;&lt;DisplayText&gt;(&lt;style face="bold"&gt;EIA&lt;/style&gt;, 2022)&lt;/DisplayText&gt;&lt;record&gt;&lt;rec-number&gt;218&lt;/rec-number&gt;&lt;foreign-keys&gt;&lt;key app="EN" db-id="pr50xwwadtst21e5zxqxxx2e0vppzs0zzfpz" timestamp="1705176874"&gt;218&lt;/key&gt;&lt;/foreign-keys&gt;&lt;ref-type name="Web Page"&gt;12&lt;/ref-type&gt;&lt;contributors&gt;&lt;authors&gt;&lt;author&gt;&lt;style face="bold" font="default" size="100%"&gt;EIA&lt;/style&gt;&lt;/author&gt;&lt;/authors&gt;&lt;/contributors&gt;&lt;titles&gt;&lt;title&gt;&lt;style face="bold" font="default" size="100%"&gt;U.S. Energy Information Administration (EIA)&lt;/style&gt;&lt;/title&gt;&lt;/titles&gt;&lt;dates&gt;&lt;year&gt;2022&lt;/year&gt;&lt;/dates&gt;&lt;urls&gt;&lt;related-urls&gt;&lt;url&gt;https://www.eia.gov/&lt;/url&gt;&lt;/related-urls&gt;&lt;/urls&gt;&lt;/record&gt;&lt;/Cite&gt;&lt;/EndNote&gt;</w:instrText>
      </w:r>
      <w:r w:rsidR="009D018F" w:rsidRPr="00CE04FC">
        <w:rPr>
          <w:rFonts w:ascii="Times New Roman" w:hAnsi="Times New Roman" w:cs="Times New Roman"/>
        </w:rPr>
        <w:fldChar w:fldCharType="separate"/>
      </w:r>
      <w:r w:rsidR="009D018F" w:rsidRPr="00CE04FC">
        <w:rPr>
          <w:rFonts w:ascii="Times New Roman" w:hAnsi="Times New Roman" w:cs="Times New Roman"/>
          <w:noProof/>
        </w:rPr>
        <w:t>(EIA, 2022)</w:t>
      </w:r>
      <w:r w:rsidR="009D018F" w:rsidRPr="00CE04FC">
        <w:rPr>
          <w:rFonts w:ascii="Times New Roman" w:hAnsi="Times New Roman" w:cs="Times New Roman"/>
        </w:rPr>
        <w:fldChar w:fldCharType="end"/>
      </w:r>
      <w:r w:rsidRPr="00CE04FC">
        <w:rPr>
          <w:rFonts w:ascii="Times New Roman" w:hAnsi="Times New Roman" w:cs="Times New Roman"/>
        </w:rPr>
        <w:t>. By integrating a renewable-powered HB process with a VARC, the system recovers waste heat to provide cooling, thereby reducing emissions—although the extent of reduction is influenced by system uncertainties. The VARC’s cooling output replaces that which would otherwise be generated by electricity-intensive vapour compression systems, serving as a low-carbon energy vector since it is derived from renewable sources rather than fossil fuels.</w:t>
      </w:r>
    </w:p>
    <w:p w14:paraId="70B64A52" w14:textId="3247F3D5" w:rsidR="008D7A57" w:rsidRPr="00CE04FC" w:rsidRDefault="008D7A57" w:rsidP="008D7A57">
      <w:pPr>
        <w:spacing w:line="240" w:lineRule="auto"/>
        <w:jc w:val="both"/>
        <w:rPr>
          <w:rFonts w:ascii="Times New Roman" w:hAnsi="Times New Roman" w:cs="Times New Roman"/>
        </w:rPr>
      </w:pPr>
      <w:r w:rsidRPr="00CE04FC">
        <w:rPr>
          <w:rFonts w:ascii="Times New Roman" w:hAnsi="Times New Roman" w:cs="Times New Roman"/>
        </w:rPr>
        <w:lastRenderedPageBreak/>
        <w:t>For a 20 MW HB system hybridi</w:t>
      </w:r>
      <w:r w:rsidR="00E00BD3" w:rsidRPr="00CE04FC">
        <w:rPr>
          <w:rFonts w:ascii="Times New Roman" w:hAnsi="Times New Roman" w:cs="Times New Roman"/>
        </w:rPr>
        <w:t>s</w:t>
      </w:r>
      <w:r w:rsidRPr="00CE04FC">
        <w:rPr>
          <w:rFonts w:ascii="Times New Roman" w:hAnsi="Times New Roman" w:cs="Times New Roman"/>
        </w:rPr>
        <w:t>ed with VARC, refrigeration generation reaches approximately 2.163 MW (204.8 tonnes</w:t>
      </w:r>
      <w:r w:rsidR="00460459" w:rsidRPr="00CE04FC">
        <w:rPr>
          <w:rFonts w:ascii="Times New Roman" w:hAnsi="Times New Roman" w:cs="Times New Roman"/>
        </w:rPr>
        <w:t xml:space="preserve"> of refrigeration</w:t>
      </w:r>
      <w:r w:rsidRPr="00CE04FC">
        <w:rPr>
          <w:rFonts w:ascii="Times New Roman" w:hAnsi="Times New Roman" w:cs="Times New Roman"/>
        </w:rPr>
        <w:t xml:space="preserve">), displacing conventional electricity needs estimated at 0.721 MW (assuming a COP of 3). </w:t>
      </w:r>
      <w:r w:rsidR="00047008" w:rsidRPr="00CE04FC">
        <w:rPr>
          <w:rFonts w:ascii="Times New Roman" w:hAnsi="Times New Roman" w:cs="Times New Roman"/>
        </w:rPr>
        <w:fldChar w:fldCharType="begin"/>
      </w:r>
      <w:r w:rsidR="00047008" w:rsidRPr="00CE04FC">
        <w:rPr>
          <w:rFonts w:ascii="Times New Roman" w:hAnsi="Times New Roman" w:cs="Times New Roman"/>
        </w:rPr>
        <w:instrText xml:space="preserve"> REF _Ref186976643 \h </w:instrText>
      </w:r>
      <w:r w:rsidR="00047008" w:rsidRPr="00CE04FC">
        <w:rPr>
          <w:rFonts w:ascii="Times New Roman" w:hAnsi="Times New Roman" w:cs="Times New Roman"/>
        </w:rPr>
      </w:r>
      <w:r w:rsidR="00047008" w:rsidRPr="00CE04FC">
        <w:rPr>
          <w:rFonts w:ascii="Times New Roman" w:hAnsi="Times New Roman" w:cs="Times New Roman"/>
        </w:rPr>
        <w:fldChar w:fldCharType="separate"/>
      </w:r>
      <w:r w:rsidR="00047008" w:rsidRPr="00CE04FC">
        <w:rPr>
          <w:rFonts w:ascii="Times New Roman" w:hAnsi="Times New Roman" w:cs="Times New Roman"/>
        </w:rPr>
        <w:t xml:space="preserve">Figure </w:t>
      </w:r>
      <w:r w:rsidR="00047008" w:rsidRPr="00CE04FC">
        <w:rPr>
          <w:rFonts w:ascii="Times New Roman" w:hAnsi="Times New Roman" w:cs="Times New Roman"/>
          <w:noProof/>
        </w:rPr>
        <w:t>14</w:t>
      </w:r>
      <w:r w:rsidR="00047008" w:rsidRPr="00CE04FC">
        <w:rPr>
          <w:rFonts w:ascii="Times New Roman" w:hAnsi="Times New Roman" w:cs="Times New Roman"/>
        </w:rPr>
        <w:fldChar w:fldCharType="end"/>
      </w:r>
      <w:r w:rsidRPr="00CE04FC">
        <w:rPr>
          <w:rFonts w:ascii="Times New Roman" w:hAnsi="Times New Roman" w:cs="Times New Roman"/>
        </w:rPr>
        <w:t xml:space="preserve"> demonstrates that system uncertainties create s</w:t>
      </w:r>
      <w:r w:rsidR="00460459" w:rsidRPr="00CE04FC">
        <w:rPr>
          <w:rFonts w:ascii="Times New Roman" w:hAnsi="Times New Roman" w:cs="Times New Roman"/>
        </w:rPr>
        <w:t>ignificant</w:t>
      </w:r>
      <w:r w:rsidRPr="00CE04FC">
        <w:rPr>
          <w:rFonts w:ascii="Times New Roman" w:hAnsi="Times New Roman" w:cs="Times New Roman"/>
        </w:rPr>
        <w:t xml:space="preserve"> variations in environmental benefits - up to 30% fluctuation in refrigeration output and 40-50% variation in GHG reductions. Since the refrigeration cycle directly offsets conventional energy demand, any output reduction proportionally increases grid/fossil fuel dependence, elevating emissions. This sensitivity highlights refrigeration stability's critical role in maximi</w:t>
      </w:r>
      <w:r w:rsidR="00E00BD3" w:rsidRPr="00CE04FC">
        <w:rPr>
          <w:rFonts w:ascii="Times New Roman" w:hAnsi="Times New Roman" w:cs="Times New Roman"/>
        </w:rPr>
        <w:t>s</w:t>
      </w:r>
      <w:r w:rsidRPr="00CE04FC">
        <w:rPr>
          <w:rFonts w:ascii="Times New Roman" w:hAnsi="Times New Roman" w:cs="Times New Roman"/>
        </w:rPr>
        <w:t>ing carbon credits and minimi</w:t>
      </w:r>
      <w:r w:rsidR="00E00BD3" w:rsidRPr="00CE04FC">
        <w:rPr>
          <w:rFonts w:ascii="Times New Roman" w:hAnsi="Times New Roman" w:cs="Times New Roman"/>
        </w:rPr>
        <w:t>s</w:t>
      </w:r>
      <w:r w:rsidRPr="00CE04FC">
        <w:rPr>
          <w:rFonts w:ascii="Times New Roman" w:hAnsi="Times New Roman" w:cs="Times New Roman"/>
        </w:rPr>
        <w:t xml:space="preserve">ing environmental impact </w:t>
      </w:r>
      <w:r w:rsidR="004015F2" w:rsidRPr="00CE04FC">
        <w:rPr>
          <w:rFonts w:ascii="Times New Roman" w:hAnsi="Times New Roman" w:cs="Times New Roman"/>
        </w:rPr>
        <w:fldChar w:fldCharType="begin">
          <w:fldData xml:space="preserve">PEVuZE5vdGU+PENpdGU+PEF1dGhvcj5Xb288L0F1dGhvcj48WWVhcj4yMDIxPC9ZZWFyPjxSZWNO
dW0+Mjg1PC9SZWNOdW0+PERpc3BsYXlUZXh0PihDaGVuIGV0IGFsLiwgMjAyMjsgV29vIGV0IGFs
LiwgMjAyMSk8L0Rpc3BsYXlUZXh0PjxyZWNvcmQ+PHJlYy1udW1iZXI+Mjg1PC9yZWMtbnVtYmVy
Pjxmb3JlaWduLWtleXM+PGtleSBhcHA9IkVOIiBkYi1pZD0icHI1MHh3d2FkdHN0MjFlNXp4cXh4
eDJlMHZwcHpzMHp6ZnB6IiB0aW1lc3RhbXA9IjE3MTY4MzQ3MTciPjI4NTwva2V5PjwvZm9yZWln
bi1rZXlzPjxyZWYtdHlwZSBuYW1lPSJKb3VybmFsIEFydGljbGUiPjE3PC9yZWYtdHlwZT48Y29u
dHJpYnV0b3JzPjxhdXRob3JzPjxhdXRob3I+V29vLCBKdW5naG9vbjwvYXV0aG9yPjxhdXRob3I+
RmF0aW1hLCBSaWRhaDwvYXV0aG9yPjxhdXRob3I+S2liZXJ0LCBDaGFybGVzIEouPC9hdXRob3I+
PGF1dGhvcj5OZXdtYW4sIFJpY2hhcmQgRS48L2F1dGhvcj48YXV0aG9yPlRpYW4sIFlpZmVuZzwv
YXV0aG9yPjxhdXRob3I+U3Jpbml2YXNhbiwgUmF2aSBTLjwvYXV0aG9yPjwvYXV0aG9ycz48L2Nv
bnRyaWJ1dG9ycz48dGl0bGVzPjx0aXRsZT5BcHBseWluZyBibG9ja2NoYWluIHRlY2hub2xvZ3kg
Zm9yIGJ1aWxkaW5nIGVuZXJneSBwZXJmb3JtYW5jZSBtZWFzdXJlbWVudCwgcmVwb3J0aW5nLCBh
bmQgdmVyaWZpY2F0aW9uIChNUlYpIGFuZCB0aGUgY2FyYm9uIGNyZWRpdCBtYXJrZXQ6IEEgcmV2
aWV3IG9mIHRoZSBsaXRlcmF0dXJlPC90aXRsZT48c2Vjb25kYXJ5LXRpdGxlPkJ1aWxkaW5nIGFu
ZCBFbnZpcm9ubWVudDwvc2Vjb25kYXJ5LXRpdGxlPjwvdGl0bGVzPjxwZXJpb2RpY2FsPjxmdWxs
LXRpdGxlPkJ1aWxkaW5nIGFuZCBFbnZpcm9ubWVudDwvZnVsbC10aXRsZT48L3BlcmlvZGljYWw+
PHBhZ2VzPjEwODE5OTwvcGFnZXM+PHZvbHVtZT4yMDU8L3ZvbHVtZT48a2V5d29yZHM+PGtleXdv
cmQ+QnVpbGRpbmcgZW5lcmd5IHBlcmZvcm1hbmNlIChCRVApPC9rZXl3b3JkPjxrZXl3b3JkPk1l
YXN1cmVtZW50PC9rZXl3b3JkPjxrZXl3b3JkPlJlcG9ydGluZyBhbmQgdmVyaWZpY2F0aW9uIChN
UlYpPC9rZXl3b3JkPjxrZXl3b3JkPkNhcmJvbiBjcmVkaXQ8L2tleXdvcmQ+PGtleXdvcmQ+Qmxv
Y2tjaGFpbjwva2V5d29yZD48a2V5d29yZD5CbG9ja2NoYWluIGRpZ2l0YWwgTVJWPC9rZXl3b3Jk
Pjwva2V5d29yZHM+PGRhdGVzPjx5ZWFyPjIwMjE8L3llYXI+PHB1Yi1kYXRlcz48ZGF0ZT4yMDIx
LzExLzAxLzwvZGF0ZT48L3B1Yi1kYXRlcz48L2RhdGVzPjxpc2JuPjAzNjAtMTMyMzwvaXNibj48
dXJscz48cmVsYXRlZC11cmxzPjx1cmw+aHR0cHM6Ly93d3cuc2NpZW5jZWRpcmVjdC5jb20vc2Np
ZW5jZS9hcnRpY2xlL3BpaS9TMDM2MDEzMjMyMTAwNjAwNDwvdXJsPjwvcmVsYXRlZC11cmxzPjwv
dXJscz48ZWxlY3Ryb25pYy1yZXNvdXJjZS1udW0+aHR0cHM6Ly9kb2kub3JnLzEwLjEwMTYvai5i
dWlsZGVudi4yMDIxLjEwODE5OTwvZWxlY3Ryb25pYy1yZXNvdXJjZS1udW0+PC9yZWNvcmQ+PC9D
aXRlPjxDaXRlPjxBdXRob3I+Q2hlbjwvQXV0aG9yPjxZZWFyPjIwMjI8L1llYXI+PFJlY051bT4y
ODY8L1JlY051bT48cmVjb3JkPjxyZWMtbnVtYmVyPjI4NjwvcmVjLW51bWJlcj48Zm9yZWlnbi1r
ZXlzPjxrZXkgYXBwPSJFTiIgZGItaWQ9InByNTB4d3dhZHRzdDIxZTV6eHF4eHgyZTB2cHB6czB6
emZweiIgdGltZXN0YW1wPSIxNzE2ODM2MzY4Ij4yODY8L2tleT48L2ZvcmVpZ24ta2V5cz48cmVm
LXR5cGUgbmFtZT0iSm91cm5hbCBBcnRpY2xlIj4xNzwvcmVmLXR5cGU+PGNvbnRyaWJ1dG9ycz48
YXV0aG9ycz48YXV0aG9yPkNoZW4sIFpoaWdhbmc8L2F1dGhvcj48YXV0aG9yPlpoYW5nLCBZdXFp
PC9hdXRob3I+PGF1dGhvcj5XYW5nLCBIYWlzZW48L2F1dGhvcj48YXV0aG9yPk91eWFuZywgWGlh
bzwvYXV0aG9yPjxhdXRob3I+WGllLCBZdXhpPC9hdXRob3I+PC9hdXRob3JzPjwvY29udHJpYnV0
b3JzPjx0aXRsZXM+PHRpdGxlPkNhbiBncmVlbiBjcmVkaXQgcG9saWN5IHByb21vdGUgbG93LWNh
cmJvbiB0ZWNobm9sb2d5IGlubm92YXRpb24/PC90aXRsZT48c2Vjb25kYXJ5LXRpdGxlPkpvdXJu
YWwgb2YgY2xlYW5lciBwcm9kdWN0aW9uPC9zZWNvbmRhcnktdGl0bGU+PC90aXRsZXM+PHBlcmlv
ZGljYWw+PGZ1bGwtdGl0bGU+Sm91cm5hbCBvZiBDbGVhbmVyIFByb2R1Y3Rpb248L2Z1bGwtdGl0
bGU+PC9wZXJpb2RpY2FsPjxwYWdlcz4xMzIwNjE8L3BhZ2VzPjx2b2x1bWU+MzU5PC92b2x1bWU+
PGRhdGVzPjx5ZWFyPjIwMjI8L3llYXI+PC9kYXRlcz48aXNibj4wOTU5LTY1MjY8L2lzYm4+PHVy
bHM+PC91cmxzPjwvcmVjb3JkPjwvQ2l0ZT48L0VuZE5vdGU+AG==
</w:fldData>
        </w:fldChar>
      </w:r>
      <w:r w:rsidR="004015F2" w:rsidRPr="00CE04FC">
        <w:rPr>
          <w:rFonts w:ascii="Times New Roman" w:hAnsi="Times New Roman" w:cs="Times New Roman"/>
        </w:rPr>
        <w:instrText xml:space="preserve"> ADDIN EN.CITE </w:instrText>
      </w:r>
      <w:r w:rsidR="004015F2" w:rsidRPr="00CE04FC">
        <w:rPr>
          <w:rFonts w:ascii="Times New Roman" w:hAnsi="Times New Roman" w:cs="Times New Roman"/>
        </w:rPr>
        <w:fldChar w:fldCharType="begin">
          <w:fldData xml:space="preserve">PEVuZE5vdGU+PENpdGU+PEF1dGhvcj5Xb288L0F1dGhvcj48WWVhcj4yMDIxPC9ZZWFyPjxSZWNO
dW0+Mjg1PC9SZWNOdW0+PERpc3BsYXlUZXh0PihDaGVuIGV0IGFsLiwgMjAyMjsgV29vIGV0IGFs
LiwgMjAyMSk8L0Rpc3BsYXlUZXh0PjxyZWNvcmQ+PHJlYy1udW1iZXI+Mjg1PC9yZWMtbnVtYmVy
Pjxmb3JlaWduLWtleXM+PGtleSBhcHA9IkVOIiBkYi1pZD0icHI1MHh3d2FkdHN0MjFlNXp4cXh4
eDJlMHZwcHpzMHp6ZnB6IiB0aW1lc3RhbXA9IjE3MTY4MzQ3MTciPjI4NTwva2V5PjwvZm9yZWln
bi1rZXlzPjxyZWYtdHlwZSBuYW1lPSJKb3VybmFsIEFydGljbGUiPjE3PC9yZWYtdHlwZT48Y29u
dHJpYnV0b3JzPjxhdXRob3JzPjxhdXRob3I+V29vLCBKdW5naG9vbjwvYXV0aG9yPjxhdXRob3I+
RmF0aW1hLCBSaWRhaDwvYXV0aG9yPjxhdXRob3I+S2liZXJ0LCBDaGFybGVzIEouPC9hdXRob3I+
PGF1dGhvcj5OZXdtYW4sIFJpY2hhcmQgRS48L2F1dGhvcj48YXV0aG9yPlRpYW4sIFlpZmVuZzwv
YXV0aG9yPjxhdXRob3I+U3Jpbml2YXNhbiwgUmF2aSBTLjwvYXV0aG9yPjwvYXV0aG9ycz48L2Nv
bnRyaWJ1dG9ycz48dGl0bGVzPjx0aXRsZT5BcHBseWluZyBibG9ja2NoYWluIHRlY2hub2xvZ3kg
Zm9yIGJ1aWxkaW5nIGVuZXJneSBwZXJmb3JtYW5jZSBtZWFzdXJlbWVudCwgcmVwb3J0aW5nLCBh
bmQgdmVyaWZpY2F0aW9uIChNUlYpIGFuZCB0aGUgY2FyYm9uIGNyZWRpdCBtYXJrZXQ6IEEgcmV2
aWV3IG9mIHRoZSBsaXRlcmF0dXJlPC90aXRsZT48c2Vjb25kYXJ5LXRpdGxlPkJ1aWxkaW5nIGFu
ZCBFbnZpcm9ubWVudDwvc2Vjb25kYXJ5LXRpdGxlPjwvdGl0bGVzPjxwZXJpb2RpY2FsPjxmdWxs
LXRpdGxlPkJ1aWxkaW5nIGFuZCBFbnZpcm9ubWVudDwvZnVsbC10aXRsZT48L3BlcmlvZGljYWw+
PHBhZ2VzPjEwODE5OTwvcGFnZXM+PHZvbHVtZT4yMDU8L3ZvbHVtZT48a2V5d29yZHM+PGtleXdv
cmQ+QnVpbGRpbmcgZW5lcmd5IHBlcmZvcm1hbmNlIChCRVApPC9rZXl3b3JkPjxrZXl3b3JkPk1l
YXN1cmVtZW50PC9rZXl3b3JkPjxrZXl3b3JkPlJlcG9ydGluZyBhbmQgdmVyaWZpY2F0aW9uIChN
UlYpPC9rZXl3b3JkPjxrZXl3b3JkPkNhcmJvbiBjcmVkaXQ8L2tleXdvcmQ+PGtleXdvcmQ+Qmxv
Y2tjaGFpbjwva2V5d29yZD48a2V5d29yZD5CbG9ja2NoYWluIGRpZ2l0YWwgTVJWPC9rZXl3b3Jk
Pjwva2V5d29yZHM+PGRhdGVzPjx5ZWFyPjIwMjE8L3llYXI+PHB1Yi1kYXRlcz48ZGF0ZT4yMDIx
LzExLzAxLzwvZGF0ZT48L3B1Yi1kYXRlcz48L2RhdGVzPjxpc2JuPjAzNjAtMTMyMzwvaXNibj48
dXJscz48cmVsYXRlZC11cmxzPjx1cmw+aHR0cHM6Ly93d3cuc2NpZW5jZWRpcmVjdC5jb20vc2Np
ZW5jZS9hcnRpY2xlL3BpaS9TMDM2MDEzMjMyMTAwNjAwNDwvdXJsPjwvcmVsYXRlZC11cmxzPjwv
dXJscz48ZWxlY3Ryb25pYy1yZXNvdXJjZS1udW0+aHR0cHM6Ly9kb2kub3JnLzEwLjEwMTYvai5i
dWlsZGVudi4yMDIxLjEwODE5OTwvZWxlY3Ryb25pYy1yZXNvdXJjZS1udW0+PC9yZWNvcmQ+PC9D
aXRlPjxDaXRlPjxBdXRob3I+Q2hlbjwvQXV0aG9yPjxZZWFyPjIwMjI8L1llYXI+PFJlY051bT4y
ODY8L1JlY051bT48cmVjb3JkPjxyZWMtbnVtYmVyPjI4NjwvcmVjLW51bWJlcj48Zm9yZWlnbi1r
ZXlzPjxrZXkgYXBwPSJFTiIgZGItaWQ9InByNTB4d3dhZHRzdDIxZTV6eHF4eHgyZTB2cHB6czB6
emZweiIgdGltZXN0YW1wPSIxNzE2ODM2MzY4Ij4yODY8L2tleT48L2ZvcmVpZ24ta2V5cz48cmVm
LXR5cGUgbmFtZT0iSm91cm5hbCBBcnRpY2xlIj4xNzwvcmVmLXR5cGU+PGNvbnRyaWJ1dG9ycz48
YXV0aG9ycz48YXV0aG9yPkNoZW4sIFpoaWdhbmc8L2F1dGhvcj48YXV0aG9yPlpoYW5nLCBZdXFp
PC9hdXRob3I+PGF1dGhvcj5XYW5nLCBIYWlzZW48L2F1dGhvcj48YXV0aG9yPk91eWFuZywgWGlh
bzwvYXV0aG9yPjxhdXRob3I+WGllLCBZdXhpPC9hdXRob3I+PC9hdXRob3JzPjwvY29udHJpYnV0
b3JzPjx0aXRsZXM+PHRpdGxlPkNhbiBncmVlbiBjcmVkaXQgcG9saWN5IHByb21vdGUgbG93LWNh
cmJvbiB0ZWNobm9sb2d5IGlubm92YXRpb24/PC90aXRsZT48c2Vjb25kYXJ5LXRpdGxlPkpvdXJu
YWwgb2YgY2xlYW5lciBwcm9kdWN0aW9uPC9zZWNvbmRhcnktdGl0bGU+PC90aXRsZXM+PHBlcmlv
ZGljYWw+PGZ1bGwtdGl0bGU+Sm91cm5hbCBvZiBDbGVhbmVyIFByb2R1Y3Rpb248L2Z1bGwtdGl0
bGU+PC9wZXJpb2RpY2FsPjxwYWdlcz4xMzIwNjE8L3BhZ2VzPjx2b2x1bWU+MzU5PC92b2x1bWU+
PGRhdGVzPjx5ZWFyPjIwMjI8L3llYXI+PC9kYXRlcz48aXNibj4wOTU5LTY1MjY8L2lzYm4+PHVy
bHM+PC91cmxzPjwvcmVjb3JkPjwvQ2l0ZT48L0VuZE5vdGU+AG==
</w:fldData>
        </w:fldChar>
      </w:r>
      <w:r w:rsidR="004015F2" w:rsidRPr="00CE04FC">
        <w:rPr>
          <w:rFonts w:ascii="Times New Roman" w:hAnsi="Times New Roman" w:cs="Times New Roman"/>
        </w:rPr>
        <w:instrText xml:space="preserve"> ADDIN EN.CITE.DATA </w:instrText>
      </w:r>
      <w:r w:rsidR="004015F2" w:rsidRPr="00CE04FC">
        <w:rPr>
          <w:rFonts w:ascii="Times New Roman" w:hAnsi="Times New Roman" w:cs="Times New Roman"/>
        </w:rPr>
      </w:r>
      <w:r w:rsidR="004015F2" w:rsidRPr="00CE04FC">
        <w:rPr>
          <w:rFonts w:ascii="Times New Roman" w:hAnsi="Times New Roman" w:cs="Times New Roman"/>
        </w:rPr>
        <w:fldChar w:fldCharType="end"/>
      </w:r>
      <w:r w:rsidR="004015F2" w:rsidRPr="00CE04FC">
        <w:rPr>
          <w:rFonts w:ascii="Times New Roman" w:hAnsi="Times New Roman" w:cs="Times New Roman"/>
        </w:rPr>
      </w:r>
      <w:r w:rsidR="004015F2" w:rsidRPr="00CE04FC">
        <w:rPr>
          <w:rFonts w:ascii="Times New Roman" w:hAnsi="Times New Roman" w:cs="Times New Roman"/>
        </w:rPr>
        <w:fldChar w:fldCharType="separate"/>
      </w:r>
      <w:r w:rsidR="004015F2" w:rsidRPr="00CE04FC">
        <w:rPr>
          <w:rFonts w:ascii="Times New Roman" w:hAnsi="Times New Roman" w:cs="Times New Roman"/>
          <w:noProof/>
        </w:rPr>
        <w:t>(Chen et al., 2022; Woo et al., 2021)</w:t>
      </w:r>
      <w:r w:rsidR="004015F2" w:rsidRPr="00CE04FC">
        <w:rPr>
          <w:rFonts w:ascii="Times New Roman" w:hAnsi="Times New Roman" w:cs="Times New Roman"/>
        </w:rPr>
        <w:fldChar w:fldCharType="end"/>
      </w:r>
      <w:r w:rsidRPr="00CE04FC">
        <w:rPr>
          <w:rFonts w:ascii="Times New Roman" w:hAnsi="Times New Roman" w:cs="Times New Roman"/>
        </w:rPr>
        <w:t>, emphasi</w:t>
      </w:r>
      <w:r w:rsidR="00E00BD3" w:rsidRPr="00CE04FC">
        <w:rPr>
          <w:rFonts w:ascii="Times New Roman" w:hAnsi="Times New Roman" w:cs="Times New Roman"/>
        </w:rPr>
        <w:t>s</w:t>
      </w:r>
      <w:r w:rsidRPr="00CE04FC">
        <w:rPr>
          <w:rFonts w:ascii="Times New Roman" w:hAnsi="Times New Roman" w:cs="Times New Roman"/>
        </w:rPr>
        <w:t>ing the need to address uncertainties for optimi</w:t>
      </w:r>
      <w:r w:rsidR="00E00BD3" w:rsidRPr="00CE04FC">
        <w:rPr>
          <w:rFonts w:ascii="Times New Roman" w:hAnsi="Times New Roman" w:cs="Times New Roman"/>
        </w:rPr>
        <w:t>s</w:t>
      </w:r>
      <w:r w:rsidRPr="00CE04FC">
        <w:rPr>
          <w:rFonts w:ascii="Times New Roman" w:hAnsi="Times New Roman" w:cs="Times New Roman"/>
        </w:rPr>
        <w:t>ing the system's sustainability performance.</w:t>
      </w:r>
    </w:p>
    <w:p w14:paraId="1D31F40C" w14:textId="73DA58E9" w:rsidR="00460459" w:rsidRPr="00CE04FC" w:rsidRDefault="002A70A3" w:rsidP="008D7A57">
      <w:pPr>
        <w:spacing w:line="240" w:lineRule="auto"/>
        <w:jc w:val="both"/>
        <w:rPr>
          <w:rFonts w:ascii="Times New Roman" w:hAnsi="Times New Roman" w:cs="Times New Roman"/>
        </w:rPr>
      </w:pPr>
      <w:r w:rsidRPr="00CE04FC">
        <w:rPr>
          <w:rFonts w:ascii="Times New Roman" w:hAnsi="Times New Roman" w:cs="Times New Roman"/>
        </w:rPr>
        <w:t>It should be noted that the current</w:t>
      </w:r>
      <w:r w:rsidR="00912F6B" w:rsidRPr="00CE04FC">
        <w:rPr>
          <w:rFonts w:ascii="Times New Roman" w:hAnsi="Times New Roman" w:cs="Times New Roman"/>
        </w:rPr>
        <w:t xml:space="preserve"> environmental assessment focuses on avoided operational carbon emissions under uncertainty. Embodied carbon from infrastructure and system components is assumed fixed and excluded, so the results reflect changes in emission reduction potential due to operational variability rather than the total lifecycle footprint.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E04FC" w:rsidRPr="00CE04FC" w14:paraId="35511ABF" w14:textId="77777777" w:rsidTr="007D40E1">
        <w:tc>
          <w:tcPr>
            <w:tcW w:w="9016" w:type="dxa"/>
          </w:tcPr>
          <w:p w14:paraId="5BAA74D6" w14:textId="10E20377" w:rsidR="00D75860" w:rsidRPr="00CE04FC" w:rsidRDefault="008C24A4" w:rsidP="004608F1">
            <w:pPr>
              <w:spacing w:before="240"/>
              <w:jc w:val="center"/>
              <w:rPr>
                <w:rFonts w:ascii="Times New Roman" w:hAnsi="Times New Roman" w:cs="Times New Roman"/>
              </w:rPr>
            </w:pPr>
            <w:r w:rsidRPr="00CE04FC">
              <w:rPr>
                <w:noProof/>
              </w:rPr>
              <w:drawing>
                <wp:inline distT="0" distB="0" distL="0" distR="0" wp14:anchorId="49AB9986" wp14:editId="22ABA603">
                  <wp:extent cx="3655452" cy="2402541"/>
                  <wp:effectExtent l="0" t="0" r="2540" b="0"/>
                  <wp:docPr id="781388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88756" name=""/>
                          <pic:cNvPicPr/>
                        </pic:nvPicPr>
                        <pic:blipFill>
                          <a:blip r:embed="rId34"/>
                          <a:stretch>
                            <a:fillRect/>
                          </a:stretch>
                        </pic:blipFill>
                        <pic:spPr>
                          <a:xfrm>
                            <a:off x="0" y="0"/>
                            <a:ext cx="3671457" cy="2413060"/>
                          </a:xfrm>
                          <a:prstGeom prst="rect">
                            <a:avLst/>
                          </a:prstGeom>
                        </pic:spPr>
                      </pic:pic>
                    </a:graphicData>
                  </a:graphic>
                </wp:inline>
              </w:drawing>
            </w:r>
          </w:p>
        </w:tc>
      </w:tr>
      <w:tr w:rsidR="00CE04FC" w:rsidRPr="00CE04FC" w14:paraId="43216B92" w14:textId="77777777" w:rsidTr="007D40E1">
        <w:tc>
          <w:tcPr>
            <w:tcW w:w="9016" w:type="dxa"/>
          </w:tcPr>
          <w:p w14:paraId="037BE589" w14:textId="1033394E" w:rsidR="00D75860" w:rsidRPr="00CE04FC" w:rsidRDefault="00D75860" w:rsidP="00D75860">
            <w:pPr>
              <w:spacing w:after="200"/>
              <w:jc w:val="center"/>
              <w:rPr>
                <w:rFonts w:ascii="Times New Roman" w:hAnsi="Times New Roman" w:cs="Times New Roman"/>
              </w:rPr>
            </w:pPr>
            <w:bookmarkStart w:id="29" w:name="_Ref186976643"/>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14</w:t>
            </w:r>
            <w:r w:rsidRPr="00CE04FC">
              <w:rPr>
                <w:rFonts w:ascii="Times New Roman" w:hAnsi="Times New Roman" w:cs="Times New Roman"/>
              </w:rPr>
              <w:fldChar w:fldCharType="end"/>
            </w:r>
            <w:bookmarkEnd w:id="29"/>
            <w:r w:rsidRPr="00CE04FC">
              <w:rPr>
                <w:rFonts w:ascii="Times New Roman" w:hAnsi="Times New Roman" w:cs="Times New Roman"/>
              </w:rPr>
              <w:t xml:space="preserve"> Variation in GHG emission </w:t>
            </w:r>
            <w:r w:rsidR="0081193F" w:rsidRPr="00CE04FC">
              <w:rPr>
                <w:rFonts w:ascii="Times New Roman" w:hAnsi="Times New Roman" w:cs="Times New Roman"/>
              </w:rPr>
              <w:t>avoided</w:t>
            </w:r>
            <w:r w:rsidRPr="00CE04FC">
              <w:rPr>
                <w:rFonts w:ascii="Times New Roman" w:hAnsi="Times New Roman" w:cs="Times New Roman"/>
              </w:rPr>
              <w:t xml:space="preserve"> due to uncertainties in hybridised ammonia production system</w:t>
            </w:r>
            <w:r w:rsidR="00B232C9" w:rsidRPr="00CE04FC">
              <w:rPr>
                <w:rFonts w:ascii="Times New Roman" w:hAnsi="Times New Roman" w:cs="Times New Roman"/>
              </w:rPr>
              <w:t xml:space="preserve"> for </w:t>
            </w:r>
            <w:r w:rsidR="007B417D" w:rsidRPr="00CE04FC">
              <w:rPr>
                <w:rFonts w:ascii="Times New Roman" w:hAnsi="Times New Roman" w:cs="Times New Roman"/>
              </w:rPr>
              <w:t xml:space="preserve">different values of the </w:t>
            </w:r>
            <w:r w:rsidR="00B232C9" w:rsidRPr="00CE04FC">
              <w:rPr>
                <w:rFonts w:ascii="Times New Roman" w:hAnsi="Times New Roman" w:cs="Times New Roman"/>
              </w:rPr>
              <w:t>nominal power input</w:t>
            </w:r>
            <w:r w:rsidR="0061514F" w:rsidRPr="00CE04FC">
              <w:rPr>
                <w:rFonts w:ascii="Times New Roman" w:hAnsi="Times New Roman" w:cs="Times New Roman"/>
              </w:rPr>
              <w:t>.</w:t>
            </w:r>
          </w:p>
        </w:tc>
      </w:tr>
    </w:tbl>
    <w:p w14:paraId="4C899C2B" w14:textId="016379E9" w:rsidR="00B64CB2" w:rsidRPr="00CE04FC" w:rsidRDefault="00D75860" w:rsidP="00B64CB2">
      <w:pPr>
        <w:spacing w:line="276" w:lineRule="auto"/>
        <w:jc w:val="both"/>
        <w:rPr>
          <w:rFonts w:ascii="Times New Roman" w:hAnsi="Times New Roman" w:cs="Times New Roman"/>
        </w:rPr>
      </w:pPr>
      <w:r w:rsidRPr="00CE04FC">
        <w:rPr>
          <w:rFonts w:ascii="Times New Roman" w:hAnsi="Times New Roman" w:cs="Times New Roman"/>
        </w:rPr>
        <w:t>In</w:t>
      </w:r>
      <w:r w:rsidR="003C05C0" w:rsidRPr="00CE04FC">
        <w:rPr>
          <w:rFonts w:ascii="Times New Roman" w:hAnsi="Times New Roman" w:cs="Times New Roman"/>
        </w:rPr>
        <w:t xml:space="preserve"> </w:t>
      </w:r>
      <w:r w:rsidR="003C05C0" w:rsidRPr="00CE04FC">
        <w:rPr>
          <w:rFonts w:ascii="Times New Roman" w:hAnsi="Times New Roman" w:cs="Times New Roman"/>
        </w:rPr>
        <w:fldChar w:fldCharType="begin"/>
      </w:r>
      <w:r w:rsidR="003C05C0" w:rsidRPr="00CE04FC">
        <w:rPr>
          <w:rFonts w:ascii="Times New Roman" w:hAnsi="Times New Roman" w:cs="Times New Roman"/>
        </w:rPr>
        <w:instrText xml:space="preserve"> REF _Ref186979278 \h  \* MERGEFORMAT </w:instrText>
      </w:r>
      <w:r w:rsidR="003C05C0" w:rsidRPr="00CE04FC">
        <w:rPr>
          <w:rFonts w:ascii="Times New Roman" w:hAnsi="Times New Roman" w:cs="Times New Roman"/>
        </w:rPr>
      </w:r>
      <w:r w:rsidR="003C05C0" w:rsidRPr="00CE04FC">
        <w:rPr>
          <w:rFonts w:ascii="Times New Roman" w:hAnsi="Times New Roman" w:cs="Times New Roman"/>
        </w:rPr>
        <w:fldChar w:fldCharType="separate"/>
      </w:r>
      <w:r w:rsidR="001476C8" w:rsidRPr="00CE04FC">
        <w:rPr>
          <w:rFonts w:ascii="Times New Roman" w:hAnsi="Times New Roman" w:cs="Times New Roman"/>
        </w:rPr>
        <w:t>Figure 15</w:t>
      </w:r>
      <w:r w:rsidR="003C05C0" w:rsidRPr="00CE04FC">
        <w:rPr>
          <w:rFonts w:ascii="Times New Roman" w:hAnsi="Times New Roman" w:cs="Times New Roman"/>
        </w:rPr>
        <w:fldChar w:fldCharType="end"/>
      </w:r>
      <w:r w:rsidR="003C05C0" w:rsidRPr="00CE04FC">
        <w:rPr>
          <w:rFonts w:ascii="Times New Roman" w:hAnsi="Times New Roman" w:cs="Times New Roman"/>
        </w:rPr>
        <w:t>,</w:t>
      </w:r>
      <w:r w:rsidRPr="00CE04FC">
        <w:rPr>
          <w:rFonts w:ascii="Times New Roman" w:hAnsi="Times New Roman" w:cs="Times New Roman"/>
        </w:rPr>
        <w:t xml:space="preserve"> the overview of the </w:t>
      </w:r>
      <w:r w:rsidR="00327706" w:rsidRPr="00CE04FC">
        <w:rPr>
          <w:rFonts w:ascii="Times New Roman" w:hAnsi="Times New Roman" w:cs="Times New Roman"/>
        </w:rPr>
        <w:t>variation</w:t>
      </w:r>
      <w:r w:rsidRPr="00CE04FC">
        <w:rPr>
          <w:rFonts w:ascii="Times New Roman" w:hAnsi="Times New Roman" w:cs="Times New Roman"/>
        </w:rPr>
        <w:t xml:space="preserve"> in the annual revenue due to the uncertainties in</w:t>
      </w:r>
      <w:r w:rsidR="00360877" w:rsidRPr="00CE04FC">
        <w:rPr>
          <w:rFonts w:ascii="Times New Roman" w:hAnsi="Times New Roman" w:cs="Times New Roman"/>
        </w:rPr>
        <w:t xml:space="preserve"> </w:t>
      </w:r>
      <w:r w:rsidRPr="00CE04FC">
        <w:rPr>
          <w:rFonts w:ascii="Times New Roman" w:hAnsi="Times New Roman" w:cs="Times New Roman"/>
        </w:rPr>
        <w:t>hybridised ammonia production systems</w:t>
      </w:r>
      <w:r w:rsidR="00360877" w:rsidRPr="00CE04FC">
        <w:rPr>
          <w:rFonts w:ascii="Times New Roman" w:hAnsi="Times New Roman" w:cs="Times New Roman"/>
        </w:rPr>
        <w:t xml:space="preserve"> for nominal power inputs</w:t>
      </w:r>
      <w:r w:rsidRPr="00CE04FC">
        <w:rPr>
          <w:rFonts w:ascii="Times New Roman" w:hAnsi="Times New Roman" w:cs="Times New Roman"/>
        </w:rPr>
        <w:t xml:space="preserve"> is </w:t>
      </w:r>
      <w:r w:rsidR="006F2195" w:rsidRPr="00CE04FC">
        <w:rPr>
          <w:rFonts w:ascii="Times New Roman" w:hAnsi="Times New Roman" w:cs="Times New Roman"/>
        </w:rPr>
        <w:t>illustrated</w:t>
      </w:r>
      <w:r w:rsidRPr="00CE04FC">
        <w:rPr>
          <w:rFonts w:ascii="Times New Roman" w:hAnsi="Times New Roman" w:cs="Times New Roman"/>
        </w:rPr>
        <w:t xml:space="preserve">. The calculations and discussions of LCOA and the associated CAPEX and OPEX were reported in </w:t>
      </w:r>
      <w:r w:rsidR="00BF3014" w:rsidRPr="00CE04FC">
        <w:rPr>
          <w:rFonts w:ascii="Times New Roman" w:hAnsi="Times New Roman" w:cs="Times New Roman"/>
        </w:rPr>
        <w:t xml:space="preserve">a </w:t>
      </w:r>
      <w:r w:rsidR="005927BF" w:rsidRPr="00CE04FC">
        <w:rPr>
          <w:rFonts w:ascii="Times New Roman" w:hAnsi="Times New Roman" w:cs="Times New Roman"/>
        </w:rPr>
        <w:t>recent</w:t>
      </w:r>
      <w:r w:rsidRPr="00CE04FC">
        <w:rPr>
          <w:rFonts w:ascii="Times New Roman" w:hAnsi="Times New Roman" w:cs="Times New Roman"/>
        </w:rPr>
        <w:t xml:space="preserve"> study </w:t>
      </w:r>
      <w:r w:rsidRPr="00CE04FC">
        <w:rPr>
          <w:rFonts w:ascii="Times New Roman" w:hAnsi="Times New Roman" w:cs="Times New Roman"/>
        </w:rPr>
        <w:fldChar w:fldCharType="begin"/>
      </w:r>
      <w:r w:rsidR="007C272D" w:rsidRPr="00CE04FC">
        <w:rPr>
          <w:rFonts w:ascii="Times New Roman" w:hAnsi="Times New Roman" w:cs="Times New Roman"/>
        </w:rPr>
        <w:instrText xml:space="preserve"> ADDIN EN.CITE &lt;EndNote&gt;&lt;Cite&gt;&lt;Author&gt;Anwar&lt;/Author&gt;&lt;Year&gt;2024&lt;/Year&gt;&lt;RecNum&gt;15&lt;/RecNum&gt;&lt;DisplayText&gt;(Anwar et al., 2024)&lt;/DisplayText&gt;&lt;record&gt;&lt;rec-number&gt;15&lt;/rec-number&gt;&lt;foreign-keys&gt;&lt;key app="EN" db-id="0x0z5zxatzat9oe9027xea2pe2we5dee5dez" timestamp="1735837283"&gt;15&lt;/key&gt;&lt;/foreign-keys&gt;&lt;ref-type name="Journal Article"&gt;17&lt;/ref-type&gt;&lt;contributors&gt;&lt;authors&gt;&lt;author&gt;Anwar, Muzumil&lt;/author&gt;&lt;author&gt;Mehdizadeh, AmirFarhang&lt;/author&gt;&lt;author&gt;Karimi, Nader&lt;/author&gt;&lt;/authors&gt;&lt;/contributors&gt;&lt;titles&gt;&lt;title&gt;Waste heat recovery from a green ammonia production plant by Kalina and vapour absorption refrigeration cycles: A comparative energy, exergy, environmental and economic analysis&lt;/title&gt;&lt;secondary-title&gt;Sustainable Energy Technologies and Assessments&lt;/secondary-title&gt;&lt;/titles&gt;&lt;periodical&gt;&lt;full-title&gt;Sustainable Energy Technologies and Assessments&lt;/full-title&gt;&lt;/periodical&gt;&lt;pages&gt;103916&lt;/pages&gt;&lt;volume&gt;69&lt;/volume&gt;&lt;dates&gt;&lt;year&gt;2024&lt;/year&gt;&lt;/dates&gt;&lt;isbn&gt;2213-1388&lt;/isbn&gt;&lt;urls&gt;&lt;/urls&gt;&lt;/record&gt;&lt;/Cite&gt;&lt;/EndNote&gt;</w:instrText>
      </w:r>
      <w:r w:rsidRPr="00CE04FC">
        <w:rPr>
          <w:rFonts w:ascii="Times New Roman" w:hAnsi="Times New Roman" w:cs="Times New Roman"/>
        </w:rPr>
        <w:fldChar w:fldCharType="separate"/>
      </w:r>
      <w:r w:rsidR="00063EF7" w:rsidRPr="00CE04FC">
        <w:rPr>
          <w:rFonts w:ascii="Times New Roman" w:hAnsi="Times New Roman" w:cs="Times New Roman"/>
          <w:noProof/>
        </w:rPr>
        <w:t>(Anwar et al., 2024)</w:t>
      </w:r>
      <w:r w:rsidRPr="00CE04FC">
        <w:rPr>
          <w:rFonts w:ascii="Times New Roman" w:hAnsi="Times New Roman" w:cs="Times New Roman"/>
        </w:rPr>
        <w:fldChar w:fldCharType="end"/>
      </w:r>
      <w:r w:rsidRPr="00CE04FC">
        <w:rPr>
          <w:rFonts w:ascii="Times New Roman" w:hAnsi="Times New Roman" w:cs="Times New Roman"/>
        </w:rPr>
        <w:t xml:space="preserve">. </w:t>
      </w:r>
      <w:r w:rsidR="00F8036E" w:rsidRPr="00CE04FC">
        <w:rPr>
          <w:rFonts w:ascii="Times New Roman" w:hAnsi="Times New Roman" w:cs="Times New Roman"/>
        </w:rPr>
        <w:t>Th</w:t>
      </w:r>
      <w:r w:rsidR="00A60702" w:rsidRPr="00CE04FC">
        <w:rPr>
          <w:rFonts w:ascii="Times New Roman" w:hAnsi="Times New Roman" w:cs="Times New Roman"/>
        </w:rPr>
        <w:t xml:space="preserve">e LCOA for the HB </w:t>
      </w:r>
      <w:r w:rsidR="00AC4AAC" w:rsidRPr="00CE04FC">
        <w:rPr>
          <w:rFonts w:ascii="Times New Roman" w:hAnsi="Times New Roman" w:cs="Times New Roman"/>
        </w:rPr>
        <w:t>sub-</w:t>
      </w:r>
      <w:r w:rsidR="00A60702" w:rsidRPr="00CE04FC">
        <w:rPr>
          <w:rFonts w:ascii="Times New Roman" w:hAnsi="Times New Roman" w:cs="Times New Roman"/>
        </w:rPr>
        <w:t xml:space="preserve">system was determined to be 0.65 $/kg, aligning well with the literature-reported range of 0.58–1.2 $/kg </w:t>
      </w:r>
      <w:r w:rsidRPr="00CE04FC">
        <w:rPr>
          <w:rFonts w:ascii="Times New Roman" w:hAnsi="Times New Roman" w:cs="Times New Roman"/>
        </w:rPr>
        <w:fldChar w:fldCharType="begin"/>
      </w:r>
      <w:r w:rsidR="00B64CB2" w:rsidRPr="00CE04FC">
        <w:rPr>
          <w:rFonts w:ascii="Times New Roman" w:hAnsi="Times New Roman" w:cs="Times New Roman"/>
        </w:rPr>
        <w:instrText xml:space="preserve"> ADDIN EN.CITE &lt;EndNote&gt;&lt;Cite&gt;&lt;Author&gt;Nayak-Luke&lt;/Author&gt;&lt;Year&gt;2018&lt;/Year&gt;&lt;RecNum&gt;288&lt;/RecNum&gt;&lt;DisplayText&gt;(Nayak-Luke, Bañares-Alcántara, et al., 2018)&lt;/DisplayText&gt;&lt;record&gt;&lt;rec-number&gt;288&lt;/rec-number&gt;&lt;foreign-keys&gt;&lt;key app="EN" db-id="pr50xwwadtst21e5zxqxxx2e0vppzs0zzfpz" timestamp="1716992178"&gt;288&lt;/key&gt;&lt;/foreign-keys&gt;&lt;ref-type name="Journal Article"&gt;17&lt;/ref-type&gt;&lt;contributors&gt;&lt;authors&gt;&lt;author&gt;Nayak-Luke, Richard&lt;/author&gt;&lt;author&gt;Bañares-Alcántara, René&lt;/author&gt;&lt;author&gt;Wilkinson, Ian&lt;/author&gt;&lt;/authors&gt;&lt;/contributors&gt;&lt;titles&gt;&lt;title&gt;“Green” ammonia: impact of renewable energy intermittency on plant sizing and levelized cost of ammonia&lt;/title&gt;&lt;secondary-title&gt;Industrial &amp;amp; Engineering Chemistry Research&lt;/secondary-title&gt;&lt;/titles&gt;&lt;periodical&gt;&lt;full-title&gt;Industrial &amp;amp; Engineering Chemistry Research&lt;/full-title&gt;&lt;/periodical&gt;&lt;pages&gt;14607-14616&lt;/pages&gt;&lt;volume&gt;57&lt;/volume&gt;&lt;number&gt;43&lt;/number&gt;&lt;dates&gt;&lt;year&gt;2018&lt;/year&gt;&lt;/dates&gt;&lt;isbn&gt;0888-5885&lt;/isbn&gt;&lt;urls&gt;&lt;/urls&gt;&lt;/record&gt;&lt;/Cite&gt;&lt;/EndNote&gt;</w:instrText>
      </w:r>
      <w:r w:rsidRPr="00CE04FC">
        <w:rPr>
          <w:rFonts w:ascii="Times New Roman" w:hAnsi="Times New Roman" w:cs="Times New Roman"/>
        </w:rPr>
        <w:fldChar w:fldCharType="separate"/>
      </w:r>
      <w:r w:rsidR="00B64CB2" w:rsidRPr="00CE04FC">
        <w:rPr>
          <w:rFonts w:ascii="Times New Roman" w:hAnsi="Times New Roman" w:cs="Times New Roman"/>
          <w:noProof/>
        </w:rPr>
        <w:t>(Nayak-Luke, Bañares-Alcántara, et al., 2018)</w:t>
      </w:r>
      <w:r w:rsidRPr="00CE04FC">
        <w:rPr>
          <w:rFonts w:ascii="Times New Roman" w:hAnsi="Times New Roman" w:cs="Times New Roman"/>
        </w:rPr>
        <w:fldChar w:fldCharType="end"/>
      </w:r>
      <w:r w:rsidRPr="00CE04FC">
        <w:rPr>
          <w:rFonts w:ascii="Times New Roman" w:hAnsi="Times New Roman" w:cs="Times New Roman"/>
        </w:rPr>
        <w:t xml:space="preserve">. It was established from the previous study that the LCOA of HB </w:t>
      </w:r>
      <w:r w:rsidR="00AC4AAC" w:rsidRPr="00CE04FC">
        <w:rPr>
          <w:rFonts w:ascii="Times New Roman" w:hAnsi="Times New Roman" w:cs="Times New Roman"/>
        </w:rPr>
        <w:t>sub-</w:t>
      </w:r>
      <w:r w:rsidRPr="00CE04FC">
        <w:rPr>
          <w:rFonts w:ascii="Times New Roman" w:hAnsi="Times New Roman" w:cs="Times New Roman"/>
        </w:rPr>
        <w:t>system remains practically neutral when integrated with VARC,</w:t>
      </w:r>
      <w:r w:rsidR="00E35297" w:rsidRPr="00CE04FC">
        <w:rPr>
          <w:rFonts w:ascii="Times New Roman" w:hAnsi="Times New Roman" w:cs="Times New Roman"/>
        </w:rPr>
        <w:t xml:space="preserve"> this is </w:t>
      </w:r>
      <w:r w:rsidR="005C319D" w:rsidRPr="00CE04FC">
        <w:rPr>
          <w:rFonts w:ascii="Times New Roman" w:hAnsi="Times New Roman" w:cs="Times New Roman"/>
        </w:rPr>
        <w:t>due to the reason that</w:t>
      </w:r>
      <w:r w:rsidR="00E35297" w:rsidRPr="00CE04FC">
        <w:rPr>
          <w:rFonts w:ascii="Times New Roman" w:hAnsi="Times New Roman" w:cs="Times New Roman"/>
        </w:rPr>
        <w:t xml:space="preserve"> the extra installation </w:t>
      </w:r>
      <w:r w:rsidR="0095611B" w:rsidRPr="00CE04FC">
        <w:rPr>
          <w:rFonts w:ascii="Times New Roman" w:hAnsi="Times New Roman" w:cs="Times New Roman"/>
        </w:rPr>
        <w:t>overheads</w:t>
      </w:r>
      <w:r w:rsidR="00E35297" w:rsidRPr="00CE04FC">
        <w:rPr>
          <w:rFonts w:ascii="Times New Roman" w:hAnsi="Times New Roman" w:cs="Times New Roman"/>
        </w:rPr>
        <w:t xml:space="preserve"> of VARC were </w:t>
      </w:r>
      <w:r w:rsidR="003B1B0E" w:rsidRPr="00CE04FC">
        <w:rPr>
          <w:rFonts w:ascii="Times New Roman" w:hAnsi="Times New Roman" w:cs="Times New Roman"/>
        </w:rPr>
        <w:t>balanced</w:t>
      </w:r>
      <w:r w:rsidR="00E35297" w:rsidRPr="00CE04FC">
        <w:rPr>
          <w:rFonts w:ascii="Times New Roman" w:hAnsi="Times New Roman" w:cs="Times New Roman"/>
        </w:rPr>
        <w:t xml:space="preserve"> </w:t>
      </w:r>
      <w:r w:rsidR="0095611B" w:rsidRPr="00CE04FC">
        <w:rPr>
          <w:rFonts w:ascii="Times New Roman" w:hAnsi="Times New Roman" w:cs="Times New Roman"/>
        </w:rPr>
        <w:t>from</w:t>
      </w:r>
      <w:r w:rsidR="00E35297" w:rsidRPr="00CE04FC">
        <w:rPr>
          <w:rFonts w:ascii="Times New Roman" w:hAnsi="Times New Roman" w:cs="Times New Roman"/>
        </w:rPr>
        <w:t xml:space="preserve"> the savings achieved through the</w:t>
      </w:r>
      <w:r w:rsidR="0095611B" w:rsidRPr="00CE04FC">
        <w:rPr>
          <w:rFonts w:ascii="Times New Roman" w:hAnsi="Times New Roman" w:cs="Times New Roman"/>
        </w:rPr>
        <w:t xml:space="preserve"> produced</w:t>
      </w:r>
      <w:r w:rsidR="00E35297" w:rsidRPr="00CE04FC">
        <w:rPr>
          <w:rFonts w:ascii="Times New Roman" w:hAnsi="Times New Roman" w:cs="Times New Roman"/>
        </w:rPr>
        <w:t xml:space="preserve"> refrigeration</w:t>
      </w:r>
      <w:r w:rsidR="00B56468" w:rsidRPr="00CE04FC">
        <w:rPr>
          <w:rFonts w:ascii="Times New Roman" w:hAnsi="Times New Roman" w:cs="Times New Roman"/>
        </w:rPr>
        <w:t>.</w:t>
      </w:r>
      <w:r w:rsidRPr="00CE04FC">
        <w:rPr>
          <w:rFonts w:ascii="Times New Roman" w:hAnsi="Times New Roman" w:cs="Times New Roman"/>
        </w:rPr>
        <w:t xml:space="preserve"> </w:t>
      </w:r>
      <w:bookmarkStart w:id="30" w:name="_Ref168336366"/>
      <w:r w:rsidR="00BE09FD" w:rsidRPr="00CE04FC">
        <w:rPr>
          <w:rFonts w:ascii="Times New Roman" w:hAnsi="Times New Roman" w:cs="Times New Roman"/>
        </w:rPr>
        <w:t xml:space="preserve">The following </w:t>
      </w:r>
      <w:r w:rsidR="00C03649" w:rsidRPr="00CE04FC">
        <w:rPr>
          <w:rFonts w:ascii="Times New Roman" w:hAnsi="Times New Roman" w:cs="Times New Roman"/>
        </w:rPr>
        <w:t>Eq. (8)</w:t>
      </w:r>
      <w:r w:rsidR="00B64CB2" w:rsidRPr="00CE04FC">
        <w:rPr>
          <w:rFonts w:ascii="Times New Roman" w:hAnsi="Times New Roman" w:cs="Times New Roman"/>
        </w:rPr>
        <w:t xml:space="preserve"> </w:t>
      </w:r>
      <w:r w:rsidR="00BE09FD" w:rsidRPr="00CE04FC">
        <w:rPr>
          <w:rFonts w:ascii="Times New Roman" w:hAnsi="Times New Roman" w:cs="Times New Roman"/>
        </w:rPr>
        <w:t>presents the equation for</w:t>
      </w:r>
      <w:r w:rsidR="00B64CB2" w:rsidRPr="00CE04FC">
        <w:rPr>
          <w:rFonts w:ascii="Times New Roman" w:hAnsi="Times New Roman" w:cs="Times New Roman"/>
        </w:rPr>
        <w:t xml:space="preserve"> LCOA estimation </w:t>
      </w:r>
      <w:r w:rsidR="00B64CB2" w:rsidRPr="00CE04FC">
        <w:rPr>
          <w:rFonts w:ascii="Times New Roman" w:hAnsi="Times New Roman" w:cs="Times New Roman"/>
        </w:rPr>
        <w:fldChar w:fldCharType="begin">
          <w:fldData xml:space="preserve">PEVuZE5vdGU+PENpdGU+PEF1dGhvcj5Pc21hbjwvQXV0aG9yPjxZZWFyPjIwMjA8L1llYXI+PFJl
Y051bT4yNzc8L1JlY051bT48RGlzcGxheVRleHQ+KE5heWFrLUx1a2UsIEJhw7FhcmVzLUFsY8Oh
bnRhcmEsIGV0IGFsLiwgMjAxODsgT3NtYW4gZXQgYWwuLCAyMDIwKTwvRGlzcGxheVRleHQ+PHJl
Y29yZD48cmVjLW51bWJlcj4yNzc8L3JlYy1udW1iZXI+PGZvcmVpZ24ta2V5cz48a2V5IGFwcD0i
RU4iIGRiLWlkPSJwcjUweHd3YWR0c3QyMWU1enhxeHh4MmUwdnBwenMwenpmcHoiIHRpbWVzdGFt
cD0iMTcxNTgwNTc3NyI+Mjc3PC9rZXk+PC9mb3JlaWduLWtleXM+PHJlZi10eXBlIG5hbWU9Ikpv
dXJuYWwgQXJ0aWNsZSI+MTc8L3JlZi10eXBlPjxjb250cmlidXRvcnM+PGF1dGhvcnM+PGF1dGhv
cj5Pc21hbiwgT2xhPC9hdXRob3I+PGF1dGhvcj5TZ291cmlkaXMsIFNnb3VyaXM8L2F1dGhvcj48
YXV0aG9yPlNsZXB0Y2hlbmtvLCBBbmRyZWk8L2F1dGhvcj48L2F1dGhvcnM+PC9jb250cmlidXRv
cnM+PHRpdGxlcz48dGl0bGU+U2NhbGluZyB0aGUgcHJvZHVjdGlvbiBvZiByZW5ld2FibGUgYW1t
b25pYTogQSB0ZWNobm8tZWNvbm9taWMgb3B0aW1pemF0aW9uIGFwcGxpZWQgaW4gcmVnaW9ucyB3
aXRoIGhpZ2ggaW5zb2xhdGlvbjwvdGl0bGU+PHNlY29uZGFyeS10aXRsZT5Kb3VybmFsIG9mIGNs
ZWFuZXIgcHJvZHVjdGlvbjwvc2Vjb25kYXJ5LXRpdGxlPjwvdGl0bGVzPjxwZXJpb2RpY2FsPjxm
dWxsLXRpdGxlPkpvdXJuYWwgb2YgQ2xlYW5lciBQcm9kdWN0aW9uPC9mdWxsLXRpdGxlPjwvcGVy
aW9kaWNhbD48cGFnZXM+MTIxNjI3PC9wYWdlcz48dm9sdW1lPjI3MTwvdm9sdW1lPjxkYXRlcz48
eWVhcj4yMDIwPC95ZWFyPjwvZGF0ZXM+PGlzYm4+MDk1OS02NTI2PC9pc2JuPjx1cmxzPjwvdXJs
cz48L3JlY29yZD48L0NpdGU+PENpdGU+PEF1dGhvcj5OYXlhay1MdWtlPC9BdXRob3I+PFllYXI+
MjAxODwvWWVhcj48UmVjTnVtPjI3NjwvUmVjTnVtPjxyZWNvcmQ+PHJlYy1udW1iZXI+Mjc2PC9y
ZWMtbnVtYmVyPjxmb3JlaWduLWtleXM+PGtleSBhcHA9IkVOIiBkYi1pZD0icHI1MHh3d2FkdHN0
MjFlNXp4cXh4eDJlMHZwcHpzMHp6ZnB6IiB0aW1lc3RhbXA9IjE3MTU4MDUwNzgiPjI3Njwva2V5
PjwvZm9yZWlnbi1rZXlzPjxyZWYtdHlwZSBuYW1lPSJKb3VybmFsIEFydGljbGUiPjE3PC9yZWYt
dHlwZT48Y29udHJpYnV0b3JzPjxhdXRob3JzPjxhdXRob3I+TmF5YWstTHVrZSwgUmljaGFyZDwv
YXV0aG9yPjxhdXRob3I+QmHDsWFyZXMtQWxjw6FudGFyYSwgUmVuw6k8L2F1dGhvcj48YXV0aG9y
PldpbGtpbnNvbiwgSWFuPC9hdXRob3I+PC9hdXRob3JzPjwvY29udHJpYnV0b3JzPjx0aXRsZXM+
PHRpdGxlPuKAnEdyZWVu4oCdIEFtbW9uaWE6IEltcGFjdCBvZiBSZW5ld2FibGUgRW5lcmd5IElu
dGVybWl0dGVuY3kgb24gUGxhbnQgU2l6aW5nIGFuZCBMZXZlbGl6ZWQgQ29zdCBvZiBBbW1vbmlh
PC90aXRsZT48c2Vjb25kYXJ5LXRpdGxlPkluZHVzdHJpYWwgJmFtcDsgRW5naW5lZXJpbmcgQ2hl
bWlzdHJ5IFJlc2VhcmNoPC9zZWNvbmRhcnktdGl0bGU+PC90aXRsZXM+PHBlcmlvZGljYWw+PGZ1
bGwtdGl0bGU+SW5kdXN0cmlhbCAmYW1wOyBFbmdpbmVlcmluZyBDaGVtaXN0cnkgUmVzZWFyY2g8
L2Z1bGwtdGl0bGU+PC9wZXJpb2RpY2FsPjxwYWdlcz4xNDYwNy0xNDYxNjwvcGFnZXM+PHZvbHVt
ZT41Nzwvdm9sdW1lPjxudW1iZXI+NDM8L251bWJlcj48ZGF0ZXM+PHllYXI+MjAxODwveWVhcj48
cHViLWRhdGVzPjxkYXRlPjIwMTgvMTAvMzE8L2RhdGU+PC9wdWItZGF0ZXM+PC9kYXRlcz48cHVi
bGlzaGVyPkFtZXJpY2FuIENoZW1pY2FsIFNvY2lldHk8L3B1Ymxpc2hlcj48aXNibj4wODg4LTU4
ODU8L2lzYm4+PHVybHM+PHJlbGF0ZWQtdXJscz48dXJsPmh0dHBzOi8vZG9pLm9yZy8xMC4xMDIx
L2Fjcy5pZWNyLjhiMDI0NDc8L3VybD48L3JlbGF0ZWQtdXJscz48L3VybHM+PGVsZWN0cm9uaWMt
cmVzb3VyY2UtbnVtPjEwLjEwMjEvYWNzLmllY3IuOGIwMjQ0NzwvZWxlY3Ryb25pYy1yZXNvdXJj
ZS1udW0+PC9yZWNvcmQ+PC9DaXRlPjwvRW5kTm90ZT5=
</w:fldData>
        </w:fldChar>
      </w:r>
      <w:r w:rsidR="00B64CB2" w:rsidRPr="00CE04FC">
        <w:rPr>
          <w:rFonts w:ascii="Times New Roman" w:hAnsi="Times New Roman" w:cs="Times New Roman"/>
        </w:rPr>
        <w:instrText xml:space="preserve"> ADDIN EN.CITE </w:instrText>
      </w:r>
      <w:r w:rsidR="00B64CB2" w:rsidRPr="00CE04FC">
        <w:rPr>
          <w:rFonts w:ascii="Times New Roman" w:hAnsi="Times New Roman" w:cs="Times New Roman"/>
        </w:rPr>
        <w:fldChar w:fldCharType="begin">
          <w:fldData xml:space="preserve">PEVuZE5vdGU+PENpdGU+PEF1dGhvcj5Pc21hbjwvQXV0aG9yPjxZZWFyPjIwMjA8L1llYXI+PFJl
Y051bT4yNzc8L1JlY051bT48RGlzcGxheVRleHQ+KE5heWFrLUx1a2UsIEJhw7FhcmVzLUFsY8Oh
bnRhcmEsIGV0IGFsLiwgMjAxODsgT3NtYW4gZXQgYWwuLCAyMDIwKTwvRGlzcGxheVRleHQ+PHJl
Y29yZD48cmVjLW51bWJlcj4yNzc8L3JlYy1udW1iZXI+PGZvcmVpZ24ta2V5cz48a2V5IGFwcD0i
RU4iIGRiLWlkPSJwcjUweHd3YWR0c3QyMWU1enhxeHh4MmUwdnBwenMwenpmcHoiIHRpbWVzdGFt
cD0iMTcxNTgwNTc3NyI+Mjc3PC9rZXk+PC9mb3JlaWduLWtleXM+PHJlZi10eXBlIG5hbWU9Ikpv
dXJuYWwgQXJ0aWNsZSI+MTc8L3JlZi10eXBlPjxjb250cmlidXRvcnM+PGF1dGhvcnM+PGF1dGhv
cj5Pc21hbiwgT2xhPC9hdXRob3I+PGF1dGhvcj5TZ291cmlkaXMsIFNnb3VyaXM8L2F1dGhvcj48
YXV0aG9yPlNsZXB0Y2hlbmtvLCBBbmRyZWk8L2F1dGhvcj48L2F1dGhvcnM+PC9jb250cmlidXRv
cnM+PHRpdGxlcz48dGl0bGU+U2NhbGluZyB0aGUgcHJvZHVjdGlvbiBvZiByZW5ld2FibGUgYW1t
b25pYTogQSB0ZWNobm8tZWNvbm9taWMgb3B0aW1pemF0aW9uIGFwcGxpZWQgaW4gcmVnaW9ucyB3
aXRoIGhpZ2ggaW5zb2xhdGlvbjwvdGl0bGU+PHNlY29uZGFyeS10aXRsZT5Kb3VybmFsIG9mIGNs
ZWFuZXIgcHJvZHVjdGlvbjwvc2Vjb25kYXJ5LXRpdGxlPjwvdGl0bGVzPjxwZXJpb2RpY2FsPjxm
dWxsLXRpdGxlPkpvdXJuYWwgb2YgQ2xlYW5lciBQcm9kdWN0aW9uPC9mdWxsLXRpdGxlPjwvcGVy
aW9kaWNhbD48cGFnZXM+MTIxNjI3PC9wYWdlcz48dm9sdW1lPjI3MTwvdm9sdW1lPjxkYXRlcz48
eWVhcj4yMDIwPC95ZWFyPjwvZGF0ZXM+PGlzYm4+MDk1OS02NTI2PC9pc2JuPjx1cmxzPjwvdXJs
cz48L3JlY29yZD48L0NpdGU+PENpdGU+PEF1dGhvcj5OYXlhay1MdWtlPC9BdXRob3I+PFllYXI+
MjAxODwvWWVhcj48UmVjTnVtPjI3NjwvUmVjTnVtPjxyZWNvcmQ+PHJlYy1udW1iZXI+Mjc2PC9y
ZWMtbnVtYmVyPjxmb3JlaWduLWtleXM+PGtleSBhcHA9IkVOIiBkYi1pZD0icHI1MHh3d2FkdHN0
MjFlNXp4cXh4eDJlMHZwcHpzMHp6ZnB6IiB0aW1lc3RhbXA9IjE3MTU4MDUwNzgiPjI3Njwva2V5
PjwvZm9yZWlnbi1rZXlzPjxyZWYtdHlwZSBuYW1lPSJKb3VybmFsIEFydGljbGUiPjE3PC9yZWYt
dHlwZT48Y29udHJpYnV0b3JzPjxhdXRob3JzPjxhdXRob3I+TmF5YWstTHVrZSwgUmljaGFyZDwv
YXV0aG9yPjxhdXRob3I+QmHDsWFyZXMtQWxjw6FudGFyYSwgUmVuw6k8L2F1dGhvcj48YXV0aG9y
PldpbGtpbnNvbiwgSWFuPC9hdXRob3I+PC9hdXRob3JzPjwvY29udHJpYnV0b3JzPjx0aXRsZXM+
PHRpdGxlPuKAnEdyZWVu4oCdIEFtbW9uaWE6IEltcGFjdCBvZiBSZW5ld2FibGUgRW5lcmd5IElu
dGVybWl0dGVuY3kgb24gUGxhbnQgU2l6aW5nIGFuZCBMZXZlbGl6ZWQgQ29zdCBvZiBBbW1vbmlh
PC90aXRsZT48c2Vjb25kYXJ5LXRpdGxlPkluZHVzdHJpYWwgJmFtcDsgRW5naW5lZXJpbmcgQ2hl
bWlzdHJ5IFJlc2VhcmNoPC9zZWNvbmRhcnktdGl0bGU+PC90aXRsZXM+PHBlcmlvZGljYWw+PGZ1
bGwtdGl0bGU+SW5kdXN0cmlhbCAmYW1wOyBFbmdpbmVlcmluZyBDaGVtaXN0cnkgUmVzZWFyY2g8
L2Z1bGwtdGl0bGU+PC9wZXJpb2RpY2FsPjxwYWdlcz4xNDYwNy0xNDYxNjwvcGFnZXM+PHZvbHVt
ZT41Nzwvdm9sdW1lPjxudW1iZXI+NDM8L251bWJlcj48ZGF0ZXM+PHllYXI+MjAxODwveWVhcj48
cHViLWRhdGVzPjxkYXRlPjIwMTgvMTAvMzE8L2RhdGU+PC9wdWItZGF0ZXM+PC9kYXRlcz48cHVi
bGlzaGVyPkFtZXJpY2FuIENoZW1pY2FsIFNvY2lldHk8L3B1Ymxpc2hlcj48aXNibj4wODg4LTU4
ODU8L2lzYm4+PHVybHM+PHJlbGF0ZWQtdXJscz48dXJsPmh0dHBzOi8vZG9pLm9yZy8xMC4xMDIx
L2Fjcy5pZWNyLjhiMDI0NDc8L3VybD48L3JlbGF0ZWQtdXJscz48L3VybHM+PGVsZWN0cm9uaWMt
cmVzb3VyY2UtbnVtPjEwLjEwMjEvYWNzLmllY3IuOGIwMjQ0NzwvZWxlY3Ryb25pYy1yZXNvdXJj
ZS1udW0+PC9yZWNvcmQ+PC9DaXRlPjwvRW5kTm90ZT5=
</w:fldData>
        </w:fldChar>
      </w:r>
      <w:r w:rsidR="00B64CB2" w:rsidRPr="00CE04FC">
        <w:rPr>
          <w:rFonts w:ascii="Times New Roman" w:hAnsi="Times New Roman" w:cs="Times New Roman"/>
        </w:rPr>
        <w:instrText xml:space="preserve"> ADDIN EN.CITE.DATA </w:instrText>
      </w:r>
      <w:r w:rsidR="00B64CB2" w:rsidRPr="00CE04FC">
        <w:rPr>
          <w:rFonts w:ascii="Times New Roman" w:hAnsi="Times New Roman" w:cs="Times New Roman"/>
        </w:rPr>
      </w:r>
      <w:r w:rsidR="00B64CB2" w:rsidRPr="00CE04FC">
        <w:rPr>
          <w:rFonts w:ascii="Times New Roman" w:hAnsi="Times New Roman" w:cs="Times New Roman"/>
        </w:rPr>
        <w:fldChar w:fldCharType="end"/>
      </w:r>
      <w:r w:rsidR="00B64CB2" w:rsidRPr="00CE04FC">
        <w:rPr>
          <w:rFonts w:ascii="Times New Roman" w:hAnsi="Times New Roman" w:cs="Times New Roman"/>
        </w:rPr>
      </w:r>
      <w:r w:rsidR="00B64CB2" w:rsidRPr="00CE04FC">
        <w:rPr>
          <w:rFonts w:ascii="Times New Roman" w:hAnsi="Times New Roman" w:cs="Times New Roman"/>
        </w:rPr>
        <w:fldChar w:fldCharType="separate"/>
      </w:r>
      <w:r w:rsidR="00B64CB2" w:rsidRPr="00CE04FC">
        <w:rPr>
          <w:rFonts w:ascii="Times New Roman" w:hAnsi="Times New Roman" w:cs="Times New Roman"/>
          <w:noProof/>
        </w:rPr>
        <w:t>(Nayak-Luke, Bañares-Alcántara, et al., 2018; Osman et al., 2020)</w:t>
      </w:r>
      <w:r w:rsidR="00B64CB2" w:rsidRPr="00CE04FC">
        <w:rPr>
          <w:rFonts w:ascii="Times New Roman" w:hAnsi="Times New Roman" w:cs="Times New Roman"/>
        </w:rPr>
        <w:fldChar w:fldCharType="end"/>
      </w:r>
      <w:r w:rsidR="00B64CB2" w:rsidRPr="00CE04FC">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22"/>
      </w:tblGrid>
      <w:tr w:rsidR="00CE04FC" w:rsidRPr="00CE04FC" w14:paraId="13BA5014" w14:textId="77777777" w:rsidTr="007D40E1">
        <w:tc>
          <w:tcPr>
            <w:tcW w:w="8500" w:type="dxa"/>
          </w:tcPr>
          <w:p w14:paraId="56390578" w14:textId="77777777" w:rsidR="00B64CB2" w:rsidRPr="00CE04FC" w:rsidRDefault="00B64CB2" w:rsidP="007D40E1">
            <w:pPr>
              <w:spacing w:line="276" w:lineRule="auto"/>
              <w:jc w:val="both"/>
              <w:rPr>
                <w:rFonts w:ascii="Times New Roman" w:hAnsi="Times New Roman" w:cs="Times New Roman"/>
              </w:rPr>
            </w:pPr>
            <m:oMathPara>
              <m:oMath>
                <m:r>
                  <w:rPr>
                    <w:rFonts w:ascii="Cambria Math" w:hAnsi="Cambria Math" w:cs="Times New Roman"/>
                  </w:rPr>
                  <m:t>LCOA</m:t>
                </m:r>
                <m:r>
                  <m:rPr>
                    <m:sty m:val="p"/>
                  </m:rPr>
                  <w:rPr>
                    <w:rFonts w:ascii="Cambria Math" w:hAnsi="Cambria Math" w:cs="Times New Roman"/>
                  </w:rPr>
                  <m:t>=</m:t>
                </m:r>
                <m:f>
                  <m:fPr>
                    <m:ctrlPr>
                      <w:rPr>
                        <w:rFonts w:ascii="Cambria Math" w:hAnsi="Cambria Math" w:cs="Times New Roman"/>
                      </w:rPr>
                    </m:ctrlPr>
                  </m:fPr>
                  <m:num>
                    <m:nary>
                      <m:naryPr>
                        <m:chr m:val="∑"/>
                        <m:limLoc m:val="undOvr"/>
                        <m:ctrlPr>
                          <w:rPr>
                            <w:rFonts w:ascii="Cambria Math" w:hAnsi="Cambria Math" w:cs="Times New Roman"/>
                          </w:rPr>
                        </m:ctrlPr>
                      </m:naryPr>
                      <m:sub>
                        <m:r>
                          <w:rPr>
                            <w:rFonts w:ascii="Cambria Math" w:hAnsi="Cambria Math" w:cs="Times New Roman"/>
                          </w:rPr>
                          <m:t>t</m:t>
                        </m:r>
                        <m:r>
                          <m:rPr>
                            <m:sty m:val="p"/>
                          </m:rPr>
                          <w:rPr>
                            <w:rFonts w:ascii="Cambria Math" w:hAnsi="Cambria Math" w:cs="Times New Roman"/>
                          </w:rPr>
                          <m:t>=1</m:t>
                        </m:r>
                      </m:sub>
                      <m:sup>
                        <m:r>
                          <w:rPr>
                            <w:rFonts w:ascii="Cambria Math" w:hAnsi="Cambria Math" w:cs="Times New Roman"/>
                          </w:rPr>
                          <m:t>n</m:t>
                        </m:r>
                      </m:sup>
                      <m:e>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I</m:t>
                                </m:r>
                              </m:e>
                              <m:sub>
                                <m:r>
                                  <w:rPr>
                                    <w:rFonts w:ascii="Cambria Math" w:hAnsi="Cambria Math" w:cs="Times New Roman"/>
                                  </w:rPr>
                                  <m:t>t</m:t>
                                </m:r>
                              </m:sub>
                            </m:sSub>
                            <m:r>
                              <m:rPr>
                                <m:sty m:val="p"/>
                              </m:rPr>
                              <w:rPr>
                                <w:rFonts w:ascii="Cambria Math" w:hAnsi="Cambria Math" w:cs="Times New Roman"/>
                              </w:rPr>
                              <m:t xml:space="preserve"> + </m:t>
                            </m:r>
                            <m:sSub>
                              <m:sSubPr>
                                <m:ctrlPr>
                                  <w:rPr>
                                    <w:rFonts w:ascii="Cambria Math" w:hAnsi="Cambria Math" w:cs="Times New Roman"/>
                                  </w:rPr>
                                </m:ctrlPr>
                              </m:sSubPr>
                              <m:e>
                                <m:r>
                                  <w:rPr>
                                    <w:rFonts w:ascii="Cambria Math" w:hAnsi="Cambria Math" w:cs="Times New Roman"/>
                                  </w:rPr>
                                  <m:t>M</m:t>
                                </m:r>
                              </m:e>
                              <m:sub>
                                <m:r>
                                  <w:rPr>
                                    <w:rFonts w:ascii="Cambria Math" w:hAnsi="Cambria Math" w:cs="Times New Roman"/>
                                  </w:rPr>
                                  <m:t>t</m:t>
                                </m:r>
                              </m:sub>
                            </m:sSub>
                            <m:r>
                              <m:rPr>
                                <m:sty m:val="p"/>
                              </m:rPr>
                              <w:rPr>
                                <w:rFonts w:ascii="Cambria Math" w:hAnsi="Cambria Math" w:cs="Times New Roman"/>
                              </w:rPr>
                              <m:t xml:space="preserve"> + </m:t>
                            </m:r>
                            <m:sSub>
                              <m:sSubPr>
                                <m:ctrlPr>
                                  <w:rPr>
                                    <w:rFonts w:ascii="Cambria Math" w:hAnsi="Cambria Math" w:cs="Times New Roman"/>
                                  </w:rPr>
                                </m:ctrlPr>
                              </m:sSubPr>
                              <m:e>
                                <m:r>
                                  <w:rPr>
                                    <w:rFonts w:ascii="Cambria Math" w:hAnsi="Cambria Math" w:cs="Times New Roman"/>
                                  </w:rPr>
                                  <m:t>E</m:t>
                                </m:r>
                              </m:e>
                              <m:sub>
                                <m:r>
                                  <w:rPr>
                                    <w:rFonts w:ascii="Cambria Math" w:hAnsi="Cambria Math" w:cs="Times New Roman"/>
                                  </w:rPr>
                                  <m:t>t</m:t>
                                </m:r>
                              </m:sub>
                            </m:sSub>
                          </m:num>
                          <m:den>
                            <m:sSup>
                              <m:sSupPr>
                                <m:ctrlPr>
                                  <w:rPr>
                                    <w:rFonts w:ascii="Cambria Math" w:hAnsi="Cambria Math" w:cs="Times New Roman"/>
                                  </w:rPr>
                                </m:ctrlPr>
                              </m:sSupPr>
                              <m:e>
                                <m:r>
                                  <m:rPr>
                                    <m:sty m:val="p"/>
                                  </m:rPr>
                                  <w:rPr>
                                    <w:rFonts w:ascii="Cambria Math" w:hAnsi="Cambria Math" w:cs="Times New Roman"/>
                                  </w:rPr>
                                  <m:t>(1+</m:t>
                                </m:r>
                                <m:r>
                                  <w:rPr>
                                    <w:rFonts w:ascii="Cambria Math" w:hAnsi="Cambria Math" w:cs="Times New Roman"/>
                                  </w:rPr>
                                  <m:t>r</m:t>
                                </m:r>
                                <m:r>
                                  <m:rPr>
                                    <m:sty m:val="p"/>
                                  </m:rPr>
                                  <w:rPr>
                                    <w:rFonts w:ascii="Cambria Math" w:hAnsi="Cambria Math" w:cs="Times New Roman"/>
                                  </w:rPr>
                                  <m:t>)</m:t>
                                </m:r>
                              </m:e>
                              <m:sup>
                                <m:r>
                                  <w:rPr>
                                    <w:rFonts w:ascii="Cambria Math" w:hAnsi="Cambria Math" w:cs="Times New Roman"/>
                                  </w:rPr>
                                  <m:t>t</m:t>
                                </m:r>
                              </m:sup>
                            </m:sSup>
                          </m:den>
                        </m:f>
                      </m:e>
                    </m:nary>
                  </m:num>
                  <m:den>
                    <m:nary>
                      <m:naryPr>
                        <m:chr m:val="∑"/>
                        <m:limLoc m:val="undOvr"/>
                        <m:ctrlPr>
                          <w:rPr>
                            <w:rFonts w:ascii="Cambria Math" w:hAnsi="Cambria Math" w:cs="Times New Roman"/>
                          </w:rPr>
                        </m:ctrlPr>
                      </m:naryPr>
                      <m:sub>
                        <m:r>
                          <w:rPr>
                            <w:rFonts w:ascii="Cambria Math" w:hAnsi="Cambria Math" w:cs="Times New Roman"/>
                          </w:rPr>
                          <m:t>t</m:t>
                        </m:r>
                        <m:r>
                          <m:rPr>
                            <m:sty m:val="p"/>
                          </m:rPr>
                          <w:rPr>
                            <w:rFonts w:ascii="Cambria Math" w:hAnsi="Cambria Math" w:cs="Times New Roman"/>
                          </w:rPr>
                          <m:t>=1</m:t>
                        </m:r>
                      </m:sub>
                      <m:sup>
                        <m:r>
                          <w:rPr>
                            <w:rFonts w:ascii="Cambria Math" w:hAnsi="Cambria Math" w:cs="Times New Roman"/>
                          </w:rPr>
                          <m:t>n</m:t>
                        </m:r>
                      </m:sup>
                      <m:e>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G</m:t>
                                </m:r>
                              </m:e>
                              <m:sub>
                                <m:r>
                                  <w:rPr>
                                    <w:rFonts w:ascii="Cambria Math" w:hAnsi="Cambria Math" w:cs="Times New Roman"/>
                                  </w:rPr>
                                  <m:t>t</m:t>
                                </m:r>
                              </m:sub>
                            </m:sSub>
                          </m:num>
                          <m:den>
                            <m:sSup>
                              <m:sSupPr>
                                <m:ctrlPr>
                                  <w:rPr>
                                    <w:rFonts w:ascii="Cambria Math" w:hAnsi="Cambria Math" w:cs="Times New Roman"/>
                                  </w:rPr>
                                </m:ctrlPr>
                              </m:sSupPr>
                              <m:e>
                                <m:r>
                                  <m:rPr>
                                    <m:sty m:val="p"/>
                                  </m:rPr>
                                  <w:rPr>
                                    <w:rFonts w:ascii="Cambria Math" w:hAnsi="Cambria Math" w:cs="Times New Roman"/>
                                  </w:rPr>
                                  <m:t>(1+</m:t>
                                </m:r>
                                <m:r>
                                  <w:rPr>
                                    <w:rFonts w:ascii="Cambria Math" w:hAnsi="Cambria Math" w:cs="Times New Roman"/>
                                  </w:rPr>
                                  <m:t>r</m:t>
                                </m:r>
                                <m:r>
                                  <m:rPr>
                                    <m:sty m:val="p"/>
                                  </m:rPr>
                                  <w:rPr>
                                    <w:rFonts w:ascii="Cambria Math" w:hAnsi="Cambria Math" w:cs="Times New Roman"/>
                                  </w:rPr>
                                  <m:t>)</m:t>
                                </m:r>
                              </m:e>
                              <m:sup>
                                <m:r>
                                  <w:rPr>
                                    <w:rFonts w:ascii="Cambria Math" w:hAnsi="Cambria Math" w:cs="Times New Roman"/>
                                  </w:rPr>
                                  <m:t>t</m:t>
                                </m:r>
                              </m:sup>
                            </m:sSup>
                          </m:den>
                        </m:f>
                      </m:e>
                    </m:nary>
                  </m:den>
                </m:f>
              </m:oMath>
            </m:oMathPara>
          </w:p>
        </w:tc>
        <w:tc>
          <w:tcPr>
            <w:tcW w:w="522" w:type="dxa"/>
          </w:tcPr>
          <w:p w14:paraId="6493C35A" w14:textId="6E86F6CD" w:rsidR="00B64CB2" w:rsidRPr="00CE04FC" w:rsidRDefault="00C03649" w:rsidP="007D40E1">
            <w:pPr>
              <w:pStyle w:val="Caption"/>
              <w:spacing w:line="276" w:lineRule="auto"/>
              <w:rPr>
                <w:rFonts w:ascii="Times New Roman" w:hAnsi="Times New Roman" w:cs="Times New Roman"/>
                <w:i w:val="0"/>
                <w:iCs w:val="0"/>
                <w:color w:val="auto"/>
                <w:sz w:val="22"/>
                <w:szCs w:val="22"/>
              </w:rPr>
            </w:pPr>
            <w:r w:rsidRPr="00CE04FC">
              <w:rPr>
                <w:rFonts w:ascii="Times New Roman" w:hAnsi="Times New Roman" w:cs="Times New Roman"/>
                <w:i w:val="0"/>
                <w:iCs w:val="0"/>
                <w:color w:val="auto"/>
                <w:sz w:val="22"/>
                <w:szCs w:val="22"/>
              </w:rPr>
              <w:t xml:space="preserve"> (</w:t>
            </w:r>
            <w:r w:rsidRPr="00CE04FC">
              <w:rPr>
                <w:rFonts w:ascii="Times New Roman" w:hAnsi="Times New Roman" w:cs="Times New Roman"/>
                <w:i w:val="0"/>
                <w:iCs w:val="0"/>
                <w:color w:val="auto"/>
                <w:sz w:val="22"/>
                <w:szCs w:val="22"/>
              </w:rPr>
              <w:fldChar w:fldCharType="begin"/>
            </w:r>
            <w:r w:rsidRPr="00CE04FC">
              <w:rPr>
                <w:rFonts w:ascii="Times New Roman" w:hAnsi="Times New Roman" w:cs="Times New Roman"/>
                <w:i w:val="0"/>
                <w:iCs w:val="0"/>
                <w:color w:val="auto"/>
                <w:sz w:val="22"/>
                <w:szCs w:val="22"/>
              </w:rPr>
              <w:instrText xml:space="preserve"> SEQ Equation \* ARABIC </w:instrText>
            </w:r>
            <w:r w:rsidRPr="00CE04FC">
              <w:rPr>
                <w:rFonts w:ascii="Times New Roman" w:hAnsi="Times New Roman" w:cs="Times New Roman"/>
                <w:i w:val="0"/>
                <w:iCs w:val="0"/>
                <w:color w:val="auto"/>
                <w:sz w:val="22"/>
                <w:szCs w:val="22"/>
              </w:rPr>
              <w:fldChar w:fldCharType="separate"/>
            </w:r>
            <w:r w:rsidRPr="00CE04FC">
              <w:rPr>
                <w:rFonts w:ascii="Times New Roman" w:hAnsi="Times New Roman" w:cs="Times New Roman"/>
                <w:i w:val="0"/>
                <w:iCs w:val="0"/>
                <w:color w:val="auto"/>
                <w:sz w:val="22"/>
                <w:szCs w:val="22"/>
              </w:rPr>
              <w:t>8</w:t>
            </w:r>
            <w:r w:rsidRPr="00CE04FC">
              <w:rPr>
                <w:rFonts w:ascii="Times New Roman" w:hAnsi="Times New Roman" w:cs="Times New Roman"/>
                <w:i w:val="0"/>
                <w:iCs w:val="0"/>
                <w:color w:val="auto"/>
                <w:sz w:val="22"/>
                <w:szCs w:val="22"/>
              </w:rPr>
              <w:fldChar w:fldCharType="end"/>
            </w:r>
            <w:r w:rsidRPr="00CE04FC">
              <w:rPr>
                <w:rFonts w:ascii="Times New Roman" w:hAnsi="Times New Roman" w:cs="Times New Roman"/>
                <w:i w:val="0"/>
                <w:iCs w:val="0"/>
                <w:color w:val="auto"/>
                <w:sz w:val="22"/>
                <w:szCs w:val="22"/>
              </w:rPr>
              <w:t>)</w:t>
            </w:r>
          </w:p>
        </w:tc>
      </w:tr>
    </w:tbl>
    <w:p w14:paraId="6D9ED6D2" w14:textId="248AFE52" w:rsidR="00B64CB2" w:rsidRPr="00CE04FC" w:rsidRDefault="008D7A57" w:rsidP="00B64CB2">
      <w:pPr>
        <w:pStyle w:val="Caption"/>
        <w:spacing w:line="276" w:lineRule="auto"/>
        <w:jc w:val="both"/>
        <w:rPr>
          <w:rFonts w:ascii="Times New Roman" w:hAnsi="Times New Roman" w:cs="Times New Roman"/>
          <w:i w:val="0"/>
          <w:iCs w:val="0"/>
          <w:color w:val="auto"/>
          <w:sz w:val="22"/>
          <w:szCs w:val="22"/>
        </w:rPr>
      </w:pPr>
      <w:bookmarkStart w:id="31" w:name="_Ref168336691"/>
      <w:r w:rsidRPr="00CE04FC">
        <w:rPr>
          <w:rFonts w:ascii="Times New Roman" w:hAnsi="Times New Roman" w:cs="Times New Roman"/>
          <w:i w:val="0"/>
          <w:iCs w:val="0"/>
          <w:color w:val="auto"/>
          <w:sz w:val="22"/>
          <w:szCs w:val="22"/>
        </w:rPr>
        <w:t>w</w:t>
      </w:r>
      <w:r w:rsidR="00B64CB2" w:rsidRPr="00CE04FC">
        <w:rPr>
          <w:rFonts w:ascii="Times New Roman" w:hAnsi="Times New Roman" w:cs="Times New Roman"/>
          <w:i w:val="0"/>
          <w:iCs w:val="0"/>
          <w:color w:val="auto"/>
          <w:sz w:val="22"/>
          <w:szCs w:val="22"/>
        </w:rPr>
        <w:t>here ‘I</w:t>
      </w:r>
      <w:r w:rsidR="00B64CB2" w:rsidRPr="00CE04FC">
        <w:rPr>
          <w:rFonts w:ascii="Times New Roman" w:hAnsi="Times New Roman" w:cs="Times New Roman"/>
          <w:i w:val="0"/>
          <w:iCs w:val="0"/>
          <w:color w:val="auto"/>
          <w:sz w:val="22"/>
          <w:szCs w:val="22"/>
          <w:vertAlign w:val="subscript"/>
        </w:rPr>
        <w:t>t</w:t>
      </w:r>
      <w:r w:rsidR="00B64CB2" w:rsidRPr="00CE04FC">
        <w:rPr>
          <w:rFonts w:ascii="Times New Roman" w:hAnsi="Times New Roman" w:cs="Times New Roman"/>
          <w:i w:val="0"/>
          <w:iCs w:val="0"/>
          <w:color w:val="auto"/>
          <w:sz w:val="22"/>
          <w:szCs w:val="22"/>
        </w:rPr>
        <w:t>’ represents the capital cost, ‘M</w:t>
      </w:r>
      <w:r w:rsidR="00B64CB2" w:rsidRPr="00CE04FC">
        <w:rPr>
          <w:rFonts w:ascii="Times New Roman" w:hAnsi="Times New Roman" w:cs="Times New Roman"/>
          <w:i w:val="0"/>
          <w:iCs w:val="0"/>
          <w:color w:val="auto"/>
          <w:sz w:val="22"/>
          <w:szCs w:val="22"/>
          <w:vertAlign w:val="subscript"/>
        </w:rPr>
        <w:t>t</w:t>
      </w:r>
      <w:r w:rsidR="00B64CB2" w:rsidRPr="00CE04FC">
        <w:rPr>
          <w:rFonts w:ascii="Times New Roman" w:hAnsi="Times New Roman" w:cs="Times New Roman"/>
          <w:i w:val="0"/>
          <w:iCs w:val="0"/>
          <w:color w:val="auto"/>
          <w:sz w:val="22"/>
          <w:szCs w:val="22"/>
        </w:rPr>
        <w:t>’ denotes the operation or maintenance cost, ‘Et’ is the utility cost which is the cost of electricity in the current scenario and was assumed to be $0.03/kWh</w:t>
      </w:r>
      <w:r w:rsidR="00CE65B9" w:rsidRPr="00CE04FC">
        <w:rPr>
          <w:rFonts w:ascii="Times New Roman" w:hAnsi="Times New Roman" w:cs="Times New Roman"/>
          <w:i w:val="0"/>
          <w:iCs w:val="0"/>
          <w:color w:val="auto"/>
          <w:sz w:val="22"/>
          <w:szCs w:val="22"/>
        </w:rPr>
        <w:t xml:space="preserve"> </w:t>
      </w:r>
      <w:r w:rsidR="00CE65B9" w:rsidRPr="00CE04FC">
        <w:rPr>
          <w:rFonts w:ascii="Times New Roman" w:hAnsi="Times New Roman" w:cs="Times New Roman"/>
          <w:i w:val="0"/>
          <w:iCs w:val="0"/>
          <w:color w:val="auto"/>
          <w:sz w:val="22"/>
          <w:szCs w:val="22"/>
        </w:rPr>
        <w:fldChar w:fldCharType="begin"/>
      </w:r>
      <w:r w:rsidR="00CE65B9" w:rsidRPr="00CE04FC">
        <w:rPr>
          <w:rFonts w:ascii="Times New Roman" w:hAnsi="Times New Roman" w:cs="Times New Roman"/>
          <w:i w:val="0"/>
          <w:iCs w:val="0"/>
          <w:color w:val="auto"/>
          <w:sz w:val="22"/>
          <w:szCs w:val="22"/>
        </w:rPr>
        <w:instrText xml:space="preserve"> ADDIN EN.CITE &lt;EndNote&gt;&lt;Cite&gt;&lt;Author&gt;EIA&lt;/Author&gt;&lt;Year&gt;2022&lt;/Year&gt;&lt;RecNum&gt;218&lt;/RecNum&gt;&lt;DisplayText&gt;(&lt;style face="bold"&gt;EIA&lt;/style&gt;, 2022)&lt;/DisplayText&gt;&lt;record&gt;&lt;rec-number&gt;218&lt;/rec-number&gt;&lt;foreign-keys&gt;&lt;key app="EN" db-id="pr50xwwadtst21e5zxqxxx2e0vppzs0zzfpz" timestamp="1705176874"&gt;218&lt;/key&gt;&lt;/foreign-keys&gt;&lt;ref-type name="Web Page"&gt;12&lt;/ref-type&gt;&lt;contributors&gt;&lt;authors&gt;&lt;author&gt;&lt;style face="bold" font="default" size="100%"&gt;EIA&lt;/style&gt;&lt;/author&gt;&lt;/authors&gt;&lt;/contributors&gt;&lt;titles&gt;&lt;title&gt;&lt;style face="bold" font="default" size="100%"&gt;U.S. Energy Information Administration (EIA)&lt;/style&gt;&lt;/title&gt;&lt;/titles&gt;&lt;dates&gt;&lt;year&gt;2022&lt;/year&gt;&lt;/dates&gt;&lt;urls&gt;&lt;related-urls&gt;&lt;url&gt;https://www.eia.gov/&lt;/url&gt;&lt;/related-urls&gt;&lt;/urls&gt;&lt;/record&gt;&lt;/Cite&gt;&lt;/EndNote&gt;</w:instrText>
      </w:r>
      <w:r w:rsidR="00CE65B9" w:rsidRPr="00CE04FC">
        <w:rPr>
          <w:rFonts w:ascii="Times New Roman" w:hAnsi="Times New Roman" w:cs="Times New Roman"/>
          <w:i w:val="0"/>
          <w:iCs w:val="0"/>
          <w:color w:val="auto"/>
          <w:sz w:val="22"/>
          <w:szCs w:val="22"/>
        </w:rPr>
        <w:fldChar w:fldCharType="separate"/>
      </w:r>
      <w:r w:rsidR="00CE65B9" w:rsidRPr="00CE04FC">
        <w:rPr>
          <w:rFonts w:ascii="Times New Roman" w:hAnsi="Times New Roman" w:cs="Times New Roman"/>
          <w:i w:val="0"/>
          <w:iCs w:val="0"/>
          <w:color w:val="auto"/>
          <w:sz w:val="22"/>
          <w:szCs w:val="22"/>
        </w:rPr>
        <w:t>(EIA, 2022)</w:t>
      </w:r>
      <w:r w:rsidR="00CE65B9" w:rsidRPr="00CE04FC">
        <w:rPr>
          <w:rFonts w:ascii="Times New Roman" w:hAnsi="Times New Roman" w:cs="Times New Roman"/>
          <w:i w:val="0"/>
          <w:iCs w:val="0"/>
          <w:color w:val="auto"/>
          <w:sz w:val="22"/>
          <w:szCs w:val="22"/>
        </w:rPr>
        <w:fldChar w:fldCharType="end"/>
      </w:r>
      <w:r w:rsidR="00B64CB2" w:rsidRPr="00CE04FC">
        <w:rPr>
          <w:rFonts w:ascii="Times New Roman" w:hAnsi="Times New Roman" w:cs="Times New Roman"/>
          <w:i w:val="0"/>
          <w:iCs w:val="0"/>
          <w:color w:val="auto"/>
          <w:sz w:val="22"/>
          <w:szCs w:val="22"/>
        </w:rPr>
        <w:t xml:space="preserve">, ‘Gt’ represents the production generation, ‘t’ is the project life span, ‘’r’ shows the discount rate, which is </w:t>
      </w:r>
      <w:r w:rsidR="00F7229F" w:rsidRPr="00CE04FC">
        <w:rPr>
          <w:rFonts w:ascii="Times New Roman" w:hAnsi="Times New Roman" w:cs="Times New Roman"/>
          <w:i w:val="0"/>
          <w:iCs w:val="0"/>
          <w:color w:val="auto"/>
          <w:sz w:val="22"/>
          <w:szCs w:val="22"/>
        </w:rPr>
        <w:t>8%</w:t>
      </w:r>
      <w:r w:rsidR="00B64CB2" w:rsidRPr="00CE04FC">
        <w:rPr>
          <w:rFonts w:ascii="Times New Roman" w:hAnsi="Times New Roman" w:cs="Times New Roman"/>
          <w:i w:val="0"/>
          <w:iCs w:val="0"/>
          <w:color w:val="auto"/>
          <w:sz w:val="22"/>
          <w:szCs w:val="22"/>
        </w:rPr>
        <w:t>, ‘n’ here is the number of years</w:t>
      </w:r>
      <w:r w:rsidR="00E53573" w:rsidRPr="00CE04FC">
        <w:rPr>
          <w:rFonts w:ascii="Times New Roman" w:hAnsi="Times New Roman" w:cs="Times New Roman"/>
          <w:i w:val="0"/>
          <w:iCs w:val="0"/>
          <w:color w:val="auto"/>
          <w:sz w:val="22"/>
          <w:szCs w:val="22"/>
        </w:rPr>
        <w:t>,</w:t>
      </w:r>
      <w:r w:rsidR="00B64CB2" w:rsidRPr="00CE04FC">
        <w:rPr>
          <w:rFonts w:ascii="Times New Roman" w:hAnsi="Times New Roman" w:cs="Times New Roman"/>
          <w:i w:val="0"/>
          <w:iCs w:val="0"/>
          <w:color w:val="auto"/>
          <w:sz w:val="22"/>
          <w:szCs w:val="22"/>
        </w:rPr>
        <w:t xml:space="preserve"> </w:t>
      </w:r>
      <w:r w:rsidR="00E53573" w:rsidRPr="00CE04FC">
        <w:rPr>
          <w:rFonts w:ascii="Times New Roman" w:hAnsi="Times New Roman" w:cs="Times New Roman"/>
          <w:i w:val="0"/>
          <w:iCs w:val="0"/>
          <w:color w:val="auto"/>
          <w:sz w:val="22"/>
          <w:szCs w:val="22"/>
        </w:rPr>
        <w:t xml:space="preserve">which was assumed to be 10 years </w:t>
      </w:r>
      <w:r w:rsidR="00B64CB2" w:rsidRPr="00CE04FC">
        <w:rPr>
          <w:rFonts w:ascii="Times New Roman" w:hAnsi="Times New Roman" w:cs="Times New Roman"/>
          <w:i w:val="0"/>
          <w:iCs w:val="0"/>
          <w:color w:val="auto"/>
          <w:sz w:val="22"/>
          <w:szCs w:val="22"/>
        </w:rPr>
        <w:t xml:space="preserve">and cost of ammonia was assumed to be $0.61/kg  </w:t>
      </w:r>
      <w:r w:rsidR="00B64CB2" w:rsidRPr="00CE04FC">
        <w:rPr>
          <w:rFonts w:ascii="Times New Roman" w:hAnsi="Times New Roman" w:cs="Times New Roman"/>
          <w:i w:val="0"/>
          <w:iCs w:val="0"/>
          <w:color w:val="auto"/>
          <w:sz w:val="22"/>
          <w:szCs w:val="22"/>
        </w:rPr>
        <w:fldChar w:fldCharType="begin"/>
      </w:r>
      <w:r w:rsidR="00B64CB2" w:rsidRPr="00CE04FC">
        <w:rPr>
          <w:rFonts w:ascii="Times New Roman" w:hAnsi="Times New Roman" w:cs="Times New Roman"/>
          <w:i w:val="0"/>
          <w:iCs w:val="0"/>
          <w:color w:val="auto"/>
          <w:sz w:val="22"/>
          <w:szCs w:val="22"/>
        </w:rPr>
        <w:instrText xml:space="preserve"> ADDIN EN.CITE &lt;EndNote&gt;&lt;Cite&gt;&lt;Author&gt;EIA&lt;/Author&gt;&lt;Year&gt;2022&lt;/Year&gt;&lt;RecNum&gt;218&lt;/RecNum&gt;&lt;DisplayText&gt;(&lt;style face="bold"&gt;EIA&lt;/style&gt;, 2022; Liu et al., 2024)&lt;/DisplayText&gt;&lt;record&gt;&lt;rec-number&gt;218&lt;/rec-number&gt;&lt;foreign-keys&gt;&lt;key app="EN" db-id="pr50xwwadtst21e5zxqxxx2e0vppzs0zzfpz" timestamp="1705176874"&gt;218&lt;/key&gt;&lt;/foreign-keys&gt;&lt;ref-type name="Web Page"&gt;12&lt;/ref-type&gt;&lt;contributors&gt;&lt;authors&gt;&lt;author&gt;&lt;style face="bold" font="default" size="100%"&gt;EIA&lt;/style&gt;&lt;/author&gt;&lt;/authors&gt;&lt;/contributors&gt;&lt;titles&gt;&lt;title&gt;&lt;style face="bold" font="default" size="100%"&gt;U.S. Energy Information Administration (EIA)&lt;/style&gt;&lt;/title&gt;&lt;/titles&gt;&lt;dates&gt;&lt;year&gt;2022&lt;/year&gt;&lt;/dates&gt;&lt;urls&gt;&lt;related-urls&gt;&lt;url&gt;https://www.eia.gov/&lt;/url&gt;&lt;/related-urls&gt;&lt;/urls&gt;&lt;/record&gt;&lt;/Cite&gt;&lt;Cite&gt;&lt;Author&gt;Liu&lt;/Author&gt;&lt;Year&gt;2024&lt;/Year&gt;&lt;RecNum&gt;278&lt;/RecNum&gt;&lt;record&gt;&lt;rec-number&gt;278&lt;/rec-number&gt;&lt;foreign-keys&gt;&lt;key app="EN" db-id="pr50xwwadtst21e5zxqxxx2e0vppzs0zzfpz" timestamp="1716116151"&gt;278&lt;/key&gt;&lt;/foreign-keys&gt;&lt;ref-type name="Journal Article"&gt;17&lt;/ref-type&gt;&lt;contributors&gt;&lt;authors&gt;&lt;author&gt;Liu, Fubin&lt;/author&gt;&lt;author&gt;Moustafa, Hanan&lt;/author&gt;&lt;author&gt;He, Zhen&lt;/author&gt;&lt;/authors&gt;&lt;/contributors&gt;&lt;titles&gt;&lt;title&gt;Simultaneous recovery of nitrogen and phosphorus from actual digester centrate in an electrochemical membrane system&lt;/title&gt;&lt;secondary-title&gt;Resources, Conservation and Recycling&lt;/secondary-title&gt;&lt;/titles&gt;&lt;periodical&gt;&lt;full-title&gt;Resources, Conservation and Recycling&lt;/full-title&gt;&lt;/periodical&gt;&lt;pages&gt;107463&lt;/pages&gt;&lt;volume&gt;203&lt;/volume&gt;&lt;keywords&gt;&lt;keyword&gt;Resource recovery&lt;/keyword&gt;&lt;keyword&gt;Nutrients&lt;/keyword&gt;&lt;keyword&gt;Digester centrate&lt;/keyword&gt;&lt;keyword&gt;Electrolysis&lt;/keyword&gt;&lt;keyword&gt;Membrane technology&lt;/keyword&gt;&lt;/keywords&gt;&lt;dates&gt;&lt;year&gt;2024&lt;/year&gt;&lt;pub-dates&gt;&lt;date&gt;2024/04/01/&lt;/date&gt;&lt;/pub-dates&gt;&lt;/dates&gt;&lt;isbn&gt;0921-3449&lt;/isbn&gt;&lt;urls&gt;&lt;related-urls&gt;&lt;url&gt;https://www.sciencedirect.com/science/article/pii/S0921344924000570&lt;/url&gt;&lt;/related-urls&gt;&lt;/urls&gt;&lt;electronic-resource-num&gt;https://doi.org/10.1016/j.resconrec.2024.107463&lt;/electronic-resource-num&gt;&lt;/record&gt;&lt;/Cite&gt;&lt;/EndNote&gt;</w:instrText>
      </w:r>
      <w:r w:rsidR="00B64CB2" w:rsidRPr="00CE04FC">
        <w:rPr>
          <w:rFonts w:ascii="Times New Roman" w:hAnsi="Times New Roman" w:cs="Times New Roman"/>
          <w:i w:val="0"/>
          <w:iCs w:val="0"/>
          <w:color w:val="auto"/>
          <w:sz w:val="22"/>
          <w:szCs w:val="22"/>
        </w:rPr>
        <w:fldChar w:fldCharType="separate"/>
      </w:r>
      <w:r w:rsidR="00B64CB2" w:rsidRPr="00CE04FC">
        <w:rPr>
          <w:rFonts w:ascii="Times New Roman" w:hAnsi="Times New Roman" w:cs="Times New Roman"/>
          <w:i w:val="0"/>
          <w:iCs w:val="0"/>
          <w:noProof/>
          <w:color w:val="auto"/>
          <w:sz w:val="22"/>
          <w:szCs w:val="22"/>
        </w:rPr>
        <w:t>(</w:t>
      </w:r>
      <w:r w:rsidR="00B64CB2" w:rsidRPr="00CE04FC">
        <w:rPr>
          <w:rFonts w:ascii="Times New Roman" w:hAnsi="Times New Roman" w:cs="Times New Roman"/>
          <w:bCs/>
          <w:i w:val="0"/>
          <w:iCs w:val="0"/>
          <w:noProof/>
          <w:color w:val="auto"/>
          <w:sz w:val="22"/>
          <w:szCs w:val="22"/>
        </w:rPr>
        <w:t>EIA</w:t>
      </w:r>
      <w:r w:rsidR="00B64CB2" w:rsidRPr="00CE04FC">
        <w:rPr>
          <w:rFonts w:ascii="Times New Roman" w:hAnsi="Times New Roman" w:cs="Times New Roman"/>
          <w:i w:val="0"/>
          <w:iCs w:val="0"/>
          <w:noProof/>
          <w:color w:val="auto"/>
          <w:sz w:val="22"/>
          <w:szCs w:val="22"/>
        </w:rPr>
        <w:t>, 2022; Liu et al., 2024)</w:t>
      </w:r>
      <w:r w:rsidR="00B64CB2" w:rsidRPr="00CE04FC">
        <w:rPr>
          <w:rFonts w:ascii="Times New Roman" w:hAnsi="Times New Roman" w:cs="Times New Roman"/>
          <w:i w:val="0"/>
          <w:iCs w:val="0"/>
          <w:color w:val="auto"/>
          <w:sz w:val="22"/>
          <w:szCs w:val="22"/>
        </w:rPr>
        <w:fldChar w:fldCharType="end"/>
      </w:r>
      <w:r w:rsidR="00B64CB2" w:rsidRPr="00CE04FC">
        <w:rPr>
          <w:rFonts w:ascii="Times New Roman" w:hAnsi="Times New Roman" w:cs="Times New Roman"/>
          <w:i w:val="0"/>
          <w:iCs w:val="0"/>
          <w:color w:val="auto"/>
          <w:sz w:val="22"/>
          <w:szCs w:val="22"/>
        </w:rPr>
        <w:t>.</w:t>
      </w:r>
    </w:p>
    <w:bookmarkEnd w:id="30"/>
    <w:bookmarkEnd w:id="31"/>
    <w:p w14:paraId="38AD8FF9" w14:textId="5CBADACC" w:rsidR="00E106A3" w:rsidRPr="00CE04FC" w:rsidRDefault="00D75860" w:rsidP="00D75860">
      <w:pPr>
        <w:spacing w:line="240" w:lineRule="auto"/>
        <w:jc w:val="both"/>
        <w:rPr>
          <w:rFonts w:ascii="Times New Roman" w:hAnsi="Times New Roman" w:cs="Times New Roman"/>
        </w:rPr>
      </w:pPr>
      <w:r w:rsidRPr="00CE04FC">
        <w:rPr>
          <w:rFonts w:ascii="Times New Roman" w:hAnsi="Times New Roman" w:cs="Times New Roman"/>
        </w:rPr>
        <w:lastRenderedPageBreak/>
        <w:t>However, this claim has been made without the consideration of uncertainties in the system. Considering th</w:t>
      </w:r>
      <w:r w:rsidR="00BF3014" w:rsidRPr="00CE04FC">
        <w:rPr>
          <w:rFonts w:ascii="Times New Roman" w:hAnsi="Times New Roman" w:cs="Times New Roman"/>
        </w:rPr>
        <w:t>ose</w:t>
      </w:r>
      <w:r w:rsidRPr="00CE04FC">
        <w:rPr>
          <w:rFonts w:ascii="Times New Roman" w:hAnsi="Times New Roman" w:cs="Times New Roman"/>
        </w:rPr>
        <w:t xml:space="preserve"> uncertainties, 30-40 % of the </w:t>
      </w:r>
      <w:r w:rsidR="00064E22" w:rsidRPr="00CE04FC">
        <w:rPr>
          <w:rFonts w:ascii="Times New Roman" w:hAnsi="Times New Roman" w:cs="Times New Roman"/>
        </w:rPr>
        <w:t>variation</w:t>
      </w:r>
      <w:r w:rsidRPr="00CE04FC">
        <w:rPr>
          <w:rFonts w:ascii="Times New Roman" w:hAnsi="Times New Roman" w:cs="Times New Roman"/>
        </w:rPr>
        <w:t xml:space="preserve"> in the annual revenue generation from refrigeration</w:t>
      </w:r>
      <w:r w:rsidR="003C05C0" w:rsidRPr="00CE04FC">
        <w:rPr>
          <w:rFonts w:ascii="Times New Roman" w:hAnsi="Times New Roman" w:cs="Times New Roman"/>
        </w:rPr>
        <w:t xml:space="preserve"> </w:t>
      </w:r>
      <w:r w:rsidR="000A718F" w:rsidRPr="00CE04FC">
        <w:rPr>
          <w:rFonts w:ascii="Times New Roman" w:hAnsi="Times New Roman" w:cs="Times New Roman"/>
        </w:rPr>
        <w:t>i</w:t>
      </w:r>
      <w:r w:rsidR="003C05C0" w:rsidRPr="00CE04FC">
        <w:rPr>
          <w:rFonts w:ascii="Times New Roman" w:hAnsi="Times New Roman" w:cs="Times New Roman"/>
        </w:rPr>
        <w:t>s observed</w:t>
      </w:r>
      <w:r w:rsidR="0005356B" w:rsidRPr="00CE04FC">
        <w:rPr>
          <w:rFonts w:ascii="Times New Roman" w:hAnsi="Times New Roman" w:cs="Times New Roman"/>
        </w:rPr>
        <w:t xml:space="preserve">. </w:t>
      </w:r>
      <w:r w:rsidR="005067BA" w:rsidRPr="00CE04FC">
        <w:rPr>
          <w:rFonts w:ascii="Times New Roman" w:hAnsi="Times New Roman" w:cs="Times New Roman"/>
        </w:rPr>
        <w:t xml:space="preserve">Accounting the </w:t>
      </w:r>
      <w:r w:rsidR="00E82A3D" w:rsidRPr="00CE04FC">
        <w:rPr>
          <w:rFonts w:ascii="Times New Roman" w:hAnsi="Times New Roman" w:cs="Times New Roman"/>
        </w:rPr>
        <w:t>uncertainties, t</w:t>
      </w:r>
      <w:r w:rsidR="00E30E08" w:rsidRPr="00CE04FC">
        <w:rPr>
          <w:rFonts w:ascii="Times New Roman" w:hAnsi="Times New Roman" w:cs="Times New Roman"/>
        </w:rPr>
        <w:t>he</w:t>
      </w:r>
      <w:r w:rsidR="002609FB" w:rsidRPr="00CE04FC">
        <w:rPr>
          <w:rFonts w:ascii="Times New Roman" w:hAnsi="Times New Roman" w:cs="Times New Roman"/>
        </w:rPr>
        <w:t xml:space="preserve"> value of </w:t>
      </w:r>
      <w:r w:rsidRPr="00CE04FC">
        <w:rPr>
          <w:rFonts w:ascii="Times New Roman" w:hAnsi="Times New Roman" w:cs="Times New Roman"/>
        </w:rPr>
        <w:t>LCOA increased from 0.65 $/kg to 0.68 $/kg</w:t>
      </w:r>
      <w:r w:rsidR="00E82A3D" w:rsidRPr="00CE04FC">
        <w:rPr>
          <w:rFonts w:ascii="Times New Roman" w:hAnsi="Times New Roman" w:cs="Times New Roman"/>
        </w:rPr>
        <w:t>,</w:t>
      </w:r>
      <w:r w:rsidRPr="00CE04FC">
        <w:rPr>
          <w:rFonts w:ascii="Times New Roman" w:hAnsi="Times New Roman" w:cs="Times New Roman"/>
        </w:rPr>
        <w:t xml:space="preserve"> </w:t>
      </w:r>
      <w:r w:rsidR="00D55AEC" w:rsidRPr="00CE04FC">
        <w:rPr>
          <w:rFonts w:ascii="Times New Roman" w:hAnsi="Times New Roman" w:cs="Times New Roman"/>
        </w:rPr>
        <w:t>escalated</w:t>
      </w:r>
      <w:r w:rsidR="00666F22" w:rsidRPr="00CE04FC">
        <w:rPr>
          <w:rFonts w:ascii="Times New Roman" w:hAnsi="Times New Roman" w:cs="Times New Roman"/>
        </w:rPr>
        <w:t xml:space="preserve"> by 5%, highlighting the economic impact of variability. The 30-40% fluctuation in annual refrigeration revenue underscores the need </w:t>
      </w:r>
      <w:r w:rsidR="004E7ED2" w:rsidRPr="00CE04FC">
        <w:rPr>
          <w:rFonts w:ascii="Times New Roman" w:hAnsi="Times New Roman" w:cs="Times New Roman"/>
        </w:rPr>
        <w:t>to account the uncertainty quantification</w:t>
      </w:r>
      <w:r w:rsidR="00666F22" w:rsidRPr="00CE04FC">
        <w:rPr>
          <w:rFonts w:ascii="Times New Roman" w:hAnsi="Times New Roman" w:cs="Times New Roman"/>
        </w:rPr>
        <w:t xml:space="preserve"> to ensure the economic viability of integrated ammonia production.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E04FC" w:rsidRPr="00CE04FC" w14:paraId="50A3BF01" w14:textId="77777777" w:rsidTr="007D40E1">
        <w:tc>
          <w:tcPr>
            <w:tcW w:w="9016" w:type="dxa"/>
          </w:tcPr>
          <w:p w14:paraId="55845452" w14:textId="0FED1B99" w:rsidR="00D75860" w:rsidRPr="00CE04FC" w:rsidRDefault="007062CF" w:rsidP="004608F1">
            <w:pPr>
              <w:spacing w:before="240"/>
              <w:jc w:val="center"/>
              <w:rPr>
                <w:rFonts w:ascii="Times New Roman" w:hAnsi="Times New Roman" w:cs="Times New Roman"/>
              </w:rPr>
            </w:pPr>
            <w:r w:rsidRPr="00CE04FC">
              <w:rPr>
                <w:rFonts w:ascii="Times New Roman" w:hAnsi="Times New Roman" w:cs="Times New Roman"/>
                <w:noProof/>
              </w:rPr>
              <w:drawing>
                <wp:inline distT="0" distB="0" distL="0" distR="0" wp14:anchorId="1648844B" wp14:editId="49ACBC4D">
                  <wp:extent cx="3497783" cy="2160000"/>
                  <wp:effectExtent l="0" t="0" r="7620" b="0"/>
                  <wp:docPr id="1133233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233314" name=""/>
                          <pic:cNvPicPr/>
                        </pic:nvPicPr>
                        <pic:blipFill rotWithShape="1">
                          <a:blip r:embed="rId35"/>
                          <a:srcRect t="6084"/>
                          <a:stretch/>
                        </pic:blipFill>
                        <pic:spPr bwMode="auto">
                          <a:xfrm>
                            <a:off x="0" y="0"/>
                            <a:ext cx="3497783"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CE04FC" w:rsidRPr="00CE04FC" w14:paraId="1505152D" w14:textId="77777777" w:rsidTr="007D40E1">
        <w:tc>
          <w:tcPr>
            <w:tcW w:w="9016" w:type="dxa"/>
          </w:tcPr>
          <w:p w14:paraId="34E374D0" w14:textId="45BE389A" w:rsidR="00D75860" w:rsidRPr="00CE04FC" w:rsidRDefault="00D75860" w:rsidP="00D75860">
            <w:pPr>
              <w:spacing w:after="200"/>
              <w:jc w:val="center"/>
              <w:rPr>
                <w:rFonts w:ascii="Times New Roman" w:hAnsi="Times New Roman" w:cs="Times New Roman"/>
                <w:i/>
                <w:iCs/>
              </w:rPr>
            </w:pPr>
            <w:bookmarkStart w:id="32" w:name="_Ref186979278"/>
            <w:r w:rsidRPr="00CE04FC">
              <w:rPr>
                <w:rFonts w:ascii="Times New Roman" w:hAnsi="Times New Roman" w:cs="Times New Roman"/>
              </w:rPr>
              <w:t xml:space="preserve">Figure </w:t>
            </w:r>
            <w:r w:rsidRPr="00CE04FC">
              <w:rPr>
                <w:rFonts w:ascii="Times New Roman" w:hAnsi="Times New Roman" w:cs="Times New Roman"/>
              </w:rPr>
              <w:fldChar w:fldCharType="begin"/>
            </w:r>
            <w:r w:rsidRPr="00CE04FC">
              <w:rPr>
                <w:rFonts w:ascii="Times New Roman" w:hAnsi="Times New Roman" w:cs="Times New Roman"/>
              </w:rPr>
              <w:instrText xml:space="preserve"> SEQ Figure \* ARABIC </w:instrText>
            </w:r>
            <w:r w:rsidRPr="00CE04FC">
              <w:rPr>
                <w:rFonts w:ascii="Times New Roman" w:hAnsi="Times New Roman" w:cs="Times New Roman"/>
              </w:rPr>
              <w:fldChar w:fldCharType="separate"/>
            </w:r>
            <w:r w:rsidR="001476C8" w:rsidRPr="00CE04FC">
              <w:rPr>
                <w:rFonts w:ascii="Times New Roman" w:hAnsi="Times New Roman" w:cs="Times New Roman"/>
                <w:noProof/>
              </w:rPr>
              <w:t>15</w:t>
            </w:r>
            <w:r w:rsidRPr="00CE04FC">
              <w:rPr>
                <w:rFonts w:ascii="Times New Roman" w:hAnsi="Times New Roman" w:cs="Times New Roman"/>
              </w:rPr>
              <w:fldChar w:fldCharType="end"/>
            </w:r>
            <w:bookmarkEnd w:id="32"/>
            <w:r w:rsidRPr="00CE04FC">
              <w:rPr>
                <w:rFonts w:ascii="Times New Roman" w:hAnsi="Times New Roman" w:cs="Times New Roman"/>
              </w:rPr>
              <w:t xml:space="preserve"> </w:t>
            </w:r>
            <w:r w:rsidR="00CF7C5B" w:rsidRPr="00CE04FC">
              <w:rPr>
                <w:rFonts w:ascii="Times New Roman" w:hAnsi="Times New Roman" w:cs="Times New Roman"/>
              </w:rPr>
              <w:t>Variation</w:t>
            </w:r>
            <w:r w:rsidRPr="00CE04FC">
              <w:rPr>
                <w:rFonts w:ascii="Times New Roman" w:hAnsi="Times New Roman" w:cs="Times New Roman"/>
              </w:rPr>
              <w:t xml:space="preserve"> in revenue generation due to uncertainties in </w:t>
            </w:r>
            <w:r w:rsidR="00E106A3" w:rsidRPr="00CE04FC">
              <w:rPr>
                <w:rFonts w:ascii="Times New Roman" w:hAnsi="Times New Roman" w:cs="Times New Roman"/>
              </w:rPr>
              <w:t xml:space="preserve">the </w:t>
            </w:r>
            <w:r w:rsidRPr="00CE04FC">
              <w:rPr>
                <w:rFonts w:ascii="Times New Roman" w:hAnsi="Times New Roman" w:cs="Times New Roman"/>
              </w:rPr>
              <w:t>hybridised ammonia production system</w:t>
            </w:r>
            <w:r w:rsidR="00B232C9" w:rsidRPr="00CE04FC">
              <w:rPr>
                <w:rFonts w:ascii="Times New Roman" w:hAnsi="Times New Roman" w:cs="Times New Roman"/>
              </w:rPr>
              <w:t xml:space="preserve"> for </w:t>
            </w:r>
            <w:r w:rsidR="007B417D" w:rsidRPr="00CE04FC">
              <w:rPr>
                <w:rFonts w:ascii="Times New Roman" w:hAnsi="Times New Roman" w:cs="Times New Roman"/>
              </w:rPr>
              <w:t xml:space="preserve">different values of </w:t>
            </w:r>
            <w:r w:rsidR="00B232C9" w:rsidRPr="00CE04FC">
              <w:rPr>
                <w:rFonts w:ascii="Times New Roman" w:hAnsi="Times New Roman" w:cs="Times New Roman"/>
              </w:rPr>
              <w:t>nominal power input</w:t>
            </w:r>
            <w:r w:rsidR="006A766C" w:rsidRPr="00CE04FC">
              <w:rPr>
                <w:rFonts w:ascii="Times New Roman" w:hAnsi="Times New Roman" w:cs="Times New Roman"/>
              </w:rPr>
              <w:t>.</w:t>
            </w:r>
          </w:p>
        </w:tc>
      </w:tr>
    </w:tbl>
    <w:p w14:paraId="7F0A0901" w14:textId="77777777" w:rsidR="00D75860" w:rsidRPr="00CE04FC" w:rsidRDefault="00D75860" w:rsidP="004E4128">
      <w:pPr>
        <w:pStyle w:val="Heading1"/>
        <w:rPr>
          <w:rFonts w:cs="Times New Roman"/>
          <w:szCs w:val="22"/>
        </w:rPr>
      </w:pPr>
      <w:r w:rsidRPr="00CE04FC">
        <w:rPr>
          <w:rFonts w:cs="Times New Roman"/>
          <w:szCs w:val="22"/>
        </w:rPr>
        <w:t>Conclusions</w:t>
      </w:r>
    </w:p>
    <w:p w14:paraId="514D61EE" w14:textId="23AE0CCE" w:rsidR="009F4A85" w:rsidRPr="00CE04FC" w:rsidRDefault="00A00A34" w:rsidP="009F4A85">
      <w:pPr>
        <w:spacing w:after="100" w:afterAutospacing="1" w:line="240" w:lineRule="auto"/>
        <w:jc w:val="both"/>
        <w:rPr>
          <w:rFonts w:ascii="Times New Roman" w:eastAsia="Times New Roman" w:hAnsi="Times New Roman" w:cs="Times New Roman"/>
          <w:kern w:val="0"/>
          <w14:ligatures w14:val="none"/>
        </w:rPr>
      </w:pPr>
      <w:r w:rsidRPr="00CE04FC">
        <w:rPr>
          <w:rFonts w:ascii="Times New Roman" w:eastAsia="Times New Roman" w:hAnsi="Times New Roman" w:cs="Times New Roman"/>
          <w:kern w:val="0"/>
          <w14:ligatures w14:val="none"/>
        </w:rPr>
        <w:t>This study introduced a robust machine learning–enhanced uncertainty quantification (ML-UQ) framework to evaluate the technoeconomic and environmental performance of a hybrid ammonia production system powered by renewable energy. High-fidelity Aspen Plus simulations were performed across six nominal power inputs (10–20 MW) to generate a dataset for training a feedforward artificial neural network (ANN) with autoregressive feedback. The ANN surrogate accurately captured the complex nonlinear interactions among six key uncertain parameters—renewable power input, four heat exchanger effectiveness values, and compressor efficiency—and critical outputs, including ammonia production and refrigeration capacity. Statistical metrics confirmed its predictive fidelity: R² = 0.97, MAE = 8.57, RMSE = 11.3, and Grayson Index = 0.98, validating its use for subsequent uncertainty propagation via polynomial chaos expansion. UQ analysis revealed strong sensitivity of system outputs to parameter uncertainties: ammonia production varied by up to 18%, refrigeration output by 30%, and CO₂ emissions reduction potential by 40–50%. Heat exchanger effectiveness emerged as the dominant contributor, accounting for nearly 50% of total variability. Economically, uncertainties led to a modest 5% increase in the levelized cost of ammonia, with 30–40% variability in annual refrigeration revenue. The ML-UQ methodology enabled a scalable and computationally efficient assessment of nonlinear system behaviour under uncertainty, reducing computational cost by three orders of magnitude while maintaining high predictive accuracy. This efficiency facilitates analysis of complex, large-scale systems and provides critical insights into the resilience and reliability of renewable-integrated ammonia processes under quasi-steady-state conditions. While the study assumed independent, uniformly distributed uncertainties and did not capture short-term dynamics, it lays a foundation for future work incorporating unsteady-state effects, temporal dynamics, and correlated or non-uniform inputs to more closely reflect real-world operations. Overall, this work advances surrogate-assisted UQ and demonstrates the value of combining machine learning with process modelling for the optimisation of next-generation sustainable energy technologies. The proposed framework is generalisable and practical, offering an effective approach for uncertainty-aware decision-making in complex energy and manufacturing systems.</w:t>
      </w:r>
      <w:r w:rsidR="009F4A85" w:rsidRPr="00CE04FC">
        <w:rPr>
          <w:rFonts w:ascii="Times New Roman" w:hAnsi="Times New Roman" w:cs="Times New Roman"/>
          <w:b/>
          <w:bCs/>
        </w:rPr>
        <w:br w:type="page"/>
      </w:r>
    </w:p>
    <w:p w14:paraId="6809A857" w14:textId="77777777" w:rsidR="009F4A85" w:rsidRPr="00CE04FC" w:rsidRDefault="009F4A85" w:rsidP="009F4A85">
      <w:pPr>
        <w:spacing w:before="240" w:line="240" w:lineRule="auto"/>
        <w:jc w:val="both"/>
        <w:rPr>
          <w:rFonts w:ascii="Times New Roman" w:hAnsi="Times New Roman" w:cs="Times New Roman"/>
        </w:rPr>
      </w:pPr>
      <w:r w:rsidRPr="00CE04FC">
        <w:rPr>
          <w:rFonts w:ascii="Times New Roman" w:hAnsi="Times New Roman" w:cs="Times New Roman"/>
          <w:b/>
          <w:bCs/>
        </w:rPr>
        <w:lastRenderedPageBreak/>
        <w:t>Acknowledgement:</w:t>
      </w:r>
      <w:r w:rsidRPr="00CE04FC">
        <w:rPr>
          <w:rFonts w:ascii="Times New Roman" w:hAnsi="Times New Roman" w:cs="Times New Roman"/>
        </w:rPr>
        <w:t xml:space="preserve"> Muzumil Anwar acknowledges the support of the Higher Education Commission (HEC), Ministry of Education, Pakistan for PhD scholarship. N. Karimi acknowledges the financial support provided by EPSRC through grant number EP/X019551/1.</w:t>
      </w:r>
    </w:p>
    <w:p w14:paraId="558BF688" w14:textId="77777777" w:rsidR="009F4A85" w:rsidRPr="00CE04FC" w:rsidRDefault="009F4A85" w:rsidP="009F4A85">
      <w:pPr>
        <w:spacing w:before="240" w:line="240" w:lineRule="auto"/>
        <w:jc w:val="both"/>
        <w:rPr>
          <w:rFonts w:ascii="Times New Roman" w:hAnsi="Times New Roman" w:cs="Times New Roman"/>
        </w:rPr>
      </w:pPr>
      <w:r w:rsidRPr="00CE04FC">
        <w:rPr>
          <w:rFonts w:ascii="Times New Roman" w:hAnsi="Times New Roman" w:cs="Times New Roman"/>
        </w:rPr>
        <w:t>During the preparation of this work the authors used Chat GPT in order to improve the clarity of text in some parts of the manuscript. After using this service, the authors reviewed and edited the content as needed and take full responsibility for the content of the publication.</w:t>
      </w:r>
    </w:p>
    <w:p w14:paraId="67F34707" w14:textId="77777777" w:rsidR="00D75860" w:rsidRPr="00CE04FC" w:rsidRDefault="00D75860" w:rsidP="009F4A85">
      <w:pPr>
        <w:spacing w:before="240"/>
        <w:rPr>
          <w:rFonts w:ascii="Times New Roman" w:hAnsi="Times New Roman" w:cs="Times New Roman"/>
          <w:b/>
          <w:bCs/>
        </w:rPr>
      </w:pPr>
      <w:r w:rsidRPr="00CE04FC">
        <w:rPr>
          <w:rFonts w:ascii="Times New Roman" w:hAnsi="Times New Roman" w:cs="Times New Roman"/>
          <w:b/>
          <w:bCs/>
        </w:rPr>
        <w:t>References</w:t>
      </w:r>
    </w:p>
    <w:p w14:paraId="719BEB40" w14:textId="77777777" w:rsidR="009D018F" w:rsidRPr="00CE04FC" w:rsidRDefault="00D75860" w:rsidP="009D018F">
      <w:pPr>
        <w:pStyle w:val="EndNoteBibliography"/>
        <w:spacing w:after="0"/>
        <w:ind w:left="720" w:hanging="720"/>
        <w:rPr>
          <w:rFonts w:ascii="Times New Roman" w:hAnsi="Times New Roman"/>
        </w:rPr>
      </w:pPr>
      <w:r w:rsidRPr="00CE04FC">
        <w:rPr>
          <w:rFonts w:ascii="Times New Roman" w:hAnsi="Times New Roman"/>
        </w:rPr>
        <w:fldChar w:fldCharType="begin"/>
      </w:r>
      <w:r w:rsidRPr="00CE04FC">
        <w:rPr>
          <w:rFonts w:ascii="Times New Roman" w:hAnsi="Times New Roman"/>
        </w:rPr>
        <w:instrText xml:space="preserve"> ADDIN EN.REFLIST </w:instrText>
      </w:r>
      <w:r w:rsidRPr="00CE04FC">
        <w:rPr>
          <w:rFonts w:ascii="Times New Roman" w:hAnsi="Times New Roman"/>
        </w:rPr>
        <w:fldChar w:fldCharType="separate"/>
      </w:r>
      <w:r w:rsidR="009D018F" w:rsidRPr="00CE04FC">
        <w:rPr>
          <w:rFonts w:ascii="Times New Roman" w:hAnsi="Times New Roman"/>
        </w:rPr>
        <w:t xml:space="preserve">Abdar, M., Pourpanah, F., Hussain, S., Rezazadegan, D., Liu, L., Ghavamzadeh, M., Fieguth, P., Cao, X., Khosravi, A., &amp; Acharya, U. R. (2021). A review of uncertainty quantification in deep learning: Techniques, applications and challenges. </w:t>
      </w:r>
      <w:r w:rsidR="009D018F" w:rsidRPr="00CE04FC">
        <w:rPr>
          <w:rFonts w:ascii="Times New Roman" w:hAnsi="Times New Roman"/>
          <w:i/>
        </w:rPr>
        <w:t>Information fusion</w:t>
      </w:r>
      <w:r w:rsidR="009D018F" w:rsidRPr="00CE04FC">
        <w:rPr>
          <w:rFonts w:ascii="Times New Roman" w:hAnsi="Times New Roman"/>
        </w:rPr>
        <w:t>,</w:t>
      </w:r>
      <w:r w:rsidR="009D018F" w:rsidRPr="00CE04FC">
        <w:rPr>
          <w:rFonts w:ascii="Times New Roman" w:hAnsi="Times New Roman"/>
          <w:i/>
        </w:rPr>
        <w:t xml:space="preserve"> 76</w:t>
      </w:r>
      <w:r w:rsidR="009D018F" w:rsidRPr="00CE04FC">
        <w:rPr>
          <w:rFonts w:ascii="Times New Roman" w:hAnsi="Times New Roman"/>
        </w:rPr>
        <w:t xml:space="preserve">, 243-297. </w:t>
      </w:r>
    </w:p>
    <w:p w14:paraId="4900CB5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Adeli, K., Nachtane, M., Tarfaoui, M., Faik, A., Pollet, B., &amp; Saifaoui, D. (2024). Deep learning analysis of green ammonia synthesis: Evaluating techno-economic feasibility for sustainable production.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87</w:t>
      </w:r>
      <w:r w:rsidRPr="00CE04FC">
        <w:rPr>
          <w:rFonts w:ascii="Times New Roman" w:hAnsi="Times New Roman"/>
        </w:rPr>
        <w:t xml:space="preserve">, 1224-1232. </w:t>
      </w:r>
    </w:p>
    <w:p w14:paraId="283FB196"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Almodfer, R., Zayed, M. E., Abd Elaziz, M., Aboelmaaref, M. M., Mudhsh, M., &amp; Elsheikh, A. H. (2022). Modeling of a solar-powered thermoelectric air-conditioning system using a random vector functional link network integrated with jellyfish search algorithm. </w:t>
      </w:r>
      <w:r w:rsidRPr="00CE04FC">
        <w:rPr>
          <w:rFonts w:ascii="Times New Roman" w:hAnsi="Times New Roman"/>
          <w:i/>
        </w:rPr>
        <w:t>Case Studies in Thermal Engineering</w:t>
      </w:r>
      <w:r w:rsidRPr="00CE04FC">
        <w:rPr>
          <w:rFonts w:ascii="Times New Roman" w:hAnsi="Times New Roman"/>
        </w:rPr>
        <w:t>,</w:t>
      </w:r>
      <w:r w:rsidRPr="00CE04FC">
        <w:rPr>
          <w:rFonts w:ascii="Times New Roman" w:hAnsi="Times New Roman"/>
          <w:i/>
        </w:rPr>
        <w:t xml:space="preserve"> 31</w:t>
      </w:r>
      <w:r w:rsidRPr="00CE04FC">
        <w:rPr>
          <w:rFonts w:ascii="Times New Roman" w:hAnsi="Times New Roman"/>
        </w:rPr>
        <w:t xml:space="preserve">, 101797. </w:t>
      </w:r>
    </w:p>
    <w:p w14:paraId="33246830"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Anwar, M., Mehdizadeh, A., &amp; Karimi, N. (2024). Waste heat recovery from a green ammonia production plant by Kalina and vapour absorption refrigeration cycles: A comparative energy, exergy, environmental and economic analysis. </w:t>
      </w:r>
      <w:r w:rsidRPr="00CE04FC">
        <w:rPr>
          <w:rFonts w:ascii="Times New Roman" w:hAnsi="Times New Roman"/>
          <w:i/>
        </w:rPr>
        <w:t>Sustainable Energy Technologies and Assessments</w:t>
      </w:r>
      <w:r w:rsidRPr="00CE04FC">
        <w:rPr>
          <w:rFonts w:ascii="Times New Roman" w:hAnsi="Times New Roman"/>
        </w:rPr>
        <w:t>,</w:t>
      </w:r>
      <w:r w:rsidRPr="00CE04FC">
        <w:rPr>
          <w:rFonts w:ascii="Times New Roman" w:hAnsi="Times New Roman"/>
          <w:i/>
        </w:rPr>
        <w:t xml:space="preserve"> 69</w:t>
      </w:r>
      <w:r w:rsidRPr="00CE04FC">
        <w:rPr>
          <w:rFonts w:ascii="Times New Roman" w:hAnsi="Times New Roman"/>
        </w:rPr>
        <w:t xml:space="preserve">, 103916. </w:t>
      </w:r>
    </w:p>
    <w:p w14:paraId="72DDAE74" w14:textId="49D85B82"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Bert Debusschere, C. C., Cosmin Safta, Katherine Johnston, Kenny Chowdhary. (2024). UQ Toolkit. UQ Toolkit version 3.1.1. </w:t>
      </w:r>
      <w:hyperlink r:id="rId36" w:history="1">
        <w:r w:rsidRPr="00CE04FC">
          <w:rPr>
            <w:rStyle w:val="Hyperlink"/>
            <w:rFonts w:ascii="Times New Roman" w:hAnsi="Times New Roman"/>
            <w:color w:val="auto"/>
          </w:rPr>
          <w:t>https://www.sandia.gov/uqtoolkit/</w:t>
        </w:r>
      </w:hyperlink>
      <w:r w:rsidRPr="00CE04FC">
        <w:rPr>
          <w:rFonts w:ascii="Times New Roman" w:hAnsi="Times New Roman"/>
        </w:rPr>
        <w:t xml:space="preserve"> </w:t>
      </w:r>
    </w:p>
    <w:p w14:paraId="20B7F660"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Bilionis, I., &amp; Zabaras, N. (2012). Multi-output local Gaussian process regression: Applications to uncertainty quantification. </w:t>
      </w:r>
      <w:r w:rsidRPr="00CE04FC">
        <w:rPr>
          <w:rFonts w:ascii="Times New Roman" w:hAnsi="Times New Roman"/>
          <w:i/>
        </w:rPr>
        <w:t>Journal of computational Physics</w:t>
      </w:r>
      <w:r w:rsidRPr="00CE04FC">
        <w:rPr>
          <w:rFonts w:ascii="Times New Roman" w:hAnsi="Times New Roman"/>
        </w:rPr>
        <w:t>,</w:t>
      </w:r>
      <w:r w:rsidRPr="00CE04FC">
        <w:rPr>
          <w:rFonts w:ascii="Times New Roman" w:hAnsi="Times New Roman"/>
          <w:i/>
        </w:rPr>
        <w:t xml:space="preserve"> 231</w:t>
      </w:r>
      <w:r w:rsidRPr="00CE04FC">
        <w:rPr>
          <w:rFonts w:ascii="Times New Roman" w:hAnsi="Times New Roman"/>
        </w:rPr>
        <w:t xml:space="preserve">(17), 5718-5746. </w:t>
      </w:r>
    </w:p>
    <w:p w14:paraId="6974CA66" w14:textId="05D34054"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Brown, C. E. (1998). Coefficient of Variation. In C. E. Brown (Ed.), </w:t>
      </w:r>
      <w:r w:rsidRPr="00CE04FC">
        <w:rPr>
          <w:rFonts w:ascii="Times New Roman" w:hAnsi="Times New Roman"/>
          <w:i/>
        </w:rPr>
        <w:t>Applied Multivariate Statistics in Geohydrology and Related Sciences</w:t>
      </w:r>
      <w:r w:rsidRPr="00CE04FC">
        <w:rPr>
          <w:rFonts w:ascii="Times New Roman" w:hAnsi="Times New Roman"/>
        </w:rPr>
        <w:t xml:space="preserve"> (pp. 155-157). Springer Berlin Heidelberg. </w:t>
      </w:r>
      <w:hyperlink r:id="rId37" w:history="1">
        <w:r w:rsidRPr="00CE04FC">
          <w:rPr>
            <w:rStyle w:val="Hyperlink"/>
            <w:rFonts w:ascii="Times New Roman" w:hAnsi="Times New Roman"/>
            <w:color w:val="auto"/>
          </w:rPr>
          <w:t>https://doi.org/10.1007/978-3-642-80328-4_13</w:t>
        </w:r>
      </w:hyperlink>
      <w:r w:rsidRPr="00CE04FC">
        <w:rPr>
          <w:rFonts w:ascii="Times New Roman" w:hAnsi="Times New Roman"/>
        </w:rPr>
        <w:t xml:space="preserve"> </w:t>
      </w:r>
    </w:p>
    <w:p w14:paraId="27A30CE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Chen, Z., Zhang, Y., Wang, H., Ouyang, X., &amp; Xie, Y. (2022). Can green credit policy promote low-carbon technology innovation? </w:t>
      </w:r>
      <w:r w:rsidRPr="00CE04FC">
        <w:rPr>
          <w:rFonts w:ascii="Times New Roman" w:hAnsi="Times New Roman"/>
          <w:i/>
        </w:rPr>
        <w:t>Journal of Cleaner Production</w:t>
      </w:r>
      <w:r w:rsidRPr="00CE04FC">
        <w:rPr>
          <w:rFonts w:ascii="Times New Roman" w:hAnsi="Times New Roman"/>
        </w:rPr>
        <w:t>,</w:t>
      </w:r>
      <w:r w:rsidRPr="00CE04FC">
        <w:rPr>
          <w:rFonts w:ascii="Times New Roman" w:hAnsi="Times New Roman"/>
          <w:i/>
        </w:rPr>
        <w:t xml:space="preserve"> 359</w:t>
      </w:r>
      <w:r w:rsidRPr="00CE04FC">
        <w:rPr>
          <w:rFonts w:ascii="Times New Roman" w:hAnsi="Times New Roman"/>
        </w:rPr>
        <w:t xml:space="preserve">, 132061. </w:t>
      </w:r>
    </w:p>
    <w:p w14:paraId="3F2B1186"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Chitransh, A., &amp; Bindal, R. K. (2021). A Review on Energy Storage System of Smart Grid System. </w:t>
      </w:r>
      <w:r w:rsidRPr="00CE04FC">
        <w:rPr>
          <w:rFonts w:ascii="Times New Roman" w:hAnsi="Times New Roman"/>
          <w:i/>
        </w:rPr>
        <w:t>published in International Journal of Science and Research (IJSR)</w:t>
      </w:r>
      <w:r w:rsidRPr="00CE04FC">
        <w:rPr>
          <w:rFonts w:ascii="Times New Roman" w:hAnsi="Times New Roman"/>
        </w:rPr>
        <w:t>,</w:t>
      </w:r>
      <w:r w:rsidRPr="00CE04FC">
        <w:rPr>
          <w:rFonts w:ascii="Times New Roman" w:hAnsi="Times New Roman"/>
          <w:i/>
        </w:rPr>
        <w:t xml:space="preserve"> 10</w:t>
      </w:r>
      <w:r w:rsidRPr="00CE04FC">
        <w:rPr>
          <w:rFonts w:ascii="Times New Roman" w:hAnsi="Times New Roman"/>
        </w:rPr>
        <w:t xml:space="preserve">(6). </w:t>
      </w:r>
    </w:p>
    <w:p w14:paraId="6D4CC909"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Davidson, J. (1994). </w:t>
      </w:r>
      <w:r w:rsidRPr="00CE04FC">
        <w:rPr>
          <w:rFonts w:ascii="Times New Roman" w:hAnsi="Times New Roman"/>
          <w:i/>
        </w:rPr>
        <w:t>Stochastic limit theory: An introduction for econometricians</w:t>
      </w:r>
      <w:r w:rsidRPr="00CE04FC">
        <w:rPr>
          <w:rFonts w:ascii="Times New Roman" w:hAnsi="Times New Roman"/>
        </w:rPr>
        <w:t xml:space="preserve">. OUP Oxford. </w:t>
      </w:r>
    </w:p>
    <w:p w14:paraId="6B92DC1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Deng, Z., Zhang, L., Miao, B., Liu, Q., Pan, Z., Zhang, W., Ding, O. L., &amp; Chan, S. H. (2024). A novel combination of machine learning and intelligent optimization algorithm for modeling and optimization of green ammonia synthesis. </w:t>
      </w:r>
      <w:r w:rsidRPr="00CE04FC">
        <w:rPr>
          <w:rFonts w:ascii="Times New Roman" w:hAnsi="Times New Roman"/>
          <w:i/>
        </w:rPr>
        <w:t>Energy Conversion and Management</w:t>
      </w:r>
      <w:r w:rsidRPr="00CE04FC">
        <w:rPr>
          <w:rFonts w:ascii="Times New Roman" w:hAnsi="Times New Roman"/>
        </w:rPr>
        <w:t>,</w:t>
      </w:r>
      <w:r w:rsidRPr="00CE04FC">
        <w:rPr>
          <w:rFonts w:ascii="Times New Roman" w:hAnsi="Times New Roman"/>
          <w:i/>
        </w:rPr>
        <w:t xml:space="preserve"> 311</w:t>
      </w:r>
      <w:r w:rsidRPr="00CE04FC">
        <w:rPr>
          <w:rFonts w:ascii="Times New Roman" w:hAnsi="Times New Roman"/>
        </w:rPr>
        <w:t xml:space="preserve">, 118429. </w:t>
      </w:r>
    </w:p>
    <w:p w14:paraId="49A14418" w14:textId="18D8E592"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Díaz-Motta, A., Díaz-González, F., &amp; Villa-Arrieta, M. (2023). Energy sustainability assessment of offshore wind-powered ammonia. </w:t>
      </w:r>
      <w:r w:rsidRPr="00CE04FC">
        <w:rPr>
          <w:rFonts w:ascii="Times New Roman" w:hAnsi="Times New Roman"/>
          <w:i/>
        </w:rPr>
        <w:t>Journal of Cleaner Production</w:t>
      </w:r>
      <w:r w:rsidRPr="00CE04FC">
        <w:rPr>
          <w:rFonts w:ascii="Times New Roman" w:hAnsi="Times New Roman"/>
        </w:rPr>
        <w:t>,</w:t>
      </w:r>
      <w:r w:rsidRPr="00CE04FC">
        <w:rPr>
          <w:rFonts w:ascii="Times New Roman" w:hAnsi="Times New Roman"/>
          <w:i/>
        </w:rPr>
        <w:t xml:space="preserve"> 420</w:t>
      </w:r>
      <w:r w:rsidRPr="00CE04FC">
        <w:rPr>
          <w:rFonts w:ascii="Times New Roman" w:hAnsi="Times New Roman"/>
        </w:rPr>
        <w:t xml:space="preserve">, 138419. </w:t>
      </w:r>
      <w:hyperlink r:id="rId38" w:history="1">
        <w:r w:rsidRPr="00CE04FC">
          <w:rPr>
            <w:rStyle w:val="Hyperlink"/>
            <w:rFonts w:ascii="Times New Roman" w:hAnsi="Times New Roman"/>
            <w:color w:val="auto"/>
          </w:rPr>
          <w:t>https://doi.org/https://doi.org/10.1016/j.jclepro.2023.138419</w:t>
        </w:r>
      </w:hyperlink>
      <w:r w:rsidRPr="00CE04FC">
        <w:rPr>
          <w:rFonts w:ascii="Times New Roman" w:hAnsi="Times New Roman"/>
        </w:rPr>
        <w:t xml:space="preserve"> </w:t>
      </w:r>
    </w:p>
    <w:p w14:paraId="4628A62A"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Egolfopoulos, F. N., Hansen, N., Ju, Y., Kohse-Höinghaus, K., Law, C. K., &amp; Qi, F. (2014). Advances and challenges in laminar flame experiments and implications for combustion chemistry. </w:t>
      </w:r>
      <w:r w:rsidRPr="00CE04FC">
        <w:rPr>
          <w:rFonts w:ascii="Times New Roman" w:hAnsi="Times New Roman"/>
          <w:i/>
        </w:rPr>
        <w:t>Progress in Energy and Combustion Science</w:t>
      </w:r>
      <w:r w:rsidRPr="00CE04FC">
        <w:rPr>
          <w:rFonts w:ascii="Times New Roman" w:hAnsi="Times New Roman"/>
        </w:rPr>
        <w:t>,</w:t>
      </w:r>
      <w:r w:rsidRPr="00CE04FC">
        <w:rPr>
          <w:rFonts w:ascii="Times New Roman" w:hAnsi="Times New Roman"/>
          <w:i/>
        </w:rPr>
        <w:t xml:space="preserve"> 43</w:t>
      </w:r>
      <w:r w:rsidRPr="00CE04FC">
        <w:rPr>
          <w:rFonts w:ascii="Times New Roman" w:hAnsi="Times New Roman"/>
        </w:rPr>
        <w:t xml:space="preserve">, 36-67. </w:t>
      </w:r>
    </w:p>
    <w:p w14:paraId="3BECCCE4" w14:textId="2553E2A2"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b/>
        </w:rPr>
        <w:t>EIA</w:t>
      </w:r>
      <w:r w:rsidRPr="00CE04FC">
        <w:rPr>
          <w:rFonts w:ascii="Times New Roman" w:hAnsi="Times New Roman"/>
        </w:rPr>
        <w:t xml:space="preserve">. (2022). </w:t>
      </w:r>
      <w:r w:rsidRPr="00CE04FC">
        <w:rPr>
          <w:rFonts w:ascii="Times New Roman" w:hAnsi="Times New Roman"/>
          <w:b/>
          <w:i/>
        </w:rPr>
        <w:t>U.S. Energy Information Administration (EIA)</w:t>
      </w:r>
      <w:r w:rsidRPr="00CE04FC">
        <w:rPr>
          <w:rFonts w:ascii="Times New Roman" w:hAnsi="Times New Roman"/>
        </w:rPr>
        <w:t xml:space="preserve">. </w:t>
      </w:r>
      <w:hyperlink r:id="rId39" w:history="1">
        <w:r w:rsidRPr="00CE04FC">
          <w:rPr>
            <w:rStyle w:val="Hyperlink"/>
            <w:rFonts w:ascii="Times New Roman" w:hAnsi="Times New Roman"/>
            <w:color w:val="auto"/>
          </w:rPr>
          <w:t>https://www.eia.gov/</w:t>
        </w:r>
      </w:hyperlink>
    </w:p>
    <w:p w14:paraId="44D3001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El-Maghraby, R. M., Mohamed, A. Y., &amp; Hassanean, M. (2024). Improving energy efficiency in ammonia production plants using machine learning. </w:t>
      </w:r>
      <w:r w:rsidRPr="00CE04FC">
        <w:rPr>
          <w:rFonts w:ascii="Times New Roman" w:hAnsi="Times New Roman"/>
          <w:i/>
        </w:rPr>
        <w:t>Fuel</w:t>
      </w:r>
      <w:r w:rsidRPr="00CE04FC">
        <w:rPr>
          <w:rFonts w:ascii="Times New Roman" w:hAnsi="Times New Roman"/>
        </w:rPr>
        <w:t>,</w:t>
      </w:r>
      <w:r w:rsidRPr="00CE04FC">
        <w:rPr>
          <w:rFonts w:ascii="Times New Roman" w:hAnsi="Times New Roman"/>
          <w:i/>
        </w:rPr>
        <w:t xml:space="preserve"> 363</w:t>
      </w:r>
      <w:r w:rsidRPr="00CE04FC">
        <w:rPr>
          <w:rFonts w:ascii="Times New Roman" w:hAnsi="Times New Roman"/>
        </w:rPr>
        <w:t xml:space="preserve">, 130910. </w:t>
      </w:r>
    </w:p>
    <w:p w14:paraId="4B3A1312"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Frattini, D., Cinti, G., Bidini, G., Desideri, U., Cioffi, R., &amp; Jannelli, E. (2016). A system approach in energy evaluation of different renewable energies sources integration in ammonia production plants. </w:t>
      </w:r>
      <w:r w:rsidRPr="00CE04FC">
        <w:rPr>
          <w:rFonts w:ascii="Times New Roman" w:hAnsi="Times New Roman"/>
          <w:i/>
        </w:rPr>
        <w:t>Renewable Energy</w:t>
      </w:r>
      <w:r w:rsidRPr="00CE04FC">
        <w:rPr>
          <w:rFonts w:ascii="Times New Roman" w:hAnsi="Times New Roman"/>
        </w:rPr>
        <w:t>,</w:t>
      </w:r>
      <w:r w:rsidRPr="00CE04FC">
        <w:rPr>
          <w:rFonts w:ascii="Times New Roman" w:hAnsi="Times New Roman"/>
          <w:i/>
        </w:rPr>
        <w:t xml:space="preserve"> 99</w:t>
      </w:r>
      <w:r w:rsidRPr="00CE04FC">
        <w:rPr>
          <w:rFonts w:ascii="Times New Roman" w:hAnsi="Times New Roman"/>
        </w:rPr>
        <w:t xml:space="preserve">, 472-482. </w:t>
      </w:r>
    </w:p>
    <w:p w14:paraId="7383BFC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Gholaminezhad, I., Assimi, H., Jamali, A., &amp; Vajari, D. A. (2016). Uncertainty quantification and robust modeling of selective laser melting process using stochastic multi-objective approach. </w:t>
      </w:r>
      <w:r w:rsidRPr="00CE04FC">
        <w:rPr>
          <w:rFonts w:ascii="Times New Roman" w:hAnsi="Times New Roman"/>
          <w:i/>
        </w:rPr>
        <w:t>The International Journal of Advanced Manufacturing Technology</w:t>
      </w:r>
      <w:r w:rsidRPr="00CE04FC">
        <w:rPr>
          <w:rFonts w:ascii="Times New Roman" w:hAnsi="Times New Roman"/>
        </w:rPr>
        <w:t>,</w:t>
      </w:r>
      <w:r w:rsidRPr="00CE04FC">
        <w:rPr>
          <w:rFonts w:ascii="Times New Roman" w:hAnsi="Times New Roman"/>
          <w:i/>
        </w:rPr>
        <w:t xml:space="preserve"> 86</w:t>
      </w:r>
      <w:r w:rsidRPr="00CE04FC">
        <w:rPr>
          <w:rFonts w:ascii="Times New Roman" w:hAnsi="Times New Roman"/>
        </w:rPr>
        <w:t xml:space="preserve">, 1425-1441. </w:t>
      </w:r>
    </w:p>
    <w:p w14:paraId="335BF562"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lastRenderedPageBreak/>
        <w:t xml:space="preserve">Gillcrist, D. J., Alemazkoor, N., Chen, Y., &amp; Tootkaboni, M. (2024). Design of Experiments via Multi-Fidelity Surrogates and Statistical Sensitivity Measures. </w:t>
      </w:r>
      <w:r w:rsidRPr="00CE04FC">
        <w:rPr>
          <w:rFonts w:ascii="Times New Roman" w:hAnsi="Times New Roman"/>
          <w:i/>
        </w:rPr>
        <w:t>Journal of Machine Learning for Modeling and Computing</w:t>
      </w:r>
      <w:r w:rsidRPr="00CE04FC">
        <w:rPr>
          <w:rFonts w:ascii="Times New Roman" w:hAnsi="Times New Roman"/>
        </w:rPr>
        <w:t>,</w:t>
      </w:r>
      <w:r w:rsidRPr="00CE04FC">
        <w:rPr>
          <w:rFonts w:ascii="Times New Roman" w:hAnsi="Times New Roman"/>
          <w:i/>
        </w:rPr>
        <w:t xml:space="preserve"> 5</w:t>
      </w:r>
      <w:r w:rsidRPr="00CE04FC">
        <w:rPr>
          <w:rFonts w:ascii="Times New Roman" w:hAnsi="Times New Roman"/>
        </w:rPr>
        <w:t xml:space="preserve">(4). </w:t>
      </w:r>
    </w:p>
    <w:p w14:paraId="0822156C"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Gresh, T. (2018). </w:t>
      </w:r>
      <w:r w:rsidRPr="00CE04FC">
        <w:rPr>
          <w:rFonts w:ascii="Times New Roman" w:hAnsi="Times New Roman"/>
          <w:i/>
        </w:rPr>
        <w:t>Compressor performance: aerodynamics for the user</w:t>
      </w:r>
      <w:r w:rsidRPr="00CE04FC">
        <w:rPr>
          <w:rFonts w:ascii="Times New Roman" w:hAnsi="Times New Roman"/>
        </w:rPr>
        <w:t xml:space="preserve">. Butterworth-Heinemann. </w:t>
      </w:r>
    </w:p>
    <w:p w14:paraId="4880034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Helton, J. C., Johnson, J. D., Oberkampf, W. L., &amp; Sallaberry, C. J. (2010). Representation of analysis results involving aleatory and epistemic uncertainty. </w:t>
      </w:r>
      <w:r w:rsidRPr="00CE04FC">
        <w:rPr>
          <w:rFonts w:ascii="Times New Roman" w:hAnsi="Times New Roman"/>
          <w:i/>
        </w:rPr>
        <w:t>International Journal of General Systems</w:t>
      </w:r>
      <w:r w:rsidRPr="00CE04FC">
        <w:rPr>
          <w:rFonts w:ascii="Times New Roman" w:hAnsi="Times New Roman"/>
        </w:rPr>
        <w:t>,</w:t>
      </w:r>
      <w:r w:rsidRPr="00CE04FC">
        <w:rPr>
          <w:rFonts w:ascii="Times New Roman" w:hAnsi="Times New Roman"/>
          <w:i/>
        </w:rPr>
        <w:t xml:space="preserve"> 39</w:t>
      </w:r>
      <w:r w:rsidRPr="00CE04FC">
        <w:rPr>
          <w:rFonts w:ascii="Times New Roman" w:hAnsi="Times New Roman"/>
        </w:rPr>
        <w:t xml:space="preserve">(6), 605-646. </w:t>
      </w:r>
    </w:p>
    <w:p w14:paraId="72EF07D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Indyk, P., &amp; Motwani, R. (1998). Approximate nearest neighbors: towards removing the curse of dimensionality. Proceedings of the thirtieth annual ACM symposium on Theory of computing, </w:t>
      </w:r>
    </w:p>
    <w:p w14:paraId="36A996C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Ishaq, H., &amp; Dincer, I. (2020). Design and simulation of a new cascaded ammonia synthesis system driven by renewables. </w:t>
      </w:r>
      <w:r w:rsidRPr="00CE04FC">
        <w:rPr>
          <w:rFonts w:ascii="Times New Roman" w:hAnsi="Times New Roman"/>
          <w:i/>
        </w:rPr>
        <w:t>Sustainable Energy Technologies and Assessments</w:t>
      </w:r>
      <w:r w:rsidRPr="00CE04FC">
        <w:rPr>
          <w:rFonts w:ascii="Times New Roman" w:hAnsi="Times New Roman"/>
        </w:rPr>
        <w:t>,</w:t>
      </w:r>
      <w:r w:rsidRPr="00CE04FC">
        <w:rPr>
          <w:rFonts w:ascii="Times New Roman" w:hAnsi="Times New Roman"/>
          <w:i/>
        </w:rPr>
        <w:t xml:space="preserve"> 40</w:t>
      </w:r>
      <w:r w:rsidRPr="00CE04FC">
        <w:rPr>
          <w:rFonts w:ascii="Times New Roman" w:hAnsi="Times New Roman"/>
        </w:rPr>
        <w:t xml:space="preserve">, 100725. </w:t>
      </w:r>
    </w:p>
    <w:p w14:paraId="546747E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Jain, V., Kachhwaha, S., &amp; Sachdeva, G. (2013). Thermodynamic performance analysis of a vapor compression–absorption cascaded refrigeration system. </w:t>
      </w:r>
      <w:r w:rsidRPr="00CE04FC">
        <w:rPr>
          <w:rFonts w:ascii="Times New Roman" w:hAnsi="Times New Roman"/>
          <w:i/>
        </w:rPr>
        <w:t>Energy conversion and management</w:t>
      </w:r>
      <w:r w:rsidRPr="00CE04FC">
        <w:rPr>
          <w:rFonts w:ascii="Times New Roman" w:hAnsi="Times New Roman"/>
        </w:rPr>
        <w:t>,</w:t>
      </w:r>
      <w:r w:rsidRPr="00CE04FC">
        <w:rPr>
          <w:rFonts w:ascii="Times New Roman" w:hAnsi="Times New Roman"/>
          <w:i/>
        </w:rPr>
        <w:t xml:space="preserve"> 75</w:t>
      </w:r>
      <w:r w:rsidRPr="00CE04FC">
        <w:rPr>
          <w:rFonts w:ascii="Times New Roman" w:hAnsi="Times New Roman"/>
        </w:rPr>
        <w:t xml:space="preserve">, 685-700. </w:t>
      </w:r>
    </w:p>
    <w:p w14:paraId="6542C9C9"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Jansohn, P. (2013). Modern gas turbine systems: High efficiency, low emission, fuel flexible power generation. </w:t>
      </w:r>
    </w:p>
    <w:p w14:paraId="5977AFC3"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Karimi Shoar, Z., Pourpasha, H., Zeinali Heris, S., Mousavi, S. B., &amp; Mohammadpourfard, M. (2023). The effect of heat transfer characteristics of macromolecule fouling on heat exchanger surface: A dynamic simulation study. </w:t>
      </w:r>
      <w:r w:rsidRPr="00CE04FC">
        <w:rPr>
          <w:rFonts w:ascii="Times New Roman" w:hAnsi="Times New Roman"/>
          <w:i/>
        </w:rPr>
        <w:t>The Canadian Journal of Chemical Engineering</w:t>
      </w:r>
      <w:r w:rsidRPr="00CE04FC">
        <w:rPr>
          <w:rFonts w:ascii="Times New Roman" w:hAnsi="Times New Roman"/>
        </w:rPr>
        <w:t>,</w:t>
      </w:r>
      <w:r w:rsidRPr="00CE04FC">
        <w:rPr>
          <w:rFonts w:ascii="Times New Roman" w:hAnsi="Times New Roman"/>
          <w:i/>
        </w:rPr>
        <w:t xml:space="preserve"> 101</w:t>
      </w:r>
      <w:r w:rsidRPr="00CE04FC">
        <w:rPr>
          <w:rFonts w:ascii="Times New Roman" w:hAnsi="Times New Roman"/>
        </w:rPr>
        <w:t xml:space="preserve">(10), 5802-5817. </w:t>
      </w:r>
    </w:p>
    <w:p w14:paraId="76E19D25"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Klaas, L., Guban, D., Roeb, M., &amp; Sattler, C. (2021). Recent progress towards solar energy integration into low-pressure green ammonia production technologies.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46</w:t>
      </w:r>
      <w:r w:rsidRPr="00CE04FC">
        <w:rPr>
          <w:rFonts w:ascii="Times New Roman" w:hAnsi="Times New Roman"/>
        </w:rPr>
        <w:t xml:space="preserve">(49), 25121-25136. </w:t>
      </w:r>
    </w:p>
    <w:p w14:paraId="3A7D87B0"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Knio, O. M., Najm, H. N., &amp; Ghanem, R. G. (2001). A stochastic projection method for fluid flow: I. basic formulation. </w:t>
      </w:r>
      <w:r w:rsidRPr="00CE04FC">
        <w:rPr>
          <w:rFonts w:ascii="Times New Roman" w:hAnsi="Times New Roman"/>
          <w:i/>
        </w:rPr>
        <w:t>Journal of computational Physics</w:t>
      </w:r>
      <w:r w:rsidRPr="00CE04FC">
        <w:rPr>
          <w:rFonts w:ascii="Times New Roman" w:hAnsi="Times New Roman"/>
        </w:rPr>
        <w:t>,</w:t>
      </w:r>
      <w:r w:rsidRPr="00CE04FC">
        <w:rPr>
          <w:rFonts w:ascii="Times New Roman" w:hAnsi="Times New Roman"/>
          <w:i/>
        </w:rPr>
        <w:t xml:space="preserve"> 173</w:t>
      </w:r>
      <w:r w:rsidRPr="00CE04FC">
        <w:rPr>
          <w:rFonts w:ascii="Times New Roman" w:hAnsi="Times New Roman"/>
        </w:rPr>
        <w:t xml:space="preserve">(2), 481-511. </w:t>
      </w:r>
    </w:p>
    <w:p w14:paraId="204F09A0"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Kucherenko, S., &amp; Song, S. (2017). Different numerical estimators for main effect global sensitivity indices. </w:t>
      </w:r>
      <w:r w:rsidRPr="00CE04FC">
        <w:rPr>
          <w:rFonts w:ascii="Times New Roman" w:hAnsi="Times New Roman"/>
          <w:i/>
        </w:rPr>
        <w:t>Reliability Engineering &amp; System Safety</w:t>
      </w:r>
      <w:r w:rsidRPr="00CE04FC">
        <w:rPr>
          <w:rFonts w:ascii="Times New Roman" w:hAnsi="Times New Roman"/>
        </w:rPr>
        <w:t>,</w:t>
      </w:r>
      <w:r w:rsidRPr="00CE04FC">
        <w:rPr>
          <w:rFonts w:ascii="Times New Roman" w:hAnsi="Times New Roman"/>
          <w:i/>
        </w:rPr>
        <w:t xml:space="preserve"> 165</w:t>
      </w:r>
      <w:r w:rsidRPr="00CE04FC">
        <w:rPr>
          <w:rFonts w:ascii="Times New Roman" w:hAnsi="Times New Roman"/>
        </w:rPr>
        <w:t xml:space="preserve">, 222-238. </w:t>
      </w:r>
    </w:p>
    <w:p w14:paraId="7B8B23AD"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Laimon, M., &amp; Goh, S. (2024). Unlocking potential in renewable energy curtailment for green ammonia production.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71</w:t>
      </w:r>
      <w:r w:rsidRPr="00CE04FC">
        <w:rPr>
          <w:rFonts w:ascii="Times New Roman" w:hAnsi="Times New Roman"/>
        </w:rPr>
        <w:t xml:space="preserve">, 964-971. </w:t>
      </w:r>
    </w:p>
    <w:p w14:paraId="13C72BD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Le Maıtre, O. P., Reagan, M. T., Najm, H. N., Ghanem, R. G., &amp; Knio, O. M. (2002). A stochastic projection method for fluid flow: II. Random process. </w:t>
      </w:r>
      <w:r w:rsidRPr="00CE04FC">
        <w:rPr>
          <w:rFonts w:ascii="Times New Roman" w:hAnsi="Times New Roman"/>
          <w:i/>
        </w:rPr>
        <w:t>Journal of computational Physics</w:t>
      </w:r>
      <w:r w:rsidRPr="00CE04FC">
        <w:rPr>
          <w:rFonts w:ascii="Times New Roman" w:hAnsi="Times New Roman"/>
        </w:rPr>
        <w:t>,</w:t>
      </w:r>
      <w:r w:rsidRPr="00CE04FC">
        <w:rPr>
          <w:rFonts w:ascii="Times New Roman" w:hAnsi="Times New Roman"/>
          <w:i/>
        </w:rPr>
        <w:t xml:space="preserve"> 181</w:t>
      </w:r>
      <w:r w:rsidRPr="00CE04FC">
        <w:rPr>
          <w:rFonts w:ascii="Times New Roman" w:hAnsi="Times New Roman"/>
        </w:rPr>
        <w:t xml:space="preserve">(1), 9-44. </w:t>
      </w:r>
    </w:p>
    <w:p w14:paraId="4D2D972A"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Lee, B., Heo, J., Choi, N. H., Moon, C., Moon, S., &amp; Lim, H. (2017). Economic evaluation with uncertainty analysis using a Monte-Carlo simulation method for hydrogen production from high pressure PEM water electrolysis in Korea.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42</w:t>
      </w:r>
      <w:r w:rsidRPr="00CE04FC">
        <w:rPr>
          <w:rFonts w:ascii="Times New Roman" w:hAnsi="Times New Roman"/>
        </w:rPr>
        <w:t xml:space="preserve">(39), 24612-24619. </w:t>
      </w:r>
    </w:p>
    <w:p w14:paraId="11FF9042"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Lee, Y.-J., Kang, J.-K., Jung, S.-H., Lee, C.-G., Park, S.-J., Park, J.-M., &amp; Park, C. (2024). Prediction and optimization of the efficiency and energy consumption of an ammonia vacuum thermal stripping process using experiments and machine learning models. </w:t>
      </w:r>
      <w:r w:rsidRPr="00CE04FC">
        <w:rPr>
          <w:rFonts w:ascii="Times New Roman" w:hAnsi="Times New Roman"/>
          <w:i/>
        </w:rPr>
        <w:t>Environmental Technology &amp; Innovation</w:t>
      </w:r>
      <w:r w:rsidRPr="00CE04FC">
        <w:rPr>
          <w:rFonts w:ascii="Times New Roman" w:hAnsi="Times New Roman"/>
        </w:rPr>
        <w:t>,</w:t>
      </w:r>
      <w:r w:rsidRPr="00CE04FC">
        <w:rPr>
          <w:rFonts w:ascii="Times New Roman" w:hAnsi="Times New Roman"/>
          <w:i/>
        </w:rPr>
        <w:t xml:space="preserve"> 34</w:t>
      </w:r>
      <w:r w:rsidRPr="00CE04FC">
        <w:rPr>
          <w:rFonts w:ascii="Times New Roman" w:hAnsi="Times New Roman"/>
        </w:rPr>
        <w:t xml:space="preserve">, 103610. </w:t>
      </w:r>
    </w:p>
    <w:p w14:paraId="500663F4" w14:textId="3D38A033"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Liu, F., Moustafa, H., &amp; He, Z. (2024). Simultaneous recovery of nitrogen and phosphorus from actual digester centrate in an electrochemical membrane system. </w:t>
      </w:r>
      <w:r w:rsidRPr="00CE04FC">
        <w:rPr>
          <w:rFonts w:ascii="Times New Roman" w:hAnsi="Times New Roman"/>
          <w:i/>
        </w:rPr>
        <w:t>Resources, Conservation and Recycling</w:t>
      </w:r>
      <w:r w:rsidRPr="00CE04FC">
        <w:rPr>
          <w:rFonts w:ascii="Times New Roman" w:hAnsi="Times New Roman"/>
        </w:rPr>
        <w:t>,</w:t>
      </w:r>
      <w:r w:rsidRPr="00CE04FC">
        <w:rPr>
          <w:rFonts w:ascii="Times New Roman" w:hAnsi="Times New Roman"/>
          <w:i/>
        </w:rPr>
        <w:t xml:space="preserve"> 203</w:t>
      </w:r>
      <w:r w:rsidRPr="00CE04FC">
        <w:rPr>
          <w:rFonts w:ascii="Times New Roman" w:hAnsi="Times New Roman"/>
        </w:rPr>
        <w:t xml:space="preserve">, 107463. </w:t>
      </w:r>
      <w:hyperlink r:id="rId40" w:history="1">
        <w:r w:rsidRPr="00CE04FC">
          <w:rPr>
            <w:rStyle w:val="Hyperlink"/>
            <w:rFonts w:ascii="Times New Roman" w:hAnsi="Times New Roman"/>
            <w:color w:val="auto"/>
          </w:rPr>
          <w:t>https://doi.org/https://doi.org/10.1016/j.resconrec.2024.107463</w:t>
        </w:r>
      </w:hyperlink>
      <w:r w:rsidRPr="00CE04FC">
        <w:rPr>
          <w:rFonts w:ascii="Times New Roman" w:hAnsi="Times New Roman"/>
        </w:rPr>
        <w:t xml:space="preserve"> </w:t>
      </w:r>
    </w:p>
    <w:p w14:paraId="3DDD2568" w14:textId="063CD180"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Lou, F., Fabian, J., &amp; Key, N. L. (2013). The Effect of Gas Models on Compressor Efficiency Including Uncertainty. </w:t>
      </w:r>
      <w:r w:rsidRPr="00CE04FC">
        <w:rPr>
          <w:rFonts w:ascii="Times New Roman" w:hAnsi="Times New Roman"/>
          <w:i/>
        </w:rPr>
        <w:t>Journal of Engineering for Gas Turbines and Power</w:t>
      </w:r>
      <w:r w:rsidRPr="00CE04FC">
        <w:rPr>
          <w:rFonts w:ascii="Times New Roman" w:hAnsi="Times New Roman"/>
        </w:rPr>
        <w:t>,</w:t>
      </w:r>
      <w:r w:rsidRPr="00CE04FC">
        <w:rPr>
          <w:rFonts w:ascii="Times New Roman" w:hAnsi="Times New Roman"/>
          <w:i/>
        </w:rPr>
        <w:t xml:space="preserve"> 136</w:t>
      </w:r>
      <w:r w:rsidRPr="00CE04FC">
        <w:rPr>
          <w:rFonts w:ascii="Times New Roman" w:hAnsi="Times New Roman"/>
        </w:rPr>
        <w:t xml:space="preserve">(1). </w:t>
      </w:r>
      <w:hyperlink r:id="rId41" w:history="1">
        <w:r w:rsidRPr="00CE04FC">
          <w:rPr>
            <w:rStyle w:val="Hyperlink"/>
            <w:rFonts w:ascii="Times New Roman" w:hAnsi="Times New Roman"/>
            <w:color w:val="auto"/>
          </w:rPr>
          <w:t>https://doi.org/10.1115/1.4025317</w:t>
        </w:r>
      </w:hyperlink>
      <w:r w:rsidRPr="00CE04FC">
        <w:rPr>
          <w:rFonts w:ascii="Times New Roman" w:hAnsi="Times New Roman"/>
        </w:rPr>
        <w:t xml:space="preserve"> </w:t>
      </w:r>
    </w:p>
    <w:p w14:paraId="20AC3101"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Mueller, J. N., Sargsyan, K., Daniels, C. J., &amp; Najm, H. N. (2025). Polynomial Chaos Surrogate Construction for Random Fields with Parametric Uncertainty. </w:t>
      </w:r>
      <w:r w:rsidRPr="00CE04FC">
        <w:rPr>
          <w:rFonts w:ascii="Times New Roman" w:hAnsi="Times New Roman"/>
          <w:i/>
        </w:rPr>
        <w:t>SIAM/ASA Journal on Uncertainty Quantification</w:t>
      </w:r>
      <w:r w:rsidRPr="00CE04FC">
        <w:rPr>
          <w:rFonts w:ascii="Times New Roman" w:hAnsi="Times New Roman"/>
        </w:rPr>
        <w:t>,</w:t>
      </w:r>
      <w:r w:rsidRPr="00CE04FC">
        <w:rPr>
          <w:rFonts w:ascii="Times New Roman" w:hAnsi="Times New Roman"/>
          <w:i/>
        </w:rPr>
        <w:t xml:space="preserve"> 13</w:t>
      </w:r>
      <w:r w:rsidRPr="00CE04FC">
        <w:rPr>
          <w:rFonts w:ascii="Times New Roman" w:hAnsi="Times New Roman"/>
        </w:rPr>
        <w:t xml:space="preserve">(1), 1-29. </w:t>
      </w:r>
    </w:p>
    <w:p w14:paraId="490095C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Najm, H. N. (2009). Uncertainty quantification and polynomial chaos techniques in computational fluid dynamics. </w:t>
      </w:r>
      <w:r w:rsidRPr="00CE04FC">
        <w:rPr>
          <w:rFonts w:ascii="Times New Roman" w:hAnsi="Times New Roman"/>
          <w:i/>
        </w:rPr>
        <w:t>Annual review of fluid mechanics</w:t>
      </w:r>
      <w:r w:rsidRPr="00CE04FC">
        <w:rPr>
          <w:rFonts w:ascii="Times New Roman" w:hAnsi="Times New Roman"/>
        </w:rPr>
        <w:t>,</w:t>
      </w:r>
      <w:r w:rsidRPr="00CE04FC">
        <w:rPr>
          <w:rFonts w:ascii="Times New Roman" w:hAnsi="Times New Roman"/>
          <w:i/>
        </w:rPr>
        <w:t xml:space="preserve"> 41</w:t>
      </w:r>
      <w:r w:rsidRPr="00CE04FC">
        <w:rPr>
          <w:rFonts w:ascii="Times New Roman" w:hAnsi="Times New Roman"/>
        </w:rPr>
        <w:t xml:space="preserve">(1), 35-52. </w:t>
      </w:r>
    </w:p>
    <w:p w14:paraId="5030654C"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Najm, H. N., Debusschere, B. J., Marzouk, Y. M., Widmer, S., &amp; Le Maître, O. (2009). Uncertainty quantification in chemical systems. </w:t>
      </w:r>
      <w:r w:rsidRPr="00CE04FC">
        <w:rPr>
          <w:rFonts w:ascii="Times New Roman" w:hAnsi="Times New Roman"/>
          <w:i/>
        </w:rPr>
        <w:t>International journal for numerical methods in engineering</w:t>
      </w:r>
      <w:r w:rsidRPr="00CE04FC">
        <w:rPr>
          <w:rFonts w:ascii="Times New Roman" w:hAnsi="Times New Roman"/>
        </w:rPr>
        <w:t>,</w:t>
      </w:r>
      <w:r w:rsidRPr="00CE04FC">
        <w:rPr>
          <w:rFonts w:ascii="Times New Roman" w:hAnsi="Times New Roman"/>
          <w:i/>
        </w:rPr>
        <w:t xml:space="preserve"> 80</w:t>
      </w:r>
      <w:r w:rsidRPr="00CE04FC">
        <w:rPr>
          <w:rFonts w:ascii="Times New Roman" w:hAnsi="Times New Roman"/>
        </w:rPr>
        <w:t xml:space="preserve">(6‐7), 789-814. </w:t>
      </w:r>
    </w:p>
    <w:p w14:paraId="5CBF4805"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lastRenderedPageBreak/>
        <w:t xml:space="preserve">Nami, H., Hendriksen, P. V., &amp; Frandsen, H. L. (2024). Green ammonia production using current and emerging electrolysis technologies. </w:t>
      </w:r>
      <w:r w:rsidRPr="00CE04FC">
        <w:rPr>
          <w:rFonts w:ascii="Times New Roman" w:hAnsi="Times New Roman"/>
          <w:i/>
        </w:rPr>
        <w:t>Renewable and Sustainable Energy Reviews</w:t>
      </w:r>
      <w:r w:rsidRPr="00CE04FC">
        <w:rPr>
          <w:rFonts w:ascii="Times New Roman" w:hAnsi="Times New Roman"/>
        </w:rPr>
        <w:t>,</w:t>
      </w:r>
      <w:r w:rsidRPr="00CE04FC">
        <w:rPr>
          <w:rFonts w:ascii="Times New Roman" w:hAnsi="Times New Roman"/>
          <w:i/>
        </w:rPr>
        <w:t xml:space="preserve"> 199</w:t>
      </w:r>
      <w:r w:rsidRPr="00CE04FC">
        <w:rPr>
          <w:rFonts w:ascii="Times New Roman" w:hAnsi="Times New Roman"/>
        </w:rPr>
        <w:t xml:space="preserve">, 114517. </w:t>
      </w:r>
    </w:p>
    <w:p w14:paraId="39689612"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Nannapaneni, S., &amp; Mahadevan, S. (2014, 27-30 Oct. 2014). Uncertainty quantification in performance evaluation of manufacturing processes. 2014 IEEE International Conference on Big Data (Big Data), </w:t>
      </w:r>
    </w:p>
    <w:p w14:paraId="470BD14E" w14:textId="05D0266B"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Nayak-Luke, R., Bañares-Alcántara, R., &amp; Wilkinson, I. (2018). “Green” Ammonia: Impact of Renewable Energy Intermittency on Plant Sizing and Levelized Cost of Ammonia. </w:t>
      </w:r>
      <w:r w:rsidRPr="00CE04FC">
        <w:rPr>
          <w:rFonts w:ascii="Times New Roman" w:hAnsi="Times New Roman"/>
          <w:i/>
        </w:rPr>
        <w:t>Industrial &amp; Engineering Chemistry Research</w:t>
      </w:r>
      <w:r w:rsidRPr="00CE04FC">
        <w:rPr>
          <w:rFonts w:ascii="Times New Roman" w:hAnsi="Times New Roman"/>
        </w:rPr>
        <w:t>,</w:t>
      </w:r>
      <w:r w:rsidRPr="00CE04FC">
        <w:rPr>
          <w:rFonts w:ascii="Times New Roman" w:hAnsi="Times New Roman"/>
          <w:i/>
        </w:rPr>
        <w:t xml:space="preserve"> 57</w:t>
      </w:r>
      <w:r w:rsidRPr="00CE04FC">
        <w:rPr>
          <w:rFonts w:ascii="Times New Roman" w:hAnsi="Times New Roman"/>
        </w:rPr>
        <w:t xml:space="preserve">(43), 14607-14616. </w:t>
      </w:r>
      <w:hyperlink r:id="rId42" w:history="1">
        <w:r w:rsidRPr="00CE04FC">
          <w:rPr>
            <w:rStyle w:val="Hyperlink"/>
            <w:rFonts w:ascii="Times New Roman" w:hAnsi="Times New Roman"/>
            <w:color w:val="auto"/>
          </w:rPr>
          <w:t>https://doi.org/10.1021/acs.iecr.8b02447</w:t>
        </w:r>
      </w:hyperlink>
      <w:r w:rsidRPr="00CE04FC">
        <w:rPr>
          <w:rFonts w:ascii="Times New Roman" w:hAnsi="Times New Roman"/>
        </w:rPr>
        <w:t xml:space="preserve"> </w:t>
      </w:r>
    </w:p>
    <w:p w14:paraId="0B10285D"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Nayak-Luke, R., Bañares-Alcántara, R., &amp; Wilkinson, I. (2018). “Green” ammonia: impact of renewable energy intermittency on plant sizing and levelized cost of ammonia. </w:t>
      </w:r>
      <w:r w:rsidRPr="00CE04FC">
        <w:rPr>
          <w:rFonts w:ascii="Times New Roman" w:hAnsi="Times New Roman"/>
          <w:i/>
        </w:rPr>
        <w:t>Industrial &amp; Engineering Chemistry Research</w:t>
      </w:r>
      <w:r w:rsidRPr="00CE04FC">
        <w:rPr>
          <w:rFonts w:ascii="Times New Roman" w:hAnsi="Times New Roman"/>
        </w:rPr>
        <w:t>,</w:t>
      </w:r>
      <w:r w:rsidRPr="00CE04FC">
        <w:rPr>
          <w:rFonts w:ascii="Times New Roman" w:hAnsi="Times New Roman"/>
          <w:i/>
        </w:rPr>
        <w:t xml:space="preserve"> 57</w:t>
      </w:r>
      <w:r w:rsidRPr="00CE04FC">
        <w:rPr>
          <w:rFonts w:ascii="Times New Roman" w:hAnsi="Times New Roman"/>
        </w:rPr>
        <w:t xml:space="preserve">(43), 14607-14616. </w:t>
      </w:r>
    </w:p>
    <w:p w14:paraId="24E32C54"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Osman, O., Sgouridis, S., &amp; Sleptchenko, A. (2020). Scaling the production of renewable ammonia: A techno-economic optimization applied in regions with high insolation. </w:t>
      </w:r>
      <w:r w:rsidRPr="00CE04FC">
        <w:rPr>
          <w:rFonts w:ascii="Times New Roman" w:hAnsi="Times New Roman"/>
          <w:i/>
        </w:rPr>
        <w:t>Journal of Cleaner Production</w:t>
      </w:r>
      <w:r w:rsidRPr="00CE04FC">
        <w:rPr>
          <w:rFonts w:ascii="Times New Roman" w:hAnsi="Times New Roman"/>
        </w:rPr>
        <w:t>,</w:t>
      </w:r>
      <w:r w:rsidRPr="00CE04FC">
        <w:rPr>
          <w:rFonts w:ascii="Times New Roman" w:hAnsi="Times New Roman"/>
          <w:i/>
        </w:rPr>
        <w:t xml:space="preserve"> 271</w:t>
      </w:r>
      <w:r w:rsidRPr="00CE04FC">
        <w:rPr>
          <w:rFonts w:ascii="Times New Roman" w:hAnsi="Times New Roman"/>
        </w:rPr>
        <w:t xml:space="preserve">, 121627. </w:t>
      </w:r>
    </w:p>
    <w:p w14:paraId="5546DE7D"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Palmer, K. A., Hale, W. T., Such, K. D., Shea, B. R., &amp; Bollas, G. M. (2016). Optimal design of tests for heat exchanger fouling identification. </w:t>
      </w:r>
      <w:r w:rsidRPr="00CE04FC">
        <w:rPr>
          <w:rFonts w:ascii="Times New Roman" w:hAnsi="Times New Roman"/>
          <w:i/>
        </w:rPr>
        <w:t>Applied Thermal Engineering</w:t>
      </w:r>
      <w:r w:rsidRPr="00CE04FC">
        <w:rPr>
          <w:rFonts w:ascii="Times New Roman" w:hAnsi="Times New Roman"/>
        </w:rPr>
        <w:t>,</w:t>
      </w:r>
      <w:r w:rsidRPr="00CE04FC">
        <w:rPr>
          <w:rFonts w:ascii="Times New Roman" w:hAnsi="Times New Roman"/>
          <w:i/>
        </w:rPr>
        <w:t xml:space="preserve"> 95</w:t>
      </w:r>
      <w:r w:rsidRPr="00CE04FC">
        <w:rPr>
          <w:rFonts w:ascii="Times New Roman" w:hAnsi="Times New Roman"/>
        </w:rPr>
        <w:t xml:space="preserve">, 382-393. </w:t>
      </w:r>
    </w:p>
    <w:p w14:paraId="3E7E10F1"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Park, J., Gbadago, D. Q., Mori, S., &amp; Hwang, S. (2025). Renewable ammonia synthesis via experiments and optimization using periodic operation and machine learning integrated approaches. </w:t>
      </w:r>
      <w:r w:rsidRPr="00CE04FC">
        <w:rPr>
          <w:rFonts w:ascii="Times New Roman" w:hAnsi="Times New Roman"/>
          <w:i/>
        </w:rPr>
        <w:t>Energy Conversion and Management</w:t>
      </w:r>
      <w:r w:rsidRPr="00CE04FC">
        <w:rPr>
          <w:rFonts w:ascii="Times New Roman" w:hAnsi="Times New Roman"/>
        </w:rPr>
        <w:t>,</w:t>
      </w:r>
      <w:r w:rsidRPr="00CE04FC">
        <w:rPr>
          <w:rFonts w:ascii="Times New Roman" w:hAnsi="Times New Roman"/>
          <w:i/>
        </w:rPr>
        <w:t xml:space="preserve"> 324</w:t>
      </w:r>
      <w:r w:rsidRPr="00CE04FC">
        <w:rPr>
          <w:rFonts w:ascii="Times New Roman" w:hAnsi="Times New Roman"/>
        </w:rPr>
        <w:t xml:space="preserve">, 119286. </w:t>
      </w:r>
    </w:p>
    <w:p w14:paraId="5C8DC365"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Qaiyum, S., Irshad, K., Zayed, M. E., Algarni, S., Alqahtani, T., &amp; Khan, A. I. (2025). Benchmarking Reinforcement Learning and Accurate Modeling of Ground Source Heat Pump Systems: Intelligent Strategy Using Spiking Recurrent Neural Network Combined with Spider Wasp Inspired Optimization Algorithm. </w:t>
      </w:r>
      <w:r w:rsidRPr="00CE04FC">
        <w:rPr>
          <w:rFonts w:ascii="Times New Roman" w:hAnsi="Times New Roman"/>
          <w:i/>
        </w:rPr>
        <w:t>Results in Engineering</w:t>
      </w:r>
      <w:r w:rsidRPr="00CE04FC">
        <w:rPr>
          <w:rFonts w:ascii="Times New Roman" w:hAnsi="Times New Roman"/>
        </w:rPr>
        <w:t xml:space="preserve">, 105724. </w:t>
      </w:r>
    </w:p>
    <w:p w14:paraId="19D25AF0"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Rajeh, T., Al-Kbodi, B. H., Li, Y., Zhao, J., Zayed, M. E., &amp; Rehman, S. (2024). Comparative numerical modeling complemented with multi-objective optimization and dynamic life cycle assessment of coaxial ground heat exchangers with oval-shaped and typical circular-shaped configurations. </w:t>
      </w:r>
      <w:r w:rsidRPr="00CE04FC">
        <w:rPr>
          <w:rFonts w:ascii="Times New Roman" w:hAnsi="Times New Roman"/>
          <w:i/>
        </w:rPr>
        <w:t>Applied Thermal Engineering</w:t>
      </w:r>
      <w:r w:rsidRPr="00CE04FC">
        <w:rPr>
          <w:rFonts w:ascii="Times New Roman" w:hAnsi="Times New Roman"/>
        </w:rPr>
        <w:t>,</w:t>
      </w:r>
      <w:r w:rsidRPr="00CE04FC">
        <w:rPr>
          <w:rFonts w:ascii="Times New Roman" w:hAnsi="Times New Roman"/>
          <w:i/>
        </w:rPr>
        <w:t xml:space="preserve"> 244</w:t>
      </w:r>
      <w:r w:rsidRPr="00CE04FC">
        <w:rPr>
          <w:rFonts w:ascii="Times New Roman" w:hAnsi="Times New Roman"/>
        </w:rPr>
        <w:t xml:space="preserve">, 122673. </w:t>
      </w:r>
    </w:p>
    <w:p w14:paraId="70093C24"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Reagan, M. T., Najm, H. N., Pébay, P. P., Knio, O. M., &amp; Ghanem, R. G. (2005). Quantifying uncertainty in chemical systems modeling. </w:t>
      </w:r>
      <w:r w:rsidRPr="00CE04FC">
        <w:rPr>
          <w:rFonts w:ascii="Times New Roman" w:hAnsi="Times New Roman"/>
          <w:i/>
        </w:rPr>
        <w:t>International journal of chemical kinetics</w:t>
      </w:r>
      <w:r w:rsidRPr="00CE04FC">
        <w:rPr>
          <w:rFonts w:ascii="Times New Roman" w:hAnsi="Times New Roman"/>
        </w:rPr>
        <w:t>,</w:t>
      </w:r>
      <w:r w:rsidRPr="00CE04FC">
        <w:rPr>
          <w:rFonts w:ascii="Times New Roman" w:hAnsi="Times New Roman"/>
          <w:i/>
        </w:rPr>
        <w:t xml:space="preserve"> 37</w:t>
      </w:r>
      <w:r w:rsidRPr="00CE04FC">
        <w:rPr>
          <w:rFonts w:ascii="Times New Roman" w:hAnsi="Times New Roman"/>
        </w:rPr>
        <w:t xml:space="preserve">(6), 368-382. </w:t>
      </w:r>
    </w:p>
    <w:p w14:paraId="4D3EBBA5"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Rehman, S., Zayed, M. E., Irshad, K., Menesy, A. S., Kotb, K. M., Alzahrani, A. S., &amp; Alhems, L. M. (2024). Design, commissioning and operation of a large-scale solar linear Fresnel system integrated with evacuated compound receiver: Field testing, thermodynamic analysis, and enhanced machine learning-based optimization. </w:t>
      </w:r>
      <w:r w:rsidRPr="00CE04FC">
        <w:rPr>
          <w:rFonts w:ascii="Times New Roman" w:hAnsi="Times New Roman"/>
          <w:i/>
        </w:rPr>
        <w:t>Solar Energy</w:t>
      </w:r>
      <w:r w:rsidRPr="00CE04FC">
        <w:rPr>
          <w:rFonts w:ascii="Times New Roman" w:hAnsi="Times New Roman"/>
        </w:rPr>
        <w:t>,</w:t>
      </w:r>
      <w:r w:rsidRPr="00CE04FC">
        <w:rPr>
          <w:rFonts w:ascii="Times New Roman" w:hAnsi="Times New Roman"/>
          <w:i/>
        </w:rPr>
        <w:t xml:space="preserve"> 278</w:t>
      </w:r>
      <w:r w:rsidRPr="00CE04FC">
        <w:rPr>
          <w:rFonts w:ascii="Times New Roman" w:hAnsi="Times New Roman"/>
        </w:rPr>
        <w:t xml:space="preserve">, 112785. </w:t>
      </w:r>
    </w:p>
    <w:p w14:paraId="7676E2C1" w14:textId="02D68101"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Samitha Weerakoon, A. H., &amp; Assadi, M. (2024). Techno economic analysis and performance based ranking of 3–200 kW fuel flexible micro gas turbines running on 100% hydrogen, hydrogen fuel blends, and natural gas. </w:t>
      </w:r>
      <w:r w:rsidRPr="00CE04FC">
        <w:rPr>
          <w:rFonts w:ascii="Times New Roman" w:hAnsi="Times New Roman"/>
          <w:i/>
        </w:rPr>
        <w:t>Journal of Cleaner Production</w:t>
      </w:r>
      <w:r w:rsidRPr="00CE04FC">
        <w:rPr>
          <w:rFonts w:ascii="Times New Roman" w:hAnsi="Times New Roman"/>
        </w:rPr>
        <w:t>,</w:t>
      </w:r>
      <w:r w:rsidRPr="00CE04FC">
        <w:rPr>
          <w:rFonts w:ascii="Times New Roman" w:hAnsi="Times New Roman"/>
          <w:i/>
        </w:rPr>
        <w:t xml:space="preserve"> 477</w:t>
      </w:r>
      <w:r w:rsidRPr="00CE04FC">
        <w:rPr>
          <w:rFonts w:ascii="Times New Roman" w:hAnsi="Times New Roman"/>
        </w:rPr>
        <w:t xml:space="preserve">, 143819. </w:t>
      </w:r>
      <w:hyperlink r:id="rId43" w:history="1">
        <w:r w:rsidRPr="00CE04FC">
          <w:rPr>
            <w:rStyle w:val="Hyperlink"/>
            <w:rFonts w:ascii="Times New Roman" w:hAnsi="Times New Roman"/>
            <w:color w:val="auto"/>
          </w:rPr>
          <w:t>https://doi.org/https://doi.org/10.1016/j.jclepro.2024.143819</w:t>
        </w:r>
      </w:hyperlink>
      <w:r w:rsidRPr="00CE04FC">
        <w:rPr>
          <w:rFonts w:ascii="Times New Roman" w:hAnsi="Times New Roman"/>
        </w:rPr>
        <w:t xml:space="preserve"> </w:t>
      </w:r>
    </w:p>
    <w:p w14:paraId="6A760BC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Sanchez, M., Amores, E., Abad, D., Rodriguez, L., &amp; Clemente-Jul, C. (2020). Aspen Plus model of an alkaline electrolysis system for hydrogen production.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45</w:t>
      </w:r>
      <w:r w:rsidRPr="00CE04FC">
        <w:rPr>
          <w:rFonts w:ascii="Times New Roman" w:hAnsi="Times New Roman"/>
        </w:rPr>
        <w:t xml:space="preserve">(7), 3916-3929. </w:t>
      </w:r>
    </w:p>
    <w:p w14:paraId="6F19B4F9"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Sargsyan, K., Safta, C., Boll, L., Johnston, K., Khalil, M., Chowdhary, K., Rai, P., Casey, T., Zeng, X., &amp; Debusschere, B. (2022). </w:t>
      </w:r>
      <w:r w:rsidRPr="00CE04FC">
        <w:rPr>
          <w:rFonts w:ascii="Times New Roman" w:hAnsi="Times New Roman"/>
          <w:i/>
        </w:rPr>
        <w:t>UQTk Version 3.1. 2 User Manual</w:t>
      </w:r>
      <w:r w:rsidRPr="00CE04FC">
        <w:rPr>
          <w:rFonts w:ascii="Times New Roman" w:hAnsi="Times New Roman"/>
        </w:rPr>
        <w:t xml:space="preserve">. </w:t>
      </w:r>
    </w:p>
    <w:p w14:paraId="7CD09F5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Sarker, I. H. (2021). Machine learning: Algorithms, real-world applications and research directions. </w:t>
      </w:r>
      <w:r w:rsidRPr="00CE04FC">
        <w:rPr>
          <w:rFonts w:ascii="Times New Roman" w:hAnsi="Times New Roman"/>
          <w:i/>
        </w:rPr>
        <w:t>SN computer science</w:t>
      </w:r>
      <w:r w:rsidRPr="00CE04FC">
        <w:rPr>
          <w:rFonts w:ascii="Times New Roman" w:hAnsi="Times New Roman"/>
        </w:rPr>
        <w:t>,</w:t>
      </w:r>
      <w:r w:rsidRPr="00CE04FC">
        <w:rPr>
          <w:rFonts w:ascii="Times New Roman" w:hAnsi="Times New Roman"/>
          <w:i/>
        </w:rPr>
        <w:t xml:space="preserve"> 2</w:t>
      </w:r>
      <w:r w:rsidRPr="00CE04FC">
        <w:rPr>
          <w:rFonts w:ascii="Times New Roman" w:hAnsi="Times New Roman"/>
        </w:rPr>
        <w:t xml:space="preserve">(3), 160. </w:t>
      </w:r>
    </w:p>
    <w:p w14:paraId="482D2DDD"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Shamsi, M., Karami, B., Cheraghdar, A., Mousavian, S., Makki, M., &amp; Rooeentan, S. (2024). Evaluation of an environmentally-friendly poly-generation system driven by geothermal energy for green ammonia production. </w:t>
      </w:r>
      <w:r w:rsidRPr="00CE04FC">
        <w:rPr>
          <w:rFonts w:ascii="Times New Roman" w:hAnsi="Times New Roman"/>
          <w:i/>
        </w:rPr>
        <w:t>Fuel</w:t>
      </w:r>
      <w:r w:rsidRPr="00CE04FC">
        <w:rPr>
          <w:rFonts w:ascii="Times New Roman" w:hAnsi="Times New Roman"/>
        </w:rPr>
        <w:t>,</w:t>
      </w:r>
      <w:r w:rsidRPr="00CE04FC">
        <w:rPr>
          <w:rFonts w:ascii="Times New Roman" w:hAnsi="Times New Roman"/>
          <w:i/>
        </w:rPr>
        <w:t xml:space="preserve"> 365</w:t>
      </w:r>
      <w:r w:rsidRPr="00CE04FC">
        <w:rPr>
          <w:rFonts w:ascii="Times New Roman" w:hAnsi="Times New Roman"/>
        </w:rPr>
        <w:t xml:space="preserve">, 131037. </w:t>
      </w:r>
    </w:p>
    <w:p w14:paraId="65D8CF36" w14:textId="77ED9521"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Shechtman, O. (2013). The Coefficient of Variation as an Index of Measurement Reliability. In (pp. 39-49). </w:t>
      </w:r>
      <w:hyperlink r:id="rId44" w:history="1">
        <w:r w:rsidRPr="00CE04FC">
          <w:rPr>
            <w:rStyle w:val="Hyperlink"/>
            <w:rFonts w:ascii="Times New Roman" w:hAnsi="Times New Roman"/>
            <w:color w:val="auto"/>
          </w:rPr>
          <w:t>https://doi.org/10.1007/978-3-642-37131-8_4</w:t>
        </w:r>
      </w:hyperlink>
      <w:r w:rsidRPr="00CE04FC">
        <w:rPr>
          <w:rFonts w:ascii="Times New Roman" w:hAnsi="Times New Roman"/>
        </w:rPr>
        <w:t xml:space="preserve"> </w:t>
      </w:r>
    </w:p>
    <w:p w14:paraId="7CAF71CC"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Smith, R. C. (2024). </w:t>
      </w:r>
      <w:r w:rsidRPr="00CE04FC">
        <w:rPr>
          <w:rFonts w:ascii="Times New Roman" w:hAnsi="Times New Roman"/>
          <w:i/>
        </w:rPr>
        <w:t>Uncertainty quantification: theory, implementation, and applications</w:t>
      </w:r>
      <w:r w:rsidRPr="00CE04FC">
        <w:rPr>
          <w:rFonts w:ascii="Times New Roman" w:hAnsi="Times New Roman"/>
        </w:rPr>
        <w:t xml:space="preserve">. SIAM. </w:t>
      </w:r>
    </w:p>
    <w:p w14:paraId="2D0D6E81"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Snoek, J., Larochelle, H., &amp; Adams, R. P. (2012). Practical bayesian optimization of machine learning algorithms. </w:t>
      </w:r>
      <w:r w:rsidRPr="00CE04FC">
        <w:rPr>
          <w:rFonts w:ascii="Times New Roman" w:hAnsi="Times New Roman"/>
          <w:i/>
        </w:rPr>
        <w:t>Advances in neural information processing systems</w:t>
      </w:r>
      <w:r w:rsidRPr="00CE04FC">
        <w:rPr>
          <w:rFonts w:ascii="Times New Roman" w:hAnsi="Times New Roman"/>
        </w:rPr>
        <w:t>,</w:t>
      </w:r>
      <w:r w:rsidRPr="00CE04FC">
        <w:rPr>
          <w:rFonts w:ascii="Times New Roman" w:hAnsi="Times New Roman"/>
          <w:i/>
        </w:rPr>
        <w:t xml:space="preserve"> 25</w:t>
      </w:r>
      <w:r w:rsidRPr="00CE04FC">
        <w:rPr>
          <w:rFonts w:ascii="Times New Roman" w:hAnsi="Times New Roman"/>
        </w:rPr>
        <w:t xml:space="preserve">. </w:t>
      </w:r>
    </w:p>
    <w:p w14:paraId="70280146" w14:textId="7732E87E"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Soyler, I., Zhang, K., Duwig, C., Jiang, X., &amp; Karimi, N. (2023). Uncertainty quantification of the premixed combustion characteristics of NH3/H2/N2 fuel blends. </w:t>
      </w:r>
      <w:r w:rsidRPr="00CE04FC">
        <w:rPr>
          <w:rFonts w:ascii="Times New Roman" w:hAnsi="Times New Roman"/>
          <w:i/>
        </w:rPr>
        <w:t xml:space="preserve">International Journal of </w:t>
      </w:r>
      <w:r w:rsidRPr="00CE04FC">
        <w:rPr>
          <w:rFonts w:ascii="Times New Roman" w:hAnsi="Times New Roman"/>
          <w:i/>
        </w:rPr>
        <w:lastRenderedPageBreak/>
        <w:t>Hydrogen Energy</w:t>
      </w:r>
      <w:r w:rsidRPr="00CE04FC">
        <w:rPr>
          <w:rFonts w:ascii="Times New Roman" w:hAnsi="Times New Roman"/>
        </w:rPr>
        <w:t>,</w:t>
      </w:r>
      <w:r w:rsidRPr="00CE04FC">
        <w:rPr>
          <w:rFonts w:ascii="Times New Roman" w:hAnsi="Times New Roman"/>
          <w:i/>
        </w:rPr>
        <w:t xml:space="preserve"> 48</w:t>
      </w:r>
      <w:r w:rsidRPr="00CE04FC">
        <w:rPr>
          <w:rFonts w:ascii="Times New Roman" w:hAnsi="Times New Roman"/>
        </w:rPr>
        <w:t xml:space="preserve">(38), 14477-14491. </w:t>
      </w:r>
      <w:hyperlink r:id="rId45" w:history="1">
        <w:r w:rsidRPr="00CE04FC">
          <w:rPr>
            <w:rStyle w:val="Hyperlink"/>
            <w:rFonts w:ascii="Times New Roman" w:hAnsi="Times New Roman"/>
            <w:color w:val="auto"/>
          </w:rPr>
          <w:t>https://doi.org/https://doi.org/10.1016/j.ijhydene.2022.12.303</w:t>
        </w:r>
      </w:hyperlink>
      <w:r w:rsidRPr="00CE04FC">
        <w:rPr>
          <w:rFonts w:ascii="Times New Roman" w:hAnsi="Times New Roman"/>
        </w:rPr>
        <w:t xml:space="preserve"> </w:t>
      </w:r>
    </w:p>
    <w:p w14:paraId="5CE47519"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Soyler, I., Zhang, K., Jiang, X., &amp; Karimi, N. (2024). Effects of compositional uncertainties in cracked NH3/biosyngas fuel blends on the combustion characteristics and performance of a combined-cycle gas turbine: A numerical thermokinetic study.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69</w:t>
      </w:r>
      <w:r w:rsidRPr="00CE04FC">
        <w:rPr>
          <w:rFonts w:ascii="Times New Roman" w:hAnsi="Times New Roman"/>
        </w:rPr>
        <w:t xml:space="preserve">, 504-517. </w:t>
      </w:r>
    </w:p>
    <w:p w14:paraId="4DD869C4"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Spanos, A. (1986). </w:t>
      </w:r>
      <w:r w:rsidRPr="00CE04FC">
        <w:rPr>
          <w:rFonts w:ascii="Times New Roman" w:hAnsi="Times New Roman"/>
          <w:i/>
        </w:rPr>
        <w:t>Statistical foundations of econometric modelling</w:t>
      </w:r>
      <w:r w:rsidRPr="00CE04FC">
        <w:rPr>
          <w:rFonts w:ascii="Times New Roman" w:hAnsi="Times New Roman"/>
        </w:rPr>
        <w:t xml:space="preserve">. Cambridge University Press. </w:t>
      </w:r>
    </w:p>
    <w:p w14:paraId="3AC1BA63"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Suberu, M. Y., Mustafa, M. W., &amp; Bashir, N. (2014). Energy storage systems for renewable energy power sector integration and mitigation of intermittency. </w:t>
      </w:r>
      <w:r w:rsidRPr="00CE04FC">
        <w:rPr>
          <w:rFonts w:ascii="Times New Roman" w:hAnsi="Times New Roman"/>
          <w:i/>
        </w:rPr>
        <w:t>Renewable and Sustainable Energy Reviews</w:t>
      </w:r>
      <w:r w:rsidRPr="00CE04FC">
        <w:rPr>
          <w:rFonts w:ascii="Times New Roman" w:hAnsi="Times New Roman"/>
        </w:rPr>
        <w:t>,</w:t>
      </w:r>
      <w:r w:rsidRPr="00CE04FC">
        <w:rPr>
          <w:rFonts w:ascii="Times New Roman" w:hAnsi="Times New Roman"/>
          <w:i/>
        </w:rPr>
        <w:t xml:space="preserve"> 35</w:t>
      </w:r>
      <w:r w:rsidRPr="00CE04FC">
        <w:rPr>
          <w:rFonts w:ascii="Times New Roman" w:hAnsi="Times New Roman"/>
        </w:rPr>
        <w:t xml:space="preserve">, 499-514. </w:t>
      </w:r>
    </w:p>
    <w:p w14:paraId="73F1445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Tripathy, R., Bilionis, I., &amp; Gonzalez, M. (2016). Gaussian processes with built-in dimensionality reduction: Applications to high-dimensional uncertainty propagation. </w:t>
      </w:r>
      <w:r w:rsidRPr="00CE04FC">
        <w:rPr>
          <w:rFonts w:ascii="Times New Roman" w:hAnsi="Times New Roman"/>
          <w:i/>
        </w:rPr>
        <w:t>Journal of computational Physics</w:t>
      </w:r>
      <w:r w:rsidRPr="00CE04FC">
        <w:rPr>
          <w:rFonts w:ascii="Times New Roman" w:hAnsi="Times New Roman"/>
        </w:rPr>
        <w:t>,</w:t>
      </w:r>
      <w:r w:rsidRPr="00CE04FC">
        <w:rPr>
          <w:rFonts w:ascii="Times New Roman" w:hAnsi="Times New Roman"/>
          <w:i/>
        </w:rPr>
        <w:t xml:space="preserve"> 321</w:t>
      </w:r>
      <w:r w:rsidRPr="00CE04FC">
        <w:rPr>
          <w:rFonts w:ascii="Times New Roman" w:hAnsi="Times New Roman"/>
        </w:rPr>
        <w:t xml:space="preserve">, 191-223. </w:t>
      </w:r>
    </w:p>
    <w:p w14:paraId="785B15EF"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Üstün, C. E., Eckart, S., Valera-Medina, A., &amp; Paykani, A. (2024). Data-driven prediction of laminar burning velocity for ternary ammonia/hydrogen/methane/air premixed flames. </w:t>
      </w:r>
      <w:r w:rsidRPr="00CE04FC">
        <w:rPr>
          <w:rFonts w:ascii="Times New Roman" w:hAnsi="Times New Roman"/>
          <w:i/>
        </w:rPr>
        <w:t>Fuel</w:t>
      </w:r>
      <w:r w:rsidRPr="00CE04FC">
        <w:rPr>
          <w:rFonts w:ascii="Times New Roman" w:hAnsi="Times New Roman"/>
        </w:rPr>
        <w:t>,</w:t>
      </w:r>
      <w:r w:rsidRPr="00CE04FC">
        <w:rPr>
          <w:rFonts w:ascii="Times New Roman" w:hAnsi="Times New Roman"/>
          <w:i/>
        </w:rPr>
        <w:t xml:space="preserve"> 368</w:t>
      </w:r>
      <w:r w:rsidRPr="00CE04FC">
        <w:rPr>
          <w:rFonts w:ascii="Times New Roman" w:hAnsi="Times New Roman"/>
        </w:rPr>
        <w:t xml:space="preserve">, 131581. </w:t>
      </w:r>
    </w:p>
    <w:p w14:paraId="1FFF3B2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Verleysen, K., Coppitters, D., Parente, A., De Paepe, W., &amp; Contino, F. (2020). How can power-to-ammonia be robust? Optimization of an ammonia synthesis plant powered by a wind turbine considering operational uncertainties. </w:t>
      </w:r>
      <w:r w:rsidRPr="00CE04FC">
        <w:rPr>
          <w:rFonts w:ascii="Times New Roman" w:hAnsi="Times New Roman"/>
          <w:i/>
        </w:rPr>
        <w:t>Fuel</w:t>
      </w:r>
      <w:r w:rsidRPr="00CE04FC">
        <w:rPr>
          <w:rFonts w:ascii="Times New Roman" w:hAnsi="Times New Roman"/>
        </w:rPr>
        <w:t>,</w:t>
      </w:r>
      <w:r w:rsidRPr="00CE04FC">
        <w:rPr>
          <w:rFonts w:ascii="Times New Roman" w:hAnsi="Times New Roman"/>
          <w:i/>
        </w:rPr>
        <w:t xml:space="preserve"> 266</w:t>
      </w:r>
      <w:r w:rsidRPr="00CE04FC">
        <w:rPr>
          <w:rFonts w:ascii="Times New Roman" w:hAnsi="Times New Roman"/>
        </w:rPr>
        <w:t xml:space="preserve">, 117049. </w:t>
      </w:r>
    </w:p>
    <w:p w14:paraId="6E153E54"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Wang, H. (2019). Uncertainty quantification and minimization. In </w:t>
      </w:r>
      <w:r w:rsidRPr="00CE04FC">
        <w:rPr>
          <w:rFonts w:ascii="Times New Roman" w:hAnsi="Times New Roman"/>
          <w:i/>
        </w:rPr>
        <w:t>Computer Aided Chemical Engineering</w:t>
      </w:r>
      <w:r w:rsidRPr="00CE04FC">
        <w:rPr>
          <w:rFonts w:ascii="Times New Roman" w:hAnsi="Times New Roman"/>
        </w:rPr>
        <w:t xml:space="preserve"> (Vol. 45, pp. 723-762). Elsevier. </w:t>
      </w:r>
    </w:p>
    <w:p w14:paraId="0CD5FFC7" w14:textId="459C6CDF"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Wang, Y., Wang, Z., &amp; Sheng, H. (2024). Optimizing wind turbine integration in microgrids through enhanced multi-control of energy storage and micro-resources for enhanced stability. </w:t>
      </w:r>
      <w:r w:rsidRPr="00CE04FC">
        <w:rPr>
          <w:rFonts w:ascii="Times New Roman" w:hAnsi="Times New Roman"/>
          <w:i/>
        </w:rPr>
        <w:t>Journal of Cleaner Production</w:t>
      </w:r>
      <w:r w:rsidRPr="00CE04FC">
        <w:rPr>
          <w:rFonts w:ascii="Times New Roman" w:hAnsi="Times New Roman"/>
        </w:rPr>
        <w:t>,</w:t>
      </w:r>
      <w:r w:rsidRPr="00CE04FC">
        <w:rPr>
          <w:rFonts w:ascii="Times New Roman" w:hAnsi="Times New Roman"/>
          <w:i/>
        </w:rPr>
        <w:t xml:space="preserve"> 444</w:t>
      </w:r>
      <w:r w:rsidRPr="00CE04FC">
        <w:rPr>
          <w:rFonts w:ascii="Times New Roman" w:hAnsi="Times New Roman"/>
        </w:rPr>
        <w:t xml:space="preserve">, 140965. </w:t>
      </w:r>
      <w:hyperlink r:id="rId46" w:history="1">
        <w:r w:rsidRPr="00CE04FC">
          <w:rPr>
            <w:rStyle w:val="Hyperlink"/>
            <w:rFonts w:ascii="Times New Roman" w:hAnsi="Times New Roman"/>
            <w:color w:val="auto"/>
          </w:rPr>
          <w:t>https://doi.org/https://doi.org/10.1016/j.jclepro.2024.140965</w:t>
        </w:r>
      </w:hyperlink>
      <w:r w:rsidRPr="00CE04FC">
        <w:rPr>
          <w:rFonts w:ascii="Times New Roman" w:hAnsi="Times New Roman"/>
        </w:rPr>
        <w:t xml:space="preserve"> </w:t>
      </w:r>
    </w:p>
    <w:p w14:paraId="2EE7D455"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Wang, Z., Dahl, G. E., Swersky, K., Lee, C., Nado, Z., Gilmer, J., Snoek, J., &amp; Ghahramani, Z. (2024). Pre-trained Gaussian processes for Bayesian optimization. </w:t>
      </w:r>
      <w:r w:rsidRPr="00CE04FC">
        <w:rPr>
          <w:rFonts w:ascii="Times New Roman" w:hAnsi="Times New Roman"/>
          <w:i/>
        </w:rPr>
        <w:t>Journal of Machine Learning Research</w:t>
      </w:r>
      <w:r w:rsidRPr="00CE04FC">
        <w:rPr>
          <w:rFonts w:ascii="Times New Roman" w:hAnsi="Times New Roman"/>
        </w:rPr>
        <w:t>,</w:t>
      </w:r>
      <w:r w:rsidRPr="00CE04FC">
        <w:rPr>
          <w:rFonts w:ascii="Times New Roman" w:hAnsi="Times New Roman"/>
          <w:i/>
        </w:rPr>
        <w:t xml:space="preserve"> 25</w:t>
      </w:r>
      <w:r w:rsidRPr="00CE04FC">
        <w:rPr>
          <w:rFonts w:ascii="Times New Roman" w:hAnsi="Times New Roman"/>
        </w:rPr>
        <w:t xml:space="preserve">(212), 1-83. </w:t>
      </w:r>
    </w:p>
    <w:p w14:paraId="686B93CA" w14:textId="2D7BF49D"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Woo, J., Fatima, R., Kibert, C. J., Newman, R. E., Tian, Y., &amp; Srinivasan, R. S. (2021). Applying blockchain technology for building energy performance measurement, reporting, and verification (MRV) and the carbon credit market: A review of the literature. </w:t>
      </w:r>
      <w:r w:rsidRPr="00CE04FC">
        <w:rPr>
          <w:rFonts w:ascii="Times New Roman" w:hAnsi="Times New Roman"/>
          <w:i/>
        </w:rPr>
        <w:t>Building and Environment</w:t>
      </w:r>
      <w:r w:rsidRPr="00CE04FC">
        <w:rPr>
          <w:rFonts w:ascii="Times New Roman" w:hAnsi="Times New Roman"/>
        </w:rPr>
        <w:t>,</w:t>
      </w:r>
      <w:r w:rsidRPr="00CE04FC">
        <w:rPr>
          <w:rFonts w:ascii="Times New Roman" w:hAnsi="Times New Roman"/>
          <w:i/>
        </w:rPr>
        <w:t xml:space="preserve"> 205</w:t>
      </w:r>
      <w:r w:rsidRPr="00CE04FC">
        <w:rPr>
          <w:rFonts w:ascii="Times New Roman" w:hAnsi="Times New Roman"/>
        </w:rPr>
        <w:t xml:space="preserve">, 108199. </w:t>
      </w:r>
      <w:hyperlink r:id="rId47" w:history="1">
        <w:r w:rsidRPr="00CE04FC">
          <w:rPr>
            <w:rStyle w:val="Hyperlink"/>
            <w:rFonts w:ascii="Times New Roman" w:hAnsi="Times New Roman"/>
            <w:color w:val="auto"/>
          </w:rPr>
          <w:t>https://doi.org/https://doi.org/10.1016/j.buildenv.2021.108199</w:t>
        </w:r>
      </w:hyperlink>
      <w:r w:rsidRPr="00CE04FC">
        <w:rPr>
          <w:rFonts w:ascii="Times New Roman" w:hAnsi="Times New Roman"/>
        </w:rPr>
        <w:t xml:space="preserve"> </w:t>
      </w:r>
    </w:p>
    <w:p w14:paraId="360FCDD2" w14:textId="0C11C5B2"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Xing, Z., &amp; Jiang, X. (2024). Neural network potential-based molecular investigation of pollutant formation of ammonia and ammonia-hydrogen combustion. </w:t>
      </w:r>
      <w:r w:rsidRPr="00CE04FC">
        <w:rPr>
          <w:rFonts w:ascii="Times New Roman" w:hAnsi="Times New Roman"/>
          <w:i/>
        </w:rPr>
        <w:t>Chemical Engineering Journal</w:t>
      </w:r>
      <w:r w:rsidRPr="00CE04FC">
        <w:rPr>
          <w:rFonts w:ascii="Times New Roman" w:hAnsi="Times New Roman"/>
        </w:rPr>
        <w:t>,</w:t>
      </w:r>
      <w:r w:rsidRPr="00CE04FC">
        <w:rPr>
          <w:rFonts w:ascii="Times New Roman" w:hAnsi="Times New Roman"/>
          <w:i/>
        </w:rPr>
        <w:t xml:space="preserve"> 489</w:t>
      </w:r>
      <w:r w:rsidRPr="00CE04FC">
        <w:rPr>
          <w:rFonts w:ascii="Times New Roman" w:hAnsi="Times New Roman"/>
        </w:rPr>
        <w:t xml:space="preserve">, 151492. </w:t>
      </w:r>
      <w:hyperlink r:id="rId48" w:history="1">
        <w:r w:rsidRPr="00CE04FC">
          <w:rPr>
            <w:rStyle w:val="Hyperlink"/>
            <w:rFonts w:ascii="Times New Roman" w:hAnsi="Times New Roman"/>
            <w:color w:val="auto"/>
          </w:rPr>
          <w:t>https://doi.org/https://doi.org/10.1016/j.cej.2024.151492</w:t>
        </w:r>
      </w:hyperlink>
      <w:r w:rsidRPr="00CE04FC">
        <w:rPr>
          <w:rFonts w:ascii="Times New Roman" w:hAnsi="Times New Roman"/>
        </w:rPr>
        <w:t xml:space="preserve"> </w:t>
      </w:r>
    </w:p>
    <w:p w14:paraId="1E2F81A1"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Xiong, F., Chen, S., &amp; Xiong, Y. (2014). Dynamic system uncertainty propagation using polynomial chaos. </w:t>
      </w:r>
      <w:r w:rsidRPr="00CE04FC">
        <w:rPr>
          <w:rFonts w:ascii="Times New Roman" w:hAnsi="Times New Roman"/>
          <w:i/>
        </w:rPr>
        <w:t>Chinese Journal of Aeronautics</w:t>
      </w:r>
      <w:r w:rsidRPr="00CE04FC">
        <w:rPr>
          <w:rFonts w:ascii="Times New Roman" w:hAnsi="Times New Roman"/>
        </w:rPr>
        <w:t>,</w:t>
      </w:r>
      <w:r w:rsidRPr="00CE04FC">
        <w:rPr>
          <w:rFonts w:ascii="Times New Roman" w:hAnsi="Times New Roman"/>
          <w:i/>
        </w:rPr>
        <w:t xml:space="preserve"> 27</w:t>
      </w:r>
      <w:r w:rsidRPr="00CE04FC">
        <w:rPr>
          <w:rFonts w:ascii="Times New Roman" w:hAnsi="Times New Roman"/>
        </w:rPr>
        <w:t xml:space="preserve">(5), 1156-1170. </w:t>
      </w:r>
    </w:p>
    <w:p w14:paraId="43622697"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Xiu, D., &amp; Karniadakis, G. E. (2002). The Wiener--Askey polynomial chaos for stochastic differential equations. </w:t>
      </w:r>
      <w:r w:rsidRPr="00CE04FC">
        <w:rPr>
          <w:rFonts w:ascii="Times New Roman" w:hAnsi="Times New Roman"/>
          <w:i/>
        </w:rPr>
        <w:t>SIAM journal on scientific computing</w:t>
      </w:r>
      <w:r w:rsidRPr="00CE04FC">
        <w:rPr>
          <w:rFonts w:ascii="Times New Roman" w:hAnsi="Times New Roman"/>
        </w:rPr>
        <w:t>,</w:t>
      </w:r>
      <w:r w:rsidRPr="00CE04FC">
        <w:rPr>
          <w:rFonts w:ascii="Times New Roman" w:hAnsi="Times New Roman"/>
          <w:i/>
        </w:rPr>
        <w:t xml:space="preserve"> 24</w:t>
      </w:r>
      <w:r w:rsidRPr="00CE04FC">
        <w:rPr>
          <w:rFonts w:ascii="Times New Roman" w:hAnsi="Times New Roman"/>
        </w:rPr>
        <w:t xml:space="preserve">(2), 619-644. </w:t>
      </w:r>
    </w:p>
    <w:p w14:paraId="7C16D763"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Yang, B., Chen, Y., Guo, Z., Wang, J., Zeng, C., Li, D., Shu, H., Shan, J., Fu, T., &amp; Zhang, X. (2021). Levenberg‐Marquardt backpropagation algorithm for parameter identification of solid oxide fuel cells. </w:t>
      </w:r>
      <w:r w:rsidRPr="00CE04FC">
        <w:rPr>
          <w:rFonts w:ascii="Times New Roman" w:hAnsi="Times New Roman"/>
          <w:i/>
        </w:rPr>
        <w:t>International Journal of Energy Research</w:t>
      </w:r>
      <w:r w:rsidRPr="00CE04FC">
        <w:rPr>
          <w:rFonts w:ascii="Times New Roman" w:hAnsi="Times New Roman"/>
        </w:rPr>
        <w:t>,</w:t>
      </w:r>
      <w:r w:rsidRPr="00CE04FC">
        <w:rPr>
          <w:rFonts w:ascii="Times New Roman" w:hAnsi="Times New Roman"/>
          <w:i/>
        </w:rPr>
        <w:t xml:space="preserve"> 45</w:t>
      </w:r>
      <w:r w:rsidRPr="00CE04FC">
        <w:rPr>
          <w:rFonts w:ascii="Times New Roman" w:hAnsi="Times New Roman"/>
        </w:rPr>
        <w:t xml:space="preserve">(12), 17903-17923. </w:t>
      </w:r>
    </w:p>
    <w:p w14:paraId="68584316"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Yin, N. (2024). Enhancing energy efficiency and reducing emissions in a novel biomass-geothermal hybrid system for hydrogen/ammonia production using machine learning and multi-level heat recovery. </w:t>
      </w:r>
      <w:r w:rsidRPr="00CE04FC">
        <w:rPr>
          <w:rFonts w:ascii="Times New Roman" w:hAnsi="Times New Roman"/>
          <w:i/>
        </w:rPr>
        <w:t>International Journal of Hydrogen Energy</w:t>
      </w:r>
      <w:r w:rsidRPr="00CE04FC">
        <w:rPr>
          <w:rFonts w:ascii="Times New Roman" w:hAnsi="Times New Roman"/>
        </w:rPr>
        <w:t>,</w:t>
      </w:r>
      <w:r w:rsidRPr="00CE04FC">
        <w:rPr>
          <w:rFonts w:ascii="Times New Roman" w:hAnsi="Times New Roman"/>
          <w:i/>
        </w:rPr>
        <w:t xml:space="preserve"> 92</w:t>
      </w:r>
      <w:r w:rsidRPr="00CE04FC">
        <w:rPr>
          <w:rFonts w:ascii="Times New Roman" w:hAnsi="Times New Roman"/>
        </w:rPr>
        <w:t xml:space="preserve">, 959-974. </w:t>
      </w:r>
    </w:p>
    <w:p w14:paraId="0324C311"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Yuen, C., Oudalov, A., &amp; Timbus, A. (2010). The provision of frequency control reserves from multiple microgrids. </w:t>
      </w:r>
      <w:r w:rsidRPr="00CE04FC">
        <w:rPr>
          <w:rFonts w:ascii="Times New Roman" w:hAnsi="Times New Roman"/>
          <w:i/>
        </w:rPr>
        <w:t>IEEE Transactions on Industrial Electronics</w:t>
      </w:r>
      <w:r w:rsidRPr="00CE04FC">
        <w:rPr>
          <w:rFonts w:ascii="Times New Roman" w:hAnsi="Times New Roman"/>
        </w:rPr>
        <w:t>,</w:t>
      </w:r>
      <w:r w:rsidRPr="00CE04FC">
        <w:rPr>
          <w:rFonts w:ascii="Times New Roman" w:hAnsi="Times New Roman"/>
          <w:i/>
        </w:rPr>
        <w:t xml:space="preserve"> 58</w:t>
      </w:r>
      <w:r w:rsidRPr="00CE04FC">
        <w:rPr>
          <w:rFonts w:ascii="Times New Roman" w:hAnsi="Times New Roman"/>
        </w:rPr>
        <w:t xml:space="preserve">(1), 173-183. </w:t>
      </w:r>
    </w:p>
    <w:p w14:paraId="22356689"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Zaki, A. M., Zayed, M. E., &amp; Alhems, L. M. (2024). Leveraging machine learning techniques and in-situ measurements for precise predicting the energy performance of regenerative counter-flow indirect evaporative cooler in a semi-arid climate building. </w:t>
      </w:r>
      <w:r w:rsidRPr="00CE04FC">
        <w:rPr>
          <w:rFonts w:ascii="Times New Roman" w:hAnsi="Times New Roman"/>
          <w:i/>
        </w:rPr>
        <w:t>Journal of Building Engineering</w:t>
      </w:r>
      <w:r w:rsidRPr="00CE04FC">
        <w:rPr>
          <w:rFonts w:ascii="Times New Roman" w:hAnsi="Times New Roman"/>
        </w:rPr>
        <w:t>,</w:t>
      </w:r>
      <w:r w:rsidRPr="00CE04FC">
        <w:rPr>
          <w:rFonts w:ascii="Times New Roman" w:hAnsi="Times New Roman"/>
          <w:i/>
        </w:rPr>
        <w:t xml:space="preserve"> 95</w:t>
      </w:r>
      <w:r w:rsidRPr="00CE04FC">
        <w:rPr>
          <w:rFonts w:ascii="Times New Roman" w:hAnsi="Times New Roman"/>
        </w:rPr>
        <w:t xml:space="preserve">, 110318. </w:t>
      </w:r>
    </w:p>
    <w:p w14:paraId="5C3ED12E"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Zayed, M. E., Kabeel, A., Shboul, B., Ashraf, W. M., Ghazy, M., Irshad, K., Rehman, S., &amp; Zayed, A. A. (2023). Performance augmentation and machine learning-based modeling of wavy corrugated solar air collector embedded with thermal energy storage: Support vector machine combined with Monte Carlo simulation. </w:t>
      </w:r>
      <w:r w:rsidRPr="00CE04FC">
        <w:rPr>
          <w:rFonts w:ascii="Times New Roman" w:hAnsi="Times New Roman"/>
          <w:i/>
        </w:rPr>
        <w:t>Journal of Energy Storage</w:t>
      </w:r>
      <w:r w:rsidRPr="00CE04FC">
        <w:rPr>
          <w:rFonts w:ascii="Times New Roman" w:hAnsi="Times New Roman"/>
        </w:rPr>
        <w:t>,</w:t>
      </w:r>
      <w:r w:rsidRPr="00CE04FC">
        <w:rPr>
          <w:rFonts w:ascii="Times New Roman" w:hAnsi="Times New Roman"/>
          <w:i/>
        </w:rPr>
        <w:t xml:space="preserve"> 74</w:t>
      </w:r>
      <w:r w:rsidRPr="00CE04FC">
        <w:rPr>
          <w:rFonts w:ascii="Times New Roman" w:hAnsi="Times New Roman"/>
        </w:rPr>
        <w:t xml:space="preserve">, 109533. </w:t>
      </w:r>
    </w:p>
    <w:p w14:paraId="04283CD7"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lastRenderedPageBreak/>
        <w:t xml:space="preserve">Zayed, M. E., Rehman, S., Elgendy, I. A., Al-Shaikhi, A., Mohandes, M. A., Irshad, K., Abdelrazik, A., &amp; Alam, M. A. (2025). Benchmarking reinforcement learning and prototyping development of floating solar power system: Experimental study and LSTM modeling combined with brown-bear optimization algorithm. </w:t>
      </w:r>
      <w:r w:rsidRPr="00CE04FC">
        <w:rPr>
          <w:rFonts w:ascii="Times New Roman" w:hAnsi="Times New Roman"/>
          <w:i/>
        </w:rPr>
        <w:t>Energy Conversion and Management</w:t>
      </w:r>
      <w:r w:rsidRPr="00CE04FC">
        <w:rPr>
          <w:rFonts w:ascii="Times New Roman" w:hAnsi="Times New Roman"/>
        </w:rPr>
        <w:t>,</w:t>
      </w:r>
      <w:r w:rsidRPr="00CE04FC">
        <w:rPr>
          <w:rFonts w:ascii="Times New Roman" w:hAnsi="Times New Roman"/>
          <w:i/>
        </w:rPr>
        <w:t xml:space="preserve"> 332</w:t>
      </w:r>
      <w:r w:rsidRPr="00CE04FC">
        <w:rPr>
          <w:rFonts w:ascii="Times New Roman" w:hAnsi="Times New Roman"/>
        </w:rPr>
        <w:t xml:space="preserve">, 119696. </w:t>
      </w:r>
    </w:p>
    <w:p w14:paraId="1654F682"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Zhang, K., &amp; Jiang, X. (2018). An investigation of fuel variability effect on bio-syngas combustion using uncertainty quantification. </w:t>
      </w:r>
      <w:r w:rsidRPr="00CE04FC">
        <w:rPr>
          <w:rFonts w:ascii="Times New Roman" w:hAnsi="Times New Roman"/>
          <w:i/>
        </w:rPr>
        <w:t>Fuel</w:t>
      </w:r>
      <w:r w:rsidRPr="00CE04FC">
        <w:rPr>
          <w:rFonts w:ascii="Times New Roman" w:hAnsi="Times New Roman"/>
        </w:rPr>
        <w:t>,</w:t>
      </w:r>
      <w:r w:rsidRPr="00CE04FC">
        <w:rPr>
          <w:rFonts w:ascii="Times New Roman" w:hAnsi="Times New Roman"/>
          <w:i/>
        </w:rPr>
        <w:t xml:space="preserve"> 220</w:t>
      </w:r>
      <w:r w:rsidRPr="00CE04FC">
        <w:rPr>
          <w:rFonts w:ascii="Times New Roman" w:hAnsi="Times New Roman"/>
        </w:rPr>
        <w:t xml:space="preserve">, 283-295. </w:t>
      </w:r>
    </w:p>
    <w:p w14:paraId="177A245D" w14:textId="34A5D6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Zhang, T., Uratani, J., Huang, Y., Xu, L., Griffiths, S., &amp; Ding, Y. (2023). Hydrogen liquefaction and storage: Recent progress and perspectives. </w:t>
      </w:r>
      <w:r w:rsidRPr="00CE04FC">
        <w:rPr>
          <w:rFonts w:ascii="Times New Roman" w:hAnsi="Times New Roman"/>
          <w:i/>
        </w:rPr>
        <w:t>Renewable and Sustainable Energy Reviews</w:t>
      </w:r>
      <w:r w:rsidRPr="00CE04FC">
        <w:rPr>
          <w:rFonts w:ascii="Times New Roman" w:hAnsi="Times New Roman"/>
        </w:rPr>
        <w:t>,</w:t>
      </w:r>
      <w:r w:rsidRPr="00CE04FC">
        <w:rPr>
          <w:rFonts w:ascii="Times New Roman" w:hAnsi="Times New Roman"/>
          <w:i/>
        </w:rPr>
        <w:t xml:space="preserve"> 176</w:t>
      </w:r>
      <w:r w:rsidRPr="00CE04FC">
        <w:rPr>
          <w:rFonts w:ascii="Times New Roman" w:hAnsi="Times New Roman"/>
        </w:rPr>
        <w:t xml:space="preserve">, 113204. </w:t>
      </w:r>
      <w:hyperlink r:id="rId49" w:history="1">
        <w:r w:rsidRPr="00CE04FC">
          <w:rPr>
            <w:rStyle w:val="Hyperlink"/>
            <w:rFonts w:ascii="Times New Roman" w:hAnsi="Times New Roman"/>
            <w:color w:val="auto"/>
          </w:rPr>
          <w:t>https://doi.org/https://doi.org/10.1016/j.rser.2023.113204</w:t>
        </w:r>
      </w:hyperlink>
      <w:r w:rsidRPr="00CE04FC">
        <w:rPr>
          <w:rFonts w:ascii="Times New Roman" w:hAnsi="Times New Roman"/>
        </w:rPr>
        <w:t xml:space="preserve"> </w:t>
      </w:r>
    </w:p>
    <w:p w14:paraId="06EAED3B" w14:textId="77777777" w:rsidR="009D018F" w:rsidRPr="00CE04FC" w:rsidRDefault="009D018F" w:rsidP="009D018F">
      <w:pPr>
        <w:pStyle w:val="EndNoteBibliography"/>
        <w:spacing w:after="0"/>
        <w:ind w:left="720" w:hanging="720"/>
        <w:rPr>
          <w:rFonts w:ascii="Times New Roman" w:hAnsi="Times New Roman"/>
        </w:rPr>
      </w:pPr>
      <w:r w:rsidRPr="00CE04FC">
        <w:rPr>
          <w:rFonts w:ascii="Times New Roman" w:hAnsi="Times New Roman"/>
        </w:rPr>
        <w:t xml:space="preserve">Zhang, Y., Peng, X., Yuan, X., Li, Y., &amp; Wang, K. (2023). A unidirectional cascaded high-power wind converter with reduced number of active devices. </w:t>
      </w:r>
      <w:r w:rsidRPr="00CE04FC">
        <w:rPr>
          <w:rFonts w:ascii="Times New Roman" w:hAnsi="Times New Roman"/>
          <w:i/>
        </w:rPr>
        <w:t>IEEE Access</w:t>
      </w:r>
      <w:r w:rsidRPr="00CE04FC">
        <w:rPr>
          <w:rFonts w:ascii="Times New Roman" w:hAnsi="Times New Roman"/>
        </w:rPr>
        <w:t>,</w:t>
      </w:r>
      <w:r w:rsidRPr="00CE04FC">
        <w:rPr>
          <w:rFonts w:ascii="Times New Roman" w:hAnsi="Times New Roman"/>
          <w:i/>
        </w:rPr>
        <w:t xml:space="preserve"> 11</w:t>
      </w:r>
      <w:r w:rsidRPr="00CE04FC">
        <w:rPr>
          <w:rFonts w:ascii="Times New Roman" w:hAnsi="Times New Roman"/>
        </w:rPr>
        <w:t xml:space="preserve">, 10902-10911. </w:t>
      </w:r>
    </w:p>
    <w:p w14:paraId="192CEC68" w14:textId="34618542" w:rsidR="009B52F2" w:rsidRPr="00CE04FC" w:rsidRDefault="009D018F" w:rsidP="003E3035">
      <w:pPr>
        <w:pStyle w:val="EndNoteBibliography"/>
        <w:ind w:left="720" w:hanging="720"/>
        <w:rPr>
          <w:rFonts w:ascii="Times New Roman" w:hAnsi="Times New Roman"/>
        </w:rPr>
      </w:pPr>
      <w:r w:rsidRPr="00CE04FC">
        <w:rPr>
          <w:rFonts w:ascii="Times New Roman" w:hAnsi="Times New Roman"/>
        </w:rPr>
        <w:t xml:space="preserve">Zubair, S. M., Sheikh, A. K., Younas, M., &amp; Budair, M. (2000). A risk based heat exchanger analysis subject to fouling: Part I: Performance evaluation. </w:t>
      </w:r>
      <w:r w:rsidRPr="00CE04FC">
        <w:rPr>
          <w:rFonts w:ascii="Times New Roman" w:hAnsi="Times New Roman"/>
          <w:i/>
        </w:rPr>
        <w:t>Energy</w:t>
      </w:r>
      <w:r w:rsidRPr="00CE04FC">
        <w:rPr>
          <w:rFonts w:ascii="Times New Roman" w:hAnsi="Times New Roman"/>
        </w:rPr>
        <w:t>,</w:t>
      </w:r>
      <w:r w:rsidRPr="00CE04FC">
        <w:rPr>
          <w:rFonts w:ascii="Times New Roman" w:hAnsi="Times New Roman"/>
          <w:i/>
        </w:rPr>
        <w:t xml:space="preserve"> 25</w:t>
      </w:r>
      <w:r w:rsidRPr="00CE04FC">
        <w:rPr>
          <w:rFonts w:ascii="Times New Roman" w:hAnsi="Times New Roman"/>
        </w:rPr>
        <w:t xml:space="preserve">(5), 427-443. </w:t>
      </w:r>
      <w:r w:rsidR="00D75860" w:rsidRPr="00CE04FC">
        <w:rPr>
          <w:rFonts w:ascii="Times New Roman" w:hAnsi="Times New Roman"/>
        </w:rPr>
        <w:fldChar w:fldCharType="end"/>
      </w:r>
    </w:p>
    <w:sectPr w:rsidR="009B52F2" w:rsidRPr="00CE04FC" w:rsidSect="00F634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E5633"/>
    <w:multiLevelType w:val="multilevel"/>
    <w:tmpl w:val="3D3C9136"/>
    <w:lvl w:ilvl="0">
      <w:start w:val="1"/>
      <w:numFmt w:val="decimal"/>
      <w:lvlText w:val="%1"/>
      <w:lvlJc w:val="left"/>
      <w:pPr>
        <w:ind w:left="360" w:hanging="360"/>
      </w:pPr>
      <w:rPr>
        <w:rFonts w:eastAsiaTheme="majorEastAsia" w:hint="default"/>
        <w:color w:val="auto"/>
      </w:rPr>
    </w:lvl>
    <w:lvl w:ilvl="1">
      <w:start w:val="2"/>
      <w:numFmt w:val="decimal"/>
      <w:lvlText w:val="%1.%2"/>
      <w:lvlJc w:val="left"/>
      <w:pPr>
        <w:ind w:left="720" w:hanging="360"/>
      </w:pPr>
      <w:rPr>
        <w:rFonts w:eastAsiaTheme="majorEastAsia" w:hint="default"/>
        <w:color w:val="auto"/>
      </w:rPr>
    </w:lvl>
    <w:lvl w:ilvl="2">
      <w:start w:val="1"/>
      <w:numFmt w:val="decimal"/>
      <w:lvlText w:val="%1.%2.%3"/>
      <w:lvlJc w:val="left"/>
      <w:pPr>
        <w:ind w:left="1440" w:hanging="720"/>
      </w:pPr>
      <w:rPr>
        <w:rFonts w:eastAsiaTheme="majorEastAsia" w:hint="default"/>
        <w:color w:val="auto"/>
      </w:rPr>
    </w:lvl>
    <w:lvl w:ilvl="3">
      <w:start w:val="1"/>
      <w:numFmt w:val="decimal"/>
      <w:lvlText w:val="%1.%2.%3.%4"/>
      <w:lvlJc w:val="left"/>
      <w:pPr>
        <w:ind w:left="1800" w:hanging="720"/>
      </w:pPr>
      <w:rPr>
        <w:rFonts w:eastAsiaTheme="majorEastAsia" w:hint="default"/>
        <w:color w:val="auto"/>
      </w:rPr>
    </w:lvl>
    <w:lvl w:ilvl="4">
      <w:start w:val="1"/>
      <w:numFmt w:val="decimal"/>
      <w:lvlText w:val="%1.%2.%3.%4.%5"/>
      <w:lvlJc w:val="left"/>
      <w:pPr>
        <w:ind w:left="2520" w:hanging="1080"/>
      </w:pPr>
      <w:rPr>
        <w:rFonts w:eastAsiaTheme="majorEastAsia" w:hint="default"/>
        <w:color w:val="auto"/>
      </w:rPr>
    </w:lvl>
    <w:lvl w:ilvl="5">
      <w:start w:val="1"/>
      <w:numFmt w:val="decimal"/>
      <w:lvlText w:val="%1.%2.%3.%4.%5.%6"/>
      <w:lvlJc w:val="left"/>
      <w:pPr>
        <w:ind w:left="2880" w:hanging="1080"/>
      </w:pPr>
      <w:rPr>
        <w:rFonts w:eastAsiaTheme="majorEastAsia" w:hint="default"/>
        <w:color w:val="auto"/>
      </w:rPr>
    </w:lvl>
    <w:lvl w:ilvl="6">
      <w:start w:val="1"/>
      <w:numFmt w:val="decimal"/>
      <w:lvlText w:val="%1.%2.%3.%4.%5.%6.%7"/>
      <w:lvlJc w:val="left"/>
      <w:pPr>
        <w:ind w:left="3600" w:hanging="1440"/>
      </w:pPr>
      <w:rPr>
        <w:rFonts w:eastAsiaTheme="majorEastAsia" w:hint="default"/>
        <w:color w:val="auto"/>
      </w:rPr>
    </w:lvl>
    <w:lvl w:ilvl="7">
      <w:start w:val="1"/>
      <w:numFmt w:val="decimal"/>
      <w:lvlText w:val="%1.%2.%3.%4.%5.%6.%7.%8"/>
      <w:lvlJc w:val="left"/>
      <w:pPr>
        <w:ind w:left="3960" w:hanging="1440"/>
      </w:pPr>
      <w:rPr>
        <w:rFonts w:eastAsiaTheme="majorEastAsia" w:hint="default"/>
        <w:color w:val="auto"/>
      </w:rPr>
    </w:lvl>
    <w:lvl w:ilvl="8">
      <w:start w:val="1"/>
      <w:numFmt w:val="decimal"/>
      <w:lvlText w:val="%1.%2.%3.%4.%5.%6.%7.%8.%9"/>
      <w:lvlJc w:val="left"/>
      <w:pPr>
        <w:ind w:left="4680" w:hanging="1800"/>
      </w:pPr>
      <w:rPr>
        <w:rFonts w:eastAsiaTheme="majorEastAsia" w:hint="default"/>
        <w:color w:val="auto"/>
      </w:rPr>
    </w:lvl>
  </w:abstractNum>
  <w:abstractNum w:abstractNumId="1" w15:restartNumberingAfterBreak="0">
    <w:nsid w:val="16322443"/>
    <w:multiLevelType w:val="multilevel"/>
    <w:tmpl w:val="ACA84E8A"/>
    <w:lvl w:ilvl="0">
      <w:start w:val="1"/>
      <w:numFmt w:val="decimal"/>
      <w:pStyle w:val="Heading1"/>
      <w:lvlText w:val="%1."/>
      <w:lvlJc w:val="left"/>
      <w:pPr>
        <w:ind w:left="720" w:hanging="360"/>
      </w:pPr>
    </w:lvl>
    <w:lvl w:ilvl="1">
      <w:start w:val="2"/>
      <w:numFmt w:val="decimal"/>
      <w:pStyle w:val="Heading2"/>
      <w:isLgl/>
      <w:lvlText w:val="%1.%2."/>
      <w:lvlJc w:val="left"/>
      <w:pPr>
        <w:ind w:left="1069" w:hanging="360"/>
      </w:pPr>
      <w:rPr>
        <w:rFonts w:ascii="Times New Roman" w:hAnsi="Times New Roman" w:cs="Times New Roman" w:hint="default"/>
        <w:b/>
        <w:bCs/>
        <w:color w:val="auto"/>
        <w:sz w:val="22"/>
        <w:szCs w:val="22"/>
      </w:rPr>
    </w:lvl>
    <w:lvl w:ilvl="2">
      <w:start w:val="1"/>
      <w:numFmt w:val="decimal"/>
      <w:pStyle w:val="Heading3"/>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3DA24331"/>
    <w:multiLevelType w:val="multilevel"/>
    <w:tmpl w:val="D6063C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6CE72FBB"/>
    <w:multiLevelType w:val="hybridMultilevel"/>
    <w:tmpl w:val="A16A10AC"/>
    <w:lvl w:ilvl="0" w:tplc="3468F45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10F1DB9"/>
    <w:multiLevelType w:val="hybridMultilevel"/>
    <w:tmpl w:val="DA50B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9E75C2A"/>
    <w:multiLevelType w:val="multilevel"/>
    <w:tmpl w:val="F9CE0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89801826">
    <w:abstractNumId w:val="3"/>
  </w:num>
  <w:num w:numId="2" w16cid:durableId="618143552">
    <w:abstractNumId w:val="1"/>
  </w:num>
  <w:num w:numId="3" w16cid:durableId="1157765197">
    <w:abstractNumId w:val="1"/>
    <w:lvlOverride w:ilvl="0">
      <w:startOverride w:val="2"/>
    </w:lvlOverride>
    <w:lvlOverride w:ilvl="1">
      <w:startOverride w:val="1"/>
    </w:lvlOverride>
  </w:num>
  <w:num w:numId="4" w16cid:durableId="112484741">
    <w:abstractNumId w:val="1"/>
    <w:lvlOverride w:ilvl="0">
      <w:startOverride w:val="3"/>
    </w:lvlOverride>
    <w:lvlOverride w:ilvl="1">
      <w:startOverride w:val="1"/>
    </w:lvlOverride>
  </w:num>
  <w:num w:numId="5" w16cid:durableId="1583221014">
    <w:abstractNumId w:val="2"/>
  </w:num>
  <w:num w:numId="6" w16cid:durableId="1458912889">
    <w:abstractNumId w:val="4"/>
  </w:num>
  <w:num w:numId="7" w16cid:durableId="877549001">
    <w:abstractNumId w:val="0"/>
  </w:num>
  <w:num w:numId="8" w16cid:durableId="11394189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A 7th&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x0z5zxatzat9oe9027xea2pe2we5dee5dez&quot;&gt;My EndNote Library&lt;record-ids&gt;&lt;item&gt;1&lt;/item&gt;&lt;item&gt;2&lt;/item&gt;&lt;item&gt;3&lt;/item&gt;&lt;item&gt;4&lt;/item&gt;&lt;item&gt;7&lt;/item&gt;&lt;item&gt;11&lt;/item&gt;&lt;item&gt;12&lt;/item&gt;&lt;item&gt;13&lt;/item&gt;&lt;item&gt;14&lt;/item&gt;&lt;item&gt;15&lt;/item&gt;&lt;item&gt;16&lt;/item&gt;&lt;item&gt;18&lt;/item&gt;&lt;item&gt;19&lt;/item&gt;&lt;item&gt;30&lt;/item&gt;&lt;item&gt;32&lt;/item&gt;&lt;item&gt;35&lt;/item&gt;&lt;item&gt;36&lt;/item&gt;&lt;item&gt;37&lt;/item&gt;&lt;item&gt;41&lt;/item&gt;&lt;item&gt;42&lt;/item&gt;&lt;item&gt;43&lt;/item&gt;&lt;item&gt;46&lt;/item&gt;&lt;item&gt;54&lt;/item&gt;&lt;item&gt;55&lt;/item&gt;&lt;item&gt;56&lt;/item&gt;&lt;item&gt;57&lt;/item&gt;&lt;item&gt;58&lt;/item&gt;&lt;item&gt;59&lt;/item&gt;&lt;item&gt;62&lt;/item&gt;&lt;item&gt;69&lt;/item&gt;&lt;item&gt;70&lt;/item&gt;&lt;item&gt;71&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5&lt;/item&gt;&lt;item&gt;96&lt;/item&gt;&lt;item&gt;97&lt;/item&gt;&lt;/record-ids&gt;&lt;/item&gt;&lt;/Libraries&gt;"/>
  </w:docVars>
  <w:rsids>
    <w:rsidRoot w:val="005772D1"/>
    <w:rsid w:val="00000859"/>
    <w:rsid w:val="00000B8A"/>
    <w:rsid w:val="00000D47"/>
    <w:rsid w:val="000025C3"/>
    <w:rsid w:val="0000267D"/>
    <w:rsid w:val="00002B05"/>
    <w:rsid w:val="00003213"/>
    <w:rsid w:val="00005735"/>
    <w:rsid w:val="00006A91"/>
    <w:rsid w:val="00006AAC"/>
    <w:rsid w:val="00011877"/>
    <w:rsid w:val="00013281"/>
    <w:rsid w:val="000137D9"/>
    <w:rsid w:val="00013DF1"/>
    <w:rsid w:val="00015917"/>
    <w:rsid w:val="00015944"/>
    <w:rsid w:val="00015CC4"/>
    <w:rsid w:val="00015DAE"/>
    <w:rsid w:val="00016264"/>
    <w:rsid w:val="00017B8E"/>
    <w:rsid w:val="00020236"/>
    <w:rsid w:val="000208C5"/>
    <w:rsid w:val="0002109F"/>
    <w:rsid w:val="00021677"/>
    <w:rsid w:val="00021AFE"/>
    <w:rsid w:val="000228E5"/>
    <w:rsid w:val="000233A0"/>
    <w:rsid w:val="00024654"/>
    <w:rsid w:val="000255C2"/>
    <w:rsid w:val="00025785"/>
    <w:rsid w:val="00026B1B"/>
    <w:rsid w:val="00026EF8"/>
    <w:rsid w:val="00030716"/>
    <w:rsid w:val="00031D9E"/>
    <w:rsid w:val="00031F19"/>
    <w:rsid w:val="000341D7"/>
    <w:rsid w:val="00035CE3"/>
    <w:rsid w:val="00036A39"/>
    <w:rsid w:val="000413DC"/>
    <w:rsid w:val="000415FD"/>
    <w:rsid w:val="00043290"/>
    <w:rsid w:val="00043D73"/>
    <w:rsid w:val="00044BAB"/>
    <w:rsid w:val="00045170"/>
    <w:rsid w:val="00045ED8"/>
    <w:rsid w:val="000469E9"/>
    <w:rsid w:val="00047008"/>
    <w:rsid w:val="00047926"/>
    <w:rsid w:val="00050BA3"/>
    <w:rsid w:val="0005254D"/>
    <w:rsid w:val="00052B2E"/>
    <w:rsid w:val="00052CEA"/>
    <w:rsid w:val="0005356B"/>
    <w:rsid w:val="00053808"/>
    <w:rsid w:val="00053B59"/>
    <w:rsid w:val="00053EDB"/>
    <w:rsid w:val="00054F2E"/>
    <w:rsid w:val="00054FF4"/>
    <w:rsid w:val="00055463"/>
    <w:rsid w:val="0005555B"/>
    <w:rsid w:val="000561EB"/>
    <w:rsid w:val="00056216"/>
    <w:rsid w:val="000564A0"/>
    <w:rsid w:val="00056DBD"/>
    <w:rsid w:val="00057F1E"/>
    <w:rsid w:val="00060517"/>
    <w:rsid w:val="0006064F"/>
    <w:rsid w:val="00061422"/>
    <w:rsid w:val="00061677"/>
    <w:rsid w:val="00061B4B"/>
    <w:rsid w:val="00061C7B"/>
    <w:rsid w:val="0006375C"/>
    <w:rsid w:val="000637C3"/>
    <w:rsid w:val="00063EF7"/>
    <w:rsid w:val="00064E22"/>
    <w:rsid w:val="00065AD6"/>
    <w:rsid w:val="0006603D"/>
    <w:rsid w:val="00066AAA"/>
    <w:rsid w:val="00066BAB"/>
    <w:rsid w:val="00066FD1"/>
    <w:rsid w:val="00067646"/>
    <w:rsid w:val="00070637"/>
    <w:rsid w:val="00071801"/>
    <w:rsid w:val="00076680"/>
    <w:rsid w:val="0007706B"/>
    <w:rsid w:val="000771FA"/>
    <w:rsid w:val="00077811"/>
    <w:rsid w:val="00080229"/>
    <w:rsid w:val="00082694"/>
    <w:rsid w:val="000847F3"/>
    <w:rsid w:val="0008482C"/>
    <w:rsid w:val="00084CB6"/>
    <w:rsid w:val="000901B3"/>
    <w:rsid w:val="000907F9"/>
    <w:rsid w:val="00092920"/>
    <w:rsid w:val="000929CA"/>
    <w:rsid w:val="0009392B"/>
    <w:rsid w:val="000956BC"/>
    <w:rsid w:val="00096877"/>
    <w:rsid w:val="00097234"/>
    <w:rsid w:val="000974FC"/>
    <w:rsid w:val="000A064D"/>
    <w:rsid w:val="000A0DD5"/>
    <w:rsid w:val="000A15E2"/>
    <w:rsid w:val="000A1674"/>
    <w:rsid w:val="000A1CC2"/>
    <w:rsid w:val="000A1E0E"/>
    <w:rsid w:val="000A1E6F"/>
    <w:rsid w:val="000A31B2"/>
    <w:rsid w:val="000A4F8A"/>
    <w:rsid w:val="000A537E"/>
    <w:rsid w:val="000A6C3A"/>
    <w:rsid w:val="000A718F"/>
    <w:rsid w:val="000A79B4"/>
    <w:rsid w:val="000B05F5"/>
    <w:rsid w:val="000B0AA8"/>
    <w:rsid w:val="000B11DC"/>
    <w:rsid w:val="000B1A33"/>
    <w:rsid w:val="000B2DC3"/>
    <w:rsid w:val="000B3568"/>
    <w:rsid w:val="000B4545"/>
    <w:rsid w:val="000B4BBE"/>
    <w:rsid w:val="000B6E74"/>
    <w:rsid w:val="000C0DB2"/>
    <w:rsid w:val="000C2A9C"/>
    <w:rsid w:val="000C2F3C"/>
    <w:rsid w:val="000C302C"/>
    <w:rsid w:val="000C593B"/>
    <w:rsid w:val="000C5BB0"/>
    <w:rsid w:val="000C5E9E"/>
    <w:rsid w:val="000C68E1"/>
    <w:rsid w:val="000C713F"/>
    <w:rsid w:val="000D0A19"/>
    <w:rsid w:val="000D1CD8"/>
    <w:rsid w:val="000D24E6"/>
    <w:rsid w:val="000D7E2D"/>
    <w:rsid w:val="000E1D61"/>
    <w:rsid w:val="000E401A"/>
    <w:rsid w:val="000E5393"/>
    <w:rsid w:val="000E54C0"/>
    <w:rsid w:val="000E5899"/>
    <w:rsid w:val="000E5D1D"/>
    <w:rsid w:val="000E68C9"/>
    <w:rsid w:val="000E6E4F"/>
    <w:rsid w:val="000F1292"/>
    <w:rsid w:val="000F21C4"/>
    <w:rsid w:val="000F2433"/>
    <w:rsid w:val="000F2A59"/>
    <w:rsid w:val="000F2E2C"/>
    <w:rsid w:val="000F36C0"/>
    <w:rsid w:val="000F42AF"/>
    <w:rsid w:val="000F4F7A"/>
    <w:rsid w:val="000F6932"/>
    <w:rsid w:val="000F6CCB"/>
    <w:rsid w:val="00100FF1"/>
    <w:rsid w:val="00103262"/>
    <w:rsid w:val="00104B00"/>
    <w:rsid w:val="00104CF6"/>
    <w:rsid w:val="001055BA"/>
    <w:rsid w:val="00105CA6"/>
    <w:rsid w:val="0010691A"/>
    <w:rsid w:val="00107212"/>
    <w:rsid w:val="001106A4"/>
    <w:rsid w:val="00110F61"/>
    <w:rsid w:val="0011333E"/>
    <w:rsid w:val="00113DEA"/>
    <w:rsid w:val="00115224"/>
    <w:rsid w:val="0011659C"/>
    <w:rsid w:val="00117410"/>
    <w:rsid w:val="001174FE"/>
    <w:rsid w:val="00117E76"/>
    <w:rsid w:val="00117F62"/>
    <w:rsid w:val="00121E34"/>
    <w:rsid w:val="0012321B"/>
    <w:rsid w:val="0012374A"/>
    <w:rsid w:val="00123C3A"/>
    <w:rsid w:val="00123C4A"/>
    <w:rsid w:val="001266BA"/>
    <w:rsid w:val="001277CB"/>
    <w:rsid w:val="0013048B"/>
    <w:rsid w:val="00130849"/>
    <w:rsid w:val="001321CC"/>
    <w:rsid w:val="0013259C"/>
    <w:rsid w:val="00132C76"/>
    <w:rsid w:val="0013307A"/>
    <w:rsid w:val="001336C5"/>
    <w:rsid w:val="00133761"/>
    <w:rsid w:val="00134EDD"/>
    <w:rsid w:val="00135762"/>
    <w:rsid w:val="00135F65"/>
    <w:rsid w:val="0013767F"/>
    <w:rsid w:val="0013774D"/>
    <w:rsid w:val="00137C59"/>
    <w:rsid w:val="001406A3"/>
    <w:rsid w:val="00142933"/>
    <w:rsid w:val="0014355E"/>
    <w:rsid w:val="001451B0"/>
    <w:rsid w:val="00145BA4"/>
    <w:rsid w:val="001476C8"/>
    <w:rsid w:val="00150C22"/>
    <w:rsid w:val="001513C8"/>
    <w:rsid w:val="00152B33"/>
    <w:rsid w:val="0015317D"/>
    <w:rsid w:val="001537EA"/>
    <w:rsid w:val="00156310"/>
    <w:rsid w:val="001571D4"/>
    <w:rsid w:val="00161C05"/>
    <w:rsid w:val="0016285E"/>
    <w:rsid w:val="00162FDF"/>
    <w:rsid w:val="00163827"/>
    <w:rsid w:val="00164197"/>
    <w:rsid w:val="001644D5"/>
    <w:rsid w:val="001651E9"/>
    <w:rsid w:val="001659A6"/>
    <w:rsid w:val="001660E5"/>
    <w:rsid w:val="001661A0"/>
    <w:rsid w:val="001662BB"/>
    <w:rsid w:val="001667B4"/>
    <w:rsid w:val="001674A4"/>
    <w:rsid w:val="00167A17"/>
    <w:rsid w:val="00170FB1"/>
    <w:rsid w:val="001712C9"/>
    <w:rsid w:val="0017146A"/>
    <w:rsid w:val="00171B14"/>
    <w:rsid w:val="00171D29"/>
    <w:rsid w:val="00172379"/>
    <w:rsid w:val="00172820"/>
    <w:rsid w:val="00172D0C"/>
    <w:rsid w:val="00172E34"/>
    <w:rsid w:val="00173457"/>
    <w:rsid w:val="001745DC"/>
    <w:rsid w:val="00176062"/>
    <w:rsid w:val="001766C2"/>
    <w:rsid w:val="00176CB4"/>
    <w:rsid w:val="001808FD"/>
    <w:rsid w:val="001821A2"/>
    <w:rsid w:val="001825B7"/>
    <w:rsid w:val="00182D31"/>
    <w:rsid w:val="00183024"/>
    <w:rsid w:val="001831C5"/>
    <w:rsid w:val="001865E4"/>
    <w:rsid w:val="00190A82"/>
    <w:rsid w:val="00190B9A"/>
    <w:rsid w:val="001943BF"/>
    <w:rsid w:val="001943CA"/>
    <w:rsid w:val="00195D11"/>
    <w:rsid w:val="00195D20"/>
    <w:rsid w:val="001961F3"/>
    <w:rsid w:val="0019758D"/>
    <w:rsid w:val="001A035C"/>
    <w:rsid w:val="001A0464"/>
    <w:rsid w:val="001A05C3"/>
    <w:rsid w:val="001A25A5"/>
    <w:rsid w:val="001A279B"/>
    <w:rsid w:val="001A2868"/>
    <w:rsid w:val="001A2CFD"/>
    <w:rsid w:val="001A3B9C"/>
    <w:rsid w:val="001A4003"/>
    <w:rsid w:val="001A4120"/>
    <w:rsid w:val="001A42A6"/>
    <w:rsid w:val="001A515C"/>
    <w:rsid w:val="001A56AF"/>
    <w:rsid w:val="001A581A"/>
    <w:rsid w:val="001A5A69"/>
    <w:rsid w:val="001A7643"/>
    <w:rsid w:val="001B19B3"/>
    <w:rsid w:val="001B2BDB"/>
    <w:rsid w:val="001B4F35"/>
    <w:rsid w:val="001B5147"/>
    <w:rsid w:val="001C0650"/>
    <w:rsid w:val="001C1356"/>
    <w:rsid w:val="001C25BF"/>
    <w:rsid w:val="001C25D3"/>
    <w:rsid w:val="001C41EF"/>
    <w:rsid w:val="001C492E"/>
    <w:rsid w:val="001C4FCD"/>
    <w:rsid w:val="001C527B"/>
    <w:rsid w:val="001C52A4"/>
    <w:rsid w:val="001C72D8"/>
    <w:rsid w:val="001C7D9E"/>
    <w:rsid w:val="001D03CA"/>
    <w:rsid w:val="001D1CEC"/>
    <w:rsid w:val="001D206B"/>
    <w:rsid w:val="001D3E57"/>
    <w:rsid w:val="001D620C"/>
    <w:rsid w:val="001D752A"/>
    <w:rsid w:val="001D775B"/>
    <w:rsid w:val="001E26BE"/>
    <w:rsid w:val="001E40A9"/>
    <w:rsid w:val="001E560D"/>
    <w:rsid w:val="001E6E19"/>
    <w:rsid w:val="001E7A64"/>
    <w:rsid w:val="001F07B1"/>
    <w:rsid w:val="001F0AC0"/>
    <w:rsid w:val="001F0DFB"/>
    <w:rsid w:val="001F4666"/>
    <w:rsid w:val="001F4A13"/>
    <w:rsid w:val="001F5671"/>
    <w:rsid w:val="001F5759"/>
    <w:rsid w:val="001F633C"/>
    <w:rsid w:val="002027BB"/>
    <w:rsid w:val="00203193"/>
    <w:rsid w:val="002032EB"/>
    <w:rsid w:val="002043EC"/>
    <w:rsid w:val="00204426"/>
    <w:rsid w:val="0020609E"/>
    <w:rsid w:val="00207127"/>
    <w:rsid w:val="002076FA"/>
    <w:rsid w:val="002108C0"/>
    <w:rsid w:val="00210C44"/>
    <w:rsid w:val="00210D57"/>
    <w:rsid w:val="002110FF"/>
    <w:rsid w:val="00212B8C"/>
    <w:rsid w:val="00213F5D"/>
    <w:rsid w:val="002155F2"/>
    <w:rsid w:val="0021595D"/>
    <w:rsid w:val="00221239"/>
    <w:rsid w:val="0022354B"/>
    <w:rsid w:val="00224C9A"/>
    <w:rsid w:val="00225745"/>
    <w:rsid w:val="00225F1B"/>
    <w:rsid w:val="00230589"/>
    <w:rsid w:val="00230E3A"/>
    <w:rsid w:val="00232BFB"/>
    <w:rsid w:val="002332E5"/>
    <w:rsid w:val="00233327"/>
    <w:rsid w:val="00235278"/>
    <w:rsid w:val="002352F9"/>
    <w:rsid w:val="00235529"/>
    <w:rsid w:val="0023592A"/>
    <w:rsid w:val="00236DD3"/>
    <w:rsid w:val="00237E75"/>
    <w:rsid w:val="00241B8E"/>
    <w:rsid w:val="00241E2F"/>
    <w:rsid w:val="00241EBC"/>
    <w:rsid w:val="0024609D"/>
    <w:rsid w:val="00246E44"/>
    <w:rsid w:val="00250559"/>
    <w:rsid w:val="002524DF"/>
    <w:rsid w:val="0025314B"/>
    <w:rsid w:val="00256AA3"/>
    <w:rsid w:val="00257D36"/>
    <w:rsid w:val="002609FB"/>
    <w:rsid w:val="00261013"/>
    <w:rsid w:val="0026104A"/>
    <w:rsid w:val="00261300"/>
    <w:rsid w:val="002618DB"/>
    <w:rsid w:val="00261BB9"/>
    <w:rsid w:val="00262026"/>
    <w:rsid w:val="0026259B"/>
    <w:rsid w:val="00262629"/>
    <w:rsid w:val="0026269B"/>
    <w:rsid w:val="00264269"/>
    <w:rsid w:val="0026595C"/>
    <w:rsid w:val="00265A0F"/>
    <w:rsid w:val="00266C4D"/>
    <w:rsid w:val="0027056D"/>
    <w:rsid w:val="00271413"/>
    <w:rsid w:val="0027267F"/>
    <w:rsid w:val="002740BD"/>
    <w:rsid w:val="00274244"/>
    <w:rsid w:val="002752C3"/>
    <w:rsid w:val="00275362"/>
    <w:rsid w:val="00275EBC"/>
    <w:rsid w:val="0027685A"/>
    <w:rsid w:val="00280ADF"/>
    <w:rsid w:val="002822C9"/>
    <w:rsid w:val="00285490"/>
    <w:rsid w:val="00285924"/>
    <w:rsid w:val="00286C44"/>
    <w:rsid w:val="0028796F"/>
    <w:rsid w:val="00291066"/>
    <w:rsid w:val="00291DE5"/>
    <w:rsid w:val="00292270"/>
    <w:rsid w:val="00292ACF"/>
    <w:rsid w:val="00293DC1"/>
    <w:rsid w:val="002948AC"/>
    <w:rsid w:val="00294DF4"/>
    <w:rsid w:val="002963A9"/>
    <w:rsid w:val="00296D14"/>
    <w:rsid w:val="00297787"/>
    <w:rsid w:val="0029787C"/>
    <w:rsid w:val="00297E91"/>
    <w:rsid w:val="002A0596"/>
    <w:rsid w:val="002A0E75"/>
    <w:rsid w:val="002A1E71"/>
    <w:rsid w:val="002A2A41"/>
    <w:rsid w:val="002A2BB0"/>
    <w:rsid w:val="002A2FDA"/>
    <w:rsid w:val="002A40BD"/>
    <w:rsid w:val="002A5A16"/>
    <w:rsid w:val="002A70A3"/>
    <w:rsid w:val="002A7CE2"/>
    <w:rsid w:val="002A7FE9"/>
    <w:rsid w:val="002B003E"/>
    <w:rsid w:val="002B4751"/>
    <w:rsid w:val="002B5C64"/>
    <w:rsid w:val="002B5D0D"/>
    <w:rsid w:val="002B75D0"/>
    <w:rsid w:val="002B7A32"/>
    <w:rsid w:val="002C01DA"/>
    <w:rsid w:val="002C0B45"/>
    <w:rsid w:val="002C0FA0"/>
    <w:rsid w:val="002C143D"/>
    <w:rsid w:val="002C1A2C"/>
    <w:rsid w:val="002C22AB"/>
    <w:rsid w:val="002C2CFF"/>
    <w:rsid w:val="002C456B"/>
    <w:rsid w:val="002D0D24"/>
    <w:rsid w:val="002D0E5B"/>
    <w:rsid w:val="002D0FBF"/>
    <w:rsid w:val="002D184C"/>
    <w:rsid w:val="002D2016"/>
    <w:rsid w:val="002D324A"/>
    <w:rsid w:val="002D3A73"/>
    <w:rsid w:val="002D59EC"/>
    <w:rsid w:val="002D5A34"/>
    <w:rsid w:val="002D5D31"/>
    <w:rsid w:val="002D6B06"/>
    <w:rsid w:val="002D7168"/>
    <w:rsid w:val="002E01C0"/>
    <w:rsid w:val="002E0AA6"/>
    <w:rsid w:val="002E15CC"/>
    <w:rsid w:val="002E1F8C"/>
    <w:rsid w:val="002E43BA"/>
    <w:rsid w:val="002E45F9"/>
    <w:rsid w:val="002E4639"/>
    <w:rsid w:val="002E505E"/>
    <w:rsid w:val="002E59DE"/>
    <w:rsid w:val="002E60C0"/>
    <w:rsid w:val="002E70DC"/>
    <w:rsid w:val="002E7AA5"/>
    <w:rsid w:val="002F05C7"/>
    <w:rsid w:val="002F081B"/>
    <w:rsid w:val="002F0C8C"/>
    <w:rsid w:val="002F0CCB"/>
    <w:rsid w:val="002F0DE7"/>
    <w:rsid w:val="002F23F7"/>
    <w:rsid w:val="002F2892"/>
    <w:rsid w:val="002F32D8"/>
    <w:rsid w:val="002F40D1"/>
    <w:rsid w:val="002F4E57"/>
    <w:rsid w:val="002F53E9"/>
    <w:rsid w:val="002F55AA"/>
    <w:rsid w:val="002F5B8E"/>
    <w:rsid w:val="002F630E"/>
    <w:rsid w:val="003005F6"/>
    <w:rsid w:val="00300B70"/>
    <w:rsid w:val="00300D23"/>
    <w:rsid w:val="0030247F"/>
    <w:rsid w:val="003029A5"/>
    <w:rsid w:val="0030318B"/>
    <w:rsid w:val="00303612"/>
    <w:rsid w:val="00303A7D"/>
    <w:rsid w:val="00304C7D"/>
    <w:rsid w:val="00305B7E"/>
    <w:rsid w:val="00307C87"/>
    <w:rsid w:val="00310DDE"/>
    <w:rsid w:val="00311A7D"/>
    <w:rsid w:val="0031284B"/>
    <w:rsid w:val="0031360C"/>
    <w:rsid w:val="00313BAC"/>
    <w:rsid w:val="00314ED2"/>
    <w:rsid w:val="00316F1A"/>
    <w:rsid w:val="0031717A"/>
    <w:rsid w:val="00320805"/>
    <w:rsid w:val="003223B2"/>
    <w:rsid w:val="003238C2"/>
    <w:rsid w:val="00323AF2"/>
    <w:rsid w:val="003245AA"/>
    <w:rsid w:val="00324D3F"/>
    <w:rsid w:val="003253C7"/>
    <w:rsid w:val="0032544E"/>
    <w:rsid w:val="00325DAE"/>
    <w:rsid w:val="00326456"/>
    <w:rsid w:val="00327077"/>
    <w:rsid w:val="00327706"/>
    <w:rsid w:val="00330645"/>
    <w:rsid w:val="003310C2"/>
    <w:rsid w:val="00331BD6"/>
    <w:rsid w:val="003321EC"/>
    <w:rsid w:val="00332314"/>
    <w:rsid w:val="003337E3"/>
    <w:rsid w:val="0033469B"/>
    <w:rsid w:val="00334840"/>
    <w:rsid w:val="00334C9F"/>
    <w:rsid w:val="00335A6D"/>
    <w:rsid w:val="00336F16"/>
    <w:rsid w:val="003407D7"/>
    <w:rsid w:val="00340C7F"/>
    <w:rsid w:val="00341412"/>
    <w:rsid w:val="00341840"/>
    <w:rsid w:val="00342176"/>
    <w:rsid w:val="0034262F"/>
    <w:rsid w:val="00343151"/>
    <w:rsid w:val="00343693"/>
    <w:rsid w:val="00343B39"/>
    <w:rsid w:val="00343BC9"/>
    <w:rsid w:val="003459F6"/>
    <w:rsid w:val="00347532"/>
    <w:rsid w:val="003502F6"/>
    <w:rsid w:val="00350A45"/>
    <w:rsid w:val="0035108A"/>
    <w:rsid w:val="003513B6"/>
    <w:rsid w:val="00351499"/>
    <w:rsid w:val="00352ABF"/>
    <w:rsid w:val="00353536"/>
    <w:rsid w:val="003542ED"/>
    <w:rsid w:val="00354861"/>
    <w:rsid w:val="00354BFA"/>
    <w:rsid w:val="003551A1"/>
    <w:rsid w:val="00360877"/>
    <w:rsid w:val="0036163F"/>
    <w:rsid w:val="00361A21"/>
    <w:rsid w:val="00363539"/>
    <w:rsid w:val="003639FA"/>
    <w:rsid w:val="00363E9E"/>
    <w:rsid w:val="00365B24"/>
    <w:rsid w:val="00366174"/>
    <w:rsid w:val="00367FBD"/>
    <w:rsid w:val="00370578"/>
    <w:rsid w:val="00372624"/>
    <w:rsid w:val="0037281C"/>
    <w:rsid w:val="003728D8"/>
    <w:rsid w:val="00373266"/>
    <w:rsid w:val="003738D3"/>
    <w:rsid w:val="0037430B"/>
    <w:rsid w:val="003753C0"/>
    <w:rsid w:val="00375550"/>
    <w:rsid w:val="00375E10"/>
    <w:rsid w:val="003763A2"/>
    <w:rsid w:val="0037718D"/>
    <w:rsid w:val="00377698"/>
    <w:rsid w:val="003800D0"/>
    <w:rsid w:val="00381FD8"/>
    <w:rsid w:val="00384C0A"/>
    <w:rsid w:val="00385068"/>
    <w:rsid w:val="00386E99"/>
    <w:rsid w:val="00387AF0"/>
    <w:rsid w:val="00390607"/>
    <w:rsid w:val="00390DF8"/>
    <w:rsid w:val="00391C23"/>
    <w:rsid w:val="00391E3B"/>
    <w:rsid w:val="0039263D"/>
    <w:rsid w:val="00392884"/>
    <w:rsid w:val="00393546"/>
    <w:rsid w:val="00396497"/>
    <w:rsid w:val="0039659C"/>
    <w:rsid w:val="00396C89"/>
    <w:rsid w:val="003976AB"/>
    <w:rsid w:val="0039783B"/>
    <w:rsid w:val="003A2177"/>
    <w:rsid w:val="003A32D5"/>
    <w:rsid w:val="003A4F4B"/>
    <w:rsid w:val="003A61B8"/>
    <w:rsid w:val="003A6E1D"/>
    <w:rsid w:val="003A7C31"/>
    <w:rsid w:val="003A7FB2"/>
    <w:rsid w:val="003B07B1"/>
    <w:rsid w:val="003B0DFC"/>
    <w:rsid w:val="003B1257"/>
    <w:rsid w:val="003B1B0E"/>
    <w:rsid w:val="003B2D49"/>
    <w:rsid w:val="003C05C0"/>
    <w:rsid w:val="003C0992"/>
    <w:rsid w:val="003C19FE"/>
    <w:rsid w:val="003C206E"/>
    <w:rsid w:val="003C32D7"/>
    <w:rsid w:val="003C3380"/>
    <w:rsid w:val="003C3BE0"/>
    <w:rsid w:val="003C3C90"/>
    <w:rsid w:val="003C438F"/>
    <w:rsid w:val="003C48B6"/>
    <w:rsid w:val="003C5939"/>
    <w:rsid w:val="003C609B"/>
    <w:rsid w:val="003C768F"/>
    <w:rsid w:val="003D1C2B"/>
    <w:rsid w:val="003D314E"/>
    <w:rsid w:val="003D3C44"/>
    <w:rsid w:val="003D4F8C"/>
    <w:rsid w:val="003D5368"/>
    <w:rsid w:val="003D5C18"/>
    <w:rsid w:val="003E1538"/>
    <w:rsid w:val="003E3035"/>
    <w:rsid w:val="003E44B4"/>
    <w:rsid w:val="003E59B6"/>
    <w:rsid w:val="003E5D97"/>
    <w:rsid w:val="003E6519"/>
    <w:rsid w:val="003E69BA"/>
    <w:rsid w:val="003E6F4D"/>
    <w:rsid w:val="003F0129"/>
    <w:rsid w:val="003F2E48"/>
    <w:rsid w:val="003F329B"/>
    <w:rsid w:val="003F3497"/>
    <w:rsid w:val="003F640A"/>
    <w:rsid w:val="003F7A3C"/>
    <w:rsid w:val="00400EF8"/>
    <w:rsid w:val="004012FD"/>
    <w:rsid w:val="0040132B"/>
    <w:rsid w:val="00401475"/>
    <w:rsid w:val="004015F2"/>
    <w:rsid w:val="0040195B"/>
    <w:rsid w:val="00407ED5"/>
    <w:rsid w:val="00410FA0"/>
    <w:rsid w:val="004114A5"/>
    <w:rsid w:val="004118CC"/>
    <w:rsid w:val="00412018"/>
    <w:rsid w:val="00412102"/>
    <w:rsid w:val="00412369"/>
    <w:rsid w:val="0041365C"/>
    <w:rsid w:val="004151A9"/>
    <w:rsid w:val="00415390"/>
    <w:rsid w:val="0041576C"/>
    <w:rsid w:val="0041661D"/>
    <w:rsid w:val="00416F67"/>
    <w:rsid w:val="00417761"/>
    <w:rsid w:val="00421567"/>
    <w:rsid w:val="00422D6B"/>
    <w:rsid w:val="0042364F"/>
    <w:rsid w:val="00424C3F"/>
    <w:rsid w:val="00425618"/>
    <w:rsid w:val="00426351"/>
    <w:rsid w:val="00430D72"/>
    <w:rsid w:val="00430EE2"/>
    <w:rsid w:val="0043252C"/>
    <w:rsid w:val="00432A2A"/>
    <w:rsid w:val="00432EF0"/>
    <w:rsid w:val="004347BD"/>
    <w:rsid w:val="004350EC"/>
    <w:rsid w:val="00435958"/>
    <w:rsid w:val="00435A83"/>
    <w:rsid w:val="00436506"/>
    <w:rsid w:val="00436599"/>
    <w:rsid w:val="004405B7"/>
    <w:rsid w:val="004417A4"/>
    <w:rsid w:val="00441AD9"/>
    <w:rsid w:val="00441ADE"/>
    <w:rsid w:val="00443200"/>
    <w:rsid w:val="00443C82"/>
    <w:rsid w:val="004444E3"/>
    <w:rsid w:val="004466BF"/>
    <w:rsid w:val="00446D45"/>
    <w:rsid w:val="00447260"/>
    <w:rsid w:val="00451451"/>
    <w:rsid w:val="0045158A"/>
    <w:rsid w:val="004519C7"/>
    <w:rsid w:val="00452842"/>
    <w:rsid w:val="00452DFC"/>
    <w:rsid w:val="00454342"/>
    <w:rsid w:val="004545A4"/>
    <w:rsid w:val="00455AD0"/>
    <w:rsid w:val="00455C40"/>
    <w:rsid w:val="00457619"/>
    <w:rsid w:val="00460290"/>
    <w:rsid w:val="00460459"/>
    <w:rsid w:val="004606DF"/>
    <w:rsid w:val="004608F1"/>
    <w:rsid w:val="00461832"/>
    <w:rsid w:val="004620F2"/>
    <w:rsid w:val="004622EA"/>
    <w:rsid w:val="0046384A"/>
    <w:rsid w:val="00464242"/>
    <w:rsid w:val="0046441A"/>
    <w:rsid w:val="0046647C"/>
    <w:rsid w:val="0047188A"/>
    <w:rsid w:val="00472009"/>
    <w:rsid w:val="004724C3"/>
    <w:rsid w:val="0047369F"/>
    <w:rsid w:val="004742EB"/>
    <w:rsid w:val="004743B4"/>
    <w:rsid w:val="00474D8B"/>
    <w:rsid w:val="00475F00"/>
    <w:rsid w:val="004766D2"/>
    <w:rsid w:val="00476736"/>
    <w:rsid w:val="004769DD"/>
    <w:rsid w:val="004778A5"/>
    <w:rsid w:val="00477C5D"/>
    <w:rsid w:val="00481879"/>
    <w:rsid w:val="00481CB0"/>
    <w:rsid w:val="00482C1D"/>
    <w:rsid w:val="00483740"/>
    <w:rsid w:val="0048421B"/>
    <w:rsid w:val="00484DC5"/>
    <w:rsid w:val="00485987"/>
    <w:rsid w:val="00486104"/>
    <w:rsid w:val="00486A4A"/>
    <w:rsid w:val="00493C6C"/>
    <w:rsid w:val="00495811"/>
    <w:rsid w:val="004975A7"/>
    <w:rsid w:val="004979BD"/>
    <w:rsid w:val="004A1167"/>
    <w:rsid w:val="004A1EE3"/>
    <w:rsid w:val="004A26FF"/>
    <w:rsid w:val="004A413B"/>
    <w:rsid w:val="004A4E3E"/>
    <w:rsid w:val="004A635E"/>
    <w:rsid w:val="004B0524"/>
    <w:rsid w:val="004B0C56"/>
    <w:rsid w:val="004B11D4"/>
    <w:rsid w:val="004B1534"/>
    <w:rsid w:val="004B248A"/>
    <w:rsid w:val="004B25A2"/>
    <w:rsid w:val="004B274B"/>
    <w:rsid w:val="004B3121"/>
    <w:rsid w:val="004B3711"/>
    <w:rsid w:val="004B47B1"/>
    <w:rsid w:val="004B54C9"/>
    <w:rsid w:val="004B5657"/>
    <w:rsid w:val="004B5711"/>
    <w:rsid w:val="004B594C"/>
    <w:rsid w:val="004B59A2"/>
    <w:rsid w:val="004B616D"/>
    <w:rsid w:val="004B63AB"/>
    <w:rsid w:val="004B721A"/>
    <w:rsid w:val="004B7D5D"/>
    <w:rsid w:val="004C0591"/>
    <w:rsid w:val="004C0D31"/>
    <w:rsid w:val="004C1C64"/>
    <w:rsid w:val="004C24CE"/>
    <w:rsid w:val="004C4296"/>
    <w:rsid w:val="004C5C22"/>
    <w:rsid w:val="004C5D0B"/>
    <w:rsid w:val="004C5D70"/>
    <w:rsid w:val="004C7285"/>
    <w:rsid w:val="004D1BEC"/>
    <w:rsid w:val="004D2066"/>
    <w:rsid w:val="004D3C80"/>
    <w:rsid w:val="004D3EA0"/>
    <w:rsid w:val="004D62EF"/>
    <w:rsid w:val="004D740D"/>
    <w:rsid w:val="004D74DC"/>
    <w:rsid w:val="004E0FB2"/>
    <w:rsid w:val="004E2E06"/>
    <w:rsid w:val="004E4128"/>
    <w:rsid w:val="004E49E8"/>
    <w:rsid w:val="004E6CD7"/>
    <w:rsid w:val="004E78D5"/>
    <w:rsid w:val="004E7B54"/>
    <w:rsid w:val="004E7ED2"/>
    <w:rsid w:val="004F14EB"/>
    <w:rsid w:val="004F22A0"/>
    <w:rsid w:val="004F3ABD"/>
    <w:rsid w:val="004F3CF8"/>
    <w:rsid w:val="004F471D"/>
    <w:rsid w:val="004F4EBE"/>
    <w:rsid w:val="004F6EE8"/>
    <w:rsid w:val="004F754D"/>
    <w:rsid w:val="004F7BCF"/>
    <w:rsid w:val="005004C6"/>
    <w:rsid w:val="0050186F"/>
    <w:rsid w:val="00503D94"/>
    <w:rsid w:val="00504318"/>
    <w:rsid w:val="00505994"/>
    <w:rsid w:val="005067BA"/>
    <w:rsid w:val="00506C48"/>
    <w:rsid w:val="00507F8E"/>
    <w:rsid w:val="005117D1"/>
    <w:rsid w:val="00511E99"/>
    <w:rsid w:val="005129D3"/>
    <w:rsid w:val="00512B09"/>
    <w:rsid w:val="005131C7"/>
    <w:rsid w:val="00515B60"/>
    <w:rsid w:val="00517378"/>
    <w:rsid w:val="005203F5"/>
    <w:rsid w:val="00521594"/>
    <w:rsid w:val="0052205D"/>
    <w:rsid w:val="00522175"/>
    <w:rsid w:val="00523CD3"/>
    <w:rsid w:val="00524564"/>
    <w:rsid w:val="005255C1"/>
    <w:rsid w:val="00525E74"/>
    <w:rsid w:val="00525F10"/>
    <w:rsid w:val="0052794E"/>
    <w:rsid w:val="00530150"/>
    <w:rsid w:val="00530640"/>
    <w:rsid w:val="005313DA"/>
    <w:rsid w:val="0053207A"/>
    <w:rsid w:val="005325D4"/>
    <w:rsid w:val="00532C46"/>
    <w:rsid w:val="005341CA"/>
    <w:rsid w:val="00534F33"/>
    <w:rsid w:val="00535CED"/>
    <w:rsid w:val="00536C54"/>
    <w:rsid w:val="00536F99"/>
    <w:rsid w:val="00541A23"/>
    <w:rsid w:val="005422F1"/>
    <w:rsid w:val="00542B54"/>
    <w:rsid w:val="00544DC9"/>
    <w:rsid w:val="00545F30"/>
    <w:rsid w:val="00547430"/>
    <w:rsid w:val="005501EC"/>
    <w:rsid w:val="00550B52"/>
    <w:rsid w:val="00550DB1"/>
    <w:rsid w:val="005512CA"/>
    <w:rsid w:val="00551913"/>
    <w:rsid w:val="005530FD"/>
    <w:rsid w:val="00553A6A"/>
    <w:rsid w:val="00554BFA"/>
    <w:rsid w:val="00555348"/>
    <w:rsid w:val="00555FF6"/>
    <w:rsid w:val="0055616A"/>
    <w:rsid w:val="00556334"/>
    <w:rsid w:val="00556C21"/>
    <w:rsid w:val="005570BE"/>
    <w:rsid w:val="00557A28"/>
    <w:rsid w:val="005600B6"/>
    <w:rsid w:val="0056079B"/>
    <w:rsid w:val="00560DAE"/>
    <w:rsid w:val="005612A7"/>
    <w:rsid w:val="00562A50"/>
    <w:rsid w:val="00563289"/>
    <w:rsid w:val="00564264"/>
    <w:rsid w:val="005649B6"/>
    <w:rsid w:val="0056522D"/>
    <w:rsid w:val="005658E6"/>
    <w:rsid w:val="0056675F"/>
    <w:rsid w:val="005701B9"/>
    <w:rsid w:val="00570499"/>
    <w:rsid w:val="00571372"/>
    <w:rsid w:val="00571A57"/>
    <w:rsid w:val="00571E4E"/>
    <w:rsid w:val="00574CCA"/>
    <w:rsid w:val="005772D1"/>
    <w:rsid w:val="0058100D"/>
    <w:rsid w:val="005826DC"/>
    <w:rsid w:val="0058697F"/>
    <w:rsid w:val="00590E7D"/>
    <w:rsid w:val="0059111E"/>
    <w:rsid w:val="005927BF"/>
    <w:rsid w:val="0059298D"/>
    <w:rsid w:val="00593373"/>
    <w:rsid w:val="00593F9B"/>
    <w:rsid w:val="00594FE7"/>
    <w:rsid w:val="0059512F"/>
    <w:rsid w:val="00595AF0"/>
    <w:rsid w:val="005971EA"/>
    <w:rsid w:val="005A14BB"/>
    <w:rsid w:val="005A2B50"/>
    <w:rsid w:val="005A2C40"/>
    <w:rsid w:val="005A4A76"/>
    <w:rsid w:val="005A4D85"/>
    <w:rsid w:val="005A4E3A"/>
    <w:rsid w:val="005A6F53"/>
    <w:rsid w:val="005A6FAA"/>
    <w:rsid w:val="005A7170"/>
    <w:rsid w:val="005A7B5D"/>
    <w:rsid w:val="005B2B1E"/>
    <w:rsid w:val="005B313B"/>
    <w:rsid w:val="005B4760"/>
    <w:rsid w:val="005B5E9B"/>
    <w:rsid w:val="005B600D"/>
    <w:rsid w:val="005B7A32"/>
    <w:rsid w:val="005C0140"/>
    <w:rsid w:val="005C01A5"/>
    <w:rsid w:val="005C0268"/>
    <w:rsid w:val="005C0454"/>
    <w:rsid w:val="005C0714"/>
    <w:rsid w:val="005C0940"/>
    <w:rsid w:val="005C319D"/>
    <w:rsid w:val="005C39DC"/>
    <w:rsid w:val="005C4AD9"/>
    <w:rsid w:val="005C5BB4"/>
    <w:rsid w:val="005C6266"/>
    <w:rsid w:val="005C65F1"/>
    <w:rsid w:val="005C73BB"/>
    <w:rsid w:val="005C780C"/>
    <w:rsid w:val="005C7B9F"/>
    <w:rsid w:val="005D3BDE"/>
    <w:rsid w:val="005D4FD5"/>
    <w:rsid w:val="005D564C"/>
    <w:rsid w:val="005D75D9"/>
    <w:rsid w:val="005D7F02"/>
    <w:rsid w:val="005E0CAB"/>
    <w:rsid w:val="005E102D"/>
    <w:rsid w:val="005E11A2"/>
    <w:rsid w:val="005E1284"/>
    <w:rsid w:val="005E24D8"/>
    <w:rsid w:val="005E3590"/>
    <w:rsid w:val="005E3A83"/>
    <w:rsid w:val="005E47DE"/>
    <w:rsid w:val="005E57F8"/>
    <w:rsid w:val="005E6B78"/>
    <w:rsid w:val="005F01DE"/>
    <w:rsid w:val="005F2AE8"/>
    <w:rsid w:val="005F383B"/>
    <w:rsid w:val="005F4854"/>
    <w:rsid w:val="005F4BD9"/>
    <w:rsid w:val="005F4F3B"/>
    <w:rsid w:val="005F6B30"/>
    <w:rsid w:val="005F75D1"/>
    <w:rsid w:val="005F76B8"/>
    <w:rsid w:val="005F7991"/>
    <w:rsid w:val="005F7A92"/>
    <w:rsid w:val="006007C5"/>
    <w:rsid w:val="006009F7"/>
    <w:rsid w:val="0060163D"/>
    <w:rsid w:val="006026D9"/>
    <w:rsid w:val="00602B04"/>
    <w:rsid w:val="00604B33"/>
    <w:rsid w:val="0060531E"/>
    <w:rsid w:val="00605588"/>
    <w:rsid w:val="006064C2"/>
    <w:rsid w:val="00606D0D"/>
    <w:rsid w:val="00607DF9"/>
    <w:rsid w:val="0061048E"/>
    <w:rsid w:val="00610D34"/>
    <w:rsid w:val="0061207F"/>
    <w:rsid w:val="00612426"/>
    <w:rsid w:val="00612988"/>
    <w:rsid w:val="00612A2F"/>
    <w:rsid w:val="00612A81"/>
    <w:rsid w:val="00613F7F"/>
    <w:rsid w:val="0061514F"/>
    <w:rsid w:val="0061578B"/>
    <w:rsid w:val="00615D62"/>
    <w:rsid w:val="00615FF0"/>
    <w:rsid w:val="006179AC"/>
    <w:rsid w:val="0062046E"/>
    <w:rsid w:val="00620978"/>
    <w:rsid w:val="00620E3D"/>
    <w:rsid w:val="00620F62"/>
    <w:rsid w:val="00622930"/>
    <w:rsid w:val="00622EB4"/>
    <w:rsid w:val="00623472"/>
    <w:rsid w:val="00624465"/>
    <w:rsid w:val="00626AC3"/>
    <w:rsid w:val="00631492"/>
    <w:rsid w:val="00631C2C"/>
    <w:rsid w:val="0063465A"/>
    <w:rsid w:val="006355A2"/>
    <w:rsid w:val="00635DFA"/>
    <w:rsid w:val="0063729A"/>
    <w:rsid w:val="00637E79"/>
    <w:rsid w:val="00641B04"/>
    <w:rsid w:val="00641E3D"/>
    <w:rsid w:val="00643568"/>
    <w:rsid w:val="00643777"/>
    <w:rsid w:val="00643E03"/>
    <w:rsid w:val="00644BA9"/>
    <w:rsid w:val="006501B0"/>
    <w:rsid w:val="00650EA0"/>
    <w:rsid w:val="00653265"/>
    <w:rsid w:val="0065327A"/>
    <w:rsid w:val="0065444B"/>
    <w:rsid w:val="00654B84"/>
    <w:rsid w:val="00656127"/>
    <w:rsid w:val="0065712E"/>
    <w:rsid w:val="0065728D"/>
    <w:rsid w:val="0065791C"/>
    <w:rsid w:val="00660818"/>
    <w:rsid w:val="00662F63"/>
    <w:rsid w:val="0066325C"/>
    <w:rsid w:val="00664025"/>
    <w:rsid w:val="00665C9B"/>
    <w:rsid w:val="00666F22"/>
    <w:rsid w:val="00667148"/>
    <w:rsid w:val="006676D1"/>
    <w:rsid w:val="006706C9"/>
    <w:rsid w:val="00670C24"/>
    <w:rsid w:val="00671834"/>
    <w:rsid w:val="00671D40"/>
    <w:rsid w:val="0067385E"/>
    <w:rsid w:val="006752AC"/>
    <w:rsid w:val="00675387"/>
    <w:rsid w:val="006810A2"/>
    <w:rsid w:val="00682003"/>
    <w:rsid w:val="0068229A"/>
    <w:rsid w:val="006842F6"/>
    <w:rsid w:val="00684331"/>
    <w:rsid w:val="00684C6F"/>
    <w:rsid w:val="006859E9"/>
    <w:rsid w:val="00686DEF"/>
    <w:rsid w:val="00686E58"/>
    <w:rsid w:val="0068728A"/>
    <w:rsid w:val="00690F64"/>
    <w:rsid w:val="0069176E"/>
    <w:rsid w:val="006918DD"/>
    <w:rsid w:val="00691B67"/>
    <w:rsid w:val="00693C78"/>
    <w:rsid w:val="0069473D"/>
    <w:rsid w:val="0069473E"/>
    <w:rsid w:val="006A0D04"/>
    <w:rsid w:val="006A165C"/>
    <w:rsid w:val="006A18A8"/>
    <w:rsid w:val="006A1A64"/>
    <w:rsid w:val="006A4084"/>
    <w:rsid w:val="006A4AA5"/>
    <w:rsid w:val="006A4B9B"/>
    <w:rsid w:val="006A51FA"/>
    <w:rsid w:val="006A56B7"/>
    <w:rsid w:val="006A5EAE"/>
    <w:rsid w:val="006A6BD5"/>
    <w:rsid w:val="006A766C"/>
    <w:rsid w:val="006B0B75"/>
    <w:rsid w:val="006B16E5"/>
    <w:rsid w:val="006B1843"/>
    <w:rsid w:val="006B1A41"/>
    <w:rsid w:val="006B2114"/>
    <w:rsid w:val="006B2989"/>
    <w:rsid w:val="006B318B"/>
    <w:rsid w:val="006B4544"/>
    <w:rsid w:val="006B4E9A"/>
    <w:rsid w:val="006B520C"/>
    <w:rsid w:val="006B57E0"/>
    <w:rsid w:val="006B6A35"/>
    <w:rsid w:val="006B7CF0"/>
    <w:rsid w:val="006C1627"/>
    <w:rsid w:val="006C2E2B"/>
    <w:rsid w:val="006C4D33"/>
    <w:rsid w:val="006C5190"/>
    <w:rsid w:val="006C5681"/>
    <w:rsid w:val="006C6C6E"/>
    <w:rsid w:val="006C745E"/>
    <w:rsid w:val="006D025F"/>
    <w:rsid w:val="006D2C9F"/>
    <w:rsid w:val="006D31C5"/>
    <w:rsid w:val="006D41B6"/>
    <w:rsid w:val="006D41CA"/>
    <w:rsid w:val="006D4694"/>
    <w:rsid w:val="006D4A7A"/>
    <w:rsid w:val="006D4BEE"/>
    <w:rsid w:val="006D57A5"/>
    <w:rsid w:val="006E269D"/>
    <w:rsid w:val="006E34EA"/>
    <w:rsid w:val="006E38F9"/>
    <w:rsid w:val="006E6C19"/>
    <w:rsid w:val="006E7265"/>
    <w:rsid w:val="006E753D"/>
    <w:rsid w:val="006F045B"/>
    <w:rsid w:val="006F1FF6"/>
    <w:rsid w:val="006F2195"/>
    <w:rsid w:val="006F2C0D"/>
    <w:rsid w:val="006F3E10"/>
    <w:rsid w:val="006F46FE"/>
    <w:rsid w:val="006F5DE1"/>
    <w:rsid w:val="006F6749"/>
    <w:rsid w:val="006F6D2F"/>
    <w:rsid w:val="006F7B05"/>
    <w:rsid w:val="0070002D"/>
    <w:rsid w:val="00700802"/>
    <w:rsid w:val="00701BC8"/>
    <w:rsid w:val="0070220F"/>
    <w:rsid w:val="0070221B"/>
    <w:rsid w:val="00702FA3"/>
    <w:rsid w:val="007049C5"/>
    <w:rsid w:val="00705A83"/>
    <w:rsid w:val="007062CF"/>
    <w:rsid w:val="007066E8"/>
    <w:rsid w:val="00706F3A"/>
    <w:rsid w:val="00710C03"/>
    <w:rsid w:val="00712133"/>
    <w:rsid w:val="00712B85"/>
    <w:rsid w:val="00714437"/>
    <w:rsid w:val="007155CA"/>
    <w:rsid w:val="0071598F"/>
    <w:rsid w:val="00715E1B"/>
    <w:rsid w:val="007177F0"/>
    <w:rsid w:val="00717982"/>
    <w:rsid w:val="00720CE8"/>
    <w:rsid w:val="00720D48"/>
    <w:rsid w:val="00721823"/>
    <w:rsid w:val="00722383"/>
    <w:rsid w:val="00723EB5"/>
    <w:rsid w:val="007240DE"/>
    <w:rsid w:val="00724C43"/>
    <w:rsid w:val="00724DBD"/>
    <w:rsid w:val="00725410"/>
    <w:rsid w:val="007254D6"/>
    <w:rsid w:val="007268DB"/>
    <w:rsid w:val="0073041B"/>
    <w:rsid w:val="007312F9"/>
    <w:rsid w:val="0073525E"/>
    <w:rsid w:val="007359D4"/>
    <w:rsid w:val="00735E1A"/>
    <w:rsid w:val="007367FF"/>
    <w:rsid w:val="00736C7C"/>
    <w:rsid w:val="00737AD7"/>
    <w:rsid w:val="0074065B"/>
    <w:rsid w:val="00740ABC"/>
    <w:rsid w:val="0074148D"/>
    <w:rsid w:val="00741E5B"/>
    <w:rsid w:val="00742FD2"/>
    <w:rsid w:val="00746E93"/>
    <w:rsid w:val="00747446"/>
    <w:rsid w:val="00747471"/>
    <w:rsid w:val="00750E38"/>
    <w:rsid w:val="00752B00"/>
    <w:rsid w:val="00752C66"/>
    <w:rsid w:val="00754590"/>
    <w:rsid w:val="007566E5"/>
    <w:rsid w:val="00756B07"/>
    <w:rsid w:val="007603DC"/>
    <w:rsid w:val="00761442"/>
    <w:rsid w:val="00762769"/>
    <w:rsid w:val="007650C9"/>
    <w:rsid w:val="007651A2"/>
    <w:rsid w:val="00765FEA"/>
    <w:rsid w:val="00766CDC"/>
    <w:rsid w:val="00766F2A"/>
    <w:rsid w:val="00771DD5"/>
    <w:rsid w:val="00772505"/>
    <w:rsid w:val="00772F68"/>
    <w:rsid w:val="00773BCE"/>
    <w:rsid w:val="00774E82"/>
    <w:rsid w:val="00777064"/>
    <w:rsid w:val="00780F3F"/>
    <w:rsid w:val="0078115A"/>
    <w:rsid w:val="00782ED2"/>
    <w:rsid w:val="00784840"/>
    <w:rsid w:val="00785750"/>
    <w:rsid w:val="00786F00"/>
    <w:rsid w:val="00791F47"/>
    <w:rsid w:val="00792323"/>
    <w:rsid w:val="007952DA"/>
    <w:rsid w:val="007957D8"/>
    <w:rsid w:val="00795B59"/>
    <w:rsid w:val="007A09E1"/>
    <w:rsid w:val="007A1472"/>
    <w:rsid w:val="007A2006"/>
    <w:rsid w:val="007A35AC"/>
    <w:rsid w:val="007A5AA8"/>
    <w:rsid w:val="007A5CF0"/>
    <w:rsid w:val="007A6FF4"/>
    <w:rsid w:val="007B13F4"/>
    <w:rsid w:val="007B2A99"/>
    <w:rsid w:val="007B2C82"/>
    <w:rsid w:val="007B375D"/>
    <w:rsid w:val="007B417D"/>
    <w:rsid w:val="007B418A"/>
    <w:rsid w:val="007B45D6"/>
    <w:rsid w:val="007B4CEE"/>
    <w:rsid w:val="007B73B5"/>
    <w:rsid w:val="007C13FB"/>
    <w:rsid w:val="007C272D"/>
    <w:rsid w:val="007C2AE8"/>
    <w:rsid w:val="007C363D"/>
    <w:rsid w:val="007C3735"/>
    <w:rsid w:val="007C3992"/>
    <w:rsid w:val="007C3DBE"/>
    <w:rsid w:val="007C4CC6"/>
    <w:rsid w:val="007C5162"/>
    <w:rsid w:val="007C5751"/>
    <w:rsid w:val="007C5CA9"/>
    <w:rsid w:val="007C64DC"/>
    <w:rsid w:val="007C7530"/>
    <w:rsid w:val="007D05BA"/>
    <w:rsid w:val="007D0C47"/>
    <w:rsid w:val="007D1ADF"/>
    <w:rsid w:val="007D25DF"/>
    <w:rsid w:val="007D3682"/>
    <w:rsid w:val="007D3A16"/>
    <w:rsid w:val="007D40E1"/>
    <w:rsid w:val="007D5384"/>
    <w:rsid w:val="007D651C"/>
    <w:rsid w:val="007D6742"/>
    <w:rsid w:val="007E1742"/>
    <w:rsid w:val="007E2DE7"/>
    <w:rsid w:val="007E4CB6"/>
    <w:rsid w:val="007E5A05"/>
    <w:rsid w:val="007E616D"/>
    <w:rsid w:val="007E71F3"/>
    <w:rsid w:val="007F145C"/>
    <w:rsid w:val="007F1655"/>
    <w:rsid w:val="007F402B"/>
    <w:rsid w:val="007F4F29"/>
    <w:rsid w:val="007F52A9"/>
    <w:rsid w:val="008002F8"/>
    <w:rsid w:val="0080064A"/>
    <w:rsid w:val="008014EB"/>
    <w:rsid w:val="008052AF"/>
    <w:rsid w:val="00805678"/>
    <w:rsid w:val="00806EC2"/>
    <w:rsid w:val="0081006B"/>
    <w:rsid w:val="00810359"/>
    <w:rsid w:val="00810B77"/>
    <w:rsid w:val="0081193F"/>
    <w:rsid w:val="00811B0D"/>
    <w:rsid w:val="0081426A"/>
    <w:rsid w:val="00814BDA"/>
    <w:rsid w:val="008164EA"/>
    <w:rsid w:val="008169F6"/>
    <w:rsid w:val="00816D81"/>
    <w:rsid w:val="00817382"/>
    <w:rsid w:val="00817D18"/>
    <w:rsid w:val="00817FAB"/>
    <w:rsid w:val="0082036A"/>
    <w:rsid w:val="00821D59"/>
    <w:rsid w:val="00823223"/>
    <w:rsid w:val="008241BA"/>
    <w:rsid w:val="00824F80"/>
    <w:rsid w:val="008251C7"/>
    <w:rsid w:val="00825386"/>
    <w:rsid w:val="008254DC"/>
    <w:rsid w:val="0082657E"/>
    <w:rsid w:val="00826830"/>
    <w:rsid w:val="00831174"/>
    <w:rsid w:val="00832D1F"/>
    <w:rsid w:val="008337CF"/>
    <w:rsid w:val="0083498E"/>
    <w:rsid w:val="00836843"/>
    <w:rsid w:val="00841FB7"/>
    <w:rsid w:val="00842715"/>
    <w:rsid w:val="00842B80"/>
    <w:rsid w:val="00843258"/>
    <w:rsid w:val="008440DA"/>
    <w:rsid w:val="00844BFD"/>
    <w:rsid w:val="008452C8"/>
    <w:rsid w:val="00845D71"/>
    <w:rsid w:val="00846CEF"/>
    <w:rsid w:val="008478A2"/>
    <w:rsid w:val="0084798D"/>
    <w:rsid w:val="00852221"/>
    <w:rsid w:val="00852898"/>
    <w:rsid w:val="00852D4B"/>
    <w:rsid w:val="00854720"/>
    <w:rsid w:val="008547AE"/>
    <w:rsid w:val="00855716"/>
    <w:rsid w:val="00856C05"/>
    <w:rsid w:val="00857628"/>
    <w:rsid w:val="00857B84"/>
    <w:rsid w:val="0086143D"/>
    <w:rsid w:val="008625A5"/>
    <w:rsid w:val="008627DD"/>
    <w:rsid w:val="00862EDF"/>
    <w:rsid w:val="00864215"/>
    <w:rsid w:val="00864C98"/>
    <w:rsid w:val="00864E39"/>
    <w:rsid w:val="00866D40"/>
    <w:rsid w:val="0086717C"/>
    <w:rsid w:val="00867ED4"/>
    <w:rsid w:val="00870EAF"/>
    <w:rsid w:val="00871440"/>
    <w:rsid w:val="00871712"/>
    <w:rsid w:val="00872B56"/>
    <w:rsid w:val="00872BB8"/>
    <w:rsid w:val="00872E09"/>
    <w:rsid w:val="008734B1"/>
    <w:rsid w:val="008741C4"/>
    <w:rsid w:val="008742F8"/>
    <w:rsid w:val="008747FF"/>
    <w:rsid w:val="00875762"/>
    <w:rsid w:val="00877A14"/>
    <w:rsid w:val="00881730"/>
    <w:rsid w:val="00882164"/>
    <w:rsid w:val="008823DD"/>
    <w:rsid w:val="00883CB3"/>
    <w:rsid w:val="008851AA"/>
    <w:rsid w:val="00887383"/>
    <w:rsid w:val="008879B3"/>
    <w:rsid w:val="008934D0"/>
    <w:rsid w:val="008954BA"/>
    <w:rsid w:val="008956E9"/>
    <w:rsid w:val="008959F4"/>
    <w:rsid w:val="00897CFA"/>
    <w:rsid w:val="008A00CA"/>
    <w:rsid w:val="008A153C"/>
    <w:rsid w:val="008A1B94"/>
    <w:rsid w:val="008A2117"/>
    <w:rsid w:val="008A29EE"/>
    <w:rsid w:val="008A30FF"/>
    <w:rsid w:val="008A425B"/>
    <w:rsid w:val="008A6021"/>
    <w:rsid w:val="008A6349"/>
    <w:rsid w:val="008B2386"/>
    <w:rsid w:val="008B37A2"/>
    <w:rsid w:val="008B4A79"/>
    <w:rsid w:val="008B6782"/>
    <w:rsid w:val="008B6EE2"/>
    <w:rsid w:val="008B7487"/>
    <w:rsid w:val="008B7678"/>
    <w:rsid w:val="008C24A4"/>
    <w:rsid w:val="008C3C1E"/>
    <w:rsid w:val="008C5A67"/>
    <w:rsid w:val="008C6149"/>
    <w:rsid w:val="008C62DD"/>
    <w:rsid w:val="008C6FD7"/>
    <w:rsid w:val="008C7C35"/>
    <w:rsid w:val="008D0A89"/>
    <w:rsid w:val="008D498A"/>
    <w:rsid w:val="008D4A09"/>
    <w:rsid w:val="008D7A57"/>
    <w:rsid w:val="008E07E5"/>
    <w:rsid w:val="008E08BA"/>
    <w:rsid w:val="008E1D76"/>
    <w:rsid w:val="008E1F60"/>
    <w:rsid w:val="008E2111"/>
    <w:rsid w:val="008E32C1"/>
    <w:rsid w:val="008E33A7"/>
    <w:rsid w:val="008E35B7"/>
    <w:rsid w:val="008E4460"/>
    <w:rsid w:val="008E4976"/>
    <w:rsid w:val="008E6208"/>
    <w:rsid w:val="008E648D"/>
    <w:rsid w:val="008E64CA"/>
    <w:rsid w:val="008E6C7B"/>
    <w:rsid w:val="008E7390"/>
    <w:rsid w:val="008E796B"/>
    <w:rsid w:val="008F0873"/>
    <w:rsid w:val="008F0EA2"/>
    <w:rsid w:val="008F2216"/>
    <w:rsid w:val="008F298B"/>
    <w:rsid w:val="008F5DE3"/>
    <w:rsid w:val="008F64BB"/>
    <w:rsid w:val="008F6949"/>
    <w:rsid w:val="008F7771"/>
    <w:rsid w:val="009012F3"/>
    <w:rsid w:val="00901365"/>
    <w:rsid w:val="009015E6"/>
    <w:rsid w:val="00903631"/>
    <w:rsid w:val="00903D58"/>
    <w:rsid w:val="00906CF3"/>
    <w:rsid w:val="009071BE"/>
    <w:rsid w:val="0090735A"/>
    <w:rsid w:val="009073BA"/>
    <w:rsid w:val="00907E47"/>
    <w:rsid w:val="00910133"/>
    <w:rsid w:val="00910B9A"/>
    <w:rsid w:val="0091136F"/>
    <w:rsid w:val="009114D7"/>
    <w:rsid w:val="0091276A"/>
    <w:rsid w:val="009128EE"/>
    <w:rsid w:val="00912F6B"/>
    <w:rsid w:val="00913170"/>
    <w:rsid w:val="00913DD6"/>
    <w:rsid w:val="009141F5"/>
    <w:rsid w:val="00915137"/>
    <w:rsid w:val="00915489"/>
    <w:rsid w:val="009154E2"/>
    <w:rsid w:val="009157EB"/>
    <w:rsid w:val="009171AB"/>
    <w:rsid w:val="009224C9"/>
    <w:rsid w:val="009234F3"/>
    <w:rsid w:val="00924CD4"/>
    <w:rsid w:val="00925DB4"/>
    <w:rsid w:val="00926502"/>
    <w:rsid w:val="0092732E"/>
    <w:rsid w:val="00927C99"/>
    <w:rsid w:val="009305A8"/>
    <w:rsid w:val="00930E6F"/>
    <w:rsid w:val="009311E7"/>
    <w:rsid w:val="00931949"/>
    <w:rsid w:val="0093206F"/>
    <w:rsid w:val="00932746"/>
    <w:rsid w:val="00933687"/>
    <w:rsid w:val="0093375F"/>
    <w:rsid w:val="00935221"/>
    <w:rsid w:val="009354E9"/>
    <w:rsid w:val="009366F6"/>
    <w:rsid w:val="00940563"/>
    <w:rsid w:val="009449AD"/>
    <w:rsid w:val="00944B90"/>
    <w:rsid w:val="00945442"/>
    <w:rsid w:val="009454D1"/>
    <w:rsid w:val="00945B90"/>
    <w:rsid w:val="009479C6"/>
    <w:rsid w:val="009500A5"/>
    <w:rsid w:val="00950A08"/>
    <w:rsid w:val="00950C7C"/>
    <w:rsid w:val="009514EA"/>
    <w:rsid w:val="00952345"/>
    <w:rsid w:val="0095330E"/>
    <w:rsid w:val="0095401F"/>
    <w:rsid w:val="0095611B"/>
    <w:rsid w:val="00957EC1"/>
    <w:rsid w:val="00960AA1"/>
    <w:rsid w:val="009610D4"/>
    <w:rsid w:val="00962216"/>
    <w:rsid w:val="009634C7"/>
    <w:rsid w:val="00963963"/>
    <w:rsid w:val="009645A0"/>
    <w:rsid w:val="0096617F"/>
    <w:rsid w:val="0096764E"/>
    <w:rsid w:val="0097035C"/>
    <w:rsid w:val="009707B9"/>
    <w:rsid w:val="00970CB0"/>
    <w:rsid w:val="00976C6B"/>
    <w:rsid w:val="00977F80"/>
    <w:rsid w:val="00980DE0"/>
    <w:rsid w:val="00981B91"/>
    <w:rsid w:val="009827E9"/>
    <w:rsid w:val="00982E2D"/>
    <w:rsid w:val="00984646"/>
    <w:rsid w:val="009851F8"/>
    <w:rsid w:val="009854D1"/>
    <w:rsid w:val="00986762"/>
    <w:rsid w:val="0098752A"/>
    <w:rsid w:val="00987AEA"/>
    <w:rsid w:val="00987B57"/>
    <w:rsid w:val="0099004C"/>
    <w:rsid w:val="009902E4"/>
    <w:rsid w:val="009903B7"/>
    <w:rsid w:val="009904AB"/>
    <w:rsid w:val="00990B59"/>
    <w:rsid w:val="00990FF9"/>
    <w:rsid w:val="0099236B"/>
    <w:rsid w:val="009952D8"/>
    <w:rsid w:val="009953AE"/>
    <w:rsid w:val="009A164B"/>
    <w:rsid w:val="009A1BF6"/>
    <w:rsid w:val="009A2356"/>
    <w:rsid w:val="009A614A"/>
    <w:rsid w:val="009A6C73"/>
    <w:rsid w:val="009A73EE"/>
    <w:rsid w:val="009A7FD6"/>
    <w:rsid w:val="009B0647"/>
    <w:rsid w:val="009B1457"/>
    <w:rsid w:val="009B1F56"/>
    <w:rsid w:val="009B4332"/>
    <w:rsid w:val="009B4BE1"/>
    <w:rsid w:val="009B4E03"/>
    <w:rsid w:val="009B52F2"/>
    <w:rsid w:val="009B537A"/>
    <w:rsid w:val="009B6E13"/>
    <w:rsid w:val="009C2E84"/>
    <w:rsid w:val="009C42BA"/>
    <w:rsid w:val="009C646D"/>
    <w:rsid w:val="009C732F"/>
    <w:rsid w:val="009C79D7"/>
    <w:rsid w:val="009C7CE8"/>
    <w:rsid w:val="009D018F"/>
    <w:rsid w:val="009D0437"/>
    <w:rsid w:val="009D05E4"/>
    <w:rsid w:val="009D0D8D"/>
    <w:rsid w:val="009D191C"/>
    <w:rsid w:val="009D1E12"/>
    <w:rsid w:val="009D1F3B"/>
    <w:rsid w:val="009D2350"/>
    <w:rsid w:val="009D540C"/>
    <w:rsid w:val="009D6BA2"/>
    <w:rsid w:val="009D733E"/>
    <w:rsid w:val="009D7517"/>
    <w:rsid w:val="009D7C9C"/>
    <w:rsid w:val="009E23C0"/>
    <w:rsid w:val="009E2AA9"/>
    <w:rsid w:val="009E3211"/>
    <w:rsid w:val="009E48FF"/>
    <w:rsid w:val="009E4969"/>
    <w:rsid w:val="009E55B4"/>
    <w:rsid w:val="009E57B1"/>
    <w:rsid w:val="009E6463"/>
    <w:rsid w:val="009F00D0"/>
    <w:rsid w:val="009F0E79"/>
    <w:rsid w:val="009F1745"/>
    <w:rsid w:val="009F1E8D"/>
    <w:rsid w:val="009F3B38"/>
    <w:rsid w:val="009F3B85"/>
    <w:rsid w:val="009F4A85"/>
    <w:rsid w:val="009F5626"/>
    <w:rsid w:val="009F58AF"/>
    <w:rsid w:val="009F621E"/>
    <w:rsid w:val="009F64D3"/>
    <w:rsid w:val="00A006AD"/>
    <w:rsid w:val="00A00980"/>
    <w:rsid w:val="00A00A34"/>
    <w:rsid w:val="00A01929"/>
    <w:rsid w:val="00A045FD"/>
    <w:rsid w:val="00A04E55"/>
    <w:rsid w:val="00A06107"/>
    <w:rsid w:val="00A06342"/>
    <w:rsid w:val="00A068FB"/>
    <w:rsid w:val="00A06DB1"/>
    <w:rsid w:val="00A07501"/>
    <w:rsid w:val="00A1037B"/>
    <w:rsid w:val="00A108ED"/>
    <w:rsid w:val="00A109A0"/>
    <w:rsid w:val="00A10B79"/>
    <w:rsid w:val="00A11143"/>
    <w:rsid w:val="00A11D8B"/>
    <w:rsid w:val="00A12F7B"/>
    <w:rsid w:val="00A13887"/>
    <w:rsid w:val="00A14268"/>
    <w:rsid w:val="00A14D3C"/>
    <w:rsid w:val="00A15585"/>
    <w:rsid w:val="00A1569C"/>
    <w:rsid w:val="00A20755"/>
    <w:rsid w:val="00A21CE6"/>
    <w:rsid w:val="00A22ABF"/>
    <w:rsid w:val="00A2317A"/>
    <w:rsid w:val="00A234E8"/>
    <w:rsid w:val="00A259AE"/>
    <w:rsid w:val="00A25F37"/>
    <w:rsid w:val="00A26638"/>
    <w:rsid w:val="00A2731B"/>
    <w:rsid w:val="00A2744A"/>
    <w:rsid w:val="00A27B32"/>
    <w:rsid w:val="00A303B5"/>
    <w:rsid w:val="00A3075F"/>
    <w:rsid w:val="00A3084A"/>
    <w:rsid w:val="00A30F46"/>
    <w:rsid w:val="00A31ACE"/>
    <w:rsid w:val="00A327F7"/>
    <w:rsid w:val="00A33586"/>
    <w:rsid w:val="00A3436B"/>
    <w:rsid w:val="00A347C8"/>
    <w:rsid w:val="00A356C5"/>
    <w:rsid w:val="00A40E5A"/>
    <w:rsid w:val="00A41804"/>
    <w:rsid w:val="00A44D17"/>
    <w:rsid w:val="00A45AA6"/>
    <w:rsid w:val="00A45E35"/>
    <w:rsid w:val="00A45F7A"/>
    <w:rsid w:val="00A47084"/>
    <w:rsid w:val="00A47768"/>
    <w:rsid w:val="00A47890"/>
    <w:rsid w:val="00A47D27"/>
    <w:rsid w:val="00A508E0"/>
    <w:rsid w:val="00A52E50"/>
    <w:rsid w:val="00A53025"/>
    <w:rsid w:val="00A53BC4"/>
    <w:rsid w:val="00A54185"/>
    <w:rsid w:val="00A54216"/>
    <w:rsid w:val="00A54D98"/>
    <w:rsid w:val="00A55386"/>
    <w:rsid w:val="00A5540D"/>
    <w:rsid w:val="00A55536"/>
    <w:rsid w:val="00A570C1"/>
    <w:rsid w:val="00A57A64"/>
    <w:rsid w:val="00A6055C"/>
    <w:rsid w:val="00A60702"/>
    <w:rsid w:val="00A62CE4"/>
    <w:rsid w:val="00A63EF2"/>
    <w:rsid w:val="00A646FD"/>
    <w:rsid w:val="00A6662E"/>
    <w:rsid w:val="00A66D52"/>
    <w:rsid w:val="00A66D91"/>
    <w:rsid w:val="00A67143"/>
    <w:rsid w:val="00A7157F"/>
    <w:rsid w:val="00A71836"/>
    <w:rsid w:val="00A71EA6"/>
    <w:rsid w:val="00A72DE6"/>
    <w:rsid w:val="00A74306"/>
    <w:rsid w:val="00A74C84"/>
    <w:rsid w:val="00A76579"/>
    <w:rsid w:val="00A76F58"/>
    <w:rsid w:val="00A778D2"/>
    <w:rsid w:val="00A81B96"/>
    <w:rsid w:val="00A82B27"/>
    <w:rsid w:val="00A83ACB"/>
    <w:rsid w:val="00A840B4"/>
    <w:rsid w:val="00A842EA"/>
    <w:rsid w:val="00A85EC7"/>
    <w:rsid w:val="00A864B3"/>
    <w:rsid w:val="00A8667C"/>
    <w:rsid w:val="00A86BF9"/>
    <w:rsid w:val="00A8742B"/>
    <w:rsid w:val="00A87B86"/>
    <w:rsid w:val="00A90D79"/>
    <w:rsid w:val="00A90E9C"/>
    <w:rsid w:val="00A91C3F"/>
    <w:rsid w:val="00A9261B"/>
    <w:rsid w:val="00A933EE"/>
    <w:rsid w:val="00A93BF1"/>
    <w:rsid w:val="00A95749"/>
    <w:rsid w:val="00A95C70"/>
    <w:rsid w:val="00A95EEA"/>
    <w:rsid w:val="00A95F39"/>
    <w:rsid w:val="00A96149"/>
    <w:rsid w:val="00AA3332"/>
    <w:rsid w:val="00AA4DB6"/>
    <w:rsid w:val="00AA62BE"/>
    <w:rsid w:val="00AA6548"/>
    <w:rsid w:val="00AB06C2"/>
    <w:rsid w:val="00AB0C35"/>
    <w:rsid w:val="00AB1AB2"/>
    <w:rsid w:val="00AB2808"/>
    <w:rsid w:val="00AB5BEC"/>
    <w:rsid w:val="00AB5DD4"/>
    <w:rsid w:val="00AB6330"/>
    <w:rsid w:val="00AB722C"/>
    <w:rsid w:val="00AB746C"/>
    <w:rsid w:val="00AB7D89"/>
    <w:rsid w:val="00AC3B42"/>
    <w:rsid w:val="00AC43F7"/>
    <w:rsid w:val="00AC4957"/>
    <w:rsid w:val="00AC49D9"/>
    <w:rsid w:val="00AC4A3D"/>
    <w:rsid w:val="00AC4AAC"/>
    <w:rsid w:val="00AC4ACA"/>
    <w:rsid w:val="00AC4B72"/>
    <w:rsid w:val="00AC4C46"/>
    <w:rsid w:val="00AC5D6A"/>
    <w:rsid w:val="00AC61EF"/>
    <w:rsid w:val="00AC6CC1"/>
    <w:rsid w:val="00AC7C33"/>
    <w:rsid w:val="00AD18FB"/>
    <w:rsid w:val="00AD2C71"/>
    <w:rsid w:val="00AD372A"/>
    <w:rsid w:val="00AD4068"/>
    <w:rsid w:val="00AD4943"/>
    <w:rsid w:val="00AD55E7"/>
    <w:rsid w:val="00AD7764"/>
    <w:rsid w:val="00AE0465"/>
    <w:rsid w:val="00AE0599"/>
    <w:rsid w:val="00AE0960"/>
    <w:rsid w:val="00AE0CE3"/>
    <w:rsid w:val="00AE4747"/>
    <w:rsid w:val="00AE54AC"/>
    <w:rsid w:val="00AE6610"/>
    <w:rsid w:val="00AE75E9"/>
    <w:rsid w:val="00AE7B16"/>
    <w:rsid w:val="00AF333E"/>
    <w:rsid w:val="00AF3F30"/>
    <w:rsid w:val="00AF4403"/>
    <w:rsid w:val="00AF4DCF"/>
    <w:rsid w:val="00AF6735"/>
    <w:rsid w:val="00B015F6"/>
    <w:rsid w:val="00B03128"/>
    <w:rsid w:val="00B0332A"/>
    <w:rsid w:val="00B034FC"/>
    <w:rsid w:val="00B03B95"/>
    <w:rsid w:val="00B03FB8"/>
    <w:rsid w:val="00B040DC"/>
    <w:rsid w:val="00B04D2E"/>
    <w:rsid w:val="00B04DFE"/>
    <w:rsid w:val="00B05006"/>
    <w:rsid w:val="00B0621D"/>
    <w:rsid w:val="00B063D8"/>
    <w:rsid w:val="00B10A6F"/>
    <w:rsid w:val="00B10A94"/>
    <w:rsid w:val="00B1336A"/>
    <w:rsid w:val="00B13883"/>
    <w:rsid w:val="00B14CF7"/>
    <w:rsid w:val="00B15297"/>
    <w:rsid w:val="00B15AE7"/>
    <w:rsid w:val="00B15E01"/>
    <w:rsid w:val="00B15E51"/>
    <w:rsid w:val="00B16A0D"/>
    <w:rsid w:val="00B17704"/>
    <w:rsid w:val="00B1782E"/>
    <w:rsid w:val="00B17EF8"/>
    <w:rsid w:val="00B20804"/>
    <w:rsid w:val="00B21DF9"/>
    <w:rsid w:val="00B232C9"/>
    <w:rsid w:val="00B23D15"/>
    <w:rsid w:val="00B24DBC"/>
    <w:rsid w:val="00B2555E"/>
    <w:rsid w:val="00B26EED"/>
    <w:rsid w:val="00B30981"/>
    <w:rsid w:val="00B30FD1"/>
    <w:rsid w:val="00B324D0"/>
    <w:rsid w:val="00B32C85"/>
    <w:rsid w:val="00B33388"/>
    <w:rsid w:val="00B3427C"/>
    <w:rsid w:val="00B344F7"/>
    <w:rsid w:val="00B3456D"/>
    <w:rsid w:val="00B36D86"/>
    <w:rsid w:val="00B403D2"/>
    <w:rsid w:val="00B43A9F"/>
    <w:rsid w:val="00B44D61"/>
    <w:rsid w:val="00B44E82"/>
    <w:rsid w:val="00B450CA"/>
    <w:rsid w:val="00B4638E"/>
    <w:rsid w:val="00B46B6D"/>
    <w:rsid w:val="00B50090"/>
    <w:rsid w:val="00B5088A"/>
    <w:rsid w:val="00B50BC0"/>
    <w:rsid w:val="00B56104"/>
    <w:rsid w:val="00B563AF"/>
    <w:rsid w:val="00B56468"/>
    <w:rsid w:val="00B57027"/>
    <w:rsid w:val="00B57448"/>
    <w:rsid w:val="00B57D49"/>
    <w:rsid w:val="00B60A3B"/>
    <w:rsid w:val="00B62970"/>
    <w:rsid w:val="00B63562"/>
    <w:rsid w:val="00B64CB2"/>
    <w:rsid w:val="00B64EB2"/>
    <w:rsid w:val="00B663C9"/>
    <w:rsid w:val="00B67D69"/>
    <w:rsid w:val="00B7046A"/>
    <w:rsid w:val="00B72754"/>
    <w:rsid w:val="00B73676"/>
    <w:rsid w:val="00B743E0"/>
    <w:rsid w:val="00B77513"/>
    <w:rsid w:val="00B80640"/>
    <w:rsid w:val="00B80F0C"/>
    <w:rsid w:val="00B813B3"/>
    <w:rsid w:val="00B82094"/>
    <w:rsid w:val="00B82276"/>
    <w:rsid w:val="00B84A97"/>
    <w:rsid w:val="00B86049"/>
    <w:rsid w:val="00B8615B"/>
    <w:rsid w:val="00B867E1"/>
    <w:rsid w:val="00B87AEF"/>
    <w:rsid w:val="00B90E9B"/>
    <w:rsid w:val="00B91A27"/>
    <w:rsid w:val="00B9524D"/>
    <w:rsid w:val="00B96461"/>
    <w:rsid w:val="00B964DB"/>
    <w:rsid w:val="00B964F7"/>
    <w:rsid w:val="00B96794"/>
    <w:rsid w:val="00B968B1"/>
    <w:rsid w:val="00B96C27"/>
    <w:rsid w:val="00B96FA6"/>
    <w:rsid w:val="00B97D56"/>
    <w:rsid w:val="00BA01EA"/>
    <w:rsid w:val="00BA202D"/>
    <w:rsid w:val="00BA2192"/>
    <w:rsid w:val="00BA2822"/>
    <w:rsid w:val="00BA3EAB"/>
    <w:rsid w:val="00BA402D"/>
    <w:rsid w:val="00BA4893"/>
    <w:rsid w:val="00BA6F1B"/>
    <w:rsid w:val="00BA7107"/>
    <w:rsid w:val="00BA711E"/>
    <w:rsid w:val="00BB113F"/>
    <w:rsid w:val="00BB1AE0"/>
    <w:rsid w:val="00BB256C"/>
    <w:rsid w:val="00BB29FA"/>
    <w:rsid w:val="00BB2D30"/>
    <w:rsid w:val="00BB34E0"/>
    <w:rsid w:val="00BB3CDA"/>
    <w:rsid w:val="00BB3D8F"/>
    <w:rsid w:val="00BB414E"/>
    <w:rsid w:val="00BB49BE"/>
    <w:rsid w:val="00BB5342"/>
    <w:rsid w:val="00BB62CB"/>
    <w:rsid w:val="00BB6A48"/>
    <w:rsid w:val="00BB6DF5"/>
    <w:rsid w:val="00BB766B"/>
    <w:rsid w:val="00BB79D1"/>
    <w:rsid w:val="00BB7AC7"/>
    <w:rsid w:val="00BC045D"/>
    <w:rsid w:val="00BC0B0A"/>
    <w:rsid w:val="00BC0E8C"/>
    <w:rsid w:val="00BC24D0"/>
    <w:rsid w:val="00BC2BF2"/>
    <w:rsid w:val="00BC2C4A"/>
    <w:rsid w:val="00BC4E7E"/>
    <w:rsid w:val="00BC5FA9"/>
    <w:rsid w:val="00BC6DEB"/>
    <w:rsid w:val="00BD12D6"/>
    <w:rsid w:val="00BD3543"/>
    <w:rsid w:val="00BD478D"/>
    <w:rsid w:val="00BD54BC"/>
    <w:rsid w:val="00BD5AC4"/>
    <w:rsid w:val="00BD5B7B"/>
    <w:rsid w:val="00BE0928"/>
    <w:rsid w:val="00BE09FD"/>
    <w:rsid w:val="00BE0BBF"/>
    <w:rsid w:val="00BE1DCA"/>
    <w:rsid w:val="00BE1F18"/>
    <w:rsid w:val="00BE28E1"/>
    <w:rsid w:val="00BE5255"/>
    <w:rsid w:val="00BE7CDA"/>
    <w:rsid w:val="00BF073A"/>
    <w:rsid w:val="00BF177C"/>
    <w:rsid w:val="00BF26BD"/>
    <w:rsid w:val="00BF3014"/>
    <w:rsid w:val="00BF3FBC"/>
    <w:rsid w:val="00BF4A4A"/>
    <w:rsid w:val="00BF55C9"/>
    <w:rsid w:val="00BF797A"/>
    <w:rsid w:val="00BF7A8B"/>
    <w:rsid w:val="00C0018B"/>
    <w:rsid w:val="00C00A46"/>
    <w:rsid w:val="00C0357D"/>
    <w:rsid w:val="00C03649"/>
    <w:rsid w:val="00C03855"/>
    <w:rsid w:val="00C04B7F"/>
    <w:rsid w:val="00C069A4"/>
    <w:rsid w:val="00C06EB5"/>
    <w:rsid w:val="00C07414"/>
    <w:rsid w:val="00C076B8"/>
    <w:rsid w:val="00C078B4"/>
    <w:rsid w:val="00C10162"/>
    <w:rsid w:val="00C11D07"/>
    <w:rsid w:val="00C13097"/>
    <w:rsid w:val="00C139F5"/>
    <w:rsid w:val="00C1476F"/>
    <w:rsid w:val="00C156F1"/>
    <w:rsid w:val="00C15855"/>
    <w:rsid w:val="00C15D0F"/>
    <w:rsid w:val="00C16686"/>
    <w:rsid w:val="00C20791"/>
    <w:rsid w:val="00C20C9E"/>
    <w:rsid w:val="00C2162F"/>
    <w:rsid w:val="00C220CD"/>
    <w:rsid w:val="00C23223"/>
    <w:rsid w:val="00C240C0"/>
    <w:rsid w:val="00C24710"/>
    <w:rsid w:val="00C24746"/>
    <w:rsid w:val="00C24881"/>
    <w:rsid w:val="00C24DD1"/>
    <w:rsid w:val="00C27397"/>
    <w:rsid w:val="00C27BE8"/>
    <w:rsid w:val="00C30AA0"/>
    <w:rsid w:val="00C31EE7"/>
    <w:rsid w:val="00C32A60"/>
    <w:rsid w:val="00C330B2"/>
    <w:rsid w:val="00C33CC5"/>
    <w:rsid w:val="00C355F3"/>
    <w:rsid w:val="00C36F0C"/>
    <w:rsid w:val="00C409E9"/>
    <w:rsid w:val="00C41CF0"/>
    <w:rsid w:val="00C41D75"/>
    <w:rsid w:val="00C421BA"/>
    <w:rsid w:val="00C42CEA"/>
    <w:rsid w:val="00C42F3B"/>
    <w:rsid w:val="00C4385C"/>
    <w:rsid w:val="00C43AE8"/>
    <w:rsid w:val="00C43BFC"/>
    <w:rsid w:val="00C44915"/>
    <w:rsid w:val="00C46DE7"/>
    <w:rsid w:val="00C47A2D"/>
    <w:rsid w:val="00C50205"/>
    <w:rsid w:val="00C5121C"/>
    <w:rsid w:val="00C51836"/>
    <w:rsid w:val="00C51DE4"/>
    <w:rsid w:val="00C521FD"/>
    <w:rsid w:val="00C52B80"/>
    <w:rsid w:val="00C52BB3"/>
    <w:rsid w:val="00C537EC"/>
    <w:rsid w:val="00C53C98"/>
    <w:rsid w:val="00C53FFB"/>
    <w:rsid w:val="00C54596"/>
    <w:rsid w:val="00C54C2F"/>
    <w:rsid w:val="00C55211"/>
    <w:rsid w:val="00C56E85"/>
    <w:rsid w:val="00C5738B"/>
    <w:rsid w:val="00C6053B"/>
    <w:rsid w:val="00C60544"/>
    <w:rsid w:val="00C63E41"/>
    <w:rsid w:val="00C6440D"/>
    <w:rsid w:val="00C655CC"/>
    <w:rsid w:val="00C656A4"/>
    <w:rsid w:val="00C65E82"/>
    <w:rsid w:val="00C667D0"/>
    <w:rsid w:val="00C679F8"/>
    <w:rsid w:val="00C70C5C"/>
    <w:rsid w:val="00C70E4F"/>
    <w:rsid w:val="00C714EF"/>
    <w:rsid w:val="00C71524"/>
    <w:rsid w:val="00C71BDE"/>
    <w:rsid w:val="00C73776"/>
    <w:rsid w:val="00C73C2E"/>
    <w:rsid w:val="00C74B34"/>
    <w:rsid w:val="00C760A7"/>
    <w:rsid w:val="00C76DC2"/>
    <w:rsid w:val="00C77018"/>
    <w:rsid w:val="00C77C5E"/>
    <w:rsid w:val="00C800ED"/>
    <w:rsid w:val="00C80815"/>
    <w:rsid w:val="00C8092E"/>
    <w:rsid w:val="00C8230E"/>
    <w:rsid w:val="00C82D5E"/>
    <w:rsid w:val="00C82D72"/>
    <w:rsid w:val="00C83884"/>
    <w:rsid w:val="00C84040"/>
    <w:rsid w:val="00C851F4"/>
    <w:rsid w:val="00C86752"/>
    <w:rsid w:val="00C86C80"/>
    <w:rsid w:val="00C9048A"/>
    <w:rsid w:val="00C9067F"/>
    <w:rsid w:val="00C91337"/>
    <w:rsid w:val="00C93D09"/>
    <w:rsid w:val="00C94306"/>
    <w:rsid w:val="00C9560B"/>
    <w:rsid w:val="00C957A0"/>
    <w:rsid w:val="00C95E9D"/>
    <w:rsid w:val="00C96263"/>
    <w:rsid w:val="00C96790"/>
    <w:rsid w:val="00C96FC4"/>
    <w:rsid w:val="00CA22DF"/>
    <w:rsid w:val="00CA27FE"/>
    <w:rsid w:val="00CA29FB"/>
    <w:rsid w:val="00CA3E74"/>
    <w:rsid w:val="00CA43B8"/>
    <w:rsid w:val="00CA6BF7"/>
    <w:rsid w:val="00CA6F84"/>
    <w:rsid w:val="00CB06D8"/>
    <w:rsid w:val="00CB0B29"/>
    <w:rsid w:val="00CB2271"/>
    <w:rsid w:val="00CB476C"/>
    <w:rsid w:val="00CB50BA"/>
    <w:rsid w:val="00CB5326"/>
    <w:rsid w:val="00CB591E"/>
    <w:rsid w:val="00CB6CE6"/>
    <w:rsid w:val="00CB7793"/>
    <w:rsid w:val="00CB7C5D"/>
    <w:rsid w:val="00CC487E"/>
    <w:rsid w:val="00CC5B81"/>
    <w:rsid w:val="00CC6DDC"/>
    <w:rsid w:val="00CC6F3F"/>
    <w:rsid w:val="00CC7C27"/>
    <w:rsid w:val="00CC7D57"/>
    <w:rsid w:val="00CD1428"/>
    <w:rsid w:val="00CD1A26"/>
    <w:rsid w:val="00CD4A5A"/>
    <w:rsid w:val="00CD5D62"/>
    <w:rsid w:val="00CD67A6"/>
    <w:rsid w:val="00CD6FC0"/>
    <w:rsid w:val="00CD7690"/>
    <w:rsid w:val="00CD76F3"/>
    <w:rsid w:val="00CE04FC"/>
    <w:rsid w:val="00CE05E3"/>
    <w:rsid w:val="00CE2B11"/>
    <w:rsid w:val="00CE470D"/>
    <w:rsid w:val="00CE4B8A"/>
    <w:rsid w:val="00CE52DD"/>
    <w:rsid w:val="00CE5AF7"/>
    <w:rsid w:val="00CE62FB"/>
    <w:rsid w:val="00CE63AB"/>
    <w:rsid w:val="00CE65B9"/>
    <w:rsid w:val="00CE6E44"/>
    <w:rsid w:val="00CE7557"/>
    <w:rsid w:val="00CF0121"/>
    <w:rsid w:val="00CF3B39"/>
    <w:rsid w:val="00CF3E58"/>
    <w:rsid w:val="00CF3FB0"/>
    <w:rsid w:val="00CF451A"/>
    <w:rsid w:val="00CF4D43"/>
    <w:rsid w:val="00CF5986"/>
    <w:rsid w:val="00CF6F73"/>
    <w:rsid w:val="00CF7034"/>
    <w:rsid w:val="00CF7041"/>
    <w:rsid w:val="00CF7C5B"/>
    <w:rsid w:val="00D00B3F"/>
    <w:rsid w:val="00D02098"/>
    <w:rsid w:val="00D026B5"/>
    <w:rsid w:val="00D02993"/>
    <w:rsid w:val="00D04DC3"/>
    <w:rsid w:val="00D04FAE"/>
    <w:rsid w:val="00D057F8"/>
    <w:rsid w:val="00D058CB"/>
    <w:rsid w:val="00D05D76"/>
    <w:rsid w:val="00D0659D"/>
    <w:rsid w:val="00D06C30"/>
    <w:rsid w:val="00D103E1"/>
    <w:rsid w:val="00D15C66"/>
    <w:rsid w:val="00D15E0D"/>
    <w:rsid w:val="00D1739E"/>
    <w:rsid w:val="00D2003E"/>
    <w:rsid w:val="00D22286"/>
    <w:rsid w:val="00D222B2"/>
    <w:rsid w:val="00D22D0A"/>
    <w:rsid w:val="00D234F9"/>
    <w:rsid w:val="00D23873"/>
    <w:rsid w:val="00D2445E"/>
    <w:rsid w:val="00D24710"/>
    <w:rsid w:val="00D2633C"/>
    <w:rsid w:val="00D27196"/>
    <w:rsid w:val="00D27C29"/>
    <w:rsid w:val="00D31134"/>
    <w:rsid w:val="00D31A1C"/>
    <w:rsid w:val="00D323DF"/>
    <w:rsid w:val="00D33D5A"/>
    <w:rsid w:val="00D34D4B"/>
    <w:rsid w:val="00D35275"/>
    <w:rsid w:val="00D352D2"/>
    <w:rsid w:val="00D354F0"/>
    <w:rsid w:val="00D4070A"/>
    <w:rsid w:val="00D40A98"/>
    <w:rsid w:val="00D42475"/>
    <w:rsid w:val="00D4571F"/>
    <w:rsid w:val="00D4732C"/>
    <w:rsid w:val="00D506A0"/>
    <w:rsid w:val="00D508D0"/>
    <w:rsid w:val="00D51E70"/>
    <w:rsid w:val="00D52750"/>
    <w:rsid w:val="00D52DD7"/>
    <w:rsid w:val="00D546AC"/>
    <w:rsid w:val="00D55AEC"/>
    <w:rsid w:val="00D60182"/>
    <w:rsid w:val="00D6082F"/>
    <w:rsid w:val="00D60D1A"/>
    <w:rsid w:val="00D623B6"/>
    <w:rsid w:val="00D64D24"/>
    <w:rsid w:val="00D65724"/>
    <w:rsid w:val="00D67677"/>
    <w:rsid w:val="00D67CEF"/>
    <w:rsid w:val="00D71B85"/>
    <w:rsid w:val="00D7335D"/>
    <w:rsid w:val="00D75860"/>
    <w:rsid w:val="00D767FF"/>
    <w:rsid w:val="00D77692"/>
    <w:rsid w:val="00D81502"/>
    <w:rsid w:val="00D81F83"/>
    <w:rsid w:val="00D83D5E"/>
    <w:rsid w:val="00D8488A"/>
    <w:rsid w:val="00D84AEC"/>
    <w:rsid w:val="00D84D04"/>
    <w:rsid w:val="00D8551F"/>
    <w:rsid w:val="00D86533"/>
    <w:rsid w:val="00D86760"/>
    <w:rsid w:val="00D86FEB"/>
    <w:rsid w:val="00D90079"/>
    <w:rsid w:val="00D9180C"/>
    <w:rsid w:val="00D9353F"/>
    <w:rsid w:val="00D96154"/>
    <w:rsid w:val="00D975E8"/>
    <w:rsid w:val="00DA01AD"/>
    <w:rsid w:val="00DA1616"/>
    <w:rsid w:val="00DA1677"/>
    <w:rsid w:val="00DA23C3"/>
    <w:rsid w:val="00DA28C8"/>
    <w:rsid w:val="00DA35BD"/>
    <w:rsid w:val="00DA35BF"/>
    <w:rsid w:val="00DA48EE"/>
    <w:rsid w:val="00DA638B"/>
    <w:rsid w:val="00DA6461"/>
    <w:rsid w:val="00DA7E87"/>
    <w:rsid w:val="00DB005B"/>
    <w:rsid w:val="00DB01F4"/>
    <w:rsid w:val="00DB1630"/>
    <w:rsid w:val="00DB3C54"/>
    <w:rsid w:val="00DB4D4C"/>
    <w:rsid w:val="00DB54C0"/>
    <w:rsid w:val="00DB7921"/>
    <w:rsid w:val="00DC13D6"/>
    <w:rsid w:val="00DC1635"/>
    <w:rsid w:val="00DC1F04"/>
    <w:rsid w:val="00DC25E4"/>
    <w:rsid w:val="00DC32F7"/>
    <w:rsid w:val="00DC4084"/>
    <w:rsid w:val="00DD034C"/>
    <w:rsid w:val="00DD122B"/>
    <w:rsid w:val="00DD31E8"/>
    <w:rsid w:val="00DD3B1D"/>
    <w:rsid w:val="00DD48F4"/>
    <w:rsid w:val="00DD5BBA"/>
    <w:rsid w:val="00DD5FBE"/>
    <w:rsid w:val="00DD68BB"/>
    <w:rsid w:val="00DD6C3E"/>
    <w:rsid w:val="00DE09D9"/>
    <w:rsid w:val="00DE225F"/>
    <w:rsid w:val="00DE3EF8"/>
    <w:rsid w:val="00DE40B0"/>
    <w:rsid w:val="00DE5471"/>
    <w:rsid w:val="00DE5E7D"/>
    <w:rsid w:val="00DE5F8E"/>
    <w:rsid w:val="00DE6A64"/>
    <w:rsid w:val="00DE77D3"/>
    <w:rsid w:val="00DF0C01"/>
    <w:rsid w:val="00DF0C05"/>
    <w:rsid w:val="00DF1CA9"/>
    <w:rsid w:val="00DF1F21"/>
    <w:rsid w:val="00DF2C79"/>
    <w:rsid w:val="00DF359E"/>
    <w:rsid w:val="00DF7572"/>
    <w:rsid w:val="00DF76E5"/>
    <w:rsid w:val="00E00B6B"/>
    <w:rsid w:val="00E00BD3"/>
    <w:rsid w:val="00E0105A"/>
    <w:rsid w:val="00E01F4E"/>
    <w:rsid w:val="00E04DC2"/>
    <w:rsid w:val="00E05F5E"/>
    <w:rsid w:val="00E062C2"/>
    <w:rsid w:val="00E067FD"/>
    <w:rsid w:val="00E07D0F"/>
    <w:rsid w:val="00E10437"/>
    <w:rsid w:val="00E104FA"/>
    <w:rsid w:val="00E106A3"/>
    <w:rsid w:val="00E118FA"/>
    <w:rsid w:val="00E1230F"/>
    <w:rsid w:val="00E123C4"/>
    <w:rsid w:val="00E12F0C"/>
    <w:rsid w:val="00E1446C"/>
    <w:rsid w:val="00E17008"/>
    <w:rsid w:val="00E174FF"/>
    <w:rsid w:val="00E20400"/>
    <w:rsid w:val="00E205A5"/>
    <w:rsid w:val="00E20C0C"/>
    <w:rsid w:val="00E2127D"/>
    <w:rsid w:val="00E2281D"/>
    <w:rsid w:val="00E24309"/>
    <w:rsid w:val="00E247CA"/>
    <w:rsid w:val="00E269B7"/>
    <w:rsid w:val="00E26C5F"/>
    <w:rsid w:val="00E2700D"/>
    <w:rsid w:val="00E274E7"/>
    <w:rsid w:val="00E27563"/>
    <w:rsid w:val="00E27E6A"/>
    <w:rsid w:val="00E30E08"/>
    <w:rsid w:val="00E31C60"/>
    <w:rsid w:val="00E32D8C"/>
    <w:rsid w:val="00E33B7C"/>
    <w:rsid w:val="00E34465"/>
    <w:rsid w:val="00E34CCC"/>
    <w:rsid w:val="00E35297"/>
    <w:rsid w:val="00E361AA"/>
    <w:rsid w:val="00E377BF"/>
    <w:rsid w:val="00E42887"/>
    <w:rsid w:val="00E42D22"/>
    <w:rsid w:val="00E43C46"/>
    <w:rsid w:val="00E451F3"/>
    <w:rsid w:val="00E456F9"/>
    <w:rsid w:val="00E46880"/>
    <w:rsid w:val="00E46F07"/>
    <w:rsid w:val="00E475FA"/>
    <w:rsid w:val="00E50764"/>
    <w:rsid w:val="00E50F2F"/>
    <w:rsid w:val="00E52438"/>
    <w:rsid w:val="00E52FCF"/>
    <w:rsid w:val="00E53573"/>
    <w:rsid w:val="00E549ED"/>
    <w:rsid w:val="00E55E97"/>
    <w:rsid w:val="00E6129A"/>
    <w:rsid w:val="00E615E8"/>
    <w:rsid w:val="00E61FA9"/>
    <w:rsid w:val="00E62A21"/>
    <w:rsid w:val="00E63235"/>
    <w:rsid w:val="00E6378F"/>
    <w:rsid w:val="00E6719C"/>
    <w:rsid w:val="00E7240D"/>
    <w:rsid w:val="00E72BA6"/>
    <w:rsid w:val="00E73F34"/>
    <w:rsid w:val="00E76176"/>
    <w:rsid w:val="00E768D8"/>
    <w:rsid w:val="00E8138F"/>
    <w:rsid w:val="00E814FB"/>
    <w:rsid w:val="00E81C6B"/>
    <w:rsid w:val="00E82A3D"/>
    <w:rsid w:val="00E8335A"/>
    <w:rsid w:val="00E834B9"/>
    <w:rsid w:val="00E83FA3"/>
    <w:rsid w:val="00E841A0"/>
    <w:rsid w:val="00E85A4A"/>
    <w:rsid w:val="00E905E7"/>
    <w:rsid w:val="00E9556F"/>
    <w:rsid w:val="00E955F1"/>
    <w:rsid w:val="00E95B11"/>
    <w:rsid w:val="00E962E7"/>
    <w:rsid w:val="00E96C46"/>
    <w:rsid w:val="00EA00B1"/>
    <w:rsid w:val="00EA1345"/>
    <w:rsid w:val="00EA1347"/>
    <w:rsid w:val="00EA2CF9"/>
    <w:rsid w:val="00EA441E"/>
    <w:rsid w:val="00EA49FC"/>
    <w:rsid w:val="00EA4BA9"/>
    <w:rsid w:val="00EA5423"/>
    <w:rsid w:val="00EA7257"/>
    <w:rsid w:val="00EA7818"/>
    <w:rsid w:val="00EB009B"/>
    <w:rsid w:val="00EB06F6"/>
    <w:rsid w:val="00EB1F0F"/>
    <w:rsid w:val="00EB31A7"/>
    <w:rsid w:val="00EB40FA"/>
    <w:rsid w:val="00EB4AD8"/>
    <w:rsid w:val="00EB4E92"/>
    <w:rsid w:val="00EB50A5"/>
    <w:rsid w:val="00EC1C64"/>
    <w:rsid w:val="00EC268C"/>
    <w:rsid w:val="00EC4853"/>
    <w:rsid w:val="00ED05AF"/>
    <w:rsid w:val="00ED06C2"/>
    <w:rsid w:val="00ED1A3B"/>
    <w:rsid w:val="00ED2D1E"/>
    <w:rsid w:val="00ED3C89"/>
    <w:rsid w:val="00ED3FE7"/>
    <w:rsid w:val="00ED4C36"/>
    <w:rsid w:val="00ED5706"/>
    <w:rsid w:val="00ED739D"/>
    <w:rsid w:val="00ED7FD3"/>
    <w:rsid w:val="00EE01A7"/>
    <w:rsid w:val="00EE09F9"/>
    <w:rsid w:val="00EE2F25"/>
    <w:rsid w:val="00EE2F58"/>
    <w:rsid w:val="00EE3BB2"/>
    <w:rsid w:val="00EE41C3"/>
    <w:rsid w:val="00EE4E97"/>
    <w:rsid w:val="00EF094D"/>
    <w:rsid w:val="00EF5683"/>
    <w:rsid w:val="00EF6068"/>
    <w:rsid w:val="00EF715F"/>
    <w:rsid w:val="00EF73A8"/>
    <w:rsid w:val="00EF7E4B"/>
    <w:rsid w:val="00F00FDF"/>
    <w:rsid w:val="00F01566"/>
    <w:rsid w:val="00F02C31"/>
    <w:rsid w:val="00F03FA0"/>
    <w:rsid w:val="00F0425F"/>
    <w:rsid w:val="00F04343"/>
    <w:rsid w:val="00F046A4"/>
    <w:rsid w:val="00F048AE"/>
    <w:rsid w:val="00F0496B"/>
    <w:rsid w:val="00F05249"/>
    <w:rsid w:val="00F0650E"/>
    <w:rsid w:val="00F068A9"/>
    <w:rsid w:val="00F10EA8"/>
    <w:rsid w:val="00F115A6"/>
    <w:rsid w:val="00F11C21"/>
    <w:rsid w:val="00F12185"/>
    <w:rsid w:val="00F12572"/>
    <w:rsid w:val="00F14F36"/>
    <w:rsid w:val="00F15B42"/>
    <w:rsid w:val="00F16B5D"/>
    <w:rsid w:val="00F222AD"/>
    <w:rsid w:val="00F2359E"/>
    <w:rsid w:val="00F23935"/>
    <w:rsid w:val="00F252D9"/>
    <w:rsid w:val="00F258F6"/>
    <w:rsid w:val="00F25F0D"/>
    <w:rsid w:val="00F27C3B"/>
    <w:rsid w:val="00F307A5"/>
    <w:rsid w:val="00F309B2"/>
    <w:rsid w:val="00F321DE"/>
    <w:rsid w:val="00F33C9D"/>
    <w:rsid w:val="00F340AF"/>
    <w:rsid w:val="00F34E9C"/>
    <w:rsid w:val="00F35472"/>
    <w:rsid w:val="00F35F87"/>
    <w:rsid w:val="00F40CCD"/>
    <w:rsid w:val="00F4264C"/>
    <w:rsid w:val="00F43BCB"/>
    <w:rsid w:val="00F44C83"/>
    <w:rsid w:val="00F46A47"/>
    <w:rsid w:val="00F506A1"/>
    <w:rsid w:val="00F50845"/>
    <w:rsid w:val="00F5248F"/>
    <w:rsid w:val="00F526DB"/>
    <w:rsid w:val="00F52D54"/>
    <w:rsid w:val="00F5797E"/>
    <w:rsid w:val="00F57C99"/>
    <w:rsid w:val="00F63435"/>
    <w:rsid w:val="00F636F1"/>
    <w:rsid w:val="00F63CB8"/>
    <w:rsid w:val="00F64FF7"/>
    <w:rsid w:val="00F65E1F"/>
    <w:rsid w:val="00F666D8"/>
    <w:rsid w:val="00F67383"/>
    <w:rsid w:val="00F7229F"/>
    <w:rsid w:val="00F758EE"/>
    <w:rsid w:val="00F75FE1"/>
    <w:rsid w:val="00F7601E"/>
    <w:rsid w:val="00F76A6F"/>
    <w:rsid w:val="00F76EC8"/>
    <w:rsid w:val="00F8036E"/>
    <w:rsid w:val="00F8043D"/>
    <w:rsid w:val="00F804AE"/>
    <w:rsid w:val="00F80535"/>
    <w:rsid w:val="00F817AE"/>
    <w:rsid w:val="00F8252B"/>
    <w:rsid w:val="00F8297B"/>
    <w:rsid w:val="00F8388C"/>
    <w:rsid w:val="00F83933"/>
    <w:rsid w:val="00F86EA2"/>
    <w:rsid w:val="00F901AE"/>
    <w:rsid w:val="00F914D3"/>
    <w:rsid w:val="00F91C36"/>
    <w:rsid w:val="00F92870"/>
    <w:rsid w:val="00F92B99"/>
    <w:rsid w:val="00F931C3"/>
    <w:rsid w:val="00F93C14"/>
    <w:rsid w:val="00F951B3"/>
    <w:rsid w:val="00F9668C"/>
    <w:rsid w:val="00F96972"/>
    <w:rsid w:val="00F9792B"/>
    <w:rsid w:val="00FA0066"/>
    <w:rsid w:val="00FA0470"/>
    <w:rsid w:val="00FA0D81"/>
    <w:rsid w:val="00FA1A90"/>
    <w:rsid w:val="00FA1B70"/>
    <w:rsid w:val="00FA43EC"/>
    <w:rsid w:val="00FA7104"/>
    <w:rsid w:val="00FA7748"/>
    <w:rsid w:val="00FB1AC0"/>
    <w:rsid w:val="00FB2AF7"/>
    <w:rsid w:val="00FB2D1C"/>
    <w:rsid w:val="00FB4C25"/>
    <w:rsid w:val="00FB5D88"/>
    <w:rsid w:val="00FB609D"/>
    <w:rsid w:val="00FB625C"/>
    <w:rsid w:val="00FB70FF"/>
    <w:rsid w:val="00FC0970"/>
    <w:rsid w:val="00FC0C0D"/>
    <w:rsid w:val="00FC4920"/>
    <w:rsid w:val="00FC56AA"/>
    <w:rsid w:val="00FC5F6A"/>
    <w:rsid w:val="00FC6361"/>
    <w:rsid w:val="00FC7EBC"/>
    <w:rsid w:val="00FD16B6"/>
    <w:rsid w:val="00FD2556"/>
    <w:rsid w:val="00FD282F"/>
    <w:rsid w:val="00FD3501"/>
    <w:rsid w:val="00FD45A0"/>
    <w:rsid w:val="00FD7815"/>
    <w:rsid w:val="00FE0351"/>
    <w:rsid w:val="00FE080A"/>
    <w:rsid w:val="00FE1A59"/>
    <w:rsid w:val="00FE1AB8"/>
    <w:rsid w:val="00FE25B7"/>
    <w:rsid w:val="00FE341F"/>
    <w:rsid w:val="00FE4026"/>
    <w:rsid w:val="00FE766E"/>
    <w:rsid w:val="00FF0068"/>
    <w:rsid w:val="00FF083C"/>
    <w:rsid w:val="00FF18E1"/>
    <w:rsid w:val="00FF3146"/>
    <w:rsid w:val="00FF4112"/>
    <w:rsid w:val="00FF57A8"/>
    <w:rsid w:val="00FF6113"/>
    <w:rsid w:val="00FF61BB"/>
    <w:rsid w:val="00FF7FD0"/>
    <w:rsid w:val="043F0CC7"/>
    <w:rsid w:val="07694920"/>
    <w:rsid w:val="080B21B9"/>
    <w:rsid w:val="08FD1CA9"/>
    <w:rsid w:val="09DD4F78"/>
    <w:rsid w:val="0D72BCD2"/>
    <w:rsid w:val="0F869F01"/>
    <w:rsid w:val="128A76DF"/>
    <w:rsid w:val="19818CD2"/>
    <w:rsid w:val="1A224A83"/>
    <w:rsid w:val="25E7CB05"/>
    <w:rsid w:val="2A1E391B"/>
    <w:rsid w:val="2ABF3F35"/>
    <w:rsid w:val="31DE064F"/>
    <w:rsid w:val="31F137C4"/>
    <w:rsid w:val="3417FF65"/>
    <w:rsid w:val="3C68BB36"/>
    <w:rsid w:val="3E8385C9"/>
    <w:rsid w:val="40AB0302"/>
    <w:rsid w:val="449BAF22"/>
    <w:rsid w:val="4D03F55D"/>
    <w:rsid w:val="503E1FB4"/>
    <w:rsid w:val="503EB2BB"/>
    <w:rsid w:val="5A54065C"/>
    <w:rsid w:val="5CDA6F9F"/>
    <w:rsid w:val="5DB23B80"/>
    <w:rsid w:val="625DA076"/>
    <w:rsid w:val="6528D78B"/>
    <w:rsid w:val="6859B18D"/>
    <w:rsid w:val="6BD44620"/>
    <w:rsid w:val="6EFD3191"/>
    <w:rsid w:val="72F55116"/>
    <w:rsid w:val="748E8698"/>
    <w:rsid w:val="755DC79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92CEA8C"/>
  <w15:chartTrackingRefBased/>
  <w15:docId w15:val="{B631689C-B21F-47EB-9DC2-11F865A87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26B5"/>
  </w:style>
  <w:style w:type="paragraph" w:styleId="Heading1">
    <w:name w:val="heading 1"/>
    <w:basedOn w:val="Normal"/>
    <w:next w:val="Normal"/>
    <w:link w:val="Heading1Char"/>
    <w:uiPriority w:val="9"/>
    <w:qFormat/>
    <w:rsid w:val="00316F1A"/>
    <w:pPr>
      <w:keepNext/>
      <w:keepLines/>
      <w:numPr>
        <w:numId w:val="2"/>
      </w:numPr>
      <w:spacing w:before="360" w:after="80"/>
      <w:ind w:left="360"/>
      <w:outlineLvl w:val="0"/>
    </w:pPr>
    <w:rPr>
      <w:rFonts w:ascii="Times New Roman" w:eastAsiaTheme="majorEastAsia" w:hAnsi="Times New Roman" w:cstheme="majorBidi"/>
      <w:b/>
      <w:szCs w:val="40"/>
    </w:rPr>
  </w:style>
  <w:style w:type="paragraph" w:styleId="Heading2">
    <w:name w:val="heading 2"/>
    <w:basedOn w:val="Normal"/>
    <w:next w:val="Normal"/>
    <w:link w:val="Heading2Char"/>
    <w:uiPriority w:val="9"/>
    <w:unhideWhenUsed/>
    <w:qFormat/>
    <w:rsid w:val="00316F1A"/>
    <w:pPr>
      <w:numPr>
        <w:ilvl w:val="1"/>
        <w:numId w:val="2"/>
      </w:numPr>
      <w:ind w:left="360"/>
      <w:outlineLvl w:val="1"/>
    </w:pPr>
    <w:rPr>
      <w:rFonts w:ascii="Times New Roman" w:eastAsiaTheme="majorEastAsia" w:hAnsi="Times New Roman" w:cs="Times New Roman"/>
      <w:b/>
      <w:szCs w:val="32"/>
    </w:rPr>
  </w:style>
  <w:style w:type="paragraph" w:styleId="Heading3">
    <w:name w:val="heading 3"/>
    <w:basedOn w:val="ListParagraph"/>
    <w:next w:val="Normal"/>
    <w:link w:val="Heading3Char"/>
    <w:uiPriority w:val="9"/>
    <w:unhideWhenUsed/>
    <w:qFormat/>
    <w:rsid w:val="003F0129"/>
    <w:pPr>
      <w:numPr>
        <w:ilvl w:val="2"/>
        <w:numId w:val="2"/>
      </w:numPr>
      <w:spacing w:after="0" w:line="240" w:lineRule="auto"/>
      <w:jc w:val="both"/>
      <w:outlineLvl w:val="2"/>
    </w:pPr>
    <w:rPr>
      <w:rFonts w:ascii="Times New Roman" w:hAnsi="Times New Roman" w:cs="Times New Roman"/>
      <w:b/>
      <w:bCs/>
    </w:rPr>
  </w:style>
  <w:style w:type="paragraph" w:styleId="Heading4">
    <w:name w:val="heading 4"/>
    <w:basedOn w:val="Normal"/>
    <w:next w:val="Normal"/>
    <w:link w:val="Heading4Char"/>
    <w:uiPriority w:val="9"/>
    <w:semiHidden/>
    <w:unhideWhenUsed/>
    <w:qFormat/>
    <w:rsid w:val="005772D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772D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772D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772D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772D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772D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6F1A"/>
    <w:rPr>
      <w:rFonts w:ascii="Times New Roman" w:eastAsiaTheme="majorEastAsia" w:hAnsi="Times New Roman" w:cstheme="majorBidi"/>
      <w:b/>
      <w:szCs w:val="40"/>
    </w:rPr>
  </w:style>
  <w:style w:type="character" w:customStyle="1" w:styleId="Heading2Char">
    <w:name w:val="Heading 2 Char"/>
    <w:basedOn w:val="DefaultParagraphFont"/>
    <w:link w:val="Heading2"/>
    <w:uiPriority w:val="9"/>
    <w:rsid w:val="00316F1A"/>
    <w:rPr>
      <w:rFonts w:ascii="Times New Roman" w:eastAsiaTheme="majorEastAsia" w:hAnsi="Times New Roman" w:cs="Times New Roman"/>
      <w:b/>
      <w:szCs w:val="32"/>
    </w:rPr>
  </w:style>
  <w:style w:type="character" w:customStyle="1" w:styleId="Heading3Char">
    <w:name w:val="Heading 3 Char"/>
    <w:basedOn w:val="DefaultParagraphFont"/>
    <w:link w:val="Heading3"/>
    <w:uiPriority w:val="9"/>
    <w:rsid w:val="003F0129"/>
    <w:rPr>
      <w:rFonts w:ascii="Times New Roman" w:hAnsi="Times New Roman" w:cs="Times New Roman"/>
      <w:b/>
      <w:bCs/>
    </w:rPr>
  </w:style>
  <w:style w:type="character" w:customStyle="1" w:styleId="Heading4Char">
    <w:name w:val="Heading 4 Char"/>
    <w:basedOn w:val="DefaultParagraphFont"/>
    <w:link w:val="Heading4"/>
    <w:uiPriority w:val="9"/>
    <w:semiHidden/>
    <w:rsid w:val="005772D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772D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772D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772D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772D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772D1"/>
    <w:rPr>
      <w:rFonts w:eastAsiaTheme="majorEastAsia" w:cstheme="majorBidi"/>
      <w:color w:val="272727" w:themeColor="text1" w:themeTint="D8"/>
    </w:rPr>
  </w:style>
  <w:style w:type="paragraph" w:styleId="Title">
    <w:name w:val="Title"/>
    <w:basedOn w:val="Normal"/>
    <w:next w:val="Normal"/>
    <w:link w:val="TitleChar"/>
    <w:uiPriority w:val="10"/>
    <w:qFormat/>
    <w:rsid w:val="005772D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72D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72D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72D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772D1"/>
    <w:pPr>
      <w:spacing w:before="160"/>
      <w:jc w:val="center"/>
    </w:pPr>
    <w:rPr>
      <w:i/>
      <w:iCs/>
      <w:color w:val="404040" w:themeColor="text1" w:themeTint="BF"/>
    </w:rPr>
  </w:style>
  <w:style w:type="character" w:customStyle="1" w:styleId="QuoteChar">
    <w:name w:val="Quote Char"/>
    <w:basedOn w:val="DefaultParagraphFont"/>
    <w:link w:val="Quote"/>
    <w:uiPriority w:val="29"/>
    <w:rsid w:val="005772D1"/>
    <w:rPr>
      <w:i/>
      <w:iCs/>
      <w:color w:val="404040" w:themeColor="text1" w:themeTint="BF"/>
    </w:rPr>
  </w:style>
  <w:style w:type="paragraph" w:styleId="ListParagraph">
    <w:name w:val="List Paragraph"/>
    <w:basedOn w:val="Normal"/>
    <w:uiPriority w:val="34"/>
    <w:qFormat/>
    <w:rsid w:val="005772D1"/>
    <w:pPr>
      <w:ind w:left="720"/>
      <w:contextualSpacing/>
    </w:pPr>
  </w:style>
  <w:style w:type="character" w:styleId="IntenseEmphasis">
    <w:name w:val="Intense Emphasis"/>
    <w:basedOn w:val="DefaultParagraphFont"/>
    <w:uiPriority w:val="21"/>
    <w:qFormat/>
    <w:rsid w:val="005772D1"/>
    <w:rPr>
      <w:i/>
      <w:iCs/>
      <w:color w:val="0F4761" w:themeColor="accent1" w:themeShade="BF"/>
    </w:rPr>
  </w:style>
  <w:style w:type="paragraph" w:styleId="IntenseQuote">
    <w:name w:val="Intense Quote"/>
    <w:basedOn w:val="Normal"/>
    <w:next w:val="Normal"/>
    <w:link w:val="IntenseQuoteChar"/>
    <w:uiPriority w:val="30"/>
    <w:qFormat/>
    <w:rsid w:val="005772D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72D1"/>
    <w:rPr>
      <w:i/>
      <w:iCs/>
      <w:color w:val="0F4761" w:themeColor="accent1" w:themeShade="BF"/>
    </w:rPr>
  </w:style>
  <w:style w:type="character" w:styleId="IntenseReference">
    <w:name w:val="Intense Reference"/>
    <w:basedOn w:val="DefaultParagraphFont"/>
    <w:uiPriority w:val="32"/>
    <w:qFormat/>
    <w:rsid w:val="005772D1"/>
    <w:rPr>
      <w:b/>
      <w:bCs/>
      <w:smallCaps/>
      <w:color w:val="0F4761" w:themeColor="accent1" w:themeShade="BF"/>
      <w:spacing w:val="5"/>
    </w:rPr>
  </w:style>
  <w:style w:type="paragraph" w:styleId="NormalWeb">
    <w:name w:val="Normal (Web)"/>
    <w:basedOn w:val="Normal"/>
    <w:uiPriority w:val="99"/>
    <w:semiHidden/>
    <w:unhideWhenUsed/>
    <w:rsid w:val="00D026B5"/>
    <w:rPr>
      <w:rFonts w:ascii="Times New Roman" w:hAnsi="Times New Roman" w:cs="Times New Roman"/>
      <w:sz w:val="24"/>
      <w:szCs w:val="24"/>
    </w:rPr>
  </w:style>
  <w:style w:type="paragraph" w:customStyle="1" w:styleId="EndNoteBibliographyTitle">
    <w:name w:val="EndNote Bibliography Title"/>
    <w:basedOn w:val="Normal"/>
    <w:link w:val="EndNoteBibliographyTitleChar"/>
    <w:rsid w:val="00D026B5"/>
    <w:pPr>
      <w:spacing w:after="0"/>
      <w:jc w:val="center"/>
    </w:pPr>
    <w:rPr>
      <w:rFonts w:ascii="Aptos" w:hAnsi="Aptos" w:cs="Times New Roman"/>
      <w:noProof/>
      <w:lang w:val="en-US"/>
    </w:rPr>
  </w:style>
  <w:style w:type="character" w:customStyle="1" w:styleId="EndNoteBibliographyTitleChar">
    <w:name w:val="EndNote Bibliography Title Char"/>
    <w:basedOn w:val="DefaultParagraphFont"/>
    <w:link w:val="EndNoteBibliographyTitle"/>
    <w:rsid w:val="00D026B5"/>
    <w:rPr>
      <w:rFonts w:ascii="Aptos" w:hAnsi="Aptos" w:cs="Times New Roman"/>
      <w:noProof/>
      <w:lang w:val="en-US"/>
    </w:rPr>
  </w:style>
  <w:style w:type="paragraph" w:customStyle="1" w:styleId="EndNoteBibliography">
    <w:name w:val="EndNote Bibliography"/>
    <w:basedOn w:val="Normal"/>
    <w:link w:val="EndNoteBibliographyChar"/>
    <w:rsid w:val="00D026B5"/>
    <w:pPr>
      <w:spacing w:line="240" w:lineRule="auto"/>
      <w:jc w:val="both"/>
    </w:pPr>
    <w:rPr>
      <w:rFonts w:ascii="Aptos" w:hAnsi="Aptos" w:cs="Times New Roman"/>
      <w:noProof/>
      <w:lang w:val="en-US"/>
    </w:rPr>
  </w:style>
  <w:style w:type="character" w:customStyle="1" w:styleId="EndNoteBibliographyChar">
    <w:name w:val="EndNote Bibliography Char"/>
    <w:basedOn w:val="DefaultParagraphFont"/>
    <w:link w:val="EndNoteBibliography"/>
    <w:rsid w:val="00D026B5"/>
    <w:rPr>
      <w:rFonts w:ascii="Aptos" w:hAnsi="Aptos" w:cs="Times New Roman"/>
      <w:noProof/>
      <w:lang w:val="en-US"/>
    </w:rPr>
  </w:style>
  <w:style w:type="table" w:styleId="TableGrid">
    <w:name w:val="Table Grid"/>
    <w:basedOn w:val="TableNormal"/>
    <w:uiPriority w:val="39"/>
    <w:rsid w:val="00D026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026B5"/>
    <w:pPr>
      <w:spacing w:after="200" w:line="240" w:lineRule="auto"/>
    </w:pPr>
    <w:rPr>
      <w:i/>
      <w:iCs/>
      <w:color w:val="0E2841" w:themeColor="text2"/>
      <w:sz w:val="18"/>
      <w:szCs w:val="18"/>
    </w:rPr>
  </w:style>
  <w:style w:type="character" w:styleId="LineNumber">
    <w:name w:val="line number"/>
    <w:basedOn w:val="DefaultParagraphFont"/>
    <w:uiPriority w:val="99"/>
    <w:semiHidden/>
    <w:unhideWhenUsed/>
    <w:rsid w:val="00D026B5"/>
  </w:style>
  <w:style w:type="character" w:styleId="Hyperlink">
    <w:name w:val="Hyperlink"/>
    <w:basedOn w:val="DefaultParagraphFont"/>
    <w:uiPriority w:val="99"/>
    <w:unhideWhenUsed/>
    <w:rsid w:val="00D026B5"/>
    <w:rPr>
      <w:color w:val="467886" w:themeColor="hyperlink"/>
      <w:u w:val="single"/>
    </w:rPr>
  </w:style>
  <w:style w:type="character" w:styleId="UnresolvedMention">
    <w:name w:val="Unresolved Mention"/>
    <w:basedOn w:val="DefaultParagraphFont"/>
    <w:uiPriority w:val="99"/>
    <w:semiHidden/>
    <w:unhideWhenUsed/>
    <w:rsid w:val="00D026B5"/>
    <w:rPr>
      <w:color w:val="605E5C"/>
      <w:shd w:val="clear" w:color="auto" w:fill="E1DFDD"/>
    </w:rPr>
  </w:style>
  <w:style w:type="character" w:styleId="CommentReference">
    <w:name w:val="annotation reference"/>
    <w:basedOn w:val="DefaultParagraphFont"/>
    <w:uiPriority w:val="99"/>
    <w:semiHidden/>
    <w:unhideWhenUsed/>
    <w:rsid w:val="00D026B5"/>
    <w:rPr>
      <w:sz w:val="16"/>
      <w:szCs w:val="16"/>
    </w:rPr>
  </w:style>
  <w:style w:type="paragraph" w:styleId="CommentText">
    <w:name w:val="annotation text"/>
    <w:basedOn w:val="Normal"/>
    <w:link w:val="CommentTextChar"/>
    <w:uiPriority w:val="99"/>
    <w:unhideWhenUsed/>
    <w:rsid w:val="00D026B5"/>
    <w:pPr>
      <w:spacing w:line="240" w:lineRule="auto"/>
    </w:pPr>
    <w:rPr>
      <w:sz w:val="20"/>
      <w:szCs w:val="20"/>
    </w:rPr>
  </w:style>
  <w:style w:type="character" w:customStyle="1" w:styleId="CommentTextChar">
    <w:name w:val="Comment Text Char"/>
    <w:basedOn w:val="DefaultParagraphFont"/>
    <w:link w:val="CommentText"/>
    <w:uiPriority w:val="99"/>
    <w:rsid w:val="00D026B5"/>
    <w:rPr>
      <w:sz w:val="20"/>
      <w:szCs w:val="20"/>
    </w:rPr>
  </w:style>
  <w:style w:type="paragraph" w:styleId="CommentSubject">
    <w:name w:val="annotation subject"/>
    <w:basedOn w:val="CommentText"/>
    <w:next w:val="CommentText"/>
    <w:link w:val="CommentSubjectChar"/>
    <w:uiPriority w:val="99"/>
    <w:semiHidden/>
    <w:unhideWhenUsed/>
    <w:rsid w:val="00D026B5"/>
    <w:rPr>
      <w:b/>
      <w:bCs/>
    </w:rPr>
  </w:style>
  <w:style w:type="character" w:customStyle="1" w:styleId="CommentSubjectChar">
    <w:name w:val="Comment Subject Char"/>
    <w:basedOn w:val="CommentTextChar"/>
    <w:link w:val="CommentSubject"/>
    <w:uiPriority w:val="99"/>
    <w:semiHidden/>
    <w:rsid w:val="00D026B5"/>
    <w:rPr>
      <w:b/>
      <w:bCs/>
      <w:sz w:val="20"/>
      <w:szCs w:val="20"/>
    </w:rPr>
  </w:style>
  <w:style w:type="paragraph" w:styleId="Revision">
    <w:name w:val="Revision"/>
    <w:hidden/>
    <w:uiPriority w:val="99"/>
    <w:semiHidden/>
    <w:rsid w:val="00D026B5"/>
    <w:pPr>
      <w:spacing w:after="0" w:line="240" w:lineRule="auto"/>
    </w:pPr>
  </w:style>
  <w:style w:type="character" w:styleId="PlaceholderText">
    <w:name w:val="Placeholder Text"/>
    <w:basedOn w:val="DefaultParagraphFont"/>
    <w:uiPriority w:val="99"/>
    <w:semiHidden/>
    <w:rsid w:val="00D026B5"/>
    <w:rPr>
      <w:color w:val="666666"/>
    </w:rPr>
  </w:style>
  <w:style w:type="paragraph" w:styleId="Header">
    <w:name w:val="header"/>
    <w:basedOn w:val="Normal"/>
    <w:link w:val="HeaderChar"/>
    <w:uiPriority w:val="99"/>
    <w:unhideWhenUsed/>
    <w:rsid w:val="00D026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26B5"/>
  </w:style>
  <w:style w:type="paragraph" w:styleId="Footer">
    <w:name w:val="footer"/>
    <w:basedOn w:val="Normal"/>
    <w:link w:val="FooterChar"/>
    <w:uiPriority w:val="99"/>
    <w:unhideWhenUsed/>
    <w:rsid w:val="00D026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26B5"/>
  </w:style>
  <w:style w:type="table" w:styleId="PlainTable2">
    <w:name w:val="Plain Table 2"/>
    <w:basedOn w:val="TableNormal"/>
    <w:uiPriority w:val="42"/>
    <w:rsid w:val="005869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s-markdown-paragraph">
    <w:name w:val="ds-markdown-paragraph"/>
    <w:basedOn w:val="Normal"/>
    <w:rsid w:val="00F9668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kno-fv-vq">
    <w:name w:val="kno-fv-vq"/>
    <w:rsid w:val="00B64E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4978">
      <w:bodyDiv w:val="1"/>
      <w:marLeft w:val="0"/>
      <w:marRight w:val="0"/>
      <w:marTop w:val="0"/>
      <w:marBottom w:val="0"/>
      <w:divBdr>
        <w:top w:val="none" w:sz="0" w:space="0" w:color="auto"/>
        <w:left w:val="none" w:sz="0" w:space="0" w:color="auto"/>
        <w:bottom w:val="none" w:sz="0" w:space="0" w:color="auto"/>
        <w:right w:val="none" w:sz="0" w:space="0" w:color="auto"/>
      </w:divBdr>
    </w:div>
    <w:div w:id="5786867">
      <w:bodyDiv w:val="1"/>
      <w:marLeft w:val="0"/>
      <w:marRight w:val="0"/>
      <w:marTop w:val="0"/>
      <w:marBottom w:val="0"/>
      <w:divBdr>
        <w:top w:val="none" w:sz="0" w:space="0" w:color="auto"/>
        <w:left w:val="none" w:sz="0" w:space="0" w:color="auto"/>
        <w:bottom w:val="none" w:sz="0" w:space="0" w:color="auto"/>
        <w:right w:val="none" w:sz="0" w:space="0" w:color="auto"/>
      </w:divBdr>
    </w:div>
    <w:div w:id="15541864">
      <w:bodyDiv w:val="1"/>
      <w:marLeft w:val="0"/>
      <w:marRight w:val="0"/>
      <w:marTop w:val="0"/>
      <w:marBottom w:val="0"/>
      <w:divBdr>
        <w:top w:val="none" w:sz="0" w:space="0" w:color="auto"/>
        <w:left w:val="none" w:sz="0" w:space="0" w:color="auto"/>
        <w:bottom w:val="none" w:sz="0" w:space="0" w:color="auto"/>
        <w:right w:val="none" w:sz="0" w:space="0" w:color="auto"/>
      </w:divBdr>
    </w:div>
    <w:div w:id="49043673">
      <w:bodyDiv w:val="1"/>
      <w:marLeft w:val="0"/>
      <w:marRight w:val="0"/>
      <w:marTop w:val="0"/>
      <w:marBottom w:val="0"/>
      <w:divBdr>
        <w:top w:val="none" w:sz="0" w:space="0" w:color="auto"/>
        <w:left w:val="none" w:sz="0" w:space="0" w:color="auto"/>
        <w:bottom w:val="none" w:sz="0" w:space="0" w:color="auto"/>
        <w:right w:val="none" w:sz="0" w:space="0" w:color="auto"/>
      </w:divBdr>
    </w:div>
    <w:div w:id="124154932">
      <w:bodyDiv w:val="1"/>
      <w:marLeft w:val="0"/>
      <w:marRight w:val="0"/>
      <w:marTop w:val="0"/>
      <w:marBottom w:val="0"/>
      <w:divBdr>
        <w:top w:val="none" w:sz="0" w:space="0" w:color="auto"/>
        <w:left w:val="none" w:sz="0" w:space="0" w:color="auto"/>
        <w:bottom w:val="none" w:sz="0" w:space="0" w:color="auto"/>
        <w:right w:val="none" w:sz="0" w:space="0" w:color="auto"/>
      </w:divBdr>
    </w:div>
    <w:div w:id="124204732">
      <w:bodyDiv w:val="1"/>
      <w:marLeft w:val="0"/>
      <w:marRight w:val="0"/>
      <w:marTop w:val="0"/>
      <w:marBottom w:val="0"/>
      <w:divBdr>
        <w:top w:val="none" w:sz="0" w:space="0" w:color="auto"/>
        <w:left w:val="none" w:sz="0" w:space="0" w:color="auto"/>
        <w:bottom w:val="none" w:sz="0" w:space="0" w:color="auto"/>
        <w:right w:val="none" w:sz="0" w:space="0" w:color="auto"/>
      </w:divBdr>
    </w:div>
    <w:div w:id="210387803">
      <w:bodyDiv w:val="1"/>
      <w:marLeft w:val="0"/>
      <w:marRight w:val="0"/>
      <w:marTop w:val="0"/>
      <w:marBottom w:val="0"/>
      <w:divBdr>
        <w:top w:val="none" w:sz="0" w:space="0" w:color="auto"/>
        <w:left w:val="none" w:sz="0" w:space="0" w:color="auto"/>
        <w:bottom w:val="none" w:sz="0" w:space="0" w:color="auto"/>
        <w:right w:val="none" w:sz="0" w:space="0" w:color="auto"/>
      </w:divBdr>
    </w:div>
    <w:div w:id="211617356">
      <w:bodyDiv w:val="1"/>
      <w:marLeft w:val="0"/>
      <w:marRight w:val="0"/>
      <w:marTop w:val="0"/>
      <w:marBottom w:val="0"/>
      <w:divBdr>
        <w:top w:val="none" w:sz="0" w:space="0" w:color="auto"/>
        <w:left w:val="none" w:sz="0" w:space="0" w:color="auto"/>
        <w:bottom w:val="none" w:sz="0" w:space="0" w:color="auto"/>
        <w:right w:val="none" w:sz="0" w:space="0" w:color="auto"/>
      </w:divBdr>
    </w:div>
    <w:div w:id="222302671">
      <w:bodyDiv w:val="1"/>
      <w:marLeft w:val="0"/>
      <w:marRight w:val="0"/>
      <w:marTop w:val="0"/>
      <w:marBottom w:val="0"/>
      <w:divBdr>
        <w:top w:val="none" w:sz="0" w:space="0" w:color="auto"/>
        <w:left w:val="none" w:sz="0" w:space="0" w:color="auto"/>
        <w:bottom w:val="none" w:sz="0" w:space="0" w:color="auto"/>
        <w:right w:val="none" w:sz="0" w:space="0" w:color="auto"/>
      </w:divBdr>
    </w:div>
    <w:div w:id="266550061">
      <w:bodyDiv w:val="1"/>
      <w:marLeft w:val="0"/>
      <w:marRight w:val="0"/>
      <w:marTop w:val="0"/>
      <w:marBottom w:val="0"/>
      <w:divBdr>
        <w:top w:val="none" w:sz="0" w:space="0" w:color="auto"/>
        <w:left w:val="none" w:sz="0" w:space="0" w:color="auto"/>
        <w:bottom w:val="none" w:sz="0" w:space="0" w:color="auto"/>
        <w:right w:val="none" w:sz="0" w:space="0" w:color="auto"/>
      </w:divBdr>
    </w:div>
    <w:div w:id="343366884">
      <w:bodyDiv w:val="1"/>
      <w:marLeft w:val="0"/>
      <w:marRight w:val="0"/>
      <w:marTop w:val="0"/>
      <w:marBottom w:val="0"/>
      <w:divBdr>
        <w:top w:val="none" w:sz="0" w:space="0" w:color="auto"/>
        <w:left w:val="none" w:sz="0" w:space="0" w:color="auto"/>
        <w:bottom w:val="none" w:sz="0" w:space="0" w:color="auto"/>
        <w:right w:val="none" w:sz="0" w:space="0" w:color="auto"/>
      </w:divBdr>
    </w:div>
    <w:div w:id="356582433">
      <w:bodyDiv w:val="1"/>
      <w:marLeft w:val="0"/>
      <w:marRight w:val="0"/>
      <w:marTop w:val="0"/>
      <w:marBottom w:val="0"/>
      <w:divBdr>
        <w:top w:val="none" w:sz="0" w:space="0" w:color="auto"/>
        <w:left w:val="none" w:sz="0" w:space="0" w:color="auto"/>
        <w:bottom w:val="none" w:sz="0" w:space="0" w:color="auto"/>
        <w:right w:val="none" w:sz="0" w:space="0" w:color="auto"/>
      </w:divBdr>
    </w:div>
    <w:div w:id="368342021">
      <w:bodyDiv w:val="1"/>
      <w:marLeft w:val="0"/>
      <w:marRight w:val="0"/>
      <w:marTop w:val="0"/>
      <w:marBottom w:val="0"/>
      <w:divBdr>
        <w:top w:val="none" w:sz="0" w:space="0" w:color="auto"/>
        <w:left w:val="none" w:sz="0" w:space="0" w:color="auto"/>
        <w:bottom w:val="none" w:sz="0" w:space="0" w:color="auto"/>
        <w:right w:val="none" w:sz="0" w:space="0" w:color="auto"/>
      </w:divBdr>
    </w:div>
    <w:div w:id="375856067">
      <w:bodyDiv w:val="1"/>
      <w:marLeft w:val="0"/>
      <w:marRight w:val="0"/>
      <w:marTop w:val="0"/>
      <w:marBottom w:val="0"/>
      <w:divBdr>
        <w:top w:val="none" w:sz="0" w:space="0" w:color="auto"/>
        <w:left w:val="none" w:sz="0" w:space="0" w:color="auto"/>
        <w:bottom w:val="none" w:sz="0" w:space="0" w:color="auto"/>
        <w:right w:val="none" w:sz="0" w:space="0" w:color="auto"/>
      </w:divBdr>
    </w:div>
    <w:div w:id="398210319">
      <w:bodyDiv w:val="1"/>
      <w:marLeft w:val="0"/>
      <w:marRight w:val="0"/>
      <w:marTop w:val="0"/>
      <w:marBottom w:val="0"/>
      <w:divBdr>
        <w:top w:val="none" w:sz="0" w:space="0" w:color="auto"/>
        <w:left w:val="none" w:sz="0" w:space="0" w:color="auto"/>
        <w:bottom w:val="none" w:sz="0" w:space="0" w:color="auto"/>
        <w:right w:val="none" w:sz="0" w:space="0" w:color="auto"/>
      </w:divBdr>
    </w:div>
    <w:div w:id="399864797">
      <w:bodyDiv w:val="1"/>
      <w:marLeft w:val="0"/>
      <w:marRight w:val="0"/>
      <w:marTop w:val="0"/>
      <w:marBottom w:val="0"/>
      <w:divBdr>
        <w:top w:val="none" w:sz="0" w:space="0" w:color="auto"/>
        <w:left w:val="none" w:sz="0" w:space="0" w:color="auto"/>
        <w:bottom w:val="none" w:sz="0" w:space="0" w:color="auto"/>
        <w:right w:val="none" w:sz="0" w:space="0" w:color="auto"/>
      </w:divBdr>
    </w:div>
    <w:div w:id="497502028">
      <w:bodyDiv w:val="1"/>
      <w:marLeft w:val="0"/>
      <w:marRight w:val="0"/>
      <w:marTop w:val="0"/>
      <w:marBottom w:val="0"/>
      <w:divBdr>
        <w:top w:val="none" w:sz="0" w:space="0" w:color="auto"/>
        <w:left w:val="none" w:sz="0" w:space="0" w:color="auto"/>
        <w:bottom w:val="none" w:sz="0" w:space="0" w:color="auto"/>
        <w:right w:val="none" w:sz="0" w:space="0" w:color="auto"/>
      </w:divBdr>
    </w:div>
    <w:div w:id="519512393">
      <w:bodyDiv w:val="1"/>
      <w:marLeft w:val="0"/>
      <w:marRight w:val="0"/>
      <w:marTop w:val="0"/>
      <w:marBottom w:val="0"/>
      <w:divBdr>
        <w:top w:val="none" w:sz="0" w:space="0" w:color="auto"/>
        <w:left w:val="none" w:sz="0" w:space="0" w:color="auto"/>
        <w:bottom w:val="none" w:sz="0" w:space="0" w:color="auto"/>
        <w:right w:val="none" w:sz="0" w:space="0" w:color="auto"/>
      </w:divBdr>
    </w:div>
    <w:div w:id="646057982">
      <w:bodyDiv w:val="1"/>
      <w:marLeft w:val="0"/>
      <w:marRight w:val="0"/>
      <w:marTop w:val="0"/>
      <w:marBottom w:val="0"/>
      <w:divBdr>
        <w:top w:val="none" w:sz="0" w:space="0" w:color="auto"/>
        <w:left w:val="none" w:sz="0" w:space="0" w:color="auto"/>
        <w:bottom w:val="none" w:sz="0" w:space="0" w:color="auto"/>
        <w:right w:val="none" w:sz="0" w:space="0" w:color="auto"/>
      </w:divBdr>
    </w:div>
    <w:div w:id="660934906">
      <w:bodyDiv w:val="1"/>
      <w:marLeft w:val="0"/>
      <w:marRight w:val="0"/>
      <w:marTop w:val="0"/>
      <w:marBottom w:val="0"/>
      <w:divBdr>
        <w:top w:val="none" w:sz="0" w:space="0" w:color="auto"/>
        <w:left w:val="none" w:sz="0" w:space="0" w:color="auto"/>
        <w:bottom w:val="none" w:sz="0" w:space="0" w:color="auto"/>
        <w:right w:val="none" w:sz="0" w:space="0" w:color="auto"/>
      </w:divBdr>
    </w:div>
    <w:div w:id="762994796">
      <w:bodyDiv w:val="1"/>
      <w:marLeft w:val="0"/>
      <w:marRight w:val="0"/>
      <w:marTop w:val="0"/>
      <w:marBottom w:val="0"/>
      <w:divBdr>
        <w:top w:val="none" w:sz="0" w:space="0" w:color="auto"/>
        <w:left w:val="none" w:sz="0" w:space="0" w:color="auto"/>
        <w:bottom w:val="none" w:sz="0" w:space="0" w:color="auto"/>
        <w:right w:val="none" w:sz="0" w:space="0" w:color="auto"/>
      </w:divBdr>
    </w:div>
    <w:div w:id="763915257">
      <w:bodyDiv w:val="1"/>
      <w:marLeft w:val="0"/>
      <w:marRight w:val="0"/>
      <w:marTop w:val="0"/>
      <w:marBottom w:val="0"/>
      <w:divBdr>
        <w:top w:val="none" w:sz="0" w:space="0" w:color="auto"/>
        <w:left w:val="none" w:sz="0" w:space="0" w:color="auto"/>
        <w:bottom w:val="none" w:sz="0" w:space="0" w:color="auto"/>
        <w:right w:val="none" w:sz="0" w:space="0" w:color="auto"/>
      </w:divBdr>
    </w:div>
    <w:div w:id="781144300">
      <w:bodyDiv w:val="1"/>
      <w:marLeft w:val="0"/>
      <w:marRight w:val="0"/>
      <w:marTop w:val="0"/>
      <w:marBottom w:val="0"/>
      <w:divBdr>
        <w:top w:val="none" w:sz="0" w:space="0" w:color="auto"/>
        <w:left w:val="none" w:sz="0" w:space="0" w:color="auto"/>
        <w:bottom w:val="none" w:sz="0" w:space="0" w:color="auto"/>
        <w:right w:val="none" w:sz="0" w:space="0" w:color="auto"/>
      </w:divBdr>
    </w:div>
    <w:div w:id="809634760">
      <w:bodyDiv w:val="1"/>
      <w:marLeft w:val="0"/>
      <w:marRight w:val="0"/>
      <w:marTop w:val="0"/>
      <w:marBottom w:val="0"/>
      <w:divBdr>
        <w:top w:val="none" w:sz="0" w:space="0" w:color="auto"/>
        <w:left w:val="none" w:sz="0" w:space="0" w:color="auto"/>
        <w:bottom w:val="none" w:sz="0" w:space="0" w:color="auto"/>
        <w:right w:val="none" w:sz="0" w:space="0" w:color="auto"/>
      </w:divBdr>
    </w:div>
    <w:div w:id="821120684">
      <w:bodyDiv w:val="1"/>
      <w:marLeft w:val="0"/>
      <w:marRight w:val="0"/>
      <w:marTop w:val="0"/>
      <w:marBottom w:val="0"/>
      <w:divBdr>
        <w:top w:val="none" w:sz="0" w:space="0" w:color="auto"/>
        <w:left w:val="none" w:sz="0" w:space="0" w:color="auto"/>
        <w:bottom w:val="none" w:sz="0" w:space="0" w:color="auto"/>
        <w:right w:val="none" w:sz="0" w:space="0" w:color="auto"/>
      </w:divBdr>
    </w:div>
    <w:div w:id="859973315">
      <w:bodyDiv w:val="1"/>
      <w:marLeft w:val="0"/>
      <w:marRight w:val="0"/>
      <w:marTop w:val="0"/>
      <w:marBottom w:val="0"/>
      <w:divBdr>
        <w:top w:val="none" w:sz="0" w:space="0" w:color="auto"/>
        <w:left w:val="none" w:sz="0" w:space="0" w:color="auto"/>
        <w:bottom w:val="none" w:sz="0" w:space="0" w:color="auto"/>
        <w:right w:val="none" w:sz="0" w:space="0" w:color="auto"/>
      </w:divBdr>
    </w:div>
    <w:div w:id="865143048">
      <w:bodyDiv w:val="1"/>
      <w:marLeft w:val="0"/>
      <w:marRight w:val="0"/>
      <w:marTop w:val="0"/>
      <w:marBottom w:val="0"/>
      <w:divBdr>
        <w:top w:val="none" w:sz="0" w:space="0" w:color="auto"/>
        <w:left w:val="none" w:sz="0" w:space="0" w:color="auto"/>
        <w:bottom w:val="none" w:sz="0" w:space="0" w:color="auto"/>
        <w:right w:val="none" w:sz="0" w:space="0" w:color="auto"/>
      </w:divBdr>
    </w:div>
    <w:div w:id="878014190">
      <w:bodyDiv w:val="1"/>
      <w:marLeft w:val="0"/>
      <w:marRight w:val="0"/>
      <w:marTop w:val="0"/>
      <w:marBottom w:val="0"/>
      <w:divBdr>
        <w:top w:val="none" w:sz="0" w:space="0" w:color="auto"/>
        <w:left w:val="none" w:sz="0" w:space="0" w:color="auto"/>
        <w:bottom w:val="none" w:sz="0" w:space="0" w:color="auto"/>
        <w:right w:val="none" w:sz="0" w:space="0" w:color="auto"/>
      </w:divBdr>
    </w:div>
    <w:div w:id="924916965">
      <w:bodyDiv w:val="1"/>
      <w:marLeft w:val="0"/>
      <w:marRight w:val="0"/>
      <w:marTop w:val="0"/>
      <w:marBottom w:val="0"/>
      <w:divBdr>
        <w:top w:val="none" w:sz="0" w:space="0" w:color="auto"/>
        <w:left w:val="none" w:sz="0" w:space="0" w:color="auto"/>
        <w:bottom w:val="none" w:sz="0" w:space="0" w:color="auto"/>
        <w:right w:val="none" w:sz="0" w:space="0" w:color="auto"/>
      </w:divBdr>
    </w:div>
    <w:div w:id="964627213">
      <w:bodyDiv w:val="1"/>
      <w:marLeft w:val="0"/>
      <w:marRight w:val="0"/>
      <w:marTop w:val="0"/>
      <w:marBottom w:val="0"/>
      <w:divBdr>
        <w:top w:val="none" w:sz="0" w:space="0" w:color="auto"/>
        <w:left w:val="none" w:sz="0" w:space="0" w:color="auto"/>
        <w:bottom w:val="none" w:sz="0" w:space="0" w:color="auto"/>
        <w:right w:val="none" w:sz="0" w:space="0" w:color="auto"/>
      </w:divBdr>
    </w:div>
    <w:div w:id="968583052">
      <w:bodyDiv w:val="1"/>
      <w:marLeft w:val="0"/>
      <w:marRight w:val="0"/>
      <w:marTop w:val="0"/>
      <w:marBottom w:val="0"/>
      <w:divBdr>
        <w:top w:val="none" w:sz="0" w:space="0" w:color="auto"/>
        <w:left w:val="none" w:sz="0" w:space="0" w:color="auto"/>
        <w:bottom w:val="none" w:sz="0" w:space="0" w:color="auto"/>
        <w:right w:val="none" w:sz="0" w:space="0" w:color="auto"/>
      </w:divBdr>
    </w:div>
    <w:div w:id="969092147">
      <w:bodyDiv w:val="1"/>
      <w:marLeft w:val="0"/>
      <w:marRight w:val="0"/>
      <w:marTop w:val="0"/>
      <w:marBottom w:val="0"/>
      <w:divBdr>
        <w:top w:val="none" w:sz="0" w:space="0" w:color="auto"/>
        <w:left w:val="none" w:sz="0" w:space="0" w:color="auto"/>
        <w:bottom w:val="none" w:sz="0" w:space="0" w:color="auto"/>
        <w:right w:val="none" w:sz="0" w:space="0" w:color="auto"/>
      </w:divBdr>
    </w:div>
    <w:div w:id="970936123">
      <w:bodyDiv w:val="1"/>
      <w:marLeft w:val="0"/>
      <w:marRight w:val="0"/>
      <w:marTop w:val="0"/>
      <w:marBottom w:val="0"/>
      <w:divBdr>
        <w:top w:val="none" w:sz="0" w:space="0" w:color="auto"/>
        <w:left w:val="none" w:sz="0" w:space="0" w:color="auto"/>
        <w:bottom w:val="none" w:sz="0" w:space="0" w:color="auto"/>
        <w:right w:val="none" w:sz="0" w:space="0" w:color="auto"/>
      </w:divBdr>
    </w:div>
    <w:div w:id="974287460">
      <w:bodyDiv w:val="1"/>
      <w:marLeft w:val="0"/>
      <w:marRight w:val="0"/>
      <w:marTop w:val="0"/>
      <w:marBottom w:val="0"/>
      <w:divBdr>
        <w:top w:val="none" w:sz="0" w:space="0" w:color="auto"/>
        <w:left w:val="none" w:sz="0" w:space="0" w:color="auto"/>
        <w:bottom w:val="none" w:sz="0" w:space="0" w:color="auto"/>
        <w:right w:val="none" w:sz="0" w:space="0" w:color="auto"/>
      </w:divBdr>
    </w:div>
    <w:div w:id="975842240">
      <w:bodyDiv w:val="1"/>
      <w:marLeft w:val="0"/>
      <w:marRight w:val="0"/>
      <w:marTop w:val="0"/>
      <w:marBottom w:val="0"/>
      <w:divBdr>
        <w:top w:val="none" w:sz="0" w:space="0" w:color="auto"/>
        <w:left w:val="none" w:sz="0" w:space="0" w:color="auto"/>
        <w:bottom w:val="none" w:sz="0" w:space="0" w:color="auto"/>
        <w:right w:val="none" w:sz="0" w:space="0" w:color="auto"/>
      </w:divBdr>
    </w:div>
    <w:div w:id="979505667">
      <w:bodyDiv w:val="1"/>
      <w:marLeft w:val="0"/>
      <w:marRight w:val="0"/>
      <w:marTop w:val="0"/>
      <w:marBottom w:val="0"/>
      <w:divBdr>
        <w:top w:val="none" w:sz="0" w:space="0" w:color="auto"/>
        <w:left w:val="none" w:sz="0" w:space="0" w:color="auto"/>
        <w:bottom w:val="none" w:sz="0" w:space="0" w:color="auto"/>
        <w:right w:val="none" w:sz="0" w:space="0" w:color="auto"/>
      </w:divBdr>
    </w:div>
    <w:div w:id="988435252">
      <w:bodyDiv w:val="1"/>
      <w:marLeft w:val="0"/>
      <w:marRight w:val="0"/>
      <w:marTop w:val="0"/>
      <w:marBottom w:val="0"/>
      <w:divBdr>
        <w:top w:val="none" w:sz="0" w:space="0" w:color="auto"/>
        <w:left w:val="none" w:sz="0" w:space="0" w:color="auto"/>
        <w:bottom w:val="none" w:sz="0" w:space="0" w:color="auto"/>
        <w:right w:val="none" w:sz="0" w:space="0" w:color="auto"/>
      </w:divBdr>
    </w:div>
    <w:div w:id="1010985060">
      <w:bodyDiv w:val="1"/>
      <w:marLeft w:val="0"/>
      <w:marRight w:val="0"/>
      <w:marTop w:val="0"/>
      <w:marBottom w:val="0"/>
      <w:divBdr>
        <w:top w:val="none" w:sz="0" w:space="0" w:color="auto"/>
        <w:left w:val="none" w:sz="0" w:space="0" w:color="auto"/>
        <w:bottom w:val="none" w:sz="0" w:space="0" w:color="auto"/>
        <w:right w:val="none" w:sz="0" w:space="0" w:color="auto"/>
      </w:divBdr>
    </w:div>
    <w:div w:id="1011368891">
      <w:bodyDiv w:val="1"/>
      <w:marLeft w:val="0"/>
      <w:marRight w:val="0"/>
      <w:marTop w:val="0"/>
      <w:marBottom w:val="0"/>
      <w:divBdr>
        <w:top w:val="none" w:sz="0" w:space="0" w:color="auto"/>
        <w:left w:val="none" w:sz="0" w:space="0" w:color="auto"/>
        <w:bottom w:val="none" w:sz="0" w:space="0" w:color="auto"/>
        <w:right w:val="none" w:sz="0" w:space="0" w:color="auto"/>
      </w:divBdr>
    </w:div>
    <w:div w:id="1034187265">
      <w:bodyDiv w:val="1"/>
      <w:marLeft w:val="0"/>
      <w:marRight w:val="0"/>
      <w:marTop w:val="0"/>
      <w:marBottom w:val="0"/>
      <w:divBdr>
        <w:top w:val="none" w:sz="0" w:space="0" w:color="auto"/>
        <w:left w:val="none" w:sz="0" w:space="0" w:color="auto"/>
        <w:bottom w:val="none" w:sz="0" w:space="0" w:color="auto"/>
        <w:right w:val="none" w:sz="0" w:space="0" w:color="auto"/>
      </w:divBdr>
    </w:div>
    <w:div w:id="1059788279">
      <w:bodyDiv w:val="1"/>
      <w:marLeft w:val="0"/>
      <w:marRight w:val="0"/>
      <w:marTop w:val="0"/>
      <w:marBottom w:val="0"/>
      <w:divBdr>
        <w:top w:val="none" w:sz="0" w:space="0" w:color="auto"/>
        <w:left w:val="none" w:sz="0" w:space="0" w:color="auto"/>
        <w:bottom w:val="none" w:sz="0" w:space="0" w:color="auto"/>
        <w:right w:val="none" w:sz="0" w:space="0" w:color="auto"/>
      </w:divBdr>
    </w:div>
    <w:div w:id="1076438344">
      <w:bodyDiv w:val="1"/>
      <w:marLeft w:val="0"/>
      <w:marRight w:val="0"/>
      <w:marTop w:val="0"/>
      <w:marBottom w:val="0"/>
      <w:divBdr>
        <w:top w:val="none" w:sz="0" w:space="0" w:color="auto"/>
        <w:left w:val="none" w:sz="0" w:space="0" w:color="auto"/>
        <w:bottom w:val="none" w:sz="0" w:space="0" w:color="auto"/>
        <w:right w:val="none" w:sz="0" w:space="0" w:color="auto"/>
      </w:divBdr>
    </w:div>
    <w:div w:id="1125345246">
      <w:bodyDiv w:val="1"/>
      <w:marLeft w:val="0"/>
      <w:marRight w:val="0"/>
      <w:marTop w:val="0"/>
      <w:marBottom w:val="0"/>
      <w:divBdr>
        <w:top w:val="none" w:sz="0" w:space="0" w:color="auto"/>
        <w:left w:val="none" w:sz="0" w:space="0" w:color="auto"/>
        <w:bottom w:val="none" w:sz="0" w:space="0" w:color="auto"/>
        <w:right w:val="none" w:sz="0" w:space="0" w:color="auto"/>
      </w:divBdr>
    </w:div>
    <w:div w:id="1126586168">
      <w:bodyDiv w:val="1"/>
      <w:marLeft w:val="0"/>
      <w:marRight w:val="0"/>
      <w:marTop w:val="0"/>
      <w:marBottom w:val="0"/>
      <w:divBdr>
        <w:top w:val="none" w:sz="0" w:space="0" w:color="auto"/>
        <w:left w:val="none" w:sz="0" w:space="0" w:color="auto"/>
        <w:bottom w:val="none" w:sz="0" w:space="0" w:color="auto"/>
        <w:right w:val="none" w:sz="0" w:space="0" w:color="auto"/>
      </w:divBdr>
    </w:div>
    <w:div w:id="1150944537">
      <w:bodyDiv w:val="1"/>
      <w:marLeft w:val="0"/>
      <w:marRight w:val="0"/>
      <w:marTop w:val="0"/>
      <w:marBottom w:val="0"/>
      <w:divBdr>
        <w:top w:val="none" w:sz="0" w:space="0" w:color="auto"/>
        <w:left w:val="none" w:sz="0" w:space="0" w:color="auto"/>
        <w:bottom w:val="none" w:sz="0" w:space="0" w:color="auto"/>
        <w:right w:val="none" w:sz="0" w:space="0" w:color="auto"/>
      </w:divBdr>
    </w:div>
    <w:div w:id="1171212798">
      <w:bodyDiv w:val="1"/>
      <w:marLeft w:val="0"/>
      <w:marRight w:val="0"/>
      <w:marTop w:val="0"/>
      <w:marBottom w:val="0"/>
      <w:divBdr>
        <w:top w:val="none" w:sz="0" w:space="0" w:color="auto"/>
        <w:left w:val="none" w:sz="0" w:space="0" w:color="auto"/>
        <w:bottom w:val="none" w:sz="0" w:space="0" w:color="auto"/>
        <w:right w:val="none" w:sz="0" w:space="0" w:color="auto"/>
      </w:divBdr>
    </w:div>
    <w:div w:id="1209533813">
      <w:bodyDiv w:val="1"/>
      <w:marLeft w:val="0"/>
      <w:marRight w:val="0"/>
      <w:marTop w:val="0"/>
      <w:marBottom w:val="0"/>
      <w:divBdr>
        <w:top w:val="none" w:sz="0" w:space="0" w:color="auto"/>
        <w:left w:val="none" w:sz="0" w:space="0" w:color="auto"/>
        <w:bottom w:val="none" w:sz="0" w:space="0" w:color="auto"/>
        <w:right w:val="none" w:sz="0" w:space="0" w:color="auto"/>
      </w:divBdr>
    </w:div>
    <w:div w:id="1217669867">
      <w:bodyDiv w:val="1"/>
      <w:marLeft w:val="0"/>
      <w:marRight w:val="0"/>
      <w:marTop w:val="0"/>
      <w:marBottom w:val="0"/>
      <w:divBdr>
        <w:top w:val="none" w:sz="0" w:space="0" w:color="auto"/>
        <w:left w:val="none" w:sz="0" w:space="0" w:color="auto"/>
        <w:bottom w:val="none" w:sz="0" w:space="0" w:color="auto"/>
        <w:right w:val="none" w:sz="0" w:space="0" w:color="auto"/>
      </w:divBdr>
    </w:div>
    <w:div w:id="1306818606">
      <w:bodyDiv w:val="1"/>
      <w:marLeft w:val="0"/>
      <w:marRight w:val="0"/>
      <w:marTop w:val="0"/>
      <w:marBottom w:val="0"/>
      <w:divBdr>
        <w:top w:val="none" w:sz="0" w:space="0" w:color="auto"/>
        <w:left w:val="none" w:sz="0" w:space="0" w:color="auto"/>
        <w:bottom w:val="none" w:sz="0" w:space="0" w:color="auto"/>
        <w:right w:val="none" w:sz="0" w:space="0" w:color="auto"/>
      </w:divBdr>
    </w:div>
    <w:div w:id="1455052109">
      <w:bodyDiv w:val="1"/>
      <w:marLeft w:val="0"/>
      <w:marRight w:val="0"/>
      <w:marTop w:val="0"/>
      <w:marBottom w:val="0"/>
      <w:divBdr>
        <w:top w:val="none" w:sz="0" w:space="0" w:color="auto"/>
        <w:left w:val="none" w:sz="0" w:space="0" w:color="auto"/>
        <w:bottom w:val="none" w:sz="0" w:space="0" w:color="auto"/>
        <w:right w:val="none" w:sz="0" w:space="0" w:color="auto"/>
      </w:divBdr>
    </w:div>
    <w:div w:id="1461412747">
      <w:bodyDiv w:val="1"/>
      <w:marLeft w:val="0"/>
      <w:marRight w:val="0"/>
      <w:marTop w:val="0"/>
      <w:marBottom w:val="0"/>
      <w:divBdr>
        <w:top w:val="none" w:sz="0" w:space="0" w:color="auto"/>
        <w:left w:val="none" w:sz="0" w:space="0" w:color="auto"/>
        <w:bottom w:val="none" w:sz="0" w:space="0" w:color="auto"/>
        <w:right w:val="none" w:sz="0" w:space="0" w:color="auto"/>
      </w:divBdr>
    </w:div>
    <w:div w:id="1467164280">
      <w:bodyDiv w:val="1"/>
      <w:marLeft w:val="0"/>
      <w:marRight w:val="0"/>
      <w:marTop w:val="0"/>
      <w:marBottom w:val="0"/>
      <w:divBdr>
        <w:top w:val="none" w:sz="0" w:space="0" w:color="auto"/>
        <w:left w:val="none" w:sz="0" w:space="0" w:color="auto"/>
        <w:bottom w:val="none" w:sz="0" w:space="0" w:color="auto"/>
        <w:right w:val="none" w:sz="0" w:space="0" w:color="auto"/>
      </w:divBdr>
    </w:div>
    <w:div w:id="1502693999">
      <w:bodyDiv w:val="1"/>
      <w:marLeft w:val="0"/>
      <w:marRight w:val="0"/>
      <w:marTop w:val="0"/>
      <w:marBottom w:val="0"/>
      <w:divBdr>
        <w:top w:val="none" w:sz="0" w:space="0" w:color="auto"/>
        <w:left w:val="none" w:sz="0" w:space="0" w:color="auto"/>
        <w:bottom w:val="none" w:sz="0" w:space="0" w:color="auto"/>
        <w:right w:val="none" w:sz="0" w:space="0" w:color="auto"/>
      </w:divBdr>
    </w:div>
    <w:div w:id="1553074280">
      <w:bodyDiv w:val="1"/>
      <w:marLeft w:val="0"/>
      <w:marRight w:val="0"/>
      <w:marTop w:val="0"/>
      <w:marBottom w:val="0"/>
      <w:divBdr>
        <w:top w:val="none" w:sz="0" w:space="0" w:color="auto"/>
        <w:left w:val="none" w:sz="0" w:space="0" w:color="auto"/>
        <w:bottom w:val="none" w:sz="0" w:space="0" w:color="auto"/>
        <w:right w:val="none" w:sz="0" w:space="0" w:color="auto"/>
      </w:divBdr>
    </w:div>
    <w:div w:id="1574438112">
      <w:bodyDiv w:val="1"/>
      <w:marLeft w:val="0"/>
      <w:marRight w:val="0"/>
      <w:marTop w:val="0"/>
      <w:marBottom w:val="0"/>
      <w:divBdr>
        <w:top w:val="none" w:sz="0" w:space="0" w:color="auto"/>
        <w:left w:val="none" w:sz="0" w:space="0" w:color="auto"/>
        <w:bottom w:val="none" w:sz="0" w:space="0" w:color="auto"/>
        <w:right w:val="none" w:sz="0" w:space="0" w:color="auto"/>
      </w:divBdr>
    </w:div>
    <w:div w:id="1607038927">
      <w:bodyDiv w:val="1"/>
      <w:marLeft w:val="0"/>
      <w:marRight w:val="0"/>
      <w:marTop w:val="0"/>
      <w:marBottom w:val="0"/>
      <w:divBdr>
        <w:top w:val="none" w:sz="0" w:space="0" w:color="auto"/>
        <w:left w:val="none" w:sz="0" w:space="0" w:color="auto"/>
        <w:bottom w:val="none" w:sz="0" w:space="0" w:color="auto"/>
        <w:right w:val="none" w:sz="0" w:space="0" w:color="auto"/>
      </w:divBdr>
    </w:div>
    <w:div w:id="1615791397">
      <w:bodyDiv w:val="1"/>
      <w:marLeft w:val="0"/>
      <w:marRight w:val="0"/>
      <w:marTop w:val="0"/>
      <w:marBottom w:val="0"/>
      <w:divBdr>
        <w:top w:val="none" w:sz="0" w:space="0" w:color="auto"/>
        <w:left w:val="none" w:sz="0" w:space="0" w:color="auto"/>
        <w:bottom w:val="none" w:sz="0" w:space="0" w:color="auto"/>
        <w:right w:val="none" w:sz="0" w:space="0" w:color="auto"/>
      </w:divBdr>
    </w:div>
    <w:div w:id="1622882835">
      <w:bodyDiv w:val="1"/>
      <w:marLeft w:val="0"/>
      <w:marRight w:val="0"/>
      <w:marTop w:val="0"/>
      <w:marBottom w:val="0"/>
      <w:divBdr>
        <w:top w:val="none" w:sz="0" w:space="0" w:color="auto"/>
        <w:left w:val="none" w:sz="0" w:space="0" w:color="auto"/>
        <w:bottom w:val="none" w:sz="0" w:space="0" w:color="auto"/>
        <w:right w:val="none" w:sz="0" w:space="0" w:color="auto"/>
      </w:divBdr>
    </w:div>
    <w:div w:id="1623614181">
      <w:bodyDiv w:val="1"/>
      <w:marLeft w:val="0"/>
      <w:marRight w:val="0"/>
      <w:marTop w:val="0"/>
      <w:marBottom w:val="0"/>
      <w:divBdr>
        <w:top w:val="none" w:sz="0" w:space="0" w:color="auto"/>
        <w:left w:val="none" w:sz="0" w:space="0" w:color="auto"/>
        <w:bottom w:val="none" w:sz="0" w:space="0" w:color="auto"/>
        <w:right w:val="none" w:sz="0" w:space="0" w:color="auto"/>
      </w:divBdr>
    </w:div>
    <w:div w:id="1759867805">
      <w:bodyDiv w:val="1"/>
      <w:marLeft w:val="0"/>
      <w:marRight w:val="0"/>
      <w:marTop w:val="0"/>
      <w:marBottom w:val="0"/>
      <w:divBdr>
        <w:top w:val="none" w:sz="0" w:space="0" w:color="auto"/>
        <w:left w:val="none" w:sz="0" w:space="0" w:color="auto"/>
        <w:bottom w:val="none" w:sz="0" w:space="0" w:color="auto"/>
        <w:right w:val="none" w:sz="0" w:space="0" w:color="auto"/>
      </w:divBdr>
    </w:div>
    <w:div w:id="1771970571">
      <w:bodyDiv w:val="1"/>
      <w:marLeft w:val="0"/>
      <w:marRight w:val="0"/>
      <w:marTop w:val="0"/>
      <w:marBottom w:val="0"/>
      <w:divBdr>
        <w:top w:val="none" w:sz="0" w:space="0" w:color="auto"/>
        <w:left w:val="none" w:sz="0" w:space="0" w:color="auto"/>
        <w:bottom w:val="none" w:sz="0" w:space="0" w:color="auto"/>
        <w:right w:val="none" w:sz="0" w:space="0" w:color="auto"/>
      </w:divBdr>
    </w:div>
    <w:div w:id="1775323247">
      <w:bodyDiv w:val="1"/>
      <w:marLeft w:val="0"/>
      <w:marRight w:val="0"/>
      <w:marTop w:val="0"/>
      <w:marBottom w:val="0"/>
      <w:divBdr>
        <w:top w:val="none" w:sz="0" w:space="0" w:color="auto"/>
        <w:left w:val="none" w:sz="0" w:space="0" w:color="auto"/>
        <w:bottom w:val="none" w:sz="0" w:space="0" w:color="auto"/>
        <w:right w:val="none" w:sz="0" w:space="0" w:color="auto"/>
      </w:divBdr>
    </w:div>
    <w:div w:id="1799832947">
      <w:bodyDiv w:val="1"/>
      <w:marLeft w:val="0"/>
      <w:marRight w:val="0"/>
      <w:marTop w:val="0"/>
      <w:marBottom w:val="0"/>
      <w:divBdr>
        <w:top w:val="none" w:sz="0" w:space="0" w:color="auto"/>
        <w:left w:val="none" w:sz="0" w:space="0" w:color="auto"/>
        <w:bottom w:val="none" w:sz="0" w:space="0" w:color="auto"/>
        <w:right w:val="none" w:sz="0" w:space="0" w:color="auto"/>
      </w:divBdr>
    </w:div>
    <w:div w:id="1802921632">
      <w:bodyDiv w:val="1"/>
      <w:marLeft w:val="0"/>
      <w:marRight w:val="0"/>
      <w:marTop w:val="0"/>
      <w:marBottom w:val="0"/>
      <w:divBdr>
        <w:top w:val="none" w:sz="0" w:space="0" w:color="auto"/>
        <w:left w:val="none" w:sz="0" w:space="0" w:color="auto"/>
        <w:bottom w:val="none" w:sz="0" w:space="0" w:color="auto"/>
        <w:right w:val="none" w:sz="0" w:space="0" w:color="auto"/>
      </w:divBdr>
    </w:div>
    <w:div w:id="1876694164">
      <w:bodyDiv w:val="1"/>
      <w:marLeft w:val="0"/>
      <w:marRight w:val="0"/>
      <w:marTop w:val="0"/>
      <w:marBottom w:val="0"/>
      <w:divBdr>
        <w:top w:val="none" w:sz="0" w:space="0" w:color="auto"/>
        <w:left w:val="none" w:sz="0" w:space="0" w:color="auto"/>
        <w:bottom w:val="none" w:sz="0" w:space="0" w:color="auto"/>
        <w:right w:val="none" w:sz="0" w:space="0" w:color="auto"/>
      </w:divBdr>
    </w:div>
    <w:div w:id="1878539779">
      <w:bodyDiv w:val="1"/>
      <w:marLeft w:val="0"/>
      <w:marRight w:val="0"/>
      <w:marTop w:val="0"/>
      <w:marBottom w:val="0"/>
      <w:divBdr>
        <w:top w:val="none" w:sz="0" w:space="0" w:color="auto"/>
        <w:left w:val="none" w:sz="0" w:space="0" w:color="auto"/>
        <w:bottom w:val="none" w:sz="0" w:space="0" w:color="auto"/>
        <w:right w:val="none" w:sz="0" w:space="0" w:color="auto"/>
      </w:divBdr>
    </w:div>
    <w:div w:id="1893301726">
      <w:bodyDiv w:val="1"/>
      <w:marLeft w:val="0"/>
      <w:marRight w:val="0"/>
      <w:marTop w:val="0"/>
      <w:marBottom w:val="0"/>
      <w:divBdr>
        <w:top w:val="none" w:sz="0" w:space="0" w:color="auto"/>
        <w:left w:val="none" w:sz="0" w:space="0" w:color="auto"/>
        <w:bottom w:val="none" w:sz="0" w:space="0" w:color="auto"/>
        <w:right w:val="none" w:sz="0" w:space="0" w:color="auto"/>
      </w:divBdr>
    </w:div>
    <w:div w:id="1939678860">
      <w:bodyDiv w:val="1"/>
      <w:marLeft w:val="0"/>
      <w:marRight w:val="0"/>
      <w:marTop w:val="0"/>
      <w:marBottom w:val="0"/>
      <w:divBdr>
        <w:top w:val="none" w:sz="0" w:space="0" w:color="auto"/>
        <w:left w:val="none" w:sz="0" w:space="0" w:color="auto"/>
        <w:bottom w:val="none" w:sz="0" w:space="0" w:color="auto"/>
        <w:right w:val="none" w:sz="0" w:space="0" w:color="auto"/>
      </w:divBdr>
    </w:div>
    <w:div w:id="2029914235">
      <w:bodyDiv w:val="1"/>
      <w:marLeft w:val="0"/>
      <w:marRight w:val="0"/>
      <w:marTop w:val="0"/>
      <w:marBottom w:val="0"/>
      <w:divBdr>
        <w:top w:val="none" w:sz="0" w:space="0" w:color="auto"/>
        <w:left w:val="none" w:sz="0" w:space="0" w:color="auto"/>
        <w:bottom w:val="none" w:sz="0" w:space="0" w:color="auto"/>
        <w:right w:val="none" w:sz="0" w:space="0" w:color="auto"/>
      </w:divBdr>
    </w:div>
    <w:div w:id="2058385616">
      <w:bodyDiv w:val="1"/>
      <w:marLeft w:val="0"/>
      <w:marRight w:val="0"/>
      <w:marTop w:val="0"/>
      <w:marBottom w:val="0"/>
      <w:divBdr>
        <w:top w:val="none" w:sz="0" w:space="0" w:color="auto"/>
        <w:left w:val="none" w:sz="0" w:space="0" w:color="auto"/>
        <w:bottom w:val="none" w:sz="0" w:space="0" w:color="auto"/>
        <w:right w:val="none" w:sz="0" w:space="0" w:color="auto"/>
      </w:divBdr>
    </w:div>
    <w:div w:id="2073581393">
      <w:bodyDiv w:val="1"/>
      <w:marLeft w:val="0"/>
      <w:marRight w:val="0"/>
      <w:marTop w:val="0"/>
      <w:marBottom w:val="0"/>
      <w:divBdr>
        <w:top w:val="none" w:sz="0" w:space="0" w:color="auto"/>
        <w:left w:val="none" w:sz="0" w:space="0" w:color="auto"/>
        <w:bottom w:val="none" w:sz="0" w:space="0" w:color="auto"/>
        <w:right w:val="none" w:sz="0" w:space="0" w:color="auto"/>
      </w:divBdr>
    </w:div>
    <w:div w:id="2104304472">
      <w:bodyDiv w:val="1"/>
      <w:marLeft w:val="0"/>
      <w:marRight w:val="0"/>
      <w:marTop w:val="0"/>
      <w:marBottom w:val="0"/>
      <w:divBdr>
        <w:top w:val="none" w:sz="0" w:space="0" w:color="auto"/>
        <w:left w:val="none" w:sz="0" w:space="0" w:color="auto"/>
        <w:bottom w:val="none" w:sz="0" w:space="0" w:color="auto"/>
        <w:right w:val="none" w:sz="0" w:space="0" w:color="auto"/>
      </w:divBdr>
    </w:div>
    <w:div w:id="2108114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yperlink" Target="https://www.eia.gov/" TargetMode="Externa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hyperlink" Target="https://doi.org/10.1021/acs.iecr.8b02447" TargetMode="External"/><Relationship Id="rId47" Type="http://schemas.openxmlformats.org/officeDocument/2006/relationships/hyperlink" Target="https://doi.org/https://doi.org/10.1016/j.buildenv.2021.108199" TargetMode="External"/><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hyperlink" Target="https://doi.org/10.1007/978-3-642-80328-4_13" TargetMode="External"/><Relationship Id="rId40" Type="http://schemas.openxmlformats.org/officeDocument/2006/relationships/hyperlink" Target="https://doi.org/https://doi.org/10.1016/j.resconrec.2024.107463" TargetMode="External"/><Relationship Id="rId45" Type="http://schemas.openxmlformats.org/officeDocument/2006/relationships/hyperlink" Target="https://doi.org/https://doi.org/10.1016/j.ijhydene.2022.12.303"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www.sandia.gov/uqtoolkit/" TargetMode="External"/><Relationship Id="rId49" Type="http://schemas.openxmlformats.org/officeDocument/2006/relationships/hyperlink" Target="https://doi.org/https://doi.org/10.1016/j.rser.2023.113204"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s://doi.org/10.1007/978-3-642-37131-8_4"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s://doi.org/https://doi.org/10.1016/j.jclepro.2024.143819" TargetMode="External"/><Relationship Id="rId48" Type="http://schemas.openxmlformats.org/officeDocument/2006/relationships/hyperlink" Target="https://doi.org/https://doi.org/10.1016/j.cej.2024.151492" TargetMode="External"/><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hyperlink" Target="https://doi.org/https://doi.org/10.1016/j.jclepro.2023.138419" TargetMode="External"/><Relationship Id="rId46" Type="http://schemas.openxmlformats.org/officeDocument/2006/relationships/hyperlink" Target="https://doi.org/https://doi.org/10.1016/j.jclepro.2024.140965" TargetMode="External"/><Relationship Id="rId20" Type="http://schemas.openxmlformats.org/officeDocument/2006/relationships/image" Target="media/image15.png"/><Relationship Id="rId41" Type="http://schemas.openxmlformats.org/officeDocument/2006/relationships/hyperlink" Target="https://doi.org/10.1115/1.4025317" TargetMode="External"/><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A872E1-F94B-429B-A61C-7210A9C2C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2417</TotalTime>
  <Pages>24</Pages>
  <Words>19910</Words>
  <Characters>113492</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Queen Mary University of London</Company>
  <LinksUpToDate>false</LinksUpToDate>
  <CharactersWithSpaces>133136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Muzumil Anwar</dc:creator>
  <cp:keywords/>
  <dc:description/>
  <cp:lastModifiedBy>Muzumil Anwar</cp:lastModifiedBy>
  <cp:revision>282</cp:revision>
  <dcterms:created xsi:type="dcterms:W3CDTF">2025-07-01T12:35:00Z</dcterms:created>
  <dcterms:modified xsi:type="dcterms:W3CDTF">2025-09-21T11:13:00Z</dcterms:modified>
</cp:coreProperties>
</file>