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C6943" w14:textId="77777777" w:rsidR="00A30000" w:rsidRDefault="00A30000" w:rsidP="00732BE6">
      <w:pPr>
        <w:widowControl w:val="0"/>
      </w:pPr>
      <w:bookmarkStart w:id="0" w:name="OLE_LINK176"/>
      <w:bookmarkStart w:id="1" w:name="OLE_LINK177"/>
      <w:bookmarkStart w:id="2" w:name="OLE_LINK79"/>
      <w:bookmarkStart w:id="3" w:name="OLE_LINK80"/>
      <w:bookmarkStart w:id="4" w:name="OLE_LINK81"/>
      <w:bookmarkStart w:id="5" w:name="OLE_LINK103"/>
      <w:bookmarkStart w:id="6" w:name="OLE_LINK104"/>
    </w:p>
    <w:p w14:paraId="661BA60A" w14:textId="77777777" w:rsidR="00785407" w:rsidRDefault="00785407" w:rsidP="00732BE6">
      <w:pPr>
        <w:widowControl w:val="0"/>
        <w:ind w:firstLine="0"/>
        <w:jc w:val="center"/>
        <w:rPr>
          <w:b/>
          <w:bCs/>
          <w:lang w:val="en-GB"/>
        </w:rPr>
      </w:pPr>
      <w:bookmarkStart w:id="7" w:name="_Hlk183159390"/>
      <w:r w:rsidRPr="00785407">
        <w:rPr>
          <w:b/>
          <w:bCs/>
          <w:lang w:val="en-GB"/>
        </w:rPr>
        <w:t>Diverging Paths to the Self:</w:t>
      </w:r>
    </w:p>
    <w:p w14:paraId="219DA206" w14:textId="27EDBA95" w:rsidR="00785407" w:rsidRPr="00785407" w:rsidRDefault="00785407" w:rsidP="00732BE6">
      <w:pPr>
        <w:widowControl w:val="0"/>
        <w:ind w:firstLine="0"/>
        <w:jc w:val="center"/>
        <w:rPr>
          <w:b/>
          <w:bCs/>
          <w:lang w:val="en-GB"/>
        </w:rPr>
      </w:pPr>
      <w:r w:rsidRPr="00785407">
        <w:rPr>
          <w:b/>
          <w:bCs/>
          <w:lang w:val="en-GB"/>
        </w:rPr>
        <w:t>The Distinct Psychological Roles of Nostalgia and Declinism in Personal Growth</w:t>
      </w:r>
    </w:p>
    <w:p w14:paraId="57C364DD" w14:textId="77777777" w:rsidR="00785407" w:rsidRPr="00785407" w:rsidRDefault="00785407" w:rsidP="00732BE6">
      <w:pPr>
        <w:widowControl w:val="0"/>
        <w:contextualSpacing/>
        <w:jc w:val="center"/>
        <w:rPr>
          <w:rFonts w:cs="Times New Roman"/>
          <w:b/>
          <w:bCs/>
          <w:szCs w:val="24"/>
          <w:lang w:val="en-GB"/>
        </w:rPr>
      </w:pPr>
    </w:p>
    <w:bookmarkEnd w:id="7"/>
    <w:p w14:paraId="3D641E11" w14:textId="77777777" w:rsidR="00A30000" w:rsidRPr="00A921C4" w:rsidRDefault="00A30000" w:rsidP="00732BE6">
      <w:pPr>
        <w:widowControl w:val="0"/>
        <w:contextualSpacing/>
        <w:rPr>
          <w:rFonts w:cs="Times New Roman"/>
          <w:szCs w:val="24"/>
        </w:rPr>
      </w:pPr>
    </w:p>
    <w:p w14:paraId="44E248DE" w14:textId="7ED0176F" w:rsidR="00A30000" w:rsidRPr="00A921C4" w:rsidRDefault="00A35CE6" w:rsidP="00732BE6">
      <w:pPr>
        <w:widowControl w:val="0"/>
        <w:jc w:val="center"/>
        <w:rPr>
          <w:rFonts w:cs="Times New Roman"/>
          <w:szCs w:val="24"/>
          <w:vertAlign w:val="superscript"/>
        </w:rPr>
      </w:pPr>
      <w:r>
        <w:rPr>
          <w:rFonts w:cs="Times New Roman"/>
          <w:bCs/>
          <w:szCs w:val="24"/>
        </w:rPr>
        <w:t>Z</w:t>
      </w:r>
      <w:r>
        <w:rPr>
          <w:rFonts w:cs="Times New Roman" w:hint="eastAsia"/>
          <w:bCs/>
          <w:szCs w:val="24"/>
        </w:rPr>
        <w:t>huo</w:t>
      </w:r>
      <w:r>
        <w:rPr>
          <w:rFonts w:cs="Times New Roman"/>
          <w:bCs/>
          <w:szCs w:val="24"/>
        </w:rPr>
        <w:t xml:space="preserve"> Feng</w:t>
      </w:r>
      <w:r w:rsidR="00A30000" w:rsidRPr="00A921C4">
        <w:rPr>
          <w:rFonts w:cs="Times New Roman"/>
          <w:szCs w:val="24"/>
          <w:vertAlign w:val="superscript"/>
        </w:rPr>
        <w:t>1</w:t>
      </w:r>
      <w:r w:rsidR="00A30000" w:rsidRPr="00A921C4">
        <w:rPr>
          <w:rFonts w:cs="Times New Roman"/>
          <w:szCs w:val="24"/>
        </w:rPr>
        <w:t xml:space="preserve">, </w:t>
      </w:r>
      <w:r w:rsidR="00A30000">
        <w:rPr>
          <w:rFonts w:cs="Times New Roman"/>
          <w:bCs/>
          <w:szCs w:val="24"/>
        </w:rPr>
        <w:t>Tim Wildschut</w:t>
      </w:r>
      <w:r w:rsidR="00A30000" w:rsidRPr="00A921C4">
        <w:rPr>
          <w:rFonts w:cs="Times New Roman"/>
          <w:szCs w:val="24"/>
          <w:vertAlign w:val="superscript"/>
        </w:rPr>
        <w:t>2</w:t>
      </w:r>
      <w:r w:rsidR="00A30000" w:rsidRPr="00A921C4">
        <w:rPr>
          <w:rFonts w:cs="Times New Roman"/>
          <w:bCs/>
          <w:szCs w:val="24"/>
        </w:rPr>
        <w:t>,</w:t>
      </w:r>
      <w:r w:rsidR="00A30000">
        <w:rPr>
          <w:rFonts w:cs="Times New Roman"/>
          <w:bCs/>
          <w:szCs w:val="24"/>
        </w:rPr>
        <w:t xml:space="preserve"> Constantine Sedikides</w:t>
      </w:r>
      <w:r w:rsidR="00A30000" w:rsidRPr="00A921C4">
        <w:rPr>
          <w:rFonts w:cs="Times New Roman"/>
          <w:szCs w:val="24"/>
          <w:vertAlign w:val="superscript"/>
        </w:rPr>
        <w:t>2</w:t>
      </w:r>
      <w:r w:rsidR="00A30000" w:rsidRPr="00A921C4">
        <w:rPr>
          <w:rFonts w:cs="Times New Roman"/>
          <w:szCs w:val="24"/>
        </w:rPr>
        <w:t xml:space="preserve">, </w:t>
      </w:r>
      <w:r>
        <w:rPr>
          <w:rFonts w:cs="Times New Roman"/>
          <w:bCs/>
          <w:szCs w:val="24"/>
        </w:rPr>
        <w:t>Jianning Dang</w:t>
      </w:r>
      <w:r w:rsidR="00A30000" w:rsidRPr="00A921C4">
        <w:rPr>
          <w:rFonts w:cs="Times New Roman"/>
          <w:szCs w:val="24"/>
          <w:vertAlign w:val="superscript"/>
        </w:rPr>
        <w:t>1</w:t>
      </w:r>
    </w:p>
    <w:p w14:paraId="38124C8F" w14:textId="77777777" w:rsidR="00A30000" w:rsidRPr="00A921C4" w:rsidRDefault="00A30000" w:rsidP="00732BE6">
      <w:pPr>
        <w:widowControl w:val="0"/>
        <w:jc w:val="center"/>
        <w:rPr>
          <w:rFonts w:cs="Times New Roman"/>
          <w:bCs/>
          <w:szCs w:val="24"/>
        </w:rPr>
      </w:pPr>
      <w:r w:rsidRPr="00A921C4">
        <w:rPr>
          <w:rFonts w:cs="Times New Roman"/>
          <w:szCs w:val="24"/>
          <w:vertAlign w:val="superscript"/>
        </w:rPr>
        <w:t>1</w:t>
      </w:r>
      <w:r w:rsidRPr="00A921C4">
        <w:rPr>
          <w:rFonts w:cs="Times New Roman"/>
          <w:bCs/>
          <w:szCs w:val="24"/>
        </w:rPr>
        <w:t>Beijing Normal University</w:t>
      </w:r>
    </w:p>
    <w:p w14:paraId="310FD09C" w14:textId="33F5B635" w:rsidR="00A30000" w:rsidRPr="00A921C4" w:rsidRDefault="00A30000" w:rsidP="00732BE6">
      <w:pPr>
        <w:widowControl w:val="0"/>
        <w:jc w:val="center"/>
        <w:rPr>
          <w:rFonts w:cs="Times New Roman"/>
          <w:bCs/>
          <w:szCs w:val="24"/>
        </w:rPr>
      </w:pPr>
      <w:r w:rsidRPr="00A921C4">
        <w:rPr>
          <w:rFonts w:cs="Times New Roman"/>
          <w:szCs w:val="24"/>
          <w:vertAlign w:val="superscript"/>
        </w:rPr>
        <w:t>2</w:t>
      </w:r>
      <w:r w:rsidRPr="00A921C4">
        <w:rPr>
          <w:rFonts w:cs="Times New Roman"/>
          <w:bCs/>
          <w:szCs w:val="24"/>
        </w:rPr>
        <w:t>University of Southampto</w:t>
      </w:r>
      <w:r w:rsidR="00263394">
        <w:rPr>
          <w:rFonts w:cs="Times New Roman"/>
          <w:bCs/>
          <w:szCs w:val="24"/>
        </w:rPr>
        <w:t>n</w:t>
      </w:r>
    </w:p>
    <w:p w14:paraId="46C2AF29" w14:textId="77777777" w:rsidR="00A30000" w:rsidRPr="00A921C4" w:rsidRDefault="00A30000" w:rsidP="00732BE6">
      <w:pPr>
        <w:widowControl w:val="0"/>
        <w:rPr>
          <w:rFonts w:cs="Times New Roman"/>
          <w:bCs/>
          <w:szCs w:val="24"/>
        </w:rPr>
      </w:pPr>
    </w:p>
    <w:p w14:paraId="35C6A477" w14:textId="77777777" w:rsidR="00A30000" w:rsidRPr="00A921C4" w:rsidRDefault="00A30000" w:rsidP="00732BE6">
      <w:pPr>
        <w:widowControl w:val="0"/>
        <w:rPr>
          <w:rFonts w:cs="Times New Roman"/>
          <w:bCs/>
          <w:szCs w:val="24"/>
        </w:rPr>
      </w:pPr>
    </w:p>
    <w:p w14:paraId="20A04AA4" w14:textId="77777777" w:rsidR="00A30000" w:rsidRPr="00A921C4" w:rsidRDefault="00A30000" w:rsidP="00732BE6">
      <w:pPr>
        <w:widowControl w:val="0"/>
        <w:jc w:val="center"/>
        <w:rPr>
          <w:rFonts w:cs="Times New Roman"/>
          <w:b/>
          <w:szCs w:val="24"/>
        </w:rPr>
      </w:pPr>
      <w:r w:rsidRPr="00A921C4">
        <w:rPr>
          <w:rFonts w:cs="Times New Roman"/>
          <w:b/>
          <w:szCs w:val="24"/>
        </w:rPr>
        <w:t>Author Note</w:t>
      </w:r>
    </w:p>
    <w:p w14:paraId="405C2E26" w14:textId="4F80BC6D" w:rsidR="00A30000" w:rsidRPr="00A921C4" w:rsidRDefault="00A05FE3" w:rsidP="00732BE6">
      <w:pPr>
        <w:widowControl w:val="0"/>
        <w:rPr>
          <w:rFonts w:cs="Times New Roman"/>
          <w:szCs w:val="24"/>
        </w:rPr>
      </w:pPr>
      <w:r>
        <w:rPr>
          <w:rFonts w:cs="Times New Roman"/>
          <w:szCs w:val="24"/>
        </w:rPr>
        <w:t xml:space="preserve">Zhuo Feng </w:t>
      </w:r>
      <w:r w:rsidRPr="00A921C4">
        <w:rPr>
          <w:rFonts w:cs="Times New Roman"/>
          <w:noProof/>
          <w:szCs w:val="24"/>
        </w:rPr>
        <w:drawing>
          <wp:inline distT="0" distB="0" distL="0" distR="0" wp14:anchorId="31801E51" wp14:editId="1B17DCE6">
            <wp:extent cx="156210" cy="15621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Fonts w:cs="Times New Roman"/>
          <w:szCs w:val="24"/>
        </w:rPr>
        <w:t xml:space="preserve"> </w:t>
      </w:r>
      <w:hyperlink r:id="rId9" w:history="1">
        <w:r w:rsidR="00A3374E" w:rsidRPr="00926036">
          <w:rPr>
            <w:rStyle w:val="Hyperlink"/>
            <w:rFonts w:cs="Times New Roman"/>
            <w:szCs w:val="24"/>
          </w:rPr>
          <w:t>https://orcid.org/0009-0005-3497-4203</w:t>
        </w:r>
      </w:hyperlink>
      <w:r w:rsidR="00A3374E">
        <w:rPr>
          <w:rFonts w:cs="Times New Roman"/>
          <w:szCs w:val="24"/>
        </w:rPr>
        <w:t xml:space="preserve"> </w:t>
      </w:r>
    </w:p>
    <w:p w14:paraId="2B6346F7" w14:textId="77777777" w:rsidR="00A30000" w:rsidRPr="00A921C4" w:rsidRDefault="00A30000" w:rsidP="00732BE6">
      <w:pPr>
        <w:widowControl w:val="0"/>
        <w:rPr>
          <w:rFonts w:cs="Times New Roman"/>
          <w:szCs w:val="24"/>
          <w:shd w:val="clear" w:color="auto" w:fill="FFFFFF"/>
        </w:rPr>
      </w:pPr>
      <w:r w:rsidRPr="00A921C4">
        <w:rPr>
          <w:rFonts w:cs="Times New Roman"/>
          <w:szCs w:val="24"/>
        </w:rPr>
        <w:t xml:space="preserve">Constantine Sedikides </w:t>
      </w:r>
      <w:r w:rsidRPr="00A921C4">
        <w:rPr>
          <w:rFonts w:cs="Times New Roman"/>
          <w:noProof/>
          <w:szCs w:val="24"/>
        </w:rPr>
        <w:drawing>
          <wp:inline distT="0" distB="0" distL="0" distR="0" wp14:anchorId="58632A45" wp14:editId="6F598902">
            <wp:extent cx="156210" cy="1562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921C4">
        <w:rPr>
          <w:rFonts w:cs="Times New Roman"/>
          <w:szCs w:val="24"/>
        </w:rPr>
        <w:t xml:space="preserve"> </w:t>
      </w:r>
      <w:hyperlink r:id="rId10" w:tgtFrame="_blank" w:tooltip="Original URL: https://orcid.org/0000-0002-7563-306X?lang=en. Click or tap if you trust this link." w:history="1">
        <w:r w:rsidRPr="00A921C4">
          <w:rPr>
            <w:rStyle w:val="Hyperlink"/>
            <w:rFonts w:cs="Times New Roman"/>
            <w:szCs w:val="24"/>
            <w:shd w:val="clear" w:color="auto" w:fill="FFFFFF"/>
          </w:rPr>
          <w:t>https://orcid.org/0000-0002-7563-306X</w:t>
        </w:r>
      </w:hyperlink>
      <w:r w:rsidRPr="00A921C4">
        <w:rPr>
          <w:rStyle w:val="Hyperlink"/>
          <w:rFonts w:cs="Times New Roman"/>
          <w:szCs w:val="24"/>
          <w:shd w:val="clear" w:color="auto" w:fill="FFFFFF"/>
        </w:rPr>
        <w:t xml:space="preserve"> </w:t>
      </w:r>
    </w:p>
    <w:p w14:paraId="1AA63F6F" w14:textId="77777777" w:rsidR="00A30000" w:rsidRPr="00A921C4" w:rsidRDefault="00A30000" w:rsidP="00732BE6">
      <w:pPr>
        <w:widowControl w:val="0"/>
        <w:rPr>
          <w:rFonts w:cs="Times New Roman"/>
          <w:szCs w:val="24"/>
        </w:rPr>
      </w:pPr>
      <w:r w:rsidRPr="00A921C4">
        <w:rPr>
          <w:rFonts w:cs="Times New Roman"/>
          <w:szCs w:val="24"/>
        </w:rPr>
        <w:t xml:space="preserve">Tim Wildschut </w:t>
      </w:r>
      <w:r w:rsidRPr="00A921C4">
        <w:rPr>
          <w:rFonts w:cs="Times New Roman"/>
          <w:noProof/>
          <w:szCs w:val="24"/>
        </w:rPr>
        <w:drawing>
          <wp:inline distT="0" distB="0" distL="0" distR="0" wp14:anchorId="58E9F9CD" wp14:editId="232112DA">
            <wp:extent cx="156210" cy="156210"/>
            <wp:effectExtent l="0" t="0" r="0" b="0"/>
            <wp:docPr id="1080822326" name="Picture 108082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921C4">
        <w:rPr>
          <w:rFonts w:cs="Times New Roman"/>
          <w:szCs w:val="24"/>
        </w:rPr>
        <w:t xml:space="preserve"> </w:t>
      </w:r>
      <w:hyperlink r:id="rId11" w:history="1">
        <w:r w:rsidRPr="00A921C4">
          <w:rPr>
            <w:rStyle w:val="Hyperlink"/>
            <w:rFonts w:cs="Times New Roman"/>
            <w:szCs w:val="24"/>
            <w:shd w:val="clear" w:color="auto" w:fill="FFFFFF"/>
          </w:rPr>
          <w:t>https://orcid.org/0000-0002-6499-5487</w:t>
        </w:r>
      </w:hyperlink>
      <w:r w:rsidRPr="00A921C4">
        <w:rPr>
          <w:rStyle w:val="Hyperlink"/>
          <w:rFonts w:cs="Times New Roman"/>
          <w:szCs w:val="24"/>
          <w:shd w:val="clear" w:color="auto" w:fill="FFFFFF"/>
        </w:rPr>
        <w:t xml:space="preserve"> </w:t>
      </w:r>
    </w:p>
    <w:p w14:paraId="76DC46A9" w14:textId="3CEE4F2D" w:rsidR="00A30000" w:rsidRDefault="00A05FE3" w:rsidP="00732BE6">
      <w:pPr>
        <w:widowControl w:val="0"/>
        <w:rPr>
          <w:rFonts w:cs="Times New Roman"/>
          <w:bCs/>
          <w:szCs w:val="24"/>
        </w:rPr>
      </w:pPr>
      <w:r w:rsidRPr="00A921C4">
        <w:rPr>
          <w:rFonts w:cs="Times New Roman"/>
          <w:szCs w:val="24"/>
        </w:rPr>
        <w:t xml:space="preserve">Jianning Dang </w:t>
      </w:r>
      <w:r w:rsidRPr="00A921C4">
        <w:rPr>
          <w:rFonts w:cs="Times New Roman"/>
          <w:noProof/>
          <w:szCs w:val="24"/>
        </w:rPr>
        <w:drawing>
          <wp:inline distT="0" distB="0" distL="0" distR="0" wp14:anchorId="1D6055C1" wp14:editId="13C68FE1">
            <wp:extent cx="156210" cy="1562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921C4">
        <w:rPr>
          <w:rFonts w:cs="Times New Roman"/>
          <w:szCs w:val="24"/>
        </w:rPr>
        <w:t xml:space="preserve"> </w:t>
      </w:r>
      <w:hyperlink r:id="rId12" w:history="1">
        <w:r w:rsidRPr="00A921C4">
          <w:rPr>
            <w:rStyle w:val="Hyperlink"/>
            <w:rFonts w:eastAsia="Times New Roman" w:cs="Times New Roman"/>
            <w:szCs w:val="24"/>
            <w:bdr w:val="none" w:sz="0" w:space="0" w:color="auto" w:frame="1"/>
          </w:rPr>
          <w:t>http://orcid.org/0000-0002-8174-0136</w:t>
        </w:r>
      </w:hyperlink>
      <w:r w:rsidR="00A30000" w:rsidRPr="00A921C4">
        <w:rPr>
          <w:rFonts w:cs="Times New Roman"/>
          <w:bCs/>
          <w:szCs w:val="24"/>
        </w:rPr>
        <w:tab/>
      </w:r>
    </w:p>
    <w:p w14:paraId="7B8FAA37" w14:textId="77777777" w:rsidR="00A30000" w:rsidRDefault="00A30000" w:rsidP="00732BE6">
      <w:pPr>
        <w:widowControl w:val="0"/>
        <w:rPr>
          <w:rFonts w:cs="Times New Roman"/>
          <w:bCs/>
          <w:szCs w:val="24"/>
        </w:rPr>
      </w:pPr>
    </w:p>
    <w:p w14:paraId="5878AFC9" w14:textId="1EAC068B" w:rsidR="00A30000" w:rsidRPr="00A30000" w:rsidRDefault="00A30000" w:rsidP="00732BE6">
      <w:pPr>
        <w:widowControl w:val="0"/>
        <w:ind w:firstLine="0"/>
        <w:jc w:val="center"/>
        <w:rPr>
          <w:rFonts w:cs="Times New Roman"/>
          <w:b/>
          <w:szCs w:val="24"/>
        </w:rPr>
      </w:pPr>
      <w:r w:rsidRPr="00A30000">
        <w:rPr>
          <w:rFonts w:cs="Times New Roman"/>
          <w:b/>
          <w:szCs w:val="24"/>
        </w:rPr>
        <w:t>Author Note</w:t>
      </w:r>
    </w:p>
    <w:p w14:paraId="359E1616" w14:textId="18CDC9DD" w:rsidR="00A30000" w:rsidRDefault="00A30000" w:rsidP="00732BE6">
      <w:pPr>
        <w:widowControl w:val="0"/>
      </w:pPr>
      <w:bookmarkStart w:id="8" w:name="OLE_LINK292"/>
      <w:bookmarkStart w:id="9" w:name="OLE_LINK293"/>
      <w:r w:rsidRPr="00AE4032">
        <w:rPr>
          <w:rFonts w:cs="Times New Roman"/>
          <w:szCs w:val="24"/>
          <w:shd w:val="clear" w:color="auto" w:fill="FFFFFF"/>
        </w:rPr>
        <w:t xml:space="preserve">All data and analysis code are available </w:t>
      </w:r>
      <w:r w:rsidR="000259AA">
        <w:rPr>
          <w:rFonts w:cs="Times New Roman"/>
          <w:szCs w:val="24"/>
          <w:shd w:val="clear" w:color="auto" w:fill="FFFFFF"/>
        </w:rPr>
        <w:t>via</w:t>
      </w:r>
      <w:r w:rsidR="009C34BB">
        <w:rPr>
          <w:rFonts w:cs="Times New Roman"/>
          <w:szCs w:val="24"/>
          <w:shd w:val="clear" w:color="auto" w:fill="FFFFFF"/>
        </w:rPr>
        <w:t xml:space="preserve"> </w:t>
      </w:r>
      <w:r w:rsidR="00625458">
        <w:rPr>
          <w:rFonts w:cs="Times New Roman"/>
          <w:szCs w:val="24"/>
          <w:shd w:val="clear" w:color="auto" w:fill="FFFFFF"/>
        </w:rPr>
        <w:t xml:space="preserve">the Open Science Framework (OSF) </w:t>
      </w:r>
      <w:r w:rsidR="000259AA">
        <w:rPr>
          <w:rFonts w:cs="Times New Roman"/>
          <w:szCs w:val="24"/>
          <w:shd w:val="clear" w:color="auto" w:fill="FFFFFF"/>
        </w:rPr>
        <w:t xml:space="preserve">at </w:t>
      </w:r>
      <w:hyperlink r:id="rId13" w:history="1">
        <w:r w:rsidR="000259AA" w:rsidRPr="00926036">
          <w:rPr>
            <w:rStyle w:val="Hyperlink"/>
            <w:rFonts w:cs="Times New Roman"/>
            <w:szCs w:val="24"/>
            <w:shd w:val="clear" w:color="auto" w:fill="FFFFFF"/>
          </w:rPr>
          <w:t>https://osf.io/wea5u/?view_only=b354a22f1f0d4bc0b710cb4c280ddb0e</w:t>
        </w:r>
      </w:hyperlink>
      <w:r w:rsidR="009E3065">
        <w:rPr>
          <w:rFonts w:cs="Times New Roman"/>
          <w:szCs w:val="24"/>
          <w:shd w:val="clear" w:color="auto" w:fill="FFFFFF"/>
        </w:rPr>
        <w:t>.</w:t>
      </w:r>
      <w:bookmarkEnd w:id="8"/>
      <w:bookmarkEnd w:id="9"/>
      <w:r w:rsidR="009C34BB" w:rsidRPr="00A921C4">
        <w:rPr>
          <w:rFonts w:cs="Times New Roman"/>
          <w:szCs w:val="24"/>
          <w:shd w:val="clear" w:color="auto" w:fill="FFFFFF"/>
        </w:rPr>
        <w:t xml:space="preserve"> </w:t>
      </w:r>
      <w:r w:rsidRPr="00A921C4">
        <w:rPr>
          <w:rFonts w:cs="Times New Roman"/>
          <w:szCs w:val="24"/>
          <w:shd w:val="clear" w:color="auto" w:fill="FFFFFF"/>
        </w:rPr>
        <w:t xml:space="preserve">The authors acknowledge financial support from </w:t>
      </w:r>
      <w:r w:rsidR="00A05FE3" w:rsidRPr="00A05FE3">
        <w:rPr>
          <w:rFonts w:cs="Times New Roman"/>
          <w:szCs w:val="24"/>
          <w:shd w:val="clear" w:color="auto" w:fill="FFFFFF"/>
        </w:rPr>
        <w:t>the Natural Science Foundation of China (32100869; 32271124)</w:t>
      </w:r>
      <w:r w:rsidRPr="00A921C4">
        <w:rPr>
          <w:rFonts w:cs="Times New Roman"/>
          <w:szCs w:val="24"/>
          <w:shd w:val="clear" w:color="auto" w:fill="FFFFFF"/>
        </w:rPr>
        <w:t xml:space="preserve">. </w:t>
      </w:r>
      <w:r w:rsidR="00732BE6">
        <w:rPr>
          <w:rFonts w:cs="Times New Roman"/>
          <w:szCs w:val="24"/>
          <w:shd w:val="clear" w:color="auto" w:fill="FFFFFF"/>
        </w:rPr>
        <w:t>Zhuo F</w:t>
      </w:r>
      <w:r w:rsidR="00732BE6">
        <w:rPr>
          <w:rFonts w:cs="Times New Roman" w:hint="eastAsia"/>
          <w:szCs w:val="24"/>
          <w:shd w:val="clear" w:color="auto" w:fill="FFFFFF"/>
        </w:rPr>
        <w:t>eng</w:t>
      </w:r>
      <w:r w:rsidR="00732BE6">
        <w:rPr>
          <w:rFonts w:cs="Times New Roman"/>
          <w:szCs w:val="24"/>
          <w:shd w:val="clear" w:color="auto" w:fill="FFFFFF"/>
        </w:rPr>
        <w:t xml:space="preserve"> and </w:t>
      </w:r>
      <w:r w:rsidRPr="00A921C4">
        <w:rPr>
          <w:rFonts w:cs="Times New Roman"/>
          <w:bCs/>
          <w:szCs w:val="24"/>
        </w:rPr>
        <w:t xml:space="preserve">Jianning Dang, Beijing Key Laboratory of Applied Experimental Psychology, Faculty of Psychology, Beijing Normal University, China; </w:t>
      </w:r>
      <w:r w:rsidRPr="00A921C4">
        <w:rPr>
          <w:rFonts w:cs="Times New Roman"/>
          <w:szCs w:val="24"/>
        </w:rPr>
        <w:t>Tim Wildschut</w:t>
      </w:r>
      <w:r>
        <w:rPr>
          <w:rFonts w:cs="Times New Roman"/>
          <w:szCs w:val="24"/>
        </w:rPr>
        <w:t xml:space="preserve"> and </w:t>
      </w:r>
      <w:r w:rsidRPr="00A921C4">
        <w:rPr>
          <w:rFonts w:cs="Times New Roman"/>
          <w:bCs/>
          <w:szCs w:val="24"/>
        </w:rPr>
        <w:t>Constantine Sedikides</w:t>
      </w:r>
      <w:r w:rsidRPr="00A921C4">
        <w:rPr>
          <w:rFonts w:cs="Times New Roman"/>
          <w:szCs w:val="24"/>
        </w:rPr>
        <w:t xml:space="preserve">, Center for Research on Self and Identity, School of Psychology, University of Southampton, United Kingdom. </w:t>
      </w:r>
      <w:r w:rsidRPr="00A921C4">
        <w:rPr>
          <w:rFonts w:cs="Times New Roman"/>
          <w:bCs/>
          <w:szCs w:val="24"/>
        </w:rPr>
        <w:t xml:space="preserve">Corresponding author: </w:t>
      </w:r>
      <w:r w:rsidR="00A05FE3">
        <w:rPr>
          <w:rFonts w:cs="Times New Roman"/>
          <w:szCs w:val="24"/>
        </w:rPr>
        <w:t xml:space="preserve">Jianning </w:t>
      </w:r>
      <w:bookmarkStart w:id="10" w:name="OLE_LINK267"/>
      <w:bookmarkStart w:id="11" w:name="OLE_LINK271"/>
      <w:r w:rsidR="00A05FE3">
        <w:rPr>
          <w:rFonts w:cs="Times New Roman"/>
          <w:szCs w:val="24"/>
        </w:rPr>
        <w:t>Dang</w:t>
      </w:r>
      <w:bookmarkEnd w:id="10"/>
      <w:bookmarkEnd w:id="11"/>
      <w:r w:rsidRPr="00A921C4">
        <w:rPr>
          <w:rFonts w:cs="Times New Roman"/>
          <w:szCs w:val="24"/>
        </w:rPr>
        <w:t xml:space="preserve">, </w:t>
      </w:r>
      <w:r>
        <w:rPr>
          <w:rFonts w:cs="Times New Roman"/>
          <w:szCs w:val="24"/>
        </w:rPr>
        <w:t>F</w:t>
      </w:r>
      <w:r>
        <w:rPr>
          <w:rFonts w:cs="Times New Roman" w:hint="eastAsia"/>
          <w:szCs w:val="24"/>
        </w:rPr>
        <w:t>aculty</w:t>
      </w:r>
      <w:r>
        <w:rPr>
          <w:rFonts w:cs="Times New Roman"/>
          <w:szCs w:val="24"/>
        </w:rPr>
        <w:t xml:space="preserve"> of Psychology, </w:t>
      </w:r>
      <w:r w:rsidRPr="00A921C4">
        <w:rPr>
          <w:rFonts w:cs="Times New Roman"/>
          <w:bCs/>
          <w:szCs w:val="24"/>
        </w:rPr>
        <w:t xml:space="preserve">Beijing Normal University, Beijing, China, 100875; Email: </w:t>
      </w:r>
      <w:hyperlink r:id="rId14" w:history="1">
        <w:r w:rsidR="00A05FE3" w:rsidRPr="007E15D1">
          <w:rPr>
            <w:rStyle w:val="Hyperlink"/>
            <w:rFonts w:cs="Times New Roman"/>
            <w:szCs w:val="24"/>
          </w:rPr>
          <w:t>jn</w:t>
        </w:r>
        <w:bookmarkStart w:id="12" w:name="OLE_LINK272"/>
        <w:bookmarkStart w:id="13" w:name="OLE_LINK278"/>
        <w:r w:rsidR="00A05FE3" w:rsidRPr="007E15D1">
          <w:rPr>
            <w:rStyle w:val="Hyperlink"/>
            <w:rFonts w:cs="Times New Roman"/>
            <w:szCs w:val="24"/>
          </w:rPr>
          <w:t>dang</w:t>
        </w:r>
        <w:bookmarkEnd w:id="12"/>
        <w:bookmarkEnd w:id="13"/>
        <w:r w:rsidR="00A05FE3" w:rsidRPr="007E15D1">
          <w:rPr>
            <w:rStyle w:val="Hyperlink"/>
            <w:rFonts w:cs="Times New Roman"/>
            <w:szCs w:val="24"/>
          </w:rPr>
          <w:t>@bnu.edu.cn</w:t>
        </w:r>
      </w:hyperlink>
    </w:p>
    <w:p w14:paraId="242346E3" w14:textId="77777777" w:rsidR="00A30000" w:rsidRDefault="00A30000" w:rsidP="00732BE6">
      <w:pPr>
        <w:widowControl w:val="0"/>
        <w:spacing w:line="240" w:lineRule="auto"/>
        <w:ind w:firstLine="0"/>
      </w:pPr>
      <w:r>
        <w:br w:type="page"/>
      </w:r>
    </w:p>
    <w:p w14:paraId="791DC98D" w14:textId="445EA683" w:rsidR="00A30000" w:rsidRDefault="00A30000" w:rsidP="00732BE6">
      <w:pPr>
        <w:pStyle w:val="Heading1"/>
        <w:widowControl w:val="0"/>
      </w:pPr>
      <w:r>
        <w:lastRenderedPageBreak/>
        <w:t>Abstract</w:t>
      </w:r>
    </w:p>
    <w:p w14:paraId="5D17236E" w14:textId="191E3BFC" w:rsidR="00785407" w:rsidRDefault="00785407" w:rsidP="00732BE6">
      <w:pPr>
        <w:widowControl w:val="0"/>
        <w:ind w:firstLine="0"/>
        <w:rPr>
          <w:lang w:val="en-GB"/>
        </w:rPr>
      </w:pPr>
      <w:r w:rsidRPr="00785407">
        <w:rPr>
          <w:lang w:val="en-GB"/>
        </w:rPr>
        <w:t>We investigated how nostalgia and declinism, two distinct forms of past-oriented reflection, differentially relate to personal growth. In preregistered cross-sectional Study 1 (</w:t>
      </w:r>
      <w:r w:rsidRPr="00785407">
        <w:rPr>
          <w:i/>
          <w:iCs/>
          <w:lang w:val="en-GB"/>
        </w:rPr>
        <w:t>N</w:t>
      </w:r>
      <w:r w:rsidRPr="00785407">
        <w:rPr>
          <w:lang w:val="en-GB"/>
        </w:rPr>
        <w:t xml:space="preserve"> = </w:t>
      </w:r>
      <w:r w:rsidR="00194611">
        <w:rPr>
          <w:lang w:val="en-GB"/>
        </w:rPr>
        <w:t>810</w:t>
      </w:r>
      <w:r w:rsidR="0019322D" w:rsidRPr="0019322D">
        <w:rPr>
          <w:color w:val="4472C4" w:themeColor="accent1"/>
        </w:rPr>
        <w:t>, Chinese sample</w:t>
      </w:r>
      <w:r w:rsidRPr="00785407">
        <w:rPr>
          <w:lang w:val="en-GB"/>
        </w:rPr>
        <w:t xml:space="preserve">), we measured nostalgia using three </w:t>
      </w:r>
      <w:r w:rsidR="00425549">
        <w:rPr>
          <w:lang w:val="en-GB"/>
        </w:rPr>
        <w:t>instruments</w:t>
      </w:r>
      <w:r w:rsidRPr="00785407">
        <w:rPr>
          <w:lang w:val="en-GB"/>
        </w:rPr>
        <w:t>: the Southampton Nostalgia Scale (SNS), the Nostalgia Inventory (NI), and the Personal</w:t>
      </w:r>
      <w:r w:rsidRPr="00785407">
        <w:t xml:space="preserve"> Inventory of Nostalgic Experiences (</w:t>
      </w:r>
      <w:r w:rsidRPr="00785407">
        <w:rPr>
          <w:lang w:val="en-GB"/>
        </w:rPr>
        <w:t>PINE). Although SNS</w:t>
      </w:r>
      <w:r>
        <w:rPr>
          <w:lang w:val="en-GB"/>
        </w:rPr>
        <w:t>-</w:t>
      </w:r>
      <w:r w:rsidRPr="00785407">
        <w:rPr>
          <w:lang w:val="en-GB"/>
        </w:rPr>
        <w:t xml:space="preserve"> and NI-based nostalgia were positively associated with personal growth and uncorrelated with declinism, PINE-based nostalgia was positively linked to declinism and unrelated to growth. Canonical correlation analysis further indicated conceptual overlap between PINE items and </w:t>
      </w:r>
      <w:r w:rsidRPr="004B4320">
        <w:rPr>
          <w:lang w:val="en-GB"/>
        </w:rPr>
        <w:t>declinis</w:t>
      </w:r>
      <w:r w:rsidR="004B4320">
        <w:rPr>
          <w:color w:val="4472C4" w:themeColor="accent1"/>
          <w:lang w:val="en-GB"/>
        </w:rPr>
        <w:t>m</w:t>
      </w:r>
      <w:r w:rsidRPr="00785407">
        <w:rPr>
          <w:lang w:val="en-GB"/>
        </w:rPr>
        <w:t>. In experimental Study 2</w:t>
      </w:r>
      <w:r w:rsidR="005E7904">
        <w:rPr>
          <w:color w:val="4472C4" w:themeColor="accent1"/>
          <w:lang w:val="en-GB"/>
        </w:rPr>
        <w:t xml:space="preserve"> (</w:t>
      </w:r>
      <w:r w:rsidR="005E7904" w:rsidRPr="00855E32">
        <w:rPr>
          <w:i/>
          <w:iCs/>
          <w:color w:val="4472C4" w:themeColor="accent1"/>
          <w:lang w:val="en-GB"/>
        </w:rPr>
        <w:t>N</w:t>
      </w:r>
      <w:r w:rsidR="005E7904">
        <w:rPr>
          <w:color w:val="4472C4" w:themeColor="accent1"/>
          <w:lang w:val="en-GB"/>
        </w:rPr>
        <w:t xml:space="preserve"> = </w:t>
      </w:r>
      <w:r w:rsidR="00855E32">
        <w:rPr>
          <w:color w:val="4472C4" w:themeColor="accent1"/>
          <w:lang w:val="en-GB"/>
        </w:rPr>
        <w:t>360</w:t>
      </w:r>
      <w:r w:rsidR="0019322D">
        <w:rPr>
          <w:color w:val="4472C4" w:themeColor="accent1"/>
          <w:lang w:val="en-GB"/>
        </w:rPr>
        <w:t>, Chinese sample</w:t>
      </w:r>
      <w:r w:rsidR="005E7904">
        <w:rPr>
          <w:color w:val="4472C4" w:themeColor="accent1"/>
          <w:lang w:val="en-GB"/>
        </w:rPr>
        <w:t>)</w:t>
      </w:r>
      <w:r w:rsidRPr="00785407">
        <w:rPr>
          <w:lang w:val="en-GB"/>
        </w:rPr>
        <w:t>, we manipulated n</w:t>
      </w:r>
      <w:bookmarkStart w:id="14" w:name="OLE_LINK73"/>
      <w:bookmarkStart w:id="15" w:name="OLE_LINK74"/>
      <w:r w:rsidRPr="00785407">
        <w:rPr>
          <w:lang w:val="en-GB"/>
        </w:rPr>
        <w:t>ostalgia and declinism</w:t>
      </w:r>
      <w:r w:rsidR="00BE7261">
        <w:rPr>
          <w:color w:val="4472C4" w:themeColor="accent1"/>
          <w:lang w:val="en-GB"/>
        </w:rPr>
        <w:t xml:space="preserve"> with the Event Reflection Task</w:t>
      </w:r>
      <w:r w:rsidRPr="00785407">
        <w:rPr>
          <w:lang w:val="en-GB"/>
        </w:rPr>
        <w:t xml:space="preserve"> to test their causal effects. Compared to a control condition, nostalgia increased personal growth, but declinism reduced it. Collectively, the findings highlight the importance of measurement in nostalgia research and underscore the psychological distinction between nostalgia and declinism. Accurately capturing the tone and function of nostalgic reflection is essential to understanding its influence on the self, motivation, and well-being.</w:t>
      </w:r>
      <w:bookmarkEnd w:id="14"/>
      <w:bookmarkEnd w:id="15"/>
    </w:p>
    <w:p w14:paraId="31210A6C" w14:textId="6BBBC8B3" w:rsidR="00785407" w:rsidRPr="00785407" w:rsidRDefault="00A30000" w:rsidP="00732BE6">
      <w:pPr>
        <w:widowControl w:val="0"/>
        <w:ind w:firstLine="420"/>
        <w:rPr>
          <w:lang w:val="en-GB"/>
        </w:rPr>
      </w:pPr>
      <w:r w:rsidRPr="00A30000">
        <w:rPr>
          <w:i/>
          <w:iCs/>
        </w:rPr>
        <w:t>Keywords</w:t>
      </w:r>
      <w:r>
        <w:t>: nostalgia, declinism</w:t>
      </w:r>
      <w:r w:rsidR="00785407">
        <w:t>, personal growth, psychological measurement, motivation</w:t>
      </w:r>
    </w:p>
    <w:p w14:paraId="56CC2D1B" w14:textId="77777777" w:rsidR="00785407" w:rsidRDefault="00785407" w:rsidP="00732BE6">
      <w:pPr>
        <w:widowControl w:val="0"/>
        <w:ind w:firstLine="420"/>
      </w:pPr>
    </w:p>
    <w:p w14:paraId="6482BB85" w14:textId="77777777" w:rsidR="00A30000" w:rsidRDefault="00A30000" w:rsidP="00732BE6">
      <w:pPr>
        <w:widowControl w:val="0"/>
        <w:spacing w:line="240" w:lineRule="auto"/>
        <w:ind w:firstLine="0"/>
      </w:pPr>
      <w:r>
        <w:br w:type="page"/>
      </w:r>
    </w:p>
    <w:p w14:paraId="66F55549" w14:textId="77777777" w:rsidR="00785407" w:rsidRDefault="00785407" w:rsidP="00732BE6">
      <w:pPr>
        <w:pStyle w:val="Heading1"/>
        <w:widowControl w:val="0"/>
        <w:rPr>
          <w:lang w:val="en-GB"/>
        </w:rPr>
      </w:pPr>
      <w:r w:rsidRPr="00785407">
        <w:rPr>
          <w:lang w:val="en-GB"/>
        </w:rPr>
        <w:lastRenderedPageBreak/>
        <w:t>Diverging Paths to the Self:</w:t>
      </w:r>
    </w:p>
    <w:p w14:paraId="6CD5BA7E" w14:textId="77777777" w:rsidR="00785407" w:rsidRPr="00785407" w:rsidRDefault="00785407" w:rsidP="00AD098A">
      <w:pPr>
        <w:widowControl w:val="0"/>
        <w:ind w:firstLine="0"/>
        <w:jc w:val="center"/>
        <w:rPr>
          <w:b/>
          <w:bCs/>
          <w:lang w:val="en-GB"/>
        </w:rPr>
      </w:pPr>
      <w:r w:rsidRPr="00785407">
        <w:rPr>
          <w:b/>
          <w:bCs/>
          <w:lang w:val="en-GB"/>
        </w:rPr>
        <w:t>The Distinct Psychological Roles of Nostalgia and Declinism in Personal Growth</w:t>
      </w:r>
    </w:p>
    <w:p w14:paraId="0A395B29" w14:textId="78EE9A50" w:rsidR="002318E6" w:rsidRDefault="00547F2C" w:rsidP="00AD098A">
      <w:pPr>
        <w:rPr>
          <w:rFonts w:cs="Times New Roman"/>
          <w:lang w:val="en-GB"/>
        </w:rPr>
      </w:pPr>
      <w:bookmarkStart w:id="16" w:name="OLE_LINK290"/>
      <w:bookmarkStart w:id="17" w:name="OLE_LINK291"/>
      <w:r>
        <w:rPr>
          <w:szCs w:val="44"/>
          <w:lang w:val="en-GB"/>
        </w:rPr>
        <w:t xml:space="preserve">Humans are </w:t>
      </w:r>
      <w:r w:rsidR="00D44BBB" w:rsidRPr="00D44BBB">
        <w:rPr>
          <w:szCs w:val="44"/>
          <w:lang w:val="en-GB"/>
        </w:rPr>
        <w:t xml:space="preserve">motivated to </w:t>
      </w:r>
      <w:r w:rsidR="00AD098A">
        <w:rPr>
          <w:szCs w:val="44"/>
          <w:lang w:val="en-GB"/>
        </w:rPr>
        <w:t>pursue</w:t>
      </w:r>
      <w:r w:rsidR="00D44BBB" w:rsidRPr="00D44BBB">
        <w:rPr>
          <w:szCs w:val="44"/>
          <w:lang w:val="en-GB"/>
        </w:rPr>
        <w:t xml:space="preserve"> self-improvement</w:t>
      </w:r>
      <w:r w:rsidR="00F210FA">
        <w:rPr>
          <w:szCs w:val="44"/>
          <w:lang w:val="en-GB"/>
        </w:rPr>
        <w:t xml:space="preserve"> (</w:t>
      </w:r>
      <w:r w:rsidR="00AD098A" w:rsidRPr="004567B2">
        <w:rPr>
          <w:rFonts w:cs="Times New Roman"/>
        </w:rPr>
        <w:t>Deci &amp; Ryan,</w:t>
      </w:r>
      <w:r w:rsidR="00AD098A">
        <w:rPr>
          <w:rFonts w:cs="Times New Roman"/>
        </w:rPr>
        <w:t xml:space="preserve"> </w:t>
      </w:r>
      <w:r w:rsidR="00AD098A" w:rsidRPr="004567B2">
        <w:rPr>
          <w:rFonts w:cs="Times New Roman"/>
        </w:rPr>
        <w:t>1985</w:t>
      </w:r>
      <w:r w:rsidR="00AD098A">
        <w:rPr>
          <w:rFonts w:cs="Times New Roman"/>
        </w:rPr>
        <w:t xml:space="preserve">; </w:t>
      </w:r>
      <w:r w:rsidR="00AD098A">
        <w:rPr>
          <w:szCs w:val="44"/>
          <w:lang w:val="en-GB"/>
        </w:rPr>
        <w:t xml:space="preserve">Maslow, 1943; </w:t>
      </w:r>
      <w:r w:rsidR="00AD098A" w:rsidRPr="004567B2">
        <w:rPr>
          <w:rFonts w:cs="Times New Roman"/>
          <w:color w:val="000000"/>
          <w:szCs w:val="24"/>
        </w:rPr>
        <w:t>Sedikides</w:t>
      </w:r>
      <w:r w:rsidR="00AD098A">
        <w:rPr>
          <w:rFonts w:cs="Times New Roman"/>
          <w:color w:val="000000"/>
        </w:rPr>
        <w:t xml:space="preserve"> </w:t>
      </w:r>
      <w:r w:rsidR="00AD098A" w:rsidRPr="004567B2">
        <w:rPr>
          <w:rFonts w:cs="Times New Roman"/>
          <w:color w:val="000000"/>
          <w:szCs w:val="24"/>
        </w:rPr>
        <w:t>&amp; Hepper, 2009</w:t>
      </w:r>
      <w:r w:rsidR="00F210FA">
        <w:rPr>
          <w:szCs w:val="44"/>
          <w:lang w:val="en-GB"/>
        </w:rPr>
        <w:t xml:space="preserve">). </w:t>
      </w:r>
      <w:r w:rsidR="008E5A67" w:rsidRPr="00B45CEE">
        <w:t>Personal growth</w:t>
      </w:r>
      <w:r w:rsidR="00204248">
        <w:t>,</w:t>
      </w:r>
      <w:r w:rsidR="008E5A67" w:rsidRPr="00B45CEE">
        <w:t xml:space="preserve"> broadly conceptualized as </w:t>
      </w:r>
      <w:bookmarkStart w:id="18" w:name="OLE_LINK82"/>
      <w:bookmarkStart w:id="19" w:name="OLE_LINK83"/>
      <w:r w:rsidR="008E5A67" w:rsidRPr="00B45CEE">
        <w:t xml:space="preserve">the motivation to </w:t>
      </w:r>
      <w:r w:rsidR="00204248">
        <w:t xml:space="preserve">improve </w:t>
      </w:r>
      <w:r w:rsidR="00646F57">
        <w:t>one</w:t>
      </w:r>
      <w:r w:rsidR="00A229B1" w:rsidRPr="00B45CEE">
        <w:t>self</w:t>
      </w:r>
      <w:r w:rsidR="008E5A67" w:rsidRPr="00B45CEE">
        <w:t xml:space="preserve"> across multiple life domains </w:t>
      </w:r>
      <w:bookmarkEnd w:id="18"/>
      <w:bookmarkEnd w:id="19"/>
      <w:r w:rsidR="008E5A67" w:rsidRPr="00B45CEE">
        <w:t>(Robitschek, 1998</w:t>
      </w:r>
      <w:r w:rsidR="008E5A67">
        <w:t xml:space="preserve">; </w:t>
      </w:r>
      <w:r w:rsidR="008E5A67" w:rsidRPr="00B45CEE">
        <w:t>Robitschek et al., 2012)</w:t>
      </w:r>
      <w:r w:rsidR="00204248">
        <w:t>,</w:t>
      </w:r>
      <w:r w:rsidR="00A229B1">
        <w:t xml:space="preserve"> is </w:t>
      </w:r>
      <w:r w:rsidR="005A4198" w:rsidRPr="005A4198">
        <w:t>a cornerstone of psychological well-being</w:t>
      </w:r>
      <w:r w:rsidR="00A229B1">
        <w:t xml:space="preserve">. It is </w:t>
      </w:r>
      <w:r w:rsidR="00D47FCC">
        <w:t xml:space="preserve">linked to </w:t>
      </w:r>
      <w:r w:rsidR="00D47FCC" w:rsidRPr="00D47FCC">
        <w:t>outcomes ranging from higher</w:t>
      </w:r>
      <w:r w:rsidR="00A229B1">
        <w:t xml:space="preserve"> self-esteem, self-efficacy, life satisfaction, and psychological well-being, </w:t>
      </w:r>
      <w:r w:rsidR="00D47FCC">
        <w:t>to lower</w:t>
      </w:r>
      <w:r w:rsidR="00A229B1">
        <w:t xml:space="preserve"> </w:t>
      </w:r>
      <w:r w:rsidR="00A229B1" w:rsidRPr="00400796">
        <w:t>stress</w:t>
      </w:r>
      <w:r w:rsidR="00A229B1">
        <w:t>,</w:t>
      </w:r>
      <w:r w:rsidR="00A229B1" w:rsidRPr="00400796">
        <w:t xml:space="preserve"> anxiety</w:t>
      </w:r>
      <w:r w:rsidR="00A229B1">
        <w:t>, psychological distress,</w:t>
      </w:r>
      <w:r w:rsidR="00A229B1" w:rsidRPr="00400796">
        <w:t xml:space="preserve"> and depression</w:t>
      </w:r>
      <w:r w:rsidR="00A229B1">
        <w:t xml:space="preserve"> (</w:t>
      </w:r>
      <w:r w:rsidR="00A229B1" w:rsidRPr="00802F45">
        <w:rPr>
          <w:rFonts w:cs="Times New Roman"/>
        </w:rPr>
        <w:t>de Freitas</w:t>
      </w:r>
      <w:r w:rsidR="00A229B1">
        <w:rPr>
          <w:rFonts w:cs="Times New Roman"/>
        </w:rPr>
        <w:t xml:space="preserve"> et al., 2016; </w:t>
      </w:r>
      <w:hyperlink r:id="rId15" w:history="1">
        <w:r w:rsidR="00A229B1" w:rsidRPr="00E9741E">
          <w:rPr>
            <w:rStyle w:val="Hyperlink"/>
            <w:rFonts w:cs="Times New Roman"/>
            <w:color w:val="auto"/>
            <w:u w:val="none"/>
          </w:rPr>
          <w:t>Weigold</w:t>
        </w:r>
      </w:hyperlink>
      <w:r w:rsidR="00A229B1">
        <w:rPr>
          <w:rFonts w:cs="Times New Roman"/>
        </w:rPr>
        <w:t xml:space="preserve"> </w:t>
      </w:r>
      <w:r w:rsidR="00A229B1">
        <w:rPr>
          <w:rFonts w:cs="Times New Roman"/>
          <w:lang w:val="en-GB"/>
        </w:rPr>
        <w:t xml:space="preserve">et al., 2020). </w:t>
      </w:r>
      <w:r w:rsidR="00732BE6">
        <w:rPr>
          <w:rFonts w:cs="Times New Roman"/>
          <w:lang w:val="en-GB"/>
        </w:rPr>
        <w:t>Furthermore</w:t>
      </w:r>
      <w:r w:rsidR="007A4DCF">
        <w:rPr>
          <w:rFonts w:cs="Times New Roman"/>
          <w:lang w:val="en-GB"/>
        </w:rPr>
        <w:t xml:space="preserve">, </w:t>
      </w:r>
      <w:r w:rsidR="00732BE6">
        <w:t>individuals</w:t>
      </w:r>
      <w:r w:rsidR="007A4DCF">
        <w:t xml:space="preserve"> </w:t>
      </w:r>
      <w:r w:rsidR="007A4DCF" w:rsidRPr="00134EC4">
        <w:t xml:space="preserve">who interpret their life transitions in terms of growth </w:t>
      </w:r>
      <w:r w:rsidR="007A4DCF">
        <w:t xml:space="preserve">report more satisfying transitions and </w:t>
      </w:r>
      <w:r w:rsidR="007A4DCF" w:rsidRPr="00134EC4">
        <w:t xml:space="preserve">personality development </w:t>
      </w:r>
      <w:r w:rsidR="007A4DCF">
        <w:t>in general (</w:t>
      </w:r>
      <w:r w:rsidR="007A4DCF" w:rsidRPr="00C32402">
        <w:rPr>
          <w:rFonts w:cs="Times New Roman"/>
        </w:rPr>
        <w:t>Bauer &amp; McAdams, 2004).</w:t>
      </w:r>
      <w:r w:rsidR="007A4DCF">
        <w:rPr>
          <w:rFonts w:cs="Times New Roman"/>
        </w:rPr>
        <w:t xml:space="preserve"> </w:t>
      </w:r>
      <w:r w:rsidR="001E323E">
        <w:rPr>
          <w:rFonts w:cs="Times New Roman"/>
          <w:lang w:val="en-GB"/>
        </w:rPr>
        <w:t>Lastly, personal growth is associated with reduced self-discrepancies (both actual-ideal self and ought-ideal self</w:t>
      </w:r>
      <w:r w:rsidR="0049182B">
        <w:rPr>
          <w:rFonts w:cs="Times New Roman"/>
          <w:lang w:val="en-GB"/>
        </w:rPr>
        <w:t>-</w:t>
      </w:r>
      <w:r w:rsidR="007420DF">
        <w:rPr>
          <w:rFonts w:cs="Times New Roman"/>
          <w:lang w:val="en-GB"/>
        </w:rPr>
        <w:t>discrepancies</w:t>
      </w:r>
      <w:r w:rsidR="001E323E">
        <w:rPr>
          <w:rFonts w:cs="Times New Roman"/>
          <w:lang w:val="en-GB"/>
        </w:rPr>
        <w:t>; Hardin et al., 2003) and stronger career exploration processes (</w:t>
      </w:r>
      <w:r w:rsidR="001E323E" w:rsidRPr="00400796">
        <w:t>Robitschek</w:t>
      </w:r>
      <w:r w:rsidR="001E323E">
        <w:t xml:space="preserve"> &amp; Cook, 1999</w:t>
      </w:r>
      <w:r w:rsidR="001E323E">
        <w:rPr>
          <w:rFonts w:cs="Times New Roman"/>
          <w:lang w:val="en-GB"/>
        </w:rPr>
        <w:t>).</w:t>
      </w:r>
      <w:r w:rsidR="001C5800" w:rsidRPr="001C5800">
        <w:t xml:space="preserve"> </w:t>
      </w:r>
    </w:p>
    <w:p w14:paraId="057A0108" w14:textId="1EB878D6" w:rsidR="00212D64" w:rsidRDefault="00D46FFF" w:rsidP="00732BE6">
      <w:pPr>
        <w:widowControl w:val="0"/>
        <w:rPr>
          <w:szCs w:val="44"/>
          <w:lang w:val="en-GB"/>
        </w:rPr>
      </w:pPr>
      <w:r w:rsidRPr="00D46FFF">
        <w:rPr>
          <w:rFonts w:cs="Times New Roman"/>
          <w:lang w:val="en-GB"/>
        </w:rPr>
        <w:t xml:space="preserve">But what fuels this forward-oriented motivation? </w:t>
      </w:r>
      <w:r>
        <w:rPr>
          <w:rFonts w:cs="Times New Roman"/>
          <w:lang w:val="en-GB"/>
        </w:rPr>
        <w:t xml:space="preserve">Turning to </w:t>
      </w:r>
      <w:r w:rsidRPr="00D46FFF">
        <w:rPr>
          <w:rFonts w:cs="Times New Roman"/>
          <w:lang w:val="en-GB"/>
        </w:rPr>
        <w:t>the past</w:t>
      </w:r>
      <w:r>
        <w:rPr>
          <w:rFonts w:cs="Times New Roman"/>
          <w:lang w:val="en-GB"/>
        </w:rPr>
        <w:t xml:space="preserve"> may seem a</w:t>
      </w:r>
      <w:r w:rsidRPr="00D46FFF">
        <w:rPr>
          <w:rFonts w:cs="Times New Roman"/>
          <w:lang w:val="en-GB"/>
        </w:rPr>
        <w:t xml:space="preserve"> surprising answe</w:t>
      </w:r>
      <w:r>
        <w:rPr>
          <w:rFonts w:cs="Times New Roman"/>
          <w:lang w:val="en-GB"/>
        </w:rPr>
        <w:t>r</w:t>
      </w:r>
      <w:r w:rsidRPr="00D46FFF">
        <w:rPr>
          <w:rFonts w:cs="Times New Roman"/>
          <w:lang w:val="en-GB"/>
        </w:rPr>
        <w:t>.</w:t>
      </w:r>
      <w:r w:rsidR="00D71B1F">
        <w:rPr>
          <w:rFonts w:cs="Times New Roman"/>
          <w:lang w:val="en-GB"/>
        </w:rPr>
        <w:t xml:space="preserve"> </w:t>
      </w:r>
      <w:r w:rsidR="00721AE9">
        <w:rPr>
          <w:rFonts w:cs="Times New Roman" w:hint="eastAsia"/>
          <w:lang w:val="en-GB"/>
        </w:rPr>
        <w:t>R</w:t>
      </w:r>
      <w:r w:rsidR="00721AE9">
        <w:rPr>
          <w:rFonts w:cs="Times New Roman"/>
          <w:lang w:val="en-GB"/>
        </w:rPr>
        <w:t xml:space="preserve">esearch has identified </w:t>
      </w:r>
      <w:r w:rsidR="007A6EED">
        <w:rPr>
          <w:rFonts w:cs="Times New Roman"/>
          <w:lang w:val="en-GB"/>
        </w:rPr>
        <w:t>the past-oriented emotion</w:t>
      </w:r>
      <w:r w:rsidR="00AD098A">
        <w:rPr>
          <w:rFonts w:cs="Times New Roman"/>
          <w:lang w:val="en-GB"/>
        </w:rPr>
        <w:t xml:space="preserve"> of </w:t>
      </w:r>
      <w:r w:rsidR="00721AE9">
        <w:rPr>
          <w:rFonts w:cs="Times New Roman"/>
          <w:lang w:val="en-GB"/>
        </w:rPr>
        <w:t>nostalgia</w:t>
      </w:r>
      <w:r w:rsidR="00AD098A">
        <w:rPr>
          <w:rFonts w:cs="Times New Roman"/>
          <w:lang w:val="en-GB"/>
        </w:rPr>
        <w:t xml:space="preserve"> </w:t>
      </w:r>
      <w:r w:rsidR="007A6EED">
        <w:rPr>
          <w:rFonts w:cs="Times New Roman"/>
          <w:lang w:val="en-GB"/>
        </w:rPr>
        <w:t>as</w:t>
      </w:r>
      <w:r w:rsidR="00721AE9">
        <w:rPr>
          <w:rFonts w:cs="Times New Roman"/>
          <w:lang w:val="en-GB"/>
        </w:rPr>
        <w:t xml:space="preserve"> </w:t>
      </w:r>
      <w:r w:rsidR="00D71B1F">
        <w:rPr>
          <w:rFonts w:cs="Times New Roman"/>
          <w:lang w:val="en-GB"/>
        </w:rPr>
        <w:t xml:space="preserve">a powerful psychological resource </w:t>
      </w:r>
      <w:r w:rsidR="00724D47" w:rsidRPr="00724D47">
        <w:rPr>
          <w:rFonts w:cs="Times New Roman"/>
          <w:lang w:val="en-GB"/>
        </w:rPr>
        <w:t xml:space="preserve">that boosts the approach motivation necessary for growth </w:t>
      </w:r>
      <w:r w:rsidR="005A7FD5" w:rsidRPr="005A7FD5">
        <w:t>(Huang et al., 2016; Stephan et al., 2014</w:t>
      </w:r>
      <w:r w:rsidR="005A7FD5">
        <w:t>)</w:t>
      </w:r>
      <w:r w:rsidR="007318CA">
        <w:rPr>
          <w:rFonts w:cs="Times New Roman"/>
          <w:lang w:val="en-GB"/>
        </w:rPr>
        <w:t>.</w:t>
      </w:r>
      <w:r w:rsidR="00BB6113">
        <w:rPr>
          <w:rFonts w:cs="Times New Roman"/>
          <w:lang w:val="en-GB"/>
        </w:rPr>
        <w:t xml:space="preserve"> </w:t>
      </w:r>
      <w:r w:rsidR="00610305">
        <w:rPr>
          <w:rFonts w:cs="Times New Roman"/>
          <w:lang w:val="en-GB"/>
        </w:rPr>
        <w:t xml:space="preserve">However, </w:t>
      </w:r>
      <w:r w:rsidR="00473548" w:rsidRPr="00473548">
        <w:rPr>
          <w:szCs w:val="44"/>
          <w:lang w:val="en-GB"/>
        </w:rPr>
        <w:t>not all reflection on the past is functionally equivalent</w:t>
      </w:r>
      <w:r w:rsidR="00D34745">
        <w:rPr>
          <w:szCs w:val="44"/>
          <w:lang w:val="en-GB"/>
        </w:rPr>
        <w:t xml:space="preserve">. </w:t>
      </w:r>
      <w:bookmarkStart w:id="20" w:name="OLE_LINK243"/>
      <w:bookmarkStart w:id="21" w:name="OLE_LINK244"/>
      <w:r w:rsidR="005D5422">
        <w:rPr>
          <w:szCs w:val="44"/>
          <w:lang w:val="en-GB"/>
        </w:rPr>
        <w:t>D</w:t>
      </w:r>
      <w:r w:rsidR="00555357">
        <w:rPr>
          <w:szCs w:val="44"/>
          <w:lang w:val="en-GB"/>
        </w:rPr>
        <w:t>eclinism</w:t>
      </w:r>
      <w:bookmarkEnd w:id="20"/>
      <w:bookmarkEnd w:id="21"/>
      <w:r w:rsidR="003D0394">
        <w:rPr>
          <w:szCs w:val="44"/>
          <w:lang w:val="en-GB"/>
        </w:rPr>
        <w:t>,</w:t>
      </w:r>
      <w:r w:rsidR="005D5422">
        <w:rPr>
          <w:szCs w:val="44"/>
          <w:lang w:val="en-GB"/>
        </w:rPr>
        <w:t xml:space="preserve"> </w:t>
      </w:r>
      <w:r w:rsidR="00A85335">
        <w:rPr>
          <w:szCs w:val="44"/>
          <w:lang w:val="en-GB"/>
        </w:rPr>
        <w:t xml:space="preserve">the belief that the past </w:t>
      </w:r>
      <w:r w:rsidR="00473548">
        <w:rPr>
          <w:szCs w:val="44"/>
          <w:lang w:val="en-GB"/>
        </w:rPr>
        <w:t>wa</w:t>
      </w:r>
      <w:r w:rsidR="00A85335">
        <w:rPr>
          <w:szCs w:val="44"/>
          <w:lang w:val="en-GB"/>
        </w:rPr>
        <w:t>s superior to the present</w:t>
      </w:r>
      <w:r w:rsidR="005D5422">
        <w:rPr>
          <w:szCs w:val="44"/>
          <w:lang w:val="en-GB"/>
        </w:rPr>
        <w:t>,</w:t>
      </w:r>
      <w:r w:rsidR="003D0394">
        <w:rPr>
          <w:szCs w:val="44"/>
          <w:lang w:val="en-GB"/>
        </w:rPr>
        <w:t xml:space="preserve"> </w:t>
      </w:r>
      <w:r w:rsidR="001C697D" w:rsidRPr="001C697D">
        <w:rPr>
          <w:szCs w:val="44"/>
          <w:lang w:val="en-GB"/>
        </w:rPr>
        <w:t>also evokes a wistful longing for what has been lost</w:t>
      </w:r>
      <w:r w:rsidR="00FA5CEA">
        <w:rPr>
          <w:szCs w:val="44"/>
          <w:lang w:val="en-GB"/>
        </w:rPr>
        <w:t>,</w:t>
      </w:r>
      <w:r w:rsidR="001C697D" w:rsidRPr="001C697D">
        <w:rPr>
          <w:szCs w:val="44"/>
          <w:lang w:val="en-GB"/>
        </w:rPr>
        <w:t xml:space="preserve"> but is rooted in a </w:t>
      </w:r>
      <w:r w:rsidR="00AD098A">
        <w:rPr>
          <w:szCs w:val="44"/>
          <w:lang w:val="en-GB"/>
        </w:rPr>
        <w:t>gloomy</w:t>
      </w:r>
      <w:r w:rsidR="001C697D" w:rsidRPr="001C697D">
        <w:rPr>
          <w:szCs w:val="44"/>
          <w:lang w:val="en-GB"/>
        </w:rPr>
        <w:t xml:space="preserve"> view of the current world</w:t>
      </w:r>
      <w:r w:rsidR="00555357">
        <w:rPr>
          <w:szCs w:val="44"/>
          <w:lang w:val="en-GB"/>
        </w:rPr>
        <w:t>.</w:t>
      </w:r>
      <w:r w:rsidR="009D29F0">
        <w:rPr>
          <w:szCs w:val="44"/>
          <w:lang w:val="en-GB"/>
        </w:rPr>
        <w:t xml:space="preserve"> </w:t>
      </w:r>
      <w:r w:rsidR="00AD098A">
        <w:rPr>
          <w:szCs w:val="44"/>
          <w:lang w:val="en-GB"/>
        </w:rPr>
        <w:t xml:space="preserve">Although they may appear </w:t>
      </w:r>
      <w:r w:rsidR="001C697D" w:rsidRPr="001C697D">
        <w:rPr>
          <w:szCs w:val="44"/>
          <w:lang w:val="en-GB"/>
        </w:rPr>
        <w:t xml:space="preserve">similar, </w:t>
      </w:r>
      <w:r w:rsidR="002664E2" w:rsidRPr="002664E2">
        <w:rPr>
          <w:szCs w:val="44"/>
          <w:lang w:val="en-GB"/>
        </w:rPr>
        <w:t>these two constructs</w:t>
      </w:r>
      <w:r w:rsidR="00AD098A">
        <w:rPr>
          <w:szCs w:val="44"/>
          <w:lang w:val="en-GB"/>
        </w:rPr>
        <w:t xml:space="preserve"> are often </w:t>
      </w:r>
      <w:r w:rsidR="002664E2" w:rsidRPr="002664E2">
        <w:rPr>
          <w:szCs w:val="44"/>
          <w:lang w:val="en-GB"/>
        </w:rPr>
        <w:t>conflated in the psychological literature</w:t>
      </w:r>
      <w:r w:rsidR="001C2100">
        <w:rPr>
          <w:szCs w:val="44"/>
          <w:lang w:val="en-GB"/>
        </w:rPr>
        <w:t>,</w:t>
      </w:r>
      <w:r w:rsidR="001C2100" w:rsidRPr="001C2100">
        <w:t xml:space="preserve"> </w:t>
      </w:r>
      <w:r w:rsidR="00AD098A">
        <w:t xml:space="preserve">potentially </w:t>
      </w:r>
      <w:r w:rsidR="001C2100" w:rsidRPr="001C2100">
        <w:rPr>
          <w:szCs w:val="44"/>
          <w:lang w:val="en-GB"/>
        </w:rPr>
        <w:t xml:space="preserve">obscuring their distinct </w:t>
      </w:r>
      <w:r w:rsidR="00AD098A" w:rsidRPr="00AD098A">
        <w:rPr>
          <w:szCs w:val="44"/>
        </w:rPr>
        <w:t>theoretical and empirical contributions.</w:t>
      </w:r>
      <w:r w:rsidR="00AD098A">
        <w:rPr>
          <w:szCs w:val="44"/>
        </w:rPr>
        <w:t xml:space="preserve"> In t</w:t>
      </w:r>
      <w:r w:rsidR="001C2100" w:rsidRPr="001C2100">
        <w:rPr>
          <w:szCs w:val="44"/>
          <w:lang w:val="en-GB"/>
        </w:rPr>
        <w:t xml:space="preserve">his </w:t>
      </w:r>
      <w:r w:rsidR="00AD098A">
        <w:rPr>
          <w:szCs w:val="44"/>
          <w:lang w:val="en-GB"/>
        </w:rPr>
        <w:t xml:space="preserve">article, we seek to clarify this </w:t>
      </w:r>
      <w:r w:rsidR="001C2100" w:rsidRPr="001C2100">
        <w:rPr>
          <w:szCs w:val="44"/>
          <w:lang w:val="en-GB"/>
        </w:rPr>
        <w:t>ambiguity</w:t>
      </w:r>
      <w:r w:rsidR="00AD098A">
        <w:rPr>
          <w:szCs w:val="44"/>
          <w:lang w:val="en-GB"/>
        </w:rPr>
        <w:t xml:space="preserve"> by examining two key issues: (</w:t>
      </w:r>
      <w:r w:rsidR="00A229B1">
        <w:rPr>
          <w:szCs w:val="44"/>
          <w:lang w:val="en-GB"/>
        </w:rPr>
        <w:t>1) whether n</w:t>
      </w:r>
      <w:r w:rsidR="00DC1399">
        <w:rPr>
          <w:szCs w:val="44"/>
          <w:lang w:val="en-GB"/>
        </w:rPr>
        <w:t>ostalgia and declinism are differentially associated</w:t>
      </w:r>
      <w:r w:rsidR="00AD098A">
        <w:rPr>
          <w:szCs w:val="44"/>
          <w:lang w:val="en-GB"/>
        </w:rPr>
        <w:t xml:space="preserve"> with</w:t>
      </w:r>
      <w:r w:rsidR="00DC1399">
        <w:rPr>
          <w:szCs w:val="44"/>
          <w:lang w:val="en-GB"/>
        </w:rPr>
        <w:t xml:space="preserve">, or </w:t>
      </w:r>
      <w:r w:rsidR="00AD098A">
        <w:rPr>
          <w:szCs w:val="44"/>
          <w:lang w:val="en-GB"/>
        </w:rPr>
        <w:t xml:space="preserve">exert distinct effects </w:t>
      </w:r>
      <w:r w:rsidR="00DC1399">
        <w:rPr>
          <w:szCs w:val="44"/>
          <w:lang w:val="en-GB"/>
        </w:rPr>
        <w:t>on</w:t>
      </w:r>
      <w:r w:rsidR="00AD098A">
        <w:rPr>
          <w:szCs w:val="44"/>
          <w:lang w:val="en-GB"/>
        </w:rPr>
        <w:t>,</w:t>
      </w:r>
      <w:r w:rsidR="00DC1399">
        <w:rPr>
          <w:szCs w:val="44"/>
          <w:lang w:val="en-GB"/>
        </w:rPr>
        <w:t xml:space="preserve"> personal growth</w:t>
      </w:r>
      <w:r w:rsidR="00AD098A">
        <w:rPr>
          <w:szCs w:val="44"/>
          <w:lang w:val="en-GB"/>
        </w:rPr>
        <w:t>;</w:t>
      </w:r>
      <w:r w:rsidR="00DC1399">
        <w:rPr>
          <w:szCs w:val="44"/>
          <w:lang w:val="en-GB"/>
        </w:rPr>
        <w:t xml:space="preserve"> and</w:t>
      </w:r>
      <w:r w:rsidR="00DA478E">
        <w:rPr>
          <w:szCs w:val="44"/>
          <w:lang w:val="en-GB"/>
        </w:rPr>
        <w:t xml:space="preserve"> </w:t>
      </w:r>
      <w:r w:rsidR="00AD098A">
        <w:rPr>
          <w:szCs w:val="44"/>
          <w:lang w:val="en-GB"/>
        </w:rPr>
        <w:t>(</w:t>
      </w:r>
      <w:r w:rsidR="00DA478E">
        <w:rPr>
          <w:szCs w:val="44"/>
          <w:lang w:val="en-GB"/>
        </w:rPr>
        <w:t>2)</w:t>
      </w:r>
      <w:r w:rsidR="00DC1399">
        <w:rPr>
          <w:szCs w:val="44"/>
          <w:lang w:val="en-GB"/>
        </w:rPr>
        <w:t xml:space="preserve"> whether the </w:t>
      </w:r>
      <w:r w:rsidR="00AD098A">
        <w:rPr>
          <w:szCs w:val="44"/>
          <w:lang w:val="en-GB"/>
        </w:rPr>
        <w:t>relation</w:t>
      </w:r>
      <w:r w:rsidR="00DC1399">
        <w:rPr>
          <w:szCs w:val="44"/>
          <w:lang w:val="en-GB"/>
        </w:rPr>
        <w:t xml:space="preserve"> </w:t>
      </w:r>
      <w:r w:rsidR="00DC1399" w:rsidRPr="00096F12">
        <w:rPr>
          <w:szCs w:val="44"/>
        </w:rPr>
        <w:t xml:space="preserve">between nostalgia and personal growth </w:t>
      </w:r>
      <w:r w:rsidR="00AD098A">
        <w:rPr>
          <w:szCs w:val="44"/>
        </w:rPr>
        <w:t xml:space="preserve">depends on the specific </w:t>
      </w:r>
      <w:r w:rsidR="00DC1399">
        <w:rPr>
          <w:szCs w:val="44"/>
        </w:rPr>
        <w:t>measure</w:t>
      </w:r>
      <w:r w:rsidR="00AD098A">
        <w:rPr>
          <w:szCs w:val="44"/>
        </w:rPr>
        <w:t xml:space="preserve"> of</w:t>
      </w:r>
      <w:r w:rsidR="00DC1399">
        <w:rPr>
          <w:szCs w:val="44"/>
        </w:rPr>
        <w:t xml:space="preserve"> nostalgia</w:t>
      </w:r>
      <w:r w:rsidR="00AD098A">
        <w:rPr>
          <w:szCs w:val="44"/>
        </w:rPr>
        <w:t xml:space="preserve"> used</w:t>
      </w:r>
      <w:r w:rsidR="00DC1399">
        <w:rPr>
          <w:szCs w:val="44"/>
        </w:rPr>
        <w:t xml:space="preserve">. </w:t>
      </w:r>
      <w:r w:rsidR="00AD098A">
        <w:rPr>
          <w:szCs w:val="44"/>
        </w:rPr>
        <w:t>To</w:t>
      </w:r>
      <w:r w:rsidR="00DC1399">
        <w:rPr>
          <w:szCs w:val="44"/>
        </w:rPr>
        <w:t xml:space="preserve"> address these issues</w:t>
      </w:r>
      <w:r w:rsidR="00AD098A">
        <w:rPr>
          <w:szCs w:val="44"/>
        </w:rPr>
        <w:t xml:space="preserve">, we conducted </w:t>
      </w:r>
      <w:r w:rsidR="00DC1399">
        <w:rPr>
          <w:szCs w:val="44"/>
        </w:rPr>
        <w:t xml:space="preserve">two </w:t>
      </w:r>
      <w:r w:rsidR="00AD098A">
        <w:rPr>
          <w:szCs w:val="44"/>
        </w:rPr>
        <w:t xml:space="preserve">complementary </w:t>
      </w:r>
      <w:r w:rsidR="00DC1399">
        <w:rPr>
          <w:szCs w:val="44"/>
        </w:rPr>
        <w:t>studies, a cross-sectional and an experimental one</w:t>
      </w:r>
      <w:r w:rsidR="009D31FC">
        <w:rPr>
          <w:szCs w:val="44"/>
        </w:rPr>
        <w:t xml:space="preserve">, </w:t>
      </w:r>
      <w:r w:rsidR="00AD098A">
        <w:rPr>
          <w:szCs w:val="44"/>
        </w:rPr>
        <w:t xml:space="preserve">designed </w:t>
      </w:r>
      <w:r w:rsidR="009D31FC" w:rsidRPr="009D31FC">
        <w:rPr>
          <w:szCs w:val="44"/>
        </w:rPr>
        <w:t>to disentangle the unique psychological functions of nostalgia and declinism</w:t>
      </w:r>
      <w:r w:rsidR="00DC1399" w:rsidRPr="00096F12">
        <w:rPr>
          <w:szCs w:val="44"/>
        </w:rPr>
        <w:t>.</w:t>
      </w:r>
      <w:bookmarkStart w:id="22" w:name="OLE_LINK241"/>
      <w:bookmarkStart w:id="23" w:name="OLE_LINK242"/>
      <w:r w:rsidR="00DA478E" w:rsidDel="00DA478E">
        <w:rPr>
          <w:szCs w:val="44"/>
          <w:lang w:val="en-GB"/>
        </w:rPr>
        <w:t xml:space="preserve"> </w:t>
      </w:r>
      <w:bookmarkEnd w:id="22"/>
      <w:bookmarkEnd w:id="23"/>
    </w:p>
    <w:bookmarkEnd w:id="16"/>
    <w:bookmarkEnd w:id="17"/>
    <w:p w14:paraId="572ECF02" w14:textId="26BBD207" w:rsidR="00096F12" w:rsidRPr="00096F12" w:rsidRDefault="00096F12" w:rsidP="00732BE6">
      <w:pPr>
        <w:pStyle w:val="Heading2"/>
        <w:widowControl w:val="0"/>
        <w:rPr>
          <w:lang w:val="en-GB"/>
        </w:rPr>
      </w:pPr>
      <w:r w:rsidRPr="00096F12">
        <w:lastRenderedPageBreak/>
        <w:t>Nostalgia</w:t>
      </w:r>
    </w:p>
    <w:p w14:paraId="2B2FDF94" w14:textId="5B23874F" w:rsidR="006C3B0B" w:rsidRDefault="00212D64" w:rsidP="00732BE6">
      <w:pPr>
        <w:widowControl w:val="0"/>
        <w:rPr>
          <w:rFonts w:cs="Times New Roman"/>
        </w:rPr>
      </w:pPr>
      <w:r w:rsidRPr="008255D5">
        <w:rPr>
          <w:rFonts w:cs="Times New Roman"/>
        </w:rPr>
        <w:t xml:space="preserve">Nostalgia is defined as “an affectionate feeling you have for the past, especially for a particularly happy time” (Collins English Dictionary, 2023). </w:t>
      </w:r>
      <w:r>
        <w:rPr>
          <w:rFonts w:cs="Times New Roman"/>
        </w:rPr>
        <w:t xml:space="preserve">It </w:t>
      </w:r>
      <w:r w:rsidRPr="008255D5">
        <w:rPr>
          <w:rFonts w:cs="Times New Roman"/>
        </w:rPr>
        <w:t>involves the fond recollection of cherished memories</w:t>
      </w:r>
      <w:r>
        <w:rPr>
          <w:rFonts w:cs="Times New Roman"/>
        </w:rPr>
        <w:t xml:space="preserve"> (</w:t>
      </w:r>
      <w:r w:rsidRPr="008255D5">
        <w:rPr>
          <w:rFonts w:cs="Times New Roman"/>
        </w:rPr>
        <w:t xml:space="preserve">e.g., graduations, </w:t>
      </w:r>
      <w:r w:rsidR="002B700C">
        <w:rPr>
          <w:rFonts w:cs="Times New Roman"/>
        </w:rPr>
        <w:t xml:space="preserve">family </w:t>
      </w:r>
      <w:r w:rsidRPr="008255D5">
        <w:rPr>
          <w:rFonts w:cs="Times New Roman"/>
        </w:rPr>
        <w:t xml:space="preserve">vacations, </w:t>
      </w:r>
      <w:r>
        <w:rPr>
          <w:rFonts w:cs="Times New Roman"/>
        </w:rPr>
        <w:t xml:space="preserve">wedding </w:t>
      </w:r>
      <w:r w:rsidRPr="008255D5">
        <w:rPr>
          <w:rFonts w:cs="Times New Roman"/>
        </w:rPr>
        <w:t>anniversaries, Thanksgiving dinners</w:t>
      </w:r>
      <w:r>
        <w:rPr>
          <w:rFonts w:cs="Times New Roman"/>
        </w:rPr>
        <w:t>)</w:t>
      </w:r>
      <w:r w:rsidRPr="008255D5">
        <w:rPr>
          <w:rFonts w:cs="Times New Roman"/>
        </w:rPr>
        <w:t>, often accompanied by a sense of loss due to the irreversible passage of time</w:t>
      </w:r>
      <w:r>
        <w:rPr>
          <w:rFonts w:cs="Times New Roman"/>
        </w:rPr>
        <w:t xml:space="preserve"> (</w:t>
      </w:r>
      <w:r w:rsidRPr="008255D5">
        <w:rPr>
          <w:rFonts w:cs="Times New Roman"/>
        </w:rPr>
        <w:t>Abeyta et al., 2015; Wildschut</w:t>
      </w:r>
      <w:r>
        <w:rPr>
          <w:rFonts w:cs="Times New Roman"/>
        </w:rPr>
        <w:t xml:space="preserve"> et al., 2006; Yin et al., 202</w:t>
      </w:r>
      <w:r w:rsidR="00A44438">
        <w:rPr>
          <w:rFonts w:cs="Times New Roman"/>
        </w:rPr>
        <w:t>4</w:t>
      </w:r>
      <w:r w:rsidRPr="008255D5">
        <w:rPr>
          <w:rFonts w:cs="Times New Roman"/>
        </w:rPr>
        <w:t>). As such, nostalgia is a</w:t>
      </w:r>
      <w:r>
        <w:rPr>
          <w:rFonts w:cs="Times New Roman"/>
        </w:rPr>
        <w:t>n</w:t>
      </w:r>
      <w:r w:rsidRPr="008255D5">
        <w:rPr>
          <w:rFonts w:cs="Times New Roman"/>
        </w:rPr>
        <w:t xml:space="preserve"> ambivalent emotion, blending positive affect</w:t>
      </w:r>
      <w:r w:rsidR="00EA2AA1">
        <w:rPr>
          <w:rFonts w:cs="Times New Roman"/>
        </w:rPr>
        <w:t xml:space="preserve">, </w:t>
      </w:r>
      <w:r w:rsidRPr="008255D5">
        <w:rPr>
          <w:rFonts w:cs="Times New Roman"/>
        </w:rPr>
        <w:t>such as</w:t>
      </w:r>
      <w:r w:rsidR="00EA2AA1">
        <w:rPr>
          <w:rFonts w:cs="Times New Roman"/>
        </w:rPr>
        <w:t xml:space="preserve"> contentment and</w:t>
      </w:r>
      <w:r w:rsidRPr="008255D5">
        <w:rPr>
          <w:rFonts w:cs="Times New Roman"/>
        </w:rPr>
        <w:t xml:space="preserve"> joy</w:t>
      </w:r>
      <w:r w:rsidR="00EA2AA1">
        <w:rPr>
          <w:rFonts w:cs="Times New Roman"/>
        </w:rPr>
        <w:t xml:space="preserve">, </w:t>
      </w:r>
      <w:r w:rsidRPr="008255D5">
        <w:rPr>
          <w:rFonts w:cs="Times New Roman"/>
        </w:rPr>
        <w:t>with a subtle undertone of sadness (Hepper et al., 2012</w:t>
      </w:r>
      <w:r w:rsidR="00A82E06">
        <w:rPr>
          <w:rFonts w:cs="Times New Roman"/>
        </w:rPr>
        <w:t>, 2021</w:t>
      </w:r>
      <w:r w:rsidRPr="008255D5">
        <w:rPr>
          <w:rFonts w:cs="Times New Roman"/>
        </w:rPr>
        <w:t xml:space="preserve">; </w:t>
      </w:r>
      <w:r>
        <w:rPr>
          <w:rFonts w:cs="Times New Roman"/>
        </w:rPr>
        <w:t>Sedikides &amp; Wildschut, 2016</w:t>
      </w:r>
      <w:r w:rsidR="00B45CEE">
        <w:rPr>
          <w:rFonts w:cs="Times New Roman"/>
        </w:rPr>
        <w:t>a</w:t>
      </w:r>
      <w:r w:rsidRPr="008255D5">
        <w:rPr>
          <w:rFonts w:cs="Times New Roman"/>
        </w:rPr>
        <w:t>).</w:t>
      </w:r>
      <w:r>
        <w:rPr>
          <w:rFonts w:cs="Times New Roman"/>
        </w:rPr>
        <w:t xml:space="preserve"> Yet, e</w:t>
      </w:r>
      <w:r w:rsidRPr="008255D5">
        <w:rPr>
          <w:rFonts w:cs="Times New Roman"/>
        </w:rPr>
        <w:t xml:space="preserve">mpirical studies and lay conceptions alike depict nostalgia as predominantly positive </w:t>
      </w:r>
      <w:r>
        <w:rPr>
          <w:rFonts w:cs="Times New Roman"/>
        </w:rPr>
        <w:t xml:space="preserve">and </w:t>
      </w:r>
      <w:r w:rsidRPr="008255D5">
        <w:rPr>
          <w:rFonts w:cs="Times New Roman"/>
        </w:rPr>
        <w:t>imbued with</w:t>
      </w:r>
      <w:r>
        <w:rPr>
          <w:rFonts w:cs="Times New Roman"/>
        </w:rPr>
        <w:t xml:space="preserve"> personal</w:t>
      </w:r>
      <w:r w:rsidRPr="008255D5">
        <w:rPr>
          <w:rFonts w:cs="Times New Roman"/>
        </w:rPr>
        <w:t xml:space="preserve"> meaning (Hepper et al., 201</w:t>
      </w:r>
      <w:r>
        <w:rPr>
          <w:rFonts w:cs="Times New Roman"/>
        </w:rPr>
        <w:t>4</w:t>
      </w:r>
      <w:r w:rsidR="00A82E06">
        <w:rPr>
          <w:rFonts w:cs="Times New Roman"/>
        </w:rPr>
        <w:t>, 2024</w:t>
      </w:r>
      <w:r w:rsidRPr="008255D5">
        <w:rPr>
          <w:rFonts w:cs="Times New Roman"/>
        </w:rPr>
        <w:t>; Sedikides &amp; Wildschut, 2018).</w:t>
      </w:r>
      <w:r w:rsidR="005700C1">
        <w:rPr>
          <w:rFonts w:cs="Times New Roman"/>
        </w:rPr>
        <w:t xml:space="preserve"> Indeed, individuals </w:t>
      </w:r>
      <w:r w:rsidR="00C54085">
        <w:rPr>
          <w:rFonts w:cs="Times New Roman"/>
        </w:rPr>
        <w:t>high in</w:t>
      </w:r>
      <w:r w:rsidR="00EC6482" w:rsidRPr="00EC6482">
        <w:rPr>
          <w:rFonts w:cs="Times New Roman"/>
        </w:rPr>
        <w:t xml:space="preserve"> trait nostalgia </w:t>
      </w:r>
      <w:r w:rsidR="00C54085">
        <w:rPr>
          <w:rFonts w:cs="Times New Roman"/>
        </w:rPr>
        <w:t>or those experiencing experimentally</w:t>
      </w:r>
      <w:r w:rsidR="002167B6">
        <w:rPr>
          <w:rFonts w:cs="Times New Roman"/>
        </w:rPr>
        <w:t xml:space="preserve">-evoked nostalgia </w:t>
      </w:r>
      <w:r w:rsidR="00EC6482" w:rsidRPr="00EC6482">
        <w:rPr>
          <w:rFonts w:cs="Times New Roman"/>
        </w:rPr>
        <w:t xml:space="preserve">rate their past </w:t>
      </w:r>
      <w:r w:rsidR="002167B6" w:rsidRPr="00EC6482">
        <w:rPr>
          <w:rFonts w:cs="Times New Roman"/>
        </w:rPr>
        <w:t xml:space="preserve">selves </w:t>
      </w:r>
      <w:r w:rsidR="00EC6482" w:rsidRPr="00EC6482">
        <w:rPr>
          <w:rFonts w:cs="Times New Roman"/>
        </w:rPr>
        <w:t>favorably (Batcho, 1998</w:t>
      </w:r>
      <w:r w:rsidR="002167B6">
        <w:rPr>
          <w:rFonts w:cs="Times New Roman"/>
        </w:rPr>
        <w:t xml:space="preserve">; </w:t>
      </w:r>
      <w:r w:rsidR="00EC6482" w:rsidRPr="00EC6482">
        <w:rPr>
          <w:rFonts w:cs="Times New Roman"/>
        </w:rPr>
        <w:t>Osborn et al., 2020</w:t>
      </w:r>
      <w:r w:rsidR="00542D8D">
        <w:rPr>
          <w:rFonts w:cs="Times New Roman"/>
        </w:rPr>
        <w:t>; Sedikides &amp; Wildschut, 2024</w:t>
      </w:r>
      <w:r w:rsidR="00EC6482" w:rsidRPr="00EC6482">
        <w:rPr>
          <w:rFonts w:cs="Times New Roman"/>
        </w:rPr>
        <w:t>).</w:t>
      </w:r>
    </w:p>
    <w:p w14:paraId="284FA7A4" w14:textId="7D1DBEF2" w:rsidR="00534F6F" w:rsidRDefault="006C3B0B" w:rsidP="00732BE6">
      <w:pPr>
        <w:widowControl w:val="0"/>
        <w:rPr>
          <w:rFonts w:cs="Times New Roman"/>
        </w:rPr>
      </w:pPr>
      <w:r>
        <w:rPr>
          <w:rFonts w:cs="Times New Roman"/>
        </w:rPr>
        <w:t>N</w:t>
      </w:r>
      <w:r w:rsidR="00A82E06">
        <w:rPr>
          <w:rFonts w:cs="Times New Roman"/>
        </w:rPr>
        <w:t>ostalgia</w:t>
      </w:r>
      <w:r w:rsidR="002B700C">
        <w:rPr>
          <w:rFonts w:cs="Times New Roman"/>
        </w:rPr>
        <w:t xml:space="preserve"> is</w:t>
      </w:r>
      <w:r>
        <w:rPr>
          <w:rFonts w:cs="Times New Roman"/>
        </w:rPr>
        <w:t xml:space="preserve"> also</w:t>
      </w:r>
      <w:r w:rsidR="002B700C">
        <w:rPr>
          <w:rFonts w:cs="Times New Roman"/>
        </w:rPr>
        <w:t xml:space="preserve"> an identity-based emotion. In particular, it</w:t>
      </w:r>
      <w:r w:rsidR="00A82E06">
        <w:rPr>
          <w:rFonts w:cs="Times New Roman"/>
        </w:rPr>
        <w:t xml:space="preserve"> consolidates </w:t>
      </w:r>
      <w:r>
        <w:rPr>
          <w:rFonts w:cs="Times New Roman"/>
        </w:rPr>
        <w:t xml:space="preserve">the self-concept </w:t>
      </w:r>
      <w:r w:rsidR="00A82E06">
        <w:rPr>
          <w:rFonts w:cs="Times New Roman"/>
        </w:rPr>
        <w:t>by fostering self-continuity,</w:t>
      </w:r>
      <w:r>
        <w:rPr>
          <w:rFonts w:cs="Times New Roman"/>
        </w:rPr>
        <w:t xml:space="preserve"> that is, a sense of </w:t>
      </w:r>
      <w:r w:rsidR="00A82E06">
        <w:rPr>
          <w:rFonts w:cs="Times New Roman"/>
        </w:rPr>
        <w:t xml:space="preserve">connection </w:t>
      </w:r>
      <w:r w:rsidR="002B700C">
        <w:rPr>
          <w:rFonts w:cs="Times New Roman"/>
        </w:rPr>
        <w:t>among</w:t>
      </w:r>
      <w:r w:rsidR="00A82E06">
        <w:rPr>
          <w:rFonts w:cs="Times New Roman"/>
        </w:rPr>
        <w:t xml:space="preserve"> one’s past, present, and future</w:t>
      </w:r>
      <w:r w:rsidR="00EA2AA1">
        <w:rPr>
          <w:rFonts w:cs="Times New Roman"/>
        </w:rPr>
        <w:t xml:space="preserve"> selves</w:t>
      </w:r>
      <w:r>
        <w:rPr>
          <w:rFonts w:cs="Times New Roman"/>
        </w:rPr>
        <w:t xml:space="preserve"> </w:t>
      </w:r>
      <w:r w:rsidR="002B700C">
        <w:rPr>
          <w:rFonts w:cs="Times New Roman"/>
        </w:rPr>
        <w:t>(</w:t>
      </w:r>
      <w:r>
        <w:rPr>
          <w:rFonts w:cs="Times New Roman"/>
        </w:rPr>
        <w:t>Hong et al., 2021, 2022; Sedikides et al., 2023).</w:t>
      </w:r>
      <w:r w:rsidR="00B45CEE">
        <w:rPr>
          <w:rFonts w:cs="Times New Roman"/>
        </w:rPr>
        <w:t xml:space="preserve"> </w:t>
      </w:r>
      <w:r w:rsidR="00B45CEE" w:rsidRPr="00B45CEE">
        <w:rPr>
          <w:szCs w:val="44"/>
        </w:rPr>
        <w:t>Furthermore, nostalgia carries motivational implications. Nostalgic memories are not merely retrospective; they serve prospective functions by energizing and directing behavior toward personally meaningful goals</w:t>
      </w:r>
      <w:r w:rsidR="00B45CEE">
        <w:rPr>
          <w:szCs w:val="44"/>
        </w:rPr>
        <w:t xml:space="preserve"> (</w:t>
      </w:r>
      <w:r w:rsidR="00B45CEE">
        <w:rPr>
          <w:rFonts w:cs="Times New Roman"/>
        </w:rPr>
        <w:t>Sedikides et al., 2018</w:t>
      </w:r>
      <w:r w:rsidR="00EA2AA1">
        <w:rPr>
          <w:rFonts w:cs="Times New Roman"/>
        </w:rPr>
        <w:t>; v</w:t>
      </w:r>
      <w:r w:rsidR="00EA2AA1" w:rsidRPr="004948ED">
        <w:rPr>
          <w:color w:val="000000"/>
          <w:szCs w:val="24"/>
        </w:rPr>
        <w:t>an Dijke</w:t>
      </w:r>
      <w:r w:rsidR="00EA2AA1">
        <w:rPr>
          <w:color w:val="000000"/>
          <w:szCs w:val="24"/>
        </w:rPr>
        <w:t xml:space="preserve"> et al., </w:t>
      </w:r>
      <w:r w:rsidR="00EA2AA1" w:rsidRPr="004948ED">
        <w:rPr>
          <w:color w:val="000000"/>
          <w:szCs w:val="24"/>
        </w:rPr>
        <w:t>2019)</w:t>
      </w:r>
      <w:r w:rsidR="00B45CEE" w:rsidRPr="00B45CEE">
        <w:rPr>
          <w:szCs w:val="44"/>
        </w:rPr>
        <w:t xml:space="preserve">. Individuals often draw on nostalgic recollections to reaffirm their values, maintain a sense of purpose, and bolster goal commitment in the face of </w:t>
      </w:r>
      <w:r w:rsidR="00B45CEE" w:rsidRPr="00177133">
        <w:rPr>
          <w:szCs w:val="44"/>
        </w:rPr>
        <w:t xml:space="preserve">challenges </w:t>
      </w:r>
      <w:r w:rsidR="00B45CEE" w:rsidRPr="00177133">
        <w:rPr>
          <w:rFonts w:cs="Times New Roman"/>
        </w:rPr>
        <w:t>(Sedikides &amp; Wildschut, 2016b</w:t>
      </w:r>
      <w:r w:rsidR="00EA2AA1" w:rsidRPr="00177133">
        <w:rPr>
          <w:rFonts w:cs="Times New Roman"/>
        </w:rPr>
        <w:t>,</w:t>
      </w:r>
      <w:r w:rsidR="00534F6F" w:rsidRPr="00177133">
        <w:rPr>
          <w:rFonts w:cs="Times New Roman"/>
        </w:rPr>
        <w:t xml:space="preserve"> in press</w:t>
      </w:r>
      <w:r w:rsidR="00B45CEE" w:rsidRPr="00177133">
        <w:rPr>
          <w:rFonts w:cs="Times New Roman"/>
        </w:rPr>
        <w:t>).</w:t>
      </w:r>
      <w:r w:rsidR="00534F6F" w:rsidRPr="00177133">
        <w:rPr>
          <w:rFonts w:cs="Times New Roman"/>
        </w:rPr>
        <w:t xml:space="preserve"> </w:t>
      </w:r>
      <w:r w:rsidR="00625F7F" w:rsidRPr="00625F7F">
        <w:rPr>
          <w:rFonts w:cs="Times New Roman"/>
          <w:szCs w:val="24"/>
          <w:lang w:val="en-GB"/>
        </w:rPr>
        <w:t>This emotional experience promotes a positive appraisal of one’s current life circumstances and enhances optimism regarding future prospects (Cheung et al., 2013</w:t>
      </w:r>
      <w:r w:rsidR="00625F7F" w:rsidRPr="00177133">
        <w:rPr>
          <w:rFonts w:cs="Times New Roman"/>
          <w:szCs w:val="24"/>
          <w:lang w:val="en-GB"/>
        </w:rPr>
        <w:t>, 2016</w:t>
      </w:r>
      <w:r w:rsidR="00625F7F" w:rsidRPr="00625F7F">
        <w:rPr>
          <w:rFonts w:cs="Times New Roman"/>
          <w:szCs w:val="24"/>
          <w:lang w:val="en-GB"/>
        </w:rPr>
        <w:t>; Sedikides &amp; Wildschut, 2020).</w:t>
      </w:r>
    </w:p>
    <w:p w14:paraId="1D0DDFEA" w14:textId="5A0E8C6E" w:rsidR="001E305A" w:rsidRPr="00096F12" w:rsidRDefault="001E305A" w:rsidP="00732BE6">
      <w:pPr>
        <w:pStyle w:val="Heading2"/>
        <w:widowControl w:val="0"/>
        <w:rPr>
          <w:lang w:val="en-GB"/>
        </w:rPr>
      </w:pPr>
      <w:r>
        <w:t>Declinism</w:t>
      </w:r>
    </w:p>
    <w:p w14:paraId="4F52FCAA" w14:textId="2169F80E" w:rsidR="00625F7F" w:rsidRDefault="00625F7F" w:rsidP="00732BE6">
      <w:pPr>
        <w:widowControl w:val="0"/>
        <w:rPr>
          <w:rFonts w:cs="Times New Roman"/>
          <w:szCs w:val="24"/>
        </w:rPr>
      </w:pPr>
      <w:bookmarkStart w:id="24" w:name="_Hlk200968155"/>
      <w:r w:rsidRPr="00B3633A">
        <w:rPr>
          <w:rFonts w:cs="Times New Roman"/>
          <w:szCs w:val="24"/>
        </w:rPr>
        <w:t xml:space="preserve">Declinism is defined as “a belief that everything is gradually becoming less, worse, or lower” and “liking for things or objects from days of yore” (Cambridge Dictionary; </w:t>
      </w:r>
      <w:hyperlink r:id="rId16" w:history="1">
        <w:r w:rsidRPr="00625F7F">
          <w:rPr>
            <w:rStyle w:val="Hyperlink"/>
            <w:rFonts w:cs="Times New Roman"/>
            <w:color w:val="000000" w:themeColor="text1"/>
            <w:szCs w:val="24"/>
            <w:u w:val="none"/>
          </w:rPr>
          <w:t>https://dictionary.cambridge.org/dictionary/english/declinist</w:t>
        </w:r>
      </w:hyperlink>
      <w:r w:rsidRPr="00625F7F">
        <w:rPr>
          <w:rFonts w:cs="Times New Roman"/>
          <w:color w:val="000000" w:themeColor="text1"/>
          <w:szCs w:val="24"/>
        </w:rPr>
        <w:t>).</w:t>
      </w:r>
      <w:bookmarkEnd w:id="24"/>
      <w:r w:rsidRPr="00625F7F">
        <w:rPr>
          <w:rFonts w:cs="Times New Roman"/>
          <w:color w:val="000000" w:themeColor="text1"/>
          <w:szCs w:val="24"/>
        </w:rPr>
        <w:t xml:space="preserve"> Like nostalgia, declinism evokes a </w:t>
      </w:r>
      <w:r>
        <w:rPr>
          <w:rFonts w:cs="Times New Roman"/>
          <w:szCs w:val="24"/>
        </w:rPr>
        <w:t>longing</w:t>
      </w:r>
      <w:r w:rsidRPr="00B3633A">
        <w:rPr>
          <w:rFonts w:cs="Times New Roman"/>
          <w:szCs w:val="24"/>
        </w:rPr>
        <w:t xml:space="preserve"> for the past and a desire to return to it.</w:t>
      </w:r>
      <w:r>
        <w:rPr>
          <w:rFonts w:cs="Times New Roman"/>
          <w:szCs w:val="24"/>
        </w:rPr>
        <w:t xml:space="preserve"> However, unlike nostalgia, which centers on </w:t>
      </w:r>
      <w:r w:rsidRPr="00B3633A">
        <w:rPr>
          <w:rFonts w:cs="Times New Roman"/>
          <w:szCs w:val="24"/>
        </w:rPr>
        <w:lastRenderedPageBreak/>
        <w:t xml:space="preserve">meaningful aspects of </w:t>
      </w:r>
      <w:r>
        <w:rPr>
          <w:rFonts w:cs="Times New Roman"/>
          <w:szCs w:val="24"/>
        </w:rPr>
        <w:t xml:space="preserve">one’s own past, declinism reflects a broader, often cultural or societal perspective that regards the past as superior to the present </w:t>
      </w:r>
      <w:r w:rsidRPr="00B3633A">
        <w:rPr>
          <w:rFonts w:cs="Times New Roman"/>
          <w:szCs w:val="24"/>
        </w:rPr>
        <w:t>(Stern, 1992</w:t>
      </w:r>
      <w:r>
        <w:rPr>
          <w:rFonts w:cs="Times New Roman"/>
          <w:szCs w:val="24"/>
        </w:rPr>
        <w:t xml:space="preserve">). Specifically, </w:t>
      </w:r>
      <w:r w:rsidRPr="00B3633A">
        <w:rPr>
          <w:rFonts w:cs="Times New Roman"/>
          <w:szCs w:val="24"/>
        </w:rPr>
        <w:t xml:space="preserve">declinism </w:t>
      </w:r>
      <w:r>
        <w:rPr>
          <w:rFonts w:cs="Times New Roman"/>
          <w:szCs w:val="24"/>
        </w:rPr>
        <w:t>entails the belief</w:t>
      </w:r>
      <w:r w:rsidRPr="00B3633A">
        <w:rPr>
          <w:rFonts w:cs="Times New Roman"/>
          <w:szCs w:val="24"/>
        </w:rPr>
        <w:t xml:space="preserve"> that</w:t>
      </w:r>
      <w:r>
        <w:rPr>
          <w:rFonts w:cs="Times New Roman"/>
          <w:szCs w:val="24"/>
        </w:rPr>
        <w:t>, with</w:t>
      </w:r>
      <w:r w:rsidRPr="00B3633A">
        <w:rPr>
          <w:rFonts w:cs="Times New Roman"/>
          <w:szCs w:val="24"/>
        </w:rPr>
        <w:t xml:space="preserve"> the passing of time</w:t>
      </w:r>
      <w:r>
        <w:rPr>
          <w:rFonts w:cs="Times New Roman"/>
          <w:szCs w:val="24"/>
        </w:rPr>
        <w:t>, core elements of society, such as l</w:t>
      </w:r>
      <w:r w:rsidRPr="00B3633A">
        <w:rPr>
          <w:rFonts w:cs="Times New Roman"/>
          <w:szCs w:val="24"/>
        </w:rPr>
        <w:t>iving</w:t>
      </w:r>
      <w:r>
        <w:rPr>
          <w:rFonts w:cs="Times New Roman"/>
          <w:szCs w:val="24"/>
        </w:rPr>
        <w:t xml:space="preserve"> standards, </w:t>
      </w:r>
      <w:r w:rsidRPr="00B3633A">
        <w:rPr>
          <w:rFonts w:cs="Times New Roman"/>
          <w:szCs w:val="24"/>
        </w:rPr>
        <w:t xml:space="preserve">morality, altruism, </w:t>
      </w:r>
      <w:r>
        <w:rPr>
          <w:rFonts w:cs="Times New Roman"/>
          <w:szCs w:val="24"/>
        </w:rPr>
        <w:t xml:space="preserve">and overall </w:t>
      </w:r>
      <w:r w:rsidRPr="00B3633A">
        <w:rPr>
          <w:rFonts w:cs="Times New Roman"/>
          <w:szCs w:val="24"/>
        </w:rPr>
        <w:t xml:space="preserve">quality of life, </w:t>
      </w:r>
      <w:r>
        <w:rPr>
          <w:rFonts w:cs="Times New Roman"/>
          <w:szCs w:val="24"/>
        </w:rPr>
        <w:t xml:space="preserve">have progressively deteriorated </w:t>
      </w:r>
      <w:r w:rsidRPr="00B3633A">
        <w:rPr>
          <w:rFonts w:cs="Times New Roman"/>
          <w:szCs w:val="24"/>
        </w:rPr>
        <w:t xml:space="preserve">(Holbrook, 1993; Mastroianni &amp; Gilbert, 2023; Protzko &amp; Schooler, 2019). </w:t>
      </w:r>
      <w:r w:rsidRPr="00E84161">
        <w:rPr>
          <w:rFonts w:cs="Times New Roman"/>
          <w:szCs w:val="24"/>
        </w:rPr>
        <w:t>It frames the current era as deficient when contrasted with an idealized past, celebrating historical triumphs while lamenting modern shortcomings (Holbrook &amp; Schindler, 1994; Showalter, 1990).</w:t>
      </w:r>
      <w:r>
        <w:rPr>
          <w:rFonts w:cs="Times New Roman"/>
          <w:szCs w:val="24"/>
        </w:rPr>
        <w:t xml:space="preserve"> </w:t>
      </w:r>
      <w:r w:rsidRPr="00E84161">
        <w:rPr>
          <w:rFonts w:cs="Times New Roman"/>
          <w:szCs w:val="24"/>
        </w:rPr>
        <w:t>In this way, declinism extends beyond a mere appreciation of antiquity. It is characterized by a disaffection with the present and a pessimistic outlook on the future, rooted in what Whissen (1989, p. 73) termed an “incurable thirst for the sense of escape.” The phenomenon underscores a perceived barrenness in contemporary life and often manifests in cultural, political, or generational discourses that idealize the past while casting doubt on present and future trajectories (Inglehart, 2018; Sharot, 2011).</w:t>
      </w:r>
    </w:p>
    <w:p w14:paraId="3F41BF8B" w14:textId="13F00EC0" w:rsidR="00177133" w:rsidRDefault="00175F3B" w:rsidP="00732BE6">
      <w:pPr>
        <w:widowControl w:val="0"/>
        <w:rPr>
          <w:rFonts w:cs="Times New Roman"/>
          <w:szCs w:val="24"/>
        </w:rPr>
      </w:pPr>
      <w:r>
        <w:rPr>
          <w:rFonts w:cs="Times New Roman"/>
          <w:szCs w:val="24"/>
          <w:lang w:val="en-GB"/>
        </w:rPr>
        <w:t xml:space="preserve">Although nostalgia is associated with positive personal and interpersonal outcomes </w:t>
      </w:r>
      <w:r w:rsidRPr="00B50943">
        <w:rPr>
          <w:rFonts w:cs="Times New Roman"/>
          <w:szCs w:val="24"/>
          <w:lang w:val="en-GB"/>
        </w:rPr>
        <w:t>(Hepper &amp; Dennis, 2023; Layous</w:t>
      </w:r>
      <w:r w:rsidR="00B50943" w:rsidRPr="00B50943">
        <w:rPr>
          <w:rFonts w:cs="Times New Roman"/>
          <w:szCs w:val="24"/>
          <w:lang w:val="en-GB"/>
        </w:rPr>
        <w:t xml:space="preserve"> et al., 2022</w:t>
      </w:r>
      <w:r w:rsidRPr="00B50943">
        <w:rPr>
          <w:rFonts w:cs="Times New Roman"/>
          <w:szCs w:val="24"/>
          <w:lang w:val="en-GB"/>
        </w:rPr>
        <w:t xml:space="preserve">; </w:t>
      </w:r>
      <w:r w:rsidRPr="00625F7F">
        <w:rPr>
          <w:rFonts w:cs="Times New Roman"/>
          <w:szCs w:val="24"/>
          <w:lang w:val="en-GB"/>
        </w:rPr>
        <w:t xml:space="preserve">Sedikides &amp; Wildschut, </w:t>
      </w:r>
      <w:r w:rsidRPr="00B50943">
        <w:rPr>
          <w:rFonts w:cs="Times New Roman"/>
          <w:szCs w:val="24"/>
          <w:lang w:val="en-GB"/>
        </w:rPr>
        <w:t>2019</w:t>
      </w:r>
      <w:r w:rsidRPr="00625F7F">
        <w:rPr>
          <w:rFonts w:cs="Times New Roman"/>
          <w:szCs w:val="24"/>
          <w:lang w:val="en-GB"/>
        </w:rPr>
        <w:t>)</w:t>
      </w:r>
      <w:r w:rsidRPr="00B50943">
        <w:rPr>
          <w:rFonts w:cs="Times New Roman"/>
          <w:szCs w:val="24"/>
          <w:lang w:val="en-GB"/>
        </w:rPr>
        <w:t>, declinism is likely</w:t>
      </w:r>
      <w:r>
        <w:rPr>
          <w:rFonts w:cs="Times New Roman"/>
          <w:szCs w:val="24"/>
          <w:lang w:val="en-GB"/>
        </w:rPr>
        <w:t xml:space="preserve"> to be associated with negative outcomes. As a case in point, </w:t>
      </w:r>
      <w:r w:rsidRPr="00150F2A">
        <w:rPr>
          <w:rFonts w:cs="Times New Roman"/>
          <w:szCs w:val="24"/>
        </w:rPr>
        <w:t xml:space="preserve">declinism has been linked to </w:t>
      </w:r>
      <w:r w:rsidR="00177133">
        <w:rPr>
          <w:rFonts w:cs="Times New Roman"/>
          <w:szCs w:val="24"/>
        </w:rPr>
        <w:t>decreased</w:t>
      </w:r>
      <w:r w:rsidRPr="00150F2A">
        <w:rPr>
          <w:rFonts w:cs="Times New Roman"/>
          <w:szCs w:val="24"/>
        </w:rPr>
        <w:t xml:space="preserve"> faith in human nature (Abrams, 1988; Batcho, 2013), interpersonal trust (Putnam, 2000; Twenge et al., 2014), </w:t>
      </w:r>
      <w:r w:rsidR="007420DF">
        <w:rPr>
          <w:rFonts w:cs="Times New Roman"/>
          <w:szCs w:val="24"/>
        </w:rPr>
        <w:t xml:space="preserve">and </w:t>
      </w:r>
      <w:r w:rsidR="00177133">
        <w:rPr>
          <w:rFonts w:cs="Times New Roman"/>
          <w:szCs w:val="24"/>
        </w:rPr>
        <w:t>importance of s</w:t>
      </w:r>
      <w:r w:rsidRPr="00150F2A">
        <w:rPr>
          <w:rFonts w:cs="Times New Roman"/>
          <w:szCs w:val="24"/>
        </w:rPr>
        <w:t>ocial relationships (Showalter, 1990; Twenge et al., 2014)</w:t>
      </w:r>
      <w:r w:rsidR="00520420">
        <w:rPr>
          <w:rFonts w:cs="Times New Roman"/>
          <w:szCs w:val="24"/>
        </w:rPr>
        <w:t xml:space="preserve"> </w:t>
      </w:r>
      <w:r w:rsidR="007420DF">
        <w:rPr>
          <w:rFonts w:cs="Times New Roman"/>
          <w:szCs w:val="24"/>
        </w:rPr>
        <w:t xml:space="preserve">as well as with increased </w:t>
      </w:r>
      <w:r w:rsidR="00177133">
        <w:rPr>
          <w:rFonts w:cs="Times New Roman"/>
          <w:szCs w:val="24"/>
        </w:rPr>
        <w:t>pessimism (Herman, 2009;</w:t>
      </w:r>
      <w:r w:rsidR="00177133" w:rsidRPr="00177133">
        <w:rPr>
          <w:rFonts w:cs="Times New Roman"/>
          <w:szCs w:val="24"/>
        </w:rPr>
        <w:t xml:space="preserve"> </w:t>
      </w:r>
      <w:r w:rsidR="00177133" w:rsidRPr="00177133">
        <w:rPr>
          <w:rFonts w:cs="Times New Roman"/>
          <w:szCs w:val="24"/>
          <w:lang w:val="en-GB"/>
        </w:rPr>
        <w:t>Milojević</w:t>
      </w:r>
      <w:r w:rsidR="00177133">
        <w:rPr>
          <w:rFonts w:cs="Times New Roman"/>
          <w:szCs w:val="24"/>
          <w:lang w:val="en-GB"/>
        </w:rPr>
        <w:t>, 2021).</w:t>
      </w:r>
    </w:p>
    <w:p w14:paraId="31663E41" w14:textId="7B728BDA" w:rsidR="00177133" w:rsidRPr="005E2517" w:rsidRDefault="00177133" w:rsidP="00732BE6">
      <w:pPr>
        <w:pStyle w:val="Heading2"/>
        <w:widowControl w:val="0"/>
      </w:pPr>
      <w:r w:rsidRPr="00177133">
        <w:t xml:space="preserve">Divergent </w:t>
      </w:r>
      <w:r>
        <w:t>Relations</w:t>
      </w:r>
      <w:r w:rsidRPr="00177133">
        <w:t xml:space="preserve"> </w:t>
      </w:r>
      <w:r w:rsidR="00A05FE3">
        <w:t xml:space="preserve">of </w:t>
      </w:r>
      <w:r w:rsidR="00A05FE3" w:rsidRPr="00177133">
        <w:t>Nostalgia</w:t>
      </w:r>
      <w:r w:rsidR="00A05FE3">
        <w:t xml:space="preserve"> and</w:t>
      </w:r>
      <w:r w:rsidR="00A05FE3" w:rsidRPr="00177133">
        <w:t xml:space="preserve"> Declinism </w:t>
      </w:r>
      <w:r w:rsidR="007420DF">
        <w:t>W</w:t>
      </w:r>
      <w:r w:rsidRPr="00177133">
        <w:t>ith Personal Growth</w:t>
      </w:r>
      <w:r w:rsidR="0062511C">
        <w:t>: A Confirmatory Approach</w:t>
      </w:r>
    </w:p>
    <w:p w14:paraId="429C8155" w14:textId="04DC4F71" w:rsidR="002C50E4" w:rsidRDefault="00520420" w:rsidP="00732BE6">
      <w:pPr>
        <w:widowControl w:val="0"/>
      </w:pPr>
      <w:r>
        <w:t xml:space="preserve">Consistent </w:t>
      </w:r>
      <w:r w:rsidR="006672FA">
        <w:t xml:space="preserve">with its motivational </w:t>
      </w:r>
      <w:r>
        <w:t>character</w:t>
      </w:r>
      <w:r w:rsidR="006672FA">
        <w:t>,</w:t>
      </w:r>
      <w:r w:rsidR="002C50E4">
        <w:t xml:space="preserve"> </w:t>
      </w:r>
      <w:r w:rsidR="004B4320">
        <w:rPr>
          <w:rFonts w:cs="Times New Roman"/>
          <w:color w:val="4472C4" w:themeColor="accent1"/>
        </w:rPr>
        <w:t>p</w:t>
      </w:r>
      <w:r w:rsidR="004B4320" w:rsidRPr="00AA2500">
        <w:rPr>
          <w:rFonts w:cs="Times New Roman"/>
          <w:color w:val="4472C4" w:themeColor="accent1"/>
        </w:rPr>
        <w:t>ersonal growth is defined as the deliberate and sustained effort to cultivate one’s personality and actively shape the trajectory of one’s life to improve oneself (Brandtstädter et al., 1999; Lerner &amp; Walls, 1999, Robitschek et al., 2012).</w:t>
      </w:r>
      <w:r w:rsidR="004B4320">
        <w:rPr>
          <w:rFonts w:cs="Times New Roman"/>
          <w:color w:val="4472C4" w:themeColor="accent1"/>
        </w:rPr>
        <w:t xml:space="preserve"> </w:t>
      </w:r>
      <w:r w:rsidR="002C50E4" w:rsidRPr="00B45CEE">
        <w:t>This orientation</w:t>
      </w:r>
      <w:r w:rsidR="002C50E4">
        <w:t>, also referred to as “</w:t>
      </w:r>
      <w:r w:rsidR="002C50E4" w:rsidRPr="00434189">
        <w:rPr>
          <w:rFonts w:cs="Times New Roman"/>
          <w:szCs w:val="24"/>
        </w:rPr>
        <w:t>the potential to … seek out</w:t>
      </w:r>
      <w:r w:rsidR="002C50E4">
        <w:rPr>
          <w:rFonts w:cs="Times New Roman"/>
          <w:szCs w:val="24"/>
        </w:rPr>
        <w:t xml:space="preserve"> </w:t>
      </w:r>
      <w:r w:rsidR="002C50E4" w:rsidRPr="00434189">
        <w:rPr>
          <w:rFonts w:cs="Times New Roman"/>
          <w:szCs w:val="24"/>
        </w:rPr>
        <w:t>optimal challenges”</w:t>
      </w:r>
      <w:r w:rsidR="002C50E4">
        <w:rPr>
          <w:rFonts w:cs="Times New Roman"/>
          <w:szCs w:val="24"/>
        </w:rPr>
        <w:t xml:space="preserve"> (Baldwin &amp; Landau, 2024, p. 163)</w:t>
      </w:r>
      <w:r w:rsidR="006672FA">
        <w:rPr>
          <w:rFonts w:cs="Times New Roman"/>
          <w:szCs w:val="24"/>
        </w:rPr>
        <w:t>,</w:t>
      </w:r>
      <w:r w:rsidR="002C50E4" w:rsidRPr="00B45CEE">
        <w:t xml:space="preserve"> reflects a proactive engagement with the self and a commitment to continuous self-improvement</w:t>
      </w:r>
      <w:r w:rsidR="002C50E4">
        <w:t xml:space="preserve"> </w:t>
      </w:r>
      <w:r w:rsidR="002C50E4" w:rsidRPr="00400796">
        <w:t>(Weigold</w:t>
      </w:r>
      <w:r w:rsidR="002C50E4">
        <w:t xml:space="preserve"> et al., </w:t>
      </w:r>
      <w:r w:rsidR="002C50E4" w:rsidRPr="00400796">
        <w:t>2013; Weigold &amp; Robitschek, 2011).</w:t>
      </w:r>
      <w:r w:rsidR="00D7500F">
        <w:t xml:space="preserve"> </w:t>
      </w:r>
    </w:p>
    <w:p w14:paraId="4FE55B32" w14:textId="739D535C" w:rsidR="007E214B" w:rsidRDefault="0082250D" w:rsidP="0049182B">
      <w:pPr>
        <w:widowControl w:val="0"/>
      </w:pPr>
      <w:r>
        <w:rPr>
          <w:szCs w:val="44"/>
        </w:rPr>
        <w:lastRenderedPageBreak/>
        <w:t>We</w:t>
      </w:r>
      <w:r w:rsidR="00520420">
        <w:rPr>
          <w:szCs w:val="44"/>
        </w:rPr>
        <w:t xml:space="preserve"> are interested in </w:t>
      </w:r>
      <w:r w:rsidR="002814C2">
        <w:rPr>
          <w:szCs w:val="44"/>
        </w:rPr>
        <w:t>the</w:t>
      </w:r>
      <w:r>
        <w:rPr>
          <w:szCs w:val="44"/>
        </w:rPr>
        <w:t xml:space="preserve"> </w:t>
      </w:r>
      <w:r w:rsidR="002814C2">
        <w:rPr>
          <w:szCs w:val="44"/>
        </w:rPr>
        <w:t xml:space="preserve">relation, correlational </w:t>
      </w:r>
      <w:r w:rsidR="00A05FE3">
        <w:rPr>
          <w:szCs w:val="44"/>
        </w:rPr>
        <w:t xml:space="preserve">or </w:t>
      </w:r>
      <w:r w:rsidR="002814C2">
        <w:rPr>
          <w:szCs w:val="44"/>
        </w:rPr>
        <w:t>causal, between nostalgia and personal growth.</w:t>
      </w:r>
      <w:r w:rsidR="00752087">
        <w:rPr>
          <w:szCs w:val="44"/>
        </w:rPr>
        <w:t xml:space="preserve"> </w:t>
      </w:r>
      <w:r w:rsidR="0049182B">
        <w:t>Individuals conceptualize nostalgia</w:t>
      </w:r>
      <w:r w:rsidR="007E214B" w:rsidRPr="00915612">
        <w:t xml:space="preserve"> as an approach-oriented rather than an avoidance-oriented emotion (</w:t>
      </w:r>
      <w:r w:rsidR="006465C3">
        <w:t>v</w:t>
      </w:r>
      <w:r w:rsidR="007E214B" w:rsidRPr="00915612">
        <w:t>an Tilburg</w:t>
      </w:r>
      <w:r w:rsidR="007E214B">
        <w:t xml:space="preserve"> et al., </w:t>
      </w:r>
      <w:r w:rsidR="007E214B" w:rsidRPr="00915612">
        <w:t xml:space="preserve">2018). </w:t>
      </w:r>
      <w:r w:rsidR="003514CB" w:rsidRPr="00434189">
        <w:t xml:space="preserve">Approach motivation is “the impulse to go </w:t>
      </w:r>
      <w:r w:rsidR="003514CB">
        <w:t>for</w:t>
      </w:r>
      <w:r w:rsidR="003514CB" w:rsidRPr="00434189">
        <w:t>ward”</w:t>
      </w:r>
      <w:r w:rsidR="003514CB">
        <w:t xml:space="preserve"> </w:t>
      </w:r>
      <w:bookmarkStart w:id="25" w:name="OLE_LINK236"/>
      <w:bookmarkStart w:id="26" w:name="OLE_LINK237"/>
      <w:r w:rsidR="003514CB" w:rsidRPr="00434189">
        <w:t>(Harmon-Jones</w:t>
      </w:r>
      <w:r w:rsidR="003514CB">
        <w:t xml:space="preserve"> et al., </w:t>
      </w:r>
      <w:r w:rsidR="003514CB" w:rsidRPr="00434189">
        <w:t>2013</w:t>
      </w:r>
      <w:bookmarkEnd w:id="25"/>
      <w:bookmarkEnd w:id="26"/>
      <w:r w:rsidR="003514CB" w:rsidRPr="00434189">
        <w:t xml:space="preserve">, p. 291) </w:t>
      </w:r>
      <w:r w:rsidR="003514CB">
        <w:t>or</w:t>
      </w:r>
      <w:r w:rsidR="003514CB" w:rsidRPr="00434189">
        <w:t xml:space="preserve"> “the energization of behavior by, or the direction of behavior</w:t>
      </w:r>
      <w:r w:rsidR="003514CB">
        <w:t xml:space="preserve"> </w:t>
      </w:r>
      <w:r w:rsidR="003514CB" w:rsidRPr="00434189">
        <w:t>toward, positive stimuli (objects, events, possibilities)” (Elliot, 2006,</w:t>
      </w:r>
      <w:r w:rsidR="003514CB">
        <w:t xml:space="preserve"> </w:t>
      </w:r>
      <w:r w:rsidR="003514CB" w:rsidRPr="00434189">
        <w:t xml:space="preserve">p. 111). </w:t>
      </w:r>
      <w:r w:rsidR="003514CB">
        <w:t>It can be initiated by both</w:t>
      </w:r>
      <w:r w:rsidR="003514CB" w:rsidRPr="00434189">
        <w:t xml:space="preserve"> trait (Gray</w:t>
      </w:r>
      <w:r w:rsidR="003514CB">
        <w:t xml:space="preserve"> </w:t>
      </w:r>
      <w:r w:rsidR="003514CB" w:rsidRPr="00434189">
        <w:t>&amp;</w:t>
      </w:r>
      <w:r w:rsidR="003514CB">
        <w:t xml:space="preserve"> </w:t>
      </w:r>
      <w:r w:rsidR="003514CB" w:rsidRPr="00434189">
        <w:t xml:space="preserve">McNaughton, 2000) </w:t>
      </w:r>
      <w:r w:rsidR="003514CB">
        <w:t>and</w:t>
      </w:r>
      <w:r w:rsidR="003514CB" w:rsidRPr="00434189">
        <w:t xml:space="preserve"> state</w:t>
      </w:r>
      <w:r w:rsidR="003514CB">
        <w:t xml:space="preserve"> </w:t>
      </w:r>
      <w:r w:rsidR="003514CB" w:rsidRPr="00434189">
        <w:t>(Panksepp, 1998) processes.</w:t>
      </w:r>
      <w:r w:rsidR="003514CB">
        <w:t xml:space="preserve"> </w:t>
      </w:r>
      <w:r w:rsidR="00B62B8C">
        <w:rPr>
          <w:rFonts w:hint="eastAsia"/>
        </w:rPr>
        <w:t>At</w:t>
      </w:r>
      <w:r w:rsidR="00B62B8C">
        <w:t xml:space="preserve"> the trait level</w:t>
      </w:r>
      <w:r w:rsidR="007E214B" w:rsidRPr="00915612">
        <w:t xml:space="preserve">, nostalgia </w:t>
      </w:r>
      <w:r w:rsidR="007E214B">
        <w:t>is</w:t>
      </w:r>
      <w:r w:rsidR="007E214B" w:rsidRPr="00915612">
        <w:t xml:space="preserve"> positively</w:t>
      </w:r>
      <w:r w:rsidR="007E214B">
        <w:t xml:space="preserve"> associated</w:t>
      </w:r>
      <w:r w:rsidR="007E214B" w:rsidRPr="00915612">
        <w:t xml:space="preserve"> with approach motivation (Stephan et al., 2014, Studies 1–2</w:t>
      </w:r>
      <w:r w:rsidR="007E214B">
        <w:t xml:space="preserve">), with the latter construct being operationalized in terms of the </w:t>
      </w:r>
      <w:r w:rsidR="007E214B" w:rsidRPr="00915612">
        <w:t>Behavioral Activation System scale</w:t>
      </w:r>
      <w:r w:rsidR="007E214B">
        <w:t xml:space="preserve"> (</w:t>
      </w:r>
      <w:r w:rsidR="007E214B" w:rsidRPr="00915612">
        <w:t>Carver &amp; White, 1994</w:t>
      </w:r>
      <w:r w:rsidR="007E214B">
        <w:t xml:space="preserve">), and in particular the </w:t>
      </w:r>
      <w:r w:rsidR="007E214B" w:rsidRPr="00915612">
        <w:t>Fun Seeking (e.g., “I will often do things for no other reason than that they might be fun”</w:t>
      </w:r>
      <w:r w:rsidR="007E214B">
        <w:t xml:space="preserve">) and </w:t>
      </w:r>
      <w:r w:rsidR="007E214B" w:rsidRPr="00915612">
        <w:t>Drive (e.g., “I go out of my way to get things I want”</w:t>
      </w:r>
      <w:r w:rsidR="007E214B">
        <w:t xml:space="preserve">) subscales. </w:t>
      </w:r>
      <w:r w:rsidR="00B62B8C">
        <w:t>At the state level</w:t>
      </w:r>
      <w:r w:rsidR="007E214B">
        <w:t xml:space="preserve">, experimentally induced nostalgia strengthens </w:t>
      </w:r>
      <w:r w:rsidR="007E214B" w:rsidRPr="00915612">
        <w:t>approach motivation</w:t>
      </w:r>
      <w:r w:rsidR="007E214B">
        <w:t xml:space="preserve"> (i.e., fun seeking and drive)</w:t>
      </w:r>
      <w:r w:rsidR="007E214B" w:rsidRPr="00915612">
        <w:t xml:space="preserve">, </w:t>
      </w:r>
      <w:r w:rsidR="007E214B">
        <w:t xml:space="preserve">measured with the state version of the </w:t>
      </w:r>
      <w:r w:rsidR="007E214B" w:rsidRPr="00915612">
        <w:t>Behavioral Activation System scale</w:t>
      </w:r>
      <w:r w:rsidR="007E214B">
        <w:t xml:space="preserve"> </w:t>
      </w:r>
      <w:bookmarkStart w:id="27" w:name="_Hlk201161832"/>
      <w:bookmarkStart w:id="28" w:name="OLE_LINK238"/>
      <w:r w:rsidR="007E214B">
        <w:t>(</w:t>
      </w:r>
      <w:r w:rsidR="007E214B" w:rsidRPr="00915612">
        <w:t>Huang</w:t>
      </w:r>
      <w:r w:rsidR="007E214B">
        <w:t xml:space="preserve"> et al., </w:t>
      </w:r>
      <w:r w:rsidR="007E214B" w:rsidRPr="00915612">
        <w:t>2016, Study 4</w:t>
      </w:r>
      <w:r w:rsidR="007E214B">
        <w:t xml:space="preserve">; </w:t>
      </w:r>
      <w:r w:rsidR="007E214B" w:rsidRPr="00915612">
        <w:t>Stephan et al., 2014,</w:t>
      </w:r>
      <w:bookmarkEnd w:id="27"/>
      <w:bookmarkEnd w:id="28"/>
      <w:r w:rsidR="007E214B" w:rsidRPr="00915612">
        <w:t xml:space="preserve"> Study 3).</w:t>
      </w:r>
    </w:p>
    <w:p w14:paraId="612699D2" w14:textId="1A4F9CF1" w:rsidR="00752087" w:rsidRDefault="000B2E74" w:rsidP="00732BE6">
      <w:pPr>
        <w:widowControl w:val="0"/>
      </w:pPr>
      <w:r>
        <w:t>G</w:t>
      </w:r>
      <w:r w:rsidR="005F26A9">
        <w:rPr>
          <w:rFonts w:hint="eastAsia"/>
        </w:rPr>
        <w:t>iven</w:t>
      </w:r>
      <w:r>
        <w:t xml:space="preserve"> that</w:t>
      </w:r>
      <w:r w:rsidRPr="000B2E74">
        <w:t xml:space="preserve"> </w:t>
      </w:r>
      <w:r w:rsidR="00520420">
        <w:t>striving</w:t>
      </w:r>
      <w:r w:rsidR="00752087" w:rsidRPr="00BF1CD2">
        <w:t xml:space="preserve"> for </w:t>
      </w:r>
      <w:bookmarkStart w:id="29" w:name="OLE_LINK228"/>
      <w:bookmarkStart w:id="30" w:name="OLE_LINK229"/>
      <w:r w:rsidR="00752087" w:rsidRPr="00BF1CD2">
        <w:t>personal growth</w:t>
      </w:r>
      <w:bookmarkEnd w:id="29"/>
      <w:bookmarkEnd w:id="30"/>
      <w:r w:rsidR="00752087" w:rsidRPr="00BF1CD2">
        <w:t xml:space="preserve"> constitutes a form of approach motivation</w:t>
      </w:r>
      <w:r>
        <w:t xml:space="preserve">, </w:t>
      </w:r>
      <w:r w:rsidR="00732BE6">
        <w:t>w</w:t>
      </w:r>
      <w:r w:rsidR="00732BE6" w:rsidRPr="00BF1CD2">
        <w:t>e contend</w:t>
      </w:r>
      <w:r w:rsidR="00732BE6">
        <w:t xml:space="preserve"> that </w:t>
      </w:r>
      <w:r w:rsidR="006474CA" w:rsidRPr="00BF1CD2">
        <w:t>personal growth</w:t>
      </w:r>
      <w:r>
        <w:t xml:space="preserve"> is positively linked with and </w:t>
      </w:r>
      <w:r w:rsidR="0033108E">
        <w:t>galvanized by nostalgia</w:t>
      </w:r>
      <w:r w:rsidR="00752087" w:rsidRPr="00BF1CD2">
        <w:t>.</w:t>
      </w:r>
      <w:r w:rsidR="00520420">
        <w:t xml:space="preserve"> In s</w:t>
      </w:r>
      <w:r w:rsidR="00CF57C2" w:rsidRPr="00BF1CD2">
        <w:t>upporting this view,</w:t>
      </w:r>
      <w:r w:rsidR="00CF57C2">
        <w:t xml:space="preserve"> </w:t>
      </w:r>
      <w:r w:rsidR="00752087" w:rsidRPr="00BF1CD2">
        <w:t xml:space="preserve">the </w:t>
      </w:r>
      <w:bookmarkStart w:id="31" w:name="OLE_LINK222"/>
      <w:bookmarkStart w:id="32" w:name="OLE_LINK223"/>
      <w:r w:rsidR="00752087" w:rsidRPr="00BF1CD2">
        <w:t>construct of nostalgia encompass</w:t>
      </w:r>
      <w:r w:rsidR="00CF57C2">
        <w:t>es</w:t>
      </w:r>
      <w:r w:rsidR="00752087" w:rsidRPr="00BF1CD2">
        <w:t xml:space="preserve"> prototypical features indicative of growth</w:t>
      </w:r>
      <w:bookmarkEnd w:id="31"/>
      <w:bookmarkEnd w:id="32"/>
      <w:r w:rsidR="00752087" w:rsidRPr="00BF1CD2">
        <w:t xml:space="preserve">. </w:t>
      </w:r>
      <w:r w:rsidR="00CF57C2">
        <w:t xml:space="preserve">For example, </w:t>
      </w:r>
      <w:r w:rsidR="00752087" w:rsidRPr="00BF1CD2">
        <w:t xml:space="preserve">laypersons spontaneously employ growth-related </w:t>
      </w:r>
      <w:r w:rsidR="00752087" w:rsidRPr="00174052">
        <w:t>language, such as references to change and the future, when describing nostalgic experiences</w:t>
      </w:r>
      <w:r w:rsidR="00752087" w:rsidRPr="00BF1CD2">
        <w:t xml:space="preserve"> (Hepper et al., 2012, Studies 1–2).</w:t>
      </w:r>
      <w:r w:rsidR="00752087">
        <w:t xml:space="preserve"> Also, </w:t>
      </w:r>
      <w:r w:rsidR="003D64D1">
        <w:t>i</w:t>
      </w:r>
      <w:r w:rsidR="00752087" w:rsidRPr="00BF1CD2">
        <w:t>ndirect evidence supports this proposition</w:t>
      </w:r>
      <w:r w:rsidR="00011C1F">
        <w:t xml:space="preserve">. As </w:t>
      </w:r>
      <w:r w:rsidR="00752087" w:rsidRPr="00BF1CD2">
        <w:t>Baldwin</w:t>
      </w:r>
      <w:r w:rsidR="00011C1F">
        <w:t xml:space="preserve"> and</w:t>
      </w:r>
      <w:r w:rsidR="00752087" w:rsidRPr="00BF1CD2">
        <w:t xml:space="preserve"> Landau</w:t>
      </w:r>
      <w:r w:rsidR="00011C1F">
        <w:t xml:space="preserve"> (</w:t>
      </w:r>
      <w:r w:rsidR="00752087" w:rsidRPr="00BF1CD2">
        <w:t>2014)</w:t>
      </w:r>
      <w:r w:rsidR="00011C1F">
        <w:t xml:space="preserve"> illustrated, n</w:t>
      </w:r>
      <w:r w:rsidR="00752087" w:rsidRPr="00BF1CD2">
        <w:t>ostalgia increase</w:t>
      </w:r>
      <w:r w:rsidR="00752087">
        <w:t>s</w:t>
      </w:r>
      <w:r w:rsidR="00752087" w:rsidRPr="00BF1CD2">
        <w:t xml:space="preserve"> curiosity and exploratory tendencies</w:t>
      </w:r>
      <w:r w:rsidR="00752087">
        <w:t xml:space="preserve">, </w:t>
      </w:r>
      <w:r w:rsidR="00752087" w:rsidRPr="00BF1CD2">
        <w:t>constructs closely linked to personal growth</w:t>
      </w:r>
      <w:r w:rsidR="00752087">
        <w:t xml:space="preserve">, </w:t>
      </w:r>
      <w:r w:rsidR="00752087" w:rsidRPr="00BF1CD2">
        <w:t xml:space="preserve">when assessed with the Curiosity and Exploration Inventory (e.g., “I am the kind of person who embraces unfamiliar people, events, and places”; “I view challenging situations as an opportunity to grow and learn”; Kashdan et al., 2009) and the Exploration Inventory (e.g., “I would like to spend a semester studying abroad”; “I would like to try bungee jumping, skydiving, or other adventurous activities”; Green &amp; Campbell, 2000). </w:t>
      </w:r>
      <w:r w:rsidR="00752087">
        <w:t>Based on the above literature review, we hypothesi</w:t>
      </w:r>
      <w:r w:rsidR="005F1EA6">
        <w:t>ze</w:t>
      </w:r>
      <w:r w:rsidR="00752087">
        <w:t xml:space="preserve"> that </w:t>
      </w:r>
      <w:r w:rsidR="00752087" w:rsidRPr="00BF1CD2">
        <w:t>nostalgia</w:t>
      </w:r>
      <w:r w:rsidR="00A96ECA">
        <w:t xml:space="preserve"> is associated with, or</w:t>
      </w:r>
      <w:r w:rsidR="00752087" w:rsidRPr="00BF1CD2">
        <w:t xml:space="preserve"> galvanizes</w:t>
      </w:r>
      <w:r w:rsidR="00A96ECA">
        <w:t>,</w:t>
      </w:r>
      <w:r w:rsidR="00752087" w:rsidRPr="00BF1CD2">
        <w:t xml:space="preserve"> </w:t>
      </w:r>
      <w:r w:rsidR="00752087">
        <w:t>personal growth</w:t>
      </w:r>
      <w:r w:rsidR="00630E36">
        <w:t xml:space="preserve"> </w:t>
      </w:r>
      <w:r w:rsidR="00630E36">
        <w:lastRenderedPageBreak/>
        <w:t>(</w:t>
      </w:r>
      <w:r w:rsidR="00630E36" w:rsidRPr="00520420">
        <w:rPr>
          <w:iCs/>
        </w:rPr>
        <w:t>H</w:t>
      </w:r>
      <w:r w:rsidR="008943E5" w:rsidRPr="00520420">
        <w:rPr>
          <w:iCs/>
        </w:rPr>
        <w:t xml:space="preserve">ypothesis </w:t>
      </w:r>
      <w:r w:rsidR="00630E36" w:rsidRPr="00520420">
        <w:rPr>
          <w:iCs/>
        </w:rPr>
        <w:t>1</w:t>
      </w:r>
      <w:r w:rsidR="00630E36">
        <w:t>)</w:t>
      </w:r>
      <w:r w:rsidR="00752087" w:rsidRPr="00BF1CD2">
        <w:t>.</w:t>
      </w:r>
      <w:r w:rsidR="00FE3287">
        <w:t xml:space="preserve"> </w:t>
      </w:r>
    </w:p>
    <w:p w14:paraId="372868D1" w14:textId="4880896E" w:rsidR="00B861DF" w:rsidRDefault="008943E5" w:rsidP="00732BE6">
      <w:pPr>
        <w:widowControl w:val="0"/>
      </w:pPr>
      <w:r>
        <w:t>W</w:t>
      </w:r>
      <w:r w:rsidR="00B861DF" w:rsidRPr="00B861DF">
        <w:t>e were further interested in the</w:t>
      </w:r>
      <w:r w:rsidR="00520420">
        <w:t xml:space="preserve"> </w:t>
      </w:r>
      <w:r w:rsidR="00B861DF" w:rsidRPr="00B861DF">
        <w:t>relation</w:t>
      </w:r>
      <w:r w:rsidR="00B861DF">
        <w:t xml:space="preserve">, </w:t>
      </w:r>
      <w:r w:rsidR="00B861DF" w:rsidRPr="00B861DF">
        <w:t>correlational or causal</w:t>
      </w:r>
      <w:r w:rsidR="00B861DF">
        <w:t xml:space="preserve">, </w:t>
      </w:r>
      <w:r w:rsidR="00B861DF" w:rsidRPr="00B861DF">
        <w:t xml:space="preserve">between declinism and personal growth. As previously noted, declinism is linked to several personal and interpersonal costs, including diminished faith in humanity, reduced interpersonal trust, devaluation of social relationships, and a generally </w:t>
      </w:r>
      <w:r w:rsidR="00360AFD">
        <w:t>bleak</w:t>
      </w:r>
      <w:r w:rsidR="00B861DF" w:rsidRPr="00B861DF">
        <w:t xml:space="preserve"> worldview (Abrams, 1988; Milojević, 2021; Putnam, 2000; Twenge et al., 2014). It is plausible that the pervasive pessimism inherent in declinist beliefs extends to self-related outcomes, such as personal growth. Accordingly, we hypothesize that declinism is negatively associated with, or undermines, personal growth</w:t>
      </w:r>
      <w:r w:rsidR="00630E36">
        <w:t xml:space="preserve"> (</w:t>
      </w:r>
      <w:r w:rsidR="00630E36" w:rsidRPr="00520420">
        <w:rPr>
          <w:iCs/>
        </w:rPr>
        <w:t>H</w:t>
      </w:r>
      <w:r w:rsidRPr="00520420">
        <w:rPr>
          <w:iCs/>
        </w:rPr>
        <w:t xml:space="preserve">ypothesis </w:t>
      </w:r>
      <w:r w:rsidR="00630E36" w:rsidRPr="00520420">
        <w:rPr>
          <w:iCs/>
        </w:rPr>
        <w:t>2</w:t>
      </w:r>
      <w:r w:rsidR="00630E36">
        <w:t>)</w:t>
      </w:r>
      <w:r w:rsidR="00B861DF" w:rsidRPr="00B861DF">
        <w:t>.</w:t>
      </w:r>
      <w:r w:rsidR="00FE3287">
        <w:t xml:space="preserve"> </w:t>
      </w:r>
    </w:p>
    <w:p w14:paraId="1D4D67EB" w14:textId="77777777" w:rsidR="0062511C" w:rsidRDefault="0062511C" w:rsidP="00732BE6">
      <w:pPr>
        <w:pStyle w:val="Heading2"/>
        <w:widowControl w:val="0"/>
      </w:pPr>
      <w:r>
        <w:t>Differentiating Among Nostalgia Measures: An Exploratory Approach</w:t>
      </w:r>
    </w:p>
    <w:p w14:paraId="0F9E7823" w14:textId="7DD109F6" w:rsidR="005F1EA6" w:rsidRDefault="005F1EA6" w:rsidP="00732BE6">
      <w:pPr>
        <w:widowControl w:val="0"/>
      </w:pPr>
      <w:r>
        <w:t>We hypothesized</w:t>
      </w:r>
      <w:r w:rsidR="00454FE8">
        <w:t xml:space="preserve"> so far</w:t>
      </w:r>
      <w:r>
        <w:t xml:space="preserve"> that </w:t>
      </w:r>
      <w:r w:rsidRPr="00BF1CD2">
        <w:t>nostalgia</w:t>
      </w:r>
      <w:r>
        <w:t xml:space="preserve"> would be positively, whereas declinism would be negatively, associated with</w:t>
      </w:r>
      <w:r w:rsidRPr="00BF1CD2">
        <w:t xml:space="preserve"> </w:t>
      </w:r>
      <w:r>
        <w:t>personal growth</w:t>
      </w:r>
      <w:r w:rsidRPr="00BF1CD2">
        <w:t>.</w:t>
      </w:r>
      <w:r>
        <w:t xml:space="preserve"> The</w:t>
      </w:r>
      <w:r w:rsidR="006B2926">
        <w:t>se</w:t>
      </w:r>
      <w:r>
        <w:t xml:space="preserve"> relations, though, might be contin</w:t>
      </w:r>
      <w:r w:rsidR="006B2926">
        <w:t>gent</w:t>
      </w:r>
      <w:r>
        <w:t xml:space="preserve"> on the scale used to measure nostalgia.</w:t>
      </w:r>
      <w:r w:rsidR="006B2926">
        <w:t xml:space="preserve"> We proceeded to explore this possibility.</w:t>
      </w:r>
    </w:p>
    <w:p w14:paraId="04196D1D" w14:textId="62AE21D5" w:rsidR="008F266D" w:rsidRDefault="006B2926" w:rsidP="00732BE6">
      <w:pPr>
        <w:widowControl w:val="0"/>
      </w:pPr>
      <w:r>
        <w:t>The three most widely used scales to assess nostalgia (Wildschut et al., 2023) are: the S</w:t>
      </w:r>
      <w:r w:rsidR="0062511C" w:rsidRPr="00A30B84">
        <w:t>outhampton Nostalgia Scale (SNS</w:t>
      </w:r>
      <w:r w:rsidR="00360AFD">
        <w:t>;</w:t>
      </w:r>
      <w:r w:rsidR="00762AC6" w:rsidRPr="00762AC6">
        <w:rPr>
          <w:noProof/>
        </w:rPr>
        <w:t xml:space="preserve"> </w:t>
      </w:r>
      <w:r w:rsidR="00762AC6">
        <w:rPr>
          <w:noProof/>
        </w:rPr>
        <w:t xml:space="preserve">Sedikides et al., 2015; </w:t>
      </w:r>
      <w:r w:rsidR="00762AC6" w:rsidRPr="00A921C4">
        <w:t>Wildschut &amp; Sedikides, 2022</w:t>
      </w:r>
      <w:r w:rsidR="00425549">
        <w:t>a</w:t>
      </w:r>
      <w:r w:rsidR="0062511C" w:rsidRPr="00A30B84">
        <w:t xml:space="preserve">), </w:t>
      </w:r>
      <w:r>
        <w:t xml:space="preserve">the </w:t>
      </w:r>
      <w:r w:rsidR="0062511C" w:rsidRPr="00A30B84">
        <w:t>Nostalgia Inventory (NI</w:t>
      </w:r>
      <w:r w:rsidR="00762AC6">
        <w:t xml:space="preserve">; </w:t>
      </w:r>
      <w:r w:rsidR="00762AC6" w:rsidRPr="00063521">
        <w:t>Batcho</w:t>
      </w:r>
      <w:r w:rsidR="00762AC6">
        <w:t xml:space="preserve">, </w:t>
      </w:r>
      <w:r w:rsidR="00762AC6">
        <w:fldChar w:fldCharType="begin"/>
      </w:r>
      <w:r w:rsidR="00762AC6">
        <w:instrText xml:space="preserve"> ADDIN ZOTERO_ITEM CSL_CITATION {"citationID":"DsgtmtHv","properties":{"formattedCitation":"(1995)","plainCitation":"(1995)","noteIndex":0},"citationItems":[{"id":3548,"uris":["http://zotero.org/users/9630792/items/7LIJGSMV"],"itemData":{"id":3548,"type":"article-journal","abstract":"A survey was designed to assess nostalgia for 20 aspects of experience as well as relative judgments of the world past, present, and future. Surveys were completed by 648 respondents, 268 males and 380 females, ranging in age from 4 to 80 years old. Split-half reliability was .78. Test-retest reliability over a 1-wk. interval on a separate sample of 50 respondents was .84. Nostalgia was related to the judgment of the past relative to the present. Gender differences were not significant, but significant differences across age groups were obtained for most items. The intensity of nostalgic sentiment varied across objects, situations, aspects of society, and people. Factor analysis suggested that nostalgia is comprised of a number of factors reflecting different spheres and levels of experience. For nostalgia, conceptualized as a multifaceted, composite construct, results were discussed with respect to four approaches--generational, developmental, personality, and transient mood state. Suggestions were made for further development of the survey and for research exploring relationships among nostalgia, motivation, emotion, and behavior.","container-title":"Perceptual and Motor Skills","DOI":"10.2466/pms.1995.80.1.131","ISSN":"0031-5125","issue":"1","journalAbbreviation":"Percept Mot Skills","language":"eng","note":"PMID: 7624184\nTLDR: Factor analysis suggested that nostalgia is comprised of a number of factors reflecting different spheres and levels of experience, and results were discussed with respect to four approaches—generational, developmental, personality, and transient mood state.","page":"131-143","source":"PubMed","title":"Nostalgia: A psychological perspective","title-short":"Nostalgia","volume":"80","author":[{"family":"Batcho","given":"K. I."}],"issued":{"date-parts":[["1995",2]]}},"suppress-author":true}],"schema":"https://github.com/citation-style-language/schema/raw/master/csl-citation.json"} </w:instrText>
      </w:r>
      <w:r w:rsidR="00762AC6">
        <w:fldChar w:fldCharType="separate"/>
      </w:r>
      <w:r w:rsidR="00762AC6">
        <w:rPr>
          <w:noProof/>
        </w:rPr>
        <w:t>1995)</w:t>
      </w:r>
      <w:r w:rsidR="00762AC6">
        <w:fldChar w:fldCharType="end"/>
      </w:r>
      <w:r w:rsidR="0062511C" w:rsidRPr="00A30B84">
        <w:t>, and</w:t>
      </w:r>
      <w:r>
        <w:t xml:space="preserve"> the</w:t>
      </w:r>
      <w:r w:rsidR="0062511C" w:rsidRPr="00A30B84">
        <w:t xml:space="preserve"> Personal Inventory of Nostalgic E</w:t>
      </w:r>
      <w:r w:rsidR="0062511C" w:rsidRPr="00454FE8">
        <w:t>xperiences (PINE</w:t>
      </w:r>
      <w:r w:rsidR="00C80ACA">
        <w:t xml:space="preserve">; </w:t>
      </w:r>
      <w:r w:rsidR="00762AC6">
        <w:rPr>
          <w:noProof/>
        </w:rPr>
        <w:t>Newman et al., 2020</w:t>
      </w:r>
      <w:r w:rsidR="00762AC6">
        <w:t>)</w:t>
      </w:r>
      <w:r w:rsidRPr="00454FE8">
        <w:t>.</w:t>
      </w:r>
      <w:r w:rsidR="008F266D" w:rsidRPr="00454FE8">
        <w:t xml:space="preserve"> The SNS consists of seven items. Four items assess proclivity (e.g., “How prone are you to feeling nostalgic?”; 1 = </w:t>
      </w:r>
      <w:r w:rsidR="008F266D" w:rsidRPr="00454FE8">
        <w:rPr>
          <w:i/>
          <w:iCs/>
        </w:rPr>
        <w:t>not at all</w:t>
      </w:r>
      <w:r w:rsidR="008F266D" w:rsidRPr="00454FE8">
        <w:t xml:space="preserve">, 7 = </w:t>
      </w:r>
      <w:r w:rsidR="008F266D" w:rsidRPr="00454FE8">
        <w:rPr>
          <w:i/>
          <w:iCs/>
        </w:rPr>
        <w:t>very much</w:t>
      </w:r>
      <w:r w:rsidR="008F266D" w:rsidRPr="00454FE8">
        <w:t>) or frequency (e.g., “How often do you experience nostalgia</w:t>
      </w:r>
      <w:r w:rsidR="008F266D" w:rsidRPr="00454FE8">
        <w:rPr>
          <w:bCs/>
        </w:rPr>
        <w:t xml:space="preserve">?”; </w:t>
      </w:r>
      <w:r w:rsidR="008F266D" w:rsidRPr="00454FE8">
        <w:t xml:space="preserve">1 = </w:t>
      </w:r>
      <w:r w:rsidR="008F266D" w:rsidRPr="00454FE8">
        <w:rPr>
          <w:i/>
        </w:rPr>
        <w:t>very rarely</w:t>
      </w:r>
      <w:r w:rsidR="008F266D" w:rsidRPr="00454FE8">
        <w:t xml:space="preserve">, 7 = </w:t>
      </w:r>
      <w:r w:rsidR="008F266D" w:rsidRPr="00454FE8">
        <w:rPr>
          <w:i/>
        </w:rPr>
        <w:t>very frequently</w:t>
      </w:r>
      <w:r w:rsidR="008F266D" w:rsidRPr="00454FE8">
        <w:t xml:space="preserve">) of nostalgic engagement, and three items assess the personal relevance of nostalgia (e.g., “How valuable is nostalgia for you?”; 1 = </w:t>
      </w:r>
      <w:r w:rsidR="008F266D" w:rsidRPr="00454FE8">
        <w:rPr>
          <w:i/>
          <w:iCs/>
        </w:rPr>
        <w:t>not at all</w:t>
      </w:r>
      <w:r w:rsidR="008F266D" w:rsidRPr="00454FE8">
        <w:t xml:space="preserve">, 7 = </w:t>
      </w:r>
      <w:r w:rsidR="008F266D" w:rsidRPr="00454FE8">
        <w:rPr>
          <w:i/>
          <w:iCs/>
        </w:rPr>
        <w:t>very much</w:t>
      </w:r>
      <w:r w:rsidR="008F266D" w:rsidRPr="00454FE8">
        <w:t xml:space="preserve">). The NI assesses the extent of nostalgizing for 18 persons, situations, or events from one’s youth (e.g., “my childhood toys,” “vacations I went on,” “my family house”; 1 = </w:t>
      </w:r>
      <w:r w:rsidR="008F266D" w:rsidRPr="00454FE8">
        <w:rPr>
          <w:i/>
          <w:iCs/>
        </w:rPr>
        <w:t>not at all</w:t>
      </w:r>
      <w:r w:rsidR="008F266D" w:rsidRPr="00454FE8">
        <w:t xml:space="preserve">, 7 = </w:t>
      </w:r>
      <w:r w:rsidR="008F266D" w:rsidRPr="00454FE8">
        <w:rPr>
          <w:i/>
          <w:iCs/>
        </w:rPr>
        <w:t>very much</w:t>
      </w:r>
      <w:r w:rsidR="008F266D" w:rsidRPr="00454FE8">
        <w:t>). Lastly, the PINE</w:t>
      </w:r>
      <w:r w:rsidR="00FE3287">
        <w:t xml:space="preserve"> </w:t>
      </w:r>
      <w:r w:rsidR="00454FE8">
        <w:t>comp</w:t>
      </w:r>
      <w:r w:rsidR="008F266D" w:rsidRPr="00454FE8">
        <w:t xml:space="preserve">rises four items: </w:t>
      </w:r>
      <w:r w:rsidR="00454FE8">
        <w:rPr>
          <w:lang w:val="en-GB"/>
        </w:rPr>
        <w:t>“</w:t>
      </w:r>
      <w:r w:rsidR="00454FE8" w:rsidRPr="00454FE8">
        <w:rPr>
          <w:color w:val="1A1A1A"/>
        </w:rPr>
        <w:t>How nostalgic do you feel?</w:t>
      </w:r>
      <w:r w:rsidR="00D726C1">
        <w:rPr>
          <w:color w:val="1A1A1A"/>
        </w:rPr>
        <w:t>”</w:t>
      </w:r>
      <w:r w:rsidR="00454FE8">
        <w:rPr>
          <w:color w:val="1A1A1A"/>
        </w:rPr>
        <w:t>, “</w:t>
      </w:r>
      <w:r w:rsidR="00454FE8" w:rsidRPr="00454FE8">
        <w:rPr>
          <w:color w:val="1A1A1A"/>
        </w:rPr>
        <w:t>To what extent do you feel sentimental for the past?</w:t>
      </w:r>
      <w:r w:rsidR="00454FE8">
        <w:rPr>
          <w:color w:val="1A1A1A"/>
        </w:rPr>
        <w:t>”, “</w:t>
      </w:r>
      <w:r w:rsidR="00454FE8" w:rsidRPr="00454FE8">
        <w:rPr>
          <w:color w:val="1A1A1A"/>
        </w:rPr>
        <w:t>How much do you feel a wistful affection for the past?</w:t>
      </w:r>
      <w:r w:rsidR="00454FE8">
        <w:rPr>
          <w:color w:val="1A1A1A"/>
        </w:rPr>
        <w:t>”, “</w:t>
      </w:r>
      <w:r w:rsidR="00454FE8" w:rsidRPr="00454FE8">
        <w:rPr>
          <w:color w:val="1A1A1A"/>
        </w:rPr>
        <w:t>To what extent do you feel a longing to return to a former time in your life?</w:t>
      </w:r>
      <w:r w:rsidR="00454FE8">
        <w:rPr>
          <w:color w:val="1A1A1A"/>
        </w:rPr>
        <w:t xml:space="preserve">”; </w:t>
      </w:r>
      <w:r w:rsidR="008F266D" w:rsidRPr="00454FE8">
        <w:t xml:space="preserve">1 = </w:t>
      </w:r>
      <w:r w:rsidR="008F266D" w:rsidRPr="00454FE8">
        <w:rPr>
          <w:i/>
          <w:iCs/>
        </w:rPr>
        <w:t>not at all</w:t>
      </w:r>
      <w:r w:rsidR="008F266D" w:rsidRPr="00454FE8">
        <w:t xml:space="preserve">, 7 = </w:t>
      </w:r>
      <w:r w:rsidR="008F266D" w:rsidRPr="00454FE8">
        <w:rPr>
          <w:i/>
          <w:iCs/>
        </w:rPr>
        <w:t>very much</w:t>
      </w:r>
      <w:r w:rsidR="008F266D" w:rsidRPr="00454FE8">
        <w:t xml:space="preserve">). </w:t>
      </w:r>
    </w:p>
    <w:p w14:paraId="65DD8E02" w14:textId="30D6FB4E" w:rsidR="00FF5012" w:rsidRDefault="00454FE8" w:rsidP="00732BE6">
      <w:pPr>
        <w:widowControl w:val="0"/>
        <w:rPr>
          <w:lang w:val="en-GB"/>
        </w:rPr>
      </w:pPr>
      <w:r w:rsidRPr="00454FE8">
        <w:t>Each of these instruments operationalizes nostalgia in subtly different ways, potentially yielding divergent associations with psychological constructs such as personal growth.</w:t>
      </w:r>
      <w:r>
        <w:t xml:space="preserve"> In </w:t>
      </w:r>
      <w:r>
        <w:lastRenderedPageBreak/>
        <w:t>particular, the SNS captures individual differences in nostalgia proneness or value assigned to the nostalgic experience, the NI e</w:t>
      </w:r>
      <w:r w:rsidRPr="00454FE8">
        <w:t xml:space="preserve">mphasizes </w:t>
      </w:r>
      <w:r>
        <w:t xml:space="preserve">nostalgia for aspects of one’s youthful past, and </w:t>
      </w:r>
      <w:r w:rsidR="000606F5">
        <w:t xml:space="preserve">(as the acronym indicates) </w:t>
      </w:r>
      <w:r>
        <w:t xml:space="preserve">the PINE </w:t>
      </w:r>
      <w:r w:rsidR="00FE3287">
        <w:t>focuses on the intensity of nostalgic reverie and longing for a return to one’s past. On the face of it, it appears that the SNS and NI are closer to the definition of nostalgia as “</w:t>
      </w:r>
      <w:r w:rsidR="00FE3287" w:rsidRPr="008255D5">
        <w:t>an affectionate feeling you have for the past, especially for a particularly happy time” (Collins English Dictionary, 2023)</w:t>
      </w:r>
      <w:r w:rsidR="00FE3287">
        <w:t xml:space="preserve">, whereas the PINE, especially the last two items, is closer to the definition of declinism as </w:t>
      </w:r>
      <w:r w:rsidR="00FE3287" w:rsidRPr="00B3633A">
        <w:t xml:space="preserve">“a belief that everything is gradually becoming less, worse, or lower” and “liking for things or objects from days of yore” (Cambridge Dictionary; </w:t>
      </w:r>
      <w:hyperlink r:id="rId17" w:history="1">
        <w:r w:rsidR="00FE3287" w:rsidRPr="00625F7F">
          <w:rPr>
            <w:rStyle w:val="Hyperlink"/>
            <w:rFonts w:cs="Times New Roman"/>
            <w:color w:val="000000" w:themeColor="text1"/>
            <w:szCs w:val="24"/>
            <w:u w:val="none"/>
          </w:rPr>
          <w:t>https://dictionary.cambridge.org/dictionary/english/declinist</w:t>
        </w:r>
      </w:hyperlink>
      <w:r w:rsidR="00FE3287" w:rsidRPr="00625F7F">
        <w:rPr>
          <w:color w:val="000000" w:themeColor="text1"/>
        </w:rPr>
        <w:t>).</w:t>
      </w:r>
      <w:r w:rsidR="00FE3287">
        <w:rPr>
          <w:color w:val="000000" w:themeColor="text1"/>
        </w:rPr>
        <w:t xml:space="preserve"> We tested the possibility in several ways</w:t>
      </w:r>
      <w:r w:rsidR="00A05762">
        <w:rPr>
          <w:color w:val="000000" w:themeColor="text1"/>
        </w:rPr>
        <w:t xml:space="preserve"> in Study 1</w:t>
      </w:r>
      <w:r w:rsidR="00FE3287">
        <w:rPr>
          <w:color w:val="000000" w:themeColor="text1"/>
        </w:rPr>
        <w:t>. Specifically</w:t>
      </w:r>
      <w:r w:rsidR="00D726C1">
        <w:rPr>
          <w:color w:val="000000" w:themeColor="text1"/>
        </w:rPr>
        <w:t>,</w:t>
      </w:r>
      <w:r w:rsidR="00FE3287">
        <w:rPr>
          <w:color w:val="000000" w:themeColor="text1"/>
        </w:rPr>
        <w:t xml:space="preserve"> we examined whether</w:t>
      </w:r>
      <w:r w:rsidR="00AF7DBE">
        <w:rPr>
          <w:color w:val="000000" w:themeColor="text1"/>
        </w:rPr>
        <w:t>:</w:t>
      </w:r>
      <w:r w:rsidR="00FE3287">
        <w:rPr>
          <w:color w:val="000000" w:themeColor="text1"/>
        </w:rPr>
        <w:t xml:space="preserve"> (</w:t>
      </w:r>
      <w:r w:rsidR="00A05762">
        <w:rPr>
          <w:color w:val="000000" w:themeColor="text1"/>
        </w:rPr>
        <w:t>a</w:t>
      </w:r>
      <w:r w:rsidR="00FE3287">
        <w:rPr>
          <w:color w:val="000000" w:themeColor="text1"/>
        </w:rPr>
        <w:t xml:space="preserve">) </w:t>
      </w:r>
      <w:r w:rsidR="00171C1C">
        <w:rPr>
          <w:color w:val="000000" w:themeColor="text1"/>
        </w:rPr>
        <w:t>the PINE is more strongly correlated with declinism than the SNS and NI are</w:t>
      </w:r>
      <w:r w:rsidR="00AF7DBE">
        <w:rPr>
          <w:color w:val="000000" w:themeColor="text1"/>
        </w:rPr>
        <w:t>;</w:t>
      </w:r>
      <w:r w:rsidR="00FE3287">
        <w:rPr>
          <w:color w:val="000000" w:themeColor="text1"/>
        </w:rPr>
        <w:t xml:space="preserve"> (</w:t>
      </w:r>
      <w:r w:rsidR="00A05762">
        <w:rPr>
          <w:color w:val="000000" w:themeColor="text1"/>
        </w:rPr>
        <w:t>b</w:t>
      </w:r>
      <w:r w:rsidR="00FE3287">
        <w:rPr>
          <w:color w:val="000000" w:themeColor="text1"/>
        </w:rPr>
        <w:t xml:space="preserve">) the SNS and NI are positively linked to </w:t>
      </w:r>
      <w:r w:rsidR="005F1EA6" w:rsidRPr="00785407">
        <w:rPr>
          <w:lang w:val="en-GB"/>
        </w:rPr>
        <w:t>personal growth,</w:t>
      </w:r>
      <w:r w:rsidR="00FE3287">
        <w:rPr>
          <w:lang w:val="en-GB"/>
        </w:rPr>
        <w:t xml:space="preserve"> whereas the</w:t>
      </w:r>
      <w:r w:rsidR="005F1EA6" w:rsidRPr="00785407">
        <w:rPr>
          <w:lang w:val="en-GB"/>
        </w:rPr>
        <w:t xml:space="preserve"> PINE</w:t>
      </w:r>
      <w:r w:rsidR="00FE3287">
        <w:rPr>
          <w:lang w:val="en-GB"/>
        </w:rPr>
        <w:t xml:space="preserve"> is unrelated to personal </w:t>
      </w:r>
      <w:r w:rsidR="005F1EA6" w:rsidRPr="00785407">
        <w:rPr>
          <w:lang w:val="en-GB"/>
        </w:rPr>
        <w:t>growth</w:t>
      </w:r>
      <w:r w:rsidR="00AF7DBE">
        <w:rPr>
          <w:lang w:val="en-GB"/>
        </w:rPr>
        <w:t>;</w:t>
      </w:r>
      <w:r w:rsidR="00FE3287">
        <w:rPr>
          <w:lang w:val="en-GB"/>
        </w:rPr>
        <w:t xml:space="preserve"> and (</w:t>
      </w:r>
      <w:r w:rsidR="00A05762">
        <w:rPr>
          <w:lang w:val="en-GB"/>
        </w:rPr>
        <w:t>c</w:t>
      </w:r>
      <w:r w:rsidR="00FE3287">
        <w:rPr>
          <w:lang w:val="en-GB"/>
        </w:rPr>
        <w:t xml:space="preserve">) </w:t>
      </w:r>
      <w:bookmarkStart w:id="33" w:name="OLE_LINK295"/>
      <w:bookmarkStart w:id="34" w:name="OLE_LINK296"/>
      <w:r w:rsidR="00FE3287">
        <w:rPr>
          <w:lang w:val="en-GB"/>
        </w:rPr>
        <w:t>these patterns are mostly due to the PINE’s last item</w:t>
      </w:r>
      <w:bookmarkEnd w:id="33"/>
      <w:bookmarkEnd w:id="34"/>
      <w:r w:rsidR="00171C1C">
        <w:rPr>
          <w:lang w:val="en-GB"/>
        </w:rPr>
        <w:t xml:space="preserve"> </w:t>
      </w:r>
      <w:r w:rsidR="00AF7DBE">
        <w:rPr>
          <w:lang w:val="en-GB"/>
        </w:rPr>
        <w:t>(</w:t>
      </w:r>
      <w:r w:rsidR="00AF7DBE">
        <w:rPr>
          <w:color w:val="1A1A1A"/>
        </w:rPr>
        <w:t>“</w:t>
      </w:r>
      <w:r w:rsidR="00AF7DBE" w:rsidRPr="00454FE8">
        <w:rPr>
          <w:color w:val="1A1A1A"/>
        </w:rPr>
        <w:t>To what extent do you feel a longing to return to a former time in your life?</w:t>
      </w:r>
      <w:r w:rsidR="00AF7DBE">
        <w:rPr>
          <w:color w:val="1A1A1A"/>
        </w:rPr>
        <w:t xml:space="preserve">”) </w:t>
      </w:r>
      <w:r w:rsidR="00171C1C">
        <w:rPr>
          <w:lang w:val="en-GB"/>
        </w:rPr>
        <w:t xml:space="preserve">and </w:t>
      </w:r>
      <w:r w:rsidR="00AF7DBE">
        <w:rPr>
          <w:lang w:val="en-GB"/>
        </w:rPr>
        <w:t>its</w:t>
      </w:r>
      <w:r w:rsidR="00171C1C">
        <w:rPr>
          <w:lang w:val="en-GB"/>
        </w:rPr>
        <w:t xml:space="preserve"> </w:t>
      </w:r>
      <w:r w:rsidR="00AF7DBE">
        <w:rPr>
          <w:lang w:val="en-GB"/>
        </w:rPr>
        <w:t xml:space="preserve">conceptual </w:t>
      </w:r>
      <w:r w:rsidR="00171C1C">
        <w:rPr>
          <w:lang w:val="en-GB"/>
        </w:rPr>
        <w:t>overlap with declinism</w:t>
      </w:r>
      <w:r w:rsidR="00A05762">
        <w:rPr>
          <w:lang w:val="en-GB"/>
        </w:rPr>
        <w:t>.</w:t>
      </w:r>
      <w:r w:rsidR="00AF7DBE">
        <w:rPr>
          <w:lang w:val="en-GB"/>
        </w:rPr>
        <w:t xml:space="preserve"> We additionally explored whether these patterns are partially due to the PINE’s third item as well (</w:t>
      </w:r>
      <w:r w:rsidR="00AF7DBE">
        <w:rPr>
          <w:color w:val="1A1A1A"/>
        </w:rPr>
        <w:t>“</w:t>
      </w:r>
      <w:r w:rsidR="00AF7DBE" w:rsidRPr="00454FE8">
        <w:rPr>
          <w:color w:val="1A1A1A"/>
        </w:rPr>
        <w:t>How much do you feel a wistful affection for the past?</w:t>
      </w:r>
      <w:r w:rsidR="00AF7DBE">
        <w:rPr>
          <w:color w:val="1A1A1A"/>
        </w:rPr>
        <w:t>”)</w:t>
      </w:r>
      <w:r w:rsidR="00AF7DBE">
        <w:rPr>
          <w:lang w:val="en-GB"/>
        </w:rPr>
        <w:t>.</w:t>
      </w:r>
    </w:p>
    <w:p w14:paraId="44D18987" w14:textId="5A4AFBF6" w:rsidR="00A05FE3" w:rsidRDefault="00A05FE3" w:rsidP="00732BE6">
      <w:pPr>
        <w:pStyle w:val="Heading2"/>
        <w:widowControl w:val="0"/>
      </w:pPr>
      <w:r>
        <w:t>Overview</w:t>
      </w:r>
    </w:p>
    <w:p w14:paraId="09B0E815" w14:textId="46A8BB13" w:rsidR="00A05FE3" w:rsidRDefault="00447FB0" w:rsidP="00732BE6">
      <w:pPr>
        <w:widowControl w:val="0"/>
      </w:pPr>
      <w:r>
        <w:t>We conducted two studies. In cross-sectional Study 1, we assessed nostalgia (with the SNS, NI, or PINE), declinism, and personal growth to examine the associations of nostalgia and declinism with personal growth, and whether nostalgia measures matter. In experimental Study 2, we induced nostalgia and declinism (vs. control) to</w:t>
      </w:r>
      <w:r w:rsidDel="009D31FC">
        <w:t xml:space="preserve"> </w:t>
      </w:r>
      <w:r>
        <w:t xml:space="preserve">test their differing </w:t>
      </w:r>
      <w:r>
        <w:rPr>
          <w:rFonts w:hint="eastAsia"/>
        </w:rPr>
        <w:t>causal</w:t>
      </w:r>
      <w:r>
        <w:t xml:space="preserve"> influence on personal growth. W</w:t>
      </w:r>
      <w:r w:rsidR="00E34D47">
        <w:t>e hypothesize</w:t>
      </w:r>
      <w:r>
        <w:t>d</w:t>
      </w:r>
      <w:r w:rsidR="00E34D47">
        <w:t xml:space="preserve"> that</w:t>
      </w:r>
      <w:r w:rsidR="009E585E">
        <w:t>, whereas</w:t>
      </w:r>
      <w:r w:rsidR="00E34D47">
        <w:t xml:space="preserve"> nostalgia </w:t>
      </w:r>
      <w:r>
        <w:t>would be</w:t>
      </w:r>
      <w:r w:rsidR="00E34D47">
        <w:t xml:space="preserve"> positively associated with and ha</w:t>
      </w:r>
      <w:r>
        <w:t>ve</w:t>
      </w:r>
      <w:r w:rsidR="00E34D47">
        <w:t xml:space="preserve"> a </w:t>
      </w:r>
      <w:r>
        <w:t>facilitating</w:t>
      </w:r>
      <w:r w:rsidR="00E34D47">
        <w:t xml:space="preserve"> </w:t>
      </w:r>
      <w:r w:rsidR="009E585E">
        <w:t>influence</w:t>
      </w:r>
      <w:r w:rsidR="00E34D47">
        <w:t xml:space="preserve"> on personal growth (</w:t>
      </w:r>
      <w:r w:rsidR="00E34D47" w:rsidRPr="009E585E">
        <w:rPr>
          <w:iCs/>
        </w:rPr>
        <w:t>H</w:t>
      </w:r>
      <w:r w:rsidR="008943E5" w:rsidRPr="009E585E">
        <w:rPr>
          <w:iCs/>
        </w:rPr>
        <w:t xml:space="preserve">ypothesis </w:t>
      </w:r>
      <w:r w:rsidR="00E34D47" w:rsidRPr="009E585E">
        <w:rPr>
          <w:iCs/>
        </w:rPr>
        <w:t>1</w:t>
      </w:r>
      <w:r w:rsidR="00E34D47">
        <w:t xml:space="preserve">), declinism </w:t>
      </w:r>
      <w:r>
        <w:t>would be</w:t>
      </w:r>
      <w:r w:rsidR="00E34D47">
        <w:t xml:space="preserve"> negatively associated with and ha</w:t>
      </w:r>
      <w:r>
        <w:t>ve</w:t>
      </w:r>
      <w:r w:rsidR="00E34D47">
        <w:t xml:space="preserve"> a </w:t>
      </w:r>
      <w:r>
        <w:t>hindering influence</w:t>
      </w:r>
      <w:r w:rsidR="00E34D47">
        <w:t xml:space="preserve"> on personal growth (</w:t>
      </w:r>
      <w:r w:rsidR="00E34D47" w:rsidRPr="00447FB0">
        <w:rPr>
          <w:iCs/>
        </w:rPr>
        <w:t>H</w:t>
      </w:r>
      <w:r w:rsidR="008943E5" w:rsidRPr="00447FB0">
        <w:rPr>
          <w:iCs/>
        </w:rPr>
        <w:t xml:space="preserve">ypothesis </w:t>
      </w:r>
      <w:r w:rsidR="00E34D47" w:rsidRPr="00447FB0">
        <w:rPr>
          <w:iCs/>
        </w:rPr>
        <w:t>2</w:t>
      </w:r>
      <w:r w:rsidR="00E34D47">
        <w:t xml:space="preserve">). For exploratory purposes, we </w:t>
      </w:r>
      <w:r w:rsidR="00BD058B">
        <w:t>examined</w:t>
      </w:r>
      <w:r w:rsidR="00E34D47">
        <w:t xml:space="preserve"> </w:t>
      </w:r>
      <w:r w:rsidR="00BD058B">
        <w:t>whether</w:t>
      </w:r>
      <w:r w:rsidR="00E34D47">
        <w:t xml:space="preserve"> </w:t>
      </w:r>
      <w:r w:rsidR="00ED3587" w:rsidRPr="00ED3587">
        <w:t xml:space="preserve">the link between nostalgia and personal growth </w:t>
      </w:r>
      <w:r>
        <w:t>would be</w:t>
      </w:r>
      <w:r w:rsidR="00ED3587" w:rsidRPr="00ED3587">
        <w:t xml:space="preserve"> contingent on the scale used for measurement</w:t>
      </w:r>
      <w:r w:rsidR="00ED3587">
        <w:t>.</w:t>
      </w:r>
      <w:r w:rsidR="008943E5">
        <w:t xml:space="preserve"> </w:t>
      </w:r>
    </w:p>
    <w:p w14:paraId="5CBBEFAC" w14:textId="44A0D18F" w:rsidR="007C1870" w:rsidRDefault="007A0543" w:rsidP="008943E5">
      <w:pPr>
        <w:widowControl w:val="0"/>
      </w:pPr>
      <w:r>
        <w:t xml:space="preserve">We pre-registered Study 1 </w:t>
      </w:r>
      <w:r w:rsidRPr="00DB209E">
        <w:t>(</w:t>
      </w:r>
      <w:hyperlink r:id="rId18" w:tgtFrame="_new" w:history="1">
        <w:r w:rsidRPr="00DB209E">
          <w:rPr>
            <w:rStyle w:val="Hyperlink"/>
          </w:rPr>
          <w:t>https://aspredicted.org/3hnr-9ytw.pdf</w:t>
        </w:r>
      </w:hyperlink>
      <w:r w:rsidRPr="00DB209E">
        <w:t>)</w:t>
      </w:r>
      <w:r>
        <w:t xml:space="preserve">. </w:t>
      </w:r>
      <w:r w:rsidR="00520420">
        <w:t>D</w:t>
      </w:r>
      <w:r w:rsidR="007C1870" w:rsidRPr="007C1870">
        <w:t xml:space="preserve">ata and analysis </w:t>
      </w:r>
      <w:r w:rsidR="007C1870" w:rsidRPr="007C1870">
        <w:lastRenderedPageBreak/>
        <w:t xml:space="preserve">code are available at </w:t>
      </w:r>
      <w:hyperlink r:id="rId19" w:history="1">
        <w:r w:rsidR="007C1870" w:rsidRPr="007C1870">
          <w:rPr>
            <w:rStyle w:val="Hyperlink"/>
          </w:rPr>
          <w:t>https://osf.io/wea5u/?view_only=b354a22f1f0d4bc0b710cb4c280ddb0</w:t>
        </w:r>
        <w:r w:rsidR="007C1870" w:rsidRPr="00926036">
          <w:rPr>
            <w:rStyle w:val="Hyperlink"/>
          </w:rPr>
          <w:t>e</w:t>
        </w:r>
      </w:hyperlink>
      <w:r w:rsidR="007C1870">
        <w:t xml:space="preserve">. </w:t>
      </w:r>
      <w:r w:rsidR="00520420">
        <w:t>We provided the research protocol</w:t>
      </w:r>
      <w:r w:rsidR="008943E5" w:rsidRPr="008943E5">
        <w:t xml:space="preserve"> in Supplemental</w:t>
      </w:r>
      <w:r w:rsidR="008943E5">
        <w:t xml:space="preserve"> </w:t>
      </w:r>
      <w:r w:rsidR="008943E5" w:rsidRPr="008943E5">
        <w:t>Material.</w:t>
      </w:r>
    </w:p>
    <w:p w14:paraId="14C2377B" w14:textId="0E86D672" w:rsidR="0013258D" w:rsidRDefault="00711EFB" w:rsidP="00732BE6">
      <w:pPr>
        <w:pStyle w:val="Heading1"/>
        <w:widowControl w:val="0"/>
      </w:pPr>
      <w:r>
        <w:t>Study 1</w:t>
      </w:r>
    </w:p>
    <w:p w14:paraId="5F3D36C2" w14:textId="29748204" w:rsidR="00A079C4" w:rsidRPr="00EC585B" w:rsidRDefault="00DB209E" w:rsidP="00732BE6">
      <w:pPr>
        <w:widowControl w:val="0"/>
      </w:pPr>
      <w:r w:rsidRPr="00DB209E">
        <w:t xml:space="preserve">In preregistered Study 1, we examined the roles of nostalgia and declinism in predicting personal growth. We hypothesized that nostalgia—measured </w:t>
      </w:r>
      <w:r w:rsidR="00A079C4">
        <w:t>with</w:t>
      </w:r>
      <w:r w:rsidRPr="00DB209E">
        <w:t xml:space="preserve"> three scales—would be positively associated with personal growth, whereas declinism would exhibit a negative association. Additionally, we explored whether the </w:t>
      </w:r>
      <w:r w:rsidR="00A079C4">
        <w:t>hypothesized</w:t>
      </w:r>
      <w:r w:rsidRPr="00DB209E">
        <w:t xml:space="preserve"> positive </w:t>
      </w:r>
      <w:r w:rsidR="00A079C4">
        <w:t>association</w:t>
      </w:r>
      <w:r w:rsidRPr="00DB209E">
        <w:t xml:space="preserve"> between nostalgia and personal growth would emerge consistently across the different measures of nostalgia.</w:t>
      </w:r>
    </w:p>
    <w:p w14:paraId="4FA35538" w14:textId="1803A9BE" w:rsidR="00711EFB" w:rsidRPr="00711EFB" w:rsidRDefault="00711EFB" w:rsidP="00732BE6">
      <w:pPr>
        <w:pStyle w:val="Heading2"/>
        <w:widowControl w:val="0"/>
      </w:pPr>
      <w:r>
        <w:rPr>
          <w:rFonts w:hint="eastAsia"/>
        </w:rPr>
        <w:t>M</w:t>
      </w:r>
      <w:r>
        <w:t>ethod</w:t>
      </w:r>
    </w:p>
    <w:p w14:paraId="258733DA" w14:textId="5C711495" w:rsidR="005A3D38" w:rsidRPr="009F077F" w:rsidRDefault="009F077F" w:rsidP="00732BE6">
      <w:pPr>
        <w:pStyle w:val="Heading3"/>
      </w:pPr>
      <w:r>
        <w:t xml:space="preserve">Participants and </w:t>
      </w:r>
      <w:r w:rsidR="0002026B" w:rsidRPr="009F077F">
        <w:t>Design</w:t>
      </w:r>
      <w:bookmarkStart w:id="35" w:name="OLE_LINK239"/>
      <w:bookmarkStart w:id="36" w:name="OLE_LINK240"/>
    </w:p>
    <w:bookmarkEnd w:id="35"/>
    <w:bookmarkEnd w:id="36"/>
    <w:p w14:paraId="4B5E7B3B" w14:textId="2C76CC43" w:rsidR="00DC418E" w:rsidRPr="00326A29" w:rsidRDefault="00326A29" w:rsidP="00326A29">
      <w:pPr>
        <w:autoSpaceDE w:val="0"/>
        <w:autoSpaceDN w:val="0"/>
        <w:adjustRightInd w:val="0"/>
        <w:rPr>
          <w:rFonts w:cs="Times New Roman"/>
          <w:color w:val="4472C4" w:themeColor="accent1"/>
        </w:rPr>
      </w:pPr>
      <w:r w:rsidRPr="008D71EC">
        <w:rPr>
          <w:rFonts w:cs="Times New Roman"/>
          <w:color w:val="4472C4" w:themeColor="accent1"/>
        </w:rPr>
        <w:t xml:space="preserve">We </w:t>
      </w:r>
      <w:r>
        <w:rPr>
          <w:rFonts w:cs="Times New Roman"/>
          <w:color w:val="4472C4" w:themeColor="accent1"/>
        </w:rPr>
        <w:t>used</w:t>
      </w:r>
      <w:r w:rsidRPr="008D71EC">
        <w:rPr>
          <w:rFonts w:cs="Times New Roman"/>
          <w:color w:val="4472C4" w:themeColor="accent1"/>
        </w:rPr>
        <w:t xml:space="preserve"> a three-condition, between-subjects design, with each condition corresponding to one of the three nostalgia scales. </w:t>
      </w:r>
      <w:r>
        <w:rPr>
          <w:rFonts w:cs="Times New Roman"/>
          <w:color w:val="4472C4" w:themeColor="accent1"/>
        </w:rPr>
        <w:t>We chose t</w:t>
      </w:r>
      <w:r w:rsidRPr="008D71EC">
        <w:rPr>
          <w:rFonts w:cs="Times New Roman"/>
          <w:color w:val="4472C4" w:themeColor="accent1"/>
        </w:rPr>
        <w:t>his approach to prevent potential interference among the scales that could arise in a within-subjects design.</w:t>
      </w:r>
      <w:r>
        <w:rPr>
          <w:rFonts w:cs="Times New Roman"/>
          <w:color w:val="4472C4" w:themeColor="accent1"/>
        </w:rPr>
        <w:t xml:space="preserve"> </w:t>
      </w:r>
      <w:r w:rsidR="00613619" w:rsidRPr="00613619">
        <w:t xml:space="preserve">For each </w:t>
      </w:r>
      <w:r w:rsidR="00B406AC" w:rsidRPr="00613619">
        <w:t>cond</w:t>
      </w:r>
      <w:r w:rsidR="00B406AC">
        <w:t>it</w:t>
      </w:r>
      <w:r w:rsidR="00B406AC" w:rsidRPr="00613619">
        <w:t>ion</w:t>
      </w:r>
      <w:r w:rsidR="00613619" w:rsidRPr="00613619">
        <w:t xml:space="preserve">, an </w:t>
      </w:r>
      <w:r w:rsidR="00547EF5">
        <w:rPr>
          <w:i/>
          <w:iCs/>
        </w:rPr>
        <w:t>N</w:t>
      </w:r>
      <w:r w:rsidR="00613619" w:rsidRPr="00613619">
        <w:t xml:space="preserve"> = 250 </w:t>
      </w:r>
      <w:r w:rsidR="000264BE">
        <w:t>would be</w:t>
      </w:r>
      <w:r w:rsidR="00613619" w:rsidRPr="00613619">
        <w:t xml:space="preserve"> needed </w:t>
      </w:r>
      <w:r w:rsidR="0002026B">
        <w:t xml:space="preserve">to achieve </w:t>
      </w:r>
      <w:r w:rsidR="00613619" w:rsidRPr="00613619">
        <w:t xml:space="preserve">stable </w:t>
      </w:r>
      <w:r w:rsidR="00613619" w:rsidRPr="00E3003A">
        <w:t xml:space="preserve">correlations </w:t>
      </w:r>
      <w:r w:rsidR="00B32832" w:rsidRPr="00E3003A">
        <w:fldChar w:fldCharType="begin"/>
      </w:r>
      <w:r w:rsidR="00B32832" w:rsidRPr="00E3003A">
        <w:instrText xml:space="preserve"> ADDIN ZOTERO_ITEM CSL_CITATION {"citationID":"DXJKf7df","properties":{"formattedCitation":"(Sch\\uc0\\u246{}nbrodt &amp; Perugini, 2013)","plainCitation":"(Schönbrodt &amp; Perugini, 2013)","noteIndex":0},"citationItems":[{"id":269,"uris":["http://zotero.org/users/9630792/items/CEQXHG42"],"itemData":{"id":269,"type":"article-journal","abstract":"Sample correlations converge to the population value with increasing sample size, but the estimates are often inaccurate in small samples. In this report we use Monte-Carlo simulations to determine the critical sample size from which on the magnitude of a correlation can be expected to be stable. The necessary sample size to achieve stable estimates for correlations depends on the effect size, the width of the corridor of stability (i.e., a corridor around the true value where deviations are tolerated), and the requested confidence that the trajectory does not leave this corridor any more. Results indicate that in typical scenarios the sample size should approach 250 for stable estimates.","container-title":"Journal of Research in Personality","DOI":"10.1016/j.jrp.2013.05.009","ISSN":"0092-6566","issue":"5","journalAbbreviation":"Journal of Research in Personality","page":"609-612","source":"ScienceDirect","title":"At what sample size do correlations stabilize?","volume":"47","author":[{"family":"Schönbrodt","given":"Felix D."},{"family":"Perugini","given":"Marco"}],"issued":{"date-parts":[["2013",10,1]]}}}],"schema":"https://github.com/citation-style-language/schema/raw/master/csl-citation.json"} </w:instrText>
      </w:r>
      <w:r w:rsidR="00B32832" w:rsidRPr="00E3003A">
        <w:fldChar w:fldCharType="separate"/>
      </w:r>
      <w:r w:rsidR="00B32832" w:rsidRPr="00E3003A">
        <w:rPr>
          <w:rFonts w:eastAsiaTheme="minorEastAsia" w:cs="Times New Roman"/>
          <w:szCs w:val="24"/>
          <w14:ligatures w14:val="standardContextual"/>
        </w:rPr>
        <w:t>(Schönbrodt &amp; Perugini, 2013)</w:t>
      </w:r>
      <w:r w:rsidR="00B32832" w:rsidRPr="00E3003A">
        <w:fldChar w:fldCharType="end"/>
      </w:r>
      <w:r w:rsidR="00613619" w:rsidRPr="00E3003A">
        <w:t xml:space="preserve">. </w:t>
      </w:r>
      <w:bookmarkStart w:id="37" w:name="OLE_LINK254"/>
      <w:bookmarkStart w:id="38" w:name="OLE_LINK255"/>
      <w:r w:rsidR="00613619" w:rsidRPr="00E3003A">
        <w:t>As preregistered, w</w:t>
      </w:r>
      <w:bookmarkEnd w:id="37"/>
      <w:bookmarkEnd w:id="38"/>
      <w:r w:rsidR="00613619" w:rsidRPr="00E3003A">
        <w:t xml:space="preserve">e </w:t>
      </w:r>
      <w:r w:rsidR="000264BE" w:rsidRPr="00E3003A">
        <w:t>aimed to recruit 810 Chinese</w:t>
      </w:r>
      <w:r w:rsidR="000264BE">
        <w:t xml:space="preserve"> participants via the online platform Credamo, that is, </w:t>
      </w:r>
      <w:r w:rsidR="00613619" w:rsidRPr="00613619">
        <w:t>270</w:t>
      </w:r>
      <w:r w:rsidR="000264BE">
        <w:t xml:space="preserve"> participants</w:t>
      </w:r>
      <w:r w:rsidR="00613619" w:rsidRPr="00613619">
        <w:t xml:space="preserve"> </w:t>
      </w:r>
      <w:r w:rsidR="000264BE" w:rsidRPr="00613619">
        <w:t>per condition</w:t>
      </w:r>
      <w:r w:rsidR="000264BE">
        <w:t xml:space="preserve">. The platform automatically excluded those </w:t>
      </w:r>
      <w:r w:rsidR="001F3BF1" w:rsidRPr="001F3BF1">
        <w:t>who fail</w:t>
      </w:r>
      <w:r w:rsidR="001F3BF1">
        <w:t>ed</w:t>
      </w:r>
      <w:r w:rsidR="001F3BF1" w:rsidRPr="001F3BF1">
        <w:t xml:space="preserve"> </w:t>
      </w:r>
      <w:r w:rsidR="0002026B">
        <w:t>one of two</w:t>
      </w:r>
      <w:r w:rsidR="001F3BF1" w:rsidRPr="001F3BF1">
        <w:t xml:space="preserve"> attention check</w:t>
      </w:r>
      <w:r w:rsidR="0002026B">
        <w:t>s</w:t>
      </w:r>
      <w:r w:rsidR="001F3BF1" w:rsidRPr="001F3BF1">
        <w:t xml:space="preserve">. </w:t>
      </w:r>
      <w:r w:rsidR="000264BE">
        <w:t xml:space="preserve">The final sample, </w:t>
      </w:r>
      <w:r w:rsidR="000264BE" w:rsidRPr="000264BE">
        <w:rPr>
          <w:i/>
          <w:iCs/>
        </w:rPr>
        <w:t>N</w:t>
      </w:r>
      <w:r w:rsidR="000264BE">
        <w:t xml:space="preserve"> = </w:t>
      </w:r>
      <w:r w:rsidR="00864297">
        <w:t>810</w:t>
      </w:r>
      <w:r w:rsidR="00AB25C4">
        <w:t xml:space="preserve"> </w:t>
      </w:r>
      <w:r w:rsidR="00D70843">
        <w:t>(</w:t>
      </w:r>
      <w:r w:rsidR="00AE3FDC">
        <w:t>534</w:t>
      </w:r>
      <w:r w:rsidR="004E5159">
        <w:t xml:space="preserve"> wom</w:t>
      </w:r>
      <w:r w:rsidR="006A504A">
        <w:t>e</w:t>
      </w:r>
      <w:r w:rsidR="004E5159">
        <w:t>n</w:t>
      </w:r>
      <w:r w:rsidR="00EE6E5B">
        <w:t>,</w:t>
      </w:r>
      <w:r w:rsidR="004E5159">
        <w:t xml:space="preserve"> </w:t>
      </w:r>
      <w:r w:rsidR="00AE3FDC">
        <w:t>276</w:t>
      </w:r>
      <w:r w:rsidR="004E5159">
        <w:t xml:space="preserve"> </w:t>
      </w:r>
      <w:r w:rsidR="006A504A">
        <w:t>men</w:t>
      </w:r>
      <w:r w:rsidR="000264BE">
        <w:t>)</w:t>
      </w:r>
      <w:r w:rsidR="00B406AC">
        <w:t>,</w:t>
      </w:r>
      <w:r w:rsidR="000264BE">
        <w:t xml:space="preserve"> ranged in age from 18 to 68 years (</w:t>
      </w:r>
      <w:r w:rsidR="00D70843" w:rsidRPr="00D70843">
        <w:rPr>
          <w:i/>
          <w:iCs/>
        </w:rPr>
        <w:t>M</w:t>
      </w:r>
      <w:r w:rsidR="00D70843">
        <w:t xml:space="preserve"> = </w:t>
      </w:r>
      <w:r w:rsidR="00AE3FDC">
        <w:t>30.74</w:t>
      </w:r>
      <w:r w:rsidR="00D70843">
        <w:t xml:space="preserve">, </w:t>
      </w:r>
      <w:r w:rsidR="00D70843" w:rsidRPr="00D70843">
        <w:rPr>
          <w:i/>
          <w:iCs/>
        </w:rPr>
        <w:t>SD</w:t>
      </w:r>
      <w:r w:rsidR="00D70843">
        <w:t xml:space="preserve"> = </w:t>
      </w:r>
      <w:r w:rsidR="00AE3FDC">
        <w:t>8</w:t>
      </w:r>
      <w:r w:rsidR="00814F4C">
        <w:t>.6</w:t>
      </w:r>
      <w:r w:rsidR="00AE3FDC">
        <w:t>1</w:t>
      </w:r>
      <w:r w:rsidR="000264BE">
        <w:t>)</w:t>
      </w:r>
      <w:bookmarkStart w:id="39" w:name="OLE_LINK321"/>
      <w:bookmarkStart w:id="40" w:name="OLE_LINK322"/>
      <w:r w:rsidR="0072370A">
        <w:t>,</w:t>
      </w:r>
      <w:r w:rsidR="009371F1">
        <w:rPr>
          <w:color w:val="4472C4" w:themeColor="accent1"/>
        </w:rPr>
        <w:t xml:space="preserve"> with 270 participants in each condition (SNS</w:t>
      </w:r>
      <w:r w:rsidR="007F57BC">
        <w:rPr>
          <w:color w:val="4472C4" w:themeColor="accent1"/>
        </w:rPr>
        <w:t>:</w:t>
      </w:r>
      <w:r w:rsidR="001C75A6">
        <w:rPr>
          <w:color w:val="4472C4" w:themeColor="accent1"/>
        </w:rPr>
        <w:t xml:space="preserve"> 66.3% women, NI: </w:t>
      </w:r>
      <w:r w:rsidR="00F17BE2">
        <w:rPr>
          <w:color w:val="4472C4" w:themeColor="accent1"/>
        </w:rPr>
        <w:t>67.8% women, PINE: 63.7% women</w:t>
      </w:r>
      <w:r w:rsidR="009371F1">
        <w:rPr>
          <w:color w:val="4472C4" w:themeColor="accent1"/>
        </w:rPr>
        <w:t>).</w:t>
      </w:r>
    </w:p>
    <w:bookmarkEnd w:id="39"/>
    <w:bookmarkEnd w:id="40"/>
    <w:p w14:paraId="0FCCA85D" w14:textId="05E7F7EA" w:rsidR="00E823A4" w:rsidRDefault="00E823A4" w:rsidP="00732BE6">
      <w:pPr>
        <w:pStyle w:val="Heading3"/>
      </w:pPr>
      <w:r>
        <w:t xml:space="preserve">Procedure and </w:t>
      </w:r>
      <w:r w:rsidR="00E3003A">
        <w:t>Measures</w:t>
      </w:r>
    </w:p>
    <w:p w14:paraId="53681FCD" w14:textId="3460EFCD" w:rsidR="00E3003A" w:rsidRPr="00EE2051" w:rsidRDefault="00E3003A" w:rsidP="00732BE6">
      <w:pPr>
        <w:widowControl w:val="0"/>
        <w:rPr>
          <w:rStyle w:val="Heading4Char"/>
          <w:rFonts w:eastAsia="SimSun"/>
          <w:b w:val="0"/>
        </w:rPr>
      </w:pPr>
      <w:r w:rsidRPr="00E3003A">
        <w:rPr>
          <w:rFonts w:cstheme="majorBidi"/>
          <w:bCs/>
          <w:szCs w:val="28"/>
        </w:rPr>
        <w:t>All</w:t>
      </w:r>
      <w:r>
        <w:rPr>
          <w:rFonts w:cstheme="majorBidi"/>
          <w:bCs/>
          <w:szCs w:val="28"/>
        </w:rPr>
        <w:t xml:space="preserve"> participants</w:t>
      </w:r>
      <w:r w:rsidRPr="00E3003A">
        <w:rPr>
          <w:rFonts w:cstheme="majorBidi"/>
          <w:bCs/>
          <w:szCs w:val="28"/>
        </w:rPr>
        <w:t xml:space="preserve"> completed </w:t>
      </w:r>
      <w:r>
        <w:rPr>
          <w:rFonts w:cstheme="majorBidi"/>
          <w:bCs/>
          <w:szCs w:val="28"/>
        </w:rPr>
        <w:t>a</w:t>
      </w:r>
      <w:r w:rsidRPr="00E3003A">
        <w:rPr>
          <w:rFonts w:cstheme="majorBidi"/>
          <w:bCs/>
          <w:szCs w:val="28"/>
        </w:rPr>
        <w:t xml:space="preserve"> declinism scale, one nostalgia scale</w:t>
      </w:r>
      <w:r>
        <w:rPr>
          <w:rFonts w:cstheme="majorBidi"/>
          <w:bCs/>
          <w:szCs w:val="28"/>
        </w:rPr>
        <w:t xml:space="preserve"> (out of three)</w:t>
      </w:r>
      <w:r w:rsidRPr="00E3003A">
        <w:rPr>
          <w:rFonts w:cstheme="majorBidi"/>
          <w:bCs/>
          <w:szCs w:val="28"/>
        </w:rPr>
        <w:t xml:space="preserve">, and </w:t>
      </w:r>
      <w:r>
        <w:rPr>
          <w:rFonts w:cstheme="majorBidi"/>
          <w:bCs/>
          <w:szCs w:val="28"/>
        </w:rPr>
        <w:t>a</w:t>
      </w:r>
      <w:r w:rsidRPr="00E3003A">
        <w:rPr>
          <w:rFonts w:cstheme="majorBidi"/>
          <w:bCs/>
          <w:szCs w:val="28"/>
        </w:rPr>
        <w:t xml:space="preserve"> personal growth scale.</w:t>
      </w:r>
      <w:r>
        <w:rPr>
          <w:rFonts w:cstheme="majorBidi"/>
          <w:bCs/>
          <w:szCs w:val="28"/>
        </w:rPr>
        <w:t xml:space="preserve"> Specifically, we </w:t>
      </w:r>
      <w:r w:rsidR="000E6D1A">
        <w:rPr>
          <w:rStyle w:val="Heading4Char"/>
          <w:rFonts w:eastAsia="SimSun"/>
          <w:b w:val="0"/>
        </w:rPr>
        <w:t>randomly assigned them to one of three conditions</w:t>
      </w:r>
      <w:r>
        <w:rPr>
          <w:rStyle w:val="Heading4Char"/>
          <w:rFonts w:eastAsia="SimSun"/>
          <w:b w:val="0"/>
        </w:rPr>
        <w:t xml:space="preserve">: </w:t>
      </w:r>
      <w:r w:rsidR="000E6D1A">
        <w:fldChar w:fldCharType="begin"/>
      </w:r>
      <w:r w:rsidR="000E6D1A">
        <w:instrText xml:space="preserve"> ADDIN ZOTERO_ITEM CSL_CITATION {"citationID":"Utfyo25A","properties":{"formattedCitation":"(SNS; Sedikides et al., 2015)","plainCitation":"(SNS; Sedikides et al., 2015)","noteIndex":0},"citationItems":[{"id":3043,"uris":["http://zotero.org/users/9630792/items/I6A4HBII"],"itemData":{"id":3043,"type":"chapter","abstract":"Nostalgia is a self-conscious, bittersweet but predominantly positive and fundamentally social emotion. It arises from fond memories mixed with yearning about one's childhood, close relationships, or atypically positive events, and it entails a redemption trajectory. It is triggered by a variety of external stimuli or internal states, is prevalent, is universal, and is experienced across ages. Nostalgia serves a self-oriented function (by raising self-positivity and facilitating perceptions of a positive future), an existential function (by increasing perceptions of life as meaningful), and a sociality function (by increasing social connectedness, reinforcing socially oriented action tendencies, and promoting prosocial behavior). These functions are independent of the positive affect that nostalgia may incite. Also, nostalgia-elicited sociality often mediates the self-positivity and existential functions. In addition, nostalgia maintains psychological and physiological homeostasis along the following regulatory cycle: (i) Noxious stimuli, as general as avoidance motivation and as specific as self-threat (negative performance feedback), existential threat (meaninglessness, mortality awareness), social threat (loneliness, social exclusion), well-being threat (stress, boredom), or, perhaps surprisingly, physical coldness intensify felt nostalgia; (ii) in turn, nostalgia (measured or manipulated) alleviates the impact of threat by curtailing the influence of avoidance motivation on approach motivation, buttressing the self from threat, limiting defensive responding to meaninglessness, assuaging existential anxiety, repairing interpersonal isolation, diminishing the blow of stress, relieving boredom through meaning reestablishment, or producing the sensation of physical warmth. Nostalgia has a checkered history, but is now rehabilitated as an adaptive psychological resource.","container-title":"Advances in Experimental Social Psychology","note":"DOI: 10.1016/bs.aesp.2014.10.001","page":"189-273","publisher":"Academic Press","source":"ScienceDirect","title":"Chapter Five - To nostalgize: Mixing memory with affect and desire","title-short":"Chapter Five - To Nostalgize","URL":"https://www.sciencedirect.com/science/article/pii/S0065260114000045","volume":"51","author":[{"family":"Sedikides","given":"Constantine"},{"family":"Wildschut","given":"Tim"},{"family":"Routledge","given":"Clay"},{"family":"Arndt","given":"Jamie"},{"family":"Hepper","given":"Erica G."},{"family":"Zhou","given":"Xinyue"}],"editor":[{"family":"Olson","given":"James M."},{"family":"Zanna","given":"Mark P."}],"accessed":{"date-parts":[["2024",6,10]]},"issued":{"date-parts":[["2015",1,1]]}},"prefix":"SNS;"}],"schema":"https://github.com/citation-style-language/schema/raw/master/csl-citation.json"} </w:instrText>
      </w:r>
      <w:r w:rsidR="000E6D1A">
        <w:fldChar w:fldCharType="separate"/>
      </w:r>
      <w:r w:rsidR="000E6D1A">
        <w:rPr>
          <w:noProof/>
        </w:rPr>
        <w:t>SNS</w:t>
      </w:r>
      <w:r w:rsidR="000E6D1A">
        <w:fldChar w:fldCharType="end"/>
      </w:r>
      <w:r w:rsidR="000E6D1A" w:rsidRPr="00063521">
        <w:t>, N</w:t>
      </w:r>
      <w:r w:rsidR="00684EF6">
        <w:rPr>
          <w:rFonts w:hint="eastAsia"/>
        </w:rPr>
        <w:t>I</w:t>
      </w:r>
      <w:r w:rsidR="00762AC6">
        <w:t xml:space="preserve">, </w:t>
      </w:r>
      <w:r w:rsidR="000E6D1A">
        <w:t>or</w:t>
      </w:r>
      <w:r w:rsidR="000E6D1A" w:rsidRPr="00063521">
        <w:t xml:space="preserve"> PINE</w:t>
      </w:r>
      <w:r w:rsidR="000E6D1A">
        <w:t>.</w:t>
      </w:r>
      <w:r>
        <w:t xml:space="preserve"> In each condition, participants also completed a declinism scale.</w:t>
      </w:r>
      <w:r w:rsidRPr="00E3003A">
        <w:rPr>
          <w:rFonts w:cstheme="majorBidi"/>
          <w:bCs/>
          <w:szCs w:val="28"/>
        </w:rPr>
        <w:t xml:space="preserve"> We</w:t>
      </w:r>
      <w:r w:rsidR="000614DD">
        <w:rPr>
          <w:rFonts w:cstheme="majorBidi"/>
          <w:bCs/>
          <w:szCs w:val="28"/>
        </w:rPr>
        <w:t xml:space="preserve"> </w:t>
      </w:r>
      <w:r w:rsidR="00AD05F8">
        <w:rPr>
          <w:rFonts w:cstheme="majorBidi"/>
          <w:bCs/>
          <w:szCs w:val="28"/>
        </w:rPr>
        <w:t>counterbalanc</w:t>
      </w:r>
      <w:r w:rsidR="00AD05F8">
        <w:rPr>
          <w:rFonts w:cstheme="majorBidi" w:hint="eastAsia"/>
          <w:bCs/>
          <w:szCs w:val="28"/>
        </w:rPr>
        <w:t>ed</w:t>
      </w:r>
      <w:r w:rsidR="00AD05F8">
        <w:rPr>
          <w:rFonts w:cstheme="majorBidi"/>
          <w:bCs/>
          <w:szCs w:val="28"/>
        </w:rPr>
        <w:t xml:space="preserve"> </w:t>
      </w:r>
      <w:r w:rsidRPr="00E3003A">
        <w:rPr>
          <w:rFonts w:cstheme="majorBidi"/>
          <w:bCs/>
          <w:szCs w:val="28"/>
        </w:rPr>
        <w:t xml:space="preserve">the order of </w:t>
      </w:r>
      <w:r w:rsidR="00A079C4">
        <w:rPr>
          <w:rFonts w:cstheme="majorBidi"/>
          <w:bCs/>
          <w:szCs w:val="28"/>
        </w:rPr>
        <w:t>a given</w:t>
      </w:r>
      <w:r>
        <w:rPr>
          <w:rFonts w:cstheme="majorBidi"/>
          <w:bCs/>
          <w:szCs w:val="28"/>
        </w:rPr>
        <w:t xml:space="preserve"> </w:t>
      </w:r>
      <w:r w:rsidRPr="00E3003A">
        <w:rPr>
          <w:rFonts w:cstheme="majorBidi"/>
          <w:bCs/>
          <w:szCs w:val="28"/>
        </w:rPr>
        <w:t>nostalgia</w:t>
      </w:r>
      <w:r w:rsidR="00F51609">
        <w:rPr>
          <w:rFonts w:cstheme="majorBidi"/>
          <w:bCs/>
          <w:szCs w:val="28"/>
        </w:rPr>
        <w:t xml:space="preserve"> measure</w:t>
      </w:r>
      <w:r w:rsidR="00A079C4">
        <w:rPr>
          <w:rFonts w:cstheme="majorBidi"/>
          <w:bCs/>
          <w:szCs w:val="28"/>
        </w:rPr>
        <w:t xml:space="preserve"> </w:t>
      </w:r>
      <w:r w:rsidRPr="00E3003A">
        <w:rPr>
          <w:rFonts w:cstheme="majorBidi"/>
          <w:bCs/>
          <w:szCs w:val="28"/>
        </w:rPr>
        <w:t>(SNS, NI</w:t>
      </w:r>
      <w:r>
        <w:rPr>
          <w:rFonts w:cstheme="majorBidi"/>
          <w:bCs/>
          <w:szCs w:val="28"/>
        </w:rPr>
        <w:t>,</w:t>
      </w:r>
      <w:r w:rsidRPr="00E3003A">
        <w:rPr>
          <w:rFonts w:cstheme="majorBidi"/>
          <w:bCs/>
          <w:szCs w:val="28"/>
        </w:rPr>
        <w:t xml:space="preserve"> </w:t>
      </w:r>
      <w:r w:rsidR="00A079C4">
        <w:rPr>
          <w:rFonts w:cstheme="majorBidi"/>
          <w:bCs/>
          <w:szCs w:val="28"/>
        </w:rPr>
        <w:t xml:space="preserve">or </w:t>
      </w:r>
      <w:r w:rsidRPr="00E3003A">
        <w:rPr>
          <w:rFonts w:cstheme="majorBidi"/>
          <w:bCs/>
          <w:szCs w:val="28"/>
        </w:rPr>
        <w:t>PINE)</w:t>
      </w:r>
      <w:r w:rsidR="00A079C4" w:rsidRPr="00E3003A">
        <w:rPr>
          <w:rFonts w:cstheme="majorBidi"/>
          <w:bCs/>
          <w:szCs w:val="28"/>
        </w:rPr>
        <w:t xml:space="preserve"> </w:t>
      </w:r>
      <w:r w:rsidRPr="00E3003A">
        <w:rPr>
          <w:rFonts w:cstheme="majorBidi"/>
          <w:bCs/>
          <w:szCs w:val="28"/>
        </w:rPr>
        <w:t xml:space="preserve">and </w:t>
      </w:r>
      <w:r>
        <w:rPr>
          <w:rFonts w:cstheme="majorBidi"/>
          <w:bCs/>
          <w:szCs w:val="28"/>
        </w:rPr>
        <w:t xml:space="preserve">the </w:t>
      </w:r>
      <w:r w:rsidRPr="00E3003A">
        <w:rPr>
          <w:rFonts w:cstheme="majorBidi"/>
          <w:bCs/>
          <w:szCs w:val="28"/>
        </w:rPr>
        <w:t>declinism scale.</w:t>
      </w:r>
      <w:r w:rsidR="000E6D1A">
        <w:t xml:space="preserve"> Finally, all participants filled out </w:t>
      </w:r>
      <w:r>
        <w:t>a</w:t>
      </w:r>
      <w:r w:rsidR="000E6D1A">
        <w:t xml:space="preserve"> personal growth scale.</w:t>
      </w:r>
      <w:r w:rsidR="00A079C4">
        <w:t xml:space="preserve"> We provide more information below.</w:t>
      </w:r>
    </w:p>
    <w:p w14:paraId="3CE8F623" w14:textId="01E8AB5C" w:rsidR="00583A4C" w:rsidRPr="00C73A63" w:rsidRDefault="004D22AA" w:rsidP="00732BE6">
      <w:pPr>
        <w:widowControl w:val="0"/>
      </w:pPr>
      <w:r>
        <w:rPr>
          <w:rStyle w:val="Heading4Char"/>
          <w:rFonts w:eastAsia="SimSun" w:hint="eastAsia"/>
        </w:rPr>
        <w:lastRenderedPageBreak/>
        <w:t>Nostalgia</w:t>
      </w:r>
      <w:r w:rsidR="00711EFB" w:rsidRPr="00711EFB">
        <w:rPr>
          <w:rStyle w:val="Heading4Char"/>
          <w:rFonts w:eastAsia="SimSun"/>
        </w:rPr>
        <w:t>.</w:t>
      </w:r>
      <w:bookmarkStart w:id="41" w:name="OLE_LINK264"/>
      <w:bookmarkStart w:id="42" w:name="OLE_LINK265"/>
      <w:bookmarkStart w:id="43" w:name="OLE_LINK49"/>
      <w:bookmarkStart w:id="44" w:name="OLE_LINK50"/>
      <w:bookmarkEnd w:id="0"/>
      <w:bookmarkEnd w:id="1"/>
      <w:r w:rsidR="00EE6E5B">
        <w:t xml:space="preserve"> </w:t>
      </w:r>
      <w:r w:rsidR="00B406AC">
        <w:t xml:space="preserve">One third of participants </w:t>
      </w:r>
      <w:r w:rsidR="00910E16">
        <w:t xml:space="preserve">completed </w:t>
      </w:r>
      <w:r w:rsidR="00690BAB">
        <w:t>t</w:t>
      </w:r>
      <w:r w:rsidR="003F6581">
        <w:t>he</w:t>
      </w:r>
      <w:bookmarkEnd w:id="41"/>
      <w:bookmarkEnd w:id="42"/>
      <w:r w:rsidR="003F6581" w:rsidRPr="00063521">
        <w:t xml:space="preserve"> </w:t>
      </w:r>
      <w:r w:rsidR="003F6581">
        <w:t xml:space="preserve">7-item </w:t>
      </w:r>
      <w:r w:rsidR="00C6477A">
        <w:t>SNS</w:t>
      </w:r>
      <w:r w:rsidR="00A96FB5">
        <w:t xml:space="preserve"> (α = .9</w:t>
      </w:r>
      <w:r w:rsidR="00C912F2">
        <w:t>2</w:t>
      </w:r>
      <w:r w:rsidR="00A96FB5">
        <w:t>)</w:t>
      </w:r>
      <w:r w:rsidR="00B406AC">
        <w:t xml:space="preserve">. </w:t>
      </w:r>
      <w:r w:rsidR="000A3DF5">
        <w:rPr>
          <w:rFonts w:cs="Times New Roman"/>
          <w:szCs w:val="24"/>
        </w:rPr>
        <w:t xml:space="preserve">Another third completed the </w:t>
      </w:r>
      <w:r w:rsidR="00206815">
        <w:t>NI</w:t>
      </w:r>
      <w:r w:rsidR="00762AC6">
        <w:t xml:space="preserve"> </w:t>
      </w:r>
      <w:r w:rsidR="00C147BB">
        <w:t>(</w:t>
      </w:r>
      <w:bookmarkStart w:id="45" w:name="OLE_LINK269"/>
      <w:bookmarkStart w:id="46" w:name="OLE_LINK270"/>
      <w:bookmarkStart w:id="47" w:name="OLE_LINK268"/>
      <w:r w:rsidR="000E1187">
        <w:t>α = .79</w:t>
      </w:r>
      <w:bookmarkEnd w:id="45"/>
      <w:bookmarkEnd w:id="46"/>
      <w:bookmarkEnd w:id="47"/>
      <w:r w:rsidR="00C147BB" w:rsidRPr="00F44803">
        <w:t>)</w:t>
      </w:r>
      <w:r w:rsidR="003C1CCD">
        <w:t>.</w:t>
      </w:r>
      <w:r w:rsidR="00583A4C">
        <w:t xml:space="preserve"> The final third of participants completed the PINE </w:t>
      </w:r>
      <w:r w:rsidR="00762AC6">
        <w:t>(</w:t>
      </w:r>
      <w:r w:rsidR="00583A4C">
        <w:t xml:space="preserve">α = .85). </w:t>
      </w:r>
    </w:p>
    <w:p w14:paraId="4DA8C21F" w14:textId="465BB647" w:rsidR="00F17525" w:rsidRDefault="00583A4C" w:rsidP="00732BE6">
      <w:pPr>
        <w:widowControl w:val="0"/>
      </w:pPr>
      <w:bookmarkStart w:id="48" w:name="OLE_LINK617"/>
      <w:bookmarkStart w:id="49" w:name="OLE_LINK618"/>
      <w:bookmarkStart w:id="50" w:name="OLE_LINK619"/>
      <w:r w:rsidRPr="005B01BF">
        <w:rPr>
          <w:rStyle w:val="Heading4Char"/>
          <w:rFonts w:eastAsia="SimSun"/>
        </w:rPr>
        <w:t>Declinism.</w:t>
      </w:r>
      <w:bookmarkEnd w:id="48"/>
      <w:bookmarkEnd w:id="49"/>
      <w:bookmarkEnd w:id="50"/>
      <w:r>
        <w:t xml:space="preserve"> We measured declinism with </w:t>
      </w:r>
      <w:r w:rsidRPr="009747D8">
        <w:t>the</w:t>
      </w:r>
      <w:r w:rsidR="00F17525">
        <w:t xml:space="preserve"> 8-item</w:t>
      </w:r>
      <w:r w:rsidRPr="009747D8">
        <w:t xml:space="preserve"> Holbrook </w:t>
      </w:r>
      <w:r>
        <w:fldChar w:fldCharType="begin"/>
      </w:r>
      <w:r>
        <w:instrText xml:space="preserve"> ADDIN ZOTERO_ITEM CSL_CITATION {"citationID":"GrOlKTR8","properties":{"formattedCitation":"(1993)","plainCitation":"(1993)","noteIndex":0},"citationItems":[{"id":3551,"uris":["http://zotero.org/users/9630792/items/9QJYGHVH"],"itemData":{"id":3551,"type":"article-journal","abstract":"Two studies involving a total of 3,289 adult Ss investigated the relationship of nostalgia proneness (a psychographic variable) to patterns of consumer preferences. Study 1 examined 20 items that assess nostalgia proneness, to derive a nostalgia scale, to form a spatial representation of movie preferences, and to test a fit of a vector reflecting differential nostalgia-related tastes. Study 2 generalized these results, and showed that age and nostalgia proneness work independently as separate aspects of nostalgic preference patterns. (PsycINFO Database Record (c) 2016 APA, all rights reserved)","container-title":"Journal of Consumer Research","DOI":"10.1086/209346","ISSN":"1537-5277","issue":"2","note":"publisher-place: US\npublisher: Univ of Chicago Press","page":"245-256","source":"APA PsycNet","title":"Nostalgia and consumption preferences: Some emerging patterns of consumer tastes","title-short":"Nostalgia and consumption preferences","volume":"20","author":[{"family":"Holbrook","given":"Morris B."}],"issued":{"date-parts":[["1993"]]}},"suppress-author":true}],"schema":"https://github.com/citation-style-language/schema/raw/master/csl-citation.json"} </w:instrText>
      </w:r>
      <w:r>
        <w:fldChar w:fldCharType="separate"/>
      </w:r>
      <w:r>
        <w:rPr>
          <w:noProof/>
        </w:rPr>
        <w:t>(1993)</w:t>
      </w:r>
      <w:r>
        <w:fldChar w:fldCharType="end"/>
      </w:r>
      <w:r>
        <w:t xml:space="preserve"> </w:t>
      </w:r>
      <w:r w:rsidR="009747D8" w:rsidRPr="009747D8">
        <w:t>scale</w:t>
      </w:r>
      <w:r w:rsidR="00495101">
        <w:t xml:space="preserve">. </w:t>
      </w:r>
      <w:r w:rsidR="00326766">
        <w:t xml:space="preserve">Four items </w:t>
      </w:r>
      <w:r w:rsidR="006E75FE">
        <w:t>indicate</w:t>
      </w:r>
      <w:r w:rsidR="004F5263">
        <w:t xml:space="preserve"> </w:t>
      </w:r>
      <w:r w:rsidR="005A3C88">
        <w:t>a declining</w:t>
      </w:r>
      <w:r w:rsidR="006E75FE">
        <w:t xml:space="preserve"> societal</w:t>
      </w:r>
      <w:r w:rsidR="005A3C88">
        <w:t xml:space="preserve"> trend </w:t>
      </w:r>
      <w:r w:rsidR="005B01BF" w:rsidRPr="00F17525">
        <w:t xml:space="preserve">(e.g., </w:t>
      </w:r>
      <w:r w:rsidR="00F17525" w:rsidRPr="00F17525">
        <w:rPr>
          <w:rFonts w:cs="Times New Roman"/>
          <w:szCs w:val="24"/>
        </w:rPr>
        <w:t>“</w:t>
      </w:r>
      <w:r w:rsidR="00F17525" w:rsidRPr="00F17525">
        <w:rPr>
          <w:rFonts w:cs="Times New Roman"/>
          <w:bCs/>
          <w:szCs w:val="24"/>
        </w:rPr>
        <w:t>We are experiencing a decline in the quality of life,”</w:t>
      </w:r>
      <w:r w:rsidR="00F17525" w:rsidRPr="00F17525">
        <w:t xml:space="preserve"> </w:t>
      </w:r>
      <w:r w:rsidR="005B01BF" w:rsidRPr="00F17525">
        <w:t>“Things used to be better</w:t>
      </w:r>
      <w:r w:rsidR="005B01BF" w:rsidRPr="005B01BF">
        <w:t xml:space="preserve"> in the good old days</w:t>
      </w:r>
      <w:r w:rsidR="005B01BF">
        <w:t>”</w:t>
      </w:r>
      <w:r w:rsidR="00F17525">
        <w:t>)</w:t>
      </w:r>
      <w:r w:rsidR="00326766" w:rsidRPr="00326766">
        <w:t xml:space="preserve"> </w:t>
      </w:r>
      <w:r w:rsidR="004F5263">
        <w:t xml:space="preserve">and four items </w:t>
      </w:r>
      <w:r w:rsidR="006E75FE">
        <w:t>indicate</w:t>
      </w:r>
      <w:r w:rsidR="005A3C88">
        <w:t xml:space="preserve"> a</w:t>
      </w:r>
      <w:r w:rsidR="006E75FE">
        <w:t xml:space="preserve">n </w:t>
      </w:r>
      <w:r w:rsidR="005A3C88">
        <w:t>improving</w:t>
      </w:r>
      <w:r w:rsidR="006E75FE">
        <w:t xml:space="preserve"> societal</w:t>
      </w:r>
      <w:r w:rsidR="005A3C88">
        <w:t xml:space="preserve"> trend</w:t>
      </w:r>
      <w:r w:rsidR="004F5263" w:rsidRPr="00F17525">
        <w:rPr>
          <w:rFonts w:cs="Times New Roman"/>
        </w:rPr>
        <w:t xml:space="preserve"> (e.g., “</w:t>
      </w:r>
      <w:r w:rsidR="00203EFE" w:rsidRPr="00F17525">
        <w:rPr>
          <w:rFonts w:cs="Times New Roman"/>
        </w:rPr>
        <w:t>History involves a steady improvement in human welfare</w:t>
      </w:r>
      <w:r w:rsidR="00F17525" w:rsidRPr="00F17525">
        <w:rPr>
          <w:rFonts w:cs="Times New Roman"/>
        </w:rPr>
        <w:t>,</w:t>
      </w:r>
      <w:r w:rsidR="004F5263" w:rsidRPr="00F17525">
        <w:rPr>
          <w:rFonts w:cs="Times New Roman"/>
        </w:rPr>
        <w:t>”</w:t>
      </w:r>
      <w:bookmarkStart w:id="51" w:name="OLE_LINK623"/>
      <w:bookmarkStart w:id="52" w:name="OLE_LINK624"/>
      <w:r w:rsidR="00F17525" w:rsidRPr="00F17525">
        <w:rPr>
          <w:rFonts w:cs="Times New Roman"/>
        </w:rPr>
        <w:t xml:space="preserve"> “</w:t>
      </w:r>
      <w:r w:rsidR="00F17525" w:rsidRPr="00F17525">
        <w:rPr>
          <w:rFonts w:eastAsia="Calibri-Bold" w:cs="Times New Roman"/>
          <w:szCs w:val="24"/>
        </w:rPr>
        <w:t>Modern business constantly builds a better tomorrow”</w:t>
      </w:r>
      <w:r w:rsidR="00495101">
        <w:rPr>
          <w:rFonts w:eastAsia="Calibri-Bold" w:cs="Times New Roman"/>
          <w:szCs w:val="24"/>
        </w:rPr>
        <w:t xml:space="preserve">; </w:t>
      </w:r>
      <w:r w:rsidR="00495101" w:rsidRPr="00F17525">
        <w:rPr>
          <w:rFonts w:cs="Times New Roman"/>
        </w:rPr>
        <w:t xml:space="preserve">1 = </w:t>
      </w:r>
      <w:r w:rsidR="00495101" w:rsidRPr="00F17525">
        <w:rPr>
          <w:rFonts w:cs="Times New Roman"/>
          <w:i/>
          <w:iCs/>
        </w:rPr>
        <w:t>strongly disagree</w:t>
      </w:r>
      <w:r w:rsidR="00495101" w:rsidRPr="00F17525">
        <w:rPr>
          <w:rFonts w:cs="Times New Roman"/>
        </w:rPr>
        <w:t xml:space="preserve">, 7 = </w:t>
      </w:r>
      <w:r w:rsidR="00495101" w:rsidRPr="00F17525">
        <w:rPr>
          <w:rFonts w:cs="Times New Roman"/>
          <w:i/>
          <w:iCs/>
        </w:rPr>
        <w:t>strongly agree</w:t>
      </w:r>
      <w:r w:rsidR="00495101" w:rsidRPr="00F17525">
        <w:rPr>
          <w:rFonts w:cs="Times New Roman"/>
        </w:rPr>
        <w:t>)</w:t>
      </w:r>
      <w:r w:rsidR="00495101">
        <w:t xml:space="preserve">. </w:t>
      </w:r>
      <w:bookmarkEnd w:id="51"/>
      <w:bookmarkEnd w:id="52"/>
      <w:r w:rsidR="00203EFE" w:rsidRPr="00F17525">
        <w:rPr>
          <w:rFonts w:cs="Times New Roman"/>
        </w:rPr>
        <w:t>After reverse-</w:t>
      </w:r>
      <w:r w:rsidR="00F17525">
        <w:rPr>
          <w:rFonts w:cs="Times New Roman"/>
        </w:rPr>
        <w:t>scoring</w:t>
      </w:r>
      <w:r w:rsidR="00F17525" w:rsidRPr="00F17525">
        <w:rPr>
          <w:rFonts w:cs="Times New Roman"/>
        </w:rPr>
        <w:t xml:space="preserve"> the</w:t>
      </w:r>
      <w:r w:rsidR="00203EFE" w:rsidRPr="00F17525">
        <w:rPr>
          <w:rFonts w:cs="Times New Roman"/>
        </w:rPr>
        <w:t xml:space="preserve"> improv</w:t>
      </w:r>
      <w:r w:rsidR="005A3C88">
        <w:rPr>
          <w:rFonts w:cs="Times New Roman"/>
        </w:rPr>
        <w:t>ing trend</w:t>
      </w:r>
      <w:r w:rsidR="00203EFE" w:rsidRPr="00F17525">
        <w:rPr>
          <w:rFonts w:cs="Times New Roman"/>
        </w:rPr>
        <w:t xml:space="preserve"> items, we </w:t>
      </w:r>
      <w:r w:rsidR="000E1032" w:rsidRPr="00F17525">
        <w:rPr>
          <w:rFonts w:cs="Times New Roman"/>
        </w:rPr>
        <w:t>average</w:t>
      </w:r>
      <w:r w:rsidR="00F17525">
        <w:rPr>
          <w:rFonts w:cs="Times New Roman"/>
        </w:rPr>
        <w:t xml:space="preserve">d </w:t>
      </w:r>
      <w:r w:rsidR="000E1032" w:rsidRPr="00F17525">
        <w:rPr>
          <w:rFonts w:cs="Times New Roman"/>
        </w:rPr>
        <w:t>all</w:t>
      </w:r>
      <w:r w:rsidR="00F17525" w:rsidRPr="00F17525">
        <w:rPr>
          <w:rFonts w:cs="Times New Roman"/>
        </w:rPr>
        <w:t xml:space="preserve"> responses</w:t>
      </w:r>
      <w:r w:rsidR="000E1032" w:rsidRPr="00F17525">
        <w:rPr>
          <w:rFonts w:cs="Times New Roman"/>
        </w:rPr>
        <w:t xml:space="preserve"> to </w:t>
      </w:r>
      <w:r w:rsidR="00203EFE" w:rsidRPr="00F17525">
        <w:rPr>
          <w:rFonts w:cs="Times New Roman"/>
        </w:rPr>
        <w:t>creat</w:t>
      </w:r>
      <w:r w:rsidR="000E1032" w:rsidRPr="00F17525">
        <w:rPr>
          <w:rFonts w:cs="Times New Roman"/>
        </w:rPr>
        <w:t>e</w:t>
      </w:r>
      <w:r w:rsidR="00203EFE" w:rsidRPr="00F17525">
        <w:rPr>
          <w:rFonts w:cs="Times New Roman"/>
        </w:rPr>
        <w:t xml:space="preserve"> </w:t>
      </w:r>
      <w:r w:rsidR="00F17525" w:rsidRPr="00F17525">
        <w:rPr>
          <w:rFonts w:cs="Times New Roman"/>
        </w:rPr>
        <w:t>a</w:t>
      </w:r>
      <w:r w:rsidR="00203EFE" w:rsidRPr="00F17525">
        <w:rPr>
          <w:rFonts w:cs="Times New Roman"/>
        </w:rPr>
        <w:t xml:space="preserve"> declinism </w:t>
      </w:r>
      <w:r w:rsidR="000E1032" w:rsidRPr="00F17525">
        <w:rPr>
          <w:rFonts w:cs="Times New Roman"/>
        </w:rPr>
        <w:t>index</w:t>
      </w:r>
      <w:r w:rsidR="00203EFE" w:rsidRPr="00F17525">
        <w:rPr>
          <w:rFonts w:cs="Times New Roman"/>
        </w:rPr>
        <w:t xml:space="preserve"> (</w:t>
      </w:r>
      <w:bookmarkStart w:id="53" w:name="OLE_LINK625"/>
      <w:bookmarkStart w:id="54" w:name="OLE_LINK626"/>
      <w:r w:rsidR="000E1032" w:rsidRPr="00F17525">
        <w:rPr>
          <w:rFonts w:cs="Times New Roman"/>
        </w:rPr>
        <w:t>α</w:t>
      </w:r>
      <w:r w:rsidR="000E1032">
        <w:t xml:space="preserve"> = .</w:t>
      </w:r>
      <w:bookmarkEnd w:id="53"/>
      <w:bookmarkEnd w:id="54"/>
      <w:r w:rsidR="00FA69B8">
        <w:t>79</w:t>
      </w:r>
      <w:r w:rsidR="00203EFE">
        <w:t>).</w:t>
      </w:r>
      <w:r w:rsidR="003013DB">
        <w:t xml:space="preserve"> H</w:t>
      </w:r>
      <w:r w:rsidR="003013DB">
        <w:rPr>
          <w:rFonts w:hint="eastAsia"/>
        </w:rPr>
        <w:t>igher</w:t>
      </w:r>
      <w:r w:rsidR="003013DB">
        <w:t xml:space="preserve"> scores </w:t>
      </w:r>
      <w:r w:rsidR="00F17525">
        <w:t>reflect</w:t>
      </w:r>
      <w:r w:rsidR="003013DB">
        <w:t xml:space="preserve"> greater declinism.</w:t>
      </w:r>
      <w:r w:rsidR="00FB532E">
        <w:t xml:space="preserve"> All participants completed the declinism scale.</w:t>
      </w:r>
    </w:p>
    <w:p w14:paraId="689BD043" w14:textId="555268A1" w:rsidR="000E1032" w:rsidRPr="009747D8" w:rsidRDefault="000E1032" w:rsidP="00732BE6">
      <w:pPr>
        <w:widowControl w:val="0"/>
      </w:pPr>
      <w:r w:rsidRPr="00E44266">
        <w:rPr>
          <w:rStyle w:val="Heading4Char"/>
          <w:rFonts w:eastAsia="SimSun" w:hint="eastAsia"/>
        </w:rPr>
        <w:t>P</w:t>
      </w:r>
      <w:r w:rsidRPr="00E44266">
        <w:rPr>
          <w:rStyle w:val="Heading4Char"/>
          <w:rFonts w:eastAsia="SimSun"/>
        </w:rPr>
        <w:t>erson</w:t>
      </w:r>
      <w:r w:rsidR="00AD1816">
        <w:rPr>
          <w:rStyle w:val="Heading4Char"/>
          <w:rFonts w:eastAsia="SimSun"/>
        </w:rPr>
        <w:t>al</w:t>
      </w:r>
      <w:r w:rsidRPr="00E44266">
        <w:rPr>
          <w:rStyle w:val="Heading4Char"/>
          <w:rFonts w:eastAsia="SimSun"/>
        </w:rPr>
        <w:t xml:space="preserve"> Growth.</w:t>
      </w:r>
      <w:r w:rsidR="00E44266">
        <w:t xml:space="preserve"> We</w:t>
      </w:r>
      <w:r>
        <w:t xml:space="preserve"> </w:t>
      </w:r>
      <w:r w:rsidR="00583A4C">
        <w:t>measured</w:t>
      </w:r>
      <w:r w:rsidR="00E44266" w:rsidRPr="00E44266">
        <w:t xml:space="preserve"> </w:t>
      </w:r>
      <w:r w:rsidR="00E44266">
        <w:t>personal growth</w:t>
      </w:r>
      <w:r w:rsidR="00E44266" w:rsidRPr="00E44266">
        <w:t xml:space="preserve"> with</w:t>
      </w:r>
      <w:r w:rsidR="004A6B67">
        <w:t xml:space="preserve"> the 16-item</w:t>
      </w:r>
      <w:r w:rsidR="00E44266" w:rsidRPr="00E44266">
        <w:t xml:space="preserve"> Personal Growth Initiative Scale–II </w:t>
      </w:r>
      <w:r w:rsidR="00AD5DC2">
        <w:fldChar w:fldCharType="begin"/>
      </w:r>
      <w:r w:rsidR="001F20A7">
        <w:instrText xml:space="preserve"> ADDIN ZOTERO_ITEM CSL_CITATION {"citationID":"825c0yva","properties":{"formattedCitation":"(Robitschek et al., 2012)","plainCitation":"(Robitschek et al., 2012)","noteIndex":0},"citationItems":[{"id":3495,"uris":["http://zotero.org/users/9630792/items/7KFIVH87"],"itemData":{"id":3495,"type":"article-journal","abstract":"The original Personal Growth Initiative Scale (PGIS; Robitschek, 1998) was unidimensional, despite theory identifying multiple components (e.g., cognition and behavior) of personal growth initiative (PGI). The present research developed a multidimensional measure of the complex process of PGI, while retaining the brief and psychometrically sound properties of the original scale. Study 1 focused on scale development, including theoretical derivation of items, assessing factor structure, reducing number of items, and refining the scale length using samples of college students. Study 2 consisted of confirmatory factor analysis with 3 independent samples of college students and community members. Lastly, Study 3 assessed test–retest reliability over 1-, 2-, 4-, and 6-week periods and tests of concurrent and discriminant validity using samples of college students. The final measure, the Personal Growth Initiative Scale–II (PGIS-II), includes 4 subscales: Readiness for Change, Planfulness, Using Resources, and Intentional Behavior. These studies provide exploratory and confirmatory evidence for the 4-factor structure, strong internal consistency for the subscales and overall score across samples, acceptable temporal stability at all assessed intervals, and concurrent and discriminant validity of the PGIS-II. Future directions for research and clinical practice are discussed.","container-title":"Journal of Counseling Psychology","DOI":"10.1037/a0027310","ISSN":"1939-2168, 0022-0167","issue":"2","journalAbbreviation":"Journal of Counseling Psychology","language":"en","note":"TLDR: These studies provide exploratory and confirmatory evidence for the 4-factor structure, strong internal consistency for the subscales and overall score across samples, acceptable temporal stability at all assessed intervals, and concurrent and discriminant validity of the PGIS-II.","page":"274-287","source":"DOI.org (Crossref)","title":"Development and psychometric evaluation of the Personal Growth Initiative Scale–II","volume":"59","author":[{"family":"Robitschek","given":"Christine"},{"family":"Ashton","given":"Matthew W."},{"family":"Spering","given":"Cynthia C."},{"family":"Geiger","given":"Nathaniel"},{"family":"Byers","given":"Danielle"},{"family":"Schotts","given":"G. Christian"},{"family":"Thoen","given":"Megan A."}],"issued":{"date-parts":[["2012",4]]}}}],"schema":"https://github.com/citation-style-language/schema/raw/master/csl-citation.json"} </w:instrText>
      </w:r>
      <w:r w:rsidR="00AD5DC2">
        <w:fldChar w:fldCharType="separate"/>
      </w:r>
      <w:r w:rsidR="001F20A7">
        <w:rPr>
          <w:noProof/>
        </w:rPr>
        <w:t>(Robitschek et al., 2012</w:t>
      </w:r>
      <w:r w:rsidR="004A6B67">
        <w:rPr>
          <w:noProof/>
        </w:rPr>
        <w:t xml:space="preserve">; </w:t>
      </w:r>
      <w:r w:rsidR="004A6B67" w:rsidRPr="00F44803">
        <w:t xml:space="preserve">1 = </w:t>
      </w:r>
      <w:r w:rsidR="004A6B67">
        <w:rPr>
          <w:i/>
          <w:iCs/>
        </w:rPr>
        <w:t>strongly disagree</w:t>
      </w:r>
      <w:r w:rsidR="004A6B67" w:rsidRPr="00F44803">
        <w:t xml:space="preserve">, 7 = </w:t>
      </w:r>
      <w:r w:rsidR="004A6B67">
        <w:rPr>
          <w:i/>
          <w:iCs/>
        </w:rPr>
        <w:t>strongly agree</w:t>
      </w:r>
      <w:r w:rsidR="004A6B67" w:rsidRPr="002F13A6">
        <w:t>)</w:t>
      </w:r>
      <w:r w:rsidR="00AD5DC2">
        <w:fldChar w:fldCharType="end"/>
      </w:r>
      <w:r w:rsidR="002F13A6">
        <w:t xml:space="preserve">. </w:t>
      </w:r>
      <w:r w:rsidR="004A6B67">
        <w:t>I</w:t>
      </w:r>
      <w:r w:rsidR="000E7DD3">
        <w:t>t</w:t>
      </w:r>
      <w:r w:rsidR="004A6B67">
        <w:t xml:space="preserve"> consists of four subscales: </w:t>
      </w:r>
      <w:r w:rsidR="004A6B67" w:rsidRPr="00775415">
        <w:rPr>
          <w:rFonts w:cs="Times New Roman"/>
        </w:rPr>
        <w:t>Intentional Behavior: (e.g., “I know steps I can take to make intentional changes in myself</w:t>
      </w:r>
      <w:r w:rsidR="004A6B67">
        <w:rPr>
          <w:rFonts w:cs="Times New Roman"/>
        </w:rPr>
        <w:t xml:space="preserve">”), </w:t>
      </w:r>
      <w:r w:rsidR="004A6B67" w:rsidRPr="00775415">
        <w:rPr>
          <w:rFonts w:cs="Times New Roman"/>
        </w:rPr>
        <w:t>Using Resources (e.g., “I ask for help when I try to change myself”)</w:t>
      </w:r>
      <w:r w:rsidR="004A6B67">
        <w:rPr>
          <w:rFonts w:cs="Times New Roman"/>
        </w:rPr>
        <w:t xml:space="preserve">, </w:t>
      </w:r>
      <w:r w:rsidR="004A6B67" w:rsidRPr="00775415">
        <w:rPr>
          <w:rFonts w:cs="Times New Roman"/>
        </w:rPr>
        <w:t>Planfulness (e.g., “I set realistic goals for what I want to change about myself”)</w:t>
      </w:r>
      <w:r w:rsidR="004A6B67">
        <w:rPr>
          <w:rFonts w:cs="Times New Roman"/>
        </w:rPr>
        <w:t xml:space="preserve">, and </w:t>
      </w:r>
      <w:r w:rsidR="004A6B67" w:rsidRPr="00775415">
        <w:rPr>
          <w:rFonts w:cs="Times New Roman"/>
        </w:rPr>
        <w:t>Readiness for Change (e.g., “I can tell when I am ready to make specific changes in myself”)</w:t>
      </w:r>
      <w:r w:rsidR="004A6B67">
        <w:rPr>
          <w:rFonts w:cs="Times New Roman"/>
        </w:rPr>
        <w:t xml:space="preserve">. </w:t>
      </w:r>
      <w:r w:rsidR="003013DB">
        <w:t>We created an index by averaging</w:t>
      </w:r>
      <w:r w:rsidR="004A6B67">
        <w:t xml:space="preserve"> responses to a</w:t>
      </w:r>
      <w:r w:rsidR="003013DB">
        <w:t xml:space="preserve">ll items (α = .93), with higher scores </w:t>
      </w:r>
      <w:r w:rsidR="00495101">
        <w:t>reflecting</w:t>
      </w:r>
      <w:r w:rsidR="003013DB">
        <w:t xml:space="preserve"> </w:t>
      </w:r>
      <w:r w:rsidR="005A3C88">
        <w:t>more</w:t>
      </w:r>
      <w:r w:rsidR="003013DB">
        <w:t xml:space="preserve"> personal growth.</w:t>
      </w:r>
      <w:r w:rsidR="00113D21">
        <w:t xml:space="preserve"> </w:t>
      </w:r>
    </w:p>
    <w:bookmarkEnd w:id="43"/>
    <w:bookmarkEnd w:id="44"/>
    <w:p w14:paraId="47F3D6ED" w14:textId="55484679" w:rsidR="00F07817" w:rsidRPr="00711EFB" w:rsidRDefault="005A3D38" w:rsidP="00732BE6">
      <w:pPr>
        <w:pStyle w:val="Heading2"/>
        <w:widowControl w:val="0"/>
      </w:pPr>
      <w:r>
        <w:rPr>
          <w:rFonts w:hint="eastAsia"/>
        </w:rPr>
        <w:t>R</w:t>
      </w:r>
      <w:r>
        <w:t>esults</w:t>
      </w:r>
      <w:bookmarkStart w:id="55" w:name="OLE_LINK75"/>
      <w:bookmarkStart w:id="56" w:name="OLE_LINK76"/>
      <w:r w:rsidR="00E5778D">
        <w:t xml:space="preserve"> </w:t>
      </w:r>
      <w:r w:rsidR="000A6A53">
        <w:t>and Discussion</w:t>
      </w:r>
    </w:p>
    <w:p w14:paraId="7343A72F" w14:textId="53971062" w:rsidR="00622CB4" w:rsidRDefault="00495E1C" w:rsidP="00732BE6">
      <w:pPr>
        <w:pStyle w:val="Heading3"/>
      </w:pPr>
      <w:r>
        <w:rPr>
          <w:rFonts w:hint="eastAsia"/>
        </w:rPr>
        <w:t>A</w:t>
      </w:r>
      <w:r>
        <w:t>ssociations Among Variables</w:t>
      </w:r>
    </w:p>
    <w:p w14:paraId="1EF22CB4" w14:textId="3EFCE05D" w:rsidR="006E75FE" w:rsidRDefault="000A6A53" w:rsidP="00732BE6">
      <w:pPr>
        <w:widowControl w:val="0"/>
      </w:pPr>
      <w:r>
        <w:t>In Tabl</w:t>
      </w:r>
      <w:r w:rsidR="005A3C88">
        <w:t>e</w:t>
      </w:r>
      <w:r>
        <w:t xml:space="preserve"> 1, we present </w:t>
      </w:r>
      <w:r w:rsidR="00422C3A">
        <w:t>correlations among variables</w:t>
      </w:r>
      <w:r w:rsidR="009655F7">
        <w:t xml:space="preserve"> within</w:t>
      </w:r>
      <w:r w:rsidR="005A3C88">
        <w:t xml:space="preserve"> each</w:t>
      </w:r>
      <w:r w:rsidR="009655F7">
        <w:t xml:space="preserve"> </w:t>
      </w:r>
      <w:r w:rsidR="00547EF5">
        <w:t>condition</w:t>
      </w:r>
      <w:r>
        <w:t>. In Table 2, we display</w:t>
      </w:r>
      <w:r w:rsidR="00527980">
        <w:t xml:space="preserve"> comparisons</w:t>
      </w:r>
      <w:r w:rsidR="0067104D">
        <w:t xml:space="preserve"> </w:t>
      </w:r>
      <w:r w:rsidR="00527980">
        <w:t xml:space="preserve">of </w:t>
      </w:r>
      <w:r w:rsidR="007757C1">
        <w:t>nostalgia’s correlations with</w:t>
      </w:r>
      <w:r w:rsidR="0067104D">
        <w:t xml:space="preserve"> declinism and personal growth</w:t>
      </w:r>
      <w:r w:rsidR="007757C1">
        <w:t xml:space="preserve"> </w:t>
      </w:r>
      <w:r w:rsidR="0067104D">
        <w:t xml:space="preserve">between </w:t>
      </w:r>
      <w:r w:rsidR="00547EF5">
        <w:t>condition</w:t>
      </w:r>
      <w:r w:rsidR="0067104D">
        <w:t>s.</w:t>
      </w:r>
      <w:r w:rsidR="0068643C">
        <w:t xml:space="preserve"> </w:t>
      </w:r>
      <w:r w:rsidR="006E75FE" w:rsidRPr="00A30B84">
        <w:rPr>
          <w:rFonts w:cs="Times New Roman"/>
        </w:rPr>
        <w:t>Analyses revealed a divergent pattern of associations between measures of nostalgia, personal growth, and declinism across the different nostalgia scales. For both the SNS and the NI, nostalgia was positively associated with personal growth and unrelated to declinism. In contrast, the PINE demonstrated no association with personal growth but was positively associated with declinism. Notably, across all conditions, declinism was negatively associated with personal growth.</w:t>
      </w:r>
    </w:p>
    <w:p w14:paraId="56B299F7" w14:textId="0508C40E" w:rsidR="006E75FE" w:rsidRPr="000D4B78" w:rsidRDefault="006E75FE" w:rsidP="00732BE6">
      <w:pPr>
        <w:widowControl w:val="0"/>
        <w:rPr>
          <w:rFonts w:cs="Times New Roman"/>
        </w:rPr>
      </w:pPr>
      <w:r>
        <w:lastRenderedPageBreak/>
        <w:t>So far</w:t>
      </w:r>
      <w:r w:rsidR="003C3DB2">
        <w:t xml:space="preserve">, the PINE exhibited a </w:t>
      </w:r>
      <w:r>
        <w:t>distinct</w:t>
      </w:r>
      <w:r w:rsidR="003C3DB2">
        <w:t xml:space="preserve"> correlational profile </w:t>
      </w:r>
      <w:r>
        <w:t>relative to the SNS and NI,</w:t>
      </w:r>
      <w:r w:rsidR="00113D21">
        <w:t xml:space="preserve"> </w:t>
      </w:r>
      <w:r w:rsidRPr="00A30B84">
        <w:rPr>
          <w:rFonts w:cs="Times New Roman"/>
        </w:rPr>
        <w:t>particularly in its simultaneous association with increased declinism and reduced personal growth.</w:t>
      </w:r>
      <w:r w:rsidRPr="006E75FE">
        <w:t xml:space="preserve"> </w:t>
      </w:r>
      <w:r w:rsidRPr="00A30B84">
        <w:rPr>
          <w:rFonts w:cs="Times New Roman"/>
        </w:rPr>
        <w:t>One potential explanation for this discrepancy is that the PINE conflate</w:t>
      </w:r>
      <w:r w:rsidR="005468B0">
        <w:rPr>
          <w:rFonts w:cs="Times New Roman"/>
        </w:rPr>
        <w:t>s</w:t>
      </w:r>
      <w:r w:rsidRPr="00A30B84">
        <w:rPr>
          <w:rFonts w:cs="Times New Roman"/>
        </w:rPr>
        <w:t xml:space="preserve"> nostalgia with declinist sentiment. </w:t>
      </w:r>
      <w:r w:rsidR="00326A29">
        <w:rPr>
          <w:rFonts w:cs="Times New Roman"/>
          <w:color w:val="4472C4" w:themeColor="accent1"/>
        </w:rPr>
        <w:t xml:space="preserve">Given the </w:t>
      </w:r>
      <w:r w:rsidR="00326A29" w:rsidRPr="00F373A0">
        <w:rPr>
          <w:rFonts w:cs="Times New Roman"/>
          <w:color w:val="4472C4" w:themeColor="accent1"/>
        </w:rPr>
        <w:t xml:space="preserve">between-subjects design, we were unable to examine associations between PINE items and items from the other nostalgia </w:t>
      </w:r>
      <w:r w:rsidR="00326A29">
        <w:rPr>
          <w:rFonts w:cs="Times New Roman"/>
          <w:color w:val="4472C4" w:themeColor="accent1"/>
        </w:rPr>
        <w:t>scales</w:t>
      </w:r>
      <w:r w:rsidR="00326A29" w:rsidRPr="00F373A0">
        <w:rPr>
          <w:rFonts w:cs="Times New Roman"/>
          <w:color w:val="4472C4" w:themeColor="accent1"/>
        </w:rPr>
        <w:t xml:space="preserve">. Nevertheless, </w:t>
      </w:r>
      <w:r w:rsidRPr="00A30B84">
        <w:rPr>
          <w:rFonts w:cs="Times New Roman"/>
        </w:rPr>
        <w:t xml:space="preserve">we conducted a canonical correlation analysis between the four items of the PINE and the eight items assessing </w:t>
      </w:r>
      <w:r w:rsidRPr="000D4B78">
        <w:rPr>
          <w:rFonts w:cs="Times New Roman"/>
        </w:rPr>
        <w:t>declinism</w:t>
      </w:r>
      <w:r w:rsidR="0059148F" w:rsidRPr="000D4B78">
        <w:rPr>
          <w:rFonts w:cs="Times New Roman"/>
        </w:rPr>
        <w:t xml:space="preserve"> to evaluate </w:t>
      </w:r>
      <w:r w:rsidR="004D127E" w:rsidRPr="000D4B78">
        <w:rPr>
          <w:rFonts w:cs="Times New Roman"/>
          <w:color w:val="4472C4" w:themeColor="accent1"/>
        </w:rPr>
        <w:t>their potential overlap</w:t>
      </w:r>
      <w:r w:rsidRPr="000D4B78">
        <w:rPr>
          <w:rFonts w:cs="Times New Roman"/>
        </w:rPr>
        <w:t>.</w:t>
      </w:r>
    </w:p>
    <w:p w14:paraId="5C1EDF29" w14:textId="56369B8D" w:rsidR="006E75FE" w:rsidRPr="006E75FE" w:rsidRDefault="00547EF5" w:rsidP="00732BE6">
      <w:pPr>
        <w:widowControl w:val="0"/>
        <w:rPr>
          <w:lang w:val="en-GB"/>
        </w:rPr>
      </w:pPr>
      <w:r w:rsidRPr="000D4B78">
        <w:t xml:space="preserve">The analysis revealed a significant first canonical pair with a strong correlation coefficient of </w:t>
      </w:r>
      <w:bookmarkStart w:id="57" w:name="OLE_LINK313"/>
      <w:r w:rsidRPr="000D4B78">
        <w:rPr>
          <w:i/>
          <w:iCs/>
        </w:rPr>
        <w:t>r</w:t>
      </w:r>
      <w:r w:rsidRPr="000D4B78">
        <w:t xml:space="preserve"> = .52</w:t>
      </w:r>
      <w:bookmarkEnd w:id="57"/>
      <w:r w:rsidRPr="000D4B78">
        <w:t xml:space="preserve"> (Wilks’ λ = .686, </w:t>
      </w:r>
      <w:r w:rsidRPr="000D4B78">
        <w:rPr>
          <w:i/>
          <w:iCs/>
        </w:rPr>
        <w:t>F</w:t>
      </w:r>
      <w:r w:rsidR="003C3DB2" w:rsidRPr="000D4B78">
        <w:t>[</w:t>
      </w:r>
      <w:r w:rsidRPr="000D4B78">
        <w:t>32, 953.05</w:t>
      </w:r>
      <w:r w:rsidR="003C3DB2" w:rsidRPr="000D4B78">
        <w:t>]</w:t>
      </w:r>
      <w:r w:rsidRPr="000D4B78">
        <w:t xml:space="preserve"> = 5.29, </w:t>
      </w:r>
      <w:bookmarkStart w:id="58" w:name="OLE_LINK311"/>
      <w:bookmarkStart w:id="59" w:name="OLE_LINK312"/>
      <w:r w:rsidRPr="000D4B78">
        <w:rPr>
          <w:i/>
          <w:iCs/>
        </w:rPr>
        <w:t>p</w:t>
      </w:r>
      <w:bookmarkEnd w:id="58"/>
      <w:bookmarkEnd w:id="59"/>
      <w:r w:rsidRPr="000D4B78">
        <w:t xml:space="preserve"> &lt; .001) between the </w:t>
      </w:r>
      <w:r w:rsidR="009C187D" w:rsidRPr="000D4B78">
        <w:t>PINE</w:t>
      </w:r>
      <w:r w:rsidRPr="000D4B78">
        <w:t xml:space="preserve"> and declinism variates. </w:t>
      </w:r>
      <w:bookmarkEnd w:id="55"/>
      <w:bookmarkEnd w:id="56"/>
      <w:r w:rsidR="006E75FE" w:rsidRPr="000D4B78">
        <w:rPr>
          <w:lang w:val="en-GB"/>
        </w:rPr>
        <w:t xml:space="preserve">Specifically, the PINE items “How much do you feel a wistful affection for the past” and “To what extent do you feel a longing to return to a former time in your life” emerged as the primary contributors to the </w:t>
      </w:r>
      <w:r w:rsidR="00D412B0" w:rsidRPr="000D4B78">
        <w:rPr>
          <w:lang w:val="en-GB"/>
        </w:rPr>
        <w:t xml:space="preserve">PINE </w:t>
      </w:r>
      <w:r w:rsidR="006E75FE" w:rsidRPr="000D4B78">
        <w:rPr>
          <w:lang w:val="en-GB"/>
        </w:rPr>
        <w:t>variate, exhibiting the strongest item loadings (|</w:t>
      </w:r>
      <w:r w:rsidR="006E75FE" w:rsidRPr="000D4B78">
        <w:rPr>
          <w:i/>
          <w:iCs/>
          <w:lang w:val="en-GB"/>
        </w:rPr>
        <w:t>r</w:t>
      </w:r>
      <w:r w:rsidR="006E75FE" w:rsidRPr="000D4B78">
        <w:rPr>
          <w:lang w:val="en-GB"/>
        </w:rPr>
        <w:t>s| = .94 and .83</w:t>
      </w:r>
      <w:bookmarkStart w:id="60" w:name="OLE_LINK212"/>
      <w:bookmarkStart w:id="61" w:name="OLE_LINK213"/>
      <w:r w:rsidR="006E75FE" w:rsidRPr="000D4B78">
        <w:rPr>
          <w:lang w:val="en-GB"/>
        </w:rPr>
        <w:t>, respectively</w:t>
      </w:r>
      <w:bookmarkEnd w:id="60"/>
      <w:bookmarkEnd w:id="61"/>
      <w:r w:rsidR="006E75FE" w:rsidRPr="000D4B78">
        <w:rPr>
          <w:lang w:val="en-GB"/>
        </w:rPr>
        <w:t>). Notably, these same items also demonstrated the highest correlations with the declinism variate (|</w:t>
      </w:r>
      <w:r w:rsidR="006E75FE" w:rsidRPr="000D4B78">
        <w:rPr>
          <w:i/>
          <w:iCs/>
          <w:lang w:val="en-GB"/>
        </w:rPr>
        <w:t>r</w:t>
      </w:r>
      <w:r w:rsidR="006E75FE" w:rsidRPr="000D4B78">
        <w:rPr>
          <w:lang w:val="en-GB"/>
        </w:rPr>
        <w:t>s| = .49 and .43</w:t>
      </w:r>
      <w:r w:rsidR="00AD3C22" w:rsidRPr="000D4B78">
        <w:rPr>
          <w:lang w:val="en-GB"/>
        </w:rPr>
        <w:t>, respectively</w:t>
      </w:r>
      <w:r w:rsidR="006E75FE" w:rsidRPr="000D4B78">
        <w:rPr>
          <w:lang w:val="en-GB"/>
        </w:rPr>
        <w:t xml:space="preserve">), indicating a substantial degree of conceptual and empirical overlap. </w:t>
      </w:r>
      <w:r w:rsidR="00144A2F" w:rsidRPr="000D4B78">
        <w:rPr>
          <w:lang w:val="en-GB"/>
        </w:rPr>
        <w:t xml:space="preserve">For detailed results, see </w:t>
      </w:r>
      <w:r w:rsidR="009D60DF" w:rsidRPr="000D4B78">
        <w:rPr>
          <w:lang w:val="en-GB"/>
        </w:rPr>
        <w:t xml:space="preserve">Supplemental Materials, </w:t>
      </w:r>
      <w:r w:rsidR="00AD25C7" w:rsidRPr="000D4B78">
        <w:rPr>
          <w:lang w:val="en-GB"/>
        </w:rPr>
        <w:t xml:space="preserve">Table S1. </w:t>
      </w:r>
      <w:r w:rsidR="006E75FE" w:rsidRPr="000D4B78">
        <w:rPr>
          <w:lang w:val="en-GB"/>
        </w:rPr>
        <w:t xml:space="preserve">These findings suggest </w:t>
      </w:r>
      <w:r w:rsidR="00740DD3" w:rsidRPr="000D4B78">
        <w:rPr>
          <w:lang w:val="en-GB"/>
        </w:rPr>
        <w:t xml:space="preserve">that </w:t>
      </w:r>
      <w:r w:rsidR="004D127E" w:rsidRPr="000D4B78">
        <w:rPr>
          <w:rFonts w:cs="Times New Roman"/>
          <w:color w:val="4472C4" w:themeColor="accent1"/>
        </w:rPr>
        <w:t>counterfactual pining for the past</w:t>
      </w:r>
      <w:r w:rsidR="00D94AD6" w:rsidRPr="000D4B78">
        <w:rPr>
          <w:lang w:val="en-GB"/>
        </w:rPr>
        <w:t xml:space="preserve">, </w:t>
      </w:r>
      <w:r w:rsidR="006E75FE" w:rsidRPr="000D4B78">
        <w:rPr>
          <w:lang w:val="en-GB"/>
        </w:rPr>
        <w:t xml:space="preserve">especially </w:t>
      </w:r>
      <w:r w:rsidR="00740DD3" w:rsidRPr="000D4B78">
        <w:rPr>
          <w:lang w:val="en-GB"/>
        </w:rPr>
        <w:t>when</w:t>
      </w:r>
      <w:r w:rsidR="00740DD3">
        <w:rPr>
          <w:lang w:val="en-GB"/>
        </w:rPr>
        <w:t xml:space="preserve"> involving</w:t>
      </w:r>
      <w:r w:rsidR="006E75FE" w:rsidRPr="00E6490D">
        <w:rPr>
          <w:lang w:val="en-GB"/>
        </w:rPr>
        <w:t xml:space="preserve"> wistfulness</w:t>
      </w:r>
      <w:r w:rsidR="00BE4472" w:rsidRPr="00E6490D">
        <w:rPr>
          <w:lang w:val="en-GB"/>
        </w:rPr>
        <w:t xml:space="preserve"> </w:t>
      </w:r>
      <w:r w:rsidR="00083015" w:rsidRPr="00E6490D">
        <w:rPr>
          <w:lang w:val="en-GB"/>
        </w:rPr>
        <w:t>(i.e., “</w:t>
      </w:r>
      <w:r w:rsidR="00083015" w:rsidRPr="00E6490D">
        <w:t>sadly </w:t>
      </w:r>
      <w:hyperlink r:id="rId20" w:tooltip="Definition of pensive" w:history="1">
        <w:r w:rsidR="00083015" w:rsidRPr="00E6490D">
          <w:rPr>
            <w:rStyle w:val="Hyperlink"/>
            <w:color w:val="auto"/>
            <w:u w:val="none"/>
          </w:rPr>
          <w:t>pensive</w:t>
        </w:r>
      </w:hyperlink>
      <w:r w:rsidR="00083015" w:rsidRPr="00E6490D">
        <w:t>, especially about something </w:t>
      </w:r>
      <w:hyperlink r:id="rId21" w:tooltip="Definition of yearned" w:history="1">
        <w:r w:rsidR="00083015" w:rsidRPr="00E6490D">
          <w:rPr>
            <w:rStyle w:val="Hyperlink"/>
            <w:color w:val="auto"/>
            <w:u w:val="none"/>
          </w:rPr>
          <w:t>yearned</w:t>
        </w:r>
      </w:hyperlink>
      <w:r w:rsidR="00083015" w:rsidRPr="00E6490D">
        <w:t> for”; Collins English Dictionary, 2023)</w:t>
      </w:r>
      <w:r w:rsidR="00D94AD6">
        <w:rPr>
          <w:lang w:val="en-GB"/>
        </w:rPr>
        <w:t xml:space="preserve">, </w:t>
      </w:r>
      <w:r w:rsidR="00D412B0">
        <w:rPr>
          <w:lang w:val="en-GB"/>
        </w:rPr>
        <w:t>confound</w:t>
      </w:r>
      <w:r w:rsidR="00740DD3">
        <w:rPr>
          <w:lang w:val="en-GB"/>
        </w:rPr>
        <w:t>s</w:t>
      </w:r>
      <w:r w:rsidR="00D412B0">
        <w:rPr>
          <w:lang w:val="en-GB"/>
        </w:rPr>
        <w:t xml:space="preserve"> nostalgia and</w:t>
      </w:r>
      <w:r w:rsidR="006E75FE" w:rsidRPr="006E75FE">
        <w:rPr>
          <w:lang w:val="en-GB"/>
        </w:rPr>
        <w:t xml:space="preserve"> perceptions of societal decline.</w:t>
      </w:r>
    </w:p>
    <w:p w14:paraId="3F23F0DE" w14:textId="189E2711" w:rsidR="008B474D" w:rsidRPr="005468B0" w:rsidRDefault="008B474D" w:rsidP="00732BE6">
      <w:pPr>
        <w:pStyle w:val="Heading3"/>
      </w:pPr>
      <w:bookmarkStart w:id="62" w:name="OLE_LINK353"/>
      <w:bookmarkStart w:id="63" w:name="OLE_LINK354"/>
      <w:bookmarkStart w:id="64" w:name="OLE_LINK355"/>
      <w:bookmarkStart w:id="65" w:name="OLE_LINK318"/>
      <w:bookmarkStart w:id="66" w:name="OLE_LINK319"/>
      <w:r w:rsidRPr="005468B0">
        <w:rPr>
          <w:rFonts w:hint="eastAsia"/>
        </w:rPr>
        <w:t>D</w:t>
      </w:r>
      <w:r w:rsidRPr="005468B0">
        <w:t xml:space="preserve">istinct </w:t>
      </w:r>
      <w:bookmarkEnd w:id="62"/>
      <w:bookmarkEnd w:id="63"/>
      <w:bookmarkEnd w:id="64"/>
      <w:r w:rsidRPr="005468B0">
        <w:t xml:space="preserve">Effects of Nostalgia and Declinism on Personal Growth </w:t>
      </w:r>
      <w:r w:rsidR="00B727DB" w:rsidRPr="005468B0">
        <w:t xml:space="preserve">Across </w:t>
      </w:r>
      <w:r w:rsidR="00547EF5" w:rsidRPr="005468B0">
        <w:t>Condition</w:t>
      </w:r>
      <w:r w:rsidR="00B727DB" w:rsidRPr="005468B0">
        <w:t>s</w:t>
      </w:r>
    </w:p>
    <w:bookmarkEnd w:id="65"/>
    <w:bookmarkEnd w:id="66"/>
    <w:p w14:paraId="05E69778" w14:textId="12C1462F" w:rsidR="005468B0" w:rsidRDefault="005468B0" w:rsidP="00732BE6">
      <w:pPr>
        <w:widowControl w:val="0"/>
        <w:rPr>
          <w:rFonts w:cs="Times New Roman"/>
        </w:rPr>
      </w:pPr>
      <w:r w:rsidRPr="00A30B84">
        <w:rPr>
          <w:rFonts w:cs="Times New Roman"/>
        </w:rPr>
        <w:t xml:space="preserve">To examine whether the relation between nostalgia and personal growth varies by the way nostalgia is </w:t>
      </w:r>
      <w:r>
        <w:rPr>
          <w:rFonts w:cs="Times New Roman"/>
        </w:rPr>
        <w:t>operationalized</w:t>
      </w:r>
      <w:r w:rsidRPr="00A30B84">
        <w:rPr>
          <w:rFonts w:cs="Times New Roman"/>
        </w:rPr>
        <w:t>, we conducted multi-group path analyses using three different nostalgia measures: the SNS, the NI, and the PINE.</w:t>
      </w:r>
      <w:r>
        <w:rPr>
          <w:rFonts w:cs="Times New Roman"/>
        </w:rPr>
        <w:t xml:space="preserve"> We included n</w:t>
      </w:r>
      <w:r w:rsidRPr="00A30B84">
        <w:rPr>
          <w:rFonts w:cs="Times New Roman"/>
        </w:rPr>
        <w:t xml:space="preserve">ostalgia and declinism as parallel and correlated predictors, with personal growth as the outcome variable. </w:t>
      </w:r>
      <w:r>
        <w:rPr>
          <w:rFonts w:cs="Times New Roman"/>
        </w:rPr>
        <w:t>We conduc</w:t>
      </w:r>
      <w:r w:rsidR="00CC7AAD">
        <w:rPr>
          <w:rFonts w:cs="Times New Roman"/>
        </w:rPr>
        <w:t>t</w:t>
      </w:r>
      <w:r>
        <w:rPr>
          <w:rFonts w:cs="Times New Roman"/>
        </w:rPr>
        <w:t>ed m</w:t>
      </w:r>
      <w:r w:rsidRPr="00A30B84">
        <w:rPr>
          <w:rFonts w:cs="Times New Roman"/>
        </w:rPr>
        <w:t>odel comparisons to evaluate whether constraining the nostalgia–personal growth path across conditions resulted in significant losses in model fit.</w:t>
      </w:r>
      <w:r>
        <w:rPr>
          <w:rFonts w:cs="Times New Roman"/>
        </w:rPr>
        <w:t xml:space="preserve"> We report m</w:t>
      </w:r>
      <w:r w:rsidRPr="00A30B84">
        <w:rPr>
          <w:rFonts w:cs="Times New Roman"/>
        </w:rPr>
        <w:t>odel fit statistics in Table 3.</w:t>
      </w:r>
    </w:p>
    <w:p w14:paraId="2E1C80AB" w14:textId="368420AF" w:rsidR="000D213C" w:rsidRPr="004369E6" w:rsidRDefault="005468B0" w:rsidP="00732BE6">
      <w:pPr>
        <w:widowControl w:val="0"/>
        <w:rPr>
          <w:highlight w:val="yellow"/>
        </w:rPr>
      </w:pPr>
      <w:r w:rsidRPr="00A30B84">
        <w:rPr>
          <w:rFonts w:cs="Times New Roman"/>
        </w:rPr>
        <w:t xml:space="preserve">The reference model (M0), a fully saturated model in which all structural paths were freely estimated across the three measurement conditions (Figure 1), showed that nostalgia </w:t>
      </w:r>
      <w:r w:rsidRPr="00A30B84">
        <w:rPr>
          <w:rFonts w:cs="Times New Roman"/>
        </w:rPr>
        <w:lastRenderedPageBreak/>
        <w:t xml:space="preserve">positively predicted personal growth in the SNS and NI conditions, but </w:t>
      </w:r>
      <w:r>
        <w:rPr>
          <w:rFonts w:cs="Times New Roman"/>
        </w:rPr>
        <w:t>had</w:t>
      </w:r>
      <w:r w:rsidRPr="00A30B84">
        <w:rPr>
          <w:rFonts w:cs="Times New Roman"/>
        </w:rPr>
        <w:t xml:space="preserve"> no predictive relation in the PINE condition. Consistently across all three conditions, declinism was negatively associated with personal growth.</w:t>
      </w:r>
    </w:p>
    <w:p w14:paraId="6B872187" w14:textId="1B0A05B5" w:rsidR="00963FAB" w:rsidRDefault="005468B0" w:rsidP="00732BE6">
      <w:pPr>
        <w:widowControl w:val="0"/>
        <w:rPr>
          <w:rFonts w:cs="Times New Roman"/>
        </w:rPr>
      </w:pPr>
      <w:bookmarkStart w:id="67" w:name="OLE_LINK10"/>
      <w:bookmarkStart w:id="68" w:name="OLE_LINK11"/>
      <w:r w:rsidRPr="00A30B84">
        <w:rPr>
          <w:rFonts w:cs="Times New Roman"/>
        </w:rPr>
        <w:t xml:space="preserve">In Model 1 (M1), we constrained the nostalgia–personal growth path to be equal across all three measurement conditions. This model fit the data significantly worse than M0 (Δχ² = 34.80, Δdf = 2, </w:t>
      </w:r>
      <w:r w:rsidRPr="00A30B84">
        <w:rPr>
          <w:rFonts w:cs="Times New Roman"/>
          <w:i/>
          <w:iCs/>
        </w:rPr>
        <w:t>p</w:t>
      </w:r>
      <w:r w:rsidRPr="00A30B84">
        <w:rPr>
          <w:rFonts w:cs="Times New Roman"/>
        </w:rPr>
        <w:t xml:space="preserve"> &lt; .001), suggesting </w:t>
      </w:r>
      <w:r>
        <w:rPr>
          <w:rFonts w:cs="Times New Roman"/>
        </w:rPr>
        <w:t>substantial</w:t>
      </w:r>
      <w:r w:rsidRPr="00A30B84">
        <w:rPr>
          <w:rFonts w:cs="Times New Roman"/>
        </w:rPr>
        <w:t xml:space="preserve"> variability in the </w:t>
      </w:r>
      <w:r w:rsidR="00BE4472">
        <w:rPr>
          <w:rFonts w:cs="Times New Roman"/>
        </w:rPr>
        <w:t>association</w:t>
      </w:r>
      <w:r w:rsidR="00BE4472" w:rsidRPr="00A30B84">
        <w:rPr>
          <w:rFonts w:cs="Times New Roman"/>
        </w:rPr>
        <w:t xml:space="preserve"> </w:t>
      </w:r>
      <w:r w:rsidRPr="00A30B84">
        <w:rPr>
          <w:rFonts w:cs="Times New Roman"/>
        </w:rPr>
        <w:t xml:space="preserve">of nostalgia </w:t>
      </w:r>
      <w:r w:rsidR="00BE4472">
        <w:rPr>
          <w:rFonts w:cs="Times New Roman"/>
        </w:rPr>
        <w:t>with</w:t>
      </w:r>
      <w:r w:rsidR="00BE4472" w:rsidRPr="00A30B84">
        <w:rPr>
          <w:rFonts w:cs="Times New Roman"/>
        </w:rPr>
        <w:t xml:space="preserve"> </w:t>
      </w:r>
      <w:r w:rsidRPr="00A30B84">
        <w:rPr>
          <w:rFonts w:cs="Times New Roman"/>
        </w:rPr>
        <w:t>personal growth depending on the nostalgia measure.</w:t>
      </w:r>
      <w:r>
        <w:rPr>
          <w:rFonts w:cs="Times New Roman"/>
        </w:rPr>
        <w:t xml:space="preserve"> </w:t>
      </w:r>
      <w:bookmarkStart w:id="69" w:name="OLE_LINK19"/>
      <w:bookmarkStart w:id="70" w:name="OLE_LINK20"/>
      <w:r w:rsidRPr="00A30B84">
        <w:rPr>
          <w:rFonts w:cs="Times New Roman"/>
        </w:rPr>
        <w:t xml:space="preserve">In Model 2 (M2), we constrained the path to be equal across SNS and NI. M2 also fit significantly worse than M0 (Δχ² = 22.23, Δdf = 1, </w:t>
      </w:r>
      <w:r w:rsidRPr="00A30B84">
        <w:rPr>
          <w:rFonts w:cs="Times New Roman"/>
          <w:i/>
          <w:iCs/>
        </w:rPr>
        <w:t>p</w:t>
      </w:r>
      <w:r w:rsidRPr="00A30B84">
        <w:rPr>
          <w:rFonts w:cs="Times New Roman"/>
        </w:rPr>
        <w:t xml:space="preserve"> &lt; .001), indicating that nostalgia had a stronger positive </w:t>
      </w:r>
      <w:r w:rsidR="00BE4472">
        <w:rPr>
          <w:rFonts w:cs="Times New Roman"/>
        </w:rPr>
        <w:t>association with</w:t>
      </w:r>
      <w:r w:rsidRPr="00A30B84">
        <w:rPr>
          <w:rFonts w:cs="Times New Roman"/>
        </w:rPr>
        <w:t xml:space="preserve"> personal growth in the NI condition than in the SNS condition.</w:t>
      </w:r>
      <w:r>
        <w:rPr>
          <w:rFonts w:cs="Times New Roman"/>
        </w:rPr>
        <w:t xml:space="preserve"> </w:t>
      </w:r>
      <w:bookmarkEnd w:id="69"/>
      <w:bookmarkEnd w:id="70"/>
      <w:r w:rsidRPr="00A30B84">
        <w:rPr>
          <w:rFonts w:cs="Times New Roman"/>
        </w:rPr>
        <w:t xml:space="preserve">In Model 3 (M3), </w:t>
      </w:r>
      <w:r>
        <w:rPr>
          <w:rFonts w:cs="Times New Roman"/>
        </w:rPr>
        <w:t>we constrained t</w:t>
      </w:r>
      <w:r w:rsidRPr="00A30B84">
        <w:rPr>
          <w:rFonts w:cs="Times New Roman"/>
        </w:rPr>
        <w:t xml:space="preserve">he path across </w:t>
      </w:r>
      <w:r>
        <w:rPr>
          <w:rFonts w:cs="Times New Roman"/>
        </w:rPr>
        <w:t xml:space="preserve">the </w:t>
      </w:r>
      <w:r w:rsidRPr="00A30B84">
        <w:rPr>
          <w:rFonts w:cs="Times New Roman"/>
        </w:rPr>
        <w:t xml:space="preserve">SNS and PINE conditions, again resulting in poorer model fit (Δχ² = 4.47, Δdf = 1, </w:t>
      </w:r>
      <w:r w:rsidRPr="00A30B84">
        <w:rPr>
          <w:rFonts w:cs="Times New Roman"/>
          <w:i/>
          <w:iCs/>
        </w:rPr>
        <w:t>p</w:t>
      </w:r>
      <w:r w:rsidRPr="00A30B84">
        <w:rPr>
          <w:rFonts w:cs="Times New Roman"/>
        </w:rPr>
        <w:t xml:space="preserve"> = .034), suggesting that nostalgia was more strongly associated with personal growth in the SNS condition than in the PINE condition.</w:t>
      </w:r>
      <w:r w:rsidR="00963FAB">
        <w:rPr>
          <w:rFonts w:cs="Times New Roman"/>
        </w:rPr>
        <w:t xml:space="preserve"> </w:t>
      </w:r>
      <w:r w:rsidRPr="00A30B84">
        <w:rPr>
          <w:rFonts w:cs="Times New Roman"/>
        </w:rPr>
        <w:t xml:space="preserve">Finally, Model 4 (M4), which constrained the path across the NI and PINE conditions, also demonstrated a significant loss of fit (Δχ² = 34.80, Δdf = 1, </w:t>
      </w:r>
      <w:r w:rsidRPr="00A30B84">
        <w:rPr>
          <w:rFonts w:cs="Times New Roman"/>
          <w:i/>
          <w:iCs/>
        </w:rPr>
        <w:t>p</w:t>
      </w:r>
      <w:r w:rsidRPr="00A30B84">
        <w:rPr>
          <w:rFonts w:cs="Times New Roman"/>
        </w:rPr>
        <w:t xml:space="preserve"> &lt; .001), further supporting that the NI condition showed a more robust positive relation between nostalgia and personal growth than the PINE condition.</w:t>
      </w:r>
    </w:p>
    <w:p w14:paraId="76BE8C9C" w14:textId="5CE12CFF" w:rsidR="00963FAB" w:rsidRDefault="00963FAB" w:rsidP="00732BE6">
      <w:pPr>
        <w:widowControl w:val="0"/>
        <w:rPr>
          <w:rFonts w:cs="Times New Roman"/>
        </w:rPr>
      </w:pPr>
      <w:r w:rsidRPr="00A30B84">
        <w:rPr>
          <w:rFonts w:cs="Times New Roman"/>
        </w:rPr>
        <w:t xml:space="preserve">Collectively, these model comparisons indicate that the association between nostalgia and personal growth significantly differed across the three measurement conditions. The strongest positive association emerged in the NI condition, followed by a weaker positive association in the SNS condition, and no significant association in the PINE condition. These findings suggest that the operationalization of nostalgia meaningfully influences its </w:t>
      </w:r>
      <w:r w:rsidR="00762AC6">
        <w:rPr>
          <w:rFonts w:cs="Times New Roman"/>
        </w:rPr>
        <w:t>association</w:t>
      </w:r>
      <w:r w:rsidRPr="00A30B84">
        <w:rPr>
          <w:rFonts w:cs="Times New Roman"/>
        </w:rPr>
        <w:t xml:space="preserve"> with growth-related outcomes.</w:t>
      </w:r>
    </w:p>
    <w:p w14:paraId="64EED04C" w14:textId="77777777" w:rsidR="009F077F" w:rsidRDefault="00963FAB" w:rsidP="00732BE6">
      <w:pPr>
        <w:pStyle w:val="Heading2"/>
        <w:widowControl w:val="0"/>
      </w:pPr>
      <w:r w:rsidRPr="00963FAB">
        <w:t>Summary</w:t>
      </w:r>
      <w:bookmarkStart w:id="71" w:name="OLE_LINK59"/>
      <w:bookmarkStart w:id="72" w:name="OLE_LINK60"/>
      <w:bookmarkStart w:id="73" w:name="OLE_LINK320"/>
      <w:bookmarkEnd w:id="67"/>
      <w:bookmarkEnd w:id="68"/>
    </w:p>
    <w:p w14:paraId="3EDB8039" w14:textId="13A103C8" w:rsidR="00547EF5" w:rsidRPr="00D435BE" w:rsidRDefault="00963FAB" w:rsidP="00732BE6">
      <w:pPr>
        <w:widowControl w:val="0"/>
        <w:ind w:firstLine="420"/>
        <w:rPr>
          <w:highlight w:val="yellow"/>
        </w:rPr>
      </w:pPr>
      <w:r w:rsidRPr="00D435BE">
        <w:t xml:space="preserve">In Study 1, we obtained empirical support for the distinct roles of nostalgia and declinism in predicting personal growth, underscoring the importance of treating these constructs as theoretically and empirically separable. Moreover, results revealed divergent profiles across nostalgia measures: nostalgia as assessed by the PINE was more closely aligned with declinist </w:t>
      </w:r>
      <w:r w:rsidRPr="00D435BE">
        <w:lastRenderedPageBreak/>
        <w:t>sentiment than nostalgia assessed via the SNS or NI. These differences in construct validity have important implications for how nostalgia is conceptualized and measured in psychological research.</w:t>
      </w:r>
      <w:r w:rsidR="00113D21">
        <w:rPr>
          <w:highlight w:val="yellow"/>
        </w:rPr>
        <w:t xml:space="preserve"> </w:t>
      </w:r>
    </w:p>
    <w:bookmarkEnd w:id="71"/>
    <w:bookmarkEnd w:id="72"/>
    <w:bookmarkEnd w:id="73"/>
    <w:p w14:paraId="4FF16451" w14:textId="77777777" w:rsidR="00BB69CD" w:rsidRPr="00E81C59" w:rsidRDefault="00BB69CD" w:rsidP="00732BE6">
      <w:pPr>
        <w:pStyle w:val="Heading1"/>
        <w:widowControl w:val="0"/>
      </w:pPr>
      <w:r w:rsidRPr="00E81C59">
        <w:t>Study 2</w:t>
      </w:r>
    </w:p>
    <w:p w14:paraId="1497A21A" w14:textId="4BEE5287" w:rsidR="00E81C59" w:rsidRDefault="00E81C59" w:rsidP="00732BE6">
      <w:pPr>
        <w:widowControl w:val="0"/>
      </w:pPr>
      <w:r>
        <w:rPr>
          <w:rFonts w:cs="Times New Roman"/>
        </w:rPr>
        <w:t xml:space="preserve">In </w:t>
      </w:r>
      <w:r w:rsidRPr="00A30B84">
        <w:rPr>
          <w:rFonts w:cs="Times New Roman"/>
        </w:rPr>
        <w:t>Study 2</w:t>
      </w:r>
      <w:r>
        <w:rPr>
          <w:rFonts w:cs="Times New Roman"/>
        </w:rPr>
        <w:t>, we</w:t>
      </w:r>
      <w:r w:rsidRPr="00A30B84">
        <w:rPr>
          <w:rFonts w:cs="Times New Roman"/>
        </w:rPr>
        <w:t xml:space="preserve"> built on the findings of Study 1 by experimentally testing the causal impact of nostalgia and declinism on personal growth. Specifically, we examined whether inducing nostalgia</w:t>
      </w:r>
      <w:r w:rsidR="008B5599">
        <w:rPr>
          <w:rFonts w:cs="Times New Roman"/>
        </w:rPr>
        <w:t xml:space="preserve"> (vs. control)</w:t>
      </w:r>
      <w:r w:rsidRPr="00A30B84">
        <w:rPr>
          <w:rFonts w:cs="Times New Roman"/>
        </w:rPr>
        <w:t xml:space="preserve"> would lead to </w:t>
      </w:r>
      <w:r w:rsidR="008A5237">
        <w:rPr>
          <w:rFonts w:cs="Times New Roman"/>
        </w:rPr>
        <w:t>higher</w:t>
      </w:r>
      <w:r w:rsidRPr="00A30B84">
        <w:rPr>
          <w:rFonts w:cs="Times New Roman"/>
        </w:rPr>
        <w:t xml:space="preserve"> personal growth</w:t>
      </w:r>
      <w:r w:rsidR="008B5599">
        <w:rPr>
          <w:rFonts w:cs="Times New Roman"/>
        </w:rPr>
        <w:t>, and whether inducing declinism (vs. control) would lead to lower personal growth</w:t>
      </w:r>
      <w:r w:rsidRPr="00A30B84">
        <w:rPr>
          <w:rFonts w:cs="Times New Roman"/>
        </w:rPr>
        <w:t>.</w:t>
      </w:r>
    </w:p>
    <w:p w14:paraId="7AA25F6C" w14:textId="2A259E51" w:rsidR="00BB69CD" w:rsidRPr="00711EFB" w:rsidRDefault="00BB69CD" w:rsidP="00732BE6">
      <w:pPr>
        <w:pStyle w:val="Heading2"/>
        <w:widowControl w:val="0"/>
      </w:pPr>
      <w:r>
        <w:rPr>
          <w:rFonts w:hint="eastAsia"/>
        </w:rPr>
        <w:t>M</w:t>
      </w:r>
      <w:r>
        <w:t>ethod</w:t>
      </w:r>
    </w:p>
    <w:p w14:paraId="4233B6EF" w14:textId="2CF74A17" w:rsidR="00BB69CD" w:rsidRPr="00D435BE" w:rsidRDefault="00BB69CD" w:rsidP="00732BE6">
      <w:pPr>
        <w:pStyle w:val="Heading3"/>
      </w:pPr>
      <w:r w:rsidRPr="00D435BE">
        <w:t>Participants</w:t>
      </w:r>
      <w:r w:rsidR="009F077F">
        <w:t xml:space="preserve"> and Design</w:t>
      </w:r>
    </w:p>
    <w:p w14:paraId="54FDBCAC" w14:textId="382E1085" w:rsidR="00BB69CD" w:rsidRDefault="009F077F" w:rsidP="00732BE6">
      <w:pPr>
        <w:widowControl w:val="0"/>
        <w:rPr>
          <w:lang w:val="en-GB"/>
        </w:rPr>
      </w:pPr>
      <w:r>
        <w:t>We employed a three-condition, between-subjects design</w:t>
      </w:r>
      <w:r w:rsidR="009818F3">
        <w:t xml:space="preserve"> (nostalgia, declinism, control)</w:t>
      </w:r>
      <w:r>
        <w:t xml:space="preserve">. Our </w:t>
      </w:r>
      <w:r w:rsidRPr="009F077F">
        <w:t xml:space="preserve">focal interest </w:t>
      </w:r>
      <w:r>
        <w:t xml:space="preserve">was on </w:t>
      </w:r>
      <w:r w:rsidRPr="009F077F">
        <w:t>the effects of nostalgia</w:t>
      </w:r>
      <w:r w:rsidR="009818F3">
        <w:t xml:space="preserve"> (vs</w:t>
      </w:r>
      <w:r w:rsidR="00BA7F8C">
        <w:t>.</w:t>
      </w:r>
      <w:r w:rsidR="009818F3">
        <w:t xml:space="preserve"> control),</w:t>
      </w:r>
      <w:r w:rsidRPr="009F077F">
        <w:t xml:space="preserve"> and declinism (vs. control)</w:t>
      </w:r>
      <w:r w:rsidR="009818F3">
        <w:t>,</w:t>
      </w:r>
      <w:r w:rsidRPr="009F077F">
        <w:t xml:space="preserve"> on personal growth. </w:t>
      </w:r>
      <w:r w:rsidR="009818F3" w:rsidRPr="009818F3">
        <w:t>Based on the effect sizes from our</w:t>
      </w:r>
      <w:r w:rsidR="009818F3">
        <w:t xml:space="preserve"> Study 1</w:t>
      </w:r>
      <w:r w:rsidR="009818F3" w:rsidRPr="009818F3">
        <w:t xml:space="preserve"> regression models (</w:t>
      </w:r>
      <w:r w:rsidR="009818F3" w:rsidRPr="00AF7DBE">
        <w:rPr>
          <w:i/>
          <w:iCs/>
        </w:rPr>
        <w:t>R</w:t>
      </w:r>
      <w:r w:rsidR="009818F3" w:rsidRPr="009818F3">
        <w:t xml:space="preserve">² = .088 for the nostalgia </w:t>
      </w:r>
      <w:r w:rsidR="00FC6A23">
        <w:t>association</w:t>
      </w:r>
      <w:r w:rsidR="00FC6A23" w:rsidRPr="009818F3">
        <w:t xml:space="preserve"> </w:t>
      </w:r>
      <w:r w:rsidR="009818F3" w:rsidRPr="009818F3">
        <w:t xml:space="preserve">and </w:t>
      </w:r>
      <w:r w:rsidR="009818F3" w:rsidRPr="00AF7DBE">
        <w:rPr>
          <w:i/>
          <w:iCs/>
        </w:rPr>
        <w:t>R</w:t>
      </w:r>
      <w:r w:rsidR="009818F3" w:rsidRPr="009818F3">
        <w:t xml:space="preserve">² = .185 for the declinism </w:t>
      </w:r>
      <w:r w:rsidR="00FC6A23">
        <w:t>association</w:t>
      </w:r>
      <w:r w:rsidR="009818F3" w:rsidRPr="009818F3">
        <w:t>)</w:t>
      </w:r>
      <w:r w:rsidR="009818F3">
        <w:t>,</w:t>
      </w:r>
      <w:r w:rsidR="009818F3" w:rsidRPr="009818F3">
        <w:t xml:space="preserve"> power analyses indicate</w:t>
      </w:r>
      <w:r w:rsidR="009818F3">
        <w:t>d</w:t>
      </w:r>
      <w:r w:rsidR="009818F3" w:rsidRPr="009818F3">
        <w:t xml:space="preserve"> that a sample size of </w:t>
      </w:r>
      <w:r w:rsidR="009818F3" w:rsidRPr="009818F3">
        <w:rPr>
          <w:i/>
          <w:iCs/>
        </w:rPr>
        <w:t>n</w:t>
      </w:r>
      <w:r w:rsidR="009818F3" w:rsidRPr="009818F3">
        <w:t xml:space="preserve"> = 42 per </w:t>
      </w:r>
      <w:r w:rsidR="009818F3">
        <w:t>condition</w:t>
      </w:r>
      <w:r w:rsidR="009818F3" w:rsidRPr="009818F3">
        <w:t xml:space="preserve"> and </w:t>
      </w:r>
      <w:r w:rsidR="009818F3" w:rsidRPr="009818F3">
        <w:rPr>
          <w:i/>
          <w:iCs/>
        </w:rPr>
        <w:t>n</w:t>
      </w:r>
      <w:r w:rsidR="009818F3" w:rsidRPr="009818F3">
        <w:t xml:space="preserve"> = 19 per </w:t>
      </w:r>
      <w:r w:rsidR="009818F3">
        <w:t>condition</w:t>
      </w:r>
      <w:r w:rsidR="009818F3" w:rsidRPr="009818F3">
        <w:t>, respectively, would be required to achieve 80% power at an alpha level of .05.</w:t>
      </w:r>
      <w:r w:rsidR="009818F3">
        <w:t xml:space="preserve"> Given that this is the first experimental investigation on the topic, we opted to conservatively recruit, </w:t>
      </w:r>
      <w:r w:rsidR="00D435BE" w:rsidRPr="00470F62">
        <w:t>via Credamo</w:t>
      </w:r>
      <w:r w:rsidR="009818F3">
        <w:t>,</w:t>
      </w:r>
      <w:r w:rsidR="00BB69CD" w:rsidRPr="003C3DCF">
        <w:t xml:space="preserve"> </w:t>
      </w:r>
      <w:r w:rsidR="002C1B20">
        <w:t>360</w:t>
      </w:r>
      <w:r w:rsidR="002C1B20" w:rsidRPr="003C3DCF">
        <w:t xml:space="preserve"> </w:t>
      </w:r>
      <w:r w:rsidR="00BB69CD" w:rsidRPr="003C3DCF">
        <w:t>Chinese participa</w:t>
      </w:r>
      <w:r w:rsidR="00BB69CD" w:rsidRPr="00470F62">
        <w:t>nts (</w:t>
      </w:r>
      <w:r w:rsidR="007D600C">
        <w:t>256</w:t>
      </w:r>
      <w:r w:rsidR="007D600C" w:rsidRPr="00470F62">
        <w:t xml:space="preserve"> </w:t>
      </w:r>
      <w:r w:rsidR="00BB69CD" w:rsidRPr="00470F62">
        <w:t>women</w:t>
      </w:r>
      <w:r w:rsidR="00D435BE">
        <w:t>,</w:t>
      </w:r>
      <w:r w:rsidR="00BB69CD" w:rsidRPr="00470F62">
        <w:t xml:space="preserve"> </w:t>
      </w:r>
      <w:r w:rsidR="007D600C">
        <w:t>104</w:t>
      </w:r>
      <w:r w:rsidR="007D600C" w:rsidRPr="00470F62">
        <w:t xml:space="preserve"> </w:t>
      </w:r>
      <w:r w:rsidR="00BB69CD" w:rsidRPr="00470F62">
        <w:t>men</w:t>
      </w:r>
      <w:r w:rsidR="00D435BE">
        <w:t>) ranging in age from 18 to 67 years (</w:t>
      </w:r>
      <w:r w:rsidR="00BB69CD" w:rsidRPr="00470F62">
        <w:rPr>
          <w:i/>
          <w:iCs/>
        </w:rPr>
        <w:t>M</w:t>
      </w:r>
      <w:r w:rsidR="00BB69CD" w:rsidRPr="00470F62">
        <w:t xml:space="preserve"> = </w:t>
      </w:r>
      <w:r w:rsidR="007D600C">
        <w:t>30.88</w:t>
      </w:r>
      <w:r w:rsidR="00BB69CD" w:rsidRPr="00470F62">
        <w:t xml:space="preserve">, </w:t>
      </w:r>
      <w:r w:rsidR="00BB69CD" w:rsidRPr="00470F62">
        <w:rPr>
          <w:i/>
          <w:iCs/>
        </w:rPr>
        <w:t>SD</w:t>
      </w:r>
      <w:r w:rsidR="00BB69CD" w:rsidRPr="00470F62">
        <w:t xml:space="preserve"> = 8.</w:t>
      </w:r>
      <w:r w:rsidR="007D600C">
        <w:t>11</w:t>
      </w:r>
      <w:r w:rsidR="00BB69CD" w:rsidRPr="00470F62">
        <w:t>)</w:t>
      </w:r>
      <w:r w:rsidR="00D530F1">
        <w:t xml:space="preserve">. We achieved a </w:t>
      </w:r>
      <w:r w:rsidR="009818F3">
        <w:t xml:space="preserve">balanced design (i.e., </w:t>
      </w:r>
      <w:r w:rsidR="00D530F1" w:rsidRPr="00D530F1">
        <w:rPr>
          <w:i/>
          <w:iCs/>
        </w:rPr>
        <w:t>n</w:t>
      </w:r>
      <w:r w:rsidR="00D530F1">
        <w:t xml:space="preserve"> = </w:t>
      </w:r>
      <w:r w:rsidR="009818F3">
        <w:t xml:space="preserve">120 per </w:t>
      </w:r>
      <w:r w:rsidR="00BB69CD" w:rsidRPr="00470F62">
        <w:t>condition</w:t>
      </w:r>
      <w:r w:rsidR="00D530F1">
        <w:t>)</w:t>
      </w:r>
      <w:r w:rsidR="00BB69CD" w:rsidRPr="00470F62">
        <w:t>.</w:t>
      </w:r>
      <w:r w:rsidR="005F5F35">
        <w:t xml:space="preserve"> </w:t>
      </w:r>
      <w:r w:rsidR="009818F3">
        <w:t xml:space="preserve">The platform excluded those </w:t>
      </w:r>
      <w:r w:rsidR="009818F3" w:rsidRPr="001F3BF1">
        <w:t>who fail</w:t>
      </w:r>
      <w:r w:rsidR="009818F3">
        <w:t>ed</w:t>
      </w:r>
      <w:r w:rsidR="009818F3" w:rsidRPr="001F3BF1">
        <w:t xml:space="preserve"> </w:t>
      </w:r>
      <w:r w:rsidR="009818F3">
        <w:t>one of two</w:t>
      </w:r>
      <w:r w:rsidR="009818F3" w:rsidRPr="001F3BF1">
        <w:t xml:space="preserve"> attention check</w:t>
      </w:r>
      <w:r w:rsidR="009818F3">
        <w:t>s</w:t>
      </w:r>
      <w:r w:rsidR="009818F3" w:rsidRPr="001F3BF1">
        <w:t>.</w:t>
      </w:r>
      <w:r w:rsidR="009818F3">
        <w:t xml:space="preserve"> </w:t>
      </w:r>
      <w:r w:rsidR="00292C67" w:rsidRPr="005E57BB">
        <w:rPr>
          <w:lang w:val="en-GB"/>
        </w:rPr>
        <w:t>A sensitivity</w:t>
      </w:r>
      <w:r w:rsidR="009818F3">
        <w:rPr>
          <w:lang w:val="en-GB"/>
        </w:rPr>
        <w:t xml:space="preserve"> power</w:t>
      </w:r>
      <w:r w:rsidR="00292C67" w:rsidRPr="005E57BB">
        <w:rPr>
          <w:lang w:val="en-GB"/>
        </w:rPr>
        <w:t xml:space="preserve"> analysis </w:t>
      </w:r>
      <w:r w:rsidR="009818F3">
        <w:rPr>
          <w:lang w:val="en-GB"/>
        </w:rPr>
        <w:t>indicated</w:t>
      </w:r>
      <w:r w:rsidR="00292C67" w:rsidRPr="005E57BB">
        <w:rPr>
          <w:lang w:val="en-GB"/>
        </w:rPr>
        <w:t xml:space="preserve"> that this sample size provided 80% statistical power to detect a main effect of </w:t>
      </w:r>
      <w:r w:rsidR="009818F3">
        <w:rPr>
          <w:lang w:val="en-GB"/>
        </w:rPr>
        <w:t>c</w:t>
      </w:r>
      <w:r w:rsidR="00292C67" w:rsidRPr="005E57BB">
        <w:rPr>
          <w:lang w:val="en-GB"/>
        </w:rPr>
        <w:t>ondition with an effect size of η</w:t>
      </w:r>
      <w:bookmarkStart w:id="74" w:name="OLE_LINK369"/>
      <w:bookmarkStart w:id="75" w:name="OLE_LINK370"/>
      <w:r w:rsidR="00292C67" w:rsidRPr="005E57BB">
        <w:rPr>
          <w:lang w:val="en-GB"/>
        </w:rPr>
        <w:t>²</w:t>
      </w:r>
      <w:bookmarkEnd w:id="74"/>
      <w:bookmarkEnd w:id="75"/>
      <w:r w:rsidR="00292C67" w:rsidRPr="005E57BB">
        <w:rPr>
          <w:lang w:val="en-GB"/>
        </w:rPr>
        <w:t xml:space="preserve"> = .026. For comparison, in Study 1, the unique </w:t>
      </w:r>
      <w:r w:rsidR="00FC6A23">
        <w:rPr>
          <w:lang w:val="en-GB"/>
        </w:rPr>
        <w:t>associations</w:t>
      </w:r>
      <w:r w:rsidR="00FC6A23" w:rsidRPr="005E57BB">
        <w:rPr>
          <w:lang w:val="en-GB"/>
        </w:rPr>
        <w:t xml:space="preserve"> </w:t>
      </w:r>
      <w:r w:rsidR="00292C67" w:rsidRPr="005E57BB">
        <w:rPr>
          <w:lang w:val="en-GB"/>
        </w:rPr>
        <w:t xml:space="preserve">of nostalgia (assessed by three scales) and declinism </w:t>
      </w:r>
      <w:r w:rsidR="00FC6A23">
        <w:rPr>
          <w:lang w:val="en-GB"/>
        </w:rPr>
        <w:t>with</w:t>
      </w:r>
      <w:r w:rsidR="00FC6A23" w:rsidRPr="005E57BB">
        <w:rPr>
          <w:lang w:val="en-GB"/>
        </w:rPr>
        <w:t xml:space="preserve"> </w:t>
      </w:r>
      <w:r w:rsidR="00292C67" w:rsidRPr="005E57BB">
        <w:rPr>
          <w:lang w:val="en-GB"/>
        </w:rPr>
        <w:t xml:space="preserve">personal growth corresponded to partial </w:t>
      </w:r>
      <w:r w:rsidR="00292C67" w:rsidRPr="00DD0DFF">
        <w:rPr>
          <w:i/>
          <w:iCs/>
          <w:lang w:val="en-GB"/>
        </w:rPr>
        <w:t>R</w:t>
      </w:r>
      <w:r w:rsidR="00292C67" w:rsidRPr="00050169">
        <w:rPr>
          <w:rFonts w:hint="eastAsia"/>
          <w:vertAlign w:val="superscript"/>
          <w:lang w:val="en-GB"/>
        </w:rPr>
        <w:t>2</w:t>
      </w:r>
      <w:r w:rsidR="00292C67" w:rsidRPr="005E57BB">
        <w:rPr>
          <w:lang w:val="en-GB"/>
        </w:rPr>
        <w:t xml:space="preserve"> values ranging from .032 to .209.</w:t>
      </w:r>
    </w:p>
    <w:p w14:paraId="253C0820" w14:textId="77777777" w:rsidR="00BB69CD" w:rsidRPr="00470F62" w:rsidRDefault="00BB69CD" w:rsidP="00732BE6">
      <w:pPr>
        <w:pStyle w:val="Heading3"/>
      </w:pPr>
      <w:r w:rsidRPr="00470F62">
        <w:t xml:space="preserve">Procedure and </w:t>
      </w:r>
      <w:r w:rsidRPr="00470F62">
        <w:rPr>
          <w:rFonts w:hint="eastAsia"/>
        </w:rPr>
        <w:t>M</w:t>
      </w:r>
      <w:r w:rsidRPr="00470F62">
        <w:t>aterials</w:t>
      </w:r>
    </w:p>
    <w:p w14:paraId="4642117E" w14:textId="5139BCBC" w:rsidR="008A5237" w:rsidRDefault="00BB69CD" w:rsidP="00732BE6">
      <w:pPr>
        <w:widowControl w:val="0"/>
        <w:ind w:firstLine="420"/>
      </w:pPr>
      <w:r w:rsidRPr="00470F62">
        <w:rPr>
          <w:rStyle w:val="Heading4Char"/>
          <w:rFonts w:eastAsia="SimSun" w:hint="eastAsia"/>
        </w:rPr>
        <w:t>Nostalgia</w:t>
      </w:r>
      <w:r w:rsidRPr="00470F62">
        <w:rPr>
          <w:rStyle w:val="Heading4Char"/>
          <w:rFonts w:eastAsia="SimSun"/>
        </w:rPr>
        <w:t xml:space="preserve"> and Declinism Manipulation.</w:t>
      </w:r>
      <w:r w:rsidRPr="00470F62">
        <w:t xml:space="preserve"> </w:t>
      </w:r>
      <w:r w:rsidR="008A5237">
        <w:t>We manipulated nostalgia and declinism using a variant of the Event Reflection Task (</w:t>
      </w:r>
      <w:r w:rsidR="008A5237" w:rsidRPr="00A921C4">
        <w:rPr>
          <w:rFonts w:cs="Times New Roman"/>
          <w:szCs w:val="24"/>
        </w:rPr>
        <w:t>Sedikides et al., 2015; Wildschut &amp; Sedikides, 2025</w:t>
      </w:r>
      <w:r w:rsidR="008A5237">
        <w:rPr>
          <w:rFonts w:cs="Times New Roman"/>
          <w:szCs w:val="24"/>
        </w:rPr>
        <w:t>). P</w:t>
      </w:r>
      <w:r w:rsidR="008A5237" w:rsidRPr="00470F62">
        <w:t>articipants in the nostalgia condition</w:t>
      </w:r>
      <w:r w:rsidR="008A5237">
        <w:t xml:space="preserve"> </w:t>
      </w:r>
      <w:r w:rsidR="000910F2">
        <w:t>recalled</w:t>
      </w:r>
      <w:r w:rsidR="008A5237">
        <w:t xml:space="preserve"> a nostalgia event in their lives, summarized its </w:t>
      </w:r>
      <w:r w:rsidR="008A5237">
        <w:lastRenderedPageBreak/>
        <w:t xml:space="preserve">gist with </w:t>
      </w:r>
      <w:r w:rsidR="008A5237" w:rsidRPr="00470F62">
        <w:t>four keywords</w:t>
      </w:r>
      <w:r w:rsidR="008A5237">
        <w:t>, and</w:t>
      </w:r>
      <w:r w:rsidR="000910F2">
        <w:t xml:space="preserve"> then wrote a brief description of it.</w:t>
      </w:r>
      <w:r w:rsidR="008A5237" w:rsidRPr="00470F62">
        <w:t xml:space="preserve"> Participants in the declinism</w:t>
      </w:r>
      <w:r w:rsidR="008A5237">
        <w:t xml:space="preserve"> and control</w:t>
      </w:r>
      <w:r w:rsidR="008A5237" w:rsidRPr="00470F62">
        <w:t xml:space="preserve"> condition</w:t>
      </w:r>
      <w:r w:rsidR="008A5237">
        <w:t xml:space="preserve"> followed the same protocol,</w:t>
      </w:r>
      <w:r w:rsidR="000910F2">
        <w:t xml:space="preserve"> reflecting instead on a </w:t>
      </w:r>
      <w:r w:rsidR="008A5237">
        <w:t xml:space="preserve">declinist </w:t>
      </w:r>
      <w:r w:rsidR="000910F2">
        <w:t>or an</w:t>
      </w:r>
      <w:r w:rsidR="008A5237">
        <w:t xml:space="preserve"> ordinary </w:t>
      </w:r>
      <w:r w:rsidR="000910F2">
        <w:t>life event</w:t>
      </w:r>
      <w:r w:rsidR="008A5237">
        <w:t>. Subsequently, all participants completed</w:t>
      </w:r>
      <w:r w:rsidR="000910F2">
        <w:t xml:space="preserve"> two 3-item manipulation checks, presented</w:t>
      </w:r>
      <w:r w:rsidR="008A5237">
        <w:t xml:space="preserve"> in counterbalanced order. The</w:t>
      </w:r>
      <w:r w:rsidR="000910F2">
        <w:t xml:space="preserve"> nostalgia check</w:t>
      </w:r>
      <w:r w:rsidR="008A5237">
        <w:t xml:space="preserve"> </w:t>
      </w:r>
      <w:r w:rsidR="000910F2">
        <w:t>included the items “</w:t>
      </w:r>
      <w:r w:rsidR="000910F2" w:rsidRPr="000910F2">
        <w:t>Right now, I am feeling quite nostalgic</w:t>
      </w:r>
      <w:r w:rsidR="000910F2">
        <w:t>,”</w:t>
      </w:r>
      <w:r w:rsidR="008A5237" w:rsidRPr="00470F62">
        <w:t xml:space="preserve"> “Right now, I am having nostalgic thoughts</w:t>
      </w:r>
      <w:r w:rsidR="000910F2">
        <w:t>,</w:t>
      </w:r>
      <w:r w:rsidR="008A5237" w:rsidRPr="00470F62">
        <w:t>”</w:t>
      </w:r>
      <w:r w:rsidR="000910F2">
        <w:t xml:space="preserve"> and “</w:t>
      </w:r>
      <w:r w:rsidR="000910F2" w:rsidRPr="000910F2">
        <w:t>I feel nostalgic at the moment</w:t>
      </w:r>
      <w:r w:rsidR="000910F2">
        <w:t>” (</w:t>
      </w:r>
      <w:r w:rsidR="008A5237" w:rsidRPr="00470F62">
        <w:t>α = .91)</w:t>
      </w:r>
      <w:r w:rsidR="008A5237">
        <w:t xml:space="preserve">. The </w:t>
      </w:r>
      <w:r w:rsidR="000910F2">
        <w:t xml:space="preserve">declinism check included the items </w:t>
      </w:r>
      <w:r w:rsidR="000910F2">
        <w:rPr>
          <w:rFonts w:cs="Times New Roman"/>
          <w:szCs w:val="24"/>
        </w:rPr>
        <w:t>“</w:t>
      </w:r>
      <w:r w:rsidR="000910F2" w:rsidRPr="000910F2">
        <w:rPr>
          <w:rFonts w:cs="Times New Roman"/>
          <w:szCs w:val="24"/>
        </w:rPr>
        <w:t>Things used to be better in the good old days</w:t>
      </w:r>
      <w:r w:rsidR="000910F2">
        <w:rPr>
          <w:rFonts w:cs="Times New Roman"/>
          <w:szCs w:val="24"/>
        </w:rPr>
        <w:t>,” “</w:t>
      </w:r>
      <w:r w:rsidR="000910F2" w:rsidRPr="000910F2">
        <w:rPr>
          <w:rFonts w:cs="Times New Roman"/>
          <w:szCs w:val="24"/>
        </w:rPr>
        <w:t>Products are getting shoddier and shoddier</w:t>
      </w:r>
      <w:r w:rsidR="000910F2">
        <w:rPr>
          <w:rFonts w:cs="Times New Roman"/>
          <w:szCs w:val="24"/>
        </w:rPr>
        <w:t>,” and “</w:t>
      </w:r>
      <w:r w:rsidR="000910F2" w:rsidRPr="000910F2">
        <w:rPr>
          <w:rFonts w:cs="Times New Roman"/>
          <w:szCs w:val="24"/>
        </w:rPr>
        <w:t>I am experiencing a decline in the quality of life</w:t>
      </w:r>
      <w:r w:rsidR="000910F2">
        <w:rPr>
          <w:rFonts w:cs="Times New Roman"/>
          <w:szCs w:val="24"/>
        </w:rPr>
        <w:t>” (</w:t>
      </w:r>
      <w:r w:rsidR="008A5237" w:rsidRPr="00470F62">
        <w:t>α = .7</w:t>
      </w:r>
      <w:r w:rsidR="008A5237">
        <w:t>5</w:t>
      </w:r>
      <w:r w:rsidR="008A5237" w:rsidRPr="00470F62">
        <w:t>)</w:t>
      </w:r>
      <w:r w:rsidR="008A5237" w:rsidRPr="00470F62">
        <w:rPr>
          <w:rFonts w:hint="eastAsia"/>
        </w:rPr>
        <w:t>.</w:t>
      </w:r>
      <w:r w:rsidR="00AE0CD4">
        <w:t xml:space="preserve"> We conducted a</w:t>
      </w:r>
      <w:r w:rsidR="00186B45">
        <w:t>n</w:t>
      </w:r>
      <w:r w:rsidR="00AE0CD4">
        <w:t xml:space="preserve"> </w:t>
      </w:r>
      <w:r w:rsidR="007D2B39">
        <w:t xml:space="preserve">exploratory </w:t>
      </w:r>
      <w:r w:rsidR="00AE0CD4">
        <w:t xml:space="preserve">factor analysis of all six items </w:t>
      </w:r>
      <w:r w:rsidR="00AE0CD4" w:rsidRPr="00AE0CD4">
        <w:t>with varimax rotation</w:t>
      </w:r>
      <w:r w:rsidR="00AE0CD4">
        <w:t xml:space="preserve">. We extracted two factors, with three nostalgia items loading on one factor (factor loadings &gt; </w:t>
      </w:r>
      <w:r w:rsidR="00EA6CF8">
        <w:t>.881</w:t>
      </w:r>
      <w:r w:rsidR="00AE0CD4">
        <w:t>) and three declinism items loading on another factor (</w:t>
      </w:r>
      <w:r w:rsidR="00EA6CF8">
        <w:t>factor loading</w:t>
      </w:r>
      <w:r w:rsidR="00F75E41">
        <w:t>s</w:t>
      </w:r>
      <w:r w:rsidR="00EA6CF8">
        <w:t>&gt; .683</w:t>
      </w:r>
      <w:r w:rsidR="00AE0CD4">
        <w:t>)</w:t>
      </w:r>
      <w:r w:rsidR="00EA6CF8">
        <w:t xml:space="preserve">. </w:t>
      </w:r>
      <w:r w:rsidR="00A03F2F">
        <w:t>Th</w:t>
      </w:r>
      <w:r w:rsidR="00F739C1">
        <w:t xml:space="preserve">e results of the </w:t>
      </w:r>
      <w:r w:rsidR="00D64698">
        <w:t xml:space="preserve">exploratory </w:t>
      </w:r>
      <w:r w:rsidR="00F739C1">
        <w:t>factor analysis</w:t>
      </w:r>
      <w:r w:rsidR="00662DEE">
        <w:t xml:space="preserve"> reinforce the conceptual distinctiveness of </w:t>
      </w:r>
      <w:r w:rsidR="00A03F2F">
        <w:t xml:space="preserve">nostalgia </w:t>
      </w:r>
      <w:r w:rsidR="00662DEE">
        <w:t>and</w:t>
      </w:r>
      <w:r w:rsidR="00A03F2F">
        <w:t xml:space="preserve"> declinism.</w:t>
      </w:r>
      <w:r w:rsidR="00AE0CD4">
        <w:t xml:space="preserve"> </w:t>
      </w:r>
    </w:p>
    <w:p w14:paraId="5C1EB8D2" w14:textId="0551A3DD" w:rsidR="000910F2" w:rsidRPr="00470F62" w:rsidRDefault="00BB69CD" w:rsidP="00732BE6">
      <w:pPr>
        <w:widowControl w:val="0"/>
      </w:pPr>
      <w:r w:rsidRPr="00470F62">
        <w:rPr>
          <w:rStyle w:val="Heading4Char"/>
          <w:rFonts w:eastAsia="SimSun" w:hint="eastAsia"/>
        </w:rPr>
        <w:t>P</w:t>
      </w:r>
      <w:r w:rsidRPr="00470F62">
        <w:rPr>
          <w:rStyle w:val="Heading4Char"/>
          <w:rFonts w:eastAsia="SimSun"/>
        </w:rPr>
        <w:t>ersonal Growth.</w:t>
      </w:r>
      <w:r w:rsidRPr="00470F62">
        <w:t xml:space="preserve"> We assessed personal growth </w:t>
      </w:r>
      <w:r w:rsidR="000910F2">
        <w:t>using</w:t>
      </w:r>
      <w:r w:rsidRPr="00470F62">
        <w:t xml:space="preserve"> five items that </w:t>
      </w:r>
      <w:r w:rsidR="000910F2">
        <w:t>exhibited the</w:t>
      </w:r>
      <w:r w:rsidRPr="00470F62">
        <w:t xml:space="preserve"> highest loadings </w:t>
      </w:r>
      <w:r w:rsidR="000910F2" w:rsidRPr="000910F2">
        <w:t xml:space="preserve">(all &gt; .728) </w:t>
      </w:r>
      <w:r w:rsidR="004D12ED">
        <w:t>in an</w:t>
      </w:r>
      <w:r w:rsidR="000910F2" w:rsidRPr="000910F2">
        <w:t xml:space="preserve"> exploratory factor analysis</w:t>
      </w:r>
      <w:r w:rsidR="004D12ED">
        <w:t xml:space="preserve"> of the </w:t>
      </w:r>
      <w:r w:rsidR="004D12ED" w:rsidRPr="00E44266">
        <w:t>Personal Growth Initiative Scale–II</w:t>
      </w:r>
      <w:r w:rsidR="004D12ED">
        <w:t xml:space="preserve"> administered in Study 1</w:t>
      </w:r>
      <w:r w:rsidR="008549BC">
        <w:t>. These item</w:t>
      </w:r>
      <w:r w:rsidR="00727B69">
        <w:rPr>
          <w:rFonts w:hint="eastAsia"/>
        </w:rPr>
        <w:t>s</w:t>
      </w:r>
      <w:r w:rsidR="008549BC">
        <w:t xml:space="preserve"> were: </w:t>
      </w:r>
      <w:bookmarkStart w:id="76" w:name="OLE_LINK119"/>
      <w:bookmarkStart w:id="77" w:name="OLE_LINK120"/>
      <w:r w:rsidR="00A03F2F">
        <w:t>“</w:t>
      </w:r>
      <w:r w:rsidR="00A03F2F" w:rsidRPr="00A03F2F">
        <w:t>I set realistic goals for what I want to change about mysel</w:t>
      </w:r>
      <w:r w:rsidR="00A03F2F">
        <w:t xml:space="preserve">f,” </w:t>
      </w:r>
      <w:r w:rsidRPr="00470F62">
        <w:t>“I know how to make a realistic plan in order to change myself</w:t>
      </w:r>
      <w:r w:rsidR="008549BC">
        <w:t>,</w:t>
      </w:r>
      <w:r w:rsidRPr="00470F62">
        <w:t>”</w:t>
      </w:r>
      <w:bookmarkEnd w:id="76"/>
      <w:bookmarkEnd w:id="77"/>
      <w:r w:rsidR="00A03F2F">
        <w:t xml:space="preserve"> I</w:t>
      </w:r>
      <w:r w:rsidR="00A03F2F" w:rsidRPr="00A03F2F">
        <w:t xml:space="preserve"> know how to set realistic goals to make changes in myself</w:t>
      </w:r>
      <w:r w:rsidR="00A03F2F">
        <w:t>,” “</w:t>
      </w:r>
      <w:r w:rsidR="00A03F2F" w:rsidRPr="00A03F2F">
        <w:t>I know steps I can take to make intentional changes in myself</w:t>
      </w:r>
      <w:r w:rsidR="00A03F2F">
        <w:t>,” and “</w:t>
      </w:r>
      <w:r w:rsidR="00A03F2F" w:rsidRPr="00A03F2F">
        <w:t>I look for opportunities to grow as a person.</w:t>
      </w:r>
      <w:r w:rsidR="00A03F2F">
        <w:t>”</w:t>
      </w:r>
      <w:r w:rsidR="00113D21">
        <w:t xml:space="preserve"> </w:t>
      </w:r>
      <w:r w:rsidR="000910F2">
        <w:t>With t</w:t>
      </w:r>
      <w:r w:rsidR="000910F2" w:rsidRPr="000910F2">
        <w:t>his item selection</w:t>
      </w:r>
      <w:r w:rsidR="000910F2">
        <w:t>, we</w:t>
      </w:r>
      <w:r w:rsidR="000910F2" w:rsidRPr="000910F2">
        <w:t xml:space="preserve"> aimed to reduce redundancy.</w:t>
      </w:r>
      <w:r w:rsidR="00113D21">
        <w:t xml:space="preserve"> </w:t>
      </w:r>
      <w:r w:rsidRPr="00470F62">
        <w:t xml:space="preserve">We </w:t>
      </w:r>
      <w:r w:rsidR="000910F2">
        <w:t xml:space="preserve">averaged responses to </w:t>
      </w:r>
      <w:r w:rsidRPr="00470F62">
        <w:t>create a</w:t>
      </w:r>
      <w:r w:rsidR="000910F2">
        <w:t xml:space="preserve"> composite </w:t>
      </w:r>
      <w:r w:rsidRPr="00470F62">
        <w:t xml:space="preserve">index </w:t>
      </w:r>
      <w:r w:rsidR="008549BC">
        <w:t>of personal growth</w:t>
      </w:r>
      <w:r w:rsidRPr="00470F62">
        <w:t xml:space="preserve"> (</w:t>
      </w:r>
      <w:bookmarkStart w:id="78" w:name="OLE_LINK114"/>
      <w:bookmarkStart w:id="79" w:name="OLE_LINK115"/>
      <w:r w:rsidRPr="00470F62">
        <w:t>α = .</w:t>
      </w:r>
      <w:bookmarkEnd w:id="78"/>
      <w:bookmarkEnd w:id="79"/>
      <w:r w:rsidR="00047C48" w:rsidRPr="00470F62">
        <w:t>8</w:t>
      </w:r>
      <w:r w:rsidR="00047C48">
        <w:t>1</w:t>
      </w:r>
      <w:r w:rsidRPr="00470F62">
        <w:t>).</w:t>
      </w:r>
    </w:p>
    <w:p w14:paraId="54FAEC72" w14:textId="77777777" w:rsidR="00BB69CD" w:rsidRPr="00711EFB" w:rsidRDefault="00BB69CD" w:rsidP="00732BE6">
      <w:pPr>
        <w:pStyle w:val="Heading2"/>
        <w:widowControl w:val="0"/>
      </w:pPr>
      <w:r w:rsidRPr="00470F62">
        <w:rPr>
          <w:rFonts w:hint="eastAsia"/>
        </w:rPr>
        <w:t>R</w:t>
      </w:r>
      <w:r w:rsidRPr="00470F62">
        <w:t>esults</w:t>
      </w:r>
      <w:r>
        <w:t xml:space="preserve"> </w:t>
      </w:r>
    </w:p>
    <w:p w14:paraId="394DC15C" w14:textId="77777777" w:rsidR="00BB69CD" w:rsidRDefault="00BB69CD" w:rsidP="00732BE6">
      <w:pPr>
        <w:pStyle w:val="Heading3"/>
      </w:pPr>
      <w:r>
        <w:t>Manipulation Check</w:t>
      </w:r>
    </w:p>
    <w:p w14:paraId="28A79165" w14:textId="0E1F044F" w:rsidR="003F575E" w:rsidRPr="003F575E" w:rsidRDefault="003F575E" w:rsidP="00732BE6">
      <w:pPr>
        <w:widowControl w:val="0"/>
        <w:rPr>
          <w:lang w:val="en-GB"/>
        </w:rPr>
      </w:pPr>
      <w:bookmarkStart w:id="80" w:name="OLE_LINK336"/>
      <w:bookmarkStart w:id="81" w:name="OLE_LINK337"/>
      <w:bookmarkStart w:id="82" w:name="OLE_LINK329"/>
      <w:bookmarkStart w:id="83" w:name="OLE_LINK330"/>
      <w:bookmarkStart w:id="84" w:name="OLE_LINK251"/>
      <w:bookmarkStart w:id="85" w:name="OLE_LINK252"/>
      <w:r w:rsidRPr="003F575E">
        <w:rPr>
          <w:lang w:val="en-GB"/>
        </w:rPr>
        <w:t xml:space="preserve">To assess the effectiveness of our manipulations, we conducted one-way Analyses of Variance on the nostalgia and declinism manipulation check scores. For nostalgia, scores significantly differed across conditions, </w:t>
      </w:r>
      <w:r w:rsidRPr="003F575E">
        <w:rPr>
          <w:i/>
          <w:iCs/>
          <w:lang w:val="en-GB"/>
        </w:rPr>
        <w:t>F</w:t>
      </w:r>
      <w:r w:rsidRPr="003F575E">
        <w:rPr>
          <w:lang w:val="en-GB"/>
        </w:rPr>
        <w:t xml:space="preserve">(2, 357) = 43.65, </w:t>
      </w:r>
      <w:r w:rsidRPr="003F575E">
        <w:rPr>
          <w:i/>
          <w:iCs/>
          <w:lang w:val="en-GB"/>
        </w:rPr>
        <w:t>p</w:t>
      </w:r>
      <w:r w:rsidRPr="003F575E">
        <w:rPr>
          <w:lang w:val="en-GB"/>
        </w:rPr>
        <w:t xml:space="preserve"> &lt; .001, η²ₚ = .196, 90% CI [.137, .254]. Participants in the nostalgia condition (</w:t>
      </w:r>
      <w:r w:rsidRPr="003F575E">
        <w:rPr>
          <w:i/>
          <w:iCs/>
          <w:lang w:val="en-GB"/>
        </w:rPr>
        <w:t>M</w:t>
      </w:r>
      <w:r w:rsidRPr="003F575E">
        <w:rPr>
          <w:lang w:val="en-GB"/>
        </w:rPr>
        <w:t xml:space="preserve"> = 6.16, </w:t>
      </w:r>
      <w:r w:rsidRPr="003F575E">
        <w:rPr>
          <w:i/>
          <w:iCs/>
          <w:lang w:val="en-GB"/>
        </w:rPr>
        <w:t>SD</w:t>
      </w:r>
      <w:r w:rsidRPr="003F575E">
        <w:rPr>
          <w:lang w:val="en-GB"/>
        </w:rPr>
        <w:t xml:space="preserve"> = 0.63) reported greater </w:t>
      </w:r>
      <w:r w:rsidR="00134391">
        <w:rPr>
          <w:lang w:val="en-GB"/>
        </w:rPr>
        <w:t xml:space="preserve">state </w:t>
      </w:r>
      <w:r w:rsidRPr="003F575E">
        <w:rPr>
          <w:lang w:val="en-GB"/>
        </w:rPr>
        <w:t>nostalgia than those in the control (</w:t>
      </w:r>
      <w:r w:rsidRPr="003F575E">
        <w:rPr>
          <w:i/>
          <w:iCs/>
          <w:lang w:val="en-GB"/>
        </w:rPr>
        <w:t>M</w:t>
      </w:r>
      <w:r w:rsidRPr="003F575E">
        <w:rPr>
          <w:lang w:val="en-GB"/>
        </w:rPr>
        <w:t xml:space="preserve"> = 4.80, </w:t>
      </w:r>
      <w:r w:rsidRPr="003F575E">
        <w:rPr>
          <w:i/>
          <w:iCs/>
          <w:lang w:val="en-GB"/>
        </w:rPr>
        <w:t>SD</w:t>
      </w:r>
      <w:r w:rsidRPr="003F575E">
        <w:rPr>
          <w:lang w:val="en-GB"/>
        </w:rPr>
        <w:t xml:space="preserve"> = 1.50), </w:t>
      </w:r>
      <w:r w:rsidRPr="003F575E">
        <w:rPr>
          <w:i/>
          <w:iCs/>
          <w:lang w:val="en-GB"/>
        </w:rPr>
        <w:t>t</w:t>
      </w:r>
      <w:r w:rsidRPr="003F575E">
        <w:rPr>
          <w:lang w:val="en-GB"/>
        </w:rPr>
        <w:t xml:space="preserve">(357) = 9.23, </w:t>
      </w:r>
      <w:r w:rsidRPr="003F575E">
        <w:rPr>
          <w:i/>
          <w:iCs/>
          <w:lang w:val="en-GB"/>
        </w:rPr>
        <w:t>p</w:t>
      </w:r>
      <w:r w:rsidRPr="003F575E">
        <w:rPr>
          <w:lang w:val="en-GB"/>
        </w:rPr>
        <w:t xml:space="preserve"> &lt; .001, </w:t>
      </w:r>
      <w:r w:rsidRPr="003F575E">
        <w:rPr>
          <w:i/>
          <w:iCs/>
          <w:lang w:val="en-GB"/>
        </w:rPr>
        <w:t>d</w:t>
      </w:r>
      <w:r w:rsidRPr="003F575E">
        <w:rPr>
          <w:lang w:val="en-GB"/>
        </w:rPr>
        <w:t xml:space="preserve"> = 1.19, 95% </w:t>
      </w:r>
      <w:r w:rsidRPr="003F575E">
        <w:rPr>
          <w:lang w:val="en-GB"/>
        </w:rPr>
        <w:lastRenderedPageBreak/>
        <w:t>CI [0.94, 1.45] and declinism (</w:t>
      </w:r>
      <w:r w:rsidRPr="003F575E">
        <w:rPr>
          <w:i/>
          <w:iCs/>
          <w:lang w:val="en-GB"/>
        </w:rPr>
        <w:t>M</w:t>
      </w:r>
      <w:r w:rsidRPr="003F575E">
        <w:rPr>
          <w:lang w:val="en-GB"/>
        </w:rPr>
        <w:t xml:space="preserve"> = 5.67, </w:t>
      </w:r>
      <w:r w:rsidRPr="003F575E">
        <w:rPr>
          <w:i/>
          <w:iCs/>
          <w:lang w:val="en-GB"/>
        </w:rPr>
        <w:t>SD</w:t>
      </w:r>
      <w:r w:rsidRPr="003F575E">
        <w:rPr>
          <w:lang w:val="en-GB"/>
        </w:rPr>
        <w:t xml:space="preserve"> = 1.14), </w:t>
      </w:r>
      <w:r w:rsidRPr="003F575E">
        <w:rPr>
          <w:i/>
          <w:iCs/>
          <w:lang w:val="en-GB"/>
        </w:rPr>
        <w:t>t</w:t>
      </w:r>
      <w:r w:rsidRPr="003F575E">
        <w:rPr>
          <w:lang w:val="en-GB"/>
        </w:rPr>
        <w:t xml:space="preserve">(357) = 3.33, </w:t>
      </w:r>
      <w:r w:rsidRPr="003F575E">
        <w:rPr>
          <w:i/>
          <w:iCs/>
          <w:lang w:val="en-GB"/>
        </w:rPr>
        <w:t>p</w:t>
      </w:r>
      <w:r w:rsidRPr="003F575E">
        <w:rPr>
          <w:lang w:val="en-GB"/>
        </w:rPr>
        <w:t xml:space="preserve"> &lt; .001, </w:t>
      </w:r>
      <w:r w:rsidRPr="003F575E">
        <w:rPr>
          <w:i/>
          <w:iCs/>
          <w:lang w:val="en-GB"/>
        </w:rPr>
        <w:t>d</w:t>
      </w:r>
      <w:r w:rsidRPr="003F575E">
        <w:rPr>
          <w:lang w:val="en-GB"/>
        </w:rPr>
        <w:t xml:space="preserve"> = 0.43, 95% CI [0.18, 0.68] conditions. Participants in the declinism condition also reported greater</w:t>
      </w:r>
      <w:r w:rsidR="00134391">
        <w:rPr>
          <w:lang w:val="en-GB"/>
        </w:rPr>
        <w:t xml:space="preserve"> state</w:t>
      </w:r>
      <w:r w:rsidRPr="003F575E">
        <w:rPr>
          <w:lang w:val="en-GB"/>
        </w:rPr>
        <w:t xml:space="preserve"> nostalgia than those in the control condition, </w:t>
      </w:r>
      <w:r w:rsidRPr="003F575E">
        <w:rPr>
          <w:i/>
          <w:iCs/>
          <w:lang w:val="en-GB"/>
        </w:rPr>
        <w:t>t</w:t>
      </w:r>
      <w:r w:rsidRPr="003F575E">
        <w:rPr>
          <w:lang w:val="en-GB"/>
        </w:rPr>
        <w:t xml:space="preserve">(357) = 5.89, </w:t>
      </w:r>
      <w:r w:rsidRPr="003F575E">
        <w:rPr>
          <w:i/>
          <w:iCs/>
          <w:lang w:val="en-GB"/>
        </w:rPr>
        <w:t>p</w:t>
      </w:r>
      <w:r w:rsidRPr="003F575E">
        <w:rPr>
          <w:lang w:val="en-GB"/>
        </w:rPr>
        <w:t xml:space="preserve"> &lt; .001, </w:t>
      </w:r>
      <w:r w:rsidRPr="003F575E">
        <w:rPr>
          <w:i/>
          <w:iCs/>
          <w:lang w:val="en-GB"/>
        </w:rPr>
        <w:t>d</w:t>
      </w:r>
      <w:r w:rsidRPr="003F575E">
        <w:rPr>
          <w:lang w:val="en-GB"/>
        </w:rPr>
        <w:t xml:space="preserve"> = 0.76, 95% CI [0.51, 1.02]. These results confirm the effectiveness of the nostalgia </w:t>
      </w:r>
      <w:r w:rsidR="00B63EA2">
        <w:rPr>
          <w:lang w:val="en-GB"/>
        </w:rPr>
        <w:t>induction</w:t>
      </w:r>
      <w:r w:rsidRPr="003F575E">
        <w:rPr>
          <w:lang w:val="en-GB"/>
        </w:rPr>
        <w:t>.</w:t>
      </w:r>
    </w:p>
    <w:p w14:paraId="0AF1ECFA" w14:textId="3A0E0FAB" w:rsidR="003F575E" w:rsidRDefault="003F575E" w:rsidP="00732BE6">
      <w:pPr>
        <w:widowControl w:val="0"/>
      </w:pPr>
      <w:bookmarkStart w:id="86" w:name="OLE_LINK127"/>
      <w:bookmarkStart w:id="87" w:name="OLE_LINK128"/>
      <w:bookmarkEnd w:id="80"/>
      <w:bookmarkEnd w:id="81"/>
      <w:bookmarkEnd w:id="82"/>
      <w:bookmarkEnd w:id="83"/>
      <w:bookmarkEnd w:id="84"/>
      <w:bookmarkEnd w:id="85"/>
      <w:r w:rsidRPr="003F575E">
        <w:rPr>
          <w:lang w:val="en-GB"/>
        </w:rPr>
        <w:t xml:space="preserve">For declinism, scores also significantly differed across conditions, </w:t>
      </w:r>
      <w:r w:rsidRPr="003F575E">
        <w:rPr>
          <w:i/>
          <w:iCs/>
          <w:lang w:val="en-GB"/>
        </w:rPr>
        <w:t>F</w:t>
      </w:r>
      <w:r w:rsidRPr="003F575E">
        <w:rPr>
          <w:lang w:val="en-GB"/>
        </w:rPr>
        <w:t xml:space="preserve">(2, 357) = 36.63, </w:t>
      </w:r>
      <w:r w:rsidRPr="003F575E">
        <w:rPr>
          <w:i/>
          <w:iCs/>
          <w:lang w:val="en-GB"/>
        </w:rPr>
        <w:t>p</w:t>
      </w:r>
      <w:r w:rsidRPr="003F575E">
        <w:rPr>
          <w:lang w:val="en-GB"/>
        </w:rPr>
        <w:t xml:space="preserve"> &lt; .001, η²ₚ = .170, 90% CI [.113, .227]. Participants in the declinism condition (</w:t>
      </w:r>
      <w:r w:rsidRPr="003F575E">
        <w:rPr>
          <w:i/>
          <w:iCs/>
          <w:lang w:val="en-GB"/>
        </w:rPr>
        <w:t>M</w:t>
      </w:r>
      <w:r w:rsidRPr="003F575E">
        <w:rPr>
          <w:lang w:val="en-GB"/>
        </w:rPr>
        <w:t xml:space="preserve"> = 4.85, </w:t>
      </w:r>
      <w:r w:rsidRPr="003F575E">
        <w:rPr>
          <w:i/>
          <w:iCs/>
          <w:lang w:val="en-GB"/>
        </w:rPr>
        <w:t>SD</w:t>
      </w:r>
      <w:r w:rsidRPr="003F575E">
        <w:rPr>
          <w:lang w:val="en-GB"/>
        </w:rPr>
        <w:t xml:space="preserve"> = 1.13) endorsed </w:t>
      </w:r>
      <w:r w:rsidR="00134391">
        <w:rPr>
          <w:lang w:val="en-GB"/>
        </w:rPr>
        <w:t>higher</w:t>
      </w:r>
      <w:r w:rsidRPr="003F575E">
        <w:rPr>
          <w:lang w:val="en-GB"/>
        </w:rPr>
        <w:t xml:space="preserve"> </w:t>
      </w:r>
      <w:r w:rsidR="00134391">
        <w:rPr>
          <w:lang w:val="en-GB"/>
        </w:rPr>
        <w:t xml:space="preserve">state </w:t>
      </w:r>
      <w:r w:rsidRPr="003F575E">
        <w:rPr>
          <w:lang w:val="en-GB"/>
        </w:rPr>
        <w:t>declinism than those in the control (</w:t>
      </w:r>
      <w:r w:rsidRPr="003F575E">
        <w:rPr>
          <w:i/>
          <w:iCs/>
          <w:lang w:val="en-GB"/>
        </w:rPr>
        <w:t>M</w:t>
      </w:r>
      <w:r w:rsidRPr="003F575E">
        <w:rPr>
          <w:lang w:val="en-GB"/>
        </w:rPr>
        <w:t xml:space="preserve"> = 3.56, </w:t>
      </w:r>
      <w:r w:rsidRPr="003F575E">
        <w:rPr>
          <w:i/>
          <w:iCs/>
          <w:lang w:val="en-GB"/>
        </w:rPr>
        <w:t>SD</w:t>
      </w:r>
      <w:r w:rsidRPr="003F575E">
        <w:rPr>
          <w:lang w:val="en-GB"/>
        </w:rPr>
        <w:t xml:space="preserve"> = 1.27), </w:t>
      </w:r>
      <w:r w:rsidRPr="003F575E">
        <w:rPr>
          <w:i/>
          <w:iCs/>
          <w:lang w:val="en-GB"/>
        </w:rPr>
        <w:t>t</w:t>
      </w:r>
      <w:r w:rsidRPr="003F575E">
        <w:rPr>
          <w:lang w:val="en-GB"/>
        </w:rPr>
        <w:t xml:space="preserve">(357) = 8.49, </w:t>
      </w:r>
      <w:r w:rsidRPr="003F575E">
        <w:rPr>
          <w:i/>
          <w:iCs/>
          <w:lang w:val="en-GB"/>
        </w:rPr>
        <w:t>p</w:t>
      </w:r>
      <w:r w:rsidRPr="003F575E">
        <w:rPr>
          <w:lang w:val="en-GB"/>
        </w:rPr>
        <w:t xml:space="preserve"> &lt; .001, </w:t>
      </w:r>
      <w:r w:rsidRPr="003F575E">
        <w:rPr>
          <w:i/>
          <w:iCs/>
          <w:lang w:val="en-GB"/>
        </w:rPr>
        <w:t>d</w:t>
      </w:r>
      <w:r w:rsidRPr="003F575E">
        <w:rPr>
          <w:lang w:val="en-GB"/>
        </w:rPr>
        <w:t xml:space="preserve"> = 1.10, 95% CI [0.84, 1.35] and nostalgia (</w:t>
      </w:r>
      <w:r w:rsidRPr="003F575E">
        <w:rPr>
          <w:i/>
          <w:iCs/>
          <w:lang w:val="en-GB"/>
        </w:rPr>
        <w:t>M</w:t>
      </w:r>
      <w:r w:rsidRPr="003F575E">
        <w:rPr>
          <w:lang w:val="en-GB"/>
        </w:rPr>
        <w:t xml:space="preserve"> = 4.35, </w:t>
      </w:r>
      <w:r w:rsidRPr="003F575E">
        <w:rPr>
          <w:i/>
          <w:iCs/>
          <w:lang w:val="en-GB"/>
        </w:rPr>
        <w:t>SD</w:t>
      </w:r>
      <w:r w:rsidRPr="003F575E">
        <w:rPr>
          <w:lang w:val="en-GB"/>
        </w:rPr>
        <w:t xml:space="preserve"> = 1.12), </w:t>
      </w:r>
      <w:r w:rsidRPr="003F575E">
        <w:rPr>
          <w:i/>
          <w:iCs/>
          <w:lang w:val="en-GB"/>
        </w:rPr>
        <w:t>t</w:t>
      </w:r>
      <w:r w:rsidRPr="003F575E">
        <w:rPr>
          <w:lang w:val="en-GB"/>
        </w:rPr>
        <w:t xml:space="preserve">(357) = 3.28, </w:t>
      </w:r>
      <w:r w:rsidRPr="003F575E">
        <w:rPr>
          <w:i/>
          <w:iCs/>
          <w:lang w:val="en-GB"/>
        </w:rPr>
        <w:t>p</w:t>
      </w:r>
      <w:r w:rsidRPr="003F575E">
        <w:rPr>
          <w:lang w:val="en-GB"/>
        </w:rPr>
        <w:t xml:space="preserve"> = .001, </w:t>
      </w:r>
      <w:r w:rsidRPr="003F575E">
        <w:rPr>
          <w:i/>
          <w:iCs/>
          <w:lang w:val="en-GB"/>
        </w:rPr>
        <w:t>d</w:t>
      </w:r>
      <w:r w:rsidRPr="003F575E">
        <w:rPr>
          <w:lang w:val="en-GB"/>
        </w:rPr>
        <w:t xml:space="preserve"> = 0.42, 95% CI [0.17, 0.68] conditions. Additionally, participants in the nostalgia condition reported </w:t>
      </w:r>
      <w:r w:rsidR="00134391">
        <w:rPr>
          <w:lang w:val="en-GB"/>
        </w:rPr>
        <w:t>higher</w:t>
      </w:r>
      <w:r w:rsidRPr="003F575E">
        <w:rPr>
          <w:lang w:val="en-GB"/>
        </w:rPr>
        <w:t xml:space="preserve"> </w:t>
      </w:r>
      <w:r w:rsidR="00134391">
        <w:rPr>
          <w:lang w:val="en-GB"/>
        </w:rPr>
        <w:t xml:space="preserve">state </w:t>
      </w:r>
      <w:r w:rsidRPr="003F575E">
        <w:rPr>
          <w:lang w:val="en-GB"/>
        </w:rPr>
        <w:t xml:space="preserve">declinism than those in the control condition, </w:t>
      </w:r>
      <w:r w:rsidRPr="003F575E">
        <w:rPr>
          <w:i/>
          <w:iCs/>
          <w:lang w:val="en-GB"/>
        </w:rPr>
        <w:t>t</w:t>
      </w:r>
      <w:r w:rsidRPr="003F575E">
        <w:rPr>
          <w:lang w:val="en-GB"/>
        </w:rPr>
        <w:t xml:space="preserve">(357) = 5.24, </w:t>
      </w:r>
      <w:r w:rsidRPr="003F575E">
        <w:rPr>
          <w:i/>
          <w:iCs/>
          <w:lang w:val="en-GB"/>
        </w:rPr>
        <w:t>p</w:t>
      </w:r>
      <w:r w:rsidRPr="003F575E">
        <w:rPr>
          <w:lang w:val="en-GB"/>
        </w:rPr>
        <w:t xml:space="preserve"> &lt; .001, </w:t>
      </w:r>
      <w:r w:rsidRPr="003F575E">
        <w:rPr>
          <w:i/>
          <w:iCs/>
          <w:lang w:val="en-GB"/>
        </w:rPr>
        <w:t>d</w:t>
      </w:r>
      <w:r w:rsidRPr="003F575E">
        <w:rPr>
          <w:lang w:val="en-GB"/>
        </w:rPr>
        <w:t xml:space="preserve"> = 0.68, 95% CI [0.42, 0.93]. These results support the effectiveness of the declinism </w:t>
      </w:r>
      <w:r w:rsidR="00B63EA2">
        <w:rPr>
          <w:lang w:val="en-GB"/>
        </w:rPr>
        <w:t>induction</w:t>
      </w:r>
      <w:r w:rsidRPr="003F575E">
        <w:rPr>
          <w:lang w:val="en-GB"/>
        </w:rPr>
        <w:t>.</w:t>
      </w:r>
    </w:p>
    <w:p w14:paraId="21FFC7B0" w14:textId="77777777" w:rsidR="00BB69CD" w:rsidRDefault="00BB69CD" w:rsidP="00732BE6">
      <w:pPr>
        <w:pStyle w:val="Heading3"/>
      </w:pPr>
      <w:r>
        <w:t>Effects of Nostalgia and Declinism on Personal Growth</w:t>
      </w:r>
    </w:p>
    <w:bookmarkEnd w:id="86"/>
    <w:bookmarkEnd w:id="87"/>
    <w:p w14:paraId="1A67C95E" w14:textId="3FEF4E49" w:rsidR="00577EC5" w:rsidRDefault="003F575E" w:rsidP="00732BE6">
      <w:pPr>
        <w:widowControl w:val="0"/>
      </w:pPr>
      <w:r w:rsidRPr="003F575E">
        <w:t xml:space="preserve">As shown in Figure 2, personal growth scores varied significantly across conditions, </w:t>
      </w:r>
      <w:r w:rsidRPr="003F575E">
        <w:rPr>
          <w:i/>
          <w:iCs/>
        </w:rPr>
        <w:t>F</w:t>
      </w:r>
      <w:r w:rsidRPr="003F575E">
        <w:t xml:space="preserve">(2, 357) = 11.22, </w:t>
      </w:r>
      <w:r w:rsidRPr="003F575E">
        <w:rPr>
          <w:i/>
          <w:iCs/>
        </w:rPr>
        <w:t>p</w:t>
      </w:r>
      <w:r w:rsidRPr="003F575E">
        <w:t xml:space="preserve"> &lt; .001, η²ₚ = .059, 90% CI [.023, .100]. Participants in the nostalgia condition (</w:t>
      </w:r>
      <w:r w:rsidRPr="003F575E">
        <w:rPr>
          <w:i/>
          <w:iCs/>
        </w:rPr>
        <w:t>M</w:t>
      </w:r>
      <w:r w:rsidRPr="003F575E">
        <w:t xml:space="preserve"> = 5.68, </w:t>
      </w:r>
      <w:r w:rsidRPr="003F575E">
        <w:rPr>
          <w:i/>
          <w:iCs/>
        </w:rPr>
        <w:t>SD</w:t>
      </w:r>
      <w:r w:rsidRPr="003F575E">
        <w:t xml:space="preserve"> = 0.69) reported </w:t>
      </w:r>
      <w:r w:rsidR="006B7278">
        <w:t>more</w:t>
      </w:r>
      <w:r w:rsidRPr="003F575E">
        <w:t xml:space="preserve"> personal growth than those in the control (</w:t>
      </w:r>
      <w:r w:rsidRPr="003F575E">
        <w:rPr>
          <w:i/>
          <w:iCs/>
        </w:rPr>
        <w:t>M</w:t>
      </w:r>
      <w:r w:rsidRPr="003F575E">
        <w:t xml:space="preserve"> = 5.47, </w:t>
      </w:r>
      <w:r w:rsidRPr="003F575E">
        <w:rPr>
          <w:i/>
          <w:iCs/>
        </w:rPr>
        <w:t>SD</w:t>
      </w:r>
      <w:r w:rsidRPr="003F575E">
        <w:t xml:space="preserve"> = 0.92), </w:t>
      </w:r>
      <w:r w:rsidRPr="003F575E">
        <w:rPr>
          <w:i/>
          <w:iCs/>
        </w:rPr>
        <w:t>t</w:t>
      </w:r>
      <w:r w:rsidRPr="003F575E">
        <w:t xml:space="preserve">(357) = 2.13, </w:t>
      </w:r>
      <w:r w:rsidRPr="003F575E">
        <w:rPr>
          <w:i/>
          <w:iCs/>
        </w:rPr>
        <w:t>p</w:t>
      </w:r>
      <w:r w:rsidRPr="003F575E">
        <w:t xml:space="preserve"> = .034, </w:t>
      </w:r>
      <w:r w:rsidRPr="003F575E">
        <w:rPr>
          <w:i/>
          <w:iCs/>
        </w:rPr>
        <w:t>d</w:t>
      </w:r>
      <w:r w:rsidRPr="003F575E">
        <w:t xml:space="preserve"> = 0.27, 95% CI [0.02, 0.53] and declinism (</w:t>
      </w:r>
      <w:r w:rsidRPr="003F575E">
        <w:rPr>
          <w:i/>
          <w:iCs/>
        </w:rPr>
        <w:t>M</w:t>
      </w:r>
      <w:r w:rsidRPr="003F575E">
        <w:t xml:space="preserve"> = 5.21, </w:t>
      </w:r>
      <w:r w:rsidRPr="003F575E">
        <w:rPr>
          <w:i/>
          <w:iCs/>
        </w:rPr>
        <w:t>SD</w:t>
      </w:r>
      <w:r w:rsidRPr="003F575E">
        <w:t xml:space="preserve"> = 0.69), </w:t>
      </w:r>
      <w:r w:rsidRPr="003F575E">
        <w:rPr>
          <w:i/>
          <w:iCs/>
        </w:rPr>
        <w:t>t</w:t>
      </w:r>
      <w:r w:rsidRPr="003F575E">
        <w:t xml:space="preserve">(357) = 4.73, </w:t>
      </w:r>
      <w:r w:rsidRPr="003F575E">
        <w:rPr>
          <w:i/>
          <w:iCs/>
        </w:rPr>
        <w:t>p</w:t>
      </w:r>
      <w:r w:rsidRPr="003F575E">
        <w:t xml:space="preserve"> &lt; .001, </w:t>
      </w:r>
      <w:r w:rsidRPr="003F575E">
        <w:rPr>
          <w:i/>
          <w:iCs/>
        </w:rPr>
        <w:t>d</w:t>
      </w:r>
      <w:r w:rsidRPr="003F575E">
        <w:t xml:space="preserve"> = 0.61, 95% CI [0.36, 0.86] conditions. Furthermore, participants in the control condition reported </w:t>
      </w:r>
      <w:r w:rsidR="006B7278">
        <w:t>more</w:t>
      </w:r>
      <w:r w:rsidRPr="003F575E">
        <w:t xml:space="preserve"> personal growth than those in the declinism condition, </w:t>
      </w:r>
      <w:r w:rsidRPr="003F575E">
        <w:rPr>
          <w:i/>
          <w:iCs/>
        </w:rPr>
        <w:t>t</w:t>
      </w:r>
      <w:r w:rsidRPr="003F575E">
        <w:t xml:space="preserve">(357) = 2.59, </w:t>
      </w:r>
      <w:r w:rsidRPr="003F575E">
        <w:rPr>
          <w:i/>
          <w:iCs/>
        </w:rPr>
        <w:t>p</w:t>
      </w:r>
      <w:r w:rsidRPr="003F575E">
        <w:t xml:space="preserve"> = .010, </w:t>
      </w:r>
      <w:r w:rsidRPr="003F575E">
        <w:rPr>
          <w:i/>
          <w:iCs/>
        </w:rPr>
        <w:t>d</w:t>
      </w:r>
      <w:r w:rsidRPr="003F575E">
        <w:t xml:space="preserve"> = 0.34, 95% CI [0.08, 0.59].</w:t>
      </w:r>
    </w:p>
    <w:p w14:paraId="09414CDC" w14:textId="1CE4914A" w:rsidR="00C5109C" w:rsidRDefault="00134391" w:rsidP="00577EC5">
      <w:pPr>
        <w:widowControl w:val="0"/>
      </w:pPr>
      <w:r>
        <w:t xml:space="preserve">As noted above, </w:t>
      </w:r>
      <w:bookmarkStart w:id="88" w:name="OLE_LINK42"/>
      <w:bookmarkStart w:id="89" w:name="OLE_LINK43"/>
      <w:r>
        <w:t>p</w:t>
      </w:r>
      <w:r w:rsidR="00F34B5C">
        <w:t>articipants</w:t>
      </w:r>
      <w:r w:rsidR="00C5109C">
        <w:t xml:space="preserve"> in the nostalgia condition</w:t>
      </w:r>
      <w:r w:rsidR="00F34B5C">
        <w:t xml:space="preserve"> </w:t>
      </w:r>
      <w:bookmarkStart w:id="90" w:name="OLE_LINK40"/>
      <w:bookmarkStart w:id="91" w:name="OLE_LINK41"/>
      <w:bookmarkEnd w:id="88"/>
      <w:bookmarkEnd w:id="89"/>
      <w:r w:rsidR="00C7126A">
        <w:t xml:space="preserve">reported </w:t>
      </w:r>
      <w:r>
        <w:t>higher</w:t>
      </w:r>
      <w:r w:rsidR="006B7278">
        <w:t xml:space="preserve"> state</w:t>
      </w:r>
      <w:r>
        <w:t xml:space="preserve"> declinism</w:t>
      </w:r>
      <w:r w:rsidR="00C5109C">
        <w:t xml:space="preserve"> than those in the </w:t>
      </w:r>
      <w:r>
        <w:t>control</w:t>
      </w:r>
      <w:r w:rsidR="00D47193">
        <w:t xml:space="preserve"> </w:t>
      </w:r>
      <w:r w:rsidR="000D568F">
        <w:t>condition</w:t>
      </w:r>
      <w:bookmarkEnd w:id="90"/>
      <w:bookmarkEnd w:id="91"/>
      <w:r>
        <w:t xml:space="preserve">. </w:t>
      </w:r>
      <w:r w:rsidR="00C5109C" w:rsidRPr="00BC4BB6">
        <w:rPr>
          <w:rFonts w:cs="Times New Roman"/>
          <w:szCs w:val="24"/>
        </w:rPr>
        <w:t xml:space="preserve">Thus, one possibility is that the observed increase in personal growth in the nostalgia </w:t>
      </w:r>
      <w:r w:rsidR="00F304A2">
        <w:rPr>
          <w:rFonts w:cs="Times New Roman"/>
          <w:szCs w:val="24"/>
        </w:rPr>
        <w:t xml:space="preserve">(vs. control) </w:t>
      </w:r>
      <w:r w:rsidR="00C5109C" w:rsidRPr="00BC4BB6">
        <w:rPr>
          <w:rFonts w:cs="Times New Roman"/>
          <w:szCs w:val="24"/>
        </w:rPr>
        <w:t>condition was attributable to heightened state declinism.</w:t>
      </w:r>
      <w:r w:rsidR="00577EC5">
        <w:rPr>
          <w:rFonts w:cs="Times New Roman"/>
          <w:szCs w:val="24"/>
        </w:rPr>
        <w:t xml:space="preserve"> However, the negative correlation between state declinism</w:t>
      </w:r>
      <w:r w:rsidR="008347D5" w:rsidRPr="008347D5">
        <w:rPr>
          <w:rFonts w:cs="Times New Roman"/>
          <w:szCs w:val="24"/>
        </w:rPr>
        <w:t xml:space="preserve"> </w:t>
      </w:r>
      <w:r w:rsidR="008347D5">
        <w:rPr>
          <w:rFonts w:cs="Times New Roman"/>
          <w:szCs w:val="24"/>
        </w:rPr>
        <w:t>and personal growth</w:t>
      </w:r>
      <w:r w:rsidR="00383997">
        <w:rPr>
          <w:rFonts w:cs="Times New Roman"/>
          <w:szCs w:val="24"/>
        </w:rPr>
        <w:t xml:space="preserve"> </w:t>
      </w:r>
      <w:r w:rsidR="003607B1">
        <w:rPr>
          <w:rFonts w:cs="Times New Roman"/>
          <w:szCs w:val="24"/>
        </w:rPr>
        <w:t xml:space="preserve">after </w:t>
      </w:r>
      <w:r w:rsidR="001E3182">
        <w:rPr>
          <w:rFonts w:cs="Times New Roman"/>
          <w:szCs w:val="24"/>
        </w:rPr>
        <w:t>controlling for state nostalgia</w:t>
      </w:r>
      <w:r w:rsidR="00383997">
        <w:rPr>
          <w:rFonts w:cs="Times New Roman"/>
          <w:szCs w:val="24"/>
        </w:rPr>
        <w:t xml:space="preserve"> (</w:t>
      </w:r>
      <w:r w:rsidR="00577EC5">
        <w:rPr>
          <w:rFonts w:cs="Times New Roman"/>
          <w:i/>
          <w:iCs/>
          <w:szCs w:val="24"/>
        </w:rPr>
        <w:t>r</w:t>
      </w:r>
      <w:r w:rsidR="00927D51" w:rsidRPr="00927D51">
        <w:rPr>
          <w:rFonts w:cs="Times New Roman"/>
          <w:szCs w:val="24"/>
          <w:vertAlign w:val="subscript"/>
        </w:rPr>
        <w:t>partial</w:t>
      </w:r>
      <w:r w:rsidR="00577EC5">
        <w:rPr>
          <w:rFonts w:cs="Times New Roman"/>
          <w:szCs w:val="24"/>
        </w:rPr>
        <w:t xml:space="preserve"> = </w:t>
      </w:r>
      <w:bookmarkStart w:id="92" w:name="OLE_LINK88"/>
      <w:bookmarkStart w:id="93" w:name="OLE_LINK89"/>
      <w:r w:rsidR="0036484E">
        <w:rPr>
          <w:rFonts w:cs="Times New Roman"/>
          <w:szCs w:val="24"/>
        </w:rPr>
        <w:t>−</w:t>
      </w:r>
      <w:bookmarkEnd w:id="92"/>
      <w:bookmarkEnd w:id="93"/>
      <w:r w:rsidR="00577EC5">
        <w:rPr>
          <w:rFonts w:cs="Times New Roman"/>
          <w:szCs w:val="24"/>
        </w:rPr>
        <w:t>.</w:t>
      </w:r>
      <w:r w:rsidR="002A6BA2">
        <w:rPr>
          <w:rFonts w:cs="Times New Roman"/>
          <w:szCs w:val="24"/>
        </w:rPr>
        <w:t>1</w:t>
      </w:r>
      <w:r w:rsidR="0036484E">
        <w:rPr>
          <w:rFonts w:cs="Times New Roman"/>
          <w:szCs w:val="24"/>
        </w:rPr>
        <w:t>8</w:t>
      </w:r>
      <w:r w:rsidR="00577EC5">
        <w:rPr>
          <w:rFonts w:cs="Times New Roman"/>
          <w:szCs w:val="24"/>
        </w:rPr>
        <w:t xml:space="preserve">, </w:t>
      </w:r>
      <w:r w:rsidR="00577EC5">
        <w:rPr>
          <w:rFonts w:cs="Times New Roman"/>
          <w:i/>
          <w:iCs/>
          <w:szCs w:val="24"/>
        </w:rPr>
        <w:t xml:space="preserve">p </w:t>
      </w:r>
      <w:r w:rsidR="00D21F5A">
        <w:rPr>
          <w:rFonts w:cs="Times New Roman"/>
          <w:szCs w:val="24"/>
        </w:rPr>
        <w:t>&lt;</w:t>
      </w:r>
      <w:r w:rsidR="00577EC5">
        <w:rPr>
          <w:rFonts w:cs="Times New Roman"/>
          <w:szCs w:val="24"/>
        </w:rPr>
        <w:t xml:space="preserve"> .</w:t>
      </w:r>
      <w:r w:rsidR="002A6BA2">
        <w:rPr>
          <w:rFonts w:cs="Times New Roman"/>
          <w:szCs w:val="24"/>
        </w:rPr>
        <w:t>00</w:t>
      </w:r>
      <w:r w:rsidR="00D21F5A">
        <w:rPr>
          <w:rFonts w:cs="Times New Roman"/>
          <w:szCs w:val="24"/>
        </w:rPr>
        <w:t>1</w:t>
      </w:r>
      <w:r w:rsidR="00577EC5">
        <w:rPr>
          <w:rFonts w:cs="Times New Roman"/>
          <w:szCs w:val="24"/>
        </w:rPr>
        <w:t>)</w:t>
      </w:r>
      <w:bookmarkStart w:id="94" w:name="OLE_LINK90"/>
      <w:bookmarkStart w:id="95" w:name="OLE_LINK91"/>
      <w:r w:rsidR="00577EC5">
        <w:rPr>
          <w:rFonts w:cs="Times New Roman"/>
          <w:szCs w:val="24"/>
        </w:rPr>
        <w:t xml:space="preserve"> </w:t>
      </w:r>
      <w:bookmarkEnd w:id="94"/>
      <w:bookmarkEnd w:id="95"/>
      <w:r w:rsidR="00577EC5">
        <w:rPr>
          <w:rFonts w:cs="Times New Roman"/>
          <w:szCs w:val="24"/>
        </w:rPr>
        <w:t xml:space="preserve">rules this out. </w:t>
      </w:r>
      <w:r w:rsidR="00C5109C" w:rsidRPr="00BC4BB6">
        <w:rPr>
          <w:rFonts w:cs="Times New Roman"/>
          <w:szCs w:val="24"/>
        </w:rPr>
        <w:t xml:space="preserve">Similarly, as previously noted, participants in the declinism condition reported greater state nostalgia than those in the control condition. This raised the possibility that the observed decrease in personal growth in the </w:t>
      </w:r>
      <w:r w:rsidR="00C5109C" w:rsidRPr="00BC4BB6">
        <w:rPr>
          <w:rFonts w:cs="Times New Roman"/>
          <w:szCs w:val="24"/>
        </w:rPr>
        <w:lastRenderedPageBreak/>
        <w:t xml:space="preserve">declinism </w:t>
      </w:r>
      <w:r w:rsidR="00F304A2">
        <w:rPr>
          <w:rFonts w:cs="Times New Roman"/>
          <w:szCs w:val="24"/>
        </w:rPr>
        <w:t xml:space="preserve">(vs. control) </w:t>
      </w:r>
      <w:r w:rsidR="00C5109C" w:rsidRPr="00BC4BB6">
        <w:rPr>
          <w:rFonts w:cs="Times New Roman"/>
          <w:szCs w:val="24"/>
        </w:rPr>
        <w:t xml:space="preserve">condition was due to increased state nostalgia. However, </w:t>
      </w:r>
      <w:r w:rsidR="00577EC5">
        <w:rPr>
          <w:rFonts w:cs="Times New Roman"/>
          <w:szCs w:val="24"/>
        </w:rPr>
        <w:t>the positive correlation between state nostalgia and personal growth</w:t>
      </w:r>
      <w:r w:rsidR="007C5DCB" w:rsidRPr="007C5DCB">
        <w:rPr>
          <w:rFonts w:cs="Times New Roman"/>
          <w:szCs w:val="24"/>
        </w:rPr>
        <w:t xml:space="preserve"> </w:t>
      </w:r>
      <w:r w:rsidR="007C5DCB">
        <w:rPr>
          <w:rFonts w:cs="Times New Roman"/>
          <w:szCs w:val="24"/>
        </w:rPr>
        <w:t>after controlling for state declinism</w:t>
      </w:r>
      <w:r w:rsidR="00577EC5">
        <w:rPr>
          <w:rFonts w:cs="Times New Roman"/>
          <w:szCs w:val="24"/>
        </w:rPr>
        <w:t xml:space="preserve"> (</w:t>
      </w:r>
      <w:r w:rsidR="00577EC5">
        <w:rPr>
          <w:rFonts w:cs="Times New Roman"/>
          <w:i/>
          <w:iCs/>
          <w:szCs w:val="24"/>
        </w:rPr>
        <w:t>r</w:t>
      </w:r>
      <w:r w:rsidR="00927D51" w:rsidRPr="00927D51">
        <w:rPr>
          <w:rFonts w:cs="Times New Roman"/>
          <w:szCs w:val="24"/>
          <w:vertAlign w:val="subscript"/>
        </w:rPr>
        <w:t>partial</w:t>
      </w:r>
      <w:r w:rsidR="00577EC5">
        <w:rPr>
          <w:rFonts w:cs="Times New Roman"/>
          <w:szCs w:val="24"/>
        </w:rPr>
        <w:t xml:space="preserve"> = </w:t>
      </w:r>
      <w:r w:rsidR="00962912">
        <w:rPr>
          <w:rFonts w:cs="Times New Roman"/>
          <w:szCs w:val="24"/>
        </w:rPr>
        <w:t>.16</w:t>
      </w:r>
      <w:r w:rsidR="00577EC5">
        <w:rPr>
          <w:rFonts w:cs="Times New Roman"/>
          <w:szCs w:val="24"/>
        </w:rPr>
        <w:t xml:space="preserve">, </w:t>
      </w:r>
      <w:r w:rsidR="00577EC5">
        <w:rPr>
          <w:rFonts w:cs="Times New Roman"/>
          <w:i/>
          <w:iCs/>
          <w:szCs w:val="24"/>
        </w:rPr>
        <w:t xml:space="preserve">p </w:t>
      </w:r>
      <w:r w:rsidR="00577EC5">
        <w:rPr>
          <w:rFonts w:cs="Times New Roman"/>
          <w:szCs w:val="24"/>
        </w:rPr>
        <w:t xml:space="preserve">= </w:t>
      </w:r>
      <w:r w:rsidR="00962912">
        <w:rPr>
          <w:rFonts w:cs="Times New Roman"/>
          <w:szCs w:val="24"/>
        </w:rPr>
        <w:t>.002</w:t>
      </w:r>
      <w:r w:rsidR="00577EC5">
        <w:rPr>
          <w:rFonts w:cs="Times New Roman"/>
          <w:szCs w:val="24"/>
        </w:rPr>
        <w:t>)</w:t>
      </w:r>
      <w:r w:rsidR="008347D5">
        <w:rPr>
          <w:rFonts w:cs="Times New Roman"/>
          <w:szCs w:val="24"/>
        </w:rPr>
        <w:t xml:space="preserve"> </w:t>
      </w:r>
      <w:r w:rsidR="00577EC5">
        <w:rPr>
          <w:rFonts w:cs="Times New Roman"/>
          <w:szCs w:val="24"/>
        </w:rPr>
        <w:t>rules this out</w:t>
      </w:r>
      <w:r w:rsidR="00C5109C" w:rsidRPr="00BC4BB6">
        <w:rPr>
          <w:rFonts w:cs="Times New Roman"/>
          <w:szCs w:val="24"/>
        </w:rPr>
        <w:t>.</w:t>
      </w:r>
    </w:p>
    <w:p w14:paraId="0BE3832E" w14:textId="77777777" w:rsidR="00FB1669" w:rsidRPr="00E108DD" w:rsidRDefault="00FB1669" w:rsidP="00732BE6">
      <w:pPr>
        <w:pStyle w:val="Heading1"/>
        <w:widowControl w:val="0"/>
      </w:pPr>
      <w:r w:rsidRPr="00E108DD">
        <w:t>General Discussion</w:t>
      </w:r>
    </w:p>
    <w:p w14:paraId="118E4986" w14:textId="0BDE2F9C" w:rsidR="00FB1669" w:rsidRDefault="00FB1669" w:rsidP="00732BE6">
      <w:pPr>
        <w:widowControl w:val="0"/>
        <w:rPr>
          <w:rFonts w:cs="Times New Roman"/>
          <w:szCs w:val="24"/>
        </w:rPr>
      </w:pPr>
      <w:r w:rsidRPr="00686B9C">
        <w:rPr>
          <w:rFonts w:cs="Times New Roman"/>
          <w:szCs w:val="24"/>
        </w:rPr>
        <w:t>We examined the distinct roles of nostalgia and declinism in shaping personal growth, a key psychological construct reflecting self-directed development and goal pursuit. Across two complementary studies</w:t>
      </w:r>
      <w:r>
        <w:rPr>
          <w:rFonts w:cs="Times New Roman"/>
          <w:szCs w:val="24"/>
        </w:rPr>
        <w:t xml:space="preserve">, </w:t>
      </w:r>
      <w:r w:rsidRPr="00686B9C">
        <w:rPr>
          <w:rFonts w:cs="Times New Roman"/>
          <w:szCs w:val="24"/>
        </w:rPr>
        <w:t>one correlational and one experimental</w:t>
      </w:r>
      <w:r>
        <w:rPr>
          <w:rFonts w:cs="Times New Roman"/>
          <w:szCs w:val="24"/>
        </w:rPr>
        <w:t xml:space="preserve">, </w:t>
      </w:r>
      <w:r w:rsidRPr="00686B9C">
        <w:rPr>
          <w:rFonts w:cs="Times New Roman"/>
          <w:szCs w:val="24"/>
        </w:rPr>
        <w:t>we tested the hypothes</w:t>
      </w:r>
      <w:r w:rsidR="00294895">
        <w:rPr>
          <w:rFonts w:cs="Times New Roman"/>
          <w:szCs w:val="24"/>
        </w:rPr>
        <w:t>e</w:t>
      </w:r>
      <w:r w:rsidRPr="00686B9C">
        <w:rPr>
          <w:rFonts w:cs="Times New Roman"/>
          <w:szCs w:val="24"/>
        </w:rPr>
        <w:t>s that nostalgia is positively associated with</w:t>
      </w:r>
      <w:r w:rsidR="00294895">
        <w:rPr>
          <w:rFonts w:cs="Times New Roman"/>
          <w:szCs w:val="24"/>
        </w:rPr>
        <w:t xml:space="preserve">, or promotes, </w:t>
      </w:r>
      <w:r w:rsidRPr="00686B9C">
        <w:rPr>
          <w:rFonts w:cs="Times New Roman"/>
          <w:szCs w:val="24"/>
        </w:rPr>
        <w:t>personal growth, whereas declinism is negatively associated with</w:t>
      </w:r>
      <w:r w:rsidR="00294895">
        <w:rPr>
          <w:rFonts w:cs="Times New Roman"/>
          <w:szCs w:val="24"/>
        </w:rPr>
        <w:t>, or reduces</w:t>
      </w:r>
      <w:r w:rsidRPr="00686B9C">
        <w:rPr>
          <w:rFonts w:cs="Times New Roman"/>
          <w:szCs w:val="24"/>
        </w:rPr>
        <w:t xml:space="preserve"> it. Furthermore, we investigated whether the strength and direction of the nostalgia–growth association depend on how nostalgia is </w:t>
      </w:r>
      <w:r>
        <w:rPr>
          <w:rFonts w:cs="Times New Roman"/>
          <w:szCs w:val="24"/>
        </w:rPr>
        <w:t>measured</w:t>
      </w:r>
      <w:r w:rsidRPr="00686B9C">
        <w:rPr>
          <w:rFonts w:cs="Times New Roman"/>
          <w:szCs w:val="24"/>
        </w:rPr>
        <w:t>.</w:t>
      </w:r>
    </w:p>
    <w:p w14:paraId="2F740402" w14:textId="4A9B8401" w:rsidR="00FB1669" w:rsidRDefault="00AC6514" w:rsidP="00732BE6">
      <w:pPr>
        <w:widowControl w:val="0"/>
        <w:ind w:firstLine="0"/>
        <w:rPr>
          <w:rFonts w:cs="Times New Roman"/>
          <w:b/>
          <w:bCs/>
          <w:szCs w:val="24"/>
        </w:rPr>
      </w:pPr>
      <w:r>
        <w:rPr>
          <w:rFonts w:cs="Times New Roman"/>
          <w:b/>
          <w:bCs/>
          <w:szCs w:val="24"/>
        </w:rPr>
        <w:t>Implications</w:t>
      </w:r>
    </w:p>
    <w:p w14:paraId="6E910E42" w14:textId="6DC38EEF" w:rsidR="00344A1A" w:rsidRDefault="00447FB0" w:rsidP="00732BE6">
      <w:pPr>
        <w:widowControl w:val="0"/>
      </w:pPr>
      <w:r>
        <w:t>Our</w:t>
      </w:r>
      <w:r w:rsidR="00AC6514">
        <w:t xml:space="preserve"> </w:t>
      </w:r>
      <w:r w:rsidR="00B04C15">
        <w:t>work</w:t>
      </w:r>
      <w:r w:rsidR="00AC6514">
        <w:t xml:space="preserve"> </w:t>
      </w:r>
      <w:r>
        <w:t>has several</w:t>
      </w:r>
      <w:r w:rsidR="00AC6514">
        <w:t xml:space="preserve"> implications. </w:t>
      </w:r>
      <w:r w:rsidR="00682ADD">
        <w:t>Theoretically</w:t>
      </w:r>
      <w:r w:rsidR="00AC6514">
        <w:t xml:space="preserve">, </w:t>
      </w:r>
      <w:r w:rsidR="00103C6F">
        <w:t xml:space="preserve">we </w:t>
      </w:r>
      <w:r w:rsidR="00682ADD">
        <w:t>ad</w:t>
      </w:r>
      <w:r>
        <w:t>d</w:t>
      </w:r>
      <w:r w:rsidR="00682ADD">
        <w:t>ress</w:t>
      </w:r>
      <w:r>
        <w:t>ed</w:t>
      </w:r>
      <w:r w:rsidR="00DF60D2" w:rsidRPr="00DF60D2">
        <w:t xml:space="preserve"> the </w:t>
      </w:r>
      <w:r w:rsidR="00682ADD">
        <w:t>distinction</w:t>
      </w:r>
      <w:r w:rsidR="00DF60D2" w:rsidRPr="00DF60D2">
        <w:t xml:space="preserve"> between nostalgia and declinism by demonstrating their opposing </w:t>
      </w:r>
      <w:r w:rsidR="00294895">
        <w:t>roles in predicting personal growth</w:t>
      </w:r>
      <w:r w:rsidR="00A50257">
        <w:t>.</w:t>
      </w:r>
      <w:r w:rsidR="00103C6F">
        <w:t xml:space="preserve"> </w:t>
      </w:r>
      <w:r w:rsidR="004E3476">
        <w:t>Past research</w:t>
      </w:r>
      <w:r>
        <w:t xml:space="preserve"> has </w:t>
      </w:r>
      <w:r w:rsidR="004E3476">
        <w:t>examined</w:t>
      </w:r>
      <w:r>
        <w:t xml:space="preserve"> the effects of these two </w:t>
      </w:r>
      <w:r w:rsidR="004E3476">
        <w:t>past-oriented emotions</w:t>
      </w:r>
      <w:r>
        <w:t xml:space="preserve"> independently</w:t>
      </w:r>
      <w:r w:rsidR="004E3476">
        <w:t xml:space="preserve"> (</w:t>
      </w:r>
      <w:r w:rsidR="004E3476" w:rsidRPr="00760B84">
        <w:t>Holbrook &amp; Schindler, 1994; Leunissen et al., 2021</w:t>
      </w:r>
      <w:r w:rsidR="004E3476">
        <w:t>),</w:t>
      </w:r>
      <w:r>
        <w:t xml:space="preserve"> often overlooking</w:t>
      </w:r>
      <w:r w:rsidR="004E3476">
        <w:t xml:space="preserve"> </w:t>
      </w:r>
      <w:r>
        <w:t xml:space="preserve">their conceptual and functional </w:t>
      </w:r>
      <w:r w:rsidR="00DF60D2">
        <w:t>overlap</w:t>
      </w:r>
      <w:r w:rsidR="004E3476">
        <w:t>.</w:t>
      </w:r>
      <w:r w:rsidR="0076540B">
        <w:t xml:space="preserve"> </w:t>
      </w:r>
      <w:r>
        <w:t xml:space="preserve">We </w:t>
      </w:r>
      <w:r w:rsidR="0076540B" w:rsidRPr="0076540B">
        <w:t>addressed this</w:t>
      </w:r>
      <w:r>
        <w:t xml:space="preserve"> knowledge</w:t>
      </w:r>
      <w:r w:rsidR="0076540B" w:rsidRPr="0076540B">
        <w:t xml:space="preserve"> gap by </w:t>
      </w:r>
      <w:r>
        <w:t xml:space="preserve">directly </w:t>
      </w:r>
      <w:r w:rsidR="0076540B" w:rsidRPr="0076540B">
        <w:t xml:space="preserve">comparing </w:t>
      </w:r>
      <w:r w:rsidRPr="00447FB0">
        <w:t>nostalgia and declinism in both correlational and experimental contexts.</w:t>
      </w:r>
      <w:r>
        <w:t xml:space="preserve"> </w:t>
      </w:r>
      <w:r w:rsidR="00D818B2">
        <w:t>Th</w:t>
      </w:r>
      <w:r w:rsidR="00682ADD">
        <w:t>e</w:t>
      </w:r>
      <w:r>
        <w:t xml:space="preserve">ir </w:t>
      </w:r>
      <w:r w:rsidR="003A39E2">
        <w:t>divergent a</w:t>
      </w:r>
      <w:r w:rsidR="00D818B2">
        <w:t xml:space="preserve">ssociations with </w:t>
      </w:r>
      <w:r w:rsidR="00D818B2" w:rsidRPr="00517174">
        <w:t>personal growth, a construct often framed in terms of approach motivation and proactive self-regulation (Baldwin &amp; Landau, 2024; Robitschek et al., 2012; Weigold et al., 2013)</w:t>
      </w:r>
      <w:r w:rsidR="00B04C15">
        <w:t>,</w:t>
      </w:r>
      <w:r w:rsidR="00344A1A" w:rsidRPr="00686B9C">
        <w:t xml:space="preserve"> underscore </w:t>
      </w:r>
      <w:r w:rsidR="00025196">
        <w:t xml:space="preserve">their distinct </w:t>
      </w:r>
      <w:r w:rsidR="00B04C15">
        <w:t>functions</w:t>
      </w:r>
      <w:r w:rsidR="00025196">
        <w:t>:</w:t>
      </w:r>
      <w:r w:rsidR="00344A1A" w:rsidRPr="00686B9C">
        <w:t xml:space="preserve"> </w:t>
      </w:r>
      <w:r w:rsidR="00344A1A">
        <w:t>Although</w:t>
      </w:r>
      <w:r w:rsidR="00344A1A" w:rsidRPr="00686B9C">
        <w:t xml:space="preserve"> both are past-oriented, nostalgia invigorate</w:t>
      </w:r>
      <w:r w:rsidR="00344A1A">
        <w:t>s</w:t>
      </w:r>
      <w:r w:rsidR="00344A1A" w:rsidRPr="00686B9C">
        <w:t xml:space="preserve"> a forward-looking</w:t>
      </w:r>
      <w:r w:rsidR="00B04C15">
        <w:t xml:space="preserve"> and</w:t>
      </w:r>
      <w:r w:rsidR="00344A1A" w:rsidRPr="00686B9C">
        <w:t xml:space="preserve"> self-expansive orientation, whereas declinism anchors individuals to a </w:t>
      </w:r>
      <w:r w:rsidR="00B04C15">
        <w:t>bleak</w:t>
      </w:r>
      <w:r w:rsidR="00344A1A" w:rsidRPr="00686B9C">
        <w:t xml:space="preserve"> narrative of irreversible loss</w:t>
      </w:r>
      <w:r w:rsidR="00257DDC">
        <w:t xml:space="preserve"> and deterioration</w:t>
      </w:r>
      <w:r w:rsidR="00A30AE9">
        <w:t xml:space="preserve"> (</w:t>
      </w:r>
      <w:r w:rsidR="005F216A">
        <w:t xml:space="preserve">Dang et al., 2024, 2025; </w:t>
      </w:r>
      <w:r w:rsidR="00A30AE9">
        <w:t>Sedikides &amp; Wildschut, 2023b; Wildschut &amp; Sedikides, 2022b)</w:t>
      </w:r>
      <w:r w:rsidR="00344A1A" w:rsidRPr="00686B9C">
        <w:t>.</w:t>
      </w:r>
    </w:p>
    <w:p w14:paraId="4CBEF39B" w14:textId="51D91585" w:rsidR="002C16BE" w:rsidRDefault="00682ADD" w:rsidP="00732BE6">
      <w:pPr>
        <w:widowControl w:val="0"/>
      </w:pPr>
      <w:bookmarkStart w:id="96" w:name="OLE_LINK286"/>
      <w:bookmarkStart w:id="97" w:name="OLE_LINK287"/>
      <w:r>
        <w:t>Methodologically</w:t>
      </w:r>
      <w:r w:rsidR="00E5432F">
        <w:t>,</w:t>
      </w:r>
      <w:r w:rsidR="002C16BE" w:rsidRPr="002C16BE">
        <w:t xml:space="preserve"> </w:t>
      </w:r>
      <w:r w:rsidR="002C16BE">
        <w:t>a</w:t>
      </w:r>
      <w:r w:rsidR="002C16BE" w:rsidRPr="00686B9C">
        <w:t xml:space="preserve"> critical contribution of </w:t>
      </w:r>
      <w:r w:rsidR="002C16BE">
        <w:t>our</w:t>
      </w:r>
      <w:r w:rsidR="002C16BE" w:rsidRPr="00686B9C">
        <w:t xml:space="preserve"> work lies in highlighting the importance of measurement specificity</w:t>
      </w:r>
      <w:r w:rsidR="00F53703">
        <w:t xml:space="preserve"> </w:t>
      </w:r>
      <w:r w:rsidR="00F53703" w:rsidRPr="00F53703">
        <w:t>in nostalgia research</w:t>
      </w:r>
      <w:r w:rsidR="002C16BE" w:rsidRPr="00686B9C">
        <w:t xml:space="preserve">. </w:t>
      </w:r>
      <w:r w:rsidR="00B04C15">
        <w:t xml:space="preserve">Although researchers have used a variety of </w:t>
      </w:r>
      <w:r w:rsidR="00E0647F" w:rsidRPr="00E0647F">
        <w:t xml:space="preserve">scales to </w:t>
      </w:r>
      <w:r w:rsidR="00B04C15">
        <w:t>assess</w:t>
      </w:r>
      <w:r w:rsidR="00E0647F" w:rsidRPr="00E0647F">
        <w:t xml:space="preserve"> nostalgia</w:t>
      </w:r>
      <w:r w:rsidR="00B04C15">
        <w:t xml:space="preserve"> (</w:t>
      </w:r>
      <w:r w:rsidR="00C1175F" w:rsidRPr="00A921C4">
        <w:rPr>
          <w:rFonts w:cs="Times New Roman"/>
          <w:szCs w:val="24"/>
        </w:rPr>
        <w:t>Wildschut</w:t>
      </w:r>
      <w:r w:rsidR="00C1175F">
        <w:rPr>
          <w:rFonts w:cs="Times New Roman"/>
          <w:szCs w:val="24"/>
        </w:rPr>
        <w:t xml:space="preserve"> </w:t>
      </w:r>
      <w:r w:rsidR="00C1175F" w:rsidRPr="00A921C4">
        <w:rPr>
          <w:rFonts w:cs="Times New Roman"/>
          <w:szCs w:val="24"/>
        </w:rPr>
        <w:t>&amp; Sedikides, 2022</w:t>
      </w:r>
      <w:r w:rsidR="00C1175F">
        <w:rPr>
          <w:rFonts w:cs="Times New Roman"/>
          <w:szCs w:val="24"/>
        </w:rPr>
        <w:t>a; Wildschut et al., 2023)</w:t>
      </w:r>
      <w:r w:rsidR="00E0647F" w:rsidRPr="00E0647F">
        <w:t xml:space="preserve">, </w:t>
      </w:r>
      <w:r w:rsidR="00B04C15">
        <w:t xml:space="preserve">they have frequently operated under </w:t>
      </w:r>
      <w:r w:rsidR="00E0647F" w:rsidRPr="00E0647F">
        <w:t>the assumption that these instruments</w:t>
      </w:r>
      <w:r w:rsidR="00B04C15">
        <w:t xml:space="preserve"> capture a common </w:t>
      </w:r>
      <w:r w:rsidR="00E0647F" w:rsidRPr="00E0647F">
        <w:t xml:space="preserve">underlying </w:t>
      </w:r>
      <w:r w:rsidR="00E0647F" w:rsidRPr="00E0647F">
        <w:lastRenderedPageBreak/>
        <w:t xml:space="preserve">construct. </w:t>
      </w:r>
      <w:r w:rsidR="00B04C15">
        <w:t xml:space="preserve">A </w:t>
      </w:r>
      <w:r w:rsidR="00E0647F" w:rsidRPr="00E0647F">
        <w:t>limitation of this approach is th</w:t>
      </w:r>
      <w:r w:rsidR="00B04C15">
        <w:t xml:space="preserve">e lack of systematic investigation into whether these measures </w:t>
      </w:r>
      <w:r w:rsidR="00E0647F" w:rsidRPr="00E0647F">
        <w:t>conflate nostalgia with related</w:t>
      </w:r>
      <w:r w:rsidR="00B04C15">
        <w:t>,</w:t>
      </w:r>
      <w:r w:rsidR="00E0647F" w:rsidRPr="00E0647F">
        <w:t xml:space="preserve"> </w:t>
      </w:r>
      <w:r w:rsidR="00B04C15">
        <w:t>yet</w:t>
      </w:r>
      <w:r w:rsidR="00E0647F" w:rsidRPr="00E0647F">
        <w:t xml:space="preserve"> functionally distinct</w:t>
      </w:r>
      <w:r w:rsidR="00B04C15">
        <w:t xml:space="preserve">, constructs such as </w:t>
      </w:r>
      <w:r w:rsidR="00E0647F" w:rsidRPr="00E0647F">
        <w:t xml:space="preserve">declinism. </w:t>
      </w:r>
      <w:r w:rsidR="00C1175F">
        <w:t>S</w:t>
      </w:r>
      <w:r w:rsidR="00C1175F" w:rsidRPr="00C1175F">
        <w:t xml:space="preserve">eeking to clarify this issue, we undertook a comparative analysis of the three most </w:t>
      </w:r>
      <w:r w:rsidR="00C1175F">
        <w:t>widely</w:t>
      </w:r>
      <w:r w:rsidR="00C1175F" w:rsidRPr="00C1175F">
        <w:t xml:space="preserve"> used nostalgia scales</w:t>
      </w:r>
      <w:r w:rsidR="00C1175F">
        <w:t>. The S</w:t>
      </w:r>
      <w:r w:rsidR="002C16BE" w:rsidRPr="00686B9C">
        <w:t>tudy 1</w:t>
      </w:r>
      <w:r w:rsidR="00C1175F">
        <w:t xml:space="preserve"> findings indicated that the three scales </w:t>
      </w:r>
      <w:r w:rsidR="006E577E">
        <w:t>are not equivalent</w:t>
      </w:r>
      <w:r w:rsidR="004A2B47">
        <w:t>.</w:t>
      </w:r>
      <w:r w:rsidR="002C16BE" w:rsidRPr="00686B9C">
        <w:t xml:space="preserve"> The SNS and NI</w:t>
      </w:r>
      <w:r w:rsidR="002C16BE">
        <w:t xml:space="preserve">, </w:t>
      </w:r>
      <w:r w:rsidR="002C16BE" w:rsidRPr="00686B9C">
        <w:t>both of which emphasize fondness for personally meaningful past events</w:t>
      </w:r>
      <w:r w:rsidR="002C16BE">
        <w:t xml:space="preserve">, </w:t>
      </w:r>
      <w:r w:rsidR="002C16BE" w:rsidRPr="00686B9C">
        <w:t>were positively associated with personal growth and unrelated to declinism.</w:t>
      </w:r>
      <w:bookmarkStart w:id="98" w:name="OLE_LINK288"/>
      <w:bookmarkStart w:id="99" w:name="OLE_LINK289"/>
      <w:r w:rsidR="002C16BE" w:rsidRPr="00686B9C">
        <w:t xml:space="preserve"> In contrast,</w:t>
      </w:r>
      <w:bookmarkEnd w:id="98"/>
      <w:bookmarkEnd w:id="99"/>
      <w:r w:rsidR="002C16BE" w:rsidRPr="00686B9C">
        <w:t xml:space="preserve"> the PINE exhibited no association with personal growth and a significant positive association with declinism. Canonical correlation analysis revealed that two items on the PINE (those assessing “wistful affection for the past” and “longing to return</w:t>
      </w:r>
      <w:r w:rsidR="00257DDC">
        <w:t xml:space="preserve"> to the past</w:t>
      </w:r>
      <w:r w:rsidR="002C16BE" w:rsidRPr="00686B9C">
        <w:t xml:space="preserve">”) </w:t>
      </w:r>
      <w:r w:rsidR="00E3233F">
        <w:t xml:space="preserve">were </w:t>
      </w:r>
      <w:r w:rsidR="00257DDC">
        <w:t xml:space="preserve">primarily </w:t>
      </w:r>
      <w:r w:rsidR="00E3233F">
        <w:t xml:space="preserve">responsible for </w:t>
      </w:r>
      <w:r w:rsidR="00257DDC">
        <w:t xml:space="preserve">confounding </w:t>
      </w:r>
      <w:r w:rsidR="002C16BE" w:rsidRPr="00686B9C">
        <w:t xml:space="preserve">nostalgic reverie </w:t>
      </w:r>
      <w:r w:rsidR="00257DDC">
        <w:t>with</w:t>
      </w:r>
      <w:r w:rsidR="00257DDC" w:rsidRPr="00686B9C">
        <w:t xml:space="preserve"> </w:t>
      </w:r>
      <w:r w:rsidR="002C16BE" w:rsidRPr="00686B9C">
        <w:t>societal pessimism.</w:t>
      </w:r>
      <w:r w:rsidR="00397C39">
        <w:t xml:space="preserve"> </w:t>
      </w:r>
      <w:r w:rsidR="002C16BE" w:rsidRPr="00686B9C">
        <w:t>These findings raise questions about</w:t>
      </w:r>
      <w:r w:rsidR="00AE3755" w:rsidRPr="00AE3755">
        <w:t xml:space="preserve"> the construct validity of </w:t>
      </w:r>
      <w:r w:rsidR="00C1175F">
        <w:t xml:space="preserve">the PINE, while illustrating </w:t>
      </w:r>
      <w:r w:rsidR="00AE3755" w:rsidRPr="00AE3755">
        <w:t>how lack of measurement precision can produce contradictory results</w:t>
      </w:r>
      <w:r w:rsidR="002C16BE" w:rsidRPr="00686B9C">
        <w:t>. Our results thus encourage a reevaluation of nostalgia measurement, emphasizing the need to distinguish between self-relevant, meaning-infused recollections and more diffuse, culturally tinged longings for an idealized past.</w:t>
      </w:r>
    </w:p>
    <w:bookmarkEnd w:id="96"/>
    <w:bookmarkEnd w:id="97"/>
    <w:p w14:paraId="73B55377" w14:textId="4F50ED2F" w:rsidR="00AC6514" w:rsidRPr="00AC6514" w:rsidRDefault="00AC6514" w:rsidP="00732BE6">
      <w:pPr>
        <w:widowControl w:val="0"/>
      </w:pPr>
      <w:r w:rsidRPr="00686B9C">
        <w:t>Practically, these findings have relevance for interventions aimed at promoting psychological resilience and well-being. Therapeutic or educational approaches that harness nostalgic reflection</w:t>
      </w:r>
      <w:r>
        <w:t xml:space="preserve">, </w:t>
      </w:r>
      <w:r w:rsidRPr="00686B9C">
        <w:t>especially when guided toward affirming values and long-term goals</w:t>
      </w:r>
      <w:r>
        <w:t xml:space="preserve">, </w:t>
      </w:r>
      <w:r w:rsidRPr="00686B9C">
        <w:t>may foster growth-related outcomes. Conversely, addressing declinist narratives, particularly in aging populations or politically disaffected groups, may mitigate the demotivating effects of future pessimism.</w:t>
      </w:r>
    </w:p>
    <w:p w14:paraId="543062B9" w14:textId="77777777" w:rsidR="00FB1669" w:rsidRDefault="00FB1669" w:rsidP="00732BE6">
      <w:pPr>
        <w:widowControl w:val="0"/>
        <w:ind w:firstLine="0"/>
        <w:rPr>
          <w:rFonts w:cs="Times New Roman"/>
          <w:b/>
          <w:bCs/>
          <w:szCs w:val="24"/>
        </w:rPr>
      </w:pPr>
      <w:r w:rsidRPr="00686B9C">
        <w:rPr>
          <w:rFonts w:cs="Times New Roman"/>
          <w:b/>
          <w:bCs/>
          <w:szCs w:val="24"/>
        </w:rPr>
        <w:t>Limitations and Future Directions</w:t>
      </w:r>
    </w:p>
    <w:p w14:paraId="6F0C4959" w14:textId="1D47C40E" w:rsidR="00286409" w:rsidRPr="00286409" w:rsidRDefault="00FB1669" w:rsidP="00D14AD3">
      <w:pPr>
        <w:widowControl w:val="0"/>
        <w:rPr>
          <w:color w:val="4472C4" w:themeColor="accent1"/>
          <w:lang w:val="en-GB"/>
        </w:rPr>
      </w:pPr>
      <w:r w:rsidRPr="00686B9C">
        <w:t>Several limitations warrant consideration</w:t>
      </w:r>
      <w:r w:rsidR="00630410">
        <w:t xml:space="preserve"> and may direct future </w:t>
      </w:r>
      <w:r w:rsidR="00712BEC">
        <w:t>research</w:t>
      </w:r>
      <w:r w:rsidRPr="00686B9C">
        <w:t xml:space="preserve">. </w:t>
      </w:r>
      <w:bookmarkStart w:id="100" w:name="OLE_LINK109"/>
      <w:bookmarkStart w:id="101" w:name="OLE_LINK110"/>
      <w:r w:rsidRPr="00686B9C">
        <w:t xml:space="preserve">First, </w:t>
      </w:r>
      <w:r w:rsidR="00286409" w:rsidRPr="00577B7E">
        <w:rPr>
          <w:rFonts w:cs="Times New Roman"/>
          <w:color w:val="4472C4" w:themeColor="accent1"/>
          <w:lang w:val="en-GB"/>
        </w:rPr>
        <w:t xml:space="preserve">the implications of distinguishing between nostalgia and declinism for other psychological constructs remain unclear. For example, nostalgia marketing is widespread (Chen et al., 2014), and organizations that employ nostalgic cues (e.g., décor, themes) should carefully consider this distinction. Given their opposing effects on personal growth, nostalgia and declinism may also exert contrasting influences on consumer behaviors such as purchase intentions. Future research </w:t>
      </w:r>
      <w:r w:rsidR="00286409" w:rsidRPr="00577B7E">
        <w:rPr>
          <w:rFonts w:cs="Times New Roman"/>
          <w:color w:val="4472C4" w:themeColor="accent1"/>
          <w:lang w:val="en-GB"/>
        </w:rPr>
        <w:lastRenderedPageBreak/>
        <w:t>should therefore examine their impact on other outcomes, including consumer decisions</w:t>
      </w:r>
      <w:r w:rsidR="00286409">
        <w:rPr>
          <w:rFonts w:cs="Times New Roman"/>
          <w:color w:val="4472C4" w:themeColor="accent1"/>
          <w:lang w:val="en-GB"/>
        </w:rPr>
        <w:t xml:space="preserve"> and</w:t>
      </w:r>
      <w:r w:rsidR="00286409" w:rsidRPr="00577B7E">
        <w:rPr>
          <w:rFonts w:cs="Times New Roman"/>
          <w:color w:val="4472C4" w:themeColor="accent1"/>
          <w:lang w:val="en-GB"/>
        </w:rPr>
        <w:t xml:space="preserve"> prosocial</w:t>
      </w:r>
      <w:r w:rsidR="00286409">
        <w:rPr>
          <w:rFonts w:cs="Times New Roman"/>
          <w:color w:val="4472C4" w:themeColor="accent1"/>
          <w:lang w:val="en-GB"/>
        </w:rPr>
        <w:t>ity.</w:t>
      </w:r>
    </w:p>
    <w:p w14:paraId="0D78F0E6" w14:textId="77003830" w:rsidR="00286409" w:rsidRPr="00E8789F" w:rsidRDefault="00652F4B" w:rsidP="00D14AD3">
      <w:pPr>
        <w:widowControl w:val="0"/>
        <w:rPr>
          <w:lang w:val="en-GB"/>
        </w:rPr>
      </w:pPr>
      <w:r>
        <w:t xml:space="preserve">Second, the present </w:t>
      </w:r>
      <w:r w:rsidR="00286409">
        <w:t>article</w:t>
      </w:r>
      <w:r>
        <w:t xml:space="preserve"> did not </w:t>
      </w:r>
      <w:r w:rsidR="00132373">
        <w:t>fully explore the underlying mechanism</w:t>
      </w:r>
      <w:r w:rsidR="00410EF0">
        <w:t>s of</w:t>
      </w:r>
      <w:r w:rsidR="00132373">
        <w:t xml:space="preserve"> the nostalgia</w:t>
      </w:r>
      <w:r w:rsidR="00410EF0">
        <w:t>/declinism−growth link. F</w:t>
      </w:r>
      <w:r>
        <w:t>ollow-up</w:t>
      </w:r>
      <w:r w:rsidRPr="00686B9C">
        <w:t xml:space="preserve"> research should explore the mechanisms through which nostalgia promotes personal growth</w:t>
      </w:r>
      <w:r w:rsidR="00286409">
        <w:t xml:space="preserve">, </w:t>
      </w:r>
      <w:r w:rsidRPr="00686B9C">
        <w:t>such as increases in meaning</w:t>
      </w:r>
      <w:r>
        <w:t xml:space="preserve"> in life (Sedikides &amp; Wildschut, 2018), authenticity (Kelley et al., 2022), future </w:t>
      </w:r>
      <w:r w:rsidRPr="00686B9C">
        <w:t>self-continuity</w:t>
      </w:r>
      <w:r>
        <w:t xml:space="preserve"> (Hong et al., 2024)</w:t>
      </w:r>
      <w:r>
        <w:rPr>
          <w:color w:val="4472C4" w:themeColor="accent1"/>
        </w:rPr>
        <w:t xml:space="preserve">, </w:t>
      </w:r>
      <w:bookmarkStart w:id="102" w:name="_Hlk210060235"/>
      <w:r>
        <w:rPr>
          <w:rFonts w:hint="eastAsia"/>
          <w:color w:val="4472C4" w:themeColor="accent1"/>
        </w:rPr>
        <w:t>and</w:t>
      </w:r>
      <w:r>
        <w:rPr>
          <w:color w:val="4472C4" w:themeColor="accent1"/>
        </w:rPr>
        <w:t xml:space="preserve"> positive affect</w:t>
      </w:r>
      <w:r w:rsidR="00286409">
        <w:rPr>
          <w:color w:val="4472C4" w:themeColor="accent1"/>
        </w:rPr>
        <w:t xml:space="preserve">, </w:t>
      </w:r>
      <w:r w:rsidR="00E8789F" w:rsidRPr="008A640F">
        <w:rPr>
          <w:rFonts w:cs="Times New Roman"/>
          <w:color w:val="4472C4" w:themeColor="accent1"/>
          <w:lang w:val="en-GB"/>
        </w:rPr>
        <w:t xml:space="preserve">as well as the mechanisms through which declinism hampers growth, such as </w:t>
      </w:r>
      <w:r w:rsidR="00D14AD3">
        <w:rPr>
          <w:rFonts w:cs="Times New Roman"/>
          <w:color w:val="4472C4" w:themeColor="accent1"/>
          <w:lang w:val="en-GB"/>
        </w:rPr>
        <w:t>negative affect</w:t>
      </w:r>
      <w:r w:rsidR="00E8789F" w:rsidRPr="008A640F">
        <w:rPr>
          <w:rFonts w:cs="Times New Roman"/>
          <w:color w:val="4472C4" w:themeColor="accent1"/>
          <w:lang w:val="en-GB"/>
        </w:rPr>
        <w:t>.</w:t>
      </w:r>
    </w:p>
    <w:p w14:paraId="0A6747AF" w14:textId="028DF0A5" w:rsidR="00FC4367" w:rsidRPr="00150254" w:rsidRDefault="00FC4367" w:rsidP="00732BE6">
      <w:pPr>
        <w:widowControl w:val="0"/>
        <w:rPr>
          <w:color w:val="4472C4" w:themeColor="accent1"/>
        </w:rPr>
      </w:pPr>
      <w:bookmarkStart w:id="103" w:name="OLE_LINK69"/>
      <w:bookmarkStart w:id="104" w:name="OLE_LINK70"/>
      <w:bookmarkStart w:id="105" w:name="OLE_LINK96"/>
      <w:r w:rsidRPr="006D3DE7">
        <w:rPr>
          <w:rFonts w:cs="Times New Roman"/>
          <w:color w:val="4472C4" w:themeColor="accent1"/>
        </w:rPr>
        <w:t>The final set of limitations pertain to our experimental design and sample composition.</w:t>
      </w:r>
      <w:r w:rsidR="00B67318">
        <w:rPr>
          <w:color w:val="4472C4" w:themeColor="accent1"/>
        </w:rPr>
        <w:t xml:space="preserve"> </w:t>
      </w:r>
      <w:r w:rsidRPr="006D3DE7">
        <w:rPr>
          <w:rFonts w:cs="Times New Roman"/>
          <w:color w:val="4472C4" w:themeColor="accent1"/>
        </w:rPr>
        <w:t>Although Study 2 employed experimental methodology, the induction procedures may not have fully captured the complexity of naturally occurring experiences of nostalgia and declinism. Moreover, the observed effects may vary across cultural contexts and by gender, given the disproportionate number of women in our samples. This imbalance reflects, in part, the demographics of the Credamo platform, where the gender ratio typically skews toward women (approximately 1:1.5 to 1:2, women to men), a pattern observed across most studies recruiting from this source. Future research should replicate these findings using alternative induction methods, culturally diverse samples, and more balanced gender distributions.</w:t>
      </w:r>
    </w:p>
    <w:bookmarkEnd w:id="100"/>
    <w:bookmarkEnd w:id="101"/>
    <w:bookmarkEnd w:id="102"/>
    <w:bookmarkEnd w:id="103"/>
    <w:bookmarkEnd w:id="104"/>
    <w:bookmarkEnd w:id="105"/>
    <w:p w14:paraId="0807367B" w14:textId="0A2FFEAB" w:rsidR="00FB1669" w:rsidRDefault="00FB1669" w:rsidP="00732BE6">
      <w:pPr>
        <w:widowControl w:val="0"/>
        <w:ind w:firstLine="0"/>
        <w:rPr>
          <w:rFonts w:cs="Times New Roman"/>
          <w:b/>
          <w:bCs/>
          <w:szCs w:val="24"/>
        </w:rPr>
      </w:pPr>
      <w:r w:rsidRPr="00686B9C">
        <w:rPr>
          <w:rFonts w:cs="Times New Roman"/>
          <w:b/>
          <w:bCs/>
          <w:szCs w:val="24"/>
        </w:rPr>
        <w:t>Conclu</w:t>
      </w:r>
      <w:r>
        <w:rPr>
          <w:rFonts w:cs="Times New Roman"/>
          <w:b/>
          <w:bCs/>
          <w:szCs w:val="24"/>
        </w:rPr>
        <w:t>ding Remarks</w:t>
      </w:r>
    </w:p>
    <w:p w14:paraId="368BFFA3" w14:textId="29C5D544" w:rsidR="00FB1669" w:rsidRDefault="00FB1669" w:rsidP="00B0151D">
      <w:pPr>
        <w:widowControl w:val="0"/>
      </w:pPr>
      <w:r>
        <w:t>Our work</w:t>
      </w:r>
      <w:r w:rsidRPr="00686B9C">
        <w:t xml:space="preserve"> demonstrates that nostalgia and declinism, while both rooted in the past, have divergent implications for personal growth. Nostalgia</w:t>
      </w:r>
      <w:r>
        <w:t xml:space="preserve">, </w:t>
      </w:r>
      <w:r w:rsidRPr="00686B9C">
        <w:t xml:space="preserve">particularly when measured in a way that foregrounds meaningful and </w:t>
      </w:r>
      <w:r w:rsidR="00257DDC">
        <w:t>fond</w:t>
      </w:r>
      <w:r w:rsidR="00257DDC" w:rsidRPr="00686B9C">
        <w:t xml:space="preserve"> </w:t>
      </w:r>
      <w:r w:rsidRPr="00686B9C">
        <w:t>past experiences</w:t>
      </w:r>
      <w:r>
        <w:t xml:space="preserve">, </w:t>
      </w:r>
      <w:r w:rsidRPr="00686B9C">
        <w:t>serves as a motivational resource, energizing future-oriented behavior. Declinism, by contrast, is marked by disengagement</w:t>
      </w:r>
      <w:r>
        <w:t xml:space="preserve"> </w:t>
      </w:r>
      <w:r w:rsidRPr="00686B9C">
        <w:t xml:space="preserve">and </w:t>
      </w:r>
      <w:r>
        <w:t>dormancy</w:t>
      </w:r>
      <w:r w:rsidRPr="00686B9C">
        <w:t xml:space="preserve">. Importantly, these outcomes hinge on how nostalgia is conceptualized and measured. </w:t>
      </w:r>
      <w:r w:rsidR="00134391" w:rsidRPr="00134391">
        <w:t>As interest in nostalgi</w:t>
      </w:r>
      <w:r w:rsidR="00134391">
        <w:t xml:space="preserve">a continues to </w:t>
      </w:r>
      <w:r w:rsidR="00134391" w:rsidRPr="00134391">
        <w:t>grows, it</w:t>
      </w:r>
      <w:r w:rsidR="00134391">
        <w:t xml:space="preserve"> i</w:t>
      </w:r>
      <w:r w:rsidR="00134391" w:rsidRPr="00134391">
        <w:t xml:space="preserve">s increasingly important to approach </w:t>
      </w:r>
      <w:r w:rsidR="00134391">
        <w:t>its</w:t>
      </w:r>
      <w:r w:rsidR="00134391" w:rsidRPr="00134391">
        <w:t xml:space="preserve"> measurement with precision and strong theoretical grounding</w:t>
      </w:r>
      <w:r w:rsidR="00134391">
        <w:t>.</w:t>
      </w:r>
    </w:p>
    <w:p w14:paraId="79836232" w14:textId="77777777" w:rsidR="00FD6217" w:rsidRDefault="00FD6217" w:rsidP="00732BE6">
      <w:pPr>
        <w:widowControl w:val="0"/>
        <w:spacing w:line="240" w:lineRule="auto"/>
        <w:ind w:firstLine="0"/>
      </w:pPr>
      <w:r>
        <w:br w:type="page"/>
      </w:r>
    </w:p>
    <w:p w14:paraId="405B093B" w14:textId="77777777" w:rsidR="00FD6217" w:rsidRPr="00A921C4" w:rsidRDefault="00FD6217" w:rsidP="00732BE6">
      <w:pPr>
        <w:pStyle w:val="Heading1"/>
        <w:widowControl w:val="0"/>
        <w:contextualSpacing/>
        <w:rPr>
          <w:rFonts w:cs="Times New Roman"/>
          <w:szCs w:val="24"/>
        </w:rPr>
      </w:pPr>
      <w:r w:rsidRPr="00A921C4">
        <w:rPr>
          <w:rFonts w:cs="Times New Roman"/>
          <w:szCs w:val="24"/>
        </w:rPr>
        <w:lastRenderedPageBreak/>
        <w:t>References</w:t>
      </w:r>
    </w:p>
    <w:p w14:paraId="3BF85AB6" w14:textId="3FA8B7D6" w:rsidR="00A44438" w:rsidRDefault="00A44438" w:rsidP="002C629C">
      <w:pPr>
        <w:widowControl w:val="0"/>
        <w:ind w:left="360" w:hangingChars="150" w:hanging="360"/>
        <w:contextualSpacing/>
      </w:pPr>
      <w:bookmarkStart w:id="106" w:name="_Hlk200033995"/>
      <w:r w:rsidRPr="00A921C4">
        <w:rPr>
          <w:rFonts w:cs="Times New Roman"/>
          <w:szCs w:val="24"/>
        </w:rPr>
        <w:t xml:space="preserve">Abeyta, A. A., Routledge, C., Roylance, C., Wildschut, R. T., &amp; Sedikides, C. (2015). Attachment-related avoidance and the social and agentic content of nostalgic memories. </w:t>
      </w:r>
      <w:r w:rsidRPr="00A921C4">
        <w:rPr>
          <w:rFonts w:cs="Times New Roman"/>
          <w:i/>
          <w:iCs/>
          <w:szCs w:val="24"/>
        </w:rPr>
        <w:t>Journal of Social and Personal Relationships, 32</w:t>
      </w:r>
      <w:r w:rsidRPr="00A921C4">
        <w:rPr>
          <w:rFonts w:cs="Times New Roman"/>
          <w:szCs w:val="24"/>
        </w:rPr>
        <w:t>(3)</w:t>
      </w:r>
      <w:r w:rsidRPr="00A921C4">
        <w:rPr>
          <w:rFonts w:cs="Times New Roman"/>
          <w:iCs/>
          <w:szCs w:val="24"/>
        </w:rPr>
        <w:t>, 406</w:t>
      </w:r>
      <w:r w:rsidRPr="00A921C4">
        <w:rPr>
          <w:rFonts w:cs="Times New Roman"/>
          <w:szCs w:val="24"/>
          <w:shd w:val="clear" w:color="auto" w:fill="FFFFFF"/>
        </w:rPr>
        <w:t>–</w:t>
      </w:r>
      <w:r w:rsidRPr="00A921C4">
        <w:rPr>
          <w:rFonts w:cs="Times New Roman"/>
          <w:iCs/>
          <w:szCs w:val="24"/>
        </w:rPr>
        <w:t>413</w:t>
      </w:r>
      <w:r w:rsidRPr="00A921C4">
        <w:rPr>
          <w:rFonts w:cs="Times New Roman"/>
          <w:szCs w:val="24"/>
        </w:rPr>
        <w:t xml:space="preserve">. </w:t>
      </w:r>
      <w:hyperlink r:id="rId22" w:history="1">
        <w:r w:rsidRPr="00A44438">
          <w:rPr>
            <w:rStyle w:val="Hyperlink"/>
            <w:rFonts w:cs="Times New Roman"/>
            <w:color w:val="000000" w:themeColor="text1"/>
            <w:szCs w:val="24"/>
            <w:u w:val="none"/>
          </w:rPr>
          <w:t>https://doi.org/10.1177/0265407514533770</w:t>
        </w:r>
      </w:hyperlink>
      <w:r w:rsidR="00001658">
        <w:t xml:space="preserve"> </w:t>
      </w:r>
    </w:p>
    <w:p w14:paraId="39ACAB02" w14:textId="1938B20F" w:rsidR="00001658" w:rsidRDefault="00001658" w:rsidP="002C629C">
      <w:pPr>
        <w:widowControl w:val="0"/>
        <w:ind w:left="360" w:hangingChars="150" w:hanging="360"/>
        <w:contextualSpacing/>
      </w:pPr>
      <w:r w:rsidRPr="005972F5">
        <w:rPr>
          <w:rFonts w:cs="Times New Roman"/>
          <w:szCs w:val="24"/>
        </w:rPr>
        <w:t>Abrams, M. H. (1988</w:t>
      </w:r>
      <w:r w:rsidRPr="005972F5">
        <w:rPr>
          <w:rFonts w:cs="Times New Roman"/>
          <w:i/>
          <w:iCs/>
          <w:szCs w:val="24"/>
        </w:rPr>
        <w:t>). A glossary of literary terms</w:t>
      </w:r>
      <w:r w:rsidRPr="005972F5">
        <w:rPr>
          <w:rFonts w:cs="Times New Roman"/>
          <w:szCs w:val="24"/>
        </w:rPr>
        <w:t xml:space="preserve"> (5</w:t>
      </w:r>
      <w:r w:rsidRPr="005972F5">
        <w:rPr>
          <w:rFonts w:cs="Times New Roman"/>
          <w:szCs w:val="24"/>
          <w:vertAlign w:val="superscript"/>
        </w:rPr>
        <w:t>th</w:t>
      </w:r>
      <w:r w:rsidRPr="005972F5">
        <w:rPr>
          <w:rFonts w:cs="Times New Roman"/>
          <w:szCs w:val="24"/>
        </w:rPr>
        <w:t xml:space="preserve"> ed.). Holt, Rinehart and Winston, Inc</w:t>
      </w:r>
      <w:r>
        <w:rPr>
          <w:rFonts w:cs="Times New Roman"/>
          <w:szCs w:val="24"/>
        </w:rPr>
        <w:t>.</w:t>
      </w:r>
    </w:p>
    <w:p w14:paraId="4D41A168" w14:textId="2D1C2718" w:rsidR="00457B34" w:rsidRPr="00457B34" w:rsidRDefault="00457B34" w:rsidP="002C629C">
      <w:pPr>
        <w:widowControl w:val="0"/>
        <w:ind w:left="360" w:hangingChars="150" w:hanging="360"/>
        <w:contextualSpacing/>
        <w:rPr>
          <w:rFonts w:cs="Times New Roman"/>
          <w:szCs w:val="24"/>
        </w:rPr>
      </w:pPr>
      <w:r w:rsidRPr="00457B34">
        <w:rPr>
          <w:rFonts w:cs="Times New Roman"/>
          <w:color w:val="000000" w:themeColor="text1"/>
          <w:szCs w:val="24"/>
        </w:rPr>
        <w:t>Baldwin, M., &amp; Landau, M. J. (2014). Exploring nostalgia's influence on psychological growth. </w:t>
      </w:r>
      <w:r w:rsidRPr="00457B34">
        <w:rPr>
          <w:rFonts w:cs="Times New Roman"/>
          <w:i/>
          <w:iCs/>
          <w:color w:val="000000" w:themeColor="text1"/>
          <w:szCs w:val="24"/>
        </w:rPr>
        <w:t>Self and Identity, 13</w:t>
      </w:r>
      <w:r w:rsidRPr="00457B34">
        <w:rPr>
          <w:rFonts w:cs="Times New Roman"/>
          <w:color w:val="000000" w:themeColor="text1"/>
          <w:szCs w:val="24"/>
        </w:rPr>
        <w:t>(2), 162–177. </w:t>
      </w:r>
      <w:hyperlink r:id="rId23" w:tgtFrame="_blank" w:history="1">
        <w:r w:rsidRPr="00457B34">
          <w:rPr>
            <w:rStyle w:val="Hyperlink"/>
            <w:rFonts w:cs="Times New Roman"/>
            <w:color w:val="auto"/>
            <w:szCs w:val="24"/>
            <w:u w:val="none"/>
          </w:rPr>
          <w:t>https://doi.org/10.1080/15298868.2013.772320</w:t>
        </w:r>
      </w:hyperlink>
    </w:p>
    <w:p w14:paraId="60DCBC1A" w14:textId="77777777" w:rsidR="00A350E2" w:rsidRDefault="00FD6217" w:rsidP="002C629C">
      <w:pPr>
        <w:widowControl w:val="0"/>
        <w:ind w:left="360" w:hangingChars="150" w:hanging="360"/>
        <w:contextualSpacing/>
        <w:rPr>
          <w:rFonts w:cs="Times New Roman"/>
          <w:szCs w:val="24"/>
        </w:rPr>
      </w:pPr>
      <w:r w:rsidRPr="00CC2476">
        <w:rPr>
          <w:rFonts w:cs="Times New Roman"/>
          <w:szCs w:val="24"/>
        </w:rPr>
        <w:t>Batcho, K. I. (1995). Nostalgia: A psychological perspective. </w:t>
      </w:r>
      <w:r w:rsidRPr="00CC2476">
        <w:rPr>
          <w:rFonts w:cs="Times New Roman"/>
          <w:i/>
          <w:iCs/>
          <w:szCs w:val="24"/>
        </w:rPr>
        <w:t>Perceptual and Motor Skills, 80</w:t>
      </w:r>
      <w:r w:rsidRPr="00CC2476">
        <w:rPr>
          <w:rFonts w:cs="Times New Roman"/>
          <w:szCs w:val="24"/>
        </w:rPr>
        <w:t>(1), 131–143. </w:t>
      </w:r>
      <w:hyperlink r:id="rId24" w:tgtFrame="_blank" w:history="1">
        <w:r w:rsidRPr="00CC2476">
          <w:rPr>
            <w:rStyle w:val="Hyperlink"/>
            <w:rFonts w:cs="Times New Roman"/>
            <w:color w:val="auto"/>
            <w:szCs w:val="24"/>
            <w:u w:val="none"/>
          </w:rPr>
          <w:t>https://doi.org/10.2466/pms.1995.80.1.131</w:t>
        </w:r>
      </w:hyperlink>
      <w:r>
        <w:rPr>
          <w:rFonts w:cs="Times New Roman"/>
          <w:szCs w:val="24"/>
        </w:rPr>
        <w:t xml:space="preserve"> </w:t>
      </w:r>
    </w:p>
    <w:p w14:paraId="53A14250" w14:textId="6C79D339" w:rsidR="00001658" w:rsidRPr="00001658" w:rsidRDefault="00001658" w:rsidP="002C629C">
      <w:pPr>
        <w:widowControl w:val="0"/>
        <w:ind w:left="360" w:hangingChars="150" w:hanging="360"/>
        <w:contextualSpacing/>
        <w:rPr>
          <w:rFonts w:cs="Times New Roman"/>
          <w:color w:val="000000" w:themeColor="text1"/>
          <w:szCs w:val="24"/>
        </w:rPr>
      </w:pPr>
      <w:r w:rsidRPr="005972F5">
        <w:rPr>
          <w:rFonts w:eastAsia="Microsoft YaHei" w:cs="Times New Roman"/>
          <w:szCs w:val="24"/>
          <w:shd w:val="clear" w:color="auto" w:fill="FFFFFF"/>
        </w:rPr>
        <w:t>Batcho, K. I. (2013). Nostalgia: Retreat or support in difficult times? </w:t>
      </w:r>
      <w:r w:rsidRPr="005972F5">
        <w:rPr>
          <w:rFonts w:eastAsia="Microsoft YaHei" w:cs="Times New Roman"/>
          <w:i/>
          <w:iCs/>
          <w:szCs w:val="24"/>
          <w:shd w:val="clear" w:color="auto" w:fill="FFFFFF"/>
        </w:rPr>
        <w:t>American Journal of Psychology,</w:t>
      </w:r>
      <w:r w:rsidRPr="005972F5">
        <w:rPr>
          <w:rFonts w:eastAsia="Microsoft YaHei" w:cs="Times New Roman"/>
          <w:szCs w:val="24"/>
          <w:shd w:val="clear" w:color="auto" w:fill="FFFFFF"/>
        </w:rPr>
        <w:t> </w:t>
      </w:r>
      <w:r w:rsidRPr="005972F5">
        <w:rPr>
          <w:rFonts w:eastAsia="Microsoft YaHei" w:cs="Times New Roman"/>
          <w:i/>
          <w:iCs/>
          <w:szCs w:val="24"/>
          <w:shd w:val="clear" w:color="auto" w:fill="FFFFFF"/>
        </w:rPr>
        <w:t>126</w:t>
      </w:r>
      <w:r w:rsidRPr="005972F5">
        <w:rPr>
          <w:rFonts w:eastAsia="Microsoft YaHei" w:cs="Times New Roman"/>
          <w:szCs w:val="24"/>
          <w:shd w:val="clear" w:color="auto" w:fill="FFFFFF"/>
        </w:rPr>
        <w:t>(3), 355</w:t>
      </w:r>
      <w:r w:rsidRPr="005972F5">
        <w:rPr>
          <w:rFonts w:cs="Times New Roman"/>
          <w:szCs w:val="24"/>
          <w:bdr w:val="none" w:sz="0" w:space="0" w:color="auto" w:frame="1"/>
          <w:shd w:val="clear" w:color="auto" w:fill="FFFFFF"/>
        </w:rPr>
        <w:t>–</w:t>
      </w:r>
      <w:r w:rsidRPr="005972F5">
        <w:rPr>
          <w:rFonts w:eastAsia="Microsoft YaHei" w:cs="Times New Roman"/>
          <w:szCs w:val="24"/>
          <w:shd w:val="clear" w:color="auto" w:fill="FFFFFF"/>
        </w:rPr>
        <w:t>367.</w:t>
      </w:r>
      <w:r w:rsidRPr="005972F5">
        <w:rPr>
          <w:rFonts w:cs="Times New Roman"/>
          <w:szCs w:val="24"/>
        </w:rPr>
        <w:t xml:space="preserve"> </w:t>
      </w:r>
      <w:hyperlink r:id="rId25" w:history="1">
        <w:r w:rsidRPr="00001658">
          <w:rPr>
            <w:rStyle w:val="Hyperlink"/>
            <w:rFonts w:cs="Times New Roman"/>
            <w:color w:val="000000" w:themeColor="text1"/>
            <w:szCs w:val="24"/>
            <w:u w:val="none"/>
            <w:bdr w:val="none" w:sz="0" w:space="0" w:color="auto" w:frame="1"/>
            <w:shd w:val="clear" w:color="auto" w:fill="FFFFFF"/>
          </w:rPr>
          <w:t>https://doi.org/10.5406/amerjpsyc.126.3.0355</w:t>
        </w:r>
      </w:hyperlink>
    </w:p>
    <w:p w14:paraId="152F1B2B" w14:textId="77777777" w:rsidR="006D4370" w:rsidRPr="00C32402" w:rsidRDefault="006D4370" w:rsidP="002C629C">
      <w:pPr>
        <w:widowControl w:val="0"/>
        <w:ind w:left="360" w:hangingChars="150" w:hanging="360"/>
        <w:contextualSpacing/>
        <w:rPr>
          <w:rFonts w:cs="Times New Roman"/>
        </w:rPr>
      </w:pPr>
      <w:r w:rsidRPr="00E13011">
        <w:rPr>
          <w:rFonts w:cs="Times New Roman"/>
        </w:rPr>
        <w:t xml:space="preserve">Bauer, J. J., &amp; McAdams, D. P. (2004). Personal growth in adults’ stories of life transitions. </w:t>
      </w:r>
      <w:r w:rsidRPr="00C32402">
        <w:rPr>
          <w:rFonts w:cs="Times New Roman"/>
          <w:i/>
          <w:iCs/>
        </w:rPr>
        <w:t>Journal of Personality, 72</w:t>
      </w:r>
      <w:r w:rsidRPr="00C32402">
        <w:rPr>
          <w:rFonts w:cs="Times New Roman"/>
        </w:rPr>
        <w:t xml:space="preserve">(3), 573–602. </w:t>
      </w:r>
      <w:r w:rsidRPr="00C32402">
        <w:rPr>
          <w:rFonts w:cs="Times New Roman"/>
          <w:color w:val="000000"/>
          <w:szCs w:val="24"/>
        </w:rPr>
        <w:t>https://doi.org/</w:t>
      </w:r>
      <w:r w:rsidRPr="00C32402">
        <w:rPr>
          <w:rFonts w:cs="Times New Roman"/>
        </w:rPr>
        <w:t>10.1111/j.0022-3506.2004.00273.x</w:t>
      </w:r>
    </w:p>
    <w:p w14:paraId="1482B6A1" w14:textId="5C70C58A" w:rsidR="006D4370" w:rsidRDefault="006D4370" w:rsidP="002C629C">
      <w:pPr>
        <w:widowControl w:val="0"/>
        <w:ind w:left="360" w:hangingChars="150" w:hanging="360"/>
        <w:contextualSpacing/>
        <w:rPr>
          <w:rFonts w:cs="Times New Roman"/>
        </w:rPr>
      </w:pPr>
      <w:r w:rsidRPr="00C32402">
        <w:rPr>
          <w:rFonts w:cs="Times New Roman"/>
        </w:rPr>
        <w:t>Brandtstadter, J., Wentura, D., &amp; Rothermund, K. (1999). Intentional self</w:t>
      </w:r>
      <w:r w:rsidR="00001658">
        <w:rPr>
          <w:rFonts w:cs="Times New Roman"/>
        </w:rPr>
        <w:t xml:space="preserve"> </w:t>
      </w:r>
      <w:r w:rsidRPr="00C32402">
        <w:rPr>
          <w:rFonts w:cs="Times New Roman"/>
        </w:rPr>
        <w:t xml:space="preserve">development through adulthood and later life: Tenacious pursuit and flexible adjustment of goals. In J. Brandtstadter &amp; R. M. Lerner (Eds.), </w:t>
      </w:r>
      <w:r w:rsidRPr="00C32402">
        <w:rPr>
          <w:rFonts w:cs="Times New Roman"/>
          <w:i/>
          <w:iCs/>
        </w:rPr>
        <w:t>Action and self-development: Theory and research through the life span</w:t>
      </w:r>
      <w:r w:rsidRPr="00C32402">
        <w:rPr>
          <w:rFonts w:cs="Times New Roman"/>
        </w:rPr>
        <w:t xml:space="preserve"> (pp. 373–400). Sage.</w:t>
      </w:r>
    </w:p>
    <w:p w14:paraId="009560FA" w14:textId="410601A5" w:rsidR="00001658" w:rsidRDefault="00457B34" w:rsidP="002C629C">
      <w:pPr>
        <w:widowControl w:val="0"/>
        <w:ind w:left="360" w:hangingChars="150" w:hanging="360"/>
        <w:contextualSpacing/>
      </w:pPr>
      <w:r w:rsidRPr="00457B34">
        <w:rPr>
          <w:rFonts w:cs="Times New Roman"/>
        </w:rPr>
        <w:t>Carver, C. S., &amp; White, T. L. (1994). Behavioral inhibition, behavioral activation, and affective responses to impending reward and punishment: The BIS/BAS Scales. </w:t>
      </w:r>
      <w:r w:rsidRPr="00457B34">
        <w:rPr>
          <w:rFonts w:cs="Times New Roman"/>
          <w:i/>
          <w:iCs/>
        </w:rPr>
        <w:t>Journal of Personality and Social Psychology, 67</w:t>
      </w:r>
      <w:r w:rsidRPr="00457B34">
        <w:rPr>
          <w:rFonts w:cs="Times New Roman"/>
        </w:rPr>
        <w:t>(2), 319–333. </w:t>
      </w:r>
      <w:hyperlink r:id="rId26" w:tgtFrame="_blank" w:history="1">
        <w:r w:rsidRPr="00457B34">
          <w:rPr>
            <w:rStyle w:val="Hyperlink"/>
            <w:rFonts w:cs="Times New Roman"/>
            <w:color w:val="auto"/>
            <w:u w:val="none"/>
          </w:rPr>
          <w:t>https://doi.org/10.1037/0022-3514.67.2.319</w:t>
        </w:r>
      </w:hyperlink>
      <w:r w:rsidR="00001658">
        <w:t xml:space="preserve"> </w:t>
      </w:r>
    </w:p>
    <w:p w14:paraId="1E79FB46" w14:textId="553F0BE5" w:rsidR="00BF68A8" w:rsidRDefault="00BF68A8" w:rsidP="002C629C">
      <w:pPr>
        <w:widowControl w:val="0"/>
        <w:ind w:left="360" w:hangingChars="150" w:hanging="360"/>
        <w:contextualSpacing/>
      </w:pPr>
      <w:r w:rsidRPr="00BF68A8">
        <w:t xml:space="preserve">Chen, H. B., Yeh, S. S., &amp; Huan, T. C. (2014). Nostalgic emotion, experiential value, brand image, and consumption intentions of customers of nostalgic-themed restaurants. </w:t>
      </w:r>
      <w:r w:rsidRPr="00BF68A8">
        <w:rPr>
          <w:i/>
          <w:iCs/>
        </w:rPr>
        <w:t>Journal of Business Research, 67</w:t>
      </w:r>
      <w:r w:rsidRPr="00BF68A8">
        <w:t>(3), 354-360.</w:t>
      </w:r>
    </w:p>
    <w:p w14:paraId="7C3DCCBF" w14:textId="77777777" w:rsidR="00001658" w:rsidRDefault="00001658" w:rsidP="002C629C">
      <w:pPr>
        <w:widowControl w:val="0"/>
        <w:ind w:left="360" w:hangingChars="150" w:hanging="360"/>
        <w:contextualSpacing/>
        <w:rPr>
          <w:bCs/>
          <w:szCs w:val="24"/>
        </w:rPr>
      </w:pPr>
      <w:r w:rsidRPr="005972F5">
        <w:rPr>
          <w:szCs w:val="24"/>
        </w:rPr>
        <w:t xml:space="preserve">Cheung, W. Y., Sedikides, C., &amp; Wildschut, T. (2016). </w:t>
      </w:r>
      <w:r w:rsidRPr="005972F5">
        <w:rPr>
          <w:bCs/>
          <w:szCs w:val="24"/>
        </w:rPr>
        <w:t xml:space="preserve">Induced nostalgia increases optimism (via social connectedness and self-esteem) among individuals high, but not low, in trait nostalgia. </w:t>
      </w:r>
      <w:r w:rsidRPr="005972F5">
        <w:rPr>
          <w:bCs/>
          <w:i/>
          <w:szCs w:val="24"/>
        </w:rPr>
        <w:t>Personality and Individual Differences, 90</w:t>
      </w:r>
      <w:r w:rsidRPr="005972F5">
        <w:rPr>
          <w:bCs/>
          <w:szCs w:val="24"/>
        </w:rPr>
        <w:t>, 283</w:t>
      </w:r>
      <w:r w:rsidRPr="005972F5">
        <w:rPr>
          <w:color w:val="333333"/>
          <w:szCs w:val="24"/>
          <w:shd w:val="clear" w:color="auto" w:fill="FFFFFF"/>
        </w:rPr>
        <w:t>–</w:t>
      </w:r>
      <w:r w:rsidRPr="005972F5">
        <w:rPr>
          <w:bCs/>
          <w:szCs w:val="24"/>
        </w:rPr>
        <w:t xml:space="preserve">288. </w:t>
      </w:r>
      <w:r w:rsidRPr="005972F5">
        <w:rPr>
          <w:bCs/>
          <w:szCs w:val="24"/>
        </w:rPr>
        <w:lastRenderedPageBreak/>
        <w:t>https://doi.org/10.1016/j.paid.2015.11.028</w:t>
      </w:r>
      <w:r>
        <w:rPr>
          <w:bCs/>
          <w:szCs w:val="24"/>
        </w:rPr>
        <w:t xml:space="preserve"> </w:t>
      </w:r>
    </w:p>
    <w:p w14:paraId="3847C6F1" w14:textId="740844A1" w:rsidR="00001658" w:rsidRPr="005972F5" w:rsidRDefault="00001658" w:rsidP="002C629C">
      <w:pPr>
        <w:widowControl w:val="0"/>
        <w:ind w:left="360" w:hangingChars="150" w:hanging="360"/>
        <w:contextualSpacing/>
        <w:rPr>
          <w:bCs/>
          <w:color w:val="000000"/>
          <w:szCs w:val="24"/>
          <w:lang w:val="de-DE"/>
        </w:rPr>
      </w:pPr>
      <w:r w:rsidRPr="005972F5">
        <w:rPr>
          <w:bCs/>
          <w:color w:val="000000"/>
          <w:szCs w:val="24"/>
        </w:rPr>
        <w:t xml:space="preserve">Cheung, W. Y., Wildschut, T., Sedikides, C., Hepper, E. G., Arndt, J., &amp; Vingerhoets, A. J. J. M. (2013). Back to the future: Nostalgia increases optimism. </w:t>
      </w:r>
      <w:r w:rsidRPr="005972F5">
        <w:rPr>
          <w:bCs/>
          <w:i/>
          <w:iCs/>
          <w:color w:val="000000"/>
          <w:szCs w:val="24"/>
        </w:rPr>
        <w:t>Personality and Social Psychology Bulletin, 39</w:t>
      </w:r>
      <w:r w:rsidRPr="005972F5">
        <w:rPr>
          <w:bCs/>
          <w:color w:val="000000"/>
          <w:szCs w:val="24"/>
        </w:rPr>
        <w:t>(11), 1484</w:t>
      </w:r>
      <w:r w:rsidRPr="005972F5">
        <w:rPr>
          <w:color w:val="333333"/>
          <w:szCs w:val="24"/>
          <w:shd w:val="clear" w:color="auto" w:fill="FFFFFF"/>
        </w:rPr>
        <w:t>–</w:t>
      </w:r>
      <w:r w:rsidRPr="005972F5">
        <w:rPr>
          <w:bCs/>
          <w:color w:val="000000"/>
          <w:szCs w:val="24"/>
        </w:rPr>
        <w:t xml:space="preserve">1496. </w:t>
      </w:r>
      <w:hyperlink r:id="rId27" w:history="1">
        <w:r w:rsidRPr="005972F5">
          <w:rPr>
            <w:rStyle w:val="Hyperlink"/>
            <w:bCs/>
            <w:color w:val="000000"/>
            <w:szCs w:val="24"/>
            <w:u w:val="none"/>
            <w:lang w:val="de-DE"/>
          </w:rPr>
          <w:t>https://doi.org/10.1177/0146167213499187</w:t>
        </w:r>
      </w:hyperlink>
    </w:p>
    <w:p w14:paraId="4B9B39EB" w14:textId="5F57D769" w:rsidR="002C629C" w:rsidRDefault="00A350E2" w:rsidP="002C629C">
      <w:pPr>
        <w:widowControl w:val="0"/>
        <w:ind w:left="360" w:hangingChars="150" w:hanging="360"/>
        <w:contextualSpacing/>
      </w:pPr>
      <w:r w:rsidRPr="00DF2847">
        <w:t>Collins English Dictionary. (2023). (14</w:t>
      </w:r>
      <w:r w:rsidRPr="00DF2847">
        <w:rPr>
          <w:vertAlign w:val="superscript"/>
        </w:rPr>
        <w:t>th</w:t>
      </w:r>
      <w:r w:rsidRPr="00DF2847">
        <w:t xml:space="preserve"> ed.). </w:t>
      </w:r>
      <w:r w:rsidR="00AC7A4D">
        <w:t>Collins</w:t>
      </w:r>
      <w:r w:rsidRPr="00DF2847">
        <w:t>.</w:t>
      </w:r>
    </w:p>
    <w:p w14:paraId="49E2D10F" w14:textId="2543E213" w:rsidR="002C629C" w:rsidRDefault="005A6160" w:rsidP="002C629C">
      <w:pPr>
        <w:widowControl w:val="0"/>
        <w:ind w:left="360" w:hangingChars="150" w:hanging="360"/>
        <w:contextualSpacing/>
      </w:pPr>
      <w:r>
        <w:rPr>
          <w:color w:val="0D0D0D"/>
          <w:szCs w:val="24"/>
          <w:bdr w:val="none" w:sz="0" w:space="0" w:color="auto" w:frame="1"/>
          <w:shd w:val="clear" w:color="auto" w:fill="FFFFFF"/>
        </w:rPr>
        <w:t xml:space="preserve">Dang, J., Sedikides, C., Wildschut, T., &amp; Liu, L. (2024). More than a barrier: Nostalgia inhibits, but also promotes, favorable responses to </w:t>
      </w:r>
      <w:r>
        <w:rPr>
          <w:color w:val="0D0D0D"/>
          <w:szCs w:val="24"/>
        </w:rPr>
        <w:t xml:space="preserve">innovative technology. </w:t>
      </w:r>
      <w:r>
        <w:rPr>
          <w:i/>
          <w:iCs/>
          <w:color w:val="0D0D0D"/>
          <w:szCs w:val="24"/>
        </w:rPr>
        <w:t>Journal of Personality and Social Psychology, 126</w:t>
      </w:r>
      <w:r>
        <w:rPr>
          <w:color w:val="0D0D0D"/>
          <w:szCs w:val="24"/>
        </w:rPr>
        <w:t>(6), 998</w:t>
      </w:r>
      <w:r w:rsidRPr="008B77B5">
        <w:rPr>
          <w:szCs w:val="24"/>
        </w:rPr>
        <w:t>–</w:t>
      </w:r>
      <w:r>
        <w:rPr>
          <w:color w:val="0D0D0D"/>
          <w:szCs w:val="24"/>
        </w:rPr>
        <w:t xml:space="preserve">1018. </w:t>
      </w:r>
      <w:r w:rsidR="002C629C" w:rsidRPr="002C629C">
        <w:rPr>
          <w:iCs/>
          <w:color w:val="0D0D0D"/>
          <w:szCs w:val="24"/>
          <w:shd w:val="clear" w:color="auto" w:fill="FFFFFF"/>
        </w:rPr>
        <w:t>https://</w:t>
      </w:r>
      <w:r w:rsidR="002C629C" w:rsidRPr="002C629C">
        <w:rPr>
          <w:color w:val="0D0D0D"/>
          <w:szCs w:val="24"/>
          <w:shd w:val="clear" w:color="auto" w:fill="FFFFFF"/>
        </w:rPr>
        <w:t>doi.org/10.1037/pspa0000368</w:t>
      </w:r>
    </w:p>
    <w:p w14:paraId="116F8F53" w14:textId="77777777" w:rsidR="00AD098A" w:rsidRDefault="005A6160" w:rsidP="00AD098A">
      <w:pPr>
        <w:widowControl w:val="0"/>
        <w:ind w:left="360" w:hangingChars="150" w:hanging="360"/>
        <w:contextualSpacing/>
        <w:rPr>
          <w:rFonts w:eastAsia="Calibri"/>
          <w:szCs w:val="24"/>
        </w:rPr>
      </w:pPr>
      <w:r w:rsidRPr="00C041C5">
        <w:rPr>
          <w:rFonts w:eastAsia="Calibri"/>
          <w:szCs w:val="24"/>
        </w:rPr>
        <w:t>Dang, J., Sedikides, C., Wildschut, T., &amp; Liu, L. (</w:t>
      </w:r>
      <w:r>
        <w:rPr>
          <w:rFonts w:eastAsia="Calibri"/>
          <w:szCs w:val="24"/>
        </w:rPr>
        <w:t>2025</w:t>
      </w:r>
      <w:r w:rsidRPr="00C041C5">
        <w:rPr>
          <w:rFonts w:eastAsia="Calibri"/>
          <w:szCs w:val="24"/>
        </w:rPr>
        <w:t xml:space="preserve">). </w:t>
      </w:r>
      <w:bookmarkStart w:id="107" w:name="_Hlk147421766"/>
      <w:r w:rsidRPr="00C041C5">
        <w:rPr>
          <w:rFonts w:eastAsia="Calibri"/>
          <w:szCs w:val="24"/>
        </w:rPr>
        <w:t>Nostalgia encourages exploration and fosters uncertainty in response to AI technology</w:t>
      </w:r>
      <w:r w:rsidRPr="00C041C5">
        <w:rPr>
          <w:rFonts w:eastAsia="Calibri"/>
          <w:iCs/>
          <w:szCs w:val="24"/>
        </w:rPr>
        <w:t xml:space="preserve">. </w:t>
      </w:r>
      <w:bookmarkEnd w:id="107"/>
      <w:r w:rsidRPr="005A6160">
        <w:rPr>
          <w:rFonts w:eastAsia="Calibri"/>
          <w:i/>
          <w:iCs/>
          <w:szCs w:val="24"/>
        </w:rPr>
        <w:fldChar w:fldCharType="begin"/>
      </w:r>
      <w:r w:rsidRPr="005A6160">
        <w:rPr>
          <w:rFonts w:eastAsia="Calibri"/>
          <w:i/>
          <w:iCs/>
          <w:szCs w:val="24"/>
        </w:rPr>
        <w:instrText>HYPERLINK "https://www.sciencedirect.com/journal/current-research-in-ecological-and-social-psychology"</w:instrText>
      </w:r>
      <w:r w:rsidRPr="005A6160">
        <w:rPr>
          <w:rFonts w:eastAsia="Calibri"/>
          <w:i/>
          <w:iCs/>
          <w:szCs w:val="24"/>
        </w:rPr>
      </w:r>
      <w:r w:rsidRPr="005A6160">
        <w:rPr>
          <w:rFonts w:eastAsia="Calibri"/>
          <w:i/>
          <w:iCs/>
          <w:szCs w:val="24"/>
        </w:rPr>
        <w:fldChar w:fldCharType="separate"/>
      </w:r>
      <w:r w:rsidRPr="005A6160">
        <w:rPr>
          <w:rStyle w:val="Hyperlink"/>
          <w:rFonts w:eastAsia="Calibri"/>
          <w:i/>
          <w:iCs/>
          <w:color w:val="auto"/>
          <w:szCs w:val="24"/>
          <w:u w:val="none"/>
        </w:rPr>
        <w:t>British</w:t>
      </w:r>
      <w:r w:rsidRPr="005A6160">
        <w:rPr>
          <w:rFonts w:eastAsia="Calibri"/>
          <w:szCs w:val="24"/>
          <w:lang w:val="de-DE"/>
        </w:rPr>
        <w:fldChar w:fldCharType="end"/>
      </w:r>
      <w:r w:rsidRPr="005A6160">
        <w:rPr>
          <w:rFonts w:eastAsia="Calibri"/>
          <w:i/>
          <w:iCs/>
          <w:szCs w:val="24"/>
        </w:rPr>
        <w:t xml:space="preserve"> J</w:t>
      </w:r>
      <w:r w:rsidRPr="00C041C5">
        <w:rPr>
          <w:rFonts w:eastAsia="Calibri"/>
          <w:i/>
          <w:iCs/>
          <w:szCs w:val="24"/>
        </w:rPr>
        <w:t>ournal of Social Psychology</w:t>
      </w:r>
      <w:r>
        <w:rPr>
          <w:rFonts w:eastAsia="Calibri"/>
          <w:i/>
          <w:iCs/>
          <w:szCs w:val="24"/>
        </w:rPr>
        <w:t>, 64</w:t>
      </w:r>
      <w:r>
        <w:rPr>
          <w:rFonts w:eastAsia="Calibri"/>
          <w:szCs w:val="24"/>
        </w:rPr>
        <w:t xml:space="preserve">, Article </w:t>
      </w:r>
      <w:r w:rsidRPr="00482FA0">
        <w:rPr>
          <w:rFonts w:eastAsia="Calibri"/>
          <w:szCs w:val="24"/>
        </w:rPr>
        <w:t>e12843. https://doi.org/10.1111/bjso.12843</w:t>
      </w:r>
      <w:r w:rsidR="00AD098A">
        <w:rPr>
          <w:rFonts w:eastAsia="Calibri"/>
          <w:szCs w:val="24"/>
        </w:rPr>
        <w:t xml:space="preserve"> </w:t>
      </w:r>
    </w:p>
    <w:p w14:paraId="1E51CC09" w14:textId="7FDA1401" w:rsidR="00AD098A" w:rsidRPr="002C629C" w:rsidRDefault="00AD098A" w:rsidP="002C629C">
      <w:pPr>
        <w:widowControl w:val="0"/>
        <w:ind w:left="360" w:hangingChars="150" w:hanging="360"/>
        <w:contextualSpacing/>
      </w:pPr>
      <w:r w:rsidRPr="004567B2">
        <w:rPr>
          <w:rFonts w:cs="Times New Roman"/>
        </w:rPr>
        <w:t xml:space="preserve">Deci, E. L., &amp; Ryan, R. M. (1985). </w:t>
      </w:r>
      <w:r w:rsidRPr="004567B2">
        <w:rPr>
          <w:rFonts w:cs="Times New Roman"/>
          <w:i/>
          <w:iCs/>
        </w:rPr>
        <w:t>Intrinsic motivation and self-determination in human behavior</w:t>
      </w:r>
      <w:r w:rsidRPr="004567B2">
        <w:rPr>
          <w:rFonts w:cs="Times New Roman"/>
        </w:rPr>
        <w:t>. Plenum.</w:t>
      </w:r>
    </w:p>
    <w:p w14:paraId="3D1AA69F" w14:textId="77777777" w:rsidR="006D4370" w:rsidRDefault="006D4370" w:rsidP="002C629C">
      <w:pPr>
        <w:widowControl w:val="0"/>
        <w:ind w:left="360" w:hangingChars="150" w:hanging="360"/>
        <w:contextualSpacing/>
        <w:rPr>
          <w:rFonts w:cs="Times New Roman"/>
        </w:rPr>
      </w:pPr>
      <w:r w:rsidRPr="00802F45">
        <w:rPr>
          <w:rFonts w:cs="Times New Roman"/>
        </w:rPr>
        <w:t>de Freitas, C</w:t>
      </w:r>
      <w:r>
        <w:rPr>
          <w:rFonts w:cs="Times New Roman"/>
        </w:rPr>
        <w:t>.</w:t>
      </w:r>
      <w:r w:rsidRPr="00802F45">
        <w:rPr>
          <w:rFonts w:cs="Times New Roman"/>
        </w:rPr>
        <w:t xml:space="preserve"> P</w:t>
      </w:r>
      <w:r>
        <w:rPr>
          <w:rFonts w:cs="Times New Roman"/>
        </w:rPr>
        <w:t>.</w:t>
      </w:r>
      <w:r w:rsidRPr="00802F45">
        <w:rPr>
          <w:rFonts w:cs="Times New Roman"/>
        </w:rPr>
        <w:t xml:space="preserve"> P</w:t>
      </w:r>
      <w:r>
        <w:rPr>
          <w:rFonts w:cs="Times New Roman"/>
        </w:rPr>
        <w:t xml:space="preserve">., </w:t>
      </w:r>
      <w:r w:rsidRPr="00802F45">
        <w:rPr>
          <w:rFonts w:cs="Times New Roman"/>
        </w:rPr>
        <w:t>Damásio</w:t>
      </w:r>
      <w:r>
        <w:rPr>
          <w:rFonts w:cs="Times New Roman"/>
        </w:rPr>
        <w:t xml:space="preserve">, </w:t>
      </w:r>
      <w:r w:rsidRPr="00802F45">
        <w:rPr>
          <w:rFonts w:cs="Times New Roman"/>
        </w:rPr>
        <w:t>B</w:t>
      </w:r>
      <w:r>
        <w:rPr>
          <w:rFonts w:cs="Times New Roman"/>
        </w:rPr>
        <w:t>.</w:t>
      </w:r>
      <w:r w:rsidRPr="00802F45">
        <w:rPr>
          <w:rFonts w:cs="Times New Roman"/>
        </w:rPr>
        <w:t xml:space="preserve"> F</w:t>
      </w:r>
      <w:r>
        <w:rPr>
          <w:rFonts w:cs="Times New Roman"/>
        </w:rPr>
        <w:t>.</w:t>
      </w:r>
      <w:r w:rsidRPr="00802F45">
        <w:rPr>
          <w:rFonts w:cs="Times New Roman"/>
        </w:rPr>
        <w:t>,</w:t>
      </w:r>
      <w:r>
        <w:rPr>
          <w:rFonts w:cs="Times New Roman"/>
        </w:rPr>
        <w:t xml:space="preserve"> Tobo,</w:t>
      </w:r>
      <w:r w:rsidRPr="00802F45">
        <w:rPr>
          <w:rFonts w:cs="Times New Roman"/>
        </w:rPr>
        <w:t xml:space="preserve"> P</w:t>
      </w:r>
      <w:r>
        <w:rPr>
          <w:rFonts w:cs="Times New Roman"/>
        </w:rPr>
        <w:t>.</w:t>
      </w:r>
      <w:r w:rsidRPr="00802F45">
        <w:rPr>
          <w:rFonts w:cs="Times New Roman"/>
        </w:rPr>
        <w:t xml:space="preserve"> R</w:t>
      </w:r>
      <w:r>
        <w:rPr>
          <w:rFonts w:cs="Times New Roman"/>
        </w:rPr>
        <w:t>., Kamei,</w:t>
      </w:r>
      <w:r w:rsidRPr="00802F45">
        <w:rPr>
          <w:rFonts w:cs="Times New Roman"/>
        </w:rPr>
        <w:t xml:space="preserve"> H</w:t>
      </w:r>
      <w:r>
        <w:rPr>
          <w:rFonts w:cs="Times New Roman"/>
        </w:rPr>
        <w:t>.</w:t>
      </w:r>
      <w:r w:rsidRPr="00802F45">
        <w:rPr>
          <w:rFonts w:cs="Times New Roman"/>
        </w:rPr>
        <w:t xml:space="preserve"> H</w:t>
      </w:r>
      <w:r>
        <w:rPr>
          <w:rFonts w:cs="Times New Roman"/>
        </w:rPr>
        <w:t>., &amp; Koller, S.</w:t>
      </w:r>
      <w:r w:rsidRPr="00802F45">
        <w:rPr>
          <w:rFonts w:cs="Times New Roman"/>
        </w:rPr>
        <w:t xml:space="preserve"> H</w:t>
      </w:r>
      <w:r>
        <w:rPr>
          <w:rFonts w:cs="Times New Roman"/>
        </w:rPr>
        <w:t>. (2016).</w:t>
      </w:r>
      <w:r w:rsidRPr="00087784">
        <w:rPr>
          <w:rFonts w:cs="Times New Roman"/>
        </w:rPr>
        <w:t xml:space="preserve"> </w:t>
      </w:r>
      <w:r w:rsidRPr="00802F45">
        <w:rPr>
          <w:rFonts w:cs="Times New Roman"/>
        </w:rPr>
        <w:t xml:space="preserve">Systematic </w:t>
      </w:r>
      <w:r>
        <w:rPr>
          <w:rFonts w:cs="Times New Roman"/>
        </w:rPr>
        <w:t>r</w:t>
      </w:r>
      <w:r w:rsidRPr="00802F45">
        <w:rPr>
          <w:rFonts w:cs="Times New Roman"/>
        </w:rPr>
        <w:t xml:space="preserve">eview about </w:t>
      </w:r>
      <w:r>
        <w:rPr>
          <w:rFonts w:cs="Times New Roman"/>
        </w:rPr>
        <w:t>p</w:t>
      </w:r>
      <w:r w:rsidRPr="00802F45">
        <w:rPr>
          <w:rFonts w:cs="Times New Roman"/>
        </w:rPr>
        <w:t xml:space="preserve">ersonal </w:t>
      </w:r>
      <w:r>
        <w:rPr>
          <w:rFonts w:cs="Times New Roman"/>
        </w:rPr>
        <w:t>g</w:t>
      </w:r>
      <w:r w:rsidRPr="00802F45">
        <w:rPr>
          <w:rFonts w:cs="Times New Roman"/>
        </w:rPr>
        <w:t xml:space="preserve">rowth </w:t>
      </w:r>
      <w:r>
        <w:rPr>
          <w:rFonts w:cs="Times New Roman"/>
        </w:rPr>
        <w:t>i</w:t>
      </w:r>
      <w:r w:rsidRPr="00802F45">
        <w:rPr>
          <w:rFonts w:cs="Times New Roman"/>
        </w:rPr>
        <w:t>nitiative</w:t>
      </w:r>
      <w:r>
        <w:rPr>
          <w:rFonts w:cs="Times New Roman"/>
        </w:rPr>
        <w:t>.</w:t>
      </w:r>
      <w:r w:rsidRPr="00087784">
        <w:rPr>
          <w:rFonts w:cs="Times New Roman"/>
        </w:rPr>
        <w:t xml:space="preserve"> </w:t>
      </w:r>
      <w:r w:rsidRPr="00087784">
        <w:rPr>
          <w:rFonts w:cs="Times New Roman"/>
          <w:i/>
          <w:iCs/>
        </w:rPr>
        <w:t>Anales de Psicología, 32</w:t>
      </w:r>
      <w:r>
        <w:rPr>
          <w:rFonts w:cs="Times New Roman"/>
        </w:rPr>
        <w:t>(</w:t>
      </w:r>
      <w:r w:rsidRPr="00802F45">
        <w:rPr>
          <w:rFonts w:cs="Times New Roman"/>
        </w:rPr>
        <w:t>3), 770</w:t>
      </w:r>
      <w:r w:rsidRPr="00C86E15">
        <w:rPr>
          <w:rFonts w:cs="Times New Roman"/>
        </w:rPr>
        <w:t>–</w:t>
      </w:r>
      <w:r w:rsidRPr="00802F45">
        <w:rPr>
          <w:rFonts w:cs="Times New Roman"/>
        </w:rPr>
        <w:t>782</w:t>
      </w:r>
      <w:r>
        <w:rPr>
          <w:rFonts w:cs="Times New Roman"/>
        </w:rPr>
        <w:t xml:space="preserve">. </w:t>
      </w:r>
      <w:hyperlink r:id="rId28" w:history="1">
        <w:r w:rsidRPr="00087784">
          <w:rPr>
            <w:rStyle w:val="Hyperlink"/>
            <w:rFonts w:cs="Times New Roman"/>
            <w:color w:val="auto"/>
            <w:u w:val="none"/>
          </w:rPr>
          <w:t>http://dx.doi.org/10.6018/analesps.32.3.219101</w:t>
        </w:r>
      </w:hyperlink>
      <w:r w:rsidRPr="00087784">
        <w:rPr>
          <w:rFonts w:cs="Times New Roman"/>
        </w:rPr>
        <w:t xml:space="preserve"> </w:t>
      </w:r>
    </w:p>
    <w:p w14:paraId="39CDE39C" w14:textId="77777777" w:rsidR="00F56312" w:rsidRDefault="00457B34" w:rsidP="002C629C">
      <w:pPr>
        <w:widowControl w:val="0"/>
        <w:ind w:left="360" w:hangingChars="150" w:hanging="360"/>
        <w:contextualSpacing/>
        <w:rPr>
          <w:rFonts w:cs="Times New Roman"/>
        </w:rPr>
      </w:pPr>
      <w:r w:rsidRPr="00457B34">
        <w:rPr>
          <w:rFonts w:cs="Times New Roman"/>
        </w:rPr>
        <w:t>Elliot, A. J. (2006). The hierarchical model of approach-avoidance motivation. </w:t>
      </w:r>
      <w:r w:rsidRPr="00457B34">
        <w:rPr>
          <w:rFonts w:cs="Times New Roman"/>
          <w:i/>
          <w:iCs/>
        </w:rPr>
        <w:t>Motivation and Emotion, 30</w:t>
      </w:r>
      <w:r w:rsidRPr="00457B34">
        <w:rPr>
          <w:rFonts w:cs="Times New Roman"/>
        </w:rPr>
        <w:t>(2), 111–116. </w:t>
      </w:r>
      <w:hyperlink r:id="rId29" w:tgtFrame="_blank" w:history="1">
        <w:r w:rsidRPr="00457B34">
          <w:rPr>
            <w:rStyle w:val="Hyperlink"/>
            <w:rFonts w:cs="Times New Roman"/>
            <w:color w:val="auto"/>
            <w:u w:val="none"/>
          </w:rPr>
          <w:t>https://doi.org/10.1007/s11031-006-9028-7</w:t>
        </w:r>
      </w:hyperlink>
      <w:r>
        <w:rPr>
          <w:rFonts w:cs="Times New Roman"/>
        </w:rPr>
        <w:t xml:space="preserve"> </w:t>
      </w:r>
    </w:p>
    <w:p w14:paraId="752A2677" w14:textId="46725CDB" w:rsidR="00F56312" w:rsidRDefault="00F56312" w:rsidP="002C629C">
      <w:pPr>
        <w:widowControl w:val="0"/>
        <w:ind w:left="360" w:hangingChars="150" w:hanging="360"/>
        <w:contextualSpacing/>
        <w:rPr>
          <w:rFonts w:cs="Times New Roman"/>
        </w:rPr>
      </w:pPr>
      <w:r w:rsidRPr="00434189">
        <w:rPr>
          <w:rFonts w:cs="Times New Roman"/>
          <w:szCs w:val="24"/>
        </w:rPr>
        <w:t>Gray</w:t>
      </w:r>
      <w:r>
        <w:rPr>
          <w:rFonts w:cs="Times New Roman"/>
          <w:szCs w:val="24"/>
        </w:rPr>
        <w:t xml:space="preserve">, J. A., </w:t>
      </w:r>
      <w:r w:rsidRPr="00434189">
        <w:rPr>
          <w:rFonts w:cs="Times New Roman"/>
          <w:szCs w:val="24"/>
        </w:rPr>
        <w:t>&amp;</w:t>
      </w:r>
      <w:r>
        <w:rPr>
          <w:rFonts w:cs="Times New Roman"/>
          <w:szCs w:val="24"/>
        </w:rPr>
        <w:t xml:space="preserve"> </w:t>
      </w:r>
      <w:r w:rsidRPr="00434189">
        <w:rPr>
          <w:rFonts w:cs="Times New Roman"/>
          <w:szCs w:val="24"/>
        </w:rPr>
        <w:t>McNaughton,</w:t>
      </w:r>
      <w:r>
        <w:rPr>
          <w:rFonts w:cs="Times New Roman"/>
          <w:szCs w:val="24"/>
        </w:rPr>
        <w:t xml:space="preserve"> N. (</w:t>
      </w:r>
      <w:r w:rsidRPr="00434189">
        <w:rPr>
          <w:rFonts w:cs="Times New Roman"/>
          <w:szCs w:val="24"/>
        </w:rPr>
        <w:t>2000</w:t>
      </w:r>
      <w:r>
        <w:rPr>
          <w:rFonts w:cs="Times New Roman"/>
          <w:szCs w:val="24"/>
        </w:rPr>
        <w:t xml:space="preserve">). </w:t>
      </w:r>
      <w:r w:rsidRPr="00F56312">
        <w:rPr>
          <w:rFonts w:cs="Times New Roman"/>
          <w:i/>
          <w:iCs/>
          <w:szCs w:val="24"/>
        </w:rPr>
        <w:t xml:space="preserve">The neuropsychology of anxiety: An enquiry into the functions of </w:t>
      </w:r>
      <w:r w:rsidR="006B2926">
        <w:rPr>
          <w:rFonts w:cs="Times New Roman"/>
          <w:i/>
          <w:iCs/>
          <w:szCs w:val="24"/>
        </w:rPr>
        <w:t>t</w:t>
      </w:r>
      <w:r w:rsidRPr="00F56312">
        <w:rPr>
          <w:rFonts w:cs="Times New Roman"/>
          <w:i/>
          <w:iCs/>
          <w:szCs w:val="24"/>
        </w:rPr>
        <w:t>he septo-hippocampal system</w:t>
      </w:r>
      <w:r>
        <w:rPr>
          <w:rFonts w:cs="Times New Roman"/>
          <w:szCs w:val="24"/>
        </w:rPr>
        <w:t>. Oxford University Press.</w:t>
      </w:r>
    </w:p>
    <w:p w14:paraId="4DEDB389" w14:textId="06549022" w:rsidR="00457B34" w:rsidRDefault="00457B34" w:rsidP="002C629C">
      <w:pPr>
        <w:widowControl w:val="0"/>
        <w:ind w:left="360" w:hangingChars="150" w:hanging="360"/>
        <w:contextualSpacing/>
        <w:rPr>
          <w:rFonts w:cs="Times New Roman"/>
        </w:rPr>
      </w:pPr>
      <w:r w:rsidRPr="00457B34">
        <w:rPr>
          <w:rFonts w:cs="Times New Roman"/>
        </w:rPr>
        <w:t>Green, J. D., &amp; Campbell, W. K. (2000). Attachment and exploration in adults: Chronic and contextual accessibility. </w:t>
      </w:r>
      <w:r w:rsidRPr="00457B34">
        <w:rPr>
          <w:rFonts w:cs="Times New Roman"/>
          <w:i/>
          <w:iCs/>
        </w:rPr>
        <w:t>Personality and Social Psychology Bulletin, 26</w:t>
      </w:r>
      <w:r w:rsidRPr="00457B34">
        <w:rPr>
          <w:rFonts w:cs="Times New Roman"/>
        </w:rPr>
        <w:t>(4), 452–461.</w:t>
      </w:r>
    </w:p>
    <w:p w14:paraId="7F1DA94B" w14:textId="77A4FC4A" w:rsidR="00457B34" w:rsidRPr="0014277D" w:rsidRDefault="0014277D" w:rsidP="002C629C">
      <w:pPr>
        <w:widowControl w:val="0"/>
        <w:ind w:left="360" w:firstLine="0"/>
        <w:contextualSpacing/>
        <w:rPr>
          <w:rFonts w:cs="Times New Roman"/>
        </w:rPr>
      </w:pPr>
      <w:hyperlink r:id="rId30" w:history="1">
        <w:r w:rsidRPr="0014277D">
          <w:rPr>
            <w:rStyle w:val="Hyperlink"/>
            <w:rFonts w:cs="Times New Roman"/>
            <w:color w:val="auto"/>
            <w:u w:val="none"/>
          </w:rPr>
          <w:t>https://doi.org/10.1177/0146167200266004</w:t>
        </w:r>
      </w:hyperlink>
    </w:p>
    <w:p w14:paraId="4D960931" w14:textId="4276E38D" w:rsidR="006D4370" w:rsidRDefault="006D4370" w:rsidP="002C629C">
      <w:pPr>
        <w:widowControl w:val="0"/>
        <w:ind w:left="360" w:hangingChars="150" w:hanging="360"/>
        <w:contextualSpacing/>
        <w:rPr>
          <w:rFonts w:cs="Times New Roman"/>
          <w:bCs/>
          <w:color w:val="000000"/>
        </w:rPr>
      </w:pPr>
      <w:r w:rsidRPr="00815A95">
        <w:rPr>
          <w:rFonts w:cs="Times New Roman"/>
          <w:bCs/>
          <w:color w:val="000000"/>
          <w:lang w:val="en-GB"/>
        </w:rPr>
        <w:t>Hardin,</w:t>
      </w:r>
      <w:r>
        <w:rPr>
          <w:rFonts w:cs="Times New Roman"/>
          <w:bCs/>
          <w:color w:val="000000"/>
        </w:rPr>
        <w:t xml:space="preserve"> E. E.,</w:t>
      </w:r>
      <w:r w:rsidRPr="00815A95">
        <w:rPr>
          <w:rFonts w:cs="Times New Roman"/>
          <w:bCs/>
          <w:color w:val="000000"/>
          <w:lang w:val="en-GB"/>
        </w:rPr>
        <w:t xml:space="preserve"> Bayer,</w:t>
      </w:r>
      <w:r>
        <w:rPr>
          <w:rFonts w:cs="Times New Roman"/>
          <w:bCs/>
          <w:color w:val="000000"/>
        </w:rPr>
        <w:t xml:space="preserve"> I. K.,</w:t>
      </w:r>
      <w:r w:rsidRPr="00815A95">
        <w:rPr>
          <w:rFonts w:cs="Times New Roman"/>
          <w:bCs/>
          <w:color w:val="000000"/>
          <w:lang w:val="en-GB"/>
        </w:rPr>
        <w:t xml:space="preserve"> Nixon, </w:t>
      </w:r>
      <w:r>
        <w:rPr>
          <w:rFonts w:cs="Times New Roman"/>
          <w:bCs/>
          <w:color w:val="000000"/>
        </w:rPr>
        <w:t xml:space="preserve">A. E., &amp; </w:t>
      </w:r>
      <w:r w:rsidRPr="00815A95">
        <w:rPr>
          <w:rFonts w:cs="Times New Roman"/>
          <w:bCs/>
          <w:color w:val="000000"/>
          <w:lang w:val="en-GB"/>
        </w:rPr>
        <w:t>Robitschek</w:t>
      </w:r>
      <w:r>
        <w:rPr>
          <w:rFonts w:cs="Times New Roman"/>
          <w:bCs/>
          <w:color w:val="000000"/>
        </w:rPr>
        <w:t>, C. (2003).</w:t>
      </w:r>
      <w:r w:rsidRPr="00683E33">
        <w:rPr>
          <w:rFonts w:cs="Times New Roman"/>
          <w:bCs/>
          <w:color w:val="000000"/>
        </w:rPr>
        <w:t xml:space="preserve"> </w:t>
      </w:r>
      <w:r w:rsidRPr="00F102A4">
        <w:rPr>
          <w:rFonts w:cs="Times New Roman"/>
          <w:bCs/>
          <w:i/>
          <w:iCs/>
          <w:color w:val="000000"/>
          <w:lang w:val="en-GB"/>
        </w:rPr>
        <w:t xml:space="preserve">Self-discrepancy and </w:t>
      </w:r>
      <w:r w:rsidRPr="00F102A4">
        <w:rPr>
          <w:rFonts w:cs="Times New Roman"/>
          <w:bCs/>
          <w:i/>
          <w:iCs/>
          <w:color w:val="000000"/>
        </w:rPr>
        <w:t>d</w:t>
      </w:r>
      <w:r w:rsidRPr="00F102A4">
        <w:rPr>
          <w:rFonts w:cs="Times New Roman"/>
          <w:bCs/>
          <w:i/>
          <w:iCs/>
          <w:color w:val="000000"/>
          <w:lang w:val="en-GB"/>
        </w:rPr>
        <w:t xml:space="preserve">istress: The </w:t>
      </w:r>
      <w:r w:rsidRPr="00F102A4">
        <w:rPr>
          <w:rFonts w:cs="Times New Roman"/>
          <w:bCs/>
          <w:i/>
          <w:iCs/>
          <w:color w:val="000000"/>
        </w:rPr>
        <w:t>r</w:t>
      </w:r>
      <w:r w:rsidRPr="00F102A4">
        <w:rPr>
          <w:rFonts w:cs="Times New Roman"/>
          <w:bCs/>
          <w:i/>
          <w:iCs/>
          <w:color w:val="000000"/>
          <w:lang w:val="en-GB"/>
        </w:rPr>
        <w:t xml:space="preserve">ole of </w:t>
      </w:r>
      <w:r w:rsidRPr="00F102A4">
        <w:rPr>
          <w:rFonts w:cs="Times New Roman"/>
          <w:bCs/>
          <w:i/>
          <w:iCs/>
          <w:color w:val="000000"/>
        </w:rPr>
        <w:t>p</w:t>
      </w:r>
      <w:r w:rsidRPr="00F102A4">
        <w:rPr>
          <w:rFonts w:cs="Times New Roman"/>
          <w:bCs/>
          <w:i/>
          <w:iCs/>
          <w:color w:val="000000"/>
          <w:lang w:val="en-GB"/>
        </w:rPr>
        <w:t xml:space="preserve">ersonal </w:t>
      </w:r>
      <w:r w:rsidRPr="00F102A4">
        <w:rPr>
          <w:rFonts w:cs="Times New Roman"/>
          <w:bCs/>
          <w:i/>
          <w:iCs/>
          <w:color w:val="000000"/>
        </w:rPr>
        <w:t>g</w:t>
      </w:r>
      <w:r w:rsidRPr="00F102A4">
        <w:rPr>
          <w:rFonts w:cs="Times New Roman"/>
          <w:bCs/>
          <w:i/>
          <w:iCs/>
          <w:color w:val="000000"/>
          <w:lang w:val="en-GB"/>
        </w:rPr>
        <w:t xml:space="preserve">rowth </w:t>
      </w:r>
      <w:r w:rsidRPr="00F102A4">
        <w:rPr>
          <w:rFonts w:cs="Times New Roman"/>
          <w:bCs/>
          <w:i/>
          <w:iCs/>
          <w:color w:val="000000"/>
        </w:rPr>
        <w:t>i</w:t>
      </w:r>
      <w:r w:rsidRPr="00F102A4">
        <w:rPr>
          <w:rFonts w:cs="Times New Roman"/>
          <w:bCs/>
          <w:i/>
          <w:iCs/>
          <w:color w:val="000000"/>
          <w:lang w:val="en-GB"/>
        </w:rPr>
        <w:t>nitiative</w:t>
      </w:r>
      <w:r>
        <w:rPr>
          <w:rFonts w:cs="Times New Roman"/>
          <w:bCs/>
          <w:color w:val="000000"/>
        </w:rPr>
        <w:t xml:space="preserve">. </w:t>
      </w:r>
      <w:r w:rsidRPr="00D67E6B">
        <w:rPr>
          <w:rFonts w:cs="Times New Roman"/>
          <w:bCs/>
          <w:color w:val="000000"/>
        </w:rPr>
        <w:t>Poster presented at the 111th Annual Convention of the American Psychological Association, August 27, 2003, Toronto, Ontario.</w:t>
      </w:r>
    </w:p>
    <w:p w14:paraId="2E8C7F92" w14:textId="77777777" w:rsidR="00FB5BAE" w:rsidRDefault="0014277D" w:rsidP="002C629C">
      <w:pPr>
        <w:widowControl w:val="0"/>
        <w:ind w:left="360" w:hangingChars="150" w:hanging="360"/>
        <w:contextualSpacing/>
      </w:pPr>
      <w:r w:rsidRPr="0014277D">
        <w:t xml:space="preserve">Harmon-Jones, E., Harmon-Jones, C., &amp; Price, T. F. (2013). What is approach </w:t>
      </w:r>
      <w:r w:rsidRPr="0014277D">
        <w:lastRenderedPageBreak/>
        <w:t>motivation? </w:t>
      </w:r>
      <w:r w:rsidRPr="0014277D">
        <w:rPr>
          <w:i/>
          <w:iCs/>
        </w:rPr>
        <w:t>Emotion Review, 5</w:t>
      </w:r>
      <w:r w:rsidRPr="0014277D">
        <w:t>(3), 291–295. </w:t>
      </w:r>
      <w:hyperlink r:id="rId31" w:tgtFrame="_blank" w:history="1">
        <w:r w:rsidRPr="0014277D">
          <w:rPr>
            <w:rStyle w:val="Hyperlink"/>
            <w:color w:val="auto"/>
            <w:u w:val="none"/>
          </w:rPr>
          <w:t>https://doi.org/10.1177/1754073913477509</w:t>
        </w:r>
      </w:hyperlink>
      <w:r w:rsidR="00FB5BAE">
        <w:t xml:space="preserve"> </w:t>
      </w:r>
    </w:p>
    <w:p w14:paraId="53F17071" w14:textId="5F06D2B6" w:rsidR="00FB5BAE" w:rsidRDefault="00FB5BAE" w:rsidP="002C629C">
      <w:pPr>
        <w:widowControl w:val="0"/>
        <w:ind w:left="360" w:hangingChars="150" w:hanging="360"/>
        <w:contextualSpacing/>
        <w:rPr>
          <w:rFonts w:cs="Times New Roman"/>
          <w:szCs w:val="24"/>
        </w:rPr>
      </w:pPr>
      <w:r w:rsidRPr="002B05A2">
        <w:rPr>
          <w:color w:val="000000"/>
          <w:szCs w:val="24"/>
          <w:bdr w:val="none" w:sz="0" w:space="0" w:color="auto" w:frame="1"/>
          <w:shd w:val="clear" w:color="auto" w:fill="FFFFFF"/>
        </w:rPr>
        <w:t>Hepper, E. G., &amp; Dennis, A. (2023). From rosy past to happy and flourishing present: Nostalgia as a resource for hedonic and eudaimonic wellbeing. </w:t>
      </w:r>
      <w:r w:rsidRPr="002B05A2">
        <w:rPr>
          <w:rFonts w:eastAsia="Times New Roman"/>
          <w:i/>
          <w:iCs/>
          <w:color w:val="000000"/>
          <w:szCs w:val="24"/>
          <w:bdr w:val="none" w:sz="0" w:space="0" w:color="auto" w:frame="1"/>
          <w:shd w:val="clear" w:color="auto" w:fill="FFFFFF"/>
        </w:rPr>
        <w:t>Current Opinion in Psychology, 49,</w:t>
      </w:r>
      <w:r w:rsidRPr="002B05A2">
        <w:rPr>
          <w:color w:val="000000"/>
          <w:szCs w:val="24"/>
          <w:bdr w:val="none" w:sz="0" w:space="0" w:color="auto" w:frame="1"/>
          <w:shd w:val="clear" w:color="auto" w:fill="FFFFFF"/>
        </w:rPr>
        <w:t> Article 101547. </w:t>
      </w:r>
      <w:hyperlink r:id="rId32" w:tgtFrame="_blank" w:history="1">
        <w:r w:rsidRPr="00FB5BAE">
          <w:rPr>
            <w:rStyle w:val="Hyperlink"/>
            <w:rFonts w:eastAsia="Times New Roman"/>
            <w:color w:val="000000" w:themeColor="text1"/>
            <w:szCs w:val="24"/>
            <w:u w:val="none"/>
            <w:bdr w:val="none" w:sz="0" w:space="0" w:color="auto" w:frame="1"/>
            <w:shd w:val="clear" w:color="auto" w:fill="FFFFFF"/>
          </w:rPr>
          <w:t>https://doi.org/10.1016/j.copsyc.2022.101547</w:t>
        </w:r>
      </w:hyperlink>
    </w:p>
    <w:p w14:paraId="3AD41C30" w14:textId="2A5D2F6F" w:rsidR="00A44438" w:rsidRPr="00A44438" w:rsidRDefault="00A44438" w:rsidP="002C629C">
      <w:pPr>
        <w:widowControl w:val="0"/>
        <w:ind w:left="360" w:hangingChars="150" w:hanging="360"/>
        <w:contextualSpacing/>
        <w:rPr>
          <w:rStyle w:val="Hyperlink"/>
          <w:rFonts w:cs="Times New Roman"/>
          <w:color w:val="000000" w:themeColor="text1"/>
          <w:szCs w:val="24"/>
          <w:u w:val="none"/>
          <w:bdr w:val="none" w:sz="0" w:space="0" w:color="auto" w:frame="1"/>
          <w:shd w:val="clear" w:color="auto" w:fill="FFFFFF"/>
        </w:rPr>
      </w:pPr>
      <w:r w:rsidRPr="00A921C4">
        <w:rPr>
          <w:rFonts w:cs="Times New Roman"/>
          <w:szCs w:val="24"/>
        </w:rPr>
        <w:t xml:space="preserve">Hepper, E. G., Ritchie, T. D., Sedikides, C., &amp; Wildschut, T. (2012). Odyssey’s end: Lay conceptions of nostalgia reflect its original Homeric meaning. </w:t>
      </w:r>
      <w:r w:rsidRPr="00A921C4">
        <w:rPr>
          <w:rFonts w:cs="Times New Roman"/>
          <w:i/>
          <w:szCs w:val="24"/>
        </w:rPr>
        <w:t>Emotion</w:t>
      </w:r>
      <w:r w:rsidRPr="00A921C4">
        <w:rPr>
          <w:rFonts w:cs="Times New Roman"/>
          <w:szCs w:val="24"/>
        </w:rPr>
        <w:t xml:space="preserve">, </w:t>
      </w:r>
      <w:r w:rsidRPr="00A921C4">
        <w:rPr>
          <w:rFonts w:cs="Times New Roman"/>
          <w:i/>
          <w:szCs w:val="24"/>
        </w:rPr>
        <w:t>12</w:t>
      </w:r>
      <w:r w:rsidRPr="00A921C4">
        <w:rPr>
          <w:rFonts w:cs="Times New Roman"/>
          <w:iCs/>
          <w:szCs w:val="24"/>
        </w:rPr>
        <w:t>(1)</w:t>
      </w:r>
      <w:r w:rsidRPr="00A921C4">
        <w:rPr>
          <w:rFonts w:cs="Times New Roman"/>
          <w:szCs w:val="24"/>
        </w:rPr>
        <w:t>, 102</w:t>
      </w:r>
      <w:r w:rsidRPr="00A921C4">
        <w:rPr>
          <w:rFonts w:cs="Times New Roman"/>
          <w:szCs w:val="24"/>
          <w:bdr w:val="none" w:sz="0" w:space="0" w:color="auto" w:frame="1"/>
          <w:shd w:val="clear" w:color="auto" w:fill="FFFFFF"/>
        </w:rPr>
        <w:t>–</w:t>
      </w:r>
      <w:r w:rsidRPr="00A921C4">
        <w:rPr>
          <w:rFonts w:cs="Times New Roman"/>
          <w:szCs w:val="24"/>
        </w:rPr>
        <w:t xml:space="preserve">119. </w:t>
      </w:r>
      <w:hyperlink r:id="rId33" w:history="1">
        <w:r w:rsidRPr="00A44438">
          <w:rPr>
            <w:rStyle w:val="Hyperlink"/>
            <w:rFonts w:cs="Times New Roman"/>
            <w:color w:val="000000" w:themeColor="text1"/>
            <w:szCs w:val="24"/>
            <w:u w:val="none"/>
            <w:bdr w:val="none" w:sz="0" w:space="0" w:color="auto" w:frame="1"/>
            <w:shd w:val="clear" w:color="auto" w:fill="FFFFFF"/>
          </w:rPr>
          <w:t>https://doi.org/10.1037/a0025167</w:t>
        </w:r>
      </w:hyperlink>
      <w:r w:rsidRPr="00A44438">
        <w:rPr>
          <w:rStyle w:val="Hyperlink"/>
          <w:rFonts w:cs="Times New Roman"/>
          <w:color w:val="000000" w:themeColor="text1"/>
          <w:szCs w:val="24"/>
          <w:u w:val="none"/>
          <w:bdr w:val="none" w:sz="0" w:space="0" w:color="auto" w:frame="1"/>
          <w:shd w:val="clear" w:color="auto" w:fill="FFFFFF"/>
        </w:rPr>
        <w:t xml:space="preserve"> </w:t>
      </w:r>
    </w:p>
    <w:p w14:paraId="764A4091" w14:textId="77777777" w:rsidR="00A44438" w:rsidRPr="00A921C4" w:rsidRDefault="00A44438" w:rsidP="002C629C">
      <w:pPr>
        <w:widowControl w:val="0"/>
        <w:ind w:left="360" w:hangingChars="150" w:hanging="360"/>
        <w:contextualSpacing/>
        <w:rPr>
          <w:rFonts w:cs="Times New Roman"/>
          <w:szCs w:val="24"/>
          <w:shd w:val="clear" w:color="auto" w:fill="FFFFFF"/>
        </w:rPr>
      </w:pPr>
      <w:r w:rsidRPr="00A921C4">
        <w:rPr>
          <w:rFonts w:cs="Times New Roman"/>
          <w:szCs w:val="24"/>
          <w:shd w:val="clear" w:color="auto" w:fill="FFFFFF"/>
        </w:rPr>
        <w:t>Hepper, E. G., Sedikides, C., Wildschut, T., Cheung, W. Y., Abakoumkin, G., Arikan, G., Aveyard, M., Baldursson, E. B., Bialobrzeska, O., Bouamama, S., Bouzaouech, I., Brambilla, M., Burger, A. M., Chen, S. X., Cisek, S., Demassosso, D., Estevan-Reina, L., González Gutiérrez, R., Gu, L., . . . Zengel, B. (2024). Pancultural nostalgia in action: Prevalence, triggers, and psychological functions of nostalgia across cultures. </w:t>
      </w:r>
      <w:r w:rsidRPr="00A921C4">
        <w:rPr>
          <w:rStyle w:val="Emphasis"/>
          <w:rFonts w:cs="Times New Roman"/>
          <w:szCs w:val="24"/>
          <w:shd w:val="clear" w:color="auto" w:fill="FFFFFF"/>
        </w:rPr>
        <w:t>Journal of Experimental Psychology: General, 153</w:t>
      </w:r>
      <w:r w:rsidRPr="00A921C4">
        <w:rPr>
          <w:rFonts w:cs="Times New Roman"/>
          <w:szCs w:val="24"/>
          <w:shd w:val="clear" w:color="auto" w:fill="FFFFFF"/>
        </w:rPr>
        <w:t xml:space="preserve">(3), 754–777. </w:t>
      </w:r>
      <w:r w:rsidRPr="00A921C4">
        <w:rPr>
          <w:rFonts w:cs="Times New Roman"/>
          <w:iCs/>
          <w:szCs w:val="24"/>
          <w:shd w:val="clear" w:color="auto" w:fill="FFFFFF"/>
        </w:rPr>
        <w:t>https://</w:t>
      </w:r>
      <w:r w:rsidRPr="00A921C4">
        <w:rPr>
          <w:rFonts w:cs="Times New Roman"/>
          <w:szCs w:val="24"/>
          <w:shd w:val="clear" w:color="auto" w:fill="FFFFFF"/>
        </w:rPr>
        <w:t xml:space="preserve">doi.org/10.1037/xge0001521 </w:t>
      </w:r>
    </w:p>
    <w:p w14:paraId="45784186" w14:textId="375A8115" w:rsidR="002C629C" w:rsidRDefault="00A44438" w:rsidP="002C629C">
      <w:pPr>
        <w:widowControl w:val="0"/>
        <w:ind w:left="360" w:hangingChars="150" w:hanging="360"/>
        <w:contextualSpacing/>
        <w:rPr>
          <w:rFonts w:cs="Times New Roman"/>
          <w:szCs w:val="24"/>
        </w:rPr>
      </w:pPr>
      <w:r w:rsidRPr="00A921C4">
        <w:rPr>
          <w:rFonts w:cs="Times New Roman"/>
          <w:szCs w:val="24"/>
        </w:rPr>
        <w:t xml:space="preserve">Hepper, E. G., Wildschut, T., Sedikides, C., Ritchie, T. D., Yung, Y.-F., Hansen, N., Abakoumkin, G., Arikan, G., Cisek, S. Z., Demassosso, D. B., Gebauer, J. E., Gerber, J. P., González, R., Kusumi, T., Misra, G., Rusu, M., Ryan, O., Stephan, E., Vingerhoets, </w:t>
      </w:r>
      <w:r w:rsidRPr="00A921C4">
        <w:rPr>
          <w:rFonts w:cs="Times New Roman"/>
          <w:bCs/>
          <w:szCs w:val="24"/>
        </w:rPr>
        <w:t xml:space="preserve">A. J. J. M., </w:t>
      </w:r>
      <w:r w:rsidRPr="00A921C4">
        <w:rPr>
          <w:rFonts w:cs="Times New Roman"/>
          <w:szCs w:val="24"/>
        </w:rPr>
        <w:t xml:space="preserve">&amp; Zhou, X. (2014). Pancultural nostalgia: Prototypical conceptions across cultures. </w:t>
      </w:r>
      <w:r w:rsidRPr="00A921C4">
        <w:rPr>
          <w:rFonts w:cs="Times New Roman"/>
          <w:i/>
          <w:iCs/>
          <w:szCs w:val="24"/>
        </w:rPr>
        <w:t>Emotion, 14</w:t>
      </w:r>
      <w:r w:rsidRPr="00A921C4">
        <w:rPr>
          <w:rFonts w:cs="Times New Roman"/>
          <w:szCs w:val="24"/>
        </w:rPr>
        <w:t>(4)</w:t>
      </w:r>
      <w:r w:rsidRPr="00A921C4">
        <w:rPr>
          <w:rFonts w:cs="Times New Roman"/>
          <w:iCs/>
          <w:szCs w:val="24"/>
        </w:rPr>
        <w:t>, 733</w:t>
      </w:r>
      <w:r w:rsidRPr="00A921C4">
        <w:rPr>
          <w:rFonts w:cs="Times New Roman"/>
          <w:szCs w:val="24"/>
          <w:shd w:val="clear" w:color="auto" w:fill="FFFFFF"/>
        </w:rPr>
        <w:t>–</w:t>
      </w:r>
      <w:r w:rsidRPr="00A921C4">
        <w:rPr>
          <w:rFonts w:cs="Times New Roman"/>
          <w:iCs/>
          <w:szCs w:val="24"/>
        </w:rPr>
        <w:t>747</w:t>
      </w:r>
      <w:r w:rsidRPr="00A921C4">
        <w:rPr>
          <w:rFonts w:cs="Times New Roman"/>
          <w:szCs w:val="24"/>
        </w:rPr>
        <w:t xml:space="preserve">. </w:t>
      </w:r>
      <w:r w:rsidR="002C629C" w:rsidRPr="002C629C">
        <w:rPr>
          <w:rFonts w:cs="Times New Roman"/>
          <w:szCs w:val="24"/>
        </w:rPr>
        <w:t>https://doi.org/10.1037/a0036790</w:t>
      </w:r>
    </w:p>
    <w:p w14:paraId="7BBBD797" w14:textId="3E61B562" w:rsidR="00A82E06" w:rsidRPr="002C629C" w:rsidRDefault="00A82E06" w:rsidP="002C629C">
      <w:pPr>
        <w:widowControl w:val="0"/>
        <w:ind w:left="360" w:hangingChars="150" w:hanging="360"/>
        <w:contextualSpacing/>
        <w:rPr>
          <w:rFonts w:cs="Times New Roman"/>
          <w:szCs w:val="24"/>
        </w:rPr>
      </w:pPr>
      <w:r w:rsidRPr="00DE0EF3">
        <w:rPr>
          <w:color w:val="333333"/>
          <w:szCs w:val="24"/>
          <w:shd w:val="clear" w:color="auto" w:fill="FFFFFF"/>
        </w:rPr>
        <w:t>Hepper, E. G., Wildschut, T., Sedikides, C., Robertson, S., &amp; Routledge, C. D. (2021). Time capsule: Nostalgia shields psychological wellbeing from limited time horizons. </w:t>
      </w:r>
      <w:r w:rsidRPr="00DE0EF3">
        <w:rPr>
          <w:rStyle w:val="Emphasis"/>
          <w:color w:val="333333"/>
          <w:szCs w:val="24"/>
          <w:shd w:val="clear" w:color="auto" w:fill="FFFFFF"/>
          <w:lang w:val="de-DE"/>
        </w:rPr>
        <w:t>Emotion, 21</w:t>
      </w:r>
      <w:r w:rsidRPr="00DE0EF3">
        <w:rPr>
          <w:color w:val="333333"/>
          <w:szCs w:val="24"/>
          <w:shd w:val="clear" w:color="auto" w:fill="FFFFFF"/>
          <w:lang w:val="de-DE"/>
        </w:rPr>
        <w:t>(3), 644</w:t>
      </w:r>
      <w:r w:rsidRPr="00ED5AD3">
        <w:rPr>
          <w:color w:val="333333"/>
          <w:szCs w:val="24"/>
          <w:shd w:val="clear" w:color="auto" w:fill="FFFFFF"/>
        </w:rPr>
        <w:t>–</w:t>
      </w:r>
      <w:r w:rsidRPr="00DE0EF3">
        <w:rPr>
          <w:color w:val="333333"/>
          <w:szCs w:val="24"/>
          <w:shd w:val="clear" w:color="auto" w:fill="FFFFFF"/>
          <w:lang w:val="de-DE"/>
        </w:rPr>
        <w:t>664. </w:t>
      </w:r>
      <w:hyperlink r:id="rId34" w:tgtFrame="_blank" w:history="1">
        <w:r w:rsidRPr="00A82E06">
          <w:rPr>
            <w:rStyle w:val="Hyperlink"/>
            <w:color w:val="000000"/>
            <w:szCs w:val="24"/>
            <w:u w:val="none"/>
            <w:shd w:val="clear" w:color="auto" w:fill="FFFFFF"/>
            <w:lang w:val="de-DE"/>
          </w:rPr>
          <w:t>https://doi.org/10.1037/emo0000728</w:t>
        </w:r>
      </w:hyperlink>
      <w:r w:rsidRPr="00A82E06">
        <w:rPr>
          <w:color w:val="000000"/>
          <w:szCs w:val="24"/>
          <w:lang w:val="de-DE"/>
        </w:rPr>
        <w:t xml:space="preserve"> </w:t>
      </w:r>
    </w:p>
    <w:p w14:paraId="6F58D35D" w14:textId="3DB198F0" w:rsidR="00FB5BAE" w:rsidRDefault="00FB5BAE" w:rsidP="002C629C">
      <w:pPr>
        <w:widowControl w:val="0"/>
        <w:ind w:left="480" w:hangingChars="200" w:hanging="480"/>
        <w:contextualSpacing/>
        <w:rPr>
          <w:color w:val="000000"/>
          <w:szCs w:val="24"/>
          <w:bdr w:val="none" w:sz="0" w:space="0" w:color="auto" w:frame="1"/>
          <w:shd w:val="clear" w:color="auto" w:fill="FFFFFF"/>
        </w:rPr>
      </w:pPr>
      <w:r w:rsidRPr="005972F5">
        <w:rPr>
          <w:color w:val="000000"/>
          <w:szCs w:val="24"/>
          <w:bdr w:val="none" w:sz="0" w:space="0" w:color="auto" w:frame="1"/>
          <w:shd w:val="clear" w:color="auto" w:fill="FFFFFF"/>
        </w:rPr>
        <w:t xml:space="preserve">Herman, A. (2009). The pessimist persuasion. </w:t>
      </w:r>
      <w:r w:rsidRPr="00FB5BAE">
        <w:rPr>
          <w:i/>
          <w:iCs/>
          <w:color w:val="000000"/>
          <w:szCs w:val="24"/>
          <w:bdr w:val="none" w:sz="0" w:space="0" w:color="auto" w:frame="1"/>
          <w:shd w:val="clear" w:color="auto" w:fill="FFFFFF"/>
        </w:rPr>
        <w:t>The Wilson Quarterly, 33</w:t>
      </w:r>
      <w:r w:rsidRPr="005972F5">
        <w:rPr>
          <w:color w:val="000000"/>
          <w:szCs w:val="24"/>
          <w:bdr w:val="none" w:sz="0" w:space="0" w:color="auto" w:frame="1"/>
          <w:shd w:val="clear" w:color="auto" w:fill="FFFFFF"/>
        </w:rPr>
        <w:t>(2), 59</w:t>
      </w:r>
      <w:r w:rsidRPr="005972F5">
        <w:rPr>
          <w:color w:val="333333"/>
          <w:szCs w:val="24"/>
          <w:shd w:val="clear" w:color="auto" w:fill="FFFFFF"/>
        </w:rPr>
        <w:t>–</w:t>
      </w:r>
      <w:r w:rsidRPr="005972F5">
        <w:rPr>
          <w:color w:val="000000"/>
          <w:szCs w:val="24"/>
          <w:bdr w:val="none" w:sz="0" w:space="0" w:color="auto" w:frame="1"/>
          <w:shd w:val="clear" w:color="auto" w:fill="FFFFFF"/>
        </w:rPr>
        <w:t>66</w:t>
      </w:r>
      <w:r>
        <w:rPr>
          <w:color w:val="000000"/>
          <w:szCs w:val="24"/>
          <w:bdr w:val="none" w:sz="0" w:space="0" w:color="auto" w:frame="1"/>
          <w:shd w:val="clear" w:color="auto" w:fill="FFFFFF"/>
        </w:rPr>
        <w:t>.</w:t>
      </w:r>
    </w:p>
    <w:p w14:paraId="247B15E5" w14:textId="77777777" w:rsidR="00FB5BAE" w:rsidRDefault="00FD6217" w:rsidP="002C629C">
      <w:pPr>
        <w:widowControl w:val="0"/>
        <w:ind w:left="480" w:hangingChars="200" w:hanging="480"/>
        <w:contextualSpacing/>
        <w:rPr>
          <w:rFonts w:cs="Times New Roman"/>
          <w:szCs w:val="24"/>
        </w:rPr>
      </w:pPr>
      <w:r w:rsidRPr="00A921C4">
        <w:rPr>
          <w:rFonts w:cs="Times New Roman"/>
          <w:szCs w:val="24"/>
        </w:rPr>
        <w:t xml:space="preserve">Holbrook, M. B. (1993). Nostalgia and consumption preferences: Some emerging patterns of consumer tastes. </w:t>
      </w:r>
      <w:r w:rsidRPr="00A921C4">
        <w:rPr>
          <w:rFonts w:cs="Times New Roman"/>
          <w:i/>
          <w:szCs w:val="24"/>
        </w:rPr>
        <w:t>Journal of Consumer Research</w:t>
      </w:r>
      <w:r w:rsidRPr="00A921C4">
        <w:rPr>
          <w:rFonts w:cs="Times New Roman"/>
          <w:szCs w:val="24"/>
        </w:rPr>
        <w:t xml:space="preserve">, </w:t>
      </w:r>
      <w:r w:rsidRPr="00A921C4">
        <w:rPr>
          <w:rFonts w:cs="Times New Roman"/>
          <w:i/>
          <w:szCs w:val="24"/>
        </w:rPr>
        <w:t>20</w:t>
      </w:r>
      <w:r w:rsidRPr="00A921C4">
        <w:rPr>
          <w:rFonts w:cs="Times New Roman"/>
          <w:szCs w:val="24"/>
        </w:rPr>
        <w:t>(2), 245</w:t>
      </w:r>
      <w:r w:rsidRPr="00A921C4">
        <w:rPr>
          <w:rFonts w:cs="Times New Roman"/>
          <w:szCs w:val="24"/>
          <w:bdr w:val="none" w:sz="0" w:space="0" w:color="auto" w:frame="1"/>
          <w:shd w:val="clear" w:color="auto" w:fill="FFFFFF"/>
        </w:rPr>
        <w:t>–</w:t>
      </w:r>
      <w:r w:rsidRPr="00A921C4">
        <w:rPr>
          <w:rFonts w:cs="Times New Roman"/>
          <w:szCs w:val="24"/>
        </w:rPr>
        <w:t xml:space="preserve">256. </w:t>
      </w:r>
      <w:hyperlink r:id="rId35" w:history="1">
        <w:r w:rsidRPr="00FD6217">
          <w:rPr>
            <w:rStyle w:val="Hyperlink"/>
            <w:rFonts w:cs="Times New Roman"/>
            <w:color w:val="auto"/>
            <w:szCs w:val="24"/>
            <w:u w:val="none"/>
            <w:bdr w:val="none" w:sz="0" w:space="0" w:color="auto" w:frame="1"/>
            <w:shd w:val="clear" w:color="auto" w:fill="FFFFFF"/>
          </w:rPr>
          <w:t>https://doi.org/10.1086/209346</w:t>
        </w:r>
      </w:hyperlink>
      <w:r w:rsidRPr="00FD6217">
        <w:rPr>
          <w:rFonts w:cs="Times New Roman"/>
          <w:szCs w:val="24"/>
        </w:rPr>
        <w:t xml:space="preserve"> </w:t>
      </w:r>
      <w:bookmarkStart w:id="108" w:name="_Hlk119054999"/>
    </w:p>
    <w:p w14:paraId="162585DF" w14:textId="2E378F24" w:rsidR="00FB5BAE" w:rsidRPr="00FB5BAE" w:rsidRDefault="00FB5BAE" w:rsidP="002C629C">
      <w:pPr>
        <w:widowControl w:val="0"/>
        <w:ind w:left="480" w:hangingChars="200" w:hanging="480"/>
        <w:contextualSpacing/>
        <w:rPr>
          <w:rStyle w:val="Hyperlink"/>
          <w:rFonts w:cs="Times New Roman"/>
          <w:color w:val="000000" w:themeColor="text1"/>
          <w:szCs w:val="24"/>
          <w:u w:val="none"/>
          <w:bdr w:val="none" w:sz="0" w:space="0" w:color="auto" w:frame="1"/>
          <w:shd w:val="clear" w:color="auto" w:fill="FFFFFF"/>
        </w:rPr>
      </w:pPr>
      <w:r w:rsidRPr="005972F5">
        <w:rPr>
          <w:rFonts w:cs="Times New Roman"/>
          <w:szCs w:val="24"/>
        </w:rPr>
        <w:t xml:space="preserve">Holbrook, M. B., &amp; Schindler, R. M. (1994). Age, sex, and attitude toward the past as predictors of consumers’ aesthetic tastes for cultural products. </w:t>
      </w:r>
      <w:r w:rsidRPr="005972F5">
        <w:rPr>
          <w:rFonts w:cs="Times New Roman"/>
          <w:i/>
          <w:szCs w:val="24"/>
        </w:rPr>
        <w:t>Journal of Marketing Research</w:t>
      </w:r>
      <w:r w:rsidRPr="005972F5">
        <w:rPr>
          <w:rFonts w:cs="Times New Roman"/>
          <w:szCs w:val="24"/>
        </w:rPr>
        <w:t xml:space="preserve">, </w:t>
      </w:r>
      <w:r w:rsidRPr="005972F5">
        <w:rPr>
          <w:rFonts w:cs="Times New Roman"/>
          <w:i/>
          <w:szCs w:val="24"/>
        </w:rPr>
        <w:t>31</w:t>
      </w:r>
      <w:r w:rsidRPr="005972F5">
        <w:rPr>
          <w:rFonts w:cs="Times New Roman"/>
          <w:szCs w:val="24"/>
        </w:rPr>
        <w:t xml:space="preserve">(3), </w:t>
      </w:r>
      <w:r w:rsidRPr="005972F5">
        <w:rPr>
          <w:rFonts w:cs="Times New Roman"/>
          <w:szCs w:val="24"/>
        </w:rPr>
        <w:lastRenderedPageBreak/>
        <w:t>412</w:t>
      </w:r>
      <w:r w:rsidRPr="005972F5">
        <w:rPr>
          <w:rFonts w:cs="Times New Roman"/>
          <w:szCs w:val="24"/>
          <w:bdr w:val="none" w:sz="0" w:space="0" w:color="auto" w:frame="1"/>
          <w:shd w:val="clear" w:color="auto" w:fill="FFFFFF"/>
        </w:rPr>
        <w:t>–</w:t>
      </w:r>
      <w:r w:rsidRPr="005972F5">
        <w:rPr>
          <w:rFonts w:cs="Times New Roman"/>
          <w:szCs w:val="24"/>
        </w:rPr>
        <w:t>422.</w:t>
      </w:r>
      <w:r w:rsidRPr="005972F5">
        <w:rPr>
          <w:rStyle w:val="Hyperlink"/>
          <w:rFonts w:cs="Times New Roman"/>
          <w:szCs w:val="24"/>
          <w:u w:val="none"/>
        </w:rPr>
        <w:t xml:space="preserve"> </w:t>
      </w:r>
      <w:hyperlink r:id="rId36" w:history="1">
        <w:r w:rsidRPr="00FB5BAE">
          <w:rPr>
            <w:rStyle w:val="Hyperlink"/>
            <w:rFonts w:cs="Times New Roman"/>
            <w:color w:val="000000" w:themeColor="text1"/>
            <w:szCs w:val="24"/>
            <w:u w:val="none"/>
            <w:bdr w:val="none" w:sz="0" w:space="0" w:color="auto" w:frame="1"/>
            <w:shd w:val="clear" w:color="auto" w:fill="FFFFFF"/>
          </w:rPr>
          <w:t>https://doi.org/10.1177/002224379403100309</w:t>
        </w:r>
      </w:hyperlink>
      <w:r w:rsidRPr="00FB5BAE">
        <w:rPr>
          <w:rStyle w:val="Hyperlink"/>
          <w:rFonts w:cs="Times New Roman"/>
          <w:color w:val="000000" w:themeColor="text1"/>
          <w:szCs w:val="24"/>
          <w:u w:val="none"/>
          <w:bdr w:val="none" w:sz="0" w:space="0" w:color="auto" w:frame="1"/>
          <w:shd w:val="clear" w:color="auto" w:fill="FFFFFF"/>
        </w:rPr>
        <w:t xml:space="preserve"> </w:t>
      </w:r>
    </w:p>
    <w:p w14:paraId="6CF3E628" w14:textId="78EE318C" w:rsidR="006D4370" w:rsidRDefault="00FB5BAE" w:rsidP="002C629C">
      <w:pPr>
        <w:widowControl w:val="0"/>
        <w:ind w:left="480" w:hangingChars="200" w:hanging="480"/>
        <w:contextualSpacing/>
        <w:rPr>
          <w:rFonts w:cs="Times New Roman"/>
          <w:color w:val="000000"/>
        </w:rPr>
      </w:pPr>
      <w:r>
        <w:rPr>
          <w:rFonts w:cs="Times New Roman"/>
          <w:bCs/>
          <w:color w:val="000000"/>
          <w:szCs w:val="24"/>
          <w:lang w:val="de-DE"/>
        </w:rPr>
        <w:t>Hong</w:t>
      </w:r>
      <w:r w:rsidR="006D4370" w:rsidRPr="00C32402">
        <w:rPr>
          <w:rFonts w:cs="Times New Roman"/>
          <w:bCs/>
          <w:color w:val="000000"/>
          <w:szCs w:val="24"/>
          <w:lang w:val="de-DE"/>
        </w:rPr>
        <w:t xml:space="preserve">, E. K., Sedikides, C., &amp; Wildschut, T. (2021). </w:t>
      </w:r>
      <w:r w:rsidR="006D4370" w:rsidRPr="00C32402">
        <w:rPr>
          <w:rFonts w:cs="Times New Roman"/>
          <w:bCs/>
          <w:color w:val="000000"/>
          <w:szCs w:val="24"/>
        </w:rPr>
        <w:t xml:space="preserve">Nostalgia strengthens global self-continuity through holistic thinking. </w:t>
      </w:r>
      <w:r w:rsidR="006D4370" w:rsidRPr="00C32402">
        <w:rPr>
          <w:rFonts w:cs="Times New Roman"/>
          <w:bCs/>
          <w:i/>
          <w:iCs/>
          <w:color w:val="000000"/>
          <w:szCs w:val="24"/>
        </w:rPr>
        <w:t>Cognition and Emotion, 35</w:t>
      </w:r>
      <w:r w:rsidR="006D4370" w:rsidRPr="00C32402">
        <w:rPr>
          <w:rFonts w:cs="Times New Roman"/>
          <w:bCs/>
          <w:color w:val="000000"/>
          <w:szCs w:val="24"/>
        </w:rPr>
        <w:t>(4), 730</w:t>
      </w:r>
      <w:r w:rsidR="006D4370" w:rsidRPr="00C32402">
        <w:rPr>
          <w:rFonts w:cs="Times New Roman"/>
          <w:color w:val="333333"/>
          <w:szCs w:val="24"/>
          <w:shd w:val="clear" w:color="auto" w:fill="FFFFFF"/>
        </w:rPr>
        <w:t>–</w:t>
      </w:r>
      <w:r w:rsidR="006D4370" w:rsidRPr="00C32402">
        <w:rPr>
          <w:rFonts w:cs="Times New Roman"/>
          <w:bCs/>
          <w:color w:val="000000"/>
          <w:szCs w:val="24"/>
        </w:rPr>
        <w:t>737.</w:t>
      </w:r>
      <w:r w:rsidR="006D4370" w:rsidRPr="00C32402">
        <w:rPr>
          <w:rFonts w:cs="Times New Roman"/>
          <w:bCs/>
          <w:szCs w:val="24"/>
        </w:rPr>
        <w:t xml:space="preserve"> </w:t>
      </w:r>
      <w:r w:rsidR="006D4370" w:rsidRPr="00C32402">
        <w:rPr>
          <w:rFonts w:cs="Times New Roman"/>
          <w:color w:val="000000"/>
          <w:szCs w:val="24"/>
        </w:rPr>
        <w:t>https://doi.org/10.1080/02699931.2020.1862064</w:t>
      </w:r>
      <w:r w:rsidR="006D4370" w:rsidRPr="00C32402">
        <w:rPr>
          <w:rFonts w:cs="Times New Roman"/>
          <w:color w:val="000000"/>
        </w:rPr>
        <w:t xml:space="preserve"> </w:t>
      </w:r>
      <w:bookmarkStart w:id="109" w:name="_Hlk119054978"/>
      <w:bookmarkEnd w:id="108"/>
    </w:p>
    <w:p w14:paraId="53046B5D" w14:textId="77777777" w:rsidR="002C629C" w:rsidRDefault="006D4370" w:rsidP="002C629C">
      <w:pPr>
        <w:widowControl w:val="0"/>
        <w:ind w:left="480" w:hangingChars="200" w:hanging="480"/>
        <w:contextualSpacing/>
        <w:rPr>
          <w:rFonts w:cs="Times New Roman"/>
          <w:color w:val="201F1E"/>
          <w:shd w:val="clear" w:color="auto" w:fill="FFFFFF"/>
        </w:rPr>
      </w:pPr>
      <w:r w:rsidRPr="00C32402">
        <w:rPr>
          <w:rFonts w:cs="Times New Roman"/>
          <w:color w:val="000000"/>
          <w:lang w:val="de-DE"/>
        </w:rPr>
        <w:t xml:space="preserve">Hong, E. K., Sedikides, C., &amp; Wildschut, T. (2022). </w:t>
      </w:r>
      <w:r w:rsidRPr="00C32402">
        <w:rPr>
          <w:rFonts w:cs="Times New Roman"/>
          <w:color w:val="000000"/>
        </w:rPr>
        <w:t xml:space="preserve">How does nostalgia conduce to global self-continuity? The roles of identity narrative, associative links, and stability. </w:t>
      </w:r>
      <w:r w:rsidRPr="00C32402">
        <w:rPr>
          <w:rFonts w:cs="Times New Roman"/>
          <w:i/>
          <w:iCs/>
          <w:color w:val="000000"/>
        </w:rPr>
        <w:t>Personality and Social Psychology Bulletin, 48</w:t>
      </w:r>
      <w:r w:rsidRPr="00C32402">
        <w:rPr>
          <w:rFonts w:cs="Times New Roman"/>
          <w:color w:val="000000"/>
        </w:rPr>
        <w:t>(5), 735</w:t>
      </w:r>
      <w:r w:rsidRPr="00C32402">
        <w:rPr>
          <w:rFonts w:cs="Times New Roman"/>
          <w:color w:val="333333"/>
          <w:shd w:val="clear" w:color="auto" w:fill="FFFFFF"/>
        </w:rPr>
        <w:t>–</w:t>
      </w:r>
      <w:r w:rsidRPr="00C32402">
        <w:rPr>
          <w:rFonts w:cs="Times New Roman"/>
          <w:color w:val="000000"/>
        </w:rPr>
        <w:t xml:space="preserve">749. </w:t>
      </w:r>
      <w:r w:rsidRPr="00C32402">
        <w:rPr>
          <w:rFonts w:cs="Times New Roman"/>
          <w:color w:val="201F1E"/>
          <w:shd w:val="clear" w:color="auto" w:fill="FFFFFF"/>
        </w:rPr>
        <w:t>https://doi.org/10.1177/01461672211024889</w:t>
      </w:r>
      <w:bookmarkEnd w:id="109"/>
      <w:r>
        <w:rPr>
          <w:rFonts w:cs="Times New Roman"/>
          <w:color w:val="201F1E"/>
          <w:shd w:val="clear" w:color="auto" w:fill="FFFFFF"/>
        </w:rPr>
        <w:t xml:space="preserve"> </w:t>
      </w:r>
    </w:p>
    <w:p w14:paraId="3F88A93E" w14:textId="539695FA" w:rsidR="00FB1669" w:rsidRDefault="00FB1669" w:rsidP="002C629C">
      <w:pPr>
        <w:widowControl w:val="0"/>
        <w:ind w:left="480" w:hangingChars="200" w:hanging="480"/>
        <w:contextualSpacing/>
        <w:rPr>
          <w:rFonts w:cs="Times New Roman"/>
          <w:color w:val="201F1E"/>
          <w:shd w:val="clear" w:color="auto" w:fill="FFFFFF"/>
        </w:rPr>
      </w:pPr>
      <w:r>
        <w:rPr>
          <w:color w:val="201F1E"/>
          <w:szCs w:val="24"/>
          <w:shd w:val="clear" w:color="auto" w:fill="FFFFFF"/>
        </w:rPr>
        <w:t xml:space="preserve">Hong, E. K., Zhang, Y., &amp; Sedikides, C. (2024). Future self-continuity promotes meaning in life through authenticity. </w:t>
      </w:r>
      <w:r>
        <w:rPr>
          <w:i/>
          <w:iCs/>
          <w:color w:val="201F1E"/>
          <w:szCs w:val="24"/>
          <w:shd w:val="clear" w:color="auto" w:fill="FFFFFF"/>
        </w:rPr>
        <w:t>Journal of Research in Personality, 109</w:t>
      </w:r>
      <w:r>
        <w:rPr>
          <w:color w:val="201F1E"/>
          <w:szCs w:val="24"/>
          <w:shd w:val="clear" w:color="auto" w:fill="FFFFFF"/>
        </w:rPr>
        <w:t>,</w:t>
      </w:r>
      <w:r w:rsidRPr="00E0787A">
        <w:rPr>
          <w:color w:val="1F1F1F"/>
          <w:szCs w:val="24"/>
        </w:rPr>
        <w:t xml:space="preserve"> </w:t>
      </w:r>
      <w:r>
        <w:rPr>
          <w:color w:val="1F1F1F"/>
          <w:szCs w:val="24"/>
        </w:rPr>
        <w:t xml:space="preserve">Article </w:t>
      </w:r>
      <w:r w:rsidRPr="0016350E">
        <w:rPr>
          <w:color w:val="1F1F1F"/>
          <w:szCs w:val="24"/>
        </w:rPr>
        <w:t>104463</w:t>
      </w:r>
      <w:r>
        <w:rPr>
          <w:color w:val="1F1F1F"/>
          <w:szCs w:val="24"/>
        </w:rPr>
        <w:t xml:space="preserve">. </w:t>
      </w:r>
      <w:hyperlink r:id="rId37" w:tgtFrame="_blank" w:tooltip="Persistent link using digital object identifier" w:history="1">
        <w:r w:rsidRPr="0016350E">
          <w:rPr>
            <w:rStyle w:val="anchor-text"/>
            <w:color w:val="1F1F1F"/>
            <w:szCs w:val="24"/>
          </w:rPr>
          <w:t>https://doi.org/10.1016/j.jrp.2024.104463</w:t>
        </w:r>
      </w:hyperlink>
    </w:p>
    <w:p w14:paraId="0F915176" w14:textId="77777777" w:rsidR="00F56312" w:rsidRDefault="008C3982" w:rsidP="002C629C">
      <w:pPr>
        <w:widowControl w:val="0"/>
        <w:ind w:left="480" w:hangingChars="200" w:hanging="480"/>
        <w:contextualSpacing/>
        <w:rPr>
          <w:rFonts w:cs="Times New Roman"/>
          <w:shd w:val="clear" w:color="auto" w:fill="FFFFFF"/>
        </w:rPr>
      </w:pPr>
      <w:r w:rsidRPr="008C3982">
        <w:rPr>
          <w:rFonts w:cs="Times New Roman"/>
          <w:color w:val="201F1E"/>
          <w:shd w:val="clear" w:color="auto" w:fill="FFFFFF"/>
        </w:rPr>
        <w:t>Huang, X. (I.), Huang, Z. (T.), &amp; Wyer, R. S., Jr. (2016). Slowing down in the good old days: The effect of nostalgia on consumer patience. </w:t>
      </w:r>
      <w:r w:rsidRPr="008C3982">
        <w:rPr>
          <w:rFonts w:cs="Times New Roman"/>
          <w:i/>
          <w:iCs/>
          <w:color w:val="201F1E"/>
          <w:shd w:val="clear" w:color="auto" w:fill="FFFFFF"/>
        </w:rPr>
        <w:t>Journal of Consumer Research, 43</w:t>
      </w:r>
      <w:r w:rsidRPr="008C3982">
        <w:rPr>
          <w:rFonts w:cs="Times New Roman"/>
          <w:color w:val="201F1E"/>
          <w:shd w:val="clear" w:color="auto" w:fill="FFFFFF"/>
        </w:rPr>
        <w:t>(3), 372–387. </w:t>
      </w:r>
      <w:hyperlink r:id="rId38" w:tgtFrame="_blank" w:history="1">
        <w:r w:rsidRPr="008C3982">
          <w:rPr>
            <w:rStyle w:val="Hyperlink"/>
            <w:rFonts w:cs="Times New Roman"/>
            <w:color w:val="auto"/>
            <w:u w:val="none"/>
            <w:shd w:val="clear" w:color="auto" w:fill="FFFFFF"/>
          </w:rPr>
          <w:t>https://doi.org/10.1093/jcr/ucw033</w:t>
        </w:r>
      </w:hyperlink>
      <w:r w:rsidR="00F56312">
        <w:rPr>
          <w:rFonts w:cs="Times New Roman"/>
          <w:shd w:val="clear" w:color="auto" w:fill="FFFFFF"/>
        </w:rPr>
        <w:t xml:space="preserve"> </w:t>
      </w:r>
    </w:p>
    <w:p w14:paraId="5D7EE3B2" w14:textId="76306037" w:rsidR="00FB5BAE" w:rsidRDefault="00FB5BAE" w:rsidP="002C629C">
      <w:pPr>
        <w:widowControl w:val="0"/>
        <w:ind w:left="480" w:hangingChars="200" w:hanging="480"/>
        <w:contextualSpacing/>
        <w:rPr>
          <w:rFonts w:cs="Times New Roman"/>
          <w:shd w:val="clear" w:color="auto" w:fill="FFFFFF"/>
        </w:rPr>
      </w:pPr>
      <w:r w:rsidRPr="00B33E2B">
        <w:rPr>
          <w:rFonts w:cs="Times New Roman"/>
          <w:bCs/>
          <w:color w:val="000000" w:themeColor="text1"/>
          <w:szCs w:val="24"/>
        </w:rPr>
        <w:t xml:space="preserve">Inglehart, R. (2018). </w:t>
      </w:r>
      <w:r w:rsidRPr="00B33E2B">
        <w:rPr>
          <w:rFonts w:eastAsia="Times New Roman" w:cs="Times New Roman"/>
          <w:bCs/>
          <w:i/>
          <w:iCs/>
          <w:color w:val="000000" w:themeColor="text1"/>
          <w:szCs w:val="24"/>
        </w:rPr>
        <w:t xml:space="preserve">Cultural </w:t>
      </w:r>
      <w:r w:rsidRPr="00B33E2B">
        <w:rPr>
          <w:rFonts w:cs="Times New Roman"/>
          <w:bCs/>
          <w:i/>
          <w:iCs/>
          <w:color w:val="000000" w:themeColor="text1"/>
          <w:szCs w:val="24"/>
        </w:rPr>
        <w:t>e</w:t>
      </w:r>
      <w:r w:rsidRPr="00B33E2B">
        <w:rPr>
          <w:rFonts w:eastAsia="Times New Roman" w:cs="Times New Roman"/>
          <w:bCs/>
          <w:i/>
          <w:iCs/>
          <w:color w:val="000000" w:themeColor="text1"/>
          <w:szCs w:val="24"/>
        </w:rPr>
        <w:t>volution: People</w:t>
      </w:r>
      <w:r w:rsidRPr="00B33E2B">
        <w:rPr>
          <w:rFonts w:cs="Times New Roman"/>
          <w:bCs/>
          <w:i/>
          <w:iCs/>
          <w:color w:val="000000" w:themeColor="text1"/>
          <w:szCs w:val="24"/>
        </w:rPr>
        <w:t>’</w:t>
      </w:r>
      <w:r w:rsidRPr="00B33E2B">
        <w:rPr>
          <w:rFonts w:eastAsia="Times New Roman" w:cs="Times New Roman"/>
          <w:bCs/>
          <w:i/>
          <w:iCs/>
          <w:color w:val="000000" w:themeColor="text1"/>
          <w:szCs w:val="24"/>
        </w:rPr>
        <w:t>s M</w:t>
      </w:r>
      <w:r w:rsidRPr="00B33E2B">
        <w:rPr>
          <w:rFonts w:cs="Times New Roman"/>
          <w:bCs/>
          <w:i/>
          <w:iCs/>
          <w:color w:val="000000" w:themeColor="text1"/>
          <w:szCs w:val="24"/>
        </w:rPr>
        <w:t>o</w:t>
      </w:r>
      <w:r w:rsidRPr="00B33E2B">
        <w:rPr>
          <w:rFonts w:eastAsia="Times New Roman" w:cs="Times New Roman"/>
          <w:bCs/>
          <w:i/>
          <w:iCs/>
          <w:color w:val="000000" w:themeColor="text1"/>
          <w:szCs w:val="24"/>
        </w:rPr>
        <w:t xml:space="preserve">tivations are </w:t>
      </w:r>
      <w:r w:rsidRPr="00B33E2B">
        <w:rPr>
          <w:rFonts w:cs="Times New Roman"/>
          <w:bCs/>
          <w:i/>
          <w:iCs/>
          <w:color w:val="000000" w:themeColor="text1"/>
          <w:szCs w:val="24"/>
        </w:rPr>
        <w:t>c</w:t>
      </w:r>
      <w:r w:rsidRPr="00B33E2B">
        <w:rPr>
          <w:rFonts w:eastAsia="Times New Roman" w:cs="Times New Roman"/>
          <w:bCs/>
          <w:i/>
          <w:iCs/>
          <w:color w:val="000000" w:themeColor="text1"/>
          <w:szCs w:val="24"/>
        </w:rPr>
        <w:t xml:space="preserve">hanging, and </w:t>
      </w:r>
      <w:r w:rsidRPr="00B33E2B">
        <w:rPr>
          <w:rFonts w:cs="Times New Roman"/>
          <w:bCs/>
          <w:i/>
          <w:iCs/>
          <w:color w:val="000000" w:themeColor="text1"/>
          <w:szCs w:val="24"/>
        </w:rPr>
        <w:t>r</w:t>
      </w:r>
      <w:r w:rsidRPr="00B33E2B">
        <w:rPr>
          <w:rFonts w:eastAsia="Times New Roman" w:cs="Times New Roman"/>
          <w:bCs/>
          <w:i/>
          <w:iCs/>
          <w:color w:val="000000" w:themeColor="text1"/>
          <w:szCs w:val="24"/>
        </w:rPr>
        <w:t xml:space="preserve">eshaping the </w:t>
      </w:r>
      <w:r w:rsidRPr="00B33E2B">
        <w:rPr>
          <w:rFonts w:cs="Times New Roman"/>
          <w:bCs/>
          <w:i/>
          <w:iCs/>
          <w:color w:val="000000" w:themeColor="text1"/>
          <w:szCs w:val="24"/>
        </w:rPr>
        <w:t>w</w:t>
      </w:r>
      <w:r w:rsidRPr="00B33E2B">
        <w:rPr>
          <w:rFonts w:eastAsia="Times New Roman" w:cs="Times New Roman"/>
          <w:bCs/>
          <w:i/>
          <w:iCs/>
          <w:color w:val="000000" w:themeColor="text1"/>
          <w:szCs w:val="24"/>
        </w:rPr>
        <w:t>orld.</w:t>
      </w:r>
      <w:r w:rsidRPr="00B33E2B">
        <w:rPr>
          <w:rFonts w:cs="Times New Roman"/>
          <w:bCs/>
          <w:color w:val="000000" w:themeColor="text1"/>
          <w:szCs w:val="24"/>
        </w:rPr>
        <w:t xml:space="preserve"> Cambridge University Press</w:t>
      </w:r>
      <w:r>
        <w:rPr>
          <w:rFonts w:cs="Times New Roman"/>
          <w:bCs/>
          <w:color w:val="000000" w:themeColor="text1"/>
          <w:szCs w:val="24"/>
        </w:rPr>
        <w:t>.</w:t>
      </w:r>
    </w:p>
    <w:p w14:paraId="73502AF1" w14:textId="77777777" w:rsidR="002C629C" w:rsidRDefault="00F56312" w:rsidP="002C629C">
      <w:pPr>
        <w:widowControl w:val="0"/>
        <w:ind w:left="480" w:hangingChars="200" w:hanging="480"/>
        <w:contextualSpacing/>
      </w:pPr>
      <w:r w:rsidRPr="00BF1CD2">
        <w:rPr>
          <w:rFonts w:cs="Times New Roman"/>
          <w:szCs w:val="24"/>
        </w:rPr>
        <w:t>Kashdan</w:t>
      </w:r>
      <w:r>
        <w:rPr>
          <w:rFonts w:cs="Times New Roman"/>
          <w:szCs w:val="24"/>
        </w:rPr>
        <w:t>, T. B., Gallagher, M. W., Silvia, P. J., Winterstein, B. P., Breen, W. E., Terhar, D., &amp; Steger, M. F.</w:t>
      </w:r>
      <w:r w:rsidRPr="00BF1CD2">
        <w:rPr>
          <w:rFonts w:cs="Times New Roman"/>
          <w:szCs w:val="24"/>
        </w:rPr>
        <w:t xml:space="preserve"> </w:t>
      </w:r>
      <w:r>
        <w:rPr>
          <w:rFonts w:cs="Times New Roman"/>
          <w:szCs w:val="24"/>
        </w:rPr>
        <w:t>(</w:t>
      </w:r>
      <w:r w:rsidRPr="00BF1CD2">
        <w:rPr>
          <w:rFonts w:cs="Times New Roman"/>
          <w:szCs w:val="24"/>
        </w:rPr>
        <w:t>2009</w:t>
      </w:r>
      <w:r>
        <w:rPr>
          <w:rFonts w:cs="Times New Roman"/>
          <w:szCs w:val="24"/>
        </w:rPr>
        <w:t xml:space="preserve">). The Curiosity and Exploration Inventory-II: Development, factor structure, and psychometrics. </w:t>
      </w:r>
      <w:r w:rsidRPr="00F56312">
        <w:rPr>
          <w:rFonts w:cs="Times New Roman"/>
          <w:i/>
          <w:iCs/>
          <w:szCs w:val="24"/>
        </w:rPr>
        <w:t>Journal of Research in Personality, 43</w:t>
      </w:r>
      <w:r>
        <w:rPr>
          <w:rFonts w:cs="Times New Roman"/>
          <w:szCs w:val="24"/>
        </w:rPr>
        <w:t>(6), 987</w:t>
      </w:r>
      <w:r w:rsidRPr="008C3982">
        <w:rPr>
          <w:rFonts w:cs="Times New Roman"/>
          <w:color w:val="201F1E"/>
          <w:shd w:val="clear" w:color="auto" w:fill="FFFFFF"/>
        </w:rPr>
        <w:t>–</w:t>
      </w:r>
      <w:r>
        <w:rPr>
          <w:rFonts w:cs="Times New Roman"/>
          <w:color w:val="201F1E"/>
          <w:shd w:val="clear" w:color="auto" w:fill="FFFFFF"/>
        </w:rPr>
        <w:t xml:space="preserve">998. </w:t>
      </w:r>
      <w:r w:rsidRPr="00F56312">
        <w:rPr>
          <w:rFonts w:cs="Times New Roman"/>
          <w:shd w:val="clear" w:color="auto" w:fill="FFFFFF"/>
        </w:rPr>
        <w:t>https://doi.org/</w:t>
      </w:r>
      <w:hyperlink r:id="rId39" w:tgtFrame="_blank" w:history="1">
        <w:r w:rsidRPr="00F56312">
          <w:rPr>
            <w:rStyle w:val="Hyperlink"/>
            <w:rFonts w:cs="Times New Roman"/>
            <w:color w:val="auto"/>
            <w:u w:val="none"/>
            <w:shd w:val="clear" w:color="auto" w:fill="FFFFFF"/>
          </w:rPr>
          <w:t>10.1016/j.jrp.2009.04.01</w:t>
        </w:r>
        <w:r>
          <w:rPr>
            <w:rStyle w:val="Hyperlink"/>
            <w:rFonts w:cs="Times New Roman"/>
            <w:color w:val="auto"/>
            <w:u w:val="none"/>
            <w:shd w:val="clear" w:color="auto" w:fill="FFFFFF"/>
          </w:rPr>
          <w:t>1</w:t>
        </w:r>
      </w:hyperlink>
      <w:r w:rsidR="00C43A8B">
        <w:t xml:space="preserve"> </w:t>
      </w:r>
    </w:p>
    <w:p w14:paraId="652B3EEB" w14:textId="3737D0C0" w:rsidR="00FB1669" w:rsidRDefault="00FB1669" w:rsidP="002C629C">
      <w:pPr>
        <w:widowControl w:val="0"/>
        <w:ind w:left="480" w:hangingChars="200" w:hanging="480"/>
        <w:contextualSpacing/>
      </w:pPr>
      <w:r w:rsidRPr="008E0275">
        <w:rPr>
          <w:bCs/>
          <w:color w:val="0D0D0D"/>
          <w:szCs w:val="24"/>
          <w:lang w:val="de-DE"/>
        </w:rPr>
        <w:t xml:space="preserve">Kelley, N. J., Davis, W. E., Dang, J., Liu, L., Wildschut, T., &amp; Sedikides, C. (2022). </w:t>
      </w:r>
      <w:r w:rsidRPr="00FC2F30">
        <w:rPr>
          <w:bCs/>
          <w:color w:val="0D0D0D"/>
          <w:szCs w:val="24"/>
        </w:rPr>
        <w:t xml:space="preserve">Nostalgia confers psychological wellbeing by increasing authenticity. </w:t>
      </w:r>
      <w:r w:rsidRPr="00FC2F30">
        <w:rPr>
          <w:bCs/>
          <w:i/>
          <w:iCs/>
          <w:color w:val="0D0D0D"/>
          <w:szCs w:val="24"/>
        </w:rPr>
        <w:t>Journal of</w:t>
      </w:r>
      <w:r w:rsidRPr="00DF278F">
        <w:rPr>
          <w:bCs/>
          <w:i/>
          <w:iCs/>
          <w:color w:val="0D0D0D"/>
          <w:szCs w:val="24"/>
        </w:rPr>
        <w:t xml:space="preserve"> Experimental Social Psychology</w:t>
      </w:r>
      <w:r>
        <w:rPr>
          <w:bCs/>
          <w:i/>
          <w:iCs/>
          <w:color w:val="0D0D0D"/>
          <w:szCs w:val="24"/>
        </w:rPr>
        <w:t>, 102</w:t>
      </w:r>
      <w:r>
        <w:rPr>
          <w:bCs/>
          <w:color w:val="0D0D0D"/>
          <w:szCs w:val="24"/>
        </w:rPr>
        <w:t xml:space="preserve">, </w:t>
      </w:r>
      <w:r>
        <w:rPr>
          <w:color w:val="201F1E"/>
          <w:szCs w:val="24"/>
          <w:shd w:val="clear" w:color="auto" w:fill="FFFFFF"/>
        </w:rPr>
        <w:t xml:space="preserve">Article </w:t>
      </w:r>
      <w:r>
        <w:rPr>
          <w:bCs/>
          <w:color w:val="0D0D0D"/>
          <w:szCs w:val="24"/>
        </w:rPr>
        <w:t>104379</w:t>
      </w:r>
      <w:r>
        <w:rPr>
          <w:iCs/>
          <w:color w:val="0D0D0D"/>
          <w:szCs w:val="24"/>
          <w:shd w:val="clear" w:color="auto" w:fill="FFFFFF"/>
        </w:rPr>
        <w:t>. https://doi.org/</w:t>
      </w:r>
      <w:r w:rsidRPr="0091526C">
        <w:rPr>
          <w:color w:val="000000"/>
          <w:szCs w:val="24"/>
          <w:shd w:val="clear" w:color="auto" w:fill="FFFFFF"/>
        </w:rPr>
        <w:t>10.1016/j.jesp.2022.104379</w:t>
      </w:r>
    </w:p>
    <w:p w14:paraId="4B3BF065" w14:textId="579002F1" w:rsidR="00C43A8B" w:rsidRPr="008C3982" w:rsidRDefault="00C43A8B" w:rsidP="002C629C">
      <w:pPr>
        <w:widowControl w:val="0"/>
        <w:ind w:left="480" w:hangingChars="200" w:hanging="480"/>
        <w:contextualSpacing/>
        <w:rPr>
          <w:rFonts w:cs="Times New Roman"/>
          <w:shd w:val="clear" w:color="auto" w:fill="FFFFFF"/>
        </w:rPr>
      </w:pPr>
      <w:r w:rsidRPr="00B33E2B">
        <w:rPr>
          <w:color w:val="000000" w:themeColor="text1"/>
          <w:szCs w:val="24"/>
        </w:rPr>
        <w:t>Layous, K., &amp; Kurtz, J. L. (2023). Nostalgia: A potential pathway to greater well-being. </w:t>
      </w:r>
      <w:r w:rsidRPr="00B33E2B">
        <w:rPr>
          <w:rFonts w:eastAsia="Times New Roman"/>
          <w:i/>
          <w:iCs/>
          <w:color w:val="000000" w:themeColor="text1"/>
          <w:szCs w:val="24"/>
        </w:rPr>
        <w:t>Current Opinion in Psychology, 49,</w:t>
      </w:r>
      <w:r w:rsidRPr="00B33E2B">
        <w:rPr>
          <w:color w:val="000000" w:themeColor="text1"/>
          <w:szCs w:val="24"/>
        </w:rPr>
        <w:t> Article 101548. </w:t>
      </w:r>
      <w:hyperlink r:id="rId40" w:tgtFrame="_blank" w:history="1">
        <w:r w:rsidRPr="00B33E2B">
          <w:rPr>
            <w:rStyle w:val="Hyperlink"/>
            <w:rFonts w:eastAsia="Times New Roman"/>
            <w:color w:val="000000" w:themeColor="text1"/>
            <w:szCs w:val="24"/>
            <w:u w:val="none"/>
          </w:rPr>
          <w:t>https://doi.org/10.1016/j.copsyc.2022.101548</w:t>
        </w:r>
      </w:hyperlink>
    </w:p>
    <w:p w14:paraId="34B8A822" w14:textId="3856D1C1" w:rsidR="00C43A8B" w:rsidRDefault="006D4370" w:rsidP="002C629C">
      <w:pPr>
        <w:widowControl w:val="0"/>
        <w:ind w:left="480" w:hangingChars="200" w:hanging="480"/>
        <w:contextualSpacing/>
        <w:rPr>
          <w:rFonts w:cs="Times New Roman"/>
        </w:rPr>
      </w:pPr>
      <w:r w:rsidRPr="00C32402">
        <w:rPr>
          <w:rFonts w:cs="Times New Roman"/>
        </w:rPr>
        <w:t xml:space="preserve">Lerner, R. M., &amp; Walls, T. (1999). Revisiting Individuals as producers of their environment: From dynamic interactionalism to developmental systems. In J. Brandtstadter &amp; R. M. Lerner (Eds.), </w:t>
      </w:r>
      <w:r w:rsidRPr="00C32402">
        <w:rPr>
          <w:rFonts w:cs="Times New Roman"/>
          <w:i/>
          <w:iCs/>
        </w:rPr>
        <w:t>Action and self-development: Theory and research through the life span</w:t>
      </w:r>
      <w:r w:rsidRPr="00C32402">
        <w:rPr>
          <w:rFonts w:cs="Times New Roman"/>
        </w:rPr>
        <w:t xml:space="preserve"> (pp. </w:t>
      </w:r>
      <w:r w:rsidRPr="00C32402">
        <w:rPr>
          <w:rFonts w:cs="Times New Roman"/>
        </w:rPr>
        <w:lastRenderedPageBreak/>
        <w:t>3–36). Sage.</w:t>
      </w:r>
    </w:p>
    <w:p w14:paraId="102BE44D" w14:textId="3059F191" w:rsidR="006465C3" w:rsidRDefault="006465C3" w:rsidP="006465C3">
      <w:pPr>
        <w:ind w:left="720" w:hanging="720"/>
        <w:rPr>
          <w:szCs w:val="24"/>
        </w:rPr>
      </w:pPr>
      <w:r w:rsidRPr="0043547B">
        <w:rPr>
          <w:color w:val="000000"/>
          <w:szCs w:val="24"/>
          <w:lang w:val="de-DE"/>
        </w:rPr>
        <w:t>Leunissen, J.</w:t>
      </w:r>
      <w:r>
        <w:rPr>
          <w:color w:val="000000"/>
          <w:szCs w:val="24"/>
          <w:lang w:val="de-DE"/>
        </w:rPr>
        <w:t xml:space="preserve"> </w:t>
      </w:r>
      <w:r w:rsidRPr="0043547B">
        <w:rPr>
          <w:color w:val="000000"/>
          <w:szCs w:val="24"/>
          <w:lang w:val="de-DE"/>
        </w:rPr>
        <w:t xml:space="preserve">M., Wildschut, T., Sedikides, C., &amp; Routledge, C. (2021). </w:t>
      </w:r>
      <w:r w:rsidRPr="0043547B">
        <w:rPr>
          <w:color w:val="000000"/>
          <w:szCs w:val="24"/>
        </w:rPr>
        <w:t xml:space="preserve">The hedonic character of nostalgia: An integrative data analysis. </w:t>
      </w:r>
      <w:r w:rsidRPr="0043547B">
        <w:rPr>
          <w:i/>
          <w:color w:val="000000"/>
          <w:szCs w:val="24"/>
        </w:rPr>
        <w:t>Emotion Review, 13</w:t>
      </w:r>
      <w:r w:rsidRPr="0043547B">
        <w:rPr>
          <w:iCs/>
          <w:color w:val="000000"/>
          <w:szCs w:val="24"/>
        </w:rPr>
        <w:t>(</w:t>
      </w:r>
      <w:r w:rsidRPr="0043547B">
        <w:rPr>
          <w:szCs w:val="24"/>
        </w:rPr>
        <w:t>2), 139</w:t>
      </w:r>
      <w:r w:rsidRPr="00ED5AD3">
        <w:rPr>
          <w:color w:val="333333"/>
          <w:szCs w:val="24"/>
          <w:shd w:val="clear" w:color="auto" w:fill="FFFFFF"/>
        </w:rPr>
        <w:t>–</w:t>
      </w:r>
      <w:r w:rsidRPr="0043547B">
        <w:rPr>
          <w:szCs w:val="24"/>
        </w:rPr>
        <w:t>156</w:t>
      </w:r>
      <w:r w:rsidRPr="0043547B">
        <w:rPr>
          <w:color w:val="000000"/>
          <w:szCs w:val="24"/>
        </w:rPr>
        <w:t xml:space="preserve">. </w:t>
      </w:r>
      <w:hyperlink r:id="rId41" w:history="1">
        <w:r w:rsidRPr="006465C3">
          <w:rPr>
            <w:rStyle w:val="Hyperlink"/>
            <w:color w:val="000000"/>
            <w:szCs w:val="24"/>
            <w:u w:val="none"/>
            <w:shd w:val="clear" w:color="auto" w:fill="FFFFFF"/>
          </w:rPr>
          <w:t>https://doi.org/</w:t>
        </w:r>
      </w:hyperlink>
      <w:r w:rsidRPr="006465C3">
        <w:rPr>
          <w:color w:val="000000"/>
          <w:szCs w:val="24"/>
        </w:rPr>
        <w:t>1</w:t>
      </w:r>
      <w:r w:rsidRPr="0043547B">
        <w:rPr>
          <w:color w:val="000000"/>
          <w:szCs w:val="24"/>
        </w:rPr>
        <w:t>0.1177/1754073920950455</w:t>
      </w:r>
    </w:p>
    <w:p w14:paraId="33652226" w14:textId="586622D5" w:rsidR="00547F2C" w:rsidRPr="00547F2C" w:rsidRDefault="00547F2C" w:rsidP="002C629C">
      <w:pPr>
        <w:widowControl w:val="0"/>
        <w:ind w:left="480" w:hangingChars="200" w:hanging="480"/>
        <w:contextualSpacing/>
        <w:rPr>
          <w:rFonts w:cs="Times New Roman"/>
        </w:rPr>
      </w:pPr>
      <w:r w:rsidRPr="00547F2C">
        <w:rPr>
          <w:rFonts w:cs="Times New Roman"/>
        </w:rPr>
        <w:t xml:space="preserve">Maslow, A. H. (1943). A theory of human motivation. </w:t>
      </w:r>
      <w:r w:rsidRPr="00547F2C">
        <w:rPr>
          <w:rFonts w:cs="Times New Roman"/>
          <w:i/>
          <w:iCs/>
        </w:rPr>
        <w:t>Psychological Review, 50</w:t>
      </w:r>
      <w:r w:rsidRPr="00547F2C">
        <w:rPr>
          <w:rFonts w:cs="Times New Roman"/>
        </w:rPr>
        <w:t>(4), 370–396. https://doi.org/10.1037/h0054346</w:t>
      </w:r>
    </w:p>
    <w:p w14:paraId="2EF14019" w14:textId="77777777" w:rsidR="00C43A8B" w:rsidRDefault="00C43A8B" w:rsidP="002C629C">
      <w:pPr>
        <w:widowControl w:val="0"/>
        <w:ind w:left="480" w:hangingChars="200" w:hanging="480"/>
        <w:contextualSpacing/>
        <w:rPr>
          <w:rFonts w:cs="Times New Roman"/>
          <w:color w:val="000000" w:themeColor="text1"/>
          <w:szCs w:val="24"/>
        </w:rPr>
      </w:pPr>
      <w:r w:rsidRPr="00B33E2B">
        <w:rPr>
          <w:rFonts w:cs="Times New Roman"/>
          <w:color w:val="000000" w:themeColor="text1"/>
          <w:szCs w:val="24"/>
        </w:rPr>
        <w:t xml:space="preserve">Mastroianni, A. M., &amp; Gilbert, D. T. (2023). The illusion of moral decline. </w:t>
      </w:r>
      <w:r w:rsidRPr="00B33E2B">
        <w:rPr>
          <w:rFonts w:cs="Times New Roman"/>
          <w:i/>
          <w:iCs/>
          <w:color w:val="000000" w:themeColor="text1"/>
          <w:szCs w:val="24"/>
        </w:rPr>
        <w:t>Nature, 618</w:t>
      </w:r>
      <w:r w:rsidRPr="00B33E2B">
        <w:rPr>
          <w:rFonts w:cs="Times New Roman"/>
          <w:color w:val="000000" w:themeColor="text1"/>
          <w:szCs w:val="24"/>
        </w:rPr>
        <w:t xml:space="preserve">, 782-789. https://doi.org/10.1038/s41586-023-06137-x </w:t>
      </w:r>
    </w:p>
    <w:p w14:paraId="687C12B5" w14:textId="28F304F6" w:rsidR="001126D9" w:rsidRPr="00B33E2B" w:rsidRDefault="00C43A8B" w:rsidP="00BF68A8">
      <w:pPr>
        <w:widowControl w:val="0"/>
        <w:ind w:left="480" w:hangingChars="200" w:hanging="480"/>
        <w:contextualSpacing/>
        <w:rPr>
          <w:rFonts w:cs="Times New Roman"/>
          <w:color w:val="000000" w:themeColor="text1"/>
          <w:szCs w:val="24"/>
        </w:rPr>
      </w:pPr>
      <w:r w:rsidRPr="00B33E2B">
        <w:rPr>
          <w:color w:val="000000" w:themeColor="text1"/>
          <w:szCs w:val="24"/>
        </w:rPr>
        <w:t>Milojević, I. (2021).</w:t>
      </w:r>
      <w:r w:rsidRPr="005972F5">
        <w:rPr>
          <w:color w:val="000000" w:themeColor="text1"/>
          <w:szCs w:val="24"/>
        </w:rPr>
        <w:t xml:space="preserve"> Futures </w:t>
      </w:r>
      <w:r w:rsidRPr="00B33E2B">
        <w:rPr>
          <w:color w:val="000000" w:themeColor="text1"/>
          <w:szCs w:val="24"/>
        </w:rPr>
        <w:t>f</w:t>
      </w:r>
      <w:r w:rsidRPr="005972F5">
        <w:rPr>
          <w:color w:val="000000" w:themeColor="text1"/>
          <w:szCs w:val="24"/>
        </w:rPr>
        <w:t xml:space="preserve">allacies: What </w:t>
      </w:r>
      <w:r w:rsidRPr="00B33E2B">
        <w:rPr>
          <w:color w:val="000000" w:themeColor="text1"/>
          <w:szCs w:val="24"/>
        </w:rPr>
        <w:t>t</w:t>
      </w:r>
      <w:r w:rsidRPr="005972F5">
        <w:rPr>
          <w:color w:val="000000" w:themeColor="text1"/>
          <w:szCs w:val="24"/>
        </w:rPr>
        <w:t xml:space="preserve">hey </w:t>
      </w:r>
      <w:r w:rsidRPr="00B33E2B">
        <w:rPr>
          <w:color w:val="000000" w:themeColor="text1"/>
          <w:szCs w:val="24"/>
        </w:rPr>
        <w:t>a</w:t>
      </w:r>
      <w:r w:rsidRPr="005972F5">
        <w:rPr>
          <w:color w:val="000000" w:themeColor="text1"/>
          <w:szCs w:val="24"/>
        </w:rPr>
        <w:t xml:space="preserve">re and </w:t>
      </w:r>
      <w:r w:rsidRPr="00B33E2B">
        <w:rPr>
          <w:color w:val="000000" w:themeColor="text1"/>
          <w:szCs w:val="24"/>
        </w:rPr>
        <w:t>w</w:t>
      </w:r>
      <w:r w:rsidRPr="005972F5">
        <w:rPr>
          <w:color w:val="000000" w:themeColor="text1"/>
          <w:szCs w:val="24"/>
        </w:rPr>
        <w:t xml:space="preserve">hat </w:t>
      </w:r>
      <w:r w:rsidRPr="00B33E2B">
        <w:rPr>
          <w:color w:val="000000" w:themeColor="text1"/>
          <w:szCs w:val="24"/>
        </w:rPr>
        <w:t>w</w:t>
      </w:r>
      <w:r w:rsidRPr="005972F5">
        <w:rPr>
          <w:color w:val="000000" w:themeColor="text1"/>
          <w:szCs w:val="24"/>
        </w:rPr>
        <w:t xml:space="preserve">e </w:t>
      </w:r>
      <w:r w:rsidRPr="00B33E2B">
        <w:rPr>
          <w:color w:val="000000" w:themeColor="text1"/>
          <w:szCs w:val="24"/>
        </w:rPr>
        <w:t>c</w:t>
      </w:r>
      <w:r w:rsidRPr="005972F5">
        <w:rPr>
          <w:color w:val="000000" w:themeColor="text1"/>
          <w:szCs w:val="24"/>
        </w:rPr>
        <w:t xml:space="preserve">an </w:t>
      </w:r>
      <w:r w:rsidRPr="00B33E2B">
        <w:rPr>
          <w:color w:val="000000" w:themeColor="text1"/>
          <w:szCs w:val="24"/>
        </w:rPr>
        <w:t>d</w:t>
      </w:r>
      <w:r w:rsidRPr="005972F5">
        <w:rPr>
          <w:color w:val="000000" w:themeColor="text1"/>
          <w:szCs w:val="24"/>
        </w:rPr>
        <w:t xml:space="preserve">o </w:t>
      </w:r>
      <w:r w:rsidRPr="00B33E2B">
        <w:rPr>
          <w:color w:val="000000" w:themeColor="text1"/>
          <w:szCs w:val="24"/>
        </w:rPr>
        <w:t>a</w:t>
      </w:r>
      <w:r w:rsidRPr="005972F5">
        <w:rPr>
          <w:color w:val="000000" w:themeColor="text1"/>
          <w:szCs w:val="24"/>
        </w:rPr>
        <w:t xml:space="preserve">bout </w:t>
      </w:r>
      <w:r w:rsidRPr="00B33E2B">
        <w:rPr>
          <w:color w:val="000000" w:themeColor="text1"/>
          <w:szCs w:val="24"/>
        </w:rPr>
        <w:t>t</w:t>
      </w:r>
      <w:r w:rsidRPr="005972F5">
        <w:rPr>
          <w:color w:val="000000" w:themeColor="text1"/>
          <w:szCs w:val="24"/>
        </w:rPr>
        <w:t>hem</w:t>
      </w:r>
      <w:r w:rsidRPr="00B33E2B">
        <w:rPr>
          <w:color w:val="000000" w:themeColor="text1"/>
          <w:szCs w:val="24"/>
        </w:rPr>
        <w:t xml:space="preserve">. </w:t>
      </w:r>
      <w:r w:rsidRPr="00B33E2B">
        <w:rPr>
          <w:i/>
          <w:iCs/>
          <w:color w:val="000000" w:themeColor="text1"/>
          <w:szCs w:val="24"/>
        </w:rPr>
        <w:t>Journal of Future Studies, 25</w:t>
      </w:r>
      <w:r w:rsidRPr="00B33E2B">
        <w:rPr>
          <w:color w:val="000000" w:themeColor="text1"/>
          <w:szCs w:val="24"/>
        </w:rPr>
        <w:t xml:space="preserve">(4), 1-16. </w:t>
      </w:r>
      <w:hyperlink r:id="rId42" w:history="1">
        <w:r w:rsidR="001126D9" w:rsidRPr="003620D2">
          <w:rPr>
            <w:rStyle w:val="Hyperlink"/>
            <w:rFonts w:cs="Times New Roman"/>
            <w:szCs w:val="24"/>
          </w:rPr>
          <w:t>https://doi.org/</w:t>
        </w:r>
        <w:r w:rsidR="001126D9" w:rsidRPr="003620D2">
          <w:rPr>
            <w:rStyle w:val="Hyperlink"/>
            <w:szCs w:val="24"/>
          </w:rPr>
          <w:t>10.6531/JFS.202106_25(4).0001</w:t>
        </w:r>
      </w:hyperlink>
    </w:p>
    <w:p w14:paraId="08A4E99E" w14:textId="77777777" w:rsidR="00F10E1A" w:rsidRDefault="00FD6217" w:rsidP="002C629C">
      <w:pPr>
        <w:widowControl w:val="0"/>
        <w:ind w:left="480" w:hangingChars="200" w:hanging="480"/>
        <w:contextualSpacing/>
      </w:pPr>
      <w:r w:rsidRPr="00A921C4">
        <w:rPr>
          <w:rFonts w:cs="Times New Roman"/>
          <w:bCs/>
          <w:szCs w:val="24"/>
        </w:rPr>
        <w:t>Newman, D. B., Sachs, M. E., Stone, A. A., &amp; Schwarz, N. (2020). Nostalgia and well-being in daily life: An ecological validity perspective. </w:t>
      </w:r>
      <w:r w:rsidRPr="00A921C4">
        <w:rPr>
          <w:rFonts w:cs="Times New Roman"/>
          <w:bCs/>
          <w:i/>
          <w:iCs/>
          <w:szCs w:val="24"/>
        </w:rPr>
        <w:t>Journal of Personality and Social Psychology, 118</w:t>
      </w:r>
      <w:r w:rsidRPr="00A921C4">
        <w:rPr>
          <w:rFonts w:cs="Times New Roman"/>
          <w:bCs/>
          <w:szCs w:val="24"/>
        </w:rPr>
        <w:t>(2), 325–347. </w:t>
      </w:r>
      <w:hyperlink r:id="rId43" w:tgtFrame="_blank" w:history="1">
        <w:r w:rsidRPr="00FD6217">
          <w:rPr>
            <w:rStyle w:val="Hyperlink"/>
            <w:rFonts w:cs="Times New Roman"/>
            <w:bCs/>
            <w:color w:val="000000" w:themeColor="text1"/>
            <w:szCs w:val="24"/>
            <w:u w:val="none"/>
          </w:rPr>
          <w:t>https://doi.org/10.1037/pspp0000236</w:t>
        </w:r>
      </w:hyperlink>
      <w:r w:rsidR="00F10E1A">
        <w:t xml:space="preserve"> </w:t>
      </w:r>
    </w:p>
    <w:p w14:paraId="5A56BBE3" w14:textId="77777777" w:rsidR="00C43A8B" w:rsidRDefault="00F56312" w:rsidP="002C629C">
      <w:pPr>
        <w:widowControl w:val="0"/>
        <w:ind w:left="480" w:hangingChars="200" w:hanging="480"/>
        <w:contextualSpacing/>
      </w:pPr>
      <w:r w:rsidRPr="00F56312">
        <w:t>Panksepp, J. (1998). </w:t>
      </w:r>
      <w:r w:rsidRPr="00F56312">
        <w:rPr>
          <w:i/>
          <w:iCs/>
        </w:rPr>
        <w:t>Affective neuroscience: The foundations of human and animal emotions.</w:t>
      </w:r>
      <w:r w:rsidRPr="00F56312">
        <w:t> Oxford University Press.</w:t>
      </w:r>
    </w:p>
    <w:p w14:paraId="7EB7E27E" w14:textId="4C72E967" w:rsidR="00C43A8B" w:rsidRDefault="00C43A8B" w:rsidP="002C629C">
      <w:pPr>
        <w:widowControl w:val="0"/>
        <w:ind w:left="480" w:hangingChars="200" w:hanging="480"/>
        <w:contextualSpacing/>
        <w:rPr>
          <w:rFonts w:cs="Times New Roman"/>
          <w:color w:val="000000" w:themeColor="text1"/>
          <w:szCs w:val="24"/>
        </w:rPr>
      </w:pPr>
      <w:r w:rsidRPr="00B33E2B">
        <w:rPr>
          <w:rFonts w:cs="Times New Roman"/>
          <w:color w:val="000000" w:themeColor="text1"/>
          <w:szCs w:val="24"/>
        </w:rPr>
        <w:t xml:space="preserve">Protzko, J., &amp; Schooler, J. W. (2019). Kids these days: Why the youth of today seem lacking. </w:t>
      </w:r>
      <w:r w:rsidRPr="00B33E2B">
        <w:rPr>
          <w:rFonts w:cs="Times New Roman"/>
          <w:i/>
          <w:iCs/>
          <w:color w:val="000000" w:themeColor="text1"/>
          <w:szCs w:val="24"/>
        </w:rPr>
        <w:t>Science Advances, 5</w:t>
      </w:r>
      <w:r w:rsidRPr="00B33E2B">
        <w:rPr>
          <w:rFonts w:cs="Times New Roman"/>
          <w:color w:val="000000" w:themeColor="text1"/>
          <w:szCs w:val="24"/>
        </w:rPr>
        <w:t>, Article eaav5916. https://doi.org/10.1126/sciadv.aav5916</w:t>
      </w:r>
    </w:p>
    <w:p w14:paraId="18318B7A" w14:textId="77777777" w:rsidR="00035938" w:rsidRDefault="00035938" w:rsidP="002C629C">
      <w:pPr>
        <w:widowControl w:val="0"/>
        <w:ind w:left="480" w:hangingChars="200" w:hanging="480"/>
        <w:contextualSpacing/>
        <w:rPr>
          <w:rFonts w:cs="Times New Roman"/>
          <w:color w:val="000000" w:themeColor="text1"/>
          <w:szCs w:val="24"/>
        </w:rPr>
      </w:pPr>
      <w:r w:rsidRPr="00B33E2B">
        <w:rPr>
          <w:rFonts w:cs="Times New Roman"/>
          <w:color w:val="000000" w:themeColor="text1"/>
          <w:szCs w:val="24"/>
        </w:rPr>
        <w:t xml:space="preserve">Putnam, R. D. (2000). </w:t>
      </w:r>
      <w:r w:rsidRPr="00B33E2B">
        <w:rPr>
          <w:rFonts w:cs="Times New Roman"/>
          <w:i/>
          <w:iCs/>
          <w:color w:val="000000" w:themeColor="text1"/>
          <w:szCs w:val="24"/>
        </w:rPr>
        <w:t>Bowling alone: The collapse and revival of American community</w:t>
      </w:r>
      <w:r w:rsidRPr="00B33E2B">
        <w:rPr>
          <w:rFonts w:cs="Times New Roman"/>
          <w:color w:val="000000" w:themeColor="text1"/>
          <w:szCs w:val="24"/>
        </w:rPr>
        <w:t>. Simon &amp; Schuster.</w:t>
      </w:r>
    </w:p>
    <w:p w14:paraId="269692AC" w14:textId="28D54129" w:rsidR="006D4370" w:rsidRDefault="00F10E1A" w:rsidP="002C629C">
      <w:pPr>
        <w:widowControl w:val="0"/>
        <w:ind w:left="480" w:hangingChars="200" w:hanging="480"/>
        <w:contextualSpacing/>
        <w:rPr>
          <w:szCs w:val="44"/>
        </w:rPr>
      </w:pPr>
      <w:r w:rsidRPr="00F10E1A">
        <w:rPr>
          <w:szCs w:val="44"/>
        </w:rPr>
        <w:t>Robitschek, C. (1998). Personal growth initiative: The construct and its measure. </w:t>
      </w:r>
      <w:r w:rsidRPr="00F10E1A">
        <w:rPr>
          <w:i/>
          <w:iCs/>
          <w:szCs w:val="44"/>
        </w:rPr>
        <w:t>Measurement and Evaluation in Counseling and Development, 30</w:t>
      </w:r>
      <w:r w:rsidRPr="00F10E1A">
        <w:rPr>
          <w:szCs w:val="44"/>
        </w:rPr>
        <w:t>(4), 183–198.</w:t>
      </w:r>
    </w:p>
    <w:p w14:paraId="3B87989E" w14:textId="77777777" w:rsidR="00FD6217" w:rsidRDefault="00FD6217" w:rsidP="002C629C">
      <w:pPr>
        <w:widowControl w:val="0"/>
        <w:ind w:left="480" w:hangingChars="200" w:hanging="480"/>
        <w:contextualSpacing/>
      </w:pPr>
      <w:r w:rsidRPr="00FD6217">
        <w:t>Robitschek, C., Ashton, M. W., Spering, C. C., Geiger, N., Byers, D., Schotts, G. C., &amp; Thoen, M. A. (2012). Development and psychometric evaluation of the Personal Growth Initiative Scale–II. </w:t>
      </w:r>
      <w:r w:rsidRPr="00FD6217">
        <w:rPr>
          <w:i/>
          <w:iCs/>
        </w:rPr>
        <w:t>Journal of Counseling Psychology, 59</w:t>
      </w:r>
      <w:r w:rsidRPr="00FD6217">
        <w:t>(2), 274–287.</w:t>
      </w:r>
    </w:p>
    <w:p w14:paraId="5548E353" w14:textId="57F643D8" w:rsidR="00FD6217" w:rsidRPr="00FD6217" w:rsidRDefault="00FD6217" w:rsidP="002C629C">
      <w:pPr>
        <w:widowControl w:val="0"/>
        <w:ind w:left="60" w:firstLine="360"/>
        <w:contextualSpacing/>
      </w:pPr>
      <w:hyperlink r:id="rId44" w:history="1">
        <w:r w:rsidRPr="00FD6217">
          <w:rPr>
            <w:rStyle w:val="Hyperlink"/>
            <w:color w:val="auto"/>
            <w:u w:val="none"/>
          </w:rPr>
          <w:t>https://doi.org/10.1037/a0027310</w:t>
        </w:r>
      </w:hyperlink>
    </w:p>
    <w:p w14:paraId="62C45878" w14:textId="77777777" w:rsidR="006D4370" w:rsidRDefault="006D4370" w:rsidP="002C629C">
      <w:pPr>
        <w:widowControl w:val="0"/>
        <w:ind w:left="480" w:hangingChars="200" w:hanging="480"/>
        <w:contextualSpacing/>
      </w:pPr>
      <w:r w:rsidRPr="00300D50">
        <w:rPr>
          <w:rFonts w:cs="Times New Roman"/>
        </w:rPr>
        <w:t>Robitschek, C., &amp; Cook, S. W. (1999). The influence of personal growth initiative and coping styles on career exploration and vocational identity. </w:t>
      </w:r>
      <w:r w:rsidRPr="00300D50">
        <w:rPr>
          <w:rFonts w:cs="Times New Roman"/>
          <w:i/>
          <w:iCs/>
        </w:rPr>
        <w:t>Journal of Vocational Behavior, 54</w:t>
      </w:r>
      <w:r w:rsidRPr="00300D50">
        <w:rPr>
          <w:rFonts w:cs="Times New Roman"/>
        </w:rPr>
        <w:t xml:space="preserve">(1), </w:t>
      </w:r>
      <w:r w:rsidRPr="00300D50">
        <w:rPr>
          <w:rFonts w:cs="Times New Roman"/>
        </w:rPr>
        <w:lastRenderedPageBreak/>
        <w:t>127–141. </w:t>
      </w:r>
      <w:hyperlink r:id="rId45" w:tgtFrame="_blank" w:history="1">
        <w:r w:rsidRPr="00300D50">
          <w:rPr>
            <w:rStyle w:val="Hyperlink"/>
            <w:rFonts w:cs="Times New Roman"/>
            <w:color w:val="auto"/>
            <w:u w:val="none"/>
          </w:rPr>
          <w:t>https://doi.org/10.1006/jvbe.1998.1650</w:t>
        </w:r>
      </w:hyperlink>
    </w:p>
    <w:p w14:paraId="761B3062" w14:textId="77777777" w:rsidR="006D4370" w:rsidRDefault="00FD6217" w:rsidP="002C629C">
      <w:pPr>
        <w:widowControl w:val="0"/>
        <w:ind w:left="480" w:hangingChars="200" w:hanging="480"/>
        <w:contextualSpacing/>
      </w:pPr>
      <w:r w:rsidRPr="00FD6217">
        <w:rPr>
          <w:rFonts w:cs="Times New Roman"/>
          <w:bCs/>
          <w:color w:val="000000" w:themeColor="text1"/>
          <w:szCs w:val="24"/>
          <w:lang w:val="en-GB"/>
        </w:rPr>
        <w:t>Schönbrodt, F. D., &amp; Perugini, M. (2013). At what sample size do correlations stabilize? </w:t>
      </w:r>
      <w:r w:rsidRPr="00FD6217">
        <w:rPr>
          <w:rFonts w:cs="Times New Roman"/>
          <w:bCs/>
          <w:i/>
          <w:iCs/>
          <w:color w:val="000000" w:themeColor="text1"/>
          <w:szCs w:val="24"/>
          <w:lang w:val="en-GB"/>
        </w:rPr>
        <w:t>Journal of Research in Personality, 47</w:t>
      </w:r>
      <w:r w:rsidRPr="00FD6217">
        <w:rPr>
          <w:rFonts w:cs="Times New Roman"/>
          <w:bCs/>
          <w:color w:val="000000" w:themeColor="text1"/>
          <w:szCs w:val="24"/>
          <w:lang w:val="en-GB"/>
        </w:rPr>
        <w:t>(5), 609–612</w:t>
      </w:r>
      <w:r w:rsidRPr="00FD6217">
        <w:rPr>
          <w:rFonts w:cs="Times New Roman"/>
          <w:bCs/>
          <w:szCs w:val="24"/>
          <w:lang w:val="en-GB"/>
        </w:rPr>
        <w:t>. </w:t>
      </w:r>
      <w:hyperlink r:id="rId46" w:tgtFrame="_blank" w:history="1">
        <w:r w:rsidRPr="00FD6217">
          <w:rPr>
            <w:rStyle w:val="Hyperlink"/>
            <w:rFonts w:cs="Times New Roman"/>
            <w:bCs/>
            <w:color w:val="auto"/>
            <w:szCs w:val="24"/>
            <w:u w:val="none"/>
            <w:lang w:val="en-GB"/>
          </w:rPr>
          <w:t>https://doi.org/10.1016/j.jrp.2013.05.009</w:t>
        </w:r>
      </w:hyperlink>
      <w:r w:rsidR="00A44438">
        <w:t xml:space="preserve"> </w:t>
      </w:r>
    </w:p>
    <w:p w14:paraId="542189AA" w14:textId="77777777" w:rsidR="00AD098A" w:rsidRDefault="006D4370" w:rsidP="00AD098A">
      <w:pPr>
        <w:widowControl w:val="0"/>
        <w:ind w:left="480" w:hangingChars="200" w:hanging="480"/>
        <w:contextualSpacing/>
        <w:rPr>
          <w:rFonts w:cs="Times New Roman"/>
        </w:rPr>
      </w:pPr>
      <w:r w:rsidRPr="00C32402">
        <w:rPr>
          <w:rFonts w:cs="Times New Roman"/>
        </w:rPr>
        <w:t xml:space="preserve">Sedikides, C., Cheung, W.Y., Wildschut, T., Hepper, E. G., Baldursson, E., &amp; Pedersen, B. (2018). Nostalgia motivates pursuit of important goals by increasing meaning in life. </w:t>
      </w:r>
      <w:r w:rsidRPr="00C32402">
        <w:rPr>
          <w:rFonts w:cs="Times New Roman"/>
          <w:i/>
        </w:rPr>
        <w:t>European Journal of Social Psychology, 48</w:t>
      </w:r>
      <w:r w:rsidRPr="00C32402">
        <w:rPr>
          <w:rFonts w:cs="Times New Roman"/>
          <w:iCs/>
        </w:rPr>
        <w:t>(2)</w:t>
      </w:r>
      <w:r w:rsidRPr="00C32402">
        <w:rPr>
          <w:rFonts w:cs="Times New Roman"/>
        </w:rPr>
        <w:t>, 209</w:t>
      </w:r>
      <w:r w:rsidRPr="00C32402">
        <w:rPr>
          <w:rFonts w:cs="Times New Roman"/>
          <w:color w:val="333333"/>
          <w:shd w:val="clear" w:color="auto" w:fill="FFFFFF"/>
        </w:rPr>
        <w:t>–</w:t>
      </w:r>
      <w:r w:rsidRPr="00C32402">
        <w:rPr>
          <w:rFonts w:cs="Times New Roman"/>
        </w:rPr>
        <w:t>216. https://doi.org/10.1002/ejsp.2318</w:t>
      </w:r>
      <w:r>
        <w:rPr>
          <w:rFonts w:cs="Times New Roman"/>
        </w:rPr>
        <w:t xml:space="preserve"> </w:t>
      </w:r>
    </w:p>
    <w:p w14:paraId="1E43AFE1" w14:textId="25AB1BE5" w:rsidR="00AD098A" w:rsidRDefault="00AD098A" w:rsidP="002C629C">
      <w:pPr>
        <w:widowControl w:val="0"/>
        <w:ind w:left="480" w:hangingChars="200" w:hanging="480"/>
        <w:contextualSpacing/>
        <w:rPr>
          <w:rFonts w:cs="Times New Roman"/>
        </w:rPr>
      </w:pPr>
      <w:r w:rsidRPr="004567B2">
        <w:rPr>
          <w:rFonts w:cs="Times New Roman"/>
          <w:color w:val="000000"/>
          <w:szCs w:val="24"/>
        </w:rPr>
        <w:t xml:space="preserve">Sedikides, C., &amp; Hepper, E. G. D. (2009). Self-improvement. </w:t>
      </w:r>
      <w:r w:rsidRPr="004567B2">
        <w:rPr>
          <w:rFonts w:cs="Times New Roman"/>
          <w:i/>
          <w:color w:val="000000"/>
          <w:szCs w:val="24"/>
        </w:rPr>
        <w:t>Social and Personality Psychology Compass, 3</w:t>
      </w:r>
      <w:r w:rsidRPr="004567B2">
        <w:rPr>
          <w:rFonts w:cs="Times New Roman"/>
          <w:iCs/>
          <w:color w:val="000000"/>
          <w:szCs w:val="24"/>
        </w:rPr>
        <w:t>(6), 899</w:t>
      </w:r>
      <w:r w:rsidRPr="004567B2">
        <w:rPr>
          <w:rFonts w:cs="Times New Roman"/>
          <w:color w:val="333333"/>
          <w:szCs w:val="24"/>
          <w:shd w:val="clear" w:color="auto" w:fill="FFFFFF"/>
        </w:rPr>
        <w:t>–</w:t>
      </w:r>
      <w:r w:rsidRPr="004567B2">
        <w:rPr>
          <w:rFonts w:cs="Times New Roman"/>
          <w:iCs/>
          <w:color w:val="000000"/>
          <w:szCs w:val="24"/>
        </w:rPr>
        <w:t>917</w:t>
      </w:r>
      <w:r w:rsidRPr="004567B2">
        <w:rPr>
          <w:rFonts w:cs="Times New Roman"/>
          <w:color w:val="000000"/>
          <w:szCs w:val="24"/>
        </w:rPr>
        <w:t xml:space="preserve">. </w:t>
      </w:r>
      <w:hyperlink r:id="rId47" w:history="1">
        <w:r w:rsidRPr="004567B2">
          <w:rPr>
            <w:rStyle w:val="Hyperlink"/>
            <w:rFonts w:cs="Times New Roman"/>
            <w:color w:val="000000"/>
            <w:szCs w:val="24"/>
            <w:u w:val="none"/>
          </w:rPr>
          <w:t>https://doi.org/10.1111/j.1751-9004.2009.00231.x</w:t>
        </w:r>
      </w:hyperlink>
    </w:p>
    <w:p w14:paraId="0783FF6C" w14:textId="47BA04DF" w:rsidR="006D4370" w:rsidRDefault="006D4370" w:rsidP="002C629C">
      <w:pPr>
        <w:widowControl w:val="0"/>
        <w:ind w:left="480" w:hangingChars="200" w:hanging="480"/>
        <w:contextualSpacing/>
      </w:pPr>
      <w:r>
        <w:rPr>
          <w:rFonts w:cs="Times New Roman"/>
        </w:rPr>
        <w:t>S</w:t>
      </w:r>
      <w:r w:rsidRPr="00C32402">
        <w:rPr>
          <w:rFonts w:cs="Times New Roman"/>
          <w:lang w:val="de-DE"/>
        </w:rPr>
        <w:t>edikides, C., Hong, E., &amp; Wildschut, T. (2023).</w:t>
      </w:r>
      <w:r>
        <w:rPr>
          <w:rFonts w:cs="Times New Roman"/>
          <w:lang w:val="de-DE"/>
        </w:rPr>
        <w:t xml:space="preserve"> </w:t>
      </w:r>
      <w:r w:rsidRPr="00C32402">
        <w:rPr>
          <w:rFonts w:cs="Times New Roman"/>
        </w:rPr>
        <w:t xml:space="preserve">Self-continuity. </w:t>
      </w:r>
      <w:r w:rsidRPr="00C32402">
        <w:rPr>
          <w:rFonts w:cs="Times New Roman"/>
          <w:i/>
        </w:rPr>
        <w:t>Annual Review of Psychology, 74</w:t>
      </w:r>
      <w:r w:rsidRPr="00C32402">
        <w:rPr>
          <w:rFonts w:cs="Times New Roman"/>
        </w:rPr>
        <w:t>, 333–361. https://doi.org/10.1146/annurev-psych-032420-032236</w:t>
      </w:r>
      <w:r>
        <w:rPr>
          <w:rFonts w:cs="Times New Roman"/>
        </w:rPr>
        <w:t xml:space="preserve"> </w:t>
      </w:r>
    </w:p>
    <w:p w14:paraId="7B09762C" w14:textId="77777777" w:rsidR="00BC2896" w:rsidRDefault="00A44438" w:rsidP="002C629C">
      <w:pPr>
        <w:widowControl w:val="0"/>
        <w:ind w:left="480" w:hangingChars="200" w:hanging="480"/>
        <w:contextualSpacing/>
      </w:pPr>
      <w:r w:rsidRPr="00A921C4">
        <w:rPr>
          <w:szCs w:val="24"/>
        </w:rPr>
        <w:t>Sedikides, C., &amp; Wildschut, T. (2016</w:t>
      </w:r>
      <w:r w:rsidR="00B45CEE">
        <w:rPr>
          <w:szCs w:val="24"/>
        </w:rPr>
        <w:t>a</w:t>
      </w:r>
      <w:r w:rsidRPr="00A921C4">
        <w:rPr>
          <w:szCs w:val="24"/>
        </w:rPr>
        <w:t xml:space="preserve">). Nostalgia: A bittersweet emotion that confers psychological health benefits. In A. M. Wood &amp; J. Johnson (Eds.), </w:t>
      </w:r>
      <w:r w:rsidRPr="00A921C4">
        <w:rPr>
          <w:i/>
          <w:szCs w:val="24"/>
        </w:rPr>
        <w:t>Wiley handbook of positive clinical psychology</w:t>
      </w:r>
      <w:r w:rsidRPr="00A921C4">
        <w:rPr>
          <w:szCs w:val="24"/>
        </w:rPr>
        <w:t xml:space="preserve"> (pp. 25</w:t>
      </w:r>
      <w:r w:rsidRPr="00A921C4">
        <w:rPr>
          <w:color w:val="333333"/>
          <w:szCs w:val="24"/>
          <w:shd w:val="clear" w:color="auto" w:fill="FFFFFF"/>
        </w:rPr>
        <w:t>–</w:t>
      </w:r>
      <w:r w:rsidRPr="00A921C4">
        <w:rPr>
          <w:szCs w:val="24"/>
        </w:rPr>
        <w:t xml:space="preserve">36). Wiley </w:t>
      </w:r>
      <w:r w:rsidRPr="00A921C4">
        <w:rPr>
          <w:color w:val="333333"/>
          <w:szCs w:val="24"/>
          <w:shd w:val="clear" w:color="auto" w:fill="FFFFFF"/>
        </w:rPr>
        <w:t>Blackwell</w:t>
      </w:r>
      <w:r w:rsidRPr="00A921C4">
        <w:rPr>
          <w:szCs w:val="24"/>
        </w:rPr>
        <w:t xml:space="preserve">. </w:t>
      </w:r>
      <w:r w:rsidRPr="00A44438">
        <w:rPr>
          <w:rStyle w:val="Hyperlink"/>
          <w:color w:val="000000"/>
          <w:szCs w:val="24"/>
          <w:u w:val="none"/>
        </w:rPr>
        <w:t>http://dx.doi.org/</w:t>
      </w:r>
      <w:hyperlink r:id="rId48" w:history="1">
        <w:r w:rsidRPr="00A44438">
          <w:rPr>
            <w:rStyle w:val="Hyperlink"/>
            <w:color w:val="000000"/>
            <w:szCs w:val="24"/>
            <w:u w:val="none"/>
          </w:rPr>
          <w:t>10.1002/9781118468197.ch9</w:t>
        </w:r>
      </w:hyperlink>
    </w:p>
    <w:p w14:paraId="78F692FF" w14:textId="350780E7" w:rsidR="00BC2896" w:rsidRPr="00A44438" w:rsidRDefault="00BC2896" w:rsidP="002C629C">
      <w:pPr>
        <w:widowControl w:val="0"/>
        <w:ind w:left="480" w:hangingChars="200" w:hanging="480"/>
        <w:contextualSpacing/>
        <w:rPr>
          <w:color w:val="000000"/>
          <w:szCs w:val="24"/>
        </w:rPr>
      </w:pPr>
      <w:r w:rsidRPr="00C32402">
        <w:rPr>
          <w:rFonts w:cs="Times New Roman"/>
        </w:rPr>
        <w:t>Sedikides, C., &amp; Wildschut, T. (2016</w:t>
      </w:r>
      <w:r>
        <w:rPr>
          <w:rFonts w:cs="Times New Roman"/>
        </w:rPr>
        <w:t>b</w:t>
      </w:r>
      <w:r w:rsidRPr="00C32402">
        <w:rPr>
          <w:rFonts w:cs="Times New Roman"/>
        </w:rPr>
        <w:t xml:space="preserve">). Past forward: Nostalgia as a motivational force. </w:t>
      </w:r>
      <w:r w:rsidRPr="00C32402">
        <w:rPr>
          <w:rFonts w:cs="Times New Roman"/>
          <w:i/>
        </w:rPr>
        <w:t>Trends in Cognitive Sciences, 20</w:t>
      </w:r>
      <w:r w:rsidRPr="00C32402">
        <w:rPr>
          <w:rFonts w:cs="Times New Roman"/>
          <w:iCs/>
        </w:rPr>
        <w:t>(5)</w:t>
      </w:r>
      <w:r w:rsidRPr="00C32402">
        <w:rPr>
          <w:rFonts w:cs="Times New Roman"/>
        </w:rPr>
        <w:t>, 319</w:t>
      </w:r>
      <w:r w:rsidRPr="00C32402">
        <w:rPr>
          <w:rFonts w:cs="Times New Roman"/>
          <w:color w:val="333333"/>
          <w:shd w:val="clear" w:color="auto" w:fill="FFFFFF"/>
        </w:rPr>
        <w:t>–</w:t>
      </w:r>
      <w:r w:rsidRPr="00C32402">
        <w:rPr>
          <w:rFonts w:cs="Times New Roman"/>
        </w:rPr>
        <w:t>321. https://doi.org/</w:t>
      </w:r>
      <w:r w:rsidRPr="00C32402">
        <w:rPr>
          <w:rStyle w:val="headertablecelldata"/>
          <w:rFonts w:cs="Times New Roman"/>
        </w:rPr>
        <w:t>10.1016/j.tics.2016.01.008</w:t>
      </w:r>
    </w:p>
    <w:p w14:paraId="099F72ED" w14:textId="77777777" w:rsidR="002C629C" w:rsidRDefault="00A44438" w:rsidP="002C629C">
      <w:pPr>
        <w:widowControl w:val="0"/>
        <w:ind w:left="480" w:hangingChars="200" w:hanging="480"/>
        <w:contextualSpacing/>
        <w:rPr>
          <w:rFonts w:cs="Times New Roman"/>
          <w:bCs/>
          <w:color w:val="000000" w:themeColor="text1"/>
          <w:szCs w:val="24"/>
        </w:rPr>
      </w:pPr>
      <w:r w:rsidRPr="00A921C4">
        <w:rPr>
          <w:rFonts w:cs="Times New Roman"/>
          <w:szCs w:val="24"/>
        </w:rPr>
        <w:t xml:space="preserve">Sedikides, C., &amp; Wildschut, T. (2018). Finding meaning in nostalgia. </w:t>
      </w:r>
      <w:r w:rsidRPr="00A921C4">
        <w:rPr>
          <w:rStyle w:val="Emphasis"/>
          <w:rFonts w:cs="Times New Roman"/>
          <w:szCs w:val="24"/>
        </w:rPr>
        <w:t>Review of General Psychology, 22</w:t>
      </w:r>
      <w:r w:rsidRPr="00A921C4">
        <w:rPr>
          <w:rFonts w:cs="Times New Roman"/>
          <w:szCs w:val="24"/>
        </w:rPr>
        <w:t>(1), 48</w:t>
      </w:r>
      <w:r w:rsidRPr="00A921C4">
        <w:rPr>
          <w:rFonts w:cs="Times New Roman"/>
          <w:szCs w:val="24"/>
          <w:shd w:val="clear" w:color="auto" w:fill="FFFFFF"/>
        </w:rPr>
        <w:t>–</w:t>
      </w:r>
      <w:r w:rsidRPr="00A921C4">
        <w:rPr>
          <w:rFonts w:cs="Times New Roman"/>
          <w:szCs w:val="24"/>
        </w:rPr>
        <w:t xml:space="preserve">61. </w:t>
      </w:r>
      <w:hyperlink r:id="rId49" w:history="1">
        <w:r w:rsidR="00035938" w:rsidRPr="00035938">
          <w:rPr>
            <w:rStyle w:val="Hyperlink"/>
            <w:rFonts w:cs="Times New Roman"/>
            <w:color w:val="000000" w:themeColor="text1"/>
            <w:szCs w:val="24"/>
            <w:u w:val="none"/>
          </w:rPr>
          <w:t>https://doi.org/</w:t>
        </w:r>
        <w:r w:rsidR="00035938" w:rsidRPr="00035938">
          <w:rPr>
            <w:rStyle w:val="Hyperlink"/>
            <w:rFonts w:cs="Times New Roman"/>
            <w:bCs/>
            <w:color w:val="000000" w:themeColor="text1"/>
            <w:szCs w:val="24"/>
            <w:u w:val="none"/>
          </w:rPr>
          <w:t>10.1037/gpr0000109</w:t>
        </w:r>
      </w:hyperlink>
      <w:r w:rsidRPr="00035938">
        <w:rPr>
          <w:rFonts w:cs="Times New Roman"/>
          <w:bCs/>
          <w:color w:val="000000" w:themeColor="text1"/>
          <w:szCs w:val="24"/>
        </w:rPr>
        <w:t xml:space="preserve"> </w:t>
      </w:r>
      <w:bookmarkStart w:id="110" w:name="_Hlk66376709"/>
    </w:p>
    <w:p w14:paraId="5DF54781" w14:textId="6ACD519A" w:rsidR="002C629C" w:rsidRDefault="00035938" w:rsidP="002C629C">
      <w:pPr>
        <w:widowControl w:val="0"/>
        <w:ind w:left="480" w:hangingChars="200" w:hanging="480"/>
        <w:contextualSpacing/>
        <w:rPr>
          <w:rFonts w:cs="Times New Roman"/>
          <w:bCs/>
          <w:color w:val="000000" w:themeColor="text1"/>
          <w:szCs w:val="24"/>
        </w:rPr>
      </w:pPr>
      <w:r w:rsidRPr="00B33E2B">
        <w:rPr>
          <w:color w:val="000000" w:themeColor="text1"/>
          <w:szCs w:val="24"/>
          <w:lang w:val="en-AU" w:eastAsia="en-US"/>
        </w:rPr>
        <w:t xml:space="preserve">Sedikides, C., &amp; Wildschut, T. (2019). The sociality of personal and collective nostalgia. </w:t>
      </w:r>
      <w:r w:rsidRPr="00B33E2B">
        <w:rPr>
          <w:i/>
          <w:color w:val="000000" w:themeColor="text1"/>
          <w:szCs w:val="24"/>
          <w:lang w:val="en-AU" w:eastAsia="en-US"/>
        </w:rPr>
        <w:t>European Review of Social Psychology, 30</w:t>
      </w:r>
      <w:r w:rsidRPr="00B33E2B">
        <w:rPr>
          <w:color w:val="000000" w:themeColor="text1"/>
          <w:szCs w:val="24"/>
          <w:lang w:val="en-AU" w:eastAsia="en-US"/>
        </w:rPr>
        <w:t>(1), 1</w:t>
      </w:r>
      <w:r w:rsidRPr="00B33E2B">
        <w:rPr>
          <w:rFonts w:eastAsia="Calibri"/>
          <w:color w:val="000000" w:themeColor="text1"/>
          <w:szCs w:val="24"/>
          <w:lang w:eastAsia="en-US"/>
        </w:rPr>
        <w:t>23</w:t>
      </w:r>
      <w:r w:rsidRPr="00B33E2B">
        <w:rPr>
          <w:color w:val="000000" w:themeColor="text1"/>
          <w:szCs w:val="24"/>
          <w:shd w:val="clear" w:color="auto" w:fill="FFFFFF"/>
        </w:rPr>
        <w:t>–</w:t>
      </w:r>
      <w:r w:rsidRPr="00B33E2B">
        <w:rPr>
          <w:rFonts w:eastAsia="Calibri"/>
          <w:color w:val="000000" w:themeColor="text1"/>
          <w:szCs w:val="24"/>
          <w:lang w:eastAsia="en-US"/>
        </w:rPr>
        <w:t>173.</w:t>
      </w:r>
      <w:r w:rsidRPr="00B33E2B">
        <w:rPr>
          <w:color w:val="000000" w:themeColor="text1"/>
          <w:szCs w:val="24"/>
          <w:lang w:val="en-AU" w:eastAsia="en-US"/>
        </w:rPr>
        <w:t xml:space="preserve"> </w:t>
      </w:r>
      <w:bookmarkEnd w:id="110"/>
      <w:r w:rsidR="002C629C" w:rsidRPr="002C629C">
        <w:rPr>
          <w:color w:val="000000" w:themeColor="text1"/>
          <w:szCs w:val="24"/>
          <w:lang w:val="en-AU" w:eastAsia="en-US"/>
        </w:rPr>
        <w:t>https://doi.org/</w:t>
      </w:r>
      <w:r w:rsidR="002C629C" w:rsidRPr="002C629C">
        <w:rPr>
          <w:color w:val="000000" w:themeColor="text1"/>
          <w:szCs w:val="24"/>
          <w:shd w:val="clear" w:color="auto" w:fill="FFFFFF"/>
        </w:rPr>
        <w:t>10.1080/10463283.2019.1630098</w:t>
      </w:r>
    </w:p>
    <w:p w14:paraId="3274DE05" w14:textId="156FF019" w:rsidR="002C629C" w:rsidRDefault="00415723" w:rsidP="002C629C">
      <w:pPr>
        <w:widowControl w:val="0"/>
        <w:ind w:left="480" w:hangingChars="200" w:hanging="480"/>
        <w:contextualSpacing/>
        <w:rPr>
          <w:rFonts w:cs="Times New Roman"/>
          <w:bCs/>
          <w:color w:val="000000" w:themeColor="text1"/>
          <w:szCs w:val="24"/>
        </w:rPr>
      </w:pPr>
      <w:r w:rsidRPr="006078FF">
        <w:rPr>
          <w:color w:val="000000"/>
          <w:szCs w:val="24"/>
        </w:rPr>
        <w:t>Sedikides, C., &amp; Wildschut, T. (20</w:t>
      </w:r>
      <w:r>
        <w:rPr>
          <w:color w:val="000000"/>
          <w:szCs w:val="24"/>
        </w:rPr>
        <w:t>20</w:t>
      </w:r>
      <w:r w:rsidRPr="006078FF">
        <w:rPr>
          <w:color w:val="000000"/>
          <w:szCs w:val="24"/>
        </w:rPr>
        <w:t xml:space="preserve">). </w:t>
      </w:r>
      <w:r>
        <w:rPr>
          <w:color w:val="000000"/>
          <w:szCs w:val="24"/>
        </w:rPr>
        <w:t xml:space="preserve">The motivational potency of nostalgia: The future is called yesterday. </w:t>
      </w:r>
      <w:r>
        <w:rPr>
          <w:i/>
          <w:color w:val="000000"/>
          <w:szCs w:val="24"/>
        </w:rPr>
        <w:t>Advances in Motivation Science, 7</w:t>
      </w:r>
      <w:r>
        <w:rPr>
          <w:iCs/>
          <w:color w:val="000000"/>
          <w:szCs w:val="24"/>
        </w:rPr>
        <w:t>, 75</w:t>
      </w:r>
      <w:r w:rsidRPr="00ED5AD3">
        <w:rPr>
          <w:color w:val="333333"/>
          <w:szCs w:val="24"/>
          <w:shd w:val="clear" w:color="auto" w:fill="FFFFFF"/>
        </w:rPr>
        <w:t>–</w:t>
      </w:r>
      <w:r>
        <w:rPr>
          <w:iCs/>
          <w:color w:val="000000"/>
          <w:szCs w:val="24"/>
        </w:rPr>
        <w:t>111</w:t>
      </w:r>
      <w:r>
        <w:rPr>
          <w:color w:val="000000"/>
          <w:szCs w:val="24"/>
        </w:rPr>
        <w:t xml:space="preserve">. </w:t>
      </w:r>
      <w:r w:rsidR="002C629C" w:rsidRPr="002C629C">
        <w:rPr>
          <w:rFonts w:eastAsia="ArialUnicodeMS"/>
          <w:color w:val="000000"/>
          <w:szCs w:val="24"/>
        </w:rPr>
        <w:t>https://doi.org/10.1016/bs.adms.2019.05.001</w:t>
      </w:r>
    </w:p>
    <w:p w14:paraId="23812F9F" w14:textId="77777777" w:rsidR="002C629C" w:rsidRDefault="00415723" w:rsidP="002C629C">
      <w:pPr>
        <w:widowControl w:val="0"/>
        <w:ind w:left="480" w:hangingChars="200" w:hanging="480"/>
        <w:contextualSpacing/>
        <w:rPr>
          <w:rFonts w:cs="Times New Roman"/>
          <w:bCs/>
          <w:color w:val="000000" w:themeColor="text1"/>
          <w:szCs w:val="24"/>
        </w:rPr>
      </w:pPr>
      <w:r w:rsidRPr="00DC6583">
        <w:rPr>
          <w:bCs/>
          <w:szCs w:val="24"/>
        </w:rPr>
        <w:t>Sedikides, C., &amp; Wildschut, T. (202</w:t>
      </w:r>
      <w:r>
        <w:rPr>
          <w:bCs/>
          <w:szCs w:val="24"/>
        </w:rPr>
        <w:t>3</w:t>
      </w:r>
      <w:r w:rsidR="00425549">
        <w:rPr>
          <w:bCs/>
          <w:szCs w:val="24"/>
        </w:rPr>
        <w:t>a</w:t>
      </w:r>
      <w:r w:rsidRPr="00DC6583">
        <w:rPr>
          <w:bCs/>
          <w:szCs w:val="24"/>
        </w:rPr>
        <w:t xml:space="preserve">). Nostalgia as motivation. </w:t>
      </w:r>
      <w:r w:rsidRPr="00DC6583">
        <w:rPr>
          <w:bCs/>
          <w:i/>
          <w:iCs/>
          <w:szCs w:val="24"/>
        </w:rPr>
        <w:t>Current Opinion in Psychology</w:t>
      </w:r>
      <w:r>
        <w:rPr>
          <w:bCs/>
          <w:i/>
          <w:iCs/>
          <w:szCs w:val="24"/>
        </w:rPr>
        <w:t>,</w:t>
      </w:r>
      <w:r w:rsidRPr="00DC6583">
        <w:rPr>
          <w:szCs w:val="24"/>
        </w:rPr>
        <w:t xml:space="preserve"> </w:t>
      </w:r>
      <w:r w:rsidRPr="00DC6583">
        <w:rPr>
          <w:i/>
          <w:iCs/>
          <w:szCs w:val="24"/>
        </w:rPr>
        <w:t>49</w:t>
      </w:r>
      <w:r>
        <w:rPr>
          <w:szCs w:val="24"/>
        </w:rPr>
        <w:t xml:space="preserve">, </w:t>
      </w:r>
      <w:r>
        <w:rPr>
          <w:color w:val="201F1E"/>
          <w:szCs w:val="24"/>
          <w:shd w:val="clear" w:color="auto" w:fill="FFFFFF"/>
        </w:rPr>
        <w:t xml:space="preserve">Article </w:t>
      </w:r>
      <w:r w:rsidRPr="00DC6583">
        <w:rPr>
          <w:szCs w:val="24"/>
        </w:rPr>
        <w:t>101537</w:t>
      </w:r>
      <w:r w:rsidRPr="00DC6583">
        <w:rPr>
          <w:bCs/>
          <w:szCs w:val="24"/>
        </w:rPr>
        <w:t xml:space="preserve">. </w:t>
      </w:r>
      <w:r w:rsidRPr="00DC6583">
        <w:rPr>
          <w:szCs w:val="24"/>
        </w:rPr>
        <w:t>https://doi.org/10.1016/j.copsyc.2022.101537</w:t>
      </w:r>
      <w:r w:rsidR="00035938">
        <w:rPr>
          <w:szCs w:val="24"/>
        </w:rPr>
        <w:t xml:space="preserve"> </w:t>
      </w:r>
    </w:p>
    <w:p w14:paraId="52B7CBA6" w14:textId="026D842E" w:rsidR="002C629C" w:rsidRDefault="00425549" w:rsidP="002C629C">
      <w:pPr>
        <w:widowControl w:val="0"/>
        <w:ind w:left="480" w:hangingChars="200" w:hanging="480"/>
        <w:contextualSpacing/>
        <w:rPr>
          <w:rFonts w:cs="Times New Roman"/>
          <w:bCs/>
          <w:color w:val="000000" w:themeColor="text1"/>
          <w:szCs w:val="24"/>
        </w:rPr>
      </w:pPr>
      <w:r w:rsidRPr="00465F84">
        <w:rPr>
          <w:szCs w:val="24"/>
          <w:lang w:val="de-DE"/>
        </w:rPr>
        <w:t>Sedikides, C., &amp; Wildschut, T. (2023</w:t>
      </w:r>
      <w:r>
        <w:rPr>
          <w:szCs w:val="24"/>
          <w:lang w:val="de-DE"/>
        </w:rPr>
        <w:t>b</w:t>
      </w:r>
      <w:r w:rsidRPr="00465F84">
        <w:rPr>
          <w:szCs w:val="24"/>
          <w:lang w:val="de-DE"/>
        </w:rPr>
        <w:t xml:space="preserve">). </w:t>
      </w:r>
      <w:r w:rsidRPr="00465F84">
        <w:rPr>
          <w:szCs w:val="24"/>
        </w:rPr>
        <w:t xml:space="preserve">The psychological, social, and societal relevance of </w:t>
      </w:r>
      <w:r w:rsidRPr="0081513E">
        <w:rPr>
          <w:szCs w:val="24"/>
        </w:rPr>
        <w:lastRenderedPageBreak/>
        <w:t xml:space="preserve">nostalgia. </w:t>
      </w:r>
      <w:r w:rsidRPr="0081513E">
        <w:rPr>
          <w:i/>
          <w:iCs/>
          <w:szCs w:val="24"/>
        </w:rPr>
        <w:t>Current Opinion in Psychology, 52</w:t>
      </w:r>
      <w:r w:rsidRPr="0081513E">
        <w:rPr>
          <w:bCs/>
          <w:szCs w:val="24"/>
          <w:lang w:val="de-DE"/>
        </w:rPr>
        <w:t xml:space="preserve">, </w:t>
      </w:r>
      <w:r>
        <w:rPr>
          <w:color w:val="201F1E"/>
          <w:szCs w:val="24"/>
          <w:shd w:val="clear" w:color="auto" w:fill="FFFFFF"/>
        </w:rPr>
        <w:t xml:space="preserve">Article </w:t>
      </w:r>
      <w:r w:rsidRPr="0081513E">
        <w:rPr>
          <w:szCs w:val="24"/>
        </w:rPr>
        <w:t>101609.</w:t>
      </w:r>
      <w:r w:rsidRPr="00465F84">
        <w:rPr>
          <w:color w:val="2E2E2E"/>
          <w:szCs w:val="24"/>
        </w:rPr>
        <w:t xml:space="preserve"> </w:t>
      </w:r>
      <w:r w:rsidR="002C629C" w:rsidRPr="002C629C">
        <w:rPr>
          <w:szCs w:val="24"/>
          <w:lang w:val="de-DE"/>
        </w:rPr>
        <w:t>https://doi.org/10.1016/j.copsyc.2023.101609</w:t>
      </w:r>
    </w:p>
    <w:p w14:paraId="776AA16B" w14:textId="77777777" w:rsidR="00542D8D" w:rsidRPr="007C1800" w:rsidRDefault="00542D8D" w:rsidP="00542D8D">
      <w:pPr>
        <w:ind w:left="720" w:hanging="720"/>
        <w:rPr>
          <w:color w:val="000000"/>
          <w:szCs w:val="24"/>
          <w:shd w:val="clear" w:color="auto" w:fill="FFFFFF"/>
        </w:rPr>
      </w:pPr>
      <w:r>
        <w:rPr>
          <w:bCs/>
          <w:szCs w:val="24"/>
          <w:lang w:val="de-DE"/>
        </w:rPr>
        <w:t xml:space="preserve">Sedikides, C., &amp; Wildschut, T. (2024). Trait nostalgia. </w:t>
      </w:r>
      <w:r>
        <w:rPr>
          <w:bCs/>
          <w:i/>
          <w:iCs/>
          <w:szCs w:val="24"/>
          <w:lang w:val="de-DE"/>
        </w:rPr>
        <w:t>Personality and Individual Differences</w:t>
      </w:r>
      <w:r w:rsidRPr="001E5823">
        <w:rPr>
          <w:bCs/>
          <w:i/>
          <w:iCs/>
          <w:szCs w:val="24"/>
          <w:lang w:val="de-DE"/>
        </w:rPr>
        <w:t>, 221</w:t>
      </w:r>
      <w:r>
        <w:rPr>
          <w:bCs/>
          <w:szCs w:val="24"/>
          <w:lang w:val="de-DE"/>
        </w:rPr>
        <w:t xml:space="preserve">, Article </w:t>
      </w:r>
      <w:r w:rsidRPr="00DB3382">
        <w:rPr>
          <w:color w:val="000000"/>
          <w:szCs w:val="24"/>
          <w:shd w:val="clear" w:color="auto" w:fill="FFFFFF"/>
        </w:rPr>
        <w:t>112554.</w:t>
      </w:r>
      <w:r>
        <w:rPr>
          <w:color w:val="000000"/>
          <w:szCs w:val="24"/>
          <w:shd w:val="clear" w:color="auto" w:fill="FFFFFF"/>
        </w:rPr>
        <w:t xml:space="preserve"> </w:t>
      </w:r>
      <w:hyperlink r:id="rId50" w:tgtFrame="_blank" w:tooltip="Persistent link using digital object identifier" w:history="1">
        <w:r w:rsidRPr="007C1800">
          <w:rPr>
            <w:rStyle w:val="anchor-text"/>
            <w:color w:val="000000"/>
            <w:szCs w:val="24"/>
          </w:rPr>
          <w:t>https://doi.org/10.1016/j.paid.2024.112554</w:t>
        </w:r>
      </w:hyperlink>
    </w:p>
    <w:p w14:paraId="4B986B68" w14:textId="3696D009" w:rsidR="00035938" w:rsidRPr="002C629C" w:rsidRDefault="00035938" w:rsidP="002C629C">
      <w:pPr>
        <w:widowControl w:val="0"/>
        <w:ind w:left="480" w:hangingChars="200" w:hanging="480"/>
        <w:contextualSpacing/>
        <w:rPr>
          <w:rStyle w:val="Hyperlink"/>
          <w:rFonts w:cs="Times New Roman"/>
          <w:bCs/>
          <w:color w:val="000000" w:themeColor="text1"/>
          <w:szCs w:val="24"/>
          <w:u w:val="none"/>
        </w:rPr>
      </w:pPr>
      <w:r w:rsidRPr="00B33E2B">
        <w:rPr>
          <w:color w:val="000000" w:themeColor="text1"/>
          <w:szCs w:val="24"/>
          <w:bdr w:val="none" w:sz="0" w:space="0" w:color="auto" w:frame="1"/>
          <w:shd w:val="clear" w:color="auto" w:fill="FFFFFF"/>
        </w:rPr>
        <w:t xml:space="preserve">Sedikides, C., &amp; Wildschut, T. (in press). Nostalgia: The existential value of temporal longing. In K. Vail, D. Van Tongeren, B. Schlegel, J. Greenberg, L. King, &amp; R. Ryan (Eds.), </w:t>
      </w:r>
      <w:r w:rsidRPr="00B33E2B">
        <w:rPr>
          <w:i/>
          <w:iCs/>
          <w:color w:val="000000" w:themeColor="text1"/>
          <w:szCs w:val="24"/>
          <w:bdr w:val="none" w:sz="0" w:space="0" w:color="auto" w:frame="1"/>
          <w:shd w:val="clear" w:color="auto" w:fill="FFFFFF"/>
        </w:rPr>
        <w:t>Handbook of the science of existential psychology</w:t>
      </w:r>
      <w:r w:rsidRPr="00B33E2B">
        <w:rPr>
          <w:color w:val="000000" w:themeColor="text1"/>
          <w:szCs w:val="24"/>
          <w:bdr w:val="none" w:sz="0" w:space="0" w:color="auto" w:frame="1"/>
          <w:shd w:val="clear" w:color="auto" w:fill="FFFFFF"/>
        </w:rPr>
        <w:t>. Guilford Press</w:t>
      </w:r>
      <w:r w:rsidRPr="00B33E2B">
        <w:rPr>
          <w:rFonts w:eastAsia="KaiTi"/>
          <w:bCs/>
          <w:color w:val="000000" w:themeColor="text1"/>
          <w:szCs w:val="24"/>
        </w:rPr>
        <w:t>.</w:t>
      </w:r>
    </w:p>
    <w:p w14:paraId="0484DFC9" w14:textId="77777777" w:rsidR="00035938" w:rsidRDefault="00FD6217" w:rsidP="002C629C">
      <w:pPr>
        <w:widowControl w:val="0"/>
        <w:ind w:left="480" w:hangingChars="200" w:hanging="480"/>
        <w:contextualSpacing/>
        <w:rPr>
          <w:rFonts w:cs="Times New Roman"/>
          <w:szCs w:val="24"/>
        </w:rPr>
      </w:pPr>
      <w:r w:rsidRPr="00A921C4">
        <w:rPr>
          <w:rFonts w:cs="Times New Roman"/>
          <w:szCs w:val="24"/>
        </w:rPr>
        <w:t xml:space="preserve">Sedikides, C., Wildschut, T., Routledge, C., Arndt, J., Hepper, E. G., &amp; Zhou, X. (2015). To nostalgize: Mixing memory with affect and desire. </w:t>
      </w:r>
      <w:r w:rsidRPr="00A921C4">
        <w:rPr>
          <w:rFonts w:cs="Times New Roman"/>
          <w:i/>
          <w:szCs w:val="24"/>
        </w:rPr>
        <w:t>Advances in Experimental Social Psychology, 51</w:t>
      </w:r>
      <w:r w:rsidRPr="00A921C4">
        <w:rPr>
          <w:rFonts w:cs="Times New Roman"/>
          <w:szCs w:val="24"/>
        </w:rPr>
        <w:t>, 189</w:t>
      </w:r>
      <w:r w:rsidRPr="00A921C4">
        <w:rPr>
          <w:rFonts w:cs="Times New Roman"/>
          <w:szCs w:val="24"/>
          <w:shd w:val="clear" w:color="auto" w:fill="FFFFFF"/>
        </w:rPr>
        <w:t>–</w:t>
      </w:r>
      <w:r w:rsidRPr="00A921C4">
        <w:rPr>
          <w:rFonts w:cs="Times New Roman"/>
          <w:szCs w:val="24"/>
        </w:rPr>
        <w:t xml:space="preserve">273. https://doi.org/10.1016/bs.aesp.2014.10.001 </w:t>
      </w:r>
    </w:p>
    <w:p w14:paraId="675B9954" w14:textId="77777777" w:rsidR="00035938" w:rsidRDefault="00035938" w:rsidP="002C629C">
      <w:pPr>
        <w:widowControl w:val="0"/>
        <w:ind w:left="480" w:hangingChars="200" w:hanging="480"/>
        <w:contextualSpacing/>
        <w:rPr>
          <w:color w:val="000000" w:themeColor="text1"/>
          <w:szCs w:val="24"/>
        </w:rPr>
      </w:pPr>
      <w:r w:rsidRPr="00B33E2B">
        <w:rPr>
          <w:rFonts w:cs="Times New Roman"/>
          <w:bCs/>
          <w:color w:val="000000" w:themeColor="text1"/>
          <w:szCs w:val="24"/>
        </w:rPr>
        <w:t xml:space="preserve">Sharot, T. (2011). The optimism bias. </w:t>
      </w:r>
      <w:r w:rsidRPr="00B33E2B">
        <w:rPr>
          <w:rFonts w:eastAsia="Times New Roman" w:cs="Times New Roman"/>
          <w:bCs/>
          <w:i/>
          <w:iCs/>
          <w:color w:val="000000" w:themeColor="text1"/>
          <w:szCs w:val="24"/>
        </w:rPr>
        <w:t>Current Biology</w:t>
      </w:r>
      <w:r w:rsidRPr="00B33E2B">
        <w:rPr>
          <w:rFonts w:cs="Times New Roman"/>
          <w:bCs/>
          <w:i/>
          <w:iCs/>
          <w:color w:val="000000" w:themeColor="text1"/>
          <w:szCs w:val="24"/>
        </w:rPr>
        <w:t xml:space="preserve">, </w:t>
      </w:r>
      <w:r w:rsidRPr="00B33E2B">
        <w:rPr>
          <w:rFonts w:cs="Times New Roman"/>
          <w:bCs/>
          <w:i/>
          <w:color w:val="000000" w:themeColor="text1"/>
          <w:szCs w:val="24"/>
        </w:rPr>
        <w:t>21</w:t>
      </w:r>
      <w:r w:rsidRPr="00B33E2B">
        <w:rPr>
          <w:rFonts w:cs="Times New Roman"/>
          <w:bCs/>
          <w:color w:val="000000" w:themeColor="text1"/>
          <w:szCs w:val="24"/>
        </w:rPr>
        <w:t xml:space="preserve">(23), R941–R945. </w:t>
      </w:r>
      <w:hyperlink r:id="rId51" w:tgtFrame="_blank" w:tooltip="Persistent link using digital object identifier" w:history="1">
        <w:r w:rsidRPr="00B33E2B">
          <w:rPr>
            <w:rStyle w:val="Hyperlink"/>
            <w:rFonts w:eastAsia="Times New Roman" w:cs="Times New Roman"/>
            <w:bCs/>
            <w:color w:val="000000" w:themeColor="text1"/>
            <w:szCs w:val="24"/>
            <w:u w:val="none"/>
          </w:rPr>
          <w:t>https://doi.org/10.1016/j.cub.2011.10.030</w:t>
        </w:r>
      </w:hyperlink>
      <w:r>
        <w:rPr>
          <w:color w:val="000000" w:themeColor="text1"/>
          <w:szCs w:val="24"/>
        </w:rPr>
        <w:t xml:space="preserve"> </w:t>
      </w:r>
    </w:p>
    <w:p w14:paraId="3F61024E" w14:textId="40160C79" w:rsidR="00035938" w:rsidRDefault="00035938" w:rsidP="002C629C">
      <w:pPr>
        <w:widowControl w:val="0"/>
        <w:ind w:left="480" w:hangingChars="200" w:hanging="480"/>
        <w:contextualSpacing/>
        <w:rPr>
          <w:rFonts w:cs="Times New Roman"/>
          <w:szCs w:val="24"/>
        </w:rPr>
      </w:pPr>
      <w:r w:rsidRPr="00B33E2B">
        <w:rPr>
          <w:rFonts w:cs="Times New Roman"/>
          <w:color w:val="000000" w:themeColor="text1"/>
          <w:szCs w:val="24"/>
        </w:rPr>
        <w:t xml:space="preserve">Showalter, E. (1990). </w:t>
      </w:r>
      <w:r w:rsidRPr="00B33E2B">
        <w:rPr>
          <w:rFonts w:cs="Times New Roman"/>
          <w:i/>
          <w:iCs/>
          <w:color w:val="000000" w:themeColor="text1"/>
          <w:szCs w:val="24"/>
        </w:rPr>
        <w:t>Sexual anarchy, gender and culture at the fin de siecle</w:t>
      </w:r>
      <w:r w:rsidRPr="00B33E2B">
        <w:rPr>
          <w:rFonts w:cs="Times New Roman"/>
          <w:color w:val="000000" w:themeColor="text1"/>
          <w:szCs w:val="24"/>
        </w:rPr>
        <w:t>. Viking Press.</w:t>
      </w:r>
    </w:p>
    <w:p w14:paraId="5B55EED6" w14:textId="77777777" w:rsidR="00035938" w:rsidRDefault="00F56312" w:rsidP="002C629C">
      <w:pPr>
        <w:widowControl w:val="0"/>
        <w:ind w:left="480" w:hangingChars="200" w:hanging="480"/>
        <w:contextualSpacing/>
      </w:pPr>
      <w:r w:rsidRPr="00F56312">
        <w:rPr>
          <w:rFonts w:cs="Times New Roman"/>
          <w:szCs w:val="24"/>
        </w:rPr>
        <w:t>Stephan, E., Wildschut, T., Sedikides, C., Zhou, X., He, W., Routledge, C., Cheung, W.-Y., &amp; Vingerhoets, A. J. J. M. (2014). The mnemonic mover: Nostalgia regulates avoidance and approach motivation. </w:t>
      </w:r>
      <w:r w:rsidRPr="00F56312">
        <w:rPr>
          <w:rFonts w:cs="Times New Roman"/>
          <w:i/>
          <w:iCs/>
          <w:szCs w:val="24"/>
        </w:rPr>
        <w:t>Emotion, 14</w:t>
      </w:r>
      <w:r w:rsidRPr="00F56312">
        <w:rPr>
          <w:rFonts w:cs="Times New Roman"/>
          <w:szCs w:val="24"/>
        </w:rPr>
        <w:t>(3), 545–561. </w:t>
      </w:r>
      <w:hyperlink r:id="rId52" w:tgtFrame="_blank" w:history="1">
        <w:r w:rsidRPr="00F56312">
          <w:rPr>
            <w:rStyle w:val="Hyperlink"/>
            <w:rFonts w:cs="Times New Roman"/>
            <w:color w:val="auto"/>
            <w:szCs w:val="24"/>
            <w:u w:val="none"/>
          </w:rPr>
          <w:t>https://doi.org/10.1037/a0035673</w:t>
        </w:r>
      </w:hyperlink>
    </w:p>
    <w:p w14:paraId="7A7A925C" w14:textId="0AB86D59" w:rsidR="00035938" w:rsidRPr="00F56312" w:rsidRDefault="00035938" w:rsidP="002C629C">
      <w:pPr>
        <w:widowControl w:val="0"/>
        <w:ind w:left="480" w:hangingChars="200" w:hanging="480"/>
        <w:contextualSpacing/>
        <w:rPr>
          <w:rFonts w:cs="Times New Roman"/>
          <w:szCs w:val="24"/>
        </w:rPr>
      </w:pPr>
      <w:r w:rsidRPr="00B33E2B">
        <w:rPr>
          <w:rFonts w:cs="Times New Roman"/>
          <w:color w:val="000000" w:themeColor="text1"/>
          <w:szCs w:val="24"/>
        </w:rPr>
        <w:t xml:space="preserve">Stern, B. B. (1992). Historical and personal nostalgia in advertising text: The fin de siecle effect. </w:t>
      </w:r>
      <w:r w:rsidRPr="00B33E2B">
        <w:rPr>
          <w:rFonts w:cs="Times New Roman"/>
          <w:i/>
          <w:color w:val="000000" w:themeColor="text1"/>
          <w:szCs w:val="24"/>
        </w:rPr>
        <w:t>Journal of Advertising</w:t>
      </w:r>
      <w:r w:rsidRPr="00B33E2B">
        <w:rPr>
          <w:rFonts w:cs="Times New Roman"/>
          <w:i/>
          <w:iCs/>
          <w:color w:val="000000" w:themeColor="text1"/>
          <w:szCs w:val="24"/>
        </w:rPr>
        <w:t>,</w:t>
      </w:r>
      <w:r w:rsidRPr="00B33E2B">
        <w:rPr>
          <w:rFonts w:cs="Times New Roman"/>
          <w:color w:val="000000" w:themeColor="text1"/>
          <w:szCs w:val="24"/>
        </w:rPr>
        <w:t xml:space="preserve"> </w:t>
      </w:r>
      <w:r w:rsidRPr="00B33E2B">
        <w:rPr>
          <w:rFonts w:cs="Times New Roman"/>
          <w:i/>
          <w:color w:val="000000" w:themeColor="text1"/>
          <w:szCs w:val="24"/>
        </w:rPr>
        <w:t>21</w:t>
      </w:r>
      <w:r w:rsidRPr="00B33E2B">
        <w:rPr>
          <w:rFonts w:cs="Times New Roman"/>
          <w:color w:val="000000" w:themeColor="text1"/>
          <w:szCs w:val="24"/>
        </w:rPr>
        <w:t>(4), 11</w:t>
      </w:r>
      <w:r w:rsidRPr="00B33E2B">
        <w:rPr>
          <w:rFonts w:cs="Times New Roman"/>
          <w:color w:val="000000" w:themeColor="text1"/>
          <w:szCs w:val="24"/>
          <w:bdr w:val="none" w:sz="0" w:space="0" w:color="auto" w:frame="1"/>
          <w:shd w:val="clear" w:color="auto" w:fill="FFFFFF"/>
        </w:rPr>
        <w:t>–</w:t>
      </w:r>
      <w:r w:rsidRPr="00B33E2B">
        <w:rPr>
          <w:rFonts w:cs="Times New Roman"/>
          <w:color w:val="000000" w:themeColor="text1"/>
          <w:szCs w:val="24"/>
        </w:rPr>
        <w:t xml:space="preserve">22. </w:t>
      </w:r>
      <w:hyperlink r:id="rId53" w:history="1">
        <w:r w:rsidRPr="00B33E2B">
          <w:rPr>
            <w:rStyle w:val="Hyperlink"/>
            <w:rFonts w:cs="Times New Roman"/>
            <w:color w:val="000000" w:themeColor="text1"/>
            <w:szCs w:val="24"/>
            <w:u w:val="none"/>
            <w:bdr w:val="none" w:sz="0" w:space="0" w:color="auto" w:frame="1"/>
          </w:rPr>
          <w:t>https://doi.org/10.1080/00913367.1992.10673382</w:t>
        </w:r>
      </w:hyperlink>
    </w:p>
    <w:p w14:paraId="079FBB59" w14:textId="4A6DC28D" w:rsidR="00035938" w:rsidRDefault="00035938" w:rsidP="002C629C">
      <w:pPr>
        <w:widowControl w:val="0"/>
        <w:ind w:left="360" w:hangingChars="150" w:hanging="360"/>
        <w:contextualSpacing/>
        <w:rPr>
          <w:rFonts w:asciiTheme="majorBidi" w:hAnsiTheme="majorBidi" w:cstheme="majorBidi"/>
          <w:bCs/>
          <w:lang w:val="en-GB"/>
        </w:rPr>
      </w:pPr>
      <w:hyperlink r:id="rId54" w:history="1">
        <w:r w:rsidRPr="00B33E2B">
          <w:rPr>
            <w:rStyle w:val="Hyperlink"/>
            <w:rFonts w:cs="Times New Roman"/>
            <w:color w:val="000000" w:themeColor="text1"/>
            <w:szCs w:val="24"/>
            <w:u w:val="none"/>
          </w:rPr>
          <w:t xml:space="preserve">Twenge, </w:t>
        </w:r>
      </w:hyperlink>
      <w:r w:rsidRPr="00B33E2B">
        <w:rPr>
          <w:rFonts w:cs="Times New Roman"/>
          <w:color w:val="000000" w:themeColor="text1"/>
          <w:szCs w:val="24"/>
        </w:rPr>
        <w:t xml:space="preserve">J. M., Campbell, W. K., Carter, </w:t>
      </w:r>
      <w:hyperlink r:id="rId55" w:history="1">
        <w:r w:rsidRPr="00B33E2B">
          <w:rPr>
            <w:rStyle w:val="Hyperlink"/>
            <w:rFonts w:cs="Times New Roman"/>
            <w:color w:val="000000" w:themeColor="text1"/>
            <w:szCs w:val="24"/>
            <w:u w:val="none"/>
          </w:rPr>
          <w:t xml:space="preserve">N. T. </w:t>
        </w:r>
      </w:hyperlink>
      <w:r w:rsidRPr="00B33E2B">
        <w:rPr>
          <w:rFonts w:cs="Times New Roman"/>
          <w:color w:val="000000" w:themeColor="text1"/>
          <w:szCs w:val="24"/>
        </w:rPr>
        <w:t xml:space="preserve">(2014). Declines in trust in others and confidence in institutions among American adults and late adolescents, 1972-2012. </w:t>
      </w:r>
      <w:r w:rsidRPr="00B33E2B">
        <w:rPr>
          <w:rFonts w:cs="Times New Roman"/>
          <w:i/>
          <w:iCs/>
          <w:color w:val="000000" w:themeColor="text1"/>
          <w:szCs w:val="24"/>
        </w:rPr>
        <w:t>Psychological Science, 25</w:t>
      </w:r>
      <w:r w:rsidRPr="00B33E2B">
        <w:rPr>
          <w:rFonts w:cs="Times New Roman"/>
          <w:color w:val="000000" w:themeColor="text1"/>
          <w:szCs w:val="24"/>
        </w:rPr>
        <w:t>(10), 1914</w:t>
      </w:r>
      <w:r w:rsidRPr="00B33E2B">
        <w:rPr>
          <w:rFonts w:cs="Times New Roman"/>
          <w:color w:val="000000" w:themeColor="text1"/>
          <w:szCs w:val="24"/>
          <w:shd w:val="clear" w:color="auto" w:fill="FFFFFF"/>
        </w:rPr>
        <w:t>–</w:t>
      </w:r>
      <w:r w:rsidRPr="00B33E2B">
        <w:rPr>
          <w:rFonts w:cs="Times New Roman"/>
          <w:color w:val="000000" w:themeColor="text1"/>
          <w:szCs w:val="24"/>
        </w:rPr>
        <w:t>1923. https://doi.org/</w:t>
      </w:r>
      <w:r w:rsidRPr="00B33E2B">
        <w:rPr>
          <w:rFonts w:cs="Times New Roman"/>
          <w:color w:val="000000" w:themeColor="text1"/>
          <w:szCs w:val="24"/>
          <w:shd w:val="clear" w:color="auto" w:fill="FFFFFF"/>
        </w:rPr>
        <w:t>10.1080/</w:t>
      </w:r>
      <w:r w:rsidRPr="00B33E2B">
        <w:rPr>
          <w:rFonts w:cs="Times New Roman"/>
          <w:color w:val="000000" w:themeColor="text1"/>
          <w:szCs w:val="24"/>
        </w:rPr>
        <w:t>10.1177/0956797614545133</w:t>
      </w:r>
    </w:p>
    <w:p w14:paraId="0BFB4BEF" w14:textId="77777777" w:rsidR="002C629C" w:rsidRDefault="00EA2AA1" w:rsidP="002C629C">
      <w:pPr>
        <w:widowControl w:val="0"/>
        <w:ind w:left="360" w:hangingChars="150" w:hanging="360"/>
        <w:contextualSpacing/>
      </w:pPr>
      <w:r>
        <w:rPr>
          <w:color w:val="000000"/>
          <w:szCs w:val="24"/>
        </w:rPr>
        <w:t>v</w:t>
      </w:r>
      <w:r w:rsidRPr="004948ED">
        <w:rPr>
          <w:color w:val="000000"/>
          <w:szCs w:val="24"/>
        </w:rPr>
        <w:t xml:space="preserve">an Dijke, M., Leunissen, J. M., Wildschut, T., &amp; Sedikides, C. (2019). Nostalgia promotes intrinsic motivation and effort in the presence of low interaction justice. </w:t>
      </w:r>
      <w:r w:rsidRPr="004948ED">
        <w:rPr>
          <w:i/>
          <w:color w:val="000000"/>
          <w:szCs w:val="24"/>
        </w:rPr>
        <w:t>Organizational Behavior and Human Decision Processes, 150</w:t>
      </w:r>
      <w:r w:rsidRPr="004948ED">
        <w:rPr>
          <w:color w:val="000000"/>
          <w:szCs w:val="24"/>
        </w:rPr>
        <w:t>, 46</w:t>
      </w:r>
      <w:r w:rsidRPr="00ED5AD3">
        <w:rPr>
          <w:color w:val="333333"/>
          <w:szCs w:val="24"/>
          <w:shd w:val="clear" w:color="auto" w:fill="FFFFFF"/>
        </w:rPr>
        <w:t>–</w:t>
      </w:r>
      <w:r w:rsidRPr="004948ED">
        <w:rPr>
          <w:color w:val="000000"/>
          <w:szCs w:val="24"/>
        </w:rPr>
        <w:t xml:space="preserve">61. </w:t>
      </w:r>
      <w:hyperlink r:id="rId56" w:tgtFrame="_blank" w:tooltip="Persistent link using digital object identifier" w:history="1">
        <w:r w:rsidRPr="00EA2AA1">
          <w:rPr>
            <w:rStyle w:val="Hyperlink"/>
            <w:color w:val="000000"/>
            <w:szCs w:val="24"/>
            <w:u w:val="none"/>
          </w:rPr>
          <w:t>https://doi.org/10.1016/j.obhdp.2018.12.003</w:t>
        </w:r>
      </w:hyperlink>
    </w:p>
    <w:p w14:paraId="5C8C5DAB" w14:textId="64C3D3CA" w:rsidR="00F56312" w:rsidRPr="002C629C" w:rsidRDefault="006465C3" w:rsidP="002C629C">
      <w:pPr>
        <w:widowControl w:val="0"/>
        <w:ind w:left="360" w:hangingChars="150" w:hanging="360"/>
        <w:contextualSpacing/>
      </w:pPr>
      <w:r>
        <w:rPr>
          <w:szCs w:val="24"/>
          <w:lang w:val="de-DE"/>
        </w:rPr>
        <w:t>v</w:t>
      </w:r>
      <w:r w:rsidR="00F56312" w:rsidRPr="00442095">
        <w:rPr>
          <w:szCs w:val="24"/>
          <w:lang w:val="de-DE"/>
        </w:rPr>
        <w:t xml:space="preserve">an Tilburg, W. A. P., Wildschut, T., &amp; Sedikides, C. (2018). </w:t>
      </w:r>
      <w:r w:rsidR="00F56312" w:rsidRPr="00832080">
        <w:rPr>
          <w:szCs w:val="24"/>
        </w:rPr>
        <w:t xml:space="preserve">Nostalgia’s place among self-conscious emotions. </w:t>
      </w:r>
      <w:r w:rsidR="00F56312" w:rsidRPr="00832080">
        <w:rPr>
          <w:i/>
          <w:szCs w:val="24"/>
        </w:rPr>
        <w:t>Cognition and Emotion</w:t>
      </w:r>
      <w:r w:rsidR="00F56312">
        <w:rPr>
          <w:i/>
          <w:szCs w:val="24"/>
        </w:rPr>
        <w:t>, 32</w:t>
      </w:r>
      <w:r w:rsidR="00F56312">
        <w:rPr>
          <w:szCs w:val="24"/>
        </w:rPr>
        <w:t>(4), 742</w:t>
      </w:r>
      <w:r w:rsidR="00F56312" w:rsidRPr="00ED5AD3">
        <w:rPr>
          <w:color w:val="333333"/>
          <w:szCs w:val="24"/>
          <w:shd w:val="clear" w:color="auto" w:fill="FFFFFF"/>
        </w:rPr>
        <w:t>–</w:t>
      </w:r>
      <w:r w:rsidR="00F56312">
        <w:rPr>
          <w:szCs w:val="24"/>
        </w:rPr>
        <w:t xml:space="preserve">759. </w:t>
      </w:r>
      <w:r w:rsidR="00F56312">
        <w:rPr>
          <w:szCs w:val="24"/>
        </w:rPr>
        <w:lastRenderedPageBreak/>
        <w:t>https://doi.org/</w:t>
      </w:r>
      <w:r w:rsidR="00F56312" w:rsidRPr="00790C0B">
        <w:rPr>
          <w:szCs w:val="24"/>
        </w:rPr>
        <w:t>10.1080/02699931.2017.1351331</w:t>
      </w:r>
    </w:p>
    <w:p w14:paraId="1ABD394E" w14:textId="77777777" w:rsidR="006F4F9C" w:rsidRDefault="006F4F9C" w:rsidP="002C629C">
      <w:pPr>
        <w:widowControl w:val="0"/>
        <w:ind w:left="360" w:hangingChars="150" w:hanging="360"/>
        <w:contextualSpacing/>
        <w:rPr>
          <w:rFonts w:cs="Times New Roman"/>
        </w:rPr>
      </w:pPr>
      <w:r w:rsidRPr="00C86E15">
        <w:rPr>
          <w:rFonts w:cs="Times New Roman"/>
        </w:rPr>
        <w:t xml:space="preserve">Weigold, I. K., Porfeli, E. J., &amp; Weigold, A. (2013a). Examining tenets of personal growth initiative using the Personal Growth Initiative Scale–II. </w:t>
      </w:r>
      <w:r w:rsidRPr="00C86E15">
        <w:rPr>
          <w:rFonts w:cs="Times New Roman"/>
          <w:i/>
          <w:iCs/>
        </w:rPr>
        <w:t>Psychological Assessment, 25</w:t>
      </w:r>
      <w:r w:rsidRPr="00C86E15">
        <w:rPr>
          <w:rFonts w:cs="Times New Roman"/>
        </w:rPr>
        <w:t xml:space="preserve">(4), 1396–1403. </w:t>
      </w:r>
      <w:r w:rsidRPr="00C32402">
        <w:rPr>
          <w:rFonts w:cs="Times New Roman"/>
        </w:rPr>
        <w:t>https://doi.org/</w:t>
      </w:r>
      <w:r w:rsidRPr="00C86E15">
        <w:rPr>
          <w:rFonts w:cs="Times New Roman"/>
        </w:rPr>
        <w:t>10.1037/a0034104</w:t>
      </w:r>
      <w:r>
        <w:rPr>
          <w:rFonts w:cs="Times New Roman"/>
        </w:rPr>
        <w:t xml:space="preserve"> </w:t>
      </w:r>
    </w:p>
    <w:p w14:paraId="252D62A5" w14:textId="77777777" w:rsidR="006F4F9C" w:rsidRDefault="006F4F9C" w:rsidP="002C629C">
      <w:pPr>
        <w:widowControl w:val="0"/>
        <w:ind w:left="360" w:hangingChars="150" w:hanging="360"/>
        <w:contextualSpacing/>
        <w:rPr>
          <w:rFonts w:cs="Times New Roman"/>
        </w:rPr>
      </w:pPr>
      <w:r w:rsidRPr="00C86E15">
        <w:rPr>
          <w:rFonts w:cs="Times New Roman"/>
        </w:rPr>
        <w:t xml:space="preserve">Weigold, I. K., &amp; Robitschek, C. (2011). Agentic personality characteristics and coping: Their relation to trait anxiety in college students. </w:t>
      </w:r>
      <w:r w:rsidRPr="00C86E15">
        <w:rPr>
          <w:rFonts w:cs="Times New Roman"/>
          <w:i/>
          <w:iCs/>
        </w:rPr>
        <w:t>American Journal of Orthopsychiatry, 81</w:t>
      </w:r>
      <w:r w:rsidRPr="00C86E15">
        <w:rPr>
          <w:rFonts w:cs="Times New Roman"/>
        </w:rPr>
        <w:t xml:space="preserve">(2), 255–264. </w:t>
      </w:r>
      <w:r w:rsidRPr="00C32402">
        <w:rPr>
          <w:rFonts w:cs="Times New Roman"/>
        </w:rPr>
        <w:t>https://doi.org/</w:t>
      </w:r>
      <w:r w:rsidRPr="00C86E15">
        <w:rPr>
          <w:rFonts w:cs="Times New Roman"/>
        </w:rPr>
        <w:t xml:space="preserve">10.1111/j.1939- 0025.2011.01094.x </w:t>
      </w:r>
    </w:p>
    <w:p w14:paraId="0BE4A599" w14:textId="77777777" w:rsidR="00035938" w:rsidRDefault="006F4F9C" w:rsidP="002C629C">
      <w:pPr>
        <w:widowControl w:val="0"/>
        <w:ind w:left="360" w:hangingChars="150" w:hanging="360"/>
        <w:contextualSpacing/>
      </w:pPr>
      <w:hyperlink r:id="rId57" w:history="1">
        <w:r w:rsidRPr="00E9741E">
          <w:rPr>
            <w:rStyle w:val="Hyperlink"/>
            <w:rFonts w:cs="Times New Roman"/>
            <w:color w:val="auto"/>
            <w:u w:val="none"/>
          </w:rPr>
          <w:t>Weigold</w:t>
        </w:r>
      </w:hyperlink>
      <w:r w:rsidRPr="00E9741E">
        <w:rPr>
          <w:rFonts w:cs="Times New Roman"/>
        </w:rPr>
        <w:t>,</w:t>
      </w:r>
      <w:r>
        <w:rPr>
          <w:rFonts w:cs="Times New Roman"/>
        </w:rPr>
        <w:t xml:space="preserve"> I. K., </w:t>
      </w:r>
      <w:hyperlink r:id="rId58" w:history="1">
        <w:r w:rsidRPr="00E9741E">
          <w:rPr>
            <w:rStyle w:val="Hyperlink"/>
            <w:rFonts w:cs="Times New Roman"/>
            <w:color w:val="auto"/>
            <w:u w:val="none"/>
          </w:rPr>
          <w:t>Weigold</w:t>
        </w:r>
      </w:hyperlink>
      <w:r w:rsidRPr="00E9741E">
        <w:rPr>
          <w:rFonts w:cs="Times New Roman"/>
        </w:rPr>
        <w:t>, </w:t>
      </w:r>
      <w:r>
        <w:rPr>
          <w:rFonts w:cs="Times New Roman"/>
        </w:rPr>
        <w:t xml:space="preserve">A., </w:t>
      </w:r>
      <w:hyperlink r:id="rId59" w:history="1">
        <w:r w:rsidRPr="00E9741E">
          <w:rPr>
            <w:rStyle w:val="Hyperlink"/>
            <w:rFonts w:cs="Times New Roman"/>
            <w:color w:val="auto"/>
            <w:u w:val="none"/>
          </w:rPr>
          <w:t>Russell</w:t>
        </w:r>
      </w:hyperlink>
      <w:r w:rsidRPr="00E9741E">
        <w:rPr>
          <w:rFonts w:cs="Times New Roman"/>
        </w:rPr>
        <w:t>, </w:t>
      </w:r>
      <w:r>
        <w:rPr>
          <w:rFonts w:cs="Times New Roman"/>
        </w:rPr>
        <w:t xml:space="preserve">E. J., </w:t>
      </w:r>
      <w:hyperlink r:id="rId60" w:history="1">
        <w:r w:rsidRPr="00E9741E">
          <w:rPr>
            <w:rStyle w:val="Hyperlink"/>
            <w:rFonts w:cs="Times New Roman"/>
            <w:color w:val="auto"/>
            <w:u w:val="none"/>
          </w:rPr>
          <w:t>Wolfe</w:t>
        </w:r>
      </w:hyperlink>
      <w:r w:rsidRPr="00E9741E">
        <w:rPr>
          <w:rFonts w:cs="Times New Roman"/>
        </w:rPr>
        <w:t>, </w:t>
      </w:r>
      <w:r>
        <w:rPr>
          <w:rFonts w:cs="Times New Roman"/>
        </w:rPr>
        <w:t xml:space="preserve">G. L., </w:t>
      </w:r>
      <w:hyperlink r:id="rId61" w:history="1">
        <w:r w:rsidRPr="00E9741E">
          <w:rPr>
            <w:rStyle w:val="Hyperlink"/>
            <w:rFonts w:cs="Times New Roman"/>
            <w:color w:val="auto"/>
            <w:u w:val="none"/>
          </w:rPr>
          <w:t>Prowell</w:t>
        </w:r>
      </w:hyperlink>
      <w:r w:rsidRPr="00E9741E">
        <w:rPr>
          <w:rFonts w:cs="Times New Roman"/>
        </w:rPr>
        <w:t>,</w:t>
      </w:r>
      <w:r>
        <w:rPr>
          <w:rFonts w:cs="Times New Roman"/>
        </w:rPr>
        <w:t xml:space="preserve"> J. L.,</w:t>
      </w:r>
      <w:r w:rsidRPr="00E9741E">
        <w:rPr>
          <w:rFonts w:cs="Times New Roman"/>
        </w:rPr>
        <w:t> </w:t>
      </w:r>
      <w:hyperlink r:id="rId62" w:history="1">
        <w:r w:rsidRPr="00E9741E">
          <w:rPr>
            <w:rStyle w:val="Hyperlink"/>
            <w:rFonts w:cs="Times New Roman"/>
            <w:color w:val="auto"/>
            <w:u w:val="none"/>
          </w:rPr>
          <w:t>Martin-Wagar</w:t>
        </w:r>
      </w:hyperlink>
      <w:r>
        <w:rPr>
          <w:rFonts w:cs="Times New Roman"/>
        </w:rPr>
        <w:t xml:space="preserve">, C. A. (2020). </w:t>
      </w:r>
      <w:r w:rsidRPr="00E9741E">
        <w:rPr>
          <w:rFonts w:cs="Times New Roman"/>
        </w:rPr>
        <w:t xml:space="preserve">Personal </w:t>
      </w:r>
      <w:r>
        <w:rPr>
          <w:rFonts w:cs="Times New Roman"/>
        </w:rPr>
        <w:t>g</w:t>
      </w:r>
      <w:r w:rsidRPr="00E9741E">
        <w:rPr>
          <w:rFonts w:cs="Times New Roman"/>
        </w:rPr>
        <w:t xml:space="preserve">rowth </w:t>
      </w:r>
      <w:r>
        <w:rPr>
          <w:rFonts w:cs="Times New Roman"/>
        </w:rPr>
        <w:t>i</w:t>
      </w:r>
      <w:r w:rsidRPr="00E9741E">
        <w:rPr>
          <w:rFonts w:cs="Times New Roman"/>
        </w:rPr>
        <w:t xml:space="preserve">nitiative and </w:t>
      </w:r>
      <w:r>
        <w:rPr>
          <w:rFonts w:cs="Times New Roman"/>
        </w:rPr>
        <w:t>m</w:t>
      </w:r>
      <w:r w:rsidRPr="00E9741E">
        <w:rPr>
          <w:rFonts w:cs="Times New Roman"/>
        </w:rPr>
        <w:t xml:space="preserve">ental </w:t>
      </w:r>
      <w:r>
        <w:rPr>
          <w:rFonts w:cs="Times New Roman"/>
        </w:rPr>
        <w:t>h</w:t>
      </w:r>
      <w:r w:rsidRPr="00E9741E">
        <w:rPr>
          <w:rFonts w:cs="Times New Roman"/>
        </w:rPr>
        <w:t xml:space="preserve">ealth: A </w:t>
      </w:r>
      <w:r>
        <w:rPr>
          <w:rFonts w:cs="Times New Roman"/>
        </w:rPr>
        <w:t>m</w:t>
      </w:r>
      <w:r w:rsidRPr="00E9741E">
        <w:rPr>
          <w:rFonts w:cs="Times New Roman"/>
        </w:rPr>
        <w:t>eta-</w:t>
      </w:r>
      <w:r>
        <w:rPr>
          <w:rFonts w:cs="Times New Roman"/>
        </w:rPr>
        <w:t>a</w:t>
      </w:r>
      <w:r w:rsidRPr="00E9741E">
        <w:rPr>
          <w:rFonts w:cs="Times New Roman"/>
        </w:rPr>
        <w:t>nalysis</w:t>
      </w:r>
      <w:r>
        <w:rPr>
          <w:rFonts w:cs="Times New Roman"/>
        </w:rPr>
        <w:t xml:space="preserve">. </w:t>
      </w:r>
      <w:r w:rsidRPr="00556E69">
        <w:rPr>
          <w:rFonts w:cs="Times New Roman"/>
          <w:i/>
          <w:iCs/>
        </w:rPr>
        <w:t>Journal of Counseling &amp; Development, 98</w:t>
      </w:r>
      <w:r>
        <w:rPr>
          <w:rFonts w:cs="Times New Roman"/>
        </w:rPr>
        <w:t xml:space="preserve">(4), </w:t>
      </w:r>
      <w:r w:rsidRPr="00C61262">
        <w:rPr>
          <w:rFonts w:cs="Times New Roman"/>
        </w:rPr>
        <w:t>376-390</w:t>
      </w:r>
      <w:r>
        <w:rPr>
          <w:rFonts w:cs="Times New Roman"/>
        </w:rPr>
        <w:t xml:space="preserve">. </w:t>
      </w:r>
      <w:hyperlink r:id="rId63" w:history="1">
        <w:r w:rsidRPr="00556E69">
          <w:rPr>
            <w:rStyle w:val="Hyperlink"/>
            <w:rFonts w:cs="Times New Roman"/>
            <w:color w:val="auto"/>
            <w:u w:val="none"/>
          </w:rPr>
          <w:t>https://doi.org/10.1002/jcad.12340</w:t>
        </w:r>
      </w:hyperlink>
    </w:p>
    <w:p w14:paraId="42E51219" w14:textId="5DB1A59D" w:rsidR="00035938" w:rsidRDefault="00035938" w:rsidP="002C629C">
      <w:pPr>
        <w:widowControl w:val="0"/>
        <w:ind w:left="360" w:hangingChars="150" w:hanging="360"/>
        <w:contextualSpacing/>
        <w:rPr>
          <w:rFonts w:asciiTheme="majorBidi" w:hAnsiTheme="majorBidi" w:cstheme="majorBidi"/>
          <w:bCs/>
          <w:lang w:val="en-GB"/>
        </w:rPr>
      </w:pPr>
      <w:r w:rsidRPr="00B33E2B">
        <w:rPr>
          <w:rFonts w:cs="Times New Roman"/>
          <w:color w:val="000000" w:themeColor="text1"/>
          <w:szCs w:val="24"/>
        </w:rPr>
        <w:t xml:space="preserve">Whissen, T. R. (1989). </w:t>
      </w:r>
      <w:r w:rsidRPr="00B33E2B">
        <w:rPr>
          <w:rFonts w:cs="Times New Roman"/>
          <w:i/>
          <w:iCs/>
          <w:color w:val="000000" w:themeColor="text1"/>
          <w:szCs w:val="24"/>
        </w:rPr>
        <w:t>The devil’s advocates: Decadence in modern literature</w:t>
      </w:r>
      <w:r w:rsidRPr="00B33E2B">
        <w:rPr>
          <w:rFonts w:cs="Times New Roman"/>
          <w:color w:val="000000" w:themeColor="text1"/>
          <w:szCs w:val="24"/>
        </w:rPr>
        <w:t>. Greenwood Press.</w:t>
      </w:r>
    </w:p>
    <w:p w14:paraId="24788B51" w14:textId="77777777" w:rsidR="002C629C" w:rsidRDefault="002632EC" w:rsidP="002C629C">
      <w:pPr>
        <w:widowControl w:val="0"/>
        <w:ind w:left="360" w:hangingChars="150" w:hanging="360"/>
        <w:contextualSpacing/>
        <w:rPr>
          <w:rFonts w:cs="Times New Roman"/>
          <w:szCs w:val="24"/>
        </w:rPr>
      </w:pPr>
      <w:r w:rsidRPr="00A921C4">
        <w:rPr>
          <w:rFonts w:cs="Times New Roman"/>
          <w:szCs w:val="24"/>
        </w:rPr>
        <w:t>Wildschut, T., &amp; Sedikides, C. (2022</w:t>
      </w:r>
      <w:r w:rsidR="00425549">
        <w:rPr>
          <w:rFonts w:cs="Times New Roman"/>
          <w:szCs w:val="24"/>
        </w:rPr>
        <w:t>a</w:t>
      </w:r>
      <w:r w:rsidRPr="00A921C4">
        <w:rPr>
          <w:rFonts w:cs="Times New Roman"/>
          <w:szCs w:val="24"/>
        </w:rPr>
        <w:t xml:space="preserve">). The measurement of nostalgia. In Ruch, W., Bakker, A. B., Tay, L., &amp; Gander, F. (Eds.), </w:t>
      </w:r>
      <w:r w:rsidRPr="00A921C4">
        <w:rPr>
          <w:rFonts w:cs="Times New Roman"/>
          <w:i/>
          <w:szCs w:val="24"/>
        </w:rPr>
        <w:t xml:space="preserve">Handbook of positive psychology assessment. </w:t>
      </w:r>
      <w:r w:rsidRPr="00A921C4">
        <w:rPr>
          <w:rFonts w:cs="Times New Roman"/>
          <w:szCs w:val="24"/>
        </w:rPr>
        <w:t>Hogrefe.</w:t>
      </w:r>
    </w:p>
    <w:p w14:paraId="5E4D795E" w14:textId="122B5C17" w:rsidR="00425549" w:rsidRDefault="00425549" w:rsidP="002C629C">
      <w:pPr>
        <w:widowControl w:val="0"/>
        <w:ind w:left="360" w:hangingChars="150" w:hanging="360"/>
        <w:contextualSpacing/>
        <w:rPr>
          <w:rFonts w:cs="Times New Roman"/>
          <w:szCs w:val="24"/>
        </w:rPr>
      </w:pPr>
      <w:r w:rsidRPr="00FD61BD">
        <w:rPr>
          <w:color w:val="201F1E"/>
          <w:szCs w:val="24"/>
          <w:bdr w:val="none" w:sz="0" w:space="0" w:color="auto" w:frame="1"/>
          <w:shd w:val="clear" w:color="auto" w:fill="FFFFFF"/>
          <w:lang w:val="fr-FR"/>
        </w:rPr>
        <w:t>Wildschut, T., &amp; Sedikides, C. (2022</w:t>
      </w:r>
      <w:r>
        <w:rPr>
          <w:color w:val="201F1E"/>
          <w:szCs w:val="24"/>
          <w:bdr w:val="none" w:sz="0" w:space="0" w:color="auto" w:frame="1"/>
          <w:shd w:val="clear" w:color="auto" w:fill="FFFFFF"/>
          <w:lang w:val="fr-FR"/>
        </w:rPr>
        <w:t>b</w:t>
      </w:r>
      <w:r w:rsidRPr="00FD61BD">
        <w:rPr>
          <w:color w:val="201F1E"/>
          <w:szCs w:val="24"/>
          <w:bdr w:val="none" w:sz="0" w:space="0" w:color="auto" w:frame="1"/>
          <w:shd w:val="clear" w:color="auto" w:fill="FFFFFF"/>
          <w:lang w:val="fr-FR"/>
        </w:rPr>
        <w:t xml:space="preserve">). </w:t>
      </w:r>
      <w:r w:rsidRPr="002A53FD">
        <w:rPr>
          <w:color w:val="201F1E"/>
          <w:szCs w:val="24"/>
          <w:bdr w:val="none" w:sz="0" w:space="0" w:color="auto" w:frame="1"/>
          <w:shd w:val="clear" w:color="auto" w:fill="FFFFFF"/>
        </w:rPr>
        <w:t>Psychology and nostalgia: Toward</w:t>
      </w:r>
      <w:r>
        <w:rPr>
          <w:color w:val="201F1E"/>
          <w:szCs w:val="24"/>
          <w:bdr w:val="none" w:sz="0" w:space="0" w:color="auto" w:frame="1"/>
          <w:shd w:val="clear" w:color="auto" w:fill="FFFFFF"/>
        </w:rPr>
        <w:t>s</w:t>
      </w:r>
      <w:r w:rsidRPr="002A53FD">
        <w:rPr>
          <w:color w:val="201F1E"/>
          <w:szCs w:val="24"/>
          <w:bdr w:val="none" w:sz="0" w:space="0" w:color="auto" w:frame="1"/>
          <w:shd w:val="clear" w:color="auto" w:fill="FFFFFF"/>
        </w:rPr>
        <w:t xml:space="preserve"> a </w:t>
      </w:r>
      <w:r>
        <w:rPr>
          <w:color w:val="201F1E"/>
          <w:szCs w:val="24"/>
          <w:bdr w:val="none" w:sz="0" w:space="0" w:color="auto" w:frame="1"/>
          <w:shd w:val="clear" w:color="auto" w:fill="FFFFFF"/>
        </w:rPr>
        <w:t xml:space="preserve">functional </w:t>
      </w:r>
      <w:r w:rsidRPr="002A53FD">
        <w:rPr>
          <w:color w:val="201F1E"/>
          <w:szCs w:val="24"/>
          <w:bdr w:val="none" w:sz="0" w:space="0" w:color="auto" w:frame="1"/>
          <w:shd w:val="clear" w:color="auto" w:fill="FFFFFF"/>
        </w:rPr>
        <w:t>approach. In M. H. Jacobs</w:t>
      </w:r>
      <w:r>
        <w:rPr>
          <w:color w:val="201F1E"/>
          <w:szCs w:val="24"/>
          <w:bdr w:val="none" w:sz="0" w:space="0" w:color="auto" w:frame="1"/>
          <w:shd w:val="clear" w:color="auto" w:fill="FFFFFF"/>
        </w:rPr>
        <w:t>e</w:t>
      </w:r>
      <w:r w:rsidRPr="002A53FD">
        <w:rPr>
          <w:color w:val="201F1E"/>
          <w:szCs w:val="24"/>
          <w:bdr w:val="none" w:sz="0" w:space="0" w:color="auto" w:frame="1"/>
          <w:shd w:val="clear" w:color="auto" w:fill="FFFFFF"/>
        </w:rPr>
        <w:t>n (Ed.), </w:t>
      </w:r>
      <w:r>
        <w:rPr>
          <w:i/>
          <w:iCs/>
          <w:color w:val="201F1E"/>
          <w:szCs w:val="24"/>
          <w:bdr w:val="none" w:sz="0" w:space="0" w:color="auto" w:frame="1"/>
          <w:shd w:val="clear" w:color="auto" w:fill="FFFFFF"/>
        </w:rPr>
        <w:t>Intimations of</w:t>
      </w:r>
      <w:r w:rsidRPr="002A53FD">
        <w:rPr>
          <w:i/>
          <w:iCs/>
          <w:color w:val="201F1E"/>
          <w:szCs w:val="24"/>
          <w:bdr w:val="none" w:sz="0" w:space="0" w:color="auto" w:frame="1"/>
          <w:shd w:val="clear" w:color="auto" w:fill="FFFFFF"/>
        </w:rPr>
        <w:t xml:space="preserve"> nostalgia</w:t>
      </w:r>
      <w:r>
        <w:rPr>
          <w:i/>
          <w:iCs/>
          <w:color w:val="201F1E"/>
          <w:szCs w:val="24"/>
          <w:bdr w:val="none" w:sz="0" w:space="0" w:color="auto" w:frame="1"/>
          <w:shd w:val="clear" w:color="auto" w:fill="FFFFFF"/>
        </w:rPr>
        <w:t>: Multidisciplinary explorations of an enduring emotion</w:t>
      </w:r>
      <w:r>
        <w:rPr>
          <w:color w:val="201F1E"/>
          <w:szCs w:val="24"/>
          <w:bdr w:val="none" w:sz="0" w:space="0" w:color="auto" w:frame="1"/>
          <w:shd w:val="clear" w:color="auto" w:fill="FFFFFF"/>
        </w:rPr>
        <w:t xml:space="preserve"> (pp. 110</w:t>
      </w:r>
      <w:r w:rsidRPr="00ED5AD3">
        <w:rPr>
          <w:color w:val="333333"/>
          <w:szCs w:val="24"/>
          <w:shd w:val="clear" w:color="auto" w:fill="FFFFFF"/>
        </w:rPr>
        <w:t>–</w:t>
      </w:r>
      <w:r>
        <w:rPr>
          <w:color w:val="201F1E"/>
          <w:szCs w:val="24"/>
          <w:bdr w:val="none" w:sz="0" w:space="0" w:color="auto" w:frame="1"/>
          <w:shd w:val="clear" w:color="auto" w:fill="FFFFFF"/>
        </w:rPr>
        <w:t xml:space="preserve">128). </w:t>
      </w:r>
      <w:r w:rsidRPr="002A53FD">
        <w:rPr>
          <w:color w:val="201F1E"/>
          <w:szCs w:val="24"/>
          <w:bdr w:val="none" w:sz="0" w:space="0" w:color="auto" w:frame="1"/>
          <w:shd w:val="clear" w:color="auto" w:fill="FFFFFF"/>
        </w:rPr>
        <w:t>Bristol University Press.</w:t>
      </w:r>
    </w:p>
    <w:p w14:paraId="4BF87280" w14:textId="77777777" w:rsidR="002C629C" w:rsidRDefault="008A5237" w:rsidP="002C629C">
      <w:pPr>
        <w:widowControl w:val="0"/>
        <w:ind w:left="360" w:hangingChars="150" w:hanging="360"/>
        <w:contextualSpacing/>
        <w:rPr>
          <w:color w:val="000000"/>
          <w:szCs w:val="24"/>
          <w:shd w:val="clear" w:color="auto" w:fill="FFFFFF"/>
        </w:rPr>
      </w:pPr>
      <w:r w:rsidRPr="00A921C4">
        <w:rPr>
          <w:color w:val="000000"/>
          <w:szCs w:val="24"/>
          <w:shd w:val="clear" w:color="auto" w:fill="FFFFFF"/>
        </w:rPr>
        <w:t xml:space="preserve">Wildschut, T., &amp; Sedikides, C. (2025). Psychology and nostalgia: A primer on experimental nostalgia inductions. In T. Becker &amp; D. Trigg (Eds.), </w:t>
      </w:r>
      <w:r w:rsidRPr="00A921C4">
        <w:rPr>
          <w:i/>
          <w:iCs/>
          <w:color w:val="242424"/>
          <w:szCs w:val="24"/>
          <w:shd w:val="clear" w:color="auto" w:fill="FFFFFF"/>
        </w:rPr>
        <w:t>The Routledge handbook of nostalgia</w:t>
      </w:r>
      <w:r w:rsidRPr="00A921C4">
        <w:rPr>
          <w:color w:val="000000"/>
          <w:szCs w:val="24"/>
          <w:shd w:val="clear" w:color="auto" w:fill="FFFFFF"/>
        </w:rPr>
        <w:t xml:space="preserve"> (pp. 54</w:t>
      </w:r>
      <w:r w:rsidRPr="00A921C4">
        <w:rPr>
          <w:color w:val="333333"/>
          <w:shd w:val="clear" w:color="auto" w:fill="FFFFFF"/>
        </w:rPr>
        <w:t>–</w:t>
      </w:r>
      <w:r w:rsidRPr="00A921C4">
        <w:rPr>
          <w:color w:val="000000"/>
          <w:szCs w:val="24"/>
          <w:shd w:val="clear" w:color="auto" w:fill="FFFFFF"/>
        </w:rPr>
        <w:t>69). Routledge.</w:t>
      </w:r>
    </w:p>
    <w:p w14:paraId="4E163B1E" w14:textId="451B8635" w:rsidR="002C629C" w:rsidRPr="002C629C" w:rsidRDefault="00A44438" w:rsidP="002C629C">
      <w:pPr>
        <w:widowControl w:val="0"/>
        <w:ind w:left="360" w:hangingChars="150" w:hanging="360"/>
        <w:contextualSpacing/>
        <w:rPr>
          <w:color w:val="000000"/>
          <w:szCs w:val="24"/>
          <w:shd w:val="clear" w:color="auto" w:fill="FFFFFF"/>
        </w:rPr>
      </w:pPr>
      <w:r w:rsidRPr="00A921C4">
        <w:rPr>
          <w:rFonts w:cs="Times New Roman"/>
          <w:szCs w:val="24"/>
        </w:rPr>
        <w:t xml:space="preserve">Wildschut, T., Sedikides, C., Arndt, J., &amp; Routledge, C. (2006). Nostalgia: Content, triggers, functions. </w:t>
      </w:r>
      <w:r w:rsidRPr="00A921C4">
        <w:rPr>
          <w:rFonts w:cs="Times New Roman"/>
          <w:i/>
          <w:szCs w:val="24"/>
        </w:rPr>
        <w:t>Journal of Personality and Social Psychology</w:t>
      </w:r>
      <w:r w:rsidRPr="00A921C4">
        <w:rPr>
          <w:rFonts w:cs="Times New Roman"/>
          <w:i/>
          <w:iCs/>
          <w:szCs w:val="24"/>
        </w:rPr>
        <w:t>,</w:t>
      </w:r>
      <w:r w:rsidRPr="00A921C4">
        <w:rPr>
          <w:rFonts w:cs="Times New Roman"/>
          <w:szCs w:val="24"/>
        </w:rPr>
        <w:t xml:space="preserve"> </w:t>
      </w:r>
      <w:r w:rsidRPr="00A921C4">
        <w:rPr>
          <w:rFonts w:cs="Times New Roman"/>
          <w:i/>
          <w:szCs w:val="24"/>
        </w:rPr>
        <w:t>91</w:t>
      </w:r>
      <w:r w:rsidRPr="00A921C4">
        <w:rPr>
          <w:rFonts w:cs="Times New Roman"/>
          <w:iCs/>
          <w:szCs w:val="24"/>
        </w:rPr>
        <w:t>(5)</w:t>
      </w:r>
      <w:r w:rsidRPr="00A921C4">
        <w:rPr>
          <w:rFonts w:cs="Times New Roman"/>
          <w:szCs w:val="24"/>
        </w:rPr>
        <w:t>, 975</w:t>
      </w:r>
      <w:r w:rsidRPr="00A921C4">
        <w:rPr>
          <w:rFonts w:cs="Times New Roman"/>
          <w:szCs w:val="24"/>
          <w:bdr w:val="none" w:sz="0" w:space="0" w:color="auto" w:frame="1"/>
          <w:shd w:val="clear" w:color="auto" w:fill="FFFFFF"/>
        </w:rPr>
        <w:t>–</w:t>
      </w:r>
      <w:r w:rsidRPr="00A921C4">
        <w:rPr>
          <w:rFonts w:cs="Times New Roman"/>
          <w:szCs w:val="24"/>
        </w:rPr>
        <w:t xml:space="preserve">993. </w:t>
      </w:r>
      <w:hyperlink r:id="rId64" w:history="1">
        <w:r w:rsidRPr="00A44438">
          <w:rPr>
            <w:rStyle w:val="Hyperlink"/>
            <w:rFonts w:cs="Times New Roman"/>
            <w:color w:val="000000" w:themeColor="text1"/>
            <w:szCs w:val="24"/>
            <w:u w:val="none"/>
            <w:bdr w:val="none" w:sz="0" w:space="0" w:color="auto" w:frame="1"/>
          </w:rPr>
          <w:t>https://doi.org/10.1037/0022-3514.91.5.975</w:t>
        </w:r>
      </w:hyperlink>
      <w:r w:rsidR="006B2926">
        <w:t xml:space="preserve"> </w:t>
      </w:r>
    </w:p>
    <w:p w14:paraId="2E7AB075" w14:textId="77777777" w:rsidR="002C629C" w:rsidRDefault="006B2926" w:rsidP="002C629C">
      <w:pPr>
        <w:widowControl w:val="0"/>
        <w:ind w:left="480" w:hangingChars="200" w:hanging="480"/>
        <w:contextualSpacing/>
        <w:rPr>
          <w:rStyle w:val="Hyperlink"/>
          <w:color w:val="auto"/>
          <w:u w:val="none"/>
        </w:rPr>
      </w:pPr>
      <w:r w:rsidRPr="0039100E">
        <w:rPr>
          <w:color w:val="000000"/>
          <w:szCs w:val="24"/>
          <w:lang w:val="de-DE"/>
        </w:rPr>
        <w:t xml:space="preserve">Wildschut, T., Sedikides, C., &amp; Kelley, N. J. (2023). </w:t>
      </w:r>
      <w:r w:rsidRPr="0039100E">
        <w:rPr>
          <w:color w:val="000000"/>
          <w:szCs w:val="24"/>
        </w:rPr>
        <w:t xml:space="preserve">Trait nostalgia: Four scales and a recommendation. </w:t>
      </w:r>
      <w:r w:rsidRPr="0039100E">
        <w:rPr>
          <w:i/>
          <w:iCs/>
          <w:color w:val="000000"/>
          <w:szCs w:val="24"/>
        </w:rPr>
        <w:t>Current Opinion in Psychology</w:t>
      </w:r>
      <w:r>
        <w:rPr>
          <w:i/>
          <w:iCs/>
          <w:color w:val="000000"/>
          <w:szCs w:val="24"/>
        </w:rPr>
        <w:t>, 52</w:t>
      </w:r>
      <w:r w:rsidRPr="00F326A5">
        <w:rPr>
          <w:color w:val="000000"/>
          <w:szCs w:val="24"/>
        </w:rPr>
        <w:t>,</w:t>
      </w:r>
      <w:r w:rsidRPr="0039100E">
        <w:rPr>
          <w:color w:val="000000"/>
          <w:szCs w:val="24"/>
        </w:rPr>
        <w:t xml:space="preserve"> </w:t>
      </w:r>
      <w:r>
        <w:rPr>
          <w:color w:val="201F1E"/>
          <w:szCs w:val="24"/>
          <w:shd w:val="clear" w:color="auto" w:fill="FFFFFF"/>
        </w:rPr>
        <w:t xml:space="preserve">Article </w:t>
      </w:r>
      <w:r w:rsidRPr="0039100E">
        <w:rPr>
          <w:color w:val="000000"/>
          <w:szCs w:val="24"/>
        </w:rPr>
        <w:t xml:space="preserve">101608. </w:t>
      </w:r>
      <w:hyperlink r:id="rId65" w:tgtFrame="_blank" w:tooltip="Persistent link using digital object identifier" w:history="1">
        <w:r w:rsidRPr="0039100E">
          <w:rPr>
            <w:rStyle w:val="anchor-text"/>
            <w:color w:val="000000"/>
            <w:szCs w:val="24"/>
          </w:rPr>
          <w:t>https://doi.org/10.1016/j.copsyc.2023.101608</w:t>
        </w:r>
      </w:hyperlink>
    </w:p>
    <w:p w14:paraId="756C271D" w14:textId="469DCAD2" w:rsidR="00A44438" w:rsidRPr="002C629C" w:rsidRDefault="00A44438" w:rsidP="002C629C">
      <w:pPr>
        <w:widowControl w:val="0"/>
        <w:ind w:left="480" w:hangingChars="200" w:hanging="480"/>
        <w:contextualSpacing/>
      </w:pPr>
      <w:r w:rsidRPr="00A921C4">
        <w:rPr>
          <w:rFonts w:cs="Times New Roman"/>
          <w:szCs w:val="24"/>
          <w:lang w:eastAsia="en-US"/>
        </w:rPr>
        <w:t xml:space="preserve">Yin, Y., Jiang, T., </w:t>
      </w:r>
      <w:r w:rsidRPr="00A921C4">
        <w:rPr>
          <w:rFonts w:cs="Times New Roman"/>
          <w:szCs w:val="24"/>
        </w:rPr>
        <w:t xml:space="preserve">Wildschut, T., &amp; Sedikides, C. (2024). Nostalgia, ritual engagement, and </w:t>
      </w:r>
      <w:r w:rsidRPr="00A921C4">
        <w:rPr>
          <w:rFonts w:cs="Times New Roman"/>
          <w:szCs w:val="24"/>
        </w:rPr>
        <w:lastRenderedPageBreak/>
        <w:t xml:space="preserve">meaning in life. </w:t>
      </w:r>
      <w:r w:rsidRPr="00A921C4">
        <w:rPr>
          <w:rFonts w:cs="Times New Roman"/>
          <w:i/>
          <w:iCs/>
          <w:szCs w:val="24"/>
        </w:rPr>
        <w:t>Personality and Social Psychology Bulletin</w:t>
      </w:r>
      <w:r w:rsidRPr="00A921C4">
        <w:rPr>
          <w:rFonts w:cs="Times New Roman"/>
          <w:szCs w:val="24"/>
        </w:rPr>
        <w:t xml:space="preserve">. Advance online publication. </w:t>
      </w:r>
      <w:hyperlink r:id="rId66" w:history="1">
        <w:r w:rsidRPr="00A44438">
          <w:rPr>
            <w:rStyle w:val="Hyperlink"/>
            <w:rFonts w:cs="Times New Roman"/>
            <w:color w:val="000000"/>
            <w:szCs w:val="24"/>
            <w:u w:val="none"/>
            <w:shd w:val="clear" w:color="auto" w:fill="FFFFFF"/>
          </w:rPr>
          <w:t>https://doi.org/10.1177/014616722412357</w:t>
        </w:r>
      </w:hyperlink>
    </w:p>
    <w:p w14:paraId="295D1821" w14:textId="77777777" w:rsidR="00A44438" w:rsidRPr="00A921C4" w:rsidRDefault="00A44438" w:rsidP="00732BE6">
      <w:pPr>
        <w:widowControl w:val="0"/>
        <w:ind w:left="360" w:hangingChars="150" w:hanging="360"/>
        <w:contextualSpacing/>
        <w:rPr>
          <w:color w:val="0D0D0D"/>
          <w:szCs w:val="24"/>
          <w:bdr w:val="none" w:sz="0" w:space="0" w:color="auto" w:frame="1"/>
          <w:shd w:val="clear" w:color="auto" w:fill="FFFFFF"/>
        </w:rPr>
      </w:pPr>
    </w:p>
    <w:p w14:paraId="72AD84DD" w14:textId="77777777" w:rsidR="00FD6217" w:rsidRPr="00CC2476" w:rsidRDefault="00FD6217" w:rsidP="00732BE6">
      <w:pPr>
        <w:widowControl w:val="0"/>
        <w:ind w:firstLine="0"/>
        <w:contextualSpacing/>
        <w:rPr>
          <w:rFonts w:cs="Times New Roman"/>
          <w:szCs w:val="24"/>
        </w:rPr>
      </w:pPr>
    </w:p>
    <w:bookmarkEnd w:id="106"/>
    <w:p w14:paraId="270ED210" w14:textId="77777777" w:rsidR="0038005B" w:rsidRDefault="0038005B" w:rsidP="00732BE6">
      <w:pPr>
        <w:widowControl w:val="0"/>
      </w:pPr>
    </w:p>
    <w:p w14:paraId="1AFDF13B" w14:textId="561A2CB5" w:rsidR="0038005B" w:rsidRDefault="0038005B" w:rsidP="00732BE6">
      <w:pPr>
        <w:widowControl w:val="0"/>
        <w:spacing w:line="240" w:lineRule="auto"/>
        <w:ind w:firstLine="0"/>
        <w:rPr>
          <w:b/>
          <w:bCs/>
        </w:rPr>
      </w:pPr>
      <w:r>
        <w:br w:type="page"/>
      </w:r>
      <w:bookmarkStart w:id="111" w:name="OLE_LINK105"/>
      <w:bookmarkStart w:id="112" w:name="OLE_LINK106"/>
      <w:bookmarkStart w:id="113" w:name="OLE_LINK107"/>
      <w:bookmarkStart w:id="114" w:name="OLE_LINK108"/>
      <w:r>
        <w:rPr>
          <w:rFonts w:hint="eastAsia"/>
          <w:b/>
          <w:bCs/>
        </w:rPr>
        <w:lastRenderedPageBreak/>
        <w:t>T</w:t>
      </w:r>
      <w:r>
        <w:rPr>
          <w:b/>
          <w:bCs/>
        </w:rPr>
        <w:t>able 1</w:t>
      </w:r>
    </w:p>
    <w:p w14:paraId="1B1C1703" w14:textId="1C74B8C3" w:rsidR="0038005B" w:rsidRDefault="0038005B" w:rsidP="00732BE6">
      <w:pPr>
        <w:widowControl w:val="0"/>
        <w:ind w:firstLine="0"/>
        <w:rPr>
          <w:i/>
          <w:iCs/>
        </w:rPr>
      </w:pPr>
      <w:bookmarkStart w:id="115" w:name="OLE_LINK685"/>
      <w:bookmarkStart w:id="116" w:name="OLE_LINK686"/>
      <w:bookmarkEnd w:id="111"/>
      <w:bookmarkEnd w:id="112"/>
      <w:bookmarkEnd w:id="113"/>
      <w:bookmarkEnd w:id="114"/>
      <w:r>
        <w:rPr>
          <w:i/>
          <w:iCs/>
        </w:rPr>
        <w:t>Zero-Order Correlations Among Variables</w:t>
      </w:r>
      <w:r w:rsidR="00FB2124">
        <w:rPr>
          <w:i/>
          <w:iCs/>
        </w:rPr>
        <w:t xml:space="preserve"> in Study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1984"/>
        <w:gridCol w:w="1560"/>
        <w:gridCol w:w="1027"/>
        <w:gridCol w:w="1028"/>
        <w:gridCol w:w="1028"/>
        <w:gridCol w:w="1028"/>
      </w:tblGrid>
      <w:tr w:rsidR="00947D37" w:rsidRPr="00D667D2" w14:paraId="7812AC25" w14:textId="3CA78C19" w:rsidTr="009F67C9">
        <w:trPr>
          <w:trHeight w:val="480"/>
        </w:trPr>
        <w:tc>
          <w:tcPr>
            <w:tcW w:w="1701" w:type="dxa"/>
            <w:tcBorders>
              <w:top w:val="single" w:sz="12" w:space="0" w:color="auto"/>
              <w:bottom w:val="single" w:sz="6" w:space="0" w:color="auto"/>
            </w:tcBorders>
          </w:tcPr>
          <w:p w14:paraId="1FAB98DF" w14:textId="77777777" w:rsidR="00947D37" w:rsidRPr="00547EF5" w:rsidRDefault="00947D37" w:rsidP="00732BE6">
            <w:pPr>
              <w:widowControl w:val="0"/>
              <w:ind w:firstLine="0"/>
              <w:rPr>
                <w:szCs w:val="24"/>
              </w:rPr>
            </w:pPr>
            <w:bookmarkStart w:id="117" w:name="_Hlk197213306"/>
            <w:bookmarkStart w:id="118" w:name="OLE_LINK277"/>
            <w:bookmarkStart w:id="119" w:name="OLE_LINK283"/>
            <w:r w:rsidRPr="00547EF5">
              <w:rPr>
                <w:rFonts w:hint="eastAsia"/>
                <w:szCs w:val="24"/>
              </w:rPr>
              <w:t>Condition</w:t>
            </w:r>
          </w:p>
        </w:tc>
        <w:tc>
          <w:tcPr>
            <w:tcW w:w="1984" w:type="dxa"/>
            <w:tcBorders>
              <w:top w:val="single" w:sz="12" w:space="0" w:color="auto"/>
              <w:bottom w:val="single" w:sz="6" w:space="0" w:color="auto"/>
            </w:tcBorders>
          </w:tcPr>
          <w:p w14:paraId="15146121" w14:textId="77777777" w:rsidR="00947D37" w:rsidRPr="00547EF5" w:rsidRDefault="00947D37" w:rsidP="00732BE6">
            <w:pPr>
              <w:widowControl w:val="0"/>
              <w:ind w:firstLine="0"/>
              <w:jc w:val="center"/>
              <w:rPr>
                <w:szCs w:val="24"/>
              </w:rPr>
            </w:pPr>
            <w:bookmarkStart w:id="120" w:name="_Hlk195120984"/>
            <w:bookmarkStart w:id="121" w:name="_Hlk195120796"/>
            <w:r w:rsidRPr="00547EF5">
              <w:rPr>
                <w:rFonts w:hint="eastAsia"/>
                <w:szCs w:val="24"/>
              </w:rPr>
              <w:t>V</w:t>
            </w:r>
            <w:r w:rsidRPr="00547EF5">
              <w:rPr>
                <w:szCs w:val="24"/>
              </w:rPr>
              <w:t>ariable</w:t>
            </w:r>
          </w:p>
        </w:tc>
        <w:tc>
          <w:tcPr>
            <w:tcW w:w="1560" w:type="dxa"/>
            <w:tcBorders>
              <w:top w:val="single" w:sz="12" w:space="0" w:color="auto"/>
              <w:bottom w:val="single" w:sz="6" w:space="0" w:color="auto"/>
            </w:tcBorders>
          </w:tcPr>
          <w:p w14:paraId="49DEF8B8" w14:textId="77777777" w:rsidR="00947D37" w:rsidRPr="00547EF5" w:rsidRDefault="00947D37" w:rsidP="00732BE6">
            <w:pPr>
              <w:widowControl w:val="0"/>
              <w:ind w:firstLine="0"/>
              <w:jc w:val="center"/>
              <w:rPr>
                <w:szCs w:val="24"/>
              </w:rPr>
            </w:pPr>
            <w:r w:rsidRPr="00547EF5">
              <w:rPr>
                <w:rFonts w:hint="eastAsia"/>
                <w:i/>
                <w:iCs/>
                <w:szCs w:val="24"/>
              </w:rPr>
              <w:t>M</w:t>
            </w:r>
            <w:r w:rsidRPr="00547EF5">
              <w:rPr>
                <w:szCs w:val="24"/>
              </w:rPr>
              <w:t xml:space="preserve"> (</w:t>
            </w:r>
            <w:r w:rsidRPr="00547EF5">
              <w:rPr>
                <w:i/>
                <w:iCs/>
                <w:szCs w:val="24"/>
              </w:rPr>
              <w:t>SD</w:t>
            </w:r>
            <w:r w:rsidRPr="00547EF5">
              <w:rPr>
                <w:szCs w:val="24"/>
              </w:rPr>
              <w:t>)</w:t>
            </w:r>
          </w:p>
        </w:tc>
        <w:tc>
          <w:tcPr>
            <w:tcW w:w="1027" w:type="dxa"/>
            <w:tcBorders>
              <w:top w:val="single" w:sz="12" w:space="0" w:color="auto"/>
              <w:bottom w:val="single" w:sz="6" w:space="0" w:color="auto"/>
            </w:tcBorders>
          </w:tcPr>
          <w:p w14:paraId="09F87A7F" w14:textId="77777777" w:rsidR="00947D37" w:rsidRPr="00547EF5" w:rsidRDefault="00947D37" w:rsidP="00732BE6">
            <w:pPr>
              <w:widowControl w:val="0"/>
              <w:ind w:firstLine="0"/>
              <w:jc w:val="center"/>
              <w:rPr>
                <w:szCs w:val="24"/>
              </w:rPr>
            </w:pPr>
            <w:r w:rsidRPr="00547EF5">
              <w:rPr>
                <w:rFonts w:hint="eastAsia"/>
                <w:szCs w:val="24"/>
              </w:rPr>
              <w:t>2</w:t>
            </w:r>
          </w:p>
        </w:tc>
        <w:tc>
          <w:tcPr>
            <w:tcW w:w="1028" w:type="dxa"/>
            <w:tcBorders>
              <w:top w:val="single" w:sz="12" w:space="0" w:color="auto"/>
              <w:bottom w:val="single" w:sz="6" w:space="0" w:color="auto"/>
            </w:tcBorders>
          </w:tcPr>
          <w:p w14:paraId="1C8010D6" w14:textId="77777777" w:rsidR="00947D37" w:rsidRPr="00547EF5" w:rsidRDefault="00947D37" w:rsidP="00732BE6">
            <w:pPr>
              <w:widowControl w:val="0"/>
              <w:ind w:firstLine="0"/>
              <w:jc w:val="center"/>
              <w:rPr>
                <w:szCs w:val="24"/>
              </w:rPr>
            </w:pPr>
            <w:r w:rsidRPr="00547EF5">
              <w:rPr>
                <w:rFonts w:hint="eastAsia"/>
                <w:szCs w:val="24"/>
              </w:rPr>
              <w:t>3</w:t>
            </w:r>
          </w:p>
        </w:tc>
        <w:tc>
          <w:tcPr>
            <w:tcW w:w="1028" w:type="dxa"/>
            <w:tcBorders>
              <w:top w:val="single" w:sz="12" w:space="0" w:color="auto"/>
              <w:bottom w:val="single" w:sz="6" w:space="0" w:color="auto"/>
            </w:tcBorders>
          </w:tcPr>
          <w:p w14:paraId="02B67706" w14:textId="01154783" w:rsidR="00947D37" w:rsidRPr="00553B34" w:rsidRDefault="00947D37" w:rsidP="00732BE6">
            <w:pPr>
              <w:widowControl w:val="0"/>
              <w:ind w:firstLine="0"/>
              <w:jc w:val="center"/>
              <w:rPr>
                <w:color w:val="4472C4" w:themeColor="accent1"/>
                <w:szCs w:val="24"/>
              </w:rPr>
            </w:pPr>
            <w:r w:rsidRPr="00553B34">
              <w:rPr>
                <w:rFonts w:hint="eastAsia"/>
                <w:color w:val="4472C4" w:themeColor="accent1"/>
                <w:szCs w:val="24"/>
              </w:rPr>
              <w:t>4</w:t>
            </w:r>
          </w:p>
        </w:tc>
        <w:tc>
          <w:tcPr>
            <w:tcW w:w="1028" w:type="dxa"/>
            <w:tcBorders>
              <w:top w:val="single" w:sz="12" w:space="0" w:color="auto"/>
              <w:bottom w:val="single" w:sz="6" w:space="0" w:color="auto"/>
            </w:tcBorders>
          </w:tcPr>
          <w:p w14:paraId="2D00CFC9" w14:textId="28650BD6" w:rsidR="00947D37" w:rsidRPr="00553B34" w:rsidRDefault="00947D37" w:rsidP="00732BE6">
            <w:pPr>
              <w:widowControl w:val="0"/>
              <w:ind w:firstLine="0"/>
              <w:jc w:val="center"/>
              <w:rPr>
                <w:color w:val="4472C4" w:themeColor="accent1"/>
                <w:szCs w:val="24"/>
              </w:rPr>
            </w:pPr>
            <w:r w:rsidRPr="00553B34">
              <w:rPr>
                <w:rFonts w:hint="eastAsia"/>
                <w:color w:val="4472C4" w:themeColor="accent1"/>
                <w:szCs w:val="24"/>
              </w:rPr>
              <w:t>5</w:t>
            </w:r>
          </w:p>
        </w:tc>
      </w:tr>
      <w:bookmarkEnd w:id="117"/>
      <w:bookmarkEnd w:id="120"/>
      <w:tr w:rsidR="00947D37" w:rsidRPr="00D667D2" w14:paraId="47131A2E" w14:textId="13302B1D" w:rsidTr="009F67C9">
        <w:trPr>
          <w:trHeight w:val="480"/>
        </w:trPr>
        <w:tc>
          <w:tcPr>
            <w:tcW w:w="1701" w:type="dxa"/>
            <w:vMerge w:val="restart"/>
            <w:tcBorders>
              <w:top w:val="single" w:sz="6" w:space="0" w:color="auto"/>
            </w:tcBorders>
            <w:vAlign w:val="center"/>
          </w:tcPr>
          <w:p w14:paraId="7F62EF70" w14:textId="77777777" w:rsidR="00947D37" w:rsidRPr="00547EF5" w:rsidRDefault="00947D37" w:rsidP="00732BE6">
            <w:pPr>
              <w:widowControl w:val="0"/>
              <w:ind w:firstLine="0"/>
              <w:rPr>
                <w:szCs w:val="24"/>
              </w:rPr>
            </w:pPr>
            <w:r w:rsidRPr="00547EF5">
              <w:rPr>
                <w:rFonts w:hint="eastAsia"/>
                <w:szCs w:val="24"/>
              </w:rPr>
              <w:t>S</w:t>
            </w:r>
            <w:r w:rsidRPr="00547EF5">
              <w:rPr>
                <w:szCs w:val="24"/>
              </w:rPr>
              <w:t>NS (</w:t>
            </w:r>
            <w:r w:rsidRPr="00547EF5">
              <w:rPr>
                <w:i/>
                <w:iCs/>
                <w:szCs w:val="24"/>
              </w:rPr>
              <w:t>n</w:t>
            </w:r>
            <w:r w:rsidRPr="00547EF5">
              <w:rPr>
                <w:szCs w:val="24"/>
              </w:rPr>
              <w:t xml:space="preserve"> = 270)</w:t>
            </w:r>
          </w:p>
        </w:tc>
        <w:tc>
          <w:tcPr>
            <w:tcW w:w="1984" w:type="dxa"/>
            <w:tcBorders>
              <w:top w:val="single" w:sz="6" w:space="0" w:color="auto"/>
            </w:tcBorders>
          </w:tcPr>
          <w:p w14:paraId="1188A063" w14:textId="77777777" w:rsidR="00947D37" w:rsidRPr="00547EF5" w:rsidRDefault="00947D37" w:rsidP="00732BE6">
            <w:pPr>
              <w:widowControl w:val="0"/>
              <w:ind w:firstLine="0"/>
              <w:rPr>
                <w:szCs w:val="24"/>
              </w:rPr>
            </w:pPr>
            <w:bookmarkStart w:id="122" w:name="OLE_LINK663"/>
            <w:bookmarkStart w:id="123" w:name="OLE_LINK664"/>
            <w:bookmarkStart w:id="124" w:name="OLE_LINK665"/>
            <w:bookmarkStart w:id="125" w:name="OLE_LINK14"/>
            <w:bookmarkStart w:id="126" w:name="OLE_LINK15"/>
            <w:bookmarkStart w:id="127" w:name="OLE_LINK16"/>
            <w:r w:rsidRPr="00547EF5">
              <w:rPr>
                <w:szCs w:val="24"/>
              </w:rPr>
              <w:t xml:space="preserve">1. </w:t>
            </w:r>
            <w:r w:rsidRPr="00547EF5">
              <w:rPr>
                <w:rFonts w:hint="eastAsia"/>
                <w:szCs w:val="24"/>
              </w:rPr>
              <w:t>N</w:t>
            </w:r>
            <w:r w:rsidRPr="00547EF5">
              <w:rPr>
                <w:szCs w:val="24"/>
              </w:rPr>
              <w:t>ostalgia</w:t>
            </w:r>
            <w:bookmarkEnd w:id="122"/>
            <w:bookmarkEnd w:id="123"/>
            <w:bookmarkEnd w:id="124"/>
          </w:p>
        </w:tc>
        <w:tc>
          <w:tcPr>
            <w:tcW w:w="1560" w:type="dxa"/>
            <w:tcBorders>
              <w:top w:val="single" w:sz="6" w:space="0" w:color="auto"/>
            </w:tcBorders>
          </w:tcPr>
          <w:p w14:paraId="417DC3D1" w14:textId="77777777" w:rsidR="00947D37" w:rsidRPr="00547EF5" w:rsidRDefault="00947D37" w:rsidP="00732BE6">
            <w:pPr>
              <w:widowControl w:val="0"/>
              <w:ind w:firstLine="0"/>
              <w:jc w:val="center"/>
              <w:rPr>
                <w:szCs w:val="24"/>
              </w:rPr>
            </w:pPr>
            <w:r w:rsidRPr="00547EF5">
              <w:rPr>
                <w:rFonts w:hint="eastAsia"/>
                <w:szCs w:val="24"/>
              </w:rPr>
              <w:t>5</w:t>
            </w:r>
            <w:r w:rsidRPr="00547EF5">
              <w:rPr>
                <w:szCs w:val="24"/>
              </w:rPr>
              <w:t>.00 (1.16)</w:t>
            </w:r>
          </w:p>
        </w:tc>
        <w:tc>
          <w:tcPr>
            <w:tcW w:w="1027" w:type="dxa"/>
            <w:tcBorders>
              <w:top w:val="single" w:sz="6" w:space="0" w:color="auto"/>
            </w:tcBorders>
          </w:tcPr>
          <w:p w14:paraId="10CDF834" w14:textId="77777777" w:rsidR="00947D37" w:rsidRPr="00547EF5" w:rsidRDefault="00947D37" w:rsidP="00732BE6">
            <w:pPr>
              <w:widowControl w:val="0"/>
              <w:ind w:firstLine="0"/>
              <w:jc w:val="center"/>
              <w:rPr>
                <w:szCs w:val="24"/>
              </w:rPr>
            </w:pPr>
            <w:bookmarkStart w:id="128" w:name="OLE_LINK297"/>
            <w:bookmarkStart w:id="129" w:name="OLE_LINK298"/>
            <w:r w:rsidRPr="00547EF5">
              <w:rPr>
                <w:rFonts w:hint="eastAsia"/>
                <w:szCs w:val="24"/>
              </w:rPr>
              <w:t>.</w:t>
            </w:r>
            <w:r w:rsidRPr="00547EF5">
              <w:rPr>
                <w:szCs w:val="24"/>
              </w:rPr>
              <w:t>09</w:t>
            </w:r>
            <w:bookmarkEnd w:id="128"/>
            <w:bookmarkEnd w:id="129"/>
          </w:p>
        </w:tc>
        <w:tc>
          <w:tcPr>
            <w:tcW w:w="1028" w:type="dxa"/>
            <w:tcBorders>
              <w:top w:val="single" w:sz="6" w:space="0" w:color="auto"/>
            </w:tcBorders>
          </w:tcPr>
          <w:p w14:paraId="48B79D1C" w14:textId="080939BD" w:rsidR="00947D37" w:rsidRPr="00547EF5" w:rsidRDefault="00947D37" w:rsidP="00732BE6">
            <w:pPr>
              <w:widowControl w:val="0"/>
              <w:ind w:firstLine="0"/>
              <w:jc w:val="center"/>
              <w:rPr>
                <w:szCs w:val="24"/>
              </w:rPr>
            </w:pPr>
            <w:r>
              <w:rPr>
                <w:szCs w:val="24"/>
              </w:rPr>
              <w:t xml:space="preserve"> </w:t>
            </w:r>
            <w:r w:rsidRPr="00547EF5">
              <w:rPr>
                <w:szCs w:val="24"/>
              </w:rPr>
              <w:t xml:space="preserve"> </w:t>
            </w:r>
            <w:r>
              <w:rPr>
                <w:szCs w:val="24"/>
              </w:rPr>
              <w:t xml:space="preserve"> </w:t>
            </w:r>
            <w:r w:rsidRPr="00547EF5">
              <w:rPr>
                <w:rFonts w:hint="eastAsia"/>
                <w:szCs w:val="24"/>
              </w:rPr>
              <w:t>.</w:t>
            </w:r>
            <w:r w:rsidRPr="00547EF5">
              <w:rPr>
                <w:szCs w:val="24"/>
              </w:rPr>
              <w:t>22***</w:t>
            </w:r>
          </w:p>
        </w:tc>
        <w:tc>
          <w:tcPr>
            <w:tcW w:w="1028" w:type="dxa"/>
            <w:tcBorders>
              <w:top w:val="single" w:sz="6" w:space="0" w:color="auto"/>
            </w:tcBorders>
          </w:tcPr>
          <w:p w14:paraId="39F2C0E4" w14:textId="78326C33" w:rsidR="00947D37" w:rsidRPr="00553B34" w:rsidRDefault="001556C6" w:rsidP="00732BE6">
            <w:pPr>
              <w:widowControl w:val="0"/>
              <w:ind w:firstLine="0"/>
              <w:jc w:val="center"/>
              <w:rPr>
                <w:color w:val="4472C4" w:themeColor="accent1"/>
                <w:szCs w:val="24"/>
              </w:rPr>
            </w:pPr>
            <w:r w:rsidRPr="00553B34">
              <w:rPr>
                <w:color w:val="4472C4" w:themeColor="accent1"/>
                <w:szCs w:val="24"/>
              </w:rPr>
              <w:t xml:space="preserve">  </w:t>
            </w:r>
            <w:r w:rsidR="009F67C9" w:rsidRPr="00553B34">
              <w:rPr>
                <w:rFonts w:hint="eastAsia"/>
                <w:color w:val="4472C4" w:themeColor="accent1"/>
                <w:szCs w:val="24"/>
              </w:rPr>
              <w:t>.</w:t>
            </w:r>
            <w:r w:rsidR="009F67C9" w:rsidRPr="00553B34">
              <w:rPr>
                <w:color w:val="4472C4" w:themeColor="accent1"/>
                <w:szCs w:val="24"/>
              </w:rPr>
              <w:t>03</w:t>
            </w:r>
          </w:p>
        </w:tc>
        <w:tc>
          <w:tcPr>
            <w:tcW w:w="1028" w:type="dxa"/>
            <w:tcBorders>
              <w:top w:val="single" w:sz="6" w:space="0" w:color="auto"/>
            </w:tcBorders>
          </w:tcPr>
          <w:p w14:paraId="30DEBE00" w14:textId="195701DF" w:rsidR="00947D37" w:rsidRPr="00553B34" w:rsidRDefault="00414008" w:rsidP="00732BE6">
            <w:pPr>
              <w:widowControl w:val="0"/>
              <w:ind w:firstLine="0"/>
              <w:jc w:val="center"/>
              <w:rPr>
                <w:color w:val="4472C4" w:themeColor="accent1"/>
                <w:szCs w:val="24"/>
              </w:rPr>
            </w:pPr>
            <w:bookmarkStart w:id="130" w:name="OLE_LINK65"/>
            <w:bookmarkStart w:id="131" w:name="OLE_LINK66"/>
            <w:r w:rsidRPr="00553B34">
              <w:rPr>
                <w:color w:val="4472C4" w:themeColor="accent1"/>
                <w:szCs w:val="24"/>
              </w:rPr>
              <w:t>−.</w:t>
            </w:r>
            <w:bookmarkEnd w:id="130"/>
            <w:bookmarkEnd w:id="131"/>
            <w:r w:rsidRPr="00553B34">
              <w:rPr>
                <w:color w:val="4472C4" w:themeColor="accent1"/>
                <w:szCs w:val="24"/>
              </w:rPr>
              <w:t>11</w:t>
            </w:r>
          </w:p>
        </w:tc>
      </w:tr>
      <w:bookmarkEnd w:id="125"/>
      <w:bookmarkEnd w:id="126"/>
      <w:bookmarkEnd w:id="127"/>
      <w:tr w:rsidR="00947D37" w:rsidRPr="00D667D2" w14:paraId="18E95033" w14:textId="6C2BD14D" w:rsidTr="009F67C9">
        <w:trPr>
          <w:trHeight w:val="480"/>
        </w:trPr>
        <w:tc>
          <w:tcPr>
            <w:tcW w:w="1701" w:type="dxa"/>
            <w:vMerge/>
          </w:tcPr>
          <w:p w14:paraId="42E03CD7" w14:textId="77777777" w:rsidR="00947D37" w:rsidRPr="00547EF5" w:rsidRDefault="00947D37" w:rsidP="00732BE6">
            <w:pPr>
              <w:widowControl w:val="0"/>
              <w:ind w:firstLine="0"/>
              <w:rPr>
                <w:szCs w:val="24"/>
              </w:rPr>
            </w:pPr>
          </w:p>
        </w:tc>
        <w:tc>
          <w:tcPr>
            <w:tcW w:w="1984" w:type="dxa"/>
          </w:tcPr>
          <w:p w14:paraId="2F8ACDB0" w14:textId="77777777" w:rsidR="00947D37" w:rsidRPr="00547EF5" w:rsidRDefault="00947D37" w:rsidP="00732BE6">
            <w:pPr>
              <w:widowControl w:val="0"/>
              <w:ind w:firstLine="0"/>
              <w:rPr>
                <w:szCs w:val="24"/>
              </w:rPr>
            </w:pPr>
            <w:r w:rsidRPr="00547EF5">
              <w:rPr>
                <w:szCs w:val="24"/>
              </w:rPr>
              <w:t xml:space="preserve">2. </w:t>
            </w:r>
            <w:r w:rsidRPr="00547EF5">
              <w:rPr>
                <w:rFonts w:hint="eastAsia"/>
                <w:szCs w:val="24"/>
              </w:rPr>
              <w:t>D</w:t>
            </w:r>
            <w:r w:rsidRPr="00547EF5">
              <w:rPr>
                <w:szCs w:val="24"/>
              </w:rPr>
              <w:t>eclinism</w:t>
            </w:r>
          </w:p>
        </w:tc>
        <w:tc>
          <w:tcPr>
            <w:tcW w:w="1560" w:type="dxa"/>
          </w:tcPr>
          <w:p w14:paraId="7B019AA5" w14:textId="77777777" w:rsidR="00947D37" w:rsidRPr="00547EF5" w:rsidRDefault="00947D37" w:rsidP="00732BE6">
            <w:pPr>
              <w:widowControl w:val="0"/>
              <w:ind w:firstLine="0"/>
              <w:jc w:val="center"/>
              <w:rPr>
                <w:szCs w:val="24"/>
              </w:rPr>
            </w:pPr>
            <w:r w:rsidRPr="00547EF5">
              <w:rPr>
                <w:szCs w:val="24"/>
              </w:rPr>
              <w:t>3.13 (0.82)</w:t>
            </w:r>
          </w:p>
        </w:tc>
        <w:tc>
          <w:tcPr>
            <w:tcW w:w="1027" w:type="dxa"/>
          </w:tcPr>
          <w:p w14:paraId="0796B79D" w14:textId="77777777" w:rsidR="00947D37" w:rsidRPr="00547EF5" w:rsidRDefault="00947D37" w:rsidP="00732BE6">
            <w:pPr>
              <w:widowControl w:val="0"/>
              <w:ind w:firstLine="0"/>
              <w:jc w:val="center"/>
              <w:rPr>
                <w:szCs w:val="24"/>
              </w:rPr>
            </w:pPr>
          </w:p>
        </w:tc>
        <w:tc>
          <w:tcPr>
            <w:tcW w:w="1028" w:type="dxa"/>
          </w:tcPr>
          <w:p w14:paraId="3C0EA554" w14:textId="77777777" w:rsidR="00947D37" w:rsidRPr="00547EF5" w:rsidRDefault="00947D37" w:rsidP="00732BE6">
            <w:pPr>
              <w:widowControl w:val="0"/>
              <w:ind w:firstLine="0"/>
              <w:jc w:val="center"/>
              <w:rPr>
                <w:szCs w:val="24"/>
              </w:rPr>
            </w:pPr>
            <w:bookmarkStart w:id="132" w:name="OLE_LINK275"/>
            <w:bookmarkStart w:id="133" w:name="OLE_LINK276"/>
            <w:r w:rsidRPr="00547EF5">
              <w:rPr>
                <w:szCs w:val="24"/>
              </w:rPr>
              <w:t>−.</w:t>
            </w:r>
            <w:bookmarkEnd w:id="132"/>
            <w:bookmarkEnd w:id="133"/>
            <w:r w:rsidRPr="00547EF5">
              <w:rPr>
                <w:szCs w:val="24"/>
              </w:rPr>
              <w:t>43***</w:t>
            </w:r>
          </w:p>
        </w:tc>
        <w:tc>
          <w:tcPr>
            <w:tcW w:w="1028" w:type="dxa"/>
          </w:tcPr>
          <w:p w14:paraId="680965DD" w14:textId="342FDA8F" w:rsidR="00947D37" w:rsidRPr="00553B34" w:rsidRDefault="00414008" w:rsidP="00732BE6">
            <w:pPr>
              <w:widowControl w:val="0"/>
              <w:ind w:firstLine="0"/>
              <w:jc w:val="center"/>
              <w:rPr>
                <w:color w:val="4472C4" w:themeColor="accent1"/>
                <w:szCs w:val="24"/>
              </w:rPr>
            </w:pPr>
            <w:r w:rsidRPr="00553B34">
              <w:rPr>
                <w:color w:val="4472C4" w:themeColor="accent1"/>
                <w:szCs w:val="24"/>
              </w:rPr>
              <w:t>−.09</w:t>
            </w:r>
          </w:p>
        </w:tc>
        <w:tc>
          <w:tcPr>
            <w:tcW w:w="1028" w:type="dxa"/>
          </w:tcPr>
          <w:p w14:paraId="4B95C8E5" w14:textId="3DDCDB04" w:rsidR="00947D37" w:rsidRPr="00553B34" w:rsidRDefault="00414008" w:rsidP="00732BE6">
            <w:pPr>
              <w:widowControl w:val="0"/>
              <w:ind w:firstLine="0"/>
              <w:jc w:val="center"/>
              <w:rPr>
                <w:color w:val="4472C4" w:themeColor="accent1"/>
                <w:szCs w:val="24"/>
              </w:rPr>
            </w:pPr>
            <w:r w:rsidRPr="00553B34">
              <w:rPr>
                <w:color w:val="4472C4" w:themeColor="accent1"/>
                <w:szCs w:val="24"/>
              </w:rPr>
              <w:t>−.04</w:t>
            </w:r>
          </w:p>
        </w:tc>
      </w:tr>
      <w:tr w:rsidR="00947D37" w:rsidRPr="00D667D2" w14:paraId="26B500A7" w14:textId="4C48CB76" w:rsidTr="009F67C9">
        <w:trPr>
          <w:trHeight w:val="480"/>
        </w:trPr>
        <w:tc>
          <w:tcPr>
            <w:tcW w:w="1701" w:type="dxa"/>
            <w:vMerge/>
          </w:tcPr>
          <w:p w14:paraId="49B66F59" w14:textId="77777777" w:rsidR="00947D37" w:rsidRPr="00547EF5" w:rsidRDefault="00947D37" w:rsidP="00732BE6">
            <w:pPr>
              <w:widowControl w:val="0"/>
              <w:ind w:firstLine="0"/>
              <w:rPr>
                <w:szCs w:val="24"/>
              </w:rPr>
            </w:pPr>
          </w:p>
        </w:tc>
        <w:tc>
          <w:tcPr>
            <w:tcW w:w="1984" w:type="dxa"/>
          </w:tcPr>
          <w:p w14:paraId="76DA735C" w14:textId="77777777" w:rsidR="00947D37" w:rsidRPr="00547EF5" w:rsidRDefault="00947D37" w:rsidP="00732BE6">
            <w:pPr>
              <w:widowControl w:val="0"/>
              <w:ind w:firstLine="0"/>
              <w:rPr>
                <w:szCs w:val="24"/>
              </w:rPr>
            </w:pPr>
            <w:r w:rsidRPr="00547EF5">
              <w:rPr>
                <w:szCs w:val="24"/>
              </w:rPr>
              <w:t xml:space="preserve">3. </w:t>
            </w:r>
            <w:r w:rsidRPr="00547EF5">
              <w:rPr>
                <w:rFonts w:hint="eastAsia"/>
                <w:szCs w:val="24"/>
              </w:rPr>
              <w:t>P</w:t>
            </w:r>
            <w:r w:rsidRPr="00547EF5">
              <w:rPr>
                <w:szCs w:val="24"/>
              </w:rPr>
              <w:t>ersonal Growth</w:t>
            </w:r>
          </w:p>
        </w:tc>
        <w:tc>
          <w:tcPr>
            <w:tcW w:w="1560" w:type="dxa"/>
          </w:tcPr>
          <w:p w14:paraId="35887BF2" w14:textId="77777777" w:rsidR="00947D37" w:rsidRPr="00547EF5" w:rsidRDefault="00947D37" w:rsidP="00732BE6">
            <w:pPr>
              <w:widowControl w:val="0"/>
              <w:ind w:firstLine="0"/>
              <w:jc w:val="center"/>
              <w:rPr>
                <w:szCs w:val="24"/>
              </w:rPr>
            </w:pPr>
            <w:r w:rsidRPr="00547EF5">
              <w:rPr>
                <w:rFonts w:hint="eastAsia"/>
                <w:szCs w:val="24"/>
              </w:rPr>
              <w:t>5</w:t>
            </w:r>
            <w:r w:rsidRPr="00547EF5">
              <w:rPr>
                <w:szCs w:val="24"/>
              </w:rPr>
              <w:t>.66 (0.67)</w:t>
            </w:r>
          </w:p>
        </w:tc>
        <w:tc>
          <w:tcPr>
            <w:tcW w:w="1027" w:type="dxa"/>
          </w:tcPr>
          <w:p w14:paraId="5007BF91" w14:textId="77777777" w:rsidR="00947D37" w:rsidRPr="00547EF5" w:rsidRDefault="00947D37" w:rsidP="00732BE6">
            <w:pPr>
              <w:widowControl w:val="0"/>
              <w:ind w:firstLine="0"/>
              <w:jc w:val="center"/>
              <w:rPr>
                <w:szCs w:val="24"/>
              </w:rPr>
            </w:pPr>
          </w:p>
        </w:tc>
        <w:tc>
          <w:tcPr>
            <w:tcW w:w="1028" w:type="dxa"/>
          </w:tcPr>
          <w:p w14:paraId="544CF08C" w14:textId="77777777" w:rsidR="00947D37" w:rsidRPr="00547EF5" w:rsidRDefault="00947D37" w:rsidP="00732BE6">
            <w:pPr>
              <w:widowControl w:val="0"/>
              <w:ind w:firstLine="0"/>
              <w:jc w:val="center"/>
              <w:rPr>
                <w:szCs w:val="24"/>
              </w:rPr>
            </w:pPr>
          </w:p>
        </w:tc>
        <w:tc>
          <w:tcPr>
            <w:tcW w:w="1028" w:type="dxa"/>
          </w:tcPr>
          <w:p w14:paraId="1FB258A4" w14:textId="63551133" w:rsidR="00947D37" w:rsidRPr="00553B34" w:rsidRDefault="00670E0F" w:rsidP="00732BE6">
            <w:pPr>
              <w:widowControl w:val="0"/>
              <w:ind w:firstLine="0"/>
              <w:jc w:val="center"/>
              <w:rPr>
                <w:color w:val="4472C4" w:themeColor="accent1"/>
                <w:szCs w:val="24"/>
              </w:rPr>
            </w:pPr>
            <w:r w:rsidRPr="00553B34">
              <w:rPr>
                <w:color w:val="4472C4" w:themeColor="accent1"/>
                <w:szCs w:val="24"/>
              </w:rPr>
              <w:t xml:space="preserve">    </w:t>
            </w:r>
            <w:r w:rsidR="00414008" w:rsidRPr="00553B34">
              <w:rPr>
                <w:rFonts w:hint="eastAsia"/>
                <w:color w:val="4472C4" w:themeColor="accent1"/>
                <w:szCs w:val="24"/>
              </w:rPr>
              <w:t>.</w:t>
            </w:r>
            <w:r w:rsidR="00414008" w:rsidRPr="00553B34">
              <w:rPr>
                <w:color w:val="4472C4" w:themeColor="accent1"/>
                <w:szCs w:val="24"/>
              </w:rPr>
              <w:t>13*</w:t>
            </w:r>
          </w:p>
        </w:tc>
        <w:tc>
          <w:tcPr>
            <w:tcW w:w="1028" w:type="dxa"/>
          </w:tcPr>
          <w:p w14:paraId="17FF5F33" w14:textId="7393E3DF" w:rsidR="00947D37" w:rsidRPr="00553B34" w:rsidRDefault="00414008" w:rsidP="00732BE6">
            <w:pPr>
              <w:widowControl w:val="0"/>
              <w:ind w:firstLine="0"/>
              <w:jc w:val="center"/>
              <w:rPr>
                <w:color w:val="4472C4" w:themeColor="accent1"/>
                <w:szCs w:val="24"/>
              </w:rPr>
            </w:pPr>
            <w:r w:rsidRPr="00553B34">
              <w:rPr>
                <w:color w:val="4472C4" w:themeColor="accent1"/>
                <w:szCs w:val="24"/>
              </w:rPr>
              <w:t>−.09</w:t>
            </w:r>
          </w:p>
        </w:tc>
      </w:tr>
      <w:tr w:rsidR="00947D37" w:rsidRPr="00D667D2" w14:paraId="53758D45" w14:textId="3AF3F647" w:rsidTr="009F67C9">
        <w:trPr>
          <w:trHeight w:val="480"/>
        </w:trPr>
        <w:tc>
          <w:tcPr>
            <w:tcW w:w="1701" w:type="dxa"/>
            <w:vMerge/>
          </w:tcPr>
          <w:p w14:paraId="1E94EFA9" w14:textId="77777777" w:rsidR="00947D37" w:rsidRPr="00547EF5" w:rsidRDefault="00947D37" w:rsidP="00732BE6">
            <w:pPr>
              <w:widowControl w:val="0"/>
              <w:ind w:firstLine="0"/>
              <w:rPr>
                <w:szCs w:val="24"/>
              </w:rPr>
            </w:pPr>
            <w:bookmarkStart w:id="134" w:name="_Hlk209888817"/>
          </w:p>
        </w:tc>
        <w:tc>
          <w:tcPr>
            <w:tcW w:w="1984" w:type="dxa"/>
          </w:tcPr>
          <w:p w14:paraId="52BAD825" w14:textId="3B493259" w:rsidR="00947D37" w:rsidRPr="00553B34" w:rsidRDefault="00947D37" w:rsidP="00732BE6">
            <w:pPr>
              <w:widowControl w:val="0"/>
              <w:ind w:firstLine="0"/>
              <w:rPr>
                <w:color w:val="4472C4" w:themeColor="accent1"/>
                <w:szCs w:val="24"/>
              </w:rPr>
            </w:pPr>
            <w:r w:rsidRPr="00553B34">
              <w:rPr>
                <w:rFonts w:hint="eastAsia"/>
                <w:color w:val="4472C4" w:themeColor="accent1"/>
                <w:szCs w:val="24"/>
              </w:rPr>
              <w:t>4</w:t>
            </w:r>
            <w:r w:rsidRPr="00553B34">
              <w:rPr>
                <w:color w:val="4472C4" w:themeColor="accent1"/>
                <w:szCs w:val="24"/>
              </w:rPr>
              <w:t>. Age</w:t>
            </w:r>
          </w:p>
        </w:tc>
        <w:tc>
          <w:tcPr>
            <w:tcW w:w="1560" w:type="dxa"/>
          </w:tcPr>
          <w:p w14:paraId="6502F4A8" w14:textId="1EA2EC49" w:rsidR="00947D37" w:rsidRPr="00553B34" w:rsidRDefault="00947D37" w:rsidP="00732BE6">
            <w:pPr>
              <w:widowControl w:val="0"/>
              <w:ind w:firstLine="0"/>
              <w:jc w:val="center"/>
              <w:rPr>
                <w:rFonts w:cs="Times New Roman"/>
                <w:color w:val="4472C4" w:themeColor="accent1"/>
                <w:szCs w:val="24"/>
              </w:rPr>
            </w:pPr>
            <w:r w:rsidRPr="00553B34">
              <w:rPr>
                <w:rFonts w:cs="Times New Roman" w:hint="eastAsia"/>
                <w:color w:val="4472C4" w:themeColor="accent1"/>
                <w:szCs w:val="24"/>
              </w:rPr>
              <w:t>3</w:t>
            </w:r>
            <w:r w:rsidRPr="00553B34">
              <w:rPr>
                <w:rFonts w:cs="Times New Roman"/>
                <w:color w:val="4472C4" w:themeColor="accent1"/>
                <w:szCs w:val="24"/>
              </w:rPr>
              <w:t>1.09 (8.24)</w:t>
            </w:r>
          </w:p>
        </w:tc>
        <w:tc>
          <w:tcPr>
            <w:tcW w:w="1027" w:type="dxa"/>
          </w:tcPr>
          <w:p w14:paraId="3D70BC7B" w14:textId="77777777" w:rsidR="00947D37" w:rsidRPr="00547EF5" w:rsidRDefault="00947D37" w:rsidP="00732BE6">
            <w:pPr>
              <w:widowControl w:val="0"/>
              <w:ind w:firstLine="0"/>
              <w:jc w:val="center"/>
              <w:rPr>
                <w:szCs w:val="24"/>
              </w:rPr>
            </w:pPr>
          </w:p>
        </w:tc>
        <w:tc>
          <w:tcPr>
            <w:tcW w:w="1028" w:type="dxa"/>
          </w:tcPr>
          <w:p w14:paraId="28FB804B" w14:textId="77777777" w:rsidR="00947D37" w:rsidRPr="00547EF5" w:rsidRDefault="00947D37" w:rsidP="00732BE6">
            <w:pPr>
              <w:widowControl w:val="0"/>
              <w:ind w:firstLine="0"/>
              <w:jc w:val="center"/>
              <w:rPr>
                <w:szCs w:val="24"/>
              </w:rPr>
            </w:pPr>
          </w:p>
        </w:tc>
        <w:tc>
          <w:tcPr>
            <w:tcW w:w="1028" w:type="dxa"/>
          </w:tcPr>
          <w:p w14:paraId="3C3BD7F6" w14:textId="77777777" w:rsidR="00947D37" w:rsidRPr="00553B34" w:rsidRDefault="00947D37" w:rsidP="00732BE6">
            <w:pPr>
              <w:widowControl w:val="0"/>
              <w:ind w:firstLine="0"/>
              <w:jc w:val="center"/>
              <w:rPr>
                <w:color w:val="4472C4" w:themeColor="accent1"/>
                <w:szCs w:val="24"/>
              </w:rPr>
            </w:pPr>
          </w:p>
        </w:tc>
        <w:tc>
          <w:tcPr>
            <w:tcW w:w="1028" w:type="dxa"/>
          </w:tcPr>
          <w:p w14:paraId="5ED8CDDC" w14:textId="18EFB47E" w:rsidR="00947D37" w:rsidRPr="00553B34" w:rsidRDefault="00670E0F" w:rsidP="00732BE6">
            <w:pPr>
              <w:widowControl w:val="0"/>
              <w:ind w:firstLine="0"/>
              <w:jc w:val="center"/>
              <w:rPr>
                <w:color w:val="4472C4" w:themeColor="accent1"/>
                <w:szCs w:val="24"/>
              </w:rPr>
            </w:pPr>
            <w:r w:rsidRPr="00553B34">
              <w:rPr>
                <w:color w:val="4472C4" w:themeColor="accent1"/>
                <w:szCs w:val="24"/>
              </w:rPr>
              <w:t xml:space="preserve">  </w:t>
            </w:r>
            <w:r w:rsidR="00414008" w:rsidRPr="00553B34">
              <w:rPr>
                <w:color w:val="4472C4" w:themeColor="accent1"/>
                <w:szCs w:val="24"/>
              </w:rPr>
              <w:t>−.13*</w:t>
            </w:r>
          </w:p>
        </w:tc>
      </w:tr>
      <w:tr w:rsidR="00947D37" w:rsidRPr="00D667D2" w14:paraId="7C1D21F9" w14:textId="3E5E546D" w:rsidTr="009F67C9">
        <w:trPr>
          <w:trHeight w:val="480"/>
        </w:trPr>
        <w:tc>
          <w:tcPr>
            <w:tcW w:w="1701" w:type="dxa"/>
            <w:vMerge/>
            <w:tcBorders>
              <w:bottom w:val="single" w:sz="6" w:space="0" w:color="auto"/>
            </w:tcBorders>
          </w:tcPr>
          <w:p w14:paraId="1728711E" w14:textId="77777777" w:rsidR="00947D37" w:rsidRPr="00547EF5" w:rsidRDefault="00947D37" w:rsidP="00732BE6">
            <w:pPr>
              <w:widowControl w:val="0"/>
              <w:ind w:firstLine="0"/>
              <w:rPr>
                <w:szCs w:val="24"/>
              </w:rPr>
            </w:pPr>
          </w:p>
        </w:tc>
        <w:tc>
          <w:tcPr>
            <w:tcW w:w="1984" w:type="dxa"/>
            <w:tcBorders>
              <w:bottom w:val="single" w:sz="6" w:space="0" w:color="auto"/>
            </w:tcBorders>
          </w:tcPr>
          <w:p w14:paraId="05884094" w14:textId="244DF2B1" w:rsidR="00947D37" w:rsidRPr="00553B34" w:rsidRDefault="00947D37" w:rsidP="00732BE6">
            <w:pPr>
              <w:widowControl w:val="0"/>
              <w:ind w:firstLine="0"/>
              <w:rPr>
                <w:color w:val="4472C4" w:themeColor="accent1"/>
                <w:szCs w:val="24"/>
              </w:rPr>
            </w:pPr>
            <w:r w:rsidRPr="00553B34">
              <w:rPr>
                <w:rFonts w:hint="eastAsia"/>
                <w:color w:val="4472C4" w:themeColor="accent1"/>
                <w:szCs w:val="24"/>
              </w:rPr>
              <w:t>5</w:t>
            </w:r>
            <w:r w:rsidRPr="00553B34">
              <w:rPr>
                <w:color w:val="4472C4" w:themeColor="accent1"/>
                <w:szCs w:val="24"/>
              </w:rPr>
              <w:t>. Gender</w:t>
            </w:r>
          </w:p>
        </w:tc>
        <w:tc>
          <w:tcPr>
            <w:tcW w:w="1560" w:type="dxa"/>
            <w:tcBorders>
              <w:bottom w:val="single" w:sz="6" w:space="0" w:color="auto"/>
            </w:tcBorders>
          </w:tcPr>
          <w:p w14:paraId="5722157A" w14:textId="76AA1DD1" w:rsidR="00947D37" w:rsidRPr="00553B34" w:rsidRDefault="00947D37" w:rsidP="00732BE6">
            <w:pPr>
              <w:widowControl w:val="0"/>
              <w:ind w:firstLine="0"/>
              <w:jc w:val="center"/>
              <w:rPr>
                <w:rFonts w:eastAsia="Cambria Math" w:cs="Times New Roman"/>
                <w:color w:val="4472C4" w:themeColor="accent1"/>
                <w:szCs w:val="24"/>
              </w:rPr>
            </w:pPr>
            <w:bookmarkStart w:id="135" w:name="OLE_LINK63"/>
            <w:bookmarkStart w:id="136" w:name="OLE_LINK64"/>
            <w:r w:rsidRPr="00553B34">
              <w:rPr>
                <w:rFonts w:eastAsia="Cambria Math" w:cs="Times New Roman"/>
                <w:color w:val="4472C4" w:themeColor="accent1"/>
                <w:szCs w:val="24"/>
              </w:rPr>
              <w:t>−</w:t>
            </w:r>
            <w:bookmarkEnd w:id="135"/>
            <w:bookmarkEnd w:id="136"/>
          </w:p>
        </w:tc>
        <w:tc>
          <w:tcPr>
            <w:tcW w:w="1027" w:type="dxa"/>
            <w:tcBorders>
              <w:bottom w:val="single" w:sz="6" w:space="0" w:color="auto"/>
            </w:tcBorders>
          </w:tcPr>
          <w:p w14:paraId="519ECD80" w14:textId="77777777" w:rsidR="00947D37" w:rsidRPr="00547EF5" w:rsidRDefault="00947D37" w:rsidP="00732BE6">
            <w:pPr>
              <w:widowControl w:val="0"/>
              <w:ind w:firstLine="0"/>
              <w:jc w:val="center"/>
              <w:rPr>
                <w:szCs w:val="24"/>
              </w:rPr>
            </w:pPr>
          </w:p>
        </w:tc>
        <w:tc>
          <w:tcPr>
            <w:tcW w:w="1028" w:type="dxa"/>
            <w:tcBorders>
              <w:bottom w:val="single" w:sz="6" w:space="0" w:color="auto"/>
            </w:tcBorders>
          </w:tcPr>
          <w:p w14:paraId="543E7BB8" w14:textId="77777777" w:rsidR="00947D37" w:rsidRPr="00547EF5" w:rsidRDefault="00947D37" w:rsidP="00732BE6">
            <w:pPr>
              <w:widowControl w:val="0"/>
              <w:ind w:firstLine="0"/>
              <w:jc w:val="center"/>
              <w:rPr>
                <w:szCs w:val="24"/>
              </w:rPr>
            </w:pPr>
          </w:p>
        </w:tc>
        <w:tc>
          <w:tcPr>
            <w:tcW w:w="1028" w:type="dxa"/>
            <w:tcBorders>
              <w:bottom w:val="single" w:sz="6" w:space="0" w:color="auto"/>
            </w:tcBorders>
          </w:tcPr>
          <w:p w14:paraId="43D9BBD4" w14:textId="77777777" w:rsidR="00947D37" w:rsidRPr="00553B34" w:rsidRDefault="00947D37" w:rsidP="00732BE6">
            <w:pPr>
              <w:widowControl w:val="0"/>
              <w:ind w:firstLine="0"/>
              <w:jc w:val="center"/>
              <w:rPr>
                <w:color w:val="4472C4" w:themeColor="accent1"/>
                <w:szCs w:val="24"/>
              </w:rPr>
            </w:pPr>
          </w:p>
        </w:tc>
        <w:tc>
          <w:tcPr>
            <w:tcW w:w="1028" w:type="dxa"/>
            <w:tcBorders>
              <w:bottom w:val="single" w:sz="6" w:space="0" w:color="auto"/>
            </w:tcBorders>
          </w:tcPr>
          <w:p w14:paraId="130792E1" w14:textId="77777777" w:rsidR="00947D37" w:rsidRPr="00553B34" w:rsidRDefault="00947D37" w:rsidP="00732BE6">
            <w:pPr>
              <w:widowControl w:val="0"/>
              <w:ind w:firstLine="0"/>
              <w:jc w:val="center"/>
              <w:rPr>
                <w:color w:val="4472C4" w:themeColor="accent1"/>
                <w:szCs w:val="24"/>
              </w:rPr>
            </w:pPr>
          </w:p>
        </w:tc>
      </w:tr>
      <w:tr w:rsidR="00947D37" w:rsidRPr="00D667D2" w14:paraId="25F06563" w14:textId="249A7391" w:rsidTr="009F67C9">
        <w:trPr>
          <w:trHeight w:val="480"/>
        </w:trPr>
        <w:tc>
          <w:tcPr>
            <w:tcW w:w="1701" w:type="dxa"/>
            <w:vMerge w:val="restart"/>
            <w:tcBorders>
              <w:top w:val="single" w:sz="6" w:space="0" w:color="auto"/>
            </w:tcBorders>
            <w:vAlign w:val="center"/>
          </w:tcPr>
          <w:p w14:paraId="08E6DFB0" w14:textId="77777777" w:rsidR="00947D37" w:rsidRPr="00547EF5" w:rsidRDefault="00947D37" w:rsidP="00732BE6">
            <w:pPr>
              <w:widowControl w:val="0"/>
              <w:ind w:firstLine="0"/>
              <w:rPr>
                <w:szCs w:val="24"/>
              </w:rPr>
            </w:pPr>
            <w:bookmarkStart w:id="137" w:name="OLE_LINK273"/>
            <w:bookmarkStart w:id="138" w:name="OLE_LINK274"/>
            <w:bookmarkEnd w:id="134"/>
            <w:r w:rsidRPr="00547EF5">
              <w:rPr>
                <w:szCs w:val="24"/>
              </w:rPr>
              <w:t>NI (</w:t>
            </w:r>
            <w:r w:rsidRPr="00547EF5">
              <w:rPr>
                <w:i/>
                <w:iCs/>
                <w:szCs w:val="24"/>
              </w:rPr>
              <w:t>n</w:t>
            </w:r>
            <w:r w:rsidRPr="00547EF5">
              <w:rPr>
                <w:szCs w:val="24"/>
              </w:rPr>
              <w:t xml:space="preserve"> = 270)</w:t>
            </w:r>
          </w:p>
        </w:tc>
        <w:tc>
          <w:tcPr>
            <w:tcW w:w="1984" w:type="dxa"/>
            <w:tcBorders>
              <w:top w:val="single" w:sz="6" w:space="0" w:color="auto"/>
            </w:tcBorders>
          </w:tcPr>
          <w:p w14:paraId="1C200E53" w14:textId="77777777" w:rsidR="00947D37" w:rsidRPr="00547EF5" w:rsidRDefault="00947D37" w:rsidP="00732BE6">
            <w:pPr>
              <w:widowControl w:val="0"/>
              <w:ind w:firstLine="0"/>
              <w:rPr>
                <w:szCs w:val="24"/>
              </w:rPr>
            </w:pPr>
            <w:r w:rsidRPr="00547EF5">
              <w:rPr>
                <w:szCs w:val="24"/>
              </w:rPr>
              <w:t xml:space="preserve">1. </w:t>
            </w:r>
            <w:r w:rsidRPr="00547EF5">
              <w:rPr>
                <w:rFonts w:hint="eastAsia"/>
                <w:szCs w:val="24"/>
              </w:rPr>
              <w:t>N</w:t>
            </w:r>
            <w:r w:rsidRPr="00547EF5">
              <w:rPr>
                <w:szCs w:val="24"/>
              </w:rPr>
              <w:t>ostalgia</w:t>
            </w:r>
          </w:p>
        </w:tc>
        <w:tc>
          <w:tcPr>
            <w:tcW w:w="1560" w:type="dxa"/>
            <w:tcBorders>
              <w:top w:val="single" w:sz="6" w:space="0" w:color="auto"/>
            </w:tcBorders>
          </w:tcPr>
          <w:p w14:paraId="14D24026" w14:textId="77777777" w:rsidR="00947D37" w:rsidRPr="00D113A3" w:rsidRDefault="00947D37" w:rsidP="00732BE6">
            <w:pPr>
              <w:widowControl w:val="0"/>
              <w:ind w:firstLine="0"/>
              <w:jc w:val="center"/>
              <w:rPr>
                <w:rFonts w:cs="Times New Roman"/>
                <w:szCs w:val="24"/>
              </w:rPr>
            </w:pPr>
            <w:r w:rsidRPr="00D113A3">
              <w:rPr>
                <w:rFonts w:cs="Times New Roman"/>
                <w:szCs w:val="24"/>
              </w:rPr>
              <w:t>5.23 (0.61)</w:t>
            </w:r>
          </w:p>
        </w:tc>
        <w:tc>
          <w:tcPr>
            <w:tcW w:w="1027" w:type="dxa"/>
            <w:tcBorders>
              <w:top w:val="single" w:sz="6" w:space="0" w:color="auto"/>
            </w:tcBorders>
          </w:tcPr>
          <w:p w14:paraId="60F3BBE8" w14:textId="77777777" w:rsidR="00947D37" w:rsidRPr="00547EF5" w:rsidRDefault="00947D37" w:rsidP="00732BE6">
            <w:pPr>
              <w:widowControl w:val="0"/>
              <w:ind w:firstLine="0"/>
              <w:jc w:val="center"/>
              <w:rPr>
                <w:szCs w:val="24"/>
              </w:rPr>
            </w:pPr>
            <w:bookmarkStart w:id="139" w:name="OLE_LINK299"/>
            <w:r w:rsidRPr="00547EF5">
              <w:rPr>
                <w:szCs w:val="24"/>
              </w:rPr>
              <w:t>−.05</w:t>
            </w:r>
            <w:bookmarkEnd w:id="139"/>
          </w:p>
        </w:tc>
        <w:tc>
          <w:tcPr>
            <w:tcW w:w="1028" w:type="dxa"/>
            <w:tcBorders>
              <w:top w:val="single" w:sz="6" w:space="0" w:color="auto"/>
            </w:tcBorders>
          </w:tcPr>
          <w:p w14:paraId="017CA5C7" w14:textId="64F8BEA8" w:rsidR="00947D37" w:rsidRPr="00547EF5" w:rsidRDefault="00947D37" w:rsidP="00732BE6">
            <w:pPr>
              <w:widowControl w:val="0"/>
              <w:ind w:firstLine="0"/>
              <w:jc w:val="center"/>
              <w:rPr>
                <w:szCs w:val="24"/>
              </w:rPr>
            </w:pPr>
            <w:r>
              <w:rPr>
                <w:szCs w:val="24"/>
              </w:rPr>
              <w:t xml:space="preserve"> </w:t>
            </w:r>
            <w:r w:rsidRPr="00547EF5">
              <w:rPr>
                <w:szCs w:val="24"/>
              </w:rPr>
              <w:t xml:space="preserve"> </w:t>
            </w:r>
            <w:r>
              <w:rPr>
                <w:szCs w:val="24"/>
              </w:rPr>
              <w:t xml:space="preserve"> </w:t>
            </w:r>
            <w:r w:rsidRPr="00547EF5">
              <w:rPr>
                <w:rFonts w:hint="eastAsia"/>
                <w:szCs w:val="24"/>
              </w:rPr>
              <w:t>.</w:t>
            </w:r>
            <w:bookmarkStart w:id="140" w:name="OLE_LINK300"/>
            <w:bookmarkStart w:id="141" w:name="OLE_LINK301"/>
            <w:r w:rsidRPr="00547EF5">
              <w:rPr>
                <w:szCs w:val="24"/>
              </w:rPr>
              <w:t>40***</w:t>
            </w:r>
            <w:bookmarkEnd w:id="140"/>
            <w:bookmarkEnd w:id="141"/>
          </w:p>
        </w:tc>
        <w:tc>
          <w:tcPr>
            <w:tcW w:w="1028" w:type="dxa"/>
            <w:tcBorders>
              <w:top w:val="single" w:sz="6" w:space="0" w:color="auto"/>
            </w:tcBorders>
          </w:tcPr>
          <w:p w14:paraId="5450537F" w14:textId="7DC9722A" w:rsidR="00947D37" w:rsidRPr="00553B34" w:rsidRDefault="00A96A0B" w:rsidP="00732BE6">
            <w:pPr>
              <w:widowControl w:val="0"/>
              <w:ind w:firstLine="0"/>
              <w:jc w:val="center"/>
              <w:rPr>
                <w:color w:val="4472C4" w:themeColor="accent1"/>
                <w:szCs w:val="24"/>
              </w:rPr>
            </w:pPr>
            <w:r w:rsidRPr="00553B34">
              <w:rPr>
                <w:rFonts w:hint="eastAsia"/>
                <w:color w:val="4472C4" w:themeColor="accent1"/>
                <w:szCs w:val="24"/>
              </w:rPr>
              <w:t>.</w:t>
            </w:r>
            <w:r w:rsidRPr="00553B34">
              <w:rPr>
                <w:color w:val="4472C4" w:themeColor="accent1"/>
                <w:szCs w:val="24"/>
              </w:rPr>
              <w:t>06</w:t>
            </w:r>
          </w:p>
        </w:tc>
        <w:tc>
          <w:tcPr>
            <w:tcW w:w="1028" w:type="dxa"/>
            <w:tcBorders>
              <w:top w:val="single" w:sz="6" w:space="0" w:color="auto"/>
            </w:tcBorders>
          </w:tcPr>
          <w:p w14:paraId="28A01677" w14:textId="5BE5D4F9" w:rsidR="00947D37" w:rsidRPr="00553B34" w:rsidRDefault="00A96A0B" w:rsidP="00732BE6">
            <w:pPr>
              <w:widowControl w:val="0"/>
              <w:ind w:firstLine="0"/>
              <w:jc w:val="center"/>
              <w:rPr>
                <w:color w:val="4472C4" w:themeColor="accent1"/>
                <w:szCs w:val="24"/>
              </w:rPr>
            </w:pPr>
            <w:r w:rsidRPr="00553B34">
              <w:rPr>
                <w:color w:val="4472C4" w:themeColor="accent1"/>
                <w:szCs w:val="24"/>
              </w:rPr>
              <w:t>−.03</w:t>
            </w:r>
          </w:p>
        </w:tc>
      </w:tr>
      <w:tr w:rsidR="00947D37" w:rsidRPr="00D667D2" w14:paraId="5FCAB0CA" w14:textId="208A9937" w:rsidTr="009F67C9">
        <w:trPr>
          <w:trHeight w:val="480"/>
        </w:trPr>
        <w:tc>
          <w:tcPr>
            <w:tcW w:w="1701" w:type="dxa"/>
            <w:vMerge/>
          </w:tcPr>
          <w:p w14:paraId="126E533F" w14:textId="77777777" w:rsidR="00947D37" w:rsidRPr="00547EF5" w:rsidRDefault="00947D37" w:rsidP="00732BE6">
            <w:pPr>
              <w:widowControl w:val="0"/>
              <w:ind w:firstLine="0"/>
              <w:rPr>
                <w:szCs w:val="24"/>
              </w:rPr>
            </w:pPr>
          </w:p>
        </w:tc>
        <w:tc>
          <w:tcPr>
            <w:tcW w:w="1984" w:type="dxa"/>
          </w:tcPr>
          <w:p w14:paraId="2D7C536B" w14:textId="77777777" w:rsidR="00947D37" w:rsidRPr="00547EF5" w:rsidRDefault="00947D37" w:rsidP="00732BE6">
            <w:pPr>
              <w:widowControl w:val="0"/>
              <w:ind w:firstLine="0"/>
              <w:rPr>
                <w:szCs w:val="24"/>
              </w:rPr>
            </w:pPr>
            <w:r w:rsidRPr="00547EF5">
              <w:rPr>
                <w:szCs w:val="24"/>
              </w:rPr>
              <w:t xml:space="preserve">2. </w:t>
            </w:r>
            <w:r w:rsidRPr="00547EF5">
              <w:rPr>
                <w:rFonts w:hint="eastAsia"/>
                <w:szCs w:val="24"/>
              </w:rPr>
              <w:t>D</w:t>
            </w:r>
            <w:r w:rsidRPr="00547EF5">
              <w:rPr>
                <w:szCs w:val="24"/>
              </w:rPr>
              <w:t>eclinism</w:t>
            </w:r>
          </w:p>
        </w:tc>
        <w:tc>
          <w:tcPr>
            <w:tcW w:w="1560" w:type="dxa"/>
          </w:tcPr>
          <w:p w14:paraId="1599028F" w14:textId="77777777" w:rsidR="00947D37" w:rsidRPr="00D113A3" w:rsidRDefault="00947D37" w:rsidP="00732BE6">
            <w:pPr>
              <w:widowControl w:val="0"/>
              <w:ind w:firstLine="0"/>
              <w:jc w:val="center"/>
              <w:rPr>
                <w:rFonts w:cs="Times New Roman"/>
                <w:szCs w:val="24"/>
              </w:rPr>
            </w:pPr>
            <w:r w:rsidRPr="00D113A3">
              <w:rPr>
                <w:rFonts w:cs="Times New Roman"/>
                <w:szCs w:val="24"/>
              </w:rPr>
              <w:t>3.23 (0.76)</w:t>
            </w:r>
          </w:p>
        </w:tc>
        <w:tc>
          <w:tcPr>
            <w:tcW w:w="1027" w:type="dxa"/>
          </w:tcPr>
          <w:p w14:paraId="2A03D924" w14:textId="77777777" w:rsidR="00947D37" w:rsidRPr="00547EF5" w:rsidRDefault="00947D37" w:rsidP="00732BE6">
            <w:pPr>
              <w:widowControl w:val="0"/>
              <w:ind w:firstLine="0"/>
              <w:jc w:val="center"/>
              <w:rPr>
                <w:szCs w:val="24"/>
              </w:rPr>
            </w:pPr>
          </w:p>
        </w:tc>
        <w:tc>
          <w:tcPr>
            <w:tcW w:w="1028" w:type="dxa"/>
          </w:tcPr>
          <w:p w14:paraId="70AE0A36" w14:textId="77777777" w:rsidR="00947D37" w:rsidRPr="00547EF5" w:rsidRDefault="00947D37" w:rsidP="00732BE6">
            <w:pPr>
              <w:widowControl w:val="0"/>
              <w:ind w:firstLine="0"/>
              <w:jc w:val="center"/>
              <w:rPr>
                <w:szCs w:val="24"/>
              </w:rPr>
            </w:pPr>
            <w:r w:rsidRPr="00547EF5">
              <w:rPr>
                <w:szCs w:val="24"/>
              </w:rPr>
              <w:t>−.46***</w:t>
            </w:r>
          </w:p>
        </w:tc>
        <w:tc>
          <w:tcPr>
            <w:tcW w:w="1028" w:type="dxa"/>
          </w:tcPr>
          <w:p w14:paraId="00249F7D" w14:textId="159B7DB4" w:rsidR="00947D37" w:rsidRPr="00553B34" w:rsidRDefault="00670E0F" w:rsidP="00732BE6">
            <w:pPr>
              <w:widowControl w:val="0"/>
              <w:ind w:firstLine="0"/>
              <w:jc w:val="center"/>
              <w:rPr>
                <w:color w:val="4472C4" w:themeColor="accent1"/>
                <w:szCs w:val="24"/>
              </w:rPr>
            </w:pPr>
            <w:r w:rsidRPr="00553B34">
              <w:rPr>
                <w:color w:val="4472C4" w:themeColor="accent1"/>
                <w:szCs w:val="24"/>
              </w:rPr>
              <w:t>−.09</w:t>
            </w:r>
          </w:p>
        </w:tc>
        <w:tc>
          <w:tcPr>
            <w:tcW w:w="1028" w:type="dxa"/>
          </w:tcPr>
          <w:p w14:paraId="18071CFC" w14:textId="016B33E2" w:rsidR="00947D37" w:rsidRPr="00553B34" w:rsidRDefault="00670E0F" w:rsidP="00732BE6">
            <w:pPr>
              <w:widowControl w:val="0"/>
              <w:ind w:firstLine="0"/>
              <w:jc w:val="center"/>
              <w:rPr>
                <w:color w:val="4472C4" w:themeColor="accent1"/>
                <w:szCs w:val="24"/>
              </w:rPr>
            </w:pPr>
            <w:r w:rsidRPr="00553B34">
              <w:rPr>
                <w:color w:val="4472C4" w:themeColor="accent1"/>
                <w:szCs w:val="24"/>
              </w:rPr>
              <w:t xml:space="preserve">  </w:t>
            </w:r>
            <w:r w:rsidRPr="00553B34">
              <w:rPr>
                <w:rFonts w:hint="eastAsia"/>
                <w:color w:val="4472C4" w:themeColor="accent1"/>
                <w:szCs w:val="24"/>
              </w:rPr>
              <w:t>.</w:t>
            </w:r>
            <w:r w:rsidRPr="00553B34">
              <w:rPr>
                <w:color w:val="4472C4" w:themeColor="accent1"/>
                <w:szCs w:val="24"/>
              </w:rPr>
              <w:t>02</w:t>
            </w:r>
          </w:p>
        </w:tc>
      </w:tr>
      <w:tr w:rsidR="00947D37" w:rsidRPr="00D667D2" w14:paraId="1D0E7F3F" w14:textId="63EFA738" w:rsidTr="009F67C9">
        <w:trPr>
          <w:trHeight w:val="480"/>
        </w:trPr>
        <w:tc>
          <w:tcPr>
            <w:tcW w:w="1701" w:type="dxa"/>
            <w:vMerge/>
          </w:tcPr>
          <w:p w14:paraId="7DED1EA7" w14:textId="77777777" w:rsidR="00947D37" w:rsidRPr="00547EF5" w:rsidRDefault="00947D37" w:rsidP="00732BE6">
            <w:pPr>
              <w:widowControl w:val="0"/>
              <w:ind w:firstLine="0"/>
              <w:rPr>
                <w:szCs w:val="24"/>
              </w:rPr>
            </w:pPr>
          </w:p>
        </w:tc>
        <w:tc>
          <w:tcPr>
            <w:tcW w:w="1984" w:type="dxa"/>
          </w:tcPr>
          <w:p w14:paraId="0CBDF4BE" w14:textId="77777777" w:rsidR="00947D37" w:rsidRPr="00547EF5" w:rsidRDefault="00947D37" w:rsidP="00732BE6">
            <w:pPr>
              <w:widowControl w:val="0"/>
              <w:ind w:firstLine="0"/>
              <w:rPr>
                <w:szCs w:val="24"/>
              </w:rPr>
            </w:pPr>
            <w:r w:rsidRPr="00547EF5">
              <w:rPr>
                <w:szCs w:val="24"/>
              </w:rPr>
              <w:t xml:space="preserve">3. </w:t>
            </w:r>
            <w:r w:rsidRPr="00547EF5">
              <w:rPr>
                <w:rFonts w:hint="eastAsia"/>
                <w:szCs w:val="24"/>
              </w:rPr>
              <w:t>P</w:t>
            </w:r>
            <w:r w:rsidRPr="00547EF5">
              <w:rPr>
                <w:szCs w:val="24"/>
              </w:rPr>
              <w:t>ersonal Growth</w:t>
            </w:r>
          </w:p>
        </w:tc>
        <w:tc>
          <w:tcPr>
            <w:tcW w:w="1560" w:type="dxa"/>
          </w:tcPr>
          <w:p w14:paraId="6E62CB1A" w14:textId="77777777" w:rsidR="00947D37" w:rsidRPr="00D113A3" w:rsidRDefault="00947D37" w:rsidP="00732BE6">
            <w:pPr>
              <w:widowControl w:val="0"/>
              <w:ind w:firstLine="0"/>
              <w:jc w:val="center"/>
              <w:rPr>
                <w:rFonts w:cs="Times New Roman"/>
                <w:szCs w:val="24"/>
              </w:rPr>
            </w:pPr>
            <w:r w:rsidRPr="00D113A3">
              <w:rPr>
                <w:rFonts w:cs="Times New Roman"/>
                <w:szCs w:val="24"/>
              </w:rPr>
              <w:t>5.54 (0.78)</w:t>
            </w:r>
          </w:p>
        </w:tc>
        <w:tc>
          <w:tcPr>
            <w:tcW w:w="1027" w:type="dxa"/>
          </w:tcPr>
          <w:p w14:paraId="5F16997B" w14:textId="77777777" w:rsidR="00947D37" w:rsidRPr="00547EF5" w:rsidRDefault="00947D37" w:rsidP="00732BE6">
            <w:pPr>
              <w:widowControl w:val="0"/>
              <w:ind w:firstLine="0"/>
              <w:jc w:val="center"/>
              <w:rPr>
                <w:szCs w:val="24"/>
              </w:rPr>
            </w:pPr>
          </w:p>
        </w:tc>
        <w:tc>
          <w:tcPr>
            <w:tcW w:w="1028" w:type="dxa"/>
          </w:tcPr>
          <w:p w14:paraId="010AF966" w14:textId="77777777" w:rsidR="00947D37" w:rsidRPr="00547EF5" w:rsidRDefault="00947D37" w:rsidP="00732BE6">
            <w:pPr>
              <w:widowControl w:val="0"/>
              <w:ind w:firstLine="0"/>
              <w:jc w:val="center"/>
              <w:rPr>
                <w:szCs w:val="24"/>
              </w:rPr>
            </w:pPr>
          </w:p>
        </w:tc>
        <w:tc>
          <w:tcPr>
            <w:tcW w:w="1028" w:type="dxa"/>
          </w:tcPr>
          <w:p w14:paraId="7BEEF5F9" w14:textId="4566E955" w:rsidR="00947D37" w:rsidRPr="00553B34" w:rsidRDefault="00670E0F" w:rsidP="00732BE6">
            <w:pPr>
              <w:widowControl w:val="0"/>
              <w:ind w:firstLine="0"/>
              <w:jc w:val="center"/>
              <w:rPr>
                <w:color w:val="4472C4" w:themeColor="accent1"/>
                <w:szCs w:val="24"/>
              </w:rPr>
            </w:pPr>
            <w:r w:rsidRPr="00553B34">
              <w:rPr>
                <w:color w:val="4472C4" w:themeColor="accent1"/>
                <w:szCs w:val="24"/>
              </w:rPr>
              <w:t xml:space="preserve">    </w:t>
            </w:r>
            <w:r w:rsidRPr="00553B34">
              <w:rPr>
                <w:rFonts w:hint="eastAsia"/>
                <w:color w:val="4472C4" w:themeColor="accent1"/>
                <w:szCs w:val="24"/>
              </w:rPr>
              <w:t>.</w:t>
            </w:r>
            <w:r w:rsidRPr="00553B34">
              <w:rPr>
                <w:color w:val="4472C4" w:themeColor="accent1"/>
                <w:szCs w:val="24"/>
              </w:rPr>
              <w:t>17**</w:t>
            </w:r>
          </w:p>
        </w:tc>
        <w:tc>
          <w:tcPr>
            <w:tcW w:w="1028" w:type="dxa"/>
          </w:tcPr>
          <w:p w14:paraId="195F53AF" w14:textId="53C1CE18" w:rsidR="00947D37" w:rsidRPr="00553B34" w:rsidRDefault="00670E0F" w:rsidP="00732BE6">
            <w:pPr>
              <w:widowControl w:val="0"/>
              <w:ind w:firstLine="0"/>
              <w:jc w:val="center"/>
              <w:rPr>
                <w:color w:val="4472C4" w:themeColor="accent1"/>
                <w:szCs w:val="24"/>
              </w:rPr>
            </w:pPr>
            <w:r w:rsidRPr="00553B34">
              <w:rPr>
                <w:color w:val="4472C4" w:themeColor="accent1"/>
                <w:szCs w:val="24"/>
              </w:rPr>
              <w:t>−.06</w:t>
            </w:r>
          </w:p>
        </w:tc>
      </w:tr>
      <w:tr w:rsidR="00947D37" w:rsidRPr="00D667D2" w14:paraId="011C2840" w14:textId="791A2EB9" w:rsidTr="009F67C9">
        <w:trPr>
          <w:trHeight w:val="480"/>
        </w:trPr>
        <w:tc>
          <w:tcPr>
            <w:tcW w:w="1701" w:type="dxa"/>
            <w:vMerge/>
          </w:tcPr>
          <w:p w14:paraId="3724A80C" w14:textId="77777777" w:rsidR="00947D37" w:rsidRPr="00547EF5" w:rsidRDefault="00947D37" w:rsidP="00D113A3">
            <w:pPr>
              <w:widowControl w:val="0"/>
              <w:ind w:firstLine="0"/>
              <w:rPr>
                <w:szCs w:val="24"/>
              </w:rPr>
            </w:pPr>
          </w:p>
        </w:tc>
        <w:tc>
          <w:tcPr>
            <w:tcW w:w="1984" w:type="dxa"/>
          </w:tcPr>
          <w:p w14:paraId="144FB71E" w14:textId="664B786B" w:rsidR="00947D37" w:rsidRPr="00553B34" w:rsidRDefault="00947D37" w:rsidP="00D113A3">
            <w:pPr>
              <w:widowControl w:val="0"/>
              <w:ind w:firstLine="0"/>
              <w:rPr>
                <w:color w:val="4472C4" w:themeColor="accent1"/>
                <w:szCs w:val="24"/>
              </w:rPr>
            </w:pPr>
            <w:r w:rsidRPr="00553B34">
              <w:rPr>
                <w:rFonts w:hint="eastAsia"/>
                <w:color w:val="4472C4" w:themeColor="accent1"/>
                <w:szCs w:val="24"/>
              </w:rPr>
              <w:t>4</w:t>
            </w:r>
            <w:r w:rsidRPr="00553B34">
              <w:rPr>
                <w:color w:val="4472C4" w:themeColor="accent1"/>
                <w:szCs w:val="24"/>
              </w:rPr>
              <w:t>. Age</w:t>
            </w:r>
          </w:p>
        </w:tc>
        <w:tc>
          <w:tcPr>
            <w:tcW w:w="1560" w:type="dxa"/>
          </w:tcPr>
          <w:p w14:paraId="5130BCCF" w14:textId="50676B55" w:rsidR="00947D37" w:rsidRPr="00553B34" w:rsidRDefault="00947D37" w:rsidP="00D113A3">
            <w:pPr>
              <w:widowControl w:val="0"/>
              <w:ind w:firstLine="0"/>
              <w:jc w:val="center"/>
              <w:rPr>
                <w:rFonts w:cs="Times New Roman"/>
                <w:color w:val="4472C4" w:themeColor="accent1"/>
                <w:szCs w:val="24"/>
              </w:rPr>
            </w:pPr>
            <w:r w:rsidRPr="00553B34">
              <w:rPr>
                <w:rFonts w:cs="Times New Roman" w:hint="eastAsia"/>
                <w:color w:val="4472C4" w:themeColor="accent1"/>
                <w:szCs w:val="24"/>
              </w:rPr>
              <w:t>3</w:t>
            </w:r>
            <w:r w:rsidRPr="00553B34">
              <w:rPr>
                <w:rFonts w:cs="Times New Roman"/>
                <w:color w:val="4472C4" w:themeColor="accent1"/>
                <w:szCs w:val="24"/>
              </w:rPr>
              <w:t>0.21 (8.43)</w:t>
            </w:r>
          </w:p>
        </w:tc>
        <w:tc>
          <w:tcPr>
            <w:tcW w:w="1027" w:type="dxa"/>
          </w:tcPr>
          <w:p w14:paraId="55C832E8" w14:textId="77777777" w:rsidR="00947D37" w:rsidRPr="00547EF5" w:rsidRDefault="00947D37" w:rsidP="00D113A3">
            <w:pPr>
              <w:widowControl w:val="0"/>
              <w:ind w:firstLine="0"/>
              <w:jc w:val="center"/>
              <w:rPr>
                <w:szCs w:val="24"/>
              </w:rPr>
            </w:pPr>
          </w:p>
        </w:tc>
        <w:tc>
          <w:tcPr>
            <w:tcW w:w="1028" w:type="dxa"/>
          </w:tcPr>
          <w:p w14:paraId="7C55C2B9" w14:textId="77777777" w:rsidR="00947D37" w:rsidRPr="00547EF5" w:rsidRDefault="00947D37" w:rsidP="00D113A3">
            <w:pPr>
              <w:widowControl w:val="0"/>
              <w:ind w:firstLine="0"/>
              <w:jc w:val="center"/>
              <w:rPr>
                <w:szCs w:val="24"/>
              </w:rPr>
            </w:pPr>
          </w:p>
        </w:tc>
        <w:tc>
          <w:tcPr>
            <w:tcW w:w="1028" w:type="dxa"/>
          </w:tcPr>
          <w:p w14:paraId="7C7F5A5A" w14:textId="77777777" w:rsidR="00947D37" w:rsidRPr="00553B34" w:rsidRDefault="00947D37" w:rsidP="00D113A3">
            <w:pPr>
              <w:widowControl w:val="0"/>
              <w:ind w:firstLine="0"/>
              <w:jc w:val="center"/>
              <w:rPr>
                <w:color w:val="4472C4" w:themeColor="accent1"/>
                <w:szCs w:val="24"/>
              </w:rPr>
            </w:pPr>
          </w:p>
        </w:tc>
        <w:tc>
          <w:tcPr>
            <w:tcW w:w="1028" w:type="dxa"/>
          </w:tcPr>
          <w:p w14:paraId="3CBA254F" w14:textId="7F35CD5D" w:rsidR="00947D37" w:rsidRPr="00553B34" w:rsidRDefault="00670E0F" w:rsidP="00D113A3">
            <w:pPr>
              <w:widowControl w:val="0"/>
              <w:ind w:firstLine="0"/>
              <w:jc w:val="center"/>
              <w:rPr>
                <w:color w:val="4472C4" w:themeColor="accent1"/>
                <w:szCs w:val="24"/>
              </w:rPr>
            </w:pPr>
            <w:r w:rsidRPr="00553B34">
              <w:rPr>
                <w:color w:val="4472C4" w:themeColor="accent1"/>
                <w:szCs w:val="24"/>
              </w:rPr>
              <w:t xml:space="preserve">  </w:t>
            </w:r>
            <w:r w:rsidRPr="00553B34">
              <w:rPr>
                <w:rFonts w:hint="eastAsia"/>
                <w:color w:val="4472C4" w:themeColor="accent1"/>
                <w:szCs w:val="24"/>
              </w:rPr>
              <w:t>.</w:t>
            </w:r>
            <w:r w:rsidRPr="00553B34">
              <w:rPr>
                <w:color w:val="4472C4" w:themeColor="accent1"/>
                <w:szCs w:val="24"/>
              </w:rPr>
              <w:t>05</w:t>
            </w:r>
          </w:p>
        </w:tc>
      </w:tr>
      <w:tr w:rsidR="00947D37" w:rsidRPr="00D667D2" w14:paraId="58238AE5" w14:textId="4C360FDB" w:rsidTr="009F67C9">
        <w:trPr>
          <w:trHeight w:val="480"/>
        </w:trPr>
        <w:tc>
          <w:tcPr>
            <w:tcW w:w="1701" w:type="dxa"/>
            <w:vMerge/>
            <w:tcBorders>
              <w:bottom w:val="single" w:sz="6" w:space="0" w:color="auto"/>
            </w:tcBorders>
          </w:tcPr>
          <w:p w14:paraId="7204585E" w14:textId="77777777" w:rsidR="00947D37" w:rsidRPr="00547EF5" w:rsidRDefault="00947D37" w:rsidP="00D113A3">
            <w:pPr>
              <w:widowControl w:val="0"/>
              <w:ind w:firstLine="0"/>
              <w:rPr>
                <w:szCs w:val="24"/>
              </w:rPr>
            </w:pPr>
          </w:p>
        </w:tc>
        <w:tc>
          <w:tcPr>
            <w:tcW w:w="1984" w:type="dxa"/>
            <w:tcBorders>
              <w:bottom w:val="single" w:sz="6" w:space="0" w:color="auto"/>
            </w:tcBorders>
          </w:tcPr>
          <w:p w14:paraId="2BBEF208" w14:textId="785799BA" w:rsidR="00947D37" w:rsidRPr="00553B34" w:rsidRDefault="00947D37" w:rsidP="00D113A3">
            <w:pPr>
              <w:widowControl w:val="0"/>
              <w:ind w:firstLine="0"/>
              <w:rPr>
                <w:color w:val="4472C4" w:themeColor="accent1"/>
                <w:szCs w:val="24"/>
              </w:rPr>
            </w:pPr>
            <w:r w:rsidRPr="00553B34">
              <w:rPr>
                <w:rFonts w:hint="eastAsia"/>
                <w:color w:val="4472C4" w:themeColor="accent1"/>
                <w:szCs w:val="24"/>
              </w:rPr>
              <w:t>5</w:t>
            </w:r>
            <w:r w:rsidRPr="00553B34">
              <w:rPr>
                <w:color w:val="4472C4" w:themeColor="accent1"/>
                <w:szCs w:val="24"/>
              </w:rPr>
              <w:t>. Gender</w:t>
            </w:r>
          </w:p>
        </w:tc>
        <w:tc>
          <w:tcPr>
            <w:tcW w:w="1560" w:type="dxa"/>
            <w:tcBorders>
              <w:bottom w:val="single" w:sz="6" w:space="0" w:color="auto"/>
            </w:tcBorders>
          </w:tcPr>
          <w:p w14:paraId="5757D553" w14:textId="5DF0153D" w:rsidR="00947D37" w:rsidRPr="00553B34" w:rsidRDefault="00947D37" w:rsidP="00D113A3">
            <w:pPr>
              <w:widowControl w:val="0"/>
              <w:ind w:firstLine="0"/>
              <w:jc w:val="center"/>
              <w:rPr>
                <w:rFonts w:cs="Times New Roman"/>
                <w:color w:val="4472C4" w:themeColor="accent1"/>
                <w:szCs w:val="24"/>
              </w:rPr>
            </w:pPr>
            <w:r w:rsidRPr="00553B34">
              <w:rPr>
                <w:rFonts w:eastAsia="Cambria Math" w:cs="Times New Roman"/>
                <w:color w:val="4472C4" w:themeColor="accent1"/>
                <w:szCs w:val="24"/>
              </w:rPr>
              <w:t>−</w:t>
            </w:r>
          </w:p>
        </w:tc>
        <w:tc>
          <w:tcPr>
            <w:tcW w:w="1027" w:type="dxa"/>
            <w:tcBorders>
              <w:bottom w:val="single" w:sz="6" w:space="0" w:color="auto"/>
            </w:tcBorders>
          </w:tcPr>
          <w:p w14:paraId="5F9FC8BC" w14:textId="77777777" w:rsidR="00947D37" w:rsidRPr="00547EF5" w:rsidRDefault="00947D37" w:rsidP="00D113A3">
            <w:pPr>
              <w:widowControl w:val="0"/>
              <w:ind w:firstLine="0"/>
              <w:jc w:val="center"/>
              <w:rPr>
                <w:szCs w:val="24"/>
              </w:rPr>
            </w:pPr>
          </w:p>
        </w:tc>
        <w:tc>
          <w:tcPr>
            <w:tcW w:w="1028" w:type="dxa"/>
            <w:tcBorders>
              <w:bottom w:val="single" w:sz="6" w:space="0" w:color="auto"/>
            </w:tcBorders>
          </w:tcPr>
          <w:p w14:paraId="0FE4D09B" w14:textId="77777777" w:rsidR="00947D37" w:rsidRPr="00547EF5" w:rsidRDefault="00947D37" w:rsidP="00D113A3">
            <w:pPr>
              <w:widowControl w:val="0"/>
              <w:ind w:firstLine="0"/>
              <w:jc w:val="center"/>
              <w:rPr>
                <w:szCs w:val="24"/>
              </w:rPr>
            </w:pPr>
          </w:p>
        </w:tc>
        <w:tc>
          <w:tcPr>
            <w:tcW w:w="1028" w:type="dxa"/>
            <w:tcBorders>
              <w:bottom w:val="single" w:sz="6" w:space="0" w:color="auto"/>
            </w:tcBorders>
          </w:tcPr>
          <w:p w14:paraId="510B1B53" w14:textId="77777777" w:rsidR="00947D37" w:rsidRPr="00553B34" w:rsidRDefault="00947D37" w:rsidP="00D113A3">
            <w:pPr>
              <w:widowControl w:val="0"/>
              <w:ind w:firstLine="0"/>
              <w:jc w:val="center"/>
              <w:rPr>
                <w:color w:val="4472C4" w:themeColor="accent1"/>
                <w:szCs w:val="24"/>
              </w:rPr>
            </w:pPr>
          </w:p>
        </w:tc>
        <w:tc>
          <w:tcPr>
            <w:tcW w:w="1028" w:type="dxa"/>
            <w:tcBorders>
              <w:bottom w:val="single" w:sz="6" w:space="0" w:color="auto"/>
            </w:tcBorders>
          </w:tcPr>
          <w:p w14:paraId="32242608" w14:textId="77777777" w:rsidR="00947D37" w:rsidRPr="00553B34" w:rsidRDefault="00947D37" w:rsidP="00D113A3">
            <w:pPr>
              <w:widowControl w:val="0"/>
              <w:ind w:firstLine="0"/>
              <w:jc w:val="center"/>
              <w:rPr>
                <w:color w:val="4472C4" w:themeColor="accent1"/>
                <w:szCs w:val="24"/>
              </w:rPr>
            </w:pPr>
          </w:p>
        </w:tc>
      </w:tr>
      <w:bookmarkEnd w:id="137"/>
      <w:bookmarkEnd w:id="138"/>
      <w:tr w:rsidR="00947D37" w:rsidRPr="00D667D2" w14:paraId="4F7C1B04" w14:textId="2FD3C372" w:rsidTr="009F67C9">
        <w:trPr>
          <w:trHeight w:val="480"/>
        </w:trPr>
        <w:tc>
          <w:tcPr>
            <w:tcW w:w="1701" w:type="dxa"/>
            <w:vMerge w:val="restart"/>
            <w:tcBorders>
              <w:top w:val="single" w:sz="6" w:space="0" w:color="auto"/>
            </w:tcBorders>
            <w:vAlign w:val="center"/>
          </w:tcPr>
          <w:p w14:paraId="50344869" w14:textId="77777777" w:rsidR="00947D37" w:rsidRPr="00547EF5" w:rsidRDefault="00947D37" w:rsidP="00732BE6">
            <w:pPr>
              <w:widowControl w:val="0"/>
              <w:ind w:firstLine="0"/>
              <w:rPr>
                <w:szCs w:val="24"/>
              </w:rPr>
            </w:pPr>
            <w:r w:rsidRPr="00547EF5">
              <w:rPr>
                <w:szCs w:val="24"/>
              </w:rPr>
              <w:t>PINE (</w:t>
            </w:r>
            <w:r w:rsidRPr="00547EF5">
              <w:rPr>
                <w:i/>
                <w:iCs/>
                <w:szCs w:val="24"/>
              </w:rPr>
              <w:t>n</w:t>
            </w:r>
            <w:r w:rsidRPr="00547EF5">
              <w:rPr>
                <w:szCs w:val="24"/>
              </w:rPr>
              <w:t xml:space="preserve"> = 270)</w:t>
            </w:r>
          </w:p>
        </w:tc>
        <w:tc>
          <w:tcPr>
            <w:tcW w:w="1984" w:type="dxa"/>
            <w:tcBorders>
              <w:top w:val="single" w:sz="6" w:space="0" w:color="auto"/>
            </w:tcBorders>
          </w:tcPr>
          <w:p w14:paraId="00CAD627" w14:textId="77777777" w:rsidR="00947D37" w:rsidRPr="00547EF5" w:rsidRDefault="00947D37" w:rsidP="00732BE6">
            <w:pPr>
              <w:widowControl w:val="0"/>
              <w:ind w:firstLine="0"/>
              <w:rPr>
                <w:szCs w:val="24"/>
              </w:rPr>
            </w:pPr>
            <w:r w:rsidRPr="00547EF5">
              <w:rPr>
                <w:szCs w:val="24"/>
              </w:rPr>
              <w:t xml:space="preserve">1. </w:t>
            </w:r>
            <w:r w:rsidRPr="00547EF5">
              <w:rPr>
                <w:rFonts w:hint="eastAsia"/>
                <w:szCs w:val="24"/>
              </w:rPr>
              <w:t>N</w:t>
            </w:r>
            <w:r w:rsidRPr="00547EF5">
              <w:rPr>
                <w:szCs w:val="24"/>
              </w:rPr>
              <w:t>ostalgia</w:t>
            </w:r>
          </w:p>
        </w:tc>
        <w:tc>
          <w:tcPr>
            <w:tcW w:w="1560" w:type="dxa"/>
            <w:tcBorders>
              <w:top w:val="single" w:sz="6" w:space="0" w:color="auto"/>
            </w:tcBorders>
          </w:tcPr>
          <w:p w14:paraId="0086447A" w14:textId="77777777" w:rsidR="00947D37" w:rsidRPr="00D113A3" w:rsidRDefault="00947D37" w:rsidP="00732BE6">
            <w:pPr>
              <w:widowControl w:val="0"/>
              <w:ind w:firstLine="0"/>
              <w:jc w:val="center"/>
              <w:rPr>
                <w:rFonts w:cs="Times New Roman"/>
                <w:szCs w:val="24"/>
              </w:rPr>
            </w:pPr>
            <w:r w:rsidRPr="00D113A3">
              <w:rPr>
                <w:rFonts w:cs="Times New Roman"/>
                <w:szCs w:val="24"/>
              </w:rPr>
              <w:t>4.63 (1.21)</w:t>
            </w:r>
          </w:p>
        </w:tc>
        <w:tc>
          <w:tcPr>
            <w:tcW w:w="1027" w:type="dxa"/>
            <w:tcBorders>
              <w:top w:val="single" w:sz="6" w:space="0" w:color="auto"/>
            </w:tcBorders>
          </w:tcPr>
          <w:p w14:paraId="39FDB98A" w14:textId="38B485EA" w:rsidR="00947D37" w:rsidRPr="00547EF5" w:rsidRDefault="00947D37" w:rsidP="00732BE6">
            <w:pPr>
              <w:widowControl w:val="0"/>
              <w:ind w:firstLine="0"/>
              <w:jc w:val="center"/>
              <w:rPr>
                <w:szCs w:val="24"/>
              </w:rPr>
            </w:pPr>
            <w:r>
              <w:rPr>
                <w:szCs w:val="24"/>
              </w:rPr>
              <w:t xml:space="preserve">  </w:t>
            </w:r>
            <w:r w:rsidRPr="00547EF5">
              <w:rPr>
                <w:szCs w:val="24"/>
              </w:rPr>
              <w:t xml:space="preserve"> </w:t>
            </w:r>
            <w:bookmarkStart w:id="142" w:name="OLE_LINK304"/>
            <w:bookmarkStart w:id="143" w:name="OLE_LINK305"/>
            <w:r w:rsidRPr="00547EF5">
              <w:rPr>
                <w:rFonts w:hint="eastAsia"/>
                <w:szCs w:val="24"/>
              </w:rPr>
              <w:t>.</w:t>
            </w:r>
            <w:r w:rsidRPr="00547EF5">
              <w:rPr>
                <w:szCs w:val="24"/>
              </w:rPr>
              <w:t>32***</w:t>
            </w:r>
            <w:bookmarkEnd w:id="142"/>
            <w:bookmarkEnd w:id="143"/>
          </w:p>
        </w:tc>
        <w:tc>
          <w:tcPr>
            <w:tcW w:w="1028" w:type="dxa"/>
            <w:tcBorders>
              <w:top w:val="single" w:sz="6" w:space="0" w:color="auto"/>
            </w:tcBorders>
          </w:tcPr>
          <w:p w14:paraId="55C3B178" w14:textId="28BBE202" w:rsidR="00947D37" w:rsidRPr="00547EF5" w:rsidRDefault="00947D37" w:rsidP="00FB2124">
            <w:pPr>
              <w:widowControl w:val="0"/>
              <w:ind w:firstLine="0"/>
              <w:rPr>
                <w:szCs w:val="24"/>
              </w:rPr>
            </w:pPr>
            <w:bookmarkStart w:id="144" w:name="OLE_LINK306"/>
            <w:bookmarkStart w:id="145" w:name="OLE_LINK307"/>
            <w:r>
              <w:rPr>
                <w:szCs w:val="24"/>
              </w:rPr>
              <w:t xml:space="preserve">   </w:t>
            </w:r>
            <w:r w:rsidRPr="00547EF5">
              <w:rPr>
                <w:szCs w:val="24"/>
              </w:rPr>
              <w:t>−.08</w:t>
            </w:r>
            <w:bookmarkEnd w:id="144"/>
            <w:bookmarkEnd w:id="145"/>
          </w:p>
        </w:tc>
        <w:tc>
          <w:tcPr>
            <w:tcW w:w="1028" w:type="dxa"/>
            <w:tcBorders>
              <w:top w:val="single" w:sz="6" w:space="0" w:color="auto"/>
            </w:tcBorders>
          </w:tcPr>
          <w:p w14:paraId="69FDAB47" w14:textId="440F6715" w:rsidR="00947D37" w:rsidRPr="00553B34" w:rsidRDefault="00AC0D68" w:rsidP="00AC0D68">
            <w:pPr>
              <w:widowControl w:val="0"/>
              <w:ind w:firstLine="0"/>
              <w:jc w:val="center"/>
              <w:rPr>
                <w:color w:val="4472C4" w:themeColor="accent1"/>
                <w:szCs w:val="24"/>
              </w:rPr>
            </w:pPr>
            <w:r w:rsidRPr="00553B34">
              <w:rPr>
                <w:color w:val="4472C4" w:themeColor="accent1"/>
                <w:szCs w:val="24"/>
              </w:rPr>
              <w:t>−.04</w:t>
            </w:r>
          </w:p>
        </w:tc>
        <w:tc>
          <w:tcPr>
            <w:tcW w:w="1028" w:type="dxa"/>
            <w:tcBorders>
              <w:top w:val="single" w:sz="6" w:space="0" w:color="auto"/>
            </w:tcBorders>
          </w:tcPr>
          <w:p w14:paraId="43A0ABD8" w14:textId="4310270A" w:rsidR="00947D37" w:rsidRPr="00553B34" w:rsidRDefault="00AC0D68" w:rsidP="00AC0D68">
            <w:pPr>
              <w:widowControl w:val="0"/>
              <w:ind w:firstLine="0"/>
              <w:jc w:val="center"/>
              <w:rPr>
                <w:color w:val="4472C4" w:themeColor="accent1"/>
                <w:szCs w:val="24"/>
              </w:rPr>
            </w:pPr>
            <w:r w:rsidRPr="00553B34">
              <w:rPr>
                <w:color w:val="4472C4" w:themeColor="accent1"/>
                <w:szCs w:val="24"/>
              </w:rPr>
              <w:t>−.04</w:t>
            </w:r>
          </w:p>
        </w:tc>
      </w:tr>
      <w:tr w:rsidR="00947D37" w:rsidRPr="00D667D2" w14:paraId="099145CC" w14:textId="05ED4A46" w:rsidTr="009F67C9">
        <w:trPr>
          <w:trHeight w:val="480"/>
        </w:trPr>
        <w:tc>
          <w:tcPr>
            <w:tcW w:w="1701" w:type="dxa"/>
            <w:vMerge/>
          </w:tcPr>
          <w:p w14:paraId="67253ACC" w14:textId="77777777" w:rsidR="00947D37" w:rsidRPr="00547EF5" w:rsidRDefault="00947D37" w:rsidP="00732BE6">
            <w:pPr>
              <w:widowControl w:val="0"/>
              <w:ind w:firstLine="0"/>
              <w:rPr>
                <w:szCs w:val="24"/>
              </w:rPr>
            </w:pPr>
          </w:p>
        </w:tc>
        <w:tc>
          <w:tcPr>
            <w:tcW w:w="1984" w:type="dxa"/>
          </w:tcPr>
          <w:p w14:paraId="1A4D95DA" w14:textId="77777777" w:rsidR="00947D37" w:rsidRPr="00547EF5" w:rsidRDefault="00947D37" w:rsidP="00732BE6">
            <w:pPr>
              <w:widowControl w:val="0"/>
              <w:ind w:firstLine="0"/>
              <w:rPr>
                <w:szCs w:val="24"/>
              </w:rPr>
            </w:pPr>
            <w:r w:rsidRPr="00547EF5">
              <w:rPr>
                <w:szCs w:val="24"/>
              </w:rPr>
              <w:t xml:space="preserve">2. </w:t>
            </w:r>
            <w:r w:rsidRPr="00547EF5">
              <w:rPr>
                <w:rFonts w:hint="eastAsia"/>
                <w:szCs w:val="24"/>
              </w:rPr>
              <w:t>D</w:t>
            </w:r>
            <w:r w:rsidRPr="00547EF5">
              <w:rPr>
                <w:szCs w:val="24"/>
              </w:rPr>
              <w:t>eclinism</w:t>
            </w:r>
          </w:p>
        </w:tc>
        <w:tc>
          <w:tcPr>
            <w:tcW w:w="1560" w:type="dxa"/>
          </w:tcPr>
          <w:p w14:paraId="2D7A9BB2" w14:textId="77777777" w:rsidR="00947D37" w:rsidRPr="00D113A3" w:rsidRDefault="00947D37" w:rsidP="00732BE6">
            <w:pPr>
              <w:widowControl w:val="0"/>
              <w:ind w:firstLine="0"/>
              <w:jc w:val="center"/>
              <w:rPr>
                <w:rFonts w:cs="Times New Roman"/>
                <w:szCs w:val="24"/>
              </w:rPr>
            </w:pPr>
            <w:r w:rsidRPr="00D113A3">
              <w:rPr>
                <w:rFonts w:cs="Times New Roman"/>
                <w:szCs w:val="24"/>
              </w:rPr>
              <w:t>3.17 (0.81)</w:t>
            </w:r>
          </w:p>
        </w:tc>
        <w:tc>
          <w:tcPr>
            <w:tcW w:w="1027" w:type="dxa"/>
          </w:tcPr>
          <w:p w14:paraId="53B3CACA" w14:textId="77777777" w:rsidR="00947D37" w:rsidRPr="00547EF5" w:rsidRDefault="00947D37" w:rsidP="00732BE6">
            <w:pPr>
              <w:widowControl w:val="0"/>
              <w:ind w:firstLine="0"/>
              <w:jc w:val="center"/>
              <w:rPr>
                <w:szCs w:val="24"/>
              </w:rPr>
            </w:pPr>
          </w:p>
        </w:tc>
        <w:tc>
          <w:tcPr>
            <w:tcW w:w="1028" w:type="dxa"/>
          </w:tcPr>
          <w:p w14:paraId="33777A08" w14:textId="5FFE3728" w:rsidR="00947D37" w:rsidRPr="00547EF5" w:rsidRDefault="00947D37" w:rsidP="00732BE6">
            <w:pPr>
              <w:widowControl w:val="0"/>
              <w:ind w:firstLine="0"/>
              <w:jc w:val="center"/>
              <w:rPr>
                <w:szCs w:val="24"/>
              </w:rPr>
            </w:pPr>
            <w:r w:rsidRPr="00547EF5">
              <w:rPr>
                <w:szCs w:val="24"/>
              </w:rPr>
              <w:t>−.49***</w:t>
            </w:r>
          </w:p>
        </w:tc>
        <w:tc>
          <w:tcPr>
            <w:tcW w:w="1028" w:type="dxa"/>
          </w:tcPr>
          <w:p w14:paraId="7B4719DF" w14:textId="5F9A3D5E" w:rsidR="00947D37" w:rsidRPr="00553B34" w:rsidRDefault="00AC0D68" w:rsidP="00732BE6">
            <w:pPr>
              <w:widowControl w:val="0"/>
              <w:ind w:firstLine="0"/>
              <w:jc w:val="center"/>
              <w:rPr>
                <w:color w:val="4472C4" w:themeColor="accent1"/>
                <w:szCs w:val="24"/>
              </w:rPr>
            </w:pPr>
            <w:r w:rsidRPr="00553B34">
              <w:rPr>
                <w:color w:val="4472C4" w:themeColor="accent1"/>
                <w:szCs w:val="24"/>
              </w:rPr>
              <w:t>−.11</w:t>
            </w:r>
          </w:p>
        </w:tc>
        <w:tc>
          <w:tcPr>
            <w:tcW w:w="1028" w:type="dxa"/>
          </w:tcPr>
          <w:p w14:paraId="71B873EC" w14:textId="6B84F143" w:rsidR="00947D37" w:rsidRPr="00553B34" w:rsidRDefault="00AC0D68" w:rsidP="00732BE6">
            <w:pPr>
              <w:widowControl w:val="0"/>
              <w:ind w:firstLine="0"/>
              <w:jc w:val="center"/>
              <w:rPr>
                <w:color w:val="4472C4" w:themeColor="accent1"/>
                <w:szCs w:val="24"/>
              </w:rPr>
            </w:pPr>
            <w:r w:rsidRPr="00553B34">
              <w:rPr>
                <w:color w:val="4472C4" w:themeColor="accent1"/>
                <w:szCs w:val="24"/>
              </w:rPr>
              <w:t xml:space="preserve">   </w:t>
            </w:r>
            <w:r w:rsidRPr="00553B34">
              <w:rPr>
                <w:rFonts w:hint="eastAsia"/>
                <w:color w:val="4472C4" w:themeColor="accent1"/>
                <w:szCs w:val="24"/>
              </w:rPr>
              <w:t>.</w:t>
            </w:r>
            <w:r w:rsidRPr="00553B34">
              <w:rPr>
                <w:color w:val="4472C4" w:themeColor="accent1"/>
                <w:szCs w:val="24"/>
              </w:rPr>
              <w:t>15*</w:t>
            </w:r>
          </w:p>
        </w:tc>
      </w:tr>
      <w:tr w:rsidR="00947D37" w:rsidRPr="00D667D2" w14:paraId="0B3D858B" w14:textId="4C4424F0" w:rsidTr="009F67C9">
        <w:trPr>
          <w:trHeight w:val="480"/>
        </w:trPr>
        <w:tc>
          <w:tcPr>
            <w:tcW w:w="1701" w:type="dxa"/>
            <w:vMerge/>
          </w:tcPr>
          <w:p w14:paraId="252F6220" w14:textId="77777777" w:rsidR="00947D37" w:rsidRPr="00547EF5" w:rsidRDefault="00947D37" w:rsidP="00732BE6">
            <w:pPr>
              <w:widowControl w:val="0"/>
              <w:ind w:firstLine="0"/>
              <w:rPr>
                <w:szCs w:val="24"/>
              </w:rPr>
            </w:pPr>
          </w:p>
        </w:tc>
        <w:tc>
          <w:tcPr>
            <w:tcW w:w="1984" w:type="dxa"/>
          </w:tcPr>
          <w:p w14:paraId="25D43640" w14:textId="77777777" w:rsidR="00947D37" w:rsidRPr="00547EF5" w:rsidRDefault="00947D37" w:rsidP="00732BE6">
            <w:pPr>
              <w:widowControl w:val="0"/>
              <w:ind w:firstLine="0"/>
              <w:rPr>
                <w:szCs w:val="24"/>
              </w:rPr>
            </w:pPr>
            <w:r w:rsidRPr="00547EF5">
              <w:rPr>
                <w:szCs w:val="24"/>
              </w:rPr>
              <w:t xml:space="preserve">3. </w:t>
            </w:r>
            <w:r w:rsidRPr="00547EF5">
              <w:rPr>
                <w:rFonts w:hint="eastAsia"/>
                <w:szCs w:val="24"/>
              </w:rPr>
              <w:t>P</w:t>
            </w:r>
            <w:r w:rsidRPr="00547EF5">
              <w:rPr>
                <w:szCs w:val="24"/>
              </w:rPr>
              <w:t>ersonal Growth</w:t>
            </w:r>
          </w:p>
        </w:tc>
        <w:tc>
          <w:tcPr>
            <w:tcW w:w="1560" w:type="dxa"/>
          </w:tcPr>
          <w:p w14:paraId="5931F9CF" w14:textId="77777777" w:rsidR="00947D37" w:rsidRPr="00D113A3" w:rsidRDefault="00947D37" w:rsidP="00732BE6">
            <w:pPr>
              <w:widowControl w:val="0"/>
              <w:ind w:firstLine="0"/>
              <w:jc w:val="center"/>
              <w:rPr>
                <w:rFonts w:cs="Times New Roman"/>
                <w:szCs w:val="24"/>
              </w:rPr>
            </w:pPr>
            <w:r w:rsidRPr="00D113A3">
              <w:rPr>
                <w:rFonts w:cs="Times New Roman"/>
                <w:szCs w:val="24"/>
              </w:rPr>
              <w:t>5.56 (0.76)</w:t>
            </w:r>
          </w:p>
        </w:tc>
        <w:tc>
          <w:tcPr>
            <w:tcW w:w="1027" w:type="dxa"/>
          </w:tcPr>
          <w:p w14:paraId="6D495BC1" w14:textId="77777777" w:rsidR="00947D37" w:rsidRPr="00547EF5" w:rsidRDefault="00947D37" w:rsidP="00732BE6">
            <w:pPr>
              <w:widowControl w:val="0"/>
              <w:ind w:firstLine="0"/>
              <w:jc w:val="center"/>
              <w:rPr>
                <w:szCs w:val="24"/>
              </w:rPr>
            </w:pPr>
          </w:p>
        </w:tc>
        <w:tc>
          <w:tcPr>
            <w:tcW w:w="1028" w:type="dxa"/>
          </w:tcPr>
          <w:p w14:paraId="3251E7FC" w14:textId="77777777" w:rsidR="00947D37" w:rsidRPr="00547EF5" w:rsidRDefault="00947D37" w:rsidP="00732BE6">
            <w:pPr>
              <w:widowControl w:val="0"/>
              <w:ind w:firstLine="0"/>
              <w:jc w:val="center"/>
              <w:rPr>
                <w:szCs w:val="24"/>
              </w:rPr>
            </w:pPr>
          </w:p>
        </w:tc>
        <w:tc>
          <w:tcPr>
            <w:tcW w:w="1028" w:type="dxa"/>
          </w:tcPr>
          <w:p w14:paraId="6D49DCEF" w14:textId="2A58E9B8" w:rsidR="00947D37" w:rsidRPr="00553B34" w:rsidRDefault="00F82FEC" w:rsidP="00732BE6">
            <w:pPr>
              <w:widowControl w:val="0"/>
              <w:ind w:firstLine="0"/>
              <w:jc w:val="center"/>
              <w:rPr>
                <w:color w:val="4472C4" w:themeColor="accent1"/>
                <w:szCs w:val="24"/>
              </w:rPr>
            </w:pPr>
            <w:r w:rsidRPr="00553B34">
              <w:rPr>
                <w:color w:val="4472C4" w:themeColor="accent1"/>
                <w:szCs w:val="24"/>
              </w:rPr>
              <w:t xml:space="preserve">    </w:t>
            </w:r>
            <w:r w:rsidRPr="00553B34">
              <w:rPr>
                <w:rFonts w:hint="eastAsia"/>
                <w:color w:val="4472C4" w:themeColor="accent1"/>
                <w:szCs w:val="24"/>
              </w:rPr>
              <w:t>.</w:t>
            </w:r>
            <w:r w:rsidRPr="00553B34">
              <w:rPr>
                <w:color w:val="4472C4" w:themeColor="accent1"/>
                <w:szCs w:val="24"/>
              </w:rPr>
              <w:t>12*</w:t>
            </w:r>
          </w:p>
        </w:tc>
        <w:tc>
          <w:tcPr>
            <w:tcW w:w="1028" w:type="dxa"/>
          </w:tcPr>
          <w:p w14:paraId="45AD9D2F" w14:textId="7AFCBD80" w:rsidR="00947D37" w:rsidRPr="00553B34" w:rsidRDefault="00F82FEC" w:rsidP="00732BE6">
            <w:pPr>
              <w:widowControl w:val="0"/>
              <w:ind w:firstLine="0"/>
              <w:jc w:val="center"/>
              <w:rPr>
                <w:color w:val="4472C4" w:themeColor="accent1"/>
                <w:szCs w:val="24"/>
              </w:rPr>
            </w:pPr>
            <w:r w:rsidRPr="00553B34">
              <w:rPr>
                <w:color w:val="4472C4" w:themeColor="accent1"/>
                <w:szCs w:val="24"/>
              </w:rPr>
              <w:t xml:space="preserve">   −.19**</w:t>
            </w:r>
          </w:p>
        </w:tc>
      </w:tr>
      <w:tr w:rsidR="00947D37" w:rsidRPr="00D667D2" w14:paraId="0820058F" w14:textId="3073DE54" w:rsidTr="009F67C9">
        <w:trPr>
          <w:trHeight w:val="480"/>
        </w:trPr>
        <w:tc>
          <w:tcPr>
            <w:tcW w:w="1701" w:type="dxa"/>
            <w:vMerge/>
          </w:tcPr>
          <w:p w14:paraId="304B5767" w14:textId="77777777" w:rsidR="00947D37" w:rsidRPr="00547EF5" w:rsidRDefault="00947D37" w:rsidP="00D113A3">
            <w:pPr>
              <w:widowControl w:val="0"/>
              <w:ind w:firstLine="0"/>
              <w:rPr>
                <w:szCs w:val="24"/>
              </w:rPr>
            </w:pPr>
          </w:p>
        </w:tc>
        <w:tc>
          <w:tcPr>
            <w:tcW w:w="1984" w:type="dxa"/>
          </w:tcPr>
          <w:p w14:paraId="5564DDBD" w14:textId="36128D23" w:rsidR="00947D37" w:rsidRPr="00553B34" w:rsidRDefault="00947D37" w:rsidP="00D113A3">
            <w:pPr>
              <w:widowControl w:val="0"/>
              <w:ind w:firstLine="0"/>
              <w:rPr>
                <w:color w:val="4472C4" w:themeColor="accent1"/>
                <w:szCs w:val="24"/>
              </w:rPr>
            </w:pPr>
            <w:r w:rsidRPr="00553B34">
              <w:rPr>
                <w:rFonts w:hint="eastAsia"/>
                <w:color w:val="4472C4" w:themeColor="accent1"/>
                <w:szCs w:val="24"/>
              </w:rPr>
              <w:t>4</w:t>
            </w:r>
            <w:r w:rsidRPr="00553B34">
              <w:rPr>
                <w:color w:val="4472C4" w:themeColor="accent1"/>
                <w:szCs w:val="24"/>
              </w:rPr>
              <w:t>. Age</w:t>
            </w:r>
          </w:p>
        </w:tc>
        <w:tc>
          <w:tcPr>
            <w:tcW w:w="1560" w:type="dxa"/>
          </w:tcPr>
          <w:p w14:paraId="199B74E7" w14:textId="22ACA7A0" w:rsidR="00947D37" w:rsidRPr="00553B34" w:rsidRDefault="00947D37" w:rsidP="00D113A3">
            <w:pPr>
              <w:widowControl w:val="0"/>
              <w:ind w:firstLine="0"/>
              <w:jc w:val="center"/>
              <w:rPr>
                <w:rFonts w:cs="Times New Roman"/>
                <w:color w:val="4472C4" w:themeColor="accent1"/>
                <w:szCs w:val="24"/>
              </w:rPr>
            </w:pPr>
            <w:r w:rsidRPr="00553B34">
              <w:rPr>
                <w:rFonts w:cs="Times New Roman" w:hint="eastAsia"/>
                <w:color w:val="4472C4" w:themeColor="accent1"/>
                <w:szCs w:val="24"/>
              </w:rPr>
              <w:t>3</w:t>
            </w:r>
            <w:r w:rsidRPr="00553B34">
              <w:rPr>
                <w:rFonts w:cs="Times New Roman"/>
                <w:color w:val="4472C4" w:themeColor="accent1"/>
                <w:szCs w:val="24"/>
              </w:rPr>
              <w:t>0.91 (9.14)</w:t>
            </w:r>
          </w:p>
        </w:tc>
        <w:tc>
          <w:tcPr>
            <w:tcW w:w="1027" w:type="dxa"/>
          </w:tcPr>
          <w:p w14:paraId="7BE08234" w14:textId="77777777" w:rsidR="00947D37" w:rsidRPr="00547EF5" w:rsidRDefault="00947D37" w:rsidP="00D113A3">
            <w:pPr>
              <w:widowControl w:val="0"/>
              <w:ind w:firstLine="0"/>
              <w:jc w:val="center"/>
              <w:rPr>
                <w:szCs w:val="24"/>
              </w:rPr>
            </w:pPr>
          </w:p>
        </w:tc>
        <w:tc>
          <w:tcPr>
            <w:tcW w:w="1028" w:type="dxa"/>
          </w:tcPr>
          <w:p w14:paraId="6EEFFF3F" w14:textId="77777777" w:rsidR="00947D37" w:rsidRPr="00547EF5" w:rsidRDefault="00947D37" w:rsidP="00D113A3">
            <w:pPr>
              <w:widowControl w:val="0"/>
              <w:ind w:firstLine="0"/>
              <w:jc w:val="center"/>
              <w:rPr>
                <w:szCs w:val="24"/>
              </w:rPr>
            </w:pPr>
          </w:p>
        </w:tc>
        <w:tc>
          <w:tcPr>
            <w:tcW w:w="1028" w:type="dxa"/>
          </w:tcPr>
          <w:p w14:paraId="68251694" w14:textId="77777777" w:rsidR="00947D37" w:rsidRPr="00553B34" w:rsidRDefault="00947D37" w:rsidP="00D113A3">
            <w:pPr>
              <w:widowControl w:val="0"/>
              <w:ind w:firstLine="0"/>
              <w:jc w:val="center"/>
              <w:rPr>
                <w:color w:val="4472C4" w:themeColor="accent1"/>
                <w:szCs w:val="24"/>
              </w:rPr>
            </w:pPr>
          </w:p>
        </w:tc>
        <w:tc>
          <w:tcPr>
            <w:tcW w:w="1028" w:type="dxa"/>
          </w:tcPr>
          <w:p w14:paraId="71E01257" w14:textId="258D341C" w:rsidR="00947D37" w:rsidRPr="00553B34" w:rsidRDefault="00F82FEC" w:rsidP="00D113A3">
            <w:pPr>
              <w:widowControl w:val="0"/>
              <w:ind w:firstLine="0"/>
              <w:jc w:val="center"/>
              <w:rPr>
                <w:color w:val="4472C4" w:themeColor="accent1"/>
                <w:szCs w:val="24"/>
              </w:rPr>
            </w:pPr>
            <w:r w:rsidRPr="00553B34">
              <w:rPr>
                <w:color w:val="4472C4" w:themeColor="accent1"/>
                <w:szCs w:val="24"/>
              </w:rPr>
              <w:t xml:space="preserve"> −.14*</w:t>
            </w:r>
          </w:p>
        </w:tc>
      </w:tr>
      <w:tr w:rsidR="00947D37" w:rsidRPr="00D667D2" w14:paraId="585E2F59" w14:textId="3C2C86FF" w:rsidTr="009F67C9">
        <w:trPr>
          <w:trHeight w:val="480"/>
        </w:trPr>
        <w:tc>
          <w:tcPr>
            <w:tcW w:w="1701" w:type="dxa"/>
            <w:vMerge/>
            <w:tcBorders>
              <w:bottom w:val="single" w:sz="12" w:space="0" w:color="auto"/>
            </w:tcBorders>
          </w:tcPr>
          <w:p w14:paraId="29454825" w14:textId="77777777" w:rsidR="00947D37" w:rsidRPr="00547EF5" w:rsidRDefault="00947D37" w:rsidP="00D113A3">
            <w:pPr>
              <w:widowControl w:val="0"/>
              <w:ind w:firstLine="0"/>
              <w:rPr>
                <w:szCs w:val="24"/>
              </w:rPr>
            </w:pPr>
          </w:p>
        </w:tc>
        <w:tc>
          <w:tcPr>
            <w:tcW w:w="1984" w:type="dxa"/>
            <w:tcBorders>
              <w:bottom w:val="single" w:sz="12" w:space="0" w:color="auto"/>
            </w:tcBorders>
          </w:tcPr>
          <w:p w14:paraId="61ED6AF6" w14:textId="00BD462B" w:rsidR="00947D37" w:rsidRPr="00553B34" w:rsidRDefault="00947D37" w:rsidP="00D113A3">
            <w:pPr>
              <w:widowControl w:val="0"/>
              <w:ind w:firstLine="0"/>
              <w:rPr>
                <w:color w:val="4472C4" w:themeColor="accent1"/>
                <w:szCs w:val="24"/>
              </w:rPr>
            </w:pPr>
            <w:r w:rsidRPr="00553B34">
              <w:rPr>
                <w:rFonts w:hint="eastAsia"/>
                <w:color w:val="4472C4" w:themeColor="accent1"/>
                <w:szCs w:val="24"/>
              </w:rPr>
              <w:t>5</w:t>
            </w:r>
            <w:r w:rsidRPr="00553B34">
              <w:rPr>
                <w:color w:val="4472C4" w:themeColor="accent1"/>
                <w:szCs w:val="24"/>
              </w:rPr>
              <w:t>. Gender</w:t>
            </w:r>
          </w:p>
        </w:tc>
        <w:tc>
          <w:tcPr>
            <w:tcW w:w="1560" w:type="dxa"/>
            <w:tcBorders>
              <w:bottom w:val="single" w:sz="12" w:space="0" w:color="auto"/>
            </w:tcBorders>
          </w:tcPr>
          <w:p w14:paraId="6C2D500F" w14:textId="07A28CE1" w:rsidR="00947D37" w:rsidRPr="00553B34" w:rsidRDefault="00947D37" w:rsidP="00D113A3">
            <w:pPr>
              <w:widowControl w:val="0"/>
              <w:ind w:firstLine="0"/>
              <w:jc w:val="center"/>
              <w:rPr>
                <w:rFonts w:cs="Times New Roman"/>
                <w:color w:val="4472C4" w:themeColor="accent1"/>
                <w:szCs w:val="24"/>
              </w:rPr>
            </w:pPr>
            <w:r w:rsidRPr="00553B34">
              <w:rPr>
                <w:rFonts w:cs="Times New Roman"/>
                <w:color w:val="4472C4" w:themeColor="accent1"/>
                <w:szCs w:val="24"/>
              </w:rPr>
              <w:t>−</w:t>
            </w:r>
          </w:p>
        </w:tc>
        <w:tc>
          <w:tcPr>
            <w:tcW w:w="1027" w:type="dxa"/>
            <w:tcBorders>
              <w:bottom w:val="single" w:sz="12" w:space="0" w:color="auto"/>
            </w:tcBorders>
          </w:tcPr>
          <w:p w14:paraId="2165307C" w14:textId="77777777" w:rsidR="00947D37" w:rsidRPr="00547EF5" w:rsidRDefault="00947D37" w:rsidP="00D113A3">
            <w:pPr>
              <w:widowControl w:val="0"/>
              <w:ind w:firstLine="0"/>
              <w:jc w:val="center"/>
              <w:rPr>
                <w:szCs w:val="24"/>
              </w:rPr>
            </w:pPr>
          </w:p>
        </w:tc>
        <w:tc>
          <w:tcPr>
            <w:tcW w:w="1028" w:type="dxa"/>
            <w:tcBorders>
              <w:bottom w:val="single" w:sz="12" w:space="0" w:color="auto"/>
            </w:tcBorders>
          </w:tcPr>
          <w:p w14:paraId="4201C137" w14:textId="77777777" w:rsidR="00947D37" w:rsidRPr="00547EF5" w:rsidRDefault="00947D37" w:rsidP="00D113A3">
            <w:pPr>
              <w:widowControl w:val="0"/>
              <w:ind w:firstLine="0"/>
              <w:jc w:val="center"/>
              <w:rPr>
                <w:szCs w:val="24"/>
              </w:rPr>
            </w:pPr>
          </w:p>
        </w:tc>
        <w:tc>
          <w:tcPr>
            <w:tcW w:w="1028" w:type="dxa"/>
            <w:tcBorders>
              <w:bottom w:val="single" w:sz="12" w:space="0" w:color="auto"/>
            </w:tcBorders>
          </w:tcPr>
          <w:p w14:paraId="1343B3FD" w14:textId="77777777" w:rsidR="00947D37" w:rsidRPr="00553B34" w:rsidRDefault="00947D37" w:rsidP="00D113A3">
            <w:pPr>
              <w:widowControl w:val="0"/>
              <w:ind w:firstLine="0"/>
              <w:jc w:val="center"/>
              <w:rPr>
                <w:color w:val="4472C4" w:themeColor="accent1"/>
                <w:szCs w:val="24"/>
              </w:rPr>
            </w:pPr>
          </w:p>
        </w:tc>
        <w:tc>
          <w:tcPr>
            <w:tcW w:w="1028" w:type="dxa"/>
            <w:tcBorders>
              <w:bottom w:val="single" w:sz="12" w:space="0" w:color="auto"/>
            </w:tcBorders>
          </w:tcPr>
          <w:p w14:paraId="275CB219" w14:textId="77777777" w:rsidR="00947D37" w:rsidRPr="00553B34" w:rsidRDefault="00947D37" w:rsidP="00D113A3">
            <w:pPr>
              <w:widowControl w:val="0"/>
              <w:ind w:firstLine="0"/>
              <w:jc w:val="center"/>
              <w:rPr>
                <w:color w:val="4472C4" w:themeColor="accent1"/>
                <w:szCs w:val="24"/>
              </w:rPr>
            </w:pPr>
          </w:p>
        </w:tc>
      </w:tr>
    </w:tbl>
    <w:bookmarkEnd w:id="121"/>
    <w:p w14:paraId="5238D48D" w14:textId="441559DA" w:rsidR="0038005B" w:rsidRPr="005A3C88" w:rsidRDefault="005A3C88" w:rsidP="00732BE6">
      <w:pPr>
        <w:widowControl w:val="0"/>
        <w:spacing w:line="276" w:lineRule="auto"/>
        <w:ind w:firstLine="0"/>
        <w:rPr>
          <w:sz w:val="22"/>
          <w:szCs w:val="22"/>
        </w:rPr>
      </w:pPr>
      <w:r w:rsidRPr="005A3C88">
        <w:rPr>
          <w:rFonts w:cs="Times New Roman"/>
          <w:i/>
          <w:iCs/>
          <w:sz w:val="22"/>
          <w:szCs w:val="22"/>
        </w:rPr>
        <w:t>Note</w:t>
      </w:r>
      <w:r w:rsidRPr="005A3C88">
        <w:rPr>
          <w:rFonts w:cs="Times New Roman"/>
          <w:sz w:val="22"/>
          <w:szCs w:val="22"/>
        </w:rPr>
        <w:t xml:space="preserve">: SNS = Southampton Nostalgia Scale; NI = Nostalgia Inventory; PINE = </w:t>
      </w:r>
      <w:r w:rsidRPr="005A3C88">
        <w:rPr>
          <w:sz w:val="22"/>
          <w:szCs w:val="22"/>
        </w:rPr>
        <w:t>Personal Inventory of Nostalgic Experiences.</w:t>
      </w:r>
      <w:r w:rsidR="00351A97">
        <w:rPr>
          <w:sz w:val="22"/>
          <w:szCs w:val="22"/>
        </w:rPr>
        <w:t xml:space="preserve"> Gender coding: 1 = man</w:t>
      </w:r>
      <w:r w:rsidR="00730D2E">
        <w:rPr>
          <w:sz w:val="22"/>
          <w:szCs w:val="22"/>
        </w:rPr>
        <w:t>, 2 = woman.</w:t>
      </w:r>
      <w:r w:rsidR="00730D2E" w:rsidRPr="00730D2E">
        <w:rPr>
          <w:rFonts w:cs="Times New Roman"/>
          <w:sz w:val="22"/>
          <w:szCs w:val="22"/>
          <w:vertAlign w:val="superscript"/>
        </w:rPr>
        <w:t xml:space="preserve"> </w:t>
      </w:r>
      <w:r w:rsidR="00730D2E" w:rsidRPr="005A3C88">
        <w:rPr>
          <w:rFonts w:cs="Times New Roman"/>
          <w:sz w:val="22"/>
          <w:szCs w:val="22"/>
          <w:vertAlign w:val="superscript"/>
        </w:rPr>
        <w:t>*</w:t>
      </w:r>
      <w:r w:rsidR="00730D2E" w:rsidRPr="005A3C88">
        <w:rPr>
          <w:rFonts w:cs="Times New Roman"/>
          <w:i/>
          <w:iCs/>
          <w:sz w:val="22"/>
          <w:szCs w:val="22"/>
        </w:rPr>
        <w:t>p</w:t>
      </w:r>
      <w:r w:rsidR="00730D2E" w:rsidRPr="005A3C88">
        <w:rPr>
          <w:rFonts w:cs="Times New Roman"/>
          <w:sz w:val="22"/>
          <w:szCs w:val="22"/>
        </w:rPr>
        <w:t xml:space="preserve"> &lt; .0</w:t>
      </w:r>
      <w:r w:rsidR="00730D2E">
        <w:rPr>
          <w:rFonts w:cs="Times New Roman"/>
          <w:sz w:val="22"/>
          <w:szCs w:val="22"/>
        </w:rPr>
        <w:t>5</w:t>
      </w:r>
      <w:r w:rsidR="006F5735">
        <w:rPr>
          <w:rFonts w:cs="Times New Roman"/>
          <w:sz w:val="22"/>
          <w:szCs w:val="22"/>
        </w:rPr>
        <w:t>.</w:t>
      </w:r>
      <w:r w:rsidR="00F82FEC" w:rsidRPr="00F82FEC">
        <w:rPr>
          <w:rFonts w:cs="Times New Roman"/>
          <w:sz w:val="22"/>
          <w:szCs w:val="22"/>
          <w:vertAlign w:val="superscript"/>
        </w:rPr>
        <w:t xml:space="preserve"> </w:t>
      </w:r>
      <w:r w:rsidR="00F82FEC" w:rsidRPr="005A3C88">
        <w:rPr>
          <w:rFonts w:cs="Times New Roman"/>
          <w:sz w:val="22"/>
          <w:szCs w:val="22"/>
          <w:vertAlign w:val="superscript"/>
        </w:rPr>
        <w:t>**</w:t>
      </w:r>
      <w:r w:rsidR="00F82FEC" w:rsidRPr="005A3C88">
        <w:rPr>
          <w:rFonts w:cs="Times New Roman"/>
          <w:i/>
          <w:iCs/>
          <w:sz w:val="22"/>
          <w:szCs w:val="22"/>
        </w:rPr>
        <w:t>p</w:t>
      </w:r>
      <w:r w:rsidR="00F82FEC" w:rsidRPr="005A3C88">
        <w:rPr>
          <w:rFonts w:cs="Times New Roman"/>
          <w:sz w:val="22"/>
          <w:szCs w:val="22"/>
        </w:rPr>
        <w:t xml:space="preserve"> &lt; .0</w:t>
      </w:r>
      <w:r w:rsidR="00F82FEC">
        <w:rPr>
          <w:rFonts w:cs="Times New Roman"/>
          <w:sz w:val="22"/>
          <w:szCs w:val="22"/>
        </w:rPr>
        <w:t>1</w:t>
      </w:r>
      <w:r w:rsidR="006F5735">
        <w:rPr>
          <w:rFonts w:cs="Times New Roman"/>
          <w:sz w:val="22"/>
          <w:szCs w:val="22"/>
        </w:rPr>
        <w:t>.</w:t>
      </w:r>
      <w:r w:rsidRPr="005A3C88">
        <w:rPr>
          <w:rFonts w:cs="Times New Roman"/>
          <w:sz w:val="22"/>
          <w:szCs w:val="22"/>
        </w:rPr>
        <w:t xml:space="preserve"> </w:t>
      </w:r>
      <w:r w:rsidR="0038005B" w:rsidRPr="005A3C88">
        <w:rPr>
          <w:rFonts w:cs="Times New Roman"/>
          <w:sz w:val="22"/>
          <w:szCs w:val="22"/>
          <w:vertAlign w:val="superscript"/>
        </w:rPr>
        <w:t>*</w:t>
      </w:r>
      <w:bookmarkStart w:id="146" w:name="OLE_LINK67"/>
      <w:bookmarkStart w:id="147" w:name="OLE_LINK68"/>
      <w:r w:rsidR="0038005B" w:rsidRPr="005A3C88">
        <w:rPr>
          <w:rFonts w:cs="Times New Roman"/>
          <w:sz w:val="22"/>
          <w:szCs w:val="22"/>
          <w:vertAlign w:val="superscript"/>
        </w:rPr>
        <w:t>**</w:t>
      </w:r>
      <w:r w:rsidR="0038005B" w:rsidRPr="005A3C88">
        <w:rPr>
          <w:rFonts w:cs="Times New Roman"/>
          <w:i/>
          <w:iCs/>
          <w:sz w:val="22"/>
          <w:szCs w:val="22"/>
        </w:rPr>
        <w:t>p</w:t>
      </w:r>
      <w:r w:rsidR="0038005B" w:rsidRPr="005A3C88">
        <w:rPr>
          <w:rFonts w:cs="Times New Roman"/>
          <w:sz w:val="22"/>
          <w:szCs w:val="22"/>
        </w:rPr>
        <w:t xml:space="preserve"> &lt; .00</w:t>
      </w:r>
      <w:bookmarkEnd w:id="146"/>
      <w:bookmarkEnd w:id="147"/>
      <w:r w:rsidR="0038005B" w:rsidRPr="005A3C88">
        <w:rPr>
          <w:rFonts w:cs="Times New Roman"/>
          <w:sz w:val="22"/>
          <w:szCs w:val="22"/>
        </w:rPr>
        <w:t>1.</w:t>
      </w:r>
      <w:r w:rsidRPr="005A3C88">
        <w:rPr>
          <w:rFonts w:cs="Times New Roman"/>
          <w:sz w:val="22"/>
          <w:szCs w:val="22"/>
        </w:rPr>
        <w:t xml:space="preserve"> </w:t>
      </w:r>
    </w:p>
    <w:bookmarkEnd w:id="115"/>
    <w:bookmarkEnd w:id="116"/>
    <w:bookmarkEnd w:id="118"/>
    <w:bookmarkEnd w:id="119"/>
    <w:p w14:paraId="693F01C2" w14:textId="172DA126" w:rsidR="0038005B" w:rsidRDefault="0038005B" w:rsidP="00732BE6">
      <w:pPr>
        <w:widowControl w:val="0"/>
        <w:spacing w:line="240" w:lineRule="auto"/>
        <w:ind w:firstLine="0"/>
      </w:pPr>
      <w:r>
        <w:br w:type="page"/>
      </w:r>
    </w:p>
    <w:p w14:paraId="579E9AC6" w14:textId="77777777" w:rsidR="0038005B" w:rsidRDefault="0038005B" w:rsidP="00732BE6">
      <w:pPr>
        <w:widowControl w:val="0"/>
        <w:ind w:firstLine="0"/>
        <w:rPr>
          <w:b/>
          <w:bCs/>
        </w:rPr>
      </w:pPr>
      <w:r>
        <w:rPr>
          <w:rFonts w:hint="eastAsia"/>
          <w:b/>
          <w:bCs/>
        </w:rPr>
        <w:lastRenderedPageBreak/>
        <w:t>T</w:t>
      </w:r>
      <w:r>
        <w:rPr>
          <w:b/>
          <w:bCs/>
        </w:rPr>
        <w:t>able 2</w:t>
      </w:r>
    </w:p>
    <w:p w14:paraId="7AA49104" w14:textId="40D63491" w:rsidR="0038005B" w:rsidRDefault="0038005B" w:rsidP="00732BE6">
      <w:pPr>
        <w:widowControl w:val="0"/>
        <w:ind w:firstLine="0"/>
        <w:rPr>
          <w:i/>
          <w:iCs/>
        </w:rPr>
      </w:pPr>
      <w:bookmarkStart w:id="148" w:name="OLE_LINK356"/>
      <w:bookmarkStart w:id="149" w:name="OLE_LINK357"/>
      <w:r>
        <w:rPr>
          <w:i/>
          <w:iCs/>
        </w:rPr>
        <w:t>Association Comparisons of D</w:t>
      </w:r>
      <w:bookmarkEnd w:id="148"/>
      <w:bookmarkEnd w:id="149"/>
      <w:r>
        <w:rPr>
          <w:i/>
          <w:iCs/>
        </w:rPr>
        <w:t>ifferent Measures of Nostalgia with Other Variables</w:t>
      </w:r>
      <w:r w:rsidR="00FB2124">
        <w:rPr>
          <w:i/>
          <w:iCs/>
        </w:rPr>
        <w:t xml:space="preserve"> in Study 1</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1134"/>
        <w:gridCol w:w="1276"/>
        <w:gridCol w:w="1276"/>
        <w:gridCol w:w="142"/>
        <w:gridCol w:w="1275"/>
        <w:gridCol w:w="1276"/>
        <w:gridCol w:w="1276"/>
      </w:tblGrid>
      <w:tr w:rsidR="0038005B" w:rsidRPr="00D667D2" w14:paraId="6E69A5CC" w14:textId="77777777" w:rsidTr="008943E5">
        <w:trPr>
          <w:trHeight w:val="312"/>
          <w:jc w:val="center"/>
        </w:trPr>
        <w:tc>
          <w:tcPr>
            <w:tcW w:w="1701" w:type="dxa"/>
            <w:vMerge w:val="restart"/>
            <w:tcBorders>
              <w:top w:val="single" w:sz="12" w:space="0" w:color="auto"/>
            </w:tcBorders>
            <w:vAlign w:val="center"/>
          </w:tcPr>
          <w:p w14:paraId="165C46A9" w14:textId="77777777" w:rsidR="0038005B" w:rsidRPr="00547EF5" w:rsidRDefault="0038005B" w:rsidP="00732BE6">
            <w:pPr>
              <w:widowControl w:val="0"/>
              <w:spacing w:line="240" w:lineRule="auto"/>
              <w:ind w:firstLine="0"/>
              <w:rPr>
                <w:szCs w:val="24"/>
              </w:rPr>
            </w:pPr>
            <w:bookmarkStart w:id="150" w:name="_Hlk197221561"/>
            <w:bookmarkStart w:id="151" w:name="_Hlk197221505"/>
            <w:bookmarkStart w:id="152" w:name="OLE_LINK294"/>
            <w:r w:rsidRPr="00547EF5">
              <w:rPr>
                <w:rFonts w:hint="eastAsia"/>
                <w:szCs w:val="24"/>
              </w:rPr>
              <w:t>C</w:t>
            </w:r>
            <w:r w:rsidRPr="00547EF5">
              <w:rPr>
                <w:szCs w:val="24"/>
              </w:rPr>
              <w:t>orrelation of nostalgia with</w:t>
            </w:r>
          </w:p>
        </w:tc>
        <w:tc>
          <w:tcPr>
            <w:tcW w:w="3686" w:type="dxa"/>
            <w:gridSpan w:val="3"/>
            <w:tcBorders>
              <w:top w:val="single" w:sz="12" w:space="0" w:color="auto"/>
              <w:bottom w:val="single" w:sz="6" w:space="0" w:color="auto"/>
            </w:tcBorders>
            <w:vAlign w:val="center"/>
          </w:tcPr>
          <w:p w14:paraId="6D0F6CC7" w14:textId="77777777" w:rsidR="0038005B" w:rsidRPr="00547EF5" w:rsidRDefault="0038005B" w:rsidP="00732BE6">
            <w:pPr>
              <w:widowControl w:val="0"/>
              <w:ind w:firstLine="0"/>
              <w:jc w:val="center"/>
              <w:rPr>
                <w:szCs w:val="24"/>
              </w:rPr>
            </w:pPr>
            <w:r w:rsidRPr="00547EF5">
              <w:rPr>
                <w:rFonts w:hint="eastAsia"/>
                <w:szCs w:val="24"/>
              </w:rPr>
              <w:t>Condition</w:t>
            </w:r>
          </w:p>
        </w:tc>
        <w:tc>
          <w:tcPr>
            <w:tcW w:w="142" w:type="dxa"/>
            <w:tcBorders>
              <w:top w:val="single" w:sz="12" w:space="0" w:color="auto"/>
            </w:tcBorders>
            <w:vAlign w:val="center"/>
          </w:tcPr>
          <w:p w14:paraId="03CCEEA8" w14:textId="77777777" w:rsidR="0038005B" w:rsidRPr="00547EF5" w:rsidRDefault="0038005B" w:rsidP="00732BE6">
            <w:pPr>
              <w:widowControl w:val="0"/>
              <w:ind w:firstLine="0"/>
              <w:jc w:val="center"/>
              <w:rPr>
                <w:szCs w:val="24"/>
              </w:rPr>
            </w:pPr>
          </w:p>
        </w:tc>
        <w:tc>
          <w:tcPr>
            <w:tcW w:w="3827" w:type="dxa"/>
            <w:gridSpan w:val="3"/>
            <w:tcBorders>
              <w:top w:val="single" w:sz="12" w:space="0" w:color="auto"/>
              <w:bottom w:val="single" w:sz="6" w:space="0" w:color="auto"/>
            </w:tcBorders>
            <w:vAlign w:val="center"/>
          </w:tcPr>
          <w:p w14:paraId="67EC46EB" w14:textId="77777777" w:rsidR="0038005B" w:rsidRPr="00547EF5" w:rsidRDefault="0038005B" w:rsidP="00732BE6">
            <w:pPr>
              <w:widowControl w:val="0"/>
              <w:ind w:firstLine="0"/>
              <w:jc w:val="center"/>
              <w:rPr>
                <w:szCs w:val="24"/>
              </w:rPr>
            </w:pPr>
            <w:r w:rsidRPr="00547EF5">
              <w:rPr>
                <w:rFonts w:hint="eastAsia"/>
                <w:szCs w:val="24"/>
              </w:rPr>
              <w:t>D</w:t>
            </w:r>
            <w:r w:rsidRPr="00547EF5">
              <w:rPr>
                <w:szCs w:val="24"/>
              </w:rPr>
              <w:t>ifference</w:t>
            </w:r>
          </w:p>
        </w:tc>
      </w:tr>
      <w:tr w:rsidR="0038005B" w:rsidRPr="00D667D2" w14:paraId="15DB3F1F" w14:textId="77777777" w:rsidTr="008943E5">
        <w:trPr>
          <w:trHeight w:val="311"/>
          <w:jc w:val="center"/>
        </w:trPr>
        <w:tc>
          <w:tcPr>
            <w:tcW w:w="1701" w:type="dxa"/>
            <w:vMerge/>
            <w:tcBorders>
              <w:bottom w:val="single" w:sz="6" w:space="0" w:color="auto"/>
            </w:tcBorders>
            <w:vAlign w:val="center"/>
          </w:tcPr>
          <w:p w14:paraId="660A69AF" w14:textId="77777777" w:rsidR="0038005B" w:rsidRPr="00547EF5" w:rsidRDefault="0038005B" w:rsidP="00732BE6">
            <w:pPr>
              <w:widowControl w:val="0"/>
              <w:ind w:firstLine="0"/>
              <w:rPr>
                <w:szCs w:val="24"/>
              </w:rPr>
            </w:pPr>
            <w:bookmarkStart w:id="153" w:name="_Hlk197221521"/>
            <w:bookmarkEnd w:id="150"/>
          </w:p>
        </w:tc>
        <w:tc>
          <w:tcPr>
            <w:tcW w:w="1134" w:type="dxa"/>
            <w:tcBorders>
              <w:top w:val="single" w:sz="6" w:space="0" w:color="auto"/>
              <w:bottom w:val="single" w:sz="6" w:space="0" w:color="auto"/>
            </w:tcBorders>
            <w:vAlign w:val="center"/>
          </w:tcPr>
          <w:p w14:paraId="3885520A" w14:textId="77777777" w:rsidR="0038005B" w:rsidRPr="00547EF5" w:rsidRDefault="0038005B" w:rsidP="00732BE6">
            <w:pPr>
              <w:widowControl w:val="0"/>
              <w:ind w:firstLine="0"/>
              <w:jc w:val="center"/>
              <w:rPr>
                <w:szCs w:val="24"/>
              </w:rPr>
            </w:pPr>
            <w:r w:rsidRPr="00547EF5">
              <w:rPr>
                <w:rFonts w:hint="eastAsia"/>
                <w:szCs w:val="24"/>
              </w:rPr>
              <w:t>S</w:t>
            </w:r>
            <w:r w:rsidRPr="00547EF5">
              <w:rPr>
                <w:szCs w:val="24"/>
              </w:rPr>
              <w:t>NS</w:t>
            </w:r>
          </w:p>
        </w:tc>
        <w:tc>
          <w:tcPr>
            <w:tcW w:w="1276" w:type="dxa"/>
            <w:tcBorders>
              <w:top w:val="single" w:sz="6" w:space="0" w:color="auto"/>
              <w:bottom w:val="single" w:sz="6" w:space="0" w:color="auto"/>
            </w:tcBorders>
            <w:vAlign w:val="center"/>
          </w:tcPr>
          <w:p w14:paraId="6DA91FF3" w14:textId="77777777" w:rsidR="0038005B" w:rsidRPr="00547EF5" w:rsidRDefault="0038005B" w:rsidP="00732BE6">
            <w:pPr>
              <w:widowControl w:val="0"/>
              <w:ind w:firstLine="0"/>
              <w:jc w:val="center"/>
              <w:rPr>
                <w:szCs w:val="24"/>
              </w:rPr>
            </w:pPr>
            <w:r w:rsidRPr="00547EF5">
              <w:rPr>
                <w:rFonts w:hint="eastAsia"/>
                <w:szCs w:val="24"/>
              </w:rPr>
              <w:t>N</w:t>
            </w:r>
            <w:r w:rsidRPr="00547EF5">
              <w:rPr>
                <w:szCs w:val="24"/>
              </w:rPr>
              <w:t>I</w:t>
            </w:r>
          </w:p>
        </w:tc>
        <w:tc>
          <w:tcPr>
            <w:tcW w:w="1276" w:type="dxa"/>
            <w:tcBorders>
              <w:top w:val="single" w:sz="6" w:space="0" w:color="auto"/>
              <w:bottom w:val="single" w:sz="6" w:space="0" w:color="auto"/>
            </w:tcBorders>
            <w:vAlign w:val="center"/>
          </w:tcPr>
          <w:p w14:paraId="0C3B90B6" w14:textId="77777777" w:rsidR="0038005B" w:rsidRPr="00547EF5" w:rsidRDefault="0038005B" w:rsidP="00732BE6">
            <w:pPr>
              <w:widowControl w:val="0"/>
              <w:ind w:firstLine="0"/>
              <w:jc w:val="center"/>
              <w:rPr>
                <w:szCs w:val="24"/>
              </w:rPr>
            </w:pPr>
            <w:r w:rsidRPr="00547EF5">
              <w:rPr>
                <w:rFonts w:hint="eastAsia"/>
                <w:szCs w:val="24"/>
              </w:rPr>
              <w:t>P</w:t>
            </w:r>
            <w:r w:rsidRPr="00547EF5">
              <w:rPr>
                <w:szCs w:val="24"/>
              </w:rPr>
              <w:t>INE</w:t>
            </w:r>
          </w:p>
        </w:tc>
        <w:tc>
          <w:tcPr>
            <w:tcW w:w="142" w:type="dxa"/>
            <w:vAlign w:val="center"/>
          </w:tcPr>
          <w:p w14:paraId="642B4B17" w14:textId="77777777" w:rsidR="0038005B" w:rsidRPr="00547EF5" w:rsidRDefault="0038005B" w:rsidP="00732BE6">
            <w:pPr>
              <w:widowControl w:val="0"/>
              <w:ind w:firstLine="0"/>
              <w:jc w:val="center"/>
              <w:rPr>
                <w:i/>
                <w:iCs/>
                <w:szCs w:val="24"/>
              </w:rPr>
            </w:pPr>
          </w:p>
        </w:tc>
        <w:tc>
          <w:tcPr>
            <w:tcW w:w="1275" w:type="dxa"/>
            <w:tcBorders>
              <w:top w:val="single" w:sz="6" w:space="0" w:color="auto"/>
              <w:bottom w:val="single" w:sz="6" w:space="0" w:color="auto"/>
            </w:tcBorders>
            <w:vAlign w:val="center"/>
          </w:tcPr>
          <w:p w14:paraId="6BEC9B4D" w14:textId="77777777" w:rsidR="0038005B" w:rsidRPr="00547EF5" w:rsidRDefault="0038005B" w:rsidP="00732BE6">
            <w:pPr>
              <w:widowControl w:val="0"/>
              <w:ind w:firstLine="0"/>
              <w:jc w:val="center"/>
              <w:rPr>
                <w:szCs w:val="24"/>
              </w:rPr>
            </w:pPr>
            <w:r w:rsidRPr="00547EF5">
              <w:rPr>
                <w:szCs w:val="24"/>
              </w:rPr>
              <w:t>|</w:t>
            </w:r>
            <w:r w:rsidRPr="00547EF5">
              <w:rPr>
                <w:rFonts w:hint="eastAsia"/>
                <w:i/>
                <w:iCs/>
                <w:szCs w:val="24"/>
              </w:rPr>
              <w:t>Z</w:t>
            </w:r>
            <w:r w:rsidRPr="00547EF5">
              <w:rPr>
                <w:szCs w:val="24"/>
                <w:vertAlign w:val="subscript"/>
              </w:rPr>
              <w:t>SNS-PINE</w:t>
            </w:r>
            <w:r w:rsidRPr="00547EF5">
              <w:rPr>
                <w:szCs w:val="24"/>
              </w:rPr>
              <w:t>|</w:t>
            </w:r>
          </w:p>
        </w:tc>
        <w:tc>
          <w:tcPr>
            <w:tcW w:w="1276" w:type="dxa"/>
            <w:tcBorders>
              <w:top w:val="single" w:sz="6" w:space="0" w:color="auto"/>
              <w:bottom w:val="single" w:sz="6" w:space="0" w:color="auto"/>
            </w:tcBorders>
            <w:vAlign w:val="center"/>
          </w:tcPr>
          <w:p w14:paraId="6F0ED307" w14:textId="77777777" w:rsidR="0038005B" w:rsidRPr="00547EF5" w:rsidRDefault="0038005B" w:rsidP="00732BE6">
            <w:pPr>
              <w:widowControl w:val="0"/>
              <w:ind w:firstLine="0"/>
              <w:jc w:val="center"/>
              <w:rPr>
                <w:szCs w:val="24"/>
              </w:rPr>
            </w:pPr>
            <w:r w:rsidRPr="00547EF5">
              <w:rPr>
                <w:szCs w:val="24"/>
              </w:rPr>
              <w:t>|</w:t>
            </w:r>
            <w:r w:rsidRPr="00547EF5">
              <w:rPr>
                <w:rFonts w:hint="eastAsia"/>
                <w:i/>
                <w:iCs/>
                <w:szCs w:val="24"/>
              </w:rPr>
              <w:t>Z</w:t>
            </w:r>
            <w:r w:rsidRPr="00547EF5">
              <w:rPr>
                <w:szCs w:val="24"/>
                <w:vertAlign w:val="subscript"/>
              </w:rPr>
              <w:t>NI-PINE</w:t>
            </w:r>
            <w:r w:rsidRPr="00547EF5">
              <w:rPr>
                <w:szCs w:val="24"/>
              </w:rPr>
              <w:t>|</w:t>
            </w:r>
          </w:p>
        </w:tc>
        <w:tc>
          <w:tcPr>
            <w:tcW w:w="1276" w:type="dxa"/>
            <w:tcBorders>
              <w:top w:val="single" w:sz="6" w:space="0" w:color="auto"/>
              <w:bottom w:val="single" w:sz="6" w:space="0" w:color="auto"/>
            </w:tcBorders>
            <w:vAlign w:val="center"/>
          </w:tcPr>
          <w:p w14:paraId="26C2AFB3" w14:textId="77777777" w:rsidR="0038005B" w:rsidRPr="00547EF5" w:rsidRDefault="0038005B" w:rsidP="00732BE6">
            <w:pPr>
              <w:widowControl w:val="0"/>
              <w:ind w:firstLine="0"/>
              <w:jc w:val="center"/>
              <w:rPr>
                <w:szCs w:val="24"/>
              </w:rPr>
            </w:pPr>
            <w:r w:rsidRPr="00547EF5">
              <w:rPr>
                <w:szCs w:val="24"/>
              </w:rPr>
              <w:t>|</w:t>
            </w:r>
            <w:r w:rsidRPr="00547EF5">
              <w:rPr>
                <w:rFonts w:hint="eastAsia"/>
                <w:i/>
                <w:iCs/>
                <w:szCs w:val="24"/>
              </w:rPr>
              <w:t>Z</w:t>
            </w:r>
            <w:r w:rsidRPr="00547EF5">
              <w:rPr>
                <w:szCs w:val="24"/>
                <w:vertAlign w:val="subscript"/>
              </w:rPr>
              <w:t>SNS-NI</w:t>
            </w:r>
            <w:r w:rsidRPr="00547EF5">
              <w:rPr>
                <w:szCs w:val="24"/>
              </w:rPr>
              <w:t>|</w:t>
            </w:r>
          </w:p>
        </w:tc>
      </w:tr>
      <w:tr w:rsidR="0038005B" w:rsidRPr="00D667D2" w14:paraId="3B2D2EB1" w14:textId="77777777" w:rsidTr="008943E5">
        <w:trPr>
          <w:trHeight w:val="480"/>
          <w:jc w:val="center"/>
        </w:trPr>
        <w:tc>
          <w:tcPr>
            <w:tcW w:w="1701" w:type="dxa"/>
            <w:tcBorders>
              <w:top w:val="single" w:sz="6" w:space="0" w:color="auto"/>
            </w:tcBorders>
            <w:vAlign w:val="center"/>
          </w:tcPr>
          <w:p w14:paraId="17113A9E" w14:textId="77777777" w:rsidR="0038005B" w:rsidRPr="00547EF5" w:rsidRDefault="0038005B" w:rsidP="00732BE6">
            <w:pPr>
              <w:widowControl w:val="0"/>
              <w:ind w:firstLine="0"/>
              <w:rPr>
                <w:szCs w:val="24"/>
              </w:rPr>
            </w:pPr>
            <w:r w:rsidRPr="00547EF5">
              <w:rPr>
                <w:rFonts w:hint="eastAsia"/>
                <w:szCs w:val="24"/>
              </w:rPr>
              <w:t>D</w:t>
            </w:r>
            <w:r w:rsidRPr="00547EF5">
              <w:rPr>
                <w:szCs w:val="24"/>
              </w:rPr>
              <w:t>eclinism</w:t>
            </w:r>
          </w:p>
        </w:tc>
        <w:tc>
          <w:tcPr>
            <w:tcW w:w="1134" w:type="dxa"/>
            <w:tcBorders>
              <w:top w:val="single" w:sz="6" w:space="0" w:color="auto"/>
            </w:tcBorders>
            <w:vAlign w:val="center"/>
          </w:tcPr>
          <w:p w14:paraId="0B027547" w14:textId="77777777" w:rsidR="0038005B" w:rsidRPr="00547EF5" w:rsidRDefault="0038005B" w:rsidP="00732BE6">
            <w:pPr>
              <w:widowControl w:val="0"/>
              <w:ind w:firstLine="0"/>
              <w:jc w:val="center"/>
              <w:rPr>
                <w:szCs w:val="24"/>
              </w:rPr>
            </w:pPr>
            <w:r w:rsidRPr="00547EF5">
              <w:rPr>
                <w:rFonts w:hint="eastAsia"/>
                <w:szCs w:val="24"/>
              </w:rPr>
              <w:t>.</w:t>
            </w:r>
            <w:r w:rsidRPr="00547EF5">
              <w:rPr>
                <w:szCs w:val="24"/>
              </w:rPr>
              <w:t>09</w:t>
            </w:r>
          </w:p>
        </w:tc>
        <w:tc>
          <w:tcPr>
            <w:tcW w:w="1276" w:type="dxa"/>
            <w:tcBorders>
              <w:top w:val="single" w:sz="6" w:space="0" w:color="auto"/>
            </w:tcBorders>
            <w:vAlign w:val="center"/>
          </w:tcPr>
          <w:p w14:paraId="7859C8E8" w14:textId="77777777" w:rsidR="0038005B" w:rsidRPr="00547EF5" w:rsidRDefault="0038005B" w:rsidP="00732BE6">
            <w:pPr>
              <w:widowControl w:val="0"/>
              <w:ind w:firstLine="0"/>
              <w:jc w:val="center"/>
              <w:rPr>
                <w:szCs w:val="24"/>
              </w:rPr>
            </w:pPr>
            <w:r w:rsidRPr="00547EF5">
              <w:rPr>
                <w:szCs w:val="24"/>
              </w:rPr>
              <w:t>−.05</w:t>
            </w:r>
          </w:p>
        </w:tc>
        <w:tc>
          <w:tcPr>
            <w:tcW w:w="1276" w:type="dxa"/>
            <w:tcBorders>
              <w:top w:val="single" w:sz="6" w:space="0" w:color="auto"/>
            </w:tcBorders>
            <w:vAlign w:val="center"/>
          </w:tcPr>
          <w:p w14:paraId="277D5B40" w14:textId="4D0730EB" w:rsidR="0038005B" w:rsidRPr="00547EF5" w:rsidRDefault="00113D21" w:rsidP="00732BE6">
            <w:pPr>
              <w:widowControl w:val="0"/>
              <w:ind w:firstLine="0"/>
              <w:jc w:val="center"/>
              <w:rPr>
                <w:szCs w:val="24"/>
              </w:rPr>
            </w:pPr>
            <w:r>
              <w:rPr>
                <w:szCs w:val="24"/>
              </w:rPr>
              <w:t xml:space="preserve">    </w:t>
            </w:r>
            <w:r w:rsidR="0038005B" w:rsidRPr="00547EF5">
              <w:rPr>
                <w:rFonts w:hint="eastAsia"/>
                <w:szCs w:val="24"/>
              </w:rPr>
              <w:t>.</w:t>
            </w:r>
            <w:r w:rsidR="0038005B" w:rsidRPr="00547EF5">
              <w:rPr>
                <w:szCs w:val="24"/>
              </w:rPr>
              <w:t>32***</w:t>
            </w:r>
          </w:p>
        </w:tc>
        <w:tc>
          <w:tcPr>
            <w:tcW w:w="142" w:type="dxa"/>
            <w:vAlign w:val="center"/>
          </w:tcPr>
          <w:p w14:paraId="0F22808B" w14:textId="77777777" w:rsidR="0038005B" w:rsidRPr="00547EF5" w:rsidRDefault="0038005B" w:rsidP="00732BE6">
            <w:pPr>
              <w:widowControl w:val="0"/>
              <w:ind w:firstLine="0"/>
              <w:jc w:val="center"/>
              <w:rPr>
                <w:szCs w:val="24"/>
              </w:rPr>
            </w:pPr>
          </w:p>
        </w:tc>
        <w:tc>
          <w:tcPr>
            <w:tcW w:w="1275" w:type="dxa"/>
            <w:tcBorders>
              <w:top w:val="single" w:sz="6" w:space="0" w:color="auto"/>
            </w:tcBorders>
            <w:vAlign w:val="center"/>
          </w:tcPr>
          <w:p w14:paraId="39AA0341" w14:textId="77777777" w:rsidR="0038005B" w:rsidRPr="00547EF5" w:rsidRDefault="0038005B" w:rsidP="00732BE6">
            <w:pPr>
              <w:widowControl w:val="0"/>
              <w:ind w:firstLine="0"/>
              <w:jc w:val="center"/>
              <w:rPr>
                <w:szCs w:val="24"/>
              </w:rPr>
            </w:pPr>
            <w:r w:rsidRPr="00547EF5">
              <w:rPr>
                <w:szCs w:val="24"/>
              </w:rPr>
              <w:t>2.79**</w:t>
            </w:r>
          </w:p>
        </w:tc>
        <w:tc>
          <w:tcPr>
            <w:tcW w:w="1276" w:type="dxa"/>
            <w:tcBorders>
              <w:top w:val="single" w:sz="6" w:space="0" w:color="auto"/>
            </w:tcBorders>
            <w:vAlign w:val="center"/>
          </w:tcPr>
          <w:p w14:paraId="4A4B9547" w14:textId="77777777" w:rsidR="0038005B" w:rsidRPr="00547EF5" w:rsidRDefault="0038005B" w:rsidP="00732BE6">
            <w:pPr>
              <w:widowControl w:val="0"/>
              <w:ind w:firstLine="0"/>
              <w:jc w:val="center"/>
              <w:rPr>
                <w:szCs w:val="24"/>
              </w:rPr>
            </w:pPr>
            <w:r w:rsidRPr="00547EF5">
              <w:rPr>
                <w:rFonts w:hint="eastAsia"/>
                <w:szCs w:val="24"/>
              </w:rPr>
              <w:t>4</w:t>
            </w:r>
            <w:r w:rsidRPr="00547EF5">
              <w:rPr>
                <w:szCs w:val="24"/>
              </w:rPr>
              <w:t>.41***</w:t>
            </w:r>
          </w:p>
        </w:tc>
        <w:tc>
          <w:tcPr>
            <w:tcW w:w="1276" w:type="dxa"/>
            <w:tcBorders>
              <w:top w:val="single" w:sz="6" w:space="0" w:color="auto"/>
            </w:tcBorders>
            <w:vAlign w:val="center"/>
          </w:tcPr>
          <w:p w14:paraId="50AA9544" w14:textId="77777777" w:rsidR="0038005B" w:rsidRPr="00547EF5" w:rsidRDefault="0038005B" w:rsidP="00732BE6">
            <w:pPr>
              <w:widowControl w:val="0"/>
              <w:ind w:firstLine="0"/>
              <w:jc w:val="center"/>
              <w:rPr>
                <w:szCs w:val="24"/>
              </w:rPr>
            </w:pPr>
            <w:r w:rsidRPr="00547EF5">
              <w:rPr>
                <w:szCs w:val="24"/>
              </w:rPr>
              <w:t>1.62</w:t>
            </w:r>
          </w:p>
        </w:tc>
      </w:tr>
      <w:tr w:rsidR="0038005B" w:rsidRPr="00D667D2" w14:paraId="58B4D1BB" w14:textId="77777777" w:rsidTr="008943E5">
        <w:trPr>
          <w:trHeight w:val="480"/>
          <w:jc w:val="center"/>
        </w:trPr>
        <w:tc>
          <w:tcPr>
            <w:tcW w:w="1701" w:type="dxa"/>
            <w:tcBorders>
              <w:bottom w:val="single" w:sz="12" w:space="0" w:color="auto"/>
            </w:tcBorders>
            <w:vAlign w:val="center"/>
          </w:tcPr>
          <w:p w14:paraId="4F64FFBC" w14:textId="77777777" w:rsidR="0038005B" w:rsidRPr="00547EF5" w:rsidRDefault="0038005B" w:rsidP="00732BE6">
            <w:pPr>
              <w:widowControl w:val="0"/>
              <w:ind w:firstLine="0"/>
              <w:rPr>
                <w:szCs w:val="24"/>
              </w:rPr>
            </w:pPr>
            <w:r w:rsidRPr="00547EF5">
              <w:rPr>
                <w:rFonts w:hint="eastAsia"/>
                <w:szCs w:val="24"/>
              </w:rPr>
              <w:t>P</w:t>
            </w:r>
            <w:r w:rsidRPr="00547EF5">
              <w:rPr>
                <w:szCs w:val="24"/>
              </w:rPr>
              <w:t xml:space="preserve">ersonal Growth </w:t>
            </w:r>
          </w:p>
        </w:tc>
        <w:tc>
          <w:tcPr>
            <w:tcW w:w="1134" w:type="dxa"/>
            <w:tcBorders>
              <w:bottom w:val="single" w:sz="12" w:space="0" w:color="auto"/>
            </w:tcBorders>
            <w:vAlign w:val="center"/>
          </w:tcPr>
          <w:p w14:paraId="70B3BB6A" w14:textId="270EF7B5" w:rsidR="0038005B" w:rsidRPr="00547EF5" w:rsidRDefault="00113D21" w:rsidP="00732BE6">
            <w:pPr>
              <w:widowControl w:val="0"/>
              <w:ind w:firstLine="0"/>
              <w:jc w:val="center"/>
              <w:rPr>
                <w:szCs w:val="24"/>
              </w:rPr>
            </w:pPr>
            <w:r>
              <w:rPr>
                <w:szCs w:val="24"/>
              </w:rPr>
              <w:t xml:space="preserve">   </w:t>
            </w:r>
            <w:r w:rsidR="00FB2124">
              <w:rPr>
                <w:szCs w:val="24"/>
              </w:rPr>
              <w:t xml:space="preserve">    </w:t>
            </w:r>
            <w:r w:rsidR="0038005B" w:rsidRPr="00547EF5">
              <w:rPr>
                <w:szCs w:val="24"/>
              </w:rPr>
              <w:t>.22***</w:t>
            </w:r>
          </w:p>
        </w:tc>
        <w:tc>
          <w:tcPr>
            <w:tcW w:w="1276" w:type="dxa"/>
            <w:tcBorders>
              <w:bottom w:val="single" w:sz="12" w:space="0" w:color="auto"/>
            </w:tcBorders>
            <w:vAlign w:val="center"/>
          </w:tcPr>
          <w:p w14:paraId="3A29D5D5" w14:textId="3EF2A72E" w:rsidR="0038005B" w:rsidRPr="00547EF5" w:rsidRDefault="00113D21" w:rsidP="00732BE6">
            <w:pPr>
              <w:widowControl w:val="0"/>
              <w:ind w:firstLine="0"/>
              <w:jc w:val="center"/>
              <w:rPr>
                <w:szCs w:val="24"/>
              </w:rPr>
            </w:pPr>
            <w:r>
              <w:rPr>
                <w:szCs w:val="24"/>
              </w:rPr>
              <w:t xml:space="preserve">   </w:t>
            </w:r>
            <w:r w:rsidR="0038005B" w:rsidRPr="00547EF5">
              <w:rPr>
                <w:szCs w:val="24"/>
              </w:rPr>
              <w:t xml:space="preserve"> </w:t>
            </w:r>
            <w:r w:rsidR="00FB2124">
              <w:rPr>
                <w:szCs w:val="24"/>
              </w:rPr>
              <w:t xml:space="preserve">    </w:t>
            </w:r>
            <w:r w:rsidR="0038005B" w:rsidRPr="00547EF5">
              <w:rPr>
                <w:rFonts w:hint="eastAsia"/>
                <w:szCs w:val="24"/>
              </w:rPr>
              <w:t>.</w:t>
            </w:r>
            <w:r w:rsidR="0038005B" w:rsidRPr="00547EF5">
              <w:rPr>
                <w:szCs w:val="24"/>
              </w:rPr>
              <w:t>40***</w:t>
            </w:r>
          </w:p>
        </w:tc>
        <w:tc>
          <w:tcPr>
            <w:tcW w:w="1276" w:type="dxa"/>
            <w:tcBorders>
              <w:bottom w:val="single" w:sz="12" w:space="0" w:color="auto"/>
            </w:tcBorders>
            <w:vAlign w:val="center"/>
          </w:tcPr>
          <w:p w14:paraId="71FD1DD3" w14:textId="78D4159D" w:rsidR="0038005B" w:rsidRPr="00547EF5" w:rsidRDefault="00FB2124" w:rsidP="00FB2124">
            <w:pPr>
              <w:widowControl w:val="0"/>
              <w:ind w:firstLine="0"/>
              <w:rPr>
                <w:szCs w:val="24"/>
              </w:rPr>
            </w:pPr>
            <w:r>
              <w:rPr>
                <w:szCs w:val="24"/>
              </w:rPr>
              <w:t xml:space="preserve">    </w:t>
            </w:r>
            <w:r w:rsidR="0038005B" w:rsidRPr="00547EF5">
              <w:rPr>
                <w:szCs w:val="24"/>
              </w:rPr>
              <w:t>−.08</w:t>
            </w:r>
          </w:p>
        </w:tc>
        <w:tc>
          <w:tcPr>
            <w:tcW w:w="142" w:type="dxa"/>
            <w:tcBorders>
              <w:bottom w:val="single" w:sz="12" w:space="0" w:color="auto"/>
            </w:tcBorders>
            <w:vAlign w:val="center"/>
          </w:tcPr>
          <w:p w14:paraId="166E1281" w14:textId="77777777" w:rsidR="0038005B" w:rsidRPr="00547EF5" w:rsidRDefault="0038005B" w:rsidP="00732BE6">
            <w:pPr>
              <w:widowControl w:val="0"/>
              <w:ind w:firstLine="0"/>
              <w:jc w:val="center"/>
              <w:rPr>
                <w:szCs w:val="24"/>
              </w:rPr>
            </w:pPr>
          </w:p>
        </w:tc>
        <w:tc>
          <w:tcPr>
            <w:tcW w:w="1275" w:type="dxa"/>
            <w:tcBorders>
              <w:bottom w:val="single" w:sz="12" w:space="0" w:color="auto"/>
            </w:tcBorders>
            <w:vAlign w:val="center"/>
          </w:tcPr>
          <w:p w14:paraId="17C8933E" w14:textId="636FEE4B" w:rsidR="0038005B" w:rsidRPr="00547EF5" w:rsidRDefault="00113D21" w:rsidP="00732BE6">
            <w:pPr>
              <w:widowControl w:val="0"/>
              <w:ind w:firstLine="0"/>
              <w:jc w:val="center"/>
              <w:rPr>
                <w:szCs w:val="24"/>
              </w:rPr>
            </w:pPr>
            <w:r>
              <w:rPr>
                <w:szCs w:val="24"/>
              </w:rPr>
              <w:t xml:space="preserve"> </w:t>
            </w:r>
            <w:r w:rsidR="00FB2124">
              <w:rPr>
                <w:szCs w:val="24"/>
              </w:rPr>
              <w:t xml:space="preserve"> </w:t>
            </w:r>
            <w:r w:rsidR="0038005B" w:rsidRPr="00547EF5">
              <w:rPr>
                <w:rFonts w:hint="eastAsia"/>
                <w:szCs w:val="24"/>
              </w:rPr>
              <w:t>3</w:t>
            </w:r>
            <w:r w:rsidR="0038005B" w:rsidRPr="00547EF5">
              <w:rPr>
                <w:szCs w:val="24"/>
              </w:rPr>
              <w:t>.51***</w:t>
            </w:r>
          </w:p>
        </w:tc>
        <w:tc>
          <w:tcPr>
            <w:tcW w:w="1276" w:type="dxa"/>
            <w:tcBorders>
              <w:bottom w:val="single" w:sz="12" w:space="0" w:color="auto"/>
            </w:tcBorders>
            <w:vAlign w:val="center"/>
          </w:tcPr>
          <w:p w14:paraId="04C563BB" w14:textId="77777777" w:rsidR="0038005B" w:rsidRPr="00547EF5" w:rsidRDefault="0038005B" w:rsidP="00732BE6">
            <w:pPr>
              <w:widowControl w:val="0"/>
              <w:ind w:firstLine="0"/>
              <w:jc w:val="center"/>
              <w:rPr>
                <w:szCs w:val="24"/>
              </w:rPr>
            </w:pPr>
            <w:r w:rsidRPr="00547EF5">
              <w:rPr>
                <w:rFonts w:hint="eastAsia"/>
                <w:szCs w:val="24"/>
              </w:rPr>
              <w:t>5</w:t>
            </w:r>
            <w:r w:rsidRPr="00547EF5">
              <w:rPr>
                <w:szCs w:val="24"/>
              </w:rPr>
              <w:t>.82***</w:t>
            </w:r>
          </w:p>
        </w:tc>
        <w:tc>
          <w:tcPr>
            <w:tcW w:w="1276" w:type="dxa"/>
            <w:tcBorders>
              <w:bottom w:val="single" w:sz="12" w:space="0" w:color="auto"/>
            </w:tcBorders>
            <w:vAlign w:val="center"/>
          </w:tcPr>
          <w:p w14:paraId="238FA4DF" w14:textId="044197F9" w:rsidR="0038005B" w:rsidRPr="00547EF5" w:rsidRDefault="00113D21" w:rsidP="00732BE6">
            <w:pPr>
              <w:widowControl w:val="0"/>
              <w:ind w:firstLine="0"/>
              <w:jc w:val="center"/>
              <w:rPr>
                <w:szCs w:val="24"/>
              </w:rPr>
            </w:pPr>
            <w:r>
              <w:rPr>
                <w:szCs w:val="24"/>
              </w:rPr>
              <w:t xml:space="preserve"> </w:t>
            </w:r>
            <w:r w:rsidR="00FB2124">
              <w:rPr>
                <w:szCs w:val="24"/>
              </w:rPr>
              <w:t xml:space="preserve"> </w:t>
            </w:r>
            <w:r w:rsidR="0038005B" w:rsidRPr="00547EF5">
              <w:rPr>
                <w:szCs w:val="24"/>
              </w:rPr>
              <w:t>2.31*</w:t>
            </w:r>
          </w:p>
        </w:tc>
      </w:tr>
    </w:tbl>
    <w:bookmarkEnd w:id="151"/>
    <w:bookmarkEnd w:id="152"/>
    <w:bookmarkEnd w:id="153"/>
    <w:p w14:paraId="2BDEE128" w14:textId="1331A49B" w:rsidR="0038005B" w:rsidRPr="005A3C88" w:rsidRDefault="005A3C88" w:rsidP="00732BE6">
      <w:pPr>
        <w:widowControl w:val="0"/>
        <w:spacing w:line="276" w:lineRule="auto"/>
        <w:ind w:firstLine="0"/>
        <w:rPr>
          <w:rFonts w:cs="Times New Roman"/>
          <w:sz w:val="22"/>
          <w:szCs w:val="22"/>
        </w:rPr>
      </w:pPr>
      <w:r w:rsidRPr="005A3C88">
        <w:rPr>
          <w:rFonts w:cs="Times New Roman"/>
          <w:i/>
          <w:iCs/>
          <w:sz w:val="22"/>
          <w:szCs w:val="22"/>
        </w:rPr>
        <w:t>Note</w:t>
      </w:r>
      <w:r w:rsidRPr="005A3C88">
        <w:rPr>
          <w:rFonts w:cs="Times New Roman"/>
          <w:sz w:val="22"/>
          <w:szCs w:val="22"/>
        </w:rPr>
        <w:t xml:space="preserve">: SNS = Southampton Nostalgia Scale; NI = Nostalgia Inventory; PINE = </w:t>
      </w:r>
      <w:r w:rsidRPr="005A3C88">
        <w:rPr>
          <w:sz w:val="22"/>
          <w:szCs w:val="22"/>
        </w:rPr>
        <w:t>Personal Inventory of Nostalgic Experiences.</w:t>
      </w:r>
      <w:r w:rsidRPr="005A3C88">
        <w:rPr>
          <w:rFonts w:cs="Times New Roman"/>
          <w:sz w:val="22"/>
          <w:szCs w:val="22"/>
        </w:rPr>
        <w:t xml:space="preserve"> </w:t>
      </w:r>
      <w:r w:rsidR="0038005B" w:rsidRPr="005A3C88">
        <w:rPr>
          <w:rFonts w:cs="Times New Roman"/>
          <w:sz w:val="22"/>
          <w:szCs w:val="22"/>
          <w:vertAlign w:val="superscript"/>
        </w:rPr>
        <w:t>*</w:t>
      </w:r>
      <w:r w:rsidR="0038005B" w:rsidRPr="005A3C88">
        <w:rPr>
          <w:rFonts w:cs="Times New Roman"/>
          <w:i/>
          <w:iCs/>
          <w:sz w:val="22"/>
          <w:szCs w:val="22"/>
        </w:rPr>
        <w:t>p</w:t>
      </w:r>
      <w:r w:rsidR="0038005B" w:rsidRPr="005A3C88">
        <w:rPr>
          <w:rFonts w:cs="Times New Roman"/>
          <w:sz w:val="22"/>
          <w:szCs w:val="22"/>
        </w:rPr>
        <w:t xml:space="preserve"> &lt; .05. </w:t>
      </w:r>
      <w:r w:rsidR="0038005B" w:rsidRPr="005A3C88">
        <w:rPr>
          <w:rFonts w:cs="Times New Roman"/>
          <w:sz w:val="22"/>
          <w:szCs w:val="22"/>
          <w:vertAlign w:val="superscript"/>
        </w:rPr>
        <w:t>**</w:t>
      </w:r>
      <w:r w:rsidR="0038005B" w:rsidRPr="005A3C88">
        <w:rPr>
          <w:rFonts w:cs="Times New Roman"/>
          <w:i/>
          <w:iCs/>
          <w:sz w:val="22"/>
          <w:szCs w:val="22"/>
        </w:rPr>
        <w:t>p</w:t>
      </w:r>
      <w:r w:rsidR="0038005B" w:rsidRPr="005A3C88">
        <w:rPr>
          <w:rFonts w:cs="Times New Roman"/>
          <w:sz w:val="22"/>
          <w:szCs w:val="22"/>
        </w:rPr>
        <w:t xml:space="preserve"> &lt; .01.</w:t>
      </w:r>
      <w:r w:rsidR="0038005B" w:rsidRPr="005A3C88">
        <w:rPr>
          <w:sz w:val="22"/>
          <w:szCs w:val="22"/>
        </w:rPr>
        <w:t xml:space="preserve"> </w:t>
      </w:r>
      <w:r w:rsidR="0038005B" w:rsidRPr="005A3C88">
        <w:rPr>
          <w:rFonts w:cs="Times New Roman"/>
          <w:sz w:val="22"/>
          <w:szCs w:val="22"/>
          <w:vertAlign w:val="superscript"/>
        </w:rPr>
        <w:t>**</w:t>
      </w:r>
      <w:bookmarkStart w:id="154" w:name="OLE_LINK308"/>
      <w:bookmarkStart w:id="155" w:name="OLE_LINK310"/>
      <w:r w:rsidR="0038005B" w:rsidRPr="005A3C88">
        <w:rPr>
          <w:rFonts w:cs="Times New Roman"/>
          <w:sz w:val="22"/>
          <w:szCs w:val="22"/>
          <w:vertAlign w:val="superscript"/>
        </w:rPr>
        <w:t>*</w:t>
      </w:r>
      <w:r w:rsidR="0038005B" w:rsidRPr="005A3C88">
        <w:rPr>
          <w:rFonts w:cs="Times New Roman"/>
          <w:i/>
          <w:iCs/>
          <w:sz w:val="22"/>
          <w:szCs w:val="22"/>
        </w:rPr>
        <w:t>p</w:t>
      </w:r>
      <w:r w:rsidR="0038005B" w:rsidRPr="005A3C88">
        <w:rPr>
          <w:rFonts w:cs="Times New Roman"/>
          <w:sz w:val="22"/>
          <w:szCs w:val="22"/>
        </w:rPr>
        <w:t xml:space="preserve"> &lt; .001</w:t>
      </w:r>
      <w:bookmarkEnd w:id="154"/>
      <w:bookmarkEnd w:id="155"/>
      <w:r w:rsidR="0038005B" w:rsidRPr="005A3C88">
        <w:rPr>
          <w:rFonts w:cs="Times New Roman"/>
          <w:sz w:val="22"/>
          <w:szCs w:val="22"/>
        </w:rPr>
        <w:t>.</w:t>
      </w:r>
    </w:p>
    <w:p w14:paraId="5E02A55A" w14:textId="77777777" w:rsidR="0038005B" w:rsidRDefault="0038005B" w:rsidP="00732BE6">
      <w:pPr>
        <w:widowControl w:val="0"/>
        <w:spacing w:line="240" w:lineRule="auto"/>
        <w:ind w:firstLine="0"/>
        <w:rPr>
          <w:rFonts w:cs="Times New Roman"/>
          <w:szCs w:val="24"/>
        </w:rPr>
      </w:pPr>
      <w:r>
        <w:rPr>
          <w:rFonts w:cs="Times New Roman"/>
          <w:szCs w:val="24"/>
        </w:rPr>
        <w:br w:type="page"/>
      </w:r>
    </w:p>
    <w:p w14:paraId="382D090A" w14:textId="77777777" w:rsidR="0038005B" w:rsidRDefault="0038005B" w:rsidP="00732BE6">
      <w:pPr>
        <w:widowControl w:val="0"/>
        <w:ind w:firstLine="0"/>
        <w:rPr>
          <w:b/>
          <w:bCs/>
        </w:rPr>
      </w:pPr>
      <w:r w:rsidRPr="00D0422B">
        <w:rPr>
          <w:rFonts w:hint="eastAsia"/>
          <w:b/>
          <w:bCs/>
        </w:rPr>
        <w:lastRenderedPageBreak/>
        <w:t>T</w:t>
      </w:r>
      <w:r w:rsidRPr="00D0422B">
        <w:rPr>
          <w:b/>
          <w:bCs/>
        </w:rPr>
        <w:t>able 3</w:t>
      </w:r>
    </w:p>
    <w:p w14:paraId="32C0A3B8" w14:textId="57C40068" w:rsidR="0038005B" w:rsidRDefault="0038005B" w:rsidP="00732BE6">
      <w:pPr>
        <w:widowControl w:val="0"/>
        <w:ind w:firstLine="0"/>
        <w:rPr>
          <w:i/>
          <w:iCs/>
        </w:rPr>
      </w:pPr>
      <w:r>
        <w:rPr>
          <w:i/>
          <w:iCs/>
        </w:rPr>
        <w:t>Model Comparisons Between the Unconstrained Model and Constrained Models</w:t>
      </w:r>
      <w:r w:rsidR="00FB2124">
        <w:rPr>
          <w:i/>
          <w:iCs/>
        </w:rPr>
        <w:t xml:space="preserve"> in Study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03"/>
        <w:gridCol w:w="1403"/>
        <w:gridCol w:w="1210"/>
        <w:gridCol w:w="1319"/>
        <w:gridCol w:w="1319"/>
        <w:gridCol w:w="1319"/>
        <w:gridCol w:w="1320"/>
      </w:tblGrid>
      <w:tr w:rsidR="0038005B" w:rsidRPr="00CC469B" w14:paraId="7C2BC760" w14:textId="77777777" w:rsidTr="008943E5">
        <w:trPr>
          <w:trHeight w:val="273"/>
          <w:jc w:val="center"/>
        </w:trPr>
        <w:tc>
          <w:tcPr>
            <w:tcW w:w="1403" w:type="dxa"/>
            <w:tcBorders>
              <w:top w:val="single" w:sz="12" w:space="0" w:color="auto"/>
              <w:bottom w:val="single" w:sz="6" w:space="0" w:color="auto"/>
            </w:tcBorders>
          </w:tcPr>
          <w:p w14:paraId="23559094" w14:textId="77777777" w:rsidR="0038005B" w:rsidRPr="00547EF5" w:rsidRDefault="0038005B" w:rsidP="00732BE6">
            <w:pPr>
              <w:widowControl w:val="0"/>
              <w:ind w:firstLine="0"/>
              <w:rPr>
                <w:szCs w:val="24"/>
              </w:rPr>
            </w:pPr>
            <w:bookmarkStart w:id="156" w:name="_Hlk197302071"/>
            <w:r w:rsidRPr="00547EF5">
              <w:rPr>
                <w:rFonts w:hint="eastAsia"/>
                <w:szCs w:val="24"/>
              </w:rPr>
              <w:t>M</w:t>
            </w:r>
            <w:r w:rsidRPr="00547EF5">
              <w:rPr>
                <w:szCs w:val="24"/>
              </w:rPr>
              <w:t>odel No.</w:t>
            </w:r>
          </w:p>
        </w:tc>
        <w:tc>
          <w:tcPr>
            <w:tcW w:w="1403" w:type="dxa"/>
            <w:tcBorders>
              <w:top w:val="single" w:sz="12" w:space="0" w:color="auto"/>
              <w:bottom w:val="single" w:sz="6" w:space="0" w:color="auto"/>
            </w:tcBorders>
          </w:tcPr>
          <w:p w14:paraId="2498433A" w14:textId="77777777" w:rsidR="0038005B" w:rsidRPr="00547EF5" w:rsidRDefault="0038005B" w:rsidP="00732BE6">
            <w:pPr>
              <w:widowControl w:val="0"/>
              <w:ind w:firstLine="0"/>
              <w:jc w:val="center"/>
              <w:rPr>
                <w:i/>
                <w:iCs/>
                <w:szCs w:val="24"/>
              </w:rPr>
            </w:pPr>
            <w:r w:rsidRPr="00547EF5">
              <w:rPr>
                <w:rFonts w:cs="Times New Roman"/>
                <w:szCs w:val="24"/>
              </w:rPr>
              <w:t>χ</w:t>
            </w:r>
            <w:r w:rsidRPr="00547EF5">
              <w:rPr>
                <w:rFonts w:cs="Times New Roman"/>
                <w:szCs w:val="24"/>
                <w:vertAlign w:val="superscript"/>
              </w:rPr>
              <w:t>2</w:t>
            </w:r>
            <w:r w:rsidRPr="00547EF5">
              <w:rPr>
                <w:rFonts w:cs="Times New Roman"/>
                <w:szCs w:val="24"/>
              </w:rPr>
              <w:t xml:space="preserve"> (</w:t>
            </w:r>
            <w:r w:rsidRPr="00547EF5">
              <w:rPr>
                <w:rFonts w:hint="eastAsia"/>
                <w:i/>
                <w:iCs/>
                <w:szCs w:val="24"/>
              </w:rPr>
              <w:t>d</w:t>
            </w:r>
            <w:r w:rsidRPr="00547EF5">
              <w:rPr>
                <w:i/>
                <w:iCs/>
                <w:szCs w:val="24"/>
              </w:rPr>
              <w:t>f</w:t>
            </w:r>
            <w:r w:rsidRPr="00547EF5">
              <w:rPr>
                <w:rFonts w:cs="Times New Roman"/>
                <w:szCs w:val="24"/>
              </w:rPr>
              <w:t>)</w:t>
            </w:r>
          </w:p>
        </w:tc>
        <w:tc>
          <w:tcPr>
            <w:tcW w:w="1210" w:type="dxa"/>
            <w:tcBorders>
              <w:top w:val="single" w:sz="12" w:space="0" w:color="auto"/>
              <w:bottom w:val="single" w:sz="6" w:space="0" w:color="auto"/>
            </w:tcBorders>
          </w:tcPr>
          <w:p w14:paraId="0057CA29" w14:textId="77777777" w:rsidR="0038005B" w:rsidRPr="00547EF5" w:rsidRDefault="0038005B" w:rsidP="00732BE6">
            <w:pPr>
              <w:widowControl w:val="0"/>
              <w:ind w:firstLine="0"/>
              <w:jc w:val="center"/>
              <w:rPr>
                <w:i/>
                <w:iCs/>
                <w:szCs w:val="24"/>
              </w:rPr>
            </w:pPr>
            <w:r w:rsidRPr="00547EF5">
              <w:rPr>
                <w:rFonts w:hint="eastAsia"/>
                <w:i/>
                <w:iCs/>
                <w:szCs w:val="24"/>
              </w:rPr>
              <w:t>p</w:t>
            </w:r>
          </w:p>
        </w:tc>
        <w:tc>
          <w:tcPr>
            <w:tcW w:w="1319" w:type="dxa"/>
            <w:tcBorders>
              <w:top w:val="single" w:sz="12" w:space="0" w:color="auto"/>
              <w:bottom w:val="single" w:sz="6" w:space="0" w:color="auto"/>
            </w:tcBorders>
          </w:tcPr>
          <w:p w14:paraId="42F34250" w14:textId="77777777" w:rsidR="0038005B" w:rsidRPr="00547EF5" w:rsidRDefault="0038005B" w:rsidP="00732BE6">
            <w:pPr>
              <w:widowControl w:val="0"/>
              <w:ind w:firstLine="0"/>
              <w:jc w:val="center"/>
              <w:rPr>
                <w:szCs w:val="24"/>
              </w:rPr>
            </w:pPr>
            <w:r w:rsidRPr="00547EF5">
              <w:rPr>
                <w:rFonts w:hint="eastAsia"/>
                <w:szCs w:val="24"/>
              </w:rPr>
              <w:t>R</w:t>
            </w:r>
            <w:r w:rsidRPr="00547EF5">
              <w:rPr>
                <w:szCs w:val="24"/>
              </w:rPr>
              <w:t>MSEA</w:t>
            </w:r>
          </w:p>
        </w:tc>
        <w:tc>
          <w:tcPr>
            <w:tcW w:w="1319" w:type="dxa"/>
            <w:tcBorders>
              <w:top w:val="single" w:sz="12" w:space="0" w:color="auto"/>
              <w:bottom w:val="single" w:sz="6" w:space="0" w:color="auto"/>
            </w:tcBorders>
          </w:tcPr>
          <w:p w14:paraId="0943D27B" w14:textId="77777777" w:rsidR="0038005B" w:rsidRPr="00547EF5" w:rsidRDefault="0038005B" w:rsidP="00732BE6">
            <w:pPr>
              <w:widowControl w:val="0"/>
              <w:ind w:firstLine="0"/>
              <w:jc w:val="center"/>
              <w:rPr>
                <w:szCs w:val="24"/>
              </w:rPr>
            </w:pPr>
            <w:r w:rsidRPr="00547EF5">
              <w:rPr>
                <w:rFonts w:hint="eastAsia"/>
                <w:szCs w:val="24"/>
              </w:rPr>
              <w:t>C</w:t>
            </w:r>
            <w:r w:rsidRPr="00547EF5">
              <w:rPr>
                <w:szCs w:val="24"/>
              </w:rPr>
              <w:t>FI</w:t>
            </w:r>
          </w:p>
        </w:tc>
        <w:tc>
          <w:tcPr>
            <w:tcW w:w="1319" w:type="dxa"/>
            <w:tcBorders>
              <w:top w:val="single" w:sz="12" w:space="0" w:color="auto"/>
              <w:bottom w:val="single" w:sz="6" w:space="0" w:color="auto"/>
            </w:tcBorders>
          </w:tcPr>
          <w:p w14:paraId="09EE6B44" w14:textId="77777777" w:rsidR="0038005B" w:rsidRPr="00547EF5" w:rsidRDefault="0038005B" w:rsidP="00732BE6">
            <w:pPr>
              <w:widowControl w:val="0"/>
              <w:ind w:firstLine="0"/>
              <w:jc w:val="center"/>
              <w:rPr>
                <w:szCs w:val="24"/>
              </w:rPr>
            </w:pPr>
            <w:r w:rsidRPr="00547EF5">
              <w:rPr>
                <w:rFonts w:hint="eastAsia"/>
                <w:szCs w:val="24"/>
              </w:rPr>
              <w:t>T</w:t>
            </w:r>
            <w:r w:rsidRPr="00547EF5">
              <w:rPr>
                <w:szCs w:val="24"/>
              </w:rPr>
              <w:t>LI</w:t>
            </w:r>
          </w:p>
        </w:tc>
        <w:tc>
          <w:tcPr>
            <w:tcW w:w="1320" w:type="dxa"/>
            <w:tcBorders>
              <w:top w:val="single" w:sz="12" w:space="0" w:color="auto"/>
              <w:bottom w:val="single" w:sz="6" w:space="0" w:color="auto"/>
            </w:tcBorders>
          </w:tcPr>
          <w:p w14:paraId="1A95B41F" w14:textId="77777777" w:rsidR="0038005B" w:rsidRPr="00547EF5" w:rsidRDefault="0038005B" w:rsidP="00732BE6">
            <w:pPr>
              <w:widowControl w:val="0"/>
              <w:ind w:firstLine="0"/>
              <w:jc w:val="center"/>
              <w:rPr>
                <w:szCs w:val="24"/>
              </w:rPr>
            </w:pPr>
            <w:r w:rsidRPr="00547EF5">
              <w:rPr>
                <w:rFonts w:hint="eastAsia"/>
                <w:szCs w:val="24"/>
              </w:rPr>
              <w:t>S</w:t>
            </w:r>
            <w:r w:rsidRPr="00547EF5">
              <w:rPr>
                <w:szCs w:val="24"/>
              </w:rPr>
              <w:t>RMR</w:t>
            </w:r>
          </w:p>
        </w:tc>
      </w:tr>
      <w:tr w:rsidR="0038005B" w:rsidRPr="00CC469B" w14:paraId="71086694" w14:textId="77777777" w:rsidTr="008943E5">
        <w:trPr>
          <w:trHeight w:val="273"/>
          <w:jc w:val="center"/>
        </w:trPr>
        <w:tc>
          <w:tcPr>
            <w:tcW w:w="1403" w:type="dxa"/>
            <w:tcBorders>
              <w:top w:val="single" w:sz="6" w:space="0" w:color="auto"/>
            </w:tcBorders>
          </w:tcPr>
          <w:p w14:paraId="368C9DF8" w14:textId="77777777" w:rsidR="0038005B" w:rsidRPr="00547EF5" w:rsidRDefault="0038005B" w:rsidP="00732BE6">
            <w:pPr>
              <w:widowControl w:val="0"/>
              <w:ind w:firstLine="0"/>
              <w:rPr>
                <w:szCs w:val="24"/>
              </w:rPr>
            </w:pPr>
            <w:r w:rsidRPr="00547EF5">
              <w:rPr>
                <w:rFonts w:hint="eastAsia"/>
                <w:szCs w:val="24"/>
              </w:rPr>
              <w:t>M</w:t>
            </w:r>
            <w:r w:rsidRPr="00547EF5">
              <w:rPr>
                <w:szCs w:val="24"/>
              </w:rPr>
              <w:t>0</w:t>
            </w:r>
          </w:p>
        </w:tc>
        <w:tc>
          <w:tcPr>
            <w:tcW w:w="1403" w:type="dxa"/>
            <w:tcBorders>
              <w:top w:val="single" w:sz="6" w:space="0" w:color="auto"/>
            </w:tcBorders>
          </w:tcPr>
          <w:p w14:paraId="4B9502BE"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 xml:space="preserve"> (0)</w:t>
            </w:r>
          </w:p>
        </w:tc>
        <w:tc>
          <w:tcPr>
            <w:tcW w:w="1210" w:type="dxa"/>
            <w:tcBorders>
              <w:top w:val="single" w:sz="6" w:space="0" w:color="auto"/>
            </w:tcBorders>
          </w:tcPr>
          <w:p w14:paraId="2E971016" w14:textId="77777777" w:rsidR="0038005B" w:rsidRPr="00547EF5" w:rsidRDefault="0038005B" w:rsidP="00732BE6">
            <w:pPr>
              <w:widowControl w:val="0"/>
              <w:ind w:firstLine="0"/>
              <w:jc w:val="center"/>
              <w:rPr>
                <w:szCs w:val="24"/>
              </w:rPr>
            </w:pPr>
            <w:r w:rsidRPr="00547EF5">
              <w:rPr>
                <w:rFonts w:hint="eastAsia"/>
                <w:szCs w:val="24"/>
              </w:rPr>
              <w:t>0</w:t>
            </w:r>
          </w:p>
        </w:tc>
        <w:tc>
          <w:tcPr>
            <w:tcW w:w="1319" w:type="dxa"/>
            <w:tcBorders>
              <w:top w:val="single" w:sz="6" w:space="0" w:color="auto"/>
            </w:tcBorders>
          </w:tcPr>
          <w:p w14:paraId="7450E665" w14:textId="77777777" w:rsidR="0038005B" w:rsidRPr="00547EF5" w:rsidRDefault="0038005B" w:rsidP="00732BE6">
            <w:pPr>
              <w:widowControl w:val="0"/>
              <w:ind w:firstLine="0"/>
              <w:jc w:val="center"/>
              <w:rPr>
                <w:szCs w:val="24"/>
              </w:rPr>
            </w:pPr>
            <w:r w:rsidRPr="00547EF5">
              <w:rPr>
                <w:rFonts w:hint="eastAsia"/>
                <w:szCs w:val="24"/>
              </w:rPr>
              <w:t>0</w:t>
            </w:r>
          </w:p>
        </w:tc>
        <w:tc>
          <w:tcPr>
            <w:tcW w:w="1319" w:type="dxa"/>
            <w:tcBorders>
              <w:top w:val="single" w:sz="6" w:space="0" w:color="auto"/>
            </w:tcBorders>
          </w:tcPr>
          <w:p w14:paraId="5EA398B1" w14:textId="77777777" w:rsidR="0038005B" w:rsidRPr="00547EF5" w:rsidRDefault="0038005B" w:rsidP="00732BE6">
            <w:pPr>
              <w:widowControl w:val="0"/>
              <w:ind w:firstLine="0"/>
              <w:jc w:val="center"/>
              <w:rPr>
                <w:szCs w:val="24"/>
              </w:rPr>
            </w:pPr>
            <w:r w:rsidRPr="00547EF5">
              <w:rPr>
                <w:rFonts w:hint="eastAsia"/>
                <w:szCs w:val="24"/>
              </w:rPr>
              <w:t>1</w:t>
            </w:r>
          </w:p>
        </w:tc>
        <w:tc>
          <w:tcPr>
            <w:tcW w:w="1319" w:type="dxa"/>
            <w:tcBorders>
              <w:top w:val="single" w:sz="6" w:space="0" w:color="auto"/>
            </w:tcBorders>
          </w:tcPr>
          <w:p w14:paraId="45259CA3" w14:textId="77777777" w:rsidR="0038005B" w:rsidRPr="00547EF5" w:rsidRDefault="0038005B" w:rsidP="00732BE6">
            <w:pPr>
              <w:widowControl w:val="0"/>
              <w:ind w:firstLine="0"/>
              <w:jc w:val="center"/>
              <w:rPr>
                <w:szCs w:val="24"/>
              </w:rPr>
            </w:pPr>
            <w:r w:rsidRPr="00547EF5">
              <w:rPr>
                <w:rFonts w:hint="eastAsia"/>
                <w:szCs w:val="24"/>
              </w:rPr>
              <w:t>1</w:t>
            </w:r>
          </w:p>
        </w:tc>
        <w:tc>
          <w:tcPr>
            <w:tcW w:w="1320" w:type="dxa"/>
            <w:tcBorders>
              <w:top w:val="single" w:sz="6" w:space="0" w:color="auto"/>
            </w:tcBorders>
          </w:tcPr>
          <w:p w14:paraId="4EF6E6FD" w14:textId="77777777" w:rsidR="0038005B" w:rsidRPr="00547EF5" w:rsidRDefault="0038005B" w:rsidP="00732BE6">
            <w:pPr>
              <w:widowControl w:val="0"/>
              <w:ind w:firstLine="0"/>
              <w:jc w:val="center"/>
              <w:rPr>
                <w:szCs w:val="24"/>
              </w:rPr>
            </w:pPr>
            <w:r w:rsidRPr="00547EF5">
              <w:rPr>
                <w:rFonts w:hint="eastAsia"/>
                <w:szCs w:val="24"/>
              </w:rPr>
              <w:t>0</w:t>
            </w:r>
          </w:p>
        </w:tc>
      </w:tr>
      <w:tr w:rsidR="0038005B" w:rsidRPr="00CC469B" w14:paraId="491A3830" w14:textId="77777777" w:rsidTr="008943E5">
        <w:trPr>
          <w:trHeight w:val="273"/>
          <w:jc w:val="center"/>
        </w:trPr>
        <w:tc>
          <w:tcPr>
            <w:tcW w:w="1403" w:type="dxa"/>
          </w:tcPr>
          <w:p w14:paraId="6A542078" w14:textId="77777777" w:rsidR="0038005B" w:rsidRPr="00547EF5" w:rsidRDefault="0038005B" w:rsidP="00732BE6">
            <w:pPr>
              <w:widowControl w:val="0"/>
              <w:ind w:firstLine="0"/>
              <w:rPr>
                <w:szCs w:val="24"/>
              </w:rPr>
            </w:pPr>
            <w:r w:rsidRPr="00547EF5">
              <w:rPr>
                <w:rFonts w:hint="eastAsia"/>
                <w:szCs w:val="24"/>
              </w:rPr>
              <w:t>M</w:t>
            </w:r>
            <w:r w:rsidRPr="00547EF5">
              <w:rPr>
                <w:szCs w:val="24"/>
              </w:rPr>
              <w:t>1</w:t>
            </w:r>
          </w:p>
        </w:tc>
        <w:tc>
          <w:tcPr>
            <w:tcW w:w="1403" w:type="dxa"/>
          </w:tcPr>
          <w:p w14:paraId="386E7A3B" w14:textId="77777777" w:rsidR="0038005B" w:rsidRPr="00547EF5" w:rsidRDefault="0038005B" w:rsidP="00732BE6">
            <w:pPr>
              <w:widowControl w:val="0"/>
              <w:ind w:firstLine="0"/>
              <w:jc w:val="center"/>
              <w:rPr>
                <w:szCs w:val="24"/>
              </w:rPr>
            </w:pPr>
            <w:r w:rsidRPr="00547EF5">
              <w:rPr>
                <w:szCs w:val="24"/>
              </w:rPr>
              <w:t>34.80 (</w:t>
            </w:r>
            <w:r w:rsidRPr="00547EF5">
              <w:rPr>
                <w:rFonts w:hint="eastAsia"/>
                <w:szCs w:val="24"/>
              </w:rPr>
              <w:t>2</w:t>
            </w:r>
            <w:r w:rsidRPr="00547EF5">
              <w:rPr>
                <w:szCs w:val="24"/>
              </w:rPr>
              <w:t>)</w:t>
            </w:r>
          </w:p>
        </w:tc>
        <w:tc>
          <w:tcPr>
            <w:tcW w:w="1210" w:type="dxa"/>
          </w:tcPr>
          <w:p w14:paraId="0153ECB9" w14:textId="77777777" w:rsidR="0038005B" w:rsidRPr="00547EF5" w:rsidRDefault="0038005B" w:rsidP="00732BE6">
            <w:pPr>
              <w:widowControl w:val="0"/>
              <w:ind w:firstLine="0"/>
              <w:jc w:val="center"/>
              <w:rPr>
                <w:szCs w:val="24"/>
              </w:rPr>
            </w:pPr>
            <w:r w:rsidRPr="00547EF5">
              <w:rPr>
                <w:rFonts w:hint="eastAsia"/>
                <w:szCs w:val="24"/>
              </w:rPr>
              <w:t>&lt;</w:t>
            </w:r>
            <w:r w:rsidRPr="00547EF5">
              <w:rPr>
                <w:szCs w:val="24"/>
              </w:rPr>
              <w:t xml:space="preserve"> .001</w:t>
            </w:r>
          </w:p>
        </w:tc>
        <w:tc>
          <w:tcPr>
            <w:tcW w:w="1319" w:type="dxa"/>
          </w:tcPr>
          <w:p w14:paraId="0BAD2D08"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.246</w:t>
            </w:r>
          </w:p>
        </w:tc>
        <w:tc>
          <w:tcPr>
            <w:tcW w:w="1319" w:type="dxa"/>
          </w:tcPr>
          <w:p w14:paraId="0DA54BC0"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.888</w:t>
            </w:r>
          </w:p>
        </w:tc>
        <w:tc>
          <w:tcPr>
            <w:tcW w:w="1319" w:type="dxa"/>
          </w:tcPr>
          <w:p w14:paraId="1957BA70"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.498</w:t>
            </w:r>
          </w:p>
        </w:tc>
        <w:tc>
          <w:tcPr>
            <w:tcW w:w="1320" w:type="dxa"/>
          </w:tcPr>
          <w:p w14:paraId="559826ED"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.047</w:t>
            </w:r>
          </w:p>
        </w:tc>
      </w:tr>
      <w:tr w:rsidR="0038005B" w:rsidRPr="00CC469B" w14:paraId="55212F81" w14:textId="77777777" w:rsidTr="008943E5">
        <w:trPr>
          <w:trHeight w:val="273"/>
          <w:jc w:val="center"/>
        </w:trPr>
        <w:tc>
          <w:tcPr>
            <w:tcW w:w="1403" w:type="dxa"/>
          </w:tcPr>
          <w:p w14:paraId="0DEA62C1" w14:textId="77777777" w:rsidR="0038005B" w:rsidRPr="00547EF5" w:rsidRDefault="0038005B" w:rsidP="00732BE6">
            <w:pPr>
              <w:widowControl w:val="0"/>
              <w:ind w:firstLine="0"/>
              <w:rPr>
                <w:szCs w:val="24"/>
              </w:rPr>
            </w:pPr>
            <w:bookmarkStart w:id="157" w:name="OLE_LINK368"/>
            <w:bookmarkStart w:id="158" w:name="OLE_LINK371"/>
            <w:r w:rsidRPr="00547EF5">
              <w:rPr>
                <w:rFonts w:hint="eastAsia"/>
                <w:szCs w:val="24"/>
              </w:rPr>
              <w:t>M</w:t>
            </w:r>
            <w:bookmarkEnd w:id="157"/>
            <w:bookmarkEnd w:id="158"/>
            <w:r w:rsidRPr="00547EF5">
              <w:rPr>
                <w:szCs w:val="24"/>
              </w:rPr>
              <w:t>2</w:t>
            </w:r>
          </w:p>
        </w:tc>
        <w:tc>
          <w:tcPr>
            <w:tcW w:w="1403" w:type="dxa"/>
          </w:tcPr>
          <w:p w14:paraId="73DB4D5E" w14:textId="77777777" w:rsidR="0038005B" w:rsidRPr="00547EF5" w:rsidRDefault="0038005B" w:rsidP="00732BE6">
            <w:pPr>
              <w:widowControl w:val="0"/>
              <w:ind w:firstLine="0"/>
              <w:jc w:val="center"/>
              <w:rPr>
                <w:szCs w:val="24"/>
              </w:rPr>
            </w:pPr>
            <w:r w:rsidRPr="00547EF5">
              <w:rPr>
                <w:rFonts w:hint="eastAsia"/>
                <w:szCs w:val="24"/>
              </w:rPr>
              <w:t>2</w:t>
            </w:r>
            <w:r w:rsidRPr="00547EF5">
              <w:rPr>
                <w:szCs w:val="24"/>
              </w:rPr>
              <w:t>2.23 (1)</w:t>
            </w:r>
          </w:p>
        </w:tc>
        <w:tc>
          <w:tcPr>
            <w:tcW w:w="1210" w:type="dxa"/>
          </w:tcPr>
          <w:p w14:paraId="3F340563" w14:textId="77777777" w:rsidR="0038005B" w:rsidRPr="00547EF5" w:rsidRDefault="0038005B" w:rsidP="00732BE6">
            <w:pPr>
              <w:widowControl w:val="0"/>
              <w:ind w:firstLine="0"/>
              <w:jc w:val="center"/>
              <w:rPr>
                <w:szCs w:val="24"/>
              </w:rPr>
            </w:pPr>
            <w:r w:rsidRPr="00547EF5">
              <w:rPr>
                <w:rFonts w:hint="eastAsia"/>
                <w:szCs w:val="24"/>
              </w:rPr>
              <w:t>&lt;</w:t>
            </w:r>
            <w:r w:rsidRPr="00547EF5">
              <w:rPr>
                <w:szCs w:val="24"/>
              </w:rPr>
              <w:t xml:space="preserve"> .001</w:t>
            </w:r>
          </w:p>
        </w:tc>
        <w:tc>
          <w:tcPr>
            <w:tcW w:w="1319" w:type="dxa"/>
          </w:tcPr>
          <w:p w14:paraId="49BF72B8"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.280</w:t>
            </w:r>
          </w:p>
        </w:tc>
        <w:tc>
          <w:tcPr>
            <w:tcW w:w="1319" w:type="dxa"/>
          </w:tcPr>
          <w:p w14:paraId="50A0C8D2"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.928</w:t>
            </w:r>
          </w:p>
        </w:tc>
        <w:tc>
          <w:tcPr>
            <w:tcW w:w="1319" w:type="dxa"/>
          </w:tcPr>
          <w:p w14:paraId="4345012C"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.350</w:t>
            </w:r>
          </w:p>
        </w:tc>
        <w:tc>
          <w:tcPr>
            <w:tcW w:w="1320" w:type="dxa"/>
          </w:tcPr>
          <w:p w14:paraId="494AC981"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.039</w:t>
            </w:r>
          </w:p>
        </w:tc>
      </w:tr>
      <w:tr w:rsidR="0038005B" w:rsidRPr="00CC469B" w14:paraId="3539E699" w14:textId="77777777" w:rsidTr="008943E5">
        <w:trPr>
          <w:trHeight w:val="273"/>
          <w:jc w:val="center"/>
        </w:trPr>
        <w:tc>
          <w:tcPr>
            <w:tcW w:w="1403" w:type="dxa"/>
          </w:tcPr>
          <w:p w14:paraId="7528594D" w14:textId="77777777" w:rsidR="0038005B" w:rsidRPr="00547EF5" w:rsidRDefault="0038005B" w:rsidP="00732BE6">
            <w:pPr>
              <w:widowControl w:val="0"/>
              <w:ind w:firstLine="0"/>
              <w:rPr>
                <w:szCs w:val="24"/>
              </w:rPr>
            </w:pPr>
            <w:r w:rsidRPr="00547EF5">
              <w:rPr>
                <w:rFonts w:hint="eastAsia"/>
                <w:szCs w:val="24"/>
              </w:rPr>
              <w:t>M</w:t>
            </w:r>
            <w:r w:rsidRPr="00547EF5">
              <w:rPr>
                <w:szCs w:val="24"/>
              </w:rPr>
              <w:t>3</w:t>
            </w:r>
          </w:p>
        </w:tc>
        <w:tc>
          <w:tcPr>
            <w:tcW w:w="1403" w:type="dxa"/>
          </w:tcPr>
          <w:p w14:paraId="27F6DF54" w14:textId="77777777" w:rsidR="0038005B" w:rsidRPr="00547EF5" w:rsidRDefault="0038005B" w:rsidP="00732BE6">
            <w:pPr>
              <w:widowControl w:val="0"/>
              <w:ind w:firstLine="0"/>
              <w:jc w:val="center"/>
              <w:rPr>
                <w:szCs w:val="24"/>
              </w:rPr>
            </w:pPr>
            <w:r w:rsidRPr="00547EF5">
              <w:rPr>
                <w:szCs w:val="24"/>
              </w:rPr>
              <w:t>4.47 (</w:t>
            </w:r>
            <w:r w:rsidRPr="00547EF5">
              <w:rPr>
                <w:rFonts w:hint="eastAsia"/>
                <w:szCs w:val="24"/>
              </w:rPr>
              <w:t>1</w:t>
            </w:r>
            <w:r w:rsidRPr="00547EF5">
              <w:rPr>
                <w:szCs w:val="24"/>
              </w:rPr>
              <w:t>)</w:t>
            </w:r>
          </w:p>
        </w:tc>
        <w:tc>
          <w:tcPr>
            <w:tcW w:w="1210" w:type="dxa"/>
          </w:tcPr>
          <w:p w14:paraId="44E252D6" w14:textId="7A833222" w:rsidR="0038005B" w:rsidRPr="00547EF5" w:rsidRDefault="00FB2124" w:rsidP="00732BE6">
            <w:pPr>
              <w:widowControl w:val="0"/>
              <w:ind w:firstLine="0"/>
              <w:jc w:val="center"/>
              <w:rPr>
                <w:szCs w:val="24"/>
              </w:rPr>
            </w:pPr>
            <w:r>
              <w:rPr>
                <w:szCs w:val="24"/>
              </w:rPr>
              <w:t xml:space="preserve">   </w:t>
            </w:r>
            <w:r w:rsidR="0038005B" w:rsidRPr="00547EF5">
              <w:rPr>
                <w:szCs w:val="24"/>
              </w:rPr>
              <w:t>.034</w:t>
            </w:r>
          </w:p>
        </w:tc>
        <w:tc>
          <w:tcPr>
            <w:tcW w:w="1319" w:type="dxa"/>
          </w:tcPr>
          <w:p w14:paraId="3990B3DC"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.113</w:t>
            </w:r>
          </w:p>
        </w:tc>
        <w:tc>
          <w:tcPr>
            <w:tcW w:w="1319" w:type="dxa"/>
          </w:tcPr>
          <w:p w14:paraId="7F50C9C6"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.988</w:t>
            </w:r>
          </w:p>
        </w:tc>
        <w:tc>
          <w:tcPr>
            <w:tcW w:w="1319" w:type="dxa"/>
          </w:tcPr>
          <w:p w14:paraId="59599C60"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.894</w:t>
            </w:r>
          </w:p>
        </w:tc>
        <w:tc>
          <w:tcPr>
            <w:tcW w:w="1320" w:type="dxa"/>
          </w:tcPr>
          <w:p w14:paraId="5DD0FAFF"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.018</w:t>
            </w:r>
          </w:p>
        </w:tc>
      </w:tr>
      <w:tr w:rsidR="0038005B" w:rsidRPr="00CC469B" w14:paraId="7CE88207" w14:textId="77777777" w:rsidTr="008943E5">
        <w:trPr>
          <w:trHeight w:val="163"/>
          <w:jc w:val="center"/>
        </w:trPr>
        <w:tc>
          <w:tcPr>
            <w:tcW w:w="1403" w:type="dxa"/>
            <w:tcBorders>
              <w:bottom w:val="single" w:sz="12" w:space="0" w:color="auto"/>
            </w:tcBorders>
          </w:tcPr>
          <w:p w14:paraId="09504CE2" w14:textId="77777777" w:rsidR="0038005B" w:rsidRPr="00547EF5" w:rsidRDefault="0038005B" w:rsidP="00732BE6">
            <w:pPr>
              <w:widowControl w:val="0"/>
              <w:ind w:firstLine="0"/>
              <w:rPr>
                <w:szCs w:val="24"/>
              </w:rPr>
            </w:pPr>
            <w:bookmarkStart w:id="159" w:name="OLE_LINK23"/>
            <w:bookmarkStart w:id="160" w:name="OLE_LINK24"/>
            <w:bookmarkStart w:id="161" w:name="OLE_LINK25"/>
            <w:bookmarkStart w:id="162" w:name="OLE_LINK26"/>
            <w:r w:rsidRPr="00547EF5">
              <w:rPr>
                <w:rFonts w:hint="eastAsia"/>
                <w:szCs w:val="24"/>
              </w:rPr>
              <w:t>M</w:t>
            </w:r>
            <w:r w:rsidRPr="00547EF5">
              <w:rPr>
                <w:szCs w:val="24"/>
              </w:rPr>
              <w:t>4</w:t>
            </w:r>
          </w:p>
        </w:tc>
        <w:tc>
          <w:tcPr>
            <w:tcW w:w="1403" w:type="dxa"/>
            <w:tcBorders>
              <w:bottom w:val="single" w:sz="12" w:space="0" w:color="auto"/>
            </w:tcBorders>
          </w:tcPr>
          <w:p w14:paraId="68A230A6" w14:textId="77777777" w:rsidR="0038005B" w:rsidRPr="00547EF5" w:rsidRDefault="0038005B" w:rsidP="00732BE6">
            <w:pPr>
              <w:widowControl w:val="0"/>
              <w:ind w:firstLine="0"/>
              <w:jc w:val="center"/>
              <w:rPr>
                <w:szCs w:val="24"/>
              </w:rPr>
            </w:pPr>
            <w:r w:rsidRPr="00547EF5">
              <w:rPr>
                <w:szCs w:val="24"/>
              </w:rPr>
              <w:t>34.80 (</w:t>
            </w:r>
            <w:r w:rsidRPr="00547EF5">
              <w:rPr>
                <w:rFonts w:hint="eastAsia"/>
                <w:szCs w:val="24"/>
              </w:rPr>
              <w:t>1</w:t>
            </w:r>
            <w:r w:rsidRPr="00547EF5">
              <w:rPr>
                <w:szCs w:val="24"/>
              </w:rPr>
              <w:t>)</w:t>
            </w:r>
          </w:p>
        </w:tc>
        <w:tc>
          <w:tcPr>
            <w:tcW w:w="1210" w:type="dxa"/>
            <w:tcBorders>
              <w:bottom w:val="single" w:sz="12" w:space="0" w:color="auto"/>
            </w:tcBorders>
          </w:tcPr>
          <w:p w14:paraId="31313323" w14:textId="16273F43" w:rsidR="0038005B" w:rsidRPr="00547EF5" w:rsidRDefault="00FB2124" w:rsidP="00FB2124">
            <w:pPr>
              <w:widowControl w:val="0"/>
              <w:ind w:firstLine="0"/>
              <w:rPr>
                <w:szCs w:val="24"/>
              </w:rPr>
            </w:pPr>
            <w:r>
              <w:rPr>
                <w:szCs w:val="24"/>
              </w:rPr>
              <w:t xml:space="preserve">     </w:t>
            </w:r>
            <w:r w:rsidR="0038005B" w:rsidRPr="00547EF5">
              <w:rPr>
                <w:rFonts w:hint="eastAsia"/>
                <w:szCs w:val="24"/>
              </w:rPr>
              <w:t>&lt;</w:t>
            </w:r>
            <w:r w:rsidR="0038005B" w:rsidRPr="00547EF5">
              <w:rPr>
                <w:szCs w:val="24"/>
              </w:rPr>
              <w:t xml:space="preserve"> .001</w:t>
            </w:r>
          </w:p>
        </w:tc>
        <w:tc>
          <w:tcPr>
            <w:tcW w:w="1319" w:type="dxa"/>
            <w:tcBorders>
              <w:bottom w:val="single" w:sz="12" w:space="0" w:color="auto"/>
            </w:tcBorders>
          </w:tcPr>
          <w:p w14:paraId="47838F98"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.354</w:t>
            </w:r>
          </w:p>
        </w:tc>
        <w:tc>
          <w:tcPr>
            <w:tcW w:w="1319" w:type="dxa"/>
            <w:tcBorders>
              <w:bottom w:val="single" w:sz="12" w:space="0" w:color="auto"/>
            </w:tcBorders>
          </w:tcPr>
          <w:p w14:paraId="1D2897CE"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.885</w:t>
            </w:r>
          </w:p>
        </w:tc>
        <w:tc>
          <w:tcPr>
            <w:tcW w:w="1319" w:type="dxa"/>
            <w:tcBorders>
              <w:bottom w:val="single" w:sz="12" w:space="0" w:color="auto"/>
            </w:tcBorders>
          </w:tcPr>
          <w:p w14:paraId="39548EA8" w14:textId="5D87EF76" w:rsidR="0038005B" w:rsidRPr="00547EF5" w:rsidRDefault="00FB2124" w:rsidP="00FB2124">
            <w:pPr>
              <w:widowControl w:val="0"/>
              <w:ind w:firstLine="0"/>
              <w:rPr>
                <w:szCs w:val="24"/>
              </w:rPr>
            </w:pPr>
            <w:r>
              <w:rPr>
                <w:szCs w:val="24"/>
              </w:rPr>
              <w:t xml:space="preserve">    </w:t>
            </w:r>
            <w:r w:rsidR="0038005B" w:rsidRPr="00547EF5">
              <w:rPr>
                <w:szCs w:val="24"/>
              </w:rPr>
              <w:t>−0.035</w:t>
            </w:r>
          </w:p>
        </w:tc>
        <w:tc>
          <w:tcPr>
            <w:tcW w:w="1320" w:type="dxa"/>
            <w:tcBorders>
              <w:bottom w:val="single" w:sz="12" w:space="0" w:color="auto"/>
            </w:tcBorders>
          </w:tcPr>
          <w:p w14:paraId="7BF18E2E" w14:textId="77777777" w:rsidR="0038005B" w:rsidRPr="00547EF5" w:rsidRDefault="0038005B" w:rsidP="00732BE6">
            <w:pPr>
              <w:widowControl w:val="0"/>
              <w:ind w:firstLine="0"/>
              <w:jc w:val="center"/>
              <w:rPr>
                <w:szCs w:val="24"/>
              </w:rPr>
            </w:pPr>
            <w:r w:rsidRPr="00547EF5">
              <w:rPr>
                <w:rFonts w:hint="eastAsia"/>
                <w:szCs w:val="24"/>
              </w:rPr>
              <w:t>0</w:t>
            </w:r>
            <w:r w:rsidRPr="00547EF5">
              <w:rPr>
                <w:szCs w:val="24"/>
              </w:rPr>
              <w:t>.047</w:t>
            </w:r>
          </w:p>
        </w:tc>
      </w:tr>
    </w:tbl>
    <w:bookmarkEnd w:id="156"/>
    <w:bookmarkEnd w:id="159"/>
    <w:bookmarkEnd w:id="160"/>
    <w:bookmarkEnd w:id="161"/>
    <w:bookmarkEnd w:id="162"/>
    <w:p w14:paraId="5AADEA67" w14:textId="59918735" w:rsidR="002C652C" w:rsidRDefault="0038005B" w:rsidP="00732BE6">
      <w:pPr>
        <w:widowControl w:val="0"/>
        <w:spacing w:line="276" w:lineRule="auto"/>
        <w:ind w:firstLine="0"/>
        <w:rPr>
          <w:sz w:val="22"/>
          <w:szCs w:val="22"/>
        </w:rPr>
      </w:pPr>
      <w:r w:rsidRPr="0038005B">
        <w:rPr>
          <w:rFonts w:cs="Times New Roman"/>
          <w:i/>
          <w:iCs/>
          <w:sz w:val="22"/>
          <w:szCs w:val="22"/>
        </w:rPr>
        <w:t>Note</w:t>
      </w:r>
      <w:r w:rsidRPr="0038005B">
        <w:rPr>
          <w:rFonts w:cs="Times New Roman"/>
          <w:sz w:val="22"/>
          <w:szCs w:val="22"/>
        </w:rPr>
        <w:t xml:space="preserve">. M0: the saturated model. </w:t>
      </w:r>
      <w:r w:rsidRPr="0038005B">
        <w:rPr>
          <w:sz w:val="22"/>
          <w:szCs w:val="22"/>
        </w:rPr>
        <w:t xml:space="preserve">M1: </w:t>
      </w:r>
      <w:r w:rsidRPr="0038005B">
        <w:rPr>
          <w:rFonts w:cs="Times New Roman"/>
          <w:sz w:val="22"/>
          <w:szCs w:val="22"/>
        </w:rPr>
        <w:t xml:space="preserve">the model constraining the </w:t>
      </w:r>
      <w:r w:rsidRPr="0038005B">
        <w:rPr>
          <w:sz w:val="22"/>
          <w:szCs w:val="22"/>
        </w:rPr>
        <w:t>nostalgia</w:t>
      </w:r>
      <w:bookmarkStart w:id="163" w:name="OLE_LINK27"/>
      <w:bookmarkStart w:id="164" w:name="OLE_LINK28"/>
      <w:r w:rsidRPr="0038005B">
        <w:rPr>
          <w:sz w:val="22"/>
          <w:szCs w:val="22"/>
        </w:rPr>
        <w:t>−</w:t>
      </w:r>
      <w:bookmarkEnd w:id="163"/>
      <w:bookmarkEnd w:id="164"/>
      <w:r w:rsidRPr="0038005B">
        <w:rPr>
          <w:sz w:val="22"/>
          <w:szCs w:val="22"/>
        </w:rPr>
        <w:t xml:space="preserve">personal growth path to be equal across three conditions. </w:t>
      </w:r>
      <w:r w:rsidRPr="0038005B">
        <w:rPr>
          <w:rFonts w:cs="Times New Roman"/>
          <w:sz w:val="22"/>
          <w:szCs w:val="22"/>
        </w:rPr>
        <w:t xml:space="preserve">M2: the model constraining the path to be equal </w:t>
      </w:r>
      <w:r w:rsidRPr="0038005B">
        <w:rPr>
          <w:sz w:val="22"/>
          <w:szCs w:val="22"/>
        </w:rPr>
        <w:t xml:space="preserve">in the </w:t>
      </w:r>
      <w:r w:rsidR="002C652C" w:rsidRPr="005A3C88">
        <w:rPr>
          <w:rFonts w:cs="Times New Roman"/>
          <w:sz w:val="22"/>
          <w:szCs w:val="22"/>
        </w:rPr>
        <w:t>Southampton Nostalgia Scale</w:t>
      </w:r>
      <w:r w:rsidR="002C652C" w:rsidRPr="0038005B">
        <w:rPr>
          <w:sz w:val="22"/>
          <w:szCs w:val="22"/>
        </w:rPr>
        <w:t xml:space="preserve"> </w:t>
      </w:r>
      <w:r w:rsidRPr="0038005B">
        <w:rPr>
          <w:sz w:val="22"/>
          <w:szCs w:val="22"/>
        </w:rPr>
        <w:t xml:space="preserve">and </w:t>
      </w:r>
      <w:r w:rsidR="002C652C" w:rsidRPr="005A3C88">
        <w:rPr>
          <w:rFonts w:cs="Times New Roman"/>
          <w:sz w:val="22"/>
          <w:szCs w:val="22"/>
        </w:rPr>
        <w:t>Nostalgia Inventory</w:t>
      </w:r>
      <w:r w:rsidR="002C652C" w:rsidRPr="0038005B">
        <w:rPr>
          <w:sz w:val="22"/>
          <w:szCs w:val="22"/>
        </w:rPr>
        <w:t xml:space="preserve"> </w:t>
      </w:r>
      <w:r w:rsidRPr="0038005B">
        <w:rPr>
          <w:sz w:val="22"/>
          <w:szCs w:val="22"/>
        </w:rPr>
        <w:t>conditions</w:t>
      </w:r>
      <w:bookmarkStart w:id="165" w:name="OLE_LINK372"/>
      <w:r w:rsidRPr="0038005B">
        <w:rPr>
          <w:sz w:val="22"/>
          <w:szCs w:val="22"/>
        </w:rPr>
        <w:t>.</w:t>
      </w:r>
      <w:r w:rsidRPr="0038005B">
        <w:rPr>
          <w:rFonts w:cs="Times New Roman"/>
          <w:sz w:val="22"/>
          <w:szCs w:val="22"/>
        </w:rPr>
        <w:t xml:space="preserve"> M3: the model constraining the path to be equal </w:t>
      </w:r>
      <w:r w:rsidRPr="0038005B">
        <w:rPr>
          <w:sz w:val="22"/>
          <w:szCs w:val="22"/>
        </w:rPr>
        <w:t xml:space="preserve">in the </w:t>
      </w:r>
      <w:r w:rsidR="002C652C" w:rsidRPr="005A3C88">
        <w:rPr>
          <w:rFonts w:cs="Times New Roman"/>
          <w:sz w:val="22"/>
          <w:szCs w:val="22"/>
        </w:rPr>
        <w:t>Southampton Nostalgia Scale</w:t>
      </w:r>
      <w:r w:rsidR="002C652C" w:rsidRPr="0038005B">
        <w:rPr>
          <w:sz w:val="22"/>
          <w:szCs w:val="22"/>
        </w:rPr>
        <w:t xml:space="preserve"> </w:t>
      </w:r>
      <w:r w:rsidRPr="0038005B">
        <w:rPr>
          <w:sz w:val="22"/>
          <w:szCs w:val="22"/>
        </w:rPr>
        <w:t xml:space="preserve">and </w:t>
      </w:r>
      <w:r w:rsidR="002C652C" w:rsidRPr="005A3C88">
        <w:rPr>
          <w:sz w:val="22"/>
          <w:szCs w:val="22"/>
        </w:rPr>
        <w:t>Personal Inventory of Nostalgic Experiences</w:t>
      </w:r>
      <w:r w:rsidR="002C652C">
        <w:rPr>
          <w:sz w:val="22"/>
          <w:szCs w:val="22"/>
        </w:rPr>
        <w:t xml:space="preserve"> </w:t>
      </w:r>
      <w:r w:rsidRPr="0038005B">
        <w:rPr>
          <w:sz w:val="22"/>
          <w:szCs w:val="22"/>
        </w:rPr>
        <w:t>conditions</w:t>
      </w:r>
      <w:bookmarkEnd w:id="165"/>
      <w:r w:rsidRPr="0038005B">
        <w:rPr>
          <w:sz w:val="22"/>
          <w:szCs w:val="22"/>
        </w:rPr>
        <w:t xml:space="preserve">. </w:t>
      </w:r>
      <w:r w:rsidRPr="0038005B">
        <w:rPr>
          <w:rFonts w:cs="Times New Roman"/>
          <w:sz w:val="22"/>
          <w:szCs w:val="22"/>
        </w:rPr>
        <w:t xml:space="preserve">M4: </w:t>
      </w:r>
      <w:bookmarkStart w:id="166" w:name="OLE_LINK373"/>
      <w:bookmarkStart w:id="167" w:name="OLE_LINK374"/>
      <w:r w:rsidRPr="0038005B">
        <w:rPr>
          <w:rFonts w:cs="Times New Roman"/>
          <w:sz w:val="22"/>
          <w:szCs w:val="22"/>
        </w:rPr>
        <w:t xml:space="preserve">the model constraining the path to be equal </w:t>
      </w:r>
      <w:r w:rsidRPr="0038005B">
        <w:rPr>
          <w:sz w:val="22"/>
          <w:szCs w:val="22"/>
        </w:rPr>
        <w:t xml:space="preserve">in the </w:t>
      </w:r>
      <w:r w:rsidR="002C652C" w:rsidRPr="005A3C88">
        <w:rPr>
          <w:rFonts w:cs="Times New Roman"/>
          <w:sz w:val="22"/>
          <w:szCs w:val="22"/>
        </w:rPr>
        <w:t>Nostalgia Inventory</w:t>
      </w:r>
      <w:r w:rsidR="002C652C" w:rsidRPr="0038005B">
        <w:rPr>
          <w:sz w:val="22"/>
          <w:szCs w:val="22"/>
        </w:rPr>
        <w:t xml:space="preserve"> </w:t>
      </w:r>
      <w:r w:rsidRPr="0038005B">
        <w:rPr>
          <w:sz w:val="22"/>
          <w:szCs w:val="22"/>
        </w:rPr>
        <w:t xml:space="preserve">and </w:t>
      </w:r>
      <w:r w:rsidR="002C652C" w:rsidRPr="005A3C88">
        <w:rPr>
          <w:sz w:val="22"/>
          <w:szCs w:val="22"/>
        </w:rPr>
        <w:t>Personal Inventory of Nostalgic Experiences</w:t>
      </w:r>
      <w:r w:rsidR="002C652C">
        <w:rPr>
          <w:sz w:val="22"/>
          <w:szCs w:val="22"/>
        </w:rPr>
        <w:t xml:space="preserve"> </w:t>
      </w:r>
      <w:r w:rsidRPr="0038005B">
        <w:rPr>
          <w:sz w:val="22"/>
          <w:szCs w:val="22"/>
        </w:rPr>
        <w:t>conditions</w:t>
      </w:r>
      <w:bookmarkEnd w:id="166"/>
      <w:bookmarkEnd w:id="167"/>
      <w:r w:rsidRPr="0038005B">
        <w:rPr>
          <w:sz w:val="22"/>
          <w:szCs w:val="22"/>
        </w:rPr>
        <w:t>.</w:t>
      </w:r>
    </w:p>
    <w:p w14:paraId="130FF52B" w14:textId="77777777" w:rsidR="0038005B" w:rsidRDefault="0038005B" w:rsidP="00732BE6">
      <w:pPr>
        <w:widowControl w:val="0"/>
        <w:spacing w:line="240" w:lineRule="auto"/>
        <w:ind w:firstLine="0"/>
        <w:rPr>
          <w:sz w:val="22"/>
          <w:szCs w:val="22"/>
        </w:rPr>
      </w:pPr>
      <w:r>
        <w:rPr>
          <w:sz w:val="22"/>
          <w:szCs w:val="22"/>
        </w:rPr>
        <w:br w:type="page"/>
      </w:r>
    </w:p>
    <w:p w14:paraId="4F2DA35C" w14:textId="77777777" w:rsidR="0038005B" w:rsidRPr="00B967C0" w:rsidRDefault="0038005B" w:rsidP="00732BE6">
      <w:pPr>
        <w:widowControl w:val="0"/>
        <w:snapToGrid w:val="0"/>
        <w:ind w:firstLine="0"/>
        <w:rPr>
          <w:rFonts w:cs="Times New Roman"/>
          <w:b/>
          <w:bCs/>
        </w:rPr>
      </w:pPr>
      <w:r w:rsidRPr="00B967C0">
        <w:rPr>
          <w:rFonts w:cs="Times New Roman"/>
          <w:b/>
          <w:bCs/>
        </w:rPr>
        <w:lastRenderedPageBreak/>
        <w:t xml:space="preserve">Figure </w:t>
      </w:r>
      <w:r>
        <w:rPr>
          <w:rFonts w:cs="Times New Roman"/>
          <w:b/>
          <w:bCs/>
        </w:rPr>
        <w:t>1</w:t>
      </w:r>
    </w:p>
    <w:p w14:paraId="24E0E6C7" w14:textId="4B86A458" w:rsidR="0038005B" w:rsidRDefault="0038005B" w:rsidP="00732BE6">
      <w:pPr>
        <w:widowControl w:val="0"/>
        <w:snapToGrid w:val="0"/>
        <w:ind w:firstLine="0"/>
        <w:rPr>
          <w:rFonts w:cs="Times New Roman"/>
          <w:i/>
          <w:iCs/>
        </w:rPr>
      </w:pPr>
      <w:bookmarkStart w:id="168" w:name="OLE_LINK57"/>
      <w:r w:rsidRPr="00DB7503">
        <w:rPr>
          <w:rFonts w:cs="Times New Roman"/>
          <w:i/>
          <w:iCs/>
        </w:rPr>
        <w:t>Differing Roles of Nostalgia</w:t>
      </w:r>
      <w:r>
        <w:rPr>
          <w:rFonts w:cs="Times New Roman"/>
          <w:i/>
          <w:iCs/>
        </w:rPr>
        <w:t xml:space="preserve"> </w:t>
      </w:r>
      <w:r w:rsidRPr="00DB7503">
        <w:rPr>
          <w:rFonts w:cs="Times New Roman"/>
          <w:i/>
          <w:iCs/>
        </w:rPr>
        <w:t xml:space="preserve">and Declinism in </w:t>
      </w:r>
      <w:bookmarkStart w:id="169" w:name="OLE_LINK667"/>
      <w:bookmarkStart w:id="170" w:name="OLE_LINK668"/>
      <w:r w:rsidRPr="00DB7503">
        <w:rPr>
          <w:rFonts w:cs="Times New Roman"/>
          <w:i/>
          <w:iCs/>
        </w:rPr>
        <w:t>Predicting</w:t>
      </w:r>
      <w:bookmarkEnd w:id="169"/>
      <w:bookmarkEnd w:id="170"/>
      <w:r>
        <w:rPr>
          <w:rFonts w:cs="Times New Roman"/>
          <w:i/>
          <w:iCs/>
        </w:rPr>
        <w:t xml:space="preserve"> Personal Growth</w:t>
      </w:r>
      <w:r w:rsidR="00FB2124">
        <w:rPr>
          <w:rFonts w:cs="Times New Roman"/>
          <w:i/>
          <w:iCs/>
        </w:rPr>
        <w:t xml:space="preserve"> in Study 1</w:t>
      </w:r>
    </w:p>
    <w:bookmarkEnd w:id="168"/>
    <w:p w14:paraId="6302186A" w14:textId="77777777" w:rsidR="0038005B" w:rsidRDefault="0038005B" w:rsidP="00732BE6">
      <w:pPr>
        <w:widowControl w:val="0"/>
        <w:snapToGrid w:val="0"/>
        <w:spacing w:before="240" w:after="240" w:line="240" w:lineRule="auto"/>
        <w:ind w:firstLine="0"/>
        <w:jc w:val="center"/>
        <w:rPr>
          <w:rFonts w:cs="Times New Roman"/>
          <w:i/>
          <w:iCs/>
        </w:rPr>
      </w:pPr>
      <w:r w:rsidRPr="00683E01">
        <w:rPr>
          <w:rFonts w:cs="Times New Roman"/>
          <w:i/>
          <w:iCs/>
          <w:noProof/>
        </w:rPr>
        <w:drawing>
          <wp:inline distT="0" distB="0" distL="0" distR="0" wp14:anchorId="390EDE69" wp14:editId="17769010">
            <wp:extent cx="4262438" cy="2575224"/>
            <wp:effectExtent l="0" t="0" r="5080" b="0"/>
            <wp:docPr id="3" name="图片 3" descr="A diagram of a person's relat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 diagram of a person's relationship&#10;&#10;AI-generated content may be incorrect."/>
                    <pic:cNvPicPr/>
                  </pic:nvPicPr>
                  <pic:blipFill>
                    <a:blip r:embed="rId67"/>
                    <a:stretch>
                      <a:fillRect/>
                    </a:stretch>
                  </pic:blipFill>
                  <pic:spPr>
                    <a:xfrm>
                      <a:off x="0" y="0"/>
                      <a:ext cx="4360768" cy="2634632"/>
                    </a:xfrm>
                    <a:prstGeom prst="rect">
                      <a:avLst/>
                    </a:prstGeom>
                  </pic:spPr>
                </pic:pic>
              </a:graphicData>
            </a:graphic>
          </wp:inline>
        </w:drawing>
      </w:r>
    </w:p>
    <w:p w14:paraId="691728C5" w14:textId="2605F45D" w:rsidR="0038005B" w:rsidRPr="0038005B" w:rsidRDefault="0038005B" w:rsidP="00732BE6">
      <w:pPr>
        <w:widowControl w:val="0"/>
        <w:spacing w:line="276" w:lineRule="auto"/>
        <w:ind w:firstLine="0"/>
        <w:rPr>
          <w:rFonts w:cs="Times New Roman"/>
          <w:sz w:val="22"/>
          <w:szCs w:val="22"/>
        </w:rPr>
      </w:pPr>
      <w:r w:rsidRPr="0038005B">
        <w:rPr>
          <w:rFonts w:cs="Times New Roman"/>
          <w:i/>
          <w:iCs/>
          <w:sz w:val="22"/>
          <w:szCs w:val="22"/>
        </w:rPr>
        <w:t>Note</w:t>
      </w:r>
      <w:r w:rsidRPr="0038005B">
        <w:rPr>
          <w:rFonts w:cs="Times New Roman"/>
          <w:sz w:val="22"/>
          <w:szCs w:val="22"/>
        </w:rPr>
        <w:t>. T</w:t>
      </w:r>
      <w:r w:rsidRPr="0038005B">
        <w:rPr>
          <w:rFonts w:cs="Times New Roman"/>
          <w:bCs/>
          <w:sz w:val="22"/>
          <w:szCs w:val="22"/>
        </w:rPr>
        <w:t xml:space="preserve">he three coefficients on each path represent path coefficients for the </w:t>
      </w:r>
      <w:r w:rsidR="002C652C" w:rsidRPr="005A3C88">
        <w:rPr>
          <w:rFonts w:cs="Times New Roman"/>
          <w:sz w:val="22"/>
          <w:szCs w:val="22"/>
        </w:rPr>
        <w:t>Southampton Nostalgia Scale</w:t>
      </w:r>
      <w:r w:rsidR="002C652C" w:rsidRPr="0038005B">
        <w:rPr>
          <w:rFonts w:cs="Times New Roman"/>
          <w:bCs/>
          <w:sz w:val="22"/>
          <w:szCs w:val="22"/>
        </w:rPr>
        <w:t xml:space="preserve"> </w:t>
      </w:r>
      <w:r w:rsidRPr="0038005B">
        <w:rPr>
          <w:rFonts w:cs="Times New Roman"/>
          <w:bCs/>
          <w:sz w:val="22"/>
          <w:szCs w:val="22"/>
        </w:rPr>
        <w:t xml:space="preserve">(upper), </w:t>
      </w:r>
      <w:r w:rsidR="002C652C" w:rsidRPr="005A3C88">
        <w:rPr>
          <w:rFonts w:cs="Times New Roman"/>
          <w:sz w:val="22"/>
          <w:szCs w:val="22"/>
        </w:rPr>
        <w:t>Nostalgia Inventory</w:t>
      </w:r>
      <w:r w:rsidR="002C652C" w:rsidRPr="0038005B">
        <w:rPr>
          <w:rFonts w:cs="Times New Roman"/>
          <w:bCs/>
          <w:sz w:val="22"/>
          <w:szCs w:val="22"/>
        </w:rPr>
        <w:t xml:space="preserve"> </w:t>
      </w:r>
      <w:r w:rsidRPr="0038005B">
        <w:rPr>
          <w:rFonts w:cs="Times New Roman"/>
          <w:bCs/>
          <w:sz w:val="22"/>
          <w:szCs w:val="22"/>
        </w:rPr>
        <w:t xml:space="preserve">(middle), and </w:t>
      </w:r>
      <w:r w:rsidR="002C652C" w:rsidRPr="005A3C88">
        <w:rPr>
          <w:sz w:val="22"/>
          <w:szCs w:val="22"/>
        </w:rPr>
        <w:t>Personal Inventory of Nostalgic Experiences</w:t>
      </w:r>
      <w:r w:rsidR="002C652C" w:rsidRPr="0038005B">
        <w:rPr>
          <w:rFonts w:cs="Times New Roman"/>
          <w:bCs/>
          <w:sz w:val="22"/>
          <w:szCs w:val="22"/>
        </w:rPr>
        <w:t xml:space="preserve"> </w:t>
      </w:r>
      <w:r w:rsidRPr="0038005B">
        <w:rPr>
          <w:rFonts w:cs="Times New Roman"/>
          <w:bCs/>
          <w:sz w:val="22"/>
          <w:szCs w:val="22"/>
        </w:rPr>
        <w:t xml:space="preserve">(lower) scale, respectively. </w:t>
      </w:r>
      <w:r w:rsidRPr="0038005B">
        <w:rPr>
          <w:rFonts w:cs="Times New Roman"/>
          <w:sz w:val="22"/>
          <w:szCs w:val="22"/>
        </w:rPr>
        <w:t xml:space="preserve">Coefficients are all standardized. </w:t>
      </w:r>
      <w:r w:rsidRPr="0038005B">
        <w:rPr>
          <w:rFonts w:cs="Times New Roman"/>
          <w:sz w:val="22"/>
          <w:szCs w:val="22"/>
          <w:vertAlign w:val="superscript"/>
        </w:rPr>
        <w:t>***</w:t>
      </w:r>
      <w:r w:rsidRPr="0038005B">
        <w:rPr>
          <w:rFonts w:cs="Times New Roman"/>
          <w:i/>
          <w:iCs/>
          <w:sz w:val="22"/>
          <w:szCs w:val="22"/>
        </w:rPr>
        <w:t>p</w:t>
      </w:r>
      <w:r w:rsidRPr="0038005B">
        <w:rPr>
          <w:rFonts w:cs="Times New Roman"/>
          <w:sz w:val="22"/>
          <w:szCs w:val="22"/>
        </w:rPr>
        <w:t xml:space="preserve"> &lt; .001.</w:t>
      </w:r>
    </w:p>
    <w:p w14:paraId="5F73E162" w14:textId="77777777" w:rsidR="00532B2E" w:rsidRDefault="00532B2E" w:rsidP="00732BE6">
      <w:pPr>
        <w:widowControl w:val="0"/>
        <w:snapToGrid w:val="0"/>
        <w:ind w:firstLine="0"/>
        <w:rPr>
          <w:rFonts w:cs="Times New Roman"/>
          <w:b/>
          <w:bCs/>
        </w:rPr>
      </w:pPr>
    </w:p>
    <w:p w14:paraId="140412CA" w14:textId="77777777" w:rsidR="0038005B" w:rsidRDefault="0038005B" w:rsidP="00732BE6">
      <w:pPr>
        <w:widowControl w:val="0"/>
        <w:spacing w:line="240" w:lineRule="auto"/>
        <w:ind w:firstLine="0"/>
        <w:rPr>
          <w:rFonts w:cs="Times New Roman"/>
          <w:b/>
          <w:bCs/>
        </w:rPr>
      </w:pPr>
      <w:r>
        <w:rPr>
          <w:rFonts w:cs="Times New Roman"/>
          <w:b/>
          <w:bCs/>
        </w:rPr>
        <w:br w:type="page"/>
      </w:r>
    </w:p>
    <w:p w14:paraId="61D97BDC" w14:textId="3A8178CD" w:rsidR="00BB69CD" w:rsidRPr="00B967C0" w:rsidRDefault="00BB69CD" w:rsidP="00732BE6">
      <w:pPr>
        <w:widowControl w:val="0"/>
        <w:snapToGrid w:val="0"/>
        <w:ind w:firstLine="0"/>
        <w:rPr>
          <w:rFonts w:cs="Times New Roman"/>
          <w:b/>
          <w:bCs/>
        </w:rPr>
      </w:pPr>
      <w:r w:rsidRPr="00B967C0">
        <w:rPr>
          <w:rFonts w:cs="Times New Roman"/>
          <w:b/>
          <w:bCs/>
        </w:rPr>
        <w:lastRenderedPageBreak/>
        <w:t xml:space="preserve">Figure </w:t>
      </w:r>
      <w:r>
        <w:rPr>
          <w:rFonts w:cs="Times New Roman"/>
          <w:b/>
          <w:bCs/>
        </w:rPr>
        <w:t>2</w:t>
      </w:r>
    </w:p>
    <w:p w14:paraId="6F71A3AD" w14:textId="4212FA2B" w:rsidR="00BB69CD" w:rsidRPr="00B52A18" w:rsidRDefault="00BB69CD" w:rsidP="00732BE6">
      <w:pPr>
        <w:widowControl w:val="0"/>
        <w:snapToGrid w:val="0"/>
        <w:ind w:firstLine="0"/>
        <w:rPr>
          <w:rFonts w:ascii="SimSun" w:hAnsi="SimSun" w:cs="SimSun"/>
          <w:szCs w:val="24"/>
        </w:rPr>
      </w:pPr>
      <w:r>
        <w:rPr>
          <w:rFonts w:cs="Times New Roman"/>
          <w:i/>
          <w:iCs/>
        </w:rPr>
        <w:t>Personal Growth Across C</w:t>
      </w:r>
      <w:bookmarkStart w:id="171" w:name="OLE_LINK315"/>
      <w:bookmarkStart w:id="172" w:name="OLE_LINK316"/>
      <w:r>
        <w:rPr>
          <w:rFonts w:cs="Times New Roman"/>
          <w:i/>
          <w:iCs/>
        </w:rPr>
        <w:t>ondition</w:t>
      </w:r>
      <w:bookmarkEnd w:id="171"/>
      <w:bookmarkEnd w:id="172"/>
      <w:r>
        <w:rPr>
          <w:rFonts w:cs="Times New Roman"/>
          <w:i/>
          <w:iCs/>
        </w:rPr>
        <w:t>s</w:t>
      </w:r>
      <w:r w:rsidR="00FB2124">
        <w:rPr>
          <w:rFonts w:cs="Times New Roman"/>
          <w:i/>
          <w:iCs/>
        </w:rPr>
        <w:t xml:space="preserve"> in Study 2</w:t>
      </w:r>
    </w:p>
    <w:p w14:paraId="651E6C1D" w14:textId="2005D4CA" w:rsidR="00E66758" w:rsidRDefault="005919AD" w:rsidP="00732BE6">
      <w:pPr>
        <w:widowControl w:val="0"/>
        <w:snapToGrid w:val="0"/>
        <w:spacing w:before="240" w:after="240" w:line="240" w:lineRule="auto"/>
        <w:ind w:firstLine="0"/>
        <w:jc w:val="center"/>
        <w:rPr>
          <w:rFonts w:cs="Times New Roman"/>
          <w:i/>
          <w:iCs/>
        </w:rPr>
      </w:pPr>
      <w:r>
        <w:rPr>
          <w:rFonts w:cs="Times New Roman"/>
          <w:i/>
          <w:iCs/>
          <w:noProof/>
          <w14:ligatures w14:val="standardContextual"/>
        </w:rPr>
        <w:drawing>
          <wp:inline distT="0" distB="0" distL="0" distR="0" wp14:anchorId="4F2F1631" wp14:editId="47FE80F4">
            <wp:extent cx="4138612" cy="3719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231970" cy="3803092"/>
                    </a:xfrm>
                    <a:prstGeom prst="rect">
                      <a:avLst/>
                    </a:prstGeom>
                  </pic:spPr>
                </pic:pic>
              </a:graphicData>
            </a:graphic>
          </wp:inline>
        </w:drawing>
      </w:r>
    </w:p>
    <w:p w14:paraId="0111613F" w14:textId="62626701" w:rsidR="003C2B90" w:rsidRPr="0038005B" w:rsidRDefault="00BB69CD" w:rsidP="00732BE6">
      <w:pPr>
        <w:widowControl w:val="0"/>
        <w:spacing w:line="240" w:lineRule="auto"/>
        <w:ind w:firstLine="0"/>
        <w:rPr>
          <w:sz w:val="22"/>
          <w:szCs w:val="22"/>
        </w:rPr>
      </w:pPr>
      <w:r w:rsidRPr="0038005B">
        <w:rPr>
          <w:rFonts w:cs="Times New Roman"/>
          <w:i/>
          <w:iCs/>
          <w:sz w:val="22"/>
          <w:szCs w:val="22"/>
        </w:rPr>
        <w:t>Note</w:t>
      </w:r>
      <w:r w:rsidRPr="0038005B">
        <w:rPr>
          <w:rFonts w:cs="Times New Roman"/>
          <w:sz w:val="22"/>
          <w:szCs w:val="22"/>
        </w:rPr>
        <w:t xml:space="preserve">. </w:t>
      </w:r>
      <w:r w:rsidR="005D3F93" w:rsidRPr="0038005B">
        <w:rPr>
          <w:rFonts w:cs="Times New Roman"/>
          <w:sz w:val="22"/>
          <w:szCs w:val="22"/>
        </w:rPr>
        <w:t xml:space="preserve">Dots depict jittered individual data points. </w:t>
      </w:r>
      <w:r w:rsidR="005D3F93" w:rsidRPr="0038005B">
        <w:rPr>
          <w:rFonts w:cs="Times New Roman"/>
          <w:sz w:val="22"/>
          <w:szCs w:val="22"/>
          <w:vertAlign w:val="superscript"/>
        </w:rPr>
        <w:t>*</w:t>
      </w:r>
      <w:r w:rsidR="005D3F93" w:rsidRPr="0038005B">
        <w:rPr>
          <w:rFonts w:cs="Times New Roman"/>
          <w:i/>
          <w:iCs/>
          <w:sz w:val="22"/>
          <w:szCs w:val="22"/>
        </w:rPr>
        <w:t>p</w:t>
      </w:r>
      <w:r w:rsidR="005D3F93" w:rsidRPr="0038005B">
        <w:rPr>
          <w:rFonts w:cs="Times New Roman"/>
          <w:sz w:val="22"/>
          <w:szCs w:val="22"/>
        </w:rPr>
        <w:t xml:space="preserve"> &lt; .05</w:t>
      </w:r>
      <w:r w:rsidR="0038005B">
        <w:rPr>
          <w:rFonts w:cs="Times New Roman"/>
          <w:sz w:val="22"/>
          <w:szCs w:val="22"/>
        </w:rPr>
        <w:t>.</w:t>
      </w:r>
      <w:r w:rsidR="005D3F93" w:rsidRPr="0038005B">
        <w:rPr>
          <w:rFonts w:cs="Times New Roman"/>
          <w:sz w:val="22"/>
          <w:szCs w:val="22"/>
        </w:rPr>
        <w:t xml:space="preserve"> </w:t>
      </w:r>
      <w:r w:rsidR="005D3F93" w:rsidRPr="0038005B">
        <w:rPr>
          <w:rFonts w:cs="Times New Roman"/>
          <w:sz w:val="22"/>
          <w:szCs w:val="22"/>
          <w:vertAlign w:val="superscript"/>
        </w:rPr>
        <w:t>**</w:t>
      </w:r>
      <w:bookmarkStart w:id="173" w:name="OLE_LINK365"/>
      <w:r w:rsidR="005D3F93" w:rsidRPr="0038005B">
        <w:rPr>
          <w:rFonts w:cs="Times New Roman"/>
          <w:sz w:val="22"/>
          <w:szCs w:val="22"/>
          <w:vertAlign w:val="superscript"/>
        </w:rPr>
        <w:t>*</w:t>
      </w:r>
      <w:r w:rsidR="005D3F93" w:rsidRPr="0038005B">
        <w:rPr>
          <w:rFonts w:cs="Times New Roman"/>
          <w:i/>
          <w:iCs/>
          <w:sz w:val="22"/>
          <w:szCs w:val="22"/>
        </w:rPr>
        <w:t>p</w:t>
      </w:r>
      <w:r w:rsidR="005D3F93" w:rsidRPr="0038005B">
        <w:rPr>
          <w:rFonts w:cs="Times New Roman"/>
          <w:sz w:val="22"/>
          <w:szCs w:val="22"/>
        </w:rPr>
        <w:t xml:space="preserve"> &lt; .00</w:t>
      </w:r>
      <w:bookmarkEnd w:id="173"/>
      <w:r w:rsidR="005D3F93" w:rsidRPr="0038005B">
        <w:rPr>
          <w:rFonts w:cs="Times New Roman"/>
          <w:sz w:val="22"/>
          <w:szCs w:val="22"/>
        </w:rPr>
        <w:t>1.</w:t>
      </w:r>
      <w:bookmarkEnd w:id="2"/>
      <w:bookmarkEnd w:id="3"/>
      <w:bookmarkEnd w:id="4"/>
      <w:bookmarkEnd w:id="5"/>
      <w:bookmarkEnd w:id="6"/>
    </w:p>
    <w:sectPr w:rsidR="003C2B90" w:rsidRPr="0038005B" w:rsidSect="00B16192">
      <w:headerReference w:type="even" r:id="rId69"/>
      <w:headerReference w:type="default" r:id="rId70"/>
      <w:footerReference w:type="even" r:id="rId71"/>
      <w:headerReference w:type="first" r:id="rId72"/>
      <w:footerReference w:type="first" r:id="rId73"/>
      <w:pgSz w:w="12240" w:h="15840"/>
      <w:pgMar w:top="1440" w:right="1440" w:bottom="1440" w:left="1440" w:header="720" w:footer="72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5C52D" w14:textId="77777777" w:rsidR="00F2516E" w:rsidRPr="006D6504" w:rsidRDefault="00F2516E" w:rsidP="002A6378">
      <w:pPr>
        <w:spacing w:line="240" w:lineRule="auto"/>
      </w:pPr>
      <w:r w:rsidRPr="006D6504">
        <w:separator/>
      </w:r>
    </w:p>
  </w:endnote>
  <w:endnote w:type="continuationSeparator" w:id="0">
    <w:p w14:paraId="455C0C61" w14:textId="77777777" w:rsidR="00F2516E" w:rsidRPr="006D6504" w:rsidRDefault="00F2516E" w:rsidP="002A6378">
      <w:pPr>
        <w:spacing w:line="240" w:lineRule="auto"/>
      </w:pPr>
      <w:r w:rsidRPr="006D6504">
        <w:continuationSeparator/>
      </w:r>
    </w:p>
  </w:endnote>
  <w:endnote w:type="continuationNotice" w:id="1">
    <w:p w14:paraId="602732D8" w14:textId="77777777" w:rsidR="00F2516E" w:rsidRPr="006D6504" w:rsidRDefault="00F251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haris SIL">
    <w:altName w:val="Calibri"/>
    <w:panose1 w:val="020B0604020202020204"/>
    <w:charset w:val="00"/>
    <w:family w:val="swiss"/>
    <w:notTrueType/>
    <w:pitch w:val="default"/>
    <w:sig w:usb0="00000003" w:usb1="00000000" w:usb2="00000000" w:usb3="00000000" w:csb0="00000001" w:csb1="00000000"/>
  </w:font>
  <w:font w:name="Calibri-Bold">
    <w:altName w:val="宋体"/>
    <w:panose1 w:val="020B0604020202020204"/>
    <w:charset w:val="86"/>
    <w:family w:val="auto"/>
    <w:notTrueType/>
    <w:pitch w:val="default"/>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UnicodeMS">
    <w:altName w:val="Malgun Gothic"/>
    <w:panose1 w:val="020B0604020202020204"/>
    <w:charset w:val="00"/>
    <w:family w:val="auto"/>
    <w:pitch w:val="default"/>
    <w:sig w:usb0="00000000" w:usb1="00000000" w:usb2="00000000" w:usb3="00000000" w:csb0="00040001"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34C7" w14:textId="77777777" w:rsidR="008943E5" w:rsidRPr="006D6504" w:rsidRDefault="008943E5">
    <w:pPr>
      <w:pStyle w:val="Footer"/>
      <w:ind w:firstLine="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CBE8" w14:textId="77777777" w:rsidR="008943E5" w:rsidRPr="006D6504" w:rsidRDefault="008943E5">
    <w:pPr>
      <w:pStyle w:val="Footer"/>
      <w:ind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E8B5D" w14:textId="77777777" w:rsidR="00F2516E" w:rsidRPr="006D6504" w:rsidRDefault="00F2516E" w:rsidP="003C17CB">
      <w:pPr>
        <w:spacing w:line="240" w:lineRule="auto"/>
        <w:ind w:firstLine="0"/>
      </w:pPr>
      <w:r w:rsidRPr="006D6504">
        <w:separator/>
      </w:r>
    </w:p>
  </w:footnote>
  <w:footnote w:type="continuationSeparator" w:id="0">
    <w:p w14:paraId="42A64AE0" w14:textId="77777777" w:rsidR="00F2516E" w:rsidRPr="006D6504" w:rsidRDefault="00F2516E" w:rsidP="002A6378">
      <w:pPr>
        <w:spacing w:line="240" w:lineRule="auto"/>
      </w:pPr>
      <w:r w:rsidRPr="006D6504">
        <w:continuationSeparator/>
      </w:r>
    </w:p>
  </w:footnote>
  <w:footnote w:type="continuationNotice" w:id="1">
    <w:p w14:paraId="2B9644B8" w14:textId="77777777" w:rsidR="00F2516E" w:rsidRPr="006D6504" w:rsidRDefault="00F251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17AA" w14:textId="77777777" w:rsidR="008943E5" w:rsidRPr="006D6504" w:rsidRDefault="008943E5">
    <w:pPr>
      <w:pStyle w:val="Header"/>
      <w:ind w:firstLine="90"/>
    </w:pPr>
  </w:p>
  <w:p w14:paraId="53CCBA6F" w14:textId="77777777" w:rsidR="008943E5" w:rsidRDefault="008943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F2BB" w14:textId="1FC24AE2" w:rsidR="008943E5" w:rsidRPr="001E76B5" w:rsidRDefault="008943E5" w:rsidP="001E76B5">
    <w:pPr>
      <w:tabs>
        <w:tab w:val="right" w:pos="9360"/>
      </w:tabs>
      <w:ind w:firstLine="0"/>
      <w:rPr>
        <w:rFonts w:cs="Times New Roman"/>
        <w:szCs w:val="24"/>
      </w:rPr>
    </w:pPr>
    <w:r>
      <w:rPr>
        <w:rFonts w:cs="Times New Roman"/>
        <w:szCs w:val="24"/>
      </w:rPr>
      <w:t>NOSTALGIA, DECLINISM, AND GROWTH</w:t>
    </w:r>
    <w:r w:rsidRPr="006D6504">
      <w:rPr>
        <w:rFonts w:cs="Times New Roman"/>
        <w:szCs w:val="24"/>
      </w:rPr>
      <w:tab/>
    </w:r>
    <w:r w:rsidRPr="006D6504">
      <w:rPr>
        <w:rFonts w:cs="Times New Roman"/>
        <w:szCs w:val="24"/>
      </w:rPr>
      <w:fldChar w:fldCharType="begin"/>
    </w:r>
    <w:r w:rsidRPr="006D6504">
      <w:rPr>
        <w:rFonts w:cs="Times New Roman"/>
        <w:szCs w:val="24"/>
      </w:rPr>
      <w:instrText>PAGE   \* MERGEFORMAT</w:instrText>
    </w:r>
    <w:r w:rsidRPr="006D6504">
      <w:rPr>
        <w:rFonts w:cs="Times New Roman"/>
        <w:szCs w:val="24"/>
      </w:rPr>
      <w:fldChar w:fldCharType="separate"/>
    </w:r>
    <w:r w:rsidRPr="006D6504">
      <w:rPr>
        <w:rFonts w:cs="Times New Roman"/>
        <w:szCs w:val="24"/>
      </w:rPr>
      <w:t>1</w:t>
    </w:r>
    <w:r w:rsidRPr="006D6504">
      <w:rPr>
        <w:rFonts w:cs="Times New Roman"/>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0D9C" w14:textId="77777777" w:rsidR="008943E5" w:rsidRPr="006D6504" w:rsidRDefault="008943E5">
    <w:pPr>
      <w:pStyle w:val="Header"/>
      <w:ind w:firstLine="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7ED5"/>
    <w:multiLevelType w:val="hybridMultilevel"/>
    <w:tmpl w:val="03124A62"/>
    <w:lvl w:ilvl="0" w:tplc="116A5FEC">
      <w:start w:val="1"/>
      <w:numFmt w:val="decimal"/>
      <w:lvlText w:val="%1."/>
      <w:lvlJc w:val="left"/>
      <w:pPr>
        <w:ind w:left="360" w:hanging="360"/>
      </w:pPr>
      <w:rPr>
        <w:rFonts w:hint="default"/>
      </w:rPr>
    </w:lvl>
    <w:lvl w:ilvl="1" w:tplc="7924C010" w:tentative="1">
      <w:start w:val="1"/>
      <w:numFmt w:val="lowerLetter"/>
      <w:lvlText w:val="%2)"/>
      <w:lvlJc w:val="left"/>
      <w:pPr>
        <w:ind w:left="880" w:hanging="440"/>
      </w:pPr>
    </w:lvl>
    <w:lvl w:ilvl="2" w:tplc="9C18AE1E" w:tentative="1">
      <w:start w:val="1"/>
      <w:numFmt w:val="lowerRoman"/>
      <w:lvlText w:val="%3."/>
      <w:lvlJc w:val="right"/>
      <w:pPr>
        <w:ind w:left="1320" w:hanging="440"/>
      </w:pPr>
    </w:lvl>
    <w:lvl w:ilvl="3" w:tplc="6A245624" w:tentative="1">
      <w:start w:val="1"/>
      <w:numFmt w:val="decimal"/>
      <w:lvlText w:val="%4."/>
      <w:lvlJc w:val="left"/>
      <w:pPr>
        <w:ind w:left="1760" w:hanging="440"/>
      </w:pPr>
    </w:lvl>
    <w:lvl w:ilvl="4" w:tplc="FE48A01C" w:tentative="1">
      <w:start w:val="1"/>
      <w:numFmt w:val="lowerLetter"/>
      <w:lvlText w:val="%5)"/>
      <w:lvlJc w:val="left"/>
      <w:pPr>
        <w:ind w:left="2200" w:hanging="440"/>
      </w:pPr>
    </w:lvl>
    <w:lvl w:ilvl="5" w:tplc="023C19CA" w:tentative="1">
      <w:start w:val="1"/>
      <w:numFmt w:val="lowerRoman"/>
      <w:lvlText w:val="%6."/>
      <w:lvlJc w:val="right"/>
      <w:pPr>
        <w:ind w:left="2640" w:hanging="440"/>
      </w:pPr>
    </w:lvl>
    <w:lvl w:ilvl="6" w:tplc="BF7A3122" w:tentative="1">
      <w:start w:val="1"/>
      <w:numFmt w:val="decimal"/>
      <w:lvlText w:val="%7."/>
      <w:lvlJc w:val="left"/>
      <w:pPr>
        <w:ind w:left="3080" w:hanging="440"/>
      </w:pPr>
    </w:lvl>
    <w:lvl w:ilvl="7" w:tplc="2ED899DE" w:tentative="1">
      <w:start w:val="1"/>
      <w:numFmt w:val="lowerLetter"/>
      <w:lvlText w:val="%8)"/>
      <w:lvlJc w:val="left"/>
      <w:pPr>
        <w:ind w:left="3520" w:hanging="440"/>
      </w:pPr>
    </w:lvl>
    <w:lvl w:ilvl="8" w:tplc="8566126C" w:tentative="1">
      <w:start w:val="1"/>
      <w:numFmt w:val="lowerRoman"/>
      <w:lvlText w:val="%9."/>
      <w:lvlJc w:val="right"/>
      <w:pPr>
        <w:ind w:left="3960" w:hanging="440"/>
      </w:pPr>
    </w:lvl>
  </w:abstractNum>
  <w:abstractNum w:abstractNumId="1" w15:restartNumberingAfterBreak="0">
    <w:nsid w:val="14F11E86"/>
    <w:multiLevelType w:val="hybridMultilevel"/>
    <w:tmpl w:val="795C4DCC"/>
    <w:lvl w:ilvl="0" w:tplc="B45CD1EE">
      <w:start w:val="1"/>
      <w:numFmt w:val="decimal"/>
      <w:lvlText w:val="%1."/>
      <w:lvlJc w:val="left"/>
      <w:pPr>
        <w:ind w:left="360" w:hanging="360"/>
      </w:pPr>
      <w:rPr>
        <w:rFonts w:hint="default"/>
      </w:rPr>
    </w:lvl>
    <w:lvl w:ilvl="1" w:tplc="4852D4CE" w:tentative="1">
      <w:start w:val="1"/>
      <w:numFmt w:val="lowerLetter"/>
      <w:lvlText w:val="%2)"/>
      <w:lvlJc w:val="left"/>
      <w:pPr>
        <w:ind w:left="880" w:hanging="440"/>
      </w:pPr>
    </w:lvl>
    <w:lvl w:ilvl="2" w:tplc="7228F3AE" w:tentative="1">
      <w:start w:val="1"/>
      <w:numFmt w:val="lowerRoman"/>
      <w:lvlText w:val="%3."/>
      <w:lvlJc w:val="right"/>
      <w:pPr>
        <w:ind w:left="1320" w:hanging="440"/>
      </w:pPr>
    </w:lvl>
    <w:lvl w:ilvl="3" w:tplc="135ABE9E" w:tentative="1">
      <w:start w:val="1"/>
      <w:numFmt w:val="decimal"/>
      <w:lvlText w:val="%4."/>
      <w:lvlJc w:val="left"/>
      <w:pPr>
        <w:ind w:left="1760" w:hanging="440"/>
      </w:pPr>
    </w:lvl>
    <w:lvl w:ilvl="4" w:tplc="4C82AEBA" w:tentative="1">
      <w:start w:val="1"/>
      <w:numFmt w:val="lowerLetter"/>
      <w:lvlText w:val="%5)"/>
      <w:lvlJc w:val="left"/>
      <w:pPr>
        <w:ind w:left="2200" w:hanging="440"/>
      </w:pPr>
    </w:lvl>
    <w:lvl w:ilvl="5" w:tplc="99026F3E" w:tentative="1">
      <w:start w:val="1"/>
      <w:numFmt w:val="lowerRoman"/>
      <w:lvlText w:val="%6."/>
      <w:lvlJc w:val="right"/>
      <w:pPr>
        <w:ind w:left="2640" w:hanging="440"/>
      </w:pPr>
    </w:lvl>
    <w:lvl w:ilvl="6" w:tplc="18306542" w:tentative="1">
      <w:start w:val="1"/>
      <w:numFmt w:val="decimal"/>
      <w:lvlText w:val="%7."/>
      <w:lvlJc w:val="left"/>
      <w:pPr>
        <w:ind w:left="3080" w:hanging="440"/>
      </w:pPr>
    </w:lvl>
    <w:lvl w:ilvl="7" w:tplc="3176C740" w:tentative="1">
      <w:start w:val="1"/>
      <w:numFmt w:val="lowerLetter"/>
      <w:lvlText w:val="%8)"/>
      <w:lvlJc w:val="left"/>
      <w:pPr>
        <w:ind w:left="3520" w:hanging="440"/>
      </w:pPr>
    </w:lvl>
    <w:lvl w:ilvl="8" w:tplc="7F2E98FA" w:tentative="1">
      <w:start w:val="1"/>
      <w:numFmt w:val="lowerRoman"/>
      <w:lvlText w:val="%9."/>
      <w:lvlJc w:val="right"/>
      <w:pPr>
        <w:ind w:left="3960" w:hanging="440"/>
      </w:pPr>
    </w:lvl>
  </w:abstractNum>
  <w:abstractNum w:abstractNumId="2" w15:restartNumberingAfterBreak="0">
    <w:nsid w:val="25032A00"/>
    <w:multiLevelType w:val="multilevel"/>
    <w:tmpl w:val="F81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A07AE"/>
    <w:multiLevelType w:val="multilevel"/>
    <w:tmpl w:val="B8EA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7F4E"/>
    <w:multiLevelType w:val="hybridMultilevel"/>
    <w:tmpl w:val="795C4DCC"/>
    <w:lvl w:ilvl="0" w:tplc="26A6282A">
      <w:start w:val="1"/>
      <w:numFmt w:val="decimal"/>
      <w:lvlText w:val="%1."/>
      <w:lvlJc w:val="left"/>
      <w:pPr>
        <w:ind w:left="360" w:hanging="360"/>
      </w:pPr>
      <w:rPr>
        <w:rFonts w:hint="default"/>
      </w:rPr>
    </w:lvl>
    <w:lvl w:ilvl="1" w:tplc="2AD0CE14" w:tentative="1">
      <w:start w:val="1"/>
      <w:numFmt w:val="lowerLetter"/>
      <w:lvlText w:val="%2)"/>
      <w:lvlJc w:val="left"/>
      <w:pPr>
        <w:ind w:left="880" w:hanging="440"/>
      </w:pPr>
    </w:lvl>
    <w:lvl w:ilvl="2" w:tplc="4A68E8A6" w:tentative="1">
      <w:start w:val="1"/>
      <w:numFmt w:val="lowerRoman"/>
      <w:lvlText w:val="%3."/>
      <w:lvlJc w:val="right"/>
      <w:pPr>
        <w:ind w:left="1320" w:hanging="440"/>
      </w:pPr>
    </w:lvl>
    <w:lvl w:ilvl="3" w:tplc="ED101246" w:tentative="1">
      <w:start w:val="1"/>
      <w:numFmt w:val="decimal"/>
      <w:lvlText w:val="%4."/>
      <w:lvlJc w:val="left"/>
      <w:pPr>
        <w:ind w:left="1760" w:hanging="440"/>
      </w:pPr>
    </w:lvl>
    <w:lvl w:ilvl="4" w:tplc="4DE261AE" w:tentative="1">
      <w:start w:val="1"/>
      <w:numFmt w:val="lowerLetter"/>
      <w:lvlText w:val="%5)"/>
      <w:lvlJc w:val="left"/>
      <w:pPr>
        <w:ind w:left="2200" w:hanging="440"/>
      </w:pPr>
    </w:lvl>
    <w:lvl w:ilvl="5" w:tplc="E2B2475A" w:tentative="1">
      <w:start w:val="1"/>
      <w:numFmt w:val="lowerRoman"/>
      <w:lvlText w:val="%6."/>
      <w:lvlJc w:val="right"/>
      <w:pPr>
        <w:ind w:left="2640" w:hanging="440"/>
      </w:pPr>
    </w:lvl>
    <w:lvl w:ilvl="6" w:tplc="BA6C6DFE" w:tentative="1">
      <w:start w:val="1"/>
      <w:numFmt w:val="decimal"/>
      <w:lvlText w:val="%7."/>
      <w:lvlJc w:val="left"/>
      <w:pPr>
        <w:ind w:left="3080" w:hanging="440"/>
      </w:pPr>
    </w:lvl>
    <w:lvl w:ilvl="7" w:tplc="169A9ACA" w:tentative="1">
      <w:start w:val="1"/>
      <w:numFmt w:val="lowerLetter"/>
      <w:lvlText w:val="%8)"/>
      <w:lvlJc w:val="left"/>
      <w:pPr>
        <w:ind w:left="3520" w:hanging="440"/>
      </w:pPr>
    </w:lvl>
    <w:lvl w:ilvl="8" w:tplc="B5A4CBC0" w:tentative="1">
      <w:start w:val="1"/>
      <w:numFmt w:val="lowerRoman"/>
      <w:lvlText w:val="%9."/>
      <w:lvlJc w:val="right"/>
      <w:pPr>
        <w:ind w:left="3960" w:hanging="440"/>
      </w:pPr>
    </w:lvl>
  </w:abstractNum>
  <w:abstractNum w:abstractNumId="5" w15:restartNumberingAfterBreak="0">
    <w:nsid w:val="3B8173C2"/>
    <w:multiLevelType w:val="hybridMultilevel"/>
    <w:tmpl w:val="795C4DCC"/>
    <w:lvl w:ilvl="0" w:tplc="2F624F6E">
      <w:start w:val="1"/>
      <w:numFmt w:val="decimal"/>
      <w:lvlText w:val="%1."/>
      <w:lvlJc w:val="left"/>
      <w:pPr>
        <w:ind w:left="360" w:hanging="360"/>
      </w:pPr>
      <w:rPr>
        <w:rFonts w:hint="default"/>
      </w:rPr>
    </w:lvl>
    <w:lvl w:ilvl="1" w:tplc="9B6280CA" w:tentative="1">
      <w:start w:val="1"/>
      <w:numFmt w:val="lowerLetter"/>
      <w:lvlText w:val="%2)"/>
      <w:lvlJc w:val="left"/>
      <w:pPr>
        <w:ind w:left="880" w:hanging="440"/>
      </w:pPr>
    </w:lvl>
    <w:lvl w:ilvl="2" w:tplc="4C7A631A" w:tentative="1">
      <w:start w:val="1"/>
      <w:numFmt w:val="lowerRoman"/>
      <w:lvlText w:val="%3."/>
      <w:lvlJc w:val="right"/>
      <w:pPr>
        <w:ind w:left="1320" w:hanging="440"/>
      </w:pPr>
    </w:lvl>
    <w:lvl w:ilvl="3" w:tplc="78EA18B2" w:tentative="1">
      <w:start w:val="1"/>
      <w:numFmt w:val="decimal"/>
      <w:lvlText w:val="%4."/>
      <w:lvlJc w:val="left"/>
      <w:pPr>
        <w:ind w:left="1760" w:hanging="440"/>
      </w:pPr>
    </w:lvl>
    <w:lvl w:ilvl="4" w:tplc="A27E51F6" w:tentative="1">
      <w:start w:val="1"/>
      <w:numFmt w:val="lowerLetter"/>
      <w:lvlText w:val="%5)"/>
      <w:lvlJc w:val="left"/>
      <w:pPr>
        <w:ind w:left="2200" w:hanging="440"/>
      </w:pPr>
    </w:lvl>
    <w:lvl w:ilvl="5" w:tplc="B58C53F4" w:tentative="1">
      <w:start w:val="1"/>
      <w:numFmt w:val="lowerRoman"/>
      <w:lvlText w:val="%6."/>
      <w:lvlJc w:val="right"/>
      <w:pPr>
        <w:ind w:left="2640" w:hanging="440"/>
      </w:pPr>
    </w:lvl>
    <w:lvl w:ilvl="6" w:tplc="3A2CFBA4" w:tentative="1">
      <w:start w:val="1"/>
      <w:numFmt w:val="decimal"/>
      <w:lvlText w:val="%7."/>
      <w:lvlJc w:val="left"/>
      <w:pPr>
        <w:ind w:left="3080" w:hanging="440"/>
      </w:pPr>
    </w:lvl>
    <w:lvl w:ilvl="7" w:tplc="5EC41024" w:tentative="1">
      <w:start w:val="1"/>
      <w:numFmt w:val="lowerLetter"/>
      <w:lvlText w:val="%8)"/>
      <w:lvlJc w:val="left"/>
      <w:pPr>
        <w:ind w:left="3520" w:hanging="440"/>
      </w:pPr>
    </w:lvl>
    <w:lvl w:ilvl="8" w:tplc="9B0A4DD8" w:tentative="1">
      <w:start w:val="1"/>
      <w:numFmt w:val="lowerRoman"/>
      <w:lvlText w:val="%9."/>
      <w:lvlJc w:val="right"/>
      <w:pPr>
        <w:ind w:left="3960" w:hanging="440"/>
      </w:pPr>
    </w:lvl>
  </w:abstractNum>
  <w:abstractNum w:abstractNumId="6" w15:restartNumberingAfterBreak="0">
    <w:nsid w:val="4A8B7FF3"/>
    <w:multiLevelType w:val="hybridMultilevel"/>
    <w:tmpl w:val="D7929A0C"/>
    <w:lvl w:ilvl="0" w:tplc="7A8A7DE0">
      <w:start w:val="1"/>
      <w:numFmt w:val="decimal"/>
      <w:lvlText w:val="%1."/>
      <w:lvlJc w:val="left"/>
      <w:pPr>
        <w:ind w:left="440" w:hanging="440"/>
      </w:pPr>
    </w:lvl>
    <w:lvl w:ilvl="1" w:tplc="96F85580" w:tentative="1">
      <w:start w:val="1"/>
      <w:numFmt w:val="lowerLetter"/>
      <w:lvlText w:val="%2)"/>
      <w:lvlJc w:val="left"/>
      <w:pPr>
        <w:ind w:left="880" w:hanging="440"/>
      </w:pPr>
    </w:lvl>
    <w:lvl w:ilvl="2" w:tplc="602E31B2" w:tentative="1">
      <w:start w:val="1"/>
      <w:numFmt w:val="lowerRoman"/>
      <w:lvlText w:val="%3."/>
      <w:lvlJc w:val="right"/>
      <w:pPr>
        <w:ind w:left="1320" w:hanging="440"/>
      </w:pPr>
    </w:lvl>
    <w:lvl w:ilvl="3" w:tplc="FFB45E4C" w:tentative="1">
      <w:start w:val="1"/>
      <w:numFmt w:val="decimal"/>
      <w:lvlText w:val="%4."/>
      <w:lvlJc w:val="left"/>
      <w:pPr>
        <w:ind w:left="1760" w:hanging="440"/>
      </w:pPr>
    </w:lvl>
    <w:lvl w:ilvl="4" w:tplc="26085D5C" w:tentative="1">
      <w:start w:val="1"/>
      <w:numFmt w:val="lowerLetter"/>
      <w:lvlText w:val="%5)"/>
      <w:lvlJc w:val="left"/>
      <w:pPr>
        <w:ind w:left="2200" w:hanging="440"/>
      </w:pPr>
    </w:lvl>
    <w:lvl w:ilvl="5" w:tplc="E6643F62" w:tentative="1">
      <w:start w:val="1"/>
      <w:numFmt w:val="lowerRoman"/>
      <w:lvlText w:val="%6."/>
      <w:lvlJc w:val="right"/>
      <w:pPr>
        <w:ind w:left="2640" w:hanging="440"/>
      </w:pPr>
    </w:lvl>
    <w:lvl w:ilvl="6" w:tplc="177A162C" w:tentative="1">
      <w:start w:val="1"/>
      <w:numFmt w:val="decimal"/>
      <w:lvlText w:val="%7."/>
      <w:lvlJc w:val="left"/>
      <w:pPr>
        <w:ind w:left="3080" w:hanging="440"/>
      </w:pPr>
    </w:lvl>
    <w:lvl w:ilvl="7" w:tplc="F528A6BC" w:tentative="1">
      <w:start w:val="1"/>
      <w:numFmt w:val="lowerLetter"/>
      <w:lvlText w:val="%8)"/>
      <w:lvlJc w:val="left"/>
      <w:pPr>
        <w:ind w:left="3520" w:hanging="440"/>
      </w:pPr>
    </w:lvl>
    <w:lvl w:ilvl="8" w:tplc="EACAC59A" w:tentative="1">
      <w:start w:val="1"/>
      <w:numFmt w:val="lowerRoman"/>
      <w:lvlText w:val="%9."/>
      <w:lvlJc w:val="right"/>
      <w:pPr>
        <w:ind w:left="3960" w:hanging="440"/>
      </w:pPr>
    </w:lvl>
  </w:abstractNum>
  <w:abstractNum w:abstractNumId="7" w15:restartNumberingAfterBreak="0">
    <w:nsid w:val="57B62507"/>
    <w:multiLevelType w:val="hybridMultilevel"/>
    <w:tmpl w:val="795C4DCC"/>
    <w:lvl w:ilvl="0" w:tplc="D6C03BA4">
      <w:start w:val="1"/>
      <w:numFmt w:val="decimal"/>
      <w:lvlText w:val="%1."/>
      <w:lvlJc w:val="left"/>
      <w:pPr>
        <w:ind w:left="360" w:hanging="360"/>
      </w:pPr>
      <w:rPr>
        <w:rFonts w:hint="default"/>
      </w:rPr>
    </w:lvl>
    <w:lvl w:ilvl="1" w:tplc="8E920ACA" w:tentative="1">
      <w:start w:val="1"/>
      <w:numFmt w:val="lowerLetter"/>
      <w:lvlText w:val="%2)"/>
      <w:lvlJc w:val="left"/>
      <w:pPr>
        <w:ind w:left="880" w:hanging="440"/>
      </w:pPr>
    </w:lvl>
    <w:lvl w:ilvl="2" w:tplc="639266C6" w:tentative="1">
      <w:start w:val="1"/>
      <w:numFmt w:val="lowerRoman"/>
      <w:lvlText w:val="%3."/>
      <w:lvlJc w:val="right"/>
      <w:pPr>
        <w:ind w:left="1320" w:hanging="440"/>
      </w:pPr>
    </w:lvl>
    <w:lvl w:ilvl="3" w:tplc="13B45172" w:tentative="1">
      <w:start w:val="1"/>
      <w:numFmt w:val="decimal"/>
      <w:lvlText w:val="%4."/>
      <w:lvlJc w:val="left"/>
      <w:pPr>
        <w:ind w:left="1760" w:hanging="440"/>
      </w:pPr>
    </w:lvl>
    <w:lvl w:ilvl="4" w:tplc="FCF0464A" w:tentative="1">
      <w:start w:val="1"/>
      <w:numFmt w:val="lowerLetter"/>
      <w:lvlText w:val="%5)"/>
      <w:lvlJc w:val="left"/>
      <w:pPr>
        <w:ind w:left="2200" w:hanging="440"/>
      </w:pPr>
    </w:lvl>
    <w:lvl w:ilvl="5" w:tplc="DB828C7C" w:tentative="1">
      <w:start w:val="1"/>
      <w:numFmt w:val="lowerRoman"/>
      <w:lvlText w:val="%6."/>
      <w:lvlJc w:val="right"/>
      <w:pPr>
        <w:ind w:left="2640" w:hanging="440"/>
      </w:pPr>
    </w:lvl>
    <w:lvl w:ilvl="6" w:tplc="D3BA1B48" w:tentative="1">
      <w:start w:val="1"/>
      <w:numFmt w:val="decimal"/>
      <w:lvlText w:val="%7."/>
      <w:lvlJc w:val="left"/>
      <w:pPr>
        <w:ind w:left="3080" w:hanging="440"/>
      </w:pPr>
    </w:lvl>
    <w:lvl w:ilvl="7" w:tplc="F22E5CF4" w:tentative="1">
      <w:start w:val="1"/>
      <w:numFmt w:val="lowerLetter"/>
      <w:lvlText w:val="%8)"/>
      <w:lvlJc w:val="left"/>
      <w:pPr>
        <w:ind w:left="3520" w:hanging="440"/>
      </w:pPr>
    </w:lvl>
    <w:lvl w:ilvl="8" w:tplc="66FC383E" w:tentative="1">
      <w:start w:val="1"/>
      <w:numFmt w:val="lowerRoman"/>
      <w:lvlText w:val="%9."/>
      <w:lvlJc w:val="right"/>
      <w:pPr>
        <w:ind w:left="3960" w:hanging="440"/>
      </w:pPr>
    </w:lvl>
  </w:abstractNum>
  <w:abstractNum w:abstractNumId="8" w15:restartNumberingAfterBreak="0">
    <w:nsid w:val="59D62D0E"/>
    <w:multiLevelType w:val="hybridMultilevel"/>
    <w:tmpl w:val="8BEC82EC"/>
    <w:lvl w:ilvl="0" w:tplc="3E34D802">
      <w:start w:val="1"/>
      <w:numFmt w:val="decimal"/>
      <w:lvlText w:val="%1."/>
      <w:lvlJc w:val="left"/>
      <w:pPr>
        <w:ind w:left="1080" w:hanging="360"/>
      </w:pPr>
      <w:rPr>
        <w:rFonts w:hint="default"/>
      </w:rPr>
    </w:lvl>
    <w:lvl w:ilvl="1" w:tplc="6D54C2DE" w:tentative="1">
      <w:start w:val="1"/>
      <w:numFmt w:val="lowerLetter"/>
      <w:lvlText w:val="%2)"/>
      <w:lvlJc w:val="left"/>
      <w:pPr>
        <w:ind w:left="1600" w:hanging="440"/>
      </w:pPr>
    </w:lvl>
    <w:lvl w:ilvl="2" w:tplc="7760093C" w:tentative="1">
      <w:start w:val="1"/>
      <w:numFmt w:val="lowerRoman"/>
      <w:lvlText w:val="%3."/>
      <w:lvlJc w:val="right"/>
      <w:pPr>
        <w:ind w:left="2040" w:hanging="440"/>
      </w:pPr>
    </w:lvl>
    <w:lvl w:ilvl="3" w:tplc="BDCA80C6" w:tentative="1">
      <w:start w:val="1"/>
      <w:numFmt w:val="decimal"/>
      <w:lvlText w:val="%4."/>
      <w:lvlJc w:val="left"/>
      <w:pPr>
        <w:ind w:left="2480" w:hanging="440"/>
      </w:pPr>
    </w:lvl>
    <w:lvl w:ilvl="4" w:tplc="8EE8FD5C" w:tentative="1">
      <w:start w:val="1"/>
      <w:numFmt w:val="lowerLetter"/>
      <w:lvlText w:val="%5)"/>
      <w:lvlJc w:val="left"/>
      <w:pPr>
        <w:ind w:left="2920" w:hanging="440"/>
      </w:pPr>
    </w:lvl>
    <w:lvl w:ilvl="5" w:tplc="689457DC" w:tentative="1">
      <w:start w:val="1"/>
      <w:numFmt w:val="lowerRoman"/>
      <w:lvlText w:val="%6."/>
      <w:lvlJc w:val="right"/>
      <w:pPr>
        <w:ind w:left="3360" w:hanging="440"/>
      </w:pPr>
    </w:lvl>
    <w:lvl w:ilvl="6" w:tplc="25C44EF2" w:tentative="1">
      <w:start w:val="1"/>
      <w:numFmt w:val="decimal"/>
      <w:lvlText w:val="%7."/>
      <w:lvlJc w:val="left"/>
      <w:pPr>
        <w:ind w:left="3800" w:hanging="440"/>
      </w:pPr>
    </w:lvl>
    <w:lvl w:ilvl="7" w:tplc="0E6A3A7A" w:tentative="1">
      <w:start w:val="1"/>
      <w:numFmt w:val="lowerLetter"/>
      <w:lvlText w:val="%8)"/>
      <w:lvlJc w:val="left"/>
      <w:pPr>
        <w:ind w:left="4240" w:hanging="440"/>
      </w:pPr>
    </w:lvl>
    <w:lvl w:ilvl="8" w:tplc="C5D408BE" w:tentative="1">
      <w:start w:val="1"/>
      <w:numFmt w:val="lowerRoman"/>
      <w:lvlText w:val="%9."/>
      <w:lvlJc w:val="right"/>
      <w:pPr>
        <w:ind w:left="4680" w:hanging="440"/>
      </w:pPr>
    </w:lvl>
  </w:abstractNum>
  <w:abstractNum w:abstractNumId="9" w15:restartNumberingAfterBreak="0">
    <w:nsid w:val="6746349A"/>
    <w:multiLevelType w:val="hybridMultilevel"/>
    <w:tmpl w:val="684C881E"/>
    <w:lvl w:ilvl="0" w:tplc="5B0C2DF8">
      <w:start w:val="1"/>
      <w:numFmt w:val="decimal"/>
      <w:lvlText w:val="%1."/>
      <w:lvlJc w:val="left"/>
      <w:pPr>
        <w:ind w:left="360" w:hanging="360"/>
      </w:pPr>
      <w:rPr>
        <w:rFonts w:hint="default"/>
      </w:rPr>
    </w:lvl>
    <w:lvl w:ilvl="1" w:tplc="1214CF34" w:tentative="1">
      <w:start w:val="1"/>
      <w:numFmt w:val="lowerLetter"/>
      <w:lvlText w:val="%2)"/>
      <w:lvlJc w:val="left"/>
      <w:pPr>
        <w:ind w:left="880" w:hanging="440"/>
      </w:pPr>
    </w:lvl>
    <w:lvl w:ilvl="2" w:tplc="7F6494A8" w:tentative="1">
      <w:start w:val="1"/>
      <w:numFmt w:val="lowerRoman"/>
      <w:lvlText w:val="%3."/>
      <w:lvlJc w:val="right"/>
      <w:pPr>
        <w:ind w:left="1320" w:hanging="440"/>
      </w:pPr>
    </w:lvl>
    <w:lvl w:ilvl="3" w:tplc="5F7EF066" w:tentative="1">
      <w:start w:val="1"/>
      <w:numFmt w:val="decimal"/>
      <w:lvlText w:val="%4."/>
      <w:lvlJc w:val="left"/>
      <w:pPr>
        <w:ind w:left="1760" w:hanging="440"/>
      </w:pPr>
    </w:lvl>
    <w:lvl w:ilvl="4" w:tplc="0DCCCEEC" w:tentative="1">
      <w:start w:val="1"/>
      <w:numFmt w:val="lowerLetter"/>
      <w:lvlText w:val="%5)"/>
      <w:lvlJc w:val="left"/>
      <w:pPr>
        <w:ind w:left="2200" w:hanging="440"/>
      </w:pPr>
    </w:lvl>
    <w:lvl w:ilvl="5" w:tplc="F29CF87E" w:tentative="1">
      <w:start w:val="1"/>
      <w:numFmt w:val="lowerRoman"/>
      <w:lvlText w:val="%6."/>
      <w:lvlJc w:val="right"/>
      <w:pPr>
        <w:ind w:left="2640" w:hanging="440"/>
      </w:pPr>
    </w:lvl>
    <w:lvl w:ilvl="6" w:tplc="80049536" w:tentative="1">
      <w:start w:val="1"/>
      <w:numFmt w:val="decimal"/>
      <w:lvlText w:val="%7."/>
      <w:lvlJc w:val="left"/>
      <w:pPr>
        <w:ind w:left="3080" w:hanging="440"/>
      </w:pPr>
    </w:lvl>
    <w:lvl w:ilvl="7" w:tplc="E490FD5A" w:tentative="1">
      <w:start w:val="1"/>
      <w:numFmt w:val="lowerLetter"/>
      <w:lvlText w:val="%8)"/>
      <w:lvlJc w:val="left"/>
      <w:pPr>
        <w:ind w:left="3520" w:hanging="440"/>
      </w:pPr>
    </w:lvl>
    <w:lvl w:ilvl="8" w:tplc="0A2CB026" w:tentative="1">
      <w:start w:val="1"/>
      <w:numFmt w:val="lowerRoman"/>
      <w:lvlText w:val="%9."/>
      <w:lvlJc w:val="right"/>
      <w:pPr>
        <w:ind w:left="3960" w:hanging="440"/>
      </w:pPr>
    </w:lvl>
  </w:abstractNum>
  <w:abstractNum w:abstractNumId="10" w15:restartNumberingAfterBreak="0">
    <w:nsid w:val="68AF434B"/>
    <w:multiLevelType w:val="multilevel"/>
    <w:tmpl w:val="92AE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E0B19"/>
    <w:multiLevelType w:val="hybridMultilevel"/>
    <w:tmpl w:val="795C4DCC"/>
    <w:lvl w:ilvl="0" w:tplc="5060E478">
      <w:start w:val="1"/>
      <w:numFmt w:val="decimal"/>
      <w:lvlText w:val="%1."/>
      <w:lvlJc w:val="left"/>
      <w:pPr>
        <w:ind w:left="360" w:hanging="360"/>
      </w:pPr>
      <w:rPr>
        <w:rFonts w:hint="default"/>
      </w:rPr>
    </w:lvl>
    <w:lvl w:ilvl="1" w:tplc="75FE34DE" w:tentative="1">
      <w:start w:val="1"/>
      <w:numFmt w:val="lowerLetter"/>
      <w:lvlText w:val="%2)"/>
      <w:lvlJc w:val="left"/>
      <w:pPr>
        <w:ind w:left="880" w:hanging="440"/>
      </w:pPr>
    </w:lvl>
    <w:lvl w:ilvl="2" w:tplc="7BF4CC8A" w:tentative="1">
      <w:start w:val="1"/>
      <w:numFmt w:val="lowerRoman"/>
      <w:lvlText w:val="%3."/>
      <w:lvlJc w:val="right"/>
      <w:pPr>
        <w:ind w:left="1320" w:hanging="440"/>
      </w:pPr>
    </w:lvl>
    <w:lvl w:ilvl="3" w:tplc="74706AF6" w:tentative="1">
      <w:start w:val="1"/>
      <w:numFmt w:val="decimal"/>
      <w:lvlText w:val="%4."/>
      <w:lvlJc w:val="left"/>
      <w:pPr>
        <w:ind w:left="1760" w:hanging="440"/>
      </w:pPr>
    </w:lvl>
    <w:lvl w:ilvl="4" w:tplc="DB447FBC" w:tentative="1">
      <w:start w:val="1"/>
      <w:numFmt w:val="lowerLetter"/>
      <w:lvlText w:val="%5)"/>
      <w:lvlJc w:val="left"/>
      <w:pPr>
        <w:ind w:left="2200" w:hanging="440"/>
      </w:pPr>
    </w:lvl>
    <w:lvl w:ilvl="5" w:tplc="B2E0DC52" w:tentative="1">
      <w:start w:val="1"/>
      <w:numFmt w:val="lowerRoman"/>
      <w:lvlText w:val="%6."/>
      <w:lvlJc w:val="right"/>
      <w:pPr>
        <w:ind w:left="2640" w:hanging="440"/>
      </w:pPr>
    </w:lvl>
    <w:lvl w:ilvl="6" w:tplc="B40A9888" w:tentative="1">
      <w:start w:val="1"/>
      <w:numFmt w:val="decimal"/>
      <w:lvlText w:val="%7."/>
      <w:lvlJc w:val="left"/>
      <w:pPr>
        <w:ind w:left="3080" w:hanging="440"/>
      </w:pPr>
    </w:lvl>
    <w:lvl w:ilvl="7" w:tplc="04C09710" w:tentative="1">
      <w:start w:val="1"/>
      <w:numFmt w:val="lowerLetter"/>
      <w:lvlText w:val="%8)"/>
      <w:lvlJc w:val="left"/>
      <w:pPr>
        <w:ind w:left="3520" w:hanging="440"/>
      </w:pPr>
    </w:lvl>
    <w:lvl w:ilvl="8" w:tplc="AC6E9894" w:tentative="1">
      <w:start w:val="1"/>
      <w:numFmt w:val="lowerRoman"/>
      <w:lvlText w:val="%9."/>
      <w:lvlJc w:val="right"/>
      <w:pPr>
        <w:ind w:left="3960" w:hanging="440"/>
      </w:pPr>
    </w:lvl>
  </w:abstractNum>
  <w:abstractNum w:abstractNumId="12" w15:restartNumberingAfterBreak="0">
    <w:nsid w:val="6F3B7797"/>
    <w:multiLevelType w:val="hybridMultilevel"/>
    <w:tmpl w:val="D7929A0C"/>
    <w:lvl w:ilvl="0" w:tplc="B62A1A8E">
      <w:start w:val="1"/>
      <w:numFmt w:val="decimal"/>
      <w:lvlText w:val="%1."/>
      <w:lvlJc w:val="left"/>
      <w:pPr>
        <w:ind w:left="440" w:hanging="440"/>
      </w:pPr>
    </w:lvl>
    <w:lvl w:ilvl="1" w:tplc="0A0CA846" w:tentative="1">
      <w:start w:val="1"/>
      <w:numFmt w:val="lowerLetter"/>
      <w:lvlText w:val="%2)"/>
      <w:lvlJc w:val="left"/>
      <w:pPr>
        <w:ind w:left="880" w:hanging="440"/>
      </w:pPr>
    </w:lvl>
    <w:lvl w:ilvl="2" w:tplc="001A57BC" w:tentative="1">
      <w:start w:val="1"/>
      <w:numFmt w:val="lowerRoman"/>
      <w:lvlText w:val="%3."/>
      <w:lvlJc w:val="right"/>
      <w:pPr>
        <w:ind w:left="1320" w:hanging="440"/>
      </w:pPr>
    </w:lvl>
    <w:lvl w:ilvl="3" w:tplc="3C88A69C" w:tentative="1">
      <w:start w:val="1"/>
      <w:numFmt w:val="decimal"/>
      <w:lvlText w:val="%4."/>
      <w:lvlJc w:val="left"/>
      <w:pPr>
        <w:ind w:left="1760" w:hanging="440"/>
      </w:pPr>
    </w:lvl>
    <w:lvl w:ilvl="4" w:tplc="1F58CD3C" w:tentative="1">
      <w:start w:val="1"/>
      <w:numFmt w:val="lowerLetter"/>
      <w:lvlText w:val="%5)"/>
      <w:lvlJc w:val="left"/>
      <w:pPr>
        <w:ind w:left="2200" w:hanging="440"/>
      </w:pPr>
    </w:lvl>
    <w:lvl w:ilvl="5" w:tplc="17547AF4" w:tentative="1">
      <w:start w:val="1"/>
      <w:numFmt w:val="lowerRoman"/>
      <w:lvlText w:val="%6."/>
      <w:lvlJc w:val="right"/>
      <w:pPr>
        <w:ind w:left="2640" w:hanging="440"/>
      </w:pPr>
    </w:lvl>
    <w:lvl w:ilvl="6" w:tplc="48FE9B48" w:tentative="1">
      <w:start w:val="1"/>
      <w:numFmt w:val="decimal"/>
      <w:lvlText w:val="%7."/>
      <w:lvlJc w:val="left"/>
      <w:pPr>
        <w:ind w:left="3080" w:hanging="440"/>
      </w:pPr>
    </w:lvl>
    <w:lvl w:ilvl="7" w:tplc="874C0AD4" w:tentative="1">
      <w:start w:val="1"/>
      <w:numFmt w:val="lowerLetter"/>
      <w:lvlText w:val="%8)"/>
      <w:lvlJc w:val="left"/>
      <w:pPr>
        <w:ind w:left="3520" w:hanging="440"/>
      </w:pPr>
    </w:lvl>
    <w:lvl w:ilvl="8" w:tplc="B9FA4030" w:tentative="1">
      <w:start w:val="1"/>
      <w:numFmt w:val="lowerRoman"/>
      <w:lvlText w:val="%9."/>
      <w:lvlJc w:val="right"/>
      <w:pPr>
        <w:ind w:left="3960" w:hanging="440"/>
      </w:pPr>
    </w:lvl>
  </w:abstractNum>
  <w:abstractNum w:abstractNumId="13" w15:restartNumberingAfterBreak="0">
    <w:nsid w:val="771063EC"/>
    <w:multiLevelType w:val="hybridMultilevel"/>
    <w:tmpl w:val="ACFEFA50"/>
    <w:lvl w:ilvl="0" w:tplc="55D2CD24">
      <w:start w:val="1"/>
      <w:numFmt w:val="decimal"/>
      <w:lvlText w:val="%1."/>
      <w:lvlJc w:val="left"/>
      <w:pPr>
        <w:ind w:left="360" w:hanging="360"/>
      </w:pPr>
      <w:rPr>
        <w:rFonts w:hint="default"/>
      </w:rPr>
    </w:lvl>
    <w:lvl w:ilvl="1" w:tplc="8EE42D6E" w:tentative="1">
      <w:start w:val="1"/>
      <w:numFmt w:val="lowerLetter"/>
      <w:lvlText w:val="%2)"/>
      <w:lvlJc w:val="left"/>
      <w:pPr>
        <w:ind w:left="880" w:hanging="440"/>
      </w:pPr>
    </w:lvl>
    <w:lvl w:ilvl="2" w:tplc="2BEE8F4C" w:tentative="1">
      <w:start w:val="1"/>
      <w:numFmt w:val="lowerRoman"/>
      <w:lvlText w:val="%3."/>
      <w:lvlJc w:val="right"/>
      <w:pPr>
        <w:ind w:left="1320" w:hanging="440"/>
      </w:pPr>
    </w:lvl>
    <w:lvl w:ilvl="3" w:tplc="D928723C" w:tentative="1">
      <w:start w:val="1"/>
      <w:numFmt w:val="decimal"/>
      <w:lvlText w:val="%4."/>
      <w:lvlJc w:val="left"/>
      <w:pPr>
        <w:ind w:left="1760" w:hanging="440"/>
      </w:pPr>
    </w:lvl>
    <w:lvl w:ilvl="4" w:tplc="F5C6625A" w:tentative="1">
      <w:start w:val="1"/>
      <w:numFmt w:val="lowerLetter"/>
      <w:lvlText w:val="%5)"/>
      <w:lvlJc w:val="left"/>
      <w:pPr>
        <w:ind w:left="2200" w:hanging="440"/>
      </w:pPr>
    </w:lvl>
    <w:lvl w:ilvl="5" w:tplc="ACF24504" w:tentative="1">
      <w:start w:val="1"/>
      <w:numFmt w:val="lowerRoman"/>
      <w:lvlText w:val="%6."/>
      <w:lvlJc w:val="right"/>
      <w:pPr>
        <w:ind w:left="2640" w:hanging="440"/>
      </w:pPr>
    </w:lvl>
    <w:lvl w:ilvl="6" w:tplc="2E2462A8" w:tentative="1">
      <w:start w:val="1"/>
      <w:numFmt w:val="decimal"/>
      <w:lvlText w:val="%7."/>
      <w:lvlJc w:val="left"/>
      <w:pPr>
        <w:ind w:left="3080" w:hanging="440"/>
      </w:pPr>
    </w:lvl>
    <w:lvl w:ilvl="7" w:tplc="524CB1FE" w:tentative="1">
      <w:start w:val="1"/>
      <w:numFmt w:val="lowerLetter"/>
      <w:lvlText w:val="%8)"/>
      <w:lvlJc w:val="left"/>
      <w:pPr>
        <w:ind w:left="3520" w:hanging="440"/>
      </w:pPr>
    </w:lvl>
    <w:lvl w:ilvl="8" w:tplc="F5541F08" w:tentative="1">
      <w:start w:val="1"/>
      <w:numFmt w:val="lowerRoman"/>
      <w:lvlText w:val="%9."/>
      <w:lvlJc w:val="right"/>
      <w:pPr>
        <w:ind w:left="3960" w:hanging="440"/>
      </w:pPr>
    </w:lvl>
  </w:abstractNum>
  <w:abstractNum w:abstractNumId="14" w15:restartNumberingAfterBreak="0">
    <w:nsid w:val="772D5AF9"/>
    <w:multiLevelType w:val="hybridMultilevel"/>
    <w:tmpl w:val="03124A62"/>
    <w:lvl w:ilvl="0" w:tplc="49442040">
      <w:start w:val="1"/>
      <w:numFmt w:val="decimal"/>
      <w:lvlText w:val="%1."/>
      <w:lvlJc w:val="left"/>
      <w:pPr>
        <w:ind w:left="360" w:hanging="360"/>
      </w:pPr>
      <w:rPr>
        <w:rFonts w:hint="default"/>
      </w:rPr>
    </w:lvl>
    <w:lvl w:ilvl="1" w:tplc="8750AB44" w:tentative="1">
      <w:start w:val="1"/>
      <w:numFmt w:val="lowerLetter"/>
      <w:lvlText w:val="%2)"/>
      <w:lvlJc w:val="left"/>
      <w:pPr>
        <w:ind w:left="880" w:hanging="440"/>
      </w:pPr>
    </w:lvl>
    <w:lvl w:ilvl="2" w:tplc="E99CB5FA" w:tentative="1">
      <w:start w:val="1"/>
      <w:numFmt w:val="lowerRoman"/>
      <w:lvlText w:val="%3."/>
      <w:lvlJc w:val="right"/>
      <w:pPr>
        <w:ind w:left="1320" w:hanging="440"/>
      </w:pPr>
    </w:lvl>
    <w:lvl w:ilvl="3" w:tplc="EC644E46" w:tentative="1">
      <w:start w:val="1"/>
      <w:numFmt w:val="decimal"/>
      <w:lvlText w:val="%4."/>
      <w:lvlJc w:val="left"/>
      <w:pPr>
        <w:ind w:left="1760" w:hanging="440"/>
      </w:pPr>
    </w:lvl>
    <w:lvl w:ilvl="4" w:tplc="59AA4BD6" w:tentative="1">
      <w:start w:val="1"/>
      <w:numFmt w:val="lowerLetter"/>
      <w:lvlText w:val="%5)"/>
      <w:lvlJc w:val="left"/>
      <w:pPr>
        <w:ind w:left="2200" w:hanging="440"/>
      </w:pPr>
    </w:lvl>
    <w:lvl w:ilvl="5" w:tplc="D2301B0E" w:tentative="1">
      <w:start w:val="1"/>
      <w:numFmt w:val="lowerRoman"/>
      <w:lvlText w:val="%6."/>
      <w:lvlJc w:val="right"/>
      <w:pPr>
        <w:ind w:left="2640" w:hanging="440"/>
      </w:pPr>
    </w:lvl>
    <w:lvl w:ilvl="6" w:tplc="6A2A28A4" w:tentative="1">
      <w:start w:val="1"/>
      <w:numFmt w:val="decimal"/>
      <w:lvlText w:val="%7."/>
      <w:lvlJc w:val="left"/>
      <w:pPr>
        <w:ind w:left="3080" w:hanging="440"/>
      </w:pPr>
    </w:lvl>
    <w:lvl w:ilvl="7" w:tplc="75B64838" w:tentative="1">
      <w:start w:val="1"/>
      <w:numFmt w:val="lowerLetter"/>
      <w:lvlText w:val="%8)"/>
      <w:lvlJc w:val="left"/>
      <w:pPr>
        <w:ind w:left="3520" w:hanging="440"/>
      </w:pPr>
    </w:lvl>
    <w:lvl w:ilvl="8" w:tplc="DFFED102" w:tentative="1">
      <w:start w:val="1"/>
      <w:numFmt w:val="lowerRoman"/>
      <w:lvlText w:val="%9."/>
      <w:lvlJc w:val="right"/>
      <w:pPr>
        <w:ind w:left="3960" w:hanging="440"/>
      </w:pPr>
    </w:lvl>
  </w:abstractNum>
  <w:abstractNum w:abstractNumId="15" w15:restartNumberingAfterBreak="0">
    <w:nsid w:val="791C0B6B"/>
    <w:multiLevelType w:val="multilevel"/>
    <w:tmpl w:val="888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A0E3A"/>
    <w:multiLevelType w:val="hybridMultilevel"/>
    <w:tmpl w:val="D7929A0C"/>
    <w:lvl w:ilvl="0" w:tplc="3C1C5DB8">
      <w:start w:val="1"/>
      <w:numFmt w:val="decimal"/>
      <w:lvlText w:val="%1."/>
      <w:lvlJc w:val="left"/>
      <w:pPr>
        <w:ind w:left="440" w:hanging="440"/>
      </w:pPr>
    </w:lvl>
    <w:lvl w:ilvl="1" w:tplc="D256D71C" w:tentative="1">
      <w:start w:val="1"/>
      <w:numFmt w:val="lowerLetter"/>
      <w:lvlText w:val="%2)"/>
      <w:lvlJc w:val="left"/>
      <w:pPr>
        <w:ind w:left="880" w:hanging="440"/>
      </w:pPr>
    </w:lvl>
    <w:lvl w:ilvl="2" w:tplc="08028402" w:tentative="1">
      <w:start w:val="1"/>
      <w:numFmt w:val="lowerRoman"/>
      <w:lvlText w:val="%3."/>
      <w:lvlJc w:val="right"/>
      <w:pPr>
        <w:ind w:left="1320" w:hanging="440"/>
      </w:pPr>
    </w:lvl>
    <w:lvl w:ilvl="3" w:tplc="EAC886CA" w:tentative="1">
      <w:start w:val="1"/>
      <w:numFmt w:val="decimal"/>
      <w:lvlText w:val="%4."/>
      <w:lvlJc w:val="left"/>
      <w:pPr>
        <w:ind w:left="1760" w:hanging="440"/>
      </w:pPr>
    </w:lvl>
    <w:lvl w:ilvl="4" w:tplc="7C5665B2" w:tentative="1">
      <w:start w:val="1"/>
      <w:numFmt w:val="lowerLetter"/>
      <w:lvlText w:val="%5)"/>
      <w:lvlJc w:val="left"/>
      <w:pPr>
        <w:ind w:left="2200" w:hanging="440"/>
      </w:pPr>
    </w:lvl>
    <w:lvl w:ilvl="5" w:tplc="F27E682C" w:tentative="1">
      <w:start w:val="1"/>
      <w:numFmt w:val="lowerRoman"/>
      <w:lvlText w:val="%6."/>
      <w:lvlJc w:val="right"/>
      <w:pPr>
        <w:ind w:left="2640" w:hanging="440"/>
      </w:pPr>
    </w:lvl>
    <w:lvl w:ilvl="6" w:tplc="C58627A0" w:tentative="1">
      <w:start w:val="1"/>
      <w:numFmt w:val="decimal"/>
      <w:lvlText w:val="%7."/>
      <w:lvlJc w:val="left"/>
      <w:pPr>
        <w:ind w:left="3080" w:hanging="440"/>
      </w:pPr>
    </w:lvl>
    <w:lvl w:ilvl="7" w:tplc="67BE4000" w:tentative="1">
      <w:start w:val="1"/>
      <w:numFmt w:val="lowerLetter"/>
      <w:lvlText w:val="%8)"/>
      <w:lvlJc w:val="left"/>
      <w:pPr>
        <w:ind w:left="3520" w:hanging="440"/>
      </w:pPr>
    </w:lvl>
    <w:lvl w:ilvl="8" w:tplc="C03A02DA" w:tentative="1">
      <w:start w:val="1"/>
      <w:numFmt w:val="lowerRoman"/>
      <w:lvlText w:val="%9."/>
      <w:lvlJc w:val="right"/>
      <w:pPr>
        <w:ind w:left="3960" w:hanging="440"/>
      </w:pPr>
    </w:lvl>
  </w:abstractNum>
  <w:num w:numId="1" w16cid:durableId="2091191345">
    <w:abstractNumId w:val="13"/>
  </w:num>
  <w:num w:numId="2" w16cid:durableId="1119911094">
    <w:abstractNumId w:val="0"/>
  </w:num>
  <w:num w:numId="3" w16cid:durableId="1621061158">
    <w:abstractNumId w:val="9"/>
  </w:num>
  <w:num w:numId="4" w16cid:durableId="1254700531">
    <w:abstractNumId w:val="14"/>
  </w:num>
  <w:num w:numId="5" w16cid:durableId="1939290874">
    <w:abstractNumId w:val="1"/>
  </w:num>
  <w:num w:numId="6" w16cid:durableId="1179660262">
    <w:abstractNumId w:val="11"/>
  </w:num>
  <w:num w:numId="7" w16cid:durableId="1158767959">
    <w:abstractNumId w:val="5"/>
  </w:num>
  <w:num w:numId="8" w16cid:durableId="42481877">
    <w:abstractNumId w:val="6"/>
  </w:num>
  <w:num w:numId="9" w16cid:durableId="1122920239">
    <w:abstractNumId w:val="4"/>
  </w:num>
  <w:num w:numId="10" w16cid:durableId="449015520">
    <w:abstractNumId w:val="7"/>
  </w:num>
  <w:num w:numId="11" w16cid:durableId="1739744885">
    <w:abstractNumId w:val="16"/>
  </w:num>
  <w:num w:numId="12" w16cid:durableId="362705680">
    <w:abstractNumId w:val="12"/>
  </w:num>
  <w:num w:numId="13" w16cid:durableId="35008897">
    <w:abstractNumId w:val="8"/>
  </w:num>
  <w:num w:numId="14" w16cid:durableId="318506580">
    <w:abstractNumId w:val="10"/>
  </w:num>
  <w:num w:numId="15" w16cid:durableId="1541237724">
    <w:abstractNumId w:val="15"/>
  </w:num>
  <w:num w:numId="16" w16cid:durableId="673652432">
    <w:abstractNumId w:val="3"/>
  </w:num>
  <w:num w:numId="17" w16cid:durableId="2035618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78"/>
    <w:rsid w:val="000000ED"/>
    <w:rsid w:val="000005BE"/>
    <w:rsid w:val="00000DC0"/>
    <w:rsid w:val="00001556"/>
    <w:rsid w:val="00001658"/>
    <w:rsid w:val="00001B68"/>
    <w:rsid w:val="00001B9A"/>
    <w:rsid w:val="00002184"/>
    <w:rsid w:val="00002605"/>
    <w:rsid w:val="00002CBC"/>
    <w:rsid w:val="00003206"/>
    <w:rsid w:val="00003F09"/>
    <w:rsid w:val="00004B8B"/>
    <w:rsid w:val="00004D6C"/>
    <w:rsid w:val="00004EE5"/>
    <w:rsid w:val="00005393"/>
    <w:rsid w:val="000057AB"/>
    <w:rsid w:val="000059C8"/>
    <w:rsid w:val="00006792"/>
    <w:rsid w:val="0000764B"/>
    <w:rsid w:val="00007E46"/>
    <w:rsid w:val="00010C72"/>
    <w:rsid w:val="000111EE"/>
    <w:rsid w:val="000113C0"/>
    <w:rsid w:val="00011899"/>
    <w:rsid w:val="000119F0"/>
    <w:rsid w:val="00011C1F"/>
    <w:rsid w:val="00011D73"/>
    <w:rsid w:val="00011F9A"/>
    <w:rsid w:val="00012022"/>
    <w:rsid w:val="00012238"/>
    <w:rsid w:val="00012CC9"/>
    <w:rsid w:val="00013721"/>
    <w:rsid w:val="00013AB0"/>
    <w:rsid w:val="00013BE3"/>
    <w:rsid w:val="0001442F"/>
    <w:rsid w:val="00014B80"/>
    <w:rsid w:val="00015AC0"/>
    <w:rsid w:val="00015BF0"/>
    <w:rsid w:val="00015CA4"/>
    <w:rsid w:val="00015F1F"/>
    <w:rsid w:val="000169E6"/>
    <w:rsid w:val="00017654"/>
    <w:rsid w:val="0002006C"/>
    <w:rsid w:val="0002026B"/>
    <w:rsid w:val="00020566"/>
    <w:rsid w:val="00020712"/>
    <w:rsid w:val="0002098A"/>
    <w:rsid w:val="00020F44"/>
    <w:rsid w:val="00020FCB"/>
    <w:rsid w:val="00021079"/>
    <w:rsid w:val="000213FE"/>
    <w:rsid w:val="000218AE"/>
    <w:rsid w:val="000219F4"/>
    <w:rsid w:val="00021CC8"/>
    <w:rsid w:val="00021ECB"/>
    <w:rsid w:val="00022323"/>
    <w:rsid w:val="000225BC"/>
    <w:rsid w:val="0002388D"/>
    <w:rsid w:val="000239B3"/>
    <w:rsid w:val="00023E86"/>
    <w:rsid w:val="000242B5"/>
    <w:rsid w:val="00025074"/>
    <w:rsid w:val="00025196"/>
    <w:rsid w:val="000259AA"/>
    <w:rsid w:val="00025A67"/>
    <w:rsid w:val="00025C42"/>
    <w:rsid w:val="000264BE"/>
    <w:rsid w:val="000273AF"/>
    <w:rsid w:val="00027646"/>
    <w:rsid w:val="00030303"/>
    <w:rsid w:val="000308EA"/>
    <w:rsid w:val="00030D64"/>
    <w:rsid w:val="00030DDF"/>
    <w:rsid w:val="00030F5E"/>
    <w:rsid w:val="0003165B"/>
    <w:rsid w:val="00031CA2"/>
    <w:rsid w:val="00031D15"/>
    <w:rsid w:val="0003252C"/>
    <w:rsid w:val="000328F6"/>
    <w:rsid w:val="0003299E"/>
    <w:rsid w:val="00032A66"/>
    <w:rsid w:val="00033289"/>
    <w:rsid w:val="000332D1"/>
    <w:rsid w:val="000339F6"/>
    <w:rsid w:val="00033A65"/>
    <w:rsid w:val="00033A7B"/>
    <w:rsid w:val="0003444D"/>
    <w:rsid w:val="000346A0"/>
    <w:rsid w:val="00034AE0"/>
    <w:rsid w:val="00034EB1"/>
    <w:rsid w:val="00035431"/>
    <w:rsid w:val="000355D5"/>
    <w:rsid w:val="000355F4"/>
    <w:rsid w:val="0003564C"/>
    <w:rsid w:val="00035938"/>
    <w:rsid w:val="00035AB7"/>
    <w:rsid w:val="000365C1"/>
    <w:rsid w:val="00036784"/>
    <w:rsid w:val="000367AA"/>
    <w:rsid w:val="00036B0B"/>
    <w:rsid w:val="00036CF7"/>
    <w:rsid w:val="000371FF"/>
    <w:rsid w:val="00037391"/>
    <w:rsid w:val="00037637"/>
    <w:rsid w:val="000376E6"/>
    <w:rsid w:val="000378EF"/>
    <w:rsid w:val="00037C7D"/>
    <w:rsid w:val="00037EB5"/>
    <w:rsid w:val="000403C9"/>
    <w:rsid w:val="00041118"/>
    <w:rsid w:val="00041B07"/>
    <w:rsid w:val="00041B75"/>
    <w:rsid w:val="000422EF"/>
    <w:rsid w:val="00042B86"/>
    <w:rsid w:val="00043874"/>
    <w:rsid w:val="00044299"/>
    <w:rsid w:val="0004495A"/>
    <w:rsid w:val="00044B8B"/>
    <w:rsid w:val="00045FF4"/>
    <w:rsid w:val="0004651B"/>
    <w:rsid w:val="000465F1"/>
    <w:rsid w:val="00046758"/>
    <w:rsid w:val="000470C2"/>
    <w:rsid w:val="0004727B"/>
    <w:rsid w:val="000473AA"/>
    <w:rsid w:val="000474FE"/>
    <w:rsid w:val="00047C48"/>
    <w:rsid w:val="00047D72"/>
    <w:rsid w:val="000501CF"/>
    <w:rsid w:val="00050293"/>
    <w:rsid w:val="00050398"/>
    <w:rsid w:val="00050BD4"/>
    <w:rsid w:val="00050C99"/>
    <w:rsid w:val="00050E13"/>
    <w:rsid w:val="00051AC9"/>
    <w:rsid w:val="00051D76"/>
    <w:rsid w:val="00051FB5"/>
    <w:rsid w:val="0005223B"/>
    <w:rsid w:val="0005270D"/>
    <w:rsid w:val="000528B1"/>
    <w:rsid w:val="000529BD"/>
    <w:rsid w:val="00052DCC"/>
    <w:rsid w:val="00053039"/>
    <w:rsid w:val="00053299"/>
    <w:rsid w:val="000532CC"/>
    <w:rsid w:val="0005362E"/>
    <w:rsid w:val="0005375E"/>
    <w:rsid w:val="00053D35"/>
    <w:rsid w:val="00054565"/>
    <w:rsid w:val="0005493E"/>
    <w:rsid w:val="00054AC7"/>
    <w:rsid w:val="00054C15"/>
    <w:rsid w:val="0005529F"/>
    <w:rsid w:val="00055901"/>
    <w:rsid w:val="00055940"/>
    <w:rsid w:val="000559E7"/>
    <w:rsid w:val="00055ABF"/>
    <w:rsid w:val="00055B88"/>
    <w:rsid w:val="00055D2A"/>
    <w:rsid w:val="000560CA"/>
    <w:rsid w:val="00056743"/>
    <w:rsid w:val="00056CE1"/>
    <w:rsid w:val="00056EF3"/>
    <w:rsid w:val="00056EF9"/>
    <w:rsid w:val="00057108"/>
    <w:rsid w:val="00057415"/>
    <w:rsid w:val="00057468"/>
    <w:rsid w:val="00057668"/>
    <w:rsid w:val="000606F5"/>
    <w:rsid w:val="000608B5"/>
    <w:rsid w:val="00061437"/>
    <w:rsid w:val="000614DD"/>
    <w:rsid w:val="00061538"/>
    <w:rsid w:val="00061DCE"/>
    <w:rsid w:val="00061E4D"/>
    <w:rsid w:val="00062187"/>
    <w:rsid w:val="00062A4A"/>
    <w:rsid w:val="00062B87"/>
    <w:rsid w:val="00063521"/>
    <w:rsid w:val="000638A7"/>
    <w:rsid w:val="000638D6"/>
    <w:rsid w:val="00063AD7"/>
    <w:rsid w:val="00063B17"/>
    <w:rsid w:val="00063B4F"/>
    <w:rsid w:val="00063CB2"/>
    <w:rsid w:val="00063E67"/>
    <w:rsid w:val="00064331"/>
    <w:rsid w:val="000657CE"/>
    <w:rsid w:val="00065ABD"/>
    <w:rsid w:val="00065DC2"/>
    <w:rsid w:val="00066CC2"/>
    <w:rsid w:val="00067119"/>
    <w:rsid w:val="000674FF"/>
    <w:rsid w:val="00067B0F"/>
    <w:rsid w:val="00067DF0"/>
    <w:rsid w:val="00070B1C"/>
    <w:rsid w:val="0007105A"/>
    <w:rsid w:val="0007131D"/>
    <w:rsid w:val="0007174E"/>
    <w:rsid w:val="000717B1"/>
    <w:rsid w:val="00071D52"/>
    <w:rsid w:val="00071D6A"/>
    <w:rsid w:val="00073601"/>
    <w:rsid w:val="000736C3"/>
    <w:rsid w:val="00073944"/>
    <w:rsid w:val="000739D1"/>
    <w:rsid w:val="00073A30"/>
    <w:rsid w:val="00073AE0"/>
    <w:rsid w:val="00073D0E"/>
    <w:rsid w:val="00073EA2"/>
    <w:rsid w:val="00073EB3"/>
    <w:rsid w:val="00074063"/>
    <w:rsid w:val="00074398"/>
    <w:rsid w:val="00074812"/>
    <w:rsid w:val="00074AA0"/>
    <w:rsid w:val="00074B6A"/>
    <w:rsid w:val="00074CFE"/>
    <w:rsid w:val="0007556E"/>
    <w:rsid w:val="00075580"/>
    <w:rsid w:val="00075722"/>
    <w:rsid w:val="000760E4"/>
    <w:rsid w:val="00076338"/>
    <w:rsid w:val="000763B6"/>
    <w:rsid w:val="000768B8"/>
    <w:rsid w:val="00077CDE"/>
    <w:rsid w:val="00080B58"/>
    <w:rsid w:val="00080DB4"/>
    <w:rsid w:val="000813F9"/>
    <w:rsid w:val="000815EA"/>
    <w:rsid w:val="000816A4"/>
    <w:rsid w:val="000818AA"/>
    <w:rsid w:val="00081E68"/>
    <w:rsid w:val="00082426"/>
    <w:rsid w:val="00082709"/>
    <w:rsid w:val="00082764"/>
    <w:rsid w:val="00083015"/>
    <w:rsid w:val="00083040"/>
    <w:rsid w:val="0008343C"/>
    <w:rsid w:val="00083873"/>
    <w:rsid w:val="00083E1C"/>
    <w:rsid w:val="000843A6"/>
    <w:rsid w:val="00084475"/>
    <w:rsid w:val="0008459E"/>
    <w:rsid w:val="000847BE"/>
    <w:rsid w:val="00084E95"/>
    <w:rsid w:val="00084FD1"/>
    <w:rsid w:val="00085084"/>
    <w:rsid w:val="0008652D"/>
    <w:rsid w:val="000866B2"/>
    <w:rsid w:val="00086F25"/>
    <w:rsid w:val="00087103"/>
    <w:rsid w:val="00087654"/>
    <w:rsid w:val="0008781A"/>
    <w:rsid w:val="00090DAB"/>
    <w:rsid w:val="000910F2"/>
    <w:rsid w:val="000915F1"/>
    <w:rsid w:val="00091F04"/>
    <w:rsid w:val="00091FC0"/>
    <w:rsid w:val="00092572"/>
    <w:rsid w:val="0009278F"/>
    <w:rsid w:val="00092844"/>
    <w:rsid w:val="00093231"/>
    <w:rsid w:val="0009378B"/>
    <w:rsid w:val="0009380D"/>
    <w:rsid w:val="000939E2"/>
    <w:rsid w:val="00094BBB"/>
    <w:rsid w:val="00094C58"/>
    <w:rsid w:val="000951BF"/>
    <w:rsid w:val="00095328"/>
    <w:rsid w:val="0009572C"/>
    <w:rsid w:val="000957A3"/>
    <w:rsid w:val="00095F54"/>
    <w:rsid w:val="000964B6"/>
    <w:rsid w:val="00096866"/>
    <w:rsid w:val="00096B49"/>
    <w:rsid w:val="00096F12"/>
    <w:rsid w:val="00097157"/>
    <w:rsid w:val="00097517"/>
    <w:rsid w:val="0009763D"/>
    <w:rsid w:val="000977D1"/>
    <w:rsid w:val="00097864"/>
    <w:rsid w:val="00097AE7"/>
    <w:rsid w:val="00097C3C"/>
    <w:rsid w:val="00097DEC"/>
    <w:rsid w:val="000A0EB7"/>
    <w:rsid w:val="000A1841"/>
    <w:rsid w:val="000A1961"/>
    <w:rsid w:val="000A1B2D"/>
    <w:rsid w:val="000A209A"/>
    <w:rsid w:val="000A20C4"/>
    <w:rsid w:val="000A2726"/>
    <w:rsid w:val="000A2960"/>
    <w:rsid w:val="000A29ED"/>
    <w:rsid w:val="000A2CCE"/>
    <w:rsid w:val="000A324F"/>
    <w:rsid w:val="000A351B"/>
    <w:rsid w:val="000A39B5"/>
    <w:rsid w:val="000A3DF5"/>
    <w:rsid w:val="000A42D6"/>
    <w:rsid w:val="000A488D"/>
    <w:rsid w:val="000A5954"/>
    <w:rsid w:val="000A5B41"/>
    <w:rsid w:val="000A6341"/>
    <w:rsid w:val="000A6557"/>
    <w:rsid w:val="000A67EC"/>
    <w:rsid w:val="000A6A3B"/>
    <w:rsid w:val="000A6A53"/>
    <w:rsid w:val="000A6E0E"/>
    <w:rsid w:val="000A700C"/>
    <w:rsid w:val="000A72AB"/>
    <w:rsid w:val="000B0285"/>
    <w:rsid w:val="000B05A2"/>
    <w:rsid w:val="000B08EB"/>
    <w:rsid w:val="000B0A3C"/>
    <w:rsid w:val="000B0AE4"/>
    <w:rsid w:val="000B0FBE"/>
    <w:rsid w:val="000B159A"/>
    <w:rsid w:val="000B15FA"/>
    <w:rsid w:val="000B23C9"/>
    <w:rsid w:val="000B26BF"/>
    <w:rsid w:val="000B27D2"/>
    <w:rsid w:val="000B28BF"/>
    <w:rsid w:val="000B2B5C"/>
    <w:rsid w:val="000B2E74"/>
    <w:rsid w:val="000B4454"/>
    <w:rsid w:val="000B4A04"/>
    <w:rsid w:val="000B4A7E"/>
    <w:rsid w:val="000B4B2C"/>
    <w:rsid w:val="000B54EA"/>
    <w:rsid w:val="000B5DFE"/>
    <w:rsid w:val="000B652B"/>
    <w:rsid w:val="000B7811"/>
    <w:rsid w:val="000B78D2"/>
    <w:rsid w:val="000B7B91"/>
    <w:rsid w:val="000C01A8"/>
    <w:rsid w:val="000C027A"/>
    <w:rsid w:val="000C063B"/>
    <w:rsid w:val="000C09FA"/>
    <w:rsid w:val="000C0B76"/>
    <w:rsid w:val="000C0C35"/>
    <w:rsid w:val="000C0F59"/>
    <w:rsid w:val="000C129A"/>
    <w:rsid w:val="000C14DB"/>
    <w:rsid w:val="000C1A7E"/>
    <w:rsid w:val="000C1B5A"/>
    <w:rsid w:val="000C225F"/>
    <w:rsid w:val="000C2795"/>
    <w:rsid w:val="000C2B64"/>
    <w:rsid w:val="000C2D57"/>
    <w:rsid w:val="000C2D91"/>
    <w:rsid w:val="000C37DE"/>
    <w:rsid w:val="000C3B43"/>
    <w:rsid w:val="000C3CBF"/>
    <w:rsid w:val="000C3D5C"/>
    <w:rsid w:val="000C40B2"/>
    <w:rsid w:val="000C4143"/>
    <w:rsid w:val="000C5267"/>
    <w:rsid w:val="000C5AA1"/>
    <w:rsid w:val="000C694B"/>
    <w:rsid w:val="000C6951"/>
    <w:rsid w:val="000C6C32"/>
    <w:rsid w:val="000C6D6F"/>
    <w:rsid w:val="000C6F87"/>
    <w:rsid w:val="000C780B"/>
    <w:rsid w:val="000D0152"/>
    <w:rsid w:val="000D03B3"/>
    <w:rsid w:val="000D03C5"/>
    <w:rsid w:val="000D0761"/>
    <w:rsid w:val="000D08D0"/>
    <w:rsid w:val="000D0942"/>
    <w:rsid w:val="000D1412"/>
    <w:rsid w:val="000D1B5E"/>
    <w:rsid w:val="000D1CFA"/>
    <w:rsid w:val="000D20A4"/>
    <w:rsid w:val="000D2112"/>
    <w:rsid w:val="000D213C"/>
    <w:rsid w:val="000D2584"/>
    <w:rsid w:val="000D29D5"/>
    <w:rsid w:val="000D2C01"/>
    <w:rsid w:val="000D2CDB"/>
    <w:rsid w:val="000D2D24"/>
    <w:rsid w:val="000D3012"/>
    <w:rsid w:val="000D3B2D"/>
    <w:rsid w:val="000D3F44"/>
    <w:rsid w:val="000D4796"/>
    <w:rsid w:val="000D4A70"/>
    <w:rsid w:val="000D4B78"/>
    <w:rsid w:val="000D4FBC"/>
    <w:rsid w:val="000D568F"/>
    <w:rsid w:val="000D5D46"/>
    <w:rsid w:val="000D61CD"/>
    <w:rsid w:val="000D7523"/>
    <w:rsid w:val="000D7538"/>
    <w:rsid w:val="000D79C5"/>
    <w:rsid w:val="000E05D9"/>
    <w:rsid w:val="000E0FE3"/>
    <w:rsid w:val="000E1032"/>
    <w:rsid w:val="000E1177"/>
    <w:rsid w:val="000E1187"/>
    <w:rsid w:val="000E182C"/>
    <w:rsid w:val="000E2267"/>
    <w:rsid w:val="000E29A0"/>
    <w:rsid w:val="000E2FBF"/>
    <w:rsid w:val="000E31A2"/>
    <w:rsid w:val="000E3225"/>
    <w:rsid w:val="000E3584"/>
    <w:rsid w:val="000E45B3"/>
    <w:rsid w:val="000E4AD5"/>
    <w:rsid w:val="000E5573"/>
    <w:rsid w:val="000E5B38"/>
    <w:rsid w:val="000E6BC3"/>
    <w:rsid w:val="000E6CC7"/>
    <w:rsid w:val="000E6D1A"/>
    <w:rsid w:val="000E6DA1"/>
    <w:rsid w:val="000E7DD3"/>
    <w:rsid w:val="000F0013"/>
    <w:rsid w:val="000F04EF"/>
    <w:rsid w:val="000F1101"/>
    <w:rsid w:val="000F11F4"/>
    <w:rsid w:val="000F1289"/>
    <w:rsid w:val="000F14F0"/>
    <w:rsid w:val="000F151B"/>
    <w:rsid w:val="000F183D"/>
    <w:rsid w:val="000F1A5E"/>
    <w:rsid w:val="000F1B10"/>
    <w:rsid w:val="000F1FC1"/>
    <w:rsid w:val="000F2370"/>
    <w:rsid w:val="000F2E53"/>
    <w:rsid w:val="000F3426"/>
    <w:rsid w:val="000F3658"/>
    <w:rsid w:val="000F36E2"/>
    <w:rsid w:val="000F37D1"/>
    <w:rsid w:val="000F466C"/>
    <w:rsid w:val="000F479D"/>
    <w:rsid w:val="000F480C"/>
    <w:rsid w:val="000F4837"/>
    <w:rsid w:val="000F4A29"/>
    <w:rsid w:val="000F4A2D"/>
    <w:rsid w:val="000F4C4F"/>
    <w:rsid w:val="000F531A"/>
    <w:rsid w:val="000F54A4"/>
    <w:rsid w:val="000F5AAF"/>
    <w:rsid w:val="000F5C9E"/>
    <w:rsid w:val="000F60EC"/>
    <w:rsid w:val="000F60FA"/>
    <w:rsid w:val="000F63A6"/>
    <w:rsid w:val="000F6744"/>
    <w:rsid w:val="000F6A42"/>
    <w:rsid w:val="000F6E55"/>
    <w:rsid w:val="000F6FF0"/>
    <w:rsid w:val="000F73C0"/>
    <w:rsid w:val="000F7690"/>
    <w:rsid w:val="000F7BB9"/>
    <w:rsid w:val="000F7E0B"/>
    <w:rsid w:val="00100757"/>
    <w:rsid w:val="0010104D"/>
    <w:rsid w:val="001011C8"/>
    <w:rsid w:val="001015D8"/>
    <w:rsid w:val="00101F9E"/>
    <w:rsid w:val="0010225D"/>
    <w:rsid w:val="0010226F"/>
    <w:rsid w:val="00102645"/>
    <w:rsid w:val="00102989"/>
    <w:rsid w:val="001032B8"/>
    <w:rsid w:val="00103A71"/>
    <w:rsid w:val="00103BD3"/>
    <w:rsid w:val="00103C6F"/>
    <w:rsid w:val="00103D92"/>
    <w:rsid w:val="00103D97"/>
    <w:rsid w:val="001041AB"/>
    <w:rsid w:val="00104439"/>
    <w:rsid w:val="001047B0"/>
    <w:rsid w:val="00104B87"/>
    <w:rsid w:val="00104C43"/>
    <w:rsid w:val="00104C4A"/>
    <w:rsid w:val="00104D96"/>
    <w:rsid w:val="001056AA"/>
    <w:rsid w:val="0010686D"/>
    <w:rsid w:val="00106AA2"/>
    <w:rsid w:val="00106D82"/>
    <w:rsid w:val="00107B83"/>
    <w:rsid w:val="00107C4A"/>
    <w:rsid w:val="00107E45"/>
    <w:rsid w:val="001100EC"/>
    <w:rsid w:val="0011095F"/>
    <w:rsid w:val="00110D78"/>
    <w:rsid w:val="00110E00"/>
    <w:rsid w:val="001126D9"/>
    <w:rsid w:val="001137A2"/>
    <w:rsid w:val="00113D21"/>
    <w:rsid w:val="00113F19"/>
    <w:rsid w:val="00114009"/>
    <w:rsid w:val="0011431B"/>
    <w:rsid w:val="0011456D"/>
    <w:rsid w:val="0011469A"/>
    <w:rsid w:val="00114A57"/>
    <w:rsid w:val="00114EED"/>
    <w:rsid w:val="001154A2"/>
    <w:rsid w:val="00116391"/>
    <w:rsid w:val="001166FA"/>
    <w:rsid w:val="0011691A"/>
    <w:rsid w:val="00116BC9"/>
    <w:rsid w:val="00116E7F"/>
    <w:rsid w:val="00117DF2"/>
    <w:rsid w:val="001203EE"/>
    <w:rsid w:val="0012079B"/>
    <w:rsid w:val="00120969"/>
    <w:rsid w:val="00120BF6"/>
    <w:rsid w:val="00120C16"/>
    <w:rsid w:val="001215AE"/>
    <w:rsid w:val="0012163A"/>
    <w:rsid w:val="00121719"/>
    <w:rsid w:val="00121A26"/>
    <w:rsid w:val="00121B87"/>
    <w:rsid w:val="001228B7"/>
    <w:rsid w:val="00122E08"/>
    <w:rsid w:val="00123989"/>
    <w:rsid w:val="00124C86"/>
    <w:rsid w:val="00125030"/>
    <w:rsid w:val="00125382"/>
    <w:rsid w:val="00125422"/>
    <w:rsid w:val="0012546D"/>
    <w:rsid w:val="001254E4"/>
    <w:rsid w:val="00125693"/>
    <w:rsid w:val="001256E1"/>
    <w:rsid w:val="00125946"/>
    <w:rsid w:val="00125D9D"/>
    <w:rsid w:val="00125F2E"/>
    <w:rsid w:val="00126343"/>
    <w:rsid w:val="0012641F"/>
    <w:rsid w:val="00126457"/>
    <w:rsid w:val="0012658A"/>
    <w:rsid w:val="00126FFD"/>
    <w:rsid w:val="001278D1"/>
    <w:rsid w:val="00127C3A"/>
    <w:rsid w:val="00130BA4"/>
    <w:rsid w:val="001315CE"/>
    <w:rsid w:val="001316DB"/>
    <w:rsid w:val="00131E25"/>
    <w:rsid w:val="00132373"/>
    <w:rsid w:val="0013258D"/>
    <w:rsid w:val="00132AA1"/>
    <w:rsid w:val="00132C08"/>
    <w:rsid w:val="0013305F"/>
    <w:rsid w:val="00133DDC"/>
    <w:rsid w:val="00133E13"/>
    <w:rsid w:val="00133E94"/>
    <w:rsid w:val="00134391"/>
    <w:rsid w:val="001347FC"/>
    <w:rsid w:val="00134EC4"/>
    <w:rsid w:val="00134F27"/>
    <w:rsid w:val="00135166"/>
    <w:rsid w:val="00135834"/>
    <w:rsid w:val="00135844"/>
    <w:rsid w:val="00135929"/>
    <w:rsid w:val="00135A7D"/>
    <w:rsid w:val="00135FFA"/>
    <w:rsid w:val="001370D4"/>
    <w:rsid w:val="00137F04"/>
    <w:rsid w:val="00140867"/>
    <w:rsid w:val="001419E7"/>
    <w:rsid w:val="00141F9A"/>
    <w:rsid w:val="00142198"/>
    <w:rsid w:val="001423D5"/>
    <w:rsid w:val="00142436"/>
    <w:rsid w:val="001424BC"/>
    <w:rsid w:val="00142758"/>
    <w:rsid w:val="0014277D"/>
    <w:rsid w:val="00143813"/>
    <w:rsid w:val="00143DCB"/>
    <w:rsid w:val="00143E6D"/>
    <w:rsid w:val="00144724"/>
    <w:rsid w:val="00144A2F"/>
    <w:rsid w:val="00144A4B"/>
    <w:rsid w:val="00144C59"/>
    <w:rsid w:val="00144D9D"/>
    <w:rsid w:val="00144F6E"/>
    <w:rsid w:val="00144F94"/>
    <w:rsid w:val="0014513D"/>
    <w:rsid w:val="001454EB"/>
    <w:rsid w:val="001461FD"/>
    <w:rsid w:val="00146C89"/>
    <w:rsid w:val="00147121"/>
    <w:rsid w:val="00147562"/>
    <w:rsid w:val="00147802"/>
    <w:rsid w:val="00147869"/>
    <w:rsid w:val="00147A82"/>
    <w:rsid w:val="00147BA3"/>
    <w:rsid w:val="00147C7C"/>
    <w:rsid w:val="00150254"/>
    <w:rsid w:val="001504E2"/>
    <w:rsid w:val="001506F7"/>
    <w:rsid w:val="001509DE"/>
    <w:rsid w:val="00150FCE"/>
    <w:rsid w:val="001511FD"/>
    <w:rsid w:val="00151717"/>
    <w:rsid w:val="001518CC"/>
    <w:rsid w:val="00152267"/>
    <w:rsid w:val="001525E5"/>
    <w:rsid w:val="00153C13"/>
    <w:rsid w:val="00154276"/>
    <w:rsid w:val="001543FC"/>
    <w:rsid w:val="0015496A"/>
    <w:rsid w:val="00155092"/>
    <w:rsid w:val="00155389"/>
    <w:rsid w:val="001556C6"/>
    <w:rsid w:val="00155BFA"/>
    <w:rsid w:val="00155C6E"/>
    <w:rsid w:val="0015663F"/>
    <w:rsid w:val="00156976"/>
    <w:rsid w:val="00156C2C"/>
    <w:rsid w:val="001570DB"/>
    <w:rsid w:val="0015710B"/>
    <w:rsid w:val="0015713B"/>
    <w:rsid w:val="0016057D"/>
    <w:rsid w:val="00160590"/>
    <w:rsid w:val="0016079D"/>
    <w:rsid w:val="00160AFC"/>
    <w:rsid w:val="00160BA9"/>
    <w:rsid w:val="00161179"/>
    <w:rsid w:val="00162572"/>
    <w:rsid w:val="0016298D"/>
    <w:rsid w:val="001629E4"/>
    <w:rsid w:val="00163133"/>
    <w:rsid w:val="001633B1"/>
    <w:rsid w:val="001635DD"/>
    <w:rsid w:val="001641E3"/>
    <w:rsid w:val="00164229"/>
    <w:rsid w:val="00164917"/>
    <w:rsid w:val="00164C26"/>
    <w:rsid w:val="00165138"/>
    <w:rsid w:val="00165910"/>
    <w:rsid w:val="00165F55"/>
    <w:rsid w:val="00166266"/>
    <w:rsid w:val="00166564"/>
    <w:rsid w:val="001665CE"/>
    <w:rsid w:val="0016687B"/>
    <w:rsid w:val="00166A61"/>
    <w:rsid w:val="00167DE8"/>
    <w:rsid w:val="00170430"/>
    <w:rsid w:val="001706C2"/>
    <w:rsid w:val="00170B25"/>
    <w:rsid w:val="00170DA0"/>
    <w:rsid w:val="0017101F"/>
    <w:rsid w:val="0017111F"/>
    <w:rsid w:val="00171699"/>
    <w:rsid w:val="001716FE"/>
    <w:rsid w:val="00171C1C"/>
    <w:rsid w:val="001724D5"/>
    <w:rsid w:val="001728DA"/>
    <w:rsid w:val="00172940"/>
    <w:rsid w:val="00173657"/>
    <w:rsid w:val="00173B48"/>
    <w:rsid w:val="00173D88"/>
    <w:rsid w:val="00173E66"/>
    <w:rsid w:val="001744DA"/>
    <w:rsid w:val="0017476D"/>
    <w:rsid w:val="00174E77"/>
    <w:rsid w:val="00175808"/>
    <w:rsid w:val="00175D52"/>
    <w:rsid w:val="00175DD3"/>
    <w:rsid w:val="00175F3B"/>
    <w:rsid w:val="00177133"/>
    <w:rsid w:val="001772C8"/>
    <w:rsid w:val="0017772A"/>
    <w:rsid w:val="00177736"/>
    <w:rsid w:val="001779E1"/>
    <w:rsid w:val="00177D90"/>
    <w:rsid w:val="0018016F"/>
    <w:rsid w:val="001809B4"/>
    <w:rsid w:val="00180A7E"/>
    <w:rsid w:val="00180CF7"/>
    <w:rsid w:val="00180E97"/>
    <w:rsid w:val="00180F07"/>
    <w:rsid w:val="00181700"/>
    <w:rsid w:val="001822BD"/>
    <w:rsid w:val="0018244B"/>
    <w:rsid w:val="00182E8C"/>
    <w:rsid w:val="00183391"/>
    <w:rsid w:val="00183EAE"/>
    <w:rsid w:val="0018465B"/>
    <w:rsid w:val="00184DA4"/>
    <w:rsid w:val="00184DB0"/>
    <w:rsid w:val="00184DDB"/>
    <w:rsid w:val="00184FE5"/>
    <w:rsid w:val="00185580"/>
    <w:rsid w:val="001859A3"/>
    <w:rsid w:val="00185BA1"/>
    <w:rsid w:val="00185D8A"/>
    <w:rsid w:val="001863D8"/>
    <w:rsid w:val="00186B45"/>
    <w:rsid w:val="00187545"/>
    <w:rsid w:val="0018763B"/>
    <w:rsid w:val="0019030E"/>
    <w:rsid w:val="001905F8"/>
    <w:rsid w:val="00190AD8"/>
    <w:rsid w:val="00190B8A"/>
    <w:rsid w:val="00190DD4"/>
    <w:rsid w:val="00190F0A"/>
    <w:rsid w:val="00190F87"/>
    <w:rsid w:val="0019171E"/>
    <w:rsid w:val="0019296C"/>
    <w:rsid w:val="00193036"/>
    <w:rsid w:val="0019322D"/>
    <w:rsid w:val="001933A5"/>
    <w:rsid w:val="001938B4"/>
    <w:rsid w:val="00194031"/>
    <w:rsid w:val="00194374"/>
    <w:rsid w:val="00194611"/>
    <w:rsid w:val="001957DC"/>
    <w:rsid w:val="00195E28"/>
    <w:rsid w:val="00195F7D"/>
    <w:rsid w:val="001961DD"/>
    <w:rsid w:val="00196452"/>
    <w:rsid w:val="001964C2"/>
    <w:rsid w:val="001969B1"/>
    <w:rsid w:val="001969BD"/>
    <w:rsid w:val="00196B2C"/>
    <w:rsid w:val="001970A3"/>
    <w:rsid w:val="00197502"/>
    <w:rsid w:val="001975E7"/>
    <w:rsid w:val="0019763A"/>
    <w:rsid w:val="001978E0"/>
    <w:rsid w:val="001A09D4"/>
    <w:rsid w:val="001A1397"/>
    <w:rsid w:val="001A1DAF"/>
    <w:rsid w:val="001A2181"/>
    <w:rsid w:val="001A2259"/>
    <w:rsid w:val="001A23DF"/>
    <w:rsid w:val="001A24B4"/>
    <w:rsid w:val="001A3575"/>
    <w:rsid w:val="001A36DF"/>
    <w:rsid w:val="001A372E"/>
    <w:rsid w:val="001A3DC9"/>
    <w:rsid w:val="001A50C8"/>
    <w:rsid w:val="001A524A"/>
    <w:rsid w:val="001A5DE4"/>
    <w:rsid w:val="001A6352"/>
    <w:rsid w:val="001A67CF"/>
    <w:rsid w:val="001A68B5"/>
    <w:rsid w:val="001A7311"/>
    <w:rsid w:val="001A78E1"/>
    <w:rsid w:val="001A7A78"/>
    <w:rsid w:val="001A7D7C"/>
    <w:rsid w:val="001B0245"/>
    <w:rsid w:val="001B06DF"/>
    <w:rsid w:val="001B0FB1"/>
    <w:rsid w:val="001B11FF"/>
    <w:rsid w:val="001B1597"/>
    <w:rsid w:val="001B1FDC"/>
    <w:rsid w:val="001B266D"/>
    <w:rsid w:val="001B2A6A"/>
    <w:rsid w:val="001B2E00"/>
    <w:rsid w:val="001B3183"/>
    <w:rsid w:val="001B3516"/>
    <w:rsid w:val="001B4069"/>
    <w:rsid w:val="001B48DB"/>
    <w:rsid w:val="001B5339"/>
    <w:rsid w:val="001B56A0"/>
    <w:rsid w:val="001B5BE4"/>
    <w:rsid w:val="001B658F"/>
    <w:rsid w:val="001B6590"/>
    <w:rsid w:val="001B71DB"/>
    <w:rsid w:val="001B76D0"/>
    <w:rsid w:val="001C039B"/>
    <w:rsid w:val="001C0520"/>
    <w:rsid w:val="001C0877"/>
    <w:rsid w:val="001C1340"/>
    <w:rsid w:val="001C16A9"/>
    <w:rsid w:val="001C176E"/>
    <w:rsid w:val="001C1FB8"/>
    <w:rsid w:val="001C2100"/>
    <w:rsid w:val="001C274E"/>
    <w:rsid w:val="001C2AF3"/>
    <w:rsid w:val="001C3380"/>
    <w:rsid w:val="001C3552"/>
    <w:rsid w:val="001C3B46"/>
    <w:rsid w:val="001C4286"/>
    <w:rsid w:val="001C42FA"/>
    <w:rsid w:val="001C447E"/>
    <w:rsid w:val="001C449D"/>
    <w:rsid w:val="001C44E5"/>
    <w:rsid w:val="001C490E"/>
    <w:rsid w:val="001C4E65"/>
    <w:rsid w:val="001C5800"/>
    <w:rsid w:val="001C697D"/>
    <w:rsid w:val="001C6AD2"/>
    <w:rsid w:val="001C6E2D"/>
    <w:rsid w:val="001C71E8"/>
    <w:rsid w:val="001C724E"/>
    <w:rsid w:val="001C75A6"/>
    <w:rsid w:val="001C7F48"/>
    <w:rsid w:val="001D0170"/>
    <w:rsid w:val="001D0472"/>
    <w:rsid w:val="001D063C"/>
    <w:rsid w:val="001D099A"/>
    <w:rsid w:val="001D09ED"/>
    <w:rsid w:val="001D0A75"/>
    <w:rsid w:val="001D0D7F"/>
    <w:rsid w:val="001D10A1"/>
    <w:rsid w:val="001D15A5"/>
    <w:rsid w:val="001D1D8F"/>
    <w:rsid w:val="001D2658"/>
    <w:rsid w:val="001D2EFF"/>
    <w:rsid w:val="001D35FF"/>
    <w:rsid w:val="001D4BC9"/>
    <w:rsid w:val="001D56E7"/>
    <w:rsid w:val="001D59A5"/>
    <w:rsid w:val="001D5ABE"/>
    <w:rsid w:val="001D5AE1"/>
    <w:rsid w:val="001D68BB"/>
    <w:rsid w:val="001D6A68"/>
    <w:rsid w:val="001D6DBA"/>
    <w:rsid w:val="001D6E65"/>
    <w:rsid w:val="001D7DE5"/>
    <w:rsid w:val="001D7F60"/>
    <w:rsid w:val="001E04A9"/>
    <w:rsid w:val="001E05CA"/>
    <w:rsid w:val="001E0B99"/>
    <w:rsid w:val="001E0C5A"/>
    <w:rsid w:val="001E15B7"/>
    <w:rsid w:val="001E2013"/>
    <w:rsid w:val="001E203B"/>
    <w:rsid w:val="001E243D"/>
    <w:rsid w:val="001E2A1B"/>
    <w:rsid w:val="001E2FF8"/>
    <w:rsid w:val="001E305A"/>
    <w:rsid w:val="001E3182"/>
    <w:rsid w:val="001E31BB"/>
    <w:rsid w:val="001E323E"/>
    <w:rsid w:val="001E33B8"/>
    <w:rsid w:val="001E3565"/>
    <w:rsid w:val="001E361A"/>
    <w:rsid w:val="001E4205"/>
    <w:rsid w:val="001E4355"/>
    <w:rsid w:val="001E43AF"/>
    <w:rsid w:val="001E60D2"/>
    <w:rsid w:val="001E629A"/>
    <w:rsid w:val="001E64A8"/>
    <w:rsid w:val="001E673C"/>
    <w:rsid w:val="001E6781"/>
    <w:rsid w:val="001E6B08"/>
    <w:rsid w:val="001E6DCB"/>
    <w:rsid w:val="001E76B5"/>
    <w:rsid w:val="001E781E"/>
    <w:rsid w:val="001E78C6"/>
    <w:rsid w:val="001E79B4"/>
    <w:rsid w:val="001E7AD1"/>
    <w:rsid w:val="001E7BD7"/>
    <w:rsid w:val="001E7D16"/>
    <w:rsid w:val="001F07BB"/>
    <w:rsid w:val="001F0A6B"/>
    <w:rsid w:val="001F122B"/>
    <w:rsid w:val="001F20A7"/>
    <w:rsid w:val="001F21E3"/>
    <w:rsid w:val="001F29E4"/>
    <w:rsid w:val="001F2F0D"/>
    <w:rsid w:val="001F3120"/>
    <w:rsid w:val="001F3166"/>
    <w:rsid w:val="001F3218"/>
    <w:rsid w:val="001F3BF1"/>
    <w:rsid w:val="001F3CEB"/>
    <w:rsid w:val="001F4DB3"/>
    <w:rsid w:val="001F4E8A"/>
    <w:rsid w:val="001F511E"/>
    <w:rsid w:val="001F6996"/>
    <w:rsid w:val="001F6A84"/>
    <w:rsid w:val="001F6FC9"/>
    <w:rsid w:val="001F7885"/>
    <w:rsid w:val="001F7DE8"/>
    <w:rsid w:val="002008B6"/>
    <w:rsid w:val="0020150B"/>
    <w:rsid w:val="00201A0F"/>
    <w:rsid w:val="00202B20"/>
    <w:rsid w:val="00202CA1"/>
    <w:rsid w:val="00203845"/>
    <w:rsid w:val="00203D80"/>
    <w:rsid w:val="00203EFE"/>
    <w:rsid w:val="00203FA6"/>
    <w:rsid w:val="00204248"/>
    <w:rsid w:val="00204358"/>
    <w:rsid w:val="002047D2"/>
    <w:rsid w:val="00204E4E"/>
    <w:rsid w:val="00205AEA"/>
    <w:rsid w:val="00205EA5"/>
    <w:rsid w:val="00206815"/>
    <w:rsid w:val="0020685B"/>
    <w:rsid w:val="002068EE"/>
    <w:rsid w:val="00206B4E"/>
    <w:rsid w:val="00206D4F"/>
    <w:rsid w:val="00207B97"/>
    <w:rsid w:val="00207CBD"/>
    <w:rsid w:val="00207F3E"/>
    <w:rsid w:val="00210120"/>
    <w:rsid w:val="0021035F"/>
    <w:rsid w:val="002105CD"/>
    <w:rsid w:val="00210733"/>
    <w:rsid w:val="00210A28"/>
    <w:rsid w:val="00210C5F"/>
    <w:rsid w:val="00210DCA"/>
    <w:rsid w:val="002117E8"/>
    <w:rsid w:val="00211B3F"/>
    <w:rsid w:val="00211FD3"/>
    <w:rsid w:val="00212011"/>
    <w:rsid w:val="0021217F"/>
    <w:rsid w:val="00212D64"/>
    <w:rsid w:val="002142EA"/>
    <w:rsid w:val="00215180"/>
    <w:rsid w:val="00215990"/>
    <w:rsid w:val="00215CE0"/>
    <w:rsid w:val="00215DBE"/>
    <w:rsid w:val="002163C8"/>
    <w:rsid w:val="0021649D"/>
    <w:rsid w:val="002167B6"/>
    <w:rsid w:val="00216A0A"/>
    <w:rsid w:val="00216A76"/>
    <w:rsid w:val="00216F2E"/>
    <w:rsid w:val="002171B0"/>
    <w:rsid w:val="002204AD"/>
    <w:rsid w:val="00220674"/>
    <w:rsid w:val="00220CB1"/>
    <w:rsid w:val="00220D17"/>
    <w:rsid w:val="0022194A"/>
    <w:rsid w:val="002219D3"/>
    <w:rsid w:val="00221D06"/>
    <w:rsid w:val="00222337"/>
    <w:rsid w:val="00222782"/>
    <w:rsid w:val="00222B2A"/>
    <w:rsid w:val="00223313"/>
    <w:rsid w:val="00223C33"/>
    <w:rsid w:val="00223D5B"/>
    <w:rsid w:val="002245C5"/>
    <w:rsid w:val="00224C0A"/>
    <w:rsid w:val="00226397"/>
    <w:rsid w:val="00226B29"/>
    <w:rsid w:val="00227143"/>
    <w:rsid w:val="0022722A"/>
    <w:rsid w:val="00227263"/>
    <w:rsid w:val="002279BC"/>
    <w:rsid w:val="00227EF5"/>
    <w:rsid w:val="00230204"/>
    <w:rsid w:val="00230D4C"/>
    <w:rsid w:val="00230EF7"/>
    <w:rsid w:val="0023128C"/>
    <w:rsid w:val="002313A4"/>
    <w:rsid w:val="002318E6"/>
    <w:rsid w:val="0023216C"/>
    <w:rsid w:val="00232403"/>
    <w:rsid w:val="00232647"/>
    <w:rsid w:val="002327A7"/>
    <w:rsid w:val="00232ABB"/>
    <w:rsid w:val="00232CB0"/>
    <w:rsid w:val="00232CF3"/>
    <w:rsid w:val="00232DA9"/>
    <w:rsid w:val="0023315E"/>
    <w:rsid w:val="00233C4E"/>
    <w:rsid w:val="00234354"/>
    <w:rsid w:val="0023480A"/>
    <w:rsid w:val="0023488E"/>
    <w:rsid w:val="00234D40"/>
    <w:rsid w:val="0023523F"/>
    <w:rsid w:val="00235308"/>
    <w:rsid w:val="00235B24"/>
    <w:rsid w:val="00235B95"/>
    <w:rsid w:val="00235E44"/>
    <w:rsid w:val="00236794"/>
    <w:rsid w:val="002369A2"/>
    <w:rsid w:val="00236A06"/>
    <w:rsid w:val="00236A6C"/>
    <w:rsid w:val="00236D9A"/>
    <w:rsid w:val="002372B0"/>
    <w:rsid w:val="002374DD"/>
    <w:rsid w:val="00237672"/>
    <w:rsid w:val="002377BE"/>
    <w:rsid w:val="00237900"/>
    <w:rsid w:val="00237928"/>
    <w:rsid w:val="00237E91"/>
    <w:rsid w:val="00237E96"/>
    <w:rsid w:val="002407BA"/>
    <w:rsid w:val="00240931"/>
    <w:rsid w:val="00241096"/>
    <w:rsid w:val="00241373"/>
    <w:rsid w:val="00241F60"/>
    <w:rsid w:val="00241FAF"/>
    <w:rsid w:val="0024233D"/>
    <w:rsid w:val="002425F9"/>
    <w:rsid w:val="002428A4"/>
    <w:rsid w:val="00242CD9"/>
    <w:rsid w:val="00242E5F"/>
    <w:rsid w:val="00243A18"/>
    <w:rsid w:val="002444FA"/>
    <w:rsid w:val="002445BF"/>
    <w:rsid w:val="00244A35"/>
    <w:rsid w:val="00244CC6"/>
    <w:rsid w:val="002459C4"/>
    <w:rsid w:val="00245A41"/>
    <w:rsid w:val="00245B5A"/>
    <w:rsid w:val="00245E81"/>
    <w:rsid w:val="00246021"/>
    <w:rsid w:val="00246994"/>
    <w:rsid w:val="00246CCA"/>
    <w:rsid w:val="002470EE"/>
    <w:rsid w:val="00247281"/>
    <w:rsid w:val="002475A3"/>
    <w:rsid w:val="00247820"/>
    <w:rsid w:val="00247C6F"/>
    <w:rsid w:val="00247F6A"/>
    <w:rsid w:val="00247FDF"/>
    <w:rsid w:val="00250426"/>
    <w:rsid w:val="00250473"/>
    <w:rsid w:val="00251088"/>
    <w:rsid w:val="00251610"/>
    <w:rsid w:val="00251DB6"/>
    <w:rsid w:val="002521D7"/>
    <w:rsid w:val="002522C3"/>
    <w:rsid w:val="002524FB"/>
    <w:rsid w:val="00252546"/>
    <w:rsid w:val="00252A72"/>
    <w:rsid w:val="00252B13"/>
    <w:rsid w:val="00252F36"/>
    <w:rsid w:val="00252F94"/>
    <w:rsid w:val="002536AA"/>
    <w:rsid w:val="002537DD"/>
    <w:rsid w:val="00254074"/>
    <w:rsid w:val="002543A1"/>
    <w:rsid w:val="0025549A"/>
    <w:rsid w:val="00255553"/>
    <w:rsid w:val="00255644"/>
    <w:rsid w:val="00255AD4"/>
    <w:rsid w:val="0025619E"/>
    <w:rsid w:val="00256A14"/>
    <w:rsid w:val="00256CEC"/>
    <w:rsid w:val="00256DB2"/>
    <w:rsid w:val="00256DD3"/>
    <w:rsid w:val="00257101"/>
    <w:rsid w:val="00257160"/>
    <w:rsid w:val="0025767C"/>
    <w:rsid w:val="00257923"/>
    <w:rsid w:val="00257DA1"/>
    <w:rsid w:val="00257DDC"/>
    <w:rsid w:val="00257FD9"/>
    <w:rsid w:val="00260B8E"/>
    <w:rsid w:val="002615AB"/>
    <w:rsid w:val="00261B11"/>
    <w:rsid w:val="0026205A"/>
    <w:rsid w:val="0026276D"/>
    <w:rsid w:val="002632AA"/>
    <w:rsid w:val="002632EC"/>
    <w:rsid w:val="002632FF"/>
    <w:rsid w:val="00263394"/>
    <w:rsid w:val="00263A27"/>
    <w:rsid w:val="00263F31"/>
    <w:rsid w:val="00264038"/>
    <w:rsid w:val="002644EE"/>
    <w:rsid w:val="00264B8F"/>
    <w:rsid w:val="00264C35"/>
    <w:rsid w:val="00264CF4"/>
    <w:rsid w:val="00264E18"/>
    <w:rsid w:val="00265382"/>
    <w:rsid w:val="002664E2"/>
    <w:rsid w:val="002667F9"/>
    <w:rsid w:val="002669A2"/>
    <w:rsid w:val="00266DE6"/>
    <w:rsid w:val="00267361"/>
    <w:rsid w:val="002679FC"/>
    <w:rsid w:val="00267E2A"/>
    <w:rsid w:val="00270DF4"/>
    <w:rsid w:val="0027101D"/>
    <w:rsid w:val="00271089"/>
    <w:rsid w:val="002716BB"/>
    <w:rsid w:val="00271B7D"/>
    <w:rsid w:val="002722C2"/>
    <w:rsid w:val="00272368"/>
    <w:rsid w:val="002723F7"/>
    <w:rsid w:val="00272BB6"/>
    <w:rsid w:val="00272C62"/>
    <w:rsid w:val="0027323A"/>
    <w:rsid w:val="00273B95"/>
    <w:rsid w:val="00274463"/>
    <w:rsid w:val="0027501C"/>
    <w:rsid w:val="002765ED"/>
    <w:rsid w:val="00276868"/>
    <w:rsid w:val="00276FF1"/>
    <w:rsid w:val="00277BA3"/>
    <w:rsid w:val="00280131"/>
    <w:rsid w:val="002803B4"/>
    <w:rsid w:val="0028068C"/>
    <w:rsid w:val="002814C2"/>
    <w:rsid w:val="00281A08"/>
    <w:rsid w:val="00281ABD"/>
    <w:rsid w:val="00281E38"/>
    <w:rsid w:val="002825C3"/>
    <w:rsid w:val="00282D54"/>
    <w:rsid w:val="0028399B"/>
    <w:rsid w:val="0028411C"/>
    <w:rsid w:val="002841E4"/>
    <w:rsid w:val="00284E5F"/>
    <w:rsid w:val="0028554E"/>
    <w:rsid w:val="002856E7"/>
    <w:rsid w:val="00285878"/>
    <w:rsid w:val="00285A76"/>
    <w:rsid w:val="00285F30"/>
    <w:rsid w:val="00286115"/>
    <w:rsid w:val="00286409"/>
    <w:rsid w:val="0028650E"/>
    <w:rsid w:val="00286538"/>
    <w:rsid w:val="00286923"/>
    <w:rsid w:val="00286F3F"/>
    <w:rsid w:val="00287144"/>
    <w:rsid w:val="002877B9"/>
    <w:rsid w:val="00287EE1"/>
    <w:rsid w:val="0029074A"/>
    <w:rsid w:val="002907F1"/>
    <w:rsid w:val="002913B8"/>
    <w:rsid w:val="002917A2"/>
    <w:rsid w:val="002918CC"/>
    <w:rsid w:val="002920DE"/>
    <w:rsid w:val="002926D2"/>
    <w:rsid w:val="00292C67"/>
    <w:rsid w:val="00292D1C"/>
    <w:rsid w:val="00292D22"/>
    <w:rsid w:val="002933E4"/>
    <w:rsid w:val="00293715"/>
    <w:rsid w:val="00293C4D"/>
    <w:rsid w:val="00293F2D"/>
    <w:rsid w:val="00294895"/>
    <w:rsid w:val="00295F0B"/>
    <w:rsid w:val="00295F5B"/>
    <w:rsid w:val="00296505"/>
    <w:rsid w:val="00296542"/>
    <w:rsid w:val="00296A99"/>
    <w:rsid w:val="0029745D"/>
    <w:rsid w:val="002975C4"/>
    <w:rsid w:val="002977D6"/>
    <w:rsid w:val="00297B6F"/>
    <w:rsid w:val="002A0B8B"/>
    <w:rsid w:val="002A0FC8"/>
    <w:rsid w:val="002A13DC"/>
    <w:rsid w:val="002A14ED"/>
    <w:rsid w:val="002A1749"/>
    <w:rsid w:val="002A1757"/>
    <w:rsid w:val="002A21E0"/>
    <w:rsid w:val="002A220A"/>
    <w:rsid w:val="002A23A9"/>
    <w:rsid w:val="002A2778"/>
    <w:rsid w:val="002A29DF"/>
    <w:rsid w:val="002A2A1A"/>
    <w:rsid w:val="002A2C93"/>
    <w:rsid w:val="002A30FF"/>
    <w:rsid w:val="002A3441"/>
    <w:rsid w:val="002A3AF5"/>
    <w:rsid w:val="002A3E8D"/>
    <w:rsid w:val="002A4144"/>
    <w:rsid w:val="002A41CE"/>
    <w:rsid w:val="002A4815"/>
    <w:rsid w:val="002A4AA8"/>
    <w:rsid w:val="002A4E70"/>
    <w:rsid w:val="002A509B"/>
    <w:rsid w:val="002A5173"/>
    <w:rsid w:val="002A52B6"/>
    <w:rsid w:val="002A54BF"/>
    <w:rsid w:val="002A60CC"/>
    <w:rsid w:val="002A626A"/>
    <w:rsid w:val="002A6378"/>
    <w:rsid w:val="002A64CD"/>
    <w:rsid w:val="002A65B1"/>
    <w:rsid w:val="002A66BF"/>
    <w:rsid w:val="002A6BA2"/>
    <w:rsid w:val="002A6F97"/>
    <w:rsid w:val="002A7046"/>
    <w:rsid w:val="002A79B9"/>
    <w:rsid w:val="002A7E91"/>
    <w:rsid w:val="002A7FF5"/>
    <w:rsid w:val="002B01AE"/>
    <w:rsid w:val="002B03CD"/>
    <w:rsid w:val="002B0A6D"/>
    <w:rsid w:val="002B0AD1"/>
    <w:rsid w:val="002B1E9D"/>
    <w:rsid w:val="002B1F45"/>
    <w:rsid w:val="002B22F2"/>
    <w:rsid w:val="002B2D9A"/>
    <w:rsid w:val="002B30FD"/>
    <w:rsid w:val="002B3358"/>
    <w:rsid w:val="002B3D02"/>
    <w:rsid w:val="002B3EAD"/>
    <w:rsid w:val="002B47B2"/>
    <w:rsid w:val="002B515E"/>
    <w:rsid w:val="002B540E"/>
    <w:rsid w:val="002B55F1"/>
    <w:rsid w:val="002B5A9B"/>
    <w:rsid w:val="002B61D6"/>
    <w:rsid w:val="002B69E6"/>
    <w:rsid w:val="002B6BA5"/>
    <w:rsid w:val="002B6E41"/>
    <w:rsid w:val="002B700C"/>
    <w:rsid w:val="002B71F8"/>
    <w:rsid w:val="002B7317"/>
    <w:rsid w:val="002B7441"/>
    <w:rsid w:val="002B7DD5"/>
    <w:rsid w:val="002C0855"/>
    <w:rsid w:val="002C08DA"/>
    <w:rsid w:val="002C16BE"/>
    <w:rsid w:val="002C1B20"/>
    <w:rsid w:val="002C1D60"/>
    <w:rsid w:val="002C1F4D"/>
    <w:rsid w:val="002C23F7"/>
    <w:rsid w:val="002C2622"/>
    <w:rsid w:val="002C26C1"/>
    <w:rsid w:val="002C2AC4"/>
    <w:rsid w:val="002C2FB3"/>
    <w:rsid w:val="002C49DE"/>
    <w:rsid w:val="002C4AB5"/>
    <w:rsid w:val="002C506C"/>
    <w:rsid w:val="002C50E4"/>
    <w:rsid w:val="002C55C1"/>
    <w:rsid w:val="002C5783"/>
    <w:rsid w:val="002C5D80"/>
    <w:rsid w:val="002C5E80"/>
    <w:rsid w:val="002C629C"/>
    <w:rsid w:val="002C652C"/>
    <w:rsid w:val="002C7429"/>
    <w:rsid w:val="002C7C5B"/>
    <w:rsid w:val="002D0D91"/>
    <w:rsid w:val="002D0E01"/>
    <w:rsid w:val="002D1126"/>
    <w:rsid w:val="002D2473"/>
    <w:rsid w:val="002D2529"/>
    <w:rsid w:val="002D2D1E"/>
    <w:rsid w:val="002D3816"/>
    <w:rsid w:val="002D381B"/>
    <w:rsid w:val="002D3F2D"/>
    <w:rsid w:val="002D4ABA"/>
    <w:rsid w:val="002D4E2C"/>
    <w:rsid w:val="002D4E39"/>
    <w:rsid w:val="002D4FBB"/>
    <w:rsid w:val="002D5AAD"/>
    <w:rsid w:val="002D68B8"/>
    <w:rsid w:val="002D6E23"/>
    <w:rsid w:val="002D7B4A"/>
    <w:rsid w:val="002D7D7A"/>
    <w:rsid w:val="002E025A"/>
    <w:rsid w:val="002E04E1"/>
    <w:rsid w:val="002E0710"/>
    <w:rsid w:val="002E08C5"/>
    <w:rsid w:val="002E095B"/>
    <w:rsid w:val="002E0A3B"/>
    <w:rsid w:val="002E0B17"/>
    <w:rsid w:val="002E1009"/>
    <w:rsid w:val="002E1299"/>
    <w:rsid w:val="002E1936"/>
    <w:rsid w:val="002E1978"/>
    <w:rsid w:val="002E20BB"/>
    <w:rsid w:val="002E20BE"/>
    <w:rsid w:val="002E22B7"/>
    <w:rsid w:val="002E275F"/>
    <w:rsid w:val="002E276B"/>
    <w:rsid w:val="002E2B09"/>
    <w:rsid w:val="002E2D6B"/>
    <w:rsid w:val="002E30F2"/>
    <w:rsid w:val="002E33EA"/>
    <w:rsid w:val="002E37C3"/>
    <w:rsid w:val="002E3C3B"/>
    <w:rsid w:val="002E3E79"/>
    <w:rsid w:val="002E472B"/>
    <w:rsid w:val="002E4753"/>
    <w:rsid w:val="002E4ED3"/>
    <w:rsid w:val="002E501F"/>
    <w:rsid w:val="002E57E1"/>
    <w:rsid w:val="002E6072"/>
    <w:rsid w:val="002E62C9"/>
    <w:rsid w:val="002E695B"/>
    <w:rsid w:val="002E6C30"/>
    <w:rsid w:val="002E736A"/>
    <w:rsid w:val="002E738C"/>
    <w:rsid w:val="002E7B17"/>
    <w:rsid w:val="002F0025"/>
    <w:rsid w:val="002F0390"/>
    <w:rsid w:val="002F03B7"/>
    <w:rsid w:val="002F102E"/>
    <w:rsid w:val="002F13A6"/>
    <w:rsid w:val="002F15F2"/>
    <w:rsid w:val="002F1792"/>
    <w:rsid w:val="002F185F"/>
    <w:rsid w:val="002F1E1B"/>
    <w:rsid w:val="002F1E56"/>
    <w:rsid w:val="002F1FCC"/>
    <w:rsid w:val="002F210E"/>
    <w:rsid w:val="002F2249"/>
    <w:rsid w:val="002F249B"/>
    <w:rsid w:val="002F2549"/>
    <w:rsid w:val="002F269A"/>
    <w:rsid w:val="002F26F0"/>
    <w:rsid w:val="002F30FC"/>
    <w:rsid w:val="002F3E4A"/>
    <w:rsid w:val="002F4071"/>
    <w:rsid w:val="002F41F1"/>
    <w:rsid w:val="002F44F0"/>
    <w:rsid w:val="002F4784"/>
    <w:rsid w:val="002F4CB9"/>
    <w:rsid w:val="002F5369"/>
    <w:rsid w:val="002F5583"/>
    <w:rsid w:val="002F5ACC"/>
    <w:rsid w:val="002F5BE8"/>
    <w:rsid w:val="002F617B"/>
    <w:rsid w:val="002F6488"/>
    <w:rsid w:val="002F65B2"/>
    <w:rsid w:val="002F6C53"/>
    <w:rsid w:val="002F6F38"/>
    <w:rsid w:val="002F702F"/>
    <w:rsid w:val="002F7560"/>
    <w:rsid w:val="002F75B2"/>
    <w:rsid w:val="002F7738"/>
    <w:rsid w:val="002F79ED"/>
    <w:rsid w:val="00300263"/>
    <w:rsid w:val="0030074C"/>
    <w:rsid w:val="003013DB"/>
    <w:rsid w:val="00301A4C"/>
    <w:rsid w:val="00301A8C"/>
    <w:rsid w:val="00301EF5"/>
    <w:rsid w:val="0030273E"/>
    <w:rsid w:val="00302A13"/>
    <w:rsid w:val="0030435E"/>
    <w:rsid w:val="00304455"/>
    <w:rsid w:val="003044B3"/>
    <w:rsid w:val="00304910"/>
    <w:rsid w:val="003049C5"/>
    <w:rsid w:val="0030501A"/>
    <w:rsid w:val="0030533E"/>
    <w:rsid w:val="00305445"/>
    <w:rsid w:val="00305AD9"/>
    <w:rsid w:val="00305E64"/>
    <w:rsid w:val="00305F92"/>
    <w:rsid w:val="0030613D"/>
    <w:rsid w:val="00306423"/>
    <w:rsid w:val="00306FB1"/>
    <w:rsid w:val="00307378"/>
    <w:rsid w:val="003076C4"/>
    <w:rsid w:val="00307C37"/>
    <w:rsid w:val="00307F7A"/>
    <w:rsid w:val="003103DE"/>
    <w:rsid w:val="003107F0"/>
    <w:rsid w:val="00310C60"/>
    <w:rsid w:val="00310F62"/>
    <w:rsid w:val="003123E0"/>
    <w:rsid w:val="00312427"/>
    <w:rsid w:val="00312BEA"/>
    <w:rsid w:val="00312E86"/>
    <w:rsid w:val="003139CE"/>
    <w:rsid w:val="00313C22"/>
    <w:rsid w:val="00313ECF"/>
    <w:rsid w:val="003142D7"/>
    <w:rsid w:val="00314955"/>
    <w:rsid w:val="00315161"/>
    <w:rsid w:val="00315BCC"/>
    <w:rsid w:val="00316158"/>
    <w:rsid w:val="003167AD"/>
    <w:rsid w:val="00317096"/>
    <w:rsid w:val="003171FA"/>
    <w:rsid w:val="00317770"/>
    <w:rsid w:val="003178C0"/>
    <w:rsid w:val="00317B9E"/>
    <w:rsid w:val="00317E45"/>
    <w:rsid w:val="0032022A"/>
    <w:rsid w:val="00320485"/>
    <w:rsid w:val="00320941"/>
    <w:rsid w:val="00320CC5"/>
    <w:rsid w:val="00320EA4"/>
    <w:rsid w:val="003212B3"/>
    <w:rsid w:val="00321771"/>
    <w:rsid w:val="00321928"/>
    <w:rsid w:val="00321B46"/>
    <w:rsid w:val="00321EC8"/>
    <w:rsid w:val="00321FAF"/>
    <w:rsid w:val="00322490"/>
    <w:rsid w:val="00322E75"/>
    <w:rsid w:val="00323583"/>
    <w:rsid w:val="00323B87"/>
    <w:rsid w:val="00323C40"/>
    <w:rsid w:val="003246AA"/>
    <w:rsid w:val="00324DF7"/>
    <w:rsid w:val="00324FDB"/>
    <w:rsid w:val="00325738"/>
    <w:rsid w:val="0032573B"/>
    <w:rsid w:val="00325B6B"/>
    <w:rsid w:val="00326766"/>
    <w:rsid w:val="00326A29"/>
    <w:rsid w:val="00326A6B"/>
    <w:rsid w:val="00326BFD"/>
    <w:rsid w:val="003272F0"/>
    <w:rsid w:val="00327AE4"/>
    <w:rsid w:val="00327C2F"/>
    <w:rsid w:val="00327DF0"/>
    <w:rsid w:val="00327F4E"/>
    <w:rsid w:val="00327F82"/>
    <w:rsid w:val="0033007C"/>
    <w:rsid w:val="00330163"/>
    <w:rsid w:val="00330FB4"/>
    <w:rsid w:val="0033108E"/>
    <w:rsid w:val="00331FC7"/>
    <w:rsid w:val="00332241"/>
    <w:rsid w:val="00332DE4"/>
    <w:rsid w:val="00332FA6"/>
    <w:rsid w:val="00333350"/>
    <w:rsid w:val="0033351E"/>
    <w:rsid w:val="00333C97"/>
    <w:rsid w:val="00334121"/>
    <w:rsid w:val="00334809"/>
    <w:rsid w:val="00334F5E"/>
    <w:rsid w:val="00335958"/>
    <w:rsid w:val="00335B65"/>
    <w:rsid w:val="00335C81"/>
    <w:rsid w:val="00335ED6"/>
    <w:rsid w:val="003364D4"/>
    <w:rsid w:val="00336592"/>
    <w:rsid w:val="0033660B"/>
    <w:rsid w:val="003366AE"/>
    <w:rsid w:val="003374B2"/>
    <w:rsid w:val="00337679"/>
    <w:rsid w:val="003400EA"/>
    <w:rsid w:val="00340263"/>
    <w:rsid w:val="003406B0"/>
    <w:rsid w:val="0034071E"/>
    <w:rsid w:val="00340A1E"/>
    <w:rsid w:val="00340AE1"/>
    <w:rsid w:val="00340D95"/>
    <w:rsid w:val="0034167B"/>
    <w:rsid w:val="00341753"/>
    <w:rsid w:val="003420F0"/>
    <w:rsid w:val="003429F6"/>
    <w:rsid w:val="00342D8B"/>
    <w:rsid w:val="00342E5E"/>
    <w:rsid w:val="0034340C"/>
    <w:rsid w:val="00343DFF"/>
    <w:rsid w:val="00343ECA"/>
    <w:rsid w:val="003440BB"/>
    <w:rsid w:val="00344A1A"/>
    <w:rsid w:val="00344CFC"/>
    <w:rsid w:val="003453F8"/>
    <w:rsid w:val="00345800"/>
    <w:rsid w:val="003458BA"/>
    <w:rsid w:val="00345A7C"/>
    <w:rsid w:val="00345E4D"/>
    <w:rsid w:val="003466DD"/>
    <w:rsid w:val="00346B77"/>
    <w:rsid w:val="00346C51"/>
    <w:rsid w:val="0034778F"/>
    <w:rsid w:val="00347A78"/>
    <w:rsid w:val="00350898"/>
    <w:rsid w:val="003508BB"/>
    <w:rsid w:val="00350C55"/>
    <w:rsid w:val="00350E5F"/>
    <w:rsid w:val="003514CB"/>
    <w:rsid w:val="00351A97"/>
    <w:rsid w:val="00351CD7"/>
    <w:rsid w:val="00351D4F"/>
    <w:rsid w:val="003520D4"/>
    <w:rsid w:val="00352A01"/>
    <w:rsid w:val="00352A15"/>
    <w:rsid w:val="00352B31"/>
    <w:rsid w:val="00353062"/>
    <w:rsid w:val="003531A6"/>
    <w:rsid w:val="00353BAA"/>
    <w:rsid w:val="0035400B"/>
    <w:rsid w:val="00354CC0"/>
    <w:rsid w:val="00354E56"/>
    <w:rsid w:val="00354EAF"/>
    <w:rsid w:val="003558CB"/>
    <w:rsid w:val="003559F4"/>
    <w:rsid w:val="00355CA0"/>
    <w:rsid w:val="00355ED5"/>
    <w:rsid w:val="00356227"/>
    <w:rsid w:val="003562FC"/>
    <w:rsid w:val="00356B3A"/>
    <w:rsid w:val="0035760C"/>
    <w:rsid w:val="003577FB"/>
    <w:rsid w:val="003579AF"/>
    <w:rsid w:val="00357EF9"/>
    <w:rsid w:val="0036030A"/>
    <w:rsid w:val="003607B1"/>
    <w:rsid w:val="003609B8"/>
    <w:rsid w:val="00360AFD"/>
    <w:rsid w:val="00360B82"/>
    <w:rsid w:val="00360D13"/>
    <w:rsid w:val="00360D56"/>
    <w:rsid w:val="00361537"/>
    <w:rsid w:val="00361CAB"/>
    <w:rsid w:val="00361D38"/>
    <w:rsid w:val="00362229"/>
    <w:rsid w:val="00362335"/>
    <w:rsid w:val="0036275A"/>
    <w:rsid w:val="00362BBF"/>
    <w:rsid w:val="00362C76"/>
    <w:rsid w:val="00363312"/>
    <w:rsid w:val="00363498"/>
    <w:rsid w:val="00363636"/>
    <w:rsid w:val="003639AE"/>
    <w:rsid w:val="0036437A"/>
    <w:rsid w:val="003643CA"/>
    <w:rsid w:val="0036446A"/>
    <w:rsid w:val="0036484E"/>
    <w:rsid w:val="00365BB5"/>
    <w:rsid w:val="00365E39"/>
    <w:rsid w:val="00365EB8"/>
    <w:rsid w:val="003664E6"/>
    <w:rsid w:val="003668BE"/>
    <w:rsid w:val="00366DB7"/>
    <w:rsid w:val="00366E85"/>
    <w:rsid w:val="0036737B"/>
    <w:rsid w:val="0036773A"/>
    <w:rsid w:val="0036784C"/>
    <w:rsid w:val="00367879"/>
    <w:rsid w:val="00370B6A"/>
    <w:rsid w:val="00370F3D"/>
    <w:rsid w:val="0037172B"/>
    <w:rsid w:val="00371E13"/>
    <w:rsid w:val="00371F31"/>
    <w:rsid w:val="00371FFC"/>
    <w:rsid w:val="003721EE"/>
    <w:rsid w:val="0037273F"/>
    <w:rsid w:val="00372C15"/>
    <w:rsid w:val="003733BA"/>
    <w:rsid w:val="003736D4"/>
    <w:rsid w:val="00373804"/>
    <w:rsid w:val="00373894"/>
    <w:rsid w:val="00373910"/>
    <w:rsid w:val="003745EB"/>
    <w:rsid w:val="0037464C"/>
    <w:rsid w:val="00374B4C"/>
    <w:rsid w:val="00374CB0"/>
    <w:rsid w:val="00374CE5"/>
    <w:rsid w:val="003750FB"/>
    <w:rsid w:val="0037544F"/>
    <w:rsid w:val="0037552F"/>
    <w:rsid w:val="003766FC"/>
    <w:rsid w:val="0037758E"/>
    <w:rsid w:val="0037763E"/>
    <w:rsid w:val="00377D2E"/>
    <w:rsid w:val="00377F9D"/>
    <w:rsid w:val="0038005B"/>
    <w:rsid w:val="00381CF2"/>
    <w:rsid w:val="003825A7"/>
    <w:rsid w:val="003825DB"/>
    <w:rsid w:val="00383479"/>
    <w:rsid w:val="00383649"/>
    <w:rsid w:val="003836A0"/>
    <w:rsid w:val="0038370F"/>
    <w:rsid w:val="003837A1"/>
    <w:rsid w:val="00383997"/>
    <w:rsid w:val="00383B6E"/>
    <w:rsid w:val="00383BAD"/>
    <w:rsid w:val="0038414B"/>
    <w:rsid w:val="0038454F"/>
    <w:rsid w:val="003845AE"/>
    <w:rsid w:val="00385551"/>
    <w:rsid w:val="003856EF"/>
    <w:rsid w:val="00386DB7"/>
    <w:rsid w:val="0039003E"/>
    <w:rsid w:val="0039025F"/>
    <w:rsid w:val="0039095C"/>
    <w:rsid w:val="00390C45"/>
    <w:rsid w:val="00390F23"/>
    <w:rsid w:val="00391138"/>
    <w:rsid w:val="0039194D"/>
    <w:rsid w:val="00391BCD"/>
    <w:rsid w:val="00391E10"/>
    <w:rsid w:val="00392126"/>
    <w:rsid w:val="003930B4"/>
    <w:rsid w:val="00393381"/>
    <w:rsid w:val="003933A2"/>
    <w:rsid w:val="00393A14"/>
    <w:rsid w:val="00393F0C"/>
    <w:rsid w:val="00393F58"/>
    <w:rsid w:val="003940E2"/>
    <w:rsid w:val="003945A1"/>
    <w:rsid w:val="0039463B"/>
    <w:rsid w:val="00395544"/>
    <w:rsid w:val="003956D3"/>
    <w:rsid w:val="00395711"/>
    <w:rsid w:val="00395802"/>
    <w:rsid w:val="00395BD9"/>
    <w:rsid w:val="00395EFB"/>
    <w:rsid w:val="00395F50"/>
    <w:rsid w:val="00396388"/>
    <w:rsid w:val="00396443"/>
    <w:rsid w:val="0039669C"/>
    <w:rsid w:val="00397919"/>
    <w:rsid w:val="00397C39"/>
    <w:rsid w:val="00397D29"/>
    <w:rsid w:val="003A0A74"/>
    <w:rsid w:val="003A0B42"/>
    <w:rsid w:val="003A0F74"/>
    <w:rsid w:val="003A11C6"/>
    <w:rsid w:val="003A1F92"/>
    <w:rsid w:val="003A2549"/>
    <w:rsid w:val="003A25A4"/>
    <w:rsid w:val="003A276F"/>
    <w:rsid w:val="003A2D6D"/>
    <w:rsid w:val="003A2FEB"/>
    <w:rsid w:val="003A3813"/>
    <w:rsid w:val="003A3926"/>
    <w:rsid w:val="003A39E2"/>
    <w:rsid w:val="003A4142"/>
    <w:rsid w:val="003A41CC"/>
    <w:rsid w:val="003A5435"/>
    <w:rsid w:val="003A5E13"/>
    <w:rsid w:val="003A69B7"/>
    <w:rsid w:val="003A6F03"/>
    <w:rsid w:val="003A7220"/>
    <w:rsid w:val="003A74A9"/>
    <w:rsid w:val="003A75FD"/>
    <w:rsid w:val="003A7760"/>
    <w:rsid w:val="003A7F86"/>
    <w:rsid w:val="003B09B8"/>
    <w:rsid w:val="003B12A2"/>
    <w:rsid w:val="003B1DB9"/>
    <w:rsid w:val="003B213C"/>
    <w:rsid w:val="003B238F"/>
    <w:rsid w:val="003B23E6"/>
    <w:rsid w:val="003B2537"/>
    <w:rsid w:val="003B2709"/>
    <w:rsid w:val="003B294E"/>
    <w:rsid w:val="003B35E0"/>
    <w:rsid w:val="003B510F"/>
    <w:rsid w:val="003B58CD"/>
    <w:rsid w:val="003B6136"/>
    <w:rsid w:val="003B6182"/>
    <w:rsid w:val="003B6234"/>
    <w:rsid w:val="003B6F85"/>
    <w:rsid w:val="003B726E"/>
    <w:rsid w:val="003B7454"/>
    <w:rsid w:val="003B7526"/>
    <w:rsid w:val="003B753C"/>
    <w:rsid w:val="003B77A4"/>
    <w:rsid w:val="003B78B0"/>
    <w:rsid w:val="003B7D34"/>
    <w:rsid w:val="003C01A5"/>
    <w:rsid w:val="003C0304"/>
    <w:rsid w:val="003C0508"/>
    <w:rsid w:val="003C07A3"/>
    <w:rsid w:val="003C080B"/>
    <w:rsid w:val="003C08AF"/>
    <w:rsid w:val="003C0969"/>
    <w:rsid w:val="003C0EE9"/>
    <w:rsid w:val="003C17CB"/>
    <w:rsid w:val="003C192E"/>
    <w:rsid w:val="003C1CCD"/>
    <w:rsid w:val="003C1CEE"/>
    <w:rsid w:val="003C1F0D"/>
    <w:rsid w:val="003C2065"/>
    <w:rsid w:val="003C2646"/>
    <w:rsid w:val="003C2ADC"/>
    <w:rsid w:val="003C2B87"/>
    <w:rsid w:val="003C2B90"/>
    <w:rsid w:val="003C2E30"/>
    <w:rsid w:val="003C3206"/>
    <w:rsid w:val="003C34A2"/>
    <w:rsid w:val="003C3584"/>
    <w:rsid w:val="003C3DB2"/>
    <w:rsid w:val="003C449F"/>
    <w:rsid w:val="003C4664"/>
    <w:rsid w:val="003C4D97"/>
    <w:rsid w:val="003C5C4F"/>
    <w:rsid w:val="003C5CDD"/>
    <w:rsid w:val="003C60DD"/>
    <w:rsid w:val="003C7108"/>
    <w:rsid w:val="003C7779"/>
    <w:rsid w:val="003C7C78"/>
    <w:rsid w:val="003C7D0B"/>
    <w:rsid w:val="003D00A0"/>
    <w:rsid w:val="003D0394"/>
    <w:rsid w:val="003D055C"/>
    <w:rsid w:val="003D0956"/>
    <w:rsid w:val="003D0B79"/>
    <w:rsid w:val="003D0F6E"/>
    <w:rsid w:val="003D1138"/>
    <w:rsid w:val="003D1448"/>
    <w:rsid w:val="003D1E30"/>
    <w:rsid w:val="003D20BE"/>
    <w:rsid w:val="003D23F9"/>
    <w:rsid w:val="003D26A5"/>
    <w:rsid w:val="003D277A"/>
    <w:rsid w:val="003D2A9A"/>
    <w:rsid w:val="003D4FF5"/>
    <w:rsid w:val="003D5138"/>
    <w:rsid w:val="003D51A7"/>
    <w:rsid w:val="003D57B6"/>
    <w:rsid w:val="003D5EC9"/>
    <w:rsid w:val="003D64D1"/>
    <w:rsid w:val="003D6606"/>
    <w:rsid w:val="003D6F28"/>
    <w:rsid w:val="003D7182"/>
    <w:rsid w:val="003D7C91"/>
    <w:rsid w:val="003D7F5D"/>
    <w:rsid w:val="003E0CF4"/>
    <w:rsid w:val="003E0EA2"/>
    <w:rsid w:val="003E1001"/>
    <w:rsid w:val="003E181E"/>
    <w:rsid w:val="003E1B1D"/>
    <w:rsid w:val="003E20EA"/>
    <w:rsid w:val="003E325E"/>
    <w:rsid w:val="003E387C"/>
    <w:rsid w:val="003E49A9"/>
    <w:rsid w:val="003E5C1B"/>
    <w:rsid w:val="003E5C51"/>
    <w:rsid w:val="003E5DA3"/>
    <w:rsid w:val="003E640F"/>
    <w:rsid w:val="003E6456"/>
    <w:rsid w:val="003E6572"/>
    <w:rsid w:val="003E6E73"/>
    <w:rsid w:val="003E7683"/>
    <w:rsid w:val="003E78F1"/>
    <w:rsid w:val="003E7A74"/>
    <w:rsid w:val="003F06E1"/>
    <w:rsid w:val="003F1086"/>
    <w:rsid w:val="003F173D"/>
    <w:rsid w:val="003F1D0A"/>
    <w:rsid w:val="003F1E09"/>
    <w:rsid w:val="003F2BC7"/>
    <w:rsid w:val="003F2CAC"/>
    <w:rsid w:val="003F3166"/>
    <w:rsid w:val="003F3962"/>
    <w:rsid w:val="003F3CBE"/>
    <w:rsid w:val="003F3E38"/>
    <w:rsid w:val="003F40CF"/>
    <w:rsid w:val="003F4BEC"/>
    <w:rsid w:val="003F52BE"/>
    <w:rsid w:val="003F54B5"/>
    <w:rsid w:val="003F575E"/>
    <w:rsid w:val="003F5AB2"/>
    <w:rsid w:val="003F6581"/>
    <w:rsid w:val="003F69A5"/>
    <w:rsid w:val="003F7A7C"/>
    <w:rsid w:val="003F7E17"/>
    <w:rsid w:val="00400796"/>
    <w:rsid w:val="00400A82"/>
    <w:rsid w:val="00400E35"/>
    <w:rsid w:val="004012A2"/>
    <w:rsid w:val="00401618"/>
    <w:rsid w:val="00401906"/>
    <w:rsid w:val="00401AD4"/>
    <w:rsid w:val="00401BEC"/>
    <w:rsid w:val="00402352"/>
    <w:rsid w:val="00402F89"/>
    <w:rsid w:val="00403450"/>
    <w:rsid w:val="00403BAF"/>
    <w:rsid w:val="00404416"/>
    <w:rsid w:val="0040450D"/>
    <w:rsid w:val="00404993"/>
    <w:rsid w:val="00404F28"/>
    <w:rsid w:val="00405084"/>
    <w:rsid w:val="00405377"/>
    <w:rsid w:val="00405BE7"/>
    <w:rsid w:val="00405C4A"/>
    <w:rsid w:val="00405CE9"/>
    <w:rsid w:val="00405F44"/>
    <w:rsid w:val="00405F83"/>
    <w:rsid w:val="00406A68"/>
    <w:rsid w:val="00406CD5"/>
    <w:rsid w:val="00406D79"/>
    <w:rsid w:val="00406F2B"/>
    <w:rsid w:val="00407C43"/>
    <w:rsid w:val="00407E3C"/>
    <w:rsid w:val="00407EB7"/>
    <w:rsid w:val="00410EF0"/>
    <w:rsid w:val="004114FD"/>
    <w:rsid w:val="00411943"/>
    <w:rsid w:val="00411DF9"/>
    <w:rsid w:val="00411E43"/>
    <w:rsid w:val="00412078"/>
    <w:rsid w:val="004120ED"/>
    <w:rsid w:val="004129DA"/>
    <w:rsid w:val="00412B67"/>
    <w:rsid w:val="00412E95"/>
    <w:rsid w:val="004135F8"/>
    <w:rsid w:val="0041366F"/>
    <w:rsid w:val="00413B6B"/>
    <w:rsid w:val="00413DC4"/>
    <w:rsid w:val="00413DD0"/>
    <w:rsid w:val="00414008"/>
    <w:rsid w:val="004141CC"/>
    <w:rsid w:val="0041449D"/>
    <w:rsid w:val="00414B9E"/>
    <w:rsid w:val="00415723"/>
    <w:rsid w:val="00415C3C"/>
    <w:rsid w:val="00415CAF"/>
    <w:rsid w:val="004165D7"/>
    <w:rsid w:val="004167A6"/>
    <w:rsid w:val="00416919"/>
    <w:rsid w:val="004169AD"/>
    <w:rsid w:val="00416E30"/>
    <w:rsid w:val="0041711B"/>
    <w:rsid w:val="00417280"/>
    <w:rsid w:val="00417318"/>
    <w:rsid w:val="004177E6"/>
    <w:rsid w:val="004179C0"/>
    <w:rsid w:val="0042036C"/>
    <w:rsid w:val="004204FF"/>
    <w:rsid w:val="004212A5"/>
    <w:rsid w:val="004213E6"/>
    <w:rsid w:val="00421526"/>
    <w:rsid w:val="0042160A"/>
    <w:rsid w:val="0042229F"/>
    <w:rsid w:val="0042287A"/>
    <w:rsid w:val="00422ABF"/>
    <w:rsid w:val="00422C3A"/>
    <w:rsid w:val="004233A1"/>
    <w:rsid w:val="004234C7"/>
    <w:rsid w:val="00423817"/>
    <w:rsid w:val="004238AB"/>
    <w:rsid w:val="00423B7D"/>
    <w:rsid w:val="00423D7E"/>
    <w:rsid w:val="00424853"/>
    <w:rsid w:val="00424D4C"/>
    <w:rsid w:val="00424E40"/>
    <w:rsid w:val="0042543D"/>
    <w:rsid w:val="00425549"/>
    <w:rsid w:val="004258B4"/>
    <w:rsid w:val="00425900"/>
    <w:rsid w:val="00425A91"/>
    <w:rsid w:val="00426476"/>
    <w:rsid w:val="004267FC"/>
    <w:rsid w:val="00426D54"/>
    <w:rsid w:val="00426E4B"/>
    <w:rsid w:val="004274E2"/>
    <w:rsid w:val="00427C6A"/>
    <w:rsid w:val="00427CB9"/>
    <w:rsid w:val="00427D2F"/>
    <w:rsid w:val="00430383"/>
    <w:rsid w:val="00430811"/>
    <w:rsid w:val="00430BA8"/>
    <w:rsid w:val="00430BFA"/>
    <w:rsid w:val="00431C01"/>
    <w:rsid w:val="00432806"/>
    <w:rsid w:val="00433D68"/>
    <w:rsid w:val="00433EC4"/>
    <w:rsid w:val="004343A7"/>
    <w:rsid w:val="00434941"/>
    <w:rsid w:val="00434C4C"/>
    <w:rsid w:val="00435922"/>
    <w:rsid w:val="00435DD6"/>
    <w:rsid w:val="00435EA7"/>
    <w:rsid w:val="00436063"/>
    <w:rsid w:val="004369E6"/>
    <w:rsid w:val="004370FB"/>
    <w:rsid w:val="004373F8"/>
    <w:rsid w:val="00440133"/>
    <w:rsid w:val="00440161"/>
    <w:rsid w:val="0044071A"/>
    <w:rsid w:val="0044086A"/>
    <w:rsid w:val="004409C3"/>
    <w:rsid w:val="004415D6"/>
    <w:rsid w:val="00441A36"/>
    <w:rsid w:val="00442141"/>
    <w:rsid w:val="00442714"/>
    <w:rsid w:val="004428FE"/>
    <w:rsid w:val="004431AD"/>
    <w:rsid w:val="004431ED"/>
    <w:rsid w:val="0044332A"/>
    <w:rsid w:val="004434F1"/>
    <w:rsid w:val="00443BEC"/>
    <w:rsid w:val="00443F1D"/>
    <w:rsid w:val="00444468"/>
    <w:rsid w:val="00444F10"/>
    <w:rsid w:val="00444F58"/>
    <w:rsid w:val="0044529A"/>
    <w:rsid w:val="00446884"/>
    <w:rsid w:val="00446CA4"/>
    <w:rsid w:val="0044724E"/>
    <w:rsid w:val="00447C6F"/>
    <w:rsid w:val="00447FB0"/>
    <w:rsid w:val="00450063"/>
    <w:rsid w:val="004501D4"/>
    <w:rsid w:val="0045029D"/>
    <w:rsid w:val="0045066F"/>
    <w:rsid w:val="004509A8"/>
    <w:rsid w:val="004511CB"/>
    <w:rsid w:val="004512BA"/>
    <w:rsid w:val="004518B5"/>
    <w:rsid w:val="00451A28"/>
    <w:rsid w:val="00453156"/>
    <w:rsid w:val="004535FB"/>
    <w:rsid w:val="0045384E"/>
    <w:rsid w:val="00453EF7"/>
    <w:rsid w:val="004545E5"/>
    <w:rsid w:val="00454FE8"/>
    <w:rsid w:val="004557C9"/>
    <w:rsid w:val="00455816"/>
    <w:rsid w:val="00455A1D"/>
    <w:rsid w:val="004562E7"/>
    <w:rsid w:val="00456C83"/>
    <w:rsid w:val="00457242"/>
    <w:rsid w:val="004577DF"/>
    <w:rsid w:val="0045797B"/>
    <w:rsid w:val="00457B34"/>
    <w:rsid w:val="004600AD"/>
    <w:rsid w:val="004600D4"/>
    <w:rsid w:val="004609DD"/>
    <w:rsid w:val="00460BCC"/>
    <w:rsid w:val="00461027"/>
    <w:rsid w:val="00461675"/>
    <w:rsid w:val="004616B2"/>
    <w:rsid w:val="00461775"/>
    <w:rsid w:val="004619FB"/>
    <w:rsid w:val="00461D36"/>
    <w:rsid w:val="004621D3"/>
    <w:rsid w:val="00462B4B"/>
    <w:rsid w:val="00462BD5"/>
    <w:rsid w:val="00462F72"/>
    <w:rsid w:val="00463387"/>
    <w:rsid w:val="004639EB"/>
    <w:rsid w:val="00465811"/>
    <w:rsid w:val="00465DA7"/>
    <w:rsid w:val="004662E8"/>
    <w:rsid w:val="00466A0D"/>
    <w:rsid w:val="00467656"/>
    <w:rsid w:val="004676F0"/>
    <w:rsid w:val="00470240"/>
    <w:rsid w:val="00470782"/>
    <w:rsid w:val="004717CE"/>
    <w:rsid w:val="00471A4C"/>
    <w:rsid w:val="00471C19"/>
    <w:rsid w:val="00471DA1"/>
    <w:rsid w:val="00472BD8"/>
    <w:rsid w:val="00472C0A"/>
    <w:rsid w:val="00472D12"/>
    <w:rsid w:val="00472D94"/>
    <w:rsid w:val="004730C8"/>
    <w:rsid w:val="00473548"/>
    <w:rsid w:val="00473696"/>
    <w:rsid w:val="00473A8B"/>
    <w:rsid w:val="00473C75"/>
    <w:rsid w:val="0047432F"/>
    <w:rsid w:val="004747EF"/>
    <w:rsid w:val="00474C4D"/>
    <w:rsid w:val="0047527C"/>
    <w:rsid w:val="00475751"/>
    <w:rsid w:val="004758DC"/>
    <w:rsid w:val="00475B41"/>
    <w:rsid w:val="004764CF"/>
    <w:rsid w:val="004769A8"/>
    <w:rsid w:val="00476AC7"/>
    <w:rsid w:val="00476F16"/>
    <w:rsid w:val="004778C9"/>
    <w:rsid w:val="00477CB8"/>
    <w:rsid w:val="00480050"/>
    <w:rsid w:val="00480147"/>
    <w:rsid w:val="004806D2"/>
    <w:rsid w:val="00480F28"/>
    <w:rsid w:val="0048149D"/>
    <w:rsid w:val="004815E3"/>
    <w:rsid w:val="0048193A"/>
    <w:rsid w:val="00481FA8"/>
    <w:rsid w:val="00481FDD"/>
    <w:rsid w:val="004822A0"/>
    <w:rsid w:val="00482BFA"/>
    <w:rsid w:val="00482DD2"/>
    <w:rsid w:val="00483D1C"/>
    <w:rsid w:val="00484DEE"/>
    <w:rsid w:val="0048540E"/>
    <w:rsid w:val="00485535"/>
    <w:rsid w:val="00485FC1"/>
    <w:rsid w:val="004860C1"/>
    <w:rsid w:val="0048631E"/>
    <w:rsid w:val="00486A80"/>
    <w:rsid w:val="00486F3D"/>
    <w:rsid w:val="0048765A"/>
    <w:rsid w:val="00487A21"/>
    <w:rsid w:val="00487D28"/>
    <w:rsid w:val="00487DDF"/>
    <w:rsid w:val="00487E1F"/>
    <w:rsid w:val="0049082A"/>
    <w:rsid w:val="00490AF8"/>
    <w:rsid w:val="00490B37"/>
    <w:rsid w:val="00490C5F"/>
    <w:rsid w:val="004911C3"/>
    <w:rsid w:val="0049182B"/>
    <w:rsid w:val="004924E1"/>
    <w:rsid w:val="00492B62"/>
    <w:rsid w:val="0049315F"/>
    <w:rsid w:val="00493DD4"/>
    <w:rsid w:val="00493EF7"/>
    <w:rsid w:val="004941A9"/>
    <w:rsid w:val="004941BA"/>
    <w:rsid w:val="00494597"/>
    <w:rsid w:val="0049505F"/>
    <w:rsid w:val="00495101"/>
    <w:rsid w:val="004951DE"/>
    <w:rsid w:val="00495493"/>
    <w:rsid w:val="00495897"/>
    <w:rsid w:val="004958AA"/>
    <w:rsid w:val="00495E1C"/>
    <w:rsid w:val="0049613E"/>
    <w:rsid w:val="00496A6D"/>
    <w:rsid w:val="00496D61"/>
    <w:rsid w:val="004A039C"/>
    <w:rsid w:val="004A06E7"/>
    <w:rsid w:val="004A079D"/>
    <w:rsid w:val="004A0C31"/>
    <w:rsid w:val="004A0DBA"/>
    <w:rsid w:val="004A1586"/>
    <w:rsid w:val="004A16C0"/>
    <w:rsid w:val="004A195F"/>
    <w:rsid w:val="004A1A27"/>
    <w:rsid w:val="004A2110"/>
    <w:rsid w:val="004A22CF"/>
    <w:rsid w:val="004A237F"/>
    <w:rsid w:val="004A25FE"/>
    <w:rsid w:val="004A2755"/>
    <w:rsid w:val="004A2B47"/>
    <w:rsid w:val="004A3A62"/>
    <w:rsid w:val="004A3D39"/>
    <w:rsid w:val="004A5115"/>
    <w:rsid w:val="004A5B6B"/>
    <w:rsid w:val="004A6496"/>
    <w:rsid w:val="004A66CF"/>
    <w:rsid w:val="004A69CD"/>
    <w:rsid w:val="004A6B67"/>
    <w:rsid w:val="004A71CC"/>
    <w:rsid w:val="004A735A"/>
    <w:rsid w:val="004A7BBE"/>
    <w:rsid w:val="004A7E5F"/>
    <w:rsid w:val="004A7EFE"/>
    <w:rsid w:val="004B019F"/>
    <w:rsid w:val="004B0768"/>
    <w:rsid w:val="004B0873"/>
    <w:rsid w:val="004B0E23"/>
    <w:rsid w:val="004B0F3B"/>
    <w:rsid w:val="004B10E4"/>
    <w:rsid w:val="004B15B7"/>
    <w:rsid w:val="004B1698"/>
    <w:rsid w:val="004B1C86"/>
    <w:rsid w:val="004B21B1"/>
    <w:rsid w:val="004B28E3"/>
    <w:rsid w:val="004B2E98"/>
    <w:rsid w:val="004B2F01"/>
    <w:rsid w:val="004B30D8"/>
    <w:rsid w:val="004B3313"/>
    <w:rsid w:val="004B33C6"/>
    <w:rsid w:val="004B3588"/>
    <w:rsid w:val="004B367B"/>
    <w:rsid w:val="004B36E2"/>
    <w:rsid w:val="004B381C"/>
    <w:rsid w:val="004B3D99"/>
    <w:rsid w:val="004B4320"/>
    <w:rsid w:val="004B4564"/>
    <w:rsid w:val="004B4578"/>
    <w:rsid w:val="004B4F4E"/>
    <w:rsid w:val="004B51A1"/>
    <w:rsid w:val="004B57E1"/>
    <w:rsid w:val="004B5D5C"/>
    <w:rsid w:val="004B5EC5"/>
    <w:rsid w:val="004B5FD9"/>
    <w:rsid w:val="004B6225"/>
    <w:rsid w:val="004B6DDA"/>
    <w:rsid w:val="004B7E40"/>
    <w:rsid w:val="004B7F62"/>
    <w:rsid w:val="004C037F"/>
    <w:rsid w:val="004C0556"/>
    <w:rsid w:val="004C0966"/>
    <w:rsid w:val="004C0F4B"/>
    <w:rsid w:val="004C1402"/>
    <w:rsid w:val="004C17FA"/>
    <w:rsid w:val="004C1A3C"/>
    <w:rsid w:val="004C1E09"/>
    <w:rsid w:val="004C2234"/>
    <w:rsid w:val="004C2435"/>
    <w:rsid w:val="004C3070"/>
    <w:rsid w:val="004C31B9"/>
    <w:rsid w:val="004C35C9"/>
    <w:rsid w:val="004C401C"/>
    <w:rsid w:val="004C4DD6"/>
    <w:rsid w:val="004C54BD"/>
    <w:rsid w:val="004C55F6"/>
    <w:rsid w:val="004C5792"/>
    <w:rsid w:val="004C5838"/>
    <w:rsid w:val="004C5BD9"/>
    <w:rsid w:val="004C6180"/>
    <w:rsid w:val="004C6635"/>
    <w:rsid w:val="004C6740"/>
    <w:rsid w:val="004C6762"/>
    <w:rsid w:val="004C6830"/>
    <w:rsid w:val="004C6A70"/>
    <w:rsid w:val="004C6B71"/>
    <w:rsid w:val="004C726F"/>
    <w:rsid w:val="004C7A53"/>
    <w:rsid w:val="004D0372"/>
    <w:rsid w:val="004D043B"/>
    <w:rsid w:val="004D0653"/>
    <w:rsid w:val="004D1113"/>
    <w:rsid w:val="004D127E"/>
    <w:rsid w:val="004D12ED"/>
    <w:rsid w:val="004D17C4"/>
    <w:rsid w:val="004D1CB8"/>
    <w:rsid w:val="004D22AA"/>
    <w:rsid w:val="004D24FF"/>
    <w:rsid w:val="004D2F67"/>
    <w:rsid w:val="004D34AC"/>
    <w:rsid w:val="004D36EC"/>
    <w:rsid w:val="004D3C56"/>
    <w:rsid w:val="004D4576"/>
    <w:rsid w:val="004D461D"/>
    <w:rsid w:val="004D5552"/>
    <w:rsid w:val="004D6804"/>
    <w:rsid w:val="004D6C1D"/>
    <w:rsid w:val="004D6D3F"/>
    <w:rsid w:val="004D6F0B"/>
    <w:rsid w:val="004D71B8"/>
    <w:rsid w:val="004D786C"/>
    <w:rsid w:val="004E0129"/>
    <w:rsid w:val="004E0235"/>
    <w:rsid w:val="004E06D0"/>
    <w:rsid w:val="004E10C8"/>
    <w:rsid w:val="004E1568"/>
    <w:rsid w:val="004E1EE1"/>
    <w:rsid w:val="004E2693"/>
    <w:rsid w:val="004E289C"/>
    <w:rsid w:val="004E2E62"/>
    <w:rsid w:val="004E3476"/>
    <w:rsid w:val="004E3A26"/>
    <w:rsid w:val="004E4678"/>
    <w:rsid w:val="004E4D7A"/>
    <w:rsid w:val="004E5097"/>
    <w:rsid w:val="004E5159"/>
    <w:rsid w:val="004E5C63"/>
    <w:rsid w:val="004E5E6C"/>
    <w:rsid w:val="004E5EEB"/>
    <w:rsid w:val="004E5FAB"/>
    <w:rsid w:val="004E6398"/>
    <w:rsid w:val="004E6889"/>
    <w:rsid w:val="004E6C78"/>
    <w:rsid w:val="004E6F30"/>
    <w:rsid w:val="004E7D37"/>
    <w:rsid w:val="004E7DA6"/>
    <w:rsid w:val="004F115E"/>
    <w:rsid w:val="004F1428"/>
    <w:rsid w:val="004F1505"/>
    <w:rsid w:val="004F16E3"/>
    <w:rsid w:val="004F1A6E"/>
    <w:rsid w:val="004F2065"/>
    <w:rsid w:val="004F20C6"/>
    <w:rsid w:val="004F2640"/>
    <w:rsid w:val="004F26FF"/>
    <w:rsid w:val="004F276D"/>
    <w:rsid w:val="004F2841"/>
    <w:rsid w:val="004F2ABA"/>
    <w:rsid w:val="004F2F97"/>
    <w:rsid w:val="004F3597"/>
    <w:rsid w:val="004F399A"/>
    <w:rsid w:val="004F3D23"/>
    <w:rsid w:val="004F473E"/>
    <w:rsid w:val="004F47A6"/>
    <w:rsid w:val="004F5263"/>
    <w:rsid w:val="004F5776"/>
    <w:rsid w:val="004F5AB0"/>
    <w:rsid w:val="004F7539"/>
    <w:rsid w:val="004F7970"/>
    <w:rsid w:val="004F7999"/>
    <w:rsid w:val="0050002C"/>
    <w:rsid w:val="005013FD"/>
    <w:rsid w:val="00501B29"/>
    <w:rsid w:val="00502F48"/>
    <w:rsid w:val="005033A3"/>
    <w:rsid w:val="0050348D"/>
    <w:rsid w:val="00503E12"/>
    <w:rsid w:val="00503E7B"/>
    <w:rsid w:val="0050457F"/>
    <w:rsid w:val="00504F64"/>
    <w:rsid w:val="00504F72"/>
    <w:rsid w:val="00505085"/>
    <w:rsid w:val="00506A86"/>
    <w:rsid w:val="00506D17"/>
    <w:rsid w:val="00507291"/>
    <w:rsid w:val="00507988"/>
    <w:rsid w:val="0050798D"/>
    <w:rsid w:val="00507C89"/>
    <w:rsid w:val="00510484"/>
    <w:rsid w:val="00510623"/>
    <w:rsid w:val="00510CF1"/>
    <w:rsid w:val="00510ECF"/>
    <w:rsid w:val="00511737"/>
    <w:rsid w:val="00512AF9"/>
    <w:rsid w:val="00512B96"/>
    <w:rsid w:val="00512CA5"/>
    <w:rsid w:val="005136BF"/>
    <w:rsid w:val="00513F0C"/>
    <w:rsid w:val="005152B9"/>
    <w:rsid w:val="0051534C"/>
    <w:rsid w:val="005158D6"/>
    <w:rsid w:val="00515D46"/>
    <w:rsid w:val="00516344"/>
    <w:rsid w:val="005166EC"/>
    <w:rsid w:val="0051674C"/>
    <w:rsid w:val="00516A58"/>
    <w:rsid w:val="00517DD9"/>
    <w:rsid w:val="00520420"/>
    <w:rsid w:val="00520657"/>
    <w:rsid w:val="00520F78"/>
    <w:rsid w:val="00521381"/>
    <w:rsid w:val="00521D81"/>
    <w:rsid w:val="00521F6D"/>
    <w:rsid w:val="00523124"/>
    <w:rsid w:val="005239EE"/>
    <w:rsid w:val="00523C02"/>
    <w:rsid w:val="00523C83"/>
    <w:rsid w:val="0052481F"/>
    <w:rsid w:val="00524926"/>
    <w:rsid w:val="00524B61"/>
    <w:rsid w:val="005251DF"/>
    <w:rsid w:val="00525968"/>
    <w:rsid w:val="005259C6"/>
    <w:rsid w:val="00525BFB"/>
    <w:rsid w:val="00525C5C"/>
    <w:rsid w:val="00525CF4"/>
    <w:rsid w:val="00525D4B"/>
    <w:rsid w:val="00526F7D"/>
    <w:rsid w:val="0052719E"/>
    <w:rsid w:val="00527302"/>
    <w:rsid w:val="00527484"/>
    <w:rsid w:val="00527980"/>
    <w:rsid w:val="00530143"/>
    <w:rsid w:val="005303FF"/>
    <w:rsid w:val="00530C13"/>
    <w:rsid w:val="005314FB"/>
    <w:rsid w:val="00531616"/>
    <w:rsid w:val="0053162C"/>
    <w:rsid w:val="00532B2E"/>
    <w:rsid w:val="00533712"/>
    <w:rsid w:val="005344BF"/>
    <w:rsid w:val="00534AF1"/>
    <w:rsid w:val="00534F6F"/>
    <w:rsid w:val="005355DD"/>
    <w:rsid w:val="00535F2C"/>
    <w:rsid w:val="00536033"/>
    <w:rsid w:val="00537317"/>
    <w:rsid w:val="00537AEE"/>
    <w:rsid w:val="00540129"/>
    <w:rsid w:val="0054031A"/>
    <w:rsid w:val="005408EA"/>
    <w:rsid w:val="00540B4C"/>
    <w:rsid w:val="00540E8B"/>
    <w:rsid w:val="0054121C"/>
    <w:rsid w:val="0054148F"/>
    <w:rsid w:val="005420C4"/>
    <w:rsid w:val="0054218E"/>
    <w:rsid w:val="005428EF"/>
    <w:rsid w:val="00542D8D"/>
    <w:rsid w:val="0054308D"/>
    <w:rsid w:val="005433A6"/>
    <w:rsid w:val="00543423"/>
    <w:rsid w:val="005437DE"/>
    <w:rsid w:val="00543EBE"/>
    <w:rsid w:val="00544B8E"/>
    <w:rsid w:val="00545689"/>
    <w:rsid w:val="005457F8"/>
    <w:rsid w:val="00545E40"/>
    <w:rsid w:val="00546455"/>
    <w:rsid w:val="005468B0"/>
    <w:rsid w:val="00547407"/>
    <w:rsid w:val="00547BED"/>
    <w:rsid w:val="00547E69"/>
    <w:rsid w:val="00547EF5"/>
    <w:rsid w:val="00547F2C"/>
    <w:rsid w:val="0055001F"/>
    <w:rsid w:val="005501DA"/>
    <w:rsid w:val="00550268"/>
    <w:rsid w:val="005509C4"/>
    <w:rsid w:val="00550CA6"/>
    <w:rsid w:val="00550E6C"/>
    <w:rsid w:val="00552025"/>
    <w:rsid w:val="00552666"/>
    <w:rsid w:val="005526E2"/>
    <w:rsid w:val="00552C30"/>
    <w:rsid w:val="00552CFF"/>
    <w:rsid w:val="005537E8"/>
    <w:rsid w:val="0055381A"/>
    <w:rsid w:val="00553B34"/>
    <w:rsid w:val="00554503"/>
    <w:rsid w:val="0055461D"/>
    <w:rsid w:val="0055520D"/>
    <w:rsid w:val="00555355"/>
    <w:rsid w:val="00555357"/>
    <w:rsid w:val="0055549E"/>
    <w:rsid w:val="0055591F"/>
    <w:rsid w:val="005560F6"/>
    <w:rsid w:val="00556843"/>
    <w:rsid w:val="00556EBB"/>
    <w:rsid w:val="00557515"/>
    <w:rsid w:val="005602BA"/>
    <w:rsid w:val="005608E8"/>
    <w:rsid w:val="00561664"/>
    <w:rsid w:val="00561C14"/>
    <w:rsid w:val="00561EA3"/>
    <w:rsid w:val="005620D7"/>
    <w:rsid w:val="00563063"/>
    <w:rsid w:val="00563075"/>
    <w:rsid w:val="00563465"/>
    <w:rsid w:val="00563A9D"/>
    <w:rsid w:val="00563BD7"/>
    <w:rsid w:val="0056409D"/>
    <w:rsid w:val="00564BC2"/>
    <w:rsid w:val="00565C32"/>
    <w:rsid w:val="00566546"/>
    <w:rsid w:val="00566D3A"/>
    <w:rsid w:val="00566FAD"/>
    <w:rsid w:val="0056789B"/>
    <w:rsid w:val="00567F48"/>
    <w:rsid w:val="005700C1"/>
    <w:rsid w:val="00570BCD"/>
    <w:rsid w:val="005710E5"/>
    <w:rsid w:val="00571BC7"/>
    <w:rsid w:val="00572812"/>
    <w:rsid w:val="005728B5"/>
    <w:rsid w:val="005728BC"/>
    <w:rsid w:val="00572966"/>
    <w:rsid w:val="00572AEA"/>
    <w:rsid w:val="00573E0E"/>
    <w:rsid w:val="005745C9"/>
    <w:rsid w:val="00574B9D"/>
    <w:rsid w:val="00574C9F"/>
    <w:rsid w:val="00574F82"/>
    <w:rsid w:val="00575591"/>
    <w:rsid w:val="00575B76"/>
    <w:rsid w:val="00575C7C"/>
    <w:rsid w:val="00575FC0"/>
    <w:rsid w:val="005769A9"/>
    <w:rsid w:val="00577019"/>
    <w:rsid w:val="005772BC"/>
    <w:rsid w:val="005774C0"/>
    <w:rsid w:val="00577E61"/>
    <w:rsid w:val="00577EC5"/>
    <w:rsid w:val="005801B6"/>
    <w:rsid w:val="005803EE"/>
    <w:rsid w:val="005809DD"/>
    <w:rsid w:val="00580AB2"/>
    <w:rsid w:val="00580CFC"/>
    <w:rsid w:val="00580E75"/>
    <w:rsid w:val="00580E7A"/>
    <w:rsid w:val="005814A1"/>
    <w:rsid w:val="00581E6B"/>
    <w:rsid w:val="005820DC"/>
    <w:rsid w:val="00583399"/>
    <w:rsid w:val="0058354C"/>
    <w:rsid w:val="005837D6"/>
    <w:rsid w:val="00583A4C"/>
    <w:rsid w:val="00583C75"/>
    <w:rsid w:val="00584685"/>
    <w:rsid w:val="00584709"/>
    <w:rsid w:val="00584AC9"/>
    <w:rsid w:val="00584E83"/>
    <w:rsid w:val="005852A6"/>
    <w:rsid w:val="00585C7E"/>
    <w:rsid w:val="005862CD"/>
    <w:rsid w:val="005863C5"/>
    <w:rsid w:val="00586489"/>
    <w:rsid w:val="00586C73"/>
    <w:rsid w:val="00587F52"/>
    <w:rsid w:val="00587F79"/>
    <w:rsid w:val="0059042D"/>
    <w:rsid w:val="005909FD"/>
    <w:rsid w:val="00590BF4"/>
    <w:rsid w:val="00590D49"/>
    <w:rsid w:val="00590FC7"/>
    <w:rsid w:val="005911C7"/>
    <w:rsid w:val="0059148F"/>
    <w:rsid w:val="005919AD"/>
    <w:rsid w:val="0059246D"/>
    <w:rsid w:val="005924E8"/>
    <w:rsid w:val="0059256C"/>
    <w:rsid w:val="00592972"/>
    <w:rsid w:val="0059298D"/>
    <w:rsid w:val="00592C46"/>
    <w:rsid w:val="00592CD0"/>
    <w:rsid w:val="005938C1"/>
    <w:rsid w:val="00593DF7"/>
    <w:rsid w:val="00594106"/>
    <w:rsid w:val="0059418E"/>
    <w:rsid w:val="00594B51"/>
    <w:rsid w:val="00594B99"/>
    <w:rsid w:val="00594C63"/>
    <w:rsid w:val="00594F5F"/>
    <w:rsid w:val="00595058"/>
    <w:rsid w:val="00595773"/>
    <w:rsid w:val="0059579C"/>
    <w:rsid w:val="00595E20"/>
    <w:rsid w:val="0059608C"/>
    <w:rsid w:val="0059610A"/>
    <w:rsid w:val="00596206"/>
    <w:rsid w:val="00596801"/>
    <w:rsid w:val="0059686E"/>
    <w:rsid w:val="005968F5"/>
    <w:rsid w:val="005969DB"/>
    <w:rsid w:val="005969E5"/>
    <w:rsid w:val="00596EFD"/>
    <w:rsid w:val="00597506"/>
    <w:rsid w:val="0059791C"/>
    <w:rsid w:val="00597C03"/>
    <w:rsid w:val="005A0381"/>
    <w:rsid w:val="005A1132"/>
    <w:rsid w:val="005A14FC"/>
    <w:rsid w:val="005A1760"/>
    <w:rsid w:val="005A246D"/>
    <w:rsid w:val="005A3AEC"/>
    <w:rsid w:val="005A3C88"/>
    <w:rsid w:val="005A3D38"/>
    <w:rsid w:val="005A3FB4"/>
    <w:rsid w:val="005A4067"/>
    <w:rsid w:val="005A4198"/>
    <w:rsid w:val="005A4C23"/>
    <w:rsid w:val="005A5812"/>
    <w:rsid w:val="005A5FEE"/>
    <w:rsid w:val="005A6160"/>
    <w:rsid w:val="005A640F"/>
    <w:rsid w:val="005A70A1"/>
    <w:rsid w:val="005A711E"/>
    <w:rsid w:val="005A7A7F"/>
    <w:rsid w:val="005A7AEB"/>
    <w:rsid w:val="005A7CC7"/>
    <w:rsid w:val="005A7FD5"/>
    <w:rsid w:val="005B0121"/>
    <w:rsid w:val="005B01BF"/>
    <w:rsid w:val="005B0306"/>
    <w:rsid w:val="005B0708"/>
    <w:rsid w:val="005B0B5E"/>
    <w:rsid w:val="005B0BE7"/>
    <w:rsid w:val="005B10B9"/>
    <w:rsid w:val="005B14E5"/>
    <w:rsid w:val="005B16BB"/>
    <w:rsid w:val="005B2062"/>
    <w:rsid w:val="005B21E5"/>
    <w:rsid w:val="005B296F"/>
    <w:rsid w:val="005B2AFC"/>
    <w:rsid w:val="005B307B"/>
    <w:rsid w:val="005B30CD"/>
    <w:rsid w:val="005B3563"/>
    <w:rsid w:val="005B372E"/>
    <w:rsid w:val="005B3732"/>
    <w:rsid w:val="005B39D9"/>
    <w:rsid w:val="005B3C99"/>
    <w:rsid w:val="005B3D29"/>
    <w:rsid w:val="005B3DB4"/>
    <w:rsid w:val="005B3E09"/>
    <w:rsid w:val="005B40E5"/>
    <w:rsid w:val="005B4469"/>
    <w:rsid w:val="005B48AB"/>
    <w:rsid w:val="005B4B71"/>
    <w:rsid w:val="005B57EC"/>
    <w:rsid w:val="005B5B30"/>
    <w:rsid w:val="005B5BD7"/>
    <w:rsid w:val="005B5E98"/>
    <w:rsid w:val="005B64ED"/>
    <w:rsid w:val="005B6776"/>
    <w:rsid w:val="005B68FF"/>
    <w:rsid w:val="005B6D62"/>
    <w:rsid w:val="005B6EAE"/>
    <w:rsid w:val="005B70B9"/>
    <w:rsid w:val="005B7752"/>
    <w:rsid w:val="005B77EB"/>
    <w:rsid w:val="005B7CD6"/>
    <w:rsid w:val="005B7DE1"/>
    <w:rsid w:val="005C02FF"/>
    <w:rsid w:val="005C037D"/>
    <w:rsid w:val="005C06CD"/>
    <w:rsid w:val="005C08BF"/>
    <w:rsid w:val="005C09CB"/>
    <w:rsid w:val="005C0D29"/>
    <w:rsid w:val="005C0D3C"/>
    <w:rsid w:val="005C1153"/>
    <w:rsid w:val="005C14D0"/>
    <w:rsid w:val="005C2402"/>
    <w:rsid w:val="005C3728"/>
    <w:rsid w:val="005C37E7"/>
    <w:rsid w:val="005C38DA"/>
    <w:rsid w:val="005C4BC3"/>
    <w:rsid w:val="005C4F63"/>
    <w:rsid w:val="005C4FE1"/>
    <w:rsid w:val="005C50A0"/>
    <w:rsid w:val="005C6098"/>
    <w:rsid w:val="005C697D"/>
    <w:rsid w:val="005C6EAE"/>
    <w:rsid w:val="005C7504"/>
    <w:rsid w:val="005D00C2"/>
    <w:rsid w:val="005D02C0"/>
    <w:rsid w:val="005D06C2"/>
    <w:rsid w:val="005D0787"/>
    <w:rsid w:val="005D0CBF"/>
    <w:rsid w:val="005D0CCA"/>
    <w:rsid w:val="005D15DB"/>
    <w:rsid w:val="005D15F1"/>
    <w:rsid w:val="005D1925"/>
    <w:rsid w:val="005D1D3F"/>
    <w:rsid w:val="005D20D2"/>
    <w:rsid w:val="005D2111"/>
    <w:rsid w:val="005D21C4"/>
    <w:rsid w:val="005D2CCB"/>
    <w:rsid w:val="005D2E93"/>
    <w:rsid w:val="005D3764"/>
    <w:rsid w:val="005D3794"/>
    <w:rsid w:val="005D3F93"/>
    <w:rsid w:val="005D4B22"/>
    <w:rsid w:val="005D5292"/>
    <w:rsid w:val="005D5422"/>
    <w:rsid w:val="005D55B9"/>
    <w:rsid w:val="005D562C"/>
    <w:rsid w:val="005D581A"/>
    <w:rsid w:val="005D5F95"/>
    <w:rsid w:val="005D60BB"/>
    <w:rsid w:val="005D68C9"/>
    <w:rsid w:val="005D6EC0"/>
    <w:rsid w:val="005D743E"/>
    <w:rsid w:val="005D7EDC"/>
    <w:rsid w:val="005E05BD"/>
    <w:rsid w:val="005E085A"/>
    <w:rsid w:val="005E0A00"/>
    <w:rsid w:val="005E0C00"/>
    <w:rsid w:val="005E0D23"/>
    <w:rsid w:val="005E1141"/>
    <w:rsid w:val="005E1142"/>
    <w:rsid w:val="005E11CD"/>
    <w:rsid w:val="005E14FA"/>
    <w:rsid w:val="005E2517"/>
    <w:rsid w:val="005E2AB5"/>
    <w:rsid w:val="005E3695"/>
    <w:rsid w:val="005E37A6"/>
    <w:rsid w:val="005E3CE2"/>
    <w:rsid w:val="005E426C"/>
    <w:rsid w:val="005E4925"/>
    <w:rsid w:val="005E4929"/>
    <w:rsid w:val="005E4A91"/>
    <w:rsid w:val="005E5020"/>
    <w:rsid w:val="005E5BF3"/>
    <w:rsid w:val="005E6496"/>
    <w:rsid w:val="005E669C"/>
    <w:rsid w:val="005E6880"/>
    <w:rsid w:val="005E6D08"/>
    <w:rsid w:val="005E6F3B"/>
    <w:rsid w:val="005E72BD"/>
    <w:rsid w:val="005E7904"/>
    <w:rsid w:val="005F0437"/>
    <w:rsid w:val="005F0692"/>
    <w:rsid w:val="005F0A33"/>
    <w:rsid w:val="005F0D1C"/>
    <w:rsid w:val="005F13F9"/>
    <w:rsid w:val="005F1967"/>
    <w:rsid w:val="005F1DB9"/>
    <w:rsid w:val="005F1EA6"/>
    <w:rsid w:val="005F1EE6"/>
    <w:rsid w:val="005F1F37"/>
    <w:rsid w:val="005F216A"/>
    <w:rsid w:val="005F26A9"/>
    <w:rsid w:val="005F2751"/>
    <w:rsid w:val="005F3131"/>
    <w:rsid w:val="005F3B51"/>
    <w:rsid w:val="005F3EB8"/>
    <w:rsid w:val="005F405E"/>
    <w:rsid w:val="005F42DC"/>
    <w:rsid w:val="005F46E7"/>
    <w:rsid w:val="005F4D90"/>
    <w:rsid w:val="005F5100"/>
    <w:rsid w:val="005F52A8"/>
    <w:rsid w:val="005F5F35"/>
    <w:rsid w:val="005F6F45"/>
    <w:rsid w:val="005F724B"/>
    <w:rsid w:val="005F7725"/>
    <w:rsid w:val="005F7CE8"/>
    <w:rsid w:val="005F7F0B"/>
    <w:rsid w:val="005F7FCA"/>
    <w:rsid w:val="006003AC"/>
    <w:rsid w:val="00600761"/>
    <w:rsid w:val="00600B35"/>
    <w:rsid w:val="00600F5B"/>
    <w:rsid w:val="0060116E"/>
    <w:rsid w:val="00601B82"/>
    <w:rsid w:val="00601FB5"/>
    <w:rsid w:val="0060200F"/>
    <w:rsid w:val="00603259"/>
    <w:rsid w:val="0060421F"/>
    <w:rsid w:val="006045CF"/>
    <w:rsid w:val="00604FBA"/>
    <w:rsid w:val="00605350"/>
    <w:rsid w:val="00605443"/>
    <w:rsid w:val="00605855"/>
    <w:rsid w:val="00605BC8"/>
    <w:rsid w:val="00606094"/>
    <w:rsid w:val="00606DB0"/>
    <w:rsid w:val="00607424"/>
    <w:rsid w:val="00607E2D"/>
    <w:rsid w:val="00610305"/>
    <w:rsid w:val="006108DE"/>
    <w:rsid w:val="0061094F"/>
    <w:rsid w:val="00611139"/>
    <w:rsid w:val="0061126A"/>
    <w:rsid w:val="0061133A"/>
    <w:rsid w:val="00611BBF"/>
    <w:rsid w:val="006129D6"/>
    <w:rsid w:val="0061320C"/>
    <w:rsid w:val="0061323E"/>
    <w:rsid w:val="00613619"/>
    <w:rsid w:val="00613E27"/>
    <w:rsid w:val="00614155"/>
    <w:rsid w:val="00614BEF"/>
    <w:rsid w:val="006151C5"/>
    <w:rsid w:val="006154F0"/>
    <w:rsid w:val="00615938"/>
    <w:rsid w:val="00616256"/>
    <w:rsid w:val="00616848"/>
    <w:rsid w:val="006169AC"/>
    <w:rsid w:val="00616BCF"/>
    <w:rsid w:val="00617361"/>
    <w:rsid w:val="006173AC"/>
    <w:rsid w:val="006174E2"/>
    <w:rsid w:val="00617546"/>
    <w:rsid w:val="006176E7"/>
    <w:rsid w:val="00617933"/>
    <w:rsid w:val="006179AF"/>
    <w:rsid w:val="00617EDB"/>
    <w:rsid w:val="00620143"/>
    <w:rsid w:val="0062063D"/>
    <w:rsid w:val="006206C3"/>
    <w:rsid w:val="00620A6D"/>
    <w:rsid w:val="00620E9C"/>
    <w:rsid w:val="00621CB0"/>
    <w:rsid w:val="00621CE5"/>
    <w:rsid w:val="00621EB3"/>
    <w:rsid w:val="00622150"/>
    <w:rsid w:val="006223DA"/>
    <w:rsid w:val="00622CB4"/>
    <w:rsid w:val="006232B6"/>
    <w:rsid w:val="00623534"/>
    <w:rsid w:val="00623C59"/>
    <w:rsid w:val="006240C4"/>
    <w:rsid w:val="00624D19"/>
    <w:rsid w:val="00624DEA"/>
    <w:rsid w:val="0062511C"/>
    <w:rsid w:val="0062520E"/>
    <w:rsid w:val="0062523A"/>
    <w:rsid w:val="00625445"/>
    <w:rsid w:val="00625458"/>
    <w:rsid w:val="006256BF"/>
    <w:rsid w:val="00625776"/>
    <w:rsid w:val="00625A7D"/>
    <w:rsid w:val="00625F7F"/>
    <w:rsid w:val="006261A6"/>
    <w:rsid w:val="006268A3"/>
    <w:rsid w:val="00626A2C"/>
    <w:rsid w:val="00626F46"/>
    <w:rsid w:val="00626F68"/>
    <w:rsid w:val="00626FD0"/>
    <w:rsid w:val="00627224"/>
    <w:rsid w:val="00627460"/>
    <w:rsid w:val="006275C5"/>
    <w:rsid w:val="00627EE3"/>
    <w:rsid w:val="00627F66"/>
    <w:rsid w:val="00630410"/>
    <w:rsid w:val="0063065D"/>
    <w:rsid w:val="00630673"/>
    <w:rsid w:val="00630761"/>
    <w:rsid w:val="00630CDA"/>
    <w:rsid w:val="00630E36"/>
    <w:rsid w:val="006310B3"/>
    <w:rsid w:val="006311A4"/>
    <w:rsid w:val="006311A9"/>
    <w:rsid w:val="00632186"/>
    <w:rsid w:val="00632868"/>
    <w:rsid w:val="00632D30"/>
    <w:rsid w:val="0063331D"/>
    <w:rsid w:val="00633442"/>
    <w:rsid w:val="00633453"/>
    <w:rsid w:val="00633593"/>
    <w:rsid w:val="00633729"/>
    <w:rsid w:val="00633780"/>
    <w:rsid w:val="006339BB"/>
    <w:rsid w:val="00633B9A"/>
    <w:rsid w:val="00635093"/>
    <w:rsid w:val="0063575C"/>
    <w:rsid w:val="006360A4"/>
    <w:rsid w:val="006360A7"/>
    <w:rsid w:val="00636B25"/>
    <w:rsid w:val="00637F2C"/>
    <w:rsid w:val="00640806"/>
    <w:rsid w:val="006411BD"/>
    <w:rsid w:val="00641211"/>
    <w:rsid w:val="00641E6D"/>
    <w:rsid w:val="0064223B"/>
    <w:rsid w:val="0064225E"/>
    <w:rsid w:val="006429CE"/>
    <w:rsid w:val="00642AB9"/>
    <w:rsid w:val="00642F9D"/>
    <w:rsid w:val="006433F9"/>
    <w:rsid w:val="00643529"/>
    <w:rsid w:val="00643E2D"/>
    <w:rsid w:val="00643EF1"/>
    <w:rsid w:val="00644587"/>
    <w:rsid w:val="00644C4E"/>
    <w:rsid w:val="00644D4C"/>
    <w:rsid w:val="00644E43"/>
    <w:rsid w:val="00644E54"/>
    <w:rsid w:val="006451AE"/>
    <w:rsid w:val="00645261"/>
    <w:rsid w:val="00645892"/>
    <w:rsid w:val="006459CE"/>
    <w:rsid w:val="00645C68"/>
    <w:rsid w:val="006460B8"/>
    <w:rsid w:val="006465C3"/>
    <w:rsid w:val="00646F57"/>
    <w:rsid w:val="00646FA7"/>
    <w:rsid w:val="0064729D"/>
    <w:rsid w:val="006474CA"/>
    <w:rsid w:val="00647DE6"/>
    <w:rsid w:val="00647EBC"/>
    <w:rsid w:val="0065055B"/>
    <w:rsid w:val="0065077E"/>
    <w:rsid w:val="006511DB"/>
    <w:rsid w:val="00651626"/>
    <w:rsid w:val="00651707"/>
    <w:rsid w:val="00651AA4"/>
    <w:rsid w:val="00651FEE"/>
    <w:rsid w:val="006525F2"/>
    <w:rsid w:val="006526A5"/>
    <w:rsid w:val="00652A4B"/>
    <w:rsid w:val="00652F4B"/>
    <w:rsid w:val="0065318B"/>
    <w:rsid w:val="0065355F"/>
    <w:rsid w:val="00653736"/>
    <w:rsid w:val="00653A57"/>
    <w:rsid w:val="00654289"/>
    <w:rsid w:val="006544A6"/>
    <w:rsid w:val="0065458A"/>
    <w:rsid w:val="00654815"/>
    <w:rsid w:val="0065565B"/>
    <w:rsid w:val="00655BF2"/>
    <w:rsid w:val="00655C28"/>
    <w:rsid w:val="00655F5C"/>
    <w:rsid w:val="006565AA"/>
    <w:rsid w:val="006573DF"/>
    <w:rsid w:val="00657ABA"/>
    <w:rsid w:val="00657B95"/>
    <w:rsid w:val="006600B6"/>
    <w:rsid w:val="00660205"/>
    <w:rsid w:val="00660425"/>
    <w:rsid w:val="00660474"/>
    <w:rsid w:val="0066088E"/>
    <w:rsid w:val="006608FC"/>
    <w:rsid w:val="00661144"/>
    <w:rsid w:val="00661AF4"/>
    <w:rsid w:val="00661B3A"/>
    <w:rsid w:val="00661D29"/>
    <w:rsid w:val="00661D73"/>
    <w:rsid w:val="00662CFD"/>
    <w:rsid w:val="00662DEE"/>
    <w:rsid w:val="00663560"/>
    <w:rsid w:val="006638DF"/>
    <w:rsid w:val="00663D1C"/>
    <w:rsid w:val="00663D81"/>
    <w:rsid w:val="006641D2"/>
    <w:rsid w:val="00664385"/>
    <w:rsid w:val="0066439D"/>
    <w:rsid w:val="006646B1"/>
    <w:rsid w:val="00665373"/>
    <w:rsid w:val="00665969"/>
    <w:rsid w:val="00665D26"/>
    <w:rsid w:val="00665F85"/>
    <w:rsid w:val="00666416"/>
    <w:rsid w:val="0066647F"/>
    <w:rsid w:val="00666762"/>
    <w:rsid w:val="006672FA"/>
    <w:rsid w:val="006673CD"/>
    <w:rsid w:val="00667657"/>
    <w:rsid w:val="00667748"/>
    <w:rsid w:val="006677E8"/>
    <w:rsid w:val="00667CC9"/>
    <w:rsid w:val="0067050B"/>
    <w:rsid w:val="00670E0F"/>
    <w:rsid w:val="0067104D"/>
    <w:rsid w:val="006713D6"/>
    <w:rsid w:val="0067148B"/>
    <w:rsid w:val="0067183D"/>
    <w:rsid w:val="00671A16"/>
    <w:rsid w:val="00671D46"/>
    <w:rsid w:val="0067221E"/>
    <w:rsid w:val="006733A7"/>
    <w:rsid w:val="00673B7F"/>
    <w:rsid w:val="00673F17"/>
    <w:rsid w:val="0067419C"/>
    <w:rsid w:val="00674EB3"/>
    <w:rsid w:val="00675283"/>
    <w:rsid w:val="006756C3"/>
    <w:rsid w:val="00675BB2"/>
    <w:rsid w:val="00675C49"/>
    <w:rsid w:val="00675FE4"/>
    <w:rsid w:val="006760DA"/>
    <w:rsid w:val="00676534"/>
    <w:rsid w:val="00676986"/>
    <w:rsid w:val="00676A52"/>
    <w:rsid w:val="00676A9C"/>
    <w:rsid w:val="00676C36"/>
    <w:rsid w:val="00676D1D"/>
    <w:rsid w:val="006770C2"/>
    <w:rsid w:val="00677386"/>
    <w:rsid w:val="00677707"/>
    <w:rsid w:val="0067771D"/>
    <w:rsid w:val="00677F8C"/>
    <w:rsid w:val="0068108A"/>
    <w:rsid w:val="00681165"/>
    <w:rsid w:val="006814D2"/>
    <w:rsid w:val="00681686"/>
    <w:rsid w:val="00681A82"/>
    <w:rsid w:val="00682334"/>
    <w:rsid w:val="0068236C"/>
    <w:rsid w:val="006823DA"/>
    <w:rsid w:val="00682964"/>
    <w:rsid w:val="00682A38"/>
    <w:rsid w:val="00682AD2"/>
    <w:rsid w:val="00682ADD"/>
    <w:rsid w:val="00682E40"/>
    <w:rsid w:val="006837D1"/>
    <w:rsid w:val="00683A62"/>
    <w:rsid w:val="00683C59"/>
    <w:rsid w:val="00683E01"/>
    <w:rsid w:val="006843A1"/>
    <w:rsid w:val="00684EF6"/>
    <w:rsid w:val="00684F6A"/>
    <w:rsid w:val="006851F3"/>
    <w:rsid w:val="0068643C"/>
    <w:rsid w:val="0068705C"/>
    <w:rsid w:val="006873E6"/>
    <w:rsid w:val="0068767C"/>
    <w:rsid w:val="00687EB6"/>
    <w:rsid w:val="006906C6"/>
    <w:rsid w:val="00690BAB"/>
    <w:rsid w:val="00690C6F"/>
    <w:rsid w:val="006918B9"/>
    <w:rsid w:val="00691A44"/>
    <w:rsid w:val="00692048"/>
    <w:rsid w:val="006923D1"/>
    <w:rsid w:val="0069244A"/>
    <w:rsid w:val="0069249B"/>
    <w:rsid w:val="006926E0"/>
    <w:rsid w:val="00693D6B"/>
    <w:rsid w:val="0069402C"/>
    <w:rsid w:val="00694930"/>
    <w:rsid w:val="00694F2F"/>
    <w:rsid w:val="006955E1"/>
    <w:rsid w:val="006959C2"/>
    <w:rsid w:val="00695F6C"/>
    <w:rsid w:val="0069629D"/>
    <w:rsid w:val="00697984"/>
    <w:rsid w:val="006A081C"/>
    <w:rsid w:val="006A09D9"/>
    <w:rsid w:val="006A0CB6"/>
    <w:rsid w:val="006A0D1C"/>
    <w:rsid w:val="006A1024"/>
    <w:rsid w:val="006A132E"/>
    <w:rsid w:val="006A1439"/>
    <w:rsid w:val="006A2410"/>
    <w:rsid w:val="006A2722"/>
    <w:rsid w:val="006A2AF6"/>
    <w:rsid w:val="006A2C71"/>
    <w:rsid w:val="006A32F7"/>
    <w:rsid w:val="006A374A"/>
    <w:rsid w:val="006A410C"/>
    <w:rsid w:val="006A4959"/>
    <w:rsid w:val="006A4AFC"/>
    <w:rsid w:val="006A504A"/>
    <w:rsid w:val="006A5F3C"/>
    <w:rsid w:val="006A6145"/>
    <w:rsid w:val="006A64ED"/>
    <w:rsid w:val="006A66FE"/>
    <w:rsid w:val="006A71CD"/>
    <w:rsid w:val="006A7376"/>
    <w:rsid w:val="006A7A29"/>
    <w:rsid w:val="006A7FF6"/>
    <w:rsid w:val="006B0228"/>
    <w:rsid w:val="006B0BD7"/>
    <w:rsid w:val="006B0EC6"/>
    <w:rsid w:val="006B1A64"/>
    <w:rsid w:val="006B1BA8"/>
    <w:rsid w:val="006B2015"/>
    <w:rsid w:val="006B2926"/>
    <w:rsid w:val="006B2A24"/>
    <w:rsid w:val="006B2E32"/>
    <w:rsid w:val="006B3226"/>
    <w:rsid w:val="006B552E"/>
    <w:rsid w:val="006B5860"/>
    <w:rsid w:val="006B596F"/>
    <w:rsid w:val="006B5C4E"/>
    <w:rsid w:val="006B639A"/>
    <w:rsid w:val="006B67F8"/>
    <w:rsid w:val="006B68F9"/>
    <w:rsid w:val="006B6CE8"/>
    <w:rsid w:val="006B6F56"/>
    <w:rsid w:val="006B70D4"/>
    <w:rsid w:val="006B7278"/>
    <w:rsid w:val="006B73F3"/>
    <w:rsid w:val="006B7509"/>
    <w:rsid w:val="006B770D"/>
    <w:rsid w:val="006B7F96"/>
    <w:rsid w:val="006C064A"/>
    <w:rsid w:val="006C080A"/>
    <w:rsid w:val="006C0DB6"/>
    <w:rsid w:val="006C0F8C"/>
    <w:rsid w:val="006C1426"/>
    <w:rsid w:val="006C1428"/>
    <w:rsid w:val="006C1439"/>
    <w:rsid w:val="006C1767"/>
    <w:rsid w:val="006C1C23"/>
    <w:rsid w:val="006C213E"/>
    <w:rsid w:val="006C2432"/>
    <w:rsid w:val="006C2D9D"/>
    <w:rsid w:val="006C326E"/>
    <w:rsid w:val="006C367E"/>
    <w:rsid w:val="006C3855"/>
    <w:rsid w:val="006C3AC3"/>
    <w:rsid w:val="006C3B0B"/>
    <w:rsid w:val="006C3FA5"/>
    <w:rsid w:val="006C4098"/>
    <w:rsid w:val="006C4131"/>
    <w:rsid w:val="006C41EB"/>
    <w:rsid w:val="006C4361"/>
    <w:rsid w:val="006C45E5"/>
    <w:rsid w:val="006C4625"/>
    <w:rsid w:val="006C4893"/>
    <w:rsid w:val="006C4ACD"/>
    <w:rsid w:val="006C4DE2"/>
    <w:rsid w:val="006C521A"/>
    <w:rsid w:val="006C5C3E"/>
    <w:rsid w:val="006C5F6B"/>
    <w:rsid w:val="006C600A"/>
    <w:rsid w:val="006C622D"/>
    <w:rsid w:val="006C6372"/>
    <w:rsid w:val="006C63F2"/>
    <w:rsid w:val="006C6822"/>
    <w:rsid w:val="006C69B0"/>
    <w:rsid w:val="006C6A4D"/>
    <w:rsid w:val="006C6AC4"/>
    <w:rsid w:val="006C77D8"/>
    <w:rsid w:val="006C7D16"/>
    <w:rsid w:val="006D0008"/>
    <w:rsid w:val="006D0186"/>
    <w:rsid w:val="006D09BB"/>
    <w:rsid w:val="006D0A51"/>
    <w:rsid w:val="006D112F"/>
    <w:rsid w:val="006D11DC"/>
    <w:rsid w:val="006D14FA"/>
    <w:rsid w:val="006D20F9"/>
    <w:rsid w:val="006D285B"/>
    <w:rsid w:val="006D2B17"/>
    <w:rsid w:val="006D3061"/>
    <w:rsid w:val="006D3285"/>
    <w:rsid w:val="006D3E98"/>
    <w:rsid w:val="006D42EB"/>
    <w:rsid w:val="006D4370"/>
    <w:rsid w:val="006D5384"/>
    <w:rsid w:val="006D5745"/>
    <w:rsid w:val="006D5EF6"/>
    <w:rsid w:val="006D60EB"/>
    <w:rsid w:val="006D6123"/>
    <w:rsid w:val="006D62A4"/>
    <w:rsid w:val="006D6504"/>
    <w:rsid w:val="006D7003"/>
    <w:rsid w:val="006D72FE"/>
    <w:rsid w:val="006D7982"/>
    <w:rsid w:val="006D7DAA"/>
    <w:rsid w:val="006D7F7E"/>
    <w:rsid w:val="006E03F9"/>
    <w:rsid w:val="006E0723"/>
    <w:rsid w:val="006E0C6D"/>
    <w:rsid w:val="006E0E45"/>
    <w:rsid w:val="006E1310"/>
    <w:rsid w:val="006E2C5E"/>
    <w:rsid w:val="006E2F5D"/>
    <w:rsid w:val="006E34F5"/>
    <w:rsid w:val="006E3FA5"/>
    <w:rsid w:val="006E3FF5"/>
    <w:rsid w:val="006E4A1C"/>
    <w:rsid w:val="006E4D98"/>
    <w:rsid w:val="006E4E89"/>
    <w:rsid w:val="006E50AF"/>
    <w:rsid w:val="006E53C4"/>
    <w:rsid w:val="006E577E"/>
    <w:rsid w:val="006E61C1"/>
    <w:rsid w:val="006E69A9"/>
    <w:rsid w:val="006E6EA9"/>
    <w:rsid w:val="006E7395"/>
    <w:rsid w:val="006E75FE"/>
    <w:rsid w:val="006E77BB"/>
    <w:rsid w:val="006E7B5D"/>
    <w:rsid w:val="006E7BAB"/>
    <w:rsid w:val="006E7EEF"/>
    <w:rsid w:val="006E7F57"/>
    <w:rsid w:val="006F030C"/>
    <w:rsid w:val="006F042F"/>
    <w:rsid w:val="006F16BC"/>
    <w:rsid w:val="006F1726"/>
    <w:rsid w:val="006F19F7"/>
    <w:rsid w:val="006F2355"/>
    <w:rsid w:val="006F2C8B"/>
    <w:rsid w:val="006F2F6B"/>
    <w:rsid w:val="006F3E70"/>
    <w:rsid w:val="006F4322"/>
    <w:rsid w:val="006F4DCE"/>
    <w:rsid w:val="006F4F9C"/>
    <w:rsid w:val="006F5735"/>
    <w:rsid w:val="006F57B7"/>
    <w:rsid w:val="006F58F1"/>
    <w:rsid w:val="006F59DD"/>
    <w:rsid w:val="006F62C4"/>
    <w:rsid w:val="006F62E9"/>
    <w:rsid w:val="006F65A1"/>
    <w:rsid w:val="006F67CD"/>
    <w:rsid w:val="006F6970"/>
    <w:rsid w:val="006F6B3F"/>
    <w:rsid w:val="006F6D3E"/>
    <w:rsid w:val="006F734D"/>
    <w:rsid w:val="006F75AF"/>
    <w:rsid w:val="006F7709"/>
    <w:rsid w:val="006F798C"/>
    <w:rsid w:val="00700033"/>
    <w:rsid w:val="007001E6"/>
    <w:rsid w:val="007004A1"/>
    <w:rsid w:val="00700981"/>
    <w:rsid w:val="007010FB"/>
    <w:rsid w:val="0070149A"/>
    <w:rsid w:val="00701C8F"/>
    <w:rsid w:val="007022C6"/>
    <w:rsid w:val="00702694"/>
    <w:rsid w:val="00702AA3"/>
    <w:rsid w:val="00703126"/>
    <w:rsid w:val="007031DE"/>
    <w:rsid w:val="00703CA5"/>
    <w:rsid w:val="00703DE9"/>
    <w:rsid w:val="00703EAF"/>
    <w:rsid w:val="00704A27"/>
    <w:rsid w:val="00704DEB"/>
    <w:rsid w:val="0070590B"/>
    <w:rsid w:val="00705AAE"/>
    <w:rsid w:val="00705EDE"/>
    <w:rsid w:val="007060C7"/>
    <w:rsid w:val="007063A8"/>
    <w:rsid w:val="0070642F"/>
    <w:rsid w:val="00706731"/>
    <w:rsid w:val="00706972"/>
    <w:rsid w:val="00706D93"/>
    <w:rsid w:val="007071A2"/>
    <w:rsid w:val="0070739D"/>
    <w:rsid w:val="00707B96"/>
    <w:rsid w:val="00710ACC"/>
    <w:rsid w:val="00710C99"/>
    <w:rsid w:val="007111BB"/>
    <w:rsid w:val="00711200"/>
    <w:rsid w:val="00711EFB"/>
    <w:rsid w:val="00712426"/>
    <w:rsid w:val="007127A9"/>
    <w:rsid w:val="00712BEC"/>
    <w:rsid w:val="00712CDB"/>
    <w:rsid w:val="00713582"/>
    <w:rsid w:val="0071379E"/>
    <w:rsid w:val="00713A67"/>
    <w:rsid w:val="00713A6E"/>
    <w:rsid w:val="00713D27"/>
    <w:rsid w:val="007145E4"/>
    <w:rsid w:val="007149E9"/>
    <w:rsid w:val="00714B0E"/>
    <w:rsid w:val="00714D17"/>
    <w:rsid w:val="00714DAB"/>
    <w:rsid w:val="007156DE"/>
    <w:rsid w:val="00715937"/>
    <w:rsid w:val="00715BEF"/>
    <w:rsid w:val="0071600C"/>
    <w:rsid w:val="0071660B"/>
    <w:rsid w:val="00716F4A"/>
    <w:rsid w:val="00717063"/>
    <w:rsid w:val="00717335"/>
    <w:rsid w:val="007175C9"/>
    <w:rsid w:val="0071794C"/>
    <w:rsid w:val="00720ADC"/>
    <w:rsid w:val="00720D42"/>
    <w:rsid w:val="00720F96"/>
    <w:rsid w:val="00721459"/>
    <w:rsid w:val="00721539"/>
    <w:rsid w:val="007216B5"/>
    <w:rsid w:val="00721AE9"/>
    <w:rsid w:val="00721AFE"/>
    <w:rsid w:val="007223F8"/>
    <w:rsid w:val="00722537"/>
    <w:rsid w:val="00722BC9"/>
    <w:rsid w:val="00722DD5"/>
    <w:rsid w:val="00722F3E"/>
    <w:rsid w:val="0072370A"/>
    <w:rsid w:val="00723B74"/>
    <w:rsid w:val="00723F43"/>
    <w:rsid w:val="00724D47"/>
    <w:rsid w:val="00725024"/>
    <w:rsid w:val="00725646"/>
    <w:rsid w:val="0072597C"/>
    <w:rsid w:val="00725B31"/>
    <w:rsid w:val="0072607C"/>
    <w:rsid w:val="0072619D"/>
    <w:rsid w:val="007267D1"/>
    <w:rsid w:val="00726F0F"/>
    <w:rsid w:val="00727284"/>
    <w:rsid w:val="007275F3"/>
    <w:rsid w:val="007278F5"/>
    <w:rsid w:val="00727B69"/>
    <w:rsid w:val="00730D2E"/>
    <w:rsid w:val="00730F26"/>
    <w:rsid w:val="0073123A"/>
    <w:rsid w:val="007318CA"/>
    <w:rsid w:val="00731AB6"/>
    <w:rsid w:val="00732612"/>
    <w:rsid w:val="00732BC9"/>
    <w:rsid w:val="00732BE6"/>
    <w:rsid w:val="00732E78"/>
    <w:rsid w:val="00733396"/>
    <w:rsid w:val="0073345F"/>
    <w:rsid w:val="007339DD"/>
    <w:rsid w:val="0073413F"/>
    <w:rsid w:val="00734708"/>
    <w:rsid w:val="00734ED0"/>
    <w:rsid w:val="007351A6"/>
    <w:rsid w:val="007355DB"/>
    <w:rsid w:val="00736168"/>
    <w:rsid w:val="007361DA"/>
    <w:rsid w:val="007364C7"/>
    <w:rsid w:val="0073650C"/>
    <w:rsid w:val="00736777"/>
    <w:rsid w:val="00736C2D"/>
    <w:rsid w:val="0073778C"/>
    <w:rsid w:val="00740377"/>
    <w:rsid w:val="007403FF"/>
    <w:rsid w:val="00740808"/>
    <w:rsid w:val="00740DD3"/>
    <w:rsid w:val="00740F6B"/>
    <w:rsid w:val="00741DB5"/>
    <w:rsid w:val="00741E8F"/>
    <w:rsid w:val="00741EF9"/>
    <w:rsid w:val="007420DF"/>
    <w:rsid w:val="007423A3"/>
    <w:rsid w:val="0074240D"/>
    <w:rsid w:val="00742C90"/>
    <w:rsid w:val="00743002"/>
    <w:rsid w:val="007431CE"/>
    <w:rsid w:val="007435CF"/>
    <w:rsid w:val="00744095"/>
    <w:rsid w:val="0074431C"/>
    <w:rsid w:val="00744E0F"/>
    <w:rsid w:val="00744E2A"/>
    <w:rsid w:val="00744F31"/>
    <w:rsid w:val="00745149"/>
    <w:rsid w:val="00745F26"/>
    <w:rsid w:val="00746759"/>
    <w:rsid w:val="007468D6"/>
    <w:rsid w:val="007478BF"/>
    <w:rsid w:val="00747A3C"/>
    <w:rsid w:val="00747AF2"/>
    <w:rsid w:val="00747DFA"/>
    <w:rsid w:val="00747FC3"/>
    <w:rsid w:val="0075010B"/>
    <w:rsid w:val="00750339"/>
    <w:rsid w:val="00750455"/>
    <w:rsid w:val="007504BE"/>
    <w:rsid w:val="007513AD"/>
    <w:rsid w:val="007513B0"/>
    <w:rsid w:val="00752087"/>
    <w:rsid w:val="00752E2E"/>
    <w:rsid w:val="007535D3"/>
    <w:rsid w:val="00753D91"/>
    <w:rsid w:val="00753E28"/>
    <w:rsid w:val="00754860"/>
    <w:rsid w:val="00754921"/>
    <w:rsid w:val="0075496F"/>
    <w:rsid w:val="00754C87"/>
    <w:rsid w:val="00754DCE"/>
    <w:rsid w:val="00754DD5"/>
    <w:rsid w:val="00755171"/>
    <w:rsid w:val="007553C5"/>
    <w:rsid w:val="007557FF"/>
    <w:rsid w:val="00755F6E"/>
    <w:rsid w:val="00756398"/>
    <w:rsid w:val="0075772F"/>
    <w:rsid w:val="0076008D"/>
    <w:rsid w:val="00760332"/>
    <w:rsid w:val="0076051A"/>
    <w:rsid w:val="00760B84"/>
    <w:rsid w:val="00760F5C"/>
    <w:rsid w:val="007610E6"/>
    <w:rsid w:val="0076120E"/>
    <w:rsid w:val="007613F5"/>
    <w:rsid w:val="0076176B"/>
    <w:rsid w:val="007618B9"/>
    <w:rsid w:val="00762A27"/>
    <w:rsid w:val="00762A93"/>
    <w:rsid w:val="00762AC6"/>
    <w:rsid w:val="00762CA2"/>
    <w:rsid w:val="007635A2"/>
    <w:rsid w:val="0076388F"/>
    <w:rsid w:val="007646F9"/>
    <w:rsid w:val="00764EC9"/>
    <w:rsid w:val="00764F75"/>
    <w:rsid w:val="0076522A"/>
    <w:rsid w:val="0076540B"/>
    <w:rsid w:val="0076541B"/>
    <w:rsid w:val="007662E9"/>
    <w:rsid w:val="007664C2"/>
    <w:rsid w:val="00766B16"/>
    <w:rsid w:val="007677E6"/>
    <w:rsid w:val="00770244"/>
    <w:rsid w:val="0077036A"/>
    <w:rsid w:val="007703D6"/>
    <w:rsid w:val="00770904"/>
    <w:rsid w:val="0077112E"/>
    <w:rsid w:val="00771335"/>
    <w:rsid w:val="00771531"/>
    <w:rsid w:val="00771EC6"/>
    <w:rsid w:val="0077224C"/>
    <w:rsid w:val="0077275F"/>
    <w:rsid w:val="0077279E"/>
    <w:rsid w:val="00772AF0"/>
    <w:rsid w:val="007732C0"/>
    <w:rsid w:val="007733DB"/>
    <w:rsid w:val="00773932"/>
    <w:rsid w:val="00774ADC"/>
    <w:rsid w:val="007757C1"/>
    <w:rsid w:val="00775C98"/>
    <w:rsid w:val="00775F59"/>
    <w:rsid w:val="0077638D"/>
    <w:rsid w:val="007769CF"/>
    <w:rsid w:val="00777187"/>
    <w:rsid w:val="007800B7"/>
    <w:rsid w:val="007805F5"/>
    <w:rsid w:val="00780737"/>
    <w:rsid w:val="00780C6D"/>
    <w:rsid w:val="00780E9A"/>
    <w:rsid w:val="00780FAE"/>
    <w:rsid w:val="00781025"/>
    <w:rsid w:val="007812F1"/>
    <w:rsid w:val="007814C5"/>
    <w:rsid w:val="007816C9"/>
    <w:rsid w:val="00781EB4"/>
    <w:rsid w:val="00783461"/>
    <w:rsid w:val="007834F3"/>
    <w:rsid w:val="007835A2"/>
    <w:rsid w:val="00783996"/>
    <w:rsid w:val="00783D94"/>
    <w:rsid w:val="00784348"/>
    <w:rsid w:val="007844EE"/>
    <w:rsid w:val="00784909"/>
    <w:rsid w:val="007849D7"/>
    <w:rsid w:val="00784AE2"/>
    <w:rsid w:val="00784B02"/>
    <w:rsid w:val="00784EFC"/>
    <w:rsid w:val="007850D4"/>
    <w:rsid w:val="00785407"/>
    <w:rsid w:val="0078582F"/>
    <w:rsid w:val="00785AAF"/>
    <w:rsid w:val="00786144"/>
    <w:rsid w:val="007869E2"/>
    <w:rsid w:val="007877DA"/>
    <w:rsid w:val="0078784F"/>
    <w:rsid w:val="00787DA4"/>
    <w:rsid w:val="00790010"/>
    <w:rsid w:val="00790422"/>
    <w:rsid w:val="0079055E"/>
    <w:rsid w:val="00790DFF"/>
    <w:rsid w:val="00790E71"/>
    <w:rsid w:val="00790FE3"/>
    <w:rsid w:val="0079117F"/>
    <w:rsid w:val="00791BDB"/>
    <w:rsid w:val="00791C9D"/>
    <w:rsid w:val="007923ED"/>
    <w:rsid w:val="007927EA"/>
    <w:rsid w:val="007928E2"/>
    <w:rsid w:val="007929EA"/>
    <w:rsid w:val="0079304C"/>
    <w:rsid w:val="00793780"/>
    <w:rsid w:val="00793C66"/>
    <w:rsid w:val="007940AE"/>
    <w:rsid w:val="00794D13"/>
    <w:rsid w:val="00795022"/>
    <w:rsid w:val="007950DA"/>
    <w:rsid w:val="00795117"/>
    <w:rsid w:val="00795EF4"/>
    <w:rsid w:val="00795FFB"/>
    <w:rsid w:val="0079649A"/>
    <w:rsid w:val="007968C2"/>
    <w:rsid w:val="00797685"/>
    <w:rsid w:val="007976E5"/>
    <w:rsid w:val="00797B08"/>
    <w:rsid w:val="00797BE8"/>
    <w:rsid w:val="00797C41"/>
    <w:rsid w:val="007A0543"/>
    <w:rsid w:val="007A05F6"/>
    <w:rsid w:val="007A096D"/>
    <w:rsid w:val="007A10F8"/>
    <w:rsid w:val="007A16E0"/>
    <w:rsid w:val="007A18F9"/>
    <w:rsid w:val="007A22A5"/>
    <w:rsid w:val="007A369F"/>
    <w:rsid w:val="007A3C97"/>
    <w:rsid w:val="007A3CD8"/>
    <w:rsid w:val="007A3EF4"/>
    <w:rsid w:val="007A4095"/>
    <w:rsid w:val="007A4DCF"/>
    <w:rsid w:val="007A4E5C"/>
    <w:rsid w:val="007A4E6E"/>
    <w:rsid w:val="007A50DA"/>
    <w:rsid w:val="007A5663"/>
    <w:rsid w:val="007A5880"/>
    <w:rsid w:val="007A5C2B"/>
    <w:rsid w:val="007A5C9A"/>
    <w:rsid w:val="007A61EE"/>
    <w:rsid w:val="007A6A65"/>
    <w:rsid w:val="007A6DF4"/>
    <w:rsid w:val="007A6E75"/>
    <w:rsid w:val="007A6EED"/>
    <w:rsid w:val="007A707E"/>
    <w:rsid w:val="007A71A0"/>
    <w:rsid w:val="007A71D9"/>
    <w:rsid w:val="007A7466"/>
    <w:rsid w:val="007A7D99"/>
    <w:rsid w:val="007A7F5A"/>
    <w:rsid w:val="007B02DA"/>
    <w:rsid w:val="007B0A2C"/>
    <w:rsid w:val="007B0BCA"/>
    <w:rsid w:val="007B0E48"/>
    <w:rsid w:val="007B12AD"/>
    <w:rsid w:val="007B16CF"/>
    <w:rsid w:val="007B1D37"/>
    <w:rsid w:val="007B1EA6"/>
    <w:rsid w:val="007B206E"/>
    <w:rsid w:val="007B2317"/>
    <w:rsid w:val="007B27E0"/>
    <w:rsid w:val="007B292B"/>
    <w:rsid w:val="007B2B64"/>
    <w:rsid w:val="007B3038"/>
    <w:rsid w:val="007B3380"/>
    <w:rsid w:val="007B4681"/>
    <w:rsid w:val="007B512D"/>
    <w:rsid w:val="007B524A"/>
    <w:rsid w:val="007B557F"/>
    <w:rsid w:val="007B59B8"/>
    <w:rsid w:val="007B5D73"/>
    <w:rsid w:val="007B6A64"/>
    <w:rsid w:val="007B7AA0"/>
    <w:rsid w:val="007B7B9B"/>
    <w:rsid w:val="007B7F3B"/>
    <w:rsid w:val="007C01A1"/>
    <w:rsid w:val="007C09CF"/>
    <w:rsid w:val="007C12C9"/>
    <w:rsid w:val="007C141B"/>
    <w:rsid w:val="007C16B0"/>
    <w:rsid w:val="007C1870"/>
    <w:rsid w:val="007C2462"/>
    <w:rsid w:val="007C2C2B"/>
    <w:rsid w:val="007C2F1D"/>
    <w:rsid w:val="007C3401"/>
    <w:rsid w:val="007C34F6"/>
    <w:rsid w:val="007C351D"/>
    <w:rsid w:val="007C400D"/>
    <w:rsid w:val="007C5061"/>
    <w:rsid w:val="007C5804"/>
    <w:rsid w:val="007C5DCB"/>
    <w:rsid w:val="007C62F4"/>
    <w:rsid w:val="007C65FD"/>
    <w:rsid w:val="007C6741"/>
    <w:rsid w:val="007D05BB"/>
    <w:rsid w:val="007D08E9"/>
    <w:rsid w:val="007D10C6"/>
    <w:rsid w:val="007D159B"/>
    <w:rsid w:val="007D15AC"/>
    <w:rsid w:val="007D1648"/>
    <w:rsid w:val="007D16C7"/>
    <w:rsid w:val="007D18EF"/>
    <w:rsid w:val="007D218F"/>
    <w:rsid w:val="007D2308"/>
    <w:rsid w:val="007D2A25"/>
    <w:rsid w:val="007D2B39"/>
    <w:rsid w:val="007D2CEA"/>
    <w:rsid w:val="007D36F7"/>
    <w:rsid w:val="007D3C54"/>
    <w:rsid w:val="007D3D1B"/>
    <w:rsid w:val="007D407A"/>
    <w:rsid w:val="007D42E1"/>
    <w:rsid w:val="007D4983"/>
    <w:rsid w:val="007D4EA4"/>
    <w:rsid w:val="007D5A6F"/>
    <w:rsid w:val="007D5B2A"/>
    <w:rsid w:val="007D600C"/>
    <w:rsid w:val="007D622C"/>
    <w:rsid w:val="007D6544"/>
    <w:rsid w:val="007D69A4"/>
    <w:rsid w:val="007D6AF6"/>
    <w:rsid w:val="007D6EE0"/>
    <w:rsid w:val="007D71FD"/>
    <w:rsid w:val="007D7F73"/>
    <w:rsid w:val="007E06DB"/>
    <w:rsid w:val="007E0AF8"/>
    <w:rsid w:val="007E151B"/>
    <w:rsid w:val="007E18AD"/>
    <w:rsid w:val="007E1C90"/>
    <w:rsid w:val="007E1E16"/>
    <w:rsid w:val="007E1F83"/>
    <w:rsid w:val="007E214B"/>
    <w:rsid w:val="007E27D6"/>
    <w:rsid w:val="007E294C"/>
    <w:rsid w:val="007E2983"/>
    <w:rsid w:val="007E29B9"/>
    <w:rsid w:val="007E2E6C"/>
    <w:rsid w:val="007E3A6E"/>
    <w:rsid w:val="007E40A2"/>
    <w:rsid w:val="007E4196"/>
    <w:rsid w:val="007E44F9"/>
    <w:rsid w:val="007E4A3A"/>
    <w:rsid w:val="007E4D17"/>
    <w:rsid w:val="007E5116"/>
    <w:rsid w:val="007E512D"/>
    <w:rsid w:val="007E5341"/>
    <w:rsid w:val="007E5593"/>
    <w:rsid w:val="007E55E1"/>
    <w:rsid w:val="007E5664"/>
    <w:rsid w:val="007E5DBA"/>
    <w:rsid w:val="007E64ED"/>
    <w:rsid w:val="007E6799"/>
    <w:rsid w:val="007E7228"/>
    <w:rsid w:val="007E726F"/>
    <w:rsid w:val="007E73EA"/>
    <w:rsid w:val="007E7898"/>
    <w:rsid w:val="007E7B14"/>
    <w:rsid w:val="007F0838"/>
    <w:rsid w:val="007F0900"/>
    <w:rsid w:val="007F0AE6"/>
    <w:rsid w:val="007F0D6E"/>
    <w:rsid w:val="007F0DF4"/>
    <w:rsid w:val="007F0EF3"/>
    <w:rsid w:val="007F1A5F"/>
    <w:rsid w:val="007F2E60"/>
    <w:rsid w:val="007F37B9"/>
    <w:rsid w:val="007F38BE"/>
    <w:rsid w:val="007F3AA0"/>
    <w:rsid w:val="007F3F58"/>
    <w:rsid w:val="007F414D"/>
    <w:rsid w:val="007F477E"/>
    <w:rsid w:val="007F4852"/>
    <w:rsid w:val="007F4DC9"/>
    <w:rsid w:val="007F535A"/>
    <w:rsid w:val="007F57BC"/>
    <w:rsid w:val="007F5A35"/>
    <w:rsid w:val="007F5B4E"/>
    <w:rsid w:val="007F6743"/>
    <w:rsid w:val="007F6B2D"/>
    <w:rsid w:val="007F6C45"/>
    <w:rsid w:val="007F6C99"/>
    <w:rsid w:val="007F6D79"/>
    <w:rsid w:val="007F6DA6"/>
    <w:rsid w:val="007F6FD4"/>
    <w:rsid w:val="007F7AAB"/>
    <w:rsid w:val="00800562"/>
    <w:rsid w:val="00800BDE"/>
    <w:rsid w:val="0080114C"/>
    <w:rsid w:val="0080165E"/>
    <w:rsid w:val="008017D6"/>
    <w:rsid w:val="00801B58"/>
    <w:rsid w:val="00801CE2"/>
    <w:rsid w:val="008029CB"/>
    <w:rsid w:val="00802B98"/>
    <w:rsid w:val="00802BA4"/>
    <w:rsid w:val="00802E9D"/>
    <w:rsid w:val="00802FB7"/>
    <w:rsid w:val="0080300E"/>
    <w:rsid w:val="008030F0"/>
    <w:rsid w:val="00803137"/>
    <w:rsid w:val="00804B1D"/>
    <w:rsid w:val="00804BF1"/>
    <w:rsid w:val="00805803"/>
    <w:rsid w:val="00805865"/>
    <w:rsid w:val="00805985"/>
    <w:rsid w:val="00805C0E"/>
    <w:rsid w:val="008063D8"/>
    <w:rsid w:val="008066C2"/>
    <w:rsid w:val="00806BEB"/>
    <w:rsid w:val="00807485"/>
    <w:rsid w:val="00807AF1"/>
    <w:rsid w:val="00807C1D"/>
    <w:rsid w:val="00810344"/>
    <w:rsid w:val="008105CB"/>
    <w:rsid w:val="0081237E"/>
    <w:rsid w:val="0081381A"/>
    <w:rsid w:val="00813A2A"/>
    <w:rsid w:val="00813AB1"/>
    <w:rsid w:val="00813D5A"/>
    <w:rsid w:val="00813DC8"/>
    <w:rsid w:val="00813E0B"/>
    <w:rsid w:val="00814036"/>
    <w:rsid w:val="008145B5"/>
    <w:rsid w:val="008145C9"/>
    <w:rsid w:val="00814932"/>
    <w:rsid w:val="00814F4C"/>
    <w:rsid w:val="008151D6"/>
    <w:rsid w:val="008151E3"/>
    <w:rsid w:val="008157C0"/>
    <w:rsid w:val="00815C1C"/>
    <w:rsid w:val="00817027"/>
    <w:rsid w:val="00817287"/>
    <w:rsid w:val="008172DA"/>
    <w:rsid w:val="00817A34"/>
    <w:rsid w:val="00817DA3"/>
    <w:rsid w:val="008202B2"/>
    <w:rsid w:val="008211D2"/>
    <w:rsid w:val="00821644"/>
    <w:rsid w:val="0082250D"/>
    <w:rsid w:val="0082277D"/>
    <w:rsid w:val="008227D4"/>
    <w:rsid w:val="008229B7"/>
    <w:rsid w:val="0082343D"/>
    <w:rsid w:val="00823595"/>
    <w:rsid w:val="00823AD6"/>
    <w:rsid w:val="00823DCD"/>
    <w:rsid w:val="00824712"/>
    <w:rsid w:val="008250A4"/>
    <w:rsid w:val="008263BA"/>
    <w:rsid w:val="00826B41"/>
    <w:rsid w:val="00827678"/>
    <w:rsid w:val="008308F0"/>
    <w:rsid w:val="00831002"/>
    <w:rsid w:val="0083108D"/>
    <w:rsid w:val="0083286A"/>
    <w:rsid w:val="00832B72"/>
    <w:rsid w:val="008333F3"/>
    <w:rsid w:val="008334BA"/>
    <w:rsid w:val="00833C62"/>
    <w:rsid w:val="00833DE3"/>
    <w:rsid w:val="008344AB"/>
    <w:rsid w:val="008347D5"/>
    <w:rsid w:val="00834ADC"/>
    <w:rsid w:val="00834DBD"/>
    <w:rsid w:val="00834DBE"/>
    <w:rsid w:val="00835250"/>
    <w:rsid w:val="008359E5"/>
    <w:rsid w:val="00835F8D"/>
    <w:rsid w:val="00835F94"/>
    <w:rsid w:val="00836891"/>
    <w:rsid w:val="00837351"/>
    <w:rsid w:val="00840345"/>
    <w:rsid w:val="008407C4"/>
    <w:rsid w:val="0084137B"/>
    <w:rsid w:val="00841466"/>
    <w:rsid w:val="0084194A"/>
    <w:rsid w:val="00841AE8"/>
    <w:rsid w:val="00841B3D"/>
    <w:rsid w:val="0084202C"/>
    <w:rsid w:val="00842B2A"/>
    <w:rsid w:val="00842E02"/>
    <w:rsid w:val="00843083"/>
    <w:rsid w:val="00843692"/>
    <w:rsid w:val="00844022"/>
    <w:rsid w:val="00844140"/>
    <w:rsid w:val="00844446"/>
    <w:rsid w:val="00844E59"/>
    <w:rsid w:val="00844E5E"/>
    <w:rsid w:val="00845242"/>
    <w:rsid w:val="0084542D"/>
    <w:rsid w:val="00845658"/>
    <w:rsid w:val="00845933"/>
    <w:rsid w:val="00845964"/>
    <w:rsid w:val="00845E07"/>
    <w:rsid w:val="008465D5"/>
    <w:rsid w:val="00846C4D"/>
    <w:rsid w:val="008473B7"/>
    <w:rsid w:val="0084743E"/>
    <w:rsid w:val="0084747B"/>
    <w:rsid w:val="008476AF"/>
    <w:rsid w:val="00847733"/>
    <w:rsid w:val="00850029"/>
    <w:rsid w:val="00850154"/>
    <w:rsid w:val="008502BB"/>
    <w:rsid w:val="00850EF8"/>
    <w:rsid w:val="00851187"/>
    <w:rsid w:val="008519BE"/>
    <w:rsid w:val="00852526"/>
    <w:rsid w:val="00852A2C"/>
    <w:rsid w:val="00852D1D"/>
    <w:rsid w:val="008530E8"/>
    <w:rsid w:val="00853863"/>
    <w:rsid w:val="00853A72"/>
    <w:rsid w:val="00854401"/>
    <w:rsid w:val="008548AF"/>
    <w:rsid w:val="008549BC"/>
    <w:rsid w:val="00854B54"/>
    <w:rsid w:val="00854C1D"/>
    <w:rsid w:val="008550FF"/>
    <w:rsid w:val="00855342"/>
    <w:rsid w:val="00855E32"/>
    <w:rsid w:val="00857006"/>
    <w:rsid w:val="00857C3C"/>
    <w:rsid w:val="0086071E"/>
    <w:rsid w:val="00860775"/>
    <w:rsid w:val="0086086C"/>
    <w:rsid w:val="0086125E"/>
    <w:rsid w:val="00861E69"/>
    <w:rsid w:val="00861F7C"/>
    <w:rsid w:val="008624F5"/>
    <w:rsid w:val="00862571"/>
    <w:rsid w:val="008625C5"/>
    <w:rsid w:val="008625F7"/>
    <w:rsid w:val="00862A5A"/>
    <w:rsid w:val="00862AA4"/>
    <w:rsid w:val="00863127"/>
    <w:rsid w:val="00863157"/>
    <w:rsid w:val="008638F2"/>
    <w:rsid w:val="0086394A"/>
    <w:rsid w:val="0086423C"/>
    <w:rsid w:val="00864297"/>
    <w:rsid w:val="008643B7"/>
    <w:rsid w:val="008645B6"/>
    <w:rsid w:val="00864D60"/>
    <w:rsid w:val="0086512B"/>
    <w:rsid w:val="00865543"/>
    <w:rsid w:val="00866438"/>
    <w:rsid w:val="00867666"/>
    <w:rsid w:val="0086777D"/>
    <w:rsid w:val="00867798"/>
    <w:rsid w:val="00867977"/>
    <w:rsid w:val="00867DAC"/>
    <w:rsid w:val="00867DC7"/>
    <w:rsid w:val="00870512"/>
    <w:rsid w:val="0087091A"/>
    <w:rsid w:val="00870A2A"/>
    <w:rsid w:val="00870AD1"/>
    <w:rsid w:val="00871151"/>
    <w:rsid w:val="0087143F"/>
    <w:rsid w:val="00872919"/>
    <w:rsid w:val="00872C2B"/>
    <w:rsid w:val="00873395"/>
    <w:rsid w:val="00873447"/>
    <w:rsid w:val="0087357A"/>
    <w:rsid w:val="00873778"/>
    <w:rsid w:val="00873C9C"/>
    <w:rsid w:val="0087426B"/>
    <w:rsid w:val="008744BD"/>
    <w:rsid w:val="00874F0D"/>
    <w:rsid w:val="00875192"/>
    <w:rsid w:val="00875359"/>
    <w:rsid w:val="00875A0B"/>
    <w:rsid w:val="0087603B"/>
    <w:rsid w:val="008773E7"/>
    <w:rsid w:val="008774AF"/>
    <w:rsid w:val="008776E5"/>
    <w:rsid w:val="00877DCD"/>
    <w:rsid w:val="00877E1E"/>
    <w:rsid w:val="008800D4"/>
    <w:rsid w:val="008803D5"/>
    <w:rsid w:val="00880F41"/>
    <w:rsid w:val="00881083"/>
    <w:rsid w:val="008812A7"/>
    <w:rsid w:val="0088130F"/>
    <w:rsid w:val="00881A4D"/>
    <w:rsid w:val="00881C14"/>
    <w:rsid w:val="00881E98"/>
    <w:rsid w:val="00882149"/>
    <w:rsid w:val="0088237F"/>
    <w:rsid w:val="008827CD"/>
    <w:rsid w:val="0088295E"/>
    <w:rsid w:val="0088299C"/>
    <w:rsid w:val="00882EA1"/>
    <w:rsid w:val="00882F8D"/>
    <w:rsid w:val="008831A1"/>
    <w:rsid w:val="008832C4"/>
    <w:rsid w:val="00883932"/>
    <w:rsid w:val="008861D8"/>
    <w:rsid w:val="00886422"/>
    <w:rsid w:val="00886671"/>
    <w:rsid w:val="008873E3"/>
    <w:rsid w:val="00887407"/>
    <w:rsid w:val="00887547"/>
    <w:rsid w:val="008875A0"/>
    <w:rsid w:val="00887F57"/>
    <w:rsid w:val="00887FA3"/>
    <w:rsid w:val="00890BA2"/>
    <w:rsid w:val="00891034"/>
    <w:rsid w:val="008911D0"/>
    <w:rsid w:val="008913D2"/>
    <w:rsid w:val="00891681"/>
    <w:rsid w:val="00892B43"/>
    <w:rsid w:val="00892C32"/>
    <w:rsid w:val="00893ED1"/>
    <w:rsid w:val="008943E5"/>
    <w:rsid w:val="0089454B"/>
    <w:rsid w:val="00894DE5"/>
    <w:rsid w:val="008953D2"/>
    <w:rsid w:val="00895B04"/>
    <w:rsid w:val="008969F0"/>
    <w:rsid w:val="00896AD8"/>
    <w:rsid w:val="00896B81"/>
    <w:rsid w:val="00896CC2"/>
    <w:rsid w:val="00896E2B"/>
    <w:rsid w:val="008970E1"/>
    <w:rsid w:val="00897215"/>
    <w:rsid w:val="00897C17"/>
    <w:rsid w:val="00897C51"/>
    <w:rsid w:val="008A0B4D"/>
    <w:rsid w:val="008A0DE2"/>
    <w:rsid w:val="008A0EE4"/>
    <w:rsid w:val="008A196C"/>
    <w:rsid w:val="008A1E74"/>
    <w:rsid w:val="008A1FCC"/>
    <w:rsid w:val="008A485C"/>
    <w:rsid w:val="008A4A06"/>
    <w:rsid w:val="008A4BE3"/>
    <w:rsid w:val="008A4DFA"/>
    <w:rsid w:val="008A4EA0"/>
    <w:rsid w:val="008A4F7E"/>
    <w:rsid w:val="008A5237"/>
    <w:rsid w:val="008A5C57"/>
    <w:rsid w:val="008A60CA"/>
    <w:rsid w:val="008A62CA"/>
    <w:rsid w:val="008A6491"/>
    <w:rsid w:val="008A66C0"/>
    <w:rsid w:val="008A6AA9"/>
    <w:rsid w:val="008A6C39"/>
    <w:rsid w:val="008A6D9B"/>
    <w:rsid w:val="008A738C"/>
    <w:rsid w:val="008A7534"/>
    <w:rsid w:val="008A79C7"/>
    <w:rsid w:val="008A7A27"/>
    <w:rsid w:val="008B04BC"/>
    <w:rsid w:val="008B0742"/>
    <w:rsid w:val="008B190C"/>
    <w:rsid w:val="008B2303"/>
    <w:rsid w:val="008B2407"/>
    <w:rsid w:val="008B283B"/>
    <w:rsid w:val="008B34CA"/>
    <w:rsid w:val="008B3CE8"/>
    <w:rsid w:val="008B474D"/>
    <w:rsid w:val="008B5599"/>
    <w:rsid w:val="008B5A1D"/>
    <w:rsid w:val="008B6385"/>
    <w:rsid w:val="008B655B"/>
    <w:rsid w:val="008B6D18"/>
    <w:rsid w:val="008B700D"/>
    <w:rsid w:val="008B7757"/>
    <w:rsid w:val="008B7F65"/>
    <w:rsid w:val="008C078A"/>
    <w:rsid w:val="008C0EED"/>
    <w:rsid w:val="008C1419"/>
    <w:rsid w:val="008C146F"/>
    <w:rsid w:val="008C1559"/>
    <w:rsid w:val="008C1811"/>
    <w:rsid w:val="008C1905"/>
    <w:rsid w:val="008C1BC1"/>
    <w:rsid w:val="008C1D06"/>
    <w:rsid w:val="008C1FDE"/>
    <w:rsid w:val="008C28C7"/>
    <w:rsid w:val="008C2C11"/>
    <w:rsid w:val="008C30D3"/>
    <w:rsid w:val="008C3819"/>
    <w:rsid w:val="008C3982"/>
    <w:rsid w:val="008C4185"/>
    <w:rsid w:val="008C4457"/>
    <w:rsid w:val="008C48F9"/>
    <w:rsid w:val="008C4EE2"/>
    <w:rsid w:val="008C5FAC"/>
    <w:rsid w:val="008C7BD6"/>
    <w:rsid w:val="008C7EBD"/>
    <w:rsid w:val="008C7F81"/>
    <w:rsid w:val="008D0043"/>
    <w:rsid w:val="008D05ED"/>
    <w:rsid w:val="008D09B5"/>
    <w:rsid w:val="008D0C0A"/>
    <w:rsid w:val="008D1D20"/>
    <w:rsid w:val="008D1F37"/>
    <w:rsid w:val="008D327D"/>
    <w:rsid w:val="008D3353"/>
    <w:rsid w:val="008D33FA"/>
    <w:rsid w:val="008D3A17"/>
    <w:rsid w:val="008D3D2E"/>
    <w:rsid w:val="008D3D7F"/>
    <w:rsid w:val="008D3E11"/>
    <w:rsid w:val="008D3F12"/>
    <w:rsid w:val="008D4904"/>
    <w:rsid w:val="008D4937"/>
    <w:rsid w:val="008D4A1B"/>
    <w:rsid w:val="008D51D3"/>
    <w:rsid w:val="008D55EB"/>
    <w:rsid w:val="008D5645"/>
    <w:rsid w:val="008D57B6"/>
    <w:rsid w:val="008D5E6A"/>
    <w:rsid w:val="008D60D8"/>
    <w:rsid w:val="008D6103"/>
    <w:rsid w:val="008D61AE"/>
    <w:rsid w:val="008D6F19"/>
    <w:rsid w:val="008D7114"/>
    <w:rsid w:val="008D71F0"/>
    <w:rsid w:val="008E084F"/>
    <w:rsid w:val="008E08A1"/>
    <w:rsid w:val="008E08BA"/>
    <w:rsid w:val="008E0CD7"/>
    <w:rsid w:val="008E1367"/>
    <w:rsid w:val="008E1543"/>
    <w:rsid w:val="008E1632"/>
    <w:rsid w:val="008E2A13"/>
    <w:rsid w:val="008E2AA3"/>
    <w:rsid w:val="008E3137"/>
    <w:rsid w:val="008E33C1"/>
    <w:rsid w:val="008E36CA"/>
    <w:rsid w:val="008E3701"/>
    <w:rsid w:val="008E40AA"/>
    <w:rsid w:val="008E40DE"/>
    <w:rsid w:val="008E4184"/>
    <w:rsid w:val="008E43B6"/>
    <w:rsid w:val="008E558B"/>
    <w:rsid w:val="008E560B"/>
    <w:rsid w:val="008E59C5"/>
    <w:rsid w:val="008E5A67"/>
    <w:rsid w:val="008E5A8F"/>
    <w:rsid w:val="008E5DA2"/>
    <w:rsid w:val="008E64CF"/>
    <w:rsid w:val="008E6675"/>
    <w:rsid w:val="008E66A0"/>
    <w:rsid w:val="008E6819"/>
    <w:rsid w:val="008E6966"/>
    <w:rsid w:val="008E6C48"/>
    <w:rsid w:val="008E7572"/>
    <w:rsid w:val="008E77C8"/>
    <w:rsid w:val="008F0152"/>
    <w:rsid w:val="008F0251"/>
    <w:rsid w:val="008F04B5"/>
    <w:rsid w:val="008F05EC"/>
    <w:rsid w:val="008F08D0"/>
    <w:rsid w:val="008F10A3"/>
    <w:rsid w:val="008F1CEB"/>
    <w:rsid w:val="008F2385"/>
    <w:rsid w:val="008F266D"/>
    <w:rsid w:val="008F3D31"/>
    <w:rsid w:val="008F46E8"/>
    <w:rsid w:val="008F5D4F"/>
    <w:rsid w:val="008F5F26"/>
    <w:rsid w:val="008F5F92"/>
    <w:rsid w:val="008F6199"/>
    <w:rsid w:val="008F65B4"/>
    <w:rsid w:val="008F65E7"/>
    <w:rsid w:val="008F6655"/>
    <w:rsid w:val="008F6689"/>
    <w:rsid w:val="008F67BA"/>
    <w:rsid w:val="008F6AAF"/>
    <w:rsid w:val="008F7CEC"/>
    <w:rsid w:val="008F7D5B"/>
    <w:rsid w:val="009003C5"/>
    <w:rsid w:val="00900BCF"/>
    <w:rsid w:val="0090163E"/>
    <w:rsid w:val="00901755"/>
    <w:rsid w:val="009018A9"/>
    <w:rsid w:val="00901CF9"/>
    <w:rsid w:val="00901EE6"/>
    <w:rsid w:val="0090230D"/>
    <w:rsid w:val="00902837"/>
    <w:rsid w:val="00902A3F"/>
    <w:rsid w:val="00902DF0"/>
    <w:rsid w:val="00902FCE"/>
    <w:rsid w:val="009036E4"/>
    <w:rsid w:val="0090403E"/>
    <w:rsid w:val="0090471F"/>
    <w:rsid w:val="009054E3"/>
    <w:rsid w:val="00906500"/>
    <w:rsid w:val="0090691F"/>
    <w:rsid w:val="0090706C"/>
    <w:rsid w:val="009073A9"/>
    <w:rsid w:val="009073F0"/>
    <w:rsid w:val="00907419"/>
    <w:rsid w:val="0090743B"/>
    <w:rsid w:val="009074F5"/>
    <w:rsid w:val="00907756"/>
    <w:rsid w:val="00907C6C"/>
    <w:rsid w:val="00907E16"/>
    <w:rsid w:val="009106E9"/>
    <w:rsid w:val="00910B11"/>
    <w:rsid w:val="00910E16"/>
    <w:rsid w:val="009110F8"/>
    <w:rsid w:val="009116ED"/>
    <w:rsid w:val="00912F2D"/>
    <w:rsid w:val="00912F79"/>
    <w:rsid w:val="009130F7"/>
    <w:rsid w:val="009133D1"/>
    <w:rsid w:val="009134DC"/>
    <w:rsid w:val="00913CF6"/>
    <w:rsid w:val="00914015"/>
    <w:rsid w:val="00914046"/>
    <w:rsid w:val="0091406A"/>
    <w:rsid w:val="009148D9"/>
    <w:rsid w:val="0091666E"/>
    <w:rsid w:val="00916BF2"/>
    <w:rsid w:val="0092030C"/>
    <w:rsid w:val="009203B8"/>
    <w:rsid w:val="009204B6"/>
    <w:rsid w:val="009207AE"/>
    <w:rsid w:val="00920A70"/>
    <w:rsid w:val="00920AFF"/>
    <w:rsid w:val="009210BF"/>
    <w:rsid w:val="00921847"/>
    <w:rsid w:val="00921A7A"/>
    <w:rsid w:val="00921AD2"/>
    <w:rsid w:val="00921BB2"/>
    <w:rsid w:val="00921C48"/>
    <w:rsid w:val="00921FEB"/>
    <w:rsid w:val="00922740"/>
    <w:rsid w:val="00922DDD"/>
    <w:rsid w:val="009236B9"/>
    <w:rsid w:val="00923973"/>
    <w:rsid w:val="0092481F"/>
    <w:rsid w:val="0092495A"/>
    <w:rsid w:val="00924B2C"/>
    <w:rsid w:val="00924CA1"/>
    <w:rsid w:val="00924CC9"/>
    <w:rsid w:val="00924D30"/>
    <w:rsid w:val="00924DEB"/>
    <w:rsid w:val="00924EA3"/>
    <w:rsid w:val="00924FBA"/>
    <w:rsid w:val="00925329"/>
    <w:rsid w:val="00925591"/>
    <w:rsid w:val="00925EC6"/>
    <w:rsid w:val="00926427"/>
    <w:rsid w:val="0092654D"/>
    <w:rsid w:val="00926B93"/>
    <w:rsid w:val="00926C11"/>
    <w:rsid w:val="00927085"/>
    <w:rsid w:val="009270DD"/>
    <w:rsid w:val="0092763C"/>
    <w:rsid w:val="0092795E"/>
    <w:rsid w:val="00927997"/>
    <w:rsid w:val="00927D51"/>
    <w:rsid w:val="00930118"/>
    <w:rsid w:val="0093021D"/>
    <w:rsid w:val="00930627"/>
    <w:rsid w:val="00930D99"/>
    <w:rsid w:val="00930E58"/>
    <w:rsid w:val="00930E9A"/>
    <w:rsid w:val="0093139F"/>
    <w:rsid w:val="0093176E"/>
    <w:rsid w:val="0093180B"/>
    <w:rsid w:val="009319DA"/>
    <w:rsid w:val="00932068"/>
    <w:rsid w:val="0093230C"/>
    <w:rsid w:val="00932589"/>
    <w:rsid w:val="0093294E"/>
    <w:rsid w:val="00932F6B"/>
    <w:rsid w:val="00933182"/>
    <w:rsid w:val="0093347C"/>
    <w:rsid w:val="00933481"/>
    <w:rsid w:val="00933908"/>
    <w:rsid w:val="0093424D"/>
    <w:rsid w:val="009345A5"/>
    <w:rsid w:val="00934657"/>
    <w:rsid w:val="00934C44"/>
    <w:rsid w:val="00935C30"/>
    <w:rsid w:val="00935E66"/>
    <w:rsid w:val="00936271"/>
    <w:rsid w:val="00936305"/>
    <w:rsid w:val="00936784"/>
    <w:rsid w:val="009371F1"/>
    <w:rsid w:val="00937371"/>
    <w:rsid w:val="00937BDE"/>
    <w:rsid w:val="00940B48"/>
    <w:rsid w:val="00940C2B"/>
    <w:rsid w:val="009411F0"/>
    <w:rsid w:val="00941235"/>
    <w:rsid w:val="00941743"/>
    <w:rsid w:val="00941B82"/>
    <w:rsid w:val="009425B6"/>
    <w:rsid w:val="00942728"/>
    <w:rsid w:val="009427D7"/>
    <w:rsid w:val="00942C1A"/>
    <w:rsid w:val="00942DD2"/>
    <w:rsid w:val="00942E45"/>
    <w:rsid w:val="0094314D"/>
    <w:rsid w:val="0094330D"/>
    <w:rsid w:val="00943435"/>
    <w:rsid w:val="0094344A"/>
    <w:rsid w:val="009436EC"/>
    <w:rsid w:val="009446E0"/>
    <w:rsid w:val="00944D36"/>
    <w:rsid w:val="00944F80"/>
    <w:rsid w:val="009450CF"/>
    <w:rsid w:val="0094590D"/>
    <w:rsid w:val="00945C5B"/>
    <w:rsid w:val="009467DB"/>
    <w:rsid w:val="00946A8B"/>
    <w:rsid w:val="00946D49"/>
    <w:rsid w:val="00947D37"/>
    <w:rsid w:val="009500A3"/>
    <w:rsid w:val="009504B0"/>
    <w:rsid w:val="00950A6E"/>
    <w:rsid w:val="00950CA4"/>
    <w:rsid w:val="00951297"/>
    <w:rsid w:val="00952044"/>
    <w:rsid w:val="009525E3"/>
    <w:rsid w:val="009525F5"/>
    <w:rsid w:val="00952B1C"/>
    <w:rsid w:val="00952C70"/>
    <w:rsid w:val="0095311E"/>
    <w:rsid w:val="0095314E"/>
    <w:rsid w:val="009540D5"/>
    <w:rsid w:val="00954A3B"/>
    <w:rsid w:val="0095527E"/>
    <w:rsid w:val="00955CDB"/>
    <w:rsid w:val="00955ED6"/>
    <w:rsid w:val="0095616E"/>
    <w:rsid w:val="009561C4"/>
    <w:rsid w:val="0095659B"/>
    <w:rsid w:val="00956623"/>
    <w:rsid w:val="00957896"/>
    <w:rsid w:val="00957B3F"/>
    <w:rsid w:val="00957F86"/>
    <w:rsid w:val="00960362"/>
    <w:rsid w:val="00960AC0"/>
    <w:rsid w:val="00960BAA"/>
    <w:rsid w:val="00960FD5"/>
    <w:rsid w:val="009618D4"/>
    <w:rsid w:val="00961B36"/>
    <w:rsid w:val="009620AE"/>
    <w:rsid w:val="00962206"/>
    <w:rsid w:val="00962512"/>
    <w:rsid w:val="00962685"/>
    <w:rsid w:val="00962912"/>
    <w:rsid w:val="00962F37"/>
    <w:rsid w:val="00963442"/>
    <w:rsid w:val="009638EF"/>
    <w:rsid w:val="00963C35"/>
    <w:rsid w:val="00963FAB"/>
    <w:rsid w:val="009641DE"/>
    <w:rsid w:val="009643B7"/>
    <w:rsid w:val="00964439"/>
    <w:rsid w:val="009649D9"/>
    <w:rsid w:val="00964CEE"/>
    <w:rsid w:val="00965106"/>
    <w:rsid w:val="0096527E"/>
    <w:rsid w:val="009655F7"/>
    <w:rsid w:val="009658F2"/>
    <w:rsid w:val="00965CC5"/>
    <w:rsid w:val="009676EC"/>
    <w:rsid w:val="00967AB6"/>
    <w:rsid w:val="00967E41"/>
    <w:rsid w:val="00970C14"/>
    <w:rsid w:val="00971130"/>
    <w:rsid w:val="009712AB"/>
    <w:rsid w:val="0097152A"/>
    <w:rsid w:val="0097155D"/>
    <w:rsid w:val="0097197C"/>
    <w:rsid w:val="009721F3"/>
    <w:rsid w:val="009722AB"/>
    <w:rsid w:val="0097288F"/>
    <w:rsid w:val="009734AA"/>
    <w:rsid w:val="009737DC"/>
    <w:rsid w:val="00973C2F"/>
    <w:rsid w:val="00973FAA"/>
    <w:rsid w:val="009741B3"/>
    <w:rsid w:val="009747D8"/>
    <w:rsid w:val="00974C97"/>
    <w:rsid w:val="00974CFC"/>
    <w:rsid w:val="00974DE3"/>
    <w:rsid w:val="00975F2F"/>
    <w:rsid w:val="00977A20"/>
    <w:rsid w:val="00980A12"/>
    <w:rsid w:val="00980B59"/>
    <w:rsid w:val="00980BED"/>
    <w:rsid w:val="00980C26"/>
    <w:rsid w:val="00980F5A"/>
    <w:rsid w:val="009811A6"/>
    <w:rsid w:val="009817D8"/>
    <w:rsid w:val="009818F3"/>
    <w:rsid w:val="00981FAC"/>
    <w:rsid w:val="00982220"/>
    <w:rsid w:val="0098250A"/>
    <w:rsid w:val="00983AF3"/>
    <w:rsid w:val="00983B20"/>
    <w:rsid w:val="00983E5D"/>
    <w:rsid w:val="00983F9D"/>
    <w:rsid w:val="00983FA1"/>
    <w:rsid w:val="009840E8"/>
    <w:rsid w:val="009843C3"/>
    <w:rsid w:val="00984CE8"/>
    <w:rsid w:val="00985B24"/>
    <w:rsid w:val="00985E8E"/>
    <w:rsid w:val="0098671F"/>
    <w:rsid w:val="00986A68"/>
    <w:rsid w:val="00987295"/>
    <w:rsid w:val="0098744F"/>
    <w:rsid w:val="00987E89"/>
    <w:rsid w:val="00987EA1"/>
    <w:rsid w:val="00990033"/>
    <w:rsid w:val="0099024C"/>
    <w:rsid w:val="00990A95"/>
    <w:rsid w:val="00990D7D"/>
    <w:rsid w:val="00990ED1"/>
    <w:rsid w:val="009913FB"/>
    <w:rsid w:val="0099141A"/>
    <w:rsid w:val="009914A6"/>
    <w:rsid w:val="00991B54"/>
    <w:rsid w:val="00991CFC"/>
    <w:rsid w:val="00991FE6"/>
    <w:rsid w:val="00992655"/>
    <w:rsid w:val="00992EBF"/>
    <w:rsid w:val="00993239"/>
    <w:rsid w:val="0099387E"/>
    <w:rsid w:val="00993C69"/>
    <w:rsid w:val="00994426"/>
    <w:rsid w:val="0099461B"/>
    <w:rsid w:val="00994715"/>
    <w:rsid w:val="0099472F"/>
    <w:rsid w:val="0099665E"/>
    <w:rsid w:val="00996B99"/>
    <w:rsid w:val="00997C1C"/>
    <w:rsid w:val="00997D99"/>
    <w:rsid w:val="009A00A7"/>
    <w:rsid w:val="009A0118"/>
    <w:rsid w:val="009A0C31"/>
    <w:rsid w:val="009A12CB"/>
    <w:rsid w:val="009A16EB"/>
    <w:rsid w:val="009A1CF3"/>
    <w:rsid w:val="009A2F9E"/>
    <w:rsid w:val="009A3282"/>
    <w:rsid w:val="009A40D5"/>
    <w:rsid w:val="009A4150"/>
    <w:rsid w:val="009A459B"/>
    <w:rsid w:val="009A4AC1"/>
    <w:rsid w:val="009A544F"/>
    <w:rsid w:val="009A5815"/>
    <w:rsid w:val="009A5A63"/>
    <w:rsid w:val="009A69AD"/>
    <w:rsid w:val="009A6FA6"/>
    <w:rsid w:val="009A732D"/>
    <w:rsid w:val="009A7E01"/>
    <w:rsid w:val="009B0324"/>
    <w:rsid w:val="009B1D23"/>
    <w:rsid w:val="009B1E52"/>
    <w:rsid w:val="009B200F"/>
    <w:rsid w:val="009B2B83"/>
    <w:rsid w:val="009B2C40"/>
    <w:rsid w:val="009B2CF8"/>
    <w:rsid w:val="009B2D3E"/>
    <w:rsid w:val="009B3090"/>
    <w:rsid w:val="009B326E"/>
    <w:rsid w:val="009B33A7"/>
    <w:rsid w:val="009B45A4"/>
    <w:rsid w:val="009B5295"/>
    <w:rsid w:val="009B5359"/>
    <w:rsid w:val="009B5E74"/>
    <w:rsid w:val="009B6AD5"/>
    <w:rsid w:val="009B6F26"/>
    <w:rsid w:val="009B712D"/>
    <w:rsid w:val="009B71C1"/>
    <w:rsid w:val="009B7A2D"/>
    <w:rsid w:val="009C00A9"/>
    <w:rsid w:val="009C0964"/>
    <w:rsid w:val="009C0A1A"/>
    <w:rsid w:val="009C0AD8"/>
    <w:rsid w:val="009C159F"/>
    <w:rsid w:val="009C17BB"/>
    <w:rsid w:val="009C187D"/>
    <w:rsid w:val="009C19CC"/>
    <w:rsid w:val="009C237A"/>
    <w:rsid w:val="009C27B9"/>
    <w:rsid w:val="009C2C79"/>
    <w:rsid w:val="009C2E1C"/>
    <w:rsid w:val="009C3279"/>
    <w:rsid w:val="009C33F5"/>
    <w:rsid w:val="009C34BB"/>
    <w:rsid w:val="009C39E7"/>
    <w:rsid w:val="009C3F3F"/>
    <w:rsid w:val="009C4A3A"/>
    <w:rsid w:val="009C4AA3"/>
    <w:rsid w:val="009C515B"/>
    <w:rsid w:val="009C559A"/>
    <w:rsid w:val="009C65E2"/>
    <w:rsid w:val="009C738D"/>
    <w:rsid w:val="009C7716"/>
    <w:rsid w:val="009C7E5A"/>
    <w:rsid w:val="009C7F8E"/>
    <w:rsid w:val="009D061C"/>
    <w:rsid w:val="009D0A71"/>
    <w:rsid w:val="009D0E00"/>
    <w:rsid w:val="009D0EF2"/>
    <w:rsid w:val="009D104F"/>
    <w:rsid w:val="009D168D"/>
    <w:rsid w:val="009D1B27"/>
    <w:rsid w:val="009D1BC4"/>
    <w:rsid w:val="009D1F78"/>
    <w:rsid w:val="009D29F0"/>
    <w:rsid w:val="009D2E56"/>
    <w:rsid w:val="009D31FC"/>
    <w:rsid w:val="009D33D7"/>
    <w:rsid w:val="009D3523"/>
    <w:rsid w:val="009D3667"/>
    <w:rsid w:val="009D3744"/>
    <w:rsid w:val="009D37BD"/>
    <w:rsid w:val="009D3CDB"/>
    <w:rsid w:val="009D3D38"/>
    <w:rsid w:val="009D45F5"/>
    <w:rsid w:val="009D4621"/>
    <w:rsid w:val="009D50FA"/>
    <w:rsid w:val="009D52AE"/>
    <w:rsid w:val="009D53DF"/>
    <w:rsid w:val="009D5880"/>
    <w:rsid w:val="009D5EFA"/>
    <w:rsid w:val="009D60DF"/>
    <w:rsid w:val="009D699E"/>
    <w:rsid w:val="009D6A07"/>
    <w:rsid w:val="009D6DAA"/>
    <w:rsid w:val="009D7357"/>
    <w:rsid w:val="009D75A4"/>
    <w:rsid w:val="009D778E"/>
    <w:rsid w:val="009D7D57"/>
    <w:rsid w:val="009D7E69"/>
    <w:rsid w:val="009E0507"/>
    <w:rsid w:val="009E14F4"/>
    <w:rsid w:val="009E1C10"/>
    <w:rsid w:val="009E20BC"/>
    <w:rsid w:val="009E2474"/>
    <w:rsid w:val="009E24A6"/>
    <w:rsid w:val="009E258E"/>
    <w:rsid w:val="009E2799"/>
    <w:rsid w:val="009E29CD"/>
    <w:rsid w:val="009E2F89"/>
    <w:rsid w:val="009E3065"/>
    <w:rsid w:val="009E3114"/>
    <w:rsid w:val="009E326A"/>
    <w:rsid w:val="009E3B76"/>
    <w:rsid w:val="009E49E1"/>
    <w:rsid w:val="009E4C6B"/>
    <w:rsid w:val="009E585E"/>
    <w:rsid w:val="009E6675"/>
    <w:rsid w:val="009E69FC"/>
    <w:rsid w:val="009E6C7B"/>
    <w:rsid w:val="009E6E89"/>
    <w:rsid w:val="009E6EEF"/>
    <w:rsid w:val="009E72B0"/>
    <w:rsid w:val="009E778B"/>
    <w:rsid w:val="009F0689"/>
    <w:rsid w:val="009F077F"/>
    <w:rsid w:val="009F08CD"/>
    <w:rsid w:val="009F0B41"/>
    <w:rsid w:val="009F11A8"/>
    <w:rsid w:val="009F1F09"/>
    <w:rsid w:val="009F232B"/>
    <w:rsid w:val="009F2962"/>
    <w:rsid w:val="009F2C67"/>
    <w:rsid w:val="009F43A8"/>
    <w:rsid w:val="009F4ABA"/>
    <w:rsid w:val="009F4D63"/>
    <w:rsid w:val="009F4F06"/>
    <w:rsid w:val="009F52BB"/>
    <w:rsid w:val="009F562A"/>
    <w:rsid w:val="009F5A5F"/>
    <w:rsid w:val="009F5C51"/>
    <w:rsid w:val="009F67C9"/>
    <w:rsid w:val="009F6C99"/>
    <w:rsid w:val="009F6F5D"/>
    <w:rsid w:val="009F6FFE"/>
    <w:rsid w:val="009F731F"/>
    <w:rsid w:val="009F7B14"/>
    <w:rsid w:val="009F7F8A"/>
    <w:rsid w:val="00A005A8"/>
    <w:rsid w:val="00A007C2"/>
    <w:rsid w:val="00A00E37"/>
    <w:rsid w:val="00A00F97"/>
    <w:rsid w:val="00A011FF"/>
    <w:rsid w:val="00A01358"/>
    <w:rsid w:val="00A01552"/>
    <w:rsid w:val="00A018D9"/>
    <w:rsid w:val="00A01983"/>
    <w:rsid w:val="00A021C4"/>
    <w:rsid w:val="00A024E2"/>
    <w:rsid w:val="00A03506"/>
    <w:rsid w:val="00A03AE1"/>
    <w:rsid w:val="00A03F2F"/>
    <w:rsid w:val="00A0410F"/>
    <w:rsid w:val="00A04DA3"/>
    <w:rsid w:val="00A055CF"/>
    <w:rsid w:val="00A056C0"/>
    <w:rsid w:val="00A05762"/>
    <w:rsid w:val="00A0586A"/>
    <w:rsid w:val="00A058DA"/>
    <w:rsid w:val="00A05FE3"/>
    <w:rsid w:val="00A064AB"/>
    <w:rsid w:val="00A06E32"/>
    <w:rsid w:val="00A06EC7"/>
    <w:rsid w:val="00A072EF"/>
    <w:rsid w:val="00A079C4"/>
    <w:rsid w:val="00A07E2F"/>
    <w:rsid w:val="00A07F86"/>
    <w:rsid w:val="00A07FCC"/>
    <w:rsid w:val="00A10C51"/>
    <w:rsid w:val="00A119B9"/>
    <w:rsid w:val="00A11B32"/>
    <w:rsid w:val="00A125B3"/>
    <w:rsid w:val="00A1388D"/>
    <w:rsid w:val="00A13E8B"/>
    <w:rsid w:val="00A143F5"/>
    <w:rsid w:val="00A14F8B"/>
    <w:rsid w:val="00A15511"/>
    <w:rsid w:val="00A1567E"/>
    <w:rsid w:val="00A15837"/>
    <w:rsid w:val="00A15F42"/>
    <w:rsid w:val="00A161BA"/>
    <w:rsid w:val="00A1669A"/>
    <w:rsid w:val="00A168A3"/>
    <w:rsid w:val="00A16E32"/>
    <w:rsid w:val="00A16EE4"/>
    <w:rsid w:val="00A17256"/>
    <w:rsid w:val="00A175E3"/>
    <w:rsid w:val="00A179DA"/>
    <w:rsid w:val="00A2026C"/>
    <w:rsid w:val="00A202E8"/>
    <w:rsid w:val="00A2045E"/>
    <w:rsid w:val="00A20A13"/>
    <w:rsid w:val="00A210CB"/>
    <w:rsid w:val="00A217A3"/>
    <w:rsid w:val="00A2238E"/>
    <w:rsid w:val="00A22492"/>
    <w:rsid w:val="00A225AF"/>
    <w:rsid w:val="00A22784"/>
    <w:rsid w:val="00A229B1"/>
    <w:rsid w:val="00A22CD6"/>
    <w:rsid w:val="00A22D12"/>
    <w:rsid w:val="00A22F12"/>
    <w:rsid w:val="00A241A2"/>
    <w:rsid w:val="00A24F17"/>
    <w:rsid w:val="00A24F56"/>
    <w:rsid w:val="00A251A3"/>
    <w:rsid w:val="00A253AE"/>
    <w:rsid w:val="00A25511"/>
    <w:rsid w:val="00A25A7E"/>
    <w:rsid w:val="00A265B5"/>
    <w:rsid w:val="00A26C41"/>
    <w:rsid w:val="00A277B6"/>
    <w:rsid w:val="00A27F37"/>
    <w:rsid w:val="00A30000"/>
    <w:rsid w:val="00A30AE9"/>
    <w:rsid w:val="00A30AF3"/>
    <w:rsid w:val="00A30CB9"/>
    <w:rsid w:val="00A315A2"/>
    <w:rsid w:val="00A31D1B"/>
    <w:rsid w:val="00A32309"/>
    <w:rsid w:val="00A3246A"/>
    <w:rsid w:val="00A32537"/>
    <w:rsid w:val="00A326AE"/>
    <w:rsid w:val="00A327D5"/>
    <w:rsid w:val="00A32A6D"/>
    <w:rsid w:val="00A32C7F"/>
    <w:rsid w:val="00A32E17"/>
    <w:rsid w:val="00A336E0"/>
    <w:rsid w:val="00A3374E"/>
    <w:rsid w:val="00A33B54"/>
    <w:rsid w:val="00A34682"/>
    <w:rsid w:val="00A34F27"/>
    <w:rsid w:val="00A3507C"/>
    <w:rsid w:val="00A350E2"/>
    <w:rsid w:val="00A35828"/>
    <w:rsid w:val="00A35CE6"/>
    <w:rsid w:val="00A3622C"/>
    <w:rsid w:val="00A36943"/>
    <w:rsid w:val="00A36AFB"/>
    <w:rsid w:val="00A36CF2"/>
    <w:rsid w:val="00A36D02"/>
    <w:rsid w:val="00A37423"/>
    <w:rsid w:val="00A377CB"/>
    <w:rsid w:val="00A37FB8"/>
    <w:rsid w:val="00A40271"/>
    <w:rsid w:val="00A409EA"/>
    <w:rsid w:val="00A40B77"/>
    <w:rsid w:val="00A411EF"/>
    <w:rsid w:val="00A41727"/>
    <w:rsid w:val="00A4172F"/>
    <w:rsid w:val="00A41D16"/>
    <w:rsid w:val="00A41EF8"/>
    <w:rsid w:val="00A423A8"/>
    <w:rsid w:val="00A42BCF"/>
    <w:rsid w:val="00A43C90"/>
    <w:rsid w:val="00A44048"/>
    <w:rsid w:val="00A44438"/>
    <w:rsid w:val="00A44518"/>
    <w:rsid w:val="00A44FF9"/>
    <w:rsid w:val="00A45CED"/>
    <w:rsid w:val="00A46572"/>
    <w:rsid w:val="00A46668"/>
    <w:rsid w:val="00A46C09"/>
    <w:rsid w:val="00A46F59"/>
    <w:rsid w:val="00A4729D"/>
    <w:rsid w:val="00A47691"/>
    <w:rsid w:val="00A477BF"/>
    <w:rsid w:val="00A47C1D"/>
    <w:rsid w:val="00A47DCD"/>
    <w:rsid w:val="00A47F6A"/>
    <w:rsid w:val="00A50257"/>
    <w:rsid w:val="00A5112B"/>
    <w:rsid w:val="00A51475"/>
    <w:rsid w:val="00A516E1"/>
    <w:rsid w:val="00A51841"/>
    <w:rsid w:val="00A519E1"/>
    <w:rsid w:val="00A527E7"/>
    <w:rsid w:val="00A52F07"/>
    <w:rsid w:val="00A53D52"/>
    <w:rsid w:val="00A5417E"/>
    <w:rsid w:val="00A544CD"/>
    <w:rsid w:val="00A5451C"/>
    <w:rsid w:val="00A54837"/>
    <w:rsid w:val="00A54947"/>
    <w:rsid w:val="00A54B41"/>
    <w:rsid w:val="00A5557C"/>
    <w:rsid w:val="00A56032"/>
    <w:rsid w:val="00A56263"/>
    <w:rsid w:val="00A5718F"/>
    <w:rsid w:val="00A57489"/>
    <w:rsid w:val="00A57B36"/>
    <w:rsid w:val="00A57E06"/>
    <w:rsid w:val="00A602A6"/>
    <w:rsid w:val="00A6041D"/>
    <w:rsid w:val="00A60ADE"/>
    <w:rsid w:val="00A60C06"/>
    <w:rsid w:val="00A61249"/>
    <w:rsid w:val="00A61625"/>
    <w:rsid w:val="00A61CB9"/>
    <w:rsid w:val="00A6297F"/>
    <w:rsid w:val="00A63781"/>
    <w:rsid w:val="00A63E28"/>
    <w:rsid w:val="00A64C99"/>
    <w:rsid w:val="00A6568C"/>
    <w:rsid w:val="00A65FBC"/>
    <w:rsid w:val="00A66699"/>
    <w:rsid w:val="00A66A72"/>
    <w:rsid w:val="00A66AF5"/>
    <w:rsid w:val="00A66C3D"/>
    <w:rsid w:val="00A67B28"/>
    <w:rsid w:val="00A70F89"/>
    <w:rsid w:val="00A714EE"/>
    <w:rsid w:val="00A71662"/>
    <w:rsid w:val="00A71677"/>
    <w:rsid w:val="00A718E7"/>
    <w:rsid w:val="00A72097"/>
    <w:rsid w:val="00A729FC"/>
    <w:rsid w:val="00A72D95"/>
    <w:rsid w:val="00A72FA8"/>
    <w:rsid w:val="00A7368D"/>
    <w:rsid w:val="00A73D0E"/>
    <w:rsid w:val="00A7466A"/>
    <w:rsid w:val="00A74BC4"/>
    <w:rsid w:val="00A74CFE"/>
    <w:rsid w:val="00A75D00"/>
    <w:rsid w:val="00A75F27"/>
    <w:rsid w:val="00A7602C"/>
    <w:rsid w:val="00A76562"/>
    <w:rsid w:val="00A768F0"/>
    <w:rsid w:val="00A7700D"/>
    <w:rsid w:val="00A77013"/>
    <w:rsid w:val="00A77160"/>
    <w:rsid w:val="00A7725A"/>
    <w:rsid w:val="00A77352"/>
    <w:rsid w:val="00A773A2"/>
    <w:rsid w:val="00A777A4"/>
    <w:rsid w:val="00A77D2C"/>
    <w:rsid w:val="00A805AF"/>
    <w:rsid w:val="00A80E6F"/>
    <w:rsid w:val="00A8137A"/>
    <w:rsid w:val="00A814B5"/>
    <w:rsid w:val="00A81671"/>
    <w:rsid w:val="00A81C24"/>
    <w:rsid w:val="00A81F36"/>
    <w:rsid w:val="00A82137"/>
    <w:rsid w:val="00A824C1"/>
    <w:rsid w:val="00A827DB"/>
    <w:rsid w:val="00A82B3A"/>
    <w:rsid w:val="00A82E06"/>
    <w:rsid w:val="00A83189"/>
    <w:rsid w:val="00A83274"/>
    <w:rsid w:val="00A83284"/>
    <w:rsid w:val="00A83CF4"/>
    <w:rsid w:val="00A84227"/>
    <w:rsid w:val="00A84B04"/>
    <w:rsid w:val="00A84B9A"/>
    <w:rsid w:val="00A85335"/>
    <w:rsid w:val="00A856F2"/>
    <w:rsid w:val="00A8610E"/>
    <w:rsid w:val="00A86B00"/>
    <w:rsid w:val="00A86B7F"/>
    <w:rsid w:val="00A870D6"/>
    <w:rsid w:val="00A90787"/>
    <w:rsid w:val="00A907B3"/>
    <w:rsid w:val="00A9189A"/>
    <w:rsid w:val="00A91DA4"/>
    <w:rsid w:val="00A927F8"/>
    <w:rsid w:val="00A92927"/>
    <w:rsid w:val="00A929AC"/>
    <w:rsid w:val="00A92A7E"/>
    <w:rsid w:val="00A92BED"/>
    <w:rsid w:val="00A92F95"/>
    <w:rsid w:val="00A932DB"/>
    <w:rsid w:val="00A93D75"/>
    <w:rsid w:val="00A94B1B"/>
    <w:rsid w:val="00A94B6F"/>
    <w:rsid w:val="00A94D46"/>
    <w:rsid w:val="00A94DA1"/>
    <w:rsid w:val="00A950FD"/>
    <w:rsid w:val="00A95602"/>
    <w:rsid w:val="00A95A2C"/>
    <w:rsid w:val="00A95F6D"/>
    <w:rsid w:val="00A95FC7"/>
    <w:rsid w:val="00A96211"/>
    <w:rsid w:val="00A96789"/>
    <w:rsid w:val="00A96A0B"/>
    <w:rsid w:val="00A96B24"/>
    <w:rsid w:val="00A96D50"/>
    <w:rsid w:val="00A96ECA"/>
    <w:rsid w:val="00A96FB5"/>
    <w:rsid w:val="00A97305"/>
    <w:rsid w:val="00A97539"/>
    <w:rsid w:val="00A97552"/>
    <w:rsid w:val="00A97A74"/>
    <w:rsid w:val="00A97CD1"/>
    <w:rsid w:val="00AA09FD"/>
    <w:rsid w:val="00AA0BEF"/>
    <w:rsid w:val="00AA1290"/>
    <w:rsid w:val="00AA12F6"/>
    <w:rsid w:val="00AA13F2"/>
    <w:rsid w:val="00AA2091"/>
    <w:rsid w:val="00AA2697"/>
    <w:rsid w:val="00AA2C33"/>
    <w:rsid w:val="00AA2DFA"/>
    <w:rsid w:val="00AA32EB"/>
    <w:rsid w:val="00AA34AD"/>
    <w:rsid w:val="00AA44CC"/>
    <w:rsid w:val="00AA4730"/>
    <w:rsid w:val="00AA5462"/>
    <w:rsid w:val="00AA55B4"/>
    <w:rsid w:val="00AA67F9"/>
    <w:rsid w:val="00AA7CFB"/>
    <w:rsid w:val="00AA7ED3"/>
    <w:rsid w:val="00AB006C"/>
    <w:rsid w:val="00AB0BE3"/>
    <w:rsid w:val="00AB0EF1"/>
    <w:rsid w:val="00AB12D3"/>
    <w:rsid w:val="00AB13EA"/>
    <w:rsid w:val="00AB20B6"/>
    <w:rsid w:val="00AB25C4"/>
    <w:rsid w:val="00AB2637"/>
    <w:rsid w:val="00AB2D85"/>
    <w:rsid w:val="00AB2E28"/>
    <w:rsid w:val="00AB3638"/>
    <w:rsid w:val="00AB3693"/>
    <w:rsid w:val="00AB4133"/>
    <w:rsid w:val="00AB42A6"/>
    <w:rsid w:val="00AB4EA4"/>
    <w:rsid w:val="00AB4F47"/>
    <w:rsid w:val="00AB52BF"/>
    <w:rsid w:val="00AB580B"/>
    <w:rsid w:val="00AB5818"/>
    <w:rsid w:val="00AB5DCD"/>
    <w:rsid w:val="00AB5E96"/>
    <w:rsid w:val="00AB5FA2"/>
    <w:rsid w:val="00AB6358"/>
    <w:rsid w:val="00AB67CB"/>
    <w:rsid w:val="00AB6C25"/>
    <w:rsid w:val="00AB7071"/>
    <w:rsid w:val="00AB728A"/>
    <w:rsid w:val="00AB74C5"/>
    <w:rsid w:val="00AB7A66"/>
    <w:rsid w:val="00AB7B96"/>
    <w:rsid w:val="00AB7C15"/>
    <w:rsid w:val="00AB7E25"/>
    <w:rsid w:val="00AC0C8E"/>
    <w:rsid w:val="00AC0D68"/>
    <w:rsid w:val="00AC0E88"/>
    <w:rsid w:val="00AC1136"/>
    <w:rsid w:val="00AC1323"/>
    <w:rsid w:val="00AC2CD0"/>
    <w:rsid w:val="00AC2D1B"/>
    <w:rsid w:val="00AC2FA4"/>
    <w:rsid w:val="00AC397D"/>
    <w:rsid w:val="00AC3B90"/>
    <w:rsid w:val="00AC4050"/>
    <w:rsid w:val="00AC4B31"/>
    <w:rsid w:val="00AC4CED"/>
    <w:rsid w:val="00AC5151"/>
    <w:rsid w:val="00AC5584"/>
    <w:rsid w:val="00AC583A"/>
    <w:rsid w:val="00AC5BD0"/>
    <w:rsid w:val="00AC6514"/>
    <w:rsid w:val="00AC6BCB"/>
    <w:rsid w:val="00AC6EB0"/>
    <w:rsid w:val="00AC7520"/>
    <w:rsid w:val="00AC7A4D"/>
    <w:rsid w:val="00AD05F8"/>
    <w:rsid w:val="00AD073D"/>
    <w:rsid w:val="00AD076F"/>
    <w:rsid w:val="00AD098A"/>
    <w:rsid w:val="00AD0C17"/>
    <w:rsid w:val="00AD115F"/>
    <w:rsid w:val="00AD1816"/>
    <w:rsid w:val="00AD1842"/>
    <w:rsid w:val="00AD25C7"/>
    <w:rsid w:val="00AD2EAA"/>
    <w:rsid w:val="00AD31FF"/>
    <w:rsid w:val="00AD35B5"/>
    <w:rsid w:val="00AD3C22"/>
    <w:rsid w:val="00AD3F28"/>
    <w:rsid w:val="00AD4BBE"/>
    <w:rsid w:val="00AD5313"/>
    <w:rsid w:val="00AD572C"/>
    <w:rsid w:val="00AD5DC2"/>
    <w:rsid w:val="00AD5F40"/>
    <w:rsid w:val="00AD61CA"/>
    <w:rsid w:val="00AD6BCA"/>
    <w:rsid w:val="00AD6D59"/>
    <w:rsid w:val="00AD6F5C"/>
    <w:rsid w:val="00AD74BE"/>
    <w:rsid w:val="00AD77CD"/>
    <w:rsid w:val="00AE00EA"/>
    <w:rsid w:val="00AE0CD4"/>
    <w:rsid w:val="00AE1C8D"/>
    <w:rsid w:val="00AE2461"/>
    <w:rsid w:val="00AE24FF"/>
    <w:rsid w:val="00AE36D7"/>
    <w:rsid w:val="00AE3755"/>
    <w:rsid w:val="00AE39C5"/>
    <w:rsid w:val="00AE3FDC"/>
    <w:rsid w:val="00AE4396"/>
    <w:rsid w:val="00AE4ED1"/>
    <w:rsid w:val="00AE4F0C"/>
    <w:rsid w:val="00AE5178"/>
    <w:rsid w:val="00AE5179"/>
    <w:rsid w:val="00AE54CC"/>
    <w:rsid w:val="00AE5D4B"/>
    <w:rsid w:val="00AE66E5"/>
    <w:rsid w:val="00AE6875"/>
    <w:rsid w:val="00AE6B75"/>
    <w:rsid w:val="00AE6FF8"/>
    <w:rsid w:val="00AE7C6F"/>
    <w:rsid w:val="00AE7DB1"/>
    <w:rsid w:val="00AF05BD"/>
    <w:rsid w:val="00AF1035"/>
    <w:rsid w:val="00AF123A"/>
    <w:rsid w:val="00AF1454"/>
    <w:rsid w:val="00AF150B"/>
    <w:rsid w:val="00AF162E"/>
    <w:rsid w:val="00AF27CF"/>
    <w:rsid w:val="00AF2DEA"/>
    <w:rsid w:val="00AF2E5F"/>
    <w:rsid w:val="00AF3787"/>
    <w:rsid w:val="00AF37E0"/>
    <w:rsid w:val="00AF3EC3"/>
    <w:rsid w:val="00AF3F53"/>
    <w:rsid w:val="00AF40B2"/>
    <w:rsid w:val="00AF4DD2"/>
    <w:rsid w:val="00AF58CF"/>
    <w:rsid w:val="00AF6AFF"/>
    <w:rsid w:val="00AF75FC"/>
    <w:rsid w:val="00AF78F1"/>
    <w:rsid w:val="00AF7DBE"/>
    <w:rsid w:val="00AF7E0A"/>
    <w:rsid w:val="00AF7E92"/>
    <w:rsid w:val="00AF7E93"/>
    <w:rsid w:val="00B0067C"/>
    <w:rsid w:val="00B007F8"/>
    <w:rsid w:val="00B013DC"/>
    <w:rsid w:val="00B014D2"/>
    <w:rsid w:val="00B0151D"/>
    <w:rsid w:val="00B01675"/>
    <w:rsid w:val="00B0239D"/>
    <w:rsid w:val="00B028EF"/>
    <w:rsid w:val="00B02AC8"/>
    <w:rsid w:val="00B02C41"/>
    <w:rsid w:val="00B02DBB"/>
    <w:rsid w:val="00B0303B"/>
    <w:rsid w:val="00B0319F"/>
    <w:rsid w:val="00B033FD"/>
    <w:rsid w:val="00B03702"/>
    <w:rsid w:val="00B0408D"/>
    <w:rsid w:val="00B044BC"/>
    <w:rsid w:val="00B0456E"/>
    <w:rsid w:val="00B04B05"/>
    <w:rsid w:val="00B04C15"/>
    <w:rsid w:val="00B05065"/>
    <w:rsid w:val="00B05B4E"/>
    <w:rsid w:val="00B05B80"/>
    <w:rsid w:val="00B0625C"/>
    <w:rsid w:val="00B064D6"/>
    <w:rsid w:val="00B06707"/>
    <w:rsid w:val="00B06774"/>
    <w:rsid w:val="00B0682A"/>
    <w:rsid w:val="00B071B1"/>
    <w:rsid w:val="00B079DF"/>
    <w:rsid w:val="00B07BB6"/>
    <w:rsid w:val="00B07BD4"/>
    <w:rsid w:val="00B103E9"/>
    <w:rsid w:val="00B11084"/>
    <w:rsid w:val="00B11AEE"/>
    <w:rsid w:val="00B124C8"/>
    <w:rsid w:val="00B12B59"/>
    <w:rsid w:val="00B13391"/>
    <w:rsid w:val="00B13756"/>
    <w:rsid w:val="00B139A9"/>
    <w:rsid w:val="00B14676"/>
    <w:rsid w:val="00B1476C"/>
    <w:rsid w:val="00B148C6"/>
    <w:rsid w:val="00B148F3"/>
    <w:rsid w:val="00B14CBF"/>
    <w:rsid w:val="00B151A5"/>
    <w:rsid w:val="00B152C5"/>
    <w:rsid w:val="00B15329"/>
    <w:rsid w:val="00B1594E"/>
    <w:rsid w:val="00B15B11"/>
    <w:rsid w:val="00B15DB3"/>
    <w:rsid w:val="00B16192"/>
    <w:rsid w:val="00B16704"/>
    <w:rsid w:val="00B16BCE"/>
    <w:rsid w:val="00B16C23"/>
    <w:rsid w:val="00B17333"/>
    <w:rsid w:val="00B17B22"/>
    <w:rsid w:val="00B17CB3"/>
    <w:rsid w:val="00B20233"/>
    <w:rsid w:val="00B20709"/>
    <w:rsid w:val="00B2156C"/>
    <w:rsid w:val="00B21653"/>
    <w:rsid w:val="00B21ABF"/>
    <w:rsid w:val="00B21C09"/>
    <w:rsid w:val="00B21E04"/>
    <w:rsid w:val="00B22542"/>
    <w:rsid w:val="00B22CFA"/>
    <w:rsid w:val="00B2300A"/>
    <w:rsid w:val="00B239F4"/>
    <w:rsid w:val="00B23A4E"/>
    <w:rsid w:val="00B23F2F"/>
    <w:rsid w:val="00B24899"/>
    <w:rsid w:val="00B249BD"/>
    <w:rsid w:val="00B26052"/>
    <w:rsid w:val="00B26881"/>
    <w:rsid w:val="00B270CF"/>
    <w:rsid w:val="00B27318"/>
    <w:rsid w:val="00B27EFA"/>
    <w:rsid w:val="00B27F24"/>
    <w:rsid w:val="00B303CF"/>
    <w:rsid w:val="00B30411"/>
    <w:rsid w:val="00B306A9"/>
    <w:rsid w:val="00B3091C"/>
    <w:rsid w:val="00B3105C"/>
    <w:rsid w:val="00B310A5"/>
    <w:rsid w:val="00B31257"/>
    <w:rsid w:val="00B31BFE"/>
    <w:rsid w:val="00B31FBD"/>
    <w:rsid w:val="00B32098"/>
    <w:rsid w:val="00B322A1"/>
    <w:rsid w:val="00B32441"/>
    <w:rsid w:val="00B32728"/>
    <w:rsid w:val="00B32832"/>
    <w:rsid w:val="00B3297C"/>
    <w:rsid w:val="00B33640"/>
    <w:rsid w:val="00B33ECF"/>
    <w:rsid w:val="00B34456"/>
    <w:rsid w:val="00B34721"/>
    <w:rsid w:val="00B348ED"/>
    <w:rsid w:val="00B3490C"/>
    <w:rsid w:val="00B34F57"/>
    <w:rsid w:val="00B35130"/>
    <w:rsid w:val="00B36654"/>
    <w:rsid w:val="00B36B66"/>
    <w:rsid w:val="00B377EC"/>
    <w:rsid w:val="00B3799C"/>
    <w:rsid w:val="00B406AC"/>
    <w:rsid w:val="00B4087F"/>
    <w:rsid w:val="00B40FD1"/>
    <w:rsid w:val="00B411A9"/>
    <w:rsid w:val="00B41C22"/>
    <w:rsid w:val="00B41D3F"/>
    <w:rsid w:val="00B436ED"/>
    <w:rsid w:val="00B43916"/>
    <w:rsid w:val="00B439E8"/>
    <w:rsid w:val="00B43B49"/>
    <w:rsid w:val="00B43B72"/>
    <w:rsid w:val="00B44125"/>
    <w:rsid w:val="00B44C80"/>
    <w:rsid w:val="00B44F61"/>
    <w:rsid w:val="00B45144"/>
    <w:rsid w:val="00B455F8"/>
    <w:rsid w:val="00B459AD"/>
    <w:rsid w:val="00B45CEE"/>
    <w:rsid w:val="00B4658A"/>
    <w:rsid w:val="00B46872"/>
    <w:rsid w:val="00B471F4"/>
    <w:rsid w:val="00B4763B"/>
    <w:rsid w:val="00B50042"/>
    <w:rsid w:val="00B50554"/>
    <w:rsid w:val="00B50671"/>
    <w:rsid w:val="00B50943"/>
    <w:rsid w:val="00B5170E"/>
    <w:rsid w:val="00B52440"/>
    <w:rsid w:val="00B52466"/>
    <w:rsid w:val="00B525F5"/>
    <w:rsid w:val="00B52BDF"/>
    <w:rsid w:val="00B52D7D"/>
    <w:rsid w:val="00B5351C"/>
    <w:rsid w:val="00B53C84"/>
    <w:rsid w:val="00B53DBE"/>
    <w:rsid w:val="00B54042"/>
    <w:rsid w:val="00B55D04"/>
    <w:rsid w:val="00B56359"/>
    <w:rsid w:val="00B5639C"/>
    <w:rsid w:val="00B5658A"/>
    <w:rsid w:val="00B56ED3"/>
    <w:rsid w:val="00B57AFE"/>
    <w:rsid w:val="00B60644"/>
    <w:rsid w:val="00B606D2"/>
    <w:rsid w:val="00B607AC"/>
    <w:rsid w:val="00B607B0"/>
    <w:rsid w:val="00B608CE"/>
    <w:rsid w:val="00B60E4A"/>
    <w:rsid w:val="00B61639"/>
    <w:rsid w:val="00B619F1"/>
    <w:rsid w:val="00B61B7A"/>
    <w:rsid w:val="00B61D03"/>
    <w:rsid w:val="00B623F7"/>
    <w:rsid w:val="00B62B8C"/>
    <w:rsid w:val="00B62BDF"/>
    <w:rsid w:val="00B6315B"/>
    <w:rsid w:val="00B633C7"/>
    <w:rsid w:val="00B63C38"/>
    <w:rsid w:val="00B63EA2"/>
    <w:rsid w:val="00B63FFE"/>
    <w:rsid w:val="00B64224"/>
    <w:rsid w:val="00B64D18"/>
    <w:rsid w:val="00B65033"/>
    <w:rsid w:val="00B65CC5"/>
    <w:rsid w:val="00B66050"/>
    <w:rsid w:val="00B66116"/>
    <w:rsid w:val="00B67318"/>
    <w:rsid w:val="00B67354"/>
    <w:rsid w:val="00B6753B"/>
    <w:rsid w:val="00B67F70"/>
    <w:rsid w:val="00B700E1"/>
    <w:rsid w:val="00B702A9"/>
    <w:rsid w:val="00B70F4F"/>
    <w:rsid w:val="00B719B4"/>
    <w:rsid w:val="00B71B35"/>
    <w:rsid w:val="00B71F50"/>
    <w:rsid w:val="00B727DB"/>
    <w:rsid w:val="00B72BA6"/>
    <w:rsid w:val="00B734E6"/>
    <w:rsid w:val="00B7372C"/>
    <w:rsid w:val="00B73A60"/>
    <w:rsid w:val="00B748D0"/>
    <w:rsid w:val="00B75354"/>
    <w:rsid w:val="00B75363"/>
    <w:rsid w:val="00B75409"/>
    <w:rsid w:val="00B75442"/>
    <w:rsid w:val="00B7548F"/>
    <w:rsid w:val="00B7590B"/>
    <w:rsid w:val="00B7623D"/>
    <w:rsid w:val="00B7638A"/>
    <w:rsid w:val="00B76584"/>
    <w:rsid w:val="00B765CC"/>
    <w:rsid w:val="00B76AA9"/>
    <w:rsid w:val="00B76C27"/>
    <w:rsid w:val="00B7702C"/>
    <w:rsid w:val="00B770C2"/>
    <w:rsid w:val="00B771B2"/>
    <w:rsid w:val="00B772B5"/>
    <w:rsid w:val="00B77AD0"/>
    <w:rsid w:val="00B77F62"/>
    <w:rsid w:val="00B8029B"/>
    <w:rsid w:val="00B80AD7"/>
    <w:rsid w:val="00B80CC6"/>
    <w:rsid w:val="00B82386"/>
    <w:rsid w:val="00B8261D"/>
    <w:rsid w:val="00B826AB"/>
    <w:rsid w:val="00B82793"/>
    <w:rsid w:val="00B82924"/>
    <w:rsid w:val="00B82C00"/>
    <w:rsid w:val="00B82CC9"/>
    <w:rsid w:val="00B83B3E"/>
    <w:rsid w:val="00B83D69"/>
    <w:rsid w:val="00B83EBC"/>
    <w:rsid w:val="00B842F1"/>
    <w:rsid w:val="00B84A36"/>
    <w:rsid w:val="00B84A89"/>
    <w:rsid w:val="00B84B36"/>
    <w:rsid w:val="00B84C51"/>
    <w:rsid w:val="00B84F85"/>
    <w:rsid w:val="00B85999"/>
    <w:rsid w:val="00B85E1A"/>
    <w:rsid w:val="00B861DF"/>
    <w:rsid w:val="00B8635D"/>
    <w:rsid w:val="00B8663F"/>
    <w:rsid w:val="00B8673D"/>
    <w:rsid w:val="00B86875"/>
    <w:rsid w:val="00B870DB"/>
    <w:rsid w:val="00B90170"/>
    <w:rsid w:val="00B90C69"/>
    <w:rsid w:val="00B90D57"/>
    <w:rsid w:val="00B91B1B"/>
    <w:rsid w:val="00B91C25"/>
    <w:rsid w:val="00B91DBD"/>
    <w:rsid w:val="00B920FA"/>
    <w:rsid w:val="00B92C6E"/>
    <w:rsid w:val="00B932D6"/>
    <w:rsid w:val="00B93D73"/>
    <w:rsid w:val="00B93F0B"/>
    <w:rsid w:val="00B9415F"/>
    <w:rsid w:val="00B941D8"/>
    <w:rsid w:val="00B9507B"/>
    <w:rsid w:val="00B95956"/>
    <w:rsid w:val="00B95A0A"/>
    <w:rsid w:val="00B966ED"/>
    <w:rsid w:val="00B967C0"/>
    <w:rsid w:val="00B96926"/>
    <w:rsid w:val="00B969DB"/>
    <w:rsid w:val="00B9740F"/>
    <w:rsid w:val="00B97F1E"/>
    <w:rsid w:val="00BA04EA"/>
    <w:rsid w:val="00BA0519"/>
    <w:rsid w:val="00BA0BEA"/>
    <w:rsid w:val="00BA0CDD"/>
    <w:rsid w:val="00BA0E56"/>
    <w:rsid w:val="00BA1158"/>
    <w:rsid w:val="00BA119C"/>
    <w:rsid w:val="00BA1331"/>
    <w:rsid w:val="00BA19B4"/>
    <w:rsid w:val="00BA1A25"/>
    <w:rsid w:val="00BA230A"/>
    <w:rsid w:val="00BA2EF1"/>
    <w:rsid w:val="00BA35A8"/>
    <w:rsid w:val="00BA426B"/>
    <w:rsid w:val="00BA440E"/>
    <w:rsid w:val="00BA456A"/>
    <w:rsid w:val="00BA45C1"/>
    <w:rsid w:val="00BA493A"/>
    <w:rsid w:val="00BA4F99"/>
    <w:rsid w:val="00BA4FE9"/>
    <w:rsid w:val="00BA51EE"/>
    <w:rsid w:val="00BA5980"/>
    <w:rsid w:val="00BA6102"/>
    <w:rsid w:val="00BA6C42"/>
    <w:rsid w:val="00BA6CCB"/>
    <w:rsid w:val="00BA7447"/>
    <w:rsid w:val="00BA7C16"/>
    <w:rsid w:val="00BA7CDF"/>
    <w:rsid w:val="00BA7F8C"/>
    <w:rsid w:val="00BB0943"/>
    <w:rsid w:val="00BB0C6E"/>
    <w:rsid w:val="00BB0C8F"/>
    <w:rsid w:val="00BB0CCB"/>
    <w:rsid w:val="00BB18D7"/>
    <w:rsid w:val="00BB1C6A"/>
    <w:rsid w:val="00BB237B"/>
    <w:rsid w:val="00BB2D27"/>
    <w:rsid w:val="00BB2F15"/>
    <w:rsid w:val="00BB31E4"/>
    <w:rsid w:val="00BB3829"/>
    <w:rsid w:val="00BB3916"/>
    <w:rsid w:val="00BB3AFC"/>
    <w:rsid w:val="00BB401E"/>
    <w:rsid w:val="00BB40B9"/>
    <w:rsid w:val="00BB4114"/>
    <w:rsid w:val="00BB45BD"/>
    <w:rsid w:val="00BB5276"/>
    <w:rsid w:val="00BB6113"/>
    <w:rsid w:val="00BB69CD"/>
    <w:rsid w:val="00BB6D09"/>
    <w:rsid w:val="00BB6D92"/>
    <w:rsid w:val="00BB70E8"/>
    <w:rsid w:val="00BB7CD9"/>
    <w:rsid w:val="00BB7F7C"/>
    <w:rsid w:val="00BC0266"/>
    <w:rsid w:val="00BC047E"/>
    <w:rsid w:val="00BC0BBB"/>
    <w:rsid w:val="00BC0ED5"/>
    <w:rsid w:val="00BC120D"/>
    <w:rsid w:val="00BC1D6A"/>
    <w:rsid w:val="00BC2558"/>
    <w:rsid w:val="00BC257B"/>
    <w:rsid w:val="00BC2896"/>
    <w:rsid w:val="00BC2C9E"/>
    <w:rsid w:val="00BC2D95"/>
    <w:rsid w:val="00BC2F0E"/>
    <w:rsid w:val="00BC36C0"/>
    <w:rsid w:val="00BC3DB6"/>
    <w:rsid w:val="00BC44AE"/>
    <w:rsid w:val="00BC45CC"/>
    <w:rsid w:val="00BC481B"/>
    <w:rsid w:val="00BC4A40"/>
    <w:rsid w:val="00BC4E6D"/>
    <w:rsid w:val="00BC5AF9"/>
    <w:rsid w:val="00BC61C0"/>
    <w:rsid w:val="00BC65A7"/>
    <w:rsid w:val="00BC6E7F"/>
    <w:rsid w:val="00BC6EF1"/>
    <w:rsid w:val="00BC7108"/>
    <w:rsid w:val="00BC71A2"/>
    <w:rsid w:val="00BC75F7"/>
    <w:rsid w:val="00BD0158"/>
    <w:rsid w:val="00BD055A"/>
    <w:rsid w:val="00BD058B"/>
    <w:rsid w:val="00BD06D9"/>
    <w:rsid w:val="00BD1448"/>
    <w:rsid w:val="00BD15C3"/>
    <w:rsid w:val="00BD1A9E"/>
    <w:rsid w:val="00BD2C34"/>
    <w:rsid w:val="00BD2D88"/>
    <w:rsid w:val="00BD2DF3"/>
    <w:rsid w:val="00BD305A"/>
    <w:rsid w:val="00BD31B8"/>
    <w:rsid w:val="00BD3224"/>
    <w:rsid w:val="00BD34EB"/>
    <w:rsid w:val="00BD35A2"/>
    <w:rsid w:val="00BD3AD4"/>
    <w:rsid w:val="00BD4219"/>
    <w:rsid w:val="00BD493C"/>
    <w:rsid w:val="00BD4CD7"/>
    <w:rsid w:val="00BD4DAE"/>
    <w:rsid w:val="00BD5449"/>
    <w:rsid w:val="00BD5727"/>
    <w:rsid w:val="00BD5D4F"/>
    <w:rsid w:val="00BD5E4B"/>
    <w:rsid w:val="00BD60EC"/>
    <w:rsid w:val="00BD6885"/>
    <w:rsid w:val="00BD6AD1"/>
    <w:rsid w:val="00BD6B78"/>
    <w:rsid w:val="00BD6C07"/>
    <w:rsid w:val="00BD70F6"/>
    <w:rsid w:val="00BD7922"/>
    <w:rsid w:val="00BD7C25"/>
    <w:rsid w:val="00BE022D"/>
    <w:rsid w:val="00BE058A"/>
    <w:rsid w:val="00BE0C5D"/>
    <w:rsid w:val="00BE0CA7"/>
    <w:rsid w:val="00BE0E2B"/>
    <w:rsid w:val="00BE0FBD"/>
    <w:rsid w:val="00BE1124"/>
    <w:rsid w:val="00BE1C3E"/>
    <w:rsid w:val="00BE1D4C"/>
    <w:rsid w:val="00BE1D6C"/>
    <w:rsid w:val="00BE2BC6"/>
    <w:rsid w:val="00BE349F"/>
    <w:rsid w:val="00BE36B1"/>
    <w:rsid w:val="00BE3BAB"/>
    <w:rsid w:val="00BE3C93"/>
    <w:rsid w:val="00BE4472"/>
    <w:rsid w:val="00BE5887"/>
    <w:rsid w:val="00BE5A9C"/>
    <w:rsid w:val="00BE5D19"/>
    <w:rsid w:val="00BE69CF"/>
    <w:rsid w:val="00BE7261"/>
    <w:rsid w:val="00BE7523"/>
    <w:rsid w:val="00BF02AF"/>
    <w:rsid w:val="00BF0627"/>
    <w:rsid w:val="00BF0F28"/>
    <w:rsid w:val="00BF0FFB"/>
    <w:rsid w:val="00BF0FFF"/>
    <w:rsid w:val="00BF1ADD"/>
    <w:rsid w:val="00BF1B43"/>
    <w:rsid w:val="00BF2843"/>
    <w:rsid w:val="00BF3495"/>
    <w:rsid w:val="00BF3595"/>
    <w:rsid w:val="00BF3694"/>
    <w:rsid w:val="00BF398A"/>
    <w:rsid w:val="00BF39CC"/>
    <w:rsid w:val="00BF42EB"/>
    <w:rsid w:val="00BF4374"/>
    <w:rsid w:val="00BF542B"/>
    <w:rsid w:val="00BF561A"/>
    <w:rsid w:val="00BF5842"/>
    <w:rsid w:val="00BF5BE6"/>
    <w:rsid w:val="00BF5E32"/>
    <w:rsid w:val="00BF5F89"/>
    <w:rsid w:val="00BF6576"/>
    <w:rsid w:val="00BF68A8"/>
    <w:rsid w:val="00BF68B3"/>
    <w:rsid w:val="00BF722F"/>
    <w:rsid w:val="00BF72D7"/>
    <w:rsid w:val="00BF73C9"/>
    <w:rsid w:val="00BF7574"/>
    <w:rsid w:val="00BF75A8"/>
    <w:rsid w:val="00C00156"/>
    <w:rsid w:val="00C00CB1"/>
    <w:rsid w:val="00C0129A"/>
    <w:rsid w:val="00C01A7B"/>
    <w:rsid w:val="00C01D3B"/>
    <w:rsid w:val="00C02561"/>
    <w:rsid w:val="00C02755"/>
    <w:rsid w:val="00C02C93"/>
    <w:rsid w:val="00C02DB6"/>
    <w:rsid w:val="00C03356"/>
    <w:rsid w:val="00C03424"/>
    <w:rsid w:val="00C03756"/>
    <w:rsid w:val="00C037CC"/>
    <w:rsid w:val="00C038B3"/>
    <w:rsid w:val="00C03B64"/>
    <w:rsid w:val="00C03C15"/>
    <w:rsid w:val="00C03DDA"/>
    <w:rsid w:val="00C04B1F"/>
    <w:rsid w:val="00C04BFC"/>
    <w:rsid w:val="00C04C9B"/>
    <w:rsid w:val="00C058A8"/>
    <w:rsid w:val="00C05A4D"/>
    <w:rsid w:val="00C06474"/>
    <w:rsid w:val="00C0681C"/>
    <w:rsid w:val="00C06A0B"/>
    <w:rsid w:val="00C06A93"/>
    <w:rsid w:val="00C07249"/>
    <w:rsid w:val="00C0737E"/>
    <w:rsid w:val="00C1032D"/>
    <w:rsid w:val="00C103E3"/>
    <w:rsid w:val="00C106C1"/>
    <w:rsid w:val="00C1175F"/>
    <w:rsid w:val="00C11E63"/>
    <w:rsid w:val="00C11E8E"/>
    <w:rsid w:val="00C12071"/>
    <w:rsid w:val="00C12BCE"/>
    <w:rsid w:val="00C12EA9"/>
    <w:rsid w:val="00C12F87"/>
    <w:rsid w:val="00C139FC"/>
    <w:rsid w:val="00C13DDE"/>
    <w:rsid w:val="00C13E60"/>
    <w:rsid w:val="00C14056"/>
    <w:rsid w:val="00C1448F"/>
    <w:rsid w:val="00C147BB"/>
    <w:rsid w:val="00C148DE"/>
    <w:rsid w:val="00C15B9D"/>
    <w:rsid w:val="00C15C8A"/>
    <w:rsid w:val="00C166B6"/>
    <w:rsid w:val="00C1715D"/>
    <w:rsid w:val="00C17D9C"/>
    <w:rsid w:val="00C20400"/>
    <w:rsid w:val="00C205A8"/>
    <w:rsid w:val="00C20626"/>
    <w:rsid w:val="00C22134"/>
    <w:rsid w:val="00C228DC"/>
    <w:rsid w:val="00C22B42"/>
    <w:rsid w:val="00C233B3"/>
    <w:rsid w:val="00C238E9"/>
    <w:rsid w:val="00C23DD1"/>
    <w:rsid w:val="00C23DD3"/>
    <w:rsid w:val="00C2407C"/>
    <w:rsid w:val="00C243BF"/>
    <w:rsid w:val="00C24748"/>
    <w:rsid w:val="00C24776"/>
    <w:rsid w:val="00C24A02"/>
    <w:rsid w:val="00C2547B"/>
    <w:rsid w:val="00C2569C"/>
    <w:rsid w:val="00C257AE"/>
    <w:rsid w:val="00C262EA"/>
    <w:rsid w:val="00C2633F"/>
    <w:rsid w:val="00C26EDE"/>
    <w:rsid w:val="00C27444"/>
    <w:rsid w:val="00C275C9"/>
    <w:rsid w:val="00C27656"/>
    <w:rsid w:val="00C27CC7"/>
    <w:rsid w:val="00C27F52"/>
    <w:rsid w:val="00C30F9A"/>
    <w:rsid w:val="00C312E7"/>
    <w:rsid w:val="00C3149C"/>
    <w:rsid w:val="00C320A4"/>
    <w:rsid w:val="00C32809"/>
    <w:rsid w:val="00C329A4"/>
    <w:rsid w:val="00C33316"/>
    <w:rsid w:val="00C334CF"/>
    <w:rsid w:val="00C33915"/>
    <w:rsid w:val="00C33F53"/>
    <w:rsid w:val="00C34127"/>
    <w:rsid w:val="00C342F1"/>
    <w:rsid w:val="00C34744"/>
    <w:rsid w:val="00C348BF"/>
    <w:rsid w:val="00C356E8"/>
    <w:rsid w:val="00C36165"/>
    <w:rsid w:val="00C37068"/>
    <w:rsid w:val="00C37194"/>
    <w:rsid w:val="00C373D8"/>
    <w:rsid w:val="00C37921"/>
    <w:rsid w:val="00C37CD5"/>
    <w:rsid w:val="00C37F75"/>
    <w:rsid w:val="00C37FAD"/>
    <w:rsid w:val="00C405F4"/>
    <w:rsid w:val="00C40C60"/>
    <w:rsid w:val="00C40E27"/>
    <w:rsid w:val="00C41881"/>
    <w:rsid w:val="00C41961"/>
    <w:rsid w:val="00C424A6"/>
    <w:rsid w:val="00C42B84"/>
    <w:rsid w:val="00C42E04"/>
    <w:rsid w:val="00C4319A"/>
    <w:rsid w:val="00C434A1"/>
    <w:rsid w:val="00C43A8B"/>
    <w:rsid w:val="00C44234"/>
    <w:rsid w:val="00C443BB"/>
    <w:rsid w:val="00C44560"/>
    <w:rsid w:val="00C45C2F"/>
    <w:rsid w:val="00C45DA5"/>
    <w:rsid w:val="00C45FC3"/>
    <w:rsid w:val="00C46197"/>
    <w:rsid w:val="00C4676D"/>
    <w:rsid w:val="00C46BB9"/>
    <w:rsid w:val="00C47921"/>
    <w:rsid w:val="00C47CCE"/>
    <w:rsid w:val="00C47F01"/>
    <w:rsid w:val="00C50726"/>
    <w:rsid w:val="00C50780"/>
    <w:rsid w:val="00C5101F"/>
    <w:rsid w:val="00C5109C"/>
    <w:rsid w:val="00C51693"/>
    <w:rsid w:val="00C519FE"/>
    <w:rsid w:val="00C51CB1"/>
    <w:rsid w:val="00C51CE7"/>
    <w:rsid w:val="00C51D9C"/>
    <w:rsid w:val="00C521F5"/>
    <w:rsid w:val="00C52265"/>
    <w:rsid w:val="00C52A08"/>
    <w:rsid w:val="00C52A60"/>
    <w:rsid w:val="00C52AB2"/>
    <w:rsid w:val="00C53187"/>
    <w:rsid w:val="00C531CC"/>
    <w:rsid w:val="00C5323F"/>
    <w:rsid w:val="00C53336"/>
    <w:rsid w:val="00C54085"/>
    <w:rsid w:val="00C54182"/>
    <w:rsid w:val="00C544A8"/>
    <w:rsid w:val="00C54745"/>
    <w:rsid w:val="00C54CA6"/>
    <w:rsid w:val="00C54F6F"/>
    <w:rsid w:val="00C555D1"/>
    <w:rsid w:val="00C555D5"/>
    <w:rsid w:val="00C5592E"/>
    <w:rsid w:val="00C559F5"/>
    <w:rsid w:val="00C5650F"/>
    <w:rsid w:val="00C56DF4"/>
    <w:rsid w:val="00C5717D"/>
    <w:rsid w:val="00C57F0E"/>
    <w:rsid w:val="00C60098"/>
    <w:rsid w:val="00C6053B"/>
    <w:rsid w:val="00C6054A"/>
    <w:rsid w:val="00C60908"/>
    <w:rsid w:val="00C60DE1"/>
    <w:rsid w:val="00C61AA0"/>
    <w:rsid w:val="00C61EB8"/>
    <w:rsid w:val="00C61EFE"/>
    <w:rsid w:val="00C620F8"/>
    <w:rsid w:val="00C622A3"/>
    <w:rsid w:val="00C622DB"/>
    <w:rsid w:val="00C625B3"/>
    <w:rsid w:val="00C62B5A"/>
    <w:rsid w:val="00C639AD"/>
    <w:rsid w:val="00C63A49"/>
    <w:rsid w:val="00C63C0D"/>
    <w:rsid w:val="00C645DF"/>
    <w:rsid w:val="00C6477A"/>
    <w:rsid w:val="00C64968"/>
    <w:rsid w:val="00C650DB"/>
    <w:rsid w:val="00C6525E"/>
    <w:rsid w:val="00C659E8"/>
    <w:rsid w:val="00C65AE0"/>
    <w:rsid w:val="00C65BE2"/>
    <w:rsid w:val="00C65E8D"/>
    <w:rsid w:val="00C65F12"/>
    <w:rsid w:val="00C66250"/>
    <w:rsid w:val="00C67DD6"/>
    <w:rsid w:val="00C67EBF"/>
    <w:rsid w:val="00C70613"/>
    <w:rsid w:val="00C709B5"/>
    <w:rsid w:val="00C70D65"/>
    <w:rsid w:val="00C711F5"/>
    <w:rsid w:val="00C7126A"/>
    <w:rsid w:val="00C716FE"/>
    <w:rsid w:val="00C7190B"/>
    <w:rsid w:val="00C71F12"/>
    <w:rsid w:val="00C7261A"/>
    <w:rsid w:val="00C72C11"/>
    <w:rsid w:val="00C72C36"/>
    <w:rsid w:val="00C732D2"/>
    <w:rsid w:val="00C73A63"/>
    <w:rsid w:val="00C74549"/>
    <w:rsid w:val="00C74DB2"/>
    <w:rsid w:val="00C75626"/>
    <w:rsid w:val="00C76A8B"/>
    <w:rsid w:val="00C7713F"/>
    <w:rsid w:val="00C77906"/>
    <w:rsid w:val="00C80598"/>
    <w:rsid w:val="00C80ACA"/>
    <w:rsid w:val="00C81068"/>
    <w:rsid w:val="00C81375"/>
    <w:rsid w:val="00C814D6"/>
    <w:rsid w:val="00C822FF"/>
    <w:rsid w:val="00C82780"/>
    <w:rsid w:val="00C82ECB"/>
    <w:rsid w:val="00C8325D"/>
    <w:rsid w:val="00C84834"/>
    <w:rsid w:val="00C84B18"/>
    <w:rsid w:val="00C84D2D"/>
    <w:rsid w:val="00C85195"/>
    <w:rsid w:val="00C8643F"/>
    <w:rsid w:val="00C864BB"/>
    <w:rsid w:val="00C8670F"/>
    <w:rsid w:val="00C86912"/>
    <w:rsid w:val="00C869A6"/>
    <w:rsid w:val="00C86BC4"/>
    <w:rsid w:val="00C8730F"/>
    <w:rsid w:val="00C87480"/>
    <w:rsid w:val="00C9053D"/>
    <w:rsid w:val="00C90952"/>
    <w:rsid w:val="00C91075"/>
    <w:rsid w:val="00C912F2"/>
    <w:rsid w:val="00C91530"/>
    <w:rsid w:val="00C916B0"/>
    <w:rsid w:val="00C91743"/>
    <w:rsid w:val="00C91DAC"/>
    <w:rsid w:val="00C91E1C"/>
    <w:rsid w:val="00C92499"/>
    <w:rsid w:val="00C92A25"/>
    <w:rsid w:val="00C92BC7"/>
    <w:rsid w:val="00C92DEB"/>
    <w:rsid w:val="00C93119"/>
    <w:rsid w:val="00C9317C"/>
    <w:rsid w:val="00C93C40"/>
    <w:rsid w:val="00C94575"/>
    <w:rsid w:val="00C96C96"/>
    <w:rsid w:val="00C97178"/>
    <w:rsid w:val="00C973C3"/>
    <w:rsid w:val="00C97615"/>
    <w:rsid w:val="00C979C5"/>
    <w:rsid w:val="00C979F7"/>
    <w:rsid w:val="00C97A4B"/>
    <w:rsid w:val="00C97F4E"/>
    <w:rsid w:val="00CA0346"/>
    <w:rsid w:val="00CA0657"/>
    <w:rsid w:val="00CA093F"/>
    <w:rsid w:val="00CA0AAB"/>
    <w:rsid w:val="00CA0B4F"/>
    <w:rsid w:val="00CA190E"/>
    <w:rsid w:val="00CA1A6A"/>
    <w:rsid w:val="00CA2087"/>
    <w:rsid w:val="00CA2BB6"/>
    <w:rsid w:val="00CA2E1E"/>
    <w:rsid w:val="00CA3088"/>
    <w:rsid w:val="00CA3347"/>
    <w:rsid w:val="00CA3CDF"/>
    <w:rsid w:val="00CA45F7"/>
    <w:rsid w:val="00CA46DA"/>
    <w:rsid w:val="00CA51A9"/>
    <w:rsid w:val="00CA536E"/>
    <w:rsid w:val="00CA573D"/>
    <w:rsid w:val="00CA5763"/>
    <w:rsid w:val="00CA6669"/>
    <w:rsid w:val="00CA6AC4"/>
    <w:rsid w:val="00CA7001"/>
    <w:rsid w:val="00CA75D1"/>
    <w:rsid w:val="00CA76CA"/>
    <w:rsid w:val="00CA7E90"/>
    <w:rsid w:val="00CB0288"/>
    <w:rsid w:val="00CB0BE4"/>
    <w:rsid w:val="00CB0C07"/>
    <w:rsid w:val="00CB0F1D"/>
    <w:rsid w:val="00CB14DF"/>
    <w:rsid w:val="00CB19E6"/>
    <w:rsid w:val="00CB1C5A"/>
    <w:rsid w:val="00CB20E3"/>
    <w:rsid w:val="00CB24CC"/>
    <w:rsid w:val="00CB317F"/>
    <w:rsid w:val="00CB3CE3"/>
    <w:rsid w:val="00CB4E49"/>
    <w:rsid w:val="00CB4FE2"/>
    <w:rsid w:val="00CB4FF0"/>
    <w:rsid w:val="00CB529B"/>
    <w:rsid w:val="00CB5689"/>
    <w:rsid w:val="00CB574F"/>
    <w:rsid w:val="00CB5F7C"/>
    <w:rsid w:val="00CB60BF"/>
    <w:rsid w:val="00CB632D"/>
    <w:rsid w:val="00CB66D6"/>
    <w:rsid w:val="00CB6AB6"/>
    <w:rsid w:val="00CC066C"/>
    <w:rsid w:val="00CC0FD7"/>
    <w:rsid w:val="00CC1570"/>
    <w:rsid w:val="00CC15A2"/>
    <w:rsid w:val="00CC180C"/>
    <w:rsid w:val="00CC180E"/>
    <w:rsid w:val="00CC187D"/>
    <w:rsid w:val="00CC19D7"/>
    <w:rsid w:val="00CC1C18"/>
    <w:rsid w:val="00CC263E"/>
    <w:rsid w:val="00CC268D"/>
    <w:rsid w:val="00CC26DB"/>
    <w:rsid w:val="00CC2B99"/>
    <w:rsid w:val="00CC3D7C"/>
    <w:rsid w:val="00CC3E39"/>
    <w:rsid w:val="00CC469B"/>
    <w:rsid w:val="00CC47CC"/>
    <w:rsid w:val="00CC4A3B"/>
    <w:rsid w:val="00CC4BAC"/>
    <w:rsid w:val="00CC5275"/>
    <w:rsid w:val="00CC57A0"/>
    <w:rsid w:val="00CC58F4"/>
    <w:rsid w:val="00CC63AB"/>
    <w:rsid w:val="00CC648B"/>
    <w:rsid w:val="00CC6D90"/>
    <w:rsid w:val="00CC73EF"/>
    <w:rsid w:val="00CC74E4"/>
    <w:rsid w:val="00CC78E5"/>
    <w:rsid w:val="00CC78F9"/>
    <w:rsid w:val="00CC7AAD"/>
    <w:rsid w:val="00CC7DF8"/>
    <w:rsid w:val="00CD0C70"/>
    <w:rsid w:val="00CD0E1D"/>
    <w:rsid w:val="00CD0EEE"/>
    <w:rsid w:val="00CD1326"/>
    <w:rsid w:val="00CD21C5"/>
    <w:rsid w:val="00CD2268"/>
    <w:rsid w:val="00CD264F"/>
    <w:rsid w:val="00CD2A4A"/>
    <w:rsid w:val="00CD2AC4"/>
    <w:rsid w:val="00CD358D"/>
    <w:rsid w:val="00CD3954"/>
    <w:rsid w:val="00CD4489"/>
    <w:rsid w:val="00CD4720"/>
    <w:rsid w:val="00CD495C"/>
    <w:rsid w:val="00CD4E03"/>
    <w:rsid w:val="00CD50E5"/>
    <w:rsid w:val="00CD5CB5"/>
    <w:rsid w:val="00CD67B5"/>
    <w:rsid w:val="00CD68A4"/>
    <w:rsid w:val="00CD7023"/>
    <w:rsid w:val="00CD7227"/>
    <w:rsid w:val="00CD7250"/>
    <w:rsid w:val="00CD73FC"/>
    <w:rsid w:val="00CD7479"/>
    <w:rsid w:val="00CD7622"/>
    <w:rsid w:val="00CD76D3"/>
    <w:rsid w:val="00CD795C"/>
    <w:rsid w:val="00CE087F"/>
    <w:rsid w:val="00CE0893"/>
    <w:rsid w:val="00CE0A0D"/>
    <w:rsid w:val="00CE0A7C"/>
    <w:rsid w:val="00CE109A"/>
    <w:rsid w:val="00CE11A7"/>
    <w:rsid w:val="00CE12CD"/>
    <w:rsid w:val="00CE1569"/>
    <w:rsid w:val="00CE1584"/>
    <w:rsid w:val="00CE1CCE"/>
    <w:rsid w:val="00CE25A9"/>
    <w:rsid w:val="00CE2B7D"/>
    <w:rsid w:val="00CE2E95"/>
    <w:rsid w:val="00CE341A"/>
    <w:rsid w:val="00CE3518"/>
    <w:rsid w:val="00CE381F"/>
    <w:rsid w:val="00CE3F4F"/>
    <w:rsid w:val="00CE43DE"/>
    <w:rsid w:val="00CE473C"/>
    <w:rsid w:val="00CE475A"/>
    <w:rsid w:val="00CE49D4"/>
    <w:rsid w:val="00CE577B"/>
    <w:rsid w:val="00CE61C4"/>
    <w:rsid w:val="00CE61D0"/>
    <w:rsid w:val="00CE649E"/>
    <w:rsid w:val="00CE6A70"/>
    <w:rsid w:val="00CE6A92"/>
    <w:rsid w:val="00CE6AA2"/>
    <w:rsid w:val="00CE6BE4"/>
    <w:rsid w:val="00CE6E11"/>
    <w:rsid w:val="00CE6E12"/>
    <w:rsid w:val="00CE7676"/>
    <w:rsid w:val="00CF04AD"/>
    <w:rsid w:val="00CF04B6"/>
    <w:rsid w:val="00CF0C0E"/>
    <w:rsid w:val="00CF1513"/>
    <w:rsid w:val="00CF152F"/>
    <w:rsid w:val="00CF2062"/>
    <w:rsid w:val="00CF2559"/>
    <w:rsid w:val="00CF285E"/>
    <w:rsid w:val="00CF2CF6"/>
    <w:rsid w:val="00CF2FC0"/>
    <w:rsid w:val="00CF461B"/>
    <w:rsid w:val="00CF5363"/>
    <w:rsid w:val="00CF557A"/>
    <w:rsid w:val="00CF57C2"/>
    <w:rsid w:val="00CF5BD0"/>
    <w:rsid w:val="00CF5DBF"/>
    <w:rsid w:val="00CF6614"/>
    <w:rsid w:val="00CF6A4F"/>
    <w:rsid w:val="00CF6C35"/>
    <w:rsid w:val="00CF7212"/>
    <w:rsid w:val="00CF747B"/>
    <w:rsid w:val="00CF7517"/>
    <w:rsid w:val="00CF7F34"/>
    <w:rsid w:val="00D003A0"/>
    <w:rsid w:val="00D00D5B"/>
    <w:rsid w:val="00D0182C"/>
    <w:rsid w:val="00D01D0F"/>
    <w:rsid w:val="00D01E1D"/>
    <w:rsid w:val="00D02E78"/>
    <w:rsid w:val="00D03643"/>
    <w:rsid w:val="00D03826"/>
    <w:rsid w:val="00D03ABF"/>
    <w:rsid w:val="00D03AE1"/>
    <w:rsid w:val="00D03D81"/>
    <w:rsid w:val="00D0422B"/>
    <w:rsid w:val="00D0487D"/>
    <w:rsid w:val="00D04926"/>
    <w:rsid w:val="00D059AE"/>
    <w:rsid w:val="00D05B5F"/>
    <w:rsid w:val="00D05F33"/>
    <w:rsid w:val="00D061A6"/>
    <w:rsid w:val="00D0689B"/>
    <w:rsid w:val="00D06B51"/>
    <w:rsid w:val="00D07BC4"/>
    <w:rsid w:val="00D07F0A"/>
    <w:rsid w:val="00D109F4"/>
    <w:rsid w:val="00D113A3"/>
    <w:rsid w:val="00D1156F"/>
    <w:rsid w:val="00D11E44"/>
    <w:rsid w:val="00D121A7"/>
    <w:rsid w:val="00D122DB"/>
    <w:rsid w:val="00D12CA5"/>
    <w:rsid w:val="00D12CCE"/>
    <w:rsid w:val="00D12FD2"/>
    <w:rsid w:val="00D133B6"/>
    <w:rsid w:val="00D1364A"/>
    <w:rsid w:val="00D1380B"/>
    <w:rsid w:val="00D13B1E"/>
    <w:rsid w:val="00D13EFC"/>
    <w:rsid w:val="00D1409C"/>
    <w:rsid w:val="00D14758"/>
    <w:rsid w:val="00D14849"/>
    <w:rsid w:val="00D148A9"/>
    <w:rsid w:val="00D14AAB"/>
    <w:rsid w:val="00D14AD3"/>
    <w:rsid w:val="00D14BA2"/>
    <w:rsid w:val="00D14C29"/>
    <w:rsid w:val="00D1508B"/>
    <w:rsid w:val="00D1556E"/>
    <w:rsid w:val="00D1580F"/>
    <w:rsid w:val="00D15A08"/>
    <w:rsid w:val="00D15D2D"/>
    <w:rsid w:val="00D15D6C"/>
    <w:rsid w:val="00D16788"/>
    <w:rsid w:val="00D16B68"/>
    <w:rsid w:val="00D16F56"/>
    <w:rsid w:val="00D170B4"/>
    <w:rsid w:val="00D170CD"/>
    <w:rsid w:val="00D176C1"/>
    <w:rsid w:val="00D17880"/>
    <w:rsid w:val="00D17F56"/>
    <w:rsid w:val="00D20582"/>
    <w:rsid w:val="00D20A78"/>
    <w:rsid w:val="00D20C5D"/>
    <w:rsid w:val="00D21312"/>
    <w:rsid w:val="00D21318"/>
    <w:rsid w:val="00D214D9"/>
    <w:rsid w:val="00D215EB"/>
    <w:rsid w:val="00D21977"/>
    <w:rsid w:val="00D21AED"/>
    <w:rsid w:val="00D21F5A"/>
    <w:rsid w:val="00D22565"/>
    <w:rsid w:val="00D2292E"/>
    <w:rsid w:val="00D22D1E"/>
    <w:rsid w:val="00D22E23"/>
    <w:rsid w:val="00D23078"/>
    <w:rsid w:val="00D23DCE"/>
    <w:rsid w:val="00D24701"/>
    <w:rsid w:val="00D24B04"/>
    <w:rsid w:val="00D24D13"/>
    <w:rsid w:val="00D2509D"/>
    <w:rsid w:val="00D251AF"/>
    <w:rsid w:val="00D251C7"/>
    <w:rsid w:val="00D252E7"/>
    <w:rsid w:val="00D25623"/>
    <w:rsid w:val="00D25CD4"/>
    <w:rsid w:val="00D260B7"/>
    <w:rsid w:val="00D26448"/>
    <w:rsid w:val="00D26BDE"/>
    <w:rsid w:val="00D26D01"/>
    <w:rsid w:val="00D271F3"/>
    <w:rsid w:val="00D272CC"/>
    <w:rsid w:val="00D302F5"/>
    <w:rsid w:val="00D305A9"/>
    <w:rsid w:val="00D30647"/>
    <w:rsid w:val="00D30667"/>
    <w:rsid w:val="00D3075B"/>
    <w:rsid w:val="00D3081D"/>
    <w:rsid w:val="00D30C4C"/>
    <w:rsid w:val="00D30FD8"/>
    <w:rsid w:val="00D31068"/>
    <w:rsid w:val="00D3235F"/>
    <w:rsid w:val="00D3246F"/>
    <w:rsid w:val="00D32F92"/>
    <w:rsid w:val="00D3349D"/>
    <w:rsid w:val="00D336AA"/>
    <w:rsid w:val="00D336FC"/>
    <w:rsid w:val="00D3387B"/>
    <w:rsid w:val="00D33E37"/>
    <w:rsid w:val="00D34046"/>
    <w:rsid w:val="00D34210"/>
    <w:rsid w:val="00D34668"/>
    <w:rsid w:val="00D34745"/>
    <w:rsid w:val="00D348B1"/>
    <w:rsid w:val="00D34D79"/>
    <w:rsid w:val="00D35132"/>
    <w:rsid w:val="00D35195"/>
    <w:rsid w:val="00D355CB"/>
    <w:rsid w:val="00D35E24"/>
    <w:rsid w:val="00D36575"/>
    <w:rsid w:val="00D370F3"/>
    <w:rsid w:val="00D37213"/>
    <w:rsid w:val="00D3745B"/>
    <w:rsid w:val="00D375A7"/>
    <w:rsid w:val="00D37F67"/>
    <w:rsid w:val="00D40A88"/>
    <w:rsid w:val="00D40F7B"/>
    <w:rsid w:val="00D412B0"/>
    <w:rsid w:val="00D41BD2"/>
    <w:rsid w:val="00D42A1D"/>
    <w:rsid w:val="00D42C3A"/>
    <w:rsid w:val="00D435BE"/>
    <w:rsid w:val="00D43972"/>
    <w:rsid w:val="00D43FA1"/>
    <w:rsid w:val="00D44010"/>
    <w:rsid w:val="00D44903"/>
    <w:rsid w:val="00D44BBB"/>
    <w:rsid w:val="00D44DFE"/>
    <w:rsid w:val="00D457DD"/>
    <w:rsid w:val="00D4597E"/>
    <w:rsid w:val="00D45E14"/>
    <w:rsid w:val="00D461B3"/>
    <w:rsid w:val="00D4644C"/>
    <w:rsid w:val="00D46F97"/>
    <w:rsid w:val="00D46FFF"/>
    <w:rsid w:val="00D47193"/>
    <w:rsid w:val="00D472AA"/>
    <w:rsid w:val="00D473D8"/>
    <w:rsid w:val="00D47551"/>
    <w:rsid w:val="00D47820"/>
    <w:rsid w:val="00D47C34"/>
    <w:rsid w:val="00D47C79"/>
    <w:rsid w:val="00D47CFD"/>
    <w:rsid w:val="00D47FCC"/>
    <w:rsid w:val="00D500F4"/>
    <w:rsid w:val="00D5025D"/>
    <w:rsid w:val="00D505F4"/>
    <w:rsid w:val="00D509AB"/>
    <w:rsid w:val="00D50ACE"/>
    <w:rsid w:val="00D50D3E"/>
    <w:rsid w:val="00D50D6A"/>
    <w:rsid w:val="00D51125"/>
    <w:rsid w:val="00D5118A"/>
    <w:rsid w:val="00D515F6"/>
    <w:rsid w:val="00D518C6"/>
    <w:rsid w:val="00D51C8F"/>
    <w:rsid w:val="00D51CDE"/>
    <w:rsid w:val="00D51F4C"/>
    <w:rsid w:val="00D52249"/>
    <w:rsid w:val="00D524ED"/>
    <w:rsid w:val="00D52CA6"/>
    <w:rsid w:val="00D5303F"/>
    <w:rsid w:val="00D530F1"/>
    <w:rsid w:val="00D53D3F"/>
    <w:rsid w:val="00D53FA3"/>
    <w:rsid w:val="00D54751"/>
    <w:rsid w:val="00D55115"/>
    <w:rsid w:val="00D5534B"/>
    <w:rsid w:val="00D55402"/>
    <w:rsid w:val="00D55452"/>
    <w:rsid w:val="00D559A3"/>
    <w:rsid w:val="00D55E0D"/>
    <w:rsid w:val="00D55F49"/>
    <w:rsid w:val="00D56182"/>
    <w:rsid w:val="00D5633F"/>
    <w:rsid w:val="00D56543"/>
    <w:rsid w:val="00D56666"/>
    <w:rsid w:val="00D56A54"/>
    <w:rsid w:val="00D57572"/>
    <w:rsid w:val="00D57F4D"/>
    <w:rsid w:val="00D6026B"/>
    <w:rsid w:val="00D607BD"/>
    <w:rsid w:val="00D609A7"/>
    <w:rsid w:val="00D60DBC"/>
    <w:rsid w:val="00D6193C"/>
    <w:rsid w:val="00D619DC"/>
    <w:rsid w:val="00D61D5D"/>
    <w:rsid w:val="00D62212"/>
    <w:rsid w:val="00D62C46"/>
    <w:rsid w:val="00D62E2E"/>
    <w:rsid w:val="00D63452"/>
    <w:rsid w:val="00D6358A"/>
    <w:rsid w:val="00D63595"/>
    <w:rsid w:val="00D63752"/>
    <w:rsid w:val="00D63858"/>
    <w:rsid w:val="00D63919"/>
    <w:rsid w:val="00D63D7E"/>
    <w:rsid w:val="00D6450F"/>
    <w:rsid w:val="00D64698"/>
    <w:rsid w:val="00D64940"/>
    <w:rsid w:val="00D659E0"/>
    <w:rsid w:val="00D65EB5"/>
    <w:rsid w:val="00D667D2"/>
    <w:rsid w:val="00D66CB3"/>
    <w:rsid w:val="00D66E34"/>
    <w:rsid w:val="00D67416"/>
    <w:rsid w:val="00D67449"/>
    <w:rsid w:val="00D70028"/>
    <w:rsid w:val="00D70204"/>
    <w:rsid w:val="00D70843"/>
    <w:rsid w:val="00D70881"/>
    <w:rsid w:val="00D70DB0"/>
    <w:rsid w:val="00D71AAA"/>
    <w:rsid w:val="00D71B1F"/>
    <w:rsid w:val="00D71C5D"/>
    <w:rsid w:val="00D72227"/>
    <w:rsid w:val="00D7262E"/>
    <w:rsid w:val="00D726C1"/>
    <w:rsid w:val="00D728EE"/>
    <w:rsid w:val="00D72A48"/>
    <w:rsid w:val="00D72ABA"/>
    <w:rsid w:val="00D72ACF"/>
    <w:rsid w:val="00D72E3D"/>
    <w:rsid w:val="00D72F80"/>
    <w:rsid w:val="00D73032"/>
    <w:rsid w:val="00D73800"/>
    <w:rsid w:val="00D747CB"/>
    <w:rsid w:val="00D7487E"/>
    <w:rsid w:val="00D74911"/>
    <w:rsid w:val="00D749C9"/>
    <w:rsid w:val="00D74CFB"/>
    <w:rsid w:val="00D7500F"/>
    <w:rsid w:val="00D755F5"/>
    <w:rsid w:val="00D7575C"/>
    <w:rsid w:val="00D766E8"/>
    <w:rsid w:val="00D76D89"/>
    <w:rsid w:val="00D76F81"/>
    <w:rsid w:val="00D76F94"/>
    <w:rsid w:val="00D77BD3"/>
    <w:rsid w:val="00D77CF2"/>
    <w:rsid w:val="00D8079C"/>
    <w:rsid w:val="00D8082C"/>
    <w:rsid w:val="00D80A32"/>
    <w:rsid w:val="00D80A7B"/>
    <w:rsid w:val="00D81697"/>
    <w:rsid w:val="00D818B2"/>
    <w:rsid w:val="00D8191E"/>
    <w:rsid w:val="00D81983"/>
    <w:rsid w:val="00D81D34"/>
    <w:rsid w:val="00D82121"/>
    <w:rsid w:val="00D82539"/>
    <w:rsid w:val="00D827CC"/>
    <w:rsid w:val="00D82CEA"/>
    <w:rsid w:val="00D83E25"/>
    <w:rsid w:val="00D83F67"/>
    <w:rsid w:val="00D8425C"/>
    <w:rsid w:val="00D848E3"/>
    <w:rsid w:val="00D84BBA"/>
    <w:rsid w:val="00D84CFB"/>
    <w:rsid w:val="00D84DDC"/>
    <w:rsid w:val="00D859AF"/>
    <w:rsid w:val="00D85BBB"/>
    <w:rsid w:val="00D85CB7"/>
    <w:rsid w:val="00D85E8C"/>
    <w:rsid w:val="00D86BC0"/>
    <w:rsid w:val="00D87352"/>
    <w:rsid w:val="00D87774"/>
    <w:rsid w:val="00D90075"/>
    <w:rsid w:val="00D90373"/>
    <w:rsid w:val="00D90BEC"/>
    <w:rsid w:val="00D90E5C"/>
    <w:rsid w:val="00D90FED"/>
    <w:rsid w:val="00D91578"/>
    <w:rsid w:val="00D9180D"/>
    <w:rsid w:val="00D928ED"/>
    <w:rsid w:val="00D92D83"/>
    <w:rsid w:val="00D9311D"/>
    <w:rsid w:val="00D93324"/>
    <w:rsid w:val="00D9390B"/>
    <w:rsid w:val="00D93AD8"/>
    <w:rsid w:val="00D94AD6"/>
    <w:rsid w:val="00D950C7"/>
    <w:rsid w:val="00D95228"/>
    <w:rsid w:val="00D958DE"/>
    <w:rsid w:val="00D95A18"/>
    <w:rsid w:val="00D95A4A"/>
    <w:rsid w:val="00D95BC3"/>
    <w:rsid w:val="00D95CFD"/>
    <w:rsid w:val="00D9626C"/>
    <w:rsid w:val="00D96364"/>
    <w:rsid w:val="00D96711"/>
    <w:rsid w:val="00D9689B"/>
    <w:rsid w:val="00D96F29"/>
    <w:rsid w:val="00D973C6"/>
    <w:rsid w:val="00D9786A"/>
    <w:rsid w:val="00DA055B"/>
    <w:rsid w:val="00DA05FD"/>
    <w:rsid w:val="00DA06FC"/>
    <w:rsid w:val="00DA0F8E"/>
    <w:rsid w:val="00DA1422"/>
    <w:rsid w:val="00DA1ACF"/>
    <w:rsid w:val="00DA1DF0"/>
    <w:rsid w:val="00DA1EB6"/>
    <w:rsid w:val="00DA1FEE"/>
    <w:rsid w:val="00DA20DE"/>
    <w:rsid w:val="00DA2573"/>
    <w:rsid w:val="00DA308D"/>
    <w:rsid w:val="00DA32E3"/>
    <w:rsid w:val="00DA33A6"/>
    <w:rsid w:val="00DA3AC6"/>
    <w:rsid w:val="00DA40C2"/>
    <w:rsid w:val="00DA478E"/>
    <w:rsid w:val="00DA4E30"/>
    <w:rsid w:val="00DA572D"/>
    <w:rsid w:val="00DA60C0"/>
    <w:rsid w:val="00DA62B5"/>
    <w:rsid w:val="00DA631B"/>
    <w:rsid w:val="00DA7522"/>
    <w:rsid w:val="00DA772E"/>
    <w:rsid w:val="00DA7A1A"/>
    <w:rsid w:val="00DB0590"/>
    <w:rsid w:val="00DB067E"/>
    <w:rsid w:val="00DB06B6"/>
    <w:rsid w:val="00DB1BCD"/>
    <w:rsid w:val="00DB1EC9"/>
    <w:rsid w:val="00DB209E"/>
    <w:rsid w:val="00DB21E6"/>
    <w:rsid w:val="00DB2585"/>
    <w:rsid w:val="00DB2F41"/>
    <w:rsid w:val="00DB4014"/>
    <w:rsid w:val="00DB402A"/>
    <w:rsid w:val="00DB45B8"/>
    <w:rsid w:val="00DB4719"/>
    <w:rsid w:val="00DB5220"/>
    <w:rsid w:val="00DB559E"/>
    <w:rsid w:val="00DB569D"/>
    <w:rsid w:val="00DB5BFE"/>
    <w:rsid w:val="00DB5E22"/>
    <w:rsid w:val="00DB5E5D"/>
    <w:rsid w:val="00DB6A20"/>
    <w:rsid w:val="00DB7503"/>
    <w:rsid w:val="00DB77DB"/>
    <w:rsid w:val="00DB7BE1"/>
    <w:rsid w:val="00DB7C05"/>
    <w:rsid w:val="00DB7C17"/>
    <w:rsid w:val="00DB7ED0"/>
    <w:rsid w:val="00DB7F9F"/>
    <w:rsid w:val="00DC12E0"/>
    <w:rsid w:val="00DC1399"/>
    <w:rsid w:val="00DC13D2"/>
    <w:rsid w:val="00DC1F37"/>
    <w:rsid w:val="00DC214F"/>
    <w:rsid w:val="00DC25A2"/>
    <w:rsid w:val="00DC2DAC"/>
    <w:rsid w:val="00DC314C"/>
    <w:rsid w:val="00DC31B4"/>
    <w:rsid w:val="00DC345F"/>
    <w:rsid w:val="00DC3BB1"/>
    <w:rsid w:val="00DC418E"/>
    <w:rsid w:val="00DC44EA"/>
    <w:rsid w:val="00DC4C79"/>
    <w:rsid w:val="00DC538A"/>
    <w:rsid w:val="00DC663C"/>
    <w:rsid w:val="00DC6648"/>
    <w:rsid w:val="00DC6D0A"/>
    <w:rsid w:val="00DC7043"/>
    <w:rsid w:val="00DC74D8"/>
    <w:rsid w:val="00DC7515"/>
    <w:rsid w:val="00DD04A2"/>
    <w:rsid w:val="00DD0784"/>
    <w:rsid w:val="00DD07B4"/>
    <w:rsid w:val="00DD0897"/>
    <w:rsid w:val="00DD0B1C"/>
    <w:rsid w:val="00DD0DFF"/>
    <w:rsid w:val="00DD0ED2"/>
    <w:rsid w:val="00DD0F17"/>
    <w:rsid w:val="00DD13E4"/>
    <w:rsid w:val="00DD23C6"/>
    <w:rsid w:val="00DD3999"/>
    <w:rsid w:val="00DD3EE5"/>
    <w:rsid w:val="00DD4718"/>
    <w:rsid w:val="00DD4E10"/>
    <w:rsid w:val="00DD5398"/>
    <w:rsid w:val="00DD619D"/>
    <w:rsid w:val="00DD669E"/>
    <w:rsid w:val="00DD6D53"/>
    <w:rsid w:val="00DD6ECA"/>
    <w:rsid w:val="00DE011B"/>
    <w:rsid w:val="00DE0431"/>
    <w:rsid w:val="00DE0812"/>
    <w:rsid w:val="00DE12C8"/>
    <w:rsid w:val="00DE2359"/>
    <w:rsid w:val="00DE26C4"/>
    <w:rsid w:val="00DE27EF"/>
    <w:rsid w:val="00DE2965"/>
    <w:rsid w:val="00DE2A6E"/>
    <w:rsid w:val="00DE35EE"/>
    <w:rsid w:val="00DE3F03"/>
    <w:rsid w:val="00DE41B0"/>
    <w:rsid w:val="00DE4698"/>
    <w:rsid w:val="00DE47A3"/>
    <w:rsid w:val="00DE4D73"/>
    <w:rsid w:val="00DE527F"/>
    <w:rsid w:val="00DE59B1"/>
    <w:rsid w:val="00DE5A40"/>
    <w:rsid w:val="00DE5F95"/>
    <w:rsid w:val="00DE6543"/>
    <w:rsid w:val="00DE65FC"/>
    <w:rsid w:val="00DE6C0A"/>
    <w:rsid w:val="00DE79EE"/>
    <w:rsid w:val="00DF02AF"/>
    <w:rsid w:val="00DF0895"/>
    <w:rsid w:val="00DF0D9E"/>
    <w:rsid w:val="00DF0EC4"/>
    <w:rsid w:val="00DF1217"/>
    <w:rsid w:val="00DF13A5"/>
    <w:rsid w:val="00DF1F21"/>
    <w:rsid w:val="00DF2256"/>
    <w:rsid w:val="00DF30AD"/>
    <w:rsid w:val="00DF3638"/>
    <w:rsid w:val="00DF3677"/>
    <w:rsid w:val="00DF3977"/>
    <w:rsid w:val="00DF3B5F"/>
    <w:rsid w:val="00DF4391"/>
    <w:rsid w:val="00DF488E"/>
    <w:rsid w:val="00DF49B2"/>
    <w:rsid w:val="00DF4F61"/>
    <w:rsid w:val="00DF57F0"/>
    <w:rsid w:val="00DF5A44"/>
    <w:rsid w:val="00DF5FA9"/>
    <w:rsid w:val="00DF60D2"/>
    <w:rsid w:val="00DF65D0"/>
    <w:rsid w:val="00DF6916"/>
    <w:rsid w:val="00DF6B2D"/>
    <w:rsid w:val="00DF6DEA"/>
    <w:rsid w:val="00DF7681"/>
    <w:rsid w:val="00DF7C7E"/>
    <w:rsid w:val="00E00758"/>
    <w:rsid w:val="00E00BD6"/>
    <w:rsid w:val="00E01230"/>
    <w:rsid w:val="00E0157A"/>
    <w:rsid w:val="00E01628"/>
    <w:rsid w:val="00E01898"/>
    <w:rsid w:val="00E01FDB"/>
    <w:rsid w:val="00E025F6"/>
    <w:rsid w:val="00E02FFB"/>
    <w:rsid w:val="00E033EF"/>
    <w:rsid w:val="00E03A05"/>
    <w:rsid w:val="00E03E20"/>
    <w:rsid w:val="00E03F75"/>
    <w:rsid w:val="00E0418B"/>
    <w:rsid w:val="00E0440A"/>
    <w:rsid w:val="00E056D0"/>
    <w:rsid w:val="00E06056"/>
    <w:rsid w:val="00E0647F"/>
    <w:rsid w:val="00E06492"/>
    <w:rsid w:val="00E067FC"/>
    <w:rsid w:val="00E06998"/>
    <w:rsid w:val="00E06FF3"/>
    <w:rsid w:val="00E0743B"/>
    <w:rsid w:val="00E076E2"/>
    <w:rsid w:val="00E07CA9"/>
    <w:rsid w:val="00E108DD"/>
    <w:rsid w:val="00E10A3A"/>
    <w:rsid w:val="00E10C00"/>
    <w:rsid w:val="00E10D36"/>
    <w:rsid w:val="00E10F53"/>
    <w:rsid w:val="00E111D7"/>
    <w:rsid w:val="00E114E5"/>
    <w:rsid w:val="00E11798"/>
    <w:rsid w:val="00E11B9D"/>
    <w:rsid w:val="00E11D3F"/>
    <w:rsid w:val="00E12271"/>
    <w:rsid w:val="00E12FE2"/>
    <w:rsid w:val="00E13538"/>
    <w:rsid w:val="00E13617"/>
    <w:rsid w:val="00E14452"/>
    <w:rsid w:val="00E144ED"/>
    <w:rsid w:val="00E146F2"/>
    <w:rsid w:val="00E14A13"/>
    <w:rsid w:val="00E14CD1"/>
    <w:rsid w:val="00E14E6F"/>
    <w:rsid w:val="00E15520"/>
    <w:rsid w:val="00E15CF0"/>
    <w:rsid w:val="00E16027"/>
    <w:rsid w:val="00E164BB"/>
    <w:rsid w:val="00E17084"/>
    <w:rsid w:val="00E17303"/>
    <w:rsid w:val="00E1760B"/>
    <w:rsid w:val="00E1784B"/>
    <w:rsid w:val="00E17887"/>
    <w:rsid w:val="00E17C34"/>
    <w:rsid w:val="00E17D42"/>
    <w:rsid w:val="00E17D5D"/>
    <w:rsid w:val="00E208BC"/>
    <w:rsid w:val="00E20A28"/>
    <w:rsid w:val="00E20C37"/>
    <w:rsid w:val="00E21781"/>
    <w:rsid w:val="00E21AFB"/>
    <w:rsid w:val="00E21C9A"/>
    <w:rsid w:val="00E221B4"/>
    <w:rsid w:val="00E2293A"/>
    <w:rsid w:val="00E22AB6"/>
    <w:rsid w:val="00E230B1"/>
    <w:rsid w:val="00E233EF"/>
    <w:rsid w:val="00E23620"/>
    <w:rsid w:val="00E2366D"/>
    <w:rsid w:val="00E23CB2"/>
    <w:rsid w:val="00E242FF"/>
    <w:rsid w:val="00E249AC"/>
    <w:rsid w:val="00E250CB"/>
    <w:rsid w:val="00E25F9C"/>
    <w:rsid w:val="00E2624F"/>
    <w:rsid w:val="00E27857"/>
    <w:rsid w:val="00E27EEC"/>
    <w:rsid w:val="00E3003A"/>
    <w:rsid w:val="00E3027A"/>
    <w:rsid w:val="00E3067F"/>
    <w:rsid w:val="00E310E6"/>
    <w:rsid w:val="00E31495"/>
    <w:rsid w:val="00E31668"/>
    <w:rsid w:val="00E3198F"/>
    <w:rsid w:val="00E31C02"/>
    <w:rsid w:val="00E321EC"/>
    <w:rsid w:val="00E3233F"/>
    <w:rsid w:val="00E323D2"/>
    <w:rsid w:val="00E32585"/>
    <w:rsid w:val="00E32B48"/>
    <w:rsid w:val="00E3333F"/>
    <w:rsid w:val="00E33FE7"/>
    <w:rsid w:val="00E34B4B"/>
    <w:rsid w:val="00E34B58"/>
    <w:rsid w:val="00E34D47"/>
    <w:rsid w:val="00E34F07"/>
    <w:rsid w:val="00E34F30"/>
    <w:rsid w:val="00E35462"/>
    <w:rsid w:val="00E35C30"/>
    <w:rsid w:val="00E35E34"/>
    <w:rsid w:val="00E36F97"/>
    <w:rsid w:val="00E3739B"/>
    <w:rsid w:val="00E375B6"/>
    <w:rsid w:val="00E37997"/>
    <w:rsid w:val="00E37E15"/>
    <w:rsid w:val="00E37F85"/>
    <w:rsid w:val="00E40B08"/>
    <w:rsid w:val="00E41049"/>
    <w:rsid w:val="00E41390"/>
    <w:rsid w:val="00E416C1"/>
    <w:rsid w:val="00E41C32"/>
    <w:rsid w:val="00E41C86"/>
    <w:rsid w:val="00E426EA"/>
    <w:rsid w:val="00E42B7E"/>
    <w:rsid w:val="00E42DEA"/>
    <w:rsid w:val="00E43602"/>
    <w:rsid w:val="00E43B36"/>
    <w:rsid w:val="00E44266"/>
    <w:rsid w:val="00E444CC"/>
    <w:rsid w:val="00E4453A"/>
    <w:rsid w:val="00E44A6F"/>
    <w:rsid w:val="00E44B1B"/>
    <w:rsid w:val="00E44DCA"/>
    <w:rsid w:val="00E45039"/>
    <w:rsid w:val="00E456F0"/>
    <w:rsid w:val="00E46131"/>
    <w:rsid w:val="00E46FA7"/>
    <w:rsid w:val="00E4751F"/>
    <w:rsid w:val="00E4761F"/>
    <w:rsid w:val="00E47C85"/>
    <w:rsid w:val="00E500E3"/>
    <w:rsid w:val="00E50249"/>
    <w:rsid w:val="00E5073C"/>
    <w:rsid w:val="00E5158C"/>
    <w:rsid w:val="00E5158E"/>
    <w:rsid w:val="00E51825"/>
    <w:rsid w:val="00E51F15"/>
    <w:rsid w:val="00E524FE"/>
    <w:rsid w:val="00E5251D"/>
    <w:rsid w:val="00E52556"/>
    <w:rsid w:val="00E52CA7"/>
    <w:rsid w:val="00E53CE3"/>
    <w:rsid w:val="00E5432F"/>
    <w:rsid w:val="00E54866"/>
    <w:rsid w:val="00E549F0"/>
    <w:rsid w:val="00E552E2"/>
    <w:rsid w:val="00E553C6"/>
    <w:rsid w:val="00E554B9"/>
    <w:rsid w:val="00E55A3C"/>
    <w:rsid w:val="00E5601C"/>
    <w:rsid w:val="00E560D9"/>
    <w:rsid w:val="00E562D1"/>
    <w:rsid w:val="00E566E7"/>
    <w:rsid w:val="00E56A49"/>
    <w:rsid w:val="00E56C4D"/>
    <w:rsid w:val="00E574EB"/>
    <w:rsid w:val="00E575E3"/>
    <w:rsid w:val="00E5778D"/>
    <w:rsid w:val="00E57BBD"/>
    <w:rsid w:val="00E57C2C"/>
    <w:rsid w:val="00E57C91"/>
    <w:rsid w:val="00E6092B"/>
    <w:rsid w:val="00E61384"/>
    <w:rsid w:val="00E61422"/>
    <w:rsid w:val="00E617BD"/>
    <w:rsid w:val="00E6284C"/>
    <w:rsid w:val="00E62E20"/>
    <w:rsid w:val="00E62EA2"/>
    <w:rsid w:val="00E63115"/>
    <w:rsid w:val="00E63806"/>
    <w:rsid w:val="00E63BD4"/>
    <w:rsid w:val="00E64456"/>
    <w:rsid w:val="00E6478E"/>
    <w:rsid w:val="00E6490D"/>
    <w:rsid w:val="00E64E8F"/>
    <w:rsid w:val="00E654CF"/>
    <w:rsid w:val="00E65CA7"/>
    <w:rsid w:val="00E65E72"/>
    <w:rsid w:val="00E65EE3"/>
    <w:rsid w:val="00E66758"/>
    <w:rsid w:val="00E66899"/>
    <w:rsid w:val="00E66B59"/>
    <w:rsid w:val="00E671BA"/>
    <w:rsid w:val="00E67339"/>
    <w:rsid w:val="00E67465"/>
    <w:rsid w:val="00E6759B"/>
    <w:rsid w:val="00E67950"/>
    <w:rsid w:val="00E700B3"/>
    <w:rsid w:val="00E7045F"/>
    <w:rsid w:val="00E708A1"/>
    <w:rsid w:val="00E70DE9"/>
    <w:rsid w:val="00E70E5F"/>
    <w:rsid w:val="00E715CB"/>
    <w:rsid w:val="00E715FB"/>
    <w:rsid w:val="00E718D1"/>
    <w:rsid w:val="00E71AA3"/>
    <w:rsid w:val="00E723E9"/>
    <w:rsid w:val="00E72766"/>
    <w:rsid w:val="00E7306E"/>
    <w:rsid w:val="00E73350"/>
    <w:rsid w:val="00E73B4F"/>
    <w:rsid w:val="00E73B63"/>
    <w:rsid w:val="00E73D66"/>
    <w:rsid w:val="00E740DF"/>
    <w:rsid w:val="00E743DC"/>
    <w:rsid w:val="00E7442C"/>
    <w:rsid w:val="00E74631"/>
    <w:rsid w:val="00E746B6"/>
    <w:rsid w:val="00E748A7"/>
    <w:rsid w:val="00E74CD5"/>
    <w:rsid w:val="00E7510B"/>
    <w:rsid w:val="00E7599A"/>
    <w:rsid w:val="00E75C73"/>
    <w:rsid w:val="00E761EE"/>
    <w:rsid w:val="00E766ED"/>
    <w:rsid w:val="00E7695D"/>
    <w:rsid w:val="00E76A09"/>
    <w:rsid w:val="00E7705F"/>
    <w:rsid w:val="00E770E5"/>
    <w:rsid w:val="00E7755F"/>
    <w:rsid w:val="00E775DC"/>
    <w:rsid w:val="00E77D8D"/>
    <w:rsid w:val="00E80774"/>
    <w:rsid w:val="00E8085B"/>
    <w:rsid w:val="00E81253"/>
    <w:rsid w:val="00E81BD8"/>
    <w:rsid w:val="00E81C59"/>
    <w:rsid w:val="00E81D74"/>
    <w:rsid w:val="00E823A4"/>
    <w:rsid w:val="00E82CF8"/>
    <w:rsid w:val="00E82D19"/>
    <w:rsid w:val="00E82EC7"/>
    <w:rsid w:val="00E838CA"/>
    <w:rsid w:val="00E839FC"/>
    <w:rsid w:val="00E83CC2"/>
    <w:rsid w:val="00E83D37"/>
    <w:rsid w:val="00E83DBC"/>
    <w:rsid w:val="00E840A0"/>
    <w:rsid w:val="00E84280"/>
    <w:rsid w:val="00E85184"/>
    <w:rsid w:val="00E8519D"/>
    <w:rsid w:val="00E85280"/>
    <w:rsid w:val="00E85A47"/>
    <w:rsid w:val="00E85D24"/>
    <w:rsid w:val="00E861BE"/>
    <w:rsid w:val="00E8678A"/>
    <w:rsid w:val="00E8702B"/>
    <w:rsid w:val="00E87417"/>
    <w:rsid w:val="00E8750A"/>
    <w:rsid w:val="00E87521"/>
    <w:rsid w:val="00E8784D"/>
    <w:rsid w:val="00E8789F"/>
    <w:rsid w:val="00E87DFE"/>
    <w:rsid w:val="00E900FF"/>
    <w:rsid w:val="00E9063B"/>
    <w:rsid w:val="00E91200"/>
    <w:rsid w:val="00E91541"/>
    <w:rsid w:val="00E91CBF"/>
    <w:rsid w:val="00E924CD"/>
    <w:rsid w:val="00E92555"/>
    <w:rsid w:val="00E92651"/>
    <w:rsid w:val="00E928F3"/>
    <w:rsid w:val="00E92D73"/>
    <w:rsid w:val="00E930B9"/>
    <w:rsid w:val="00E93381"/>
    <w:rsid w:val="00E93472"/>
    <w:rsid w:val="00E93E5C"/>
    <w:rsid w:val="00E947A0"/>
    <w:rsid w:val="00E9494F"/>
    <w:rsid w:val="00E95487"/>
    <w:rsid w:val="00E957D2"/>
    <w:rsid w:val="00E959A8"/>
    <w:rsid w:val="00E95D11"/>
    <w:rsid w:val="00E95E4E"/>
    <w:rsid w:val="00E96630"/>
    <w:rsid w:val="00E9665C"/>
    <w:rsid w:val="00E96B59"/>
    <w:rsid w:val="00E96CEA"/>
    <w:rsid w:val="00E96F5A"/>
    <w:rsid w:val="00E97D30"/>
    <w:rsid w:val="00E97D68"/>
    <w:rsid w:val="00E97FE8"/>
    <w:rsid w:val="00EA0E44"/>
    <w:rsid w:val="00EA1460"/>
    <w:rsid w:val="00EA1855"/>
    <w:rsid w:val="00EA1AA8"/>
    <w:rsid w:val="00EA1EEA"/>
    <w:rsid w:val="00EA1F2A"/>
    <w:rsid w:val="00EA2AA1"/>
    <w:rsid w:val="00EA2DF4"/>
    <w:rsid w:val="00EA2FD5"/>
    <w:rsid w:val="00EA307D"/>
    <w:rsid w:val="00EA33CD"/>
    <w:rsid w:val="00EA3438"/>
    <w:rsid w:val="00EA41CD"/>
    <w:rsid w:val="00EA4784"/>
    <w:rsid w:val="00EA5589"/>
    <w:rsid w:val="00EA5981"/>
    <w:rsid w:val="00EA5C88"/>
    <w:rsid w:val="00EA629C"/>
    <w:rsid w:val="00EA6CF8"/>
    <w:rsid w:val="00EA6DAB"/>
    <w:rsid w:val="00EA6FAC"/>
    <w:rsid w:val="00EA73C8"/>
    <w:rsid w:val="00EA7519"/>
    <w:rsid w:val="00EB0485"/>
    <w:rsid w:val="00EB0874"/>
    <w:rsid w:val="00EB10AE"/>
    <w:rsid w:val="00EB1515"/>
    <w:rsid w:val="00EB17F6"/>
    <w:rsid w:val="00EB19C9"/>
    <w:rsid w:val="00EB1A30"/>
    <w:rsid w:val="00EB1AC3"/>
    <w:rsid w:val="00EB1BEE"/>
    <w:rsid w:val="00EB1D9C"/>
    <w:rsid w:val="00EB24C8"/>
    <w:rsid w:val="00EB25F5"/>
    <w:rsid w:val="00EB28A7"/>
    <w:rsid w:val="00EB2A95"/>
    <w:rsid w:val="00EB2B59"/>
    <w:rsid w:val="00EB330A"/>
    <w:rsid w:val="00EB3875"/>
    <w:rsid w:val="00EB3951"/>
    <w:rsid w:val="00EB3D88"/>
    <w:rsid w:val="00EB3E2C"/>
    <w:rsid w:val="00EB47F3"/>
    <w:rsid w:val="00EB48CA"/>
    <w:rsid w:val="00EB50C7"/>
    <w:rsid w:val="00EB51E2"/>
    <w:rsid w:val="00EB5622"/>
    <w:rsid w:val="00EB588A"/>
    <w:rsid w:val="00EB5A12"/>
    <w:rsid w:val="00EB5E79"/>
    <w:rsid w:val="00EB60DF"/>
    <w:rsid w:val="00EB6197"/>
    <w:rsid w:val="00EB628B"/>
    <w:rsid w:val="00EB6C78"/>
    <w:rsid w:val="00EB6D92"/>
    <w:rsid w:val="00EB7458"/>
    <w:rsid w:val="00EC0293"/>
    <w:rsid w:val="00EC08B2"/>
    <w:rsid w:val="00EC11A6"/>
    <w:rsid w:val="00EC14F5"/>
    <w:rsid w:val="00EC2082"/>
    <w:rsid w:val="00EC24DE"/>
    <w:rsid w:val="00EC2D73"/>
    <w:rsid w:val="00EC35C1"/>
    <w:rsid w:val="00EC3E1E"/>
    <w:rsid w:val="00EC3E80"/>
    <w:rsid w:val="00EC3F46"/>
    <w:rsid w:val="00EC4876"/>
    <w:rsid w:val="00EC49C8"/>
    <w:rsid w:val="00EC55B7"/>
    <w:rsid w:val="00EC585B"/>
    <w:rsid w:val="00EC599B"/>
    <w:rsid w:val="00EC6482"/>
    <w:rsid w:val="00EC6A66"/>
    <w:rsid w:val="00EC6FBE"/>
    <w:rsid w:val="00EC786E"/>
    <w:rsid w:val="00ED058C"/>
    <w:rsid w:val="00ED07BD"/>
    <w:rsid w:val="00ED0C1F"/>
    <w:rsid w:val="00ED10DC"/>
    <w:rsid w:val="00ED140D"/>
    <w:rsid w:val="00ED159B"/>
    <w:rsid w:val="00ED17B0"/>
    <w:rsid w:val="00ED1897"/>
    <w:rsid w:val="00ED1AE5"/>
    <w:rsid w:val="00ED24E0"/>
    <w:rsid w:val="00ED269D"/>
    <w:rsid w:val="00ED2827"/>
    <w:rsid w:val="00ED2FB0"/>
    <w:rsid w:val="00ED30C2"/>
    <w:rsid w:val="00ED3587"/>
    <w:rsid w:val="00ED3CC5"/>
    <w:rsid w:val="00ED45CE"/>
    <w:rsid w:val="00ED463D"/>
    <w:rsid w:val="00ED47DA"/>
    <w:rsid w:val="00ED47FA"/>
    <w:rsid w:val="00ED50C2"/>
    <w:rsid w:val="00ED5370"/>
    <w:rsid w:val="00ED5402"/>
    <w:rsid w:val="00ED5EFC"/>
    <w:rsid w:val="00ED71F1"/>
    <w:rsid w:val="00ED72B7"/>
    <w:rsid w:val="00EE04BC"/>
    <w:rsid w:val="00EE0601"/>
    <w:rsid w:val="00EE091D"/>
    <w:rsid w:val="00EE0ABD"/>
    <w:rsid w:val="00EE0DBA"/>
    <w:rsid w:val="00EE1299"/>
    <w:rsid w:val="00EE13AE"/>
    <w:rsid w:val="00EE14E9"/>
    <w:rsid w:val="00EE1531"/>
    <w:rsid w:val="00EE1CA7"/>
    <w:rsid w:val="00EE1E77"/>
    <w:rsid w:val="00EE2051"/>
    <w:rsid w:val="00EE2833"/>
    <w:rsid w:val="00EE348A"/>
    <w:rsid w:val="00EE3493"/>
    <w:rsid w:val="00EE3AD9"/>
    <w:rsid w:val="00EE3C3C"/>
    <w:rsid w:val="00EE3EC8"/>
    <w:rsid w:val="00EE4507"/>
    <w:rsid w:val="00EE480C"/>
    <w:rsid w:val="00EE497D"/>
    <w:rsid w:val="00EE4B93"/>
    <w:rsid w:val="00EE4D5F"/>
    <w:rsid w:val="00EE4E4B"/>
    <w:rsid w:val="00EE4F05"/>
    <w:rsid w:val="00EE509A"/>
    <w:rsid w:val="00EE5452"/>
    <w:rsid w:val="00EE55A1"/>
    <w:rsid w:val="00EE5602"/>
    <w:rsid w:val="00EE56A3"/>
    <w:rsid w:val="00EE598D"/>
    <w:rsid w:val="00EE599B"/>
    <w:rsid w:val="00EE6063"/>
    <w:rsid w:val="00EE6543"/>
    <w:rsid w:val="00EE69A9"/>
    <w:rsid w:val="00EE6E5B"/>
    <w:rsid w:val="00EE6FCB"/>
    <w:rsid w:val="00EE7054"/>
    <w:rsid w:val="00EE7C36"/>
    <w:rsid w:val="00EF013A"/>
    <w:rsid w:val="00EF04D2"/>
    <w:rsid w:val="00EF0DDD"/>
    <w:rsid w:val="00EF0EA9"/>
    <w:rsid w:val="00EF100F"/>
    <w:rsid w:val="00EF2051"/>
    <w:rsid w:val="00EF286F"/>
    <w:rsid w:val="00EF3860"/>
    <w:rsid w:val="00EF3F0C"/>
    <w:rsid w:val="00EF41D3"/>
    <w:rsid w:val="00EF48FB"/>
    <w:rsid w:val="00EF4F66"/>
    <w:rsid w:val="00EF539B"/>
    <w:rsid w:val="00EF59FA"/>
    <w:rsid w:val="00EF5A47"/>
    <w:rsid w:val="00EF6797"/>
    <w:rsid w:val="00EF6A8F"/>
    <w:rsid w:val="00EF6C41"/>
    <w:rsid w:val="00EF6CC2"/>
    <w:rsid w:val="00EF7954"/>
    <w:rsid w:val="00EF7EF7"/>
    <w:rsid w:val="00F0073A"/>
    <w:rsid w:val="00F00896"/>
    <w:rsid w:val="00F0103A"/>
    <w:rsid w:val="00F01162"/>
    <w:rsid w:val="00F02028"/>
    <w:rsid w:val="00F02985"/>
    <w:rsid w:val="00F02DEA"/>
    <w:rsid w:val="00F03173"/>
    <w:rsid w:val="00F031AB"/>
    <w:rsid w:val="00F03805"/>
    <w:rsid w:val="00F038CE"/>
    <w:rsid w:val="00F04127"/>
    <w:rsid w:val="00F0428B"/>
    <w:rsid w:val="00F046EE"/>
    <w:rsid w:val="00F04B33"/>
    <w:rsid w:val="00F04D56"/>
    <w:rsid w:val="00F05CB5"/>
    <w:rsid w:val="00F05D43"/>
    <w:rsid w:val="00F05F90"/>
    <w:rsid w:val="00F064ED"/>
    <w:rsid w:val="00F06A67"/>
    <w:rsid w:val="00F06E65"/>
    <w:rsid w:val="00F070ED"/>
    <w:rsid w:val="00F072C2"/>
    <w:rsid w:val="00F07444"/>
    <w:rsid w:val="00F0753F"/>
    <w:rsid w:val="00F07817"/>
    <w:rsid w:val="00F0790F"/>
    <w:rsid w:val="00F07C4E"/>
    <w:rsid w:val="00F10E1A"/>
    <w:rsid w:val="00F11375"/>
    <w:rsid w:val="00F116B4"/>
    <w:rsid w:val="00F11983"/>
    <w:rsid w:val="00F11C74"/>
    <w:rsid w:val="00F12557"/>
    <w:rsid w:val="00F12CFB"/>
    <w:rsid w:val="00F12E02"/>
    <w:rsid w:val="00F13131"/>
    <w:rsid w:val="00F136A5"/>
    <w:rsid w:val="00F1390B"/>
    <w:rsid w:val="00F13CE1"/>
    <w:rsid w:val="00F140D8"/>
    <w:rsid w:val="00F14CF4"/>
    <w:rsid w:val="00F14F4F"/>
    <w:rsid w:val="00F15E03"/>
    <w:rsid w:val="00F15E56"/>
    <w:rsid w:val="00F16212"/>
    <w:rsid w:val="00F16244"/>
    <w:rsid w:val="00F1672F"/>
    <w:rsid w:val="00F16942"/>
    <w:rsid w:val="00F16B24"/>
    <w:rsid w:val="00F17525"/>
    <w:rsid w:val="00F179B6"/>
    <w:rsid w:val="00F17BE2"/>
    <w:rsid w:val="00F201C2"/>
    <w:rsid w:val="00F2044F"/>
    <w:rsid w:val="00F210FA"/>
    <w:rsid w:val="00F217B6"/>
    <w:rsid w:val="00F22349"/>
    <w:rsid w:val="00F22BD1"/>
    <w:rsid w:val="00F22CCF"/>
    <w:rsid w:val="00F2301F"/>
    <w:rsid w:val="00F23108"/>
    <w:rsid w:val="00F239F0"/>
    <w:rsid w:val="00F23C9E"/>
    <w:rsid w:val="00F23FD2"/>
    <w:rsid w:val="00F242BB"/>
    <w:rsid w:val="00F24570"/>
    <w:rsid w:val="00F24658"/>
    <w:rsid w:val="00F2480B"/>
    <w:rsid w:val="00F24ED7"/>
    <w:rsid w:val="00F2516E"/>
    <w:rsid w:val="00F25298"/>
    <w:rsid w:val="00F2574F"/>
    <w:rsid w:val="00F2578E"/>
    <w:rsid w:val="00F2669B"/>
    <w:rsid w:val="00F268DB"/>
    <w:rsid w:val="00F26BF0"/>
    <w:rsid w:val="00F26D9E"/>
    <w:rsid w:val="00F272CB"/>
    <w:rsid w:val="00F27C4D"/>
    <w:rsid w:val="00F27DE2"/>
    <w:rsid w:val="00F304A2"/>
    <w:rsid w:val="00F30750"/>
    <w:rsid w:val="00F30EE1"/>
    <w:rsid w:val="00F31B48"/>
    <w:rsid w:val="00F323B8"/>
    <w:rsid w:val="00F33167"/>
    <w:rsid w:val="00F33293"/>
    <w:rsid w:val="00F33E53"/>
    <w:rsid w:val="00F34547"/>
    <w:rsid w:val="00F34B5C"/>
    <w:rsid w:val="00F34E45"/>
    <w:rsid w:val="00F34F66"/>
    <w:rsid w:val="00F35602"/>
    <w:rsid w:val="00F35BFC"/>
    <w:rsid w:val="00F36D5F"/>
    <w:rsid w:val="00F36E9F"/>
    <w:rsid w:val="00F36ED9"/>
    <w:rsid w:val="00F3720E"/>
    <w:rsid w:val="00F3742E"/>
    <w:rsid w:val="00F37BB9"/>
    <w:rsid w:val="00F37EDC"/>
    <w:rsid w:val="00F40226"/>
    <w:rsid w:val="00F405F6"/>
    <w:rsid w:val="00F40903"/>
    <w:rsid w:val="00F40E05"/>
    <w:rsid w:val="00F41138"/>
    <w:rsid w:val="00F4172D"/>
    <w:rsid w:val="00F41E64"/>
    <w:rsid w:val="00F428A2"/>
    <w:rsid w:val="00F42A60"/>
    <w:rsid w:val="00F43084"/>
    <w:rsid w:val="00F435F7"/>
    <w:rsid w:val="00F4372F"/>
    <w:rsid w:val="00F43B02"/>
    <w:rsid w:val="00F43DE8"/>
    <w:rsid w:val="00F4429D"/>
    <w:rsid w:val="00F44465"/>
    <w:rsid w:val="00F44803"/>
    <w:rsid w:val="00F44932"/>
    <w:rsid w:val="00F44ABF"/>
    <w:rsid w:val="00F46186"/>
    <w:rsid w:val="00F46618"/>
    <w:rsid w:val="00F46CB5"/>
    <w:rsid w:val="00F4728E"/>
    <w:rsid w:val="00F47A25"/>
    <w:rsid w:val="00F47EB9"/>
    <w:rsid w:val="00F50844"/>
    <w:rsid w:val="00F508A5"/>
    <w:rsid w:val="00F508C2"/>
    <w:rsid w:val="00F51171"/>
    <w:rsid w:val="00F5145D"/>
    <w:rsid w:val="00F51609"/>
    <w:rsid w:val="00F51CFA"/>
    <w:rsid w:val="00F51D2E"/>
    <w:rsid w:val="00F52330"/>
    <w:rsid w:val="00F52450"/>
    <w:rsid w:val="00F528E2"/>
    <w:rsid w:val="00F5360D"/>
    <w:rsid w:val="00F53703"/>
    <w:rsid w:val="00F53B0D"/>
    <w:rsid w:val="00F54538"/>
    <w:rsid w:val="00F5477D"/>
    <w:rsid w:val="00F5482F"/>
    <w:rsid w:val="00F548C9"/>
    <w:rsid w:val="00F54A07"/>
    <w:rsid w:val="00F55651"/>
    <w:rsid w:val="00F5581A"/>
    <w:rsid w:val="00F55E21"/>
    <w:rsid w:val="00F56312"/>
    <w:rsid w:val="00F571C1"/>
    <w:rsid w:val="00F5751D"/>
    <w:rsid w:val="00F57B00"/>
    <w:rsid w:val="00F57D34"/>
    <w:rsid w:val="00F57FB0"/>
    <w:rsid w:val="00F605A2"/>
    <w:rsid w:val="00F60850"/>
    <w:rsid w:val="00F609D6"/>
    <w:rsid w:val="00F60EEA"/>
    <w:rsid w:val="00F60F6D"/>
    <w:rsid w:val="00F61185"/>
    <w:rsid w:val="00F61229"/>
    <w:rsid w:val="00F6156C"/>
    <w:rsid w:val="00F61740"/>
    <w:rsid w:val="00F61C26"/>
    <w:rsid w:val="00F629B3"/>
    <w:rsid w:val="00F62BBA"/>
    <w:rsid w:val="00F62F34"/>
    <w:rsid w:val="00F636AC"/>
    <w:rsid w:val="00F6398A"/>
    <w:rsid w:val="00F63A50"/>
    <w:rsid w:val="00F63D84"/>
    <w:rsid w:val="00F63D8B"/>
    <w:rsid w:val="00F6439D"/>
    <w:rsid w:val="00F6491D"/>
    <w:rsid w:val="00F64BD9"/>
    <w:rsid w:val="00F64CE4"/>
    <w:rsid w:val="00F65686"/>
    <w:rsid w:val="00F6579B"/>
    <w:rsid w:val="00F6600E"/>
    <w:rsid w:val="00F661CC"/>
    <w:rsid w:val="00F664F5"/>
    <w:rsid w:val="00F66D6E"/>
    <w:rsid w:val="00F670CF"/>
    <w:rsid w:val="00F674B8"/>
    <w:rsid w:val="00F67751"/>
    <w:rsid w:val="00F67904"/>
    <w:rsid w:val="00F6791C"/>
    <w:rsid w:val="00F67AE3"/>
    <w:rsid w:val="00F67B08"/>
    <w:rsid w:val="00F700A2"/>
    <w:rsid w:val="00F70DF6"/>
    <w:rsid w:val="00F71477"/>
    <w:rsid w:val="00F7248A"/>
    <w:rsid w:val="00F7252C"/>
    <w:rsid w:val="00F72A02"/>
    <w:rsid w:val="00F72DA3"/>
    <w:rsid w:val="00F739C1"/>
    <w:rsid w:val="00F744B9"/>
    <w:rsid w:val="00F74C3C"/>
    <w:rsid w:val="00F74E9F"/>
    <w:rsid w:val="00F752B2"/>
    <w:rsid w:val="00F75AD5"/>
    <w:rsid w:val="00F75DD5"/>
    <w:rsid w:val="00F75E41"/>
    <w:rsid w:val="00F76650"/>
    <w:rsid w:val="00F76A64"/>
    <w:rsid w:val="00F76CF8"/>
    <w:rsid w:val="00F77058"/>
    <w:rsid w:val="00F77CB2"/>
    <w:rsid w:val="00F8070C"/>
    <w:rsid w:val="00F80A9F"/>
    <w:rsid w:val="00F80BFD"/>
    <w:rsid w:val="00F819E6"/>
    <w:rsid w:val="00F81C35"/>
    <w:rsid w:val="00F81CCC"/>
    <w:rsid w:val="00F8251B"/>
    <w:rsid w:val="00F82FEC"/>
    <w:rsid w:val="00F830CF"/>
    <w:rsid w:val="00F83115"/>
    <w:rsid w:val="00F83271"/>
    <w:rsid w:val="00F833DF"/>
    <w:rsid w:val="00F83F47"/>
    <w:rsid w:val="00F842B6"/>
    <w:rsid w:val="00F84AC9"/>
    <w:rsid w:val="00F85B1C"/>
    <w:rsid w:val="00F85B90"/>
    <w:rsid w:val="00F868AC"/>
    <w:rsid w:val="00F86B4C"/>
    <w:rsid w:val="00F86EAF"/>
    <w:rsid w:val="00F8769B"/>
    <w:rsid w:val="00F87AD7"/>
    <w:rsid w:val="00F87B05"/>
    <w:rsid w:val="00F87EB6"/>
    <w:rsid w:val="00F9087B"/>
    <w:rsid w:val="00F90D1D"/>
    <w:rsid w:val="00F92274"/>
    <w:rsid w:val="00F923A9"/>
    <w:rsid w:val="00F930F0"/>
    <w:rsid w:val="00F9363D"/>
    <w:rsid w:val="00F93E84"/>
    <w:rsid w:val="00F94E29"/>
    <w:rsid w:val="00F94F41"/>
    <w:rsid w:val="00F9508D"/>
    <w:rsid w:val="00F96161"/>
    <w:rsid w:val="00F96229"/>
    <w:rsid w:val="00F96511"/>
    <w:rsid w:val="00F96EA0"/>
    <w:rsid w:val="00F973A2"/>
    <w:rsid w:val="00F97C3A"/>
    <w:rsid w:val="00FA03ED"/>
    <w:rsid w:val="00FA0804"/>
    <w:rsid w:val="00FA08BC"/>
    <w:rsid w:val="00FA0BDF"/>
    <w:rsid w:val="00FA2349"/>
    <w:rsid w:val="00FA2428"/>
    <w:rsid w:val="00FA2461"/>
    <w:rsid w:val="00FA3515"/>
    <w:rsid w:val="00FA40A9"/>
    <w:rsid w:val="00FA58FF"/>
    <w:rsid w:val="00FA5CB3"/>
    <w:rsid w:val="00FA5CEA"/>
    <w:rsid w:val="00FA639E"/>
    <w:rsid w:val="00FA66C2"/>
    <w:rsid w:val="00FA69B8"/>
    <w:rsid w:val="00FA7079"/>
    <w:rsid w:val="00FA70D3"/>
    <w:rsid w:val="00FA773B"/>
    <w:rsid w:val="00FA7991"/>
    <w:rsid w:val="00FB0732"/>
    <w:rsid w:val="00FB08A1"/>
    <w:rsid w:val="00FB0EF9"/>
    <w:rsid w:val="00FB1009"/>
    <w:rsid w:val="00FB1089"/>
    <w:rsid w:val="00FB131B"/>
    <w:rsid w:val="00FB137E"/>
    <w:rsid w:val="00FB1669"/>
    <w:rsid w:val="00FB1D4B"/>
    <w:rsid w:val="00FB1F9A"/>
    <w:rsid w:val="00FB2124"/>
    <w:rsid w:val="00FB244B"/>
    <w:rsid w:val="00FB2462"/>
    <w:rsid w:val="00FB27A4"/>
    <w:rsid w:val="00FB27C8"/>
    <w:rsid w:val="00FB2A02"/>
    <w:rsid w:val="00FB2C3C"/>
    <w:rsid w:val="00FB3E84"/>
    <w:rsid w:val="00FB532E"/>
    <w:rsid w:val="00FB55C7"/>
    <w:rsid w:val="00FB5BAE"/>
    <w:rsid w:val="00FB638F"/>
    <w:rsid w:val="00FB73BF"/>
    <w:rsid w:val="00FB7ABE"/>
    <w:rsid w:val="00FC00B1"/>
    <w:rsid w:val="00FC018A"/>
    <w:rsid w:val="00FC1246"/>
    <w:rsid w:val="00FC18B2"/>
    <w:rsid w:val="00FC1B16"/>
    <w:rsid w:val="00FC2142"/>
    <w:rsid w:val="00FC26C4"/>
    <w:rsid w:val="00FC2BC7"/>
    <w:rsid w:val="00FC3142"/>
    <w:rsid w:val="00FC4367"/>
    <w:rsid w:val="00FC4503"/>
    <w:rsid w:val="00FC450F"/>
    <w:rsid w:val="00FC46C9"/>
    <w:rsid w:val="00FC48DA"/>
    <w:rsid w:val="00FC49B6"/>
    <w:rsid w:val="00FC4ED0"/>
    <w:rsid w:val="00FC4FBE"/>
    <w:rsid w:val="00FC5C2B"/>
    <w:rsid w:val="00FC5FDB"/>
    <w:rsid w:val="00FC6572"/>
    <w:rsid w:val="00FC6836"/>
    <w:rsid w:val="00FC6A23"/>
    <w:rsid w:val="00FD0637"/>
    <w:rsid w:val="00FD07CB"/>
    <w:rsid w:val="00FD0AFC"/>
    <w:rsid w:val="00FD1579"/>
    <w:rsid w:val="00FD1939"/>
    <w:rsid w:val="00FD21B1"/>
    <w:rsid w:val="00FD3460"/>
    <w:rsid w:val="00FD3728"/>
    <w:rsid w:val="00FD3952"/>
    <w:rsid w:val="00FD3B2B"/>
    <w:rsid w:val="00FD48C9"/>
    <w:rsid w:val="00FD56C2"/>
    <w:rsid w:val="00FD6158"/>
    <w:rsid w:val="00FD6217"/>
    <w:rsid w:val="00FD651C"/>
    <w:rsid w:val="00FD6640"/>
    <w:rsid w:val="00FD6E63"/>
    <w:rsid w:val="00FD74FD"/>
    <w:rsid w:val="00FD7752"/>
    <w:rsid w:val="00FE0093"/>
    <w:rsid w:val="00FE0173"/>
    <w:rsid w:val="00FE15D9"/>
    <w:rsid w:val="00FE1899"/>
    <w:rsid w:val="00FE261B"/>
    <w:rsid w:val="00FE26E3"/>
    <w:rsid w:val="00FE2818"/>
    <w:rsid w:val="00FE287E"/>
    <w:rsid w:val="00FE3287"/>
    <w:rsid w:val="00FE388F"/>
    <w:rsid w:val="00FE38DE"/>
    <w:rsid w:val="00FE4F93"/>
    <w:rsid w:val="00FE5084"/>
    <w:rsid w:val="00FE5ACE"/>
    <w:rsid w:val="00FE5DB5"/>
    <w:rsid w:val="00FE6E3C"/>
    <w:rsid w:val="00FE7025"/>
    <w:rsid w:val="00FE7EA7"/>
    <w:rsid w:val="00FF08F3"/>
    <w:rsid w:val="00FF0CEB"/>
    <w:rsid w:val="00FF11CA"/>
    <w:rsid w:val="00FF15FA"/>
    <w:rsid w:val="00FF1BD1"/>
    <w:rsid w:val="00FF3632"/>
    <w:rsid w:val="00FF3EC6"/>
    <w:rsid w:val="00FF3F4B"/>
    <w:rsid w:val="00FF4318"/>
    <w:rsid w:val="00FF46C3"/>
    <w:rsid w:val="00FF5012"/>
    <w:rsid w:val="00FF5BED"/>
    <w:rsid w:val="00FF5CB3"/>
    <w:rsid w:val="00FF5CC5"/>
    <w:rsid w:val="00FF5E3F"/>
    <w:rsid w:val="00FF613D"/>
    <w:rsid w:val="00FF62FA"/>
    <w:rsid w:val="00FF689F"/>
    <w:rsid w:val="00FF6FC3"/>
    <w:rsid w:val="00FF7166"/>
    <w:rsid w:val="00FF72B7"/>
    <w:rsid w:val="00FF7339"/>
    <w:rsid w:val="00FF73D3"/>
    <w:rsid w:val="00FF73E0"/>
    <w:rsid w:val="00FF744C"/>
    <w:rsid w:val="00FF78AC"/>
    <w:rsid w:val="00FF78ED"/>
    <w:rsid w:val="00FF7E6C"/>
    <w:rsid w:val="00FF7F46"/>
    <w:rsid w:val="0D9299A7"/>
    <w:rsid w:val="4D8E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34C7A"/>
  <w15:docId w15:val="{3AB56021-AB8E-7B44-BCD8-72CB4900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74"/>
    <w:pPr>
      <w:spacing w:line="480" w:lineRule="exact"/>
      <w:ind w:firstLine="720"/>
    </w:pPr>
    <w:rPr>
      <w:rFonts w:ascii="Times New Roman" w:eastAsia="SimSun" w:hAnsi="Times New Roman"/>
      <w:kern w:val="0"/>
      <w:sz w:val="24"/>
      <w:szCs w:val="21"/>
      <w14:ligatures w14:val="none"/>
    </w:rPr>
  </w:style>
  <w:style w:type="paragraph" w:styleId="Heading1">
    <w:name w:val="heading 1"/>
    <w:basedOn w:val="Normal"/>
    <w:next w:val="Normal"/>
    <w:link w:val="Heading1Char"/>
    <w:uiPriority w:val="9"/>
    <w:qFormat/>
    <w:rsid w:val="002A6378"/>
    <w:pPr>
      <w:ind w:firstLine="0"/>
      <w:jc w:val="center"/>
      <w:outlineLvl w:val="0"/>
    </w:pPr>
    <w:rPr>
      <w:b/>
      <w:bCs/>
      <w:szCs w:val="44"/>
    </w:rPr>
  </w:style>
  <w:style w:type="paragraph" w:styleId="Heading2">
    <w:name w:val="heading 2"/>
    <w:basedOn w:val="Normal"/>
    <w:next w:val="Normal"/>
    <w:link w:val="Heading2Char"/>
    <w:uiPriority w:val="9"/>
    <w:unhideWhenUsed/>
    <w:qFormat/>
    <w:rsid w:val="002A6378"/>
    <w:pPr>
      <w:ind w:firstLine="0"/>
      <w:outlineLvl w:val="1"/>
    </w:pPr>
    <w:rPr>
      <w:rFonts w:cstheme="majorBidi"/>
      <w:b/>
      <w:bCs/>
      <w:szCs w:val="32"/>
    </w:rPr>
  </w:style>
  <w:style w:type="paragraph" w:styleId="Heading3">
    <w:name w:val="heading 3"/>
    <w:basedOn w:val="Normal"/>
    <w:next w:val="Normal"/>
    <w:link w:val="Heading3Char"/>
    <w:autoRedefine/>
    <w:uiPriority w:val="9"/>
    <w:unhideWhenUsed/>
    <w:qFormat/>
    <w:rsid w:val="009F077F"/>
    <w:pPr>
      <w:widowControl w:val="0"/>
      <w:snapToGrid w:val="0"/>
      <w:ind w:firstLine="0"/>
      <w:outlineLvl w:val="2"/>
    </w:pPr>
    <w:rPr>
      <w:rFonts w:cs="Times New Roman"/>
      <w:b/>
      <w:bCs/>
      <w:i/>
      <w:szCs w:val="32"/>
    </w:rPr>
  </w:style>
  <w:style w:type="paragraph" w:styleId="Heading4">
    <w:name w:val="heading 4"/>
    <w:basedOn w:val="Normal"/>
    <w:next w:val="Normal"/>
    <w:link w:val="Heading4Char"/>
    <w:autoRedefine/>
    <w:uiPriority w:val="9"/>
    <w:unhideWhenUsed/>
    <w:qFormat/>
    <w:rsid w:val="00D93AD8"/>
    <w:pPr>
      <w:widowControl w:val="0"/>
      <w:outlineLvl w:val="3"/>
    </w:pPr>
    <w:rPr>
      <w:rFonts w:eastAsia="Times New Roman" w:cstheme="majorBidi"/>
      <w:b/>
      <w:bCs/>
      <w:szCs w:val="28"/>
    </w:rPr>
  </w:style>
  <w:style w:type="paragraph" w:styleId="Heading5">
    <w:name w:val="heading 5"/>
    <w:basedOn w:val="Normal"/>
    <w:next w:val="Normal"/>
    <w:link w:val="Heading5Char"/>
    <w:uiPriority w:val="9"/>
    <w:unhideWhenUsed/>
    <w:qFormat/>
    <w:rsid w:val="008A1FCC"/>
    <w:pPr>
      <w:keepNext/>
      <w:keepLines/>
      <w:spacing w:before="280" w:after="290" w:line="376" w:lineRule="atLeast"/>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6378"/>
    <w:rPr>
      <w:rFonts w:ascii="Times New Roman" w:eastAsia="SimSun" w:hAnsi="Times New Roman"/>
      <w:b/>
      <w:bCs/>
      <w:kern w:val="0"/>
      <w:sz w:val="24"/>
      <w:szCs w:val="44"/>
      <w14:ligatures w14:val="none"/>
    </w:rPr>
  </w:style>
  <w:style w:type="character" w:customStyle="1" w:styleId="Heading2Char">
    <w:name w:val="Heading 2 Char"/>
    <w:basedOn w:val="DefaultParagraphFont"/>
    <w:link w:val="Heading2"/>
    <w:uiPriority w:val="9"/>
    <w:rsid w:val="002A6378"/>
    <w:rPr>
      <w:rFonts w:ascii="Times New Roman" w:eastAsia="SimSun" w:hAnsi="Times New Roman" w:cstheme="majorBidi"/>
      <w:b/>
      <w:bCs/>
      <w:kern w:val="0"/>
      <w:sz w:val="24"/>
      <w:szCs w:val="32"/>
      <w14:ligatures w14:val="none"/>
    </w:rPr>
  </w:style>
  <w:style w:type="character" w:customStyle="1" w:styleId="Heading3Char">
    <w:name w:val="Heading 3 Char"/>
    <w:basedOn w:val="DefaultParagraphFont"/>
    <w:link w:val="Heading3"/>
    <w:uiPriority w:val="9"/>
    <w:rsid w:val="009F077F"/>
    <w:rPr>
      <w:rFonts w:ascii="Times New Roman" w:eastAsia="SimSun" w:hAnsi="Times New Roman" w:cs="Times New Roman"/>
      <w:b/>
      <w:bCs/>
      <w:i/>
      <w:kern w:val="0"/>
      <w:sz w:val="24"/>
      <w:szCs w:val="32"/>
      <w14:ligatures w14:val="none"/>
    </w:rPr>
  </w:style>
  <w:style w:type="character" w:customStyle="1" w:styleId="Heading4Char">
    <w:name w:val="Heading 4 Char"/>
    <w:basedOn w:val="DefaultParagraphFont"/>
    <w:link w:val="Heading4"/>
    <w:uiPriority w:val="9"/>
    <w:rsid w:val="00D93AD8"/>
    <w:rPr>
      <w:rFonts w:ascii="Times New Roman" w:eastAsia="Times New Roman" w:hAnsi="Times New Roman" w:cstheme="majorBidi"/>
      <w:b/>
      <w:bCs/>
      <w:kern w:val="0"/>
      <w:sz w:val="24"/>
      <w:szCs w:val="28"/>
      <w14:ligatures w14:val="none"/>
    </w:rPr>
  </w:style>
  <w:style w:type="paragraph" w:styleId="Header">
    <w:name w:val="header"/>
    <w:basedOn w:val="Normal"/>
    <w:link w:val="HeaderChar"/>
    <w:uiPriority w:val="99"/>
    <w:unhideWhenUsed/>
    <w:rsid w:val="002A637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A6378"/>
    <w:rPr>
      <w:rFonts w:ascii="Times New Roman" w:eastAsia="SimSun" w:hAnsi="Times New Roman"/>
      <w:kern w:val="0"/>
      <w:sz w:val="18"/>
      <w:szCs w:val="18"/>
      <w14:ligatures w14:val="none"/>
    </w:rPr>
  </w:style>
  <w:style w:type="paragraph" w:styleId="Footer">
    <w:name w:val="footer"/>
    <w:basedOn w:val="Normal"/>
    <w:link w:val="FooterChar"/>
    <w:uiPriority w:val="99"/>
    <w:unhideWhenUsed/>
    <w:rsid w:val="002A637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2A6378"/>
    <w:rPr>
      <w:rFonts w:ascii="Times New Roman" w:eastAsia="SimSun" w:hAnsi="Times New Roman"/>
      <w:kern w:val="0"/>
      <w:sz w:val="18"/>
      <w:szCs w:val="18"/>
      <w14:ligatures w14:val="none"/>
    </w:rPr>
  </w:style>
  <w:style w:type="paragraph" w:styleId="Bibliography">
    <w:name w:val="Bibliography"/>
    <w:basedOn w:val="Normal"/>
    <w:next w:val="Normal"/>
    <w:uiPriority w:val="37"/>
    <w:unhideWhenUsed/>
    <w:rsid w:val="002A6378"/>
    <w:pPr>
      <w:ind w:left="720" w:hanging="720"/>
    </w:pPr>
  </w:style>
  <w:style w:type="character" w:styleId="Hyperlink">
    <w:name w:val="Hyperlink"/>
    <w:basedOn w:val="DefaultParagraphFont"/>
    <w:uiPriority w:val="99"/>
    <w:unhideWhenUsed/>
    <w:qFormat/>
    <w:rsid w:val="002A6378"/>
    <w:rPr>
      <w:color w:val="0563C1" w:themeColor="hyperlink"/>
      <w:u w:val="single"/>
    </w:rPr>
  </w:style>
  <w:style w:type="character" w:styleId="UnresolvedMention">
    <w:name w:val="Unresolved Mention"/>
    <w:basedOn w:val="DefaultParagraphFont"/>
    <w:uiPriority w:val="99"/>
    <w:semiHidden/>
    <w:unhideWhenUsed/>
    <w:rsid w:val="002A6378"/>
    <w:rPr>
      <w:color w:val="605E5C"/>
      <w:shd w:val="clear" w:color="auto" w:fill="E1DFDD"/>
    </w:rPr>
  </w:style>
  <w:style w:type="character" w:styleId="CommentReference">
    <w:name w:val="annotation reference"/>
    <w:basedOn w:val="DefaultParagraphFont"/>
    <w:uiPriority w:val="99"/>
    <w:semiHidden/>
    <w:unhideWhenUsed/>
    <w:rsid w:val="002A6378"/>
    <w:rPr>
      <w:sz w:val="21"/>
      <w:szCs w:val="21"/>
    </w:rPr>
  </w:style>
  <w:style w:type="paragraph" w:styleId="CommentText">
    <w:name w:val="annotation text"/>
    <w:basedOn w:val="Normal"/>
    <w:link w:val="CommentTextChar"/>
    <w:uiPriority w:val="99"/>
    <w:unhideWhenUsed/>
    <w:rsid w:val="002A6378"/>
  </w:style>
  <w:style w:type="character" w:customStyle="1" w:styleId="CommentTextChar">
    <w:name w:val="Comment Text Char"/>
    <w:basedOn w:val="DefaultParagraphFont"/>
    <w:link w:val="CommentText"/>
    <w:uiPriority w:val="99"/>
    <w:rsid w:val="002A6378"/>
    <w:rPr>
      <w:rFonts w:ascii="Times New Roman" w:eastAsia="SimSun" w:hAnsi="Times New Roman"/>
      <w:kern w:val="0"/>
      <w:sz w:val="24"/>
      <w:szCs w:val="21"/>
      <w14:ligatures w14:val="none"/>
    </w:rPr>
  </w:style>
  <w:style w:type="paragraph" w:styleId="CommentSubject">
    <w:name w:val="annotation subject"/>
    <w:basedOn w:val="CommentText"/>
    <w:next w:val="CommentText"/>
    <w:link w:val="CommentSubjectChar"/>
    <w:uiPriority w:val="99"/>
    <w:semiHidden/>
    <w:unhideWhenUsed/>
    <w:rsid w:val="002A6378"/>
    <w:rPr>
      <w:b/>
      <w:bCs/>
    </w:rPr>
  </w:style>
  <w:style w:type="character" w:customStyle="1" w:styleId="CommentSubjectChar">
    <w:name w:val="Comment Subject Char"/>
    <w:basedOn w:val="CommentTextChar"/>
    <w:link w:val="CommentSubject"/>
    <w:uiPriority w:val="99"/>
    <w:semiHidden/>
    <w:rsid w:val="002A6378"/>
    <w:rPr>
      <w:rFonts w:ascii="Times New Roman" w:eastAsia="SimSun" w:hAnsi="Times New Roman"/>
      <w:b/>
      <w:bCs/>
      <w:kern w:val="0"/>
      <w:sz w:val="24"/>
      <w:szCs w:val="21"/>
      <w14:ligatures w14:val="none"/>
    </w:rPr>
  </w:style>
  <w:style w:type="paragraph" w:styleId="Revision">
    <w:name w:val="Revision"/>
    <w:hidden/>
    <w:uiPriority w:val="99"/>
    <w:semiHidden/>
    <w:rsid w:val="002A6378"/>
    <w:rPr>
      <w:rFonts w:ascii="Times New Roman" w:eastAsia="SimSun" w:hAnsi="Times New Roman"/>
      <w:kern w:val="0"/>
      <w:sz w:val="24"/>
      <w:szCs w:val="21"/>
      <w14:ligatures w14:val="none"/>
    </w:rPr>
  </w:style>
  <w:style w:type="paragraph" w:styleId="ListParagraph">
    <w:name w:val="List Paragraph"/>
    <w:basedOn w:val="Normal"/>
    <w:uiPriority w:val="34"/>
    <w:qFormat/>
    <w:rsid w:val="002A6378"/>
    <w:pPr>
      <w:ind w:firstLineChars="200" w:firstLine="420"/>
    </w:pPr>
  </w:style>
  <w:style w:type="paragraph" w:styleId="NormalWeb">
    <w:name w:val="Normal (Web)"/>
    <w:basedOn w:val="Normal"/>
    <w:uiPriority w:val="99"/>
    <w:semiHidden/>
    <w:unhideWhenUsed/>
    <w:rsid w:val="002A6378"/>
    <w:pPr>
      <w:spacing w:before="100" w:beforeAutospacing="1" w:after="100" w:afterAutospacing="1" w:line="240" w:lineRule="auto"/>
      <w:ind w:firstLine="0"/>
    </w:pPr>
    <w:rPr>
      <w:rFonts w:eastAsiaTheme="minorEastAsia" w:cs="Times New Roman"/>
      <w:szCs w:val="24"/>
    </w:rPr>
  </w:style>
  <w:style w:type="paragraph" w:styleId="FootnoteText">
    <w:name w:val="footnote text"/>
    <w:basedOn w:val="Normal"/>
    <w:link w:val="FootnoteTextChar"/>
    <w:uiPriority w:val="99"/>
    <w:semiHidden/>
    <w:unhideWhenUsed/>
    <w:rsid w:val="002A6378"/>
    <w:pPr>
      <w:snapToGrid w:val="0"/>
    </w:pPr>
    <w:rPr>
      <w:sz w:val="18"/>
      <w:szCs w:val="18"/>
    </w:rPr>
  </w:style>
  <w:style w:type="character" w:customStyle="1" w:styleId="FootnoteTextChar">
    <w:name w:val="Footnote Text Char"/>
    <w:basedOn w:val="DefaultParagraphFont"/>
    <w:link w:val="FootnoteText"/>
    <w:uiPriority w:val="99"/>
    <w:semiHidden/>
    <w:rsid w:val="002A6378"/>
    <w:rPr>
      <w:rFonts w:ascii="Times New Roman" w:eastAsia="SimSun" w:hAnsi="Times New Roman"/>
      <w:kern w:val="0"/>
      <w:sz w:val="18"/>
      <w:szCs w:val="18"/>
      <w14:ligatures w14:val="none"/>
    </w:rPr>
  </w:style>
  <w:style w:type="character" w:styleId="FootnoteReference">
    <w:name w:val="footnote reference"/>
    <w:basedOn w:val="DefaultParagraphFont"/>
    <w:uiPriority w:val="99"/>
    <w:semiHidden/>
    <w:unhideWhenUsed/>
    <w:rsid w:val="002A6378"/>
    <w:rPr>
      <w:vertAlign w:val="superscript"/>
    </w:rPr>
  </w:style>
  <w:style w:type="character" w:styleId="EndnoteReference">
    <w:name w:val="endnote reference"/>
    <w:basedOn w:val="DefaultParagraphFont"/>
    <w:uiPriority w:val="99"/>
    <w:semiHidden/>
    <w:unhideWhenUsed/>
    <w:rsid w:val="002A6378"/>
    <w:rPr>
      <w:vertAlign w:val="superscript"/>
    </w:rPr>
  </w:style>
  <w:style w:type="character" w:styleId="FollowedHyperlink">
    <w:name w:val="FollowedHyperlink"/>
    <w:basedOn w:val="DefaultParagraphFont"/>
    <w:uiPriority w:val="99"/>
    <w:semiHidden/>
    <w:unhideWhenUsed/>
    <w:rsid w:val="006733A7"/>
    <w:rPr>
      <w:color w:val="954F72" w:themeColor="followedHyperlink"/>
      <w:u w:val="single"/>
    </w:rPr>
  </w:style>
  <w:style w:type="paragraph" w:styleId="BalloonText">
    <w:name w:val="Balloon Text"/>
    <w:basedOn w:val="Normal"/>
    <w:link w:val="BalloonTextChar"/>
    <w:uiPriority w:val="99"/>
    <w:semiHidden/>
    <w:unhideWhenUsed/>
    <w:rsid w:val="003A3926"/>
    <w:pPr>
      <w:spacing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3A3926"/>
    <w:rPr>
      <w:rFonts w:ascii="Microsoft YaHei UI" w:eastAsia="Microsoft YaHei UI" w:hAnsi="Times New Roman"/>
      <w:kern w:val="0"/>
      <w:sz w:val="18"/>
      <w:szCs w:val="18"/>
      <w14:ligatures w14:val="none"/>
    </w:rPr>
  </w:style>
  <w:style w:type="character" w:customStyle="1" w:styleId="show-for-sr">
    <w:name w:val="show-for-sr"/>
    <w:basedOn w:val="DefaultParagraphFont"/>
    <w:rsid w:val="009F562A"/>
  </w:style>
  <w:style w:type="character" w:styleId="Emphasis">
    <w:name w:val="Emphasis"/>
    <w:basedOn w:val="DefaultParagraphFont"/>
    <w:uiPriority w:val="20"/>
    <w:qFormat/>
    <w:rsid w:val="00BE0E2B"/>
    <w:rPr>
      <w:i/>
      <w:iCs/>
    </w:rPr>
  </w:style>
  <w:style w:type="paragraph" w:styleId="NoSpacing">
    <w:name w:val="No Spacing"/>
    <w:uiPriority w:val="1"/>
    <w:qFormat/>
    <w:rsid w:val="005E5020"/>
    <w:pPr>
      <w:ind w:firstLine="720"/>
    </w:pPr>
    <w:rPr>
      <w:rFonts w:ascii="Times New Roman" w:eastAsia="SimSun" w:hAnsi="Times New Roman"/>
      <w:kern w:val="0"/>
      <w:sz w:val="24"/>
      <w:szCs w:val="21"/>
      <w14:ligatures w14:val="none"/>
    </w:rPr>
  </w:style>
  <w:style w:type="paragraph" w:customStyle="1" w:styleId="Default">
    <w:name w:val="Default"/>
    <w:qFormat/>
    <w:rsid w:val="00B967C0"/>
    <w:pPr>
      <w:autoSpaceDE w:val="0"/>
      <w:autoSpaceDN w:val="0"/>
      <w:adjustRightInd w:val="0"/>
    </w:pPr>
    <w:rPr>
      <w:rFonts w:ascii="Charis SIL" w:eastAsia="SimSun" w:hAnsi="Charis SIL" w:cs="Charis SIL"/>
      <w:color w:val="000000"/>
      <w:kern w:val="0"/>
      <w:sz w:val="24"/>
      <w:szCs w:val="24"/>
      <w:lang w:val="en-GB"/>
      <w14:ligatures w14:val="none"/>
    </w:rPr>
  </w:style>
  <w:style w:type="character" w:customStyle="1" w:styleId="Heading5Char">
    <w:name w:val="Heading 5 Char"/>
    <w:basedOn w:val="DefaultParagraphFont"/>
    <w:link w:val="Heading5"/>
    <w:uiPriority w:val="9"/>
    <w:rsid w:val="008A1FCC"/>
    <w:rPr>
      <w:rFonts w:ascii="Times New Roman" w:eastAsia="SimSun" w:hAnsi="Times New Roman"/>
      <w:b/>
      <w:bCs/>
      <w:kern w:val="0"/>
      <w:sz w:val="28"/>
      <w:szCs w:val="28"/>
      <w14:ligatures w14:val="none"/>
    </w:rPr>
  </w:style>
  <w:style w:type="character" w:styleId="PlaceholderText">
    <w:name w:val="Placeholder Text"/>
    <w:basedOn w:val="DefaultParagraphFont"/>
    <w:uiPriority w:val="99"/>
    <w:semiHidden/>
    <w:rsid w:val="0067221E"/>
    <w:rPr>
      <w:color w:val="808080"/>
    </w:rPr>
  </w:style>
  <w:style w:type="table" w:customStyle="1" w:styleId="1">
    <w:name w:val="网格型1"/>
    <w:basedOn w:val="TableNormal"/>
    <w:next w:val="TableGrid"/>
    <w:uiPriority w:val="39"/>
    <w:rsid w:val="006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730F"/>
    <w:rPr>
      <w:b/>
      <w:bCs/>
    </w:rPr>
  </w:style>
  <w:style w:type="character" w:customStyle="1" w:styleId="apple-converted-space">
    <w:name w:val="apple-converted-space"/>
    <w:basedOn w:val="DefaultParagraphFont"/>
    <w:rsid w:val="00C8730F"/>
  </w:style>
  <w:style w:type="character" w:customStyle="1" w:styleId="headertablecelldata">
    <w:name w:val="headertablecelldata"/>
    <w:rsid w:val="00BC2896"/>
  </w:style>
  <w:style w:type="character" w:customStyle="1" w:styleId="doi">
    <w:name w:val="doi"/>
    <w:basedOn w:val="DefaultParagraphFont"/>
    <w:rsid w:val="00001658"/>
  </w:style>
  <w:style w:type="character" w:customStyle="1" w:styleId="anchor-text">
    <w:name w:val="anchor-text"/>
    <w:basedOn w:val="DefaultParagraphFont"/>
    <w:rsid w:val="006B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2760">
      <w:bodyDiv w:val="1"/>
      <w:marLeft w:val="0"/>
      <w:marRight w:val="0"/>
      <w:marTop w:val="0"/>
      <w:marBottom w:val="0"/>
      <w:divBdr>
        <w:top w:val="none" w:sz="0" w:space="0" w:color="auto"/>
        <w:left w:val="none" w:sz="0" w:space="0" w:color="auto"/>
        <w:bottom w:val="none" w:sz="0" w:space="0" w:color="auto"/>
        <w:right w:val="none" w:sz="0" w:space="0" w:color="auto"/>
      </w:divBdr>
    </w:div>
    <w:div w:id="51924687">
      <w:bodyDiv w:val="1"/>
      <w:marLeft w:val="0"/>
      <w:marRight w:val="0"/>
      <w:marTop w:val="0"/>
      <w:marBottom w:val="0"/>
      <w:divBdr>
        <w:top w:val="none" w:sz="0" w:space="0" w:color="auto"/>
        <w:left w:val="none" w:sz="0" w:space="0" w:color="auto"/>
        <w:bottom w:val="none" w:sz="0" w:space="0" w:color="auto"/>
        <w:right w:val="none" w:sz="0" w:space="0" w:color="auto"/>
      </w:divBdr>
    </w:div>
    <w:div w:id="66223048">
      <w:bodyDiv w:val="1"/>
      <w:marLeft w:val="0"/>
      <w:marRight w:val="0"/>
      <w:marTop w:val="0"/>
      <w:marBottom w:val="0"/>
      <w:divBdr>
        <w:top w:val="none" w:sz="0" w:space="0" w:color="auto"/>
        <w:left w:val="none" w:sz="0" w:space="0" w:color="auto"/>
        <w:bottom w:val="none" w:sz="0" w:space="0" w:color="auto"/>
        <w:right w:val="none" w:sz="0" w:space="0" w:color="auto"/>
      </w:divBdr>
      <w:divsChild>
        <w:div w:id="1439984985">
          <w:marLeft w:val="0"/>
          <w:marRight w:val="0"/>
          <w:marTop w:val="0"/>
          <w:marBottom w:val="0"/>
          <w:divBdr>
            <w:top w:val="none" w:sz="0" w:space="0" w:color="auto"/>
            <w:left w:val="none" w:sz="0" w:space="0" w:color="auto"/>
            <w:bottom w:val="none" w:sz="0" w:space="0" w:color="auto"/>
            <w:right w:val="none" w:sz="0" w:space="0" w:color="auto"/>
          </w:divBdr>
          <w:divsChild>
            <w:div w:id="728113603">
              <w:marLeft w:val="0"/>
              <w:marRight w:val="0"/>
              <w:marTop w:val="0"/>
              <w:marBottom w:val="0"/>
              <w:divBdr>
                <w:top w:val="none" w:sz="0" w:space="0" w:color="auto"/>
                <w:left w:val="none" w:sz="0" w:space="0" w:color="auto"/>
                <w:bottom w:val="none" w:sz="0" w:space="0" w:color="auto"/>
                <w:right w:val="none" w:sz="0" w:space="0" w:color="auto"/>
              </w:divBdr>
              <w:divsChild>
                <w:div w:id="1956713951">
                  <w:marLeft w:val="0"/>
                  <w:marRight w:val="0"/>
                  <w:marTop w:val="0"/>
                  <w:marBottom w:val="0"/>
                  <w:divBdr>
                    <w:top w:val="none" w:sz="0" w:space="0" w:color="auto"/>
                    <w:left w:val="none" w:sz="0" w:space="0" w:color="auto"/>
                    <w:bottom w:val="none" w:sz="0" w:space="0" w:color="auto"/>
                    <w:right w:val="none" w:sz="0" w:space="0" w:color="auto"/>
                  </w:divBdr>
                  <w:divsChild>
                    <w:div w:id="1751000193">
                      <w:marLeft w:val="0"/>
                      <w:marRight w:val="0"/>
                      <w:marTop w:val="0"/>
                      <w:marBottom w:val="0"/>
                      <w:divBdr>
                        <w:top w:val="none" w:sz="0" w:space="0" w:color="auto"/>
                        <w:left w:val="none" w:sz="0" w:space="0" w:color="auto"/>
                        <w:bottom w:val="none" w:sz="0" w:space="0" w:color="auto"/>
                        <w:right w:val="none" w:sz="0" w:space="0" w:color="auto"/>
                      </w:divBdr>
                      <w:divsChild>
                        <w:div w:id="1734808930">
                          <w:marLeft w:val="0"/>
                          <w:marRight w:val="0"/>
                          <w:marTop w:val="0"/>
                          <w:marBottom w:val="0"/>
                          <w:divBdr>
                            <w:top w:val="none" w:sz="0" w:space="0" w:color="auto"/>
                            <w:left w:val="none" w:sz="0" w:space="0" w:color="auto"/>
                            <w:bottom w:val="none" w:sz="0" w:space="0" w:color="auto"/>
                            <w:right w:val="none" w:sz="0" w:space="0" w:color="auto"/>
                          </w:divBdr>
                          <w:divsChild>
                            <w:div w:id="1761826438">
                              <w:marLeft w:val="0"/>
                              <w:marRight w:val="0"/>
                              <w:marTop w:val="0"/>
                              <w:marBottom w:val="0"/>
                              <w:divBdr>
                                <w:top w:val="none" w:sz="0" w:space="0" w:color="auto"/>
                                <w:left w:val="none" w:sz="0" w:space="0" w:color="auto"/>
                                <w:bottom w:val="none" w:sz="0" w:space="0" w:color="auto"/>
                                <w:right w:val="none" w:sz="0" w:space="0" w:color="auto"/>
                              </w:divBdr>
                              <w:divsChild>
                                <w:div w:id="2053337525">
                                  <w:marLeft w:val="0"/>
                                  <w:marRight w:val="0"/>
                                  <w:marTop w:val="0"/>
                                  <w:marBottom w:val="0"/>
                                  <w:divBdr>
                                    <w:top w:val="none" w:sz="0" w:space="0" w:color="auto"/>
                                    <w:left w:val="none" w:sz="0" w:space="0" w:color="auto"/>
                                    <w:bottom w:val="none" w:sz="0" w:space="0" w:color="auto"/>
                                    <w:right w:val="none" w:sz="0" w:space="0" w:color="auto"/>
                                  </w:divBdr>
                                  <w:divsChild>
                                    <w:div w:id="948194659">
                                      <w:marLeft w:val="0"/>
                                      <w:marRight w:val="0"/>
                                      <w:marTop w:val="0"/>
                                      <w:marBottom w:val="0"/>
                                      <w:divBdr>
                                        <w:top w:val="none" w:sz="0" w:space="0" w:color="auto"/>
                                        <w:left w:val="none" w:sz="0" w:space="0" w:color="auto"/>
                                        <w:bottom w:val="none" w:sz="0" w:space="0" w:color="auto"/>
                                        <w:right w:val="none" w:sz="0" w:space="0" w:color="auto"/>
                                      </w:divBdr>
                                      <w:divsChild>
                                        <w:div w:id="696468543">
                                          <w:marLeft w:val="0"/>
                                          <w:marRight w:val="0"/>
                                          <w:marTop w:val="0"/>
                                          <w:marBottom w:val="0"/>
                                          <w:divBdr>
                                            <w:top w:val="none" w:sz="0" w:space="0" w:color="auto"/>
                                            <w:left w:val="none" w:sz="0" w:space="0" w:color="auto"/>
                                            <w:bottom w:val="none" w:sz="0" w:space="0" w:color="auto"/>
                                            <w:right w:val="none" w:sz="0" w:space="0" w:color="auto"/>
                                          </w:divBdr>
                                          <w:divsChild>
                                            <w:div w:id="1150828042">
                                              <w:marLeft w:val="0"/>
                                              <w:marRight w:val="0"/>
                                              <w:marTop w:val="0"/>
                                              <w:marBottom w:val="0"/>
                                              <w:divBdr>
                                                <w:top w:val="none" w:sz="0" w:space="0" w:color="auto"/>
                                                <w:left w:val="none" w:sz="0" w:space="0" w:color="auto"/>
                                                <w:bottom w:val="none" w:sz="0" w:space="0" w:color="auto"/>
                                                <w:right w:val="none" w:sz="0" w:space="0" w:color="auto"/>
                                              </w:divBdr>
                                              <w:divsChild>
                                                <w:div w:id="1748500598">
                                                  <w:marLeft w:val="0"/>
                                                  <w:marRight w:val="0"/>
                                                  <w:marTop w:val="0"/>
                                                  <w:marBottom w:val="0"/>
                                                  <w:divBdr>
                                                    <w:top w:val="none" w:sz="0" w:space="0" w:color="auto"/>
                                                    <w:left w:val="none" w:sz="0" w:space="0" w:color="auto"/>
                                                    <w:bottom w:val="none" w:sz="0" w:space="0" w:color="auto"/>
                                                    <w:right w:val="none" w:sz="0" w:space="0" w:color="auto"/>
                                                  </w:divBdr>
                                                  <w:divsChild>
                                                    <w:div w:id="7885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166206">
          <w:marLeft w:val="0"/>
          <w:marRight w:val="0"/>
          <w:marTop w:val="0"/>
          <w:marBottom w:val="0"/>
          <w:divBdr>
            <w:top w:val="none" w:sz="0" w:space="0" w:color="auto"/>
            <w:left w:val="none" w:sz="0" w:space="0" w:color="auto"/>
            <w:bottom w:val="none" w:sz="0" w:space="0" w:color="auto"/>
            <w:right w:val="none" w:sz="0" w:space="0" w:color="auto"/>
          </w:divBdr>
          <w:divsChild>
            <w:div w:id="667680913">
              <w:marLeft w:val="0"/>
              <w:marRight w:val="0"/>
              <w:marTop w:val="0"/>
              <w:marBottom w:val="0"/>
              <w:divBdr>
                <w:top w:val="none" w:sz="0" w:space="0" w:color="auto"/>
                <w:left w:val="none" w:sz="0" w:space="0" w:color="auto"/>
                <w:bottom w:val="none" w:sz="0" w:space="0" w:color="auto"/>
                <w:right w:val="none" w:sz="0" w:space="0" w:color="auto"/>
              </w:divBdr>
              <w:divsChild>
                <w:div w:id="932587424">
                  <w:marLeft w:val="0"/>
                  <w:marRight w:val="0"/>
                  <w:marTop w:val="0"/>
                  <w:marBottom w:val="0"/>
                  <w:divBdr>
                    <w:top w:val="none" w:sz="0" w:space="0" w:color="auto"/>
                    <w:left w:val="none" w:sz="0" w:space="0" w:color="auto"/>
                    <w:bottom w:val="none" w:sz="0" w:space="0" w:color="auto"/>
                    <w:right w:val="none" w:sz="0" w:space="0" w:color="auto"/>
                  </w:divBdr>
                  <w:divsChild>
                    <w:div w:id="361439943">
                      <w:marLeft w:val="0"/>
                      <w:marRight w:val="0"/>
                      <w:marTop w:val="0"/>
                      <w:marBottom w:val="0"/>
                      <w:divBdr>
                        <w:top w:val="none" w:sz="0" w:space="0" w:color="auto"/>
                        <w:left w:val="none" w:sz="0" w:space="0" w:color="auto"/>
                        <w:bottom w:val="none" w:sz="0" w:space="0" w:color="auto"/>
                        <w:right w:val="none" w:sz="0" w:space="0" w:color="auto"/>
                      </w:divBdr>
                      <w:divsChild>
                        <w:div w:id="471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4641">
      <w:bodyDiv w:val="1"/>
      <w:marLeft w:val="0"/>
      <w:marRight w:val="0"/>
      <w:marTop w:val="0"/>
      <w:marBottom w:val="0"/>
      <w:divBdr>
        <w:top w:val="none" w:sz="0" w:space="0" w:color="auto"/>
        <w:left w:val="none" w:sz="0" w:space="0" w:color="auto"/>
        <w:bottom w:val="none" w:sz="0" w:space="0" w:color="auto"/>
        <w:right w:val="none" w:sz="0" w:space="0" w:color="auto"/>
      </w:divBdr>
    </w:div>
    <w:div w:id="105662707">
      <w:bodyDiv w:val="1"/>
      <w:marLeft w:val="0"/>
      <w:marRight w:val="0"/>
      <w:marTop w:val="0"/>
      <w:marBottom w:val="0"/>
      <w:divBdr>
        <w:top w:val="none" w:sz="0" w:space="0" w:color="auto"/>
        <w:left w:val="none" w:sz="0" w:space="0" w:color="auto"/>
        <w:bottom w:val="none" w:sz="0" w:space="0" w:color="auto"/>
        <w:right w:val="none" w:sz="0" w:space="0" w:color="auto"/>
      </w:divBdr>
    </w:div>
    <w:div w:id="117721700">
      <w:bodyDiv w:val="1"/>
      <w:marLeft w:val="0"/>
      <w:marRight w:val="0"/>
      <w:marTop w:val="0"/>
      <w:marBottom w:val="0"/>
      <w:divBdr>
        <w:top w:val="none" w:sz="0" w:space="0" w:color="auto"/>
        <w:left w:val="none" w:sz="0" w:space="0" w:color="auto"/>
        <w:bottom w:val="none" w:sz="0" w:space="0" w:color="auto"/>
        <w:right w:val="none" w:sz="0" w:space="0" w:color="auto"/>
      </w:divBdr>
    </w:div>
    <w:div w:id="133454800">
      <w:bodyDiv w:val="1"/>
      <w:marLeft w:val="0"/>
      <w:marRight w:val="0"/>
      <w:marTop w:val="0"/>
      <w:marBottom w:val="0"/>
      <w:divBdr>
        <w:top w:val="none" w:sz="0" w:space="0" w:color="auto"/>
        <w:left w:val="none" w:sz="0" w:space="0" w:color="auto"/>
        <w:bottom w:val="none" w:sz="0" w:space="0" w:color="auto"/>
        <w:right w:val="none" w:sz="0" w:space="0" w:color="auto"/>
      </w:divBdr>
    </w:div>
    <w:div w:id="138039192">
      <w:bodyDiv w:val="1"/>
      <w:marLeft w:val="0"/>
      <w:marRight w:val="0"/>
      <w:marTop w:val="0"/>
      <w:marBottom w:val="0"/>
      <w:divBdr>
        <w:top w:val="none" w:sz="0" w:space="0" w:color="auto"/>
        <w:left w:val="none" w:sz="0" w:space="0" w:color="auto"/>
        <w:bottom w:val="none" w:sz="0" w:space="0" w:color="auto"/>
        <w:right w:val="none" w:sz="0" w:space="0" w:color="auto"/>
      </w:divBdr>
    </w:div>
    <w:div w:id="278417393">
      <w:bodyDiv w:val="1"/>
      <w:marLeft w:val="0"/>
      <w:marRight w:val="0"/>
      <w:marTop w:val="0"/>
      <w:marBottom w:val="0"/>
      <w:divBdr>
        <w:top w:val="none" w:sz="0" w:space="0" w:color="auto"/>
        <w:left w:val="none" w:sz="0" w:space="0" w:color="auto"/>
        <w:bottom w:val="none" w:sz="0" w:space="0" w:color="auto"/>
        <w:right w:val="none" w:sz="0" w:space="0" w:color="auto"/>
      </w:divBdr>
      <w:divsChild>
        <w:div w:id="428043529">
          <w:marLeft w:val="0"/>
          <w:marRight w:val="0"/>
          <w:marTop w:val="0"/>
          <w:marBottom w:val="0"/>
          <w:divBdr>
            <w:top w:val="none" w:sz="0" w:space="0" w:color="auto"/>
            <w:left w:val="none" w:sz="0" w:space="0" w:color="auto"/>
            <w:bottom w:val="none" w:sz="0" w:space="0" w:color="auto"/>
            <w:right w:val="none" w:sz="0" w:space="0" w:color="auto"/>
          </w:divBdr>
          <w:divsChild>
            <w:div w:id="114444030">
              <w:marLeft w:val="0"/>
              <w:marRight w:val="0"/>
              <w:marTop w:val="0"/>
              <w:marBottom w:val="0"/>
              <w:divBdr>
                <w:top w:val="none" w:sz="0" w:space="0" w:color="auto"/>
                <w:left w:val="none" w:sz="0" w:space="0" w:color="auto"/>
                <w:bottom w:val="none" w:sz="0" w:space="0" w:color="auto"/>
                <w:right w:val="none" w:sz="0" w:space="0" w:color="auto"/>
              </w:divBdr>
              <w:divsChild>
                <w:div w:id="1672565185">
                  <w:marLeft w:val="0"/>
                  <w:marRight w:val="0"/>
                  <w:marTop w:val="0"/>
                  <w:marBottom w:val="0"/>
                  <w:divBdr>
                    <w:top w:val="none" w:sz="0" w:space="0" w:color="auto"/>
                    <w:left w:val="none" w:sz="0" w:space="0" w:color="auto"/>
                    <w:bottom w:val="none" w:sz="0" w:space="0" w:color="auto"/>
                    <w:right w:val="none" w:sz="0" w:space="0" w:color="auto"/>
                  </w:divBdr>
                  <w:divsChild>
                    <w:div w:id="880481444">
                      <w:marLeft w:val="0"/>
                      <w:marRight w:val="0"/>
                      <w:marTop w:val="0"/>
                      <w:marBottom w:val="0"/>
                      <w:divBdr>
                        <w:top w:val="none" w:sz="0" w:space="0" w:color="auto"/>
                        <w:left w:val="none" w:sz="0" w:space="0" w:color="auto"/>
                        <w:bottom w:val="none" w:sz="0" w:space="0" w:color="auto"/>
                        <w:right w:val="none" w:sz="0" w:space="0" w:color="auto"/>
                      </w:divBdr>
                      <w:divsChild>
                        <w:div w:id="1115100446">
                          <w:marLeft w:val="0"/>
                          <w:marRight w:val="0"/>
                          <w:marTop w:val="0"/>
                          <w:marBottom w:val="0"/>
                          <w:divBdr>
                            <w:top w:val="none" w:sz="0" w:space="0" w:color="auto"/>
                            <w:left w:val="none" w:sz="0" w:space="0" w:color="auto"/>
                            <w:bottom w:val="none" w:sz="0" w:space="0" w:color="auto"/>
                            <w:right w:val="none" w:sz="0" w:space="0" w:color="auto"/>
                          </w:divBdr>
                          <w:divsChild>
                            <w:div w:id="1172913628">
                              <w:marLeft w:val="0"/>
                              <w:marRight w:val="0"/>
                              <w:marTop w:val="0"/>
                              <w:marBottom w:val="0"/>
                              <w:divBdr>
                                <w:top w:val="none" w:sz="0" w:space="0" w:color="auto"/>
                                <w:left w:val="none" w:sz="0" w:space="0" w:color="auto"/>
                                <w:bottom w:val="none" w:sz="0" w:space="0" w:color="auto"/>
                                <w:right w:val="none" w:sz="0" w:space="0" w:color="auto"/>
                              </w:divBdr>
                              <w:divsChild>
                                <w:div w:id="2008360341">
                                  <w:marLeft w:val="0"/>
                                  <w:marRight w:val="0"/>
                                  <w:marTop w:val="0"/>
                                  <w:marBottom w:val="0"/>
                                  <w:divBdr>
                                    <w:top w:val="none" w:sz="0" w:space="0" w:color="auto"/>
                                    <w:left w:val="none" w:sz="0" w:space="0" w:color="auto"/>
                                    <w:bottom w:val="none" w:sz="0" w:space="0" w:color="auto"/>
                                    <w:right w:val="none" w:sz="0" w:space="0" w:color="auto"/>
                                  </w:divBdr>
                                  <w:divsChild>
                                    <w:div w:id="1641959349">
                                      <w:marLeft w:val="0"/>
                                      <w:marRight w:val="0"/>
                                      <w:marTop w:val="0"/>
                                      <w:marBottom w:val="0"/>
                                      <w:divBdr>
                                        <w:top w:val="none" w:sz="0" w:space="0" w:color="auto"/>
                                        <w:left w:val="none" w:sz="0" w:space="0" w:color="auto"/>
                                        <w:bottom w:val="none" w:sz="0" w:space="0" w:color="auto"/>
                                        <w:right w:val="none" w:sz="0" w:space="0" w:color="auto"/>
                                      </w:divBdr>
                                      <w:divsChild>
                                        <w:div w:id="803162476">
                                          <w:marLeft w:val="0"/>
                                          <w:marRight w:val="0"/>
                                          <w:marTop w:val="0"/>
                                          <w:marBottom w:val="0"/>
                                          <w:divBdr>
                                            <w:top w:val="none" w:sz="0" w:space="0" w:color="auto"/>
                                            <w:left w:val="none" w:sz="0" w:space="0" w:color="auto"/>
                                            <w:bottom w:val="none" w:sz="0" w:space="0" w:color="auto"/>
                                            <w:right w:val="none" w:sz="0" w:space="0" w:color="auto"/>
                                          </w:divBdr>
                                          <w:divsChild>
                                            <w:div w:id="641085228">
                                              <w:marLeft w:val="0"/>
                                              <w:marRight w:val="0"/>
                                              <w:marTop w:val="0"/>
                                              <w:marBottom w:val="0"/>
                                              <w:divBdr>
                                                <w:top w:val="none" w:sz="0" w:space="0" w:color="auto"/>
                                                <w:left w:val="none" w:sz="0" w:space="0" w:color="auto"/>
                                                <w:bottom w:val="none" w:sz="0" w:space="0" w:color="auto"/>
                                                <w:right w:val="none" w:sz="0" w:space="0" w:color="auto"/>
                                              </w:divBdr>
                                              <w:divsChild>
                                                <w:div w:id="1459300713">
                                                  <w:marLeft w:val="0"/>
                                                  <w:marRight w:val="0"/>
                                                  <w:marTop w:val="0"/>
                                                  <w:marBottom w:val="0"/>
                                                  <w:divBdr>
                                                    <w:top w:val="none" w:sz="0" w:space="0" w:color="auto"/>
                                                    <w:left w:val="none" w:sz="0" w:space="0" w:color="auto"/>
                                                    <w:bottom w:val="none" w:sz="0" w:space="0" w:color="auto"/>
                                                    <w:right w:val="none" w:sz="0" w:space="0" w:color="auto"/>
                                                  </w:divBdr>
                                                  <w:divsChild>
                                                    <w:div w:id="2967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093237">
          <w:marLeft w:val="0"/>
          <w:marRight w:val="0"/>
          <w:marTop w:val="0"/>
          <w:marBottom w:val="0"/>
          <w:divBdr>
            <w:top w:val="none" w:sz="0" w:space="0" w:color="auto"/>
            <w:left w:val="none" w:sz="0" w:space="0" w:color="auto"/>
            <w:bottom w:val="none" w:sz="0" w:space="0" w:color="auto"/>
            <w:right w:val="none" w:sz="0" w:space="0" w:color="auto"/>
          </w:divBdr>
          <w:divsChild>
            <w:div w:id="445740289">
              <w:marLeft w:val="0"/>
              <w:marRight w:val="0"/>
              <w:marTop w:val="0"/>
              <w:marBottom w:val="0"/>
              <w:divBdr>
                <w:top w:val="none" w:sz="0" w:space="0" w:color="auto"/>
                <w:left w:val="none" w:sz="0" w:space="0" w:color="auto"/>
                <w:bottom w:val="none" w:sz="0" w:space="0" w:color="auto"/>
                <w:right w:val="none" w:sz="0" w:space="0" w:color="auto"/>
              </w:divBdr>
              <w:divsChild>
                <w:div w:id="739451173">
                  <w:marLeft w:val="0"/>
                  <w:marRight w:val="0"/>
                  <w:marTop w:val="0"/>
                  <w:marBottom w:val="0"/>
                  <w:divBdr>
                    <w:top w:val="none" w:sz="0" w:space="0" w:color="auto"/>
                    <w:left w:val="none" w:sz="0" w:space="0" w:color="auto"/>
                    <w:bottom w:val="none" w:sz="0" w:space="0" w:color="auto"/>
                    <w:right w:val="none" w:sz="0" w:space="0" w:color="auto"/>
                  </w:divBdr>
                  <w:divsChild>
                    <w:div w:id="1994411118">
                      <w:marLeft w:val="0"/>
                      <w:marRight w:val="0"/>
                      <w:marTop w:val="0"/>
                      <w:marBottom w:val="0"/>
                      <w:divBdr>
                        <w:top w:val="none" w:sz="0" w:space="0" w:color="auto"/>
                        <w:left w:val="none" w:sz="0" w:space="0" w:color="auto"/>
                        <w:bottom w:val="none" w:sz="0" w:space="0" w:color="auto"/>
                        <w:right w:val="none" w:sz="0" w:space="0" w:color="auto"/>
                      </w:divBdr>
                      <w:divsChild>
                        <w:div w:id="4053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61376">
      <w:bodyDiv w:val="1"/>
      <w:marLeft w:val="0"/>
      <w:marRight w:val="0"/>
      <w:marTop w:val="0"/>
      <w:marBottom w:val="0"/>
      <w:divBdr>
        <w:top w:val="none" w:sz="0" w:space="0" w:color="auto"/>
        <w:left w:val="none" w:sz="0" w:space="0" w:color="auto"/>
        <w:bottom w:val="none" w:sz="0" w:space="0" w:color="auto"/>
        <w:right w:val="none" w:sz="0" w:space="0" w:color="auto"/>
      </w:divBdr>
    </w:div>
    <w:div w:id="321473912">
      <w:bodyDiv w:val="1"/>
      <w:marLeft w:val="0"/>
      <w:marRight w:val="0"/>
      <w:marTop w:val="0"/>
      <w:marBottom w:val="0"/>
      <w:divBdr>
        <w:top w:val="none" w:sz="0" w:space="0" w:color="auto"/>
        <w:left w:val="none" w:sz="0" w:space="0" w:color="auto"/>
        <w:bottom w:val="none" w:sz="0" w:space="0" w:color="auto"/>
        <w:right w:val="none" w:sz="0" w:space="0" w:color="auto"/>
      </w:divBdr>
    </w:div>
    <w:div w:id="345400271">
      <w:bodyDiv w:val="1"/>
      <w:marLeft w:val="0"/>
      <w:marRight w:val="0"/>
      <w:marTop w:val="0"/>
      <w:marBottom w:val="0"/>
      <w:divBdr>
        <w:top w:val="none" w:sz="0" w:space="0" w:color="auto"/>
        <w:left w:val="none" w:sz="0" w:space="0" w:color="auto"/>
        <w:bottom w:val="none" w:sz="0" w:space="0" w:color="auto"/>
        <w:right w:val="none" w:sz="0" w:space="0" w:color="auto"/>
      </w:divBdr>
    </w:div>
    <w:div w:id="372534100">
      <w:bodyDiv w:val="1"/>
      <w:marLeft w:val="0"/>
      <w:marRight w:val="0"/>
      <w:marTop w:val="0"/>
      <w:marBottom w:val="0"/>
      <w:divBdr>
        <w:top w:val="none" w:sz="0" w:space="0" w:color="auto"/>
        <w:left w:val="none" w:sz="0" w:space="0" w:color="auto"/>
        <w:bottom w:val="none" w:sz="0" w:space="0" w:color="auto"/>
        <w:right w:val="none" w:sz="0" w:space="0" w:color="auto"/>
      </w:divBdr>
    </w:div>
    <w:div w:id="427389112">
      <w:bodyDiv w:val="1"/>
      <w:marLeft w:val="0"/>
      <w:marRight w:val="0"/>
      <w:marTop w:val="0"/>
      <w:marBottom w:val="0"/>
      <w:divBdr>
        <w:top w:val="none" w:sz="0" w:space="0" w:color="auto"/>
        <w:left w:val="none" w:sz="0" w:space="0" w:color="auto"/>
        <w:bottom w:val="none" w:sz="0" w:space="0" w:color="auto"/>
        <w:right w:val="none" w:sz="0" w:space="0" w:color="auto"/>
      </w:divBdr>
      <w:divsChild>
        <w:div w:id="1584876940">
          <w:marLeft w:val="0"/>
          <w:marRight w:val="0"/>
          <w:marTop w:val="0"/>
          <w:marBottom w:val="0"/>
          <w:divBdr>
            <w:top w:val="none" w:sz="0" w:space="0" w:color="auto"/>
            <w:left w:val="none" w:sz="0" w:space="0" w:color="auto"/>
            <w:bottom w:val="none" w:sz="0" w:space="0" w:color="auto"/>
            <w:right w:val="none" w:sz="0" w:space="0" w:color="auto"/>
          </w:divBdr>
          <w:divsChild>
            <w:div w:id="649331081">
              <w:marLeft w:val="0"/>
              <w:marRight w:val="0"/>
              <w:marTop w:val="0"/>
              <w:marBottom w:val="0"/>
              <w:divBdr>
                <w:top w:val="none" w:sz="0" w:space="0" w:color="auto"/>
                <w:left w:val="none" w:sz="0" w:space="0" w:color="auto"/>
                <w:bottom w:val="none" w:sz="0" w:space="0" w:color="auto"/>
                <w:right w:val="none" w:sz="0" w:space="0" w:color="auto"/>
              </w:divBdr>
              <w:divsChild>
                <w:div w:id="1620603573">
                  <w:marLeft w:val="0"/>
                  <w:marRight w:val="0"/>
                  <w:marTop w:val="0"/>
                  <w:marBottom w:val="0"/>
                  <w:divBdr>
                    <w:top w:val="none" w:sz="0" w:space="0" w:color="auto"/>
                    <w:left w:val="none" w:sz="0" w:space="0" w:color="auto"/>
                    <w:bottom w:val="none" w:sz="0" w:space="0" w:color="auto"/>
                    <w:right w:val="none" w:sz="0" w:space="0" w:color="auto"/>
                  </w:divBdr>
                  <w:divsChild>
                    <w:div w:id="175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5406">
      <w:bodyDiv w:val="1"/>
      <w:marLeft w:val="0"/>
      <w:marRight w:val="0"/>
      <w:marTop w:val="0"/>
      <w:marBottom w:val="0"/>
      <w:divBdr>
        <w:top w:val="none" w:sz="0" w:space="0" w:color="auto"/>
        <w:left w:val="none" w:sz="0" w:space="0" w:color="auto"/>
        <w:bottom w:val="none" w:sz="0" w:space="0" w:color="auto"/>
        <w:right w:val="none" w:sz="0" w:space="0" w:color="auto"/>
      </w:divBdr>
      <w:divsChild>
        <w:div w:id="199705185">
          <w:marLeft w:val="0"/>
          <w:marRight w:val="0"/>
          <w:marTop w:val="0"/>
          <w:marBottom w:val="0"/>
          <w:divBdr>
            <w:top w:val="none" w:sz="0" w:space="0" w:color="auto"/>
            <w:left w:val="none" w:sz="0" w:space="0" w:color="auto"/>
            <w:bottom w:val="none" w:sz="0" w:space="0" w:color="auto"/>
            <w:right w:val="none" w:sz="0" w:space="0" w:color="auto"/>
          </w:divBdr>
          <w:divsChild>
            <w:div w:id="2120637623">
              <w:marLeft w:val="0"/>
              <w:marRight w:val="0"/>
              <w:marTop w:val="0"/>
              <w:marBottom w:val="0"/>
              <w:divBdr>
                <w:top w:val="none" w:sz="0" w:space="0" w:color="auto"/>
                <w:left w:val="none" w:sz="0" w:space="0" w:color="auto"/>
                <w:bottom w:val="none" w:sz="0" w:space="0" w:color="auto"/>
                <w:right w:val="none" w:sz="0" w:space="0" w:color="auto"/>
              </w:divBdr>
              <w:divsChild>
                <w:div w:id="671374612">
                  <w:marLeft w:val="0"/>
                  <w:marRight w:val="0"/>
                  <w:marTop w:val="0"/>
                  <w:marBottom w:val="0"/>
                  <w:divBdr>
                    <w:top w:val="none" w:sz="0" w:space="0" w:color="auto"/>
                    <w:left w:val="none" w:sz="0" w:space="0" w:color="auto"/>
                    <w:bottom w:val="none" w:sz="0" w:space="0" w:color="auto"/>
                    <w:right w:val="none" w:sz="0" w:space="0" w:color="auto"/>
                  </w:divBdr>
                  <w:divsChild>
                    <w:div w:id="9197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38670">
      <w:bodyDiv w:val="1"/>
      <w:marLeft w:val="0"/>
      <w:marRight w:val="0"/>
      <w:marTop w:val="0"/>
      <w:marBottom w:val="0"/>
      <w:divBdr>
        <w:top w:val="none" w:sz="0" w:space="0" w:color="auto"/>
        <w:left w:val="none" w:sz="0" w:space="0" w:color="auto"/>
        <w:bottom w:val="none" w:sz="0" w:space="0" w:color="auto"/>
        <w:right w:val="none" w:sz="0" w:space="0" w:color="auto"/>
      </w:divBdr>
    </w:div>
    <w:div w:id="499738062">
      <w:bodyDiv w:val="1"/>
      <w:marLeft w:val="0"/>
      <w:marRight w:val="0"/>
      <w:marTop w:val="0"/>
      <w:marBottom w:val="0"/>
      <w:divBdr>
        <w:top w:val="none" w:sz="0" w:space="0" w:color="auto"/>
        <w:left w:val="none" w:sz="0" w:space="0" w:color="auto"/>
        <w:bottom w:val="none" w:sz="0" w:space="0" w:color="auto"/>
        <w:right w:val="none" w:sz="0" w:space="0" w:color="auto"/>
      </w:divBdr>
    </w:div>
    <w:div w:id="515273753">
      <w:bodyDiv w:val="1"/>
      <w:marLeft w:val="0"/>
      <w:marRight w:val="0"/>
      <w:marTop w:val="0"/>
      <w:marBottom w:val="0"/>
      <w:divBdr>
        <w:top w:val="none" w:sz="0" w:space="0" w:color="auto"/>
        <w:left w:val="none" w:sz="0" w:space="0" w:color="auto"/>
        <w:bottom w:val="none" w:sz="0" w:space="0" w:color="auto"/>
        <w:right w:val="none" w:sz="0" w:space="0" w:color="auto"/>
      </w:divBdr>
    </w:div>
    <w:div w:id="547451767">
      <w:bodyDiv w:val="1"/>
      <w:marLeft w:val="0"/>
      <w:marRight w:val="0"/>
      <w:marTop w:val="0"/>
      <w:marBottom w:val="0"/>
      <w:divBdr>
        <w:top w:val="none" w:sz="0" w:space="0" w:color="auto"/>
        <w:left w:val="none" w:sz="0" w:space="0" w:color="auto"/>
        <w:bottom w:val="none" w:sz="0" w:space="0" w:color="auto"/>
        <w:right w:val="none" w:sz="0" w:space="0" w:color="auto"/>
      </w:divBdr>
      <w:divsChild>
        <w:div w:id="291906607">
          <w:marLeft w:val="0"/>
          <w:marRight w:val="0"/>
          <w:marTop w:val="0"/>
          <w:marBottom w:val="0"/>
          <w:divBdr>
            <w:top w:val="none" w:sz="0" w:space="0" w:color="auto"/>
            <w:left w:val="none" w:sz="0" w:space="0" w:color="auto"/>
            <w:bottom w:val="none" w:sz="0" w:space="0" w:color="auto"/>
            <w:right w:val="none" w:sz="0" w:space="0" w:color="auto"/>
          </w:divBdr>
          <w:divsChild>
            <w:div w:id="2025135417">
              <w:marLeft w:val="0"/>
              <w:marRight w:val="0"/>
              <w:marTop w:val="0"/>
              <w:marBottom w:val="0"/>
              <w:divBdr>
                <w:top w:val="none" w:sz="0" w:space="0" w:color="auto"/>
                <w:left w:val="none" w:sz="0" w:space="0" w:color="auto"/>
                <w:bottom w:val="none" w:sz="0" w:space="0" w:color="auto"/>
                <w:right w:val="none" w:sz="0" w:space="0" w:color="auto"/>
              </w:divBdr>
              <w:divsChild>
                <w:div w:id="953054006">
                  <w:marLeft w:val="0"/>
                  <w:marRight w:val="0"/>
                  <w:marTop w:val="0"/>
                  <w:marBottom w:val="0"/>
                  <w:divBdr>
                    <w:top w:val="none" w:sz="0" w:space="0" w:color="auto"/>
                    <w:left w:val="none" w:sz="0" w:space="0" w:color="auto"/>
                    <w:bottom w:val="none" w:sz="0" w:space="0" w:color="auto"/>
                    <w:right w:val="none" w:sz="0" w:space="0" w:color="auto"/>
                  </w:divBdr>
                  <w:divsChild>
                    <w:div w:id="10354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5290">
      <w:bodyDiv w:val="1"/>
      <w:marLeft w:val="0"/>
      <w:marRight w:val="0"/>
      <w:marTop w:val="0"/>
      <w:marBottom w:val="0"/>
      <w:divBdr>
        <w:top w:val="none" w:sz="0" w:space="0" w:color="auto"/>
        <w:left w:val="none" w:sz="0" w:space="0" w:color="auto"/>
        <w:bottom w:val="none" w:sz="0" w:space="0" w:color="auto"/>
        <w:right w:val="none" w:sz="0" w:space="0" w:color="auto"/>
      </w:divBdr>
      <w:divsChild>
        <w:div w:id="1313024604">
          <w:marLeft w:val="0"/>
          <w:marRight w:val="0"/>
          <w:marTop w:val="0"/>
          <w:marBottom w:val="0"/>
          <w:divBdr>
            <w:top w:val="none" w:sz="0" w:space="0" w:color="auto"/>
            <w:left w:val="none" w:sz="0" w:space="0" w:color="auto"/>
            <w:bottom w:val="none" w:sz="0" w:space="0" w:color="auto"/>
            <w:right w:val="none" w:sz="0" w:space="0" w:color="auto"/>
          </w:divBdr>
          <w:divsChild>
            <w:div w:id="1656303992">
              <w:marLeft w:val="0"/>
              <w:marRight w:val="0"/>
              <w:marTop w:val="0"/>
              <w:marBottom w:val="0"/>
              <w:divBdr>
                <w:top w:val="none" w:sz="0" w:space="0" w:color="auto"/>
                <w:left w:val="none" w:sz="0" w:space="0" w:color="auto"/>
                <w:bottom w:val="none" w:sz="0" w:space="0" w:color="auto"/>
                <w:right w:val="none" w:sz="0" w:space="0" w:color="auto"/>
              </w:divBdr>
              <w:divsChild>
                <w:div w:id="1950695101">
                  <w:marLeft w:val="0"/>
                  <w:marRight w:val="0"/>
                  <w:marTop w:val="0"/>
                  <w:marBottom w:val="0"/>
                  <w:divBdr>
                    <w:top w:val="none" w:sz="0" w:space="0" w:color="auto"/>
                    <w:left w:val="none" w:sz="0" w:space="0" w:color="auto"/>
                    <w:bottom w:val="none" w:sz="0" w:space="0" w:color="auto"/>
                    <w:right w:val="none" w:sz="0" w:space="0" w:color="auto"/>
                  </w:divBdr>
                  <w:divsChild>
                    <w:div w:id="4387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94520">
      <w:bodyDiv w:val="1"/>
      <w:marLeft w:val="0"/>
      <w:marRight w:val="0"/>
      <w:marTop w:val="0"/>
      <w:marBottom w:val="0"/>
      <w:divBdr>
        <w:top w:val="none" w:sz="0" w:space="0" w:color="auto"/>
        <w:left w:val="none" w:sz="0" w:space="0" w:color="auto"/>
        <w:bottom w:val="none" w:sz="0" w:space="0" w:color="auto"/>
        <w:right w:val="none" w:sz="0" w:space="0" w:color="auto"/>
      </w:divBdr>
    </w:div>
    <w:div w:id="580018751">
      <w:bodyDiv w:val="1"/>
      <w:marLeft w:val="0"/>
      <w:marRight w:val="0"/>
      <w:marTop w:val="0"/>
      <w:marBottom w:val="0"/>
      <w:divBdr>
        <w:top w:val="none" w:sz="0" w:space="0" w:color="auto"/>
        <w:left w:val="none" w:sz="0" w:space="0" w:color="auto"/>
        <w:bottom w:val="none" w:sz="0" w:space="0" w:color="auto"/>
        <w:right w:val="none" w:sz="0" w:space="0" w:color="auto"/>
      </w:divBdr>
    </w:div>
    <w:div w:id="597257268">
      <w:bodyDiv w:val="1"/>
      <w:marLeft w:val="0"/>
      <w:marRight w:val="0"/>
      <w:marTop w:val="0"/>
      <w:marBottom w:val="0"/>
      <w:divBdr>
        <w:top w:val="none" w:sz="0" w:space="0" w:color="auto"/>
        <w:left w:val="none" w:sz="0" w:space="0" w:color="auto"/>
        <w:bottom w:val="none" w:sz="0" w:space="0" w:color="auto"/>
        <w:right w:val="none" w:sz="0" w:space="0" w:color="auto"/>
      </w:divBdr>
    </w:div>
    <w:div w:id="616718511">
      <w:bodyDiv w:val="1"/>
      <w:marLeft w:val="0"/>
      <w:marRight w:val="0"/>
      <w:marTop w:val="0"/>
      <w:marBottom w:val="0"/>
      <w:divBdr>
        <w:top w:val="none" w:sz="0" w:space="0" w:color="auto"/>
        <w:left w:val="none" w:sz="0" w:space="0" w:color="auto"/>
        <w:bottom w:val="none" w:sz="0" w:space="0" w:color="auto"/>
        <w:right w:val="none" w:sz="0" w:space="0" w:color="auto"/>
      </w:divBdr>
    </w:div>
    <w:div w:id="618145682">
      <w:bodyDiv w:val="1"/>
      <w:marLeft w:val="0"/>
      <w:marRight w:val="0"/>
      <w:marTop w:val="0"/>
      <w:marBottom w:val="0"/>
      <w:divBdr>
        <w:top w:val="none" w:sz="0" w:space="0" w:color="auto"/>
        <w:left w:val="none" w:sz="0" w:space="0" w:color="auto"/>
        <w:bottom w:val="none" w:sz="0" w:space="0" w:color="auto"/>
        <w:right w:val="none" w:sz="0" w:space="0" w:color="auto"/>
      </w:divBdr>
      <w:divsChild>
        <w:div w:id="364988625">
          <w:marLeft w:val="0"/>
          <w:marRight w:val="0"/>
          <w:marTop w:val="0"/>
          <w:marBottom w:val="0"/>
          <w:divBdr>
            <w:top w:val="none" w:sz="0" w:space="0" w:color="auto"/>
            <w:left w:val="none" w:sz="0" w:space="0" w:color="auto"/>
            <w:bottom w:val="none" w:sz="0" w:space="0" w:color="auto"/>
            <w:right w:val="none" w:sz="0" w:space="0" w:color="auto"/>
          </w:divBdr>
          <w:divsChild>
            <w:div w:id="1849906669">
              <w:marLeft w:val="0"/>
              <w:marRight w:val="0"/>
              <w:marTop w:val="0"/>
              <w:marBottom w:val="0"/>
              <w:divBdr>
                <w:top w:val="none" w:sz="0" w:space="0" w:color="auto"/>
                <w:left w:val="none" w:sz="0" w:space="0" w:color="auto"/>
                <w:bottom w:val="none" w:sz="0" w:space="0" w:color="auto"/>
                <w:right w:val="none" w:sz="0" w:space="0" w:color="auto"/>
              </w:divBdr>
              <w:divsChild>
                <w:div w:id="1121144343">
                  <w:marLeft w:val="0"/>
                  <w:marRight w:val="0"/>
                  <w:marTop w:val="0"/>
                  <w:marBottom w:val="0"/>
                  <w:divBdr>
                    <w:top w:val="none" w:sz="0" w:space="0" w:color="auto"/>
                    <w:left w:val="none" w:sz="0" w:space="0" w:color="auto"/>
                    <w:bottom w:val="none" w:sz="0" w:space="0" w:color="auto"/>
                    <w:right w:val="none" w:sz="0" w:space="0" w:color="auto"/>
                  </w:divBdr>
                  <w:divsChild>
                    <w:div w:id="10891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03015">
      <w:bodyDiv w:val="1"/>
      <w:marLeft w:val="0"/>
      <w:marRight w:val="0"/>
      <w:marTop w:val="0"/>
      <w:marBottom w:val="0"/>
      <w:divBdr>
        <w:top w:val="none" w:sz="0" w:space="0" w:color="auto"/>
        <w:left w:val="none" w:sz="0" w:space="0" w:color="auto"/>
        <w:bottom w:val="none" w:sz="0" w:space="0" w:color="auto"/>
        <w:right w:val="none" w:sz="0" w:space="0" w:color="auto"/>
      </w:divBdr>
    </w:div>
    <w:div w:id="710885044">
      <w:bodyDiv w:val="1"/>
      <w:marLeft w:val="0"/>
      <w:marRight w:val="0"/>
      <w:marTop w:val="0"/>
      <w:marBottom w:val="0"/>
      <w:divBdr>
        <w:top w:val="none" w:sz="0" w:space="0" w:color="auto"/>
        <w:left w:val="none" w:sz="0" w:space="0" w:color="auto"/>
        <w:bottom w:val="none" w:sz="0" w:space="0" w:color="auto"/>
        <w:right w:val="none" w:sz="0" w:space="0" w:color="auto"/>
      </w:divBdr>
    </w:div>
    <w:div w:id="722679605">
      <w:bodyDiv w:val="1"/>
      <w:marLeft w:val="0"/>
      <w:marRight w:val="0"/>
      <w:marTop w:val="0"/>
      <w:marBottom w:val="0"/>
      <w:divBdr>
        <w:top w:val="none" w:sz="0" w:space="0" w:color="auto"/>
        <w:left w:val="none" w:sz="0" w:space="0" w:color="auto"/>
        <w:bottom w:val="none" w:sz="0" w:space="0" w:color="auto"/>
        <w:right w:val="none" w:sz="0" w:space="0" w:color="auto"/>
      </w:divBdr>
    </w:div>
    <w:div w:id="768936833">
      <w:bodyDiv w:val="1"/>
      <w:marLeft w:val="0"/>
      <w:marRight w:val="0"/>
      <w:marTop w:val="0"/>
      <w:marBottom w:val="0"/>
      <w:divBdr>
        <w:top w:val="none" w:sz="0" w:space="0" w:color="auto"/>
        <w:left w:val="none" w:sz="0" w:space="0" w:color="auto"/>
        <w:bottom w:val="none" w:sz="0" w:space="0" w:color="auto"/>
        <w:right w:val="none" w:sz="0" w:space="0" w:color="auto"/>
      </w:divBdr>
      <w:divsChild>
        <w:div w:id="1930458572">
          <w:marLeft w:val="0"/>
          <w:marRight w:val="0"/>
          <w:marTop w:val="0"/>
          <w:marBottom w:val="0"/>
          <w:divBdr>
            <w:top w:val="none" w:sz="0" w:space="0" w:color="auto"/>
            <w:left w:val="none" w:sz="0" w:space="0" w:color="auto"/>
            <w:bottom w:val="none" w:sz="0" w:space="0" w:color="auto"/>
            <w:right w:val="none" w:sz="0" w:space="0" w:color="auto"/>
          </w:divBdr>
          <w:divsChild>
            <w:div w:id="1078556603">
              <w:marLeft w:val="0"/>
              <w:marRight w:val="0"/>
              <w:marTop w:val="0"/>
              <w:marBottom w:val="0"/>
              <w:divBdr>
                <w:top w:val="none" w:sz="0" w:space="0" w:color="auto"/>
                <w:left w:val="none" w:sz="0" w:space="0" w:color="auto"/>
                <w:bottom w:val="none" w:sz="0" w:space="0" w:color="auto"/>
                <w:right w:val="none" w:sz="0" w:space="0" w:color="auto"/>
              </w:divBdr>
              <w:divsChild>
                <w:div w:id="1172180324">
                  <w:marLeft w:val="0"/>
                  <w:marRight w:val="0"/>
                  <w:marTop w:val="0"/>
                  <w:marBottom w:val="0"/>
                  <w:divBdr>
                    <w:top w:val="none" w:sz="0" w:space="0" w:color="auto"/>
                    <w:left w:val="none" w:sz="0" w:space="0" w:color="auto"/>
                    <w:bottom w:val="none" w:sz="0" w:space="0" w:color="auto"/>
                    <w:right w:val="none" w:sz="0" w:space="0" w:color="auto"/>
                  </w:divBdr>
                  <w:divsChild>
                    <w:div w:id="6893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0472">
      <w:bodyDiv w:val="1"/>
      <w:marLeft w:val="0"/>
      <w:marRight w:val="0"/>
      <w:marTop w:val="0"/>
      <w:marBottom w:val="0"/>
      <w:divBdr>
        <w:top w:val="none" w:sz="0" w:space="0" w:color="auto"/>
        <w:left w:val="none" w:sz="0" w:space="0" w:color="auto"/>
        <w:bottom w:val="none" w:sz="0" w:space="0" w:color="auto"/>
        <w:right w:val="none" w:sz="0" w:space="0" w:color="auto"/>
      </w:divBdr>
    </w:div>
    <w:div w:id="801462968">
      <w:bodyDiv w:val="1"/>
      <w:marLeft w:val="0"/>
      <w:marRight w:val="0"/>
      <w:marTop w:val="0"/>
      <w:marBottom w:val="0"/>
      <w:divBdr>
        <w:top w:val="none" w:sz="0" w:space="0" w:color="auto"/>
        <w:left w:val="none" w:sz="0" w:space="0" w:color="auto"/>
        <w:bottom w:val="none" w:sz="0" w:space="0" w:color="auto"/>
        <w:right w:val="none" w:sz="0" w:space="0" w:color="auto"/>
      </w:divBdr>
      <w:divsChild>
        <w:div w:id="481581273">
          <w:marLeft w:val="0"/>
          <w:marRight w:val="0"/>
          <w:marTop w:val="0"/>
          <w:marBottom w:val="0"/>
          <w:divBdr>
            <w:top w:val="none" w:sz="0" w:space="0" w:color="auto"/>
            <w:left w:val="none" w:sz="0" w:space="0" w:color="auto"/>
            <w:bottom w:val="none" w:sz="0" w:space="0" w:color="auto"/>
            <w:right w:val="none" w:sz="0" w:space="0" w:color="auto"/>
          </w:divBdr>
        </w:div>
      </w:divsChild>
    </w:div>
    <w:div w:id="808981358">
      <w:bodyDiv w:val="1"/>
      <w:marLeft w:val="0"/>
      <w:marRight w:val="0"/>
      <w:marTop w:val="0"/>
      <w:marBottom w:val="0"/>
      <w:divBdr>
        <w:top w:val="none" w:sz="0" w:space="0" w:color="auto"/>
        <w:left w:val="none" w:sz="0" w:space="0" w:color="auto"/>
        <w:bottom w:val="none" w:sz="0" w:space="0" w:color="auto"/>
        <w:right w:val="none" w:sz="0" w:space="0" w:color="auto"/>
      </w:divBdr>
    </w:div>
    <w:div w:id="821193700">
      <w:bodyDiv w:val="1"/>
      <w:marLeft w:val="0"/>
      <w:marRight w:val="0"/>
      <w:marTop w:val="0"/>
      <w:marBottom w:val="0"/>
      <w:divBdr>
        <w:top w:val="none" w:sz="0" w:space="0" w:color="auto"/>
        <w:left w:val="none" w:sz="0" w:space="0" w:color="auto"/>
        <w:bottom w:val="none" w:sz="0" w:space="0" w:color="auto"/>
        <w:right w:val="none" w:sz="0" w:space="0" w:color="auto"/>
      </w:divBdr>
    </w:div>
    <w:div w:id="835609540">
      <w:bodyDiv w:val="1"/>
      <w:marLeft w:val="0"/>
      <w:marRight w:val="0"/>
      <w:marTop w:val="0"/>
      <w:marBottom w:val="0"/>
      <w:divBdr>
        <w:top w:val="none" w:sz="0" w:space="0" w:color="auto"/>
        <w:left w:val="none" w:sz="0" w:space="0" w:color="auto"/>
        <w:bottom w:val="none" w:sz="0" w:space="0" w:color="auto"/>
        <w:right w:val="none" w:sz="0" w:space="0" w:color="auto"/>
      </w:divBdr>
    </w:div>
    <w:div w:id="842085220">
      <w:bodyDiv w:val="1"/>
      <w:marLeft w:val="0"/>
      <w:marRight w:val="0"/>
      <w:marTop w:val="0"/>
      <w:marBottom w:val="0"/>
      <w:divBdr>
        <w:top w:val="none" w:sz="0" w:space="0" w:color="auto"/>
        <w:left w:val="none" w:sz="0" w:space="0" w:color="auto"/>
        <w:bottom w:val="none" w:sz="0" w:space="0" w:color="auto"/>
        <w:right w:val="none" w:sz="0" w:space="0" w:color="auto"/>
      </w:divBdr>
    </w:div>
    <w:div w:id="986932770">
      <w:bodyDiv w:val="1"/>
      <w:marLeft w:val="0"/>
      <w:marRight w:val="0"/>
      <w:marTop w:val="0"/>
      <w:marBottom w:val="0"/>
      <w:divBdr>
        <w:top w:val="none" w:sz="0" w:space="0" w:color="auto"/>
        <w:left w:val="none" w:sz="0" w:space="0" w:color="auto"/>
        <w:bottom w:val="none" w:sz="0" w:space="0" w:color="auto"/>
        <w:right w:val="none" w:sz="0" w:space="0" w:color="auto"/>
      </w:divBdr>
    </w:div>
    <w:div w:id="1011571231">
      <w:bodyDiv w:val="1"/>
      <w:marLeft w:val="0"/>
      <w:marRight w:val="0"/>
      <w:marTop w:val="0"/>
      <w:marBottom w:val="0"/>
      <w:divBdr>
        <w:top w:val="none" w:sz="0" w:space="0" w:color="auto"/>
        <w:left w:val="none" w:sz="0" w:space="0" w:color="auto"/>
        <w:bottom w:val="none" w:sz="0" w:space="0" w:color="auto"/>
        <w:right w:val="none" w:sz="0" w:space="0" w:color="auto"/>
      </w:divBdr>
    </w:div>
    <w:div w:id="102617360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43">
          <w:marLeft w:val="0"/>
          <w:marRight w:val="0"/>
          <w:marTop w:val="0"/>
          <w:marBottom w:val="0"/>
          <w:divBdr>
            <w:top w:val="none" w:sz="0" w:space="0" w:color="auto"/>
            <w:left w:val="none" w:sz="0" w:space="0" w:color="auto"/>
            <w:bottom w:val="none" w:sz="0" w:space="0" w:color="auto"/>
            <w:right w:val="none" w:sz="0" w:space="0" w:color="auto"/>
          </w:divBdr>
          <w:divsChild>
            <w:div w:id="1342466805">
              <w:marLeft w:val="0"/>
              <w:marRight w:val="0"/>
              <w:marTop w:val="0"/>
              <w:marBottom w:val="0"/>
              <w:divBdr>
                <w:top w:val="none" w:sz="0" w:space="0" w:color="auto"/>
                <w:left w:val="none" w:sz="0" w:space="0" w:color="auto"/>
                <w:bottom w:val="none" w:sz="0" w:space="0" w:color="auto"/>
                <w:right w:val="none" w:sz="0" w:space="0" w:color="auto"/>
              </w:divBdr>
              <w:divsChild>
                <w:div w:id="1147668676">
                  <w:marLeft w:val="0"/>
                  <w:marRight w:val="0"/>
                  <w:marTop w:val="0"/>
                  <w:marBottom w:val="0"/>
                  <w:divBdr>
                    <w:top w:val="none" w:sz="0" w:space="0" w:color="auto"/>
                    <w:left w:val="none" w:sz="0" w:space="0" w:color="auto"/>
                    <w:bottom w:val="none" w:sz="0" w:space="0" w:color="auto"/>
                    <w:right w:val="none" w:sz="0" w:space="0" w:color="auto"/>
                  </w:divBdr>
                  <w:divsChild>
                    <w:div w:id="3587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1467">
      <w:bodyDiv w:val="1"/>
      <w:marLeft w:val="0"/>
      <w:marRight w:val="0"/>
      <w:marTop w:val="0"/>
      <w:marBottom w:val="0"/>
      <w:divBdr>
        <w:top w:val="none" w:sz="0" w:space="0" w:color="auto"/>
        <w:left w:val="none" w:sz="0" w:space="0" w:color="auto"/>
        <w:bottom w:val="none" w:sz="0" w:space="0" w:color="auto"/>
        <w:right w:val="none" w:sz="0" w:space="0" w:color="auto"/>
      </w:divBdr>
      <w:divsChild>
        <w:div w:id="1432972404">
          <w:marLeft w:val="0"/>
          <w:marRight w:val="0"/>
          <w:marTop w:val="0"/>
          <w:marBottom w:val="0"/>
          <w:divBdr>
            <w:top w:val="none" w:sz="0" w:space="0" w:color="auto"/>
            <w:left w:val="none" w:sz="0" w:space="0" w:color="auto"/>
            <w:bottom w:val="none" w:sz="0" w:space="0" w:color="auto"/>
            <w:right w:val="none" w:sz="0" w:space="0" w:color="auto"/>
          </w:divBdr>
          <w:divsChild>
            <w:div w:id="345903971">
              <w:marLeft w:val="0"/>
              <w:marRight w:val="0"/>
              <w:marTop w:val="0"/>
              <w:marBottom w:val="0"/>
              <w:divBdr>
                <w:top w:val="none" w:sz="0" w:space="0" w:color="auto"/>
                <w:left w:val="none" w:sz="0" w:space="0" w:color="auto"/>
                <w:bottom w:val="none" w:sz="0" w:space="0" w:color="auto"/>
                <w:right w:val="none" w:sz="0" w:space="0" w:color="auto"/>
              </w:divBdr>
              <w:divsChild>
                <w:div w:id="309863987">
                  <w:marLeft w:val="0"/>
                  <w:marRight w:val="0"/>
                  <w:marTop w:val="0"/>
                  <w:marBottom w:val="0"/>
                  <w:divBdr>
                    <w:top w:val="none" w:sz="0" w:space="0" w:color="auto"/>
                    <w:left w:val="none" w:sz="0" w:space="0" w:color="auto"/>
                    <w:bottom w:val="none" w:sz="0" w:space="0" w:color="auto"/>
                    <w:right w:val="none" w:sz="0" w:space="0" w:color="auto"/>
                  </w:divBdr>
                  <w:divsChild>
                    <w:div w:id="577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373373">
      <w:bodyDiv w:val="1"/>
      <w:marLeft w:val="0"/>
      <w:marRight w:val="0"/>
      <w:marTop w:val="0"/>
      <w:marBottom w:val="0"/>
      <w:divBdr>
        <w:top w:val="none" w:sz="0" w:space="0" w:color="auto"/>
        <w:left w:val="none" w:sz="0" w:space="0" w:color="auto"/>
        <w:bottom w:val="none" w:sz="0" w:space="0" w:color="auto"/>
        <w:right w:val="none" w:sz="0" w:space="0" w:color="auto"/>
      </w:divBdr>
    </w:div>
    <w:div w:id="1073744079">
      <w:bodyDiv w:val="1"/>
      <w:marLeft w:val="0"/>
      <w:marRight w:val="0"/>
      <w:marTop w:val="0"/>
      <w:marBottom w:val="0"/>
      <w:divBdr>
        <w:top w:val="none" w:sz="0" w:space="0" w:color="auto"/>
        <w:left w:val="none" w:sz="0" w:space="0" w:color="auto"/>
        <w:bottom w:val="none" w:sz="0" w:space="0" w:color="auto"/>
        <w:right w:val="none" w:sz="0" w:space="0" w:color="auto"/>
      </w:divBdr>
      <w:divsChild>
        <w:div w:id="217519214">
          <w:marLeft w:val="0"/>
          <w:marRight w:val="0"/>
          <w:marTop w:val="0"/>
          <w:marBottom w:val="0"/>
          <w:divBdr>
            <w:top w:val="none" w:sz="0" w:space="0" w:color="auto"/>
            <w:left w:val="none" w:sz="0" w:space="0" w:color="auto"/>
            <w:bottom w:val="none" w:sz="0" w:space="0" w:color="auto"/>
            <w:right w:val="none" w:sz="0" w:space="0" w:color="auto"/>
          </w:divBdr>
          <w:divsChild>
            <w:div w:id="345137996">
              <w:marLeft w:val="0"/>
              <w:marRight w:val="0"/>
              <w:marTop w:val="0"/>
              <w:marBottom w:val="0"/>
              <w:divBdr>
                <w:top w:val="none" w:sz="0" w:space="0" w:color="auto"/>
                <w:left w:val="none" w:sz="0" w:space="0" w:color="auto"/>
                <w:bottom w:val="none" w:sz="0" w:space="0" w:color="auto"/>
                <w:right w:val="none" w:sz="0" w:space="0" w:color="auto"/>
              </w:divBdr>
              <w:divsChild>
                <w:div w:id="1496921936">
                  <w:marLeft w:val="0"/>
                  <w:marRight w:val="0"/>
                  <w:marTop w:val="0"/>
                  <w:marBottom w:val="0"/>
                  <w:divBdr>
                    <w:top w:val="none" w:sz="0" w:space="0" w:color="auto"/>
                    <w:left w:val="none" w:sz="0" w:space="0" w:color="auto"/>
                    <w:bottom w:val="none" w:sz="0" w:space="0" w:color="auto"/>
                    <w:right w:val="none" w:sz="0" w:space="0" w:color="auto"/>
                  </w:divBdr>
                  <w:divsChild>
                    <w:div w:id="9611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47395">
      <w:bodyDiv w:val="1"/>
      <w:marLeft w:val="0"/>
      <w:marRight w:val="0"/>
      <w:marTop w:val="0"/>
      <w:marBottom w:val="0"/>
      <w:divBdr>
        <w:top w:val="none" w:sz="0" w:space="0" w:color="auto"/>
        <w:left w:val="none" w:sz="0" w:space="0" w:color="auto"/>
        <w:bottom w:val="none" w:sz="0" w:space="0" w:color="auto"/>
        <w:right w:val="none" w:sz="0" w:space="0" w:color="auto"/>
      </w:divBdr>
    </w:div>
    <w:div w:id="1122769759">
      <w:bodyDiv w:val="1"/>
      <w:marLeft w:val="0"/>
      <w:marRight w:val="0"/>
      <w:marTop w:val="0"/>
      <w:marBottom w:val="0"/>
      <w:divBdr>
        <w:top w:val="none" w:sz="0" w:space="0" w:color="auto"/>
        <w:left w:val="none" w:sz="0" w:space="0" w:color="auto"/>
        <w:bottom w:val="none" w:sz="0" w:space="0" w:color="auto"/>
        <w:right w:val="none" w:sz="0" w:space="0" w:color="auto"/>
      </w:divBdr>
    </w:div>
    <w:div w:id="1131363159">
      <w:bodyDiv w:val="1"/>
      <w:marLeft w:val="0"/>
      <w:marRight w:val="0"/>
      <w:marTop w:val="0"/>
      <w:marBottom w:val="0"/>
      <w:divBdr>
        <w:top w:val="none" w:sz="0" w:space="0" w:color="auto"/>
        <w:left w:val="none" w:sz="0" w:space="0" w:color="auto"/>
        <w:bottom w:val="none" w:sz="0" w:space="0" w:color="auto"/>
        <w:right w:val="none" w:sz="0" w:space="0" w:color="auto"/>
      </w:divBdr>
      <w:divsChild>
        <w:div w:id="1820877639">
          <w:marLeft w:val="0"/>
          <w:marRight w:val="0"/>
          <w:marTop w:val="0"/>
          <w:marBottom w:val="0"/>
          <w:divBdr>
            <w:top w:val="none" w:sz="0" w:space="0" w:color="auto"/>
            <w:left w:val="none" w:sz="0" w:space="0" w:color="auto"/>
            <w:bottom w:val="none" w:sz="0" w:space="0" w:color="auto"/>
            <w:right w:val="none" w:sz="0" w:space="0" w:color="auto"/>
          </w:divBdr>
          <w:divsChild>
            <w:div w:id="135682764">
              <w:marLeft w:val="0"/>
              <w:marRight w:val="0"/>
              <w:marTop w:val="0"/>
              <w:marBottom w:val="0"/>
              <w:divBdr>
                <w:top w:val="none" w:sz="0" w:space="0" w:color="auto"/>
                <w:left w:val="none" w:sz="0" w:space="0" w:color="auto"/>
                <w:bottom w:val="none" w:sz="0" w:space="0" w:color="auto"/>
                <w:right w:val="none" w:sz="0" w:space="0" w:color="auto"/>
              </w:divBdr>
              <w:divsChild>
                <w:div w:id="980772491">
                  <w:marLeft w:val="0"/>
                  <w:marRight w:val="0"/>
                  <w:marTop w:val="0"/>
                  <w:marBottom w:val="0"/>
                  <w:divBdr>
                    <w:top w:val="none" w:sz="0" w:space="0" w:color="auto"/>
                    <w:left w:val="none" w:sz="0" w:space="0" w:color="auto"/>
                    <w:bottom w:val="none" w:sz="0" w:space="0" w:color="auto"/>
                    <w:right w:val="none" w:sz="0" w:space="0" w:color="auto"/>
                  </w:divBdr>
                  <w:divsChild>
                    <w:div w:id="2547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84036">
      <w:bodyDiv w:val="1"/>
      <w:marLeft w:val="0"/>
      <w:marRight w:val="0"/>
      <w:marTop w:val="0"/>
      <w:marBottom w:val="0"/>
      <w:divBdr>
        <w:top w:val="none" w:sz="0" w:space="0" w:color="auto"/>
        <w:left w:val="none" w:sz="0" w:space="0" w:color="auto"/>
        <w:bottom w:val="none" w:sz="0" w:space="0" w:color="auto"/>
        <w:right w:val="none" w:sz="0" w:space="0" w:color="auto"/>
      </w:divBdr>
    </w:div>
    <w:div w:id="1153764310">
      <w:bodyDiv w:val="1"/>
      <w:marLeft w:val="0"/>
      <w:marRight w:val="0"/>
      <w:marTop w:val="0"/>
      <w:marBottom w:val="0"/>
      <w:divBdr>
        <w:top w:val="none" w:sz="0" w:space="0" w:color="auto"/>
        <w:left w:val="none" w:sz="0" w:space="0" w:color="auto"/>
        <w:bottom w:val="none" w:sz="0" w:space="0" w:color="auto"/>
        <w:right w:val="none" w:sz="0" w:space="0" w:color="auto"/>
      </w:divBdr>
    </w:div>
    <w:div w:id="1169254072">
      <w:bodyDiv w:val="1"/>
      <w:marLeft w:val="0"/>
      <w:marRight w:val="0"/>
      <w:marTop w:val="0"/>
      <w:marBottom w:val="0"/>
      <w:divBdr>
        <w:top w:val="none" w:sz="0" w:space="0" w:color="auto"/>
        <w:left w:val="none" w:sz="0" w:space="0" w:color="auto"/>
        <w:bottom w:val="none" w:sz="0" w:space="0" w:color="auto"/>
        <w:right w:val="none" w:sz="0" w:space="0" w:color="auto"/>
      </w:divBdr>
      <w:divsChild>
        <w:div w:id="2136554809">
          <w:marLeft w:val="0"/>
          <w:marRight w:val="0"/>
          <w:marTop w:val="0"/>
          <w:marBottom w:val="0"/>
          <w:divBdr>
            <w:top w:val="none" w:sz="0" w:space="0" w:color="auto"/>
            <w:left w:val="none" w:sz="0" w:space="0" w:color="auto"/>
            <w:bottom w:val="none" w:sz="0" w:space="0" w:color="auto"/>
            <w:right w:val="none" w:sz="0" w:space="0" w:color="auto"/>
          </w:divBdr>
          <w:divsChild>
            <w:div w:id="1151868863">
              <w:marLeft w:val="0"/>
              <w:marRight w:val="0"/>
              <w:marTop w:val="0"/>
              <w:marBottom w:val="0"/>
              <w:divBdr>
                <w:top w:val="none" w:sz="0" w:space="0" w:color="auto"/>
                <w:left w:val="none" w:sz="0" w:space="0" w:color="auto"/>
                <w:bottom w:val="none" w:sz="0" w:space="0" w:color="auto"/>
                <w:right w:val="none" w:sz="0" w:space="0" w:color="auto"/>
              </w:divBdr>
              <w:divsChild>
                <w:div w:id="1768233994">
                  <w:marLeft w:val="0"/>
                  <w:marRight w:val="0"/>
                  <w:marTop w:val="0"/>
                  <w:marBottom w:val="0"/>
                  <w:divBdr>
                    <w:top w:val="none" w:sz="0" w:space="0" w:color="auto"/>
                    <w:left w:val="none" w:sz="0" w:space="0" w:color="auto"/>
                    <w:bottom w:val="none" w:sz="0" w:space="0" w:color="auto"/>
                    <w:right w:val="none" w:sz="0" w:space="0" w:color="auto"/>
                  </w:divBdr>
                  <w:divsChild>
                    <w:div w:id="20316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70963">
      <w:bodyDiv w:val="1"/>
      <w:marLeft w:val="0"/>
      <w:marRight w:val="0"/>
      <w:marTop w:val="0"/>
      <w:marBottom w:val="0"/>
      <w:divBdr>
        <w:top w:val="none" w:sz="0" w:space="0" w:color="auto"/>
        <w:left w:val="none" w:sz="0" w:space="0" w:color="auto"/>
        <w:bottom w:val="none" w:sz="0" w:space="0" w:color="auto"/>
        <w:right w:val="none" w:sz="0" w:space="0" w:color="auto"/>
      </w:divBdr>
    </w:div>
    <w:div w:id="1190681643">
      <w:bodyDiv w:val="1"/>
      <w:marLeft w:val="0"/>
      <w:marRight w:val="0"/>
      <w:marTop w:val="0"/>
      <w:marBottom w:val="0"/>
      <w:divBdr>
        <w:top w:val="none" w:sz="0" w:space="0" w:color="auto"/>
        <w:left w:val="none" w:sz="0" w:space="0" w:color="auto"/>
        <w:bottom w:val="none" w:sz="0" w:space="0" w:color="auto"/>
        <w:right w:val="none" w:sz="0" w:space="0" w:color="auto"/>
      </w:divBdr>
      <w:divsChild>
        <w:div w:id="745080521">
          <w:marLeft w:val="0"/>
          <w:marRight w:val="0"/>
          <w:marTop w:val="0"/>
          <w:marBottom w:val="0"/>
          <w:divBdr>
            <w:top w:val="none" w:sz="0" w:space="0" w:color="auto"/>
            <w:left w:val="none" w:sz="0" w:space="0" w:color="auto"/>
            <w:bottom w:val="none" w:sz="0" w:space="0" w:color="auto"/>
            <w:right w:val="none" w:sz="0" w:space="0" w:color="auto"/>
          </w:divBdr>
          <w:divsChild>
            <w:div w:id="26878889">
              <w:marLeft w:val="0"/>
              <w:marRight w:val="0"/>
              <w:marTop w:val="0"/>
              <w:marBottom w:val="0"/>
              <w:divBdr>
                <w:top w:val="none" w:sz="0" w:space="0" w:color="auto"/>
                <w:left w:val="none" w:sz="0" w:space="0" w:color="auto"/>
                <w:bottom w:val="none" w:sz="0" w:space="0" w:color="auto"/>
                <w:right w:val="none" w:sz="0" w:space="0" w:color="auto"/>
              </w:divBdr>
              <w:divsChild>
                <w:div w:id="639306696">
                  <w:marLeft w:val="0"/>
                  <w:marRight w:val="0"/>
                  <w:marTop w:val="0"/>
                  <w:marBottom w:val="0"/>
                  <w:divBdr>
                    <w:top w:val="none" w:sz="0" w:space="0" w:color="auto"/>
                    <w:left w:val="none" w:sz="0" w:space="0" w:color="auto"/>
                    <w:bottom w:val="none" w:sz="0" w:space="0" w:color="auto"/>
                    <w:right w:val="none" w:sz="0" w:space="0" w:color="auto"/>
                  </w:divBdr>
                  <w:divsChild>
                    <w:div w:id="12092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3577">
      <w:bodyDiv w:val="1"/>
      <w:marLeft w:val="0"/>
      <w:marRight w:val="0"/>
      <w:marTop w:val="0"/>
      <w:marBottom w:val="0"/>
      <w:divBdr>
        <w:top w:val="none" w:sz="0" w:space="0" w:color="auto"/>
        <w:left w:val="none" w:sz="0" w:space="0" w:color="auto"/>
        <w:bottom w:val="none" w:sz="0" w:space="0" w:color="auto"/>
        <w:right w:val="none" w:sz="0" w:space="0" w:color="auto"/>
      </w:divBdr>
    </w:div>
    <w:div w:id="1197889438">
      <w:bodyDiv w:val="1"/>
      <w:marLeft w:val="0"/>
      <w:marRight w:val="0"/>
      <w:marTop w:val="0"/>
      <w:marBottom w:val="0"/>
      <w:divBdr>
        <w:top w:val="none" w:sz="0" w:space="0" w:color="auto"/>
        <w:left w:val="none" w:sz="0" w:space="0" w:color="auto"/>
        <w:bottom w:val="none" w:sz="0" w:space="0" w:color="auto"/>
        <w:right w:val="none" w:sz="0" w:space="0" w:color="auto"/>
      </w:divBdr>
      <w:divsChild>
        <w:div w:id="1692879295">
          <w:marLeft w:val="0"/>
          <w:marRight w:val="0"/>
          <w:marTop w:val="0"/>
          <w:marBottom w:val="0"/>
          <w:divBdr>
            <w:top w:val="none" w:sz="0" w:space="0" w:color="auto"/>
            <w:left w:val="none" w:sz="0" w:space="0" w:color="auto"/>
            <w:bottom w:val="none" w:sz="0" w:space="0" w:color="auto"/>
            <w:right w:val="none" w:sz="0" w:space="0" w:color="auto"/>
          </w:divBdr>
          <w:divsChild>
            <w:div w:id="8261025">
              <w:marLeft w:val="0"/>
              <w:marRight w:val="0"/>
              <w:marTop w:val="0"/>
              <w:marBottom w:val="0"/>
              <w:divBdr>
                <w:top w:val="none" w:sz="0" w:space="0" w:color="auto"/>
                <w:left w:val="none" w:sz="0" w:space="0" w:color="auto"/>
                <w:bottom w:val="none" w:sz="0" w:space="0" w:color="auto"/>
                <w:right w:val="none" w:sz="0" w:space="0" w:color="auto"/>
              </w:divBdr>
              <w:divsChild>
                <w:div w:id="408308554">
                  <w:marLeft w:val="0"/>
                  <w:marRight w:val="0"/>
                  <w:marTop w:val="0"/>
                  <w:marBottom w:val="0"/>
                  <w:divBdr>
                    <w:top w:val="none" w:sz="0" w:space="0" w:color="auto"/>
                    <w:left w:val="none" w:sz="0" w:space="0" w:color="auto"/>
                    <w:bottom w:val="none" w:sz="0" w:space="0" w:color="auto"/>
                    <w:right w:val="none" w:sz="0" w:space="0" w:color="auto"/>
                  </w:divBdr>
                  <w:divsChild>
                    <w:div w:id="5793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4473">
      <w:bodyDiv w:val="1"/>
      <w:marLeft w:val="0"/>
      <w:marRight w:val="0"/>
      <w:marTop w:val="0"/>
      <w:marBottom w:val="0"/>
      <w:divBdr>
        <w:top w:val="none" w:sz="0" w:space="0" w:color="auto"/>
        <w:left w:val="none" w:sz="0" w:space="0" w:color="auto"/>
        <w:bottom w:val="none" w:sz="0" w:space="0" w:color="auto"/>
        <w:right w:val="none" w:sz="0" w:space="0" w:color="auto"/>
      </w:divBdr>
    </w:div>
    <w:div w:id="1255211660">
      <w:bodyDiv w:val="1"/>
      <w:marLeft w:val="0"/>
      <w:marRight w:val="0"/>
      <w:marTop w:val="0"/>
      <w:marBottom w:val="0"/>
      <w:divBdr>
        <w:top w:val="none" w:sz="0" w:space="0" w:color="auto"/>
        <w:left w:val="none" w:sz="0" w:space="0" w:color="auto"/>
        <w:bottom w:val="none" w:sz="0" w:space="0" w:color="auto"/>
        <w:right w:val="none" w:sz="0" w:space="0" w:color="auto"/>
      </w:divBdr>
      <w:divsChild>
        <w:div w:id="36247819">
          <w:marLeft w:val="0"/>
          <w:marRight w:val="0"/>
          <w:marTop w:val="0"/>
          <w:marBottom w:val="0"/>
          <w:divBdr>
            <w:top w:val="none" w:sz="0" w:space="0" w:color="auto"/>
            <w:left w:val="none" w:sz="0" w:space="0" w:color="auto"/>
            <w:bottom w:val="none" w:sz="0" w:space="0" w:color="auto"/>
            <w:right w:val="none" w:sz="0" w:space="0" w:color="auto"/>
          </w:divBdr>
          <w:divsChild>
            <w:div w:id="1177227625">
              <w:marLeft w:val="0"/>
              <w:marRight w:val="0"/>
              <w:marTop w:val="0"/>
              <w:marBottom w:val="0"/>
              <w:divBdr>
                <w:top w:val="none" w:sz="0" w:space="0" w:color="auto"/>
                <w:left w:val="none" w:sz="0" w:space="0" w:color="auto"/>
                <w:bottom w:val="none" w:sz="0" w:space="0" w:color="auto"/>
                <w:right w:val="none" w:sz="0" w:space="0" w:color="auto"/>
              </w:divBdr>
              <w:divsChild>
                <w:div w:id="999892820">
                  <w:marLeft w:val="0"/>
                  <w:marRight w:val="0"/>
                  <w:marTop w:val="0"/>
                  <w:marBottom w:val="0"/>
                  <w:divBdr>
                    <w:top w:val="none" w:sz="0" w:space="0" w:color="auto"/>
                    <w:left w:val="none" w:sz="0" w:space="0" w:color="auto"/>
                    <w:bottom w:val="none" w:sz="0" w:space="0" w:color="auto"/>
                    <w:right w:val="none" w:sz="0" w:space="0" w:color="auto"/>
                  </w:divBdr>
                  <w:divsChild>
                    <w:div w:id="2892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921850">
      <w:bodyDiv w:val="1"/>
      <w:marLeft w:val="0"/>
      <w:marRight w:val="0"/>
      <w:marTop w:val="0"/>
      <w:marBottom w:val="0"/>
      <w:divBdr>
        <w:top w:val="none" w:sz="0" w:space="0" w:color="auto"/>
        <w:left w:val="none" w:sz="0" w:space="0" w:color="auto"/>
        <w:bottom w:val="none" w:sz="0" w:space="0" w:color="auto"/>
        <w:right w:val="none" w:sz="0" w:space="0" w:color="auto"/>
      </w:divBdr>
    </w:div>
    <w:div w:id="1287277183">
      <w:bodyDiv w:val="1"/>
      <w:marLeft w:val="0"/>
      <w:marRight w:val="0"/>
      <w:marTop w:val="0"/>
      <w:marBottom w:val="0"/>
      <w:divBdr>
        <w:top w:val="none" w:sz="0" w:space="0" w:color="auto"/>
        <w:left w:val="none" w:sz="0" w:space="0" w:color="auto"/>
        <w:bottom w:val="none" w:sz="0" w:space="0" w:color="auto"/>
        <w:right w:val="none" w:sz="0" w:space="0" w:color="auto"/>
      </w:divBdr>
    </w:div>
    <w:div w:id="1298336885">
      <w:bodyDiv w:val="1"/>
      <w:marLeft w:val="0"/>
      <w:marRight w:val="0"/>
      <w:marTop w:val="0"/>
      <w:marBottom w:val="0"/>
      <w:divBdr>
        <w:top w:val="none" w:sz="0" w:space="0" w:color="auto"/>
        <w:left w:val="none" w:sz="0" w:space="0" w:color="auto"/>
        <w:bottom w:val="none" w:sz="0" w:space="0" w:color="auto"/>
        <w:right w:val="none" w:sz="0" w:space="0" w:color="auto"/>
      </w:divBdr>
    </w:div>
    <w:div w:id="1310400917">
      <w:bodyDiv w:val="1"/>
      <w:marLeft w:val="0"/>
      <w:marRight w:val="0"/>
      <w:marTop w:val="0"/>
      <w:marBottom w:val="0"/>
      <w:divBdr>
        <w:top w:val="none" w:sz="0" w:space="0" w:color="auto"/>
        <w:left w:val="none" w:sz="0" w:space="0" w:color="auto"/>
        <w:bottom w:val="none" w:sz="0" w:space="0" w:color="auto"/>
        <w:right w:val="none" w:sz="0" w:space="0" w:color="auto"/>
      </w:divBdr>
      <w:divsChild>
        <w:div w:id="1196237698">
          <w:marLeft w:val="0"/>
          <w:marRight w:val="0"/>
          <w:marTop w:val="0"/>
          <w:marBottom w:val="0"/>
          <w:divBdr>
            <w:top w:val="none" w:sz="0" w:space="0" w:color="auto"/>
            <w:left w:val="none" w:sz="0" w:space="0" w:color="auto"/>
            <w:bottom w:val="none" w:sz="0" w:space="0" w:color="auto"/>
            <w:right w:val="none" w:sz="0" w:space="0" w:color="auto"/>
          </w:divBdr>
          <w:divsChild>
            <w:div w:id="1344239993">
              <w:marLeft w:val="0"/>
              <w:marRight w:val="0"/>
              <w:marTop w:val="0"/>
              <w:marBottom w:val="0"/>
              <w:divBdr>
                <w:top w:val="none" w:sz="0" w:space="0" w:color="auto"/>
                <w:left w:val="none" w:sz="0" w:space="0" w:color="auto"/>
                <w:bottom w:val="none" w:sz="0" w:space="0" w:color="auto"/>
                <w:right w:val="none" w:sz="0" w:space="0" w:color="auto"/>
              </w:divBdr>
              <w:divsChild>
                <w:div w:id="1107580095">
                  <w:marLeft w:val="0"/>
                  <w:marRight w:val="0"/>
                  <w:marTop w:val="0"/>
                  <w:marBottom w:val="0"/>
                  <w:divBdr>
                    <w:top w:val="none" w:sz="0" w:space="0" w:color="auto"/>
                    <w:left w:val="none" w:sz="0" w:space="0" w:color="auto"/>
                    <w:bottom w:val="none" w:sz="0" w:space="0" w:color="auto"/>
                    <w:right w:val="none" w:sz="0" w:space="0" w:color="auto"/>
                  </w:divBdr>
                  <w:divsChild>
                    <w:div w:id="15002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6576">
      <w:bodyDiv w:val="1"/>
      <w:marLeft w:val="0"/>
      <w:marRight w:val="0"/>
      <w:marTop w:val="0"/>
      <w:marBottom w:val="0"/>
      <w:divBdr>
        <w:top w:val="none" w:sz="0" w:space="0" w:color="auto"/>
        <w:left w:val="none" w:sz="0" w:space="0" w:color="auto"/>
        <w:bottom w:val="none" w:sz="0" w:space="0" w:color="auto"/>
        <w:right w:val="none" w:sz="0" w:space="0" w:color="auto"/>
      </w:divBdr>
      <w:divsChild>
        <w:div w:id="215164439">
          <w:marLeft w:val="0"/>
          <w:marRight w:val="0"/>
          <w:marTop w:val="0"/>
          <w:marBottom w:val="0"/>
          <w:divBdr>
            <w:top w:val="none" w:sz="0" w:space="0" w:color="auto"/>
            <w:left w:val="none" w:sz="0" w:space="0" w:color="auto"/>
            <w:bottom w:val="none" w:sz="0" w:space="0" w:color="auto"/>
            <w:right w:val="none" w:sz="0" w:space="0" w:color="auto"/>
          </w:divBdr>
          <w:divsChild>
            <w:div w:id="2064984928">
              <w:marLeft w:val="0"/>
              <w:marRight w:val="0"/>
              <w:marTop w:val="0"/>
              <w:marBottom w:val="0"/>
              <w:divBdr>
                <w:top w:val="none" w:sz="0" w:space="0" w:color="auto"/>
                <w:left w:val="none" w:sz="0" w:space="0" w:color="auto"/>
                <w:bottom w:val="none" w:sz="0" w:space="0" w:color="auto"/>
                <w:right w:val="none" w:sz="0" w:space="0" w:color="auto"/>
              </w:divBdr>
              <w:divsChild>
                <w:div w:id="1162509724">
                  <w:marLeft w:val="0"/>
                  <w:marRight w:val="0"/>
                  <w:marTop w:val="0"/>
                  <w:marBottom w:val="0"/>
                  <w:divBdr>
                    <w:top w:val="none" w:sz="0" w:space="0" w:color="auto"/>
                    <w:left w:val="none" w:sz="0" w:space="0" w:color="auto"/>
                    <w:bottom w:val="none" w:sz="0" w:space="0" w:color="auto"/>
                    <w:right w:val="none" w:sz="0" w:space="0" w:color="auto"/>
                  </w:divBdr>
                  <w:divsChild>
                    <w:div w:id="5757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44648">
      <w:bodyDiv w:val="1"/>
      <w:marLeft w:val="0"/>
      <w:marRight w:val="0"/>
      <w:marTop w:val="0"/>
      <w:marBottom w:val="0"/>
      <w:divBdr>
        <w:top w:val="none" w:sz="0" w:space="0" w:color="auto"/>
        <w:left w:val="none" w:sz="0" w:space="0" w:color="auto"/>
        <w:bottom w:val="none" w:sz="0" w:space="0" w:color="auto"/>
        <w:right w:val="none" w:sz="0" w:space="0" w:color="auto"/>
      </w:divBdr>
    </w:div>
    <w:div w:id="1346057324">
      <w:bodyDiv w:val="1"/>
      <w:marLeft w:val="0"/>
      <w:marRight w:val="0"/>
      <w:marTop w:val="0"/>
      <w:marBottom w:val="0"/>
      <w:divBdr>
        <w:top w:val="none" w:sz="0" w:space="0" w:color="auto"/>
        <w:left w:val="none" w:sz="0" w:space="0" w:color="auto"/>
        <w:bottom w:val="none" w:sz="0" w:space="0" w:color="auto"/>
        <w:right w:val="none" w:sz="0" w:space="0" w:color="auto"/>
      </w:divBdr>
    </w:div>
    <w:div w:id="1367367713">
      <w:bodyDiv w:val="1"/>
      <w:marLeft w:val="0"/>
      <w:marRight w:val="0"/>
      <w:marTop w:val="0"/>
      <w:marBottom w:val="0"/>
      <w:divBdr>
        <w:top w:val="none" w:sz="0" w:space="0" w:color="auto"/>
        <w:left w:val="none" w:sz="0" w:space="0" w:color="auto"/>
        <w:bottom w:val="none" w:sz="0" w:space="0" w:color="auto"/>
        <w:right w:val="none" w:sz="0" w:space="0" w:color="auto"/>
      </w:divBdr>
    </w:div>
    <w:div w:id="1388456584">
      <w:bodyDiv w:val="1"/>
      <w:marLeft w:val="0"/>
      <w:marRight w:val="0"/>
      <w:marTop w:val="0"/>
      <w:marBottom w:val="0"/>
      <w:divBdr>
        <w:top w:val="none" w:sz="0" w:space="0" w:color="auto"/>
        <w:left w:val="none" w:sz="0" w:space="0" w:color="auto"/>
        <w:bottom w:val="none" w:sz="0" w:space="0" w:color="auto"/>
        <w:right w:val="none" w:sz="0" w:space="0" w:color="auto"/>
      </w:divBdr>
    </w:div>
    <w:div w:id="1410687519">
      <w:bodyDiv w:val="1"/>
      <w:marLeft w:val="0"/>
      <w:marRight w:val="0"/>
      <w:marTop w:val="0"/>
      <w:marBottom w:val="0"/>
      <w:divBdr>
        <w:top w:val="none" w:sz="0" w:space="0" w:color="auto"/>
        <w:left w:val="none" w:sz="0" w:space="0" w:color="auto"/>
        <w:bottom w:val="none" w:sz="0" w:space="0" w:color="auto"/>
        <w:right w:val="none" w:sz="0" w:space="0" w:color="auto"/>
      </w:divBdr>
      <w:divsChild>
        <w:div w:id="620650860">
          <w:marLeft w:val="0"/>
          <w:marRight w:val="0"/>
          <w:marTop w:val="0"/>
          <w:marBottom w:val="0"/>
          <w:divBdr>
            <w:top w:val="none" w:sz="0" w:space="0" w:color="auto"/>
            <w:left w:val="none" w:sz="0" w:space="0" w:color="auto"/>
            <w:bottom w:val="none" w:sz="0" w:space="0" w:color="auto"/>
            <w:right w:val="none" w:sz="0" w:space="0" w:color="auto"/>
          </w:divBdr>
          <w:divsChild>
            <w:div w:id="542012822">
              <w:marLeft w:val="0"/>
              <w:marRight w:val="0"/>
              <w:marTop w:val="0"/>
              <w:marBottom w:val="0"/>
              <w:divBdr>
                <w:top w:val="none" w:sz="0" w:space="0" w:color="auto"/>
                <w:left w:val="none" w:sz="0" w:space="0" w:color="auto"/>
                <w:bottom w:val="none" w:sz="0" w:space="0" w:color="auto"/>
                <w:right w:val="none" w:sz="0" w:space="0" w:color="auto"/>
              </w:divBdr>
              <w:divsChild>
                <w:div w:id="997030865">
                  <w:marLeft w:val="0"/>
                  <w:marRight w:val="0"/>
                  <w:marTop w:val="0"/>
                  <w:marBottom w:val="0"/>
                  <w:divBdr>
                    <w:top w:val="none" w:sz="0" w:space="0" w:color="auto"/>
                    <w:left w:val="none" w:sz="0" w:space="0" w:color="auto"/>
                    <w:bottom w:val="none" w:sz="0" w:space="0" w:color="auto"/>
                    <w:right w:val="none" w:sz="0" w:space="0" w:color="auto"/>
                  </w:divBdr>
                  <w:divsChild>
                    <w:div w:id="1263302282">
                      <w:marLeft w:val="0"/>
                      <w:marRight w:val="0"/>
                      <w:marTop w:val="0"/>
                      <w:marBottom w:val="0"/>
                      <w:divBdr>
                        <w:top w:val="none" w:sz="0" w:space="0" w:color="auto"/>
                        <w:left w:val="none" w:sz="0" w:space="0" w:color="auto"/>
                        <w:bottom w:val="none" w:sz="0" w:space="0" w:color="auto"/>
                        <w:right w:val="none" w:sz="0" w:space="0" w:color="auto"/>
                      </w:divBdr>
                      <w:divsChild>
                        <w:div w:id="171461269">
                          <w:marLeft w:val="0"/>
                          <w:marRight w:val="0"/>
                          <w:marTop w:val="0"/>
                          <w:marBottom w:val="0"/>
                          <w:divBdr>
                            <w:top w:val="none" w:sz="0" w:space="0" w:color="auto"/>
                            <w:left w:val="none" w:sz="0" w:space="0" w:color="auto"/>
                            <w:bottom w:val="none" w:sz="0" w:space="0" w:color="auto"/>
                            <w:right w:val="none" w:sz="0" w:space="0" w:color="auto"/>
                          </w:divBdr>
                          <w:divsChild>
                            <w:div w:id="723791211">
                              <w:marLeft w:val="0"/>
                              <w:marRight w:val="0"/>
                              <w:marTop w:val="0"/>
                              <w:marBottom w:val="0"/>
                              <w:divBdr>
                                <w:top w:val="none" w:sz="0" w:space="0" w:color="auto"/>
                                <w:left w:val="none" w:sz="0" w:space="0" w:color="auto"/>
                                <w:bottom w:val="none" w:sz="0" w:space="0" w:color="auto"/>
                                <w:right w:val="none" w:sz="0" w:space="0" w:color="auto"/>
                              </w:divBdr>
                              <w:divsChild>
                                <w:div w:id="666712820">
                                  <w:marLeft w:val="0"/>
                                  <w:marRight w:val="0"/>
                                  <w:marTop w:val="0"/>
                                  <w:marBottom w:val="0"/>
                                  <w:divBdr>
                                    <w:top w:val="none" w:sz="0" w:space="0" w:color="auto"/>
                                    <w:left w:val="none" w:sz="0" w:space="0" w:color="auto"/>
                                    <w:bottom w:val="none" w:sz="0" w:space="0" w:color="auto"/>
                                    <w:right w:val="none" w:sz="0" w:space="0" w:color="auto"/>
                                  </w:divBdr>
                                  <w:divsChild>
                                    <w:div w:id="1430656349">
                                      <w:marLeft w:val="0"/>
                                      <w:marRight w:val="0"/>
                                      <w:marTop w:val="0"/>
                                      <w:marBottom w:val="0"/>
                                      <w:divBdr>
                                        <w:top w:val="none" w:sz="0" w:space="0" w:color="auto"/>
                                        <w:left w:val="none" w:sz="0" w:space="0" w:color="auto"/>
                                        <w:bottom w:val="none" w:sz="0" w:space="0" w:color="auto"/>
                                        <w:right w:val="none" w:sz="0" w:space="0" w:color="auto"/>
                                      </w:divBdr>
                                      <w:divsChild>
                                        <w:div w:id="1552619911">
                                          <w:marLeft w:val="0"/>
                                          <w:marRight w:val="0"/>
                                          <w:marTop w:val="0"/>
                                          <w:marBottom w:val="0"/>
                                          <w:divBdr>
                                            <w:top w:val="none" w:sz="0" w:space="0" w:color="auto"/>
                                            <w:left w:val="none" w:sz="0" w:space="0" w:color="auto"/>
                                            <w:bottom w:val="none" w:sz="0" w:space="0" w:color="auto"/>
                                            <w:right w:val="none" w:sz="0" w:space="0" w:color="auto"/>
                                          </w:divBdr>
                                          <w:divsChild>
                                            <w:div w:id="1426880259">
                                              <w:marLeft w:val="0"/>
                                              <w:marRight w:val="0"/>
                                              <w:marTop w:val="0"/>
                                              <w:marBottom w:val="0"/>
                                              <w:divBdr>
                                                <w:top w:val="none" w:sz="0" w:space="0" w:color="auto"/>
                                                <w:left w:val="none" w:sz="0" w:space="0" w:color="auto"/>
                                                <w:bottom w:val="none" w:sz="0" w:space="0" w:color="auto"/>
                                                <w:right w:val="none" w:sz="0" w:space="0" w:color="auto"/>
                                              </w:divBdr>
                                              <w:divsChild>
                                                <w:div w:id="32467717">
                                                  <w:marLeft w:val="0"/>
                                                  <w:marRight w:val="0"/>
                                                  <w:marTop w:val="0"/>
                                                  <w:marBottom w:val="0"/>
                                                  <w:divBdr>
                                                    <w:top w:val="none" w:sz="0" w:space="0" w:color="auto"/>
                                                    <w:left w:val="none" w:sz="0" w:space="0" w:color="auto"/>
                                                    <w:bottom w:val="none" w:sz="0" w:space="0" w:color="auto"/>
                                                    <w:right w:val="none" w:sz="0" w:space="0" w:color="auto"/>
                                                  </w:divBdr>
                                                  <w:divsChild>
                                                    <w:div w:id="7859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554149">
          <w:marLeft w:val="0"/>
          <w:marRight w:val="0"/>
          <w:marTop w:val="0"/>
          <w:marBottom w:val="0"/>
          <w:divBdr>
            <w:top w:val="none" w:sz="0" w:space="0" w:color="auto"/>
            <w:left w:val="none" w:sz="0" w:space="0" w:color="auto"/>
            <w:bottom w:val="none" w:sz="0" w:space="0" w:color="auto"/>
            <w:right w:val="none" w:sz="0" w:space="0" w:color="auto"/>
          </w:divBdr>
          <w:divsChild>
            <w:div w:id="2117599627">
              <w:marLeft w:val="0"/>
              <w:marRight w:val="0"/>
              <w:marTop w:val="0"/>
              <w:marBottom w:val="0"/>
              <w:divBdr>
                <w:top w:val="none" w:sz="0" w:space="0" w:color="auto"/>
                <w:left w:val="none" w:sz="0" w:space="0" w:color="auto"/>
                <w:bottom w:val="none" w:sz="0" w:space="0" w:color="auto"/>
                <w:right w:val="none" w:sz="0" w:space="0" w:color="auto"/>
              </w:divBdr>
              <w:divsChild>
                <w:div w:id="631405069">
                  <w:marLeft w:val="0"/>
                  <w:marRight w:val="0"/>
                  <w:marTop w:val="0"/>
                  <w:marBottom w:val="0"/>
                  <w:divBdr>
                    <w:top w:val="none" w:sz="0" w:space="0" w:color="auto"/>
                    <w:left w:val="none" w:sz="0" w:space="0" w:color="auto"/>
                    <w:bottom w:val="none" w:sz="0" w:space="0" w:color="auto"/>
                    <w:right w:val="none" w:sz="0" w:space="0" w:color="auto"/>
                  </w:divBdr>
                  <w:divsChild>
                    <w:div w:id="87772710">
                      <w:marLeft w:val="0"/>
                      <w:marRight w:val="0"/>
                      <w:marTop w:val="0"/>
                      <w:marBottom w:val="0"/>
                      <w:divBdr>
                        <w:top w:val="none" w:sz="0" w:space="0" w:color="auto"/>
                        <w:left w:val="none" w:sz="0" w:space="0" w:color="auto"/>
                        <w:bottom w:val="none" w:sz="0" w:space="0" w:color="auto"/>
                        <w:right w:val="none" w:sz="0" w:space="0" w:color="auto"/>
                      </w:divBdr>
                      <w:divsChild>
                        <w:div w:id="6033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91574">
      <w:bodyDiv w:val="1"/>
      <w:marLeft w:val="0"/>
      <w:marRight w:val="0"/>
      <w:marTop w:val="0"/>
      <w:marBottom w:val="0"/>
      <w:divBdr>
        <w:top w:val="none" w:sz="0" w:space="0" w:color="auto"/>
        <w:left w:val="none" w:sz="0" w:space="0" w:color="auto"/>
        <w:bottom w:val="none" w:sz="0" w:space="0" w:color="auto"/>
        <w:right w:val="none" w:sz="0" w:space="0" w:color="auto"/>
      </w:divBdr>
    </w:div>
    <w:div w:id="1452091881">
      <w:bodyDiv w:val="1"/>
      <w:marLeft w:val="0"/>
      <w:marRight w:val="0"/>
      <w:marTop w:val="0"/>
      <w:marBottom w:val="0"/>
      <w:divBdr>
        <w:top w:val="none" w:sz="0" w:space="0" w:color="auto"/>
        <w:left w:val="none" w:sz="0" w:space="0" w:color="auto"/>
        <w:bottom w:val="none" w:sz="0" w:space="0" w:color="auto"/>
        <w:right w:val="none" w:sz="0" w:space="0" w:color="auto"/>
      </w:divBdr>
      <w:divsChild>
        <w:div w:id="1932202701">
          <w:marLeft w:val="0"/>
          <w:marRight w:val="0"/>
          <w:marTop w:val="0"/>
          <w:marBottom w:val="0"/>
          <w:divBdr>
            <w:top w:val="none" w:sz="0" w:space="0" w:color="auto"/>
            <w:left w:val="none" w:sz="0" w:space="0" w:color="auto"/>
            <w:bottom w:val="none" w:sz="0" w:space="0" w:color="auto"/>
            <w:right w:val="none" w:sz="0" w:space="0" w:color="auto"/>
          </w:divBdr>
          <w:divsChild>
            <w:div w:id="2050643146">
              <w:marLeft w:val="0"/>
              <w:marRight w:val="0"/>
              <w:marTop w:val="0"/>
              <w:marBottom w:val="0"/>
              <w:divBdr>
                <w:top w:val="none" w:sz="0" w:space="0" w:color="auto"/>
                <w:left w:val="none" w:sz="0" w:space="0" w:color="auto"/>
                <w:bottom w:val="none" w:sz="0" w:space="0" w:color="auto"/>
                <w:right w:val="none" w:sz="0" w:space="0" w:color="auto"/>
              </w:divBdr>
              <w:divsChild>
                <w:div w:id="147987775">
                  <w:marLeft w:val="0"/>
                  <w:marRight w:val="0"/>
                  <w:marTop w:val="0"/>
                  <w:marBottom w:val="0"/>
                  <w:divBdr>
                    <w:top w:val="none" w:sz="0" w:space="0" w:color="auto"/>
                    <w:left w:val="none" w:sz="0" w:space="0" w:color="auto"/>
                    <w:bottom w:val="none" w:sz="0" w:space="0" w:color="auto"/>
                    <w:right w:val="none" w:sz="0" w:space="0" w:color="auto"/>
                  </w:divBdr>
                  <w:divsChild>
                    <w:div w:id="20013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7179">
      <w:bodyDiv w:val="1"/>
      <w:marLeft w:val="0"/>
      <w:marRight w:val="0"/>
      <w:marTop w:val="0"/>
      <w:marBottom w:val="0"/>
      <w:divBdr>
        <w:top w:val="none" w:sz="0" w:space="0" w:color="auto"/>
        <w:left w:val="none" w:sz="0" w:space="0" w:color="auto"/>
        <w:bottom w:val="none" w:sz="0" w:space="0" w:color="auto"/>
        <w:right w:val="none" w:sz="0" w:space="0" w:color="auto"/>
      </w:divBdr>
    </w:div>
    <w:div w:id="1497571670">
      <w:bodyDiv w:val="1"/>
      <w:marLeft w:val="0"/>
      <w:marRight w:val="0"/>
      <w:marTop w:val="0"/>
      <w:marBottom w:val="0"/>
      <w:divBdr>
        <w:top w:val="none" w:sz="0" w:space="0" w:color="auto"/>
        <w:left w:val="none" w:sz="0" w:space="0" w:color="auto"/>
        <w:bottom w:val="none" w:sz="0" w:space="0" w:color="auto"/>
        <w:right w:val="none" w:sz="0" w:space="0" w:color="auto"/>
      </w:divBdr>
    </w:div>
    <w:div w:id="1516575065">
      <w:bodyDiv w:val="1"/>
      <w:marLeft w:val="0"/>
      <w:marRight w:val="0"/>
      <w:marTop w:val="0"/>
      <w:marBottom w:val="0"/>
      <w:divBdr>
        <w:top w:val="none" w:sz="0" w:space="0" w:color="auto"/>
        <w:left w:val="none" w:sz="0" w:space="0" w:color="auto"/>
        <w:bottom w:val="none" w:sz="0" w:space="0" w:color="auto"/>
        <w:right w:val="none" w:sz="0" w:space="0" w:color="auto"/>
      </w:divBdr>
    </w:div>
    <w:div w:id="1517844093">
      <w:bodyDiv w:val="1"/>
      <w:marLeft w:val="0"/>
      <w:marRight w:val="0"/>
      <w:marTop w:val="0"/>
      <w:marBottom w:val="0"/>
      <w:divBdr>
        <w:top w:val="none" w:sz="0" w:space="0" w:color="auto"/>
        <w:left w:val="none" w:sz="0" w:space="0" w:color="auto"/>
        <w:bottom w:val="none" w:sz="0" w:space="0" w:color="auto"/>
        <w:right w:val="none" w:sz="0" w:space="0" w:color="auto"/>
      </w:divBdr>
    </w:div>
    <w:div w:id="1527675121">
      <w:bodyDiv w:val="1"/>
      <w:marLeft w:val="0"/>
      <w:marRight w:val="0"/>
      <w:marTop w:val="0"/>
      <w:marBottom w:val="0"/>
      <w:divBdr>
        <w:top w:val="none" w:sz="0" w:space="0" w:color="auto"/>
        <w:left w:val="none" w:sz="0" w:space="0" w:color="auto"/>
        <w:bottom w:val="none" w:sz="0" w:space="0" w:color="auto"/>
        <w:right w:val="none" w:sz="0" w:space="0" w:color="auto"/>
      </w:divBdr>
    </w:div>
    <w:div w:id="1569457059">
      <w:bodyDiv w:val="1"/>
      <w:marLeft w:val="0"/>
      <w:marRight w:val="0"/>
      <w:marTop w:val="0"/>
      <w:marBottom w:val="0"/>
      <w:divBdr>
        <w:top w:val="none" w:sz="0" w:space="0" w:color="auto"/>
        <w:left w:val="none" w:sz="0" w:space="0" w:color="auto"/>
        <w:bottom w:val="none" w:sz="0" w:space="0" w:color="auto"/>
        <w:right w:val="none" w:sz="0" w:space="0" w:color="auto"/>
      </w:divBdr>
      <w:divsChild>
        <w:div w:id="889608209">
          <w:marLeft w:val="0"/>
          <w:marRight w:val="0"/>
          <w:marTop w:val="0"/>
          <w:marBottom w:val="0"/>
          <w:divBdr>
            <w:top w:val="none" w:sz="0" w:space="0" w:color="auto"/>
            <w:left w:val="none" w:sz="0" w:space="0" w:color="auto"/>
            <w:bottom w:val="none" w:sz="0" w:space="0" w:color="auto"/>
            <w:right w:val="none" w:sz="0" w:space="0" w:color="auto"/>
          </w:divBdr>
          <w:divsChild>
            <w:div w:id="543294929">
              <w:marLeft w:val="0"/>
              <w:marRight w:val="0"/>
              <w:marTop w:val="0"/>
              <w:marBottom w:val="0"/>
              <w:divBdr>
                <w:top w:val="none" w:sz="0" w:space="0" w:color="auto"/>
                <w:left w:val="none" w:sz="0" w:space="0" w:color="auto"/>
                <w:bottom w:val="none" w:sz="0" w:space="0" w:color="auto"/>
                <w:right w:val="none" w:sz="0" w:space="0" w:color="auto"/>
              </w:divBdr>
              <w:divsChild>
                <w:div w:id="656609629">
                  <w:marLeft w:val="0"/>
                  <w:marRight w:val="0"/>
                  <w:marTop w:val="0"/>
                  <w:marBottom w:val="0"/>
                  <w:divBdr>
                    <w:top w:val="none" w:sz="0" w:space="0" w:color="auto"/>
                    <w:left w:val="none" w:sz="0" w:space="0" w:color="auto"/>
                    <w:bottom w:val="none" w:sz="0" w:space="0" w:color="auto"/>
                    <w:right w:val="none" w:sz="0" w:space="0" w:color="auto"/>
                  </w:divBdr>
                  <w:divsChild>
                    <w:div w:id="2129272265">
                      <w:marLeft w:val="0"/>
                      <w:marRight w:val="0"/>
                      <w:marTop w:val="0"/>
                      <w:marBottom w:val="0"/>
                      <w:divBdr>
                        <w:top w:val="none" w:sz="0" w:space="0" w:color="auto"/>
                        <w:left w:val="none" w:sz="0" w:space="0" w:color="auto"/>
                        <w:bottom w:val="none" w:sz="0" w:space="0" w:color="auto"/>
                        <w:right w:val="none" w:sz="0" w:space="0" w:color="auto"/>
                      </w:divBdr>
                      <w:divsChild>
                        <w:div w:id="1173060773">
                          <w:marLeft w:val="0"/>
                          <w:marRight w:val="0"/>
                          <w:marTop w:val="0"/>
                          <w:marBottom w:val="0"/>
                          <w:divBdr>
                            <w:top w:val="none" w:sz="0" w:space="0" w:color="auto"/>
                            <w:left w:val="none" w:sz="0" w:space="0" w:color="auto"/>
                            <w:bottom w:val="none" w:sz="0" w:space="0" w:color="auto"/>
                            <w:right w:val="none" w:sz="0" w:space="0" w:color="auto"/>
                          </w:divBdr>
                          <w:divsChild>
                            <w:div w:id="1713000886">
                              <w:marLeft w:val="0"/>
                              <w:marRight w:val="0"/>
                              <w:marTop w:val="0"/>
                              <w:marBottom w:val="0"/>
                              <w:divBdr>
                                <w:top w:val="none" w:sz="0" w:space="0" w:color="auto"/>
                                <w:left w:val="none" w:sz="0" w:space="0" w:color="auto"/>
                                <w:bottom w:val="none" w:sz="0" w:space="0" w:color="auto"/>
                                <w:right w:val="none" w:sz="0" w:space="0" w:color="auto"/>
                              </w:divBdr>
                              <w:divsChild>
                                <w:div w:id="61678824">
                                  <w:marLeft w:val="0"/>
                                  <w:marRight w:val="0"/>
                                  <w:marTop w:val="0"/>
                                  <w:marBottom w:val="0"/>
                                  <w:divBdr>
                                    <w:top w:val="none" w:sz="0" w:space="0" w:color="auto"/>
                                    <w:left w:val="none" w:sz="0" w:space="0" w:color="auto"/>
                                    <w:bottom w:val="none" w:sz="0" w:space="0" w:color="auto"/>
                                    <w:right w:val="none" w:sz="0" w:space="0" w:color="auto"/>
                                  </w:divBdr>
                                  <w:divsChild>
                                    <w:div w:id="616108013">
                                      <w:marLeft w:val="0"/>
                                      <w:marRight w:val="0"/>
                                      <w:marTop w:val="0"/>
                                      <w:marBottom w:val="0"/>
                                      <w:divBdr>
                                        <w:top w:val="none" w:sz="0" w:space="0" w:color="auto"/>
                                        <w:left w:val="none" w:sz="0" w:space="0" w:color="auto"/>
                                        <w:bottom w:val="none" w:sz="0" w:space="0" w:color="auto"/>
                                        <w:right w:val="none" w:sz="0" w:space="0" w:color="auto"/>
                                      </w:divBdr>
                                      <w:divsChild>
                                        <w:div w:id="606543491">
                                          <w:marLeft w:val="0"/>
                                          <w:marRight w:val="0"/>
                                          <w:marTop w:val="0"/>
                                          <w:marBottom w:val="0"/>
                                          <w:divBdr>
                                            <w:top w:val="none" w:sz="0" w:space="0" w:color="auto"/>
                                            <w:left w:val="none" w:sz="0" w:space="0" w:color="auto"/>
                                            <w:bottom w:val="none" w:sz="0" w:space="0" w:color="auto"/>
                                            <w:right w:val="none" w:sz="0" w:space="0" w:color="auto"/>
                                          </w:divBdr>
                                          <w:divsChild>
                                            <w:div w:id="1626741289">
                                              <w:marLeft w:val="0"/>
                                              <w:marRight w:val="0"/>
                                              <w:marTop w:val="0"/>
                                              <w:marBottom w:val="0"/>
                                              <w:divBdr>
                                                <w:top w:val="none" w:sz="0" w:space="0" w:color="auto"/>
                                                <w:left w:val="none" w:sz="0" w:space="0" w:color="auto"/>
                                                <w:bottom w:val="none" w:sz="0" w:space="0" w:color="auto"/>
                                                <w:right w:val="none" w:sz="0" w:space="0" w:color="auto"/>
                                              </w:divBdr>
                                              <w:divsChild>
                                                <w:div w:id="1158498975">
                                                  <w:marLeft w:val="0"/>
                                                  <w:marRight w:val="0"/>
                                                  <w:marTop w:val="0"/>
                                                  <w:marBottom w:val="0"/>
                                                  <w:divBdr>
                                                    <w:top w:val="none" w:sz="0" w:space="0" w:color="auto"/>
                                                    <w:left w:val="none" w:sz="0" w:space="0" w:color="auto"/>
                                                    <w:bottom w:val="none" w:sz="0" w:space="0" w:color="auto"/>
                                                    <w:right w:val="none" w:sz="0" w:space="0" w:color="auto"/>
                                                  </w:divBdr>
                                                  <w:divsChild>
                                                    <w:div w:id="9985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15256">
          <w:marLeft w:val="0"/>
          <w:marRight w:val="0"/>
          <w:marTop w:val="0"/>
          <w:marBottom w:val="0"/>
          <w:divBdr>
            <w:top w:val="none" w:sz="0" w:space="0" w:color="auto"/>
            <w:left w:val="none" w:sz="0" w:space="0" w:color="auto"/>
            <w:bottom w:val="none" w:sz="0" w:space="0" w:color="auto"/>
            <w:right w:val="none" w:sz="0" w:space="0" w:color="auto"/>
          </w:divBdr>
          <w:divsChild>
            <w:div w:id="1104956815">
              <w:marLeft w:val="0"/>
              <w:marRight w:val="0"/>
              <w:marTop w:val="0"/>
              <w:marBottom w:val="0"/>
              <w:divBdr>
                <w:top w:val="none" w:sz="0" w:space="0" w:color="auto"/>
                <w:left w:val="none" w:sz="0" w:space="0" w:color="auto"/>
                <w:bottom w:val="none" w:sz="0" w:space="0" w:color="auto"/>
                <w:right w:val="none" w:sz="0" w:space="0" w:color="auto"/>
              </w:divBdr>
              <w:divsChild>
                <w:div w:id="1517231928">
                  <w:marLeft w:val="0"/>
                  <w:marRight w:val="0"/>
                  <w:marTop w:val="0"/>
                  <w:marBottom w:val="0"/>
                  <w:divBdr>
                    <w:top w:val="none" w:sz="0" w:space="0" w:color="auto"/>
                    <w:left w:val="none" w:sz="0" w:space="0" w:color="auto"/>
                    <w:bottom w:val="none" w:sz="0" w:space="0" w:color="auto"/>
                    <w:right w:val="none" w:sz="0" w:space="0" w:color="auto"/>
                  </w:divBdr>
                  <w:divsChild>
                    <w:div w:id="1239171826">
                      <w:marLeft w:val="0"/>
                      <w:marRight w:val="0"/>
                      <w:marTop w:val="0"/>
                      <w:marBottom w:val="0"/>
                      <w:divBdr>
                        <w:top w:val="none" w:sz="0" w:space="0" w:color="auto"/>
                        <w:left w:val="none" w:sz="0" w:space="0" w:color="auto"/>
                        <w:bottom w:val="none" w:sz="0" w:space="0" w:color="auto"/>
                        <w:right w:val="none" w:sz="0" w:space="0" w:color="auto"/>
                      </w:divBdr>
                      <w:divsChild>
                        <w:div w:id="43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244238">
      <w:bodyDiv w:val="1"/>
      <w:marLeft w:val="0"/>
      <w:marRight w:val="0"/>
      <w:marTop w:val="0"/>
      <w:marBottom w:val="0"/>
      <w:divBdr>
        <w:top w:val="none" w:sz="0" w:space="0" w:color="auto"/>
        <w:left w:val="none" w:sz="0" w:space="0" w:color="auto"/>
        <w:bottom w:val="none" w:sz="0" w:space="0" w:color="auto"/>
        <w:right w:val="none" w:sz="0" w:space="0" w:color="auto"/>
      </w:divBdr>
    </w:div>
    <w:div w:id="1594514125">
      <w:bodyDiv w:val="1"/>
      <w:marLeft w:val="0"/>
      <w:marRight w:val="0"/>
      <w:marTop w:val="0"/>
      <w:marBottom w:val="0"/>
      <w:divBdr>
        <w:top w:val="none" w:sz="0" w:space="0" w:color="auto"/>
        <w:left w:val="none" w:sz="0" w:space="0" w:color="auto"/>
        <w:bottom w:val="none" w:sz="0" w:space="0" w:color="auto"/>
        <w:right w:val="none" w:sz="0" w:space="0" w:color="auto"/>
      </w:divBdr>
    </w:div>
    <w:div w:id="1615404725">
      <w:bodyDiv w:val="1"/>
      <w:marLeft w:val="0"/>
      <w:marRight w:val="0"/>
      <w:marTop w:val="0"/>
      <w:marBottom w:val="0"/>
      <w:divBdr>
        <w:top w:val="none" w:sz="0" w:space="0" w:color="auto"/>
        <w:left w:val="none" w:sz="0" w:space="0" w:color="auto"/>
        <w:bottom w:val="none" w:sz="0" w:space="0" w:color="auto"/>
        <w:right w:val="none" w:sz="0" w:space="0" w:color="auto"/>
      </w:divBdr>
    </w:div>
    <w:div w:id="1627085196">
      <w:bodyDiv w:val="1"/>
      <w:marLeft w:val="0"/>
      <w:marRight w:val="0"/>
      <w:marTop w:val="0"/>
      <w:marBottom w:val="0"/>
      <w:divBdr>
        <w:top w:val="none" w:sz="0" w:space="0" w:color="auto"/>
        <w:left w:val="none" w:sz="0" w:space="0" w:color="auto"/>
        <w:bottom w:val="none" w:sz="0" w:space="0" w:color="auto"/>
        <w:right w:val="none" w:sz="0" w:space="0" w:color="auto"/>
      </w:divBdr>
      <w:divsChild>
        <w:div w:id="1043365159">
          <w:marLeft w:val="0"/>
          <w:marRight w:val="0"/>
          <w:marTop w:val="0"/>
          <w:marBottom w:val="0"/>
          <w:divBdr>
            <w:top w:val="none" w:sz="0" w:space="0" w:color="auto"/>
            <w:left w:val="none" w:sz="0" w:space="0" w:color="auto"/>
            <w:bottom w:val="none" w:sz="0" w:space="0" w:color="auto"/>
            <w:right w:val="none" w:sz="0" w:space="0" w:color="auto"/>
          </w:divBdr>
          <w:divsChild>
            <w:div w:id="2130318282">
              <w:marLeft w:val="0"/>
              <w:marRight w:val="0"/>
              <w:marTop w:val="0"/>
              <w:marBottom w:val="0"/>
              <w:divBdr>
                <w:top w:val="none" w:sz="0" w:space="0" w:color="auto"/>
                <w:left w:val="none" w:sz="0" w:space="0" w:color="auto"/>
                <w:bottom w:val="none" w:sz="0" w:space="0" w:color="auto"/>
                <w:right w:val="none" w:sz="0" w:space="0" w:color="auto"/>
              </w:divBdr>
              <w:divsChild>
                <w:div w:id="1255213257">
                  <w:marLeft w:val="0"/>
                  <w:marRight w:val="0"/>
                  <w:marTop w:val="0"/>
                  <w:marBottom w:val="0"/>
                  <w:divBdr>
                    <w:top w:val="none" w:sz="0" w:space="0" w:color="auto"/>
                    <w:left w:val="none" w:sz="0" w:space="0" w:color="auto"/>
                    <w:bottom w:val="none" w:sz="0" w:space="0" w:color="auto"/>
                    <w:right w:val="none" w:sz="0" w:space="0" w:color="auto"/>
                  </w:divBdr>
                  <w:divsChild>
                    <w:div w:id="18200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1763">
      <w:bodyDiv w:val="1"/>
      <w:marLeft w:val="0"/>
      <w:marRight w:val="0"/>
      <w:marTop w:val="0"/>
      <w:marBottom w:val="0"/>
      <w:divBdr>
        <w:top w:val="none" w:sz="0" w:space="0" w:color="auto"/>
        <w:left w:val="none" w:sz="0" w:space="0" w:color="auto"/>
        <w:bottom w:val="none" w:sz="0" w:space="0" w:color="auto"/>
        <w:right w:val="none" w:sz="0" w:space="0" w:color="auto"/>
      </w:divBdr>
    </w:div>
    <w:div w:id="1646737929">
      <w:bodyDiv w:val="1"/>
      <w:marLeft w:val="0"/>
      <w:marRight w:val="0"/>
      <w:marTop w:val="0"/>
      <w:marBottom w:val="0"/>
      <w:divBdr>
        <w:top w:val="none" w:sz="0" w:space="0" w:color="auto"/>
        <w:left w:val="none" w:sz="0" w:space="0" w:color="auto"/>
        <w:bottom w:val="none" w:sz="0" w:space="0" w:color="auto"/>
        <w:right w:val="none" w:sz="0" w:space="0" w:color="auto"/>
      </w:divBdr>
      <w:divsChild>
        <w:div w:id="805392592">
          <w:marLeft w:val="0"/>
          <w:marRight w:val="0"/>
          <w:marTop w:val="0"/>
          <w:marBottom w:val="0"/>
          <w:divBdr>
            <w:top w:val="none" w:sz="0" w:space="0" w:color="auto"/>
            <w:left w:val="none" w:sz="0" w:space="0" w:color="auto"/>
            <w:bottom w:val="none" w:sz="0" w:space="0" w:color="auto"/>
            <w:right w:val="none" w:sz="0" w:space="0" w:color="auto"/>
          </w:divBdr>
          <w:divsChild>
            <w:div w:id="1995835427">
              <w:marLeft w:val="0"/>
              <w:marRight w:val="0"/>
              <w:marTop w:val="0"/>
              <w:marBottom w:val="0"/>
              <w:divBdr>
                <w:top w:val="none" w:sz="0" w:space="0" w:color="auto"/>
                <w:left w:val="none" w:sz="0" w:space="0" w:color="auto"/>
                <w:bottom w:val="none" w:sz="0" w:space="0" w:color="auto"/>
                <w:right w:val="none" w:sz="0" w:space="0" w:color="auto"/>
              </w:divBdr>
              <w:divsChild>
                <w:div w:id="1198542349">
                  <w:marLeft w:val="0"/>
                  <w:marRight w:val="0"/>
                  <w:marTop w:val="0"/>
                  <w:marBottom w:val="0"/>
                  <w:divBdr>
                    <w:top w:val="none" w:sz="0" w:space="0" w:color="auto"/>
                    <w:left w:val="none" w:sz="0" w:space="0" w:color="auto"/>
                    <w:bottom w:val="none" w:sz="0" w:space="0" w:color="auto"/>
                    <w:right w:val="none" w:sz="0" w:space="0" w:color="auto"/>
                  </w:divBdr>
                  <w:divsChild>
                    <w:div w:id="14980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61003">
      <w:bodyDiv w:val="1"/>
      <w:marLeft w:val="0"/>
      <w:marRight w:val="0"/>
      <w:marTop w:val="0"/>
      <w:marBottom w:val="0"/>
      <w:divBdr>
        <w:top w:val="none" w:sz="0" w:space="0" w:color="auto"/>
        <w:left w:val="none" w:sz="0" w:space="0" w:color="auto"/>
        <w:bottom w:val="none" w:sz="0" w:space="0" w:color="auto"/>
        <w:right w:val="none" w:sz="0" w:space="0" w:color="auto"/>
      </w:divBdr>
      <w:divsChild>
        <w:div w:id="808328036">
          <w:marLeft w:val="0"/>
          <w:marRight w:val="0"/>
          <w:marTop w:val="0"/>
          <w:marBottom w:val="0"/>
          <w:divBdr>
            <w:top w:val="none" w:sz="0" w:space="0" w:color="auto"/>
            <w:left w:val="none" w:sz="0" w:space="0" w:color="auto"/>
            <w:bottom w:val="none" w:sz="0" w:space="0" w:color="auto"/>
            <w:right w:val="none" w:sz="0" w:space="0" w:color="auto"/>
          </w:divBdr>
          <w:divsChild>
            <w:div w:id="1032224047">
              <w:marLeft w:val="0"/>
              <w:marRight w:val="0"/>
              <w:marTop w:val="0"/>
              <w:marBottom w:val="0"/>
              <w:divBdr>
                <w:top w:val="none" w:sz="0" w:space="0" w:color="auto"/>
                <w:left w:val="none" w:sz="0" w:space="0" w:color="auto"/>
                <w:bottom w:val="none" w:sz="0" w:space="0" w:color="auto"/>
                <w:right w:val="none" w:sz="0" w:space="0" w:color="auto"/>
              </w:divBdr>
              <w:divsChild>
                <w:div w:id="837189512">
                  <w:marLeft w:val="0"/>
                  <w:marRight w:val="0"/>
                  <w:marTop w:val="0"/>
                  <w:marBottom w:val="0"/>
                  <w:divBdr>
                    <w:top w:val="none" w:sz="0" w:space="0" w:color="auto"/>
                    <w:left w:val="none" w:sz="0" w:space="0" w:color="auto"/>
                    <w:bottom w:val="none" w:sz="0" w:space="0" w:color="auto"/>
                    <w:right w:val="none" w:sz="0" w:space="0" w:color="auto"/>
                  </w:divBdr>
                  <w:divsChild>
                    <w:div w:id="6710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5634">
      <w:bodyDiv w:val="1"/>
      <w:marLeft w:val="0"/>
      <w:marRight w:val="0"/>
      <w:marTop w:val="0"/>
      <w:marBottom w:val="0"/>
      <w:divBdr>
        <w:top w:val="none" w:sz="0" w:space="0" w:color="auto"/>
        <w:left w:val="none" w:sz="0" w:space="0" w:color="auto"/>
        <w:bottom w:val="none" w:sz="0" w:space="0" w:color="auto"/>
        <w:right w:val="none" w:sz="0" w:space="0" w:color="auto"/>
      </w:divBdr>
    </w:div>
    <w:div w:id="1718628484">
      <w:bodyDiv w:val="1"/>
      <w:marLeft w:val="0"/>
      <w:marRight w:val="0"/>
      <w:marTop w:val="0"/>
      <w:marBottom w:val="0"/>
      <w:divBdr>
        <w:top w:val="none" w:sz="0" w:space="0" w:color="auto"/>
        <w:left w:val="none" w:sz="0" w:space="0" w:color="auto"/>
        <w:bottom w:val="none" w:sz="0" w:space="0" w:color="auto"/>
        <w:right w:val="none" w:sz="0" w:space="0" w:color="auto"/>
      </w:divBdr>
      <w:divsChild>
        <w:div w:id="1248151279">
          <w:marLeft w:val="0"/>
          <w:marRight w:val="0"/>
          <w:marTop w:val="0"/>
          <w:marBottom w:val="0"/>
          <w:divBdr>
            <w:top w:val="none" w:sz="0" w:space="0" w:color="auto"/>
            <w:left w:val="none" w:sz="0" w:space="0" w:color="auto"/>
            <w:bottom w:val="none" w:sz="0" w:space="0" w:color="auto"/>
            <w:right w:val="none" w:sz="0" w:space="0" w:color="auto"/>
          </w:divBdr>
        </w:div>
      </w:divsChild>
    </w:div>
    <w:div w:id="1731150718">
      <w:bodyDiv w:val="1"/>
      <w:marLeft w:val="0"/>
      <w:marRight w:val="0"/>
      <w:marTop w:val="0"/>
      <w:marBottom w:val="0"/>
      <w:divBdr>
        <w:top w:val="none" w:sz="0" w:space="0" w:color="auto"/>
        <w:left w:val="none" w:sz="0" w:space="0" w:color="auto"/>
        <w:bottom w:val="none" w:sz="0" w:space="0" w:color="auto"/>
        <w:right w:val="none" w:sz="0" w:space="0" w:color="auto"/>
      </w:divBdr>
    </w:div>
    <w:div w:id="1740397655">
      <w:bodyDiv w:val="1"/>
      <w:marLeft w:val="0"/>
      <w:marRight w:val="0"/>
      <w:marTop w:val="0"/>
      <w:marBottom w:val="0"/>
      <w:divBdr>
        <w:top w:val="none" w:sz="0" w:space="0" w:color="auto"/>
        <w:left w:val="none" w:sz="0" w:space="0" w:color="auto"/>
        <w:bottom w:val="none" w:sz="0" w:space="0" w:color="auto"/>
        <w:right w:val="none" w:sz="0" w:space="0" w:color="auto"/>
      </w:divBdr>
    </w:div>
    <w:div w:id="1751658572">
      <w:bodyDiv w:val="1"/>
      <w:marLeft w:val="0"/>
      <w:marRight w:val="0"/>
      <w:marTop w:val="0"/>
      <w:marBottom w:val="0"/>
      <w:divBdr>
        <w:top w:val="none" w:sz="0" w:space="0" w:color="auto"/>
        <w:left w:val="none" w:sz="0" w:space="0" w:color="auto"/>
        <w:bottom w:val="none" w:sz="0" w:space="0" w:color="auto"/>
        <w:right w:val="none" w:sz="0" w:space="0" w:color="auto"/>
      </w:divBdr>
    </w:div>
    <w:div w:id="1791826163">
      <w:bodyDiv w:val="1"/>
      <w:marLeft w:val="0"/>
      <w:marRight w:val="0"/>
      <w:marTop w:val="0"/>
      <w:marBottom w:val="0"/>
      <w:divBdr>
        <w:top w:val="none" w:sz="0" w:space="0" w:color="auto"/>
        <w:left w:val="none" w:sz="0" w:space="0" w:color="auto"/>
        <w:bottom w:val="none" w:sz="0" w:space="0" w:color="auto"/>
        <w:right w:val="none" w:sz="0" w:space="0" w:color="auto"/>
      </w:divBdr>
    </w:div>
    <w:div w:id="1812361405">
      <w:bodyDiv w:val="1"/>
      <w:marLeft w:val="0"/>
      <w:marRight w:val="0"/>
      <w:marTop w:val="0"/>
      <w:marBottom w:val="0"/>
      <w:divBdr>
        <w:top w:val="none" w:sz="0" w:space="0" w:color="auto"/>
        <w:left w:val="none" w:sz="0" w:space="0" w:color="auto"/>
        <w:bottom w:val="none" w:sz="0" w:space="0" w:color="auto"/>
        <w:right w:val="none" w:sz="0" w:space="0" w:color="auto"/>
      </w:divBdr>
    </w:div>
    <w:div w:id="1840342951">
      <w:bodyDiv w:val="1"/>
      <w:marLeft w:val="0"/>
      <w:marRight w:val="0"/>
      <w:marTop w:val="0"/>
      <w:marBottom w:val="0"/>
      <w:divBdr>
        <w:top w:val="none" w:sz="0" w:space="0" w:color="auto"/>
        <w:left w:val="none" w:sz="0" w:space="0" w:color="auto"/>
        <w:bottom w:val="none" w:sz="0" w:space="0" w:color="auto"/>
        <w:right w:val="none" w:sz="0" w:space="0" w:color="auto"/>
      </w:divBdr>
    </w:div>
    <w:div w:id="1859614871">
      <w:bodyDiv w:val="1"/>
      <w:marLeft w:val="0"/>
      <w:marRight w:val="0"/>
      <w:marTop w:val="0"/>
      <w:marBottom w:val="0"/>
      <w:divBdr>
        <w:top w:val="none" w:sz="0" w:space="0" w:color="auto"/>
        <w:left w:val="none" w:sz="0" w:space="0" w:color="auto"/>
        <w:bottom w:val="none" w:sz="0" w:space="0" w:color="auto"/>
        <w:right w:val="none" w:sz="0" w:space="0" w:color="auto"/>
      </w:divBdr>
    </w:div>
    <w:div w:id="1861165568">
      <w:bodyDiv w:val="1"/>
      <w:marLeft w:val="0"/>
      <w:marRight w:val="0"/>
      <w:marTop w:val="0"/>
      <w:marBottom w:val="0"/>
      <w:divBdr>
        <w:top w:val="none" w:sz="0" w:space="0" w:color="auto"/>
        <w:left w:val="none" w:sz="0" w:space="0" w:color="auto"/>
        <w:bottom w:val="none" w:sz="0" w:space="0" w:color="auto"/>
        <w:right w:val="none" w:sz="0" w:space="0" w:color="auto"/>
      </w:divBdr>
    </w:div>
    <w:div w:id="1875459295">
      <w:bodyDiv w:val="1"/>
      <w:marLeft w:val="0"/>
      <w:marRight w:val="0"/>
      <w:marTop w:val="0"/>
      <w:marBottom w:val="0"/>
      <w:divBdr>
        <w:top w:val="none" w:sz="0" w:space="0" w:color="auto"/>
        <w:left w:val="none" w:sz="0" w:space="0" w:color="auto"/>
        <w:bottom w:val="none" w:sz="0" w:space="0" w:color="auto"/>
        <w:right w:val="none" w:sz="0" w:space="0" w:color="auto"/>
      </w:divBdr>
    </w:div>
    <w:div w:id="1910799230">
      <w:bodyDiv w:val="1"/>
      <w:marLeft w:val="0"/>
      <w:marRight w:val="0"/>
      <w:marTop w:val="0"/>
      <w:marBottom w:val="0"/>
      <w:divBdr>
        <w:top w:val="none" w:sz="0" w:space="0" w:color="auto"/>
        <w:left w:val="none" w:sz="0" w:space="0" w:color="auto"/>
        <w:bottom w:val="none" w:sz="0" w:space="0" w:color="auto"/>
        <w:right w:val="none" w:sz="0" w:space="0" w:color="auto"/>
      </w:divBdr>
    </w:div>
    <w:div w:id="1923484647">
      <w:bodyDiv w:val="1"/>
      <w:marLeft w:val="0"/>
      <w:marRight w:val="0"/>
      <w:marTop w:val="0"/>
      <w:marBottom w:val="0"/>
      <w:divBdr>
        <w:top w:val="none" w:sz="0" w:space="0" w:color="auto"/>
        <w:left w:val="none" w:sz="0" w:space="0" w:color="auto"/>
        <w:bottom w:val="none" w:sz="0" w:space="0" w:color="auto"/>
        <w:right w:val="none" w:sz="0" w:space="0" w:color="auto"/>
      </w:divBdr>
    </w:div>
    <w:div w:id="1925534003">
      <w:bodyDiv w:val="1"/>
      <w:marLeft w:val="0"/>
      <w:marRight w:val="0"/>
      <w:marTop w:val="0"/>
      <w:marBottom w:val="0"/>
      <w:divBdr>
        <w:top w:val="none" w:sz="0" w:space="0" w:color="auto"/>
        <w:left w:val="none" w:sz="0" w:space="0" w:color="auto"/>
        <w:bottom w:val="none" w:sz="0" w:space="0" w:color="auto"/>
        <w:right w:val="none" w:sz="0" w:space="0" w:color="auto"/>
      </w:divBdr>
    </w:div>
    <w:div w:id="1940872983">
      <w:bodyDiv w:val="1"/>
      <w:marLeft w:val="0"/>
      <w:marRight w:val="0"/>
      <w:marTop w:val="0"/>
      <w:marBottom w:val="0"/>
      <w:divBdr>
        <w:top w:val="none" w:sz="0" w:space="0" w:color="auto"/>
        <w:left w:val="none" w:sz="0" w:space="0" w:color="auto"/>
        <w:bottom w:val="none" w:sz="0" w:space="0" w:color="auto"/>
        <w:right w:val="none" w:sz="0" w:space="0" w:color="auto"/>
      </w:divBdr>
    </w:div>
    <w:div w:id="1951933478">
      <w:bodyDiv w:val="1"/>
      <w:marLeft w:val="0"/>
      <w:marRight w:val="0"/>
      <w:marTop w:val="0"/>
      <w:marBottom w:val="0"/>
      <w:divBdr>
        <w:top w:val="none" w:sz="0" w:space="0" w:color="auto"/>
        <w:left w:val="none" w:sz="0" w:space="0" w:color="auto"/>
        <w:bottom w:val="none" w:sz="0" w:space="0" w:color="auto"/>
        <w:right w:val="none" w:sz="0" w:space="0" w:color="auto"/>
      </w:divBdr>
    </w:div>
    <w:div w:id="1960145712">
      <w:bodyDiv w:val="1"/>
      <w:marLeft w:val="0"/>
      <w:marRight w:val="0"/>
      <w:marTop w:val="0"/>
      <w:marBottom w:val="0"/>
      <w:divBdr>
        <w:top w:val="none" w:sz="0" w:space="0" w:color="auto"/>
        <w:left w:val="none" w:sz="0" w:space="0" w:color="auto"/>
        <w:bottom w:val="none" w:sz="0" w:space="0" w:color="auto"/>
        <w:right w:val="none" w:sz="0" w:space="0" w:color="auto"/>
      </w:divBdr>
    </w:div>
    <w:div w:id="2021348742">
      <w:bodyDiv w:val="1"/>
      <w:marLeft w:val="0"/>
      <w:marRight w:val="0"/>
      <w:marTop w:val="0"/>
      <w:marBottom w:val="0"/>
      <w:divBdr>
        <w:top w:val="none" w:sz="0" w:space="0" w:color="auto"/>
        <w:left w:val="none" w:sz="0" w:space="0" w:color="auto"/>
        <w:bottom w:val="none" w:sz="0" w:space="0" w:color="auto"/>
        <w:right w:val="none" w:sz="0" w:space="0" w:color="auto"/>
      </w:divBdr>
      <w:divsChild>
        <w:div w:id="264268694">
          <w:marLeft w:val="0"/>
          <w:marRight w:val="0"/>
          <w:marTop w:val="0"/>
          <w:marBottom w:val="0"/>
          <w:divBdr>
            <w:top w:val="none" w:sz="0" w:space="0" w:color="auto"/>
            <w:left w:val="none" w:sz="0" w:space="0" w:color="auto"/>
            <w:bottom w:val="none" w:sz="0" w:space="0" w:color="auto"/>
            <w:right w:val="none" w:sz="0" w:space="0" w:color="auto"/>
          </w:divBdr>
          <w:divsChild>
            <w:div w:id="285353790">
              <w:marLeft w:val="0"/>
              <w:marRight w:val="0"/>
              <w:marTop w:val="0"/>
              <w:marBottom w:val="0"/>
              <w:divBdr>
                <w:top w:val="none" w:sz="0" w:space="0" w:color="auto"/>
                <w:left w:val="none" w:sz="0" w:space="0" w:color="auto"/>
                <w:bottom w:val="none" w:sz="0" w:space="0" w:color="auto"/>
                <w:right w:val="none" w:sz="0" w:space="0" w:color="auto"/>
              </w:divBdr>
              <w:divsChild>
                <w:div w:id="652027306">
                  <w:marLeft w:val="0"/>
                  <w:marRight w:val="0"/>
                  <w:marTop w:val="0"/>
                  <w:marBottom w:val="0"/>
                  <w:divBdr>
                    <w:top w:val="none" w:sz="0" w:space="0" w:color="auto"/>
                    <w:left w:val="none" w:sz="0" w:space="0" w:color="auto"/>
                    <w:bottom w:val="none" w:sz="0" w:space="0" w:color="auto"/>
                    <w:right w:val="none" w:sz="0" w:space="0" w:color="auto"/>
                  </w:divBdr>
                  <w:divsChild>
                    <w:div w:id="3053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1959">
      <w:bodyDiv w:val="1"/>
      <w:marLeft w:val="0"/>
      <w:marRight w:val="0"/>
      <w:marTop w:val="0"/>
      <w:marBottom w:val="0"/>
      <w:divBdr>
        <w:top w:val="none" w:sz="0" w:space="0" w:color="auto"/>
        <w:left w:val="none" w:sz="0" w:space="0" w:color="auto"/>
        <w:bottom w:val="none" w:sz="0" w:space="0" w:color="auto"/>
        <w:right w:val="none" w:sz="0" w:space="0" w:color="auto"/>
      </w:divBdr>
    </w:div>
    <w:div w:id="2065178513">
      <w:bodyDiv w:val="1"/>
      <w:marLeft w:val="0"/>
      <w:marRight w:val="0"/>
      <w:marTop w:val="0"/>
      <w:marBottom w:val="0"/>
      <w:divBdr>
        <w:top w:val="none" w:sz="0" w:space="0" w:color="auto"/>
        <w:left w:val="none" w:sz="0" w:space="0" w:color="auto"/>
        <w:bottom w:val="none" w:sz="0" w:space="0" w:color="auto"/>
        <w:right w:val="none" w:sz="0" w:space="0" w:color="auto"/>
      </w:divBdr>
    </w:div>
    <w:div w:id="2127848687">
      <w:bodyDiv w:val="1"/>
      <w:marLeft w:val="0"/>
      <w:marRight w:val="0"/>
      <w:marTop w:val="0"/>
      <w:marBottom w:val="0"/>
      <w:divBdr>
        <w:top w:val="none" w:sz="0" w:space="0" w:color="auto"/>
        <w:left w:val="none" w:sz="0" w:space="0" w:color="auto"/>
        <w:bottom w:val="none" w:sz="0" w:space="0" w:color="auto"/>
        <w:right w:val="none" w:sz="0" w:space="0" w:color="auto"/>
      </w:divBdr>
    </w:div>
    <w:div w:id="2141873132">
      <w:bodyDiv w:val="1"/>
      <w:marLeft w:val="0"/>
      <w:marRight w:val="0"/>
      <w:marTop w:val="0"/>
      <w:marBottom w:val="0"/>
      <w:divBdr>
        <w:top w:val="none" w:sz="0" w:space="0" w:color="auto"/>
        <w:left w:val="none" w:sz="0" w:space="0" w:color="auto"/>
        <w:bottom w:val="none" w:sz="0" w:space="0" w:color="auto"/>
        <w:right w:val="none" w:sz="0" w:space="0" w:color="auto"/>
      </w:divBdr>
    </w:div>
    <w:div w:id="2144276048">
      <w:bodyDiv w:val="1"/>
      <w:marLeft w:val="0"/>
      <w:marRight w:val="0"/>
      <w:marTop w:val="0"/>
      <w:marBottom w:val="0"/>
      <w:divBdr>
        <w:top w:val="none" w:sz="0" w:space="0" w:color="auto"/>
        <w:left w:val="none" w:sz="0" w:space="0" w:color="auto"/>
        <w:bottom w:val="none" w:sz="0" w:space="0" w:color="auto"/>
        <w:right w:val="none" w:sz="0" w:space="0" w:color="auto"/>
      </w:divBdr>
      <w:divsChild>
        <w:div w:id="799231872">
          <w:marLeft w:val="0"/>
          <w:marRight w:val="0"/>
          <w:marTop w:val="0"/>
          <w:marBottom w:val="0"/>
          <w:divBdr>
            <w:top w:val="none" w:sz="0" w:space="0" w:color="auto"/>
            <w:left w:val="none" w:sz="0" w:space="0" w:color="auto"/>
            <w:bottom w:val="none" w:sz="0" w:space="0" w:color="auto"/>
            <w:right w:val="none" w:sz="0" w:space="0" w:color="auto"/>
          </w:divBdr>
          <w:divsChild>
            <w:div w:id="140586936">
              <w:marLeft w:val="0"/>
              <w:marRight w:val="0"/>
              <w:marTop w:val="0"/>
              <w:marBottom w:val="0"/>
              <w:divBdr>
                <w:top w:val="none" w:sz="0" w:space="0" w:color="auto"/>
                <w:left w:val="none" w:sz="0" w:space="0" w:color="auto"/>
                <w:bottom w:val="none" w:sz="0" w:space="0" w:color="auto"/>
                <w:right w:val="none" w:sz="0" w:space="0" w:color="auto"/>
              </w:divBdr>
              <w:divsChild>
                <w:div w:id="297610086">
                  <w:marLeft w:val="0"/>
                  <w:marRight w:val="0"/>
                  <w:marTop w:val="0"/>
                  <w:marBottom w:val="0"/>
                  <w:divBdr>
                    <w:top w:val="none" w:sz="0" w:space="0" w:color="auto"/>
                    <w:left w:val="none" w:sz="0" w:space="0" w:color="auto"/>
                    <w:bottom w:val="none" w:sz="0" w:space="0" w:color="auto"/>
                    <w:right w:val="none" w:sz="0" w:space="0" w:color="auto"/>
                  </w:divBdr>
                  <w:divsChild>
                    <w:div w:id="1410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0022-3514.67.2.319" TargetMode="External"/><Relationship Id="rId21" Type="http://schemas.openxmlformats.org/officeDocument/2006/relationships/hyperlink" Target="https://www.collinsdictionary.com/dictionary/english/yearn" TargetMode="External"/><Relationship Id="rId42" Type="http://schemas.openxmlformats.org/officeDocument/2006/relationships/hyperlink" Target="https://doi.org/10.6531/JFS.202106_25(4).0001" TargetMode="External"/><Relationship Id="rId47" Type="http://schemas.openxmlformats.org/officeDocument/2006/relationships/hyperlink" Target="http://dx.doi.org/10.1111/j.1751-9004.2009.00231.x" TargetMode="External"/><Relationship Id="rId63" Type="http://schemas.openxmlformats.org/officeDocument/2006/relationships/hyperlink" Target="https://doi.org/10.1002/jcad.12340" TargetMode="External"/><Relationship Id="rId6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ictionary.cambridge.org/dictionary/english/declinist" TargetMode="External"/><Relationship Id="rId29" Type="http://schemas.openxmlformats.org/officeDocument/2006/relationships/hyperlink" Target="https://psycnet.apa.org/doi/10.1007/s11031-006-9028-7" TargetMode="External"/><Relationship Id="rId11" Type="http://schemas.openxmlformats.org/officeDocument/2006/relationships/hyperlink" Target="https://orcid.org/0000-0002-6499-5487" TargetMode="External"/><Relationship Id="rId24" Type="http://schemas.openxmlformats.org/officeDocument/2006/relationships/hyperlink" Target="https://psycnet.apa.org/doi/10.2466/pms.1995.80.1.131" TargetMode="External"/><Relationship Id="rId32" Type="http://schemas.openxmlformats.org/officeDocument/2006/relationships/hyperlink" Target="https://psycnet.apa.org/doi/10.1016/j.copsyc.2022.101547" TargetMode="External"/><Relationship Id="rId37" Type="http://schemas.openxmlformats.org/officeDocument/2006/relationships/hyperlink" Target="https://doi.org/10.1016/j.jrp.2024.104463" TargetMode="External"/><Relationship Id="rId40" Type="http://schemas.openxmlformats.org/officeDocument/2006/relationships/hyperlink" Target="https://psycnet.apa.org/doi/10.1016/j.copsyc.2022.101548" TargetMode="External"/><Relationship Id="rId45" Type="http://schemas.openxmlformats.org/officeDocument/2006/relationships/hyperlink" Target="https://psycnet.apa.org/doi/10.1006/jvbe.1998.1650" TargetMode="External"/><Relationship Id="rId53" Type="http://schemas.openxmlformats.org/officeDocument/2006/relationships/hyperlink" Target="https://doi.org/10.1080/00913367.1992.10673382" TargetMode="External"/><Relationship Id="rId58" Type="http://schemas.openxmlformats.org/officeDocument/2006/relationships/hyperlink" Target="https://onlinelibrary.wiley.com/authored-by/Weigold/Arne" TargetMode="External"/><Relationship Id="rId66" Type="http://schemas.openxmlformats.org/officeDocument/2006/relationships/hyperlink" Target="https://doi.org/10.1177/0146167224123574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onlinelibrary.wiley.com/authored-by/Prowell/Jusiah+L." TargetMode="External"/><Relationship Id="rId19" Type="http://schemas.openxmlformats.org/officeDocument/2006/relationships/hyperlink" Target="https://osf.io/wea5u/?view_only=b354a22f1f0d4bc0b710cb4c280ddb0e" TargetMode="External"/><Relationship Id="rId14" Type="http://schemas.openxmlformats.org/officeDocument/2006/relationships/hyperlink" Target="mailto:jndang@bnu.edu.cn" TargetMode="External"/><Relationship Id="rId22" Type="http://schemas.openxmlformats.org/officeDocument/2006/relationships/hyperlink" Target="https://doi.org/10.1177/0265407514533770" TargetMode="External"/><Relationship Id="rId27" Type="http://schemas.openxmlformats.org/officeDocument/2006/relationships/hyperlink" Target="http://dx.doi.org/10.1177/0146167213499187" TargetMode="External"/><Relationship Id="rId30" Type="http://schemas.openxmlformats.org/officeDocument/2006/relationships/hyperlink" Target="https://doi.org/10.1177/0146167200266004" TargetMode="External"/><Relationship Id="rId35" Type="http://schemas.openxmlformats.org/officeDocument/2006/relationships/hyperlink" Target="https://doi.org/10.1086/209346" TargetMode="External"/><Relationship Id="rId43" Type="http://schemas.openxmlformats.org/officeDocument/2006/relationships/hyperlink" Target="https://psycnet.apa.org/doi/10.1037/pspp0000236" TargetMode="External"/><Relationship Id="rId48" Type="http://schemas.openxmlformats.org/officeDocument/2006/relationships/hyperlink" Target="https://doi.org/10.1002/9781118468197.ch9" TargetMode="External"/><Relationship Id="rId56" Type="http://schemas.openxmlformats.org/officeDocument/2006/relationships/hyperlink" Target="https://doi.org/10.1016/j.obhdp.2018.12.003" TargetMode="External"/><Relationship Id="rId64" Type="http://schemas.openxmlformats.org/officeDocument/2006/relationships/hyperlink" Target="http://doi.org/10.1037/0022-3514.91.5.975" TargetMode="External"/><Relationship Id="rId69" Type="http://schemas.openxmlformats.org/officeDocument/2006/relationships/header" Target="header1.xml"/><Relationship Id="rId8" Type="http://schemas.openxmlformats.org/officeDocument/2006/relationships/image" Target="media/image1.gif"/><Relationship Id="rId51" Type="http://schemas.openxmlformats.org/officeDocument/2006/relationships/hyperlink" Target="https://doi.org/10.1016/j.cub.2011.10.030"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orcid.org/0000-0002-8174-0136" TargetMode="External"/><Relationship Id="rId17" Type="http://schemas.openxmlformats.org/officeDocument/2006/relationships/hyperlink" Target="https://dictionary.cambridge.org/dictionary/english/declinist" TargetMode="External"/><Relationship Id="rId25" Type="http://schemas.openxmlformats.org/officeDocument/2006/relationships/hyperlink" Target="https://doi.org/10.5406/amerjpsyc.126.3.0355" TargetMode="External"/><Relationship Id="rId33" Type="http://schemas.openxmlformats.org/officeDocument/2006/relationships/hyperlink" Target="http://dx.doi.org/10.1037/a0025167" TargetMode="External"/><Relationship Id="rId38" Type="http://schemas.openxmlformats.org/officeDocument/2006/relationships/hyperlink" Target="https://psycnet.apa.org/doi/10.1093/jcr/ucw033" TargetMode="External"/><Relationship Id="rId46" Type="http://schemas.openxmlformats.org/officeDocument/2006/relationships/hyperlink" Target="https://psycnet.apa.org/doi/10.1016/j.jrp.2013.05.009" TargetMode="External"/><Relationship Id="rId59" Type="http://schemas.openxmlformats.org/officeDocument/2006/relationships/hyperlink" Target="https://onlinelibrary.wiley.com/authored-by/Russell/Elizabeth+J." TargetMode="External"/><Relationship Id="rId67" Type="http://schemas.openxmlformats.org/officeDocument/2006/relationships/image" Target="media/image2.png"/><Relationship Id="rId20" Type="http://schemas.openxmlformats.org/officeDocument/2006/relationships/hyperlink" Target="https://www.collinsdictionary.com/dictionary/english/pensive" TargetMode="External"/><Relationship Id="rId41" Type="http://schemas.openxmlformats.org/officeDocument/2006/relationships/hyperlink" Target="https://doi.org/" TargetMode="External"/><Relationship Id="rId54" Type="http://schemas.openxmlformats.org/officeDocument/2006/relationships/hyperlink" Target="https://pubmed.ncbi.nlm.nih.gov/?term=Twenge+JM&amp;cauthor_id=25205784" TargetMode="External"/><Relationship Id="rId62" Type="http://schemas.openxmlformats.org/officeDocument/2006/relationships/hyperlink" Target="https://onlinelibrary.wiley.com/authored-by/Martin%E2%80%90Wagar/Caitlin+A." TargetMode="External"/><Relationship Id="rId70" Type="http://schemas.openxmlformats.org/officeDocument/2006/relationships/header" Target="head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library.wiley.com/authored-by/Weigold/Ingrid+K." TargetMode="External"/><Relationship Id="rId23" Type="http://schemas.openxmlformats.org/officeDocument/2006/relationships/hyperlink" Target="https://psycnet.apa.org/doi/10.1080/15298868.2013.772320" TargetMode="External"/><Relationship Id="rId28" Type="http://schemas.openxmlformats.org/officeDocument/2006/relationships/hyperlink" Target="http://dx.doi.org/10.6018/analesps.32.3.219101" TargetMode="External"/><Relationship Id="rId36" Type="http://schemas.openxmlformats.org/officeDocument/2006/relationships/hyperlink" Target="https://doi.org/10.1177/002224379403100309" TargetMode="External"/><Relationship Id="rId49" Type="http://schemas.openxmlformats.org/officeDocument/2006/relationships/hyperlink" Target="https://doi.org/10.1037/gpr0000109" TargetMode="External"/><Relationship Id="rId57" Type="http://schemas.openxmlformats.org/officeDocument/2006/relationships/hyperlink" Target="https://onlinelibrary.wiley.com/authored-by/Weigold/Ingrid+K." TargetMode="External"/><Relationship Id="rId10" Type="http://schemas.openxmlformats.org/officeDocument/2006/relationships/hyperlink" Target="https://eur03.safelinks.protection.outlook.com/?url=https%3A%2F%2Forcid.org%2F0000-0002-7563-306X%3Flang%3Den&amp;data=01%7C01%7CC.Sedikides%40soton.ac.uk%7C3b9e425336a24062de8e08d7e5c5e094%7C4a5378f929f44d3ebe89669d03ada9d8%7C0&amp;sdata=4idbNATJbeCwMdHP9O%2FXNCzro8rQU7JO17NCK6fAdMM%3D&amp;reserved=0" TargetMode="External"/><Relationship Id="rId31" Type="http://schemas.openxmlformats.org/officeDocument/2006/relationships/hyperlink" Target="https://psycnet.apa.org/doi/10.1177/1754073913477509" TargetMode="External"/><Relationship Id="rId44" Type="http://schemas.openxmlformats.org/officeDocument/2006/relationships/hyperlink" Target="https://doi.org/10.1037/a0027310" TargetMode="External"/><Relationship Id="rId52" Type="http://schemas.openxmlformats.org/officeDocument/2006/relationships/hyperlink" Target="https://psycnet.apa.org/doi/10.1037/a0035673" TargetMode="External"/><Relationship Id="rId60" Type="http://schemas.openxmlformats.org/officeDocument/2006/relationships/hyperlink" Target="https://onlinelibrary.wiley.com/authored-by/Wolfe/Ginelle+L." TargetMode="External"/><Relationship Id="rId65" Type="http://schemas.openxmlformats.org/officeDocument/2006/relationships/hyperlink" Target="https://doi.org/10.1016/j.copsyc.2023.101608"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9-0005-3497-4203" TargetMode="External"/><Relationship Id="rId13" Type="http://schemas.openxmlformats.org/officeDocument/2006/relationships/hyperlink" Target="https://osf.io/wea5u/?view_only=b354a22f1f0d4bc0b710cb4c280ddb0e" TargetMode="External"/><Relationship Id="rId18" Type="http://schemas.openxmlformats.org/officeDocument/2006/relationships/hyperlink" Target="https://aspredicted.org/3hnr-9ytw.pdf" TargetMode="External"/><Relationship Id="rId39" Type="http://schemas.openxmlformats.org/officeDocument/2006/relationships/hyperlink" Target="https://doi.org/10.1016/j.jrp.2009.04.011" TargetMode="External"/><Relationship Id="rId34" Type="http://schemas.openxmlformats.org/officeDocument/2006/relationships/hyperlink" Target="https://psycnet.apa.org/doi/10.1037/emo0000728" TargetMode="External"/><Relationship Id="rId50" Type="http://schemas.openxmlformats.org/officeDocument/2006/relationships/hyperlink" Target="https://doi.org/10.1016/j.paid.2024.112554" TargetMode="External"/><Relationship Id="rId55" Type="http://schemas.openxmlformats.org/officeDocument/2006/relationships/hyperlink" Target="https://pubmed.ncbi.nlm.nih.gov/?term=Carter+NT&amp;cauthor_id=2520578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332A-55D5-4FA3-92F0-68B732A5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11403</Words>
  <Characters>62718</Characters>
  <Application>Microsoft Office Word</Application>
  <DocSecurity>0</DocSecurity>
  <Lines>847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 冯</dc:creator>
  <cp:keywords/>
  <dc:description/>
  <cp:lastModifiedBy>Tim Wildschut</cp:lastModifiedBy>
  <cp:revision>5</cp:revision>
  <dcterms:created xsi:type="dcterms:W3CDTF">2025-09-30T17:51:00Z</dcterms:created>
  <dcterms:modified xsi:type="dcterms:W3CDTF">2025-10-07T13:44:00Z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69875a12-5100-4474-9c3a-fc8062d8d7c8</vt:lpwstr>
  </property>
  <property fmtid="{D5CDD505-2E9C-101B-9397-08002B2CF9AE}" pid="3" name="ZOTERO_PREF_1">
    <vt:lpwstr>&lt;data data-version="3" zotero-version="7.0.12-beta.1+31bbf2acf"&gt;&lt;session id="1nPz9slK"/&gt;&lt;style id="http://www.zotero.org/styles/apa" locale="en-US" hasBibliography="1" bibliographyStyleHasBeenSet="1"/&gt;&lt;prefs&gt;&lt;pref name="fieldType" value="Field"/&gt;&lt;pref nam</vt:lpwstr>
  </property>
  <property fmtid="{D5CDD505-2E9C-101B-9397-08002B2CF9AE}" pid="4" name="ZOTERO_PREF_2">
    <vt:lpwstr>e="automaticJournalAbbreviations" value="true"/&gt;&lt;/prefs&gt;&lt;/data&gt;</vt:lpwstr>
  </property>
</Properties>
</file>