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E3E6A" w14:textId="5DDB582B" w:rsidR="00902085" w:rsidRDefault="00833E91" w:rsidP="00907907">
      <w:pPr>
        <w:jc w:val="center"/>
        <w:rPr>
          <w:sz w:val="28"/>
          <w:szCs w:val="28"/>
        </w:rPr>
      </w:pPr>
      <w:r w:rsidRPr="00833E91">
        <w:rPr>
          <w:sz w:val="28"/>
          <w:szCs w:val="28"/>
        </w:rPr>
        <w:t xml:space="preserve">The evolution of forgery </w:t>
      </w:r>
      <w:r w:rsidR="00902085">
        <w:rPr>
          <w:sz w:val="28"/>
          <w:szCs w:val="28"/>
        </w:rPr>
        <w:t xml:space="preserve">in </w:t>
      </w:r>
      <w:r w:rsidRPr="00833E91">
        <w:rPr>
          <w:sz w:val="28"/>
          <w:szCs w:val="28"/>
        </w:rPr>
        <w:t>the twelfth century:</w:t>
      </w:r>
    </w:p>
    <w:p w14:paraId="51180276" w14:textId="3B669BCB" w:rsidR="00833E91" w:rsidRPr="00833E91" w:rsidRDefault="00833E91" w:rsidP="00907907">
      <w:pPr>
        <w:jc w:val="center"/>
        <w:rPr>
          <w:sz w:val="28"/>
          <w:szCs w:val="28"/>
        </w:rPr>
      </w:pPr>
      <w:r w:rsidRPr="00833E91">
        <w:rPr>
          <w:sz w:val="28"/>
          <w:szCs w:val="28"/>
        </w:rPr>
        <w:t>strategy, expertise and the changing role of the laity</w:t>
      </w:r>
      <w:r w:rsidR="00575C8B">
        <w:rPr>
          <w:rStyle w:val="FootnoteReference"/>
          <w:sz w:val="28"/>
          <w:szCs w:val="28"/>
        </w:rPr>
        <w:footnoteReference w:id="1"/>
      </w:r>
    </w:p>
    <w:p w14:paraId="0A8235B1" w14:textId="77777777" w:rsidR="00495508" w:rsidRDefault="00495508" w:rsidP="00907907">
      <w:pPr>
        <w:jc w:val="both"/>
      </w:pPr>
    </w:p>
    <w:p w14:paraId="597BEF45" w14:textId="623427B8" w:rsidR="008A7D85" w:rsidRDefault="00495508" w:rsidP="00907907">
      <w:pPr>
        <w:jc w:val="both"/>
      </w:pPr>
      <w:r>
        <w:t xml:space="preserve">It is no secret that </w:t>
      </w:r>
      <w:r w:rsidR="0013337E">
        <w:t xml:space="preserve">documentary </w:t>
      </w:r>
      <w:r>
        <w:t xml:space="preserve">forgeries abound in the </w:t>
      </w:r>
      <w:r w:rsidR="00B529FC">
        <w:t>archives surviv</w:t>
      </w:r>
      <w:r w:rsidR="0013337E">
        <w:t>ing</w:t>
      </w:r>
      <w:r w:rsidR="00B529FC">
        <w:t xml:space="preserve"> from the early and high middle ages</w:t>
      </w:r>
      <w:r w:rsidR="00677AAA">
        <w:t xml:space="preserve">. There is a large historiography which </w:t>
      </w:r>
      <w:r w:rsidR="008A7D85">
        <w:t>examine</w:t>
      </w:r>
      <w:r w:rsidR="00677AAA">
        <w:t>s</w:t>
      </w:r>
      <w:r w:rsidR="008A7D85">
        <w:t xml:space="preserve"> examples of forgery, and explain</w:t>
      </w:r>
      <w:r w:rsidR="00677AAA">
        <w:t>s</w:t>
      </w:r>
      <w:r w:rsidR="008A7D85">
        <w:t xml:space="preserve"> them in their local contexts. </w:t>
      </w:r>
      <w:r w:rsidR="00677AAA">
        <w:t xml:space="preserve">In this essay, </w:t>
      </w:r>
      <w:r w:rsidR="008A7D85">
        <w:t xml:space="preserve">I want to do something slightly different, to think about some of the </w:t>
      </w:r>
      <w:r w:rsidR="00575C8B">
        <w:t>i</w:t>
      </w:r>
      <w:r w:rsidR="008A7D85">
        <w:t>de</w:t>
      </w:r>
      <w:r w:rsidR="00575C8B">
        <w:t>a</w:t>
      </w:r>
      <w:r w:rsidR="008A7D85">
        <w:t xml:space="preserve">s we use for understanding forgery, and the assumptions we bring to them. </w:t>
      </w:r>
      <w:r w:rsidR="00032D98">
        <w:t xml:space="preserve">For, there is a dominant model for </w:t>
      </w:r>
      <w:r w:rsidR="0013337E">
        <w:t xml:space="preserve">understanding </w:t>
      </w:r>
      <w:r w:rsidR="00032D98">
        <w:t xml:space="preserve">documentary forgeries, and it has both shaped thinking about them and helped to </w:t>
      </w:r>
      <w:r w:rsidR="004538D7">
        <w:t xml:space="preserve">decide </w:t>
      </w:r>
      <w:r w:rsidR="00032D98">
        <w:t xml:space="preserve">what kinds of forgery get studied. The model is, of course, that in Michael Clanchy’s seminal </w:t>
      </w:r>
      <w:r w:rsidR="00032D98" w:rsidRPr="00032D98">
        <w:rPr>
          <w:i/>
          <w:iCs/>
        </w:rPr>
        <w:t>From Memory to Written Record</w:t>
      </w:r>
      <w:r w:rsidR="00032D98">
        <w:t xml:space="preserve">, first published in 1979 and with a third edition </w:t>
      </w:r>
      <w:r w:rsidR="007D6CB9">
        <w:t xml:space="preserve">in </w:t>
      </w:r>
      <w:r w:rsidR="00032D98">
        <w:t>2013.</w:t>
      </w:r>
      <w:r w:rsidR="00032D98">
        <w:rPr>
          <w:rStyle w:val="FootnoteReference"/>
        </w:rPr>
        <w:footnoteReference w:id="2"/>
      </w:r>
      <w:r w:rsidR="00032D98">
        <w:t xml:space="preserve"> It is among the most-read and most-cited works on English medieval history over the last half century, </w:t>
      </w:r>
      <w:r w:rsidR="00902085">
        <w:t xml:space="preserve">and </w:t>
      </w:r>
      <w:r w:rsidR="00677AAA">
        <w:t xml:space="preserve">is </w:t>
      </w:r>
      <w:r w:rsidR="00902085">
        <w:t xml:space="preserve">consistently </w:t>
      </w:r>
      <w:r w:rsidR="004538D7">
        <w:t xml:space="preserve">prominent </w:t>
      </w:r>
      <w:r w:rsidR="00902085">
        <w:t>in works on forgery</w:t>
      </w:r>
      <w:r w:rsidR="00032D98">
        <w:t xml:space="preserve">. The Clanchy model starts with an old debate from the first half of the twentieth century; </w:t>
      </w:r>
      <w:r w:rsidR="00677AAA">
        <w:t xml:space="preserve">most forgeries were produced in churches, so </w:t>
      </w:r>
      <w:r w:rsidR="00032D98">
        <w:t>how could people with religious commitments and beliefs</w:t>
      </w:r>
      <w:r w:rsidR="0013337E">
        <w:t>—</w:t>
      </w:r>
      <w:r w:rsidR="00032D98">
        <w:t>monks, nuns and priests</w:t>
      </w:r>
      <w:r w:rsidR="0013337E">
        <w:t>—</w:t>
      </w:r>
      <w:r w:rsidR="00032D98">
        <w:t>produce documents which were fraudulent, and which they knew were fraudulent?</w:t>
      </w:r>
      <w:r w:rsidR="00032D98">
        <w:rPr>
          <w:rStyle w:val="FootnoteReference"/>
        </w:rPr>
        <w:footnoteReference w:id="3"/>
      </w:r>
      <w:r w:rsidR="00032D98">
        <w:t xml:space="preserve"> Clanchy’s response was that much forgery was more subtly linked to the idea of fraud: </w:t>
      </w:r>
    </w:p>
    <w:p w14:paraId="181C45E2" w14:textId="40527FB9" w:rsidR="001314AF" w:rsidRDefault="001314AF" w:rsidP="00907907">
      <w:pPr>
        <w:ind w:left="284"/>
        <w:jc w:val="both"/>
      </w:pPr>
      <w:r>
        <w:t>In England the greatest period for forging documents was the century after the Norman Conquest, when the old houses of Black monks had to convince the incomers of their ancient dignities and privileges.</w:t>
      </w:r>
      <w:r>
        <w:rPr>
          <w:rStyle w:val="FootnoteReference"/>
        </w:rPr>
        <w:footnoteReference w:id="4"/>
      </w:r>
    </w:p>
    <w:p w14:paraId="0FB1BB75" w14:textId="3A6BE360" w:rsidR="001314AF" w:rsidRDefault="00E41B1F" w:rsidP="00907907">
      <w:pPr>
        <w:jc w:val="both"/>
      </w:pPr>
      <w:r>
        <w:t xml:space="preserve">In other words, much forgery was not really meant to deceive. </w:t>
      </w:r>
      <w:r w:rsidR="006113B5">
        <w:t>A</w:t>
      </w:r>
      <w:r>
        <w:t xml:space="preserve">ncient religious communities forged because the world had changed around them; they had to rebuild links to the monarchy after the Norman Conquest, and deal with slow legal change, which meant that </w:t>
      </w:r>
      <w:r w:rsidR="0063705B">
        <w:t xml:space="preserve">royal </w:t>
      </w:r>
      <w:r>
        <w:t>justices and cou</w:t>
      </w:r>
      <w:r w:rsidR="00902085">
        <w:t>r</w:t>
      </w:r>
      <w:r>
        <w:t>ts increasingly demanded concrete and specific documents instead of vague and generali</w:t>
      </w:r>
      <w:r w:rsidR="009709B7">
        <w:t>z</w:t>
      </w:r>
      <w:r>
        <w:t>ed ones.</w:t>
      </w:r>
      <w:r w:rsidR="00902085">
        <w:rPr>
          <w:rStyle w:val="FootnoteReference"/>
        </w:rPr>
        <w:footnoteReference w:id="5"/>
      </w:r>
      <w:r>
        <w:t xml:space="preserve"> Forgery, in this scheme, was not meant to deceive or to subvert the truth, but rather reinforce it, so that claims presented in an antique format were preserved by creating newer, more up-to-date documents. </w:t>
      </w:r>
    </w:p>
    <w:p w14:paraId="6621ACEB" w14:textId="23AD8BBB" w:rsidR="00E41B1F" w:rsidRDefault="00E41B1F" w:rsidP="00907907">
      <w:pPr>
        <w:jc w:val="both"/>
      </w:pPr>
      <w:r>
        <w:t>The Clanchy model also emphasi</w:t>
      </w:r>
      <w:r w:rsidR="009709B7">
        <w:t>z</w:t>
      </w:r>
      <w:r w:rsidR="0013337E">
        <w:t>es</w:t>
      </w:r>
      <w:r>
        <w:t xml:space="preserve"> the religious themselves as the authors of these forgeries.</w:t>
      </w:r>
      <w:r w:rsidR="00902085">
        <w:rPr>
          <w:rStyle w:val="FootnoteReference"/>
        </w:rPr>
        <w:footnoteReference w:id="6"/>
      </w:r>
      <w:r>
        <w:t xml:space="preserve"> They were mostly literate, and used literate techniques </w:t>
      </w:r>
      <w:r w:rsidR="0074139B">
        <w:t>and technology more regularly and consistently than any other group in society. They composed more texts than anyo</w:t>
      </w:r>
      <w:r w:rsidR="00575C8B">
        <w:t xml:space="preserve">ne </w:t>
      </w:r>
      <w:r w:rsidR="0074139B">
        <w:t>e</w:t>
      </w:r>
      <w:r w:rsidR="00575C8B">
        <w:t>lse</w:t>
      </w:r>
      <w:r w:rsidR="0074139B">
        <w:t xml:space="preserve"> in society. Thus, their production of forgery not only drew on their involvement in ancient, elite institutions, but also on their status as the masters of literacy: </w:t>
      </w:r>
    </w:p>
    <w:p w14:paraId="30712E81" w14:textId="5E0ADF16" w:rsidR="001314AF" w:rsidRDefault="001314AF" w:rsidP="00907907">
      <w:pPr>
        <w:ind w:left="284"/>
        <w:jc w:val="both"/>
      </w:pPr>
      <w:r>
        <w:lastRenderedPageBreak/>
        <w:t>Forgers re-created the past in an acceptable literate form. They are best understood not as occasional deviants on the peripheries of legal practice, but as experts entrenched at the centre of literary and intellectual culture in the twelfth century.</w:t>
      </w:r>
      <w:r>
        <w:rPr>
          <w:rStyle w:val="FootnoteReference"/>
        </w:rPr>
        <w:footnoteReference w:id="7"/>
      </w:r>
    </w:p>
    <w:p w14:paraId="381D8E5E" w14:textId="5AD1182F" w:rsidR="00E92BE3" w:rsidRDefault="0089225B" w:rsidP="00907907">
      <w:pPr>
        <w:jc w:val="both"/>
      </w:pPr>
      <w:r>
        <w:t xml:space="preserve">This </w:t>
      </w:r>
      <w:r w:rsidR="004538D7">
        <w:t>essay</w:t>
      </w:r>
      <w:r>
        <w:t xml:space="preserve"> </w:t>
      </w:r>
      <w:r w:rsidR="00424739">
        <w:t>i</w:t>
      </w:r>
      <w:r>
        <w:t xml:space="preserve">s not designed to refute or deny the Clanchy model. It does much to explain the forgeries which were produced at ancient and prestigious churches such as St Albans or Glastonbury, and does much to </w:t>
      </w:r>
      <w:r w:rsidR="00424739">
        <w:t xml:space="preserve">help understand </w:t>
      </w:r>
      <w:r>
        <w:t xml:space="preserve">forgery up to the twelfth century. </w:t>
      </w:r>
      <w:r w:rsidR="007D6CB9">
        <w:t>Yet</w:t>
      </w:r>
      <w:r w:rsidR="00424739">
        <w:t>,</w:t>
      </w:r>
      <w:r>
        <w:t xml:space="preserve"> much of the forgery that survives from the twelfth century does not match the terms</w:t>
      </w:r>
      <w:r w:rsidR="00424739">
        <w:t xml:space="preserve"> </w:t>
      </w:r>
      <w:r w:rsidR="004538D7">
        <w:t xml:space="preserve">and assumptions </w:t>
      </w:r>
      <w:r w:rsidR="00424739">
        <w:t>of the Clanchy model</w:t>
      </w:r>
      <w:r>
        <w:t xml:space="preserve">. </w:t>
      </w:r>
      <w:r w:rsidR="004538D7">
        <w:t>Most importantly, t</w:t>
      </w:r>
      <w:r>
        <w:t xml:space="preserve">here are very many forgeries which survive from new ecclesiastical foundations of the twelfth century, where questions about the more distant past, and about legal change, were not </w:t>
      </w:r>
      <w:r w:rsidR="004538D7">
        <w:t xml:space="preserve">central </w:t>
      </w:r>
      <w:r>
        <w:t xml:space="preserve">to the making of forgery. These churches included the many monastic houses founded by or for the newer orders such as the Augustinians, many of which engaged in forgery even when they were new. </w:t>
      </w:r>
      <w:r w:rsidR="005F0AF1">
        <w:t>There are also some examples of forgeries made by the laity in the twelfth century, and these have not been built into broader evaluations of the meaning of forgery in this period.</w:t>
      </w:r>
      <w:r w:rsidR="005F0AF1">
        <w:rPr>
          <w:rStyle w:val="FootnoteReference"/>
        </w:rPr>
        <w:footnoteReference w:id="8"/>
      </w:r>
      <w:r w:rsidR="005F0AF1">
        <w:t xml:space="preserve"> </w:t>
      </w:r>
      <w:r w:rsidR="00E92BE3">
        <w:t xml:space="preserve">As well as these kinds of forgery which stand somewhat outside the Clanchy model, there are other kinds of change which mean that forgeries from the twelfth century have to be read in different ways. </w:t>
      </w:r>
      <w:r w:rsidR="002E7BBA">
        <w:t>The most important change is that there is so much more documentation surviving from the twelfth century than from earlier periods. This means that, in many cases, forgeries can be contextuali</w:t>
      </w:r>
      <w:r w:rsidR="009709B7">
        <w:t>z</w:t>
      </w:r>
      <w:r w:rsidR="002E7BBA">
        <w:t xml:space="preserve">ed more fully, so that the questions involved can be defined more clearly, and, in many cases, the viewpoints of more than one participant in a dispute can be understood. </w:t>
      </w:r>
      <w:r w:rsidR="007634C0">
        <w:t xml:space="preserve">Forgeries can often be </w:t>
      </w:r>
      <w:r w:rsidR="004538D7">
        <w:t xml:space="preserve">observed </w:t>
      </w:r>
      <w:r w:rsidR="007634C0">
        <w:t>used in local courts and assemblies, as well as in more exalted venues</w:t>
      </w:r>
      <w:r w:rsidR="002E7BBA">
        <w:t xml:space="preserve">. This, again, has a substantial effect on how we can read such documents. </w:t>
      </w:r>
    </w:p>
    <w:p w14:paraId="5E72FDD4" w14:textId="27F82167" w:rsidR="002E7BBA" w:rsidRDefault="003E4A7B" w:rsidP="00907907">
      <w:pPr>
        <w:jc w:val="both"/>
      </w:pPr>
      <w:r w:rsidRPr="007634C0">
        <w:t>This paper will not present a total overview of forgery in twelfth-century England. Th</w:t>
      </w:r>
      <w:r w:rsidR="004538D7">
        <w:t>at</w:t>
      </w:r>
      <w:r w:rsidRPr="007634C0">
        <w:t xml:space="preserve"> would be an enormous task which would form </w:t>
      </w:r>
      <w:r w:rsidR="00D4798C" w:rsidRPr="007634C0">
        <w:t xml:space="preserve">a substantial project in itself. This paper is instead based on a more limited exercise, an examination of the Augustinian and quasi-Augustinian houses from some of the southern counties. Yet even this has allowed the formation of some points about how forgery in the twelfth century differed from earlier periods. Two are </w:t>
      </w:r>
      <w:r w:rsidR="009E4B5A" w:rsidRPr="007634C0">
        <w:t xml:space="preserve">fairly obvious; forgery was widespread and common, and it often took place over short timescales, so that forgers tried to rewrite and reinterpret events that had happened, sometimes, only a few years before the making of the forgery. The third is </w:t>
      </w:r>
      <w:r w:rsidR="00100E61" w:rsidRPr="007634C0">
        <w:t xml:space="preserve">perhaps less obvious, and is about the centrality of the laity to forging activity, either in supporting it or in creating the problems that led forgers to forge. </w:t>
      </w:r>
      <w:r w:rsidR="008B4D02" w:rsidRPr="007634C0">
        <w:t xml:space="preserve">The relationship between lay and ecclesiastical expertise is perhaps </w:t>
      </w:r>
      <w:r w:rsidR="00083807" w:rsidRPr="007634C0">
        <w:t>the most important question that arises about forgery in the twelfth century.</w:t>
      </w:r>
      <w:r w:rsidR="00083807">
        <w:t xml:space="preserve"> </w:t>
      </w:r>
    </w:p>
    <w:p w14:paraId="304E94C4" w14:textId="77777777" w:rsidR="00B52BFF" w:rsidRDefault="00B52BFF" w:rsidP="00907907">
      <w:pPr>
        <w:jc w:val="both"/>
      </w:pPr>
    </w:p>
    <w:p w14:paraId="3B1338B7" w14:textId="2E823D1E" w:rsidR="00424739" w:rsidRDefault="00424739" w:rsidP="00907907">
      <w:pPr>
        <w:jc w:val="both"/>
      </w:pPr>
      <w:r>
        <w:t>THE CLERGY AND LEGAL EXPERTISE IN THE TWELFTH CENTURY</w:t>
      </w:r>
    </w:p>
    <w:p w14:paraId="7DDAE408" w14:textId="367C1ECC" w:rsidR="001314AF" w:rsidRDefault="00C1781C" w:rsidP="00907907">
      <w:pPr>
        <w:jc w:val="both"/>
      </w:pPr>
      <w:r>
        <w:t xml:space="preserve">As noted above, Clanchy argued that </w:t>
      </w:r>
      <w:r w:rsidR="004538D7">
        <w:t xml:space="preserve">members of </w:t>
      </w:r>
      <w:r>
        <w:t>the</w:t>
      </w:r>
      <w:r w:rsidR="00083807">
        <w:t xml:space="preserve"> clerg</w:t>
      </w:r>
      <w:r>
        <w:t>y were competent and prestigious experts, and that the</w:t>
      </w:r>
      <w:r w:rsidR="00424739">
        <w:t>ir</w:t>
      </w:r>
      <w:r>
        <w:t xml:space="preserve"> mix of skills an</w:t>
      </w:r>
      <w:r w:rsidR="00424739">
        <w:t>d</w:t>
      </w:r>
      <w:r>
        <w:t xml:space="preserve"> prestige allowed them to forge. Clearly they were experts in literacy, and had deep </w:t>
      </w:r>
      <w:r w:rsidR="007D6CB9">
        <w:t xml:space="preserve">expertise </w:t>
      </w:r>
      <w:r>
        <w:t xml:space="preserve">in this area. Yet, their ability </w:t>
      </w:r>
      <w:r w:rsidR="00424739">
        <w:t>t</w:t>
      </w:r>
      <w:r>
        <w:t xml:space="preserve">o command </w:t>
      </w:r>
      <w:r w:rsidR="007D6CB9">
        <w:t xml:space="preserve">all kinds of </w:t>
      </w:r>
      <w:r>
        <w:t xml:space="preserve">law is less clear, and the assumptions around this need some questioning. Forgeries might be </w:t>
      </w:r>
      <w:r w:rsidR="00424739">
        <w:t xml:space="preserve">used or </w:t>
      </w:r>
      <w:r>
        <w:t xml:space="preserve">tested in various kinds of court, but </w:t>
      </w:r>
      <w:r w:rsidR="00575C8B">
        <w:t xml:space="preserve">many or </w:t>
      </w:r>
      <w:r w:rsidR="00D45991">
        <w:t xml:space="preserve">most land cases in the eleventh and twelfth centuries were </w:t>
      </w:r>
      <w:r w:rsidR="004538D7">
        <w:t xml:space="preserve">probably </w:t>
      </w:r>
      <w:r w:rsidR="00D45991">
        <w:t xml:space="preserve">heard locally, in the communal courts of shire and hundred. In these, the kinds of </w:t>
      </w:r>
      <w:r w:rsidR="00D45991">
        <w:lastRenderedPageBreak/>
        <w:t xml:space="preserve">learning that churchmen had were </w:t>
      </w:r>
      <w:r w:rsidR="00D5798F">
        <w:t xml:space="preserve">less </w:t>
      </w:r>
      <w:r w:rsidR="00D45991">
        <w:t xml:space="preserve">useful, and the structures of these courts meant that they were probably hard to control or overawe. They were composed of suitors, who were local landholders or their surrogates, bound to each other by marriages and kinship, by ties of lordship, military service and so forth. They also judged questions and disputes in accordance with their ideas of local custom, subject only to a </w:t>
      </w:r>
      <w:r w:rsidR="00575C8B">
        <w:t>distant</w:t>
      </w:r>
      <w:r w:rsidR="00D45991">
        <w:t xml:space="preserve"> oversight by the king.</w:t>
      </w:r>
      <w:r w:rsidR="00EE7710">
        <w:rPr>
          <w:rStyle w:val="FootnoteReference"/>
        </w:rPr>
        <w:footnoteReference w:id="9"/>
      </w:r>
      <w:r w:rsidR="00D45991">
        <w:t xml:space="preserve"> </w:t>
      </w:r>
      <w:r w:rsidR="007D6CB9">
        <w:t xml:space="preserve">Ecclesiastics </w:t>
      </w:r>
      <w:r w:rsidR="00D45991">
        <w:t xml:space="preserve">were usually outsiders to this system, set apart by their vows and lifestyle, by their allegiances and ideology. </w:t>
      </w:r>
      <w:r w:rsidR="00BC6E16">
        <w:t xml:space="preserve">Their mobility meant that they could be from different regions or countries, or from different kinds of social background from the local elites who controlled local courts. Their command of writing and literacy did not necessarily translate into command of local law, </w:t>
      </w:r>
      <w:r w:rsidR="00AF5E62">
        <w:t>for in the twelfth century there were few written sources for local custom. C</w:t>
      </w:r>
      <w:r w:rsidR="00BC6E16">
        <w:t xml:space="preserve">ontending in local courts could be an uncomfortable and unsettling experience for </w:t>
      </w:r>
      <w:r w:rsidR="00AF5E62">
        <w:t>ecclesiastics</w:t>
      </w:r>
      <w:r w:rsidR="00BC6E16">
        <w:t xml:space="preserve">. </w:t>
      </w:r>
      <w:r w:rsidR="005275E5">
        <w:t>Prelates seem often to have worked through surrogates, as in the well-known 1150 plea over the liberties of Bury St Edmunds, where the abbot’s case was presented by one of his honorial barons.</w:t>
      </w:r>
      <w:r w:rsidR="005275E5">
        <w:rPr>
          <w:rStyle w:val="FootnoteReference"/>
        </w:rPr>
        <w:footnoteReference w:id="10"/>
      </w:r>
      <w:r w:rsidR="005275E5">
        <w:t xml:space="preserve"> </w:t>
      </w:r>
      <w:r w:rsidR="00CA5C57">
        <w:t xml:space="preserve">A story in Eadmer’s </w:t>
      </w:r>
      <w:r w:rsidR="00CA5C57" w:rsidRPr="00CA5C57">
        <w:rPr>
          <w:i/>
          <w:iCs/>
        </w:rPr>
        <w:t>Miracles of St Dunstan</w:t>
      </w:r>
      <w:r w:rsidR="00CA5C57">
        <w:t xml:space="preserve"> explains how even </w:t>
      </w:r>
      <w:r w:rsidR="00575C8B">
        <w:t xml:space="preserve">Archbishop </w:t>
      </w:r>
      <w:r w:rsidR="00CA5C57">
        <w:t xml:space="preserve">Lanfranc </w:t>
      </w:r>
      <w:r w:rsidR="00575C8B">
        <w:t xml:space="preserve">of Canterbury </w:t>
      </w:r>
      <w:r w:rsidR="00CA5C57">
        <w:t>was scared of facing lay pleaders, and how he attributed his success to an intervention by the saint himself, who provided the right kind of eloquence which Lanfranc otherwise lacked:</w:t>
      </w:r>
    </w:p>
    <w:p w14:paraId="112D13D0" w14:textId="46FEE1A7" w:rsidR="007D6CB9" w:rsidRDefault="007B1017" w:rsidP="007D6CB9">
      <w:pPr>
        <w:ind w:left="284"/>
        <w:jc w:val="both"/>
      </w:pPr>
      <w:r w:rsidRPr="007B1017">
        <w:t>On the night before the declared litigation was to take place Lanfranc was anxiously thinking about what he should respond to the tyranny that was threatening to sweep over him. Knowing that divine protection would without doubt be required to meet such a grave threat, he summoned blessed Dunstan to be his advocate in getting it. Thus he poured forth prayers before his most sacred body and then laid his own limbs to rest. And so father Dunstan, whose intercession he had sought, appeared to him in a dream, distinguished by an angelic visage and marked out by his archiepiscopal robes, and said to him: 'Lanfranc, let your spirit not be troubled by this throng which has been assembled against both me and you. Just enter the court with confidence and argue my causes and those of the Church of our Lord, for I will be with you at every point</w:t>
      </w:r>
      <w:r w:rsidR="00575C8B">
        <w:t>’</w:t>
      </w:r>
      <w:r w:rsidRPr="007B1017">
        <w:t xml:space="preserve">. </w:t>
      </w:r>
    </w:p>
    <w:p w14:paraId="61ED67FC" w14:textId="5ACC1E55" w:rsidR="00CA5C57" w:rsidRDefault="00CA5C57" w:rsidP="007D6CB9">
      <w:pPr>
        <w:jc w:val="both"/>
      </w:pPr>
      <w:r>
        <w:t xml:space="preserve">A more practical approach to the same problem can be seen in Jocelin of Brakelond’s chronicle, which explains how Abbot Samson of Bury retained the services of one knight who had expertise in law and could explain all the legal business that, as a former choir monk of Bury, Samson could never have seen: </w:t>
      </w:r>
    </w:p>
    <w:p w14:paraId="6072A31F" w14:textId="25FA23CC" w:rsidR="00FA2431" w:rsidRDefault="00FA2431" w:rsidP="00907907">
      <w:pPr>
        <w:ind w:left="284"/>
        <w:jc w:val="both"/>
      </w:pPr>
      <w:r>
        <w:t>But to all of them he made answer that he was content with the prior’s servants, and could not keep any others until he had consulted the convent on the matter. But one knight he kept with him, an eloquent man and skilled in the law, not so much on account of his kinship, but for his usefulness, since he was accustomed to secular business. So being new in office he took him to be his helper in worldly disputes; for he had but now received the abbacy and was unused to such matters, as he himself protested, since before he became abbot he was never in any place where gage and pledge were given.</w:t>
      </w:r>
      <w:r>
        <w:rPr>
          <w:rStyle w:val="FootnoteReference"/>
        </w:rPr>
        <w:footnoteReference w:id="11"/>
      </w:r>
    </w:p>
    <w:p w14:paraId="6F70B9F3" w14:textId="362523E5" w:rsidR="0033165E" w:rsidRPr="00726441" w:rsidRDefault="00083807" w:rsidP="00907907">
      <w:pPr>
        <w:jc w:val="both"/>
      </w:pPr>
      <w:r w:rsidRPr="00083807">
        <w:t xml:space="preserve">The </w:t>
      </w:r>
      <w:r>
        <w:t xml:space="preserve">Clanchy model assumes that much forgery was made from a position of strength, and that </w:t>
      </w:r>
      <w:r w:rsidR="007B1017">
        <w:t xml:space="preserve">ecclesiastics </w:t>
      </w:r>
      <w:r>
        <w:t xml:space="preserve">controlled the kinds of expertise needed to make forgery work. In some areas, this may have been true, such as where forgeries were used and debated in ecclesiastical or even royal courts. Yet the twelfth-century evidence shows forgeries debated in local customary courts </w:t>
      </w:r>
      <w:r>
        <w:lastRenderedPageBreak/>
        <w:t xml:space="preserve">where the expertise of the clergy was less powerful, and where decisions were made in accordance with norms which the clergy did not necessarily understand. </w:t>
      </w:r>
    </w:p>
    <w:p w14:paraId="402E76CB" w14:textId="4E5AF364" w:rsidR="001314AF" w:rsidRDefault="001314AF" w:rsidP="00907907">
      <w:pPr>
        <w:jc w:val="both"/>
      </w:pPr>
    </w:p>
    <w:p w14:paraId="7E9014D9" w14:textId="67BE8E5D" w:rsidR="0033165E" w:rsidRDefault="0033165E" w:rsidP="00907907">
      <w:pPr>
        <w:jc w:val="both"/>
      </w:pPr>
      <w:r>
        <w:t>A FIRST CASE STUDY: BREAMORE</w:t>
      </w:r>
      <w:r w:rsidR="00383E1C">
        <w:t xml:space="preserve"> PRIORY</w:t>
      </w:r>
      <w:r>
        <w:t>, HAMPSHIRE</w:t>
      </w:r>
    </w:p>
    <w:p w14:paraId="77B21089" w14:textId="487EF33A" w:rsidR="00974CC6" w:rsidRDefault="00974CC6" w:rsidP="00907907">
      <w:pPr>
        <w:jc w:val="both"/>
      </w:pPr>
      <w:r>
        <w:t>Breamore was a small Augustinian priory founded in the Avon valley on the western edge of Hampshire in the 1130s.</w:t>
      </w:r>
      <w:r w:rsidR="00E174FA">
        <w:rPr>
          <w:rStyle w:val="FootnoteReference"/>
        </w:rPr>
        <w:footnoteReference w:id="12"/>
      </w:r>
      <w:r>
        <w:t xml:space="preserve"> Its history can mostly be reconstructed from its charters, of which many survive. Most are in the National Archives, with a smaller group in the College of Arms in London. There is a clear forgery among its records, in the name of King Henry I, </w:t>
      </w:r>
      <w:r w:rsidR="00FE51B8">
        <w:t>though its status as such has only recently appeared in the historiography.</w:t>
      </w:r>
      <w:r w:rsidR="00FE51B8">
        <w:rPr>
          <w:rStyle w:val="FootnoteReference"/>
        </w:rPr>
        <w:footnoteReference w:id="13"/>
      </w:r>
      <w:r w:rsidR="00FE51B8">
        <w:t xml:space="preserve"> </w:t>
      </w:r>
    </w:p>
    <w:p w14:paraId="7A740B51" w14:textId="23CB5819" w:rsidR="00FE51B8" w:rsidRDefault="00FE51B8" w:rsidP="00907907">
      <w:pPr>
        <w:jc w:val="both"/>
      </w:pPr>
      <w:r>
        <w:t xml:space="preserve">The internal evidence of the text points decisively towards its status as a forgery. Henry I is styled as king of England and duke of Normandy; the latter title is rare among his charters, and appears only on some rare and high-status documents or on forgeries or suspected forgeries. The dispositive section opens with confirmation </w:t>
      </w:r>
      <w:r w:rsidR="001A18BD">
        <w:t xml:space="preserve">of </w:t>
      </w:r>
      <w:r>
        <w:t xml:space="preserve">‘et omnes possessiones suas tam ecclesiasticas quam mundanas quas iuste possident vel possessuri sunt futuris temporibus/and all their possessions whether ecclesiastical or worldly which they justly possess or will possess in future times’. </w:t>
      </w:r>
      <w:r w:rsidR="00D442B1">
        <w:t>Confirmations of future gifts do not occur in authentic charters and writ-charters by Henry I’s scribes</w:t>
      </w:r>
      <w:r>
        <w:t xml:space="preserve">. The essence of these royal writs, writ-charters and charters was that they conveyed a specific message from the king to members of local elites, who might be expected to carry out acts which supported the arrangements that the king commanded; this aim was hardly compatible with an open-ended declaration of support for any acquisitions which might be made at any point in the future. </w:t>
      </w:r>
    </w:p>
    <w:p w14:paraId="50E325D9" w14:textId="2FBCBB95" w:rsidR="00FE51B8" w:rsidRDefault="00886928" w:rsidP="00907907">
      <w:pPr>
        <w:jc w:val="both"/>
      </w:pPr>
      <w:r>
        <w:t>T</w:t>
      </w:r>
      <w:r w:rsidR="00FE51B8">
        <w:t>here is a direct means of assessing how this text was interpreted by royal scribes. Much of it</w:t>
      </w:r>
      <w:r w:rsidR="004538D7">
        <w:t xml:space="preserve"> </w:t>
      </w:r>
      <w:r w:rsidR="00FE51B8">
        <w:t>is shared with a charter of Henry II, which is unproblematic and can be accepted as a genuine charter of that king.</w:t>
      </w:r>
      <w:r w:rsidR="00FE51B8">
        <w:rPr>
          <w:rStyle w:val="FootnoteReference"/>
        </w:rPr>
        <w:footnoteReference w:id="14"/>
      </w:r>
      <w:r w:rsidR="00FE51B8">
        <w:t xml:space="preserve"> The texts are very similar, and confirm to the canons of Breamore the same assets and claims. The Henry II charter confirmed the rights granted in a charter of Henry I, and, given the substantial overlap between the two, it has plausibly been suggested that the forged Henry I charter was prepared as a model for the terms in the confirmation by Henry II.</w:t>
      </w:r>
      <w:r w:rsidR="00FE51B8">
        <w:rPr>
          <w:rStyle w:val="FootnoteReference"/>
        </w:rPr>
        <w:footnoteReference w:id="15"/>
      </w:r>
      <w:r w:rsidR="00FE51B8">
        <w:t xml:space="preserve"> Thus, the differences between the two become of particular importance; they show places where Henry II’s scribes saw something objectionable in the forged text, and they correspond to the points made in the preceding paragraph; Henry II’s scribes objected to the confirmation for future gifts</w:t>
      </w:r>
      <w:r>
        <w:t xml:space="preserve"> and</w:t>
      </w:r>
      <w:r w:rsidR="00FE51B8">
        <w:t xml:space="preserve"> to the elements of ecclesiastical drafting. </w:t>
      </w:r>
    </w:p>
    <w:p w14:paraId="352FE6C0" w14:textId="3CE994A7" w:rsidR="00FE51B8" w:rsidRDefault="00FE51B8" w:rsidP="00907907">
      <w:pPr>
        <w:jc w:val="both"/>
      </w:pPr>
      <w:r>
        <w:t>This forgery attributed to Henry I survives as an original</w:t>
      </w:r>
      <w:r w:rsidR="000813B4">
        <w:t xml:space="preserve"> (</w:t>
      </w:r>
      <w:r w:rsidR="000813B4" w:rsidRPr="00D442B1">
        <w:rPr>
          <w:highlight w:val="yellow"/>
        </w:rPr>
        <w:t xml:space="preserve">see plate </w:t>
      </w:r>
      <w:r w:rsidR="00D442B1" w:rsidRPr="00D442B1">
        <w:rPr>
          <w:highlight w:val="yellow"/>
        </w:rPr>
        <w:t>1</w:t>
      </w:r>
      <w:r w:rsidR="000813B4">
        <w:t>)</w:t>
      </w:r>
      <w:r>
        <w:t>, and so the physical evidence of the document itself can be evaluate</w:t>
      </w:r>
      <w:r w:rsidR="0007056C">
        <w:t>d</w:t>
      </w:r>
      <w:r>
        <w:t xml:space="preserve">. The original has some features which closely parallel original charters of Henry I. It size and ‘landscape’ format match those of genuine originals from later in Henry I’s reign; its sealing probably did as well, for there is a turn-up along the bottom edge to reinforce a single slit for a seal tag. There is now neither a seal tag nor a seal, but the willingness of Henry II’s scribes to call this a charter means that it probably had one in the twelfth century. </w:t>
      </w:r>
      <w:r>
        <w:lastRenderedPageBreak/>
        <w:t xml:space="preserve">The script is the most important evidence for forgery, however. It has similarities to </w:t>
      </w:r>
      <w:r w:rsidR="004538D7">
        <w:t xml:space="preserve">the </w:t>
      </w:r>
      <w:r>
        <w:t>hand</w:t>
      </w:r>
      <w:r w:rsidR="004538D7">
        <w:t xml:space="preserve">s of royal </w:t>
      </w:r>
      <w:r>
        <w:t>scribe</w:t>
      </w:r>
      <w:r w:rsidR="004538D7">
        <w:t>s</w:t>
      </w:r>
      <w:r>
        <w:t>,</w:t>
      </w:r>
      <w:r>
        <w:rPr>
          <w:rStyle w:val="FootnoteReference"/>
        </w:rPr>
        <w:footnoteReference w:id="16"/>
      </w:r>
      <w:r>
        <w:t xml:space="preserve"> but the overall impression is one of awkwardness and lack of fluency, as though the script was imitative of something rather than the scribe’s usual hand. This is particularly apparent in those penstrokes which have more the character of flourishes, and which occur especially on the capitals. For instance, the capital M in the witness-list for Miles of Gloucester, where the first penstroke is a minim but the next two penstrokes both descend substantially below the line and have different shapes; the first of these is more curved than the second. This is not how capital Ms were handled by the king’s scribes, for these rarely extended so far below the line, and often the descenders joined or nearly joined, instead of hanging awkwardly. Overall, the impression made by this hand it that the scribe was unused to charter hands, but was working from lost originals in the hands of royal scribes and imitating them as far as possible. </w:t>
      </w:r>
    </w:p>
    <w:p w14:paraId="1315219D" w14:textId="7A35C291" w:rsidR="00030CC9" w:rsidRDefault="00030CC9" w:rsidP="00907907">
      <w:pPr>
        <w:jc w:val="both"/>
      </w:pPr>
      <w:r>
        <w:t xml:space="preserve">The document is clearly a forgery, even if it seems to be based on authentic charters of Henry I. </w:t>
      </w:r>
      <w:r w:rsidR="00250557">
        <w:t xml:space="preserve">Yet, in this case, it is possible to </w:t>
      </w:r>
      <w:r w:rsidR="00FE315C">
        <w:t xml:space="preserve">fill in the background to the matters covered in the charter, and to infer what it was meant to achieve. There is a clear pattern in what is named in this document. The properties named are not just a list of possessions of Breamore </w:t>
      </w:r>
      <w:r w:rsidR="000A14E9">
        <w:t>p</w:t>
      </w:r>
      <w:r w:rsidR="00FE315C">
        <w:t>riory</w:t>
      </w:r>
      <w:r w:rsidR="004453D0">
        <w:t xml:space="preserve">, but nearly all also relate to </w:t>
      </w:r>
      <w:r w:rsidR="004538D7">
        <w:t xml:space="preserve">identifiable </w:t>
      </w:r>
      <w:r w:rsidR="004453D0">
        <w:t xml:space="preserve">disputes about properties. </w:t>
      </w:r>
    </w:p>
    <w:p w14:paraId="683CC8AB" w14:textId="77777777" w:rsidR="00D16D62" w:rsidRDefault="00D16D62" w:rsidP="00907907">
      <w:pPr>
        <w:jc w:val="both"/>
      </w:pPr>
    </w:p>
    <w:p w14:paraId="22E38E18" w14:textId="14380B23" w:rsidR="00D16D62" w:rsidRPr="0013337E" w:rsidRDefault="0013337E" w:rsidP="00907907">
      <w:pPr>
        <w:jc w:val="both"/>
        <w:rPr>
          <w:u w:val="single"/>
        </w:rPr>
      </w:pPr>
      <w:r>
        <w:rPr>
          <w:u w:val="single"/>
        </w:rPr>
        <w:t>W</w:t>
      </w:r>
      <w:r w:rsidRPr="0013337E">
        <w:rPr>
          <w:u w:val="single"/>
        </w:rPr>
        <w:t xml:space="preserve">hitsbury and the </w:t>
      </w:r>
      <w:r>
        <w:rPr>
          <w:u w:val="single"/>
        </w:rPr>
        <w:t>C</w:t>
      </w:r>
      <w:r w:rsidRPr="0013337E">
        <w:rPr>
          <w:u w:val="single"/>
        </w:rPr>
        <w:t xml:space="preserve">onfrontation with </w:t>
      </w:r>
      <w:r>
        <w:rPr>
          <w:u w:val="single"/>
        </w:rPr>
        <w:t>R</w:t>
      </w:r>
      <w:r w:rsidRPr="0013337E">
        <w:rPr>
          <w:u w:val="single"/>
        </w:rPr>
        <w:t xml:space="preserve">eading </w:t>
      </w:r>
      <w:r>
        <w:rPr>
          <w:u w:val="single"/>
        </w:rPr>
        <w:t>A</w:t>
      </w:r>
      <w:r w:rsidRPr="0013337E">
        <w:rPr>
          <w:u w:val="single"/>
        </w:rPr>
        <w:t>bbey</w:t>
      </w:r>
    </w:p>
    <w:p w14:paraId="1C865641" w14:textId="1BBCCBBB" w:rsidR="005230BE" w:rsidRPr="008B6702" w:rsidRDefault="005230BE" w:rsidP="00907907">
      <w:pPr>
        <w:jc w:val="both"/>
      </w:pPr>
      <w:r>
        <w:t xml:space="preserve">Among the </w:t>
      </w:r>
      <w:r w:rsidR="004538D7">
        <w:t xml:space="preserve">assets </w:t>
      </w:r>
      <w:r>
        <w:t xml:space="preserve">named in the forged charter was the church of Whitsbury. </w:t>
      </w:r>
      <w:r>
        <w:rPr>
          <w:rStyle w:val="normaltextrun"/>
          <w:rFonts w:ascii="Calibri" w:hAnsi="Calibri" w:cs="Calibri"/>
        </w:rPr>
        <w:t xml:space="preserve">Its owner in Henry I’s reign was one </w:t>
      </w:r>
      <w:r>
        <w:rPr>
          <w:rStyle w:val="spellingerror"/>
          <w:rFonts w:ascii="Calibri" w:hAnsi="Calibri" w:cs="Calibri"/>
        </w:rPr>
        <w:t>Ingelram</w:t>
      </w:r>
      <w:r>
        <w:rPr>
          <w:rStyle w:val="normaltextrun"/>
          <w:rFonts w:ascii="Calibri" w:hAnsi="Calibri" w:cs="Calibri"/>
        </w:rPr>
        <w:t xml:space="preserve"> </w:t>
      </w:r>
      <w:r>
        <w:rPr>
          <w:rStyle w:val="spellingerror"/>
          <w:rFonts w:ascii="Calibri" w:hAnsi="Calibri" w:cs="Calibri"/>
        </w:rPr>
        <w:t>Apostolicus</w:t>
      </w:r>
      <w:r>
        <w:rPr>
          <w:rStyle w:val="normaltextrun"/>
          <w:rFonts w:ascii="Calibri" w:hAnsi="Calibri" w:cs="Calibri"/>
        </w:rPr>
        <w:t>. According to the 1129</w:t>
      </w:r>
      <w:r w:rsidR="000813B4">
        <w:rPr>
          <w:rStyle w:val="normaltextrun"/>
          <w:rFonts w:ascii="Calibri" w:hAnsi="Calibri" w:cs="Calibri"/>
        </w:rPr>
        <w:t>–</w:t>
      </w:r>
      <w:r>
        <w:rPr>
          <w:rStyle w:val="normaltextrun"/>
          <w:rFonts w:ascii="Calibri" w:hAnsi="Calibri" w:cs="Calibri"/>
        </w:rPr>
        <w:t>30 Pipe Roll, he received exemption from geld in Wiltshire,</w:t>
      </w:r>
      <w:r>
        <w:rPr>
          <w:rStyle w:val="FootnoteReference"/>
          <w:rFonts w:ascii="Calibri" w:hAnsi="Calibri" w:cs="Calibri"/>
        </w:rPr>
        <w:footnoteReference w:id="17"/>
      </w:r>
      <w:r>
        <w:rPr>
          <w:rStyle w:val="normaltextrun"/>
          <w:rFonts w:ascii="Calibri" w:hAnsi="Calibri" w:cs="Calibri"/>
        </w:rPr>
        <w:t xml:space="preserve"> and this </w:t>
      </w:r>
      <w:r w:rsidR="00101389">
        <w:rPr>
          <w:rStyle w:val="normaltextrun"/>
          <w:rFonts w:ascii="Calibri" w:hAnsi="Calibri" w:cs="Calibri"/>
        </w:rPr>
        <w:t xml:space="preserve">presumably </w:t>
      </w:r>
      <w:r>
        <w:rPr>
          <w:rStyle w:val="normaltextrun"/>
          <w:rFonts w:ascii="Calibri" w:hAnsi="Calibri" w:cs="Calibri"/>
        </w:rPr>
        <w:t xml:space="preserve">refers to his lands at </w:t>
      </w:r>
      <w:r>
        <w:rPr>
          <w:rStyle w:val="spellingerror"/>
          <w:rFonts w:ascii="Calibri" w:hAnsi="Calibri" w:cs="Calibri"/>
        </w:rPr>
        <w:t>Whitsbury</w:t>
      </w:r>
      <w:r>
        <w:rPr>
          <w:rStyle w:val="normaltextrun"/>
          <w:rFonts w:ascii="Calibri" w:hAnsi="Calibri" w:cs="Calibri"/>
        </w:rPr>
        <w:t>. Breamore</w:t>
      </w:r>
      <w:r w:rsidR="000813B4">
        <w:rPr>
          <w:rStyle w:val="normaltextrun"/>
          <w:rFonts w:ascii="Calibri" w:hAnsi="Calibri" w:cs="Calibri"/>
        </w:rPr>
        <w:t>’s forgery</w:t>
      </w:r>
      <w:r>
        <w:rPr>
          <w:rStyle w:val="normaltextrun"/>
          <w:rFonts w:ascii="Calibri" w:hAnsi="Calibri" w:cs="Calibri"/>
        </w:rPr>
        <w:t xml:space="preserve"> claimed that he had given his land and church at </w:t>
      </w:r>
      <w:r>
        <w:rPr>
          <w:rStyle w:val="spellingerror"/>
          <w:rFonts w:ascii="Calibri" w:hAnsi="Calibri" w:cs="Calibri"/>
        </w:rPr>
        <w:t>Whitsbury</w:t>
      </w:r>
      <w:r>
        <w:rPr>
          <w:rStyle w:val="normaltextrun"/>
          <w:rFonts w:ascii="Calibri" w:hAnsi="Calibri" w:cs="Calibri"/>
        </w:rPr>
        <w:t xml:space="preserve"> to the canons</w:t>
      </w:r>
      <w:r w:rsidR="00886928">
        <w:rPr>
          <w:rStyle w:val="normaltextrun"/>
          <w:rFonts w:ascii="Calibri" w:hAnsi="Calibri" w:cs="Calibri"/>
        </w:rPr>
        <w:t>.</w:t>
      </w:r>
      <w:r>
        <w:rPr>
          <w:rStyle w:val="normaltextrun"/>
          <w:rFonts w:ascii="Calibri" w:hAnsi="Calibri" w:cs="Calibri"/>
        </w:rPr>
        <w:t xml:space="preserve"> </w:t>
      </w:r>
      <w:r w:rsidR="00101389">
        <w:rPr>
          <w:rStyle w:val="normaltextrun"/>
          <w:rFonts w:ascii="Calibri" w:hAnsi="Calibri" w:cs="Calibri"/>
        </w:rPr>
        <w:t>Yet, a</w:t>
      </w:r>
      <w:r>
        <w:rPr>
          <w:rStyle w:val="normaltextrun"/>
          <w:rFonts w:ascii="Calibri" w:hAnsi="Calibri" w:cs="Calibri"/>
        </w:rPr>
        <w:t xml:space="preserve">t some point in the early 1130s he chose to become a monk at </w:t>
      </w:r>
      <w:r>
        <w:rPr>
          <w:rStyle w:val="contextualspellingandgrammarerror"/>
          <w:rFonts w:ascii="Calibri" w:hAnsi="Calibri" w:cs="Calibri"/>
        </w:rPr>
        <w:t xml:space="preserve">Reading </w:t>
      </w:r>
      <w:r w:rsidR="000A14E9">
        <w:rPr>
          <w:rStyle w:val="contextualspellingandgrammarerror"/>
          <w:rFonts w:ascii="Calibri" w:hAnsi="Calibri" w:cs="Calibri"/>
        </w:rPr>
        <w:t>a</w:t>
      </w:r>
      <w:r>
        <w:rPr>
          <w:rStyle w:val="contextualspellingandgrammarerror"/>
          <w:rFonts w:ascii="Calibri" w:hAnsi="Calibri" w:cs="Calibri"/>
        </w:rPr>
        <w:t>bbey, and</w:t>
      </w:r>
      <w:r>
        <w:rPr>
          <w:rStyle w:val="normaltextrun"/>
          <w:rFonts w:ascii="Calibri" w:hAnsi="Calibri" w:cs="Calibri"/>
        </w:rPr>
        <w:t xml:space="preserve"> gave his church and land at </w:t>
      </w:r>
      <w:r>
        <w:rPr>
          <w:rStyle w:val="spellingerror"/>
          <w:rFonts w:ascii="Calibri" w:hAnsi="Calibri" w:cs="Calibri"/>
        </w:rPr>
        <w:t>Whitsbury</w:t>
      </w:r>
      <w:r>
        <w:rPr>
          <w:rStyle w:val="normaltextrun"/>
          <w:rFonts w:ascii="Calibri" w:hAnsi="Calibri" w:cs="Calibri"/>
        </w:rPr>
        <w:t xml:space="preserve"> to that </w:t>
      </w:r>
      <w:r w:rsidR="009B6EA1">
        <w:rPr>
          <w:rStyle w:val="normaltextrun"/>
          <w:rFonts w:ascii="Calibri" w:hAnsi="Calibri" w:cs="Calibri"/>
        </w:rPr>
        <w:t xml:space="preserve">church </w:t>
      </w:r>
      <w:r w:rsidR="00886928">
        <w:rPr>
          <w:rStyle w:val="normaltextrun"/>
          <w:rFonts w:ascii="Calibri" w:hAnsi="Calibri" w:cs="Calibri"/>
        </w:rPr>
        <w:t>instead</w:t>
      </w:r>
      <w:r>
        <w:rPr>
          <w:rStyle w:val="normaltextrun"/>
          <w:rFonts w:ascii="Calibri" w:hAnsi="Calibri" w:cs="Calibri"/>
        </w:rPr>
        <w:t>. His gift was confirmed by Henry I, Pope Innocent II, and King Stephen.</w:t>
      </w:r>
      <w:r>
        <w:rPr>
          <w:rStyle w:val="FootnoteReference"/>
          <w:rFonts w:ascii="Calibri" w:hAnsi="Calibri" w:cs="Calibri"/>
        </w:rPr>
        <w:footnoteReference w:id="18"/>
      </w:r>
      <w:r>
        <w:rPr>
          <w:rStyle w:val="normaltextrun"/>
          <w:rFonts w:ascii="Calibri" w:hAnsi="Calibri" w:cs="Calibri"/>
        </w:rPr>
        <w:t xml:space="preserve"> It seems likely that Reading came into possession of </w:t>
      </w:r>
      <w:r>
        <w:rPr>
          <w:rStyle w:val="spellingerror"/>
          <w:rFonts w:ascii="Calibri" w:hAnsi="Calibri" w:cs="Calibri"/>
        </w:rPr>
        <w:t>Ingelram’s</w:t>
      </w:r>
      <w:r>
        <w:rPr>
          <w:rStyle w:val="normaltextrun"/>
          <w:rFonts w:ascii="Calibri" w:hAnsi="Calibri" w:cs="Calibri"/>
        </w:rPr>
        <w:t xml:space="preserve"> holdings in </w:t>
      </w:r>
      <w:r>
        <w:rPr>
          <w:rStyle w:val="spellingerror"/>
          <w:rFonts w:ascii="Calibri" w:hAnsi="Calibri" w:cs="Calibri"/>
        </w:rPr>
        <w:t>Whitsbury</w:t>
      </w:r>
      <w:r>
        <w:rPr>
          <w:rStyle w:val="normaltextrun"/>
          <w:rFonts w:ascii="Calibri" w:hAnsi="Calibri" w:cs="Calibri"/>
        </w:rPr>
        <w:t>, for the abbey later held lands there.</w:t>
      </w:r>
      <w:r>
        <w:rPr>
          <w:rStyle w:val="FootnoteReference"/>
          <w:rFonts w:ascii="Calibri" w:hAnsi="Calibri" w:cs="Calibri"/>
        </w:rPr>
        <w:footnoteReference w:id="19"/>
      </w:r>
      <w:r>
        <w:rPr>
          <w:rStyle w:val="eop"/>
          <w:rFonts w:ascii="Calibri" w:hAnsi="Calibri" w:cs="Calibri"/>
        </w:rPr>
        <w:t> </w:t>
      </w:r>
      <w:r>
        <w:rPr>
          <w:rStyle w:val="normaltextrun"/>
          <w:rFonts w:ascii="Calibri" w:hAnsi="Calibri" w:cs="Calibri"/>
        </w:rPr>
        <w:t xml:space="preserve">Both religious houses thus had hopes or expectations that they would receive these holdings at </w:t>
      </w:r>
      <w:r>
        <w:rPr>
          <w:rStyle w:val="spellingerror"/>
          <w:rFonts w:ascii="Calibri" w:hAnsi="Calibri" w:cs="Calibri"/>
        </w:rPr>
        <w:t>Whitsbury</w:t>
      </w:r>
      <w:r>
        <w:rPr>
          <w:rStyle w:val="normaltextrun"/>
          <w:rFonts w:ascii="Calibri" w:hAnsi="Calibri" w:cs="Calibri"/>
        </w:rPr>
        <w:t>, and both prepared their archives to help to enforce those claims.</w:t>
      </w:r>
      <w:r>
        <w:rPr>
          <w:rStyle w:val="eop"/>
          <w:rFonts w:ascii="Calibri" w:hAnsi="Calibri" w:cs="Calibri"/>
        </w:rPr>
        <w:t> </w:t>
      </w:r>
      <w:r w:rsidR="00101389">
        <w:rPr>
          <w:rStyle w:val="eop"/>
          <w:rFonts w:ascii="Calibri" w:hAnsi="Calibri" w:cs="Calibri"/>
        </w:rPr>
        <w:t>Yet their claims were not equal</w:t>
      </w:r>
      <w:r w:rsidR="00624884">
        <w:rPr>
          <w:rStyle w:val="eop"/>
          <w:rFonts w:ascii="Calibri" w:hAnsi="Calibri" w:cs="Calibri"/>
        </w:rPr>
        <w:t>; Reading had seisin, and the idea that Ingelram had the right to grant it on becoming a monk.</w:t>
      </w:r>
    </w:p>
    <w:p w14:paraId="68A7AF04" w14:textId="606AE6C1" w:rsidR="005230BE" w:rsidRDefault="005230BE" w:rsidP="00907907">
      <w:pPr>
        <w:jc w:val="both"/>
        <w:rPr>
          <w:rStyle w:val="eop"/>
          <w:rFonts w:ascii="Calibri" w:hAnsi="Calibri" w:cs="Calibri"/>
        </w:rPr>
      </w:pPr>
      <w:r>
        <w:rPr>
          <w:rStyle w:val="normaltextrun"/>
          <w:rFonts w:ascii="Calibri" w:hAnsi="Calibri" w:cs="Calibri"/>
        </w:rPr>
        <w:t xml:space="preserve">Breamore included </w:t>
      </w:r>
      <w:r>
        <w:rPr>
          <w:rStyle w:val="spellingerror"/>
          <w:rFonts w:ascii="Calibri" w:hAnsi="Calibri" w:cs="Calibri"/>
        </w:rPr>
        <w:t>Whitsbury</w:t>
      </w:r>
      <w:r>
        <w:rPr>
          <w:rStyle w:val="normaltextrun"/>
          <w:rFonts w:ascii="Calibri" w:hAnsi="Calibri" w:cs="Calibri"/>
        </w:rPr>
        <w:t xml:space="preserve"> in the forged Henry I </w:t>
      </w:r>
      <w:r>
        <w:rPr>
          <w:rStyle w:val="contextualspellingandgrammarerror"/>
          <w:rFonts w:ascii="Calibri" w:hAnsi="Calibri" w:cs="Calibri"/>
        </w:rPr>
        <w:t>confirmation, and</w:t>
      </w:r>
      <w:r>
        <w:rPr>
          <w:rStyle w:val="normaltextrun"/>
          <w:rFonts w:ascii="Calibri" w:hAnsi="Calibri" w:cs="Calibri"/>
        </w:rPr>
        <w:t xml:space="preserve"> used this to obtain </w:t>
      </w:r>
      <w:r w:rsidR="000813B4">
        <w:rPr>
          <w:rStyle w:val="normaltextrun"/>
          <w:rFonts w:ascii="Calibri" w:hAnsi="Calibri" w:cs="Calibri"/>
        </w:rPr>
        <w:t>the</w:t>
      </w:r>
      <w:r>
        <w:rPr>
          <w:rStyle w:val="normaltextrun"/>
          <w:rFonts w:ascii="Calibri" w:hAnsi="Calibri" w:cs="Calibri"/>
        </w:rPr>
        <w:t xml:space="preserve"> genuine confirmation from Henry II, which brought royal authority to bear upon the dispute. Reading, meanwhile, may have forged to strengthen its claim. There are two confirmations in the name of Henry I, and their wording overlaps substantially.</w:t>
      </w:r>
      <w:r w:rsidR="004538D7">
        <w:rPr>
          <w:rStyle w:val="FootnoteReference"/>
          <w:rFonts w:ascii="Calibri" w:hAnsi="Calibri" w:cs="Calibri"/>
        </w:rPr>
        <w:footnoteReference w:id="20"/>
      </w:r>
      <w:r>
        <w:rPr>
          <w:rStyle w:val="normaltextrun"/>
          <w:rFonts w:ascii="Calibri" w:hAnsi="Calibri" w:cs="Calibri"/>
        </w:rPr>
        <w:t xml:space="preserve"> One of them adds a few words and phrases, and so might be regarded as an expanded version of the other, especially as the additions look significant in terms of the difference in views between Breamore and Reading. The additions include extra emphasis on </w:t>
      </w:r>
      <w:r>
        <w:rPr>
          <w:rStyle w:val="spellingerror"/>
          <w:rFonts w:ascii="Calibri" w:hAnsi="Calibri" w:cs="Calibri"/>
        </w:rPr>
        <w:t>Ingelram’s</w:t>
      </w:r>
      <w:r>
        <w:rPr>
          <w:rStyle w:val="normaltextrun"/>
          <w:rFonts w:ascii="Calibri" w:hAnsi="Calibri" w:cs="Calibri"/>
        </w:rPr>
        <w:t xml:space="preserve"> gift, where the monks were to hold ‘</w:t>
      </w:r>
      <w:r>
        <w:rPr>
          <w:rStyle w:val="spellingerror"/>
          <w:rFonts w:ascii="Calibri" w:hAnsi="Calibri" w:cs="Calibri"/>
        </w:rPr>
        <w:t>sicut</w:t>
      </w:r>
      <w:r>
        <w:rPr>
          <w:rStyle w:val="normaltextrun"/>
          <w:rFonts w:ascii="Calibri" w:hAnsi="Calibri" w:cs="Calibri"/>
        </w:rPr>
        <w:t xml:space="preserve"> </w:t>
      </w:r>
      <w:r>
        <w:rPr>
          <w:rStyle w:val="spellingerror"/>
          <w:rFonts w:ascii="Calibri" w:hAnsi="Calibri" w:cs="Calibri"/>
        </w:rPr>
        <w:t>Ingelramus</w:t>
      </w:r>
      <w:r>
        <w:rPr>
          <w:rStyle w:val="normaltextrun"/>
          <w:rFonts w:ascii="Calibri" w:hAnsi="Calibri" w:cs="Calibri"/>
        </w:rPr>
        <w:t xml:space="preserve"> </w:t>
      </w:r>
      <w:r>
        <w:rPr>
          <w:rStyle w:val="spellingerror"/>
          <w:rFonts w:ascii="Calibri" w:hAnsi="Calibri" w:cs="Calibri"/>
        </w:rPr>
        <w:t>eas</w:t>
      </w:r>
      <w:r>
        <w:rPr>
          <w:rStyle w:val="normaltextrun"/>
          <w:rFonts w:ascii="Calibri" w:hAnsi="Calibri" w:cs="Calibri"/>
        </w:rPr>
        <w:t xml:space="preserve"> </w:t>
      </w:r>
      <w:r>
        <w:rPr>
          <w:rStyle w:val="spellingerror"/>
          <w:rFonts w:ascii="Calibri" w:hAnsi="Calibri" w:cs="Calibri"/>
        </w:rPr>
        <w:t>ei</w:t>
      </w:r>
      <w:r>
        <w:rPr>
          <w:rStyle w:val="normaltextrun"/>
          <w:rFonts w:ascii="Calibri" w:hAnsi="Calibri" w:cs="Calibri"/>
        </w:rPr>
        <w:t xml:space="preserve"> </w:t>
      </w:r>
      <w:r>
        <w:rPr>
          <w:rStyle w:val="spellingerror"/>
          <w:rFonts w:ascii="Calibri" w:hAnsi="Calibri" w:cs="Calibri"/>
        </w:rPr>
        <w:t>dedit</w:t>
      </w:r>
      <w:r>
        <w:rPr>
          <w:rStyle w:val="normaltextrun"/>
          <w:rFonts w:ascii="Calibri" w:hAnsi="Calibri" w:cs="Calibri"/>
        </w:rPr>
        <w:t xml:space="preserve"> et </w:t>
      </w:r>
      <w:r>
        <w:rPr>
          <w:rStyle w:val="spellingerror"/>
          <w:rFonts w:ascii="Calibri" w:hAnsi="Calibri" w:cs="Calibri"/>
        </w:rPr>
        <w:t>concessit</w:t>
      </w:r>
      <w:r>
        <w:rPr>
          <w:rStyle w:val="normaltextrun"/>
          <w:rFonts w:ascii="Calibri" w:hAnsi="Calibri" w:cs="Calibri"/>
        </w:rPr>
        <w:t xml:space="preserve">/just as </w:t>
      </w:r>
      <w:r>
        <w:rPr>
          <w:rStyle w:val="spellingerror"/>
          <w:rFonts w:ascii="Calibri" w:hAnsi="Calibri" w:cs="Calibri"/>
        </w:rPr>
        <w:t>Ingelram</w:t>
      </w:r>
      <w:r>
        <w:rPr>
          <w:rStyle w:val="normaltextrun"/>
          <w:rFonts w:ascii="Calibri" w:hAnsi="Calibri" w:cs="Calibri"/>
        </w:rPr>
        <w:t xml:space="preserve"> gave and conceded them [rights in </w:t>
      </w:r>
      <w:r>
        <w:rPr>
          <w:rStyle w:val="spellingerror"/>
          <w:rFonts w:ascii="Calibri" w:hAnsi="Calibri" w:cs="Calibri"/>
        </w:rPr>
        <w:t>Whitsbury</w:t>
      </w:r>
      <w:r>
        <w:rPr>
          <w:rStyle w:val="normaltextrun"/>
          <w:rFonts w:ascii="Calibri" w:hAnsi="Calibri" w:cs="Calibri"/>
        </w:rPr>
        <w:t xml:space="preserve">] to it [i.e., Reading </w:t>
      </w:r>
      <w:r w:rsidR="000A14E9">
        <w:rPr>
          <w:rStyle w:val="normaltextrun"/>
          <w:rFonts w:ascii="Calibri" w:hAnsi="Calibri" w:cs="Calibri"/>
        </w:rPr>
        <w:t>a</w:t>
      </w:r>
      <w:r>
        <w:rPr>
          <w:rStyle w:val="normaltextrun"/>
          <w:rFonts w:ascii="Calibri" w:hAnsi="Calibri" w:cs="Calibri"/>
        </w:rPr>
        <w:t xml:space="preserve">bbey]’, and on Reading as the beneficiary, where the injunctive clause in the expanded version specifies that these rights would belong to Reading. The monks of Reading also obtained a writ from King Stephen datable between </w:t>
      </w:r>
      <w:r>
        <w:rPr>
          <w:rStyle w:val="normaltextrun"/>
          <w:rFonts w:ascii="Calibri" w:hAnsi="Calibri" w:cs="Calibri"/>
        </w:rPr>
        <w:lastRenderedPageBreak/>
        <w:t xml:space="preserve">1136 and 1140, which commanded that Reading’s interests at </w:t>
      </w:r>
      <w:r>
        <w:rPr>
          <w:rStyle w:val="spellingerror"/>
          <w:rFonts w:ascii="Calibri" w:hAnsi="Calibri" w:cs="Calibri"/>
        </w:rPr>
        <w:t>Whitsbury</w:t>
      </w:r>
      <w:r>
        <w:rPr>
          <w:rStyle w:val="normaltextrun"/>
          <w:rFonts w:ascii="Calibri" w:hAnsi="Calibri" w:cs="Calibri"/>
        </w:rPr>
        <w:t xml:space="preserve"> should be free of pleas and other nuisances, which hints that Breamore was acting against Reading at that point.</w:t>
      </w:r>
      <w:r>
        <w:rPr>
          <w:rStyle w:val="FootnoteReference"/>
          <w:rFonts w:ascii="Calibri" w:hAnsi="Calibri" w:cs="Calibri"/>
        </w:rPr>
        <w:footnoteReference w:id="21"/>
      </w:r>
      <w:r>
        <w:rPr>
          <w:rStyle w:val="eop"/>
          <w:rFonts w:ascii="Calibri" w:hAnsi="Calibri" w:cs="Calibri"/>
        </w:rPr>
        <w:t> </w:t>
      </w:r>
    </w:p>
    <w:p w14:paraId="56C17431" w14:textId="301A97D2" w:rsidR="00BF5DFA" w:rsidRDefault="00BF5DFA" w:rsidP="00907907">
      <w:pPr>
        <w:jc w:val="both"/>
        <w:rPr>
          <w:rFonts w:ascii="Segoe UI" w:hAnsi="Segoe UI" w:cs="Segoe UI"/>
          <w:sz w:val="18"/>
          <w:szCs w:val="18"/>
        </w:rPr>
      </w:pPr>
      <w:r>
        <w:rPr>
          <w:rStyle w:val="eop"/>
          <w:rFonts w:ascii="Calibri" w:hAnsi="Calibri" w:cs="Calibri"/>
        </w:rPr>
        <w:t xml:space="preserve">This dispute was settled by political means rather than </w:t>
      </w:r>
      <w:r w:rsidR="008B6702">
        <w:rPr>
          <w:rStyle w:val="eop"/>
          <w:rFonts w:ascii="Calibri" w:hAnsi="Calibri" w:cs="Calibri"/>
        </w:rPr>
        <w:t>legal debate</w:t>
      </w:r>
      <w:r>
        <w:rPr>
          <w:rStyle w:val="eop"/>
          <w:rFonts w:ascii="Calibri" w:hAnsi="Calibri" w:cs="Calibri"/>
        </w:rPr>
        <w:t xml:space="preserve">. In 1164 </w:t>
      </w:r>
      <w:r w:rsidRPr="00F52375">
        <w:rPr>
          <w:rStyle w:val="normaltextrun"/>
          <w:rFonts w:ascii="Calibri" w:hAnsi="Calibri" w:cs="Calibri"/>
        </w:rPr>
        <w:t xml:space="preserve">Henry II asked the abbot of Reading to grant the church of </w:t>
      </w:r>
      <w:r w:rsidRPr="00F52375">
        <w:rPr>
          <w:rStyle w:val="spellingerror"/>
          <w:rFonts w:ascii="Calibri" w:hAnsi="Calibri" w:cs="Calibri"/>
        </w:rPr>
        <w:t>Whitsbury</w:t>
      </w:r>
      <w:r w:rsidRPr="00F52375">
        <w:rPr>
          <w:rStyle w:val="normaltextrun"/>
          <w:rFonts w:ascii="Calibri" w:hAnsi="Calibri" w:cs="Calibri"/>
        </w:rPr>
        <w:t xml:space="preserve"> to Breamore, and in exchange the monks of Reading would receive an annual render of five pounds of incense, and an oath of fealty from successive priors of Breamore, like those given by the abbey’s clergy </w:t>
      </w:r>
      <w:r w:rsidR="008C4770">
        <w:rPr>
          <w:rStyle w:val="normaltextrun"/>
          <w:rFonts w:ascii="Calibri" w:hAnsi="Calibri" w:cs="Calibri"/>
        </w:rPr>
        <w:t xml:space="preserve">for their </w:t>
      </w:r>
      <w:r w:rsidRPr="00F52375">
        <w:rPr>
          <w:rStyle w:val="normaltextrun"/>
          <w:rFonts w:ascii="Calibri" w:hAnsi="Calibri" w:cs="Calibri"/>
        </w:rPr>
        <w:t>churches.</w:t>
      </w:r>
      <w:r w:rsidRPr="00F52375">
        <w:rPr>
          <w:rStyle w:val="FootnoteReference"/>
          <w:rFonts w:ascii="Calibri" w:hAnsi="Calibri" w:cs="Calibri"/>
        </w:rPr>
        <w:footnoteReference w:id="22"/>
      </w:r>
      <w:r w:rsidRPr="00F52375">
        <w:rPr>
          <w:rStyle w:val="normaltextrun"/>
          <w:rFonts w:ascii="Calibri" w:hAnsi="Calibri" w:cs="Calibri"/>
        </w:rPr>
        <w:t xml:space="preserve"> This settlement only involved the church, and </w:t>
      </w:r>
      <w:r w:rsidR="008C4770">
        <w:rPr>
          <w:rStyle w:val="normaltextrun"/>
          <w:rFonts w:ascii="Calibri" w:hAnsi="Calibri" w:cs="Calibri"/>
        </w:rPr>
        <w:t xml:space="preserve">Reading kept its </w:t>
      </w:r>
      <w:r w:rsidRPr="00F52375">
        <w:rPr>
          <w:rStyle w:val="normaltextrun"/>
          <w:rFonts w:ascii="Calibri" w:hAnsi="Calibri" w:cs="Calibri"/>
        </w:rPr>
        <w:t xml:space="preserve">landed interests in </w:t>
      </w:r>
      <w:r w:rsidRPr="00F52375">
        <w:rPr>
          <w:rStyle w:val="spellingerror"/>
          <w:rFonts w:ascii="Calibri" w:hAnsi="Calibri" w:cs="Calibri"/>
        </w:rPr>
        <w:t>Whitsbury</w:t>
      </w:r>
      <w:r w:rsidRPr="00F52375">
        <w:rPr>
          <w:rStyle w:val="normaltextrun"/>
          <w:rFonts w:ascii="Calibri" w:hAnsi="Calibri" w:cs="Calibri"/>
        </w:rPr>
        <w:t xml:space="preserve">. </w:t>
      </w:r>
      <w:r w:rsidR="00F52375">
        <w:rPr>
          <w:rStyle w:val="normaltextrun"/>
          <w:rFonts w:ascii="Calibri" w:hAnsi="Calibri" w:cs="Calibri"/>
        </w:rPr>
        <w:t xml:space="preserve">This outcome has to affect how the forged charter should be read. It was not used in any formal </w:t>
      </w:r>
      <w:r w:rsidR="000813B4">
        <w:rPr>
          <w:rStyle w:val="normaltextrun"/>
          <w:rFonts w:ascii="Calibri" w:hAnsi="Calibri" w:cs="Calibri"/>
        </w:rPr>
        <w:t>litigation</w:t>
      </w:r>
      <w:r w:rsidR="00F52375">
        <w:rPr>
          <w:rStyle w:val="normaltextrun"/>
          <w:rFonts w:ascii="Calibri" w:hAnsi="Calibri" w:cs="Calibri"/>
        </w:rPr>
        <w:t xml:space="preserve">, but rather was part of an attempt to gather the goodwill of Henry II, and bring Breamore’s poverty to his attention. The whole process was carried out over a short span of time, so that, remarkably, Bishop Henry of Winchester was both named in the forgery and lived long enough to attest the 1164 settlement. </w:t>
      </w:r>
    </w:p>
    <w:p w14:paraId="4B896E6C" w14:textId="77777777" w:rsidR="00886928" w:rsidRDefault="00886928" w:rsidP="00907907">
      <w:pPr>
        <w:jc w:val="both"/>
      </w:pPr>
    </w:p>
    <w:p w14:paraId="1F537815" w14:textId="16FC007C" w:rsidR="001D5817" w:rsidRPr="0013337E" w:rsidRDefault="0013337E" w:rsidP="00907907">
      <w:pPr>
        <w:jc w:val="both"/>
        <w:rPr>
          <w:u w:val="single"/>
        </w:rPr>
      </w:pPr>
      <w:r>
        <w:rPr>
          <w:u w:val="single"/>
        </w:rPr>
        <w:t>S</w:t>
      </w:r>
      <w:r w:rsidRPr="0013337E">
        <w:rPr>
          <w:u w:val="single"/>
        </w:rPr>
        <w:t xml:space="preserve">opley and the </w:t>
      </w:r>
      <w:r>
        <w:rPr>
          <w:u w:val="single"/>
        </w:rPr>
        <w:t>C</w:t>
      </w:r>
      <w:r w:rsidRPr="0013337E">
        <w:rPr>
          <w:u w:val="single"/>
        </w:rPr>
        <w:t xml:space="preserve">onflict with </w:t>
      </w:r>
      <w:r>
        <w:rPr>
          <w:u w:val="single"/>
        </w:rPr>
        <w:t>C</w:t>
      </w:r>
      <w:r w:rsidRPr="0013337E">
        <w:rPr>
          <w:u w:val="single"/>
        </w:rPr>
        <w:t xml:space="preserve">hristchurch </w:t>
      </w:r>
      <w:r>
        <w:rPr>
          <w:u w:val="single"/>
        </w:rPr>
        <w:t>P</w:t>
      </w:r>
      <w:r w:rsidRPr="0013337E">
        <w:rPr>
          <w:u w:val="single"/>
        </w:rPr>
        <w:t>riory</w:t>
      </w:r>
    </w:p>
    <w:p w14:paraId="31AD934B" w14:textId="75DA775A" w:rsidR="001D5817" w:rsidRDefault="001D5817" w:rsidP="00907907">
      <w:pPr>
        <w:jc w:val="both"/>
      </w:pPr>
      <w:r>
        <w:t>According to th</w:t>
      </w:r>
      <w:r w:rsidR="00B077FD">
        <w:t>e forged</w:t>
      </w:r>
      <w:r>
        <w:t xml:space="preserve"> charter, Sopley church had been given to Breamore by one Orricus, and </w:t>
      </w:r>
      <w:r w:rsidR="000813B4">
        <w:t xml:space="preserve">it </w:t>
      </w:r>
      <w:r>
        <w:t xml:space="preserve">unusually cites charters of Henry, bishop of Winchester, and Baldwin de Redvers, earl of Devon, which had confirmed this gift. These documents do not survive. Breamore’s interest in Sopley church was contested by Christchurch </w:t>
      </w:r>
      <w:r w:rsidR="000A14E9">
        <w:t>p</w:t>
      </w:r>
      <w:r>
        <w:t xml:space="preserve">riory. It was among the assets confirmed to </w:t>
      </w:r>
      <w:r w:rsidR="00B077FD">
        <w:t>Christ</w:t>
      </w:r>
      <w:r>
        <w:t>church by successive generations of the de Redvers family,</w:t>
      </w:r>
      <w:r>
        <w:rPr>
          <w:rStyle w:val="FootnoteReference"/>
        </w:rPr>
        <w:footnoteReference w:id="23"/>
      </w:r>
      <w:r>
        <w:t xml:space="preserve"> and by Pope Eugenius III in 1152.</w:t>
      </w:r>
      <w:r>
        <w:rPr>
          <w:rStyle w:val="FootnoteReference"/>
        </w:rPr>
        <w:footnoteReference w:id="24"/>
      </w:r>
      <w:r>
        <w:t xml:space="preserve"> In these it is sometimes called a church and sometimes a chapel, and there is an unstated point about its status; it is associated with the churches and chapels which were subject to Christchurch as part of its </w:t>
      </w:r>
      <w:r w:rsidRPr="003D23F9">
        <w:rPr>
          <w:i/>
          <w:iCs/>
        </w:rPr>
        <w:t>parochia</w:t>
      </w:r>
      <w:r>
        <w:t xml:space="preserve"> as a minster.</w:t>
      </w:r>
      <w:r>
        <w:rPr>
          <w:rStyle w:val="FootnoteReference"/>
        </w:rPr>
        <w:footnoteReference w:id="25"/>
      </w:r>
      <w:r>
        <w:t xml:space="preserve"> This meant that</w:t>
      </w:r>
      <w:r w:rsidR="000A4B39">
        <w:t>, according to Christchurch,</w:t>
      </w:r>
      <w:r>
        <w:t xml:space="preserve"> it lacked the full position of </w:t>
      </w:r>
      <w:r w:rsidR="00C3509F">
        <w:t xml:space="preserve">a </w:t>
      </w:r>
      <w:r>
        <w:t>parish church, and it owed dues to Christchurch as the local minster. Sopley is named among the churches whose parishioners had to go to Christchurch each year, on Ascension day or the Sunday following, as a token of subjection.</w:t>
      </w:r>
      <w:r>
        <w:rPr>
          <w:rStyle w:val="FootnoteReference"/>
        </w:rPr>
        <w:footnoteReference w:id="26"/>
      </w:r>
      <w:r>
        <w:t xml:space="preserve"> Elsewhere, minsters lost many of their dependent churches as lords of villages claimed rights over them and gave them away to other religious houses</w:t>
      </w:r>
      <w:r w:rsidR="004538D7">
        <w:t xml:space="preserve"> in exchange for prayers and commemoration</w:t>
      </w:r>
      <w:r w:rsidR="00B077FD">
        <w:t>. P</w:t>
      </w:r>
      <w:r>
        <w:t xml:space="preserve">resumably </w:t>
      </w:r>
      <w:r w:rsidR="00B077FD">
        <w:t xml:space="preserve">this </w:t>
      </w:r>
      <w:r w:rsidR="00B61AC2">
        <w:t xml:space="preserve">is </w:t>
      </w:r>
      <w:r>
        <w:t xml:space="preserve">what Orricus </w:t>
      </w:r>
      <w:r w:rsidR="00B077FD">
        <w:t>wan</w:t>
      </w:r>
      <w:r>
        <w:t xml:space="preserve">ted to do at Sopley. </w:t>
      </w:r>
    </w:p>
    <w:p w14:paraId="563E4F60" w14:textId="0C835799" w:rsidR="001D5817" w:rsidRDefault="009D5BEB" w:rsidP="00907907">
      <w:pPr>
        <w:jc w:val="both"/>
      </w:pPr>
      <w:r>
        <w:t xml:space="preserve">The dispute between the two churches was </w:t>
      </w:r>
      <w:r w:rsidR="00744783">
        <w:t xml:space="preserve">heard at a </w:t>
      </w:r>
      <w:r>
        <w:t>Winchester diocesan synod.</w:t>
      </w:r>
      <w:r w:rsidR="00400A68">
        <w:t xml:space="preserve"> </w:t>
      </w:r>
      <w:r>
        <w:t xml:space="preserve">Hilary, </w:t>
      </w:r>
      <w:r w:rsidR="00744783">
        <w:t xml:space="preserve">dean of Christchurch, and </w:t>
      </w:r>
      <w:r>
        <w:t>later bishop of Chichester, used old documents and the testimony of the locals to prove Christchurch’s claim.</w:t>
      </w:r>
      <w:r>
        <w:rPr>
          <w:rStyle w:val="FootnoteReference"/>
        </w:rPr>
        <w:footnoteReference w:id="27"/>
      </w:r>
      <w:r>
        <w:t xml:space="preserve"> The synod then gave judgement against the charter that Bishop Henry had given to Breamore, stripping it of all authority. Despite the judgement, it seems that </w:t>
      </w:r>
      <w:r w:rsidR="00744783">
        <w:t xml:space="preserve">it </w:t>
      </w:r>
      <w:r w:rsidR="004538D7">
        <w:t xml:space="preserve">remained in </w:t>
      </w:r>
      <w:r>
        <w:t>exist</w:t>
      </w:r>
      <w:r w:rsidR="004538D7">
        <w:t>ence</w:t>
      </w:r>
      <w:r>
        <w:t xml:space="preserve">. Some years later, Bishop Henry wrote a letter which was meant to </w:t>
      </w:r>
      <w:r>
        <w:lastRenderedPageBreak/>
        <w:t xml:space="preserve">discredit it. That this letter was written points to how the dispute was reopening </w:t>
      </w:r>
      <w:r w:rsidR="001D5817">
        <w:t>between 1169 and 1171:</w:t>
      </w:r>
      <w:r w:rsidR="001D5817">
        <w:rPr>
          <w:rStyle w:val="FootnoteReference"/>
        </w:rPr>
        <w:footnoteReference w:id="28"/>
      </w:r>
      <w:r w:rsidR="001D5817">
        <w:t xml:space="preserve"> </w:t>
      </w:r>
    </w:p>
    <w:p w14:paraId="2F77FB1B" w14:textId="1CBF4A4F" w:rsidR="001D5817" w:rsidRPr="001314AF" w:rsidRDefault="001D5817" w:rsidP="00907907">
      <w:pPr>
        <w:ind w:left="284"/>
        <w:jc w:val="both"/>
      </w:pPr>
      <w:r w:rsidRPr="001314AF">
        <w:t xml:space="preserve">May all of you know that about the time of our promotion, when a certain knight by the name of Orricus said that he was himself the advocate of the church of Sopley and asked that the canons of Breamore be </w:t>
      </w:r>
      <w:r w:rsidR="00B077FD">
        <w:t>induct</w:t>
      </w:r>
      <w:r w:rsidRPr="001314AF">
        <w:t>ed into it, we at his presentation, even though this was not true, through ignorance of the relevant facts, assigned the church to the said canons, and unjustly deprived Christchurch, as became apparent later, and confirmed to the canons by our charter. … We cancel and dismiss that charter by the sentence of our synod.</w:t>
      </w:r>
    </w:p>
    <w:p w14:paraId="5AA731B9" w14:textId="01BC2903" w:rsidR="0098135E" w:rsidRDefault="001D5817" w:rsidP="00907907">
      <w:pPr>
        <w:jc w:val="both"/>
      </w:pPr>
      <w:r>
        <w:t xml:space="preserve">Someone, </w:t>
      </w:r>
      <w:r w:rsidR="000813B4">
        <w:t>perhaps representing Breamore</w:t>
      </w:r>
      <w:r>
        <w:t xml:space="preserve">, obtained a mandate from Pope Alexander III to Bishop Bartholomew of Exeter to hear and determine the </w:t>
      </w:r>
      <w:r w:rsidR="004538D7">
        <w:t xml:space="preserve">same </w:t>
      </w:r>
      <w:r>
        <w:t>case as papal judge-delegate.</w:t>
      </w:r>
      <w:r>
        <w:rPr>
          <w:rStyle w:val="FootnoteReference"/>
        </w:rPr>
        <w:footnoteReference w:id="29"/>
      </w:r>
      <w:r>
        <w:t xml:space="preserve"> Bartholomew proceeded to make a settlement between 1171 and 1173 which allowed something to both sides. Christchurch was to have the church of Sopley as it claimed, but was also bound to pay an annuity of forty pounds of wax to Breamore as a form of limited compensation. This agreement was supported by unusually rigorous guarantees. Prior Gardinus of Breamore had to pledge that he would not re-open the dispute, placing his hands between those of Bishop Bartholomew; he also had to agree to hand over those items among Breamore’s records which supported its claim over Sopley church, though he could keep those documents which named Sopley among other claims of Breamore </w:t>
      </w:r>
      <w:r w:rsidR="000A14E9">
        <w:t>p</w:t>
      </w:r>
      <w:r>
        <w:t xml:space="preserve">riory. </w:t>
      </w:r>
      <w:r w:rsidR="004538D7">
        <w:t xml:space="preserve">This must be why the Henry I forgery survives. </w:t>
      </w:r>
    </w:p>
    <w:p w14:paraId="13F080FF" w14:textId="126ADC10" w:rsidR="001D5817" w:rsidRDefault="001D5817" w:rsidP="00907907">
      <w:pPr>
        <w:jc w:val="both"/>
      </w:pPr>
      <w:r>
        <w:t>If this settlement largely ended the dispute between the two priories, there remained some outstanding questions in Sopley</w:t>
      </w:r>
      <w:r w:rsidR="009D5BEB">
        <w:t>, for Bishop Bartholomew’s settlement only covered the church</w:t>
      </w:r>
      <w:r>
        <w:t xml:space="preserve">. The forged charter of Henry I and the confirmation of Henry II </w:t>
      </w:r>
      <w:r w:rsidR="00532428">
        <w:t xml:space="preserve">mention </w:t>
      </w:r>
      <w:r>
        <w:t xml:space="preserve">some assets in land alongside the church; a virgate of land and six acres of meadow. Those two charters present these holdings as a separate item from the church, but this is an </w:t>
      </w:r>
      <w:r w:rsidRPr="004538D7">
        <w:rPr>
          <w:i/>
          <w:iCs/>
        </w:rPr>
        <w:t>ex parte</w:t>
      </w:r>
      <w:r>
        <w:t xml:space="preserve"> interpretation of their relationship. It allowed Breamore to keep hold of them when the church was finally passed to Christchurch. </w:t>
      </w:r>
      <w:r w:rsidR="00532428">
        <w:t>T</w:t>
      </w:r>
      <w:r>
        <w:t xml:space="preserve">he canons of Christchurch did not </w:t>
      </w:r>
      <w:r w:rsidR="00532428">
        <w:t>agree</w:t>
      </w:r>
      <w:r>
        <w:t>. Their cartulary contains a charter in the name of Roger of Staunton, son of the Orricus whose grant of the church had started this dispute, which stated that his grandfather, Orricus’s father, had given that virgate to the church of Sopley</w:t>
      </w:r>
      <w:r w:rsidR="00B077FD">
        <w:t xml:space="preserve"> and therefore to Christchurch</w:t>
      </w:r>
      <w:r>
        <w:t>.</w:t>
      </w:r>
      <w:r>
        <w:rPr>
          <w:rStyle w:val="FootnoteReference"/>
        </w:rPr>
        <w:footnoteReference w:id="30"/>
      </w:r>
      <w:r>
        <w:t xml:space="preserve"> This issue is not mentioned in the litigation, and there is good evidence that Breamore retained some lands in Sopley parish.</w:t>
      </w:r>
      <w:r>
        <w:rPr>
          <w:rStyle w:val="FootnoteReference"/>
        </w:rPr>
        <w:footnoteReference w:id="31"/>
      </w:r>
      <w:r>
        <w:t xml:space="preserve"> These holdings remained a source of controversy, and the tithes arising from those lands were litigated over into the thirteenth century.</w:t>
      </w:r>
      <w:r>
        <w:rPr>
          <w:rStyle w:val="FootnoteReference"/>
        </w:rPr>
        <w:footnoteReference w:id="32"/>
      </w:r>
      <w:r>
        <w:t xml:space="preserve"> Yet the most remarkable evidence for the continuity of this grudge over Sopley is the </w:t>
      </w:r>
      <w:r w:rsidR="0051058D">
        <w:t xml:space="preserve">survival </w:t>
      </w:r>
      <w:r>
        <w:t>of a forged charter which could have reopened the whole dispute. It is in the name of Orricus of Staunton, the originator of the whole dispute, and grants</w:t>
      </w:r>
      <w:r w:rsidR="0098135E">
        <w:t xml:space="preserve"> </w:t>
      </w:r>
      <w:r>
        <w:t>to the canons of Breamore the church of Sopley in free alms</w:t>
      </w:r>
      <w:r w:rsidR="004538D7">
        <w:t>.</w:t>
      </w:r>
      <w:r>
        <w:rPr>
          <w:rStyle w:val="FootnoteReference"/>
        </w:rPr>
        <w:footnoteReference w:id="33"/>
      </w:r>
      <w:r>
        <w:t xml:space="preserve"> It cannot be genuine, for it is written in an awkward script of </w:t>
      </w:r>
      <w:r w:rsidR="00B077FD">
        <w:t>the later twelfth century</w:t>
      </w:r>
      <w:r>
        <w:t xml:space="preserve">, which may be an attempt at an archaising hand. This document was never used, so far as can be seen, but presumably remained in the Breamore archive as a threat against the canons of Christchurch. </w:t>
      </w:r>
    </w:p>
    <w:p w14:paraId="4A15E73D" w14:textId="2B67C015" w:rsidR="0071003D" w:rsidRPr="009D5BEB" w:rsidRDefault="00C649D0" w:rsidP="00907907">
      <w:pPr>
        <w:jc w:val="both"/>
        <w:rPr>
          <w:rStyle w:val="normaltextrun"/>
          <w:rFonts w:cs="Calibri"/>
        </w:rPr>
      </w:pPr>
      <w:r w:rsidRPr="009D5BEB">
        <w:rPr>
          <w:rStyle w:val="normaltextrun"/>
          <w:rFonts w:cs="Calibri"/>
        </w:rPr>
        <w:lastRenderedPageBreak/>
        <w:t xml:space="preserve">This dispute was clearly a complex one, and can be read in more than one way. </w:t>
      </w:r>
      <w:r w:rsidR="00400A68">
        <w:rPr>
          <w:rStyle w:val="normaltextrun"/>
          <w:rFonts w:cs="Calibri"/>
        </w:rPr>
        <w:t>In the general confirmation for Christchurch given by Baldwin de Redvers, Or</w:t>
      </w:r>
      <w:r w:rsidR="00A84F45">
        <w:rPr>
          <w:rStyle w:val="normaltextrun"/>
          <w:rFonts w:cs="Calibri"/>
        </w:rPr>
        <w:t>r</w:t>
      </w:r>
      <w:r w:rsidR="00400A68">
        <w:rPr>
          <w:rStyle w:val="normaltextrun"/>
          <w:rFonts w:cs="Calibri"/>
        </w:rPr>
        <w:t>icus was blamed for all this, and the loss of Christchurch’s interests in Sopley was attributed to him; it does not mention Breamore.</w:t>
      </w:r>
      <w:r w:rsidR="00400A68">
        <w:rPr>
          <w:rStyle w:val="FootnoteReference"/>
          <w:rFonts w:cs="Calibri"/>
        </w:rPr>
        <w:footnoteReference w:id="34"/>
      </w:r>
      <w:r w:rsidR="00400A68">
        <w:rPr>
          <w:rStyle w:val="normaltextrun"/>
          <w:rFonts w:cs="Calibri"/>
        </w:rPr>
        <w:t xml:space="preserve"> </w:t>
      </w:r>
      <w:r w:rsidRPr="009D5BEB">
        <w:rPr>
          <w:rStyle w:val="normaltextrun"/>
          <w:rFonts w:cs="Calibri"/>
        </w:rPr>
        <w:t xml:space="preserve">Breamore was the beneficiary of Orricus’s gift, and presumably complicit in his decisions. Who actually drove this remains unclear. </w:t>
      </w:r>
    </w:p>
    <w:p w14:paraId="6C25D691" w14:textId="77777777" w:rsidR="005230BE" w:rsidRDefault="005230BE" w:rsidP="00907907">
      <w:pPr>
        <w:jc w:val="both"/>
      </w:pPr>
    </w:p>
    <w:p w14:paraId="7464735C" w14:textId="3A2F497E" w:rsidR="00FE51B8" w:rsidRPr="0013337E" w:rsidRDefault="0013337E" w:rsidP="00907907">
      <w:pPr>
        <w:jc w:val="both"/>
        <w:rPr>
          <w:u w:val="single"/>
        </w:rPr>
      </w:pPr>
      <w:r>
        <w:rPr>
          <w:u w:val="single"/>
        </w:rPr>
        <w:t>S</w:t>
      </w:r>
      <w:r w:rsidRPr="0013337E">
        <w:rPr>
          <w:u w:val="single"/>
        </w:rPr>
        <w:t xml:space="preserve">tanpit and </w:t>
      </w:r>
      <w:r>
        <w:rPr>
          <w:u w:val="single"/>
        </w:rPr>
        <w:t>A</w:t>
      </w:r>
      <w:r w:rsidRPr="0013337E">
        <w:rPr>
          <w:u w:val="single"/>
        </w:rPr>
        <w:t xml:space="preserve">nother </w:t>
      </w:r>
      <w:r>
        <w:rPr>
          <w:u w:val="single"/>
        </w:rPr>
        <w:t>C</w:t>
      </w:r>
      <w:r w:rsidRPr="0013337E">
        <w:rPr>
          <w:u w:val="single"/>
        </w:rPr>
        <w:t xml:space="preserve">laim against </w:t>
      </w:r>
      <w:r>
        <w:rPr>
          <w:u w:val="single"/>
        </w:rPr>
        <w:t>C</w:t>
      </w:r>
      <w:r w:rsidRPr="0013337E">
        <w:rPr>
          <w:u w:val="single"/>
        </w:rPr>
        <w:t>hristchurch</w:t>
      </w:r>
    </w:p>
    <w:p w14:paraId="4CAA9592" w14:textId="12A2054C" w:rsidR="00FE51B8" w:rsidRDefault="00FE51B8" w:rsidP="00907907">
      <w:pPr>
        <w:jc w:val="both"/>
      </w:pPr>
      <w:r>
        <w:t xml:space="preserve">The canons </w:t>
      </w:r>
      <w:r w:rsidR="00B077FD">
        <w:t xml:space="preserve">of Breamore </w:t>
      </w:r>
      <w:r>
        <w:t xml:space="preserve">claimed </w:t>
      </w:r>
      <w:r w:rsidR="00B077FD">
        <w:t xml:space="preserve">in their forged charter </w:t>
      </w:r>
      <w:r>
        <w:t xml:space="preserve">three hides of land in Stanpit, </w:t>
      </w:r>
      <w:r w:rsidR="000813B4">
        <w:t xml:space="preserve">across </w:t>
      </w:r>
      <w:r>
        <w:t>the River Avon from Christchurch and its priory.</w:t>
      </w:r>
      <w:r>
        <w:rPr>
          <w:rStyle w:val="FootnoteReference"/>
        </w:rPr>
        <w:footnoteReference w:id="35"/>
      </w:r>
      <w:r>
        <w:t xml:space="preserve">  </w:t>
      </w:r>
      <w:r w:rsidR="004C1EBB">
        <w:t>T</w:t>
      </w:r>
      <w:r>
        <w:t xml:space="preserve">hey claimed to hold it through the gift of Wicius the falconer, with the confirmation of Earl Baldwin of Devon. Once again, the claim to this land was contentious, for it was also claimed by the canons of Christchurch. In the Breamore charter the three hides are presented as a unit, but this </w:t>
      </w:r>
      <w:r w:rsidR="004538D7">
        <w:t>wa</w:t>
      </w:r>
      <w:r>
        <w:t xml:space="preserve">s an </w:t>
      </w:r>
      <w:r w:rsidRPr="004538D7">
        <w:rPr>
          <w:i/>
          <w:iCs/>
        </w:rPr>
        <w:t>ex parte</w:t>
      </w:r>
      <w:r>
        <w:t xml:space="preserve"> view; Christchurch approached them as two separate holdings and litigated about them individually, as a one-hide holding and a two-hide holding. </w:t>
      </w:r>
    </w:p>
    <w:p w14:paraId="5DB187C5" w14:textId="43776232" w:rsidR="004C1EBB" w:rsidRDefault="00FE51B8" w:rsidP="00907907">
      <w:pPr>
        <w:jc w:val="both"/>
      </w:pPr>
      <w:r>
        <w:t>The one-hide holding was, according to documents in the Christchurch cartulary, given to that house by Adelin</w:t>
      </w:r>
      <w:r w:rsidR="00142332">
        <w:t>a</w:t>
      </w:r>
      <w:r>
        <w:t xml:space="preserve"> of Stanpit with some other lands.</w:t>
      </w:r>
      <w:r>
        <w:rPr>
          <w:rStyle w:val="FootnoteReference"/>
        </w:rPr>
        <w:footnoteReference w:id="36"/>
      </w:r>
      <w:r>
        <w:t xml:space="preserve"> A confirmation of this gift by Wyso, Adelin</w:t>
      </w:r>
      <w:r w:rsidR="00142332">
        <w:t>a</w:t>
      </w:r>
      <w:r>
        <w:t xml:space="preserve">’s husband and </w:t>
      </w:r>
      <w:r w:rsidR="003E5306">
        <w:t xml:space="preserve">presumably the same as </w:t>
      </w:r>
      <w:r>
        <w:t>the Wicius who had allegedly given this to Breamore, further explains that it had been given to Adelin</w:t>
      </w:r>
      <w:r w:rsidR="00142332">
        <w:t>a</w:t>
      </w:r>
      <w:r>
        <w:t xml:space="preserve"> by her father Aluric Parvus as a dowry; Aluric in turn had acquired it as a pledge for a loan from Peter, dean of Christchurch.</w:t>
      </w:r>
      <w:r>
        <w:rPr>
          <w:rStyle w:val="FootnoteReference"/>
        </w:rPr>
        <w:footnoteReference w:id="37"/>
      </w:r>
      <w:r>
        <w:t xml:space="preserve"> Adelin</w:t>
      </w:r>
      <w:r w:rsidR="00142332">
        <w:t>a</w:t>
      </w:r>
      <w:r>
        <w:t>’s clear intention was communicated in a charter of donation, a confirmation by her husband, and a later quitclaim by Adelin</w:t>
      </w:r>
      <w:r w:rsidR="00142332">
        <w:t>a</w:t>
      </w:r>
      <w:r>
        <w:t xml:space="preserve"> herself.</w:t>
      </w:r>
      <w:r>
        <w:rPr>
          <w:rStyle w:val="FootnoteReference"/>
        </w:rPr>
        <w:footnoteReference w:id="38"/>
      </w:r>
      <w:r>
        <w:t xml:space="preserve"> The possession of this hide was the subject of a settlement in the court of Baldwin II de Redvers, earl of Devon, between 1185 and 1188.</w:t>
      </w:r>
      <w:r>
        <w:rPr>
          <w:rStyle w:val="FootnoteReference"/>
        </w:rPr>
        <w:footnoteReference w:id="39"/>
      </w:r>
      <w:r>
        <w:t xml:space="preserve"> In this, Breamore had to resign its claim, which probably indicates that Christchurch </w:t>
      </w:r>
      <w:r w:rsidR="0051058D">
        <w:t xml:space="preserve">held </w:t>
      </w:r>
      <w:r>
        <w:t>the land</w:t>
      </w:r>
      <w:r w:rsidR="004538D7">
        <w:t xml:space="preserve"> at the tim</w:t>
      </w:r>
      <w:r w:rsidR="0051058D">
        <w:t>e</w:t>
      </w:r>
      <w:r>
        <w:t xml:space="preserve">. </w:t>
      </w:r>
    </w:p>
    <w:p w14:paraId="2D4CB96A" w14:textId="03B8E63B" w:rsidR="00FE51B8" w:rsidRDefault="00FE51B8" w:rsidP="00907907">
      <w:pPr>
        <w:jc w:val="both"/>
      </w:pPr>
      <w:r>
        <w:t>The other two hides were litigated separately, and the documentation there is much less abundant. The clearest statement of this dispute can be found in a forged charter in the name of Henry II, which survives in the Christchurch cartulary.</w:t>
      </w:r>
      <w:r>
        <w:rPr>
          <w:rStyle w:val="FootnoteReference"/>
        </w:rPr>
        <w:footnoteReference w:id="40"/>
      </w:r>
      <w:r>
        <w:t xml:space="preserve"> The long narration of the circumstances behind the dispute is unusual in royal acta. Christchurch’s claim to these two hides was linked to the claim to the one hide donated by Adelin</w:t>
      </w:r>
      <w:r w:rsidR="00142332">
        <w:t>a</w:t>
      </w:r>
      <w:r>
        <w:t xml:space="preserve">, but in this dispute it was presented very differently. </w:t>
      </w:r>
      <w:r w:rsidR="004C1EBB">
        <w:t>H</w:t>
      </w:r>
      <w:r>
        <w:t>ere the</w:t>
      </w:r>
      <w:r w:rsidR="00820F8B">
        <w:t xml:space="preserve"> canons</w:t>
      </w:r>
      <w:r>
        <w:t xml:space="preserve"> downplayed Adelin</w:t>
      </w:r>
      <w:r w:rsidR="00142332">
        <w:t>a</w:t>
      </w:r>
      <w:r>
        <w:t xml:space="preserve"> and her role, and claimed that the whole holding in Stanpit came from a grant by William II. This point is made in a</w:t>
      </w:r>
      <w:r w:rsidR="00142332">
        <w:t>nother</w:t>
      </w:r>
      <w:r>
        <w:t xml:space="preserve"> forged charter in the name of King Stephen, and </w:t>
      </w:r>
      <w:r w:rsidR="00820F8B">
        <w:t xml:space="preserve">the </w:t>
      </w:r>
      <w:r>
        <w:t>forged charter in the name of Henry II,</w:t>
      </w:r>
      <w:r>
        <w:rPr>
          <w:rStyle w:val="FootnoteReference"/>
        </w:rPr>
        <w:footnoteReference w:id="41"/>
      </w:r>
      <w:r>
        <w:t xml:space="preserve"> which both stated that William I</w:t>
      </w:r>
      <w:r w:rsidR="003E5306">
        <w:t>I</w:t>
      </w:r>
      <w:r>
        <w:t xml:space="preserve"> had given the lands in free alms; the forgery in the name of Stephen adds that William’s charter still existed, though there is no such thing now in the Christchurch cartulary. The forgery in the name of Henry II goes on to explain that Peter, then dean of Christchurch, pledged the land to Aluric Parvus as a guarantee for a loan; Aluric in turn passed one hide of land to his daughter, Adelin</w:t>
      </w:r>
      <w:r w:rsidR="00142332">
        <w:t>a</w:t>
      </w:r>
      <w:r>
        <w:t xml:space="preserve"> of Stanpit, as a dowry, and the other two hides to Wyso, Aluric’s son-in-law and Adelina’s husband. </w:t>
      </w:r>
      <w:r>
        <w:lastRenderedPageBreak/>
        <w:t xml:space="preserve">In both cases, their tenure of these hides in Stanpit was only a life interest, and they would revert to Christchurch on their deaths. The charter further notes that Adelina and Wyso formed an agreement with Ralph, dean of Christchurch, that this would happen. Thus, the ability of Adelina and Wyso to give the land is downgraded in this dispute, where Adelina’s right to donate was the heart of Christchurch’s claim in the other. The circumstances in which this dispute was settled are not clear, but the canons of Breamore were induced to </w:t>
      </w:r>
      <w:r w:rsidR="00B077FD">
        <w:t xml:space="preserve">resign their claim to </w:t>
      </w:r>
      <w:r>
        <w:t>the two hides to Christchurch in exchange for an annual pension of six marks. This is only known from Breamore’s quitclaim to Christchurch from early in Henry III’s reign.</w:t>
      </w:r>
      <w:r>
        <w:rPr>
          <w:rStyle w:val="FootnoteReference"/>
        </w:rPr>
        <w:footnoteReference w:id="42"/>
      </w:r>
      <w:r>
        <w:t xml:space="preserve"> It seems fairly clear that the two forged charters in the names of Stephen and Henry II were prepared to aid in this dispute, and that they may have misrepresented the nature of Christchurch’s tenure over Stanpit. There are confirmations by successive generations of the de Redvers family which confirmed these lands to Christchurch, and these are scarcely compatible with the claim that William II gave them to Christchurch in free alms.</w:t>
      </w:r>
      <w:r>
        <w:rPr>
          <w:rStyle w:val="FootnoteReference"/>
        </w:rPr>
        <w:footnoteReference w:id="43"/>
      </w:r>
      <w:r>
        <w:t xml:space="preserve"> </w:t>
      </w:r>
    </w:p>
    <w:p w14:paraId="0D501A84" w14:textId="77777777" w:rsidR="003E5306" w:rsidRDefault="003E5306" w:rsidP="00907907">
      <w:pPr>
        <w:jc w:val="both"/>
      </w:pPr>
    </w:p>
    <w:p w14:paraId="4422F391" w14:textId="56DF9670" w:rsidR="003E5306" w:rsidRPr="0013337E" w:rsidRDefault="0013337E" w:rsidP="00907907">
      <w:pPr>
        <w:jc w:val="both"/>
        <w:rPr>
          <w:u w:val="single"/>
        </w:rPr>
      </w:pPr>
      <w:r>
        <w:rPr>
          <w:u w:val="single"/>
        </w:rPr>
        <w:t>W</w:t>
      </w:r>
      <w:r w:rsidRPr="0013337E">
        <w:rPr>
          <w:u w:val="single"/>
        </w:rPr>
        <w:t xml:space="preserve">hat were the </w:t>
      </w:r>
      <w:r>
        <w:rPr>
          <w:u w:val="single"/>
        </w:rPr>
        <w:t>C</w:t>
      </w:r>
      <w:r w:rsidRPr="0013337E">
        <w:rPr>
          <w:u w:val="single"/>
        </w:rPr>
        <w:t xml:space="preserve">anons of </w:t>
      </w:r>
      <w:r>
        <w:rPr>
          <w:u w:val="single"/>
        </w:rPr>
        <w:t>B</w:t>
      </w:r>
      <w:r w:rsidRPr="0013337E">
        <w:rPr>
          <w:u w:val="single"/>
        </w:rPr>
        <w:t>reamore trying to do?</w:t>
      </w:r>
    </w:p>
    <w:p w14:paraId="0D3987E1" w14:textId="3726A092" w:rsidR="00702712" w:rsidRPr="00383E1C" w:rsidRDefault="00F0684C" w:rsidP="00907907">
      <w:pPr>
        <w:jc w:val="both"/>
      </w:pPr>
      <w:r w:rsidRPr="00383E1C">
        <w:t xml:space="preserve">There are some broad lessons to be drawn from the legal misadventures and forgeries of Breamore </w:t>
      </w:r>
      <w:r w:rsidR="000A14E9">
        <w:t>p</w:t>
      </w:r>
      <w:r w:rsidRPr="00383E1C">
        <w:t>riory</w:t>
      </w:r>
      <w:r w:rsidR="009E08A8">
        <w:t xml:space="preserve"> and its opponents</w:t>
      </w:r>
      <w:r w:rsidRPr="00383E1C">
        <w:t xml:space="preserve">. </w:t>
      </w:r>
      <w:r w:rsidR="004C1EBB">
        <w:t xml:space="preserve">Much is </w:t>
      </w:r>
      <w:r w:rsidR="00702712" w:rsidRPr="00383E1C">
        <w:t xml:space="preserve">specific to Breamore, which raised a lot of claims as a means of dealing with the poverty and instability of the foundation, but many of these can be paralleled in the archives of other churches. </w:t>
      </w:r>
    </w:p>
    <w:p w14:paraId="711521CC" w14:textId="770FA03A" w:rsidR="003E5306" w:rsidRPr="00383E1C" w:rsidRDefault="009E08A8" w:rsidP="00820F8B">
      <w:pPr>
        <w:jc w:val="both"/>
      </w:pPr>
      <w:r>
        <w:t>T</w:t>
      </w:r>
      <w:r w:rsidR="00AF0C23" w:rsidRPr="00383E1C">
        <w:t>he canons forged to document claim</w:t>
      </w:r>
      <w:r>
        <w:t>s</w:t>
      </w:r>
      <w:r w:rsidR="00AF0C23" w:rsidRPr="00383E1C">
        <w:t xml:space="preserve"> which they felt they had, but where there was little real substance to their interest. In </w:t>
      </w:r>
      <w:r>
        <w:t xml:space="preserve">the </w:t>
      </w:r>
      <w:r w:rsidR="00AF0C23" w:rsidRPr="00383E1C">
        <w:t>cases</w:t>
      </w:r>
      <w:r>
        <w:t xml:space="preserve"> discussed here</w:t>
      </w:r>
      <w:r w:rsidR="00AF0C23" w:rsidRPr="00383E1C">
        <w:t>, it seems that they had been offered a donation, but th</w:t>
      </w:r>
      <w:r>
        <w:t>en</w:t>
      </w:r>
      <w:r w:rsidR="00AF0C23" w:rsidRPr="00383E1C">
        <w:t xml:space="preserve"> the would-be donors </w:t>
      </w:r>
      <w:r>
        <w:t xml:space="preserve">chose </w:t>
      </w:r>
      <w:r w:rsidR="00AF0C23" w:rsidRPr="00383E1C">
        <w:t xml:space="preserve">instead to give the asset to another institution, </w:t>
      </w:r>
      <w:r w:rsidR="00820F8B">
        <w:t xml:space="preserve">or the would-be donors may not have had the right to give them. </w:t>
      </w:r>
      <w:r w:rsidR="00702712" w:rsidRPr="00383E1C">
        <w:t>The claims made by Breamore over these properties were therefore quite flimsy, and were not enforced or enforceable. Th</w:t>
      </w:r>
      <w:r w:rsidR="000B63A8">
        <w:t xml:space="preserve">at the canons forged to try to claim them </w:t>
      </w:r>
      <w:r w:rsidR="00702712" w:rsidRPr="00383E1C">
        <w:t>was, at best, a gesture of great hopefulness, or, at worst, a misunderstanding of how contemporary courts would have categori</w:t>
      </w:r>
      <w:r w:rsidR="009709B7">
        <w:t>z</w:t>
      </w:r>
      <w:r w:rsidR="00702712" w:rsidRPr="00383E1C">
        <w:t xml:space="preserve">ed and understood this case. </w:t>
      </w:r>
      <w:r>
        <w:t xml:space="preserve">In particular, the canons forged about claims where they were not in possession of assets, but their rivals had seisin instead. </w:t>
      </w:r>
      <w:r w:rsidR="004C1EBB">
        <w:t xml:space="preserve">The forgeries had little legal strength or effect, but it is notable that they often underlay settlements by compromise where both sides obtained some concession. Thus, they may have been an effective tactic to gain resources rather than to win disputes. </w:t>
      </w:r>
    </w:p>
    <w:p w14:paraId="5A8A225B" w14:textId="0AEBC6E9" w:rsidR="00820F8B" w:rsidRDefault="00702712" w:rsidP="00907907">
      <w:pPr>
        <w:jc w:val="both"/>
      </w:pPr>
      <w:r w:rsidRPr="00383E1C">
        <w:t>At nearly all of the</w:t>
      </w:r>
      <w:r w:rsidR="000B63A8">
        <w:t>se</w:t>
      </w:r>
      <w:r w:rsidRPr="00383E1C">
        <w:t xml:space="preserve"> contested locations, forgery spawned counter-forgery. </w:t>
      </w:r>
      <w:r w:rsidR="0061733D" w:rsidRPr="00383E1C">
        <w:t>Breamore’s claims against other religious houses meant that they forged as well, even though the characters of those houses were quite different. At Whitsbury, the recently-founded but large and wealthy abbey of Reading produced a new charter, based on a genuine writ of Henry I, which added extra guarantees</w:t>
      </w:r>
      <w:r w:rsidR="00A81C2D" w:rsidRPr="00383E1C">
        <w:t xml:space="preserve">, including a confirmation of the point that Ingelram Apostolicus had given the properties to Reading when he became a monk there, and that he retained seisin up to that point. </w:t>
      </w:r>
      <w:r w:rsidR="00ED25F9" w:rsidRPr="00383E1C">
        <w:t>At Christchurch, meanwhile, the old minster church had recently been regulari</w:t>
      </w:r>
      <w:r w:rsidR="009709B7">
        <w:t>z</w:t>
      </w:r>
      <w:r w:rsidR="00ED25F9" w:rsidRPr="00383E1C">
        <w:t>ed as an Augustinian priory, and forged widely to deal with Breamore, including charters of Henry II</w:t>
      </w:r>
      <w:r w:rsidR="009E08A8">
        <w:t xml:space="preserve"> and Stephen</w:t>
      </w:r>
      <w:r w:rsidR="00ED25F9" w:rsidRPr="00383E1C">
        <w:t xml:space="preserve">. </w:t>
      </w:r>
      <w:r w:rsidR="00820F8B">
        <w:t>It seems that forgery was among the everyday repertoire of legal techniques.</w:t>
      </w:r>
    </w:p>
    <w:p w14:paraId="39563AFE" w14:textId="5E061BDC" w:rsidR="00702712" w:rsidRPr="00383E1C" w:rsidRDefault="009873B8" w:rsidP="00907907">
      <w:pPr>
        <w:jc w:val="both"/>
      </w:pPr>
      <w:r w:rsidRPr="00383E1C">
        <w:t>In most of these cases, the actions of the laity drove forgery. The forgeries about Whitsbury were made in response to altered decisions by potential lay benefactors</w:t>
      </w:r>
      <w:r w:rsidR="009E08A8">
        <w:t xml:space="preserve">. The canons wanted promises </w:t>
      </w:r>
      <w:r w:rsidR="009E08A8">
        <w:lastRenderedPageBreak/>
        <w:t>to be real commitments which were enforceable, while lay benefactors had an altogether more casual attitude towards their words, and seemingly made multiple promises over time. I</w:t>
      </w:r>
      <w:r w:rsidRPr="00383E1C">
        <w:t>n the case of Sopley much of the activity was driven by Orricus of Sta</w:t>
      </w:r>
      <w:r w:rsidR="00A84F45">
        <w:t>u</w:t>
      </w:r>
      <w:r w:rsidRPr="00383E1C">
        <w:t xml:space="preserve">nton, identified by Christchurch as their main concern. </w:t>
      </w:r>
      <w:r w:rsidR="009E08A8">
        <w:t xml:space="preserve">He made representations to the bishop of Winchester, and obtained a charter because, presumably, he seemed plausible and the bishop had no better source of information. </w:t>
      </w:r>
      <w:r w:rsidR="00F5416E">
        <w:t xml:space="preserve">The clergy were usually dependent on lay testimony and information, and only had </w:t>
      </w:r>
      <w:r w:rsidR="000B63A8">
        <w:t>limited</w:t>
      </w:r>
      <w:r w:rsidR="00F5416E">
        <w:t xml:space="preserve"> means </w:t>
      </w:r>
      <w:r w:rsidR="000B63A8">
        <w:t>for verifying information</w:t>
      </w:r>
      <w:r w:rsidR="00F5416E">
        <w:t>.</w:t>
      </w:r>
    </w:p>
    <w:p w14:paraId="3DFDD74F" w14:textId="27994347" w:rsidR="009873B8" w:rsidRPr="00383E1C" w:rsidRDefault="009873B8" w:rsidP="00907907">
      <w:pPr>
        <w:jc w:val="both"/>
      </w:pPr>
      <w:r w:rsidRPr="00383E1C">
        <w:t xml:space="preserve">Finally, there is a qualitative difference observable in how some of these forgeries were used. It might be that these differences </w:t>
      </w:r>
      <w:r w:rsidR="00383E1C" w:rsidRPr="00383E1C">
        <w:t>could even be described as different strategies. In the case of Breamore, the canons seem to have been most interested in obtain</w:t>
      </w:r>
      <w:r w:rsidR="000B63A8">
        <w:t>ing</w:t>
      </w:r>
      <w:r w:rsidR="00383E1C" w:rsidRPr="00383E1C">
        <w:t xml:space="preserve"> royal favour and protection, and their forgeries were meant to obtain that. Thus, the forged Henry I charter seems to have been written to provide a text that could be confirmed by Henry II, and then used this to try to gain the king’s support. There was some benefit in this, for at Henry II’s intervention the abbot of Reading assigned some of that abbey’s interests to Breamore. This </w:t>
      </w:r>
      <w:r w:rsidR="000B63A8">
        <w:t xml:space="preserve">was </w:t>
      </w:r>
      <w:r w:rsidR="00383E1C" w:rsidRPr="00383E1C">
        <w:t>an act of favour or patronage; there is no sense that Breamore won a case at law. In contrast, Christchurch followed more historical tactics</w:t>
      </w:r>
      <w:r w:rsidR="00575C8B">
        <w:t xml:space="preserve"> to increase the weight of their claims by antedating them</w:t>
      </w:r>
      <w:r w:rsidR="00383E1C" w:rsidRPr="00383E1C">
        <w:t xml:space="preserve">. In the Stanpit case, </w:t>
      </w:r>
      <w:r w:rsidR="00142332">
        <w:t xml:space="preserve">Christchurch won the first round using local charters, but had to forge royal ones to win </w:t>
      </w:r>
      <w:r w:rsidR="00383E1C" w:rsidRPr="00383E1C">
        <w:t>the second round</w:t>
      </w:r>
      <w:r w:rsidR="00142332">
        <w:t xml:space="preserve">. These </w:t>
      </w:r>
      <w:r w:rsidR="009A7CD3">
        <w:t xml:space="preserve">suggested that </w:t>
      </w:r>
      <w:r w:rsidR="00383E1C" w:rsidRPr="00383E1C">
        <w:t xml:space="preserve">Christchurch’s interest in the lands at Stanpit </w:t>
      </w:r>
      <w:r w:rsidR="009A7CD3">
        <w:t xml:space="preserve">reached </w:t>
      </w:r>
      <w:r w:rsidR="00383E1C" w:rsidRPr="00383E1C">
        <w:t>back some way into the past, before Breamore was founded. The forge</w:t>
      </w:r>
      <w:r w:rsidR="009A7CD3">
        <w:t xml:space="preserve">ries were </w:t>
      </w:r>
      <w:r w:rsidR="00383E1C" w:rsidRPr="00383E1C">
        <w:t xml:space="preserve">not presented to a king at this point. It was meant to shape local opinion rather than gain royal favour. In the Sopley case, again they chose to show the antiquity of their rights as a means of asserting a right. </w:t>
      </w:r>
      <w:r w:rsidR="00983A36">
        <w:t xml:space="preserve">Christchurch’s approach was successful in these cases. </w:t>
      </w:r>
    </w:p>
    <w:p w14:paraId="7FFCA8C1" w14:textId="77777777" w:rsidR="00702712" w:rsidRDefault="00702712" w:rsidP="00907907">
      <w:pPr>
        <w:jc w:val="both"/>
        <w:rPr>
          <w:highlight w:val="yellow"/>
        </w:rPr>
      </w:pPr>
    </w:p>
    <w:p w14:paraId="43179C5E" w14:textId="0EEAF6CA" w:rsidR="00FE51B8" w:rsidRDefault="00383E1C" w:rsidP="00907907">
      <w:pPr>
        <w:jc w:val="both"/>
      </w:pPr>
      <w:r w:rsidRPr="00383E1C">
        <w:t>A SECOND CASE STUDY: BUCKLAND PRIORY, SOMERSET</w:t>
      </w:r>
    </w:p>
    <w:p w14:paraId="487C4D3E" w14:textId="77163806" w:rsidR="008E5ECA" w:rsidRDefault="005362A1" w:rsidP="00907907">
      <w:pPr>
        <w:jc w:val="both"/>
      </w:pPr>
      <w:r>
        <w:t xml:space="preserve">Buckland </w:t>
      </w:r>
      <w:r w:rsidR="000A14E9">
        <w:t>p</w:t>
      </w:r>
      <w:r>
        <w:t xml:space="preserve">riory was first founded in the 1160s or very early 1170s </w:t>
      </w:r>
      <w:r w:rsidR="00994BEB">
        <w:t>as a small Augustinian priory for canons.</w:t>
      </w:r>
      <w:r w:rsidR="008E5ECA">
        <w:rPr>
          <w:rStyle w:val="FootnoteReference"/>
        </w:rPr>
        <w:footnoteReference w:id="44"/>
      </w:r>
      <w:r w:rsidR="00994BEB">
        <w:t xml:space="preserve"> </w:t>
      </w:r>
      <w:r w:rsidR="00950B0B">
        <w:t xml:space="preserve">It was founded by </w:t>
      </w:r>
      <w:r w:rsidR="00994BEB">
        <w:t xml:space="preserve">William of Earley, </w:t>
      </w:r>
      <w:r w:rsidR="00950B0B">
        <w:t xml:space="preserve">a local landholder, and commemorated the </w:t>
      </w:r>
      <w:r w:rsidR="00994BEB">
        <w:t>Earley family.</w:t>
      </w:r>
      <w:r w:rsidR="00591EFC">
        <w:rPr>
          <w:rStyle w:val="FootnoteReference"/>
        </w:rPr>
        <w:footnoteReference w:id="45"/>
      </w:r>
      <w:r w:rsidR="00994BEB">
        <w:t xml:space="preserve"> </w:t>
      </w:r>
      <w:r w:rsidR="008E5ECA">
        <w:t xml:space="preserve">What made this rather ordinary foundation of special interest was an unusual event that occurred there at some point in the early 1170s; the prior of Buckland, </w:t>
      </w:r>
      <w:r w:rsidR="00575C8B">
        <w:t xml:space="preserve">probably Master Walter, </w:t>
      </w:r>
      <w:r w:rsidR="008E5ECA">
        <w:t>killed the priory’s steward, who was a relative of the founder.</w:t>
      </w:r>
      <w:r w:rsidR="008E5ECA">
        <w:rPr>
          <w:rStyle w:val="FootnoteReference"/>
        </w:rPr>
        <w:footnoteReference w:id="46"/>
      </w:r>
      <w:r w:rsidR="008E5ECA">
        <w:t xml:space="preserve"> The murder of the steward essentially dissolved the </w:t>
      </w:r>
      <w:r w:rsidR="00950B0B">
        <w:t>priory</w:t>
      </w:r>
      <w:r w:rsidR="008E5ECA">
        <w:t>. The prior held together the foundation, for the canons would have pledged their allegiance to him</w:t>
      </w:r>
      <w:r w:rsidR="00820F8B">
        <w:t>;</w:t>
      </w:r>
      <w:r w:rsidR="008E5ECA">
        <w:t xml:space="preserve"> his own credibility was essential to the internal and external operations of the house</w:t>
      </w:r>
      <w:r w:rsidR="00820F8B">
        <w:t>;</w:t>
      </w:r>
      <w:r w:rsidR="008E5ECA">
        <w:t xml:space="preserve"> and the priory’s lands were vested in the prior. Nothing more is heard of Master Walter, </w:t>
      </w:r>
      <w:r w:rsidR="00142332">
        <w:t xml:space="preserve">and </w:t>
      </w:r>
      <w:r w:rsidR="008E5ECA">
        <w:t xml:space="preserve">he was clearly dealt with in some manner. Both the bishop of Bath, Reginald de Bohun, and Ranulf de Glanville were involved in this, so that both ecclesiastical and secular authorities contributed to the </w:t>
      </w:r>
      <w:r w:rsidR="00950B0B">
        <w:t xml:space="preserve">removal </w:t>
      </w:r>
      <w:r w:rsidR="008E5ECA">
        <w:t>of this criminous clerk.</w:t>
      </w:r>
      <w:r w:rsidR="008E5ECA">
        <w:rPr>
          <w:rStyle w:val="FootnoteReference"/>
        </w:rPr>
        <w:footnoteReference w:id="47"/>
      </w:r>
      <w:r w:rsidR="008E5ECA">
        <w:t xml:space="preserve"> Homicide, of course, meant that the Crown had an interest in the outcome, and could presumably claim the priory’s lands as forfeit. </w:t>
      </w:r>
    </w:p>
    <w:p w14:paraId="63AC1E30" w14:textId="09D0C9DB" w:rsidR="008E5ECA" w:rsidRDefault="008E5ECA" w:rsidP="00907907">
      <w:pPr>
        <w:jc w:val="both"/>
      </w:pPr>
      <w:r>
        <w:t xml:space="preserve">Once Master Walter had been </w:t>
      </w:r>
      <w:r w:rsidR="00142332">
        <w:t>remov</w:t>
      </w:r>
      <w:r>
        <w:t xml:space="preserve">ed, there was a long negotiation over what was to be done with Buckland. It involved various parties, and the sources represent the outcome in slightly different terms, reflecting the viewpoints of the participants. Probably the most vitally affected </w:t>
      </w:r>
      <w:r>
        <w:lastRenderedPageBreak/>
        <w:t>were the canons of Buckland themselves. They were no longer called a priory, and no longer constituted any kind of organisation. In the negotiations, they were largely ignored. Instead, they were dispersed to various other monastic houses, though they were seemingly given some choice over which ones they joined.</w:t>
      </w:r>
      <w:r>
        <w:rPr>
          <w:rStyle w:val="FootnoteReference"/>
        </w:rPr>
        <w:footnoteReference w:id="48"/>
      </w:r>
      <w:r>
        <w:t xml:space="preserve"> The founder, William of Earley, and his family were also closely involved in this debate. They had contributed substantial resources to the founding of the priory, and would have expected an ongoing and long-term relationship with it. The canons would have said prayers and carried out other religious functions for successive generations of Earleys, and those Earleys would have had rights as patrons of the house, with a strong voice in its operation; Earleys might also have expected to find employment in the secular offices linked to the house, much as the unfortunate steward killed by the prior had done. The king, meanwhile, had complex and maybe conflicting interests in the case; he had obligations to do justice against killers, which might involve the confiscation of their property, but also to protect and propagate religion, including monastic houses. Likewise, the bishop of Bath was involved as diocesan, and so had responsibilities for maintaining the orderly religious life of his diocese; yet, he was also a close relative of the Earleys,</w:t>
      </w:r>
      <w:r w:rsidR="002B7D0D">
        <w:rPr>
          <w:rStyle w:val="FootnoteReference"/>
        </w:rPr>
        <w:footnoteReference w:id="49"/>
      </w:r>
      <w:r>
        <w:t xml:space="preserve"> and so shared in the familial ambitions of his relatives. </w:t>
      </w:r>
    </w:p>
    <w:p w14:paraId="5D0EF47F" w14:textId="2E44E46D" w:rsidR="008E5ECA" w:rsidRDefault="008E5ECA" w:rsidP="00907907">
      <w:pPr>
        <w:jc w:val="both"/>
      </w:pPr>
      <w:r>
        <w:t>The outcome of this debate was clear; probably in 1180, the Augustinian canons were removed and a new convent of Hospitallers established in its place and holding its assets. The new convent was a house for the nuns of the Hospitaller order, who had hitherto been scattered among various preceptories of the order in a haphazard way, though the nuns’ house at Buckland was paired with a small pr</w:t>
      </w:r>
      <w:r w:rsidR="00676CCF">
        <w:t>ecept</w:t>
      </w:r>
      <w:r>
        <w:t>ory for men on the same site.</w:t>
      </w:r>
      <w:r w:rsidR="002B7D0D">
        <w:rPr>
          <w:rStyle w:val="FootnoteReference"/>
        </w:rPr>
        <w:footnoteReference w:id="50"/>
      </w:r>
      <w:r>
        <w:t xml:space="preserve"> The process which led to this is less clear. According to John of Stillingfleet, the fifteenth-century Hospitaller chronicler who wrote the only coherent narrative of these events, the Augustinian house was simply seized by Henry II and then refounded as a Hospitaller house.</w:t>
      </w:r>
      <w:r>
        <w:rPr>
          <w:rStyle w:val="FootnoteReference"/>
        </w:rPr>
        <w:footnoteReference w:id="51"/>
      </w:r>
      <w:r>
        <w:t xml:space="preserve"> According to a confirmation in the name of King John, the refoundation was a joint enterprise, involving Henry II, William of Earley and his son and heir John of Earley.</w:t>
      </w:r>
      <w:r>
        <w:rPr>
          <w:rStyle w:val="FootnoteReference"/>
        </w:rPr>
        <w:footnoteReference w:id="52"/>
      </w:r>
      <w:r>
        <w:t xml:space="preserve"> Meanwhile, according to the bishop of Bath, the initiative to refound Buckland as a house for Hospitaller nuns came from William of Earley himself.</w:t>
      </w:r>
      <w:r>
        <w:rPr>
          <w:rStyle w:val="FootnoteReference"/>
        </w:rPr>
        <w:footnoteReference w:id="53"/>
      </w:r>
      <w:r>
        <w:t xml:space="preserve"> In practice, however, it may have been Bishop Reginald who induced the Hospitallers to go to Buckland.</w:t>
      </w:r>
    </w:p>
    <w:p w14:paraId="403611F9" w14:textId="77777777" w:rsidR="002B7D0D" w:rsidRDefault="002B7D0D" w:rsidP="00907907">
      <w:pPr>
        <w:jc w:val="both"/>
      </w:pPr>
    </w:p>
    <w:p w14:paraId="7120C0B4" w14:textId="1C8B1ABF" w:rsidR="002B7D0D" w:rsidRPr="002B7D0D" w:rsidRDefault="002B7D0D" w:rsidP="00907907">
      <w:pPr>
        <w:jc w:val="both"/>
        <w:rPr>
          <w:u w:val="single"/>
        </w:rPr>
      </w:pPr>
      <w:r w:rsidRPr="002B7D0D">
        <w:rPr>
          <w:u w:val="single"/>
        </w:rPr>
        <w:t>William of Earley’s charters for Buckland</w:t>
      </w:r>
    </w:p>
    <w:p w14:paraId="6DAC34B9" w14:textId="1A3F5593" w:rsidR="009E64DC" w:rsidRPr="009E64DC" w:rsidRDefault="009E64DC" w:rsidP="00907907">
      <w:pPr>
        <w:jc w:val="both"/>
      </w:pPr>
      <w:r w:rsidRPr="009E64DC">
        <w:t xml:space="preserve">The Buckland cartulary includes two charters of William of Earley. The rubrics show how they were understood in the fifteenth century when the cartulary was drawn up; the first is called ‘The charter of William of Earley about the whole land of Buckland with the church of [North] Petherton and the church of Beckington and the church of Kilmersdon with the chapel of Durston’, while the second is titled ‘The confirmation of William of Earley about Buckland and the church of </w:t>
      </w:r>
      <w:r w:rsidRPr="009E64DC">
        <w:lastRenderedPageBreak/>
        <w:t>Beckington’.</w:t>
      </w:r>
      <w:r w:rsidR="00676CCF">
        <w:rPr>
          <w:rStyle w:val="FootnoteReference"/>
        </w:rPr>
        <w:footnoteReference w:id="54"/>
      </w:r>
      <w:r w:rsidRPr="009E64DC">
        <w:t xml:space="preserve"> The rubrics are misleading, for there is nothing in the second one which indicates that it confirmed an earlier arrangement; it is </w:t>
      </w:r>
      <w:r w:rsidR="009A7CD3">
        <w:t>phras</w:t>
      </w:r>
      <w:r w:rsidRPr="009E64DC">
        <w:t xml:space="preserve">ed as a straightforward gift, even if it is shorter and less comprehensive than the first one. The rubrics show how the unnamed Buckland cartularist tried to make sense of these two documents, for the connection between them is not obvious and there are inconsistencies in how they represent the foundation </w:t>
      </w:r>
      <w:r w:rsidR="005D2268">
        <w:t xml:space="preserve">and nature </w:t>
      </w:r>
      <w:r w:rsidRPr="009E64DC">
        <w:t>of the priory. The analysis that follows is based on the idea that the second one is a genuine grant made as part of the foundation process, but that the first is a much more problematic document which was made as part of the debates about what to do with the priory after the murderous prior had been extracted. As such, it misrepresents or hides the arrangements made at the priory’s foundation, in an attempt to protect it from expropriation by Henry II or his agents.</w:t>
      </w:r>
    </w:p>
    <w:p w14:paraId="0CE5AEB1" w14:textId="2B057E58" w:rsidR="009E64DC" w:rsidRPr="009E64DC" w:rsidRDefault="009E64DC" w:rsidP="00907907">
      <w:pPr>
        <w:jc w:val="both"/>
      </w:pPr>
      <w:r w:rsidRPr="009E64DC">
        <w:t>The second charter, the one called a confirmation by the Buckland cartularist, is an entirely conventional grant.</w:t>
      </w:r>
      <w:r w:rsidR="005D2268">
        <w:rPr>
          <w:rStyle w:val="FootnoteReference"/>
        </w:rPr>
        <w:footnoteReference w:id="55"/>
      </w:r>
      <w:r w:rsidRPr="009E64DC">
        <w:t xml:space="preserve"> It is generally addressed, so that the information in it could come to the attention of as wide a group of people as possible; it explains that the grant was made for named and unnamed relatives of William of Earley</w:t>
      </w:r>
      <w:r w:rsidR="00676CCF">
        <w:t xml:space="preserve"> as spiritual beneficiaries</w:t>
      </w:r>
      <w:r w:rsidRPr="009E64DC">
        <w:t>; it identifies the recipient first before naming</w:t>
      </w:r>
      <w:r w:rsidR="00375F43" w:rsidRPr="00375F43">
        <w:t xml:space="preserve"> </w:t>
      </w:r>
      <w:r w:rsidRPr="009E64DC">
        <w:t xml:space="preserve">the gifts themselves; it uses the verb </w:t>
      </w:r>
      <w:r w:rsidRPr="00676CCF">
        <w:rPr>
          <w:i/>
          <w:iCs/>
        </w:rPr>
        <w:t>concedere</w:t>
      </w:r>
      <w:r w:rsidRPr="009E64DC">
        <w:t xml:space="preserve"> to make the grant because ecclesiastical </w:t>
      </w:r>
      <w:r w:rsidR="005D2268">
        <w:t xml:space="preserve">and customary </w:t>
      </w:r>
      <w:r w:rsidRPr="009E64DC">
        <w:t xml:space="preserve">rights were at stake, not real property; it has a sealing clause and a list of witnesses including some from the places named in the text. Overall, this is a straightforward charter text, which closely matches contemporary norms about how transfers of rights should be handled. It should probably be taken as a genuine grant made by William of Earley to Buckland </w:t>
      </w:r>
      <w:r w:rsidR="000A14E9">
        <w:t>p</w:t>
      </w:r>
      <w:r w:rsidRPr="009E64DC">
        <w:t>riory when it was still a stable religious foundation, before the murder took place.</w:t>
      </w:r>
    </w:p>
    <w:p w14:paraId="626B6D4E" w14:textId="6E404ED9" w:rsidR="009E64DC" w:rsidRPr="009E64DC" w:rsidRDefault="009E64DC" w:rsidP="00907907">
      <w:pPr>
        <w:jc w:val="both"/>
      </w:pPr>
      <w:r w:rsidRPr="009E64DC">
        <w:t>The first charter, the one represented by the cartularist as the priory’s foundation charter, is a much more problematic text.</w:t>
      </w:r>
      <w:r w:rsidR="00A232DC">
        <w:rPr>
          <w:rStyle w:val="FootnoteReference"/>
        </w:rPr>
        <w:footnoteReference w:id="56"/>
      </w:r>
      <w:r w:rsidRPr="009E64DC">
        <w:t xml:space="preserve"> It reads as though it w</w:t>
      </w:r>
      <w:r w:rsidR="005D2268">
        <w:t>as</w:t>
      </w:r>
      <w:r w:rsidRPr="009E64DC">
        <w:t xml:space="preserve"> designed to obscure the nature of the foundation rather than document it clearly, and does not match the usual pattern of foundation charters from the later twelfth century. This suggests that it was not the foundation charter for Buckland, and that some other document, now lost, fulfilled that role. The features that stand out in this document are numerous. It is addressed only to the friends and vassals of William of Earley, so presumably his hono</w:t>
      </w:r>
      <w:r w:rsidR="005D2268">
        <w:t>u</w:t>
      </w:r>
      <w:r w:rsidRPr="009E64DC">
        <w:t>r court, not to the generality of people who were usually addressed in such charters. His other one had such a general address, and may have been publici</w:t>
      </w:r>
      <w:r w:rsidR="009709B7">
        <w:t>z</w:t>
      </w:r>
      <w:r w:rsidRPr="009E64DC">
        <w:t>ed in the shire court of Somerset or elsewhere, but that was not the intention here. Why would he want to restrict knowledge of his gift in this way? Friends and vassals would be the most receptive and sympathetic audience, and could provide witnesses. If this charter represented an attempt to rewrite the past, then William might have aimed to restrict knowledge of its contents. The charter also names the spiritual beneficiaries of the gift. In his charter about Buckland and Beckington, the</w:t>
      </w:r>
      <w:r w:rsidR="00676CCF">
        <w:t>se</w:t>
      </w:r>
      <w:r w:rsidRPr="009E64DC">
        <w:t xml:space="preserve"> were the members of the Earley family, named and unnamed. Yet in this document, the list begins with Henry II and his immediate family, before a much less specific reference to William of Earley and his relatives. Why are these lists different, </w:t>
      </w:r>
      <w:r w:rsidR="005D2268">
        <w:t>if the same foundation was involved</w:t>
      </w:r>
      <w:r w:rsidRPr="009E64DC">
        <w:t xml:space="preserve">? Given that the spiritual benefits were seen as real, adding someone would be seen as a positive act to build favour or friendship, while removing someone from such </w:t>
      </w:r>
      <w:r w:rsidRPr="009E64DC">
        <w:lastRenderedPageBreak/>
        <w:t>a list would be more confrontational. This would suggest that the longer list might be the later one.</w:t>
      </w:r>
    </w:p>
    <w:p w14:paraId="4E4D323A" w14:textId="54954853" w:rsidR="009E64DC" w:rsidRPr="009E64DC" w:rsidRDefault="009E64DC" w:rsidP="00907907">
      <w:pPr>
        <w:jc w:val="both"/>
      </w:pPr>
      <w:r w:rsidRPr="009E64DC">
        <w:t xml:space="preserve">The biggest problem in this charter is how the beneficiary is represented. In charters of foundation or gift to monastic houses, usually the identity of the beneficiary comes first, before the list of </w:t>
      </w:r>
      <w:r w:rsidR="00676CCF">
        <w:t>asse</w:t>
      </w:r>
      <w:r w:rsidRPr="009E64DC">
        <w:t>ts. In the case of a foundation charter, it would be the first recognition of the church as a corporation, and so it was usually identified formally as ‘abbot and convent’ or similar, naming the place and sometimes the dedicatory saint of the church as well. Against this model, the Buckland charter looks odd.</w:t>
      </w:r>
      <w:r w:rsidR="005D2268">
        <w:rPr>
          <w:rStyle w:val="FootnoteReference"/>
        </w:rPr>
        <w:footnoteReference w:id="57"/>
      </w:r>
      <w:r w:rsidRPr="009E64DC">
        <w:t xml:space="preserve"> The charter reads: ‘dedisse totam terram meam de Bokeland et quicquid in ea iuris habui ad plantandam ibidem per manum Thome archidiaconi avunculi mei religionem’/’I have given all my land of Buckland and whatever right I have in it for establishing religion there by the hand of Archdeacon Thomas, my uncle’. This is very unusual</w:t>
      </w:r>
      <w:r w:rsidR="00676CCF">
        <w:t>, even unique,</w:t>
      </w:r>
      <w:r w:rsidRPr="009E64DC">
        <w:t xml:space="preserve"> in charters of this kind. </w:t>
      </w:r>
      <w:r w:rsidR="005D2268">
        <w:t>D</w:t>
      </w:r>
      <w:r w:rsidRPr="009E64DC">
        <w:t xml:space="preserve">onors were keen to stress their role, so that they would receive the spiritual benefits of founding a church, but here William of Earley </w:t>
      </w:r>
      <w:r w:rsidR="005D2268">
        <w:t>names his uncle as an intermediary or agent</w:t>
      </w:r>
      <w:r w:rsidRPr="009E64DC">
        <w:t xml:space="preserve">, who had the main role in establishing religion there. Was his role here as a kind of trustee who held the lands for a future, unenacted purpose? </w:t>
      </w:r>
      <w:r w:rsidR="009D11C7">
        <w:t xml:space="preserve">How did this fit into the development of Buckland? How could William of Earley give to his uncle assets which he had already given to the canons? </w:t>
      </w:r>
      <w:r w:rsidRPr="009E64DC">
        <w:t xml:space="preserve">There is then a list of properties, </w:t>
      </w:r>
      <w:r w:rsidR="009D11C7">
        <w:t xml:space="preserve">including some which William had previously given away, </w:t>
      </w:r>
      <w:r w:rsidRPr="009E64DC">
        <w:t>and only after that is the main beneficiary mentioned, when William refers to the canons of Buckland. He only describes them as canons, and does not suggest that they were organised as a priory, which is again unusual. He also describes their religious service in the future, not as something that was taking place at the time the charter was drawn up</w:t>
      </w:r>
      <w:r w:rsidR="00375F43" w:rsidRPr="00375F43">
        <w:t xml:space="preserve">: ‘concessi ut autem canonici qui predicto loco dei et sancte Marie et sancti Nicholai se mancipaturi sunt servitia …’/’I have conceded that the canons who will themselves offer service in the said place of God and St Mary and St Nicholas …’. This described the canons and their service in the future (‘mancipaturi sunt’), even though the grant was in the past (‘concessi’). </w:t>
      </w:r>
      <w:r w:rsidRPr="009E64DC">
        <w:t>The situation depicted here, that William had given land and other assets but without there being a priory at Buckland, matches the situation after the effective dissolution of the priory after the murder.</w:t>
      </w:r>
    </w:p>
    <w:p w14:paraId="534B4B83" w14:textId="1CDB5607" w:rsidR="00CA4EE0" w:rsidRDefault="00541635" w:rsidP="00907907">
      <w:pPr>
        <w:jc w:val="both"/>
      </w:pPr>
      <w:r>
        <w:t xml:space="preserve">This is an anomalous charter, and it can only be understood by linking it to the anomalous history of Buckland </w:t>
      </w:r>
      <w:r w:rsidR="000A14E9">
        <w:t>p</w:t>
      </w:r>
      <w:r>
        <w:t xml:space="preserve">riory. </w:t>
      </w:r>
      <w:r w:rsidR="00CA4EE0">
        <w:t xml:space="preserve">A reasonably plausible reconstruction might assume that William of Earley had given the canons a conventional foundation charter at the point he founded the priory. </w:t>
      </w:r>
      <w:r w:rsidR="00E61EFF">
        <w:t xml:space="preserve">After the prior murdered the steward, such a charter would have looked like a liability, for it demonstrated that the lands belonged to the prior and convent and so </w:t>
      </w:r>
      <w:r w:rsidR="00222C6B">
        <w:t>c</w:t>
      </w:r>
      <w:r w:rsidR="00E61EFF">
        <w:t xml:space="preserve">ould have been forfeit to the king. William of Earley’s anomalous charter makes most sense as something driven by the fear of loss, as a self-forgery which represented or misrepresented the nature of the foundation, </w:t>
      </w:r>
      <w:r>
        <w:t xml:space="preserve">and </w:t>
      </w:r>
      <w:r w:rsidR="00E61EFF">
        <w:t xml:space="preserve">which was substituted for the original foundation charter, which was presumably destroyed. The messy terms in which William’s self-forgery were written </w:t>
      </w:r>
      <w:r w:rsidR="0084061B">
        <w:t xml:space="preserve">reflect that ambiguous aim. He could not simply have pretended that he still held the lands of Buckland </w:t>
      </w:r>
      <w:r w:rsidR="001F6BAB">
        <w:t>p</w:t>
      </w:r>
      <w:r w:rsidR="0084061B">
        <w:t xml:space="preserve">riory, for he had transferred the lands publicly, as seen in the </w:t>
      </w:r>
      <w:r>
        <w:t xml:space="preserve">second </w:t>
      </w:r>
      <w:r w:rsidR="0084061B">
        <w:t xml:space="preserve">charter, and so the shire court of Somerset might have testified against him. So, pretending that the grant was to Archdeacon Thomas, his uncle, was a means of keeping it in the family, while still allowing that he had made the gifts </w:t>
      </w:r>
      <w:r w:rsidR="000B6293">
        <w:t>for</w:t>
      </w:r>
      <w:r w:rsidR="0084061B">
        <w:t xml:space="preserve"> found</w:t>
      </w:r>
      <w:r w:rsidR="000B6293">
        <w:t>ing</w:t>
      </w:r>
      <w:r w:rsidR="0084061B">
        <w:t xml:space="preserve"> the priory</w:t>
      </w:r>
      <w:r w:rsidR="000B6293">
        <w:t xml:space="preserve"> to a religious figure</w:t>
      </w:r>
      <w:r w:rsidR="0084061B">
        <w:t xml:space="preserve">. It is perhaps significant that the self-forgery is not generally addressed, or addressed to the shire court of Somerset; it is instead addressed to William's friends and vassals, who presented a more sympathetic audience for his imposture. Assuming that the charter was drawn up in the aftermath of the murder, when the outcome was still unclear, would also explain why its terms were so complicated, and it both granted properties </w:t>
      </w:r>
      <w:r w:rsidR="0084061B">
        <w:lastRenderedPageBreak/>
        <w:t>to Archdeacon Thomas as a kind of trustee while acknowledging that the Augustinian canons were still in occupation of the site</w:t>
      </w:r>
      <w:r w:rsidR="002B7D0D">
        <w:t xml:space="preserve"> without a prior</w:t>
      </w:r>
      <w:r w:rsidR="0084061B">
        <w:t xml:space="preserve">. Perhaps, when this document was drawn up, William intended to reconstitute the Augustinian priory under a less problematic prior. </w:t>
      </w:r>
      <w:r w:rsidR="00733AA8">
        <w:t xml:space="preserve">If this happened, then William could maintain the interests of his family as founders and patrons long into the future by preventing the dissolution of the priory and the forfeit of the lands. </w:t>
      </w:r>
    </w:p>
    <w:p w14:paraId="30642F25" w14:textId="50C19EC3" w:rsidR="00733AA8" w:rsidRDefault="000B6293" w:rsidP="00907907">
      <w:pPr>
        <w:jc w:val="both"/>
      </w:pPr>
      <w:r>
        <w:t xml:space="preserve">There is also the question of the commemorative functions of the priory. </w:t>
      </w:r>
      <w:r w:rsidR="00517C79">
        <w:t xml:space="preserve">William of Earley’s </w:t>
      </w:r>
      <w:r w:rsidR="00541635">
        <w:t xml:space="preserve">second charter </w:t>
      </w:r>
      <w:r w:rsidR="00517C79">
        <w:t xml:space="preserve">indicates that its commemorative functions were focussed on the Earley family, naming many of William of Earley’s relatives; yet, by the time of the more problematic charter, the prime commemorative beneficiaries of the grant were instead Henry II, Eleanor of Aquitaine, the Young King Henry and other children of Henry II. This is probably an indicator of the intended audience of this charter. </w:t>
      </w:r>
      <w:r w:rsidR="00517C79" w:rsidRPr="0008090A">
        <w:rPr>
          <w:i/>
          <w:iCs/>
        </w:rPr>
        <w:t>Dictamen</w:t>
      </w:r>
      <w:r w:rsidR="00517C79">
        <w:t>, the contemporary science of letter-writing, recommended that writer</w:t>
      </w:r>
      <w:r w:rsidR="00575C8B">
        <w:t>s</w:t>
      </w:r>
      <w:r w:rsidR="00517C79">
        <w:t xml:space="preserve"> should </w:t>
      </w:r>
      <w:r w:rsidR="00575C8B">
        <w:t xml:space="preserve">start with </w:t>
      </w:r>
      <w:r w:rsidR="00517C79">
        <w:t xml:space="preserve">a </w:t>
      </w:r>
      <w:r w:rsidR="00517C79" w:rsidRPr="0051405B">
        <w:rPr>
          <w:i/>
          <w:iCs/>
        </w:rPr>
        <w:t>captatio benevolentiae</w:t>
      </w:r>
      <w:r w:rsidR="00517C79">
        <w:t xml:space="preserve">, </w:t>
      </w:r>
      <w:r w:rsidR="00CF6F38">
        <w:t xml:space="preserve">or </w:t>
      </w:r>
      <w:r w:rsidR="00575C8B">
        <w:t xml:space="preserve">a </w:t>
      </w:r>
      <w:r w:rsidR="00517C79">
        <w:t>statement meant to put the reader into a receptive frame of mind. Th</w:t>
      </w:r>
      <w:r w:rsidR="00541635">
        <w:t>e</w:t>
      </w:r>
      <w:r w:rsidR="00517C79">
        <w:t xml:space="preserve"> realignment of the commemorative priorities of the foundation might be interpreted in this way, and, if so, it identifies the intended readership of William of Earley’s peculiar charter: Henry II himself. </w:t>
      </w:r>
      <w:r w:rsidR="00733AA8">
        <w:t>The reallocation of the commemorative service was presumably a means to try to gain the favour of Henry II, and to give him some stake in the continuity of Buckland; it was meant to get the king to tell his servants and agents in Somerset to leave Buckland alone. In this reading of the document, it is notable that the self-forgery protected the interests of the patronal family, but did nothing to protect the interests of the canons themselves, whose community was dissolved and who ended up being dispersed to other Augustinian monasteries.</w:t>
      </w:r>
    </w:p>
    <w:p w14:paraId="054DD200" w14:textId="43F8ABCB" w:rsidR="00541635" w:rsidRDefault="00517C79" w:rsidP="00907907">
      <w:pPr>
        <w:jc w:val="both"/>
      </w:pPr>
      <w:r>
        <w:t xml:space="preserve">There is one document in the Buckland cartulary which corroborates </w:t>
      </w:r>
      <w:r w:rsidR="00541635">
        <w:t>much</w:t>
      </w:r>
      <w:r>
        <w:t xml:space="preserve"> of this. It is a </w:t>
      </w:r>
      <w:r w:rsidR="00CF6F38">
        <w:t>letter of</w:t>
      </w:r>
      <w:r>
        <w:t xml:space="preserve"> Reginald, bishop of Bath, the local diocesan.</w:t>
      </w:r>
      <w:r>
        <w:rPr>
          <w:rStyle w:val="FootnoteReference"/>
        </w:rPr>
        <w:footnoteReference w:id="58"/>
      </w:r>
      <w:r>
        <w:t xml:space="preserve"> </w:t>
      </w:r>
      <w:r w:rsidR="00541635">
        <w:t>It</w:t>
      </w:r>
      <w:r>
        <w:t xml:space="preserve"> is not a forgery, but it bends the truth to make a consistent story, and sometimes even misrepresents the circumstances at Buckland. When this document was drawn up, Bishop Reginald was, for most purposes, in charge of directing the creation of a religious house at Buckland, and his role was due to two important facts; as he noted in his act, William of Earley was now dead, and William and Reginald were close relatives, so that the bishop was acting as William’s executor in this matter. </w:t>
      </w:r>
    </w:p>
    <w:p w14:paraId="110915EE" w14:textId="447A4552" w:rsidR="00517C79" w:rsidRDefault="00517C79" w:rsidP="00907907">
      <w:pPr>
        <w:jc w:val="both"/>
      </w:pPr>
      <w:r>
        <w:t xml:space="preserve">Bishop Reginald’s act shows development from William of Earley’s because it is much clearer about </w:t>
      </w:r>
      <w:r w:rsidR="00541635">
        <w:t>how the Buckland fiasco would be solved</w:t>
      </w:r>
      <w:r>
        <w:t xml:space="preserve">. Reginald acknowledges that William had transferred lands to his uncle, Thomas, archdeacon of </w:t>
      </w:r>
      <w:r w:rsidR="00920724">
        <w:t>Wells</w:t>
      </w:r>
      <w:r>
        <w:t>, for planting a</w:t>
      </w:r>
      <w:r w:rsidR="00C41D05">
        <w:t>n unspecified</w:t>
      </w:r>
      <w:r>
        <w:t xml:space="preserve"> house of religion there, in terms that are drawn from William’s charter. Yet Reginald </w:t>
      </w:r>
      <w:r w:rsidR="00C41D05">
        <w:t>add</w:t>
      </w:r>
      <w:r>
        <w:t xml:space="preserve">s that, on his deathbed, William had </w:t>
      </w:r>
      <w:r w:rsidR="00541635">
        <w:t>indica</w:t>
      </w:r>
      <w:r>
        <w:t xml:space="preserve">ted a clear intention to give Buckland to the Hospitallers, and had written to Ranulf de Glanville </w:t>
      </w:r>
      <w:r w:rsidR="00140A99">
        <w:t>about it</w:t>
      </w:r>
      <w:r>
        <w:t>. That William could do this is an important hint that the transfer of the lands to Thomas was something of a fiction</w:t>
      </w:r>
      <w:r w:rsidR="00C41D05">
        <w:t>, a workaround to let him keep control</w:t>
      </w:r>
      <w:r>
        <w:t xml:space="preserve">. Glanville was of course an important servant and functionary of the king, and was heavily involved in judicial matters. </w:t>
      </w:r>
      <w:r w:rsidR="00140A99">
        <w:t xml:space="preserve">He </w:t>
      </w:r>
      <w:r>
        <w:t xml:space="preserve">may have therefore been concerned with the forfeiture of the priory’s lands after the murder, and his involvement here represents an attempt to negotiate over this matter. Despite this, there were still no Hospitallers at Buckland, and Reginald suggests that they were reluctant. He made three points which were, presumably, meant to encourage them. First, he downplayed the status of the Augustinian canons at Buckland. He describes them simply as canons, and does not allow that they formed any sort of community; moreover, they were not living a religious life there, but were merely hiding, and had no prior to direct their lives. Second, he reassured the Hospitallers about the claims that might be raised by the canons, for he stated </w:t>
      </w:r>
      <w:r>
        <w:lastRenderedPageBreak/>
        <w:t>that the</w:t>
      </w:r>
      <w:r w:rsidR="00140A99">
        <w:t xml:space="preserve">y </w:t>
      </w:r>
      <w:r>
        <w:t xml:space="preserve">would not receive any charters or other records to document their claims to lands or assets. Third, he noted that Henry II, Baldwin, archbishop of Canterbury, and Bishop Reginald himself had all consented to the transfer to the Hospitallers. Clearly, Reginald intended that his act would reassure the Hospitallers and maintain their interest in Buckland, so that the site and assets would be preserved for religious purposes. </w:t>
      </w:r>
    </w:p>
    <w:p w14:paraId="249AFEF0" w14:textId="7C2C18D1" w:rsidR="00517C79" w:rsidRDefault="00517C79" w:rsidP="00907907">
      <w:pPr>
        <w:jc w:val="both"/>
      </w:pPr>
      <w:r>
        <w:t xml:space="preserve">This was not the only document created by Bishop Reginald to demonstrate to the Hospitallers that the grant to them was viable and could go ahead. One act certified that Garnier of Nablus, the prior of the Hospitallers in England, had made satisfaction to the canons of Buckland, and recorded their dispersal to other Augustinian houses; three canons and one </w:t>
      </w:r>
      <w:r w:rsidRPr="001C024F">
        <w:rPr>
          <w:i/>
          <w:iCs/>
        </w:rPr>
        <w:t>conversus</w:t>
      </w:r>
      <w:r>
        <w:t xml:space="preserve"> chose to join the Hospitallers and stay at Buckland, while two went to Taunton </w:t>
      </w:r>
      <w:r w:rsidR="001F6BAB">
        <w:t>p</w:t>
      </w:r>
      <w:r>
        <w:t xml:space="preserve">riory and one each to Barlinch </w:t>
      </w:r>
      <w:r w:rsidR="001F6BAB">
        <w:t>p</w:t>
      </w:r>
      <w:r>
        <w:t>riory and St Bartholomew’s, Smithfield.</w:t>
      </w:r>
      <w:r>
        <w:rPr>
          <w:rStyle w:val="FootnoteReference"/>
        </w:rPr>
        <w:footnoteReference w:id="59"/>
      </w:r>
      <w:r>
        <w:t xml:space="preserve"> Another, presumably later, is an exemplification of an act of Stephen, prior of Taunton, which records that three had been received at Taunton </w:t>
      </w:r>
      <w:r w:rsidR="001F6BAB">
        <w:t>p</w:t>
      </w:r>
      <w:r>
        <w:t>riory;</w:t>
      </w:r>
      <w:r>
        <w:rPr>
          <w:rStyle w:val="FootnoteReference"/>
        </w:rPr>
        <w:footnoteReference w:id="60"/>
      </w:r>
      <w:r>
        <w:t xml:space="preserve"> it suggests that some had second thoughts, </w:t>
      </w:r>
      <w:r w:rsidR="00140A99">
        <w:t xml:space="preserve">and that </w:t>
      </w:r>
      <w:r>
        <w:t xml:space="preserve">one of those who had originally chosen to stay at Buckland </w:t>
      </w:r>
      <w:r w:rsidR="003C78C6">
        <w:t xml:space="preserve">later chose </w:t>
      </w:r>
      <w:r>
        <w:t>to move further up the River Tone. Thereafter, Reginald was generous in confirming grants made to Hospitallers of Buckland, more than his successors.</w:t>
      </w:r>
      <w:r>
        <w:rPr>
          <w:rStyle w:val="FootnoteReference"/>
        </w:rPr>
        <w:footnoteReference w:id="61"/>
      </w:r>
    </w:p>
    <w:p w14:paraId="47B426A1" w14:textId="732ACDFB" w:rsidR="00C240DB" w:rsidRDefault="00C240DB" w:rsidP="00907907">
      <w:pPr>
        <w:jc w:val="both"/>
      </w:pPr>
      <w:r>
        <w:t xml:space="preserve">The reading of William of Earley’s charters here has some important points for thinking about </w:t>
      </w:r>
      <w:r w:rsidR="00C60D09">
        <w:t xml:space="preserve">forgery. </w:t>
      </w:r>
      <w:r w:rsidR="00541635">
        <w:t xml:space="preserve">It is a forgery because it grants properties which he had already granted away, and created a new legal arrangement to try to cover up that properties had been granted to the failed Augustinian priory. </w:t>
      </w:r>
      <w:r w:rsidR="007C121B">
        <w:t xml:space="preserve">It seems that William’s aim was to reassert control over the priory’s lands, but to do so covertly. </w:t>
      </w:r>
      <w:r w:rsidR="00C60D09">
        <w:t>The key point is that it shows how forgery does not always focus on ecclesiastical interests, for in this case the Augustinian community of Buckland was the main loser in the story. William of Earley was able to forge to preserve his family’s interest, and sacrificed the canons of Buckland to do so. He clearly had assistance from his ecclesiastical relatives, but the basic point, that a layman forged to outmanoeuvre king and clergy, remains. In this, he was entirely successful; Bishop Reginald’s letter shows that the lands were never forfeit to the king, and after William’s death the bishop used the lands to found a new priory on the site of the old one, filled with nuns of the Order of Knights Hospitaller.</w:t>
      </w:r>
      <w:r w:rsidR="00C60D09">
        <w:rPr>
          <w:rStyle w:val="FootnoteReference"/>
        </w:rPr>
        <w:footnoteReference w:id="62"/>
      </w:r>
      <w:r w:rsidR="00C60D09">
        <w:t xml:space="preserve"> The foundation of nuns lasted to the dissolution, and the Earley interest in the nunnery remained almost as long. </w:t>
      </w:r>
    </w:p>
    <w:p w14:paraId="7519D2F0" w14:textId="0DD0D12A" w:rsidR="004907CA" w:rsidRDefault="004907CA" w:rsidP="00907907">
      <w:pPr>
        <w:jc w:val="both"/>
      </w:pPr>
    </w:p>
    <w:p w14:paraId="72436E6B" w14:textId="23927725" w:rsidR="001E1DA4" w:rsidRDefault="00D16D5B" w:rsidP="00907907">
      <w:pPr>
        <w:jc w:val="both"/>
      </w:pPr>
      <w:r>
        <w:t>CONCLUSION</w:t>
      </w:r>
    </w:p>
    <w:p w14:paraId="3783C249" w14:textId="60F115F1" w:rsidR="007C121B" w:rsidRDefault="00541635" w:rsidP="00907907">
      <w:pPr>
        <w:jc w:val="both"/>
      </w:pPr>
      <w:r>
        <w:t>This essay set out to define how documentary forgery in the twelfth century differed from forgery in earlier periods, and especially how forgery was used outside the great and ancient churches which have been central to much recent discussion of forgery. This has involved looking at some lesser monastic houses of the Augustinian Order as a sample, to see what forgeries survive and what can be deduced about how they were made and used. Some clear patterns emerge from this exercise. The first is that forgery was common, for most archives offer some examples. It seems to have been a widely recognised technique for reinforcing claims, and even just for prompting the opening of negotiations</w:t>
      </w:r>
      <w:r w:rsidR="007C121B">
        <w:t xml:space="preserve"> for compromise settlements</w:t>
      </w:r>
      <w:r>
        <w:t xml:space="preserve">. </w:t>
      </w:r>
      <w:r w:rsidR="007C121B">
        <w:t xml:space="preserve">The second is that forgery was something that seems often to have been made over the short term, to obtain some </w:t>
      </w:r>
      <w:r w:rsidR="007C121B">
        <w:lastRenderedPageBreak/>
        <w:t xml:space="preserve">advantage in disputes and disagreements. In the case studies discussed here, forgeries were made within a few years of the events they reinterpreted, and often named living people within them. </w:t>
      </w:r>
      <w:r>
        <w:t xml:space="preserve">The </w:t>
      </w:r>
      <w:r w:rsidR="007C121B">
        <w:t xml:space="preserve">third </w:t>
      </w:r>
      <w:r>
        <w:t xml:space="preserve">is that forgery seems often to have been reciprocal, so that the making of one forgery would prompt the making of others which were meant to combat it. This is particularly apparent in the case of Breamore </w:t>
      </w:r>
      <w:r w:rsidR="001F6BAB">
        <w:t>p</w:t>
      </w:r>
      <w:r>
        <w:t>riory, for all its enemies and rivals forged in response to its Henry I confection as well as others; clearly, knowledge about forgery and how to make it was widespread. The fourth is that forgery often involved or implicated the laity. The forgeries discussed here arose out of attempts to control the actions of members of the laity, or as a means for a layman to impose his ideas on the world around him. The fifth is that there were different strategies for using forgery. Sometimes, forgery could be a means of appealing to an authority figure to obtain support; on other occasions, it could be designed to provide stronger evidence for use in court. There may be other uses to which forgery could be put</w:t>
      </w:r>
      <w:r w:rsidR="007C121B">
        <w:t>.</w:t>
      </w:r>
    </w:p>
    <w:p w14:paraId="2F580FAC" w14:textId="7B9638B6" w:rsidR="00541635" w:rsidRDefault="00541635" w:rsidP="00907907">
      <w:pPr>
        <w:jc w:val="both"/>
      </w:pPr>
      <w:r>
        <w:t xml:space="preserve">Far from being a matter for great churches, forgery was probably a common and accepted documentary and legal tactic in the twelfth century. It seems that even quite minor churches had the knowledge and expertise to put together forgeries and use them in disputes and negotiations. The biggest question, however, is one that is probably unanswerable from the surviving evidence. How common was lay forgery? There are some surviving examples from this period, but overall few lay archives survive from before the thirteenth century to see how widely the laity forged. There are some reasons to think that they may have done so </w:t>
      </w:r>
      <w:r w:rsidR="007C121B">
        <w:t xml:space="preserve">widely </w:t>
      </w:r>
      <w:r>
        <w:t>in the twelfth century, before the imposition of the Common Law; much legal work was done through customary local courts of shire and hundred, where the voice of the laity was dominant. If the clergy used forgery extensively in this setting, where others defined norms and settled disputes, then this suggests that local courts might have been the venue where knowledge about forgery and how to forge was shared and disseminated as examples were d</w:t>
      </w:r>
      <w:r w:rsidR="007C121B">
        <w:t>iscuss</w:t>
      </w:r>
      <w:r>
        <w:t xml:space="preserve">ed. Much of the debate over forgery has been shaped by assumptions about who controlled literacy and law, and about how these were matters mostly in the ambit of certain parts of the clerical elite; this has also shaped what kinds of forgery have been studied. Yet, looking at humbler churches and local disputes shows much forgery which has not been studied to the same extent. </w:t>
      </w:r>
    </w:p>
    <w:sectPr w:rsidR="0054163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57538" w14:textId="77777777" w:rsidR="00753C47" w:rsidRDefault="00753C47" w:rsidP="00517C79">
      <w:pPr>
        <w:spacing w:after="0" w:line="240" w:lineRule="auto"/>
      </w:pPr>
      <w:r>
        <w:separator/>
      </w:r>
    </w:p>
  </w:endnote>
  <w:endnote w:type="continuationSeparator" w:id="0">
    <w:p w14:paraId="46230E07" w14:textId="77777777" w:rsidR="00753C47" w:rsidRDefault="00753C47" w:rsidP="0051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292825"/>
      <w:docPartObj>
        <w:docPartGallery w:val="Page Numbers (Bottom of Page)"/>
        <w:docPartUnique/>
      </w:docPartObj>
    </w:sdtPr>
    <w:sdtEndPr>
      <w:rPr>
        <w:noProof/>
      </w:rPr>
    </w:sdtEndPr>
    <w:sdtContent>
      <w:p w14:paraId="5178C664" w14:textId="71154161" w:rsidR="00726441" w:rsidRDefault="007264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794C2" w14:textId="77777777" w:rsidR="00726441" w:rsidRDefault="00726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A8A85" w14:textId="77777777" w:rsidR="00753C47" w:rsidRDefault="00753C47" w:rsidP="00517C79">
      <w:pPr>
        <w:spacing w:after="0" w:line="240" w:lineRule="auto"/>
      </w:pPr>
      <w:r>
        <w:separator/>
      </w:r>
    </w:p>
  </w:footnote>
  <w:footnote w:type="continuationSeparator" w:id="0">
    <w:p w14:paraId="0BBC4C76" w14:textId="77777777" w:rsidR="00753C47" w:rsidRDefault="00753C47" w:rsidP="00517C79">
      <w:pPr>
        <w:spacing w:after="0" w:line="240" w:lineRule="auto"/>
      </w:pPr>
      <w:r>
        <w:continuationSeparator/>
      </w:r>
    </w:p>
  </w:footnote>
  <w:footnote w:id="1">
    <w:p w14:paraId="6A737EEE" w14:textId="4935C27D" w:rsidR="00575C8B" w:rsidRDefault="00575C8B" w:rsidP="00575C8B">
      <w:pPr>
        <w:pStyle w:val="FootnoteText"/>
        <w:jc w:val="both"/>
      </w:pPr>
      <w:r>
        <w:rPr>
          <w:rStyle w:val="FootnoteReference"/>
        </w:rPr>
        <w:footnoteRef/>
      </w:r>
      <w:r>
        <w:t xml:space="preserve"> I am grateful to the attendees of the Battle conference in Durham for comments on a version of this paper. </w:t>
      </w:r>
    </w:p>
  </w:footnote>
  <w:footnote w:id="2">
    <w:p w14:paraId="757DE92E" w14:textId="3E50BCEB" w:rsidR="00032D98" w:rsidRPr="00D16852" w:rsidRDefault="00032D98" w:rsidP="00575C8B">
      <w:pPr>
        <w:pStyle w:val="FootnoteText"/>
        <w:jc w:val="both"/>
      </w:pPr>
      <w:r w:rsidRPr="00D16852">
        <w:rPr>
          <w:rStyle w:val="FootnoteReference"/>
        </w:rPr>
        <w:footnoteRef/>
      </w:r>
      <w:r w:rsidRPr="00D16852">
        <w:t xml:space="preserve"> </w:t>
      </w:r>
      <w:r w:rsidR="001C445B" w:rsidRPr="00D16852">
        <w:t xml:space="preserve">M. T. Clanchy, </w:t>
      </w:r>
      <w:r w:rsidR="001C445B" w:rsidRPr="00D16852">
        <w:rPr>
          <w:i/>
          <w:iCs/>
        </w:rPr>
        <w:t>From Memory to Written Record: England, 1066</w:t>
      </w:r>
      <w:r w:rsidR="001A7948" w:rsidRPr="00D16852">
        <w:rPr>
          <w:i/>
          <w:iCs/>
        </w:rPr>
        <w:t>–</w:t>
      </w:r>
      <w:r w:rsidR="001C445B" w:rsidRPr="00D16852">
        <w:rPr>
          <w:i/>
          <w:iCs/>
        </w:rPr>
        <w:t>1307</w:t>
      </w:r>
      <w:r w:rsidR="00920724">
        <w:t xml:space="preserve">, </w:t>
      </w:r>
      <w:r w:rsidR="001C445B" w:rsidRPr="00D16852">
        <w:t>London 1979</w:t>
      </w:r>
      <w:r w:rsidR="00920724">
        <w:t>;</w:t>
      </w:r>
      <w:r w:rsidR="001C445B" w:rsidRPr="00D16852">
        <w:t xml:space="preserve"> second edition, Oxford 1993</w:t>
      </w:r>
      <w:r w:rsidR="00920724">
        <w:t>;</w:t>
      </w:r>
      <w:r w:rsidR="001C445B" w:rsidRPr="00D16852">
        <w:t xml:space="preserve"> third edition, Chichester 2013</w:t>
      </w:r>
      <w:r w:rsidR="0063705B" w:rsidRPr="00D16852">
        <w:t xml:space="preserve">. </w:t>
      </w:r>
    </w:p>
  </w:footnote>
  <w:footnote w:id="3">
    <w:p w14:paraId="4C61DBEB" w14:textId="51F487E9" w:rsidR="00032D98" w:rsidRPr="00D16852" w:rsidRDefault="00032D98" w:rsidP="00575C8B">
      <w:pPr>
        <w:pStyle w:val="FootnoteText"/>
        <w:jc w:val="both"/>
        <w:rPr>
          <w:highlight w:val="yellow"/>
        </w:rPr>
      </w:pPr>
      <w:r w:rsidRPr="00D16852">
        <w:rPr>
          <w:rStyle w:val="FootnoteReference"/>
        </w:rPr>
        <w:footnoteRef/>
      </w:r>
      <w:r w:rsidRPr="00D16852">
        <w:t xml:space="preserve"> </w:t>
      </w:r>
      <w:r w:rsidR="00CA5077" w:rsidRPr="00D16852">
        <w:t xml:space="preserve">Clanchy, </w:t>
      </w:r>
      <w:r w:rsidR="00CA5077" w:rsidRPr="00D16852">
        <w:rPr>
          <w:i/>
          <w:iCs/>
        </w:rPr>
        <w:t>From Memory</w:t>
      </w:r>
      <w:r w:rsidR="00CA5077" w:rsidRPr="00D16852">
        <w:t>, 320</w:t>
      </w:r>
      <w:r w:rsidR="001A7948" w:rsidRPr="00D16852">
        <w:rPr>
          <w:i/>
          <w:iCs/>
        </w:rPr>
        <w:t>–</w:t>
      </w:r>
      <w:r w:rsidR="00CA5077" w:rsidRPr="00D16852">
        <w:t>22</w:t>
      </w:r>
      <w:r w:rsidR="00ED3202">
        <w:t>.</w:t>
      </w:r>
    </w:p>
  </w:footnote>
  <w:footnote w:id="4">
    <w:p w14:paraId="0FCA982B" w14:textId="7579080D" w:rsidR="001314AF" w:rsidRPr="00D16852" w:rsidRDefault="001314AF" w:rsidP="00575C8B">
      <w:pPr>
        <w:pStyle w:val="FootnoteText"/>
        <w:jc w:val="both"/>
        <w:rPr>
          <w:highlight w:val="yellow"/>
        </w:rPr>
      </w:pPr>
      <w:r w:rsidRPr="00D16852">
        <w:rPr>
          <w:rStyle w:val="FootnoteReference"/>
        </w:rPr>
        <w:footnoteRef/>
      </w:r>
      <w:r w:rsidRPr="00D16852">
        <w:t xml:space="preserve"> </w:t>
      </w:r>
      <w:r w:rsidR="00D16421" w:rsidRPr="00D16852">
        <w:t xml:space="preserve">Clanchy, </w:t>
      </w:r>
      <w:r w:rsidR="00D16421" w:rsidRPr="00D16852">
        <w:rPr>
          <w:i/>
          <w:iCs/>
        </w:rPr>
        <w:t>From Memory</w:t>
      </w:r>
      <w:r w:rsidRPr="00D16852">
        <w:t>, 318</w:t>
      </w:r>
      <w:r w:rsidR="001A7948" w:rsidRPr="00D16852">
        <w:rPr>
          <w:i/>
          <w:iCs/>
        </w:rPr>
        <w:t>–</w:t>
      </w:r>
      <w:r w:rsidRPr="00D16852">
        <w:t>19</w:t>
      </w:r>
      <w:r w:rsidR="00D16421" w:rsidRPr="00D16852">
        <w:t xml:space="preserve">. Compare C. N. L. Brooke, ‘Episcopal Charters for Wix Priory’, in </w:t>
      </w:r>
      <w:r w:rsidR="00D16421" w:rsidRPr="00D16852">
        <w:rPr>
          <w:i/>
          <w:iCs/>
        </w:rPr>
        <w:t>A Medieval Miscellany for Doris Mary Stenton</w:t>
      </w:r>
      <w:r w:rsidR="00D16421" w:rsidRPr="00D16852">
        <w:t>, ed. Patricia M. Barnes and C. F. Slade, Pipe Roll Society new series XXXVI</w:t>
      </w:r>
      <w:r w:rsidR="00844BEA">
        <w:t xml:space="preserve">, </w:t>
      </w:r>
      <w:r w:rsidR="00D16421" w:rsidRPr="00D16852">
        <w:t>1962, 45</w:t>
      </w:r>
      <w:r w:rsidR="001A7948" w:rsidRPr="00D16852">
        <w:rPr>
          <w:i/>
          <w:iCs/>
        </w:rPr>
        <w:t>–</w:t>
      </w:r>
      <w:r w:rsidR="00D16421" w:rsidRPr="00D16852">
        <w:t>63, at 54</w:t>
      </w:r>
      <w:r w:rsidR="001A7948" w:rsidRPr="00D16852">
        <w:rPr>
          <w:i/>
          <w:iCs/>
        </w:rPr>
        <w:t>–</w:t>
      </w:r>
      <w:r w:rsidR="00D16421" w:rsidRPr="00D16852">
        <w:t>5.</w:t>
      </w:r>
    </w:p>
  </w:footnote>
  <w:footnote w:id="5">
    <w:p w14:paraId="0E495DEA" w14:textId="2A729696" w:rsidR="00902085" w:rsidRPr="00D16852" w:rsidRDefault="00902085" w:rsidP="00575C8B">
      <w:pPr>
        <w:pStyle w:val="FootnoteText"/>
        <w:jc w:val="both"/>
        <w:rPr>
          <w:highlight w:val="yellow"/>
        </w:rPr>
      </w:pPr>
      <w:r w:rsidRPr="00D16852">
        <w:rPr>
          <w:rStyle w:val="FootnoteReference"/>
        </w:rPr>
        <w:footnoteRef/>
      </w:r>
      <w:r w:rsidRPr="00D16852">
        <w:t xml:space="preserve"> </w:t>
      </w:r>
      <w:r w:rsidR="00CA5077" w:rsidRPr="00D16852">
        <w:t xml:space="preserve">Clanchy, </w:t>
      </w:r>
      <w:r w:rsidR="00CA5077" w:rsidRPr="00D16852">
        <w:rPr>
          <w:i/>
          <w:iCs/>
        </w:rPr>
        <w:t>From Memory</w:t>
      </w:r>
      <w:r w:rsidR="00CA5077" w:rsidRPr="00D16852">
        <w:t>, 41</w:t>
      </w:r>
      <w:r w:rsidR="001A7948" w:rsidRPr="00D16852">
        <w:rPr>
          <w:i/>
          <w:iCs/>
        </w:rPr>
        <w:t>–</w:t>
      </w:r>
      <w:r w:rsidR="00CA5077" w:rsidRPr="00D16852">
        <w:t>3</w:t>
      </w:r>
      <w:r w:rsidR="00ED3202">
        <w:t>.</w:t>
      </w:r>
    </w:p>
  </w:footnote>
  <w:footnote w:id="6">
    <w:p w14:paraId="6AE344E4" w14:textId="2FB00D54" w:rsidR="00902085" w:rsidRPr="00D16852" w:rsidRDefault="00902085" w:rsidP="00575C8B">
      <w:pPr>
        <w:pStyle w:val="FootnoteText"/>
        <w:jc w:val="both"/>
      </w:pPr>
      <w:r w:rsidRPr="00D16852">
        <w:rPr>
          <w:rStyle w:val="FootnoteReference"/>
        </w:rPr>
        <w:footnoteRef/>
      </w:r>
      <w:r w:rsidRPr="00D16852">
        <w:t xml:space="preserve"> </w:t>
      </w:r>
      <w:r w:rsidR="00D16421" w:rsidRPr="00D16852">
        <w:t>It has rarely been suggested that outside</w:t>
      </w:r>
      <w:r w:rsidR="00CC0988">
        <w:t>r</w:t>
      </w:r>
      <w:r w:rsidR="00D16421" w:rsidRPr="00D16852">
        <w:t xml:space="preserve">s acted as forgers; </w:t>
      </w:r>
      <w:r w:rsidR="005D563C" w:rsidRPr="00D16852">
        <w:t>Brooke, ‘Episcopal Charters</w:t>
      </w:r>
      <w:r w:rsidR="002C0768">
        <w:t>’</w:t>
      </w:r>
      <w:r w:rsidR="005D563C" w:rsidRPr="00D16852">
        <w:t xml:space="preserve">, </w:t>
      </w:r>
      <w:r w:rsidR="00D16421" w:rsidRPr="00D16852">
        <w:t>57, 58.</w:t>
      </w:r>
    </w:p>
  </w:footnote>
  <w:footnote w:id="7">
    <w:p w14:paraId="6A3C602B" w14:textId="2448CC5D" w:rsidR="001314AF" w:rsidRPr="00D16852" w:rsidRDefault="001314AF" w:rsidP="00575C8B">
      <w:pPr>
        <w:pStyle w:val="FootnoteText"/>
        <w:jc w:val="both"/>
      </w:pPr>
      <w:r w:rsidRPr="00D16852">
        <w:rPr>
          <w:rStyle w:val="FootnoteReference"/>
        </w:rPr>
        <w:footnoteRef/>
      </w:r>
      <w:r w:rsidRPr="00D16852">
        <w:t xml:space="preserve"> </w:t>
      </w:r>
      <w:r w:rsidR="007626C0" w:rsidRPr="00D16852">
        <w:t xml:space="preserve">Clanchy, </w:t>
      </w:r>
      <w:r w:rsidR="007626C0" w:rsidRPr="00D16852">
        <w:rPr>
          <w:i/>
          <w:iCs/>
        </w:rPr>
        <w:t>From Memory</w:t>
      </w:r>
      <w:r w:rsidR="007626C0" w:rsidRPr="00D16852">
        <w:t xml:space="preserve">, </w:t>
      </w:r>
      <w:r w:rsidRPr="00D16852">
        <w:t>319</w:t>
      </w:r>
      <w:r w:rsidR="007626C0" w:rsidRPr="00D16852">
        <w:t>.</w:t>
      </w:r>
    </w:p>
  </w:footnote>
  <w:footnote w:id="8">
    <w:p w14:paraId="25FC8E37" w14:textId="15C04A5E" w:rsidR="005F0AF1" w:rsidRPr="00D16852" w:rsidRDefault="005F0AF1" w:rsidP="00575C8B">
      <w:pPr>
        <w:pStyle w:val="FootnoteText"/>
        <w:jc w:val="both"/>
      </w:pPr>
      <w:r w:rsidRPr="00D16852">
        <w:rPr>
          <w:rStyle w:val="FootnoteReference"/>
        </w:rPr>
        <w:footnoteRef/>
      </w:r>
      <w:r w:rsidRPr="00D16852">
        <w:t xml:space="preserve"> </w:t>
      </w:r>
      <w:r w:rsidR="004538D7" w:rsidRPr="00D16852">
        <w:t xml:space="preserve">For instance, </w:t>
      </w:r>
      <w:r w:rsidRPr="00D16852">
        <w:t xml:space="preserve">Emma Mason, </w:t>
      </w:r>
      <w:r w:rsidR="00424739" w:rsidRPr="00D16852">
        <w:t xml:space="preserve">‘The Mauduits and their Chamberlainship of the Exchequer’, </w:t>
      </w:r>
      <w:r w:rsidR="00424739" w:rsidRPr="00D16852">
        <w:rPr>
          <w:i/>
          <w:iCs/>
        </w:rPr>
        <w:t>BIHR</w:t>
      </w:r>
      <w:r w:rsidR="00B562F0">
        <w:rPr>
          <w:i/>
          <w:iCs/>
        </w:rPr>
        <w:t xml:space="preserve"> </w:t>
      </w:r>
      <w:r w:rsidR="00424739" w:rsidRPr="00D16852">
        <w:t>49</w:t>
      </w:r>
      <w:r w:rsidR="00844BEA">
        <w:t xml:space="preserve">, </w:t>
      </w:r>
      <w:r w:rsidR="00424739" w:rsidRPr="00D16852">
        <w:t>1976, 1</w:t>
      </w:r>
      <w:r w:rsidR="001A7948" w:rsidRPr="00D16852">
        <w:rPr>
          <w:i/>
          <w:iCs/>
        </w:rPr>
        <w:t>–</w:t>
      </w:r>
      <w:r w:rsidR="00424739" w:rsidRPr="00D16852">
        <w:t>23, at 2</w:t>
      </w:r>
      <w:r w:rsidR="001A7948" w:rsidRPr="00D16852">
        <w:rPr>
          <w:i/>
          <w:iCs/>
        </w:rPr>
        <w:t>–</w:t>
      </w:r>
      <w:r w:rsidR="009C319E" w:rsidRPr="00D16852">
        <w:t>3;</w:t>
      </w:r>
      <w:r w:rsidRPr="00D16852">
        <w:t xml:space="preserve"> </w:t>
      </w:r>
      <w:r w:rsidR="007626C0" w:rsidRPr="00D16852">
        <w:rPr>
          <w:i/>
          <w:iCs/>
        </w:rPr>
        <w:t>The Beauchamp Cartulary Charters 1100</w:t>
      </w:r>
      <w:r w:rsidR="001A7948" w:rsidRPr="00D16852">
        <w:rPr>
          <w:i/>
          <w:iCs/>
        </w:rPr>
        <w:t>–</w:t>
      </w:r>
      <w:r w:rsidR="007626C0" w:rsidRPr="00D16852">
        <w:rPr>
          <w:i/>
          <w:iCs/>
        </w:rPr>
        <w:t>1268</w:t>
      </w:r>
      <w:r w:rsidR="007626C0" w:rsidRPr="00D16852">
        <w:t>, ed. Emma Mason, Pipe Roll Society new series XLIII</w:t>
      </w:r>
      <w:r w:rsidR="00844BEA">
        <w:t>,</w:t>
      </w:r>
      <w:r w:rsidR="007626C0" w:rsidRPr="00D16852">
        <w:t xml:space="preserve">1980, </w:t>
      </w:r>
      <w:r w:rsidRPr="00D16852">
        <w:t>no</w:t>
      </w:r>
      <w:r w:rsidR="007626C0" w:rsidRPr="00D16852">
        <w:t>s</w:t>
      </w:r>
      <w:r w:rsidRPr="00D16852">
        <w:t>. 163</w:t>
      </w:r>
      <w:r w:rsidR="009C319E" w:rsidRPr="00D16852">
        <w:t>, 167</w:t>
      </w:r>
      <w:r w:rsidR="00477D89" w:rsidRPr="00D16852">
        <w:t>.</w:t>
      </w:r>
    </w:p>
  </w:footnote>
  <w:footnote w:id="9">
    <w:p w14:paraId="1C2B2D9A" w14:textId="284DD83F" w:rsidR="00EE7710" w:rsidRPr="00D16852" w:rsidRDefault="00EE7710" w:rsidP="00575C8B">
      <w:pPr>
        <w:pStyle w:val="FootnoteText"/>
        <w:jc w:val="both"/>
      </w:pPr>
      <w:r w:rsidRPr="00D16852">
        <w:rPr>
          <w:rStyle w:val="FootnoteReference"/>
        </w:rPr>
        <w:footnoteRef/>
      </w:r>
      <w:r w:rsidRPr="00D16852">
        <w:t xml:space="preserve"> </w:t>
      </w:r>
      <w:r w:rsidR="004C27CB" w:rsidRPr="00D16852">
        <w:t xml:space="preserve">Robert C. Palmer, </w:t>
      </w:r>
      <w:r w:rsidR="004C27CB" w:rsidRPr="00D16852">
        <w:rPr>
          <w:i/>
          <w:iCs/>
        </w:rPr>
        <w:t>The County Courts of Medieval England</w:t>
      </w:r>
      <w:r w:rsidR="001A7948" w:rsidRPr="00D16852">
        <w:rPr>
          <w:i/>
          <w:iCs/>
        </w:rPr>
        <w:t>, 1150–1350</w:t>
      </w:r>
      <w:r w:rsidR="00844BEA">
        <w:t xml:space="preserve">, </w:t>
      </w:r>
      <w:r w:rsidR="004C27CB" w:rsidRPr="00D16852">
        <w:t xml:space="preserve">Princeton 1982, chapter 3. </w:t>
      </w:r>
    </w:p>
  </w:footnote>
  <w:footnote w:id="10">
    <w:p w14:paraId="1D617F84" w14:textId="26E9FCEB" w:rsidR="005275E5" w:rsidRPr="00D16852" w:rsidRDefault="005275E5" w:rsidP="00575C8B">
      <w:pPr>
        <w:pStyle w:val="FootnoteText"/>
        <w:jc w:val="both"/>
      </w:pPr>
      <w:r w:rsidRPr="00D16852">
        <w:rPr>
          <w:rStyle w:val="FootnoteReference"/>
        </w:rPr>
        <w:footnoteRef/>
      </w:r>
      <w:r w:rsidRPr="00D16852">
        <w:t xml:space="preserve"> </w:t>
      </w:r>
      <w:r w:rsidR="004C27CB" w:rsidRPr="00D16852">
        <w:rPr>
          <w:i/>
          <w:iCs/>
        </w:rPr>
        <w:t>English Lawsuits</w:t>
      </w:r>
      <w:r w:rsidR="004C27CB" w:rsidRPr="00D16852">
        <w:t>, no. 331</w:t>
      </w:r>
      <w:r w:rsidR="00ED3202">
        <w:t>.</w:t>
      </w:r>
    </w:p>
  </w:footnote>
  <w:footnote w:id="11">
    <w:p w14:paraId="28E8C995" w14:textId="52968784" w:rsidR="00FA2431" w:rsidRPr="00D16852" w:rsidRDefault="00FA2431" w:rsidP="00575C8B">
      <w:pPr>
        <w:pStyle w:val="FootnoteText"/>
        <w:jc w:val="both"/>
      </w:pPr>
      <w:r w:rsidRPr="00D16852">
        <w:rPr>
          <w:rStyle w:val="FootnoteReference"/>
        </w:rPr>
        <w:footnoteRef/>
      </w:r>
      <w:r w:rsidRPr="00D16852">
        <w:t xml:space="preserve"> Jocelin of Brakelond, </w:t>
      </w:r>
      <w:r w:rsidRPr="00D16852">
        <w:rPr>
          <w:i/>
          <w:iCs/>
        </w:rPr>
        <w:t>Chronicle</w:t>
      </w:r>
      <w:r w:rsidRPr="00D16852">
        <w:t>, ed. H. E. Butler</w:t>
      </w:r>
      <w:r w:rsidR="00844BEA">
        <w:t xml:space="preserve">, </w:t>
      </w:r>
      <w:r w:rsidRPr="00D16852">
        <w:t>London 1949, 24</w:t>
      </w:r>
      <w:r w:rsidR="00ED3202">
        <w:t>.</w:t>
      </w:r>
    </w:p>
  </w:footnote>
  <w:footnote w:id="12">
    <w:p w14:paraId="35B8E7EE" w14:textId="216DAC70" w:rsidR="00E174FA" w:rsidRPr="00D16852" w:rsidRDefault="00E174FA" w:rsidP="00575C8B">
      <w:pPr>
        <w:pStyle w:val="FootnoteText"/>
        <w:jc w:val="both"/>
      </w:pPr>
      <w:r w:rsidRPr="00D16852">
        <w:rPr>
          <w:rStyle w:val="FootnoteReference"/>
        </w:rPr>
        <w:footnoteRef/>
      </w:r>
      <w:r w:rsidRPr="00D16852">
        <w:t xml:space="preserve"> </w:t>
      </w:r>
      <w:r w:rsidR="00402A48" w:rsidRPr="00D16852">
        <w:rPr>
          <w:i/>
          <w:iCs/>
        </w:rPr>
        <w:t>V</w:t>
      </w:r>
      <w:r w:rsidR="0087181C">
        <w:rPr>
          <w:i/>
          <w:iCs/>
        </w:rPr>
        <w:t xml:space="preserve">CH </w:t>
      </w:r>
      <w:r w:rsidR="00402A48" w:rsidRPr="00D16852">
        <w:rPr>
          <w:i/>
          <w:iCs/>
        </w:rPr>
        <w:t>Hampshire</w:t>
      </w:r>
      <w:r w:rsidR="0087181C">
        <w:t xml:space="preserve">, ii. </w:t>
      </w:r>
      <w:r w:rsidR="00402A48" w:rsidRPr="00D16852">
        <w:t>168</w:t>
      </w:r>
      <w:r w:rsidR="001A7948" w:rsidRPr="00D16852">
        <w:rPr>
          <w:i/>
          <w:iCs/>
        </w:rPr>
        <w:t>–</w:t>
      </w:r>
      <w:r w:rsidR="00402A48" w:rsidRPr="00D16852">
        <w:t>72</w:t>
      </w:r>
      <w:r w:rsidR="00ED3202">
        <w:t>.</w:t>
      </w:r>
    </w:p>
  </w:footnote>
  <w:footnote w:id="13">
    <w:p w14:paraId="09B42354" w14:textId="1E5B5EB1" w:rsidR="00FE51B8" w:rsidRPr="00D16852" w:rsidRDefault="00FE51B8" w:rsidP="00575C8B">
      <w:pPr>
        <w:pStyle w:val="NoSpacing"/>
        <w:jc w:val="both"/>
        <w:rPr>
          <w:sz w:val="20"/>
          <w:szCs w:val="20"/>
          <w:highlight w:val="yellow"/>
        </w:rPr>
      </w:pPr>
      <w:r w:rsidRPr="00D16852">
        <w:rPr>
          <w:rStyle w:val="FootnoteReference"/>
          <w:sz w:val="20"/>
          <w:szCs w:val="20"/>
        </w:rPr>
        <w:footnoteRef/>
      </w:r>
      <w:r w:rsidRPr="00D16852">
        <w:rPr>
          <w:sz w:val="20"/>
          <w:szCs w:val="20"/>
        </w:rPr>
        <w:t xml:space="preserve"> </w:t>
      </w:r>
      <w:r w:rsidR="00AF6C1E" w:rsidRPr="00D16852">
        <w:rPr>
          <w:i/>
          <w:iCs/>
          <w:sz w:val="20"/>
          <w:szCs w:val="20"/>
        </w:rPr>
        <w:t>Regesta</w:t>
      </w:r>
      <w:r w:rsidR="00B562F0">
        <w:rPr>
          <w:sz w:val="20"/>
          <w:szCs w:val="20"/>
        </w:rPr>
        <w:t>,</w:t>
      </w:r>
      <w:r w:rsidR="00AF6C1E" w:rsidRPr="00D16852">
        <w:rPr>
          <w:sz w:val="20"/>
          <w:szCs w:val="20"/>
        </w:rPr>
        <w:t xml:space="preserve"> ii</w:t>
      </w:r>
      <w:r w:rsidR="00B562F0">
        <w:rPr>
          <w:sz w:val="20"/>
          <w:szCs w:val="20"/>
        </w:rPr>
        <w:t>.</w:t>
      </w:r>
      <w:r w:rsidR="00AF6C1E" w:rsidRPr="00D16852">
        <w:rPr>
          <w:sz w:val="20"/>
          <w:szCs w:val="20"/>
        </w:rPr>
        <w:t xml:space="preserve"> no. 1810; an abridged </w:t>
      </w:r>
      <w:r w:rsidR="001A18BD">
        <w:rPr>
          <w:sz w:val="20"/>
          <w:szCs w:val="20"/>
        </w:rPr>
        <w:t xml:space="preserve">edition </w:t>
      </w:r>
      <w:r w:rsidR="00AF6C1E" w:rsidRPr="00D16852">
        <w:rPr>
          <w:sz w:val="20"/>
          <w:szCs w:val="20"/>
        </w:rPr>
        <w:t>in Dugdale</w:t>
      </w:r>
      <w:r w:rsidR="00B562F0">
        <w:rPr>
          <w:sz w:val="20"/>
          <w:szCs w:val="20"/>
        </w:rPr>
        <w:t>,</w:t>
      </w:r>
      <w:r w:rsidR="00AF6C1E" w:rsidRPr="00D16852">
        <w:rPr>
          <w:sz w:val="20"/>
          <w:szCs w:val="20"/>
        </w:rPr>
        <w:t xml:space="preserve"> </w:t>
      </w:r>
      <w:r w:rsidR="00AF6C1E" w:rsidRPr="00D16852">
        <w:rPr>
          <w:i/>
          <w:iCs/>
          <w:sz w:val="20"/>
          <w:szCs w:val="20"/>
        </w:rPr>
        <w:t>Monasticon</w:t>
      </w:r>
      <w:r w:rsidR="00AF6C1E" w:rsidRPr="00D16852">
        <w:rPr>
          <w:sz w:val="20"/>
          <w:szCs w:val="20"/>
        </w:rPr>
        <w:t xml:space="preserve">, vi. 329; a complete text from later copies in Robert Bearman, ed., </w:t>
      </w:r>
      <w:r w:rsidR="00AF6C1E" w:rsidRPr="00D16852">
        <w:rPr>
          <w:i/>
          <w:iCs/>
          <w:sz w:val="20"/>
          <w:szCs w:val="20"/>
        </w:rPr>
        <w:t>Charters of the Redvers Family and the Earldom of Devon, 1090</w:t>
      </w:r>
      <w:r w:rsidR="001A7948" w:rsidRPr="00D16852">
        <w:rPr>
          <w:i/>
          <w:iCs/>
          <w:sz w:val="20"/>
          <w:szCs w:val="20"/>
        </w:rPr>
        <w:t>–</w:t>
      </w:r>
      <w:r w:rsidR="00AF6C1E" w:rsidRPr="00D16852">
        <w:rPr>
          <w:i/>
          <w:iCs/>
          <w:sz w:val="20"/>
          <w:szCs w:val="20"/>
        </w:rPr>
        <w:t>1217</w:t>
      </w:r>
      <w:r w:rsidR="00AF6C1E" w:rsidRPr="00D16852">
        <w:rPr>
          <w:sz w:val="20"/>
          <w:szCs w:val="20"/>
        </w:rPr>
        <w:t>, Devon and Cornwall Record Society new series 37</w:t>
      </w:r>
      <w:r w:rsidR="00844BEA">
        <w:rPr>
          <w:sz w:val="20"/>
          <w:szCs w:val="20"/>
        </w:rPr>
        <w:t>,</w:t>
      </w:r>
      <w:r w:rsidR="00AF6C1E" w:rsidRPr="00D16852">
        <w:rPr>
          <w:sz w:val="20"/>
          <w:szCs w:val="20"/>
        </w:rPr>
        <w:t>1994, 158</w:t>
      </w:r>
      <w:r w:rsidR="001A7948" w:rsidRPr="00D16852">
        <w:rPr>
          <w:i/>
          <w:iCs/>
          <w:sz w:val="20"/>
          <w:szCs w:val="20"/>
        </w:rPr>
        <w:t>–</w:t>
      </w:r>
      <w:r w:rsidR="00AF6C1E" w:rsidRPr="00D16852">
        <w:rPr>
          <w:sz w:val="20"/>
          <w:szCs w:val="20"/>
        </w:rPr>
        <w:t xml:space="preserve">9; for the original </w:t>
      </w:r>
      <w:r w:rsidR="00AF6C1E" w:rsidRPr="00D16852">
        <w:rPr>
          <w:sz w:val="20"/>
          <w:szCs w:val="20"/>
          <w:highlight w:val="yellow"/>
        </w:rPr>
        <w:t xml:space="preserve">see plate </w:t>
      </w:r>
      <w:r w:rsidR="00D442B1">
        <w:rPr>
          <w:sz w:val="20"/>
          <w:szCs w:val="20"/>
          <w:highlight w:val="yellow"/>
        </w:rPr>
        <w:t>1</w:t>
      </w:r>
      <w:r w:rsidR="001A18BD">
        <w:rPr>
          <w:sz w:val="20"/>
          <w:szCs w:val="20"/>
        </w:rPr>
        <w:t>,</w:t>
      </w:r>
      <w:r w:rsidR="00A92D6E" w:rsidRPr="00D16852">
        <w:rPr>
          <w:sz w:val="20"/>
          <w:szCs w:val="20"/>
        </w:rPr>
        <w:t xml:space="preserve"> </w:t>
      </w:r>
      <w:r w:rsidR="00575C8B">
        <w:rPr>
          <w:sz w:val="20"/>
          <w:szCs w:val="20"/>
        </w:rPr>
        <w:t xml:space="preserve">from London, College of Arms, charter 136. It was </w:t>
      </w:r>
      <w:r w:rsidR="00A92D6E" w:rsidRPr="00D16852">
        <w:rPr>
          <w:sz w:val="20"/>
          <w:szCs w:val="20"/>
        </w:rPr>
        <w:t xml:space="preserve">first noted in </w:t>
      </w:r>
      <w:r w:rsidRPr="00D16852">
        <w:rPr>
          <w:i/>
          <w:iCs/>
          <w:sz w:val="20"/>
          <w:szCs w:val="20"/>
        </w:rPr>
        <w:t>The Letters and Charters of Henry II</w:t>
      </w:r>
      <w:r w:rsidRPr="00D16852">
        <w:rPr>
          <w:sz w:val="20"/>
          <w:szCs w:val="20"/>
        </w:rPr>
        <w:t>, ed. Nicholas Vincent</w:t>
      </w:r>
      <w:r w:rsidR="00844BEA">
        <w:rPr>
          <w:sz w:val="20"/>
          <w:szCs w:val="20"/>
        </w:rPr>
        <w:t>,</w:t>
      </w:r>
      <w:r w:rsidRPr="00D16852">
        <w:rPr>
          <w:sz w:val="20"/>
          <w:szCs w:val="20"/>
        </w:rPr>
        <w:t xml:space="preserve"> six volumes so far, Oxford 2020, no. 294, note.</w:t>
      </w:r>
      <w:r w:rsidR="004538D7" w:rsidRPr="00D16852">
        <w:rPr>
          <w:sz w:val="20"/>
          <w:szCs w:val="20"/>
        </w:rPr>
        <w:t xml:space="preserve"> </w:t>
      </w:r>
    </w:p>
  </w:footnote>
  <w:footnote w:id="14">
    <w:p w14:paraId="63C0B017" w14:textId="25AE9853" w:rsidR="00FE51B8" w:rsidRPr="00D16852" w:rsidRDefault="00FE51B8" w:rsidP="00575C8B">
      <w:pPr>
        <w:pStyle w:val="FootnoteText"/>
        <w:jc w:val="both"/>
      </w:pPr>
      <w:r w:rsidRPr="00D16852">
        <w:rPr>
          <w:rStyle w:val="FootnoteReference"/>
        </w:rPr>
        <w:footnoteRef/>
      </w:r>
      <w:r w:rsidRPr="00D16852">
        <w:t xml:space="preserve"> </w:t>
      </w:r>
      <w:r w:rsidRPr="00D16852">
        <w:rPr>
          <w:i/>
          <w:iCs/>
        </w:rPr>
        <w:t>Charters of Henry II</w:t>
      </w:r>
      <w:r w:rsidRPr="00D16852">
        <w:t>, ed. Vincent, no. 294.</w:t>
      </w:r>
    </w:p>
  </w:footnote>
  <w:footnote w:id="15">
    <w:p w14:paraId="7230584A" w14:textId="289CE29E" w:rsidR="00FE51B8" w:rsidRPr="00D16852" w:rsidRDefault="00FE51B8" w:rsidP="00575C8B">
      <w:pPr>
        <w:pStyle w:val="FootnoteText"/>
        <w:jc w:val="both"/>
      </w:pPr>
      <w:r w:rsidRPr="00D16852">
        <w:rPr>
          <w:rStyle w:val="FootnoteReference"/>
        </w:rPr>
        <w:footnoteRef/>
      </w:r>
      <w:r w:rsidRPr="00D16852">
        <w:t xml:space="preserve"> </w:t>
      </w:r>
      <w:r w:rsidRPr="00D16852">
        <w:rPr>
          <w:i/>
          <w:iCs/>
        </w:rPr>
        <w:t>Charters of Henry II</w:t>
      </w:r>
      <w:r w:rsidRPr="00D16852">
        <w:t>, ed. Vincent, no. 294 note.</w:t>
      </w:r>
    </w:p>
  </w:footnote>
  <w:footnote w:id="16">
    <w:p w14:paraId="43B80B57" w14:textId="532FFC4E" w:rsidR="00FE51B8" w:rsidRPr="00D16852" w:rsidRDefault="00FE51B8" w:rsidP="00575C8B">
      <w:pPr>
        <w:pStyle w:val="FootnoteText"/>
        <w:jc w:val="both"/>
      </w:pPr>
      <w:r w:rsidRPr="00D16852">
        <w:rPr>
          <w:rStyle w:val="FootnoteReference"/>
        </w:rPr>
        <w:footnoteRef/>
      </w:r>
      <w:r w:rsidRPr="00D16852">
        <w:t xml:space="preserve"> For instance, T. A. M. Bishop, </w:t>
      </w:r>
      <w:r w:rsidRPr="00D16852">
        <w:rPr>
          <w:i/>
          <w:iCs/>
        </w:rPr>
        <w:t>Scriptores Regis</w:t>
      </w:r>
      <w:r w:rsidR="00D16F0A">
        <w:t xml:space="preserve">, </w:t>
      </w:r>
      <w:r w:rsidRPr="00D16852">
        <w:t>Oxford 1961, plate XVIII(</w:t>
      </w:r>
      <w:r w:rsidRPr="00D16852">
        <w:rPr>
          <w:i/>
        </w:rPr>
        <w:t>b</w:t>
      </w:r>
      <w:r w:rsidRPr="00D16852">
        <w:t xml:space="preserve">).  </w:t>
      </w:r>
    </w:p>
  </w:footnote>
  <w:footnote w:id="17">
    <w:p w14:paraId="01574B49" w14:textId="70F67C44" w:rsidR="005230BE" w:rsidRPr="00D16852" w:rsidRDefault="005230BE" w:rsidP="00575C8B">
      <w:pPr>
        <w:pStyle w:val="FootnoteText"/>
        <w:jc w:val="both"/>
      </w:pPr>
      <w:r w:rsidRPr="00D16852">
        <w:rPr>
          <w:rStyle w:val="FootnoteReference"/>
        </w:rPr>
        <w:footnoteRef/>
      </w:r>
      <w:r w:rsidRPr="00D16852">
        <w:t xml:space="preserve"> </w:t>
      </w:r>
      <w:r w:rsidR="00B562F0" w:rsidRPr="00B562F0">
        <w:rPr>
          <w:i/>
          <w:iCs/>
        </w:rPr>
        <w:t>PR 31 Henry I</w:t>
      </w:r>
      <w:r w:rsidR="00624884" w:rsidRPr="00D16852">
        <w:t xml:space="preserve">, </w:t>
      </w:r>
      <w:r w:rsidR="00BF5DFA" w:rsidRPr="00D16852">
        <w:t>1</w:t>
      </w:r>
      <w:r w:rsidRPr="00D16852">
        <w:t>8</w:t>
      </w:r>
      <w:r w:rsidR="00624884" w:rsidRPr="00D16852">
        <w:t>.</w:t>
      </w:r>
    </w:p>
  </w:footnote>
  <w:footnote w:id="18">
    <w:p w14:paraId="405E4261" w14:textId="3F980C71" w:rsidR="005230BE" w:rsidRPr="00D16852" w:rsidRDefault="005230BE" w:rsidP="00575C8B">
      <w:pPr>
        <w:pStyle w:val="NoSpacing"/>
        <w:jc w:val="both"/>
        <w:rPr>
          <w:sz w:val="20"/>
          <w:szCs w:val="20"/>
        </w:rPr>
      </w:pPr>
      <w:r w:rsidRPr="00D16852">
        <w:rPr>
          <w:rStyle w:val="FootnoteReference"/>
          <w:sz w:val="20"/>
          <w:szCs w:val="20"/>
        </w:rPr>
        <w:footnoteRef/>
      </w:r>
      <w:r w:rsidRPr="00D16852">
        <w:rPr>
          <w:sz w:val="20"/>
          <w:szCs w:val="20"/>
        </w:rPr>
        <w:t xml:space="preserve"> </w:t>
      </w:r>
      <w:r w:rsidR="009B6EA1" w:rsidRPr="00D16852">
        <w:rPr>
          <w:i/>
          <w:iCs/>
          <w:sz w:val="20"/>
          <w:szCs w:val="20"/>
        </w:rPr>
        <w:t>Reading Abbey Cartularies</w:t>
      </w:r>
      <w:r w:rsidR="009B6EA1" w:rsidRPr="00D16852">
        <w:rPr>
          <w:sz w:val="20"/>
          <w:szCs w:val="20"/>
        </w:rPr>
        <w:t>, ed. B. R. Kemp, Camden fourth series 31, 33</w:t>
      </w:r>
      <w:r w:rsidR="00D16F0A">
        <w:rPr>
          <w:sz w:val="20"/>
          <w:szCs w:val="20"/>
        </w:rPr>
        <w:t xml:space="preserve">, </w:t>
      </w:r>
      <w:r w:rsidR="009B6EA1" w:rsidRPr="00D16852">
        <w:rPr>
          <w:sz w:val="20"/>
          <w:szCs w:val="20"/>
        </w:rPr>
        <w:t>1986, 1987, i. nos. 307</w:t>
      </w:r>
      <w:r w:rsidR="00D16852" w:rsidRPr="00D16852">
        <w:rPr>
          <w:i/>
          <w:iCs/>
          <w:sz w:val="20"/>
          <w:szCs w:val="20"/>
        </w:rPr>
        <w:t>–</w:t>
      </w:r>
      <w:r w:rsidR="009B6EA1" w:rsidRPr="00D16852">
        <w:rPr>
          <w:sz w:val="20"/>
          <w:szCs w:val="20"/>
        </w:rPr>
        <w:t xml:space="preserve">8 </w:t>
      </w:r>
      <w:r w:rsidR="00C3085A" w:rsidRPr="00D16852">
        <w:rPr>
          <w:sz w:val="20"/>
          <w:szCs w:val="20"/>
        </w:rPr>
        <w:t xml:space="preserve">(also </w:t>
      </w:r>
      <w:r w:rsidR="000E2DA2" w:rsidRPr="0057300B">
        <w:rPr>
          <w:i/>
          <w:iCs/>
          <w:sz w:val="20"/>
          <w:szCs w:val="20"/>
        </w:rPr>
        <w:t xml:space="preserve">Regesta, </w:t>
      </w:r>
      <w:r w:rsidR="000E2DA2" w:rsidRPr="0057300B">
        <w:rPr>
          <w:sz w:val="20"/>
          <w:szCs w:val="20"/>
        </w:rPr>
        <w:t>ii</w:t>
      </w:r>
      <w:r w:rsidR="00B562F0" w:rsidRPr="0057300B">
        <w:rPr>
          <w:sz w:val="20"/>
          <w:szCs w:val="20"/>
        </w:rPr>
        <w:t xml:space="preserve">. </w:t>
      </w:r>
      <w:r w:rsidR="000E2DA2" w:rsidRPr="0057300B">
        <w:rPr>
          <w:sz w:val="20"/>
          <w:szCs w:val="20"/>
        </w:rPr>
        <w:t xml:space="preserve">no. </w:t>
      </w:r>
      <w:r w:rsidR="0057300B" w:rsidRPr="0057300B">
        <w:rPr>
          <w:sz w:val="20"/>
          <w:szCs w:val="20"/>
        </w:rPr>
        <w:t>1862</w:t>
      </w:r>
      <w:r w:rsidR="00C3085A" w:rsidRPr="0057300B">
        <w:rPr>
          <w:sz w:val="20"/>
          <w:szCs w:val="20"/>
        </w:rPr>
        <w:t>)</w:t>
      </w:r>
      <w:r w:rsidR="000813B4" w:rsidRPr="0057300B">
        <w:rPr>
          <w:sz w:val="20"/>
          <w:szCs w:val="20"/>
        </w:rPr>
        <w:t xml:space="preserve">, </w:t>
      </w:r>
      <w:r w:rsidR="009B6EA1" w:rsidRPr="003858A7">
        <w:rPr>
          <w:sz w:val="20"/>
          <w:szCs w:val="20"/>
        </w:rPr>
        <w:t>141</w:t>
      </w:r>
      <w:r w:rsidR="00CE4687">
        <w:rPr>
          <w:sz w:val="20"/>
          <w:szCs w:val="20"/>
        </w:rPr>
        <w:t>,</w:t>
      </w:r>
      <w:r w:rsidR="009B6EA1" w:rsidRPr="003858A7">
        <w:rPr>
          <w:sz w:val="20"/>
          <w:szCs w:val="20"/>
        </w:rPr>
        <w:t xml:space="preserve"> </w:t>
      </w:r>
      <w:r w:rsidRPr="003858A7">
        <w:rPr>
          <w:sz w:val="20"/>
          <w:szCs w:val="20"/>
        </w:rPr>
        <w:t>10</w:t>
      </w:r>
      <w:r w:rsidR="00CE4687">
        <w:rPr>
          <w:sz w:val="20"/>
          <w:szCs w:val="20"/>
        </w:rPr>
        <w:t>,</w:t>
      </w:r>
      <w:r w:rsidRPr="003858A7">
        <w:rPr>
          <w:sz w:val="20"/>
          <w:szCs w:val="20"/>
        </w:rPr>
        <w:t xml:space="preserve"> 309</w:t>
      </w:r>
      <w:r w:rsidR="00C3085A" w:rsidRPr="00D16852">
        <w:rPr>
          <w:sz w:val="20"/>
          <w:szCs w:val="20"/>
        </w:rPr>
        <w:t xml:space="preserve"> (also </w:t>
      </w:r>
      <w:r w:rsidR="000E2DA2" w:rsidRPr="00D16852">
        <w:rPr>
          <w:i/>
          <w:iCs/>
          <w:sz w:val="20"/>
          <w:szCs w:val="20"/>
        </w:rPr>
        <w:t xml:space="preserve">Regesta, </w:t>
      </w:r>
      <w:r w:rsidR="000E2DA2" w:rsidRPr="00D16852">
        <w:rPr>
          <w:sz w:val="20"/>
          <w:szCs w:val="20"/>
        </w:rPr>
        <w:t>iii</w:t>
      </w:r>
      <w:r w:rsidR="00B562F0">
        <w:rPr>
          <w:sz w:val="20"/>
          <w:szCs w:val="20"/>
        </w:rPr>
        <w:t xml:space="preserve">. </w:t>
      </w:r>
      <w:r w:rsidRPr="00D16852">
        <w:rPr>
          <w:sz w:val="20"/>
          <w:szCs w:val="20"/>
        </w:rPr>
        <w:t>no. 686</w:t>
      </w:r>
      <w:r w:rsidR="00C3085A" w:rsidRPr="00D16852">
        <w:rPr>
          <w:sz w:val="20"/>
          <w:szCs w:val="20"/>
        </w:rPr>
        <w:t>)</w:t>
      </w:r>
      <w:r w:rsidR="00ED3202">
        <w:rPr>
          <w:sz w:val="20"/>
          <w:szCs w:val="20"/>
        </w:rPr>
        <w:t>.</w:t>
      </w:r>
    </w:p>
  </w:footnote>
  <w:footnote w:id="19">
    <w:p w14:paraId="7B25605F" w14:textId="41050E69" w:rsidR="005230BE" w:rsidRPr="00D16852" w:rsidRDefault="005230BE" w:rsidP="00575C8B">
      <w:pPr>
        <w:pStyle w:val="FootnoteText"/>
        <w:jc w:val="both"/>
      </w:pPr>
      <w:r w:rsidRPr="00D16852">
        <w:rPr>
          <w:rStyle w:val="FootnoteReference"/>
        </w:rPr>
        <w:footnoteRef/>
      </w:r>
      <w:r w:rsidRPr="00D16852">
        <w:t xml:space="preserve"> </w:t>
      </w:r>
      <w:r w:rsidR="007D6CB9" w:rsidRPr="007D6CB9">
        <w:rPr>
          <w:i/>
          <w:iCs/>
        </w:rPr>
        <w:t>Ctl.</w:t>
      </w:r>
      <w:r w:rsidR="007D6CB9">
        <w:t xml:space="preserve"> </w:t>
      </w:r>
      <w:r w:rsidRPr="00D16852">
        <w:rPr>
          <w:i/>
          <w:iCs/>
        </w:rPr>
        <w:t>Reading</w:t>
      </w:r>
      <w:r w:rsidRPr="00D16852">
        <w:t>, nos. 311</w:t>
      </w:r>
      <w:r w:rsidR="001A7948" w:rsidRPr="00D16852">
        <w:rPr>
          <w:i/>
          <w:iCs/>
        </w:rPr>
        <w:t>–</w:t>
      </w:r>
      <w:r w:rsidRPr="00D16852">
        <w:t>21</w:t>
      </w:r>
      <w:r w:rsidR="00ED3202">
        <w:t>.</w:t>
      </w:r>
    </w:p>
  </w:footnote>
  <w:footnote w:id="20">
    <w:p w14:paraId="7FEBA6A1" w14:textId="616FAC29" w:rsidR="004538D7" w:rsidRPr="00D16852" w:rsidRDefault="004538D7" w:rsidP="00575C8B">
      <w:pPr>
        <w:pStyle w:val="FootnoteText"/>
        <w:jc w:val="both"/>
      </w:pPr>
      <w:r w:rsidRPr="00D16852">
        <w:rPr>
          <w:rStyle w:val="FootnoteReference"/>
        </w:rPr>
        <w:footnoteRef/>
      </w:r>
      <w:r w:rsidRPr="00D16852">
        <w:t xml:space="preserve"> </w:t>
      </w:r>
      <w:r w:rsidR="007D6CB9">
        <w:rPr>
          <w:i/>
          <w:iCs/>
        </w:rPr>
        <w:t xml:space="preserve">Ctl. </w:t>
      </w:r>
      <w:r w:rsidR="00C3085A" w:rsidRPr="00D16852">
        <w:rPr>
          <w:i/>
          <w:iCs/>
        </w:rPr>
        <w:t>Reading</w:t>
      </w:r>
      <w:r w:rsidR="00C3085A" w:rsidRPr="00D16852">
        <w:t>, nos. 307</w:t>
      </w:r>
      <w:r w:rsidR="001A7948" w:rsidRPr="00D16852">
        <w:rPr>
          <w:i/>
          <w:iCs/>
        </w:rPr>
        <w:t>–</w:t>
      </w:r>
      <w:r w:rsidR="00C3085A" w:rsidRPr="00D16852">
        <w:t>8 (</w:t>
      </w:r>
      <w:r w:rsidR="00C3085A" w:rsidRPr="0057300B">
        <w:t xml:space="preserve">also </w:t>
      </w:r>
      <w:r w:rsidR="00C3085A" w:rsidRPr="0057300B">
        <w:rPr>
          <w:i/>
          <w:iCs/>
        </w:rPr>
        <w:t xml:space="preserve">Regesta, </w:t>
      </w:r>
      <w:r w:rsidR="00C3085A" w:rsidRPr="0057300B">
        <w:t>ii</w:t>
      </w:r>
      <w:r w:rsidR="00B562F0" w:rsidRPr="0057300B">
        <w:t>.</w:t>
      </w:r>
      <w:r w:rsidR="00C3085A" w:rsidRPr="0057300B">
        <w:t xml:space="preserve"> no. </w:t>
      </w:r>
      <w:r w:rsidR="0057300B" w:rsidRPr="0057300B">
        <w:t>1862</w:t>
      </w:r>
      <w:r w:rsidR="00C3085A" w:rsidRPr="0057300B">
        <w:t>)</w:t>
      </w:r>
      <w:r w:rsidR="00ED3202" w:rsidRPr="0057300B">
        <w:t>.</w:t>
      </w:r>
    </w:p>
  </w:footnote>
  <w:footnote w:id="21">
    <w:p w14:paraId="63EF143F" w14:textId="524A6405" w:rsidR="005230BE" w:rsidRPr="00D16852" w:rsidRDefault="005230BE" w:rsidP="00575C8B">
      <w:pPr>
        <w:pStyle w:val="FootnoteText"/>
        <w:jc w:val="both"/>
      </w:pPr>
      <w:r w:rsidRPr="00D16852">
        <w:rPr>
          <w:rStyle w:val="FootnoteReference"/>
        </w:rPr>
        <w:footnoteRef/>
      </w:r>
      <w:r w:rsidRPr="00D16852">
        <w:t xml:space="preserve"> </w:t>
      </w:r>
      <w:r w:rsidR="007D6CB9" w:rsidRPr="007D6CB9">
        <w:rPr>
          <w:i/>
          <w:iCs/>
        </w:rPr>
        <w:t>Ctl.</w:t>
      </w:r>
      <w:r w:rsidR="007D6CB9">
        <w:t xml:space="preserve"> </w:t>
      </w:r>
      <w:r w:rsidRPr="00D16852">
        <w:rPr>
          <w:i/>
          <w:iCs/>
        </w:rPr>
        <w:t>Reading</w:t>
      </w:r>
      <w:r w:rsidR="007D6CB9">
        <w:rPr>
          <w:i/>
          <w:iCs/>
        </w:rPr>
        <w:t>,</w:t>
      </w:r>
      <w:r w:rsidRPr="00D16852">
        <w:t xml:space="preserve"> no. 310 and note on its meaning; </w:t>
      </w:r>
      <w:r w:rsidR="000E2DA2" w:rsidRPr="00D16852">
        <w:rPr>
          <w:i/>
          <w:iCs/>
        </w:rPr>
        <w:t xml:space="preserve">Regesta, </w:t>
      </w:r>
      <w:r w:rsidR="000E2DA2" w:rsidRPr="00D16852">
        <w:t>iii</w:t>
      </w:r>
      <w:r w:rsidR="00412B5D">
        <w:t xml:space="preserve">. </w:t>
      </w:r>
      <w:r w:rsidR="000E2DA2" w:rsidRPr="00D16852">
        <w:t xml:space="preserve">no. </w:t>
      </w:r>
      <w:r w:rsidRPr="00D16852">
        <w:t>684</w:t>
      </w:r>
      <w:r w:rsidR="00ED3202">
        <w:t>.</w:t>
      </w:r>
    </w:p>
  </w:footnote>
  <w:footnote w:id="22">
    <w:p w14:paraId="7C42278C" w14:textId="6E392FAA" w:rsidR="00BF5DFA" w:rsidRPr="00D16852" w:rsidRDefault="00BF5DFA" w:rsidP="00575C8B">
      <w:pPr>
        <w:pStyle w:val="FootnoteText"/>
        <w:jc w:val="both"/>
      </w:pPr>
      <w:r w:rsidRPr="00D16852">
        <w:rPr>
          <w:rStyle w:val="FootnoteReference"/>
        </w:rPr>
        <w:footnoteRef/>
      </w:r>
      <w:r w:rsidRPr="00D16852">
        <w:t xml:space="preserve"> TNA</w:t>
      </w:r>
      <w:r w:rsidR="00D14736" w:rsidRPr="00D16852">
        <w:t>,</w:t>
      </w:r>
      <w:r w:rsidRPr="00D16852">
        <w:t xml:space="preserve"> E315/53, no. 223. </w:t>
      </w:r>
      <w:r w:rsidR="00586261" w:rsidRPr="00D16852">
        <w:t xml:space="preserve">It was made </w:t>
      </w:r>
      <w:r w:rsidR="00D14736" w:rsidRPr="00D16852">
        <w:t xml:space="preserve">in 1164 </w:t>
      </w:r>
      <w:r w:rsidR="00586261" w:rsidRPr="00D16852">
        <w:t xml:space="preserve">at the consecration of Reading </w:t>
      </w:r>
      <w:r w:rsidR="000A14E9">
        <w:t>a</w:t>
      </w:r>
      <w:r w:rsidR="00586261" w:rsidRPr="00D16852">
        <w:t xml:space="preserve">bbey in the presence of Henry II, Thomas Becket and Bishop Henry of Winchester. </w:t>
      </w:r>
    </w:p>
  </w:footnote>
  <w:footnote w:id="23">
    <w:p w14:paraId="4588FF34" w14:textId="0258D47A" w:rsidR="001D5817" w:rsidRPr="00D16852" w:rsidRDefault="001D5817" w:rsidP="00575C8B">
      <w:pPr>
        <w:pStyle w:val="FootnoteText"/>
        <w:jc w:val="both"/>
        <w:rPr>
          <w:highlight w:val="yellow"/>
        </w:rPr>
      </w:pPr>
      <w:r w:rsidRPr="00D16852">
        <w:rPr>
          <w:rStyle w:val="FootnoteReference"/>
        </w:rPr>
        <w:footnoteRef/>
      </w:r>
      <w:r w:rsidRPr="00D16852">
        <w:t xml:space="preserve"> </w:t>
      </w:r>
      <w:r w:rsidR="00400A68" w:rsidRPr="00D16852">
        <w:t xml:space="preserve">Bearman, ed., </w:t>
      </w:r>
      <w:r w:rsidR="00400A68" w:rsidRPr="00D16852">
        <w:rPr>
          <w:i/>
          <w:iCs/>
        </w:rPr>
        <w:t>Charters of the Redvers</w:t>
      </w:r>
      <w:r w:rsidR="00400A68" w:rsidRPr="00D16852">
        <w:t>, no</w:t>
      </w:r>
      <w:r w:rsidR="000813B4">
        <w:t>s</w:t>
      </w:r>
      <w:r w:rsidR="00400A68" w:rsidRPr="00D16852">
        <w:t>. 15</w:t>
      </w:r>
      <w:r w:rsidR="000813B4">
        <w:t xml:space="preserve">, </w:t>
      </w:r>
      <w:r w:rsidR="00400A68" w:rsidRPr="00D16852">
        <w:t>33</w:t>
      </w:r>
      <w:r w:rsidR="000813B4">
        <w:t xml:space="preserve">, </w:t>
      </w:r>
      <w:r w:rsidR="00400A68" w:rsidRPr="00D16852">
        <w:t xml:space="preserve">56: </w:t>
      </w:r>
      <w:r w:rsidR="00400A68" w:rsidRPr="00D16852">
        <w:rPr>
          <w:i/>
          <w:iCs/>
        </w:rPr>
        <w:t>The Christchurch Priory Cartulary</w:t>
      </w:r>
      <w:r w:rsidR="00400A68" w:rsidRPr="00D16852">
        <w:t>, ed. Katherine A. Hanna, Hampshire Record Series 18</w:t>
      </w:r>
      <w:r w:rsidR="00D16F0A">
        <w:t xml:space="preserve">, </w:t>
      </w:r>
      <w:r w:rsidR="00400A68" w:rsidRPr="00D16852">
        <w:t xml:space="preserve">2007, </w:t>
      </w:r>
      <w:r w:rsidR="00CE3FE0" w:rsidRPr="00D16852">
        <w:t>no</w:t>
      </w:r>
      <w:r w:rsidR="000813B4">
        <w:t>s</w:t>
      </w:r>
      <w:r w:rsidR="00CE3FE0" w:rsidRPr="00D16852">
        <w:t>. 1</w:t>
      </w:r>
      <w:r w:rsidR="000813B4">
        <w:t xml:space="preserve">, </w:t>
      </w:r>
      <w:r w:rsidR="00CE3FE0" w:rsidRPr="00D16852">
        <w:t>2</w:t>
      </w:r>
      <w:r w:rsidR="000813B4">
        <w:t xml:space="preserve">, </w:t>
      </w:r>
      <w:r w:rsidR="00CE3FE0" w:rsidRPr="00D16852">
        <w:t>3</w:t>
      </w:r>
      <w:r w:rsidR="000813B4">
        <w:t xml:space="preserve">, </w:t>
      </w:r>
      <w:r w:rsidR="00CE3FE0" w:rsidRPr="00D16852">
        <w:t>35.</w:t>
      </w:r>
    </w:p>
  </w:footnote>
  <w:footnote w:id="24">
    <w:p w14:paraId="33B33898" w14:textId="4D5C6BAF" w:rsidR="001D5817" w:rsidRPr="00D16852" w:rsidRDefault="001D5817" w:rsidP="00575C8B">
      <w:pPr>
        <w:pStyle w:val="FootnoteText"/>
        <w:jc w:val="both"/>
      </w:pPr>
      <w:r w:rsidRPr="00D16852">
        <w:rPr>
          <w:rStyle w:val="FootnoteReference"/>
        </w:rPr>
        <w:footnoteRef/>
      </w:r>
      <w:r w:rsidRPr="00D16852">
        <w:t xml:space="preserve"> </w:t>
      </w:r>
      <w:r w:rsidRPr="00D16852">
        <w:rPr>
          <w:i/>
          <w:iCs/>
        </w:rPr>
        <w:t>C</w:t>
      </w:r>
      <w:r w:rsidR="00284350">
        <w:rPr>
          <w:i/>
          <w:iCs/>
        </w:rPr>
        <w:t>tl. C</w:t>
      </w:r>
      <w:r w:rsidRPr="00D16852">
        <w:rPr>
          <w:i/>
          <w:iCs/>
        </w:rPr>
        <w:t>hristchurch</w:t>
      </w:r>
      <w:r w:rsidR="00284350">
        <w:t>,</w:t>
      </w:r>
      <w:r w:rsidRPr="00D16852">
        <w:rPr>
          <w:i/>
          <w:iCs/>
        </w:rPr>
        <w:t xml:space="preserve"> </w:t>
      </w:r>
      <w:r w:rsidRPr="00D16852">
        <w:t>no. 19</w:t>
      </w:r>
      <w:r w:rsidR="00ED3202">
        <w:t>.</w:t>
      </w:r>
    </w:p>
  </w:footnote>
  <w:footnote w:id="25">
    <w:p w14:paraId="7D8EFCBA" w14:textId="6C86D7A6" w:rsidR="001D5817" w:rsidRPr="00D16852" w:rsidRDefault="001D5817" w:rsidP="00575C8B">
      <w:pPr>
        <w:pStyle w:val="FootnoteText"/>
        <w:jc w:val="both"/>
      </w:pPr>
      <w:r w:rsidRPr="00D16852">
        <w:rPr>
          <w:rStyle w:val="FootnoteReference"/>
        </w:rPr>
        <w:footnoteRef/>
      </w:r>
      <w:r w:rsidRPr="00D16852">
        <w:t xml:space="preserve"> </w:t>
      </w:r>
      <w:r w:rsidR="00C90E82" w:rsidRPr="00D16852">
        <w:t xml:space="preserve">P. H. </w:t>
      </w:r>
      <w:r w:rsidRPr="00D16852">
        <w:t>Hase</w:t>
      </w:r>
      <w:r w:rsidR="00C90E82" w:rsidRPr="00D16852">
        <w:t xml:space="preserve">, </w:t>
      </w:r>
      <w:r w:rsidR="00F53938">
        <w:t>‘</w:t>
      </w:r>
      <w:r w:rsidR="00C90E82" w:rsidRPr="00D16852">
        <w:t xml:space="preserve">The Mother Churches of Hampshire’, in </w:t>
      </w:r>
      <w:r w:rsidR="00C90E82" w:rsidRPr="00D16852">
        <w:rPr>
          <w:i/>
          <w:iCs/>
        </w:rPr>
        <w:t>Minsters and Parish Churches: The Local Church in Transition, 950</w:t>
      </w:r>
      <w:r w:rsidR="001A7948" w:rsidRPr="00D16852">
        <w:rPr>
          <w:i/>
          <w:iCs/>
        </w:rPr>
        <w:t>–</w:t>
      </w:r>
      <w:r w:rsidR="00C90E82" w:rsidRPr="00D16852">
        <w:rPr>
          <w:i/>
          <w:iCs/>
        </w:rPr>
        <w:t>1200</w:t>
      </w:r>
      <w:r w:rsidR="00C90E82" w:rsidRPr="00D16852">
        <w:t xml:space="preserve">, ed. John </w:t>
      </w:r>
      <w:r w:rsidRPr="00D16852">
        <w:t>Blair</w:t>
      </w:r>
      <w:r w:rsidR="00D16F0A">
        <w:t xml:space="preserve">, </w:t>
      </w:r>
      <w:r w:rsidR="00C90E82" w:rsidRPr="00D16852">
        <w:t>Oxford 1988, 45</w:t>
      </w:r>
      <w:r w:rsidR="001A7948" w:rsidRPr="00D16852">
        <w:rPr>
          <w:i/>
          <w:iCs/>
        </w:rPr>
        <w:t>–</w:t>
      </w:r>
      <w:r w:rsidR="00C90E82" w:rsidRPr="00D16852">
        <w:t>66, at 55, 56, 57, 60</w:t>
      </w:r>
      <w:r w:rsidR="00D14736" w:rsidRPr="00D16852">
        <w:t xml:space="preserve">; </w:t>
      </w:r>
      <w:r w:rsidR="00ED5454">
        <w:rPr>
          <w:i/>
          <w:iCs/>
        </w:rPr>
        <w:t xml:space="preserve">Ctl. </w:t>
      </w:r>
      <w:r w:rsidR="00D14736" w:rsidRPr="00D16852">
        <w:rPr>
          <w:i/>
          <w:iCs/>
        </w:rPr>
        <w:t xml:space="preserve">Christchurch </w:t>
      </w:r>
      <w:r w:rsidR="00D14736" w:rsidRPr="00D16852">
        <w:t>, no. 1009</w:t>
      </w:r>
      <w:r w:rsidR="00ED3202">
        <w:t>.</w:t>
      </w:r>
    </w:p>
  </w:footnote>
  <w:footnote w:id="26">
    <w:p w14:paraId="31A1715F" w14:textId="67CC2CAE" w:rsidR="001D5817" w:rsidRPr="00D16852" w:rsidRDefault="001D5817" w:rsidP="00575C8B">
      <w:pPr>
        <w:pStyle w:val="FootnoteText"/>
        <w:jc w:val="both"/>
        <w:rPr>
          <w:highlight w:val="yellow"/>
        </w:rPr>
      </w:pPr>
      <w:r w:rsidRPr="00D16852">
        <w:rPr>
          <w:rStyle w:val="FootnoteReference"/>
        </w:rPr>
        <w:footnoteRef/>
      </w:r>
      <w:r w:rsidRPr="00D16852">
        <w:t xml:space="preserve"> </w:t>
      </w:r>
      <w:r w:rsidR="00D14736" w:rsidRPr="00D16852">
        <w:t xml:space="preserve">Hase, </w:t>
      </w:r>
      <w:r w:rsidR="002C0768">
        <w:t>‘</w:t>
      </w:r>
      <w:r w:rsidR="00D14736" w:rsidRPr="00D16852">
        <w:t>Mother Churches</w:t>
      </w:r>
      <w:r w:rsidR="002C0768">
        <w:t>’</w:t>
      </w:r>
      <w:r w:rsidR="00D14736" w:rsidRPr="00D16852">
        <w:t xml:space="preserve">, 60; </w:t>
      </w:r>
      <w:r w:rsidR="00ED5454">
        <w:rPr>
          <w:i/>
          <w:iCs/>
        </w:rPr>
        <w:t xml:space="preserve">Ctl. </w:t>
      </w:r>
      <w:r w:rsidR="00D14736" w:rsidRPr="00D16852">
        <w:rPr>
          <w:i/>
          <w:iCs/>
        </w:rPr>
        <w:t xml:space="preserve">Christchurch </w:t>
      </w:r>
      <w:r w:rsidR="00D14736" w:rsidRPr="00D16852">
        <w:t>, no. 1009</w:t>
      </w:r>
      <w:r w:rsidR="00ED3202">
        <w:t>.</w:t>
      </w:r>
    </w:p>
  </w:footnote>
  <w:footnote w:id="27">
    <w:p w14:paraId="7697918E" w14:textId="02BA33EA" w:rsidR="009D5BEB" w:rsidRPr="00D16852" w:rsidRDefault="009D5BEB" w:rsidP="00575C8B">
      <w:pPr>
        <w:pStyle w:val="FootnoteText"/>
        <w:jc w:val="both"/>
      </w:pPr>
      <w:r w:rsidRPr="00D16852">
        <w:rPr>
          <w:rStyle w:val="FootnoteReference"/>
        </w:rPr>
        <w:footnoteRef/>
      </w:r>
      <w:r w:rsidRPr="00D16852">
        <w:t xml:space="preserve"> </w:t>
      </w:r>
      <w:r w:rsidRPr="00D16852">
        <w:rPr>
          <w:i/>
          <w:iCs/>
        </w:rPr>
        <w:t>E</w:t>
      </w:r>
      <w:r w:rsidR="00A52BDF" w:rsidRPr="00D16852">
        <w:rPr>
          <w:i/>
          <w:iCs/>
        </w:rPr>
        <w:t xml:space="preserve">nglish </w:t>
      </w:r>
      <w:r w:rsidRPr="00D16852">
        <w:rPr>
          <w:i/>
          <w:iCs/>
        </w:rPr>
        <w:t>E</w:t>
      </w:r>
      <w:r w:rsidR="00A52BDF" w:rsidRPr="00D16852">
        <w:rPr>
          <w:i/>
          <w:iCs/>
        </w:rPr>
        <w:t xml:space="preserve">piscopal </w:t>
      </w:r>
      <w:r w:rsidRPr="00D16852">
        <w:rPr>
          <w:i/>
          <w:iCs/>
        </w:rPr>
        <w:t>A</w:t>
      </w:r>
      <w:r w:rsidR="00A52BDF" w:rsidRPr="00D16852">
        <w:rPr>
          <w:i/>
          <w:iCs/>
        </w:rPr>
        <w:t>cta</w:t>
      </w:r>
      <w:r w:rsidR="00A52BDF" w:rsidRPr="00D16852">
        <w:t xml:space="preserve"> VIII:</w:t>
      </w:r>
      <w:r w:rsidRPr="00D16852">
        <w:t xml:space="preserve"> </w:t>
      </w:r>
      <w:r w:rsidRPr="00D16852">
        <w:rPr>
          <w:i/>
          <w:iCs/>
        </w:rPr>
        <w:t>Winchester</w:t>
      </w:r>
      <w:r w:rsidR="00A52BDF" w:rsidRPr="00D16852">
        <w:rPr>
          <w:i/>
          <w:iCs/>
        </w:rPr>
        <w:t>, 1070</w:t>
      </w:r>
      <w:r w:rsidR="001A7948" w:rsidRPr="00D16852">
        <w:rPr>
          <w:i/>
          <w:iCs/>
        </w:rPr>
        <w:t>–</w:t>
      </w:r>
      <w:r w:rsidR="00A52BDF" w:rsidRPr="00D16852">
        <w:rPr>
          <w:i/>
          <w:iCs/>
        </w:rPr>
        <w:t>1204</w:t>
      </w:r>
      <w:r w:rsidR="00A52BDF" w:rsidRPr="00D16852">
        <w:t>, ed. M. J. Franklin</w:t>
      </w:r>
      <w:r w:rsidR="00D16F0A">
        <w:t xml:space="preserve">, </w:t>
      </w:r>
      <w:r w:rsidR="00A52BDF" w:rsidRPr="00D16852">
        <w:t>Oxford 1993,</w:t>
      </w:r>
      <w:r w:rsidRPr="00D16852">
        <w:t xml:space="preserve"> no. 120</w:t>
      </w:r>
      <w:r w:rsidR="00CE3FE0" w:rsidRPr="00D16852">
        <w:t xml:space="preserve">, </w:t>
      </w:r>
      <w:r w:rsidR="00ED5454">
        <w:rPr>
          <w:i/>
          <w:iCs/>
        </w:rPr>
        <w:t xml:space="preserve">Ctl. </w:t>
      </w:r>
      <w:r w:rsidR="00CE3FE0" w:rsidRPr="00D16852">
        <w:rPr>
          <w:i/>
          <w:iCs/>
        </w:rPr>
        <w:t>Christchurch</w:t>
      </w:r>
      <w:r w:rsidR="00CE3FE0" w:rsidRPr="00D16852">
        <w:t>, no. 242</w:t>
      </w:r>
      <w:r w:rsidR="00A52BDF" w:rsidRPr="00D16852">
        <w:t>.</w:t>
      </w:r>
    </w:p>
  </w:footnote>
  <w:footnote w:id="28">
    <w:p w14:paraId="19870AC7" w14:textId="25C707F4" w:rsidR="001D5817" w:rsidRPr="00D16852" w:rsidRDefault="001D5817" w:rsidP="00575C8B">
      <w:pPr>
        <w:pStyle w:val="FootnoteText"/>
        <w:jc w:val="both"/>
      </w:pPr>
      <w:r w:rsidRPr="00D16852">
        <w:rPr>
          <w:rStyle w:val="FootnoteReference"/>
        </w:rPr>
        <w:footnoteRef/>
      </w:r>
      <w:r w:rsidRPr="00D16852">
        <w:t xml:space="preserve"> </w:t>
      </w:r>
      <w:r w:rsidR="00A52BDF" w:rsidRPr="00D16852">
        <w:rPr>
          <w:i/>
          <w:iCs/>
        </w:rPr>
        <w:t>EEA</w:t>
      </w:r>
      <w:r w:rsidR="00CC0988">
        <w:rPr>
          <w:i/>
          <w:iCs/>
        </w:rPr>
        <w:t xml:space="preserve"> </w:t>
      </w:r>
      <w:r w:rsidR="00A52BDF" w:rsidRPr="00D16852">
        <w:t xml:space="preserve">VIII, </w:t>
      </w:r>
      <w:r w:rsidRPr="00D16852">
        <w:t>no. 121</w:t>
      </w:r>
      <w:r w:rsidR="00CE3FE0" w:rsidRPr="00D16852">
        <w:t xml:space="preserve">, </w:t>
      </w:r>
      <w:r w:rsidR="00ED5454">
        <w:rPr>
          <w:i/>
          <w:iCs/>
        </w:rPr>
        <w:t xml:space="preserve">Ctl. </w:t>
      </w:r>
      <w:r w:rsidR="00CE3FE0" w:rsidRPr="00D16852">
        <w:rPr>
          <w:i/>
          <w:iCs/>
        </w:rPr>
        <w:t>Christchurch</w:t>
      </w:r>
      <w:r w:rsidR="00CE3FE0" w:rsidRPr="00D16852">
        <w:t>, no. 238</w:t>
      </w:r>
      <w:r w:rsidR="009D5BEB" w:rsidRPr="00D16852">
        <w:t xml:space="preserve">; </w:t>
      </w:r>
      <w:r w:rsidR="00ED5454">
        <w:rPr>
          <w:i/>
          <w:iCs/>
        </w:rPr>
        <w:t xml:space="preserve">Ctl. </w:t>
      </w:r>
      <w:r w:rsidR="00A52BDF" w:rsidRPr="00D16852">
        <w:rPr>
          <w:i/>
          <w:iCs/>
        </w:rPr>
        <w:t>Christchurch</w:t>
      </w:r>
      <w:r w:rsidR="009D5BEB" w:rsidRPr="00D16852">
        <w:t xml:space="preserve">, no. 239, </w:t>
      </w:r>
      <w:r w:rsidR="00A52BDF" w:rsidRPr="00D16852">
        <w:rPr>
          <w:i/>
          <w:iCs/>
        </w:rPr>
        <w:t xml:space="preserve">The Acta of the Bishops of </w:t>
      </w:r>
      <w:r w:rsidR="009D5BEB" w:rsidRPr="00D16852">
        <w:rPr>
          <w:i/>
          <w:iCs/>
        </w:rPr>
        <w:t>Chichester</w:t>
      </w:r>
      <w:r w:rsidR="00547C5E">
        <w:rPr>
          <w:i/>
          <w:iCs/>
        </w:rPr>
        <w:t>,</w:t>
      </w:r>
      <w:r w:rsidR="009D5BEB" w:rsidRPr="00D16852">
        <w:rPr>
          <w:i/>
          <w:iCs/>
        </w:rPr>
        <w:t xml:space="preserve"> </w:t>
      </w:r>
      <w:r w:rsidR="00A52BDF" w:rsidRPr="00D16852">
        <w:rPr>
          <w:i/>
          <w:iCs/>
        </w:rPr>
        <w:t>1075</w:t>
      </w:r>
      <w:r w:rsidR="001A7948" w:rsidRPr="00D16852">
        <w:rPr>
          <w:i/>
          <w:iCs/>
        </w:rPr>
        <w:t>–</w:t>
      </w:r>
      <w:r w:rsidR="00A52BDF" w:rsidRPr="00D16852">
        <w:rPr>
          <w:i/>
          <w:iCs/>
        </w:rPr>
        <w:t>1207</w:t>
      </w:r>
      <w:r w:rsidR="00A52BDF" w:rsidRPr="00D16852">
        <w:t>, ed. H. Mayr-Harting, Canterbury and York Society 56</w:t>
      </w:r>
      <w:r w:rsidR="00D16F0A">
        <w:t xml:space="preserve">, </w:t>
      </w:r>
      <w:r w:rsidR="00A52BDF" w:rsidRPr="00D16852">
        <w:t>1964</w:t>
      </w:r>
      <w:r w:rsidR="009D5BEB" w:rsidRPr="00D16852">
        <w:t>, no. 52</w:t>
      </w:r>
      <w:r w:rsidR="00A52BDF" w:rsidRPr="00D16852">
        <w:t>.</w:t>
      </w:r>
    </w:p>
  </w:footnote>
  <w:footnote w:id="29">
    <w:p w14:paraId="0AD679EE" w14:textId="673B0610" w:rsidR="001D5817" w:rsidRPr="00D16852" w:rsidRDefault="001D5817" w:rsidP="00575C8B">
      <w:pPr>
        <w:pStyle w:val="FootnoteText"/>
        <w:jc w:val="both"/>
      </w:pPr>
      <w:r w:rsidRPr="00D16852">
        <w:rPr>
          <w:rStyle w:val="FootnoteReference"/>
        </w:rPr>
        <w:footnoteRef/>
      </w:r>
      <w:r w:rsidRPr="00D16852">
        <w:t xml:space="preserve"> </w:t>
      </w:r>
      <w:r w:rsidRPr="00D16852">
        <w:rPr>
          <w:i/>
          <w:iCs/>
        </w:rPr>
        <w:t>E</w:t>
      </w:r>
      <w:r w:rsidR="00A52BDF" w:rsidRPr="00D16852">
        <w:rPr>
          <w:i/>
          <w:iCs/>
        </w:rPr>
        <w:t xml:space="preserve">nglish </w:t>
      </w:r>
      <w:r w:rsidRPr="00D16852">
        <w:rPr>
          <w:i/>
          <w:iCs/>
        </w:rPr>
        <w:t>E</w:t>
      </w:r>
      <w:r w:rsidR="00A52BDF" w:rsidRPr="00D16852">
        <w:rPr>
          <w:i/>
          <w:iCs/>
        </w:rPr>
        <w:t xml:space="preserve">piscopal </w:t>
      </w:r>
      <w:r w:rsidRPr="00D16852">
        <w:rPr>
          <w:i/>
          <w:iCs/>
        </w:rPr>
        <w:t>A</w:t>
      </w:r>
      <w:r w:rsidR="00A52BDF" w:rsidRPr="00D16852">
        <w:rPr>
          <w:i/>
          <w:iCs/>
        </w:rPr>
        <w:t>cta</w:t>
      </w:r>
      <w:r w:rsidR="00A52BDF" w:rsidRPr="00D16852">
        <w:t xml:space="preserve"> XI:</w:t>
      </w:r>
      <w:r w:rsidRPr="00D16852">
        <w:t xml:space="preserve"> </w:t>
      </w:r>
      <w:r w:rsidRPr="00D16852">
        <w:rPr>
          <w:i/>
          <w:iCs/>
        </w:rPr>
        <w:t>Exeter</w:t>
      </w:r>
      <w:r w:rsidR="00A52BDF" w:rsidRPr="00D16852">
        <w:rPr>
          <w:i/>
          <w:iCs/>
        </w:rPr>
        <w:t>, 1046</w:t>
      </w:r>
      <w:r w:rsidR="001A7948" w:rsidRPr="00D16852">
        <w:rPr>
          <w:i/>
          <w:iCs/>
        </w:rPr>
        <w:t>–</w:t>
      </w:r>
      <w:r w:rsidR="00A52BDF" w:rsidRPr="00D16852">
        <w:rPr>
          <w:i/>
          <w:iCs/>
        </w:rPr>
        <w:t>1184</w:t>
      </w:r>
      <w:r w:rsidR="00A52BDF" w:rsidRPr="00D16852">
        <w:t>, ed. Frank Barlow</w:t>
      </w:r>
      <w:r w:rsidR="00D16F0A">
        <w:t xml:space="preserve">, </w:t>
      </w:r>
      <w:r w:rsidR="00A52BDF" w:rsidRPr="00D16852">
        <w:t>Oxford 1996</w:t>
      </w:r>
      <w:r w:rsidRPr="00D16852">
        <w:t xml:space="preserve">, no. 81; </w:t>
      </w:r>
      <w:r w:rsidR="00ED5454">
        <w:rPr>
          <w:i/>
          <w:iCs/>
        </w:rPr>
        <w:t xml:space="preserve">Ctl. </w:t>
      </w:r>
      <w:r w:rsidR="00A52BDF" w:rsidRPr="00D16852">
        <w:rPr>
          <w:i/>
          <w:iCs/>
        </w:rPr>
        <w:t>Christchurch</w:t>
      </w:r>
      <w:r w:rsidR="00A52BDF" w:rsidRPr="00D16852">
        <w:t>, no. 234.</w:t>
      </w:r>
    </w:p>
  </w:footnote>
  <w:footnote w:id="30">
    <w:p w14:paraId="4A269C9D" w14:textId="1D03EA06" w:rsidR="001D5817" w:rsidRPr="00D16852" w:rsidRDefault="001D5817" w:rsidP="00575C8B">
      <w:pPr>
        <w:pStyle w:val="FootnoteText"/>
        <w:jc w:val="both"/>
      </w:pPr>
      <w:r w:rsidRPr="00D16852">
        <w:rPr>
          <w:rStyle w:val="FootnoteReference"/>
        </w:rPr>
        <w:footnoteRef/>
      </w:r>
      <w:r w:rsidRPr="00D16852">
        <w:t xml:space="preserve"> </w:t>
      </w:r>
      <w:r w:rsidR="00ED5454">
        <w:rPr>
          <w:i/>
          <w:iCs/>
        </w:rPr>
        <w:t xml:space="preserve">Ctl. </w:t>
      </w:r>
      <w:r w:rsidRPr="00D16852">
        <w:rPr>
          <w:i/>
          <w:iCs/>
        </w:rPr>
        <w:t>Christchurch</w:t>
      </w:r>
      <w:r w:rsidRPr="00D16852">
        <w:t>, no. 233</w:t>
      </w:r>
      <w:r w:rsidR="00ED3202">
        <w:t>.</w:t>
      </w:r>
    </w:p>
  </w:footnote>
  <w:footnote w:id="31">
    <w:p w14:paraId="46530EBF" w14:textId="07B8F096" w:rsidR="001D5817" w:rsidRPr="00D16852" w:rsidRDefault="001D5817" w:rsidP="00575C8B">
      <w:pPr>
        <w:pStyle w:val="FootnoteText"/>
        <w:jc w:val="both"/>
      </w:pPr>
      <w:r w:rsidRPr="00D16852">
        <w:rPr>
          <w:rStyle w:val="FootnoteReference"/>
        </w:rPr>
        <w:footnoteRef/>
      </w:r>
      <w:r w:rsidRPr="00D16852">
        <w:t xml:space="preserve"> </w:t>
      </w:r>
      <w:r w:rsidR="00C90E82" w:rsidRPr="00D16852">
        <w:rPr>
          <w:i/>
          <w:iCs/>
        </w:rPr>
        <w:t>V</w:t>
      </w:r>
      <w:r w:rsidR="0087181C">
        <w:rPr>
          <w:i/>
          <w:iCs/>
        </w:rPr>
        <w:t xml:space="preserve">CH </w:t>
      </w:r>
      <w:r w:rsidR="00C90E82" w:rsidRPr="00D16852">
        <w:rPr>
          <w:i/>
          <w:iCs/>
        </w:rPr>
        <w:t>Hampshire</w:t>
      </w:r>
      <w:r w:rsidR="00C90E82" w:rsidRPr="00D16852">
        <w:t xml:space="preserve">, </w:t>
      </w:r>
      <w:r w:rsidR="0087181C">
        <w:t>v.</w:t>
      </w:r>
      <w:r w:rsidR="00C90E82" w:rsidRPr="00D16852">
        <w:t xml:space="preserve"> 127</w:t>
      </w:r>
      <w:r w:rsidR="001A7948" w:rsidRPr="00D16852">
        <w:rPr>
          <w:i/>
          <w:iCs/>
        </w:rPr>
        <w:t>–</w:t>
      </w:r>
      <w:r w:rsidR="00C90E82" w:rsidRPr="00D16852">
        <w:t>32.</w:t>
      </w:r>
    </w:p>
  </w:footnote>
  <w:footnote w:id="32">
    <w:p w14:paraId="7B699BCF" w14:textId="2414ACA8" w:rsidR="001D5817" w:rsidRPr="00D16852" w:rsidRDefault="001D5817" w:rsidP="00575C8B">
      <w:pPr>
        <w:pStyle w:val="FootnoteText"/>
        <w:jc w:val="both"/>
      </w:pPr>
      <w:r w:rsidRPr="00D16852">
        <w:rPr>
          <w:rStyle w:val="FootnoteReference"/>
        </w:rPr>
        <w:footnoteRef/>
      </w:r>
      <w:r w:rsidRPr="00D16852">
        <w:t xml:space="preserve"> </w:t>
      </w:r>
      <w:r w:rsidR="00ED5454">
        <w:rPr>
          <w:i/>
          <w:iCs/>
        </w:rPr>
        <w:t xml:space="preserve">Ctl. </w:t>
      </w:r>
      <w:r w:rsidRPr="00D16852">
        <w:rPr>
          <w:i/>
          <w:iCs/>
        </w:rPr>
        <w:t>Christchurch</w:t>
      </w:r>
      <w:r w:rsidRPr="00D16852">
        <w:t>, no. 237</w:t>
      </w:r>
      <w:r w:rsidR="00ED3202">
        <w:t>.</w:t>
      </w:r>
    </w:p>
  </w:footnote>
  <w:footnote w:id="33">
    <w:p w14:paraId="1D8B6005" w14:textId="25C43E62" w:rsidR="001D5817" w:rsidRPr="00D16852" w:rsidRDefault="001D5817" w:rsidP="00575C8B">
      <w:pPr>
        <w:pStyle w:val="NoSpacing"/>
        <w:jc w:val="both"/>
        <w:rPr>
          <w:sz w:val="20"/>
          <w:szCs w:val="20"/>
        </w:rPr>
      </w:pPr>
      <w:r w:rsidRPr="00D16852">
        <w:rPr>
          <w:rStyle w:val="FootnoteReference"/>
          <w:sz w:val="20"/>
          <w:szCs w:val="20"/>
        </w:rPr>
        <w:footnoteRef/>
      </w:r>
      <w:r w:rsidRPr="00D16852">
        <w:rPr>
          <w:sz w:val="20"/>
          <w:szCs w:val="20"/>
        </w:rPr>
        <w:t xml:space="preserve"> </w:t>
      </w:r>
      <w:r w:rsidR="00B077FD" w:rsidRPr="00D16852">
        <w:rPr>
          <w:sz w:val="20"/>
          <w:szCs w:val="20"/>
        </w:rPr>
        <w:t>TNA</w:t>
      </w:r>
      <w:r w:rsidR="00D14736" w:rsidRPr="00D16852">
        <w:rPr>
          <w:sz w:val="20"/>
          <w:szCs w:val="20"/>
        </w:rPr>
        <w:t>, E326/4488</w:t>
      </w:r>
      <w:r w:rsidR="00575C8B">
        <w:rPr>
          <w:sz w:val="20"/>
          <w:szCs w:val="20"/>
        </w:rPr>
        <w:t>.</w:t>
      </w:r>
    </w:p>
  </w:footnote>
  <w:footnote w:id="34">
    <w:p w14:paraId="49632A84" w14:textId="2949B166" w:rsidR="00400A68" w:rsidRPr="00D16852" w:rsidRDefault="00400A68" w:rsidP="00575C8B">
      <w:pPr>
        <w:pStyle w:val="FootnoteText"/>
        <w:jc w:val="both"/>
      </w:pPr>
      <w:r w:rsidRPr="00D16852">
        <w:rPr>
          <w:rStyle w:val="FootnoteReference"/>
        </w:rPr>
        <w:footnoteRef/>
      </w:r>
      <w:r w:rsidRPr="00D16852">
        <w:t xml:space="preserve"> Bearman, ed., </w:t>
      </w:r>
      <w:r w:rsidRPr="00D16852">
        <w:rPr>
          <w:i/>
          <w:iCs/>
        </w:rPr>
        <w:t>Charters of the Redvers</w:t>
      </w:r>
      <w:r w:rsidRPr="00D16852">
        <w:t>, 64</w:t>
      </w:r>
      <w:r w:rsidR="001A7948" w:rsidRPr="00D16852">
        <w:rPr>
          <w:i/>
          <w:iCs/>
        </w:rPr>
        <w:t>–</w:t>
      </w:r>
      <w:r w:rsidRPr="00D16852">
        <w:t>7, no. 15: ‘quam Orricus de Stanton eidem Christi ecclesie violenter surripuit’.</w:t>
      </w:r>
    </w:p>
  </w:footnote>
  <w:footnote w:id="35">
    <w:p w14:paraId="12522600" w14:textId="4D7B92C5" w:rsidR="00FE51B8" w:rsidRPr="00D16852" w:rsidRDefault="00FE51B8" w:rsidP="00575C8B">
      <w:pPr>
        <w:pStyle w:val="FootnoteText"/>
        <w:jc w:val="both"/>
        <w:rPr>
          <w:rFonts w:cstheme="minorHAnsi"/>
        </w:rPr>
      </w:pPr>
      <w:r w:rsidRPr="00D16852">
        <w:rPr>
          <w:rStyle w:val="FootnoteReference"/>
          <w:rFonts w:cstheme="minorHAnsi"/>
        </w:rPr>
        <w:footnoteRef/>
      </w:r>
      <w:r w:rsidRPr="00D16852">
        <w:rPr>
          <w:rFonts w:cstheme="minorHAnsi"/>
        </w:rPr>
        <w:t xml:space="preserve"> </w:t>
      </w:r>
      <w:r w:rsidR="00D14736" w:rsidRPr="00D16852">
        <w:rPr>
          <w:rStyle w:val="Emphasis"/>
          <w:rFonts w:cstheme="minorHAnsi"/>
          <w:color w:val="333333"/>
          <w:shd w:val="clear" w:color="auto" w:fill="FFFFFF"/>
        </w:rPr>
        <w:t>V</w:t>
      </w:r>
      <w:r w:rsidR="0087181C">
        <w:rPr>
          <w:rStyle w:val="Emphasis"/>
          <w:rFonts w:cstheme="minorHAnsi"/>
          <w:color w:val="333333"/>
          <w:shd w:val="clear" w:color="auto" w:fill="FFFFFF"/>
        </w:rPr>
        <w:t xml:space="preserve">CH </w:t>
      </w:r>
      <w:r w:rsidRPr="00D16852">
        <w:rPr>
          <w:rStyle w:val="Emphasis"/>
          <w:rFonts w:cstheme="minorHAnsi"/>
          <w:color w:val="333333"/>
          <w:shd w:val="clear" w:color="auto" w:fill="FFFFFF"/>
        </w:rPr>
        <w:t>Hampshire</w:t>
      </w:r>
      <w:r w:rsidR="00D14736" w:rsidRPr="00D16852">
        <w:rPr>
          <w:rStyle w:val="Emphasis"/>
          <w:rFonts w:cstheme="minorHAnsi"/>
          <w:color w:val="333333"/>
          <w:shd w:val="clear" w:color="auto" w:fill="FFFFFF"/>
        </w:rPr>
        <w:t xml:space="preserve">, </w:t>
      </w:r>
      <w:r w:rsidR="0087181C">
        <w:rPr>
          <w:rStyle w:val="Emphasis"/>
          <w:rFonts w:cstheme="minorHAnsi"/>
          <w:i w:val="0"/>
          <w:iCs w:val="0"/>
          <w:color w:val="333333"/>
          <w:shd w:val="clear" w:color="auto" w:fill="FFFFFF"/>
        </w:rPr>
        <w:t>v.</w:t>
      </w:r>
      <w:r w:rsidRPr="00D16852">
        <w:rPr>
          <w:rFonts w:cstheme="minorHAnsi"/>
          <w:color w:val="333333"/>
          <w:shd w:val="clear" w:color="auto" w:fill="FFFFFF"/>
        </w:rPr>
        <w:t xml:space="preserve"> 83</w:t>
      </w:r>
      <w:r w:rsidR="001A7948" w:rsidRPr="00D16852">
        <w:rPr>
          <w:i/>
          <w:iCs/>
        </w:rPr>
        <w:t>–</w:t>
      </w:r>
      <w:r w:rsidRPr="00D16852">
        <w:rPr>
          <w:rFonts w:cstheme="minorHAnsi"/>
          <w:color w:val="333333"/>
          <w:shd w:val="clear" w:color="auto" w:fill="FFFFFF"/>
        </w:rPr>
        <w:t>101. </w:t>
      </w:r>
    </w:p>
  </w:footnote>
  <w:footnote w:id="36">
    <w:p w14:paraId="748897E0" w14:textId="1B7705AB" w:rsidR="00FE51B8" w:rsidRPr="00D16852" w:rsidRDefault="00FE51B8" w:rsidP="00575C8B">
      <w:pPr>
        <w:pStyle w:val="FootnoteText"/>
        <w:jc w:val="both"/>
      </w:pPr>
      <w:r w:rsidRPr="00D16852">
        <w:rPr>
          <w:rStyle w:val="FootnoteReference"/>
        </w:rPr>
        <w:footnoteRef/>
      </w:r>
      <w:r w:rsidRPr="00D16852">
        <w:t xml:space="preserve"> </w:t>
      </w:r>
      <w:r w:rsidR="00ED5454">
        <w:rPr>
          <w:i/>
          <w:iCs/>
        </w:rPr>
        <w:t xml:space="preserve">Ctl. </w:t>
      </w:r>
      <w:r w:rsidRPr="00D16852">
        <w:rPr>
          <w:i/>
          <w:iCs/>
        </w:rPr>
        <w:t>Christchurch</w:t>
      </w:r>
      <w:r w:rsidRPr="00D16852">
        <w:t>, no. 246</w:t>
      </w:r>
      <w:r w:rsidR="00ED3202">
        <w:t>.</w:t>
      </w:r>
    </w:p>
  </w:footnote>
  <w:footnote w:id="37">
    <w:p w14:paraId="37377053" w14:textId="53DF0452" w:rsidR="00FE51B8" w:rsidRPr="00D16852" w:rsidRDefault="00FE51B8" w:rsidP="00575C8B">
      <w:pPr>
        <w:pStyle w:val="FootnoteText"/>
        <w:jc w:val="both"/>
      </w:pPr>
      <w:r w:rsidRPr="00D16852">
        <w:rPr>
          <w:rStyle w:val="FootnoteReference"/>
        </w:rPr>
        <w:footnoteRef/>
      </w:r>
      <w:r w:rsidRPr="00D16852">
        <w:t xml:space="preserve"> </w:t>
      </w:r>
      <w:r w:rsidR="00ED5454">
        <w:rPr>
          <w:i/>
          <w:iCs/>
        </w:rPr>
        <w:t xml:space="preserve">Ctl. </w:t>
      </w:r>
      <w:r w:rsidRPr="00D16852">
        <w:rPr>
          <w:i/>
          <w:iCs/>
        </w:rPr>
        <w:t>Christchurch</w:t>
      </w:r>
      <w:r w:rsidRPr="00D16852">
        <w:t>, no. 247</w:t>
      </w:r>
      <w:r w:rsidR="00ED3202">
        <w:t>.</w:t>
      </w:r>
    </w:p>
  </w:footnote>
  <w:footnote w:id="38">
    <w:p w14:paraId="64DCF50B" w14:textId="13EB8F1D" w:rsidR="00FE51B8" w:rsidRPr="00D16852" w:rsidRDefault="00FE51B8" w:rsidP="00575C8B">
      <w:pPr>
        <w:pStyle w:val="FootnoteText"/>
        <w:jc w:val="both"/>
      </w:pPr>
      <w:r w:rsidRPr="00D16852">
        <w:rPr>
          <w:rStyle w:val="FootnoteReference"/>
        </w:rPr>
        <w:footnoteRef/>
      </w:r>
      <w:r w:rsidRPr="00D16852">
        <w:t xml:space="preserve"> </w:t>
      </w:r>
      <w:r w:rsidR="00ED5454">
        <w:rPr>
          <w:i/>
          <w:iCs/>
        </w:rPr>
        <w:t xml:space="preserve">Ctl. </w:t>
      </w:r>
      <w:r w:rsidRPr="00D16852">
        <w:rPr>
          <w:i/>
          <w:iCs/>
        </w:rPr>
        <w:t>Christchurch</w:t>
      </w:r>
      <w:r w:rsidRPr="00D16852">
        <w:t>, nos. 246</w:t>
      </w:r>
      <w:r w:rsidR="00D16852" w:rsidRPr="00D16852">
        <w:rPr>
          <w:i/>
          <w:iCs/>
        </w:rPr>
        <w:t>–</w:t>
      </w:r>
      <w:r w:rsidRPr="00D16852">
        <w:t>8</w:t>
      </w:r>
      <w:r w:rsidR="00ED3202">
        <w:t>.</w:t>
      </w:r>
    </w:p>
  </w:footnote>
  <w:footnote w:id="39">
    <w:p w14:paraId="0BB19F7C" w14:textId="6B34B6C1" w:rsidR="00FE51B8" w:rsidRPr="00D16852" w:rsidRDefault="00FE51B8" w:rsidP="00575C8B">
      <w:pPr>
        <w:pStyle w:val="FootnoteText"/>
        <w:jc w:val="both"/>
      </w:pPr>
      <w:r w:rsidRPr="00D16852">
        <w:rPr>
          <w:rStyle w:val="FootnoteReference"/>
        </w:rPr>
        <w:footnoteRef/>
      </w:r>
      <w:r w:rsidRPr="00D16852">
        <w:t xml:space="preserve"> </w:t>
      </w:r>
      <w:r w:rsidR="00ED5454">
        <w:rPr>
          <w:i/>
          <w:iCs/>
        </w:rPr>
        <w:t xml:space="preserve">Ctl. </w:t>
      </w:r>
      <w:r w:rsidRPr="00D16852">
        <w:rPr>
          <w:i/>
          <w:iCs/>
        </w:rPr>
        <w:t>Christchurch</w:t>
      </w:r>
      <w:r w:rsidRPr="00D16852">
        <w:t>, no. 250</w:t>
      </w:r>
      <w:r w:rsidR="00ED3202">
        <w:t>.</w:t>
      </w:r>
    </w:p>
  </w:footnote>
  <w:footnote w:id="40">
    <w:p w14:paraId="0C79E02F" w14:textId="39429488" w:rsidR="00FE51B8" w:rsidRPr="00D16852" w:rsidRDefault="00FE51B8" w:rsidP="00575C8B">
      <w:pPr>
        <w:pStyle w:val="FootnoteText"/>
        <w:jc w:val="both"/>
      </w:pPr>
      <w:r w:rsidRPr="00D16852">
        <w:rPr>
          <w:rStyle w:val="FootnoteReference"/>
        </w:rPr>
        <w:footnoteRef/>
      </w:r>
      <w:r w:rsidRPr="00D16852">
        <w:t xml:space="preserve"> </w:t>
      </w:r>
      <w:r w:rsidR="00ED5454">
        <w:rPr>
          <w:i/>
          <w:iCs/>
        </w:rPr>
        <w:t xml:space="preserve">Ctl. </w:t>
      </w:r>
      <w:r w:rsidRPr="00D16852">
        <w:rPr>
          <w:i/>
          <w:iCs/>
        </w:rPr>
        <w:t>Christchurch</w:t>
      </w:r>
      <w:r w:rsidRPr="00D16852">
        <w:t xml:space="preserve">, no. 249; </w:t>
      </w:r>
      <w:r w:rsidR="00A92D6E" w:rsidRPr="00D16852">
        <w:rPr>
          <w:i/>
          <w:iCs/>
        </w:rPr>
        <w:t>Charters of Henry II</w:t>
      </w:r>
      <w:r w:rsidR="00A92D6E" w:rsidRPr="00D16852">
        <w:t xml:space="preserve">, ed. Vincent, </w:t>
      </w:r>
      <w:r w:rsidRPr="00D16852">
        <w:t>no. 604</w:t>
      </w:r>
      <w:r w:rsidR="00A92D6E" w:rsidRPr="00D16852">
        <w:t>.</w:t>
      </w:r>
    </w:p>
  </w:footnote>
  <w:footnote w:id="41">
    <w:p w14:paraId="3A9A12B6" w14:textId="64A47B0F" w:rsidR="00FE51B8" w:rsidRPr="00D16852" w:rsidRDefault="00FE51B8" w:rsidP="00575C8B">
      <w:pPr>
        <w:pStyle w:val="FootnoteText"/>
        <w:jc w:val="both"/>
      </w:pPr>
      <w:r w:rsidRPr="00D16852">
        <w:rPr>
          <w:rStyle w:val="FootnoteReference"/>
        </w:rPr>
        <w:footnoteRef/>
      </w:r>
      <w:r w:rsidRPr="00D16852">
        <w:t xml:space="preserve"> </w:t>
      </w:r>
      <w:r w:rsidR="00ED5454">
        <w:rPr>
          <w:i/>
          <w:iCs/>
        </w:rPr>
        <w:t xml:space="preserve">Ctl. </w:t>
      </w:r>
      <w:r w:rsidRPr="00D16852">
        <w:rPr>
          <w:i/>
          <w:iCs/>
        </w:rPr>
        <w:t>Christchurch</w:t>
      </w:r>
      <w:r w:rsidRPr="00D16852">
        <w:t>, no. 8</w:t>
      </w:r>
      <w:r w:rsidR="000E2DA2" w:rsidRPr="00D16852">
        <w:t xml:space="preserve">; </w:t>
      </w:r>
      <w:r w:rsidR="000E2DA2" w:rsidRPr="00D16852">
        <w:rPr>
          <w:i/>
          <w:iCs/>
        </w:rPr>
        <w:t xml:space="preserve">Regesta, </w:t>
      </w:r>
      <w:r w:rsidR="000E2DA2" w:rsidRPr="00D16852">
        <w:t>iii</w:t>
      </w:r>
      <w:r w:rsidR="00412B5D">
        <w:t xml:space="preserve">. </w:t>
      </w:r>
      <w:r w:rsidR="000E2DA2" w:rsidRPr="00D16852">
        <w:t xml:space="preserve">no. </w:t>
      </w:r>
      <w:r w:rsidRPr="00D16852">
        <w:t xml:space="preserve">903; </w:t>
      </w:r>
      <w:r w:rsidR="00ED5454">
        <w:rPr>
          <w:i/>
          <w:iCs/>
        </w:rPr>
        <w:t xml:space="preserve">Ctl. </w:t>
      </w:r>
      <w:r w:rsidR="000E2DA2" w:rsidRPr="00D16852">
        <w:rPr>
          <w:i/>
          <w:iCs/>
        </w:rPr>
        <w:t>Christchurch</w:t>
      </w:r>
      <w:r w:rsidRPr="00D16852">
        <w:t xml:space="preserve">, no. 249; </w:t>
      </w:r>
      <w:r w:rsidR="00A92D6E" w:rsidRPr="00D16852">
        <w:rPr>
          <w:i/>
          <w:iCs/>
        </w:rPr>
        <w:t>Charters of Henry II</w:t>
      </w:r>
      <w:r w:rsidR="00A92D6E" w:rsidRPr="00D16852">
        <w:t xml:space="preserve">, ed. Vincent, </w:t>
      </w:r>
      <w:r w:rsidRPr="00D16852">
        <w:t>no. 604</w:t>
      </w:r>
      <w:r w:rsidR="00ED3202">
        <w:t>.</w:t>
      </w:r>
    </w:p>
  </w:footnote>
  <w:footnote w:id="42">
    <w:p w14:paraId="43CCAD54" w14:textId="3CF9A0E2" w:rsidR="00FE51B8" w:rsidRPr="00D16852" w:rsidRDefault="00FE51B8" w:rsidP="00575C8B">
      <w:pPr>
        <w:pStyle w:val="FootnoteText"/>
        <w:jc w:val="both"/>
      </w:pPr>
      <w:r w:rsidRPr="00D16852">
        <w:rPr>
          <w:rStyle w:val="FootnoteReference"/>
        </w:rPr>
        <w:footnoteRef/>
      </w:r>
      <w:r w:rsidRPr="00D16852">
        <w:t xml:space="preserve"> </w:t>
      </w:r>
      <w:r w:rsidR="00ED5454">
        <w:rPr>
          <w:i/>
          <w:iCs/>
        </w:rPr>
        <w:t xml:space="preserve">Ctl. </w:t>
      </w:r>
      <w:r w:rsidRPr="00D16852">
        <w:rPr>
          <w:i/>
          <w:iCs/>
        </w:rPr>
        <w:t>Christchurch</w:t>
      </w:r>
      <w:r w:rsidRPr="00D16852">
        <w:t>, no. 251</w:t>
      </w:r>
      <w:r w:rsidR="00ED3202">
        <w:t>.</w:t>
      </w:r>
    </w:p>
  </w:footnote>
  <w:footnote w:id="43">
    <w:p w14:paraId="1E2247DC" w14:textId="6DBA2F92" w:rsidR="00FE51B8" w:rsidRPr="00D16852" w:rsidRDefault="00FE51B8" w:rsidP="00575C8B">
      <w:pPr>
        <w:pStyle w:val="NoSpacing"/>
        <w:jc w:val="both"/>
        <w:rPr>
          <w:sz w:val="20"/>
          <w:szCs w:val="20"/>
        </w:rPr>
      </w:pPr>
      <w:r w:rsidRPr="00D16852">
        <w:rPr>
          <w:rStyle w:val="FootnoteReference"/>
          <w:sz w:val="20"/>
          <w:szCs w:val="20"/>
        </w:rPr>
        <w:footnoteRef/>
      </w:r>
      <w:r w:rsidRPr="00D16852">
        <w:rPr>
          <w:sz w:val="20"/>
          <w:szCs w:val="20"/>
        </w:rPr>
        <w:t xml:space="preserve"> </w:t>
      </w:r>
      <w:r w:rsidR="00ED5454">
        <w:rPr>
          <w:i/>
          <w:iCs/>
          <w:sz w:val="20"/>
          <w:szCs w:val="20"/>
        </w:rPr>
        <w:t xml:space="preserve">Ctl. </w:t>
      </w:r>
      <w:r w:rsidRPr="00D16852">
        <w:rPr>
          <w:i/>
          <w:iCs/>
          <w:sz w:val="20"/>
          <w:szCs w:val="20"/>
        </w:rPr>
        <w:t>Christchurch</w:t>
      </w:r>
      <w:r w:rsidRPr="00D16852">
        <w:rPr>
          <w:sz w:val="20"/>
          <w:szCs w:val="20"/>
        </w:rPr>
        <w:t>, no</w:t>
      </w:r>
      <w:r w:rsidR="00ED5454">
        <w:rPr>
          <w:sz w:val="20"/>
          <w:szCs w:val="20"/>
        </w:rPr>
        <w:t>s</w:t>
      </w:r>
      <w:r w:rsidRPr="00D16852">
        <w:rPr>
          <w:sz w:val="20"/>
          <w:szCs w:val="20"/>
        </w:rPr>
        <w:t>. 1</w:t>
      </w:r>
      <w:r w:rsidR="00ED5454">
        <w:rPr>
          <w:sz w:val="20"/>
          <w:szCs w:val="20"/>
        </w:rPr>
        <w:t xml:space="preserve">, </w:t>
      </w:r>
      <w:r w:rsidRPr="00D16852">
        <w:rPr>
          <w:sz w:val="20"/>
          <w:szCs w:val="20"/>
        </w:rPr>
        <w:t>2</w:t>
      </w:r>
      <w:r w:rsidR="00ED5454">
        <w:rPr>
          <w:sz w:val="20"/>
          <w:szCs w:val="20"/>
        </w:rPr>
        <w:t xml:space="preserve">, </w:t>
      </w:r>
      <w:r w:rsidRPr="00D16852">
        <w:rPr>
          <w:sz w:val="20"/>
          <w:szCs w:val="20"/>
        </w:rPr>
        <w:t>33</w:t>
      </w:r>
      <w:r w:rsidR="00ED5454">
        <w:rPr>
          <w:sz w:val="20"/>
          <w:szCs w:val="20"/>
        </w:rPr>
        <w:t xml:space="preserve">, </w:t>
      </w:r>
      <w:r w:rsidRPr="00D16852">
        <w:rPr>
          <w:sz w:val="20"/>
          <w:szCs w:val="20"/>
        </w:rPr>
        <w:t>35</w:t>
      </w:r>
      <w:r w:rsidR="00ED3202">
        <w:rPr>
          <w:sz w:val="20"/>
          <w:szCs w:val="20"/>
        </w:rPr>
        <w:t>.</w:t>
      </w:r>
    </w:p>
  </w:footnote>
  <w:footnote w:id="44">
    <w:p w14:paraId="2443F4FF" w14:textId="1CE7DAEB" w:rsidR="008E5ECA" w:rsidRPr="00D16852" w:rsidRDefault="008E5ECA" w:rsidP="00575C8B">
      <w:pPr>
        <w:pStyle w:val="FootnoteText"/>
        <w:jc w:val="both"/>
      </w:pPr>
      <w:r w:rsidRPr="00D16852">
        <w:rPr>
          <w:rStyle w:val="FootnoteReference"/>
        </w:rPr>
        <w:footnoteRef/>
      </w:r>
      <w:r w:rsidRPr="00D16852">
        <w:t xml:space="preserve"> </w:t>
      </w:r>
      <w:r w:rsidR="00A232DC" w:rsidRPr="00D16852">
        <w:rPr>
          <w:i/>
          <w:iCs/>
        </w:rPr>
        <w:t>V</w:t>
      </w:r>
      <w:r w:rsidR="0087181C">
        <w:rPr>
          <w:i/>
          <w:iCs/>
        </w:rPr>
        <w:t xml:space="preserve">CH </w:t>
      </w:r>
      <w:r w:rsidR="00A232DC" w:rsidRPr="00D16852">
        <w:rPr>
          <w:i/>
          <w:iCs/>
        </w:rPr>
        <w:t>Somerset</w:t>
      </w:r>
      <w:r w:rsidR="00A232DC" w:rsidRPr="00D16852">
        <w:t>, ii. 148</w:t>
      </w:r>
      <w:r w:rsidR="001A7948" w:rsidRPr="00D16852">
        <w:rPr>
          <w:i/>
          <w:iCs/>
        </w:rPr>
        <w:t>–</w:t>
      </w:r>
      <w:r w:rsidR="00A232DC" w:rsidRPr="00D16852">
        <w:t>50</w:t>
      </w:r>
      <w:r w:rsidR="00ED3202">
        <w:t>.</w:t>
      </w:r>
    </w:p>
  </w:footnote>
  <w:footnote w:id="45">
    <w:p w14:paraId="2A7031B9" w14:textId="756ABC67" w:rsidR="00591EFC" w:rsidRDefault="00591EFC">
      <w:pPr>
        <w:pStyle w:val="FootnoteText"/>
      </w:pPr>
      <w:r>
        <w:rPr>
          <w:rStyle w:val="FootnoteReference"/>
        </w:rPr>
        <w:footnoteRef/>
      </w:r>
      <w:r>
        <w:t xml:space="preserve"> On William see </w:t>
      </w:r>
      <w:r w:rsidRPr="00D16852">
        <w:rPr>
          <w:i/>
          <w:iCs/>
        </w:rPr>
        <w:t>Charters of Henry II</w:t>
      </w:r>
      <w:r w:rsidRPr="00D16852">
        <w:t>, ed. Vincent, no.</w:t>
      </w:r>
      <w:r>
        <w:t xml:space="preserve"> 816.</w:t>
      </w:r>
    </w:p>
  </w:footnote>
  <w:footnote w:id="46">
    <w:p w14:paraId="5B7E31EB" w14:textId="2BF7540D" w:rsidR="008E5ECA" w:rsidRPr="003B597B" w:rsidRDefault="008E5ECA" w:rsidP="00575C8B">
      <w:pPr>
        <w:pStyle w:val="FootnoteText"/>
        <w:jc w:val="both"/>
      </w:pPr>
      <w:r w:rsidRPr="003B597B">
        <w:rPr>
          <w:rStyle w:val="FootnoteReference"/>
        </w:rPr>
        <w:footnoteRef/>
      </w:r>
      <w:r w:rsidRPr="003B597B">
        <w:t xml:space="preserve"> John of Stillingfleet, </w:t>
      </w:r>
      <w:r w:rsidR="00A13507" w:rsidRPr="003B597B">
        <w:rPr>
          <w:i/>
          <w:iCs/>
        </w:rPr>
        <w:t>Liber de</w:t>
      </w:r>
      <w:r w:rsidR="00A232DC" w:rsidRPr="003B597B">
        <w:rPr>
          <w:i/>
          <w:iCs/>
        </w:rPr>
        <w:t xml:space="preserve"> nominibus fundatorum hospitalis sancti Iohannis Ierusalem in Anglia</w:t>
      </w:r>
      <w:r w:rsidR="00A232DC" w:rsidRPr="003B597B">
        <w:t xml:space="preserve">, </w:t>
      </w:r>
      <w:r w:rsidR="000B006F" w:rsidRPr="003B597B">
        <w:t xml:space="preserve">ed. Dugdale, </w:t>
      </w:r>
      <w:r w:rsidR="000B006F" w:rsidRPr="003B597B">
        <w:rPr>
          <w:i/>
          <w:iCs/>
        </w:rPr>
        <w:t>Monasticon</w:t>
      </w:r>
      <w:r w:rsidR="000B006F" w:rsidRPr="003B597B">
        <w:t>, vi/2. 831</w:t>
      </w:r>
      <w:r w:rsidR="000B006F" w:rsidRPr="003B597B">
        <w:rPr>
          <w:i/>
          <w:iCs/>
        </w:rPr>
        <w:t>–</w:t>
      </w:r>
      <w:r w:rsidR="000B006F" w:rsidRPr="003B597B">
        <w:t xml:space="preserve">9, at 837. </w:t>
      </w:r>
    </w:p>
  </w:footnote>
  <w:footnote w:id="47">
    <w:p w14:paraId="134DE2B5" w14:textId="60F19C7E" w:rsidR="008E5ECA" w:rsidRPr="00D16852" w:rsidRDefault="008E5ECA" w:rsidP="00575C8B">
      <w:pPr>
        <w:pStyle w:val="FootnoteText"/>
        <w:jc w:val="both"/>
      </w:pPr>
      <w:r w:rsidRPr="00D16852">
        <w:rPr>
          <w:rStyle w:val="FootnoteReference"/>
        </w:rPr>
        <w:footnoteRef/>
      </w:r>
      <w:r w:rsidRPr="00D16852">
        <w:t xml:space="preserve"> </w:t>
      </w:r>
      <w:r w:rsidRPr="00D16852">
        <w:rPr>
          <w:i/>
          <w:iCs/>
        </w:rPr>
        <w:t>English Episcopal Acta X: Bath and Wells, 1061–1205</w:t>
      </w:r>
      <w:r w:rsidRPr="00D16852">
        <w:t>, ed.  Frances M. R. Ramsey</w:t>
      </w:r>
      <w:r w:rsidR="00D16F0A">
        <w:t xml:space="preserve">, </w:t>
      </w:r>
      <w:r w:rsidRPr="00D16852">
        <w:t>Oxford 1995, no. 95</w:t>
      </w:r>
      <w:r w:rsidR="00ED3202">
        <w:t>.</w:t>
      </w:r>
    </w:p>
  </w:footnote>
  <w:footnote w:id="48">
    <w:p w14:paraId="2DFF0788" w14:textId="44230C72" w:rsidR="008E5ECA" w:rsidRPr="00D16852" w:rsidRDefault="008E5ECA" w:rsidP="00575C8B">
      <w:pPr>
        <w:pStyle w:val="FootnoteText"/>
        <w:jc w:val="both"/>
      </w:pPr>
      <w:r w:rsidRPr="00D16852">
        <w:rPr>
          <w:rStyle w:val="FootnoteReference"/>
        </w:rPr>
        <w:footnoteRef/>
      </w:r>
      <w:r w:rsidRPr="00D16852">
        <w:t xml:space="preserve"> </w:t>
      </w:r>
      <w:r w:rsidRPr="00D16852">
        <w:rPr>
          <w:i/>
          <w:iCs/>
        </w:rPr>
        <w:t>EEA X</w:t>
      </w:r>
      <w:r w:rsidRPr="00D16852">
        <w:t>, nos. 96 and 97</w:t>
      </w:r>
      <w:r w:rsidR="00ED3202">
        <w:t>.</w:t>
      </w:r>
    </w:p>
  </w:footnote>
  <w:footnote w:id="49">
    <w:p w14:paraId="6703F3D8" w14:textId="24BDD04E" w:rsidR="002B7D0D" w:rsidRPr="00D16852" w:rsidRDefault="002B7D0D" w:rsidP="00575C8B">
      <w:pPr>
        <w:pStyle w:val="FootnoteText"/>
        <w:jc w:val="both"/>
      </w:pPr>
      <w:r w:rsidRPr="00D16852">
        <w:rPr>
          <w:rStyle w:val="FootnoteReference"/>
        </w:rPr>
        <w:footnoteRef/>
      </w:r>
      <w:r w:rsidRPr="00D16852">
        <w:t xml:space="preserve"> </w:t>
      </w:r>
      <w:r w:rsidR="00543C79" w:rsidRPr="00D16852">
        <w:t xml:space="preserve">Bishop Reginald </w:t>
      </w:r>
      <w:r w:rsidR="00F20A0B" w:rsidRPr="00D16852">
        <w:t xml:space="preserve">addressed Archdeacon Thomas, William of Earley’s uncle, as </w:t>
      </w:r>
      <w:r w:rsidR="00F20A0B" w:rsidRPr="00D16852">
        <w:rPr>
          <w:i/>
          <w:iCs/>
        </w:rPr>
        <w:t>carissimo consanguineo Thomae de Erleya archidiacono</w:t>
      </w:r>
      <w:r w:rsidR="00F20A0B" w:rsidRPr="00D16852">
        <w:t xml:space="preserve"> in </w:t>
      </w:r>
      <w:r w:rsidR="00F20A0B" w:rsidRPr="00D16852">
        <w:rPr>
          <w:i/>
          <w:iCs/>
        </w:rPr>
        <w:t>EEA</w:t>
      </w:r>
      <w:r w:rsidR="002C0768">
        <w:rPr>
          <w:i/>
          <w:iCs/>
        </w:rPr>
        <w:t xml:space="preserve"> </w:t>
      </w:r>
      <w:r w:rsidR="00F20A0B" w:rsidRPr="00D16852">
        <w:rPr>
          <w:i/>
          <w:iCs/>
        </w:rPr>
        <w:t>X</w:t>
      </w:r>
      <w:r w:rsidR="00F20A0B" w:rsidRPr="00D16852">
        <w:t>, no. 91.</w:t>
      </w:r>
      <w:r w:rsidR="00140A99">
        <w:t xml:space="preserve"> An edition of Thomas’s work on Henry the Young King is being edited by Hugh Thomas. </w:t>
      </w:r>
    </w:p>
  </w:footnote>
  <w:footnote w:id="50">
    <w:p w14:paraId="3F2F0504" w14:textId="20472143" w:rsidR="002B7D0D" w:rsidRPr="00D16852" w:rsidRDefault="002B7D0D" w:rsidP="00575C8B">
      <w:pPr>
        <w:pStyle w:val="FootnoteText"/>
        <w:jc w:val="both"/>
      </w:pPr>
      <w:r w:rsidRPr="00D16852">
        <w:rPr>
          <w:rStyle w:val="FootnoteReference"/>
        </w:rPr>
        <w:footnoteRef/>
      </w:r>
      <w:r w:rsidRPr="00D16852">
        <w:t xml:space="preserve"> </w:t>
      </w:r>
      <w:r w:rsidR="00543C79" w:rsidRPr="00D16852">
        <w:t xml:space="preserve">Myra Struckmeyer, ‘The Sisters of the Order of Saint John at Mynchin Buckland’, in </w:t>
      </w:r>
      <w:r w:rsidR="00543C79" w:rsidRPr="00D16852">
        <w:rPr>
          <w:i/>
          <w:iCs/>
        </w:rPr>
        <w:t>Hospitaller women in the Middle Ages</w:t>
      </w:r>
      <w:r w:rsidR="00543C79" w:rsidRPr="00D16852">
        <w:t>, ed. Anthony Luttrell and Helen J. Nicholson</w:t>
      </w:r>
      <w:r w:rsidR="00D16F0A">
        <w:t xml:space="preserve">, </w:t>
      </w:r>
      <w:r w:rsidR="00543C79" w:rsidRPr="00D16852">
        <w:t>Aldershot 2006, 89</w:t>
      </w:r>
      <w:r w:rsidR="001A7948" w:rsidRPr="00D16852">
        <w:rPr>
          <w:i/>
          <w:iCs/>
        </w:rPr>
        <w:t>–</w:t>
      </w:r>
      <w:r w:rsidR="00543C79" w:rsidRPr="00D16852">
        <w:t>112</w:t>
      </w:r>
      <w:r w:rsidR="005645E1">
        <w:t xml:space="preserve">; </w:t>
      </w:r>
      <w:r w:rsidR="005645E1" w:rsidRPr="00D16852">
        <w:rPr>
          <w:i/>
          <w:iCs/>
        </w:rPr>
        <w:t>Charters of Henry II</w:t>
      </w:r>
      <w:r w:rsidR="005645E1" w:rsidRPr="00D16852">
        <w:t xml:space="preserve">, ed. Vincent, no. </w:t>
      </w:r>
      <w:r w:rsidR="00676CCF" w:rsidRPr="005645E1">
        <w:t>349</w:t>
      </w:r>
      <w:r w:rsidR="005645E1">
        <w:t>.</w:t>
      </w:r>
    </w:p>
  </w:footnote>
  <w:footnote w:id="51">
    <w:p w14:paraId="2BD0B4B7" w14:textId="092142CF" w:rsidR="008E5ECA" w:rsidRPr="00D16852" w:rsidRDefault="008E5ECA" w:rsidP="00575C8B">
      <w:pPr>
        <w:pStyle w:val="FootnoteText"/>
        <w:jc w:val="both"/>
      </w:pPr>
      <w:r w:rsidRPr="003B597B">
        <w:rPr>
          <w:rStyle w:val="FootnoteReference"/>
        </w:rPr>
        <w:footnoteRef/>
      </w:r>
      <w:r w:rsidRPr="003B597B">
        <w:t xml:space="preserve"> </w:t>
      </w:r>
      <w:r w:rsidR="003B597B" w:rsidRPr="003B597B">
        <w:t xml:space="preserve">John of Stillingfleet, </w:t>
      </w:r>
      <w:r w:rsidR="003B597B" w:rsidRPr="003B597B">
        <w:rPr>
          <w:i/>
          <w:iCs/>
        </w:rPr>
        <w:t>Liber de nominibus</w:t>
      </w:r>
      <w:r w:rsidR="003B597B" w:rsidRPr="003B597B">
        <w:t xml:space="preserve">, ed. Dugdale, </w:t>
      </w:r>
      <w:r w:rsidR="003B597B" w:rsidRPr="003B597B">
        <w:rPr>
          <w:i/>
          <w:iCs/>
        </w:rPr>
        <w:t>Monasticon</w:t>
      </w:r>
      <w:r w:rsidR="003B597B" w:rsidRPr="003B597B">
        <w:t>, vi/2. 831</w:t>
      </w:r>
      <w:r w:rsidR="003B597B" w:rsidRPr="003B597B">
        <w:rPr>
          <w:i/>
          <w:iCs/>
        </w:rPr>
        <w:t>–</w:t>
      </w:r>
      <w:r w:rsidR="003B597B" w:rsidRPr="003B597B">
        <w:t xml:space="preserve">9, at 837. </w:t>
      </w:r>
    </w:p>
  </w:footnote>
  <w:footnote w:id="52">
    <w:p w14:paraId="00B18ED3" w14:textId="3DACE964" w:rsidR="008E5ECA" w:rsidRPr="00D16852" w:rsidRDefault="008E5ECA" w:rsidP="00575C8B">
      <w:pPr>
        <w:pStyle w:val="FootnoteText"/>
        <w:jc w:val="both"/>
        <w:rPr>
          <w:b/>
          <w:bCs/>
        </w:rPr>
      </w:pPr>
      <w:r w:rsidRPr="00D16852">
        <w:rPr>
          <w:rStyle w:val="FootnoteReference"/>
        </w:rPr>
        <w:footnoteRef/>
      </w:r>
      <w:r w:rsidRPr="00D16852">
        <w:t xml:space="preserve"> </w:t>
      </w:r>
      <w:r w:rsidRPr="00D16852">
        <w:rPr>
          <w:i/>
          <w:iCs/>
        </w:rPr>
        <w:t>Rotuli chartarum</w:t>
      </w:r>
      <w:r w:rsidRPr="00D16852">
        <w:t xml:space="preserve"> </w:t>
      </w:r>
      <w:r w:rsidRPr="00D16852">
        <w:rPr>
          <w:i/>
          <w:iCs/>
        </w:rPr>
        <w:t>in Turri Londinensi asservati</w:t>
      </w:r>
      <w:r w:rsidRPr="00D16852">
        <w:t>, ed. Thomas Duffus Hardy</w:t>
      </w:r>
      <w:r w:rsidR="00D16F0A">
        <w:t xml:space="preserve">, </w:t>
      </w:r>
      <w:r w:rsidRPr="00D16852">
        <w:t xml:space="preserve">London 1837, 16a; John of Earley’s charter is </w:t>
      </w:r>
      <w:r w:rsidRPr="00D16852">
        <w:rPr>
          <w:i/>
          <w:iCs/>
        </w:rPr>
        <w:t>A Cartulary of Buckland Priory in the County of Somerset</w:t>
      </w:r>
      <w:r w:rsidRPr="00D16852">
        <w:t>, ed. F. W. Weaver, Somerset Record Society 25</w:t>
      </w:r>
      <w:r w:rsidR="00D16F0A">
        <w:t xml:space="preserve">, </w:t>
      </w:r>
      <w:r w:rsidRPr="00D16852">
        <w:t>1909, no. 34.</w:t>
      </w:r>
    </w:p>
  </w:footnote>
  <w:footnote w:id="53">
    <w:p w14:paraId="36C0ECED" w14:textId="0D718439" w:rsidR="008E5ECA" w:rsidRPr="00D16852" w:rsidRDefault="008E5ECA" w:rsidP="00575C8B">
      <w:pPr>
        <w:pStyle w:val="FootnoteText"/>
        <w:jc w:val="both"/>
      </w:pPr>
      <w:r w:rsidRPr="00D16852">
        <w:rPr>
          <w:rStyle w:val="FootnoteReference"/>
        </w:rPr>
        <w:footnoteRef/>
      </w:r>
      <w:r w:rsidRPr="00D16852">
        <w:t xml:space="preserve"> </w:t>
      </w:r>
      <w:r w:rsidR="006E2F1A" w:rsidRPr="00D16852">
        <w:rPr>
          <w:i/>
          <w:iCs/>
        </w:rPr>
        <w:t>EEA</w:t>
      </w:r>
      <w:r w:rsidR="002C0768">
        <w:rPr>
          <w:i/>
          <w:iCs/>
        </w:rPr>
        <w:t xml:space="preserve"> </w:t>
      </w:r>
      <w:r w:rsidR="006E2F1A" w:rsidRPr="00D16852">
        <w:rPr>
          <w:i/>
          <w:iCs/>
        </w:rPr>
        <w:t>X</w:t>
      </w:r>
      <w:r w:rsidR="006E2F1A" w:rsidRPr="00D16852">
        <w:t xml:space="preserve">, </w:t>
      </w:r>
      <w:r w:rsidRPr="00D16852">
        <w:t>no. 95</w:t>
      </w:r>
      <w:r w:rsidR="00142332" w:rsidRPr="00D16852">
        <w:t xml:space="preserve">. </w:t>
      </w:r>
    </w:p>
  </w:footnote>
  <w:footnote w:id="54">
    <w:p w14:paraId="01D5BECD" w14:textId="02D44315" w:rsidR="00676CCF" w:rsidRDefault="00676CCF" w:rsidP="00575C8B">
      <w:pPr>
        <w:pStyle w:val="FootnoteText"/>
        <w:jc w:val="both"/>
      </w:pPr>
      <w:r w:rsidRPr="00547C5E">
        <w:rPr>
          <w:rStyle w:val="FootnoteReference"/>
        </w:rPr>
        <w:footnoteRef/>
      </w:r>
      <w:r w:rsidRPr="00547C5E">
        <w:t xml:space="preserve"> </w:t>
      </w:r>
      <w:r w:rsidR="00547C5E">
        <w:t xml:space="preserve"> </w:t>
      </w:r>
      <w:r w:rsidR="00547C5E" w:rsidRPr="003B597B">
        <w:rPr>
          <w:i/>
          <w:iCs/>
        </w:rPr>
        <w:t>Ctl. Buckland</w:t>
      </w:r>
      <w:r w:rsidR="00547C5E" w:rsidRPr="003B597B">
        <w:t>, no</w:t>
      </w:r>
      <w:r w:rsidR="00547C5E">
        <w:t>s. 1-2.</w:t>
      </w:r>
    </w:p>
  </w:footnote>
  <w:footnote w:id="55">
    <w:p w14:paraId="3DEC518A" w14:textId="0DD62D7D" w:rsidR="005D2268" w:rsidRPr="00D16852" w:rsidRDefault="005D2268" w:rsidP="00575C8B">
      <w:pPr>
        <w:pStyle w:val="NoSpacing"/>
        <w:jc w:val="both"/>
        <w:rPr>
          <w:sz w:val="20"/>
          <w:szCs w:val="20"/>
        </w:rPr>
      </w:pPr>
      <w:r w:rsidRPr="00D16852">
        <w:rPr>
          <w:rStyle w:val="FootnoteReference"/>
          <w:sz w:val="20"/>
          <w:szCs w:val="20"/>
        </w:rPr>
        <w:footnoteRef/>
      </w:r>
      <w:r w:rsidRPr="00D16852">
        <w:rPr>
          <w:sz w:val="20"/>
          <w:szCs w:val="20"/>
        </w:rPr>
        <w:t xml:space="preserve"> </w:t>
      </w:r>
      <w:r w:rsidR="00EF73C0" w:rsidRPr="00D16852">
        <w:rPr>
          <w:sz w:val="20"/>
          <w:szCs w:val="20"/>
        </w:rPr>
        <w:t xml:space="preserve">Taunton, Somerset Heritage Centre, DD/SAS/C795/SX/133 (Minchin Buckland cartulary, s.xv, after 1423), fo. 1r; calendared in </w:t>
      </w:r>
      <w:r w:rsidR="00EF73C0" w:rsidRPr="00D16852">
        <w:rPr>
          <w:i/>
          <w:iCs/>
          <w:sz w:val="20"/>
          <w:szCs w:val="20"/>
        </w:rPr>
        <w:t>C</w:t>
      </w:r>
      <w:r w:rsidR="002C0768">
        <w:rPr>
          <w:i/>
          <w:iCs/>
          <w:sz w:val="20"/>
          <w:szCs w:val="20"/>
        </w:rPr>
        <w:t xml:space="preserve">tl. </w:t>
      </w:r>
      <w:r w:rsidR="00EF73C0" w:rsidRPr="00D16852">
        <w:rPr>
          <w:i/>
          <w:iCs/>
          <w:sz w:val="20"/>
          <w:szCs w:val="20"/>
        </w:rPr>
        <w:t>Buckland</w:t>
      </w:r>
      <w:r w:rsidR="00EF73C0" w:rsidRPr="00D16852">
        <w:rPr>
          <w:sz w:val="20"/>
          <w:szCs w:val="20"/>
        </w:rPr>
        <w:t>, no. 2.</w:t>
      </w:r>
    </w:p>
  </w:footnote>
  <w:footnote w:id="56">
    <w:p w14:paraId="3A75EFC6" w14:textId="1101FC5D" w:rsidR="00A232DC" w:rsidRPr="003B597B" w:rsidRDefault="00A232DC" w:rsidP="00575C8B">
      <w:pPr>
        <w:pStyle w:val="NoSpacing"/>
        <w:jc w:val="both"/>
        <w:rPr>
          <w:sz w:val="20"/>
          <w:szCs w:val="20"/>
        </w:rPr>
      </w:pPr>
      <w:r w:rsidRPr="003B597B">
        <w:rPr>
          <w:rStyle w:val="FootnoteReference"/>
          <w:sz w:val="20"/>
          <w:szCs w:val="20"/>
        </w:rPr>
        <w:footnoteRef/>
      </w:r>
      <w:r w:rsidRPr="003B597B">
        <w:rPr>
          <w:sz w:val="20"/>
          <w:szCs w:val="20"/>
        </w:rPr>
        <w:t xml:space="preserve"> Taunton, Somerset Heritage Centre, DD/SAS/C795/SX/133, fo. 1r; </w:t>
      </w:r>
      <w:r w:rsidR="00280222" w:rsidRPr="003B597B">
        <w:rPr>
          <w:sz w:val="20"/>
          <w:szCs w:val="20"/>
        </w:rPr>
        <w:t xml:space="preserve">edited </w:t>
      </w:r>
      <w:r w:rsidRPr="003B597B">
        <w:rPr>
          <w:sz w:val="20"/>
          <w:szCs w:val="20"/>
        </w:rPr>
        <w:t xml:space="preserve">in </w:t>
      </w:r>
      <w:r w:rsidRPr="003B597B">
        <w:rPr>
          <w:i/>
          <w:iCs/>
          <w:sz w:val="20"/>
          <w:szCs w:val="20"/>
        </w:rPr>
        <w:t>C</w:t>
      </w:r>
      <w:r w:rsidR="002C0768" w:rsidRPr="003B597B">
        <w:rPr>
          <w:i/>
          <w:iCs/>
          <w:sz w:val="20"/>
          <w:szCs w:val="20"/>
        </w:rPr>
        <w:t>t</w:t>
      </w:r>
      <w:r w:rsidRPr="003B597B">
        <w:rPr>
          <w:i/>
          <w:iCs/>
          <w:sz w:val="20"/>
          <w:szCs w:val="20"/>
        </w:rPr>
        <w:t>l</w:t>
      </w:r>
      <w:r w:rsidR="002C0768" w:rsidRPr="003B597B">
        <w:rPr>
          <w:i/>
          <w:iCs/>
          <w:sz w:val="20"/>
          <w:szCs w:val="20"/>
        </w:rPr>
        <w:t xml:space="preserve">. </w:t>
      </w:r>
      <w:r w:rsidRPr="003B597B">
        <w:rPr>
          <w:i/>
          <w:iCs/>
          <w:sz w:val="20"/>
          <w:szCs w:val="20"/>
        </w:rPr>
        <w:t>Buckland</w:t>
      </w:r>
      <w:r w:rsidRPr="003B597B">
        <w:rPr>
          <w:sz w:val="20"/>
          <w:szCs w:val="20"/>
        </w:rPr>
        <w:t>, no. 1.</w:t>
      </w:r>
      <w:r w:rsidR="000B6293" w:rsidRPr="003B597B">
        <w:rPr>
          <w:sz w:val="20"/>
          <w:szCs w:val="20"/>
        </w:rPr>
        <w:t xml:space="preserve"> </w:t>
      </w:r>
      <w:r w:rsidR="003B597B" w:rsidRPr="003B597B">
        <w:rPr>
          <w:sz w:val="20"/>
          <w:szCs w:val="20"/>
        </w:rPr>
        <w:t xml:space="preserve">Much of this is incorporated into John of Stillingfleet, </w:t>
      </w:r>
      <w:r w:rsidR="003B597B" w:rsidRPr="003B597B">
        <w:rPr>
          <w:i/>
          <w:iCs/>
          <w:sz w:val="20"/>
          <w:szCs w:val="20"/>
        </w:rPr>
        <w:t>Liber de nominibus</w:t>
      </w:r>
      <w:r w:rsidR="003B597B" w:rsidRPr="003B597B">
        <w:rPr>
          <w:sz w:val="20"/>
          <w:szCs w:val="20"/>
        </w:rPr>
        <w:t xml:space="preserve">, ed. Dugdale, </w:t>
      </w:r>
      <w:r w:rsidR="003B597B" w:rsidRPr="003B597B">
        <w:rPr>
          <w:i/>
          <w:iCs/>
          <w:sz w:val="20"/>
          <w:szCs w:val="20"/>
        </w:rPr>
        <w:t>Monasticon</w:t>
      </w:r>
      <w:r w:rsidR="003B597B" w:rsidRPr="003B597B">
        <w:rPr>
          <w:sz w:val="20"/>
          <w:szCs w:val="20"/>
        </w:rPr>
        <w:t>, vi/2. 831</w:t>
      </w:r>
      <w:r w:rsidR="003B597B" w:rsidRPr="003B597B">
        <w:rPr>
          <w:i/>
          <w:iCs/>
          <w:sz w:val="20"/>
          <w:szCs w:val="20"/>
        </w:rPr>
        <w:t>–</w:t>
      </w:r>
      <w:r w:rsidR="003B597B" w:rsidRPr="003B597B">
        <w:rPr>
          <w:sz w:val="20"/>
          <w:szCs w:val="20"/>
        </w:rPr>
        <w:t xml:space="preserve">9, at 837. </w:t>
      </w:r>
    </w:p>
  </w:footnote>
  <w:footnote w:id="57">
    <w:p w14:paraId="481160E4" w14:textId="356E3F75" w:rsidR="005D2268" w:rsidRPr="00D16852" w:rsidRDefault="005D2268" w:rsidP="00575C8B">
      <w:pPr>
        <w:pStyle w:val="FootnoteText"/>
        <w:jc w:val="both"/>
      </w:pPr>
      <w:r w:rsidRPr="00D16852">
        <w:rPr>
          <w:rStyle w:val="FootnoteReference"/>
        </w:rPr>
        <w:footnoteRef/>
      </w:r>
      <w:r w:rsidRPr="00D16852">
        <w:t xml:space="preserve"> I am grateful to Professor Tom Licence for comments on this passage. </w:t>
      </w:r>
    </w:p>
  </w:footnote>
  <w:footnote w:id="58">
    <w:p w14:paraId="357100A3" w14:textId="6086E0EA" w:rsidR="00517C79" w:rsidRPr="00D16852" w:rsidRDefault="00517C79" w:rsidP="00575C8B">
      <w:pPr>
        <w:pStyle w:val="FootnoteText"/>
        <w:jc w:val="both"/>
      </w:pPr>
      <w:r w:rsidRPr="00D16852">
        <w:rPr>
          <w:rStyle w:val="FootnoteReference"/>
        </w:rPr>
        <w:footnoteRef/>
      </w:r>
      <w:r w:rsidRPr="00D16852">
        <w:t xml:space="preserve"> </w:t>
      </w:r>
      <w:r w:rsidRPr="00D16852">
        <w:rPr>
          <w:i/>
          <w:iCs/>
        </w:rPr>
        <w:t>Ctl</w:t>
      </w:r>
      <w:r w:rsidR="002C0768">
        <w:rPr>
          <w:i/>
          <w:iCs/>
        </w:rPr>
        <w:t>.</w:t>
      </w:r>
      <w:r w:rsidRPr="00D16852">
        <w:rPr>
          <w:i/>
          <w:iCs/>
        </w:rPr>
        <w:t xml:space="preserve"> Buckland</w:t>
      </w:r>
      <w:r w:rsidRPr="00D16852">
        <w:t>,</w:t>
      </w:r>
      <w:r w:rsidR="00CF6F38">
        <w:t xml:space="preserve"> </w:t>
      </w:r>
      <w:r w:rsidRPr="00D16852">
        <w:t xml:space="preserve">no. 3 [English calendar]; </w:t>
      </w:r>
      <w:r w:rsidRPr="00D16852">
        <w:rPr>
          <w:i/>
          <w:iCs/>
        </w:rPr>
        <w:t>EEA</w:t>
      </w:r>
      <w:r w:rsidR="002C0768">
        <w:rPr>
          <w:i/>
          <w:iCs/>
        </w:rPr>
        <w:t xml:space="preserve"> </w:t>
      </w:r>
      <w:r w:rsidRPr="00D16852">
        <w:t>X, no. 95.</w:t>
      </w:r>
    </w:p>
  </w:footnote>
  <w:footnote w:id="59">
    <w:p w14:paraId="60C8EDAE" w14:textId="3C4EA9BE" w:rsidR="00517C79" w:rsidRPr="00D16852" w:rsidRDefault="00517C79" w:rsidP="00575C8B">
      <w:pPr>
        <w:pStyle w:val="FootnoteText"/>
        <w:jc w:val="both"/>
        <w:rPr>
          <w:highlight w:val="yellow"/>
        </w:rPr>
      </w:pPr>
      <w:r w:rsidRPr="00D16852">
        <w:rPr>
          <w:rStyle w:val="FootnoteReference"/>
        </w:rPr>
        <w:footnoteRef/>
      </w:r>
      <w:r w:rsidRPr="00D16852">
        <w:t xml:space="preserve"> </w:t>
      </w:r>
      <w:r w:rsidR="006E2F1A" w:rsidRPr="00D16852">
        <w:rPr>
          <w:i/>
          <w:iCs/>
        </w:rPr>
        <w:t>EEA</w:t>
      </w:r>
      <w:r w:rsidR="00984934">
        <w:rPr>
          <w:i/>
          <w:iCs/>
        </w:rPr>
        <w:t xml:space="preserve"> </w:t>
      </w:r>
      <w:r w:rsidR="006E2F1A" w:rsidRPr="00D16852">
        <w:rPr>
          <w:i/>
          <w:iCs/>
        </w:rPr>
        <w:t>X</w:t>
      </w:r>
      <w:r w:rsidR="006E2F1A" w:rsidRPr="00D16852">
        <w:t xml:space="preserve">, </w:t>
      </w:r>
      <w:r w:rsidRPr="00D16852">
        <w:t>no. 96</w:t>
      </w:r>
      <w:r w:rsidR="00ED3202">
        <w:t>.</w:t>
      </w:r>
    </w:p>
  </w:footnote>
  <w:footnote w:id="60">
    <w:p w14:paraId="17532719" w14:textId="60796FB3" w:rsidR="00517C79" w:rsidRPr="00D16852" w:rsidRDefault="00517C79" w:rsidP="00575C8B">
      <w:pPr>
        <w:pStyle w:val="FootnoteText"/>
        <w:jc w:val="both"/>
      </w:pPr>
      <w:r w:rsidRPr="00D16852">
        <w:rPr>
          <w:rStyle w:val="FootnoteReference"/>
        </w:rPr>
        <w:footnoteRef/>
      </w:r>
      <w:r w:rsidRPr="00D16852">
        <w:t xml:space="preserve"> </w:t>
      </w:r>
      <w:r w:rsidR="006E2F1A" w:rsidRPr="00D16852">
        <w:rPr>
          <w:i/>
          <w:iCs/>
        </w:rPr>
        <w:t>EEA</w:t>
      </w:r>
      <w:r w:rsidR="00984934">
        <w:rPr>
          <w:i/>
          <w:iCs/>
        </w:rPr>
        <w:t xml:space="preserve"> </w:t>
      </w:r>
      <w:r w:rsidR="006E2F1A" w:rsidRPr="00D16852">
        <w:rPr>
          <w:i/>
          <w:iCs/>
        </w:rPr>
        <w:t>X</w:t>
      </w:r>
      <w:r w:rsidR="006E2F1A" w:rsidRPr="00D16852">
        <w:t xml:space="preserve">, </w:t>
      </w:r>
      <w:r w:rsidRPr="00D16852">
        <w:t>no. 97</w:t>
      </w:r>
      <w:r w:rsidR="00ED3202">
        <w:t>.</w:t>
      </w:r>
    </w:p>
  </w:footnote>
  <w:footnote w:id="61">
    <w:p w14:paraId="6C0F995C" w14:textId="4DE8A123" w:rsidR="00517C79" w:rsidRPr="00D16852" w:rsidRDefault="00517C79" w:rsidP="00575C8B">
      <w:pPr>
        <w:pStyle w:val="FootnoteText"/>
        <w:jc w:val="both"/>
      </w:pPr>
      <w:r w:rsidRPr="00D16852">
        <w:rPr>
          <w:rStyle w:val="FootnoteReference"/>
        </w:rPr>
        <w:footnoteRef/>
      </w:r>
      <w:r w:rsidRPr="00D16852">
        <w:t xml:space="preserve"> </w:t>
      </w:r>
      <w:r w:rsidR="006E2F1A" w:rsidRPr="00D16852">
        <w:rPr>
          <w:i/>
          <w:iCs/>
        </w:rPr>
        <w:t>EEA</w:t>
      </w:r>
      <w:r w:rsidR="00984934">
        <w:rPr>
          <w:i/>
          <w:iCs/>
        </w:rPr>
        <w:t xml:space="preserve"> </w:t>
      </w:r>
      <w:r w:rsidR="006E2F1A" w:rsidRPr="00D16852">
        <w:rPr>
          <w:i/>
          <w:iCs/>
        </w:rPr>
        <w:t>X</w:t>
      </w:r>
      <w:r w:rsidR="006E2F1A" w:rsidRPr="00D16852">
        <w:t xml:space="preserve">, </w:t>
      </w:r>
      <w:r w:rsidRPr="00D16852">
        <w:t>nos. 98</w:t>
      </w:r>
      <w:r w:rsidR="001A7948" w:rsidRPr="00D16852">
        <w:rPr>
          <w:i/>
          <w:iCs/>
        </w:rPr>
        <w:t>–</w:t>
      </w:r>
      <w:r w:rsidRPr="00D16852">
        <w:t>101</w:t>
      </w:r>
      <w:r w:rsidR="00ED3202">
        <w:t>.</w:t>
      </w:r>
    </w:p>
  </w:footnote>
  <w:footnote w:id="62">
    <w:p w14:paraId="30F71CE7" w14:textId="6B857BE0" w:rsidR="00C60D09" w:rsidRPr="00D16852" w:rsidRDefault="00C60D09" w:rsidP="00575C8B">
      <w:pPr>
        <w:pStyle w:val="FootnoteText"/>
        <w:jc w:val="both"/>
      </w:pPr>
      <w:r w:rsidRPr="00D16852">
        <w:rPr>
          <w:rStyle w:val="FootnoteReference"/>
        </w:rPr>
        <w:footnoteRef/>
      </w:r>
      <w:r w:rsidRPr="00D16852">
        <w:t xml:space="preserve"> </w:t>
      </w:r>
      <w:r w:rsidRPr="00D16852">
        <w:rPr>
          <w:i/>
          <w:iCs/>
        </w:rPr>
        <w:t>V</w:t>
      </w:r>
      <w:r w:rsidR="0087181C">
        <w:rPr>
          <w:i/>
          <w:iCs/>
        </w:rPr>
        <w:t xml:space="preserve">CH </w:t>
      </w:r>
      <w:r w:rsidR="00552775" w:rsidRPr="00D16852">
        <w:rPr>
          <w:i/>
          <w:iCs/>
        </w:rPr>
        <w:t>Somerset</w:t>
      </w:r>
      <w:r w:rsidR="00552775" w:rsidRPr="00D16852">
        <w:t>, ii. 148</w:t>
      </w:r>
      <w:r w:rsidR="001A7948" w:rsidRPr="00D16852">
        <w:rPr>
          <w:i/>
          <w:iCs/>
        </w:rPr>
        <w:t>–</w:t>
      </w:r>
      <w:r w:rsidR="00552775" w:rsidRPr="00D16852">
        <w:t xml:space="preserve">50; </w:t>
      </w:r>
      <w:r w:rsidR="00FC3F94" w:rsidRPr="00D16852">
        <w:t>Struckmeyer, ‘Mynchin Buckland’</w:t>
      </w:r>
      <w:r w:rsidR="006D553D" w:rsidRPr="00D16852">
        <w:t>, 89</w:t>
      </w:r>
      <w:r w:rsidR="001A7948" w:rsidRPr="00D16852">
        <w:rPr>
          <w:i/>
          <w:iCs/>
        </w:rPr>
        <w:t>–</w:t>
      </w:r>
      <w:r w:rsidR="006D553D" w:rsidRPr="00D16852">
        <w:t>112</w:t>
      </w:r>
      <w:r w:rsidR="000B006F">
        <w:t xml:space="preserve">; </w:t>
      </w:r>
      <w:r w:rsidR="000B006F" w:rsidRPr="003B597B">
        <w:t xml:space="preserve">Thomas Hugo, </w:t>
      </w:r>
      <w:r w:rsidR="000B006F" w:rsidRPr="003B597B">
        <w:rPr>
          <w:i/>
          <w:iCs/>
        </w:rPr>
        <w:t>The History of Mynchin Buckland Priory and Preceptory, in the County of Somerset</w:t>
      </w:r>
      <w:r w:rsidR="00D16F0A">
        <w:t xml:space="preserve">, </w:t>
      </w:r>
      <w:r w:rsidR="000B006F" w:rsidRPr="003B597B">
        <w:t>Taunton 1861</w:t>
      </w:r>
      <w:r w:rsidR="003B597B">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79"/>
    <w:rsid w:val="00015CC3"/>
    <w:rsid w:val="00030CC9"/>
    <w:rsid w:val="00032D98"/>
    <w:rsid w:val="0007056C"/>
    <w:rsid w:val="000813B4"/>
    <w:rsid w:val="00083807"/>
    <w:rsid w:val="00095442"/>
    <w:rsid w:val="000A14E9"/>
    <w:rsid w:val="000A4B39"/>
    <w:rsid w:val="000B006F"/>
    <w:rsid w:val="000B6293"/>
    <w:rsid w:val="000B63A8"/>
    <w:rsid w:val="000E16B6"/>
    <w:rsid w:val="000E2DA2"/>
    <w:rsid w:val="00100E61"/>
    <w:rsid w:val="00101389"/>
    <w:rsid w:val="00113AA0"/>
    <w:rsid w:val="001314AF"/>
    <w:rsid w:val="0013337E"/>
    <w:rsid w:val="00140A99"/>
    <w:rsid w:val="00141361"/>
    <w:rsid w:val="00141ED6"/>
    <w:rsid w:val="00142332"/>
    <w:rsid w:val="0015650C"/>
    <w:rsid w:val="0019670D"/>
    <w:rsid w:val="001A18BD"/>
    <w:rsid w:val="001A7948"/>
    <w:rsid w:val="001C445B"/>
    <w:rsid w:val="001D18AB"/>
    <w:rsid w:val="001D5817"/>
    <w:rsid w:val="001E1DA4"/>
    <w:rsid w:val="001F0D63"/>
    <w:rsid w:val="001F6BAB"/>
    <w:rsid w:val="00216B37"/>
    <w:rsid w:val="00222C6B"/>
    <w:rsid w:val="00222CC3"/>
    <w:rsid w:val="00226852"/>
    <w:rsid w:val="00250557"/>
    <w:rsid w:val="00280222"/>
    <w:rsid w:val="00284350"/>
    <w:rsid w:val="00292170"/>
    <w:rsid w:val="00293CD1"/>
    <w:rsid w:val="002967C9"/>
    <w:rsid w:val="002A118B"/>
    <w:rsid w:val="002A137B"/>
    <w:rsid w:val="002A682B"/>
    <w:rsid w:val="002B7D0D"/>
    <w:rsid w:val="002C0768"/>
    <w:rsid w:val="002E7BBA"/>
    <w:rsid w:val="00322655"/>
    <w:rsid w:val="0033165E"/>
    <w:rsid w:val="003322F2"/>
    <w:rsid w:val="003379A9"/>
    <w:rsid w:val="00360DDA"/>
    <w:rsid w:val="003671C5"/>
    <w:rsid w:val="00375F43"/>
    <w:rsid w:val="00383E1C"/>
    <w:rsid w:val="00384C1A"/>
    <w:rsid w:val="003858A7"/>
    <w:rsid w:val="00396DEA"/>
    <w:rsid w:val="003B415C"/>
    <w:rsid w:val="003B597B"/>
    <w:rsid w:val="003C78C6"/>
    <w:rsid w:val="003D79E3"/>
    <w:rsid w:val="003E4A7B"/>
    <w:rsid w:val="003E5306"/>
    <w:rsid w:val="003F2C60"/>
    <w:rsid w:val="003F718A"/>
    <w:rsid w:val="00400A68"/>
    <w:rsid w:val="00402A48"/>
    <w:rsid w:val="00412B5D"/>
    <w:rsid w:val="00424739"/>
    <w:rsid w:val="004453D0"/>
    <w:rsid w:val="004538D7"/>
    <w:rsid w:val="00477D89"/>
    <w:rsid w:val="004907CA"/>
    <w:rsid w:val="00495508"/>
    <w:rsid w:val="004C1EBB"/>
    <w:rsid w:val="004C27CB"/>
    <w:rsid w:val="004C429F"/>
    <w:rsid w:val="004C7532"/>
    <w:rsid w:val="005017DD"/>
    <w:rsid w:val="0051058D"/>
    <w:rsid w:val="00517C79"/>
    <w:rsid w:val="005230BE"/>
    <w:rsid w:val="005255D2"/>
    <w:rsid w:val="005275E5"/>
    <w:rsid w:val="00532428"/>
    <w:rsid w:val="005362A1"/>
    <w:rsid w:val="00541635"/>
    <w:rsid w:val="00543C79"/>
    <w:rsid w:val="00547C5E"/>
    <w:rsid w:val="00552775"/>
    <w:rsid w:val="005645E1"/>
    <w:rsid w:val="0057300B"/>
    <w:rsid w:val="00575C8B"/>
    <w:rsid w:val="0058015C"/>
    <w:rsid w:val="00586261"/>
    <w:rsid w:val="00591EFC"/>
    <w:rsid w:val="005C6DCC"/>
    <w:rsid w:val="005D162D"/>
    <w:rsid w:val="005D2268"/>
    <w:rsid w:val="005D563C"/>
    <w:rsid w:val="005E0468"/>
    <w:rsid w:val="005E602C"/>
    <w:rsid w:val="005F0AF1"/>
    <w:rsid w:val="006010AC"/>
    <w:rsid w:val="006113B5"/>
    <w:rsid w:val="0061733D"/>
    <w:rsid w:val="00624884"/>
    <w:rsid w:val="0063705B"/>
    <w:rsid w:val="006641CC"/>
    <w:rsid w:val="00670F22"/>
    <w:rsid w:val="00676CCF"/>
    <w:rsid w:val="00677AAA"/>
    <w:rsid w:val="00691047"/>
    <w:rsid w:val="006948D2"/>
    <w:rsid w:val="006D553D"/>
    <w:rsid w:val="006E2F1A"/>
    <w:rsid w:val="0070122B"/>
    <w:rsid w:val="00702712"/>
    <w:rsid w:val="00707119"/>
    <w:rsid w:val="0071003D"/>
    <w:rsid w:val="00726441"/>
    <w:rsid w:val="00730C72"/>
    <w:rsid w:val="007316FE"/>
    <w:rsid w:val="00733AA8"/>
    <w:rsid w:val="0074139B"/>
    <w:rsid w:val="00744783"/>
    <w:rsid w:val="00753C47"/>
    <w:rsid w:val="007546E4"/>
    <w:rsid w:val="007626C0"/>
    <w:rsid w:val="007634C0"/>
    <w:rsid w:val="00772C1E"/>
    <w:rsid w:val="007B1017"/>
    <w:rsid w:val="007C121B"/>
    <w:rsid w:val="007C6505"/>
    <w:rsid w:val="007D6CB9"/>
    <w:rsid w:val="007E0041"/>
    <w:rsid w:val="007F7D8D"/>
    <w:rsid w:val="00820F8B"/>
    <w:rsid w:val="00833E91"/>
    <w:rsid w:val="0084061B"/>
    <w:rsid w:val="00844BEA"/>
    <w:rsid w:val="00851019"/>
    <w:rsid w:val="0087181C"/>
    <w:rsid w:val="00886928"/>
    <w:rsid w:val="0089225B"/>
    <w:rsid w:val="008A7D85"/>
    <w:rsid w:val="008B4D02"/>
    <w:rsid w:val="008B6702"/>
    <w:rsid w:val="008C4770"/>
    <w:rsid w:val="008E45BF"/>
    <w:rsid w:val="008E5ECA"/>
    <w:rsid w:val="00902085"/>
    <w:rsid w:val="00902E87"/>
    <w:rsid w:val="00907907"/>
    <w:rsid w:val="009120BE"/>
    <w:rsid w:val="00915B6E"/>
    <w:rsid w:val="00920724"/>
    <w:rsid w:val="0093508A"/>
    <w:rsid w:val="00950B0B"/>
    <w:rsid w:val="009709B7"/>
    <w:rsid w:val="00974CC6"/>
    <w:rsid w:val="00977727"/>
    <w:rsid w:val="0098135E"/>
    <w:rsid w:val="00983A36"/>
    <w:rsid w:val="009847B0"/>
    <w:rsid w:val="00984934"/>
    <w:rsid w:val="00985EE9"/>
    <w:rsid w:val="009873B8"/>
    <w:rsid w:val="00994BEB"/>
    <w:rsid w:val="009A7CD3"/>
    <w:rsid w:val="009B6EA1"/>
    <w:rsid w:val="009C0ED3"/>
    <w:rsid w:val="009C319E"/>
    <w:rsid w:val="009D11C7"/>
    <w:rsid w:val="009D5BEB"/>
    <w:rsid w:val="009E08A8"/>
    <w:rsid w:val="009E4B5A"/>
    <w:rsid w:val="009E64DC"/>
    <w:rsid w:val="00A13507"/>
    <w:rsid w:val="00A232DC"/>
    <w:rsid w:val="00A4657F"/>
    <w:rsid w:val="00A52BDF"/>
    <w:rsid w:val="00A66902"/>
    <w:rsid w:val="00A81C2D"/>
    <w:rsid w:val="00A84F45"/>
    <w:rsid w:val="00A92D6E"/>
    <w:rsid w:val="00AA2C64"/>
    <w:rsid w:val="00AB6CBF"/>
    <w:rsid w:val="00AB6E38"/>
    <w:rsid w:val="00AC0032"/>
    <w:rsid w:val="00AD0D7D"/>
    <w:rsid w:val="00AD32CD"/>
    <w:rsid w:val="00AE0454"/>
    <w:rsid w:val="00AE4F2B"/>
    <w:rsid w:val="00AF0C23"/>
    <w:rsid w:val="00AF5E62"/>
    <w:rsid w:val="00AF6C1E"/>
    <w:rsid w:val="00B06F50"/>
    <w:rsid w:val="00B077FD"/>
    <w:rsid w:val="00B24263"/>
    <w:rsid w:val="00B529FC"/>
    <w:rsid w:val="00B52BFF"/>
    <w:rsid w:val="00B54614"/>
    <w:rsid w:val="00B562F0"/>
    <w:rsid w:val="00B61AC2"/>
    <w:rsid w:val="00B63BFC"/>
    <w:rsid w:val="00B675C7"/>
    <w:rsid w:val="00BC0EF0"/>
    <w:rsid w:val="00BC6E16"/>
    <w:rsid w:val="00BE7F88"/>
    <w:rsid w:val="00BF5DFA"/>
    <w:rsid w:val="00C007BA"/>
    <w:rsid w:val="00C1781C"/>
    <w:rsid w:val="00C240DB"/>
    <w:rsid w:val="00C3085A"/>
    <w:rsid w:val="00C337E9"/>
    <w:rsid w:val="00C3509F"/>
    <w:rsid w:val="00C35FF3"/>
    <w:rsid w:val="00C41D05"/>
    <w:rsid w:val="00C60D09"/>
    <w:rsid w:val="00C649D0"/>
    <w:rsid w:val="00C849A2"/>
    <w:rsid w:val="00C8547D"/>
    <w:rsid w:val="00C90E82"/>
    <w:rsid w:val="00C914F4"/>
    <w:rsid w:val="00CA0F6A"/>
    <w:rsid w:val="00CA4EE0"/>
    <w:rsid w:val="00CA5077"/>
    <w:rsid w:val="00CA5C57"/>
    <w:rsid w:val="00CC0988"/>
    <w:rsid w:val="00CD408D"/>
    <w:rsid w:val="00CD51D4"/>
    <w:rsid w:val="00CD638D"/>
    <w:rsid w:val="00CE3FE0"/>
    <w:rsid w:val="00CE4687"/>
    <w:rsid w:val="00CF6F38"/>
    <w:rsid w:val="00D07CF6"/>
    <w:rsid w:val="00D1278E"/>
    <w:rsid w:val="00D14736"/>
    <w:rsid w:val="00D15EE4"/>
    <w:rsid w:val="00D16421"/>
    <w:rsid w:val="00D16852"/>
    <w:rsid w:val="00D16D5B"/>
    <w:rsid w:val="00D16D62"/>
    <w:rsid w:val="00D16F0A"/>
    <w:rsid w:val="00D403A8"/>
    <w:rsid w:val="00D442B1"/>
    <w:rsid w:val="00D45991"/>
    <w:rsid w:val="00D4798C"/>
    <w:rsid w:val="00D5798F"/>
    <w:rsid w:val="00D57F0C"/>
    <w:rsid w:val="00D710B4"/>
    <w:rsid w:val="00D86D23"/>
    <w:rsid w:val="00D9036E"/>
    <w:rsid w:val="00DA266B"/>
    <w:rsid w:val="00DC58D0"/>
    <w:rsid w:val="00DD7CBF"/>
    <w:rsid w:val="00DE31C6"/>
    <w:rsid w:val="00E174FA"/>
    <w:rsid w:val="00E25D51"/>
    <w:rsid w:val="00E2656A"/>
    <w:rsid w:val="00E30A38"/>
    <w:rsid w:val="00E35A3C"/>
    <w:rsid w:val="00E41B1F"/>
    <w:rsid w:val="00E61EFF"/>
    <w:rsid w:val="00E92BE3"/>
    <w:rsid w:val="00E935F7"/>
    <w:rsid w:val="00E95D61"/>
    <w:rsid w:val="00ED25F9"/>
    <w:rsid w:val="00ED3202"/>
    <w:rsid w:val="00ED397E"/>
    <w:rsid w:val="00ED5454"/>
    <w:rsid w:val="00EE24DF"/>
    <w:rsid w:val="00EE7710"/>
    <w:rsid w:val="00EF73C0"/>
    <w:rsid w:val="00F0684C"/>
    <w:rsid w:val="00F20A0B"/>
    <w:rsid w:val="00F52375"/>
    <w:rsid w:val="00F53938"/>
    <w:rsid w:val="00F5416E"/>
    <w:rsid w:val="00F56671"/>
    <w:rsid w:val="00F85699"/>
    <w:rsid w:val="00F97BB2"/>
    <w:rsid w:val="00FA2431"/>
    <w:rsid w:val="00FC0E59"/>
    <w:rsid w:val="00FC2BF7"/>
    <w:rsid w:val="00FC3F94"/>
    <w:rsid w:val="00FE315C"/>
    <w:rsid w:val="00FE5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C307"/>
  <w15:chartTrackingRefBased/>
  <w15:docId w15:val="{2164FAA8-D520-4BB1-A0B9-FA7C4AAF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C79"/>
    <w:rPr>
      <w:rFonts w:eastAsiaTheme="majorEastAsia" w:cstheme="majorBidi"/>
      <w:color w:val="272727" w:themeColor="text1" w:themeTint="D8"/>
    </w:rPr>
  </w:style>
  <w:style w:type="paragraph" w:styleId="Title">
    <w:name w:val="Title"/>
    <w:basedOn w:val="Normal"/>
    <w:next w:val="Normal"/>
    <w:link w:val="TitleChar"/>
    <w:uiPriority w:val="10"/>
    <w:qFormat/>
    <w:rsid w:val="00517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C79"/>
    <w:pPr>
      <w:spacing w:before="160"/>
      <w:jc w:val="center"/>
    </w:pPr>
    <w:rPr>
      <w:i/>
      <w:iCs/>
      <w:color w:val="404040" w:themeColor="text1" w:themeTint="BF"/>
    </w:rPr>
  </w:style>
  <w:style w:type="character" w:customStyle="1" w:styleId="QuoteChar">
    <w:name w:val="Quote Char"/>
    <w:basedOn w:val="DefaultParagraphFont"/>
    <w:link w:val="Quote"/>
    <w:uiPriority w:val="29"/>
    <w:rsid w:val="00517C79"/>
    <w:rPr>
      <w:i/>
      <w:iCs/>
      <w:color w:val="404040" w:themeColor="text1" w:themeTint="BF"/>
    </w:rPr>
  </w:style>
  <w:style w:type="paragraph" w:styleId="ListParagraph">
    <w:name w:val="List Paragraph"/>
    <w:basedOn w:val="Normal"/>
    <w:uiPriority w:val="34"/>
    <w:qFormat/>
    <w:rsid w:val="00517C79"/>
    <w:pPr>
      <w:ind w:left="720"/>
      <w:contextualSpacing/>
    </w:pPr>
  </w:style>
  <w:style w:type="character" w:styleId="IntenseEmphasis">
    <w:name w:val="Intense Emphasis"/>
    <w:basedOn w:val="DefaultParagraphFont"/>
    <w:uiPriority w:val="21"/>
    <w:qFormat/>
    <w:rsid w:val="00517C79"/>
    <w:rPr>
      <w:i/>
      <w:iCs/>
      <w:color w:val="0F4761" w:themeColor="accent1" w:themeShade="BF"/>
    </w:rPr>
  </w:style>
  <w:style w:type="paragraph" w:styleId="IntenseQuote">
    <w:name w:val="Intense Quote"/>
    <w:basedOn w:val="Normal"/>
    <w:next w:val="Normal"/>
    <w:link w:val="IntenseQuoteChar"/>
    <w:uiPriority w:val="30"/>
    <w:qFormat/>
    <w:rsid w:val="00517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C79"/>
    <w:rPr>
      <w:i/>
      <w:iCs/>
      <w:color w:val="0F4761" w:themeColor="accent1" w:themeShade="BF"/>
    </w:rPr>
  </w:style>
  <w:style w:type="character" w:styleId="IntenseReference">
    <w:name w:val="Intense Reference"/>
    <w:basedOn w:val="DefaultParagraphFont"/>
    <w:uiPriority w:val="32"/>
    <w:qFormat/>
    <w:rsid w:val="00517C79"/>
    <w:rPr>
      <w:b/>
      <w:bCs/>
      <w:smallCaps/>
      <w:color w:val="0F4761" w:themeColor="accent1" w:themeShade="BF"/>
      <w:spacing w:val="5"/>
    </w:rPr>
  </w:style>
  <w:style w:type="paragraph" w:styleId="FootnoteText">
    <w:name w:val="footnote text"/>
    <w:basedOn w:val="Normal"/>
    <w:link w:val="FootnoteTextChar"/>
    <w:uiPriority w:val="99"/>
    <w:unhideWhenUsed/>
    <w:rsid w:val="00517C79"/>
    <w:pPr>
      <w:spacing w:after="0" w:line="240" w:lineRule="auto"/>
    </w:pPr>
    <w:rPr>
      <w:sz w:val="20"/>
      <w:szCs w:val="20"/>
    </w:rPr>
  </w:style>
  <w:style w:type="character" w:customStyle="1" w:styleId="FootnoteTextChar">
    <w:name w:val="Footnote Text Char"/>
    <w:basedOn w:val="DefaultParagraphFont"/>
    <w:link w:val="FootnoteText"/>
    <w:uiPriority w:val="99"/>
    <w:rsid w:val="00517C79"/>
    <w:rPr>
      <w:sz w:val="20"/>
      <w:szCs w:val="20"/>
    </w:rPr>
  </w:style>
  <w:style w:type="character" w:styleId="FootnoteReference">
    <w:name w:val="footnote reference"/>
    <w:basedOn w:val="DefaultParagraphFont"/>
    <w:uiPriority w:val="99"/>
    <w:semiHidden/>
    <w:unhideWhenUsed/>
    <w:rsid w:val="00517C79"/>
    <w:rPr>
      <w:vertAlign w:val="superscript"/>
    </w:rPr>
  </w:style>
  <w:style w:type="paragraph" w:styleId="NoSpacing">
    <w:name w:val="No Spacing"/>
    <w:uiPriority w:val="1"/>
    <w:qFormat/>
    <w:rsid w:val="00FE51B8"/>
    <w:pPr>
      <w:spacing w:after="0" w:line="240" w:lineRule="auto"/>
    </w:pPr>
    <w:rPr>
      <w:kern w:val="0"/>
      <w14:ligatures w14:val="none"/>
    </w:rPr>
  </w:style>
  <w:style w:type="character" w:styleId="Emphasis">
    <w:name w:val="Emphasis"/>
    <w:basedOn w:val="DefaultParagraphFont"/>
    <w:uiPriority w:val="20"/>
    <w:qFormat/>
    <w:rsid w:val="00FE51B8"/>
    <w:rPr>
      <w:i/>
      <w:iCs/>
    </w:rPr>
  </w:style>
  <w:style w:type="paragraph" w:styleId="NormalWeb">
    <w:name w:val="Normal (Web)"/>
    <w:basedOn w:val="Normal"/>
    <w:uiPriority w:val="99"/>
    <w:semiHidden/>
    <w:unhideWhenUsed/>
    <w:rsid w:val="001314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pellingerror">
    <w:name w:val="spellingerror"/>
    <w:basedOn w:val="DefaultParagraphFont"/>
    <w:rsid w:val="005230BE"/>
  </w:style>
  <w:style w:type="character" w:customStyle="1" w:styleId="normaltextrun">
    <w:name w:val="normaltextrun"/>
    <w:basedOn w:val="DefaultParagraphFont"/>
    <w:rsid w:val="005230BE"/>
  </w:style>
  <w:style w:type="character" w:customStyle="1" w:styleId="contextualspellingandgrammarerror">
    <w:name w:val="contextualspellingandgrammarerror"/>
    <w:basedOn w:val="DefaultParagraphFont"/>
    <w:rsid w:val="005230BE"/>
  </w:style>
  <w:style w:type="character" w:customStyle="1" w:styleId="eop">
    <w:name w:val="eop"/>
    <w:basedOn w:val="DefaultParagraphFont"/>
    <w:rsid w:val="005230BE"/>
  </w:style>
  <w:style w:type="paragraph" w:styleId="Header">
    <w:name w:val="header"/>
    <w:basedOn w:val="Normal"/>
    <w:link w:val="HeaderChar"/>
    <w:uiPriority w:val="99"/>
    <w:unhideWhenUsed/>
    <w:rsid w:val="00726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441"/>
  </w:style>
  <w:style w:type="paragraph" w:styleId="Footer">
    <w:name w:val="footer"/>
    <w:basedOn w:val="Normal"/>
    <w:link w:val="FooterChar"/>
    <w:uiPriority w:val="99"/>
    <w:unhideWhenUsed/>
    <w:rsid w:val="00726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1363">
      <w:bodyDiv w:val="1"/>
      <w:marLeft w:val="0"/>
      <w:marRight w:val="0"/>
      <w:marTop w:val="0"/>
      <w:marBottom w:val="0"/>
      <w:divBdr>
        <w:top w:val="none" w:sz="0" w:space="0" w:color="auto"/>
        <w:left w:val="none" w:sz="0" w:space="0" w:color="auto"/>
        <w:bottom w:val="none" w:sz="0" w:space="0" w:color="auto"/>
        <w:right w:val="none" w:sz="0" w:space="0" w:color="auto"/>
      </w:divBdr>
    </w:div>
    <w:div w:id="754516579">
      <w:bodyDiv w:val="1"/>
      <w:marLeft w:val="0"/>
      <w:marRight w:val="0"/>
      <w:marTop w:val="0"/>
      <w:marBottom w:val="0"/>
      <w:divBdr>
        <w:top w:val="none" w:sz="0" w:space="0" w:color="auto"/>
        <w:left w:val="none" w:sz="0" w:space="0" w:color="auto"/>
        <w:bottom w:val="none" w:sz="0" w:space="0" w:color="auto"/>
        <w:right w:val="none" w:sz="0" w:space="0" w:color="auto"/>
      </w:divBdr>
    </w:div>
    <w:div w:id="1275357785">
      <w:bodyDiv w:val="1"/>
      <w:marLeft w:val="0"/>
      <w:marRight w:val="0"/>
      <w:marTop w:val="0"/>
      <w:marBottom w:val="0"/>
      <w:divBdr>
        <w:top w:val="none" w:sz="0" w:space="0" w:color="auto"/>
        <w:left w:val="none" w:sz="0" w:space="0" w:color="auto"/>
        <w:bottom w:val="none" w:sz="0" w:space="0" w:color="auto"/>
        <w:right w:val="none" w:sz="0" w:space="0" w:color="auto"/>
      </w:divBdr>
    </w:div>
    <w:div w:id="1341812918">
      <w:bodyDiv w:val="1"/>
      <w:marLeft w:val="0"/>
      <w:marRight w:val="0"/>
      <w:marTop w:val="0"/>
      <w:marBottom w:val="0"/>
      <w:divBdr>
        <w:top w:val="none" w:sz="0" w:space="0" w:color="auto"/>
        <w:left w:val="none" w:sz="0" w:space="0" w:color="auto"/>
        <w:bottom w:val="none" w:sz="0" w:space="0" w:color="auto"/>
        <w:right w:val="none" w:sz="0" w:space="0" w:color="auto"/>
      </w:divBdr>
      <w:divsChild>
        <w:div w:id="250698527">
          <w:marLeft w:val="0"/>
          <w:marRight w:val="0"/>
          <w:marTop w:val="0"/>
          <w:marBottom w:val="0"/>
          <w:divBdr>
            <w:top w:val="none" w:sz="0" w:space="0" w:color="auto"/>
            <w:left w:val="none" w:sz="0" w:space="0" w:color="auto"/>
            <w:bottom w:val="none" w:sz="0" w:space="0" w:color="auto"/>
            <w:right w:val="none" w:sz="0" w:space="0" w:color="auto"/>
          </w:divBdr>
          <w:divsChild>
            <w:div w:id="13588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6381">
      <w:bodyDiv w:val="1"/>
      <w:marLeft w:val="0"/>
      <w:marRight w:val="0"/>
      <w:marTop w:val="0"/>
      <w:marBottom w:val="0"/>
      <w:divBdr>
        <w:top w:val="none" w:sz="0" w:space="0" w:color="auto"/>
        <w:left w:val="none" w:sz="0" w:space="0" w:color="auto"/>
        <w:bottom w:val="none" w:sz="0" w:space="0" w:color="auto"/>
        <w:right w:val="none" w:sz="0" w:space="0" w:color="auto"/>
      </w:divBdr>
      <w:divsChild>
        <w:div w:id="1080326509">
          <w:marLeft w:val="0"/>
          <w:marRight w:val="0"/>
          <w:marTop w:val="0"/>
          <w:marBottom w:val="0"/>
          <w:divBdr>
            <w:top w:val="none" w:sz="0" w:space="0" w:color="auto"/>
            <w:left w:val="none" w:sz="0" w:space="0" w:color="auto"/>
            <w:bottom w:val="none" w:sz="0" w:space="0" w:color="auto"/>
            <w:right w:val="none" w:sz="0" w:space="0" w:color="auto"/>
          </w:divBdr>
          <w:divsChild>
            <w:div w:id="1385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499A1-0E72-493E-8F1D-566E82E2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16</Pages>
  <Words>8077</Words>
  <Characters>46043</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Karn</dc:creator>
  <cp:keywords/>
  <dc:description/>
  <cp:lastModifiedBy>Nicholas Karn</cp:lastModifiedBy>
  <cp:revision>152</cp:revision>
  <dcterms:created xsi:type="dcterms:W3CDTF">2024-06-11T08:22:00Z</dcterms:created>
  <dcterms:modified xsi:type="dcterms:W3CDTF">2024-08-20T07:54:00Z</dcterms:modified>
</cp:coreProperties>
</file>