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965E" w14:textId="526C0B80" w:rsidR="007F5462" w:rsidRPr="002A30E6" w:rsidRDefault="001436DF" w:rsidP="004E143B">
      <w:pPr>
        <w:pStyle w:val="Heading1"/>
        <w:spacing w:before="0"/>
        <w:jc w:val="center"/>
      </w:pPr>
      <w:bookmarkStart w:id="0" w:name="_Toc135163258"/>
      <w:r w:rsidRPr="002A30E6">
        <w:t xml:space="preserve">A </w:t>
      </w:r>
      <w:r w:rsidR="00385377" w:rsidRPr="002A30E6">
        <w:t>randomi</w:t>
      </w:r>
      <w:r w:rsidR="009C69DE" w:rsidRPr="002A30E6">
        <w:t>s</w:t>
      </w:r>
      <w:r w:rsidR="00385377" w:rsidRPr="002A30E6">
        <w:t>ed</w:t>
      </w:r>
      <w:r w:rsidRPr="002A30E6">
        <w:t>, crossover trial explorin</w:t>
      </w:r>
      <w:r w:rsidR="00DC3DF1" w:rsidRPr="002A30E6">
        <w:t>g</w:t>
      </w:r>
      <w:r w:rsidR="007F5462" w:rsidRPr="002A30E6">
        <w:t xml:space="preserve"> the patient perspective </w:t>
      </w:r>
      <w:r w:rsidR="000854AC">
        <w:t xml:space="preserve">and </w:t>
      </w:r>
      <w:r w:rsidR="006E5CB8">
        <w:t>effectiveness</w:t>
      </w:r>
      <w:r w:rsidR="000854AC">
        <w:t xml:space="preserve"> </w:t>
      </w:r>
      <w:r w:rsidR="007F5462" w:rsidRPr="002A30E6">
        <w:t xml:space="preserve">of biosimilar adalimumab transition: IBD Reference and Biosimilar adalimumab </w:t>
      </w:r>
      <w:r w:rsidR="00E71AB9" w:rsidRPr="002A30E6">
        <w:t>Cross</w:t>
      </w:r>
      <w:r w:rsidR="007F5462" w:rsidRPr="002A30E6">
        <w:t xml:space="preserve"> over Study (iBaSS)</w:t>
      </w:r>
      <w:bookmarkEnd w:id="0"/>
    </w:p>
    <w:p w14:paraId="7FEF82CC" w14:textId="77777777" w:rsidR="00641EF9" w:rsidRPr="002A30E6" w:rsidRDefault="00641EF9"/>
    <w:p w14:paraId="1CB7A7D0" w14:textId="29F9AC6F" w:rsidR="00641EF9" w:rsidRPr="002A30E6" w:rsidRDefault="00641EF9" w:rsidP="00641EF9">
      <w:r w:rsidRPr="002A30E6">
        <w:t>David Young</w:t>
      </w:r>
      <w:r w:rsidR="002A791C" w:rsidRPr="002A30E6">
        <w:rPr>
          <w:vertAlign w:val="superscript"/>
        </w:rPr>
        <w:t>1,2</w:t>
      </w:r>
      <w:r w:rsidR="003B6D30" w:rsidRPr="002A30E6">
        <w:t xml:space="preserve"> (OR</w:t>
      </w:r>
      <w:r w:rsidR="008640EB" w:rsidRPr="002A30E6">
        <w:t>CiD 0000-0003-0102-5739</w:t>
      </w:r>
      <w:r w:rsidR="003B6D30" w:rsidRPr="002A30E6">
        <w:t>),</w:t>
      </w:r>
      <w:r w:rsidR="006352B9" w:rsidRPr="002A30E6">
        <w:t xml:space="preserve"> </w:t>
      </w:r>
      <w:r w:rsidR="000F25F3" w:rsidRPr="002A30E6">
        <w:t>Clare Harris</w:t>
      </w:r>
      <w:r w:rsidR="000C0814" w:rsidRPr="002A30E6">
        <w:rPr>
          <w:vertAlign w:val="superscript"/>
        </w:rPr>
        <w:t>2</w:t>
      </w:r>
      <w:r w:rsidR="00BE17B0" w:rsidRPr="002A30E6">
        <w:rPr>
          <w:vertAlign w:val="superscript"/>
        </w:rPr>
        <w:t>,3</w:t>
      </w:r>
      <w:r w:rsidR="00305428" w:rsidRPr="002A30E6">
        <w:t xml:space="preserve"> (ORCiD</w:t>
      </w:r>
      <w:r w:rsidR="00A8122C" w:rsidRPr="002A30E6">
        <w:t xml:space="preserve"> 0000-0002-8233-7509</w:t>
      </w:r>
      <w:r w:rsidR="00305428" w:rsidRPr="002A30E6">
        <w:t>),</w:t>
      </w:r>
      <w:r w:rsidR="000F25F3" w:rsidRPr="002A30E6">
        <w:t xml:space="preserve"> </w:t>
      </w:r>
      <w:r w:rsidR="000C0814" w:rsidRPr="002A30E6">
        <w:t>Sohail Rahmany</w:t>
      </w:r>
      <w:r w:rsidR="00630318" w:rsidRPr="002A30E6">
        <w:rPr>
          <w:vertAlign w:val="superscript"/>
        </w:rPr>
        <w:t>3</w:t>
      </w:r>
      <w:r w:rsidR="00A8122C" w:rsidRPr="002A30E6">
        <w:t xml:space="preserve"> (ORCiD 0000-0003-0924-2690),</w:t>
      </w:r>
      <w:r w:rsidR="000C0814" w:rsidRPr="002A30E6">
        <w:t xml:space="preserve"> </w:t>
      </w:r>
      <w:r w:rsidR="00E41F42" w:rsidRPr="002A30E6">
        <w:t>In</w:t>
      </w:r>
      <w:r w:rsidR="004076D5" w:rsidRPr="004076D5">
        <w:t>ê</w:t>
      </w:r>
      <w:r w:rsidR="00E41F42" w:rsidRPr="002A30E6">
        <w:t>s Iria</w:t>
      </w:r>
      <w:r w:rsidR="00E41F42" w:rsidRPr="002A30E6">
        <w:rPr>
          <w:vertAlign w:val="superscript"/>
        </w:rPr>
        <w:t>4</w:t>
      </w:r>
      <w:r w:rsidR="00E41F42" w:rsidRPr="002A30E6">
        <w:t xml:space="preserve">, </w:t>
      </w:r>
      <w:r w:rsidR="00614B45" w:rsidRPr="002A30E6">
        <w:t>Jo</w:t>
      </w:r>
      <w:r w:rsidR="004076D5" w:rsidRPr="004076D5">
        <w:t>ã</w:t>
      </w:r>
      <w:r w:rsidR="00614B45" w:rsidRPr="002A30E6">
        <w:t>o Gon</w:t>
      </w:r>
      <w:r w:rsidR="004076D5" w:rsidRPr="004076D5">
        <w:t>ç</w:t>
      </w:r>
      <w:r w:rsidR="00614B45" w:rsidRPr="002A30E6">
        <w:t>alves</w:t>
      </w:r>
      <w:r w:rsidR="00630318" w:rsidRPr="002A30E6">
        <w:rPr>
          <w:vertAlign w:val="superscript"/>
        </w:rPr>
        <w:t>4</w:t>
      </w:r>
      <w:r w:rsidR="00614B45" w:rsidRPr="002A30E6">
        <w:t xml:space="preserve">, </w:t>
      </w:r>
      <w:r w:rsidR="00F94A0F" w:rsidRPr="002A30E6">
        <w:t>Janet Addison</w:t>
      </w:r>
      <w:r w:rsidR="00E711B3" w:rsidRPr="002A30E6">
        <w:rPr>
          <w:vertAlign w:val="superscript"/>
        </w:rPr>
        <w:t>5</w:t>
      </w:r>
      <w:r w:rsidR="00F94A0F" w:rsidRPr="002A30E6">
        <w:t xml:space="preserve">, </w:t>
      </w:r>
      <w:r w:rsidR="00E711B3" w:rsidRPr="002A30E6">
        <w:t>Justin Harvey</w:t>
      </w:r>
      <w:r w:rsidR="00E711B3" w:rsidRPr="002A30E6">
        <w:rPr>
          <w:vertAlign w:val="superscript"/>
        </w:rPr>
        <w:t>6</w:t>
      </w:r>
      <w:r w:rsidR="00E711B3" w:rsidRPr="002A30E6">
        <w:t xml:space="preserve">, </w:t>
      </w:r>
      <w:r w:rsidR="0008590D" w:rsidRPr="002A30E6">
        <w:t>Sue Latter</w:t>
      </w:r>
      <w:r w:rsidR="00E62DFC" w:rsidRPr="002A30E6">
        <w:rPr>
          <w:vertAlign w:val="superscript"/>
        </w:rPr>
        <w:t>7</w:t>
      </w:r>
      <w:r w:rsidR="00E91C3B" w:rsidRPr="002A30E6">
        <w:t xml:space="preserve"> (ORCiD 0000-0003-0973-0512),</w:t>
      </w:r>
      <w:r w:rsidR="0008590D" w:rsidRPr="002A30E6">
        <w:t xml:space="preserve"> </w:t>
      </w:r>
      <w:r w:rsidR="00E711B3" w:rsidRPr="002A30E6">
        <w:t>F</w:t>
      </w:r>
      <w:r w:rsidRPr="002A30E6">
        <w:t>raser Cummings</w:t>
      </w:r>
      <w:r w:rsidRPr="002A30E6">
        <w:rPr>
          <w:vertAlign w:val="superscript"/>
        </w:rPr>
        <w:t>2,</w:t>
      </w:r>
      <w:r w:rsidR="00CC36B2" w:rsidRPr="002A30E6">
        <w:rPr>
          <w:vertAlign w:val="superscript"/>
        </w:rPr>
        <w:t>3</w:t>
      </w:r>
      <w:r w:rsidR="009E480C" w:rsidRPr="002A30E6">
        <w:t xml:space="preserve"> (ORCiD </w:t>
      </w:r>
      <w:r w:rsidR="00B85BDB" w:rsidRPr="002A30E6">
        <w:t>0000-0002-9659-3247</w:t>
      </w:r>
      <w:r w:rsidR="009E480C" w:rsidRPr="002A30E6">
        <w:t>)</w:t>
      </w:r>
    </w:p>
    <w:p w14:paraId="3464039E" w14:textId="77777777" w:rsidR="00674309" w:rsidRPr="002A30E6" w:rsidRDefault="00674309" w:rsidP="00641EF9">
      <w:pPr>
        <w:rPr>
          <w:vertAlign w:val="superscript"/>
        </w:rPr>
      </w:pPr>
    </w:p>
    <w:p w14:paraId="410FC68A" w14:textId="097A6139" w:rsidR="00641EF9" w:rsidRPr="002A30E6" w:rsidRDefault="002A791C" w:rsidP="00641EF9">
      <w:r w:rsidRPr="002A30E6">
        <w:rPr>
          <w:vertAlign w:val="superscript"/>
        </w:rPr>
        <w:t>1</w:t>
      </w:r>
      <w:r w:rsidR="00E62DFC" w:rsidRPr="002A30E6">
        <w:t xml:space="preserve"> P</w:t>
      </w:r>
      <w:r w:rsidR="00641EF9" w:rsidRPr="002A30E6">
        <w:t>harmacy Department, University Hospital Southampton NHS Foundation Trust</w:t>
      </w:r>
      <w:r w:rsidR="00FB1820" w:rsidRPr="002A30E6">
        <w:t>, South</w:t>
      </w:r>
      <w:r w:rsidR="008839F3" w:rsidRPr="002A30E6">
        <w:t xml:space="preserve">ampton, </w:t>
      </w:r>
      <w:r w:rsidR="00C329A4" w:rsidRPr="002A30E6">
        <w:t>United Kingdom</w:t>
      </w:r>
      <w:r w:rsidR="008839F3" w:rsidRPr="002A30E6">
        <w:t>.</w:t>
      </w:r>
    </w:p>
    <w:p w14:paraId="15407AD8" w14:textId="50F34B95" w:rsidR="00641EF9" w:rsidRPr="002A30E6" w:rsidRDefault="002A0098" w:rsidP="00641EF9">
      <w:r w:rsidRPr="002A30E6">
        <w:rPr>
          <w:vertAlign w:val="superscript"/>
        </w:rPr>
        <w:t>2</w:t>
      </w:r>
      <w:r w:rsidR="00E62DFC" w:rsidRPr="002A30E6">
        <w:t xml:space="preserve"> F</w:t>
      </w:r>
      <w:r w:rsidR="00641EF9" w:rsidRPr="002A30E6">
        <w:t>aculty of Medicine, University of Southampton</w:t>
      </w:r>
      <w:r w:rsidR="00283DD7" w:rsidRPr="002A30E6">
        <w:t xml:space="preserve">, Southampton, </w:t>
      </w:r>
      <w:r w:rsidR="00C329A4" w:rsidRPr="002A30E6">
        <w:t>United Kingdom</w:t>
      </w:r>
      <w:r w:rsidR="00283DD7" w:rsidRPr="002A30E6">
        <w:t>.</w:t>
      </w:r>
    </w:p>
    <w:p w14:paraId="1AB0E2A2" w14:textId="7242499E" w:rsidR="00614B45" w:rsidRPr="002A30E6" w:rsidRDefault="00630318" w:rsidP="00614B45">
      <w:r w:rsidRPr="002A30E6">
        <w:rPr>
          <w:vertAlign w:val="superscript"/>
        </w:rPr>
        <w:t>3</w:t>
      </w:r>
      <w:r w:rsidR="00E62DFC" w:rsidRPr="002A30E6">
        <w:t xml:space="preserve"> D</w:t>
      </w:r>
      <w:r w:rsidR="00614B45" w:rsidRPr="002A30E6">
        <w:t>epartment of Gastroenterology, University Hospital Southampton NHS Foundation Trust, Southampton, United Kingdom.</w:t>
      </w:r>
    </w:p>
    <w:p w14:paraId="2AAEDF7A" w14:textId="2060D2C4" w:rsidR="003503D2" w:rsidRPr="00BF0E93" w:rsidRDefault="003503D2" w:rsidP="003503D2">
      <w:pPr>
        <w:rPr>
          <w:lang w:val="pt-PT"/>
        </w:rPr>
      </w:pPr>
      <w:r w:rsidRPr="00BF0E93">
        <w:rPr>
          <w:vertAlign w:val="superscript"/>
          <w:lang w:val="pt-PT"/>
        </w:rPr>
        <w:t>4</w:t>
      </w:r>
      <w:r w:rsidR="00E62DFC" w:rsidRPr="00BF0E93">
        <w:rPr>
          <w:lang w:val="pt-PT"/>
        </w:rPr>
        <w:t xml:space="preserve"> i</w:t>
      </w:r>
      <w:r w:rsidR="002D7C97" w:rsidRPr="00BF0E93">
        <w:rPr>
          <w:lang w:val="pt-PT"/>
        </w:rPr>
        <w:t>Med – Research Institute for Medicines,</w:t>
      </w:r>
      <w:r w:rsidR="002D7C97" w:rsidRPr="002A30E6">
        <w:rPr>
          <w:lang w:val="pt-PT"/>
        </w:rPr>
        <w:t xml:space="preserve"> Faculdade de Farmacia</w:t>
      </w:r>
      <w:r w:rsidR="002C5C24" w:rsidRPr="002A30E6">
        <w:rPr>
          <w:lang w:val="pt-PT"/>
        </w:rPr>
        <w:t>,</w:t>
      </w:r>
      <w:r w:rsidR="002D7C97" w:rsidRPr="002A30E6">
        <w:rPr>
          <w:lang w:val="pt-PT"/>
        </w:rPr>
        <w:t xml:space="preserve"> Universidade Lisboa</w:t>
      </w:r>
      <w:r w:rsidRPr="002A30E6">
        <w:rPr>
          <w:lang w:val="pt-PT"/>
        </w:rPr>
        <w:t xml:space="preserve">, </w:t>
      </w:r>
      <w:r w:rsidR="002C5C24" w:rsidRPr="002A30E6">
        <w:rPr>
          <w:lang w:val="pt-PT"/>
        </w:rPr>
        <w:t xml:space="preserve">Lisboa, </w:t>
      </w:r>
      <w:r w:rsidRPr="002A30E6">
        <w:rPr>
          <w:lang w:val="pt-PT"/>
        </w:rPr>
        <w:t>Portugal.</w:t>
      </w:r>
    </w:p>
    <w:p w14:paraId="6C1AA1A7" w14:textId="7ED00772" w:rsidR="00F94A0F" w:rsidRPr="002A30E6" w:rsidRDefault="00E711B3" w:rsidP="002A0098">
      <w:r w:rsidRPr="002A30E6">
        <w:rPr>
          <w:vertAlign w:val="superscript"/>
        </w:rPr>
        <w:t>5</w:t>
      </w:r>
      <w:r w:rsidR="00E62DFC" w:rsidRPr="002A30E6">
        <w:t xml:space="preserve"> B</w:t>
      </w:r>
      <w:r w:rsidR="00045B01" w:rsidRPr="002A30E6">
        <w:t>iogen UK, Maidenhead, United Kingdom</w:t>
      </w:r>
      <w:r w:rsidRPr="002A30E6">
        <w:t>.</w:t>
      </w:r>
    </w:p>
    <w:p w14:paraId="575F01B6" w14:textId="614B8986" w:rsidR="00E711B3" w:rsidRPr="002A30E6" w:rsidRDefault="00E711B3" w:rsidP="00E711B3">
      <w:r w:rsidRPr="002A30E6">
        <w:rPr>
          <w:vertAlign w:val="superscript"/>
        </w:rPr>
        <w:t>6</w:t>
      </w:r>
      <w:r w:rsidR="00E62DFC" w:rsidRPr="002A30E6">
        <w:t xml:space="preserve"> D</w:t>
      </w:r>
      <w:r w:rsidRPr="002A30E6">
        <w:t>epartment of Statistics and Actuarial Science, Stellenbosch University Stellenbosch, South Africa.</w:t>
      </w:r>
    </w:p>
    <w:p w14:paraId="39A23E32" w14:textId="4A5E5AB6" w:rsidR="00E62DFC" w:rsidRPr="002A30E6" w:rsidRDefault="00AB1C66" w:rsidP="00E711B3">
      <w:r w:rsidRPr="002A30E6">
        <w:rPr>
          <w:vertAlign w:val="superscript"/>
        </w:rPr>
        <w:t>7</w:t>
      </w:r>
      <w:r w:rsidRPr="002A30E6">
        <w:t xml:space="preserve"> </w:t>
      </w:r>
      <w:r w:rsidR="00E62DFC" w:rsidRPr="002A30E6">
        <w:t xml:space="preserve">School of Health Sciences, University of Southampton, Southampton, </w:t>
      </w:r>
      <w:r w:rsidRPr="002A30E6">
        <w:t>United Kingdom.</w:t>
      </w:r>
    </w:p>
    <w:p w14:paraId="02CB15EE" w14:textId="4B7F84DA" w:rsidR="00641EF9" w:rsidRPr="002A30E6" w:rsidRDefault="00641EF9" w:rsidP="00641EF9"/>
    <w:p w14:paraId="5C7EFC8E" w14:textId="77777777" w:rsidR="00641EF9" w:rsidRPr="002A30E6" w:rsidRDefault="00641EF9" w:rsidP="00641EF9">
      <w:pPr>
        <w:rPr>
          <w:b/>
          <w:bCs/>
        </w:rPr>
      </w:pPr>
      <w:r w:rsidRPr="002A30E6">
        <w:rPr>
          <w:b/>
          <w:bCs/>
        </w:rPr>
        <w:t xml:space="preserve">Address for correspondence: </w:t>
      </w:r>
    </w:p>
    <w:p w14:paraId="0EABB48C" w14:textId="560997DE" w:rsidR="00641EF9" w:rsidRPr="002A30E6" w:rsidRDefault="00641EF9" w:rsidP="00641EF9">
      <w:r w:rsidRPr="002A30E6">
        <w:lastRenderedPageBreak/>
        <w:t>David Young</w:t>
      </w:r>
    </w:p>
    <w:p w14:paraId="4D121379" w14:textId="77777777" w:rsidR="00C329A4" w:rsidRPr="002A30E6" w:rsidRDefault="00C329A4" w:rsidP="00641EF9">
      <w:r w:rsidRPr="002A30E6">
        <w:t>Pharmacy Department</w:t>
      </w:r>
    </w:p>
    <w:p w14:paraId="196780F2" w14:textId="77777777" w:rsidR="00C329A4" w:rsidRPr="002A30E6" w:rsidRDefault="00C329A4" w:rsidP="00641EF9">
      <w:r w:rsidRPr="002A30E6">
        <w:t xml:space="preserve">University Hospital Southampton NHS Foundation Trust </w:t>
      </w:r>
    </w:p>
    <w:p w14:paraId="052D89FF" w14:textId="4981F381" w:rsidR="00641EF9" w:rsidRPr="002A30E6" w:rsidRDefault="00641EF9" w:rsidP="00641EF9">
      <w:r w:rsidRPr="002A30E6">
        <w:t>Tremona Road</w:t>
      </w:r>
    </w:p>
    <w:p w14:paraId="3F13ABBE" w14:textId="77777777" w:rsidR="00641EF9" w:rsidRPr="002A30E6" w:rsidRDefault="00641EF9" w:rsidP="00641EF9">
      <w:r w:rsidRPr="002A30E6">
        <w:t>Southampton, UK</w:t>
      </w:r>
    </w:p>
    <w:p w14:paraId="70B06306" w14:textId="77777777" w:rsidR="00641EF9" w:rsidRPr="002A30E6" w:rsidRDefault="00641EF9" w:rsidP="00641EF9">
      <w:r w:rsidRPr="002A30E6">
        <w:t>SO16 6YD</w:t>
      </w:r>
    </w:p>
    <w:p w14:paraId="76187AD4" w14:textId="05B4AF29" w:rsidR="00641EF9" w:rsidRPr="002A30E6" w:rsidRDefault="00641EF9" w:rsidP="00641EF9">
      <w:r w:rsidRPr="002A30E6">
        <w:t>david.young@uhs.nhs.uk</w:t>
      </w:r>
    </w:p>
    <w:p w14:paraId="0D927F4A" w14:textId="77777777" w:rsidR="00641EF9" w:rsidRPr="002A30E6" w:rsidRDefault="00641EF9"/>
    <w:p w14:paraId="5EE84637" w14:textId="3DA390CD" w:rsidR="00A72FD1" w:rsidRPr="002A30E6" w:rsidRDefault="00641EF9" w:rsidP="00494BB8">
      <w:r w:rsidRPr="002A30E6">
        <w:rPr>
          <w:b/>
          <w:bCs/>
        </w:rPr>
        <w:t>Word count</w:t>
      </w:r>
      <w:r w:rsidR="003C2F0C" w:rsidRPr="002A30E6">
        <w:rPr>
          <w:b/>
          <w:bCs/>
        </w:rPr>
        <w:t xml:space="preserve">: </w:t>
      </w:r>
      <w:r w:rsidR="003056E2">
        <w:t>3</w:t>
      </w:r>
      <w:r w:rsidR="005551F7">
        <w:t>,40</w:t>
      </w:r>
      <w:r w:rsidR="004F5742">
        <w:t>7</w:t>
      </w:r>
      <w:r w:rsidR="003C2F0C" w:rsidRPr="002A30E6">
        <w:t xml:space="preserve"> words</w:t>
      </w:r>
      <w:bookmarkStart w:id="1" w:name="_Toc135163259"/>
      <w:r w:rsidR="00A72FD1" w:rsidRPr="002A30E6">
        <w:br w:type="page"/>
      </w:r>
    </w:p>
    <w:p w14:paraId="35842823" w14:textId="41113A0C" w:rsidR="00641EF9" w:rsidRPr="002A30E6" w:rsidRDefault="00641EF9" w:rsidP="00641EF9">
      <w:pPr>
        <w:pStyle w:val="Heading1"/>
      </w:pPr>
      <w:r w:rsidRPr="002A30E6">
        <w:lastRenderedPageBreak/>
        <w:t>Abstract</w:t>
      </w:r>
      <w:bookmarkEnd w:id="1"/>
    </w:p>
    <w:p w14:paraId="5D90DA38" w14:textId="378ED394" w:rsidR="00AB4564" w:rsidRPr="002A30E6" w:rsidRDefault="00AB4564" w:rsidP="00AB4564">
      <w:pPr>
        <w:pStyle w:val="Heading2"/>
      </w:pPr>
      <w:bookmarkStart w:id="2" w:name="_Toc135163260"/>
      <w:r w:rsidRPr="002A30E6">
        <w:t>Background</w:t>
      </w:r>
      <w:bookmarkEnd w:id="2"/>
    </w:p>
    <w:p w14:paraId="178EC805" w14:textId="3C49B747" w:rsidR="00705EC2" w:rsidRDefault="00493B43" w:rsidP="00AB4564">
      <w:r w:rsidRPr="002A30E6">
        <w:t xml:space="preserve">Patient satisfaction </w:t>
      </w:r>
      <w:r w:rsidR="00D10080" w:rsidRPr="002A30E6">
        <w:t>has been positively associated with</w:t>
      </w:r>
      <w:r w:rsidRPr="002A30E6">
        <w:t xml:space="preserve"> </w:t>
      </w:r>
      <w:r w:rsidR="00FA4907" w:rsidRPr="002A30E6">
        <w:t xml:space="preserve">adherence </w:t>
      </w:r>
      <w:r w:rsidR="001D23F1" w:rsidRPr="002A30E6">
        <w:t>which is expected to</w:t>
      </w:r>
      <w:r w:rsidR="00FA4907" w:rsidRPr="002A30E6">
        <w:t xml:space="preserve"> impact outcomes</w:t>
      </w:r>
      <w:r w:rsidR="00B961EB">
        <w:t xml:space="preserve">. </w:t>
      </w:r>
      <w:r w:rsidR="00103706">
        <w:t>Although</w:t>
      </w:r>
      <w:r w:rsidR="00FA4907" w:rsidRPr="002A30E6">
        <w:t xml:space="preserve"> vital for successful implementation of biosimilar medicines</w:t>
      </w:r>
      <w:r w:rsidR="00F03AE0">
        <w:t xml:space="preserve">, </w:t>
      </w:r>
      <w:r w:rsidR="00F03AE0" w:rsidRPr="002A30E6">
        <w:t>little is known about the patient perspective of transition</w:t>
      </w:r>
      <w:r w:rsidR="00FA4907" w:rsidRPr="002A30E6">
        <w:t>.</w:t>
      </w:r>
      <w:r w:rsidR="00274C0D" w:rsidRPr="002A30E6">
        <w:t xml:space="preserve"> </w:t>
      </w:r>
    </w:p>
    <w:p w14:paraId="02F3602C" w14:textId="77777777" w:rsidR="00705EC2" w:rsidRDefault="00705EC2" w:rsidP="00494BB8">
      <w:pPr>
        <w:pStyle w:val="Heading2"/>
      </w:pPr>
      <w:r>
        <w:t>Aim</w:t>
      </w:r>
    </w:p>
    <w:p w14:paraId="6C067E68" w14:textId="0DB9A7CE" w:rsidR="00AB4564" w:rsidRPr="002A30E6" w:rsidRDefault="0034791A" w:rsidP="00AB4564">
      <w:r w:rsidRPr="0034791A">
        <w:t xml:space="preserve">The aim of this study was to </w:t>
      </w:r>
      <w:r w:rsidR="007A6626">
        <w:t>investigate</w:t>
      </w:r>
      <w:r w:rsidRPr="0034791A">
        <w:t xml:space="preserve"> </w:t>
      </w:r>
      <w:r w:rsidR="00DC4866">
        <w:t xml:space="preserve">clinical outcomes and </w:t>
      </w:r>
      <w:r w:rsidR="0086307E">
        <w:t xml:space="preserve">patient experience of </w:t>
      </w:r>
      <w:r w:rsidRPr="0034791A">
        <w:t xml:space="preserve">transitioning between reference adalimumab and </w:t>
      </w:r>
      <w:r w:rsidR="000342C2">
        <w:t xml:space="preserve">a </w:t>
      </w:r>
      <w:r w:rsidRPr="0034791A">
        <w:t>biosimilar (SB5).</w:t>
      </w:r>
    </w:p>
    <w:p w14:paraId="40806229" w14:textId="26674388" w:rsidR="00AB4564" w:rsidRPr="002A30E6" w:rsidRDefault="00AB4564" w:rsidP="00AB4564">
      <w:pPr>
        <w:pStyle w:val="Heading2"/>
      </w:pPr>
      <w:bookmarkStart w:id="3" w:name="_Toc135163261"/>
      <w:r w:rsidRPr="002A30E6">
        <w:t>Method</w:t>
      </w:r>
      <w:bookmarkEnd w:id="3"/>
    </w:p>
    <w:p w14:paraId="35547662" w14:textId="4600DB95" w:rsidR="00CD3D03" w:rsidRPr="002A30E6" w:rsidRDefault="00CD3D03" w:rsidP="00A71C0D">
      <w:pPr>
        <w:rPr>
          <w:b/>
          <w:bCs/>
        </w:rPr>
      </w:pPr>
      <w:r w:rsidRPr="002A30E6">
        <w:t>iBaSS is a phase IV single-</w:t>
      </w:r>
      <w:r w:rsidR="00B151BE" w:rsidRPr="002A30E6">
        <w:t>centre</w:t>
      </w:r>
      <w:r w:rsidRPr="002A30E6">
        <w:t xml:space="preserve">, prospective, </w:t>
      </w:r>
      <w:r w:rsidR="004A1470" w:rsidRPr="002A30E6">
        <w:t>randomi</w:t>
      </w:r>
      <w:r w:rsidR="00B151BE" w:rsidRPr="002A30E6">
        <w:t>s</w:t>
      </w:r>
      <w:r w:rsidR="004A1470" w:rsidRPr="002A30E6">
        <w:t>ed</w:t>
      </w:r>
      <w:r w:rsidRPr="002A30E6">
        <w:t>, single-blind, cross-over study in adult subjects with Crohn’s disease.</w:t>
      </w:r>
      <w:r w:rsidR="00FF62B6" w:rsidRPr="002A30E6">
        <w:t xml:space="preserve"> Participants, stable on adalimumab before consent, received</w:t>
      </w:r>
      <w:r w:rsidR="00A54F3C" w:rsidRPr="002A30E6">
        <w:t xml:space="preserve"> 24 weeks of treatment with </w:t>
      </w:r>
      <w:r w:rsidR="00F45F7B" w:rsidRPr="002A30E6">
        <w:t xml:space="preserve">both </w:t>
      </w:r>
      <w:r w:rsidR="007B5959" w:rsidRPr="002A30E6">
        <w:t>reference</w:t>
      </w:r>
      <w:r w:rsidR="00A54F3C" w:rsidRPr="002A30E6">
        <w:t xml:space="preserve"> adalimumab and </w:t>
      </w:r>
      <w:r w:rsidR="00B151BE" w:rsidRPr="002A30E6">
        <w:t>SB5</w:t>
      </w:r>
      <w:r w:rsidR="00F45F7B" w:rsidRPr="002A30E6">
        <w:t>.</w:t>
      </w:r>
      <w:r w:rsidR="00602E94" w:rsidRPr="002A30E6">
        <w:t xml:space="preserve"> The primary outcome was the proportion of patients maintaining baseline clinical status throughout each treatment period</w:t>
      </w:r>
      <w:r w:rsidR="005961A9" w:rsidRPr="002A30E6">
        <w:t xml:space="preserve">, with </w:t>
      </w:r>
      <w:r w:rsidR="00D70539" w:rsidRPr="002A30E6">
        <w:t>patient</w:t>
      </w:r>
      <w:r w:rsidR="002C12EC" w:rsidRPr="002A30E6">
        <w:t>s</w:t>
      </w:r>
      <w:r w:rsidR="008B7CB3" w:rsidRPr="002A30E6">
        <w:t>’</w:t>
      </w:r>
      <w:r w:rsidR="002C12EC" w:rsidRPr="002A30E6">
        <w:t xml:space="preserve"> perspective of disease control and treatment</w:t>
      </w:r>
      <w:r w:rsidR="00D70539" w:rsidRPr="002A30E6">
        <w:t xml:space="preserve"> satisfaction </w:t>
      </w:r>
      <w:r w:rsidR="00CC0A24" w:rsidRPr="002A30E6">
        <w:t xml:space="preserve">assessed as </w:t>
      </w:r>
      <w:r w:rsidR="005961A9" w:rsidRPr="002A30E6">
        <w:t>secondary outcomes</w:t>
      </w:r>
      <w:r w:rsidR="00D703FE" w:rsidRPr="002A30E6">
        <w:t>.</w:t>
      </w:r>
    </w:p>
    <w:p w14:paraId="51F62798" w14:textId="45A06521" w:rsidR="00AB4564" w:rsidRPr="002A30E6" w:rsidRDefault="00AB4564" w:rsidP="00AB4564">
      <w:pPr>
        <w:pStyle w:val="Heading2"/>
      </w:pPr>
      <w:bookmarkStart w:id="4" w:name="_Toc135163262"/>
      <w:r w:rsidRPr="002A30E6">
        <w:t>Results</w:t>
      </w:r>
      <w:bookmarkEnd w:id="4"/>
    </w:p>
    <w:p w14:paraId="0289CB53" w14:textId="18C5EEFF" w:rsidR="00AB4564" w:rsidRPr="002A30E6" w:rsidRDefault="003A5068" w:rsidP="00AB4564">
      <w:r w:rsidRPr="002A30E6">
        <w:t xml:space="preserve">A total of </w:t>
      </w:r>
      <w:r w:rsidR="00545F8C" w:rsidRPr="002A30E6">
        <w:t>112 participants</w:t>
      </w:r>
      <w:r w:rsidR="00AA1C50" w:rsidRPr="002A30E6">
        <w:t xml:space="preserve">, representative of the </w:t>
      </w:r>
      <w:r w:rsidR="002007BA" w:rsidRPr="002A30E6">
        <w:t>heterogeneous patient populations encountered in routine clinical practice,</w:t>
      </w:r>
      <w:r w:rsidR="00545F8C" w:rsidRPr="002A30E6">
        <w:t xml:space="preserve"> were enrolled</w:t>
      </w:r>
      <w:r w:rsidR="002007BA" w:rsidRPr="002A30E6">
        <w:t xml:space="preserve">. A similar proportion of </w:t>
      </w:r>
      <w:proofErr w:type="gramStart"/>
      <w:r w:rsidR="002007BA" w:rsidRPr="002A30E6">
        <w:t xml:space="preserve">participants </w:t>
      </w:r>
      <w:r w:rsidR="00322161" w:rsidRPr="002A30E6">
        <w:t>maintained</w:t>
      </w:r>
      <w:proofErr w:type="gramEnd"/>
      <w:r w:rsidR="00322161" w:rsidRPr="002A30E6">
        <w:t xml:space="preserve"> baseline </w:t>
      </w:r>
      <w:r w:rsidR="00324E3E" w:rsidRPr="002A30E6">
        <w:t xml:space="preserve">clinical </w:t>
      </w:r>
      <w:r w:rsidR="00322161" w:rsidRPr="002A30E6">
        <w:t xml:space="preserve">status through each </w:t>
      </w:r>
      <w:r w:rsidR="00FC2E71" w:rsidRPr="002A30E6">
        <w:t xml:space="preserve">treatment period: </w:t>
      </w:r>
      <w:r w:rsidR="00DB0684" w:rsidRPr="002A30E6">
        <w:t xml:space="preserve">81.8% with </w:t>
      </w:r>
      <w:r w:rsidR="007B5959" w:rsidRPr="002A30E6">
        <w:t>reference</w:t>
      </w:r>
      <w:r w:rsidR="00DB0684" w:rsidRPr="002A30E6">
        <w:t xml:space="preserve"> adalimumab and 79.5% with </w:t>
      </w:r>
      <w:r w:rsidR="009C3C46" w:rsidRPr="002A30E6">
        <w:t>SB5</w:t>
      </w:r>
      <w:r w:rsidR="00DB0684" w:rsidRPr="002A30E6">
        <w:t xml:space="preserve">. </w:t>
      </w:r>
      <w:r w:rsidR="00B600BF" w:rsidRPr="002A30E6">
        <w:t xml:space="preserve">Patient reported outcomes (IBD-Control questionnaire </w:t>
      </w:r>
      <w:r w:rsidR="00C62B5B">
        <w:t>(</w:t>
      </w:r>
      <w:r w:rsidR="007150DE">
        <w:t>SB5: 15.5; reference adalimumab 15</w:t>
      </w:r>
      <w:r w:rsidR="00C62B5B">
        <w:t xml:space="preserve">) </w:t>
      </w:r>
      <w:r w:rsidR="00B600BF" w:rsidRPr="002A30E6">
        <w:t xml:space="preserve">and </w:t>
      </w:r>
      <w:r w:rsidR="00A427BE" w:rsidRPr="002A30E6">
        <w:t>TSQM</w:t>
      </w:r>
      <w:r w:rsidR="00B600BF" w:rsidRPr="002A30E6">
        <w:t>)</w:t>
      </w:r>
      <w:r w:rsidR="00802D86" w:rsidRPr="002A30E6">
        <w:t xml:space="preserve">, </w:t>
      </w:r>
      <w:r w:rsidR="00E07ED2" w:rsidRPr="002A30E6">
        <w:t>adverse events</w:t>
      </w:r>
      <w:r w:rsidR="00802D86" w:rsidRPr="002A30E6">
        <w:t xml:space="preserve"> and </w:t>
      </w:r>
      <w:r w:rsidR="000B6C16" w:rsidRPr="002A30E6">
        <w:t>therapeutic drug monitoring</w:t>
      </w:r>
      <w:r w:rsidR="00B600BF" w:rsidRPr="002A30E6">
        <w:t xml:space="preserve"> remained consistent through</w:t>
      </w:r>
      <w:r w:rsidR="00802D86" w:rsidRPr="002A30E6">
        <w:t xml:space="preserve"> both treatment periods</w:t>
      </w:r>
      <w:r w:rsidR="00822371" w:rsidRPr="002A30E6">
        <w:t>,</w:t>
      </w:r>
      <w:r w:rsidR="000B6C16" w:rsidRPr="002A30E6">
        <w:t xml:space="preserve"> although a higher </w:t>
      </w:r>
      <w:r w:rsidR="00B54DBF">
        <w:t xml:space="preserve">median </w:t>
      </w:r>
      <w:r w:rsidR="000B6C16" w:rsidRPr="002A30E6">
        <w:t xml:space="preserve">injection pain </w:t>
      </w:r>
      <w:r w:rsidR="00B54DBF">
        <w:t xml:space="preserve">VAS </w:t>
      </w:r>
      <w:r w:rsidR="000B6C16" w:rsidRPr="002A30E6">
        <w:t xml:space="preserve">score was noted with </w:t>
      </w:r>
      <w:r w:rsidR="009C3C46" w:rsidRPr="002A30E6">
        <w:t>SB5</w:t>
      </w:r>
      <w:r w:rsidR="00233130">
        <w:t xml:space="preserve"> (53/100 </w:t>
      </w:r>
      <w:r w:rsidR="00B23E2E">
        <w:t>versus 6/100 with reference adalimumab</w:t>
      </w:r>
      <w:r w:rsidR="00233130">
        <w:t>)</w:t>
      </w:r>
      <w:r w:rsidR="000B6C16" w:rsidRPr="002A30E6">
        <w:t xml:space="preserve">. </w:t>
      </w:r>
      <w:r w:rsidR="001302B5" w:rsidRPr="002A30E6">
        <w:t xml:space="preserve">The number of switches undertaken in the study </w:t>
      </w:r>
      <w:r w:rsidR="00567EAF" w:rsidRPr="002A30E6">
        <w:t xml:space="preserve">did not impact </w:t>
      </w:r>
      <w:r w:rsidR="001E516C" w:rsidRPr="002A30E6">
        <w:t>serum drug concentration or immunogenicity.</w:t>
      </w:r>
    </w:p>
    <w:p w14:paraId="6E32C160" w14:textId="7C6E60A2" w:rsidR="00AB4564" w:rsidRPr="002A30E6" w:rsidRDefault="00AB4564" w:rsidP="00AB4564">
      <w:pPr>
        <w:pStyle w:val="Heading2"/>
      </w:pPr>
      <w:bookmarkStart w:id="5" w:name="_Toc135163263"/>
      <w:r w:rsidRPr="002A30E6">
        <w:lastRenderedPageBreak/>
        <w:t>Conclusion</w:t>
      </w:r>
      <w:bookmarkEnd w:id="5"/>
    </w:p>
    <w:p w14:paraId="791B7CEE" w14:textId="05E8BEDA" w:rsidR="00AB4564" w:rsidRPr="002A30E6" w:rsidRDefault="0026175F" w:rsidP="00AB4564">
      <w:r w:rsidRPr="002A30E6">
        <w:t>This study</w:t>
      </w:r>
      <w:r w:rsidR="00AF3C95" w:rsidRPr="002A30E6">
        <w:t>, mimic</w:t>
      </w:r>
      <w:r w:rsidR="00B75D7A" w:rsidRPr="002A30E6">
        <w:t>king</w:t>
      </w:r>
      <w:r w:rsidR="00AF3C95" w:rsidRPr="002A30E6">
        <w:t xml:space="preserve"> rea</w:t>
      </w:r>
      <w:r w:rsidR="00E349C8" w:rsidRPr="002A30E6">
        <w:t xml:space="preserve">l world </w:t>
      </w:r>
      <w:r w:rsidR="00236B5D" w:rsidRPr="002A30E6">
        <w:t xml:space="preserve">adalimumab </w:t>
      </w:r>
      <w:r w:rsidR="00E349C8" w:rsidRPr="002A30E6">
        <w:t>transition,</w:t>
      </w:r>
      <w:r w:rsidRPr="002A30E6">
        <w:t xml:space="preserve"> demonstrates that patients </w:t>
      </w:r>
      <w:r w:rsidR="000F56F9" w:rsidRPr="002A30E6">
        <w:t xml:space="preserve">undertaking </w:t>
      </w:r>
      <w:r w:rsidR="00C36D96" w:rsidRPr="002A30E6">
        <w:t>brand</w:t>
      </w:r>
      <w:r w:rsidRPr="002A30E6">
        <w:t xml:space="preserve"> transition can be expected to </w:t>
      </w:r>
      <w:r w:rsidR="00E349C8" w:rsidRPr="002A30E6">
        <w:t xml:space="preserve">have </w:t>
      </w:r>
      <w:r w:rsidR="004E784C" w:rsidRPr="002A30E6">
        <w:t xml:space="preserve">consistent </w:t>
      </w:r>
      <w:r w:rsidR="00E349C8" w:rsidRPr="002A30E6">
        <w:t>clinical and satisfac</w:t>
      </w:r>
      <w:r w:rsidR="004E784C" w:rsidRPr="002A30E6">
        <w:t>tion outcomes.</w:t>
      </w:r>
    </w:p>
    <w:p w14:paraId="69BEBE63" w14:textId="6C266F5A" w:rsidR="00E52D48" w:rsidRPr="002A30E6" w:rsidRDefault="00C753FD">
      <w:r w:rsidRPr="00C753FD">
        <w:t>Clinical trial registered with EudraCT (number 2018-004967-30).</w:t>
      </w:r>
      <w:r w:rsidR="00E52D48" w:rsidRPr="002A30E6">
        <w:br w:type="page"/>
      </w:r>
    </w:p>
    <w:p w14:paraId="266A74DB" w14:textId="0A175385" w:rsidR="00E52D48" w:rsidRPr="002A30E6" w:rsidRDefault="00E52D48" w:rsidP="00E52D48">
      <w:pPr>
        <w:pStyle w:val="Heading1"/>
      </w:pPr>
      <w:bookmarkStart w:id="6" w:name="_Toc135163264"/>
      <w:r w:rsidRPr="002A30E6">
        <w:lastRenderedPageBreak/>
        <w:t>Key</w:t>
      </w:r>
      <w:bookmarkEnd w:id="6"/>
      <w:r w:rsidR="00186D78" w:rsidRPr="002A30E6">
        <w:t>words</w:t>
      </w:r>
    </w:p>
    <w:p w14:paraId="63F68D4C" w14:textId="77777777" w:rsidR="008E664A" w:rsidRPr="002A30E6" w:rsidRDefault="008E664A" w:rsidP="00186D78">
      <w:r w:rsidRPr="002A30E6">
        <w:t>Biosimilar Pharmaceuticals</w:t>
      </w:r>
    </w:p>
    <w:p w14:paraId="3BF7246F" w14:textId="314FF854" w:rsidR="00937695" w:rsidRPr="002A30E6" w:rsidRDefault="00937695" w:rsidP="00186D78">
      <w:r w:rsidRPr="002A30E6">
        <w:t>Adalimumab</w:t>
      </w:r>
    </w:p>
    <w:p w14:paraId="6C1E1007" w14:textId="77777777" w:rsidR="00487E73" w:rsidRPr="002A30E6" w:rsidRDefault="00487E73" w:rsidP="00186D78">
      <w:r w:rsidRPr="002A30E6">
        <w:t>Crohn Disease</w:t>
      </w:r>
    </w:p>
    <w:p w14:paraId="0E4AA6A7" w14:textId="77777777" w:rsidR="00A512D5" w:rsidRPr="002A30E6" w:rsidRDefault="00A512D5" w:rsidP="00186D78">
      <w:r w:rsidRPr="002A30E6">
        <w:t>Patient Reported Outcome Measures</w:t>
      </w:r>
    </w:p>
    <w:p w14:paraId="7CE6118E" w14:textId="2E1183D1" w:rsidR="00C212E3" w:rsidRPr="00656E66" w:rsidRDefault="004C1090" w:rsidP="00656E66">
      <w:pPr>
        <w:pStyle w:val="Heading2"/>
        <w:rPr>
          <w:rFonts w:asciiTheme="minorHAnsi" w:eastAsiaTheme="minorHAnsi" w:hAnsiTheme="minorHAnsi" w:cstheme="minorBidi"/>
          <w:b w:val="0"/>
          <w:bCs w:val="0"/>
          <w:color w:val="auto"/>
          <w:sz w:val="22"/>
          <w:szCs w:val="22"/>
        </w:rPr>
      </w:pPr>
      <w:bookmarkStart w:id="7" w:name="_Toc135163265"/>
      <w:r w:rsidRPr="002A30E6">
        <w:rPr>
          <w:rFonts w:asciiTheme="minorHAnsi" w:eastAsiaTheme="minorHAnsi" w:hAnsiTheme="minorHAnsi" w:cstheme="minorBidi"/>
          <w:b w:val="0"/>
          <w:bCs w:val="0"/>
          <w:color w:val="auto"/>
          <w:sz w:val="22"/>
          <w:szCs w:val="22"/>
        </w:rPr>
        <w:t>Patient Satisfaction</w:t>
      </w:r>
      <w:bookmarkStart w:id="8" w:name="_Toc135163268"/>
      <w:bookmarkEnd w:id="7"/>
      <w:r w:rsidR="00C212E3" w:rsidRPr="002A30E6">
        <w:br w:type="page"/>
      </w:r>
    </w:p>
    <w:p w14:paraId="4E8C34BF" w14:textId="77777777" w:rsidR="00C212E3" w:rsidRPr="002A30E6" w:rsidRDefault="00C212E3" w:rsidP="00C212E3">
      <w:pPr>
        <w:pStyle w:val="Heading1"/>
      </w:pPr>
      <w:r w:rsidRPr="002A30E6">
        <w:lastRenderedPageBreak/>
        <w:t>Impact statements</w:t>
      </w:r>
    </w:p>
    <w:p w14:paraId="37B1773D" w14:textId="12A8AC84" w:rsidR="00397AC6" w:rsidRDefault="00052C7F" w:rsidP="00A16806">
      <w:pPr>
        <w:pStyle w:val="ListParagraph"/>
        <w:numPr>
          <w:ilvl w:val="0"/>
          <w:numId w:val="3"/>
        </w:numPr>
        <w:spacing w:after="160"/>
        <w:ind w:left="284" w:hanging="284"/>
      </w:pPr>
      <w:r>
        <w:t xml:space="preserve">Biosimilar medicines are critical </w:t>
      </w:r>
      <w:r w:rsidR="000F423B">
        <w:t xml:space="preserve">to ensuring sustainability of healthcare systems, </w:t>
      </w:r>
      <w:r w:rsidR="00233DDD">
        <w:t xml:space="preserve">improving access to </w:t>
      </w:r>
      <w:proofErr w:type="gramStart"/>
      <w:r w:rsidR="00233DDD">
        <w:t>treatment</w:t>
      </w:r>
      <w:proofErr w:type="gramEnd"/>
      <w:r w:rsidR="00233DDD">
        <w:t xml:space="preserve"> and fostering innovation</w:t>
      </w:r>
      <w:r w:rsidR="00BC5AC2">
        <w:t>.</w:t>
      </w:r>
    </w:p>
    <w:p w14:paraId="6B8FE446" w14:textId="330A92E0" w:rsidR="00F91153" w:rsidRPr="002A30E6" w:rsidRDefault="00BC5AC2" w:rsidP="00A16806">
      <w:pPr>
        <w:pStyle w:val="ListParagraph"/>
        <w:numPr>
          <w:ilvl w:val="0"/>
          <w:numId w:val="3"/>
        </w:numPr>
        <w:spacing w:after="160"/>
        <w:ind w:left="284" w:hanging="284"/>
      </w:pPr>
      <w:r>
        <w:t>P</w:t>
      </w:r>
      <w:r w:rsidR="008830C6">
        <w:t>atient satisfaction is critical to the s</w:t>
      </w:r>
      <w:r>
        <w:t xml:space="preserve">uccessful implementation of these medicines </w:t>
      </w:r>
      <w:r w:rsidR="009D76CC">
        <w:t>and a better understanding of</w:t>
      </w:r>
      <w:r w:rsidR="0058299F">
        <w:t xml:space="preserve"> the patient perspective of transition is</w:t>
      </w:r>
      <w:r>
        <w:t xml:space="preserve"> </w:t>
      </w:r>
      <w:r w:rsidR="006130DC">
        <w:t>essential</w:t>
      </w:r>
      <w:r w:rsidR="005B1EB6">
        <w:t>.</w:t>
      </w:r>
    </w:p>
    <w:p w14:paraId="07429168" w14:textId="282772E5" w:rsidR="00A16806" w:rsidRPr="002A30E6" w:rsidRDefault="004D38AC" w:rsidP="00A0769B">
      <w:pPr>
        <w:pStyle w:val="ListParagraph"/>
        <w:numPr>
          <w:ilvl w:val="0"/>
          <w:numId w:val="3"/>
        </w:numPr>
        <w:spacing w:after="160"/>
        <w:ind w:left="284" w:hanging="284"/>
      </w:pPr>
      <w:r>
        <w:t>P</w:t>
      </w:r>
      <w:r w:rsidR="004C64F9" w:rsidRPr="002A30E6">
        <w:t xml:space="preserve">atients undertaking brand transition </w:t>
      </w:r>
      <w:r w:rsidR="00B9516B">
        <w:t xml:space="preserve">to a biosimilar </w:t>
      </w:r>
      <w:r w:rsidR="004C64F9" w:rsidRPr="002A30E6">
        <w:t xml:space="preserve">can be expected to have consistent </w:t>
      </w:r>
      <w:r w:rsidR="00DE0620" w:rsidRPr="002A30E6">
        <w:t>effectiveness</w:t>
      </w:r>
      <w:r w:rsidR="00597917" w:rsidRPr="002A30E6">
        <w:t xml:space="preserve">, </w:t>
      </w:r>
      <w:proofErr w:type="gramStart"/>
      <w:r w:rsidR="00597917" w:rsidRPr="002A30E6">
        <w:t>safety</w:t>
      </w:r>
      <w:proofErr w:type="gramEnd"/>
      <w:r w:rsidR="00597917" w:rsidRPr="002A30E6">
        <w:t xml:space="preserve"> and satisfaction outcomes.</w:t>
      </w:r>
    </w:p>
    <w:p w14:paraId="4CB79074" w14:textId="2F9B46BE" w:rsidR="00106E5E" w:rsidRPr="002A30E6" w:rsidRDefault="00D0326E" w:rsidP="00106E5E">
      <w:pPr>
        <w:pStyle w:val="ListParagraph"/>
        <w:numPr>
          <w:ilvl w:val="0"/>
          <w:numId w:val="3"/>
        </w:numPr>
        <w:spacing w:after="160"/>
        <w:ind w:left="284" w:hanging="284"/>
      </w:pPr>
      <w:r w:rsidRPr="002A30E6">
        <w:t xml:space="preserve">These </w:t>
      </w:r>
      <w:r w:rsidR="006F19C7">
        <w:t>findings</w:t>
      </w:r>
      <w:r w:rsidRPr="002A30E6">
        <w:t xml:space="preserve"> </w:t>
      </w:r>
      <w:r w:rsidR="006F19C7">
        <w:t>endorse</w:t>
      </w:r>
      <w:r w:rsidR="00DF4C78" w:rsidRPr="002A30E6">
        <w:t xml:space="preserve"> patient and healthcare professional confidence in the use of biosimilar medicines.</w:t>
      </w:r>
    </w:p>
    <w:p w14:paraId="2247D7C0" w14:textId="6D798FD6" w:rsidR="001D043A" w:rsidRPr="002A30E6" w:rsidRDefault="001D043A">
      <w:pPr>
        <w:spacing w:after="160" w:line="259" w:lineRule="auto"/>
        <w:rPr>
          <w:rFonts w:asciiTheme="majorHAnsi" w:eastAsiaTheme="majorEastAsia" w:hAnsiTheme="majorHAnsi" w:cstheme="majorBidi"/>
          <w:b/>
          <w:bCs/>
          <w:color w:val="2F5496" w:themeColor="accent1" w:themeShade="BF"/>
          <w:sz w:val="28"/>
          <w:szCs w:val="28"/>
        </w:rPr>
      </w:pPr>
      <w:r w:rsidRPr="002A30E6">
        <w:br w:type="page"/>
      </w:r>
    </w:p>
    <w:bookmarkEnd w:id="8"/>
    <w:p w14:paraId="1FE7BF03" w14:textId="211D0A49" w:rsidR="00AB4564" w:rsidRPr="002A30E6" w:rsidRDefault="008D02E0" w:rsidP="00AB4564">
      <w:pPr>
        <w:pStyle w:val="Heading1"/>
      </w:pPr>
      <w:r w:rsidRPr="002A30E6">
        <w:lastRenderedPageBreak/>
        <w:t>Main text</w:t>
      </w:r>
    </w:p>
    <w:p w14:paraId="71A4EFF1" w14:textId="27FB0028" w:rsidR="007F5462" w:rsidRPr="002A30E6" w:rsidRDefault="007F5462" w:rsidP="007F5462">
      <w:pPr>
        <w:pStyle w:val="Heading2"/>
      </w:pPr>
      <w:bookmarkStart w:id="9" w:name="_Toc135163269"/>
      <w:r w:rsidRPr="002A30E6">
        <w:t>In</w:t>
      </w:r>
      <w:r w:rsidR="00AB4564" w:rsidRPr="002A30E6">
        <w:t>t</w:t>
      </w:r>
      <w:r w:rsidRPr="002A30E6">
        <w:t>roduction</w:t>
      </w:r>
      <w:bookmarkEnd w:id="9"/>
    </w:p>
    <w:p w14:paraId="431ECEDE" w14:textId="0BC9FCE1" w:rsidR="0046553A" w:rsidRPr="002A30E6" w:rsidRDefault="00BC0B20" w:rsidP="009F7431">
      <w:r w:rsidRPr="002A30E6">
        <w:t xml:space="preserve">Crohn’s disease </w:t>
      </w:r>
      <w:r w:rsidR="00173594" w:rsidRPr="002A30E6">
        <w:t xml:space="preserve">(CD) </w:t>
      </w:r>
      <w:r w:rsidRPr="002A30E6">
        <w:t>is a</w:t>
      </w:r>
      <w:r w:rsidR="00830886" w:rsidRPr="002A30E6">
        <w:t xml:space="preserve"> relapsing</w:t>
      </w:r>
      <w:r w:rsidRPr="002A30E6">
        <w:t xml:space="preserve"> inflammatory bowel disease </w:t>
      </w:r>
      <w:r w:rsidR="00A15DA0" w:rsidRPr="002A30E6">
        <w:t>characteri</w:t>
      </w:r>
      <w:r w:rsidR="00343A10">
        <w:t>s</w:t>
      </w:r>
      <w:r w:rsidR="00A15DA0" w:rsidRPr="002A30E6">
        <w:t>ed</w:t>
      </w:r>
      <w:r w:rsidRPr="002A30E6">
        <w:t xml:space="preserve"> by chronic inflammation of the gastrointestinal tract with progressive damage</w:t>
      </w:r>
      <w:r w:rsidR="00883CA8">
        <w:t xml:space="preserve"> </w:t>
      </w:r>
      <w:r w:rsidR="00883CA8">
        <w:fldChar w:fldCharType="begin"/>
      </w:r>
      <w:r w:rsidR="00C26218">
        <w:instrText xml:space="preserve"> ADDIN ZOTERO_ITEM CSL_CITATION {"citationID":"hoEseJsq","properties":{"formattedCitation":"[1]","plainCitation":"[1]","noteIndex":0},"citationItems":[{"id":843,"uris":["http://zotero.org/users/5054817/items/75BATYSZ"],"itemData":{"id":843,"type":"article-journal","container-title":"Clinical Gastroenterology and Hepatology","DOI":"10.1016/j.cgh.2015.06.001","ISSN":"15423565","issue":"3","journalAbbreviation":"Clinical Gastroenterology and Hepatology","language":"en","page":"348-354.e17","source":"DOI.org (Crossref)","title":"Defining Disease Severity in Inflammatory Bowel Diseases: Current and Future Directions","title-short":"Defining Disease Severity in Inflammatory Bowel Diseases","volume":"14","author":[{"family":"Peyrin-Biroulet","given":"Laurent"},{"family":"Panés","given":"Julián"},{"family":"Sandborn","given":"William J."},{"family":"Vermeire","given":"Séverine"},{"family":"Danese","given":"Silvio"},{"family":"Feagan","given":"Brian G."},{"family":"Colombel","given":"Jean-Frédéric"},{"family":"Hanauer","given":"Stephen B."},{"family":"Rycroft","given":"Beth"}],"issued":{"date-parts":[["2016",3]]}}}],"schema":"https://github.com/citation-style-language/schema/raw/master/csl-citation.json"} </w:instrText>
      </w:r>
      <w:r w:rsidR="00883CA8">
        <w:fldChar w:fldCharType="separate"/>
      </w:r>
      <w:r w:rsidR="00C26218" w:rsidRPr="00C26218">
        <w:rPr>
          <w:rFonts w:ascii="Calibri" w:hAnsi="Calibri" w:cs="Calibri"/>
        </w:rPr>
        <w:t>[1]</w:t>
      </w:r>
      <w:r w:rsidR="00883CA8">
        <w:fldChar w:fldCharType="end"/>
      </w:r>
      <w:r w:rsidRPr="002A30E6">
        <w:t>. Uncontrolled inflammation</w:t>
      </w:r>
      <w:r w:rsidR="007D018D" w:rsidRPr="002A30E6">
        <w:t xml:space="preserve"> is associated with symptoms such as abdominal pain, </w:t>
      </w:r>
      <w:r w:rsidR="00917124" w:rsidRPr="002A30E6">
        <w:t>diarrhoea</w:t>
      </w:r>
      <w:r w:rsidR="009A6E6E" w:rsidRPr="002A30E6">
        <w:t>,</w:t>
      </w:r>
      <w:r w:rsidR="007D018D" w:rsidRPr="002A30E6">
        <w:t xml:space="preserve"> and fatigue as well as the development of long-term </w:t>
      </w:r>
      <w:r w:rsidR="006B608E" w:rsidRPr="002A30E6">
        <w:t>stri</w:t>
      </w:r>
      <w:r w:rsidR="007D018D" w:rsidRPr="002A30E6">
        <w:t xml:space="preserve">cturing and penetrating complications. </w:t>
      </w:r>
      <w:r w:rsidRPr="002A30E6">
        <w:t xml:space="preserve">Biological medicines have </w:t>
      </w:r>
      <w:r w:rsidR="00450F68" w:rsidRPr="002A30E6">
        <w:t xml:space="preserve">been shown to improve patient outcomes through reduced complications, surgery and </w:t>
      </w:r>
      <w:r w:rsidR="00A15DA0" w:rsidRPr="002A30E6">
        <w:t>hospitali</w:t>
      </w:r>
      <w:r w:rsidR="00917124" w:rsidRPr="002A30E6">
        <w:t>s</w:t>
      </w:r>
      <w:r w:rsidR="00A15DA0" w:rsidRPr="002A30E6">
        <w:t>ations</w:t>
      </w:r>
      <w:r w:rsidR="00173594" w:rsidRPr="002A30E6">
        <w:t xml:space="preserve"> </w:t>
      </w:r>
      <w:r w:rsidR="000A46B1" w:rsidRPr="002A30E6">
        <w:fldChar w:fldCharType="begin"/>
      </w:r>
      <w:r w:rsidR="00C26218">
        <w:instrText xml:space="preserve"> ADDIN ZOTERO_ITEM CSL_CITATION {"citationID":"Ybwj6p5H","properties":{"formattedCitation":"[2]","plainCitation":"[2]","noteIndex":0},"citationItems":[{"id":309,"uris":["http://zotero.org/users/5054817/items/KQAE5IXD",["http://zotero.org/users/5054817/items/KQAE5IXD"]],"itemData":{"id":309,"type":"article-journal","abstract":"Abstract\n            The goals for treatment of inflammatory bowel diseases (IBDs) are changing from elimination of symptoms toward complete disease control—a process that demands both clinical and endoscopic remission. This new IBD treatment paradigm has been shifting from a conventional “step-up” approach toward a more “top-down” early intervention treatment strategy. Recent studies suggest that the use of biologic agents, specifically those targeting tumor necrosis factor alpha, earlier in the treatment course improves patient outcomes and can prevent progression to irreversible bowel damage. Although the strategy of early intervention has accumulating evidence in Crohn’s disease, there is less evidence supporting its impact in ulcerative colitis.","container-title":"Inflammatory Bowel Diseases","DOI":"10.1093/ibd/izz059","ISSN":"1078-0998, 1536-4844","issue":"12","language":"en","page":"1896-1905","source":"DOI.org (Crossref)","title":"The Role of Early Biologic Therapy in Inflammatory Bowel Disease","volume":"25","author":[{"family":"Berg","given":"Dana Rachel"},{"family":"Colombel","given":"Jean-Frederic"},{"family":"Ungaro","given":"Ryan"}],"issued":{"date-parts":[["2019",11,14]]}}}],"schema":"https://github.com/citation-style-language/schema/raw/master/csl-citation.json"} </w:instrText>
      </w:r>
      <w:r w:rsidR="000A46B1" w:rsidRPr="002A30E6">
        <w:fldChar w:fldCharType="separate"/>
      </w:r>
      <w:r w:rsidR="00C26218" w:rsidRPr="00C26218">
        <w:rPr>
          <w:rFonts w:ascii="Calibri" w:hAnsi="Calibri" w:cs="Calibri"/>
        </w:rPr>
        <w:t>[2]</w:t>
      </w:r>
      <w:r w:rsidR="000A46B1" w:rsidRPr="002A30E6">
        <w:fldChar w:fldCharType="end"/>
      </w:r>
      <w:r w:rsidR="000A46B1" w:rsidRPr="002A30E6">
        <w:t xml:space="preserve"> </w:t>
      </w:r>
      <w:r w:rsidR="00D90C77" w:rsidRPr="002A30E6">
        <w:t xml:space="preserve">however the expense of these therapies </w:t>
      </w:r>
      <w:r w:rsidR="00B84261" w:rsidRPr="002A30E6">
        <w:t xml:space="preserve">is known </w:t>
      </w:r>
      <w:r w:rsidR="00D90C77" w:rsidRPr="002A30E6">
        <w:t>to be the main driver in the cost of treating patients with C</w:t>
      </w:r>
      <w:r w:rsidR="00D02216" w:rsidRPr="002A30E6">
        <w:t>D</w:t>
      </w:r>
      <w:r w:rsidR="000A46B1" w:rsidRPr="002A30E6">
        <w:t xml:space="preserve"> </w:t>
      </w:r>
      <w:r w:rsidR="000A46B1" w:rsidRPr="002A30E6">
        <w:fldChar w:fldCharType="begin"/>
      </w:r>
      <w:r w:rsidR="00C26218">
        <w:instrText xml:space="preserve"> ADDIN ZOTERO_ITEM CSL_CITATION {"citationID":"IOAJQslu","properties":{"formattedCitation":"[3]","plainCitation":"[3]","noteIndex":0},"citationItems":[{"id":124,"uris":["http://zotero.org/users/5054817/items/A3MTJ2IR",["http://zotero.org/users/5054817/items/A3MTJ2IR"]],"itemData":{"id":124,"type":"article-journal","container-title":"The Lancet Gastroenterology &amp; Hepatology","DOI":"10.1016/S2468-1253(20)30012-1","ISSN":"24681253","issue":"5","journalAbbreviation":"The Lancet Gastroenterology &amp; Hepatology","language":"en","page":"454-464","source":"DOI.org (Crossref)","title":"Health-care costs of inflammatory bowel disease in a pan-European, community-based, inception cohort during 5 years of follow-up: a population-based study","title-short":"Health-care costs of inflammatory bowel disease in a pan-European, community-based, inception cohort during 5 years of follow-up","volume":"5","author":[{"family":"Burisch","given":"Johan"},{"family":"Vardi","given":"Hillel"},{"family":"Schwartz","given":"Doron"},{"family":"Friger","given":"Michael"},{"family":"Kiudelis","given":"Gediminas"},{"family":"Kupčinskas","given":"Juozas"},{"family":"Fumery","given":"Mathurin"},{"family":"Gower-Rousseau","given":"Corinne"},{"family":"Lakatos","given":"Laszlo"},{"family":"Lakatos","given":"Peter L"},{"family":"D'Incà","given":"Renata"},{"family":"Sartini","given":"Alessandro"},{"family":"Valpiani","given":"Daniela"},{"family":"Giannotta","given":"Martina"},{"family":"Arebi","given":"Naila"},{"family":"Duricova","given":"Dana"},{"family":"Bortlik","given":"Martin"},{"family":"Chetcuti Zammit","given":"Stefania"},{"family":"Ellul","given":"Pierre"},{"family":"Pedersen","given":"Natalia"},{"family":"Kjeldsen","given":"Jens"},{"family":"Midjord","given":"Jóngerð Maria Miné"},{"family":"Nielsen","given":"Kári Rubek"},{"family":"Winther Andersen","given":"Karina"},{"family":"Andersen","given":"Vibeke"},{"family":"Katsanos","given":"Konstantinos H"},{"family":"Christodoulou","given":"Dimitrios K"},{"family":"Domislovic","given":"Viktor"},{"family":"Krznaric","given":"Zeljko"},{"family":"Sebastian","given":"Shaji"},{"family":"Oksanen","given":"Pia"},{"family":"Collin","given":"Pekka"},{"family":"Barros","given":"Luisa"},{"family":"Magro","given":"Fernando"},{"family":"Salupere","given":"Riina"},{"family":"Kievit","given":"Hendrika Adriana Linda"},{"family":"Goldis","given":"Adrian"},{"family":"Kaimakliotis","given":"Ioannis P"},{"family":"Dahlerup","given":"Jens F"},{"family":"Eriksson","given":"Carl"},{"family":"Halfvarson","given":"Jonas"},{"family":"Fernandez","given":"Alberto"},{"family":"Hernandez","given":"Vicent"},{"family":"Turcan","given":"Svetlana"},{"family":"Belousova","given":"Elena"},{"family":"Langholz","given":"Ebbe"},{"family":"Munkholm","given":"Pia"},{"family":"Odes","given":"Selwyn"},{"family":"Turk","given":"Niksa"},{"family":"Cukovic-Cavka","given":"Silvija"},{"family":"Nicolaou","given":"Anastasia"},{"family":"Lukas","given":"Milan"},{"family":"Shonová","given":"Olga"},{"family":"Blichfeldt","given":"Birgitte"},{"family":"Marker","given":"Dorte"},{"family":"Carlsen","given":"Katrine"},{"family":"Weimers","given":"Petra"},{"family":"Aalykke","given":"Clays"},{"family":"Kudsk","given":"Karen"},{"family":"Vind","given":"Ida"},{"family":"Thorsgaard","given":"Niels"},{"family":"Skamnelos","given":"Alexandros"},{"family":"Politis","given":"Dimitrios"},{"family":"Vegh","given":"Zsuzsanna"},{"family":"Demenyi","given":"Peterne"},{"family":"Nemethne Kramli","given":"Szabina"},{"family":"Dal Piaz","given":"Giualia"},{"family":"Santini","given":"Alessia"},{"family":"Girardin","given":"Giulia"},{"family":"Kupcinskas","given":"Limas"},{"family":"Jonaitis","given":"Laimas"},{"family":"Valantiene","given":"Irena"},{"family":"Zykus","given":"Romanas"},{"family":"Kucinskiene","given":"Ruta"},{"family":"Lazar","given":"Daniela"},{"family":"Nikulina","given":"Inna"},{"family":"Castro","given":"Luisa","non-dropping-particle":"de"},{"family":"Pineda","given":"Juan-Ramon"},{"family":"Pereira","given":"Santos"},{"family":"Martinez-Cadilla","given":"Jesus"},{"family":"Sanroman","given":"Luciano"},{"family":"Figueira","given":"Montserrat"},{"family":"Ares","given":"David Martinez"},{"family":"Rodriguez-Prada","given":"Jose-Ignacio"},{"family":"Carmona","given":"Amalia"},{"family":"Gonzalez-Portela","given":"Carlos"},{"family":"Widen","given":"Ulla-Britt"},{"family":"Myers","given":"Sally"},{"family":"Ashton","given":"Katherine"},{"family":"Whitehead","given":"Emma"}],"issued":{"date-parts":[["2020",5]]}}}],"schema":"https://github.com/citation-style-language/schema/raw/master/csl-citation.json"} </w:instrText>
      </w:r>
      <w:r w:rsidR="000A46B1" w:rsidRPr="002A30E6">
        <w:fldChar w:fldCharType="separate"/>
      </w:r>
      <w:r w:rsidR="00C26218" w:rsidRPr="00C26218">
        <w:rPr>
          <w:rFonts w:ascii="Calibri" w:hAnsi="Calibri" w:cs="Calibri"/>
        </w:rPr>
        <w:t>[3]</w:t>
      </w:r>
      <w:r w:rsidR="000A46B1" w:rsidRPr="002A30E6">
        <w:fldChar w:fldCharType="end"/>
      </w:r>
      <w:r w:rsidR="00D90C77" w:rsidRPr="002A30E6">
        <w:t xml:space="preserve">. </w:t>
      </w:r>
      <w:r w:rsidR="003D7632" w:rsidRPr="002A30E6">
        <w:t>Adalimumab</w:t>
      </w:r>
      <w:r w:rsidR="00173594" w:rsidRPr="002A30E6">
        <w:t xml:space="preserve"> is</w:t>
      </w:r>
      <w:r w:rsidR="00D90C77" w:rsidRPr="002A30E6">
        <w:t xml:space="preserve"> </w:t>
      </w:r>
      <w:r w:rsidR="003D7632" w:rsidRPr="002A30E6">
        <w:t xml:space="preserve">a biological medicine targeting </w:t>
      </w:r>
      <w:r w:rsidR="00917124" w:rsidRPr="002A30E6">
        <w:t>tumour</w:t>
      </w:r>
      <w:r w:rsidR="00D90C77" w:rsidRPr="002A30E6">
        <w:t xml:space="preserve"> necrosis factor</w:t>
      </w:r>
      <w:r w:rsidR="00561447" w:rsidRPr="002A30E6">
        <w:t xml:space="preserve"> α</w:t>
      </w:r>
      <w:r w:rsidR="00D90C77" w:rsidRPr="002A30E6">
        <w:t xml:space="preserve"> (</w:t>
      </w:r>
      <w:r w:rsidR="003D7632" w:rsidRPr="002A30E6">
        <w:t>TNF</w:t>
      </w:r>
      <w:r w:rsidR="00561447" w:rsidRPr="002A30E6">
        <w:t>α</w:t>
      </w:r>
      <w:r w:rsidR="00D90C77" w:rsidRPr="002A30E6">
        <w:t>)</w:t>
      </w:r>
      <w:r w:rsidR="00E65D99" w:rsidRPr="002A30E6">
        <w:t>,</w:t>
      </w:r>
      <w:r w:rsidR="003D7632" w:rsidRPr="002A30E6">
        <w:t xml:space="preserve"> </w:t>
      </w:r>
      <w:r w:rsidR="00E65D99" w:rsidRPr="002A30E6">
        <w:t>a</w:t>
      </w:r>
      <w:r w:rsidR="003D7632" w:rsidRPr="002A30E6">
        <w:t xml:space="preserve"> pro-inflammatory cytokine </w:t>
      </w:r>
      <w:r w:rsidR="002B4B31" w:rsidRPr="002A30E6">
        <w:t>implicated</w:t>
      </w:r>
      <w:r w:rsidR="003D7632" w:rsidRPr="002A30E6">
        <w:t xml:space="preserve"> in CD</w:t>
      </w:r>
      <w:r w:rsidR="00E65D99" w:rsidRPr="002A30E6">
        <w:t>,</w:t>
      </w:r>
      <w:r w:rsidR="007400DE" w:rsidRPr="002A30E6">
        <w:t xml:space="preserve"> and is widely prescribed for </w:t>
      </w:r>
      <w:r w:rsidR="00ED6AB4" w:rsidRPr="002A30E6">
        <w:t>this indication</w:t>
      </w:r>
      <w:r w:rsidR="00EF1A21">
        <w:t xml:space="preserve"> </w:t>
      </w:r>
      <w:r w:rsidR="00EF1A21">
        <w:fldChar w:fldCharType="begin"/>
      </w:r>
      <w:r w:rsidR="00C26218">
        <w:instrText xml:space="preserve"> ADDIN ZOTERO_ITEM CSL_CITATION {"citationID":"5ryHyoCx","properties":{"formattedCitation":"[4]","plainCitation":"[4]","noteIndex":0},"citationItems":[{"id":775,"uris":["http://zotero.org/users/5054817/items/RVQNV956"],"itemData":{"id":775,"type":"article-journal","abstract":"Anti-tumour\nnecrosis factor (TNF) antibodies have been widely used for approximately 25 years now. The first clinical observations in patients with refractory Crohn’s disease rapidly responding to infliximab prompted accelerated clinical development and approval for this indication. However, many questions remained unanswered when this treatment came to market related to maintenance schedules, pharmacokinetics, toxicity and positioning. Many of these open questions were addressed by investigators and sponsors during more than two decades of clinical use. The authors were among the first to use infliximab in Crohn’s disease and felt that now is a good time to look back and draw lessons from the remarkable anti-TNF story. Even today, new insights continue to appear. But more importantly, what was learnt in the past 25 years has created a platform for future development of even stronger and safer therapies. We should not forget to learn from the past.","container-title":"Gut","DOI":"10.1136/gutjnl-2019-320022","ISSN":"0017-5749, 1468-3288","issue":"7","journalAbbreviation":"Gut","language":"en","page":"1396-1405","source":"DOI.org (Crossref)","title":"25 years of anti-TNF treatment for inflammatory bowel disease: lessons from the past and a look to the future","title-short":"25 years of anti-TNF treatment for inflammatory bowel disease","volume":"70","author":[{"family":"D'Haens","given":"Geert R"},{"family":"Van Deventer","given":"Sander"}],"issued":{"date-parts":[["2021",7]]}}}],"schema":"https://github.com/citation-style-language/schema/raw/master/csl-citation.json"} </w:instrText>
      </w:r>
      <w:r w:rsidR="00EF1A21">
        <w:fldChar w:fldCharType="separate"/>
      </w:r>
      <w:r w:rsidR="00C26218" w:rsidRPr="00C26218">
        <w:rPr>
          <w:rFonts w:ascii="Calibri" w:hAnsi="Calibri" w:cs="Calibri"/>
        </w:rPr>
        <w:t>[4]</w:t>
      </w:r>
      <w:r w:rsidR="00EF1A21">
        <w:fldChar w:fldCharType="end"/>
      </w:r>
      <w:r w:rsidR="00173594" w:rsidRPr="002A30E6">
        <w:t xml:space="preserve">. </w:t>
      </w:r>
      <w:r w:rsidR="00747C90" w:rsidRPr="002A30E6">
        <w:t>Biosimilar med</w:t>
      </w:r>
      <w:r w:rsidR="0054380F" w:rsidRPr="002A30E6">
        <w:t>icine</w:t>
      </w:r>
      <w:r w:rsidR="00C83079" w:rsidRPr="002A30E6">
        <w:t xml:space="preserve">s have demonstrated </w:t>
      </w:r>
      <w:r w:rsidR="00F66E96" w:rsidRPr="002A30E6">
        <w:t>quality, structural, functional</w:t>
      </w:r>
      <w:r w:rsidR="00DF5167" w:rsidRPr="002A30E6">
        <w:t xml:space="preserve"> and</w:t>
      </w:r>
      <w:r w:rsidR="00F66E96" w:rsidRPr="002A30E6">
        <w:t xml:space="preserve"> preclinical</w:t>
      </w:r>
      <w:r w:rsidR="00DF5167" w:rsidRPr="002A30E6">
        <w:t xml:space="preserve"> similarity</w:t>
      </w:r>
      <w:r w:rsidR="00FF5D2A" w:rsidRPr="002A30E6">
        <w:t>,</w:t>
      </w:r>
      <w:r w:rsidR="00F66E96" w:rsidRPr="002A30E6">
        <w:t xml:space="preserve"> and </w:t>
      </w:r>
      <w:r w:rsidR="00DF5167" w:rsidRPr="002A30E6">
        <w:t>equivalent clinical efficacy as the</w:t>
      </w:r>
      <w:r w:rsidR="00A2524D" w:rsidRPr="002A30E6">
        <w:t xml:space="preserve"> previously </w:t>
      </w:r>
      <w:r w:rsidR="00A15DA0" w:rsidRPr="002A30E6">
        <w:t>authori</w:t>
      </w:r>
      <w:r w:rsidR="00954FC1">
        <w:t>se</w:t>
      </w:r>
      <w:r w:rsidR="00A15DA0" w:rsidRPr="002A30E6">
        <w:t>d</w:t>
      </w:r>
      <w:r w:rsidR="00A2524D" w:rsidRPr="002A30E6">
        <w:t xml:space="preserve"> biological medicine</w:t>
      </w:r>
      <w:r w:rsidR="003514C8" w:rsidRPr="002A30E6">
        <w:t xml:space="preserve"> </w:t>
      </w:r>
      <w:r w:rsidR="001241E3" w:rsidRPr="002A30E6">
        <w:fldChar w:fldCharType="begin"/>
      </w:r>
      <w:r w:rsidR="00C26218">
        <w:instrText xml:space="preserve"> ADDIN ZOTERO_ITEM CSL_CITATION {"citationID":"YbK2cGzh","properties":{"formattedCitation":"[5]","plainCitation":"[5]","noteIndex":0},"citationItems":[{"id":308,"uris":["http://zotero.org/users/5054817/items/XX63KYI6",["http://zotero.org/users/5054817/items/XX63KYI6"]],"itemData":{"id":308,"type":"report","event-place":"London","number":"CHMP/437/04 Rev 1","publisher":"European Medicines Agency","publisher-place":"London","title":"Guideline on similar biological medicinal products","URL":"https://www.ema.europa.eu/en/documents/scientific-guideline/guideline-similar-biological-medicinal-products-rev1_en.pdf","author":[{"literal":"Committee for Medicinal Products for Human Use"}],"accessed":{"date-parts":[["2021",9,1]]},"issued":{"date-parts":[["2014",10,23]]}}}],"schema":"https://github.com/citation-style-language/schema/raw/master/csl-citation.json"} </w:instrText>
      </w:r>
      <w:r w:rsidR="001241E3" w:rsidRPr="002A30E6">
        <w:fldChar w:fldCharType="separate"/>
      </w:r>
      <w:r w:rsidR="00C26218" w:rsidRPr="00C26218">
        <w:rPr>
          <w:rFonts w:ascii="Calibri" w:hAnsi="Calibri" w:cs="Calibri"/>
        </w:rPr>
        <w:t>[5]</w:t>
      </w:r>
      <w:r w:rsidR="001241E3" w:rsidRPr="002A30E6">
        <w:fldChar w:fldCharType="end"/>
      </w:r>
      <w:r w:rsidR="001241E3" w:rsidRPr="002A30E6">
        <w:t xml:space="preserve"> </w:t>
      </w:r>
      <w:r w:rsidR="003514C8" w:rsidRPr="002A30E6">
        <w:t>(‘</w:t>
      </w:r>
      <w:r w:rsidR="00DF5167" w:rsidRPr="002A30E6">
        <w:t>reference product</w:t>
      </w:r>
      <w:r w:rsidR="003514C8" w:rsidRPr="002A30E6">
        <w:t>’)</w:t>
      </w:r>
      <w:r w:rsidR="00A42695" w:rsidRPr="002A30E6">
        <w:t xml:space="preserve"> and have the potential to reduce the financial burden of </w:t>
      </w:r>
      <w:r w:rsidR="003D1B5E" w:rsidRPr="002A30E6">
        <w:t>biological</w:t>
      </w:r>
      <w:r w:rsidR="00A42695" w:rsidRPr="002A30E6">
        <w:t xml:space="preserve"> medicines</w:t>
      </w:r>
      <w:r w:rsidR="001241E3" w:rsidRPr="002A30E6">
        <w:t xml:space="preserve"> </w:t>
      </w:r>
      <w:r w:rsidR="0041184C" w:rsidRPr="002A30E6">
        <w:fldChar w:fldCharType="begin"/>
      </w:r>
      <w:r w:rsidR="00C26218">
        <w:instrText xml:space="preserve"> ADDIN ZOTERO_ITEM CSL_CITATION {"citationID":"6y10xch0","properties":{"formattedCitation":"[6]","plainCitation":"[6]","noteIndex":0},"citationItems":[{"id":307,"uris":["http://zotero.org/users/5054817/items/927JDRXK",["http://zotero.org/users/5054817/items/927JDRXK"]],"itemData":{"id":307,"type":"article-journal","abstract":"BACKGROUND: The high cost of pharmaceuticals, especially biologics, has become an important issue in the battle to control healthcare costs. The Hatch-Waxman Act encourages generic competition but still provides incentives for pioneers to develop new drugs. The Biologics Price Competition and Innovation Act is intended to do the same for biologics and biosimilars.\nOBJECTIVE: To examine information related to biosimilars to determine their potential impact on competition in the biologic market.\nMETHOD: Using information concerning the European Union (EU) and the pharmaceutical industry, this article reviews and analyzes the experience of biosimilars in the EU, as well as the obstacles and opportunities that biosimilars face in the United States. Much of the analysis is based on examining current trends in biologic drugs and the potential implications on the future of biosimilars.\nDISCUSSION: This article reviews the mixed success of biosimilars in the EU and the implications for the United States. Because biologics are produced from living organisms, manufacturing issues are more important than in the chemical drug market. The barriers to biosimilar entry into the marketplace are much more difficult to overcome than challenges generic manufacturers typically face and are similar to obstacles specialty injectable producers encounter. The competitive responses by pioneers are also likely to be more important. The capital costs and risk issues with biosimilars make alliances and partnering arrangements very likely. Biosimilars often enter emerging markets, where the barriers to entry are easier to overcome. Nevertheless, the United States represents the greatest opportunity for biosimilar producers, in part because it is the largest biologics market and has high prices for biologics. As the United States enters the biosimilar market, the pharmaceutical industry is likely to grow at an accelerated pace. Automatic substitution is likely to be slow to develop, because of safety and quality concerns. The beneficial impact of biosimilars is likely to take a long time to be realized and to be fraught with more difficulties than was the case for small-molecule generics.\nCONCLUSION: Various factors, such as safety, pricing, manufacturing, entry barriers, physician acceptance, and marketing, will make the biosimilar market develop different from the generic market. The high cost to enter the market and the size of the biologic drug market make entry attractive but risky.","container-title":"American Health &amp; Drug Benefits","ISSN":"1942-2962","issue":"8","journalAbbreviation":"Am Health Drug Benefits","language":"eng","note":"PMID: 24991376\nPMCID: PMC4031732","page":"469-478","source":"PubMed","title":"The economics of biosimilars","volume":"6","author":[{"family":"Blackstone","given":"Erwin A."},{"family":"Joseph","given":"P. Fuhr"}],"issued":{"date-parts":[["2013",9]]}}}],"schema":"https://github.com/citation-style-language/schema/raw/master/csl-citation.json"} </w:instrText>
      </w:r>
      <w:r w:rsidR="0041184C" w:rsidRPr="002A30E6">
        <w:fldChar w:fldCharType="separate"/>
      </w:r>
      <w:r w:rsidR="00C26218" w:rsidRPr="00C26218">
        <w:rPr>
          <w:rFonts w:ascii="Calibri" w:hAnsi="Calibri" w:cs="Calibri"/>
        </w:rPr>
        <w:t>[6]</w:t>
      </w:r>
      <w:r w:rsidR="0041184C" w:rsidRPr="002A30E6">
        <w:fldChar w:fldCharType="end"/>
      </w:r>
      <w:r w:rsidR="003D1B5E" w:rsidRPr="002A30E6">
        <w:t>.</w:t>
      </w:r>
      <w:r w:rsidR="00B67A11" w:rsidRPr="002A30E6">
        <w:t xml:space="preserve"> </w:t>
      </w:r>
      <w:r w:rsidR="0076659F" w:rsidRPr="0076659F">
        <w:t xml:space="preserve">The standard maintenance therapy for inflammatory bowel disease involves administering a 40 mg injection of adalimumab every two weeks, using either a prefilled single-use pen or syringe. Common adverse effects observed in routine clinical practice primarily </w:t>
      </w:r>
      <w:r w:rsidR="002F0C81">
        <w:t>include</w:t>
      </w:r>
      <w:r w:rsidR="0076659F" w:rsidRPr="0076659F">
        <w:t xml:space="preserve"> injection site reactions and infections.</w:t>
      </w:r>
      <w:r w:rsidR="0076659F">
        <w:t xml:space="preserve"> </w:t>
      </w:r>
      <w:r w:rsidR="00B67A11" w:rsidRPr="002A30E6">
        <w:t>Biosimilar adal</w:t>
      </w:r>
      <w:r w:rsidR="00A56A1B" w:rsidRPr="002A30E6">
        <w:t>imumab has been available in Europe since October 2018.</w:t>
      </w:r>
    </w:p>
    <w:p w14:paraId="76479371" w14:textId="0680657D" w:rsidR="002D3712" w:rsidRDefault="00A52612" w:rsidP="009F7431">
      <w:r w:rsidRPr="002A30E6">
        <w:t xml:space="preserve">Commodification of biosimilar (and </w:t>
      </w:r>
      <w:r w:rsidR="00DF5167" w:rsidRPr="002A30E6">
        <w:t>reference</w:t>
      </w:r>
      <w:r w:rsidRPr="002A30E6">
        <w:t xml:space="preserve">) medicines has reduced drug acquisition costs, profit margins and value-added services (such as bundled therapeutic drug monitoring). As this develops, patients will be expected to undertake multiple </w:t>
      </w:r>
      <w:r w:rsidR="009B6495" w:rsidRPr="002A30E6">
        <w:t>product</w:t>
      </w:r>
      <w:r w:rsidRPr="002A30E6">
        <w:t xml:space="preserve"> transitions with diminishing</w:t>
      </w:r>
      <w:r w:rsidR="00587914" w:rsidRPr="002A30E6">
        <w:t xml:space="preserve"> financial</w:t>
      </w:r>
      <w:r w:rsidRPr="002A30E6">
        <w:t xml:space="preserve"> </w:t>
      </w:r>
      <w:r w:rsidR="00815747" w:rsidRPr="002A30E6">
        <w:t xml:space="preserve">savings </w:t>
      </w:r>
      <w:r w:rsidR="00AC0769" w:rsidRPr="002A30E6">
        <w:t xml:space="preserve">on </w:t>
      </w:r>
      <w:r w:rsidRPr="002A30E6">
        <w:t>each</w:t>
      </w:r>
      <w:r w:rsidR="00AC0769" w:rsidRPr="002A30E6">
        <w:t xml:space="preserve"> </w:t>
      </w:r>
      <w:r w:rsidR="00815747" w:rsidRPr="002A30E6">
        <w:t>switch</w:t>
      </w:r>
      <w:r w:rsidR="00F06A5A" w:rsidRPr="002A30E6">
        <w:t xml:space="preserve"> and </w:t>
      </w:r>
      <w:r w:rsidRPr="002A30E6">
        <w:t>the resource</w:t>
      </w:r>
      <w:r w:rsidR="00F06A5A" w:rsidRPr="002A30E6">
        <w:t>s</w:t>
      </w:r>
      <w:r w:rsidRPr="002A30E6">
        <w:t xml:space="preserve"> available to support patients and clinical teams undertaking these changes will decrease. </w:t>
      </w:r>
      <w:r w:rsidR="00DE6DF9" w:rsidRPr="002A30E6">
        <w:t xml:space="preserve">Studies </w:t>
      </w:r>
      <w:r w:rsidR="00D7545C" w:rsidRPr="002A30E6">
        <w:t xml:space="preserve">in </w:t>
      </w:r>
      <w:r w:rsidR="00815747" w:rsidRPr="002A30E6">
        <w:t>multiple</w:t>
      </w:r>
      <w:r w:rsidR="00D7545C" w:rsidRPr="002A30E6">
        <w:t xml:space="preserve"> indications have</w:t>
      </w:r>
      <w:r w:rsidR="00DE6DF9" w:rsidRPr="002A30E6">
        <w:t xml:space="preserve"> consistently demonstrated </w:t>
      </w:r>
      <w:r w:rsidR="001E1521" w:rsidRPr="002A30E6">
        <w:t xml:space="preserve">that switching from </w:t>
      </w:r>
      <w:r w:rsidR="00140EA6" w:rsidRPr="002A30E6">
        <w:t xml:space="preserve">reference </w:t>
      </w:r>
      <w:r w:rsidR="001E1521" w:rsidRPr="002A30E6">
        <w:t>to biosimilar adalimumab has no</w:t>
      </w:r>
      <w:r w:rsidR="00D7545C" w:rsidRPr="002A30E6">
        <w:t xml:space="preserve"> impact on efficacy, safety </w:t>
      </w:r>
      <w:r w:rsidR="00135891" w:rsidRPr="002A30E6">
        <w:t>or</w:t>
      </w:r>
      <w:r w:rsidR="00D7545C" w:rsidRPr="002A30E6">
        <w:t xml:space="preserve"> immunogenicity </w:t>
      </w:r>
      <w:r w:rsidR="003B081C" w:rsidRPr="002A30E6">
        <w:fldChar w:fldCharType="begin"/>
      </w:r>
      <w:r w:rsidR="00C26218">
        <w:instrText xml:space="preserve"> ADDIN ZOTERO_ITEM CSL_CITATION {"citationID":"NPRBokqx","properties":{"formattedCitation":"[7], [8]","plainCitation":"[7], [8]","noteIndex":0},"citationItems":[{"id":711,"uris":["http://zotero.org/users/5054817/items/UB8D7MGW"],"itemData":{"id":711,"type":"article-journal","container-title":"British Journal of Clinical Pharmacology","DOI":"10.1111/bcp.15101","ISSN":"0306-5251, 1365-2125","issue":"4","journalAbbreviation":"Brit J Clinical Pharma","language":"en","page":"1529-1550","source":"DOI.org (Crossref)","title":"Switching between reference adalimumab and biosimilars in chronic immune‐mediated inflammatory diseases: A systematic literature review","title-short":"Switching between reference adalimumab and biosimilars in chronic immune‐mediated inflammatory diseases","volume":"88","author":[{"family":"García‐Beloso","given":"Nerea"},{"family":"Altabás‐González","given":"Irene"},{"family":"Samartín‐Ucha","given":"Marisol"},{"family":"Gayoso‐Rey","given":"Mónica"},{"family":"De Castro‐Parga","given":"María Luísa"},{"family":"Salgado‐Barreira","given":"Ángel"},{"family":"Cibeira‐Badia","given":"Amelia"},{"family":"Piñeiro‐Corrales","given":"María Guadalupe"},{"family":"González‐Vilas","given":"Daniel"},{"family":"Pego‐Reigosa","given":"Jose María"},{"family":"Martínez‐López de Castro","given":"Noemí"}],"issued":{"date-parts":[["2022",4]]}}},{"id":281,"uris":["http://zotero.org/users/5054817/items/VEWMFAZK"],"itemData":{"id":281,"type":"article-journal","container-title":"Expert Opinion on Biological Therapy","DOI":"10.1080/14712598.2022.2012146","ISSN":"1471-2598, 1744-7682","journalAbbreviation":"Expert Opinion on Biological Therapy","language":"en","page":"1-13","source":"DOI.org (Crossref)","title":"Current evidence on the use of the adalimumab biosimilar SB5 (Imraldi &lt;sup&gt;TM&lt;/sup&gt; ): a multidisciplinary perspective","title-short":"Current evidence on the use of the adalimumab biosimilar SB5 (Imraldi &lt;sup&gt;TM&lt;/sup&gt; )","author":[{"family":"Gisbert","given":"Javier P."},{"family":"Gaffney","given":"Karl"},{"family":"Young","given":"David"},{"family":"Ebbers","given":"Hans C."},{"family":"Girolomoni","given":"Giampiero"}],"issued":{"date-parts":[["2021",12,31]]}}}],"schema":"https://github.com/citation-style-language/schema/raw/master/csl-citation.json"} </w:instrText>
      </w:r>
      <w:r w:rsidR="003B081C" w:rsidRPr="002A30E6">
        <w:fldChar w:fldCharType="separate"/>
      </w:r>
      <w:r w:rsidR="00C26218" w:rsidRPr="00C26218">
        <w:rPr>
          <w:rFonts w:ascii="Calibri" w:hAnsi="Calibri" w:cs="Calibri"/>
        </w:rPr>
        <w:t>[7], [8]</w:t>
      </w:r>
      <w:r w:rsidR="003B081C" w:rsidRPr="002A30E6">
        <w:fldChar w:fldCharType="end"/>
      </w:r>
      <w:r w:rsidR="005C596E" w:rsidRPr="002A30E6">
        <w:t xml:space="preserve">. </w:t>
      </w:r>
      <w:r w:rsidR="004C2977" w:rsidRPr="002A30E6">
        <w:t xml:space="preserve">Treatment satisfaction </w:t>
      </w:r>
      <w:r w:rsidR="008C0B70" w:rsidRPr="002A30E6">
        <w:t xml:space="preserve">has been positively associated with </w:t>
      </w:r>
      <w:r w:rsidR="00EE6FE8" w:rsidRPr="002A30E6">
        <w:t>adherence</w:t>
      </w:r>
      <w:r w:rsidR="002D5679" w:rsidRPr="002A30E6">
        <w:t xml:space="preserve"> </w:t>
      </w:r>
      <w:r w:rsidR="00DC0037" w:rsidRPr="002A30E6">
        <w:fldChar w:fldCharType="begin"/>
      </w:r>
      <w:r w:rsidR="00C26218">
        <w:instrText xml:space="preserve"> ADDIN ZOTERO_ITEM CSL_CITATION {"citationID":"u8y0dQut","properties":{"formattedCitation":"[9]","plainCitation":"[9]","noteIndex":0},"citationItems":[{"id":710,"uris":["http://zotero.org/users/5054817/items/WABVY6TH"],"itemData":{"id":710,"type":"article-journal","container-title":"Patient Preference and Adherence","DOI":"10.2147/PPA.S24752","ISSN":"1177-889X","journalAbbreviation":"PPA","language":"en","page":"39","source":"DOI.org (Crossref)","title":"A literature review to explore the link between treatment satisfaction and adherence, compliance, and persistence","author":[{"family":"Dias-Barbosa","given":"Carla"},{"literal":"Balp"},{"family":"Kulich","given":"Károly"},{"family":"Germain","given":"Nicola"},{"family":"Rofail","given":"Diana"}],"issued":{"date-parts":[["2012",1]]}}}],"schema":"https://github.com/citation-style-language/schema/raw/master/csl-citation.json"} </w:instrText>
      </w:r>
      <w:r w:rsidR="00DC0037" w:rsidRPr="002A30E6">
        <w:fldChar w:fldCharType="separate"/>
      </w:r>
      <w:r w:rsidR="00C26218" w:rsidRPr="00C26218">
        <w:rPr>
          <w:rFonts w:ascii="Calibri" w:hAnsi="Calibri" w:cs="Calibri"/>
        </w:rPr>
        <w:t>[9]</w:t>
      </w:r>
      <w:r w:rsidR="00DC0037" w:rsidRPr="002A30E6">
        <w:fldChar w:fldCharType="end"/>
      </w:r>
      <w:r w:rsidR="003A3ABB" w:rsidRPr="002A30E6">
        <w:t xml:space="preserve"> </w:t>
      </w:r>
      <w:r w:rsidR="00440BB0" w:rsidRPr="002A30E6">
        <w:t xml:space="preserve">which is therefore expected to impact </w:t>
      </w:r>
      <w:r w:rsidR="00107E16" w:rsidRPr="002A30E6">
        <w:t>outcomes</w:t>
      </w:r>
      <w:r w:rsidR="00431823" w:rsidRPr="002A30E6">
        <w:t>,</w:t>
      </w:r>
      <w:r w:rsidR="00B17CA8" w:rsidRPr="002A30E6">
        <w:t xml:space="preserve"> as well as </w:t>
      </w:r>
      <w:r w:rsidR="00A15DA0" w:rsidRPr="002A30E6">
        <w:t>minimi</w:t>
      </w:r>
      <w:r w:rsidR="00954FC1">
        <w:t>s</w:t>
      </w:r>
      <w:r w:rsidR="00A15DA0" w:rsidRPr="002A30E6">
        <w:t>ing</w:t>
      </w:r>
      <w:r w:rsidR="00B17CA8" w:rsidRPr="002A30E6">
        <w:t xml:space="preserve"> the nocebo effect</w:t>
      </w:r>
      <w:r w:rsidR="00B26D69">
        <w:t xml:space="preserve"> </w:t>
      </w:r>
      <w:r w:rsidR="00B26D69">
        <w:fldChar w:fldCharType="begin"/>
      </w:r>
      <w:r w:rsidR="00C26218">
        <w:instrText xml:space="preserve"> ADDIN ZOTERO_ITEM CSL_CITATION {"citationID":"GQH1VCGF","properties":{"formattedCitation":"[10]","plainCitation":"[10]","noteIndex":0},"citationItems":[{"id":202,"uris":["http://zotero.org/users/5054817/items/9CLQSIVX"],"itemData":{"id":202,"type":"article-journal","container-title":"Rheumatology and Therapy","DOI":"10.1007/s40744-017-0085-z","ISSN":"2198-6576, 2198-6584","issue":"2","journalAbbreviation":"Rheumatol Ther","language":"en","page":"209-218","source":"DOI.org (Crossref)","title":"Treatment Outcomes with Biosimilars: Be Aware of the Nocebo Effect","title-short":"Treatment Outcomes with Biosimilars","volume":"4","author":[{"family":"Rezk","given":"Mourad F."},{"family":"Pieper","given":"Burkhard"}],"issued":{"date-parts":[["2017",12]]}}}],"schema":"https://github.com/citation-style-language/schema/raw/master/csl-citation.json"} </w:instrText>
      </w:r>
      <w:r w:rsidR="00B26D69">
        <w:fldChar w:fldCharType="separate"/>
      </w:r>
      <w:r w:rsidR="00C26218" w:rsidRPr="00C26218">
        <w:rPr>
          <w:rFonts w:ascii="Calibri" w:hAnsi="Calibri" w:cs="Calibri"/>
        </w:rPr>
        <w:t>[10]</w:t>
      </w:r>
      <w:r w:rsidR="00B26D69">
        <w:fldChar w:fldCharType="end"/>
      </w:r>
      <w:r w:rsidR="00CF29B8" w:rsidRPr="002A30E6">
        <w:t xml:space="preserve">. From the patient </w:t>
      </w:r>
      <w:r w:rsidR="00CF29B8" w:rsidRPr="002A30E6">
        <w:lastRenderedPageBreak/>
        <w:t>perspective, successful transition has more subtle and subjective features and therefore is critical to the successful implementation of biosimilar medicines</w:t>
      </w:r>
      <w:r w:rsidR="00107E16" w:rsidRPr="002A30E6">
        <w:t>.</w:t>
      </w:r>
      <w:r w:rsidR="0045021D" w:rsidRPr="002A30E6">
        <w:t xml:space="preserve"> As more </w:t>
      </w:r>
      <w:r w:rsidR="003D1E17" w:rsidRPr="002A30E6">
        <w:t>biosimilar</w:t>
      </w:r>
      <w:r w:rsidR="0045021D" w:rsidRPr="002A30E6">
        <w:t xml:space="preserve"> </w:t>
      </w:r>
      <w:r w:rsidR="006D4554" w:rsidRPr="002A30E6">
        <w:t>products</w:t>
      </w:r>
      <w:r w:rsidR="0045021D" w:rsidRPr="002A30E6">
        <w:t xml:space="preserve"> become available and </w:t>
      </w:r>
      <w:r w:rsidR="00B261C1" w:rsidRPr="002A30E6">
        <w:t xml:space="preserve">cost differences between </w:t>
      </w:r>
      <w:r w:rsidR="00806B7A" w:rsidRPr="002A30E6">
        <w:t>products</w:t>
      </w:r>
      <w:r w:rsidR="00B261C1" w:rsidRPr="002A30E6">
        <w:t xml:space="preserve"> reduce it is likely that patient factors will become more </w:t>
      </w:r>
      <w:r w:rsidR="00890A76" w:rsidRPr="002A30E6">
        <w:t>relevant</w:t>
      </w:r>
      <w:r w:rsidR="00B261C1" w:rsidRPr="002A30E6">
        <w:t>.</w:t>
      </w:r>
      <w:r w:rsidR="00AB4F4F" w:rsidRPr="002A30E6">
        <w:t xml:space="preserve"> </w:t>
      </w:r>
    </w:p>
    <w:p w14:paraId="3F96854E" w14:textId="02D68D72" w:rsidR="00617BF3" w:rsidRPr="002A30E6" w:rsidRDefault="00617BF3" w:rsidP="00494BB8">
      <w:pPr>
        <w:pStyle w:val="Heading2"/>
      </w:pPr>
      <w:r>
        <w:t>Aim</w:t>
      </w:r>
    </w:p>
    <w:p w14:paraId="44F99DAC" w14:textId="56A3D450" w:rsidR="002D3712" w:rsidRDefault="002D3712" w:rsidP="00CE37D0">
      <w:r w:rsidRPr="002A30E6">
        <w:t>The aim of this study</w:t>
      </w:r>
      <w:r w:rsidR="005327CE" w:rsidRPr="002A30E6">
        <w:t xml:space="preserve"> </w:t>
      </w:r>
      <w:r w:rsidR="004C2AE6">
        <w:t>was</w:t>
      </w:r>
      <w:r w:rsidR="005327CE" w:rsidRPr="002A30E6">
        <w:t xml:space="preserve"> to </w:t>
      </w:r>
      <w:r w:rsidR="007F5A4E">
        <w:t>investigate</w:t>
      </w:r>
      <w:r w:rsidR="007F5A4E" w:rsidRPr="002A30E6">
        <w:t xml:space="preserve"> </w:t>
      </w:r>
      <w:r w:rsidR="00CE6A35">
        <w:t xml:space="preserve">clinical outcomes and </w:t>
      </w:r>
      <w:r w:rsidR="00436341">
        <w:t xml:space="preserve">patient experience of </w:t>
      </w:r>
      <w:r w:rsidR="00140EA6" w:rsidRPr="002A30E6">
        <w:t>transitioning between</w:t>
      </w:r>
      <w:r w:rsidR="00B12B86" w:rsidRPr="002A30E6">
        <w:t xml:space="preserve"> </w:t>
      </w:r>
      <w:r w:rsidR="007B5959" w:rsidRPr="002A30E6">
        <w:t>reference</w:t>
      </w:r>
      <w:r w:rsidR="005327CE" w:rsidRPr="002A30E6">
        <w:t xml:space="preserve"> adalimumab </w:t>
      </w:r>
      <w:r w:rsidR="00B6692C" w:rsidRPr="002A30E6">
        <w:t>(</w:t>
      </w:r>
      <w:r w:rsidR="00B539B1" w:rsidRPr="002A30E6">
        <w:t>Humir</w:t>
      </w:r>
      <w:r w:rsidR="00CE5195" w:rsidRPr="002A30E6">
        <w:t>a</w:t>
      </w:r>
      <w:r w:rsidR="00B12B86" w:rsidRPr="002A30E6">
        <w:t>®</w:t>
      </w:r>
      <w:r w:rsidR="00FC13D1" w:rsidRPr="002A30E6">
        <w:t xml:space="preserve">; </w:t>
      </w:r>
      <w:r w:rsidR="00057585" w:rsidRPr="002A30E6">
        <w:t xml:space="preserve">AbbVie Ltd., </w:t>
      </w:r>
      <w:r w:rsidR="00985852" w:rsidRPr="002A30E6">
        <w:t>UK</w:t>
      </w:r>
      <w:r w:rsidR="00B6692C" w:rsidRPr="002A30E6">
        <w:t>)</w:t>
      </w:r>
      <w:r w:rsidR="004A08F1" w:rsidRPr="002A30E6">
        <w:t xml:space="preserve"> </w:t>
      </w:r>
      <w:r w:rsidR="00140EA6" w:rsidRPr="002A30E6">
        <w:t>and</w:t>
      </w:r>
      <w:r w:rsidR="004A08F1" w:rsidRPr="002A30E6">
        <w:t xml:space="preserve"> </w:t>
      </w:r>
      <w:r w:rsidR="00140EA6" w:rsidRPr="002A30E6">
        <w:t>the</w:t>
      </w:r>
      <w:r w:rsidR="004A08F1" w:rsidRPr="002A30E6">
        <w:t xml:space="preserve"> adalimumab biosimilar (</w:t>
      </w:r>
      <w:r w:rsidR="00F94A00">
        <w:t>SB5</w:t>
      </w:r>
      <w:r w:rsidR="004A08F1" w:rsidRPr="002A30E6">
        <w:t>; Imraldi®</w:t>
      </w:r>
      <w:r w:rsidR="00985852" w:rsidRPr="002A30E6">
        <w:t xml:space="preserve">; </w:t>
      </w:r>
      <w:r w:rsidR="00CE37D0" w:rsidRPr="002A30E6">
        <w:t>Biogen Biosimilars, UK</w:t>
      </w:r>
      <w:r w:rsidR="004A08F1" w:rsidRPr="002A30E6">
        <w:t>)</w:t>
      </w:r>
      <w:r w:rsidR="00C0278F" w:rsidRPr="002A30E6">
        <w:t>.</w:t>
      </w:r>
    </w:p>
    <w:p w14:paraId="4726B366" w14:textId="02AA122F" w:rsidR="00617BF3" w:rsidRPr="002A30E6" w:rsidRDefault="00217A05" w:rsidP="00494BB8">
      <w:pPr>
        <w:pStyle w:val="Heading2"/>
      </w:pPr>
      <w:r w:rsidRPr="00217A05">
        <w:t>Ethics approval</w:t>
      </w:r>
    </w:p>
    <w:p w14:paraId="6C914A48" w14:textId="26C704CE" w:rsidR="006E6A28" w:rsidRPr="002A30E6" w:rsidRDefault="00250B07" w:rsidP="00CE37D0">
      <w:r w:rsidRPr="002A30E6">
        <w:t xml:space="preserve">Ethics </w:t>
      </w:r>
      <w:r w:rsidR="00E93A94" w:rsidRPr="002A30E6">
        <w:t>approval for the study was granted by the London (Chelsea) research ethics committee</w:t>
      </w:r>
      <w:r w:rsidR="00007A3F" w:rsidRPr="002A30E6">
        <w:t xml:space="preserve"> 29</w:t>
      </w:r>
      <w:r w:rsidR="00007A3F" w:rsidRPr="002A30E6">
        <w:rPr>
          <w:vertAlign w:val="superscript"/>
        </w:rPr>
        <w:t>th</w:t>
      </w:r>
      <w:r w:rsidR="00007A3F" w:rsidRPr="002A30E6">
        <w:t xml:space="preserve"> April 2019 (reference </w:t>
      </w:r>
      <w:r w:rsidR="00C212E3" w:rsidRPr="002A30E6">
        <w:t>19/LO/0167</w:t>
      </w:r>
      <w:r w:rsidR="00007A3F" w:rsidRPr="002A30E6">
        <w:t>)</w:t>
      </w:r>
      <w:r w:rsidR="00C212E3" w:rsidRPr="002A30E6">
        <w:t>.</w:t>
      </w:r>
    </w:p>
    <w:p w14:paraId="643EC219" w14:textId="6614E2C4" w:rsidR="00B84261" w:rsidRPr="002A30E6" w:rsidRDefault="007F5462" w:rsidP="007F5462">
      <w:pPr>
        <w:pStyle w:val="Heading2"/>
      </w:pPr>
      <w:bookmarkStart w:id="10" w:name="_Toc135163270"/>
      <w:r w:rsidRPr="002A30E6">
        <w:t>Method</w:t>
      </w:r>
      <w:bookmarkEnd w:id="10"/>
    </w:p>
    <w:p w14:paraId="3B4A8258" w14:textId="5CFB7EAF" w:rsidR="00907C3E" w:rsidRPr="002A30E6" w:rsidRDefault="00907C3E" w:rsidP="00907C3E">
      <w:pPr>
        <w:pStyle w:val="Heading3"/>
      </w:pPr>
      <w:bookmarkStart w:id="11" w:name="_Toc135163271"/>
      <w:r w:rsidRPr="002A30E6">
        <w:t>Study design</w:t>
      </w:r>
      <w:bookmarkEnd w:id="11"/>
    </w:p>
    <w:p w14:paraId="14F134D9" w14:textId="14180421" w:rsidR="007F5462" w:rsidRPr="002A30E6" w:rsidRDefault="007F5462">
      <w:r w:rsidRPr="002A30E6">
        <w:t>iBaSS is a phas</w:t>
      </w:r>
      <w:r w:rsidR="000261F2" w:rsidRPr="002A30E6">
        <w:t xml:space="preserve">e IV </w:t>
      </w:r>
      <w:r w:rsidRPr="002A30E6">
        <w:t xml:space="preserve">prospective, </w:t>
      </w:r>
      <w:r w:rsidR="00A15DA0" w:rsidRPr="002A30E6">
        <w:t>randomi</w:t>
      </w:r>
      <w:r w:rsidR="00954FC1">
        <w:t>s</w:t>
      </w:r>
      <w:r w:rsidR="00A15DA0" w:rsidRPr="002A30E6">
        <w:t>ed</w:t>
      </w:r>
      <w:r w:rsidRPr="002A30E6">
        <w:t xml:space="preserve">, single-blind, crossover study in </w:t>
      </w:r>
      <w:r w:rsidR="007C5C02" w:rsidRPr="002A30E6">
        <w:t xml:space="preserve">a representative population of </w:t>
      </w:r>
      <w:r w:rsidRPr="002A30E6">
        <w:t>adult subjects with CD</w:t>
      </w:r>
      <w:r w:rsidR="007C5C02" w:rsidRPr="002A30E6">
        <w:t xml:space="preserve"> </w:t>
      </w:r>
      <w:r w:rsidR="000261F2" w:rsidRPr="002A30E6">
        <w:t xml:space="preserve">at University Hospital Southampton NHS Foundation Trust </w:t>
      </w:r>
      <w:r w:rsidR="00CF7450" w:rsidRPr="002A30E6">
        <w:t xml:space="preserve">(UHS) </w:t>
      </w:r>
      <w:r w:rsidR="000261F2" w:rsidRPr="002A30E6">
        <w:t>(EudraCT number 2018-004967-30)</w:t>
      </w:r>
      <w:r w:rsidR="007C5C02" w:rsidRPr="002A30E6">
        <w:t>.</w:t>
      </w:r>
      <w:r w:rsidRPr="002A30E6">
        <w:t xml:space="preserve"> </w:t>
      </w:r>
      <w:r w:rsidR="007C5C02" w:rsidRPr="002A30E6">
        <w:t>Th</w:t>
      </w:r>
      <w:r w:rsidR="00322271" w:rsidRPr="002A30E6">
        <w:t>e</w:t>
      </w:r>
      <w:r w:rsidR="007C5C02" w:rsidRPr="002A30E6">
        <w:t xml:space="preserve"> pragmatic study </w:t>
      </w:r>
      <w:r w:rsidR="009F78B9" w:rsidRPr="002A30E6">
        <w:t xml:space="preserve">was designed to </w:t>
      </w:r>
      <w:r w:rsidR="007C5C02" w:rsidRPr="002A30E6">
        <w:t>mimic the optimal care pathway of patients transitioning to a biosimilar</w:t>
      </w:r>
      <w:r w:rsidR="00C8393F" w:rsidRPr="002A30E6">
        <w:t xml:space="preserve"> (</w:t>
      </w:r>
      <w:r w:rsidR="008B4236">
        <w:t xml:space="preserve">Supplementary </w:t>
      </w:r>
      <w:r w:rsidR="00C8393F" w:rsidRPr="002A30E6">
        <w:t>Figure 1)</w:t>
      </w:r>
      <w:r w:rsidR="007C5C02" w:rsidRPr="002A30E6">
        <w:t>.</w:t>
      </w:r>
    </w:p>
    <w:p w14:paraId="63B3EDFD" w14:textId="77777777" w:rsidR="00FF5CB6" w:rsidRPr="002A30E6" w:rsidRDefault="00FF5CB6" w:rsidP="00FF5CB6">
      <w:pPr>
        <w:pStyle w:val="Heading3"/>
      </w:pPr>
      <w:bookmarkStart w:id="12" w:name="_Toc135163272"/>
      <w:r w:rsidRPr="002A30E6">
        <w:t>Patients</w:t>
      </w:r>
      <w:bookmarkEnd w:id="12"/>
    </w:p>
    <w:p w14:paraId="08BDE346" w14:textId="178F0C25" w:rsidR="00FF5CB6" w:rsidRPr="002A30E6" w:rsidRDefault="00FF5CB6" w:rsidP="00FF5CB6">
      <w:r w:rsidRPr="002A30E6">
        <w:t xml:space="preserve">Patients eligible for </w:t>
      </w:r>
      <w:r w:rsidR="00CF487E" w:rsidRPr="002A30E6">
        <w:t xml:space="preserve">inclusion </w:t>
      </w:r>
      <w:r w:rsidRPr="002A30E6">
        <w:t>were aged 18 years and over with a confirmed diagnosis of CD in remission or with mild disease activity (</w:t>
      </w:r>
      <w:r w:rsidR="00ED6AB4" w:rsidRPr="002A30E6">
        <w:t>modified Harvey-Bradshaw Index (mHBI)</w:t>
      </w:r>
      <w:r w:rsidR="00624A00" w:rsidRPr="002A30E6">
        <w:t xml:space="preserve"> score</w:t>
      </w:r>
      <w:r w:rsidRPr="002A30E6">
        <w:t xml:space="preserve"> &lt;8)</w:t>
      </w:r>
      <w:r w:rsidR="00356D13" w:rsidRPr="002A30E6">
        <w:t>;</w:t>
      </w:r>
      <w:r w:rsidRPr="002A30E6">
        <w:t xml:space="preserve"> established on a stable dose of </w:t>
      </w:r>
      <w:r w:rsidR="007B5959" w:rsidRPr="002A30E6">
        <w:t>reference</w:t>
      </w:r>
      <w:r w:rsidRPr="002A30E6">
        <w:t xml:space="preserve"> adalimumab or </w:t>
      </w:r>
      <w:r w:rsidR="00F94A00">
        <w:t>SB5</w:t>
      </w:r>
      <w:r w:rsidR="007B5959" w:rsidRPr="002A30E6">
        <w:t xml:space="preserve"> </w:t>
      </w:r>
      <w:r w:rsidRPr="002A30E6">
        <w:t xml:space="preserve">for 12 weeks before recruitment </w:t>
      </w:r>
      <w:r w:rsidR="008C1DC2" w:rsidRPr="002A30E6">
        <w:t xml:space="preserve">and </w:t>
      </w:r>
      <w:r w:rsidR="008A2A16" w:rsidRPr="002A30E6">
        <w:t xml:space="preserve">only previously </w:t>
      </w:r>
      <w:r w:rsidRPr="002A30E6">
        <w:t>expos</w:t>
      </w:r>
      <w:r w:rsidR="008A2A16" w:rsidRPr="002A30E6">
        <w:t>ed</w:t>
      </w:r>
      <w:r w:rsidRPr="002A30E6">
        <w:t xml:space="preserve"> to that </w:t>
      </w:r>
      <w:r w:rsidR="009279DE" w:rsidRPr="002A30E6">
        <w:t>product</w:t>
      </w:r>
      <w:r w:rsidRPr="002A30E6">
        <w:t xml:space="preserve"> </w:t>
      </w:r>
      <w:r w:rsidR="008A2A16" w:rsidRPr="002A30E6">
        <w:t>with</w:t>
      </w:r>
      <w:r w:rsidRPr="002A30E6">
        <w:t xml:space="preserve"> no expectation of regimen modification. Eligibility was initially limited to patients treated with </w:t>
      </w:r>
      <w:r w:rsidR="007B5959" w:rsidRPr="002A30E6">
        <w:t>reference</w:t>
      </w:r>
      <w:r w:rsidRPr="002A30E6">
        <w:t xml:space="preserve"> adalimumab although this was later </w:t>
      </w:r>
      <w:r w:rsidR="008A2A16" w:rsidRPr="002A30E6">
        <w:t xml:space="preserve">broadened </w:t>
      </w:r>
      <w:r w:rsidRPr="002A30E6">
        <w:t xml:space="preserve">to </w:t>
      </w:r>
      <w:r w:rsidRPr="002A30E6">
        <w:lastRenderedPageBreak/>
        <w:t xml:space="preserve">patients using </w:t>
      </w:r>
      <w:r w:rsidR="00F94A00">
        <w:t>SB5</w:t>
      </w:r>
      <w:r w:rsidR="007B5959" w:rsidRPr="002A30E6">
        <w:t xml:space="preserve"> </w:t>
      </w:r>
      <w:r w:rsidRPr="002A30E6">
        <w:t xml:space="preserve">as this became the first-line adalimumab </w:t>
      </w:r>
      <w:r w:rsidR="009279DE" w:rsidRPr="002A30E6">
        <w:t>product</w:t>
      </w:r>
      <w:r w:rsidRPr="002A30E6">
        <w:t xml:space="preserve"> locally. Exclusion criteria </w:t>
      </w:r>
      <w:proofErr w:type="gramStart"/>
      <w:r w:rsidR="001E5090" w:rsidRPr="002A30E6">
        <w:t>were:</w:t>
      </w:r>
      <w:proofErr w:type="gramEnd"/>
      <w:r w:rsidR="001E5090" w:rsidRPr="002A30E6">
        <w:t xml:space="preserve"> p</w:t>
      </w:r>
      <w:r w:rsidRPr="002A30E6">
        <w:t>lanned discontinuation of adalimumab</w:t>
      </w:r>
      <w:r w:rsidR="00C905A0" w:rsidRPr="002A30E6">
        <w:t>;</w:t>
      </w:r>
      <w:r w:rsidRPr="002A30E6">
        <w:t xml:space="preserve"> scheduled surgical procedure </w:t>
      </w:r>
      <w:r w:rsidR="00C905A0" w:rsidRPr="002A30E6">
        <w:t xml:space="preserve">or </w:t>
      </w:r>
      <w:r w:rsidR="00A15DA0" w:rsidRPr="002A30E6">
        <w:t>hospitali</w:t>
      </w:r>
      <w:r w:rsidR="00954FC1">
        <w:t>s</w:t>
      </w:r>
      <w:r w:rsidR="00A15DA0" w:rsidRPr="002A30E6">
        <w:t>ation</w:t>
      </w:r>
      <w:r w:rsidRPr="002A30E6">
        <w:t xml:space="preserve"> within 12 months of </w:t>
      </w:r>
      <w:r w:rsidR="00A15DA0" w:rsidRPr="002A30E6">
        <w:t>randomi</w:t>
      </w:r>
      <w:r w:rsidR="00954FC1">
        <w:t>s</w:t>
      </w:r>
      <w:r w:rsidR="00A15DA0" w:rsidRPr="002A30E6">
        <w:t>ation</w:t>
      </w:r>
      <w:r w:rsidR="00C905A0" w:rsidRPr="002A30E6">
        <w:t>;</w:t>
      </w:r>
      <w:r w:rsidRPr="002A30E6">
        <w:t xml:space="preserve"> and women who were pregnant or breast-feeding.</w:t>
      </w:r>
    </w:p>
    <w:p w14:paraId="5D8BEA33" w14:textId="369C4C29" w:rsidR="004E1EF3" w:rsidRPr="002A30E6" w:rsidRDefault="001B1E5D" w:rsidP="001B1E5D">
      <w:pPr>
        <w:pStyle w:val="Heading3"/>
      </w:pPr>
      <w:bookmarkStart w:id="13" w:name="_Toc135163273"/>
      <w:r w:rsidRPr="002A30E6">
        <w:t>Study procedures</w:t>
      </w:r>
      <w:bookmarkEnd w:id="13"/>
    </w:p>
    <w:p w14:paraId="3907D088" w14:textId="2614C50B" w:rsidR="00616EDB" w:rsidRDefault="00E663F3" w:rsidP="00616EDB">
      <w:r w:rsidRPr="002A30E6">
        <w:t xml:space="preserve">Study recruitment commenced </w:t>
      </w:r>
      <w:r w:rsidR="00342C90" w:rsidRPr="002A30E6">
        <w:t>1</w:t>
      </w:r>
      <w:r w:rsidR="000A6A84" w:rsidRPr="002A30E6">
        <w:rPr>
          <w:vertAlign w:val="superscript"/>
        </w:rPr>
        <w:t>st</w:t>
      </w:r>
      <w:r w:rsidR="00342C90" w:rsidRPr="002A30E6">
        <w:t xml:space="preserve"> July </w:t>
      </w:r>
      <w:r w:rsidR="000A6A84" w:rsidRPr="002A30E6">
        <w:t>2019</w:t>
      </w:r>
      <w:r w:rsidRPr="002A30E6">
        <w:t xml:space="preserve"> but was suspended due to the COVID-19 pandemic </w:t>
      </w:r>
      <w:r w:rsidR="00D97239" w:rsidRPr="002A30E6">
        <w:t>from</w:t>
      </w:r>
      <w:r w:rsidRPr="002A30E6">
        <w:t xml:space="preserve"> </w:t>
      </w:r>
      <w:r w:rsidR="00BB3B0C" w:rsidRPr="002A30E6">
        <w:t>23</w:t>
      </w:r>
      <w:r w:rsidR="00BB3B0C" w:rsidRPr="002A30E6">
        <w:rPr>
          <w:vertAlign w:val="superscript"/>
        </w:rPr>
        <w:t>rd</w:t>
      </w:r>
      <w:r w:rsidR="00BB3B0C" w:rsidRPr="002A30E6">
        <w:t xml:space="preserve"> March 2020</w:t>
      </w:r>
      <w:r w:rsidR="00D97239" w:rsidRPr="002A30E6">
        <w:t xml:space="preserve"> to </w:t>
      </w:r>
      <w:r w:rsidR="00C7399D" w:rsidRPr="002A30E6">
        <w:t>9</w:t>
      </w:r>
      <w:r w:rsidR="00C7399D" w:rsidRPr="002A30E6">
        <w:rPr>
          <w:vertAlign w:val="superscript"/>
        </w:rPr>
        <w:t>th</w:t>
      </w:r>
      <w:r w:rsidR="00C7399D" w:rsidRPr="002A30E6">
        <w:t xml:space="preserve"> July 2020</w:t>
      </w:r>
      <w:r w:rsidR="00A5632B" w:rsidRPr="002A30E6">
        <w:t>.</w:t>
      </w:r>
      <w:r w:rsidRPr="002A30E6">
        <w:t xml:space="preserve"> </w:t>
      </w:r>
      <w:r w:rsidR="00F84F1B" w:rsidRPr="002A30E6">
        <w:t xml:space="preserve">Eligible patients were screened, </w:t>
      </w:r>
      <w:proofErr w:type="gramStart"/>
      <w:r w:rsidR="00F84F1B" w:rsidRPr="002A30E6">
        <w:t>consented</w:t>
      </w:r>
      <w:proofErr w:type="gramEnd"/>
      <w:r w:rsidR="00F84F1B" w:rsidRPr="002A30E6">
        <w:t xml:space="preserve"> and recruited in</w:t>
      </w:r>
      <w:r w:rsidR="00FA3ED0" w:rsidRPr="002A30E6">
        <w:t xml:space="preserve">to the clinical trial. Following consent, participants were </w:t>
      </w:r>
      <w:r w:rsidR="0004506E" w:rsidRPr="002A30E6">
        <w:t>randomi</w:t>
      </w:r>
      <w:r w:rsidR="00954FC1">
        <w:t>s</w:t>
      </w:r>
      <w:r w:rsidR="0004506E" w:rsidRPr="002A30E6">
        <w:t>ed</w:t>
      </w:r>
      <w:r w:rsidR="00FA3ED0" w:rsidRPr="002A30E6">
        <w:t xml:space="preserve"> 1:1 to one of two treatment sequences: (</w:t>
      </w:r>
      <w:r w:rsidR="00D400B5" w:rsidRPr="002A30E6">
        <w:t>TS1</w:t>
      </w:r>
      <w:r w:rsidR="00FA3ED0" w:rsidRPr="002A30E6">
        <w:t xml:space="preserve">) </w:t>
      </w:r>
      <w:r w:rsidR="007B5959" w:rsidRPr="002A30E6">
        <w:t>reference</w:t>
      </w:r>
      <w:r w:rsidR="00FA3ED0" w:rsidRPr="002A30E6">
        <w:t xml:space="preserve"> adalimumab followed by </w:t>
      </w:r>
      <w:r w:rsidR="00F94A00">
        <w:t>SB5</w:t>
      </w:r>
      <w:r w:rsidR="00D325D3" w:rsidRPr="002A30E6" w:rsidDel="00D325D3">
        <w:t xml:space="preserve"> </w:t>
      </w:r>
      <w:r w:rsidR="00FA3ED0" w:rsidRPr="002A30E6">
        <w:t xml:space="preserve">or (TS2) </w:t>
      </w:r>
      <w:r w:rsidR="00F94A00">
        <w:t>SB5</w:t>
      </w:r>
      <w:r w:rsidR="00D325D3" w:rsidRPr="002A30E6" w:rsidDel="00D325D3">
        <w:t xml:space="preserve"> </w:t>
      </w:r>
      <w:r w:rsidR="00FA3ED0" w:rsidRPr="002A30E6">
        <w:t xml:space="preserve">followed by </w:t>
      </w:r>
      <w:r w:rsidR="007B5959" w:rsidRPr="002A30E6">
        <w:t>reference</w:t>
      </w:r>
      <w:r w:rsidR="00FA3ED0" w:rsidRPr="002A30E6">
        <w:t xml:space="preserve"> adalimumab. </w:t>
      </w:r>
      <w:r w:rsidR="005615A7" w:rsidRPr="002A30E6">
        <w:t xml:space="preserve">The </w:t>
      </w:r>
      <w:r w:rsidR="0004506E" w:rsidRPr="002A30E6">
        <w:t>randomi</w:t>
      </w:r>
      <w:r w:rsidR="00954FC1">
        <w:t>s</w:t>
      </w:r>
      <w:r w:rsidR="0004506E" w:rsidRPr="002A30E6">
        <w:t>ation</w:t>
      </w:r>
      <w:r w:rsidR="005615A7" w:rsidRPr="002A30E6">
        <w:t xml:space="preserve"> sequence was generated using ALEA </w:t>
      </w:r>
      <w:r w:rsidR="0004506E" w:rsidRPr="002A30E6">
        <w:t>randomi</w:t>
      </w:r>
      <w:r w:rsidR="00954FC1">
        <w:t>s</w:t>
      </w:r>
      <w:r w:rsidR="0004506E" w:rsidRPr="002A30E6">
        <w:t>ation</w:t>
      </w:r>
      <w:r w:rsidR="005615A7" w:rsidRPr="002A30E6">
        <w:t xml:space="preserve"> software (</w:t>
      </w:r>
      <w:proofErr w:type="spellStart"/>
      <w:r w:rsidR="005615A7" w:rsidRPr="002A30E6">
        <w:t>FormsVision</w:t>
      </w:r>
      <w:proofErr w:type="spellEnd"/>
      <w:r w:rsidR="005615A7" w:rsidRPr="002A30E6">
        <w:t xml:space="preserve"> BV, </w:t>
      </w:r>
      <w:proofErr w:type="spellStart"/>
      <w:r w:rsidR="005615A7" w:rsidRPr="002A30E6">
        <w:t>Abcoude</w:t>
      </w:r>
      <w:proofErr w:type="spellEnd"/>
      <w:r w:rsidR="005615A7" w:rsidRPr="002A30E6">
        <w:t>, The Netherlands) using fixed blocks</w:t>
      </w:r>
      <w:r w:rsidR="009527B7" w:rsidRPr="002A30E6">
        <w:t xml:space="preserve"> of 10</w:t>
      </w:r>
      <w:r w:rsidR="005615A7" w:rsidRPr="002A30E6">
        <w:t xml:space="preserve"> and stratification according to adalimumab </w:t>
      </w:r>
      <w:r w:rsidR="009279DE" w:rsidRPr="002A30E6">
        <w:t>product</w:t>
      </w:r>
      <w:r w:rsidR="005615A7" w:rsidRPr="002A30E6">
        <w:t xml:space="preserve"> use prior to enrolment. </w:t>
      </w:r>
      <w:r w:rsidR="00047FB4" w:rsidRPr="002A30E6">
        <w:t xml:space="preserve">UHS </w:t>
      </w:r>
      <w:r w:rsidR="00233B4B" w:rsidRPr="002A30E6">
        <w:t>pharmacy department managed treatment sequence allocation to maintain the blinding of the study team</w:t>
      </w:r>
      <w:r w:rsidR="00D16DB8" w:rsidRPr="002A30E6">
        <w:t xml:space="preserve">. </w:t>
      </w:r>
      <w:r w:rsidR="00584EAE" w:rsidRPr="002A30E6">
        <w:t xml:space="preserve">Participants continued with their previous adalimumab dosing regimen using commercially available pre-filled pens.  </w:t>
      </w:r>
      <w:r w:rsidR="00D16DB8" w:rsidRPr="002A30E6">
        <w:t>P</w:t>
      </w:r>
      <w:r w:rsidR="00233B4B" w:rsidRPr="002A30E6">
        <w:t xml:space="preserve">harmacy staff and participants </w:t>
      </w:r>
      <w:r w:rsidR="00047FB4" w:rsidRPr="002A30E6">
        <w:t xml:space="preserve">were </w:t>
      </w:r>
      <w:r w:rsidR="00140EA6" w:rsidRPr="002A30E6">
        <w:t>asked</w:t>
      </w:r>
      <w:r w:rsidR="00233B4B" w:rsidRPr="002A30E6">
        <w:t xml:space="preserve"> not</w:t>
      </w:r>
      <w:r w:rsidR="00561447" w:rsidRPr="002A30E6">
        <w:t xml:space="preserve"> to</w:t>
      </w:r>
      <w:r w:rsidR="00233B4B" w:rsidRPr="002A30E6">
        <w:t xml:space="preserve"> disclose the </w:t>
      </w:r>
      <w:r w:rsidR="00584EAE" w:rsidRPr="002A30E6">
        <w:t xml:space="preserve">allocated </w:t>
      </w:r>
      <w:r w:rsidR="00233B4B" w:rsidRPr="002A30E6">
        <w:t xml:space="preserve">adalimumab </w:t>
      </w:r>
      <w:r w:rsidR="009279DE" w:rsidRPr="002A30E6">
        <w:t>product</w:t>
      </w:r>
      <w:r w:rsidR="00233B4B" w:rsidRPr="002A30E6">
        <w:t xml:space="preserve"> </w:t>
      </w:r>
      <w:r w:rsidR="00584EAE" w:rsidRPr="002A30E6">
        <w:t xml:space="preserve">to the clinical trial physicians </w:t>
      </w:r>
      <w:r w:rsidR="009F2A20" w:rsidRPr="002A30E6">
        <w:t xml:space="preserve">during </w:t>
      </w:r>
      <w:r w:rsidR="00233B4B" w:rsidRPr="002A30E6">
        <w:t>the trial</w:t>
      </w:r>
      <w:r w:rsidR="009F2A20" w:rsidRPr="002A30E6">
        <w:t xml:space="preserve">. To ensure </w:t>
      </w:r>
      <w:r w:rsidR="00566B31" w:rsidRPr="002A30E6">
        <w:t xml:space="preserve">blinding, medication </w:t>
      </w:r>
      <w:r w:rsidR="00D16DB8" w:rsidRPr="002A30E6">
        <w:t>supply and return o</w:t>
      </w:r>
      <w:r w:rsidR="00566B31" w:rsidRPr="002A30E6">
        <w:t>f</w:t>
      </w:r>
      <w:r w:rsidR="00D16DB8" w:rsidRPr="002A30E6">
        <w:t xml:space="preserve"> unused pens occurr</w:t>
      </w:r>
      <w:r w:rsidR="00566B31" w:rsidRPr="002A30E6">
        <w:t>ed r</w:t>
      </w:r>
      <w:r w:rsidR="00D16DB8" w:rsidRPr="002A30E6">
        <w:t>emote from the research team</w:t>
      </w:r>
      <w:r w:rsidR="00233B4B" w:rsidRPr="002A30E6">
        <w:t xml:space="preserve">. </w:t>
      </w:r>
      <w:r w:rsidR="00907C3E" w:rsidRPr="002A30E6">
        <w:t xml:space="preserve">Patients were reviewed every 12 weeks and received each </w:t>
      </w:r>
      <w:r w:rsidR="00E43C63" w:rsidRPr="002A30E6">
        <w:t>a</w:t>
      </w:r>
      <w:r w:rsidR="00907C3E" w:rsidRPr="002A30E6">
        <w:t xml:space="preserve">dalimumab </w:t>
      </w:r>
      <w:r w:rsidR="00E43C63" w:rsidRPr="002A30E6">
        <w:t xml:space="preserve">product </w:t>
      </w:r>
      <w:r w:rsidR="00907C3E" w:rsidRPr="002A30E6">
        <w:t>for 24 weeks</w:t>
      </w:r>
      <w:r w:rsidR="00BF6230" w:rsidRPr="002A30E6">
        <w:t>.</w:t>
      </w:r>
      <w:r w:rsidR="001C49C6" w:rsidRPr="002A30E6">
        <w:t xml:space="preserve"> </w:t>
      </w:r>
      <w:r w:rsidR="00A625AE" w:rsidRPr="002A30E6">
        <w:t xml:space="preserve">Data collected at baseline </w:t>
      </w:r>
      <w:r w:rsidR="00D74402">
        <w:t>(</w:t>
      </w:r>
      <w:r w:rsidR="00DE3E69">
        <w:t xml:space="preserve">immediately </w:t>
      </w:r>
      <w:r w:rsidR="00D74402">
        <w:t xml:space="preserve">prior to randomisation) </w:t>
      </w:r>
      <w:r w:rsidR="00A625AE" w:rsidRPr="002A30E6">
        <w:t>and each study visit included disease activity (</w:t>
      </w:r>
      <w:r w:rsidR="00ED6AB4" w:rsidRPr="002A30E6">
        <w:t xml:space="preserve">mHBI </w:t>
      </w:r>
      <w:r w:rsidR="00A625AE" w:rsidRPr="002A30E6">
        <w:t>and PRO-2), patient’s perspective of disease control (IBD-Control questionnaire</w:t>
      </w:r>
      <w:r w:rsidR="009577BD" w:rsidRPr="002A30E6">
        <w:t xml:space="preserve"> </w:t>
      </w:r>
      <w:r w:rsidR="00A625AE" w:rsidRPr="002A30E6">
        <w:fldChar w:fldCharType="begin"/>
      </w:r>
      <w:r w:rsidR="00C26218">
        <w:instrText xml:space="preserve"> ADDIN ZOTERO_ITEM CSL_CITATION {"citationID":"WnpqZlfq","properties":{"formattedCitation":"[11]","plainCitation":"[11]","noteIndex":0},"citationItems":[{"id":324,"uris":["http://zotero.org/users/5054817/items/38X2SZVV",["http://zotero.org/users/5054817/items/38X2SZVV"]],"itemData":{"id":324,"type":"article-journal","abstract":"&lt;h3&gt;Introduction&lt;/h3&gt; &lt;p&gt;The use of patient reported outcome measures to support routine inflammatory bowel disease (IBD) care is not widespread and suggests that existing questionnaires lack relevance to day-to-day decisions or are too cumbersome to administer. We developed a simple, generic tool for capturing disease control from the patient9s perspective to address these barriers.&lt;/p&gt;&lt;h3&gt;Methods&lt;/h3&gt; &lt;p&gt;Development based on literature review, patient focus groups/interviews and a steering group, defining a limited set of generic questions. The ‘IBD-Control’ questionnaire comprises 13 items plus a visual analogue scale (VAS) (0–100). Prospective validation involved baseline completion of IBD-Control, quality of life (QoL) questionnaire (UK-IBD-Q), EuroQol (EQ-5D), Hospital Anxiety and Depression Score; and clinician assessment (blinded to questionnaire; recording Harvey-Bradshaw Index or Simple Clinical Colitis Activity Index; Global Clinician Rating; treatment outcome).&lt;/p&gt;&lt;h3&gt;Results&lt;/h3&gt; &lt;p&gt;299 patients returned baseline surveys (Crohn9s disease, n=160; ulcerative colitis, n=139) and 138 attended for repeat visits. &lt;i&gt;Completion time&lt;/i&gt; (mean; SD): 1 min 15 s; 25 s; &lt;i&gt;Internal consistency&lt;/i&gt;: Cronbach9s α for all 13 items (0.85); for subgroup of eight questions (‘IBD-Control-8’; 0.86). Strong correlation between IBD-Control-8 and IBD-Control-VAS (r=0.81). &lt;i&gt;Test-retest reliability&lt;/i&gt; (2 week repeat): intra-class correlation=0.97 for IBD-Control-8 and 0.96 for IBD-Control-VAS. &lt;i&gt;Construct validity&lt;/i&gt;: Moderate-to-strong correlations between IBD-Control-8 and IBD-Control-VAS versus activity indices, UK-IBD-Q and EQ-5D (utility) with r values 0.52–0.86. &lt;i&gt;Discriminant validity&lt;/i&gt; (mean instrument scores for remission, mild, moderate or severe): p&amp;lt;0.001 (analysis of variance (ANOVA)). &lt;i&gt;Sensitivity to change&lt;/i&gt;: Effect sizes: 0.76–1.44.&lt;/p&gt;&lt;h3&gt;Conclusions&lt;/h3&gt; &lt;p&gt;The IBD-Control is a rapid, reliable, valid and sensitive instrument for measuring overall disease control from the patient9s perspective. Unlike existing patient reported outcome measures, its simplicity, ease-of-use and generic applicability make it a candidate for supporting routine care.&lt;/p&gt;","container-title":"Gut","DOI":"10.1136/gutjnl-2013-305600","ISSN":"0017-5749, 1468-3288","issue":"7","language":"en","license":"Published by the BMJ Publishing Group Limited. For permission to use (where not already granted under a licence) please go to http://group.bmj.com/group/rights-licensing/permissions. This is an Open Access article distributed in accordance with the Creative Commons Attribution Non Commercial (CC BY-NC 3.0) license, which permits others to distribute, remix, adapt, build upon this work non-commercially, and license their derivative works on different terms, provided the original work is properly cited and the use is non-commercial. See: http://creativecommons.org/licenses/by-nc/3.0/","note":"publisher: BMJ Publishing Group\nsection: Inflammatory bowel disease\nPMID: 24107590","page":"1092-1102","source":"gut.bmj.com","title":"Development and validation of a rapid, generic measure of disease control from the patient's perspective: the IBD-Control questionnaire","title-short":"Development and validation of a rapid, generic measure of disease control from the patient's perspective","volume":"63","author":[{"family":"Bodger","given":"Keith"},{"family":"Ormerod","given":"Clare"},{"family":"Shackcloth","given":"Daniela"},{"family":"Harrison","given":"Melanie"},{"family":"Collaborative","given":"on behalf of the IBD Control"}],"issued":{"date-parts":[["2014",7,1]]}}}],"schema":"https://github.com/citation-style-language/schema/raw/master/csl-citation.json"} </w:instrText>
      </w:r>
      <w:r w:rsidR="00A625AE" w:rsidRPr="002A30E6">
        <w:fldChar w:fldCharType="separate"/>
      </w:r>
      <w:r w:rsidR="00C26218" w:rsidRPr="00C26218">
        <w:rPr>
          <w:rFonts w:ascii="Calibri" w:hAnsi="Calibri" w:cs="Calibri"/>
        </w:rPr>
        <w:t>[11]</w:t>
      </w:r>
      <w:r w:rsidR="00A625AE" w:rsidRPr="002A30E6">
        <w:fldChar w:fldCharType="end"/>
      </w:r>
      <w:r w:rsidR="005F63DC" w:rsidRPr="002A30E6">
        <w:t xml:space="preserve"> and</w:t>
      </w:r>
      <w:r w:rsidR="003E249D" w:rsidRPr="002A30E6">
        <w:t xml:space="preserve"> </w:t>
      </w:r>
      <w:r w:rsidR="009577BD" w:rsidRPr="002A30E6">
        <w:t>satisfaction with medication (Treatment Satisfaction Questionnaire for Medication (TSQM</w:t>
      </w:r>
      <w:r w:rsidR="00403F0E">
        <w:t>; version 1.4</w:t>
      </w:r>
      <w:r w:rsidR="009577BD" w:rsidRPr="002A30E6">
        <w:t xml:space="preserve">) </w:t>
      </w:r>
      <w:r w:rsidR="009577BD" w:rsidRPr="002A30E6">
        <w:fldChar w:fldCharType="begin"/>
      </w:r>
      <w:r w:rsidR="00C26218">
        <w:instrText xml:space="preserve"> ADDIN ZOTERO_ITEM CSL_CITATION {"citationID":"lc6DUTF7","properties":{"formattedCitation":"[12]","plainCitation":"[12]","noteIndex":0},"citationItems":[{"id":304,"uris":["http://zotero.org/users/5054817/items/ADLGMMIP",["http://zotero.org/users/5054817/items/ADLGMMIP"]],"itemData":{"id":304,"type":"article-journal","container-title":"Health and Quality of Life Outcomes","DOI":"10.1186/1477-7525-2-12","ISSN":"14777525","issue":"1","journalAbbreviation":"Health Qual Life Outcomes","page":"12","source":"DOI.org (Crossref)","title":"Validation of a general measure of treatment satisfaction, the Treatment Satisfaction Questionnaire for Medication (TSQM), using a national panel study of chronic disease","volume":"2","author":[{"family":"Atkinson","given":"Mark J"},{"family":"Sinha","given":"Anusha"},{"family":"Hass","given":"Steven L"},{"family":"Colman","given":"Shoshana S"},{"family":"Kumar","given":"Ritesh N"},{"family":"Brod","given":"Meryl"},{"family":"Rowland","given":"Clayton R"}],"issued":{"date-parts":[["2004"]]}}}],"schema":"https://github.com/citation-style-language/schema/raw/master/csl-citation.json"} </w:instrText>
      </w:r>
      <w:r w:rsidR="009577BD" w:rsidRPr="002A30E6">
        <w:fldChar w:fldCharType="separate"/>
      </w:r>
      <w:r w:rsidR="00C26218" w:rsidRPr="00C26218">
        <w:rPr>
          <w:rFonts w:ascii="Calibri" w:hAnsi="Calibri" w:cs="Calibri"/>
        </w:rPr>
        <w:t>[12]</w:t>
      </w:r>
      <w:r w:rsidR="009577BD" w:rsidRPr="002A30E6">
        <w:fldChar w:fldCharType="end"/>
      </w:r>
      <w:r w:rsidR="009577BD" w:rsidRPr="002A30E6">
        <w:t>), routine laboratory measures (including C-reactive protein)</w:t>
      </w:r>
      <w:r w:rsidR="00EC11B0" w:rsidRPr="002A30E6">
        <w:t xml:space="preserve">, therapeutic drug monitoring and </w:t>
      </w:r>
      <w:r w:rsidR="001C6E19" w:rsidRPr="002A30E6">
        <w:t>faecal</w:t>
      </w:r>
      <w:r w:rsidR="00EC11B0" w:rsidRPr="002A30E6">
        <w:t xml:space="preserve"> calprotectin.</w:t>
      </w:r>
      <w:r w:rsidR="00213D77" w:rsidRPr="002A30E6">
        <w:t xml:space="preserve"> </w:t>
      </w:r>
      <w:r w:rsidR="00BF6EEB" w:rsidRPr="00BF6EEB">
        <w:t>Th</w:t>
      </w:r>
      <w:r w:rsidR="00BF6EEB">
        <w:t xml:space="preserve">e IBD-Control </w:t>
      </w:r>
      <w:r w:rsidR="000E64CB">
        <w:t>questionnaire</w:t>
      </w:r>
      <w:r w:rsidR="00BF6EEB" w:rsidRPr="00BF6EEB">
        <w:t>, generic to all patients with inflammatory bowel disease, was developed to measure disease control from the patient perspective. The IBD-Control-8 subscore is based on questions covering the patient’s opinion of the impact of symptoms on quality of life and the effectiveness of treatment resulting in a score from 0 to 16 (0 indicating worst possible control) and the IBD-Control-</w:t>
      </w:r>
      <w:r w:rsidR="00BF6EEB" w:rsidRPr="00BF6EEB">
        <w:lastRenderedPageBreak/>
        <w:t>VAS is a single, overall summary of disease control ranging from 0 to 100 (0 indicating worst possible control).</w:t>
      </w:r>
    </w:p>
    <w:p w14:paraId="06521548" w14:textId="64C4903F" w:rsidR="00500B13" w:rsidRDefault="00616EDB" w:rsidP="009B2FFC">
      <w:r>
        <w:t>The TSQM comprises 14 items, with five specifically addressing side effects. Responses are recorded on a 2-, 5-, or 7-point Likert scale and then converted into four domain scores—effectiveness, side effects, convenience, and global satisfaction—ranging from 0 to 100, with 0 indicating maximum dissatisfaction.</w:t>
      </w:r>
      <w:r w:rsidR="00215EC6">
        <w:t xml:space="preserve"> </w:t>
      </w:r>
      <w:r w:rsidR="00B627A6">
        <w:t xml:space="preserve">Questionnaires were </w:t>
      </w:r>
      <w:r w:rsidR="00296E66">
        <w:t xml:space="preserve">issued to patients without modification. </w:t>
      </w:r>
      <w:r w:rsidR="00A0451A" w:rsidRPr="002A30E6">
        <w:t>All doses of medication were self-administered by participants a</w:t>
      </w:r>
      <w:r w:rsidR="006852C4" w:rsidRPr="002A30E6">
        <w:t>t home</w:t>
      </w:r>
      <w:r w:rsidR="00A0451A" w:rsidRPr="002A30E6">
        <w:t xml:space="preserve"> with </w:t>
      </w:r>
      <w:r w:rsidR="00D45629" w:rsidRPr="002A30E6">
        <w:t xml:space="preserve">administration and </w:t>
      </w:r>
      <w:r w:rsidR="006852C4" w:rsidRPr="002A30E6">
        <w:t xml:space="preserve">injection pain </w:t>
      </w:r>
      <w:r w:rsidR="00A0451A" w:rsidRPr="002A30E6">
        <w:t xml:space="preserve">recorded </w:t>
      </w:r>
      <w:r w:rsidR="00407889" w:rsidRPr="002A30E6">
        <w:t>(</w:t>
      </w:r>
      <w:r w:rsidR="00D70633" w:rsidRPr="002A30E6">
        <w:t>visual analogue scale (</w:t>
      </w:r>
      <w:r w:rsidR="00720A4C" w:rsidRPr="002A30E6">
        <w:t xml:space="preserve">VAS; </w:t>
      </w:r>
      <w:r w:rsidR="00D70633" w:rsidRPr="002A30E6">
        <w:t>0-100)</w:t>
      </w:r>
      <w:r w:rsidR="00407889" w:rsidRPr="002A30E6">
        <w:t xml:space="preserve">) </w:t>
      </w:r>
      <w:r w:rsidR="006852C4" w:rsidRPr="002A30E6">
        <w:t>at each dose</w:t>
      </w:r>
      <w:r w:rsidR="00A0451A" w:rsidRPr="002A30E6">
        <w:t xml:space="preserve">. </w:t>
      </w:r>
      <w:r w:rsidR="00B94420">
        <w:t xml:space="preserve">Projected </w:t>
      </w:r>
      <w:r w:rsidR="00094FD8">
        <w:t xml:space="preserve">dosing schedules </w:t>
      </w:r>
      <w:r w:rsidR="000D27B4">
        <w:t xml:space="preserve">were </w:t>
      </w:r>
      <w:r w:rsidR="00094FD8">
        <w:t xml:space="preserve">determined factoring in the </w:t>
      </w:r>
      <w:r w:rsidR="008B61E4">
        <w:t xml:space="preserve">prescribed dosing frequency </w:t>
      </w:r>
      <w:r w:rsidR="00E23375">
        <w:t>(</w:t>
      </w:r>
      <w:r w:rsidR="003C7AAC">
        <w:t>subsequently a</w:t>
      </w:r>
      <w:r w:rsidR="00901783">
        <w:t xml:space="preserve">ccounting for </w:t>
      </w:r>
      <w:r w:rsidR="00E003DE">
        <w:t>r</w:t>
      </w:r>
      <w:r w:rsidR="00E23375" w:rsidRPr="00E23375">
        <w:t>egimen modifications as appropriate</w:t>
      </w:r>
      <w:r w:rsidR="00E23375">
        <w:t>)</w:t>
      </w:r>
      <w:r w:rsidR="00E23375" w:rsidRPr="00E23375">
        <w:t xml:space="preserve"> to obtain the expected number of doses between study visits. </w:t>
      </w:r>
      <w:r w:rsidR="0035411C">
        <w:t xml:space="preserve">This was compared </w:t>
      </w:r>
      <w:r w:rsidR="00E95ADA">
        <w:t>to t</w:t>
      </w:r>
      <w:r w:rsidR="0035411C" w:rsidRPr="0035411C">
        <w:t>he actual number of doses administered to ascertain adherence</w:t>
      </w:r>
      <w:r w:rsidR="00E95ADA">
        <w:t xml:space="preserve"> (</w:t>
      </w:r>
      <w:r w:rsidR="0035411C" w:rsidRPr="0035411C">
        <w:t>the "proportion of prescribed drug taken</w:t>
      </w:r>
      <w:r w:rsidR="00E95ADA">
        <w:t>”</w:t>
      </w:r>
      <w:r w:rsidR="00630BD5">
        <w:t xml:space="preserve"> </w:t>
      </w:r>
      <w:r w:rsidR="00A002EA">
        <w:fldChar w:fldCharType="begin"/>
      </w:r>
      <w:r w:rsidR="00C26218">
        <w:instrText xml:space="preserve"> ADDIN ZOTERO_ITEM CSL_CITATION {"citationID":"kgs3xPc2","properties":{"formattedCitation":"[13]","plainCitation":"[13]","noteIndex":0},"citationItems":[{"id":841,"uris":["http://zotero.org/users/5054817/items/PK5I7KMV"],"itemData":{"id":841,"type":"article-journal","abstract":"Interest in patient adherence has increased in recent years, with a growing literature that shows the pervasiveness of poor adherence to appropriately prescribed medications. However, four decades of adherence research has not resulted in uniformity in the terminology used to describe deviations from prescribed therapies. The aim of this review was to propose a new taxonomy, in which adherence to medications is conceptualized, based on behavioural and pharmacological science, and which will support quantifiable parameters. A systematic literature review was performed using MEDLINE, EMBASE, CINAHL, the Cochrane Library and PsycINFO from database inception to 1 April 2009. The objective was to identify the different conceptual approaches to adherence research. Definitions were analyzed according to time and methodological perspectives. A taxonomic approach was subsequently derived, evaluated and discussed with international experts. More than 10 different terms describing medication‐taking behaviour were identified through the literature review, often with differing meanings. The conceptual foundation for a new, transparent taxonomy relies on three elements, which make a clear distinction between processes that describe actions through established routines (‘Adherence to medications’, ‘Management of adherence’) and the discipline that studies those processes (‘Adherence‐related sciences’). ‘Adherence to medications’ is the process by which patients take their medication as prescribed, further divided into three quantifiable phases: ‘Initiation’, ‘Implementation’ and ‘Discontinuation’. In response to the proliferation of ambiguous or unquantifiable terms in the literature on medication adherence, this research has resulted in a new conceptual foundation for a transparent taxonomy. The terms and definitions are focused on promoting consistency and quantification in terminology and methods to aid in the conduct, analysis and interpretation of scientific studies of medication adherence.","container-title":"British Journal of Clinical Pharmacology","DOI":"10.1111/j.1365-2125.2012.04167.x","ISSN":"0306-5251, 1365-2125","issue":"5","journalAbbreviation":"Brit J Clinical Pharma","language":"en","page":"691-705","source":"DOI.org (Crossref)","title":"A new taxonomy for describing and defining adherence to medications","volume":"73","author":[{"family":"Vrijens","given":"Bernard"},{"family":"De Geest","given":"Sabina"},{"family":"Hughes","given":"Dyfrig A."},{"family":"Przemyslaw","given":"Kardas"},{"family":"Demonceau","given":"Jenny"},{"family":"Ruppar","given":"Todd"},{"family":"Dobbels","given":"Fabienne"},{"family":"Fargher","given":"Emily"},{"family":"Morrison","given":"Valerie"},{"family":"Lewek","given":"Pawel"},{"family":"Matyjaszczyk","given":"Michal"},{"family":"Mshelia","given":"Comfort"},{"family":"Clyne","given":"Wendy"},{"family":"Aronson","given":"Jeffrey K."},{"family":"Urquhart","given":"J."},{"literal":"for the ABC Project Team"}],"issued":{"date-parts":[["2012",5]]}}}],"schema":"https://github.com/citation-style-language/schema/raw/master/csl-citation.json"} </w:instrText>
      </w:r>
      <w:r w:rsidR="00A002EA">
        <w:fldChar w:fldCharType="separate"/>
      </w:r>
      <w:r w:rsidR="00C26218" w:rsidRPr="00C26218">
        <w:rPr>
          <w:rFonts w:ascii="Calibri" w:hAnsi="Calibri" w:cs="Calibri"/>
        </w:rPr>
        <w:t>[13]</w:t>
      </w:r>
      <w:r w:rsidR="00A002EA">
        <w:fldChar w:fldCharType="end"/>
      </w:r>
      <w:r w:rsidR="00E95ADA">
        <w:t>)</w:t>
      </w:r>
      <w:r w:rsidR="00E23375" w:rsidRPr="00E23375">
        <w:t>.</w:t>
      </w:r>
      <w:r w:rsidR="00FB6498">
        <w:t xml:space="preserve"> </w:t>
      </w:r>
      <w:r w:rsidR="00D70633" w:rsidRPr="002A30E6">
        <w:t>Participants completed the I</w:t>
      </w:r>
      <w:r w:rsidR="006852C4" w:rsidRPr="002A30E6">
        <w:t>BD-Control questionnaire and TSQM</w:t>
      </w:r>
      <w:r w:rsidR="001D4130" w:rsidRPr="002A30E6">
        <w:t xml:space="preserve"> </w:t>
      </w:r>
      <w:r w:rsidR="00011E7D" w:rsidRPr="002A30E6">
        <w:t xml:space="preserve">at home </w:t>
      </w:r>
      <w:r w:rsidR="00A0451A" w:rsidRPr="002A30E6">
        <w:t>every two and four weeks respectively. Modification of medication regimen</w:t>
      </w:r>
      <w:r w:rsidR="003976CD" w:rsidRPr="002A30E6">
        <w:t xml:space="preserve"> during the trial period</w:t>
      </w:r>
      <w:r w:rsidR="00A0451A" w:rsidRPr="002A30E6">
        <w:t xml:space="preserve"> was permitted in line with routine clinical practice.</w:t>
      </w:r>
      <w:r w:rsidR="00110095" w:rsidRPr="002A30E6">
        <w:t xml:space="preserve"> </w:t>
      </w:r>
      <w:r w:rsidR="003C2DE1" w:rsidRPr="002A30E6">
        <w:t>Other therapies for CD were maintained</w:t>
      </w:r>
      <w:r w:rsidR="00ED1501" w:rsidRPr="002A30E6">
        <w:t xml:space="preserve"> throughout</w:t>
      </w:r>
      <w:r w:rsidR="00E371D3" w:rsidRPr="002A30E6">
        <w:t>.</w:t>
      </w:r>
      <w:r w:rsidR="00006D6C">
        <w:t xml:space="preserve"> Study visits were planned to </w:t>
      </w:r>
      <w:r w:rsidR="00285F20">
        <w:t>align</w:t>
      </w:r>
      <w:r w:rsidR="00006D6C">
        <w:t xml:space="preserve"> with the patient </w:t>
      </w:r>
      <w:r w:rsidR="003A3BE9">
        <w:t xml:space="preserve">exhausting their supply of adalimumab and as close as </w:t>
      </w:r>
      <w:r w:rsidR="004C4F1A">
        <w:t>feasible</w:t>
      </w:r>
      <w:r w:rsidR="003A3BE9">
        <w:t xml:space="preserve"> to </w:t>
      </w:r>
      <w:r w:rsidR="00216337">
        <w:t xml:space="preserve">the </w:t>
      </w:r>
      <w:r w:rsidR="004C4F1A">
        <w:t xml:space="preserve">subsequent </w:t>
      </w:r>
      <w:r w:rsidR="00216337">
        <w:t>dose</w:t>
      </w:r>
      <w:r w:rsidR="004C4F1A">
        <w:t xml:space="preserve">, </w:t>
      </w:r>
      <w:r w:rsidR="00087CD7">
        <w:t xml:space="preserve">facilitating </w:t>
      </w:r>
      <w:r w:rsidR="00323A40">
        <w:t xml:space="preserve">measurement of </w:t>
      </w:r>
      <w:r w:rsidR="00216337">
        <w:t xml:space="preserve">a trough drug </w:t>
      </w:r>
      <w:r w:rsidR="009B2FFC">
        <w:t>concentration.</w:t>
      </w:r>
    </w:p>
    <w:p w14:paraId="71DF73D4" w14:textId="32A88CBA" w:rsidR="009B2FFC" w:rsidRPr="002A30E6" w:rsidRDefault="009B2FFC" w:rsidP="009B2FFC">
      <w:pPr>
        <w:pStyle w:val="Heading3"/>
      </w:pPr>
      <w:r>
        <w:t>Study outcomes</w:t>
      </w:r>
    </w:p>
    <w:p w14:paraId="1D0419F3" w14:textId="780B64C8" w:rsidR="00D803BD" w:rsidRPr="002A30E6" w:rsidRDefault="006852C4" w:rsidP="004E041F">
      <w:r w:rsidRPr="002A30E6">
        <w:t xml:space="preserve">The primary outcome was the proportion of patients maintaining baseline clinical status </w:t>
      </w:r>
      <w:r w:rsidR="004E041F" w:rsidRPr="002A30E6">
        <w:t>throughout each treatment period</w:t>
      </w:r>
      <w:r w:rsidR="000C49B2" w:rsidRPr="002A30E6">
        <w:t xml:space="preserve">. </w:t>
      </w:r>
      <w:r w:rsidR="0013102B" w:rsidRPr="002A30E6">
        <w:t xml:space="preserve">Treatment failure was </w:t>
      </w:r>
      <w:r w:rsidR="00D45629" w:rsidRPr="002A30E6">
        <w:t>defined as a</w:t>
      </w:r>
      <w:r w:rsidR="004E041F" w:rsidRPr="002A30E6">
        <w:t xml:space="preserve">n increase in mHBI score of ≥3 </w:t>
      </w:r>
      <w:r w:rsidR="00B62CA7">
        <w:t>(</w:t>
      </w:r>
      <w:r w:rsidR="00053FD8">
        <w:t xml:space="preserve">corresponding to a </w:t>
      </w:r>
      <w:r w:rsidR="00F56BD7">
        <w:t xml:space="preserve">100-point change in </w:t>
      </w:r>
      <w:r w:rsidR="00F56BD7" w:rsidRPr="00F56BD7">
        <w:t>Crohn</w:t>
      </w:r>
      <w:r w:rsidR="00F56BD7">
        <w:t>’</w:t>
      </w:r>
      <w:r w:rsidR="00F56BD7" w:rsidRPr="00F56BD7">
        <w:t>s Disease Activity Index</w:t>
      </w:r>
      <w:r w:rsidR="00F56BD7">
        <w:t xml:space="preserve"> score </w:t>
      </w:r>
      <w:r w:rsidR="00763556">
        <w:fldChar w:fldCharType="begin"/>
      </w:r>
      <w:r w:rsidR="00C26218">
        <w:instrText xml:space="preserve"> ADDIN ZOTERO_ITEM CSL_CITATION {"citationID":"RF4XXXjh","properties":{"formattedCitation":"[14]","plainCitation":"[14]","noteIndex":0},"citationItems":[{"id":300,"uris":["http://zotero.org/users/5054817/items/S3X3CHRN"],"itemData":{"id":300,"type":"article-journal","container-title":"Clinical Gastroenterology and Hepatology","DOI":"10.1016/j.cgh.2010.01.001","ISSN":"15423565","issue":"4","journalAbbreviation":"Clinical Gastroenterology and Hepatology","language":"en","page":"357-363","source":"DOI.org (Crossref)","title":"Correlation Between the Crohn's Disease Activity and Harvey–Bradshaw Indices in Assessing Crohn's Disease Severity","volume":"8","author":[{"family":"Vermeire","given":"Severine"},{"family":"Schreiber","given":"Stefan"},{"family":"Sandborn","given":"William J."},{"family":"Dubois","given":"Cécile"},{"family":"Rutgeerts","given":"Paul"}],"issued":{"date-parts":[["2010",4]]}}}],"schema":"https://github.com/citation-style-language/schema/raw/master/csl-citation.json"} </w:instrText>
      </w:r>
      <w:r w:rsidR="00763556">
        <w:fldChar w:fldCharType="separate"/>
      </w:r>
      <w:r w:rsidR="00C26218" w:rsidRPr="00C26218">
        <w:rPr>
          <w:rFonts w:ascii="Calibri" w:hAnsi="Calibri" w:cs="Calibri"/>
        </w:rPr>
        <w:t>[14]</w:t>
      </w:r>
      <w:r w:rsidR="00763556">
        <w:fldChar w:fldCharType="end"/>
      </w:r>
      <w:r w:rsidR="00B62CA7">
        <w:t xml:space="preserve">) </w:t>
      </w:r>
      <w:r w:rsidR="004E041F" w:rsidRPr="002A30E6">
        <w:t>and/</w:t>
      </w:r>
      <w:r w:rsidR="00463D84" w:rsidRPr="002A30E6">
        <w:t xml:space="preserve"> </w:t>
      </w:r>
      <w:r w:rsidR="004E041F" w:rsidRPr="002A30E6">
        <w:t>or a decline in IBD-Control score of ≥4 points</w:t>
      </w:r>
      <w:r w:rsidR="007C16C7" w:rsidRPr="002A30E6">
        <w:t xml:space="preserve"> compared to baseline</w:t>
      </w:r>
      <w:r w:rsidR="00D45629" w:rsidRPr="002A30E6">
        <w:t>.</w:t>
      </w:r>
      <w:r w:rsidR="00D613EE" w:rsidRPr="002A30E6">
        <w:t xml:space="preserve"> Secondary endpoints were to evaluate </w:t>
      </w:r>
      <w:r w:rsidR="00D45629" w:rsidRPr="002A30E6">
        <w:t xml:space="preserve">changes in </w:t>
      </w:r>
      <w:r w:rsidR="00D613EE" w:rsidRPr="002A30E6">
        <w:t xml:space="preserve">disease activity, medical treatment, immunogenicity, biochemical </w:t>
      </w:r>
      <w:proofErr w:type="gramStart"/>
      <w:r w:rsidR="00D613EE" w:rsidRPr="002A30E6">
        <w:t>markers</w:t>
      </w:r>
      <w:proofErr w:type="gramEnd"/>
      <w:r w:rsidR="00D613EE" w:rsidRPr="002A30E6">
        <w:t xml:space="preserve"> and safety.</w:t>
      </w:r>
      <w:r w:rsidR="001D4130" w:rsidRPr="002A30E6">
        <w:t xml:space="preserve"> </w:t>
      </w:r>
    </w:p>
    <w:p w14:paraId="1607114C" w14:textId="4E87182C" w:rsidR="00500B13" w:rsidRPr="002A30E6" w:rsidRDefault="00F116A3" w:rsidP="00F116A3">
      <w:pPr>
        <w:pStyle w:val="Heading3"/>
      </w:pPr>
      <w:bookmarkStart w:id="14" w:name="_Toc135163275"/>
      <w:r w:rsidRPr="002A30E6">
        <w:t>Statistic</w:t>
      </w:r>
      <w:r w:rsidR="00AB5765" w:rsidRPr="002A30E6">
        <w:t>al analysis</w:t>
      </w:r>
      <w:bookmarkEnd w:id="14"/>
    </w:p>
    <w:p w14:paraId="642F7E81" w14:textId="27C290F6" w:rsidR="00B62B8B" w:rsidRPr="002A30E6" w:rsidRDefault="003621E4" w:rsidP="00FE06AD">
      <w:r w:rsidRPr="002A30E6">
        <w:t xml:space="preserve">The </w:t>
      </w:r>
      <w:r w:rsidR="002507DF" w:rsidRPr="002A30E6">
        <w:t xml:space="preserve">apriori </w:t>
      </w:r>
      <w:r w:rsidRPr="002A30E6">
        <w:t>planned sample size of 150 patient</w:t>
      </w:r>
      <w:r w:rsidR="00D359BE" w:rsidRPr="002A30E6">
        <w:t>s</w:t>
      </w:r>
      <w:r w:rsidRPr="002A30E6">
        <w:t xml:space="preserve"> (75 per arm) was determined to provide 90% power to demonstrate </w:t>
      </w:r>
      <w:r w:rsidR="00882FA9" w:rsidRPr="002A30E6">
        <w:t>equivalence</w:t>
      </w:r>
      <w:r w:rsidRPr="002A30E6">
        <w:t xml:space="preserve"> </w:t>
      </w:r>
      <w:r w:rsidR="002119EB" w:rsidRPr="002A30E6">
        <w:t xml:space="preserve">of </w:t>
      </w:r>
      <w:r w:rsidR="00F94A00">
        <w:t>SB5</w:t>
      </w:r>
      <w:r w:rsidR="00D325D3" w:rsidRPr="002A30E6" w:rsidDel="00D325D3">
        <w:t xml:space="preserve"> </w:t>
      </w:r>
      <w:r w:rsidR="002119EB" w:rsidRPr="002A30E6">
        <w:t xml:space="preserve">to </w:t>
      </w:r>
      <w:r w:rsidR="007B5959" w:rsidRPr="002A30E6">
        <w:t>reference</w:t>
      </w:r>
      <w:r w:rsidR="002119EB" w:rsidRPr="002A30E6">
        <w:t xml:space="preserve"> adalimumab</w:t>
      </w:r>
      <w:r w:rsidR="00F57D34" w:rsidRPr="002A30E6">
        <w:t>. A</w:t>
      </w:r>
      <w:r w:rsidR="001420E0" w:rsidRPr="002A30E6">
        <w:t xml:space="preserve">n equivalence </w:t>
      </w:r>
      <w:r w:rsidR="00F57D34" w:rsidRPr="002A30E6">
        <w:t xml:space="preserve">margin of 15% and an </w:t>
      </w:r>
      <w:r w:rsidR="00F57D34" w:rsidRPr="002A30E6">
        <w:lastRenderedPageBreak/>
        <w:t xml:space="preserve">alpha error of 5% (2-sided) respective 2.5% (1-sided) were assumed. </w:t>
      </w:r>
      <w:r w:rsidR="002119EB" w:rsidRPr="002A30E6">
        <w:t>A range of values were used for the proportion of participants expected to maintain baseline clinical status and drop-out rate</w:t>
      </w:r>
      <w:r w:rsidR="002213B2" w:rsidRPr="002A30E6">
        <w:t xml:space="preserve">. </w:t>
      </w:r>
      <w:r w:rsidR="007F1BC5" w:rsidRPr="002A30E6">
        <w:t xml:space="preserve">The primary </w:t>
      </w:r>
      <w:r w:rsidR="0027581E" w:rsidRPr="002A30E6">
        <w:t>analysis population (per protocol population; PPS)</w:t>
      </w:r>
      <w:r w:rsidR="00057A1D" w:rsidRPr="002A30E6">
        <w:t xml:space="preserve"> </w:t>
      </w:r>
      <w:r w:rsidR="009B6F5D" w:rsidRPr="002A30E6">
        <w:t xml:space="preserve">included all subjects that were </w:t>
      </w:r>
      <w:r w:rsidR="00862D1F" w:rsidRPr="002A30E6">
        <w:t>randomi</w:t>
      </w:r>
      <w:r w:rsidR="00284A2F">
        <w:t>s</w:t>
      </w:r>
      <w:r w:rsidR="00862D1F" w:rsidRPr="002A30E6">
        <w:t>ed</w:t>
      </w:r>
      <w:r w:rsidR="009B6F5D" w:rsidRPr="002A30E6">
        <w:t xml:space="preserve">, </w:t>
      </w:r>
      <w:r w:rsidR="0075253B" w:rsidRPr="002A30E6">
        <w:t xml:space="preserve">known to have received </w:t>
      </w:r>
      <w:r w:rsidR="00D576E3" w:rsidRPr="002A30E6">
        <w:t xml:space="preserve">at least one dose of study medication and </w:t>
      </w:r>
      <w:r w:rsidR="00D50837" w:rsidRPr="002A30E6">
        <w:t>ha</w:t>
      </w:r>
      <w:r w:rsidR="00D90892" w:rsidRPr="002A30E6">
        <w:t>d</w:t>
      </w:r>
      <w:r w:rsidR="00D50837" w:rsidRPr="002A30E6">
        <w:t xml:space="preserve"> all relevant measurements to calculate the primary </w:t>
      </w:r>
      <w:r w:rsidR="00D90892" w:rsidRPr="002A30E6">
        <w:t>endpoint (</w:t>
      </w:r>
      <w:r w:rsidR="00F1079B" w:rsidRPr="002A30E6">
        <w:t>mHBI and IBD-Control at baseline</w:t>
      </w:r>
      <w:r w:rsidR="00706CC5" w:rsidRPr="002A30E6">
        <w:t>,</w:t>
      </w:r>
      <w:r w:rsidR="00F1079B" w:rsidRPr="002A30E6">
        <w:t xml:space="preserve"> week 24 and week 48)</w:t>
      </w:r>
      <w:r w:rsidR="0080548D" w:rsidRPr="002A30E6">
        <w:t xml:space="preserve">. </w:t>
      </w:r>
      <w:r w:rsidR="002D2C23" w:rsidRPr="002A30E6">
        <w:t>A secondary analysis population (full analysis population; FAS)</w:t>
      </w:r>
      <w:r w:rsidR="009F6201" w:rsidRPr="002A30E6">
        <w:t>,</w:t>
      </w:r>
      <w:r w:rsidR="002D2C23" w:rsidRPr="002A30E6">
        <w:t xml:space="preserve"> </w:t>
      </w:r>
      <w:r w:rsidR="00913B73" w:rsidRPr="002A30E6">
        <w:t>includ</w:t>
      </w:r>
      <w:r w:rsidR="000C0B9B" w:rsidRPr="002A30E6">
        <w:t>ed</w:t>
      </w:r>
      <w:r w:rsidR="00913B73" w:rsidRPr="002A30E6">
        <w:t xml:space="preserve"> all subjects who were </w:t>
      </w:r>
      <w:r w:rsidR="00862D1F" w:rsidRPr="002A30E6">
        <w:t>randomi</w:t>
      </w:r>
      <w:r w:rsidR="00284A2F">
        <w:t>s</w:t>
      </w:r>
      <w:r w:rsidR="00862D1F" w:rsidRPr="002A30E6">
        <w:t>ed</w:t>
      </w:r>
      <w:r w:rsidR="00913B73" w:rsidRPr="002A30E6">
        <w:t xml:space="preserve"> and known to have received at least one dose of study medication</w:t>
      </w:r>
      <w:r w:rsidR="009F6201" w:rsidRPr="002A30E6">
        <w:t>, was used to assess the robustness of the re</w:t>
      </w:r>
      <w:r w:rsidR="00B20FB4" w:rsidRPr="002A30E6">
        <w:t>sults</w:t>
      </w:r>
      <w:r w:rsidR="00803AD7" w:rsidRPr="002A30E6">
        <w:t xml:space="preserve"> as well as the analysis of </w:t>
      </w:r>
      <w:r w:rsidR="00104A96" w:rsidRPr="002A30E6">
        <w:t>s</w:t>
      </w:r>
      <w:r w:rsidR="00DD565E" w:rsidRPr="002A30E6">
        <w:t xml:space="preserve">afety </w:t>
      </w:r>
      <w:r w:rsidR="00E71425" w:rsidRPr="002A30E6">
        <w:t xml:space="preserve">and pharmacokinetic </w:t>
      </w:r>
      <w:r w:rsidR="00477E2E" w:rsidRPr="002A30E6">
        <w:t>data</w:t>
      </w:r>
      <w:r w:rsidR="00E71425" w:rsidRPr="002A30E6">
        <w:t>.</w:t>
      </w:r>
      <w:r w:rsidR="00E87982" w:rsidRPr="002A30E6">
        <w:t xml:space="preserve"> </w:t>
      </w:r>
      <w:r w:rsidR="007571B7" w:rsidRPr="002A30E6">
        <w:t xml:space="preserve">Longitudinal data </w:t>
      </w:r>
      <w:r w:rsidR="001D044E" w:rsidRPr="002A30E6">
        <w:t xml:space="preserve">were </w:t>
      </w:r>
      <w:r w:rsidR="001A6BA3" w:rsidRPr="002A30E6">
        <w:t>analy</w:t>
      </w:r>
      <w:r w:rsidR="00284A2F">
        <w:t>s</w:t>
      </w:r>
      <w:r w:rsidR="001A6BA3" w:rsidRPr="002A30E6">
        <w:t>ed</w:t>
      </w:r>
      <w:r w:rsidR="00890C17" w:rsidRPr="002A30E6">
        <w:t xml:space="preserve"> according to </w:t>
      </w:r>
      <w:r w:rsidR="006A7E0D" w:rsidRPr="002A30E6">
        <w:t xml:space="preserve">the current </w:t>
      </w:r>
      <w:r w:rsidR="00E43C63" w:rsidRPr="002A30E6">
        <w:t>adalimumab product</w:t>
      </w:r>
      <w:r w:rsidR="006A7E0D" w:rsidRPr="002A30E6">
        <w:t xml:space="preserve"> </w:t>
      </w:r>
      <w:r w:rsidR="000F1A8E" w:rsidRPr="002A30E6">
        <w:t>received at the specific visit.</w:t>
      </w:r>
      <w:r w:rsidR="000648EC" w:rsidRPr="002A30E6">
        <w:t xml:space="preserve"> </w:t>
      </w:r>
      <w:r w:rsidR="00206B0A" w:rsidRPr="002A30E6">
        <w:t>For continuous endpoints means</w:t>
      </w:r>
      <w:r w:rsidR="00E579F0" w:rsidRPr="002A30E6">
        <w:t>, standard deviation</w:t>
      </w:r>
      <w:r w:rsidR="00206B0A" w:rsidRPr="002A30E6">
        <w:t xml:space="preserve">, medians and range were </w:t>
      </w:r>
      <w:proofErr w:type="gramStart"/>
      <w:r w:rsidR="00206B0A" w:rsidRPr="002A30E6">
        <w:t>calculated</w:t>
      </w:r>
      <w:proofErr w:type="gramEnd"/>
      <w:r w:rsidR="00206B0A" w:rsidRPr="002A30E6">
        <w:t xml:space="preserve"> and categorical endpoints are presented as absolute (n) and relative (%) frequencies.</w:t>
      </w:r>
      <w:r w:rsidR="00C706EA" w:rsidRPr="002A30E6">
        <w:t xml:space="preserve"> </w:t>
      </w:r>
      <w:r w:rsidR="00FE06AD">
        <w:t>A mixed effects model, employing a logit link for binary outcomes and an identity link for continuous outcomes, was applied to discern the consistency of results throughout the trial period.</w:t>
      </w:r>
      <w:r w:rsidR="00781389">
        <w:t xml:space="preserve"> </w:t>
      </w:r>
      <w:r w:rsidR="0067195E">
        <w:t xml:space="preserve">Where a significant difference was identified, </w:t>
      </w:r>
      <w:r w:rsidR="0020582C">
        <w:t xml:space="preserve">a Wilcoxon test was </w:t>
      </w:r>
      <w:r w:rsidR="00B37200">
        <w:t>performed</w:t>
      </w:r>
      <w:r w:rsidR="0020582C">
        <w:t xml:space="preserve"> to compare </w:t>
      </w:r>
      <w:r w:rsidR="0067195E" w:rsidRPr="0067195E">
        <w:t>baseline and each subsequent visit, along with a direct comparison of the final visit for each treatment period.</w:t>
      </w:r>
      <w:r w:rsidR="008E28E8">
        <w:t xml:space="preserve"> </w:t>
      </w:r>
      <w:r w:rsidR="00D86A9A" w:rsidRPr="00D86A9A">
        <w:t>Minimal clinically important difference</w:t>
      </w:r>
      <w:r w:rsidR="00473CD2">
        <w:t xml:space="preserve"> (MCID)</w:t>
      </w:r>
      <w:r w:rsidR="00CC3C20">
        <w:t xml:space="preserve"> w</w:t>
      </w:r>
      <w:r w:rsidR="00473CD2">
        <w:t>as</w:t>
      </w:r>
      <w:r w:rsidR="00CC3C20">
        <w:t xml:space="preserve"> estimated as one half</w:t>
      </w:r>
      <w:r w:rsidR="00176E3B">
        <w:t xml:space="preserve"> of the standard deviation of the baseline values</w:t>
      </w:r>
      <w:r w:rsidR="00C45183">
        <w:t xml:space="preserve"> </w:t>
      </w:r>
      <w:r w:rsidR="00ED5B23">
        <w:fldChar w:fldCharType="begin"/>
      </w:r>
      <w:r w:rsidR="00C26218">
        <w:instrText xml:space="preserve"> ADDIN ZOTERO_ITEM CSL_CITATION {"citationID":"S6plrGRC","properties":{"formattedCitation":"[15]","plainCitation":"[15]","noteIndex":0},"citationItems":[{"id":862,"uris":["http://zotero.org/users/5054817/items/KCLCNYXQ"],"itemData":{"id":862,"type":"article-journal","container-title":"Medical Care","DOI":"10.1097/01.MLR.0000062554.74615.4C","ISSN":"0025-7079","issue":"5","journalAbbreviation":"Medical Care","language":"en","page":"582-592","source":"DOI.org (Crossref)","title":"Interpretation of Changes in Health-related Quality of Life: The Remarkable Universality of Half a Standard Deviation","title-short":"Interpretation of Changes in Health-related Quality of Life","volume":"41","author":[{"family":"Norman","given":"Geoffrey R."},{"family":"Sloan","given":"Jeff A."},{"family":"Wyrwich","given":"Kathleen W."}],"issued":{"date-parts":[["2003",5]]}}}],"schema":"https://github.com/citation-style-language/schema/raw/master/csl-citation.json"} </w:instrText>
      </w:r>
      <w:r w:rsidR="00ED5B23">
        <w:fldChar w:fldCharType="separate"/>
      </w:r>
      <w:r w:rsidR="00C26218" w:rsidRPr="00C26218">
        <w:rPr>
          <w:rFonts w:ascii="Calibri" w:hAnsi="Calibri" w:cs="Calibri"/>
        </w:rPr>
        <w:t>[15]</w:t>
      </w:r>
      <w:r w:rsidR="00ED5B23">
        <w:fldChar w:fldCharType="end"/>
      </w:r>
      <w:r w:rsidR="00176E3B">
        <w:t>.</w:t>
      </w:r>
      <w:r w:rsidR="000C44C9">
        <w:t xml:space="preserve"> </w:t>
      </w:r>
      <w:r w:rsidR="00B62B8B" w:rsidRPr="002A30E6">
        <w:t>Statistical analyses were conducted using SAS software, version</w:t>
      </w:r>
      <w:r w:rsidR="002B1342" w:rsidRPr="002A30E6">
        <w:t xml:space="preserve"> </w:t>
      </w:r>
      <w:r w:rsidR="00E87982" w:rsidRPr="002A30E6">
        <w:t>9.4</w:t>
      </w:r>
      <w:r w:rsidR="00B62B8B" w:rsidRPr="002A30E6">
        <w:t xml:space="preserve"> (SAS Institute Inc</w:t>
      </w:r>
      <w:r w:rsidR="00927C53" w:rsidRPr="002A30E6">
        <w:t>.</w:t>
      </w:r>
      <w:r w:rsidR="00B62B8B" w:rsidRPr="002A30E6">
        <w:t>, Cary, NC).</w:t>
      </w:r>
    </w:p>
    <w:p w14:paraId="64A9EA20" w14:textId="08767940" w:rsidR="00910173" w:rsidRPr="002A30E6" w:rsidRDefault="00910173" w:rsidP="00910173">
      <w:pPr>
        <w:pStyle w:val="Heading2"/>
      </w:pPr>
      <w:bookmarkStart w:id="15" w:name="_Toc135163276"/>
      <w:r w:rsidRPr="002A30E6">
        <w:t>Results</w:t>
      </w:r>
      <w:bookmarkEnd w:id="15"/>
    </w:p>
    <w:p w14:paraId="2080CE49" w14:textId="6FFEB38D" w:rsidR="00910173" w:rsidRPr="002A30E6" w:rsidRDefault="00910173" w:rsidP="00910173">
      <w:pPr>
        <w:pStyle w:val="Heading3"/>
      </w:pPr>
      <w:bookmarkStart w:id="16" w:name="_Toc135163277"/>
      <w:r w:rsidRPr="002A30E6">
        <w:t>Patient characteristics</w:t>
      </w:r>
      <w:bookmarkEnd w:id="16"/>
      <w:r w:rsidRPr="002A30E6">
        <w:t xml:space="preserve"> </w:t>
      </w:r>
    </w:p>
    <w:p w14:paraId="72805EE7" w14:textId="3A4DD43D" w:rsidR="00F71796" w:rsidRPr="002A30E6" w:rsidRDefault="002F1F1A">
      <w:r>
        <w:t xml:space="preserve">Overall, </w:t>
      </w:r>
      <w:r w:rsidR="00501DB0" w:rsidRPr="002A30E6">
        <w:t xml:space="preserve">318 patients prescribed adalimumab </w:t>
      </w:r>
      <w:r w:rsidR="00703C78" w:rsidRPr="002A30E6">
        <w:t xml:space="preserve">as routine clinical care at UHS </w:t>
      </w:r>
      <w:r w:rsidR="00501DB0" w:rsidRPr="002A30E6">
        <w:t xml:space="preserve">were </w:t>
      </w:r>
      <w:r w:rsidR="004B2227" w:rsidRPr="002A30E6">
        <w:t>pre-</w:t>
      </w:r>
      <w:r w:rsidR="001A64AB" w:rsidRPr="002A30E6">
        <w:t xml:space="preserve">screened with </w:t>
      </w:r>
      <w:r w:rsidR="004B2227" w:rsidRPr="002A30E6">
        <w:t>97 not meeting the eligibility criteria</w:t>
      </w:r>
      <w:r w:rsidR="00321D8D" w:rsidRPr="002A30E6">
        <w:t xml:space="preserve">, </w:t>
      </w:r>
      <w:r w:rsidR="007644C7" w:rsidRPr="002A30E6">
        <w:t xml:space="preserve">most commonly due to discontinuation of </w:t>
      </w:r>
      <w:r w:rsidR="00A77C9F" w:rsidRPr="002A30E6">
        <w:t>adalimumab</w:t>
      </w:r>
      <w:r w:rsidR="007B5959" w:rsidRPr="002A30E6">
        <w:t xml:space="preserve"> or a plan to do so</w:t>
      </w:r>
      <w:r w:rsidR="00703C78" w:rsidRPr="002A30E6">
        <w:t>.</w:t>
      </w:r>
      <w:r w:rsidR="00501DB0" w:rsidRPr="002A30E6">
        <w:t xml:space="preserve"> </w:t>
      </w:r>
      <w:r w:rsidR="00961A7D" w:rsidRPr="002A30E6">
        <w:t xml:space="preserve">A </w:t>
      </w:r>
      <w:r w:rsidR="009D13CA" w:rsidRPr="002A30E6">
        <w:t xml:space="preserve">total of </w:t>
      </w:r>
      <w:r w:rsidR="00F71796" w:rsidRPr="002A30E6">
        <w:t xml:space="preserve">112 participants </w:t>
      </w:r>
      <w:r w:rsidR="00961A7D" w:rsidRPr="002A30E6">
        <w:t xml:space="preserve">were enrolled </w:t>
      </w:r>
      <w:r w:rsidR="000624D4" w:rsidRPr="002A30E6">
        <w:t>(</w:t>
      </w:r>
      <w:r w:rsidR="00666E83" w:rsidRPr="002A30E6">
        <w:t>CO</w:t>
      </w:r>
      <w:r w:rsidR="00757085" w:rsidRPr="002A30E6">
        <w:t xml:space="preserve">NSORT diagram </w:t>
      </w:r>
      <w:r w:rsidR="004049C2" w:rsidRPr="002A30E6">
        <w:t xml:space="preserve">shown in </w:t>
      </w:r>
      <w:r w:rsidR="007A6019" w:rsidRPr="002A30E6">
        <w:t xml:space="preserve">Figure </w:t>
      </w:r>
      <w:r w:rsidR="008B4236">
        <w:t>1</w:t>
      </w:r>
      <w:r w:rsidR="000624D4" w:rsidRPr="002A30E6">
        <w:t>)</w:t>
      </w:r>
      <w:r w:rsidR="00B747B3" w:rsidRPr="002A30E6">
        <w:t xml:space="preserve"> and</w:t>
      </w:r>
      <w:r w:rsidR="00DA2B55" w:rsidRPr="002A30E6">
        <w:t xml:space="preserve"> </w:t>
      </w:r>
      <w:r w:rsidR="00A441E8" w:rsidRPr="002A30E6">
        <w:t>94</w:t>
      </w:r>
      <w:r w:rsidR="00C23973" w:rsidRPr="002A30E6">
        <w:t xml:space="preserve"> </w:t>
      </w:r>
      <w:r w:rsidR="00A441E8" w:rsidRPr="002A30E6">
        <w:t xml:space="preserve">participants </w:t>
      </w:r>
      <w:r w:rsidR="00162831" w:rsidRPr="002A30E6">
        <w:t xml:space="preserve">(83.9%) </w:t>
      </w:r>
      <w:r w:rsidR="00A441E8" w:rsidRPr="002A30E6">
        <w:t xml:space="preserve">completed the full </w:t>
      </w:r>
      <w:proofErr w:type="gramStart"/>
      <w:r w:rsidR="00A441E8" w:rsidRPr="002A30E6">
        <w:t>48 week</w:t>
      </w:r>
      <w:proofErr w:type="gramEnd"/>
      <w:r w:rsidR="00B747B3" w:rsidRPr="002A30E6">
        <w:t xml:space="preserve"> trial</w:t>
      </w:r>
      <w:r w:rsidR="000624D4" w:rsidRPr="002A30E6">
        <w:t xml:space="preserve">. </w:t>
      </w:r>
      <w:r w:rsidR="004C259A" w:rsidRPr="002A30E6">
        <w:t xml:space="preserve">No </w:t>
      </w:r>
      <w:r w:rsidR="00DD4A07" w:rsidRPr="002A30E6">
        <w:t xml:space="preserve">evidence </w:t>
      </w:r>
      <w:r w:rsidR="004C259A" w:rsidRPr="002A30E6">
        <w:t xml:space="preserve">of dose administration was </w:t>
      </w:r>
      <w:r w:rsidR="00DD4A07" w:rsidRPr="002A30E6">
        <w:t xml:space="preserve">recorded for </w:t>
      </w:r>
      <w:r w:rsidR="00F04990" w:rsidRPr="002A30E6">
        <w:t xml:space="preserve">three </w:t>
      </w:r>
      <w:r w:rsidR="004133C1" w:rsidRPr="002A30E6">
        <w:t xml:space="preserve">participants </w:t>
      </w:r>
      <w:r w:rsidR="00C94F08" w:rsidRPr="002A30E6">
        <w:t xml:space="preserve">(one lost to follow-up and two withdrew consent </w:t>
      </w:r>
      <w:r w:rsidR="002A789F" w:rsidRPr="002A30E6">
        <w:t xml:space="preserve">to participate </w:t>
      </w:r>
      <w:r w:rsidR="002A789F" w:rsidRPr="002A30E6">
        <w:lastRenderedPageBreak/>
        <w:t>before the week 12 visit</w:t>
      </w:r>
      <w:r w:rsidR="00C94F08" w:rsidRPr="002A30E6">
        <w:t>)</w:t>
      </w:r>
      <w:r w:rsidR="00D71B92" w:rsidRPr="002A30E6">
        <w:t xml:space="preserve"> who</w:t>
      </w:r>
      <w:r w:rsidR="00DD4A07" w:rsidRPr="002A30E6">
        <w:t xml:space="preserve"> were excluded from the FAS</w:t>
      </w:r>
      <w:r w:rsidR="004133C1" w:rsidRPr="002A30E6">
        <w:t xml:space="preserve">. </w:t>
      </w:r>
      <w:r w:rsidR="00096135" w:rsidRPr="002A30E6">
        <w:t>Six</w:t>
      </w:r>
      <w:r w:rsidR="000624D4" w:rsidRPr="002A30E6">
        <w:t xml:space="preserve"> participants were excluded from the </w:t>
      </w:r>
      <w:r w:rsidR="009422FC" w:rsidRPr="002A30E6">
        <w:t xml:space="preserve">final </w:t>
      </w:r>
      <w:r w:rsidR="000624D4" w:rsidRPr="002A30E6">
        <w:t xml:space="preserve">analysis </w:t>
      </w:r>
      <w:r w:rsidR="00EE1F63" w:rsidRPr="002A30E6">
        <w:t>due to incomplete data (</w:t>
      </w:r>
      <w:r w:rsidR="00A121EB" w:rsidRPr="002A30E6">
        <w:t xml:space="preserve">three </w:t>
      </w:r>
      <w:r w:rsidR="00EE1F63" w:rsidRPr="002A30E6">
        <w:t xml:space="preserve">with a stoma making the mHBI </w:t>
      </w:r>
      <w:r w:rsidR="00412A81" w:rsidRPr="002A30E6">
        <w:t xml:space="preserve">unsuitable and </w:t>
      </w:r>
      <w:r w:rsidR="00E806F4" w:rsidRPr="002A30E6">
        <w:t xml:space="preserve">three </w:t>
      </w:r>
      <w:r w:rsidR="00412A81" w:rsidRPr="002A30E6">
        <w:t xml:space="preserve">with </w:t>
      </w:r>
      <w:r w:rsidR="009422FC" w:rsidRPr="002A30E6">
        <w:t>missing components on the IBD-Control</w:t>
      </w:r>
      <w:r w:rsidR="00EE1F63" w:rsidRPr="002A30E6">
        <w:t>)</w:t>
      </w:r>
      <w:r w:rsidR="004A79C3" w:rsidRPr="002A30E6">
        <w:t xml:space="preserve">. </w:t>
      </w:r>
      <w:r w:rsidR="00096135" w:rsidRPr="002A30E6">
        <w:t xml:space="preserve">Patient </w:t>
      </w:r>
      <w:r w:rsidR="00C22D1A" w:rsidRPr="002A30E6">
        <w:t xml:space="preserve">demographics and clinical characteristics </w:t>
      </w:r>
      <w:r w:rsidR="00F93AD2" w:rsidRPr="002A30E6">
        <w:t>were similar in both groups (</w:t>
      </w:r>
      <w:r w:rsidR="004B01EF" w:rsidRPr="002A30E6">
        <w:t>Table 1</w:t>
      </w:r>
      <w:r w:rsidR="00F93AD2" w:rsidRPr="002A30E6">
        <w:t>).</w:t>
      </w:r>
      <w:r w:rsidR="00794D3F" w:rsidRPr="002A30E6">
        <w:t xml:space="preserve"> </w:t>
      </w:r>
      <w:r w:rsidR="00272F62" w:rsidRPr="002A30E6">
        <w:t xml:space="preserve">Compared to patients pre-treated with </w:t>
      </w:r>
      <w:r w:rsidR="007B5959" w:rsidRPr="002A30E6">
        <w:t>reference</w:t>
      </w:r>
      <w:r w:rsidR="00272F62" w:rsidRPr="002A30E6">
        <w:t xml:space="preserve"> adalimumab, those prescribed </w:t>
      </w:r>
      <w:r w:rsidR="00F94A00">
        <w:t>SB5</w:t>
      </w:r>
      <w:r w:rsidR="00F3441B" w:rsidRPr="002A30E6">
        <w:t xml:space="preserve"> </w:t>
      </w:r>
      <w:r w:rsidR="006F5803" w:rsidRPr="002A30E6">
        <w:t xml:space="preserve">had similar characteristics, except for being </w:t>
      </w:r>
      <w:r w:rsidR="00333A01" w:rsidRPr="002A30E6">
        <w:t>earlier</w:t>
      </w:r>
      <w:r w:rsidR="00C91902" w:rsidRPr="002A30E6">
        <w:t xml:space="preserve"> in their</w:t>
      </w:r>
      <w:r w:rsidR="00333A01" w:rsidRPr="002A30E6">
        <w:t xml:space="preserve"> </w:t>
      </w:r>
      <w:r w:rsidR="004B493A" w:rsidRPr="002A30E6">
        <w:t>disease course</w:t>
      </w:r>
      <w:r w:rsidR="00C91902" w:rsidRPr="002A30E6">
        <w:t xml:space="preserve"> (median </w:t>
      </w:r>
      <w:r w:rsidR="00580036" w:rsidRPr="002A30E6">
        <w:t>disease duration 2 versus 10 years)</w:t>
      </w:r>
      <w:r w:rsidR="00232560" w:rsidRPr="002A30E6">
        <w:t xml:space="preserve"> </w:t>
      </w:r>
      <w:r w:rsidR="006F5803" w:rsidRPr="002A30E6">
        <w:t xml:space="preserve">and </w:t>
      </w:r>
      <w:r w:rsidR="00232560" w:rsidRPr="002A30E6">
        <w:t xml:space="preserve">with </w:t>
      </w:r>
      <w:r w:rsidR="0032098A" w:rsidRPr="002A30E6">
        <w:t>fewer participant</w:t>
      </w:r>
      <w:r w:rsidR="00B028FD" w:rsidRPr="002A30E6">
        <w:t>s</w:t>
      </w:r>
      <w:r w:rsidR="0032098A" w:rsidRPr="002A30E6">
        <w:t xml:space="preserve"> </w:t>
      </w:r>
      <w:r w:rsidR="00B028FD" w:rsidRPr="002A30E6">
        <w:t xml:space="preserve">having </w:t>
      </w:r>
      <w:r w:rsidR="0032098A" w:rsidRPr="002A30E6">
        <w:t xml:space="preserve">a </w:t>
      </w:r>
      <w:r w:rsidR="00232560" w:rsidRPr="002A30E6">
        <w:t>severe</w:t>
      </w:r>
      <w:r w:rsidR="00A37EB3" w:rsidRPr="002A30E6">
        <w:t xml:space="preserve"> </w:t>
      </w:r>
      <w:r w:rsidR="00BA4C0A" w:rsidRPr="002A30E6">
        <w:t xml:space="preserve">(stricturing or </w:t>
      </w:r>
      <w:r w:rsidR="001A6BA3" w:rsidRPr="002A30E6">
        <w:t>fistuli</w:t>
      </w:r>
      <w:r w:rsidR="00284A2F">
        <w:t>s</w:t>
      </w:r>
      <w:r w:rsidR="001A6BA3" w:rsidRPr="002A30E6">
        <w:t>ing</w:t>
      </w:r>
      <w:r w:rsidR="00BA4C0A" w:rsidRPr="002A30E6">
        <w:t xml:space="preserve">) </w:t>
      </w:r>
      <w:r w:rsidR="00E65147" w:rsidRPr="002A30E6">
        <w:t>phenotype</w:t>
      </w:r>
      <w:r w:rsidR="004A79C3" w:rsidRPr="002A30E6">
        <w:t xml:space="preserve"> </w:t>
      </w:r>
      <w:r w:rsidR="00E65147" w:rsidRPr="002A30E6">
        <w:t>(</w:t>
      </w:r>
      <w:r w:rsidR="004B01EF" w:rsidRPr="002A30E6">
        <w:t>Supplementary Table 1</w:t>
      </w:r>
      <w:r w:rsidR="00E65147" w:rsidRPr="002A30E6">
        <w:t>)</w:t>
      </w:r>
      <w:r w:rsidR="004B493A" w:rsidRPr="002A30E6">
        <w:t>.</w:t>
      </w:r>
      <w:r w:rsidR="00534F41" w:rsidRPr="002A30E6">
        <w:t xml:space="preserve"> </w:t>
      </w:r>
    </w:p>
    <w:p w14:paraId="1651F573" w14:textId="094152F5" w:rsidR="00516E6B" w:rsidRPr="002A30E6" w:rsidRDefault="00353E71" w:rsidP="00353E71">
      <w:pPr>
        <w:pStyle w:val="Heading3"/>
      </w:pPr>
      <w:bookmarkStart w:id="17" w:name="_Toc135163278"/>
      <w:r w:rsidRPr="002A30E6">
        <w:t>Cl</w:t>
      </w:r>
      <w:r w:rsidR="00516E6B" w:rsidRPr="002A30E6">
        <w:t>inical efficacy</w:t>
      </w:r>
      <w:bookmarkEnd w:id="17"/>
    </w:p>
    <w:p w14:paraId="3D28B711" w14:textId="5135E44E" w:rsidR="00516E6B" w:rsidRPr="002A30E6" w:rsidRDefault="007F09CE">
      <w:r w:rsidRPr="002A30E6">
        <w:t>T</w:t>
      </w:r>
      <w:r w:rsidR="002C2530" w:rsidRPr="002A30E6">
        <w:t xml:space="preserve">he primary endpoint of maintaining </w:t>
      </w:r>
      <w:r w:rsidR="00463CC1" w:rsidRPr="002A30E6">
        <w:t xml:space="preserve">baseline clinical status </w:t>
      </w:r>
      <w:r w:rsidR="00DF0924" w:rsidRPr="002A30E6">
        <w:t xml:space="preserve">following 24 weeks treatment </w:t>
      </w:r>
      <w:r w:rsidR="007D50A5" w:rsidRPr="002A30E6">
        <w:t xml:space="preserve">with each </w:t>
      </w:r>
      <w:r w:rsidR="00E43C63" w:rsidRPr="002A30E6">
        <w:t>product</w:t>
      </w:r>
      <w:r w:rsidRPr="002A30E6">
        <w:t xml:space="preserve"> was </w:t>
      </w:r>
      <w:r w:rsidR="00E252EE" w:rsidRPr="002A30E6">
        <w:t>achieved by a similar proportion of participants</w:t>
      </w:r>
      <w:r w:rsidR="00A3591A" w:rsidRPr="002A30E6">
        <w:t xml:space="preserve">: </w:t>
      </w:r>
      <w:r w:rsidR="00B20C7A" w:rsidRPr="002A30E6">
        <w:t>72 (</w:t>
      </w:r>
      <w:r w:rsidR="00416D09" w:rsidRPr="002A30E6">
        <w:t>81.8</w:t>
      </w:r>
      <w:r w:rsidR="00DF0924" w:rsidRPr="002A30E6">
        <w:t>%</w:t>
      </w:r>
      <w:r w:rsidR="00B20C7A" w:rsidRPr="002A30E6">
        <w:t>)</w:t>
      </w:r>
      <w:r w:rsidR="00DF0924" w:rsidRPr="002A30E6">
        <w:t xml:space="preserve"> with </w:t>
      </w:r>
      <w:r w:rsidR="007B5959" w:rsidRPr="002A30E6">
        <w:t>reference</w:t>
      </w:r>
      <w:r w:rsidR="00DF0924" w:rsidRPr="002A30E6">
        <w:t xml:space="preserve"> adalimumab and </w:t>
      </w:r>
      <w:r w:rsidR="008F243A" w:rsidRPr="002A30E6">
        <w:t>70 (</w:t>
      </w:r>
      <w:r w:rsidR="00416D09" w:rsidRPr="002A30E6">
        <w:t>79.5%</w:t>
      </w:r>
      <w:r w:rsidR="008F243A" w:rsidRPr="002A30E6">
        <w:t>)</w:t>
      </w:r>
      <w:r w:rsidR="00DA2916" w:rsidRPr="002A30E6">
        <w:t xml:space="preserve"> with </w:t>
      </w:r>
      <w:r w:rsidR="00F94A00">
        <w:t>SB5</w:t>
      </w:r>
      <w:r w:rsidR="00FF5038">
        <w:t xml:space="preserve"> (p=0.6</w:t>
      </w:r>
      <w:r w:rsidR="00B63E6D">
        <w:t>9</w:t>
      </w:r>
      <w:r w:rsidR="00FF5038">
        <w:t>)</w:t>
      </w:r>
      <w:r w:rsidR="00DA2916" w:rsidRPr="002A30E6">
        <w:t>.</w:t>
      </w:r>
      <w:r w:rsidR="007E1616" w:rsidRPr="002A30E6">
        <w:t xml:space="preserve"> </w:t>
      </w:r>
      <w:r w:rsidR="0096282B">
        <w:t xml:space="preserve">Scores from the </w:t>
      </w:r>
      <w:r w:rsidR="00036FCC" w:rsidRPr="002A30E6">
        <w:t xml:space="preserve">mHBI </w:t>
      </w:r>
      <w:r w:rsidR="00315AF2">
        <w:t>(</w:t>
      </w:r>
      <w:r w:rsidR="004B01EF" w:rsidRPr="002A30E6">
        <w:t>Supplementary Table 2</w:t>
      </w:r>
      <w:r w:rsidR="00036FCC" w:rsidRPr="002A30E6">
        <w:t>)</w:t>
      </w:r>
      <w:r w:rsidR="0062565C" w:rsidRPr="002A30E6">
        <w:t xml:space="preserve"> and </w:t>
      </w:r>
      <w:r w:rsidR="00A62F73" w:rsidRPr="002A30E6">
        <w:t>biochemical measures (</w:t>
      </w:r>
      <w:r w:rsidR="004B01EF" w:rsidRPr="002A30E6">
        <w:t>Supplementary Table 3</w:t>
      </w:r>
      <w:r w:rsidR="00A62F73" w:rsidRPr="002A30E6">
        <w:t>)</w:t>
      </w:r>
      <w:r w:rsidR="00036FCC" w:rsidRPr="002A30E6">
        <w:t xml:space="preserve"> </w:t>
      </w:r>
      <w:r w:rsidR="00726875" w:rsidRPr="002A30E6">
        <w:t>were also</w:t>
      </w:r>
      <w:r w:rsidR="00036FCC" w:rsidRPr="002A30E6">
        <w:t xml:space="preserve"> consistent across </w:t>
      </w:r>
      <w:r w:rsidR="00AD4D8B" w:rsidRPr="002A30E6">
        <w:t xml:space="preserve">both </w:t>
      </w:r>
      <w:r w:rsidR="007B5959" w:rsidRPr="002A30E6">
        <w:t>reference</w:t>
      </w:r>
      <w:r w:rsidR="00AD4D8B" w:rsidRPr="002A30E6">
        <w:t xml:space="preserve"> adalimumab and </w:t>
      </w:r>
      <w:r w:rsidR="00F94A00">
        <w:t>SB5</w:t>
      </w:r>
      <w:r w:rsidR="00F3441B" w:rsidRPr="002A30E6">
        <w:t xml:space="preserve"> </w:t>
      </w:r>
      <w:r w:rsidR="00465976" w:rsidRPr="002A30E6">
        <w:t>for the whole trial period.</w:t>
      </w:r>
      <w:r w:rsidR="00786A85">
        <w:t xml:space="preserve"> </w:t>
      </w:r>
      <w:r w:rsidR="00346768">
        <w:t>After accounting for the baseline values across the whole treatment period, a</w:t>
      </w:r>
      <w:r w:rsidR="006C180A">
        <w:t xml:space="preserve"> significant difference was identified </w:t>
      </w:r>
      <w:r w:rsidR="00D66C7A">
        <w:t xml:space="preserve">in PRO-2 scores </w:t>
      </w:r>
      <w:r w:rsidR="008B45ED">
        <w:t xml:space="preserve">between </w:t>
      </w:r>
      <w:r w:rsidR="00935BFF">
        <w:t>reference adalimumab and SB5</w:t>
      </w:r>
      <w:r w:rsidR="008B45ED">
        <w:t xml:space="preserve"> </w:t>
      </w:r>
      <w:r w:rsidR="00D66C7A">
        <w:t>(</w:t>
      </w:r>
      <w:r w:rsidR="00F742B1">
        <w:t>p=0.0</w:t>
      </w:r>
      <w:r w:rsidR="00542CD5">
        <w:t>4</w:t>
      </w:r>
      <w:r w:rsidR="00D66C7A">
        <w:t>)</w:t>
      </w:r>
      <w:r w:rsidR="00C46424">
        <w:t xml:space="preserve">. The numerical difference was not clinically relevant and </w:t>
      </w:r>
      <w:r w:rsidR="00F639A6">
        <w:t xml:space="preserve">there was no discernible difference between the two products </w:t>
      </w:r>
      <w:r w:rsidR="00056884">
        <w:t xml:space="preserve">when scores were compared at the end of each </w:t>
      </w:r>
      <w:r w:rsidR="00E34E71">
        <w:t>treatment period</w:t>
      </w:r>
      <w:r w:rsidR="00085363">
        <w:t xml:space="preserve"> (p=</w:t>
      </w:r>
      <w:r w:rsidR="00DE7F6A">
        <w:t>0.55).</w:t>
      </w:r>
    </w:p>
    <w:p w14:paraId="15406516" w14:textId="40F5616A" w:rsidR="00516E6B" w:rsidRPr="002A30E6" w:rsidRDefault="008B77AB" w:rsidP="008B77AB">
      <w:pPr>
        <w:pStyle w:val="Heading3"/>
      </w:pPr>
      <w:bookmarkStart w:id="18" w:name="_Toc135163279"/>
      <w:r w:rsidRPr="002A30E6">
        <w:t xml:space="preserve">Patient </w:t>
      </w:r>
      <w:r w:rsidR="006434A0" w:rsidRPr="002A30E6">
        <w:t xml:space="preserve">reported </w:t>
      </w:r>
      <w:proofErr w:type="gramStart"/>
      <w:r w:rsidR="006434A0" w:rsidRPr="002A30E6">
        <w:t>outcomes</w:t>
      </w:r>
      <w:bookmarkEnd w:id="18"/>
      <w:proofErr w:type="gramEnd"/>
    </w:p>
    <w:p w14:paraId="7B1E5F11" w14:textId="3B12E573" w:rsidR="00314CA4" w:rsidRPr="002A30E6" w:rsidRDefault="00293267" w:rsidP="00833D17">
      <w:r w:rsidRPr="002A30E6">
        <w:t xml:space="preserve">IBD-Control scores </w:t>
      </w:r>
      <w:r w:rsidR="00E934AE" w:rsidRPr="002A30E6">
        <w:t>at baseline</w:t>
      </w:r>
      <w:r w:rsidRPr="002A30E6">
        <w:t xml:space="preserve"> (</w:t>
      </w:r>
      <w:r w:rsidR="004E29D6" w:rsidRPr="002A30E6">
        <w:t>14 and 88 respectively for the IBD</w:t>
      </w:r>
      <w:r w:rsidR="00817F28" w:rsidRPr="002A30E6">
        <w:t>-</w:t>
      </w:r>
      <w:r w:rsidR="004E29D6" w:rsidRPr="002A30E6">
        <w:t>Control-8 and IBD-Control-VAS respectively</w:t>
      </w:r>
      <w:r w:rsidRPr="002A30E6">
        <w:t xml:space="preserve">) </w:t>
      </w:r>
      <w:r w:rsidR="00E934AE" w:rsidRPr="002A30E6">
        <w:t xml:space="preserve">and the end of </w:t>
      </w:r>
      <w:r w:rsidR="00D56FA3" w:rsidRPr="002A30E6">
        <w:t>each treatmen</w:t>
      </w:r>
      <w:r w:rsidRPr="002A30E6">
        <w:t>t p</w:t>
      </w:r>
      <w:r w:rsidR="003C1616" w:rsidRPr="002A30E6">
        <w:t>hase</w:t>
      </w:r>
      <w:r w:rsidR="00730663" w:rsidRPr="002A30E6">
        <w:t xml:space="preserve"> </w:t>
      </w:r>
      <w:r w:rsidR="00D56FA3" w:rsidRPr="002A30E6">
        <w:t>were</w:t>
      </w:r>
      <w:r w:rsidR="004859B8" w:rsidRPr="002A30E6">
        <w:t xml:space="preserve"> very</w:t>
      </w:r>
      <w:r w:rsidR="00D56FA3" w:rsidRPr="002A30E6">
        <w:t xml:space="preserve"> similar </w:t>
      </w:r>
      <w:r w:rsidR="00730663" w:rsidRPr="002A30E6">
        <w:t>(</w:t>
      </w:r>
      <w:r w:rsidR="001F1810" w:rsidRPr="002A30E6">
        <w:t xml:space="preserve">Figure </w:t>
      </w:r>
      <w:r w:rsidR="008A5713">
        <w:t>2</w:t>
      </w:r>
      <w:r w:rsidR="00730663" w:rsidRPr="002A30E6">
        <w:t>)</w:t>
      </w:r>
      <w:r w:rsidRPr="002A30E6">
        <w:t xml:space="preserve">: </w:t>
      </w:r>
      <w:r w:rsidR="00817F28" w:rsidRPr="002A30E6">
        <w:t xml:space="preserve">15 and 86.5 </w:t>
      </w:r>
      <w:r w:rsidR="00D0678A" w:rsidRPr="002A30E6">
        <w:t xml:space="preserve">respectively for </w:t>
      </w:r>
      <w:r w:rsidR="007B5959" w:rsidRPr="002A30E6">
        <w:t>reference</w:t>
      </w:r>
      <w:r w:rsidR="00D0678A" w:rsidRPr="002A30E6">
        <w:t xml:space="preserve"> adalimumab and 15.5 and 83.5 respectively for </w:t>
      </w:r>
      <w:r w:rsidR="00F94A00">
        <w:t>SB5</w:t>
      </w:r>
      <w:r w:rsidR="00A32CE5">
        <w:t xml:space="preserve"> (</w:t>
      </w:r>
      <w:r w:rsidR="00841A6D">
        <w:t>p=0.4</w:t>
      </w:r>
      <w:r w:rsidR="000568E8">
        <w:t>6</w:t>
      </w:r>
      <w:r w:rsidR="00841A6D">
        <w:t xml:space="preserve"> </w:t>
      </w:r>
      <w:r w:rsidR="00E23701">
        <w:t xml:space="preserve">and </w:t>
      </w:r>
      <w:r w:rsidR="007B553C">
        <w:t>p=0.07 respectively</w:t>
      </w:r>
      <w:r w:rsidR="00841A6D">
        <w:t>)</w:t>
      </w:r>
      <w:r w:rsidR="00D0678A" w:rsidRPr="002A30E6">
        <w:t>.</w:t>
      </w:r>
      <w:r w:rsidR="00AD36F5" w:rsidRPr="002A30E6">
        <w:t xml:space="preserve"> Fatigue</w:t>
      </w:r>
      <w:r w:rsidR="003272E7" w:rsidRPr="002A30E6">
        <w:t>,</w:t>
      </w:r>
      <w:r w:rsidR="00AD36F5" w:rsidRPr="002A30E6">
        <w:t xml:space="preserve"> </w:t>
      </w:r>
      <w:r w:rsidR="00452118" w:rsidRPr="002A30E6">
        <w:t>pain</w:t>
      </w:r>
      <w:r w:rsidR="003272E7" w:rsidRPr="002A30E6">
        <w:t xml:space="preserve"> and waking at night </w:t>
      </w:r>
      <w:r w:rsidR="00D8520C" w:rsidRPr="002A30E6">
        <w:t>with CD symptoms</w:t>
      </w:r>
      <w:r w:rsidR="00452118" w:rsidRPr="002A30E6">
        <w:t xml:space="preserve"> were commonly reported</w:t>
      </w:r>
      <w:r w:rsidR="00581FED" w:rsidRPr="002A30E6">
        <w:t xml:space="preserve">: </w:t>
      </w:r>
      <w:r w:rsidR="00AD4AC9" w:rsidRPr="002A30E6">
        <w:t>75% (82/109)</w:t>
      </w:r>
      <w:r w:rsidR="00D8520C" w:rsidRPr="002A30E6">
        <w:t xml:space="preserve">, </w:t>
      </w:r>
      <w:r w:rsidR="00E07E5E" w:rsidRPr="002A30E6">
        <w:t>62% (</w:t>
      </w:r>
      <w:r w:rsidR="00410EF8" w:rsidRPr="002A30E6">
        <w:t>68/109</w:t>
      </w:r>
      <w:r w:rsidR="00E07E5E" w:rsidRPr="002A30E6">
        <w:t>)</w:t>
      </w:r>
      <w:r w:rsidR="00D8520C" w:rsidRPr="002A30E6">
        <w:t xml:space="preserve"> and </w:t>
      </w:r>
      <w:r w:rsidR="002A1552" w:rsidRPr="002A30E6">
        <w:t xml:space="preserve">61% </w:t>
      </w:r>
      <w:r w:rsidR="00514CF6" w:rsidRPr="002A30E6">
        <w:t>(66/109)</w:t>
      </w:r>
      <w:r w:rsidR="00410EF8" w:rsidRPr="002A30E6">
        <w:t xml:space="preserve"> of participants </w:t>
      </w:r>
      <w:r w:rsidR="00707795" w:rsidRPr="002A30E6">
        <w:t>re</w:t>
      </w:r>
      <w:r w:rsidR="00C765F4" w:rsidRPr="002A30E6">
        <w:t xml:space="preserve">spectively </w:t>
      </w:r>
      <w:r w:rsidR="00410EF8" w:rsidRPr="002A30E6">
        <w:t xml:space="preserve">reporting these </w:t>
      </w:r>
      <w:r w:rsidR="00C765F4" w:rsidRPr="002A30E6">
        <w:t xml:space="preserve">at least once </w:t>
      </w:r>
      <w:r w:rsidR="00707795" w:rsidRPr="002A30E6">
        <w:t>during the trial.</w:t>
      </w:r>
      <w:r w:rsidR="00091225" w:rsidRPr="002A30E6">
        <w:t xml:space="preserve"> </w:t>
      </w:r>
      <w:r w:rsidR="00E50753">
        <w:t xml:space="preserve">Domain </w:t>
      </w:r>
      <w:r w:rsidR="005B2C16" w:rsidRPr="002A30E6">
        <w:t xml:space="preserve">TSQM </w:t>
      </w:r>
      <w:r w:rsidR="00D97796" w:rsidRPr="002A30E6">
        <w:t xml:space="preserve">scores </w:t>
      </w:r>
      <w:r w:rsidR="00E50753">
        <w:t>by treatment sequence are shown in</w:t>
      </w:r>
      <w:r w:rsidR="003F14AA" w:rsidRPr="002A30E6">
        <w:t xml:space="preserve"> </w:t>
      </w:r>
      <w:r w:rsidR="00CF6095" w:rsidRPr="002A30E6">
        <w:t xml:space="preserve">Figure </w:t>
      </w:r>
      <w:r w:rsidR="008A5713">
        <w:t>3</w:t>
      </w:r>
      <w:r w:rsidR="003F14AA" w:rsidRPr="002A30E6">
        <w:t>.</w:t>
      </w:r>
      <w:r w:rsidR="00854D32" w:rsidRPr="002A30E6">
        <w:rPr>
          <w:noProof/>
        </w:rPr>
        <w:t xml:space="preserve"> </w:t>
      </w:r>
      <w:r w:rsidR="002D0267">
        <w:rPr>
          <w:noProof/>
        </w:rPr>
        <w:t>When the treatment sequence res</w:t>
      </w:r>
      <w:r w:rsidR="004448BE">
        <w:rPr>
          <w:noProof/>
        </w:rPr>
        <w:t>u</w:t>
      </w:r>
      <w:r w:rsidR="002D0267">
        <w:rPr>
          <w:noProof/>
        </w:rPr>
        <w:t>lts were combined</w:t>
      </w:r>
      <w:r w:rsidR="00A8165D">
        <w:rPr>
          <w:noProof/>
        </w:rPr>
        <w:t xml:space="preserve">, a statisticaly significant difference </w:t>
      </w:r>
      <w:r w:rsidR="001D55D5">
        <w:rPr>
          <w:noProof/>
        </w:rPr>
        <w:t xml:space="preserve">(p&lt;0.01) </w:t>
      </w:r>
      <w:r w:rsidR="00A8165D">
        <w:rPr>
          <w:noProof/>
        </w:rPr>
        <w:t xml:space="preserve">was </w:t>
      </w:r>
      <w:r w:rsidR="00A8165D">
        <w:rPr>
          <w:noProof/>
        </w:rPr>
        <w:lastRenderedPageBreak/>
        <w:t>observed between the products across all domains</w:t>
      </w:r>
      <w:r w:rsidR="00231647">
        <w:rPr>
          <w:noProof/>
        </w:rPr>
        <w:t xml:space="preserve"> (</w:t>
      </w:r>
      <w:r w:rsidR="00231647" w:rsidRPr="002A30E6">
        <w:t>Supplementary Table 4</w:t>
      </w:r>
      <w:r w:rsidR="00231647">
        <w:t>)</w:t>
      </w:r>
      <w:r w:rsidR="00FC28EE">
        <w:t>.</w:t>
      </w:r>
      <w:r w:rsidR="00231647">
        <w:rPr>
          <w:noProof/>
        </w:rPr>
        <w:t xml:space="preserve"> </w:t>
      </w:r>
      <w:r w:rsidR="00136869">
        <w:rPr>
          <w:noProof/>
        </w:rPr>
        <w:t xml:space="preserve">The domain </w:t>
      </w:r>
      <w:r w:rsidR="000423B1">
        <w:rPr>
          <w:noProof/>
        </w:rPr>
        <w:t xml:space="preserve">MCIDs </w:t>
      </w:r>
      <w:r w:rsidR="0027150E">
        <w:rPr>
          <w:noProof/>
        </w:rPr>
        <w:t xml:space="preserve">were estimated as </w:t>
      </w:r>
      <w:r w:rsidR="004454ED">
        <w:rPr>
          <w:noProof/>
        </w:rPr>
        <w:t xml:space="preserve">global satisfaction </w:t>
      </w:r>
      <w:r w:rsidR="00EC3BE0">
        <w:rPr>
          <w:noProof/>
        </w:rPr>
        <w:t>9.6</w:t>
      </w:r>
      <w:r w:rsidR="00833D17">
        <w:rPr>
          <w:noProof/>
        </w:rPr>
        <w:t>, e</w:t>
      </w:r>
      <w:r w:rsidR="004454ED">
        <w:rPr>
          <w:noProof/>
        </w:rPr>
        <w:t>ffectiveness</w:t>
      </w:r>
      <w:r w:rsidR="000D4837">
        <w:rPr>
          <w:noProof/>
        </w:rPr>
        <w:t xml:space="preserve"> 10.9</w:t>
      </w:r>
      <w:r w:rsidR="004454ED">
        <w:rPr>
          <w:noProof/>
        </w:rPr>
        <w:t xml:space="preserve">, </w:t>
      </w:r>
      <w:r w:rsidR="00833D17">
        <w:rPr>
          <w:noProof/>
        </w:rPr>
        <w:t>si</w:t>
      </w:r>
      <w:r w:rsidR="004454ED">
        <w:rPr>
          <w:noProof/>
        </w:rPr>
        <w:t>de effects</w:t>
      </w:r>
      <w:r w:rsidR="00833D17">
        <w:rPr>
          <w:noProof/>
        </w:rPr>
        <w:t xml:space="preserve"> </w:t>
      </w:r>
      <w:r w:rsidR="000D4837">
        <w:rPr>
          <w:noProof/>
        </w:rPr>
        <w:t xml:space="preserve">7.3 </w:t>
      </w:r>
      <w:r w:rsidR="00833D17">
        <w:rPr>
          <w:noProof/>
        </w:rPr>
        <w:t>and c</w:t>
      </w:r>
      <w:r w:rsidR="004454ED">
        <w:rPr>
          <w:noProof/>
        </w:rPr>
        <w:t>onvenience</w:t>
      </w:r>
      <w:r w:rsidR="000D4837">
        <w:rPr>
          <w:noProof/>
        </w:rPr>
        <w:t xml:space="preserve"> </w:t>
      </w:r>
      <w:r w:rsidR="00FA1749">
        <w:rPr>
          <w:noProof/>
        </w:rPr>
        <w:t>8.4</w:t>
      </w:r>
      <w:r w:rsidR="0085272B">
        <w:rPr>
          <w:noProof/>
        </w:rPr>
        <w:t>. T</w:t>
      </w:r>
      <w:r w:rsidR="004D5D87">
        <w:rPr>
          <w:noProof/>
        </w:rPr>
        <w:t>he d</w:t>
      </w:r>
      <w:r w:rsidR="00C20CC0">
        <w:rPr>
          <w:noProof/>
        </w:rPr>
        <w:t xml:space="preserve">ifference between </w:t>
      </w:r>
      <w:r w:rsidR="00BA4BA2">
        <w:rPr>
          <w:noProof/>
        </w:rPr>
        <w:t xml:space="preserve">all </w:t>
      </w:r>
      <w:r w:rsidR="00762E85">
        <w:rPr>
          <w:noProof/>
        </w:rPr>
        <w:t xml:space="preserve">domain scores at baseline </w:t>
      </w:r>
      <w:r w:rsidR="00AD3CF4">
        <w:rPr>
          <w:noProof/>
        </w:rPr>
        <w:t xml:space="preserve">and </w:t>
      </w:r>
      <w:r w:rsidR="00BA4BA2">
        <w:rPr>
          <w:noProof/>
        </w:rPr>
        <w:t>each</w:t>
      </w:r>
      <w:r w:rsidR="00762E85">
        <w:rPr>
          <w:noProof/>
        </w:rPr>
        <w:t xml:space="preserve"> follow-up visit were </w:t>
      </w:r>
      <w:r w:rsidR="00CE43FF">
        <w:rPr>
          <w:noProof/>
        </w:rPr>
        <w:t>less than the respec</w:t>
      </w:r>
      <w:r w:rsidR="0085778C">
        <w:rPr>
          <w:noProof/>
        </w:rPr>
        <w:t>t</w:t>
      </w:r>
      <w:r w:rsidR="00CE43FF">
        <w:rPr>
          <w:noProof/>
        </w:rPr>
        <w:t>ive MCID</w:t>
      </w:r>
      <w:r w:rsidR="00BA4BA2">
        <w:rPr>
          <w:noProof/>
        </w:rPr>
        <w:t xml:space="preserve"> suggesting that </w:t>
      </w:r>
      <w:r w:rsidR="00333F4A">
        <w:rPr>
          <w:noProof/>
        </w:rPr>
        <w:t xml:space="preserve">these differences are unlikely to be clinically </w:t>
      </w:r>
      <w:r w:rsidR="00495F30">
        <w:rPr>
          <w:noProof/>
        </w:rPr>
        <w:t>meaningful</w:t>
      </w:r>
      <w:r w:rsidR="00AD3CF4">
        <w:rPr>
          <w:noProof/>
        </w:rPr>
        <w:t>.</w:t>
      </w:r>
    </w:p>
    <w:p w14:paraId="6C2C1D4C" w14:textId="1507325F" w:rsidR="00E575E4" w:rsidRPr="002A30E6" w:rsidRDefault="00E575E4" w:rsidP="00E575E4">
      <w:pPr>
        <w:pStyle w:val="Heading3"/>
      </w:pPr>
      <w:bookmarkStart w:id="19" w:name="_Toc135163280"/>
      <w:r w:rsidRPr="002A30E6">
        <w:t>Adalimumab serum trough levels and anti-adalimumab antibody levels</w:t>
      </w:r>
      <w:bookmarkEnd w:id="19"/>
    </w:p>
    <w:p w14:paraId="3244B613" w14:textId="6BC916B6" w:rsidR="00E575E4" w:rsidRPr="002A30E6" w:rsidRDefault="00E575E4" w:rsidP="00270815">
      <w:r w:rsidRPr="002A30E6">
        <w:t xml:space="preserve">Baseline adalimumab and anti-adalimumab antibody concentrations were maintained throughout both treatment </w:t>
      </w:r>
      <w:r w:rsidR="00017E43" w:rsidRPr="002A30E6">
        <w:t>phases</w:t>
      </w:r>
      <w:r w:rsidRPr="002A30E6">
        <w:t xml:space="preserve"> (</w:t>
      </w:r>
      <w:r w:rsidR="006A5496" w:rsidRPr="002A30E6">
        <w:t xml:space="preserve">Figure </w:t>
      </w:r>
      <w:r w:rsidR="00072084">
        <w:t>4</w:t>
      </w:r>
      <w:r w:rsidRPr="002A30E6">
        <w:t>)</w:t>
      </w:r>
      <w:r w:rsidR="0018297A" w:rsidRPr="002A30E6">
        <w:t xml:space="preserve">: </w:t>
      </w:r>
      <w:r w:rsidR="000D5EF1" w:rsidRPr="002A30E6">
        <w:t>9.7</w:t>
      </w:r>
      <w:r w:rsidR="00635B67" w:rsidRPr="002A30E6">
        <w:t xml:space="preserve"> </w:t>
      </w:r>
      <w:proofErr w:type="spellStart"/>
      <w:r w:rsidR="00467977" w:rsidRPr="002A30E6">
        <w:t>μg</w:t>
      </w:r>
      <w:proofErr w:type="spellEnd"/>
      <w:r w:rsidR="00467977" w:rsidRPr="002A30E6">
        <w:t>/mL</w:t>
      </w:r>
      <w:r w:rsidR="00372A5C" w:rsidRPr="002A30E6">
        <w:t xml:space="preserve"> </w:t>
      </w:r>
      <w:r w:rsidR="00467977" w:rsidRPr="002A30E6">
        <w:t xml:space="preserve">(interquartile range, </w:t>
      </w:r>
      <w:r w:rsidR="00372A5C" w:rsidRPr="002A30E6">
        <w:t>6.6</w:t>
      </w:r>
      <w:r w:rsidR="00467977" w:rsidRPr="002A30E6">
        <w:t xml:space="preserve"> to </w:t>
      </w:r>
      <w:r w:rsidR="00372A5C" w:rsidRPr="002A30E6">
        <w:t>13.6)</w:t>
      </w:r>
      <w:r w:rsidR="009A3086" w:rsidRPr="002A30E6">
        <w:t xml:space="preserve"> and </w:t>
      </w:r>
      <w:r w:rsidR="007F79E4" w:rsidRPr="002A30E6">
        <w:t>3.8</w:t>
      </w:r>
      <w:r w:rsidR="00502B95" w:rsidRPr="002A30E6">
        <w:t xml:space="preserve"> ng/mL</w:t>
      </w:r>
      <w:r w:rsidR="007F79E4" w:rsidRPr="002A30E6">
        <w:t xml:space="preserve"> (</w:t>
      </w:r>
      <w:r w:rsidR="00502B95" w:rsidRPr="002A30E6">
        <w:t xml:space="preserve">interquartile range, </w:t>
      </w:r>
      <w:r w:rsidR="007F79E4" w:rsidRPr="002A30E6">
        <w:t>0</w:t>
      </w:r>
      <w:r w:rsidR="00502B95" w:rsidRPr="002A30E6">
        <w:t xml:space="preserve"> to </w:t>
      </w:r>
      <w:r w:rsidR="00E8658B" w:rsidRPr="002A30E6">
        <w:t>15</w:t>
      </w:r>
      <w:r w:rsidR="007F79E4" w:rsidRPr="002A30E6">
        <w:t>)</w:t>
      </w:r>
      <w:r w:rsidR="009A3086" w:rsidRPr="002A30E6">
        <w:t xml:space="preserve"> </w:t>
      </w:r>
      <w:r w:rsidR="00E8658B" w:rsidRPr="002A30E6">
        <w:t>respectively</w:t>
      </w:r>
      <w:r w:rsidR="009A3086" w:rsidRPr="002A30E6">
        <w:t xml:space="preserve"> </w:t>
      </w:r>
      <w:r w:rsidR="00E8658B" w:rsidRPr="002A30E6">
        <w:t xml:space="preserve">following treatment with </w:t>
      </w:r>
      <w:r w:rsidR="007B5959" w:rsidRPr="002A30E6">
        <w:t>reference</w:t>
      </w:r>
      <w:r w:rsidR="00E8658B" w:rsidRPr="002A30E6">
        <w:t xml:space="preserve"> adalimumab and</w:t>
      </w:r>
      <w:r w:rsidR="00F2257C" w:rsidRPr="002A30E6">
        <w:t xml:space="preserve"> 9.4</w:t>
      </w:r>
      <w:r w:rsidR="00E91F0A" w:rsidRPr="002A30E6">
        <w:t xml:space="preserve"> </w:t>
      </w:r>
      <w:proofErr w:type="spellStart"/>
      <w:r w:rsidR="00502B95" w:rsidRPr="002A30E6">
        <w:t>μg</w:t>
      </w:r>
      <w:proofErr w:type="spellEnd"/>
      <w:r w:rsidR="00502B95" w:rsidRPr="002A30E6">
        <w:t xml:space="preserve">/mL (interquartile range, </w:t>
      </w:r>
      <w:r w:rsidR="0057745F" w:rsidRPr="002A30E6">
        <w:t>5.5</w:t>
      </w:r>
      <w:r w:rsidR="003176D7" w:rsidRPr="002A30E6">
        <w:t xml:space="preserve"> to </w:t>
      </w:r>
      <w:r w:rsidR="0057745F" w:rsidRPr="002A30E6">
        <w:t>13.9</w:t>
      </w:r>
      <w:r w:rsidR="00E91F0A" w:rsidRPr="002A30E6">
        <w:t>) and</w:t>
      </w:r>
      <w:r w:rsidR="00270815" w:rsidRPr="002A30E6">
        <w:t xml:space="preserve"> 5.5 </w:t>
      </w:r>
      <w:r w:rsidR="003176D7" w:rsidRPr="002A30E6">
        <w:t xml:space="preserve">ng/mL (interquartile range </w:t>
      </w:r>
      <w:r w:rsidR="00270815" w:rsidRPr="002A30E6">
        <w:t>0</w:t>
      </w:r>
      <w:r w:rsidR="003176D7" w:rsidRPr="002A30E6">
        <w:t xml:space="preserve"> to </w:t>
      </w:r>
      <w:r w:rsidR="00270815" w:rsidRPr="002A30E6">
        <w:t xml:space="preserve">23.9) respectively with </w:t>
      </w:r>
      <w:r w:rsidR="00F94A00">
        <w:t>SB5</w:t>
      </w:r>
      <w:r w:rsidR="00B60BA8" w:rsidRPr="002A30E6">
        <w:t xml:space="preserve">. </w:t>
      </w:r>
      <w:r w:rsidR="0032525F" w:rsidRPr="002A30E6">
        <w:t xml:space="preserve">Both measures </w:t>
      </w:r>
      <w:r w:rsidR="00BE06A0" w:rsidRPr="002A30E6">
        <w:t>remained</w:t>
      </w:r>
      <w:r w:rsidRPr="002A30E6">
        <w:t xml:space="preserve"> stable regardless of the number of </w:t>
      </w:r>
      <w:r w:rsidR="00357E91" w:rsidRPr="002A30E6">
        <w:t>adalimumab product</w:t>
      </w:r>
      <w:r w:rsidRPr="002A30E6">
        <w:t xml:space="preserve"> transitions undertaken during the study period (</w:t>
      </w:r>
      <w:r w:rsidR="00903BAF" w:rsidRPr="002A30E6">
        <w:t xml:space="preserve">Supplementary Figure </w:t>
      </w:r>
      <w:r w:rsidR="00D80C1A">
        <w:t>2</w:t>
      </w:r>
      <w:r w:rsidRPr="002A30E6">
        <w:t>).</w:t>
      </w:r>
    </w:p>
    <w:p w14:paraId="31F22759" w14:textId="43C83B29" w:rsidR="001D368B" w:rsidRPr="002A30E6" w:rsidRDefault="001D368B" w:rsidP="001D368B">
      <w:pPr>
        <w:pStyle w:val="Heading3"/>
      </w:pPr>
      <w:bookmarkStart w:id="20" w:name="_Toc135163281"/>
      <w:r w:rsidRPr="002A30E6">
        <w:t>Safety</w:t>
      </w:r>
      <w:r w:rsidR="00AB7CCC" w:rsidRPr="002A30E6">
        <w:t>,</w:t>
      </w:r>
      <w:r w:rsidRPr="002A30E6">
        <w:t xml:space="preserve"> </w:t>
      </w:r>
      <w:proofErr w:type="gramStart"/>
      <w:r w:rsidRPr="002A30E6">
        <w:t>tolerability</w:t>
      </w:r>
      <w:proofErr w:type="gramEnd"/>
      <w:r w:rsidR="00AB7CCC" w:rsidRPr="002A30E6">
        <w:t xml:space="preserve"> and adherence</w:t>
      </w:r>
      <w:bookmarkEnd w:id="20"/>
    </w:p>
    <w:p w14:paraId="5CF502C8" w14:textId="3A4BDF67" w:rsidR="00A1026B" w:rsidRPr="002A30E6" w:rsidRDefault="00D17788" w:rsidP="00A1026B">
      <w:r>
        <w:t>O</w:t>
      </w:r>
      <w:r w:rsidR="00785FF9" w:rsidRPr="002A30E6">
        <w:t xml:space="preserve">ver the </w:t>
      </w:r>
      <w:r>
        <w:t xml:space="preserve">full </w:t>
      </w:r>
      <w:r w:rsidR="00785FF9" w:rsidRPr="002A30E6">
        <w:t>course of the trial</w:t>
      </w:r>
      <w:r>
        <w:t>,</w:t>
      </w:r>
      <w:r w:rsidR="00785FF9" w:rsidRPr="002A30E6">
        <w:t xml:space="preserve"> </w:t>
      </w:r>
      <w:r w:rsidR="0088143D" w:rsidRPr="002A30E6">
        <w:t xml:space="preserve">77.1% </w:t>
      </w:r>
      <w:r w:rsidR="00CC1BD5" w:rsidRPr="002A30E6">
        <w:t>(84/109)</w:t>
      </w:r>
      <w:r w:rsidR="001D368B" w:rsidRPr="002A30E6">
        <w:t xml:space="preserve"> of participants reported at least one adverse effect</w:t>
      </w:r>
      <w:r w:rsidR="00FC4EBD" w:rsidRPr="002A30E6">
        <w:t xml:space="preserve">. </w:t>
      </w:r>
      <w:r w:rsidR="007E10AB" w:rsidRPr="002A30E6">
        <w:t xml:space="preserve">Frequency of </w:t>
      </w:r>
      <w:r w:rsidR="008810B1" w:rsidRPr="002A30E6">
        <w:t xml:space="preserve">treatment emergent adverse events was broadly similar between </w:t>
      </w:r>
      <w:r w:rsidR="007B5959" w:rsidRPr="002A30E6">
        <w:t>reference</w:t>
      </w:r>
      <w:r w:rsidR="008810B1" w:rsidRPr="002A30E6">
        <w:t xml:space="preserve"> adalimumab and </w:t>
      </w:r>
      <w:r w:rsidR="00F94A00">
        <w:t>SB5</w:t>
      </w:r>
      <w:r w:rsidR="00F3441B" w:rsidRPr="002A30E6">
        <w:t xml:space="preserve"> </w:t>
      </w:r>
      <w:r w:rsidR="00FC7C72" w:rsidRPr="002A30E6">
        <w:t>(</w:t>
      </w:r>
      <w:r w:rsidR="00105108" w:rsidRPr="002A30E6">
        <w:t>Table 2</w:t>
      </w:r>
      <w:r w:rsidR="00FC7C72" w:rsidRPr="002A30E6">
        <w:t>)</w:t>
      </w:r>
      <w:r w:rsidR="008810B1" w:rsidRPr="002A30E6">
        <w:t>.</w:t>
      </w:r>
      <w:r w:rsidR="00F5046F" w:rsidRPr="002A30E6">
        <w:t xml:space="preserve"> The most common adverse events were fatigue, abdominal pain, </w:t>
      </w:r>
      <w:proofErr w:type="gramStart"/>
      <w:r w:rsidR="00F5046F" w:rsidRPr="002A30E6">
        <w:t>arthralgia</w:t>
      </w:r>
      <w:proofErr w:type="gramEnd"/>
      <w:r w:rsidR="00F5046F" w:rsidRPr="002A30E6">
        <w:t xml:space="preserve"> and lung infection.</w:t>
      </w:r>
      <w:r w:rsidR="004F7494" w:rsidRPr="002A30E6">
        <w:t xml:space="preserve"> T</w:t>
      </w:r>
      <w:r w:rsidR="00E5545D" w:rsidRPr="002A30E6">
        <w:t xml:space="preserve">he </w:t>
      </w:r>
      <w:r w:rsidR="00645E2B" w:rsidRPr="002A30E6">
        <w:t xml:space="preserve">number of participants with </w:t>
      </w:r>
      <w:r w:rsidR="00E5545D" w:rsidRPr="002A30E6">
        <w:t>treatment</w:t>
      </w:r>
      <w:r w:rsidR="00C111FD" w:rsidRPr="002A30E6">
        <w:t xml:space="preserve"> emergent </w:t>
      </w:r>
      <w:r w:rsidR="00024996" w:rsidRPr="002A30E6">
        <w:t xml:space="preserve">serious adverse events </w:t>
      </w:r>
      <w:r w:rsidR="00A678D9" w:rsidRPr="002A30E6">
        <w:t xml:space="preserve">(SAEs) </w:t>
      </w:r>
      <w:r w:rsidR="00024996" w:rsidRPr="002A30E6">
        <w:t xml:space="preserve">was similar between the treatment groups: </w:t>
      </w:r>
      <w:r w:rsidR="00B355A8" w:rsidRPr="002A30E6">
        <w:t>six</w:t>
      </w:r>
      <w:r w:rsidR="007D40D5" w:rsidRPr="002A30E6">
        <w:t xml:space="preserve"> with </w:t>
      </w:r>
      <w:r w:rsidR="007B5959" w:rsidRPr="002A30E6">
        <w:t>reference</w:t>
      </w:r>
      <w:r w:rsidR="007D40D5" w:rsidRPr="002A30E6">
        <w:t xml:space="preserve"> adalimumab and </w:t>
      </w:r>
      <w:r w:rsidR="00F022DF" w:rsidRPr="002A30E6">
        <w:t>nine</w:t>
      </w:r>
      <w:r w:rsidR="00816B76" w:rsidRPr="002A30E6">
        <w:t xml:space="preserve"> with </w:t>
      </w:r>
      <w:r w:rsidR="00F94A00">
        <w:t>SB5</w:t>
      </w:r>
      <w:r w:rsidR="00816B76" w:rsidRPr="002A30E6">
        <w:t>.</w:t>
      </w:r>
      <w:r w:rsidR="00DD5EFE" w:rsidRPr="002A30E6">
        <w:t xml:space="preserve"> The majority of these were</w:t>
      </w:r>
      <w:r w:rsidR="005F418A" w:rsidRPr="002A30E6">
        <w:t xml:space="preserve"> </w:t>
      </w:r>
      <w:r w:rsidR="004E74B7" w:rsidRPr="002A30E6">
        <w:t>CD-related</w:t>
      </w:r>
      <w:r w:rsidR="00094763" w:rsidRPr="002A30E6">
        <w:t xml:space="preserve"> and in only one case was the adalimumab discontinued </w:t>
      </w:r>
      <w:proofErr w:type="gramStart"/>
      <w:r w:rsidR="00094763" w:rsidRPr="002A30E6">
        <w:t>as a result</w:t>
      </w:r>
      <w:r w:rsidR="00D02216" w:rsidRPr="002A30E6">
        <w:t xml:space="preserve"> of</w:t>
      </w:r>
      <w:proofErr w:type="gramEnd"/>
      <w:r w:rsidR="00D02216" w:rsidRPr="002A30E6">
        <w:t xml:space="preserve"> the </w:t>
      </w:r>
      <w:r w:rsidR="00A678D9" w:rsidRPr="002A30E6">
        <w:t>SAE (small intestinal obstruction</w:t>
      </w:r>
      <w:r w:rsidR="000C7914">
        <w:t xml:space="preserve"> deemed not related to </w:t>
      </w:r>
      <w:r w:rsidR="00504A70">
        <w:t>the study medication</w:t>
      </w:r>
      <w:r w:rsidR="00A678D9" w:rsidRPr="002A30E6">
        <w:t>)</w:t>
      </w:r>
      <w:r w:rsidR="00D02216" w:rsidRPr="002A30E6">
        <w:t>.</w:t>
      </w:r>
    </w:p>
    <w:p w14:paraId="61EBAC31" w14:textId="18C6F339" w:rsidR="009F29C1" w:rsidRPr="002A30E6" w:rsidRDefault="00D31090" w:rsidP="00A1026B">
      <w:r w:rsidRPr="002A30E6">
        <w:t xml:space="preserve">The </w:t>
      </w:r>
      <w:r w:rsidR="00CE032E" w:rsidRPr="002A30E6">
        <w:t xml:space="preserve">treatment period </w:t>
      </w:r>
      <w:r w:rsidRPr="002A30E6">
        <w:t>me</w:t>
      </w:r>
      <w:r w:rsidR="00B47D3F" w:rsidRPr="002A30E6">
        <w:t>dian</w:t>
      </w:r>
      <w:r w:rsidRPr="002A30E6">
        <w:t xml:space="preserve"> </w:t>
      </w:r>
      <w:r w:rsidR="00FF385C" w:rsidRPr="002A30E6">
        <w:t xml:space="preserve">injection </w:t>
      </w:r>
      <w:r w:rsidR="001D5BFA" w:rsidRPr="002A30E6">
        <w:t xml:space="preserve">pain </w:t>
      </w:r>
      <w:r w:rsidR="00FF385C" w:rsidRPr="002A30E6">
        <w:t>VAS score</w:t>
      </w:r>
      <w:r w:rsidRPr="002A30E6">
        <w:t xml:space="preserve"> with </w:t>
      </w:r>
      <w:r w:rsidR="007B5959" w:rsidRPr="002A30E6">
        <w:t>reference</w:t>
      </w:r>
      <w:r w:rsidRPr="002A30E6">
        <w:t xml:space="preserve"> adalimumab </w:t>
      </w:r>
      <w:r w:rsidR="00971EF7" w:rsidRPr="002A30E6">
        <w:t>was</w:t>
      </w:r>
      <w:r w:rsidR="00F83739" w:rsidRPr="002A30E6">
        <w:t xml:space="preserve"> lower</w:t>
      </w:r>
      <w:r w:rsidR="00971EF7" w:rsidRPr="002A30E6">
        <w:t xml:space="preserve"> (6</w:t>
      </w:r>
      <w:r w:rsidR="006B2EC5" w:rsidRPr="002A30E6">
        <w:t>.0</w:t>
      </w:r>
      <w:r w:rsidR="00971EF7" w:rsidRPr="002A30E6">
        <w:t xml:space="preserve"> (</w:t>
      </w:r>
      <w:r w:rsidR="00484B71" w:rsidRPr="002A30E6">
        <w:t xml:space="preserve">interquartile range, </w:t>
      </w:r>
      <w:r w:rsidR="00B43E59" w:rsidRPr="002A30E6">
        <w:t>2.5</w:t>
      </w:r>
      <w:r w:rsidR="00484B71" w:rsidRPr="002A30E6">
        <w:t xml:space="preserve"> to </w:t>
      </w:r>
      <w:r w:rsidR="00B43E59" w:rsidRPr="002A30E6">
        <w:t>14.4</w:t>
      </w:r>
      <w:r w:rsidR="00971EF7" w:rsidRPr="002A30E6">
        <w:t>))</w:t>
      </w:r>
      <w:r w:rsidR="00FF385C" w:rsidRPr="002A30E6">
        <w:t xml:space="preserve"> </w:t>
      </w:r>
      <w:r w:rsidR="00F83739" w:rsidRPr="002A30E6">
        <w:t>than</w:t>
      </w:r>
      <w:r w:rsidR="00CE032E" w:rsidRPr="002A30E6">
        <w:t xml:space="preserve"> with </w:t>
      </w:r>
      <w:r w:rsidR="00F94A00">
        <w:t>SB5</w:t>
      </w:r>
      <w:r w:rsidR="007B5959" w:rsidRPr="002A30E6">
        <w:t xml:space="preserve"> </w:t>
      </w:r>
      <w:r w:rsidR="008D6199" w:rsidRPr="002A30E6">
        <w:t>(52.8 (</w:t>
      </w:r>
      <w:r w:rsidR="00484B71" w:rsidRPr="002A30E6">
        <w:t xml:space="preserve">interquartile range, </w:t>
      </w:r>
      <w:r w:rsidR="008D6199" w:rsidRPr="002A30E6">
        <w:t>27.4</w:t>
      </w:r>
      <w:r w:rsidR="00484B71" w:rsidRPr="002A30E6">
        <w:t xml:space="preserve"> to </w:t>
      </w:r>
      <w:r w:rsidR="008D6199" w:rsidRPr="002A30E6">
        <w:t>69.2))</w:t>
      </w:r>
      <w:r w:rsidR="006B2EC5" w:rsidRPr="002A30E6">
        <w:t>.</w:t>
      </w:r>
      <w:r w:rsidR="00A43A21" w:rsidRPr="002A30E6">
        <w:t xml:space="preserve"> Adherence was similar across both </w:t>
      </w:r>
      <w:r w:rsidR="00357E91" w:rsidRPr="002A30E6">
        <w:t>products</w:t>
      </w:r>
      <w:r w:rsidR="0034442F" w:rsidRPr="002A30E6">
        <w:t xml:space="preserve"> </w:t>
      </w:r>
      <w:r w:rsidR="00C332EE" w:rsidRPr="002A30E6">
        <w:t>(</w:t>
      </w:r>
      <w:r w:rsidR="00105108" w:rsidRPr="002A30E6">
        <w:t xml:space="preserve">Supplementary Table </w:t>
      </w:r>
      <w:r w:rsidR="00FC28EE">
        <w:t>5</w:t>
      </w:r>
      <w:r w:rsidR="00C332EE" w:rsidRPr="002A30E6">
        <w:t>)</w:t>
      </w:r>
      <w:r w:rsidR="00C02C02" w:rsidRPr="002A30E6">
        <w:t xml:space="preserve"> and one </w:t>
      </w:r>
      <w:r w:rsidR="00944309" w:rsidRPr="002A30E6">
        <w:t>participant</w:t>
      </w:r>
      <w:r w:rsidR="008C322E" w:rsidRPr="002A30E6">
        <w:t xml:space="preserve">, pre-treated with </w:t>
      </w:r>
      <w:r w:rsidR="007B5959" w:rsidRPr="002A30E6">
        <w:t>reference</w:t>
      </w:r>
      <w:r w:rsidR="008C322E" w:rsidRPr="002A30E6">
        <w:t xml:space="preserve"> adalimumab, withdrew prematurely (</w:t>
      </w:r>
      <w:r w:rsidR="00B87C2C" w:rsidRPr="002A30E6">
        <w:t xml:space="preserve">during the </w:t>
      </w:r>
      <w:r w:rsidR="00F94A00">
        <w:t>SB5</w:t>
      </w:r>
      <w:r w:rsidR="00B87C2C" w:rsidRPr="002A30E6">
        <w:t xml:space="preserve"> treatment period) </w:t>
      </w:r>
      <w:proofErr w:type="gramStart"/>
      <w:r w:rsidR="00944309" w:rsidRPr="002A30E6">
        <w:t>as a result of</w:t>
      </w:r>
      <w:proofErr w:type="gramEnd"/>
      <w:r w:rsidR="00944309" w:rsidRPr="002A30E6">
        <w:t xml:space="preserve"> </w:t>
      </w:r>
      <w:r w:rsidR="008675F5" w:rsidRPr="002A30E6">
        <w:t xml:space="preserve">an </w:t>
      </w:r>
      <w:r w:rsidR="007D4DA5" w:rsidRPr="002A30E6">
        <w:lastRenderedPageBreak/>
        <w:t xml:space="preserve">injection </w:t>
      </w:r>
      <w:r w:rsidR="008675F5" w:rsidRPr="002A30E6">
        <w:t>site reaction</w:t>
      </w:r>
      <w:r w:rsidR="008C322E" w:rsidRPr="002A30E6">
        <w:t>.</w:t>
      </w:r>
      <w:r w:rsidR="009F29C1" w:rsidRPr="002A30E6">
        <w:t xml:space="preserve"> Routine blood safety monitoring results across both treatment periods were </w:t>
      </w:r>
      <w:proofErr w:type="gramStart"/>
      <w:r w:rsidR="009F29C1" w:rsidRPr="002A30E6">
        <w:t>similar to</w:t>
      </w:r>
      <w:proofErr w:type="gramEnd"/>
      <w:r w:rsidR="009F29C1" w:rsidRPr="002A30E6">
        <w:t xml:space="preserve"> baseline (</w:t>
      </w:r>
      <w:r w:rsidR="009A67C9" w:rsidRPr="002A30E6">
        <w:t xml:space="preserve">Supplementary Table </w:t>
      </w:r>
      <w:r w:rsidR="00FC28EE">
        <w:t>6</w:t>
      </w:r>
      <w:r w:rsidR="009F29C1" w:rsidRPr="002A30E6">
        <w:t>).</w:t>
      </w:r>
    </w:p>
    <w:p w14:paraId="4F6D41D0" w14:textId="5DFD2604" w:rsidR="001C4EBD" w:rsidRPr="002A30E6" w:rsidRDefault="00EE61DF" w:rsidP="00A1026B">
      <w:r w:rsidRPr="002A30E6">
        <w:t xml:space="preserve">A total of </w:t>
      </w:r>
      <w:r w:rsidR="005F658A" w:rsidRPr="002A30E6">
        <w:t xml:space="preserve">15 participants </w:t>
      </w:r>
      <w:r w:rsidR="00CC14EF" w:rsidRPr="002A30E6">
        <w:t>withdrew over the course of the trial</w:t>
      </w:r>
      <w:r w:rsidR="00591B65" w:rsidRPr="002A30E6">
        <w:t xml:space="preserve">: </w:t>
      </w:r>
      <w:r w:rsidR="00EF3B42" w:rsidRPr="002A30E6">
        <w:t>six</w:t>
      </w:r>
      <w:r w:rsidR="00591B65" w:rsidRPr="002A30E6">
        <w:t xml:space="preserve"> during treatment with </w:t>
      </w:r>
      <w:r w:rsidR="007B5959" w:rsidRPr="002A30E6">
        <w:t>reference</w:t>
      </w:r>
      <w:r w:rsidR="00591B65" w:rsidRPr="002A30E6">
        <w:t xml:space="preserve"> adalimumab and </w:t>
      </w:r>
      <w:r w:rsidR="00EF3B42" w:rsidRPr="002A30E6">
        <w:t>nine</w:t>
      </w:r>
      <w:r w:rsidR="00591B65" w:rsidRPr="002A30E6">
        <w:t xml:space="preserve"> during treatment with </w:t>
      </w:r>
      <w:r w:rsidR="00F94A00">
        <w:t>SB5</w:t>
      </w:r>
      <w:r w:rsidR="00947931" w:rsidRPr="002A30E6">
        <w:t>.</w:t>
      </w:r>
      <w:r w:rsidR="000421B6" w:rsidRPr="002A30E6">
        <w:t xml:space="preserve"> </w:t>
      </w:r>
      <w:r w:rsidR="00EF3B42" w:rsidRPr="002A30E6">
        <w:t xml:space="preserve">Three </w:t>
      </w:r>
      <w:r w:rsidR="008A2858" w:rsidRPr="002A30E6">
        <w:t xml:space="preserve">participants underwent dose escalation </w:t>
      </w:r>
      <w:proofErr w:type="gramStart"/>
      <w:r w:rsidR="008A2858" w:rsidRPr="002A30E6">
        <w:t>as a result of</w:t>
      </w:r>
      <w:proofErr w:type="gramEnd"/>
      <w:r w:rsidR="008A2858" w:rsidRPr="002A30E6">
        <w:t xml:space="preserve"> secondary loss of response</w:t>
      </w:r>
      <w:r w:rsidR="00280BAD" w:rsidRPr="002A30E6">
        <w:t xml:space="preserve">: </w:t>
      </w:r>
      <w:r w:rsidR="00EF3B42" w:rsidRPr="002A30E6">
        <w:t>two</w:t>
      </w:r>
      <w:r w:rsidR="00280BAD" w:rsidRPr="002A30E6">
        <w:t xml:space="preserve"> during trea</w:t>
      </w:r>
      <w:r w:rsidR="00BE3EDB" w:rsidRPr="002A30E6">
        <w:t xml:space="preserve">tment with </w:t>
      </w:r>
      <w:r w:rsidR="00F94A00">
        <w:t>SB5</w:t>
      </w:r>
      <w:r w:rsidR="007B5959" w:rsidRPr="002A30E6">
        <w:t xml:space="preserve"> </w:t>
      </w:r>
      <w:r w:rsidR="00BE3EDB" w:rsidRPr="002A30E6">
        <w:t xml:space="preserve">and </w:t>
      </w:r>
      <w:r w:rsidR="00EF3B42" w:rsidRPr="002A30E6">
        <w:t>one</w:t>
      </w:r>
      <w:r w:rsidR="00BE3EDB" w:rsidRPr="002A30E6">
        <w:t xml:space="preserve"> during </w:t>
      </w:r>
      <w:r w:rsidR="007B5959" w:rsidRPr="002A30E6">
        <w:t>reference</w:t>
      </w:r>
      <w:r w:rsidR="00BE3EDB" w:rsidRPr="002A30E6">
        <w:t xml:space="preserve"> </w:t>
      </w:r>
      <w:r w:rsidR="00CB7EC2" w:rsidRPr="002A30E6">
        <w:t xml:space="preserve">adalimumab </w:t>
      </w:r>
      <w:r w:rsidR="00BE3EDB" w:rsidRPr="002A30E6">
        <w:t>treatment.</w:t>
      </w:r>
    </w:p>
    <w:p w14:paraId="4E18DB1E" w14:textId="244EF8C5" w:rsidR="004272D5" w:rsidRDefault="00F9676F" w:rsidP="00E74DFE">
      <w:pPr>
        <w:pStyle w:val="Heading2"/>
      </w:pPr>
      <w:bookmarkStart w:id="21" w:name="_Toc135163282"/>
      <w:r w:rsidRPr="002A30E6">
        <w:t>Discussion</w:t>
      </w:r>
      <w:bookmarkEnd w:id="21"/>
    </w:p>
    <w:p w14:paraId="4A932066" w14:textId="409ACA5F" w:rsidR="000E25F2" w:rsidRPr="000E25F2" w:rsidRDefault="005C6787" w:rsidP="00494BB8">
      <w:pPr>
        <w:pStyle w:val="Heading3"/>
      </w:pPr>
      <w:r w:rsidRPr="005C6787">
        <w:t>Statement of key findings</w:t>
      </w:r>
    </w:p>
    <w:p w14:paraId="45E55FAF" w14:textId="0D320BB5" w:rsidR="00470B5D" w:rsidRPr="002A30E6" w:rsidRDefault="007D6841" w:rsidP="005E22E4">
      <w:r w:rsidRPr="002A30E6">
        <w:t xml:space="preserve">In this </w:t>
      </w:r>
      <w:r w:rsidR="001A6BA3" w:rsidRPr="002A30E6">
        <w:t>randomi</w:t>
      </w:r>
      <w:r w:rsidR="00284A2F">
        <w:t>s</w:t>
      </w:r>
      <w:r w:rsidR="001A6BA3" w:rsidRPr="002A30E6">
        <w:t>ed</w:t>
      </w:r>
      <w:r w:rsidR="00162831" w:rsidRPr="002A30E6">
        <w:t xml:space="preserve"> c</w:t>
      </w:r>
      <w:r w:rsidR="00DA451B" w:rsidRPr="002A30E6">
        <w:t>ontrolled trial (</w:t>
      </w:r>
      <w:r w:rsidRPr="002A30E6">
        <w:t>RCT</w:t>
      </w:r>
      <w:r w:rsidR="00DA451B" w:rsidRPr="002A30E6">
        <w:t>)</w:t>
      </w:r>
      <w:r w:rsidRPr="002A30E6">
        <w:t xml:space="preserve"> we</w:t>
      </w:r>
      <w:r w:rsidR="00C05BDC" w:rsidRPr="002A30E6">
        <w:t xml:space="preserve"> compare</w:t>
      </w:r>
      <w:r w:rsidRPr="002A30E6">
        <w:t>d</w:t>
      </w:r>
      <w:r w:rsidR="00C05BDC" w:rsidRPr="002A30E6">
        <w:t xml:space="preserve"> </w:t>
      </w:r>
      <w:r w:rsidR="007B5959" w:rsidRPr="002A30E6">
        <w:t>reference</w:t>
      </w:r>
      <w:r w:rsidR="00C05BDC" w:rsidRPr="002A30E6">
        <w:t xml:space="preserve"> adalimumab (Humira®; AbbVie Ltd., UK) with one specific adalimumab biosimilar (</w:t>
      </w:r>
      <w:r w:rsidR="00F94A00">
        <w:t>SB5</w:t>
      </w:r>
      <w:r w:rsidR="00C05BDC" w:rsidRPr="002A30E6">
        <w:t>; Imraldi®; Biogen Biosimilars, UK)</w:t>
      </w:r>
      <w:r w:rsidR="009B1108" w:rsidRPr="002A30E6">
        <w:t xml:space="preserve"> with a focus on outcomes that are important to patients. </w:t>
      </w:r>
      <w:r w:rsidR="0060798B" w:rsidRPr="002A30E6">
        <w:t>We report that the result</w:t>
      </w:r>
      <w:r w:rsidR="00307DCB" w:rsidRPr="002A30E6">
        <w:t>s</w:t>
      </w:r>
      <w:r w:rsidR="0060798B" w:rsidRPr="002A30E6">
        <w:t xml:space="preserve"> were similar in both group</w:t>
      </w:r>
      <w:r w:rsidR="00963AA9" w:rsidRPr="002A30E6">
        <w:t>s</w:t>
      </w:r>
      <w:r w:rsidR="0060798B" w:rsidRPr="002A30E6">
        <w:t xml:space="preserve"> (</w:t>
      </w:r>
      <w:r w:rsidR="007B5959" w:rsidRPr="002A30E6">
        <w:t>reference</w:t>
      </w:r>
      <w:r w:rsidR="00963AA9" w:rsidRPr="002A30E6">
        <w:t xml:space="preserve"> adalimumab versus </w:t>
      </w:r>
      <w:r w:rsidR="00F94A00">
        <w:t>SB5</w:t>
      </w:r>
      <w:r w:rsidR="00963AA9" w:rsidRPr="002A30E6">
        <w:t xml:space="preserve">) </w:t>
      </w:r>
      <w:r w:rsidR="001F70D3" w:rsidRPr="002A30E6">
        <w:t xml:space="preserve">in respect to </w:t>
      </w:r>
      <w:r w:rsidR="008B74F8" w:rsidRPr="002A30E6">
        <w:t>disease control, biomarkers of disease activity and</w:t>
      </w:r>
      <w:r w:rsidR="0015441D" w:rsidRPr="002A30E6">
        <w:t xml:space="preserve"> overall adverse events</w:t>
      </w:r>
      <w:r w:rsidR="0099634F" w:rsidRPr="002A30E6">
        <w:t>.</w:t>
      </w:r>
      <w:r w:rsidR="008B74F8" w:rsidRPr="002A30E6">
        <w:t xml:space="preserve"> </w:t>
      </w:r>
      <w:r w:rsidR="00CB7C22" w:rsidRPr="002A30E6">
        <w:t xml:space="preserve">As well as reducing drug expenditure, </w:t>
      </w:r>
      <w:r w:rsidR="00697F7A" w:rsidRPr="002A30E6">
        <w:t xml:space="preserve">availability of biosimilars has </w:t>
      </w:r>
      <w:r w:rsidR="009F3C92" w:rsidRPr="002A30E6">
        <w:t>increased patient access to biologi</w:t>
      </w:r>
      <w:r w:rsidR="00691DBF" w:rsidRPr="002A30E6">
        <w:t>cal medicine</w:t>
      </w:r>
      <w:r w:rsidR="009F3C92" w:rsidRPr="002A30E6">
        <w:t>s in the UK</w:t>
      </w:r>
      <w:r w:rsidR="00590AEE" w:rsidRPr="002A30E6">
        <w:t xml:space="preserve">. In 2021 </w:t>
      </w:r>
      <w:r w:rsidR="00670D81" w:rsidRPr="002A30E6">
        <w:t xml:space="preserve">the </w:t>
      </w:r>
      <w:r w:rsidR="001C14A5" w:rsidRPr="002A30E6">
        <w:t xml:space="preserve">national </w:t>
      </w:r>
      <w:r w:rsidR="0099634F" w:rsidRPr="002A30E6">
        <w:t>h</w:t>
      </w:r>
      <w:r w:rsidR="009C7EA9" w:rsidRPr="002A30E6">
        <w:t xml:space="preserve">ealth </w:t>
      </w:r>
      <w:r w:rsidR="0099634F" w:rsidRPr="002A30E6">
        <w:t>t</w:t>
      </w:r>
      <w:r w:rsidR="009C7EA9" w:rsidRPr="002A30E6">
        <w:t xml:space="preserve">echnology </w:t>
      </w:r>
      <w:r w:rsidR="0099634F" w:rsidRPr="002A30E6">
        <w:t>a</w:t>
      </w:r>
      <w:r w:rsidR="009C7EA9" w:rsidRPr="002A30E6">
        <w:t xml:space="preserve">ssessment </w:t>
      </w:r>
      <w:r w:rsidR="00F40D28" w:rsidRPr="002A30E6">
        <w:t>body</w:t>
      </w:r>
      <w:r w:rsidR="009C7EA9" w:rsidRPr="002A30E6">
        <w:t xml:space="preserve"> (the</w:t>
      </w:r>
      <w:r w:rsidR="004462D4" w:rsidRPr="002A30E6">
        <w:t xml:space="preserve"> National Institute for Health and Care Excellence) undertook a partial review of </w:t>
      </w:r>
      <w:r w:rsidR="002E71A3" w:rsidRPr="002A30E6">
        <w:t xml:space="preserve">the cost effectiveness of </w:t>
      </w:r>
      <w:r w:rsidR="00AC712D" w:rsidRPr="002A30E6">
        <w:t>anti-TNF</w:t>
      </w:r>
      <w:r w:rsidR="00561447" w:rsidRPr="002A30E6">
        <w:t>α</w:t>
      </w:r>
      <w:r w:rsidR="00AC712D" w:rsidRPr="002A30E6">
        <w:t xml:space="preserve"> medicines </w:t>
      </w:r>
      <w:r w:rsidR="003F4764" w:rsidRPr="002A30E6">
        <w:t xml:space="preserve">for the treatment of rheumatoid arthritis </w:t>
      </w:r>
      <w:r w:rsidR="006442E8" w:rsidRPr="002A30E6">
        <w:t xml:space="preserve">(previously restricted to those with severely active disease) </w:t>
      </w:r>
      <w:r w:rsidR="003F4764" w:rsidRPr="002A30E6">
        <w:t>and</w:t>
      </w:r>
      <w:r w:rsidR="003968FE" w:rsidRPr="002A30E6">
        <w:t xml:space="preserve"> </w:t>
      </w:r>
      <w:r w:rsidR="00403966" w:rsidRPr="002A30E6">
        <w:t>concluded that</w:t>
      </w:r>
      <w:r w:rsidR="00054006" w:rsidRPr="002A30E6">
        <w:t>, with access to biosimilar medicines,</w:t>
      </w:r>
      <w:r w:rsidR="00403966" w:rsidRPr="002A30E6">
        <w:t xml:space="preserve"> this was </w:t>
      </w:r>
      <w:r w:rsidR="006442E8" w:rsidRPr="002A30E6">
        <w:t xml:space="preserve">now </w:t>
      </w:r>
      <w:r w:rsidR="00403966" w:rsidRPr="002A30E6">
        <w:t xml:space="preserve">cost-effective for </w:t>
      </w:r>
      <w:r w:rsidR="00DE38E2" w:rsidRPr="002A30E6">
        <w:t>patients with moderate</w:t>
      </w:r>
      <w:r w:rsidR="00881FC0" w:rsidRPr="002A30E6">
        <w:t>ly active symptoms</w:t>
      </w:r>
      <w:r w:rsidR="001751CC" w:rsidRPr="002A30E6">
        <w:t xml:space="preserve"> </w:t>
      </w:r>
      <w:r w:rsidR="00FC3E53" w:rsidRPr="002A30E6">
        <w:fldChar w:fldCharType="begin"/>
      </w:r>
      <w:r w:rsidR="00C26218">
        <w:instrText xml:space="preserve"> ADDIN ZOTERO_ITEM CSL_CITATION {"citationID":"uCG35DJW","properties":{"formattedCitation":"[16]","plainCitation":"[16]","noteIndex":0},"citationItems":[{"id":702,"uris":["http://zotero.org/users/5054817/items/5M9Q47EV"],"itemData":{"id":702,"type":"document","title":"Adalimumab, etanercept, infliximab and abatacept for treating moderate rheumatoid arthritis after conventional DMARDs have failed [Technology appraisal guidance No. TA715]","URL":"https://www.nice.org.uk/guidance/ta715/resources/adalimumab-etanercept-infliximab-and-abatacept-for-treating-moderate-rheumatoid-arthritis-after-conventional-dmards-have-failed-pdf-82611135252421","author":[{"literal":"National Institute for Health and Care Excellence"}],"accessed":{"date-parts":[["2023",3,14]]},"issued":{"date-parts":[["2021",7,14]]}}}],"schema":"https://github.com/citation-style-language/schema/raw/master/csl-citation.json"} </w:instrText>
      </w:r>
      <w:r w:rsidR="00FC3E53" w:rsidRPr="002A30E6">
        <w:fldChar w:fldCharType="separate"/>
      </w:r>
      <w:r w:rsidR="00C26218" w:rsidRPr="00C26218">
        <w:rPr>
          <w:rFonts w:ascii="Calibri" w:hAnsi="Calibri" w:cs="Calibri"/>
        </w:rPr>
        <w:t>[16]</w:t>
      </w:r>
      <w:r w:rsidR="00FC3E53" w:rsidRPr="002A30E6">
        <w:fldChar w:fldCharType="end"/>
      </w:r>
      <w:r w:rsidR="001D7B50" w:rsidRPr="002A30E6">
        <w:t>.</w:t>
      </w:r>
      <w:r w:rsidR="00CA2DBF" w:rsidRPr="002A30E6">
        <w:t xml:space="preserve"> </w:t>
      </w:r>
      <w:r w:rsidR="002A034F" w:rsidRPr="002A30E6">
        <w:t xml:space="preserve">In healthcare systems where patients </w:t>
      </w:r>
      <w:r w:rsidR="00F83739" w:rsidRPr="002A30E6">
        <w:t xml:space="preserve">bear the </w:t>
      </w:r>
      <w:r w:rsidR="002A034F" w:rsidRPr="002A30E6">
        <w:t xml:space="preserve">burden </w:t>
      </w:r>
      <w:r w:rsidR="00F83739" w:rsidRPr="002A30E6">
        <w:t xml:space="preserve">of </w:t>
      </w:r>
      <w:r w:rsidR="002A034F" w:rsidRPr="002A30E6">
        <w:t>the cost of these therapies one could speculate patient</w:t>
      </w:r>
      <w:r w:rsidR="002C497F" w:rsidRPr="002A30E6">
        <w:t xml:space="preserve"> benefit</w:t>
      </w:r>
      <w:r w:rsidR="0033563C" w:rsidRPr="002A30E6">
        <w:t xml:space="preserve"> </w:t>
      </w:r>
      <w:r w:rsidR="002C497F" w:rsidRPr="002A30E6">
        <w:t>through</w:t>
      </w:r>
      <w:r w:rsidR="0033563C" w:rsidRPr="002A30E6">
        <w:t xml:space="preserve"> reduced insurance premiums or </w:t>
      </w:r>
      <w:r w:rsidR="00225B35" w:rsidRPr="002A30E6">
        <w:t xml:space="preserve">lower </w:t>
      </w:r>
      <w:r w:rsidR="002A034F" w:rsidRPr="002A30E6">
        <w:t>‘</w:t>
      </w:r>
      <w:r w:rsidR="00225B35" w:rsidRPr="002A30E6">
        <w:t>out-of-pocket</w:t>
      </w:r>
      <w:r w:rsidR="0099634F" w:rsidRPr="002A30E6">
        <w:t>’</w:t>
      </w:r>
      <w:r w:rsidR="00225B35" w:rsidRPr="002A30E6">
        <w:t xml:space="preserve"> costs</w:t>
      </w:r>
      <w:r w:rsidR="001751CC" w:rsidRPr="002A30E6">
        <w:t xml:space="preserve"> </w:t>
      </w:r>
      <w:r w:rsidR="007B0867" w:rsidRPr="002A30E6">
        <w:fldChar w:fldCharType="begin"/>
      </w:r>
      <w:r w:rsidR="00C26218">
        <w:instrText xml:space="preserve"> ADDIN ZOTERO_ITEM CSL_CITATION {"citationID":"gDroczgK","properties":{"formattedCitation":"[17]","plainCitation":"[17]","noteIndex":0},"citationItems":[{"id":701,"uris":["http://zotero.org/users/5054817/items/APZH5LJ2"],"itemData":{"id":701,"type":"article-journal","abstract":"The Biologics Price Competition and Innovation Act (BPCIA), enacted as part of the 2010 Patient Protection and Affordable Care Act (ACA), authorized the U.S. Food and Drug Administration (FDA) to create a new regulatory approval pathway for biosimilars, which are biologic drugs that are very similar to already approved \"reference\" biologics in terms of potency, safety, and efficacy, but are manufactured by different companies. In the seven years since the ACA, many drug manufacturers worked to push new biosimilars through development and FDA review. As of July 2017, there were three marketed biosimilars and two more that were approved by the FDA but not yet marketed. BPCIA's shorter, lower-cost biosimilar approval pathway was designed to introduce competition among biologic manufacturers. This article estimates potential future savings from biosimilars in the United States, summarizes the experience to date with the first marketed biosimilar in the United States, and discusses key policy issues surrounding biosimilars. We estimate that biosimilars will reduce direct spending on biologic drugs by $54 billion from 2017 to 2026, or about 3 percent of total estimated biologic spending over the same period, with a range of $24 to $150 billion. While our estimate uses recent data and transparent assumptions, we caution that actual savings will hinge on industry and regulatory decisions as well as potential policy changes to strengthen the biosimilar market.","container-title":"Rand Health Quarterly","ISSN":"2162-8254","issue":"4","journalAbbreviation":"Rand Health Q","language":"eng","note":"PMID: 30083415\nPMCID: PMC6075809","page":"3","source":"PubMed","title":"Biosimilar Cost Savings in the United States: Initial Experience and Future Potential","title-short":"Biosimilar Cost Savings in the United States","volume":"7","author":[{"family":"Mulcahy","given":"Andrew W."},{"family":"Hlavka","given":"Jakub P."},{"family":"Case","given":"Spencer R."}],"issued":{"date-parts":[["2018",3]]}}}],"schema":"https://github.com/citation-style-language/schema/raw/master/csl-citation.json"} </w:instrText>
      </w:r>
      <w:r w:rsidR="007B0867" w:rsidRPr="002A30E6">
        <w:fldChar w:fldCharType="separate"/>
      </w:r>
      <w:r w:rsidR="00C26218" w:rsidRPr="00C26218">
        <w:rPr>
          <w:rFonts w:ascii="Calibri" w:hAnsi="Calibri" w:cs="Calibri"/>
        </w:rPr>
        <w:t>[17]</w:t>
      </w:r>
      <w:r w:rsidR="007B0867" w:rsidRPr="002A30E6">
        <w:fldChar w:fldCharType="end"/>
      </w:r>
      <w:r w:rsidR="00225B35" w:rsidRPr="002A30E6">
        <w:t>.</w:t>
      </w:r>
    </w:p>
    <w:p w14:paraId="281E13F1" w14:textId="777EA670" w:rsidR="004A0FA4" w:rsidRPr="002A30E6" w:rsidRDefault="00977F4B" w:rsidP="005E22E4">
      <w:r w:rsidRPr="002A30E6">
        <w:t>This study</w:t>
      </w:r>
      <w:r w:rsidR="006E19DB" w:rsidRPr="002A30E6">
        <w:t xml:space="preserve"> design</w:t>
      </w:r>
      <w:r w:rsidRPr="002A30E6">
        <w:t xml:space="preserve"> allow</w:t>
      </w:r>
      <w:r w:rsidR="006E19DB" w:rsidRPr="002A30E6">
        <w:t xml:space="preserve">ed </w:t>
      </w:r>
      <w:r w:rsidR="00D353E3" w:rsidRPr="002A30E6">
        <w:t>each participant</w:t>
      </w:r>
      <w:r w:rsidRPr="002A30E6">
        <w:t xml:space="preserve"> to experience </w:t>
      </w:r>
      <w:r w:rsidR="00D353E3" w:rsidRPr="002A30E6">
        <w:t>both</w:t>
      </w:r>
      <w:r w:rsidRPr="002A30E6">
        <w:t xml:space="preserve"> </w:t>
      </w:r>
      <w:r w:rsidR="00D353E3" w:rsidRPr="002A30E6">
        <w:t xml:space="preserve">adalimumab </w:t>
      </w:r>
      <w:r w:rsidR="00357E91" w:rsidRPr="002A30E6">
        <w:t>products</w:t>
      </w:r>
      <w:r w:rsidR="009E21BE" w:rsidRPr="002A30E6">
        <w:t xml:space="preserve"> and</w:t>
      </w:r>
      <w:r w:rsidR="00F3713D" w:rsidRPr="002A30E6">
        <w:t xml:space="preserve"> was designed to mimic</w:t>
      </w:r>
      <w:r w:rsidR="00783753" w:rsidRPr="002A30E6">
        <w:t xml:space="preserve"> real-world transition </w:t>
      </w:r>
      <w:r w:rsidR="00F3713D" w:rsidRPr="002A30E6">
        <w:t xml:space="preserve">between </w:t>
      </w:r>
      <w:r w:rsidR="00357E91" w:rsidRPr="002A30E6">
        <w:t>products</w:t>
      </w:r>
      <w:r w:rsidR="00F3713D" w:rsidRPr="002A30E6">
        <w:t xml:space="preserve">. </w:t>
      </w:r>
      <w:r w:rsidR="005E22E4" w:rsidRPr="002A30E6">
        <w:t xml:space="preserve">Through a combination of disease activity scores and </w:t>
      </w:r>
      <w:r w:rsidR="0055501B" w:rsidRPr="002A30E6">
        <w:t xml:space="preserve">biochemical markers we have demonstrated that patients were stable at entry into the trial </w:t>
      </w:r>
      <w:r w:rsidR="00EE3BCA" w:rsidRPr="002A30E6">
        <w:t xml:space="preserve">which </w:t>
      </w:r>
      <w:r w:rsidR="00153617" w:rsidRPr="002A30E6">
        <w:t xml:space="preserve">was essential given the trial design. The </w:t>
      </w:r>
      <w:r w:rsidR="0055501B" w:rsidRPr="002A30E6">
        <w:t xml:space="preserve">demographics show </w:t>
      </w:r>
      <w:r w:rsidR="00153617" w:rsidRPr="002A30E6">
        <w:t xml:space="preserve">a trial cohort that is </w:t>
      </w:r>
      <w:r w:rsidR="00E27280" w:rsidRPr="002A30E6">
        <w:lastRenderedPageBreak/>
        <w:t xml:space="preserve">representative of those </w:t>
      </w:r>
      <w:r w:rsidR="00911964" w:rsidRPr="002A30E6">
        <w:t xml:space="preserve">patients with </w:t>
      </w:r>
      <w:r w:rsidR="00D02216" w:rsidRPr="002A30E6">
        <w:t>CD</w:t>
      </w:r>
      <w:r w:rsidR="00911964" w:rsidRPr="002A30E6">
        <w:t xml:space="preserve"> </w:t>
      </w:r>
      <w:r w:rsidR="00E27280" w:rsidRPr="002A30E6">
        <w:t xml:space="preserve">treated </w:t>
      </w:r>
      <w:r w:rsidR="00911964" w:rsidRPr="002A30E6">
        <w:t xml:space="preserve">with biological medicines </w:t>
      </w:r>
      <w:r w:rsidR="00E27280" w:rsidRPr="002A30E6">
        <w:t>in routine clinical practice.</w:t>
      </w:r>
      <w:r w:rsidR="00EE6CBF" w:rsidRPr="002A30E6">
        <w:t xml:space="preserve"> </w:t>
      </w:r>
      <w:r w:rsidR="00F30486" w:rsidRPr="002A30E6">
        <w:t>Whilst</w:t>
      </w:r>
      <w:r w:rsidR="005D152A" w:rsidRPr="002A30E6">
        <w:t xml:space="preserve"> the study was underpowered</w:t>
      </w:r>
      <w:r w:rsidR="00915F19" w:rsidRPr="002A30E6">
        <w:t>, w</w:t>
      </w:r>
      <w:r w:rsidR="00FF5A99" w:rsidRPr="002A30E6">
        <w:t xml:space="preserve">e believe that the prospective design and completeness of the data </w:t>
      </w:r>
      <w:r w:rsidR="00A83115" w:rsidRPr="002A30E6">
        <w:t xml:space="preserve">provides valuable insights, </w:t>
      </w:r>
      <w:proofErr w:type="gramStart"/>
      <w:r w:rsidR="00A83115" w:rsidRPr="002A30E6">
        <w:t>in particular with</w:t>
      </w:r>
      <w:proofErr w:type="gramEnd"/>
      <w:r w:rsidR="00A83115" w:rsidRPr="002A30E6">
        <w:t xml:space="preserve"> the f</w:t>
      </w:r>
      <w:r w:rsidR="004A0FA4" w:rsidRPr="002A30E6">
        <w:t>ocus on patient-reported outcomes</w:t>
      </w:r>
      <w:r w:rsidR="00700E30" w:rsidRPr="002A30E6">
        <w:t>. The</w:t>
      </w:r>
      <w:r w:rsidR="007E1DC3" w:rsidRPr="002A30E6">
        <w:t xml:space="preserve"> fact that they are recorded directly by the patient means that they are not subject to</w:t>
      </w:r>
      <w:r w:rsidR="00613AF7" w:rsidRPr="002A30E6">
        <w:t xml:space="preserve"> clinician</w:t>
      </w:r>
      <w:r w:rsidR="0000684C" w:rsidRPr="002A30E6">
        <w:t xml:space="preserve"> interpretation and give</w:t>
      </w:r>
      <w:r w:rsidR="00CB6DD9" w:rsidRPr="002A30E6">
        <w:t xml:space="preserve"> </w:t>
      </w:r>
      <w:r w:rsidR="00347B79" w:rsidRPr="002A30E6">
        <w:t xml:space="preserve">richer </w:t>
      </w:r>
      <w:r w:rsidR="00700E30" w:rsidRPr="002A30E6">
        <w:t xml:space="preserve">detail about patient satisfaction </w:t>
      </w:r>
      <w:r w:rsidR="00AD584A" w:rsidRPr="002A30E6">
        <w:t>than has previously been reported</w:t>
      </w:r>
      <w:r w:rsidR="0000684C" w:rsidRPr="002A30E6">
        <w:t>.</w:t>
      </w:r>
      <w:r w:rsidR="00CC12EF" w:rsidRPr="002A30E6">
        <w:t xml:space="preserve"> An associated interview study exploring the participants’ </w:t>
      </w:r>
      <w:r w:rsidR="0017722A" w:rsidRPr="002A30E6">
        <w:t>experience</w:t>
      </w:r>
      <w:r w:rsidR="00380763" w:rsidRPr="002A30E6">
        <w:t xml:space="preserve"> of undertaking transition</w:t>
      </w:r>
      <w:r w:rsidR="00A74B87" w:rsidRPr="002A30E6">
        <w:t xml:space="preserve"> between adalimumab products</w:t>
      </w:r>
      <w:r w:rsidR="0017722A" w:rsidRPr="002A30E6">
        <w:t xml:space="preserve">, via qualitative research methods, </w:t>
      </w:r>
      <w:r w:rsidR="00CC12EF" w:rsidRPr="002A30E6">
        <w:t>is published separately</w:t>
      </w:r>
      <w:r w:rsidR="00913B88" w:rsidRPr="002A30E6">
        <w:t xml:space="preserve"> </w:t>
      </w:r>
      <w:r w:rsidR="006F07C2" w:rsidRPr="002A30E6">
        <w:fldChar w:fldCharType="begin"/>
      </w:r>
      <w:r w:rsidR="00C26218">
        <w:instrText xml:space="preserve"> ADDIN ZOTERO_ITEM CSL_CITATION {"citationID":"ebYb4N54","properties":{"formattedCitation":"[18]","plainCitation":"[18]","noteIndex":0},"citationItems":[{"id":713,"uris":["http://zotero.org/users/5054817/items/8I4HDI35"],"itemData":{"id":713,"type":"article-journal","container-title":"European Journal of Hospital Pharmacy","DOI":"10.1136/ejhpharm-2022-003371","ISSN":"2047-9956, 2047-9964","journalAbbreviation":"Eur J Hosp Pharm","language":"en","page":"ejhpharm-2022-003371","source":"DOI.org (Crossref)","title":"Patient perspectives of successful adalimumab biosimilar transitioning in Crohn’s disease: an interview study","title-short":"Patient perspectives of successful adalimumab biosimilar transitioning in Crohn’s disease","author":[{"family":"Young","given":"David"},{"family":"Cummings","given":"Fraser"},{"family":"Latter","given":"Susan"}],"issued":{"date-parts":[["2022",7,19]]}}}],"schema":"https://github.com/citation-style-language/schema/raw/master/csl-citation.json"} </w:instrText>
      </w:r>
      <w:r w:rsidR="006F07C2" w:rsidRPr="002A30E6">
        <w:fldChar w:fldCharType="separate"/>
      </w:r>
      <w:r w:rsidR="00C26218" w:rsidRPr="00C26218">
        <w:rPr>
          <w:rFonts w:ascii="Calibri" w:hAnsi="Calibri" w:cs="Calibri"/>
        </w:rPr>
        <w:t>[18]</w:t>
      </w:r>
      <w:r w:rsidR="006F07C2" w:rsidRPr="002A30E6">
        <w:fldChar w:fldCharType="end"/>
      </w:r>
      <w:r w:rsidR="00CC12EF" w:rsidRPr="002A30E6">
        <w:t>.</w:t>
      </w:r>
    </w:p>
    <w:p w14:paraId="46A09DB6" w14:textId="185F8372" w:rsidR="005F6D54" w:rsidRDefault="0015788A" w:rsidP="00494BB8">
      <w:pPr>
        <w:pStyle w:val="Heading3"/>
      </w:pPr>
      <w:r w:rsidRPr="0015788A">
        <w:t>Interpretation</w:t>
      </w:r>
    </w:p>
    <w:p w14:paraId="1D21515A" w14:textId="1975190D" w:rsidR="00D378B9" w:rsidRPr="002A30E6" w:rsidRDefault="00BA716E">
      <w:r w:rsidRPr="002A30E6">
        <w:t>M</w:t>
      </w:r>
      <w:r w:rsidR="00E24C26" w:rsidRPr="002A30E6">
        <w:t xml:space="preserve">aintenance of baseline clinical status, disease activity scores and </w:t>
      </w:r>
      <w:r w:rsidR="004A30D7" w:rsidRPr="002A30E6">
        <w:t xml:space="preserve">biochemical markers demonstrated similar efficacy between the two adalimumab </w:t>
      </w:r>
      <w:r w:rsidR="00A74B87" w:rsidRPr="002A30E6">
        <w:t>products</w:t>
      </w:r>
      <w:r w:rsidR="004A30D7" w:rsidRPr="002A30E6">
        <w:t>.</w:t>
      </w:r>
      <w:r w:rsidR="00AB22D0" w:rsidRPr="002A30E6">
        <w:t xml:space="preserve"> The c</w:t>
      </w:r>
      <w:r w:rsidR="00BB61E0" w:rsidRPr="002A30E6">
        <w:t xml:space="preserve">ombination of IBD-Control and TSQM </w:t>
      </w:r>
      <w:r w:rsidR="00F74AD7" w:rsidRPr="002A30E6">
        <w:t>gives a good indication</w:t>
      </w:r>
      <w:r w:rsidR="00BB61E0" w:rsidRPr="002A30E6">
        <w:t xml:space="preserve"> </w:t>
      </w:r>
      <w:r w:rsidR="00913B88" w:rsidRPr="002A30E6">
        <w:t xml:space="preserve">of </w:t>
      </w:r>
      <w:r w:rsidR="00BB61E0" w:rsidRPr="002A30E6">
        <w:t xml:space="preserve">overall </w:t>
      </w:r>
      <w:r w:rsidR="007838B8" w:rsidRPr="002A30E6">
        <w:t xml:space="preserve">patient </w:t>
      </w:r>
      <w:r w:rsidR="00BB61E0" w:rsidRPr="002A30E6">
        <w:t>satisfaction</w:t>
      </w:r>
      <w:r w:rsidR="007838B8" w:rsidRPr="002A30E6">
        <w:t xml:space="preserve"> with</w:t>
      </w:r>
      <w:r w:rsidR="00D6083A" w:rsidRPr="002A30E6">
        <w:t xml:space="preserve"> each </w:t>
      </w:r>
      <w:r w:rsidR="00A74B87" w:rsidRPr="002A30E6">
        <w:t>product</w:t>
      </w:r>
      <w:r w:rsidR="00AB22D0" w:rsidRPr="002A30E6">
        <w:t xml:space="preserve"> and </w:t>
      </w:r>
      <w:r w:rsidR="003336EF" w:rsidRPr="002A30E6">
        <w:t xml:space="preserve">our data show </w:t>
      </w:r>
      <w:r w:rsidR="00AB22D0" w:rsidRPr="002A30E6">
        <w:t xml:space="preserve">similar </w:t>
      </w:r>
      <w:r w:rsidR="00AC47DB" w:rsidRPr="002A30E6">
        <w:t xml:space="preserve">satisfaction </w:t>
      </w:r>
      <w:r w:rsidR="00354658" w:rsidRPr="002A30E6">
        <w:t xml:space="preserve">between </w:t>
      </w:r>
      <w:r w:rsidR="00A74B87" w:rsidRPr="002A30E6">
        <w:t>products</w:t>
      </w:r>
      <w:r w:rsidR="00AB22D0" w:rsidRPr="002A30E6">
        <w:t>.</w:t>
      </w:r>
      <w:r w:rsidR="00B34038" w:rsidRPr="002A30E6">
        <w:t xml:space="preserve"> </w:t>
      </w:r>
      <w:r w:rsidR="00C12C5E" w:rsidRPr="002A30E6">
        <w:t xml:space="preserve">The sole </w:t>
      </w:r>
      <w:r w:rsidR="003C2437">
        <w:t xml:space="preserve">clinically meaningful </w:t>
      </w:r>
      <w:r w:rsidR="00B34038" w:rsidRPr="002A30E6">
        <w:t xml:space="preserve">difference between the two </w:t>
      </w:r>
      <w:r w:rsidR="00A74B87" w:rsidRPr="002A30E6">
        <w:t>products</w:t>
      </w:r>
      <w:r w:rsidR="00B34038" w:rsidRPr="002A30E6">
        <w:t xml:space="preserve"> </w:t>
      </w:r>
      <w:r w:rsidR="00EC0A14" w:rsidRPr="002A30E6">
        <w:t xml:space="preserve">was related to injection experience with </w:t>
      </w:r>
      <w:r w:rsidR="00F1100E" w:rsidRPr="002A30E6">
        <w:t>a higher injection pain score associated with</w:t>
      </w:r>
      <w:r w:rsidR="00F94A00">
        <w:t xml:space="preserve"> SB5</w:t>
      </w:r>
      <w:r w:rsidR="00F1100E" w:rsidRPr="002A30E6">
        <w:t xml:space="preserve">. </w:t>
      </w:r>
      <w:r w:rsidR="00BB05BC" w:rsidRPr="002A30E6">
        <w:t>Injection pain is</w:t>
      </w:r>
      <w:r w:rsidR="007B233D" w:rsidRPr="002A30E6">
        <w:t xml:space="preserve"> subjective </w:t>
      </w:r>
      <w:r w:rsidR="00A13712" w:rsidRPr="002A30E6">
        <w:t xml:space="preserve">making </w:t>
      </w:r>
      <w:r w:rsidR="007B233D" w:rsidRPr="002A30E6">
        <w:t xml:space="preserve">the crossover design particularly useful to </w:t>
      </w:r>
      <w:r w:rsidR="006C3ABE" w:rsidRPr="002A30E6">
        <w:t>explore this</w:t>
      </w:r>
      <w:r w:rsidR="00986FC1" w:rsidRPr="002A30E6">
        <w:t xml:space="preserve"> issue</w:t>
      </w:r>
      <w:r w:rsidR="00C12C5E" w:rsidRPr="002A30E6">
        <w:t>;</w:t>
      </w:r>
      <w:r w:rsidR="00986FC1" w:rsidRPr="002A30E6">
        <w:t xml:space="preserve"> although it is </w:t>
      </w:r>
      <w:r w:rsidR="001A6BA3" w:rsidRPr="002A30E6">
        <w:t>recogni</w:t>
      </w:r>
      <w:r w:rsidR="00284A2F">
        <w:t>s</w:t>
      </w:r>
      <w:r w:rsidR="001A6BA3" w:rsidRPr="002A30E6">
        <w:t>ed</w:t>
      </w:r>
      <w:r w:rsidR="00986FC1" w:rsidRPr="002A30E6">
        <w:t xml:space="preserve"> that </w:t>
      </w:r>
      <w:r w:rsidR="007300A9" w:rsidRPr="002A30E6">
        <w:t xml:space="preserve">multiple factors including </w:t>
      </w:r>
      <w:r w:rsidR="00B7226D" w:rsidRPr="002A30E6">
        <w:t xml:space="preserve">needle size, injection volume and </w:t>
      </w:r>
      <w:r w:rsidR="00E24668" w:rsidRPr="002A30E6">
        <w:t xml:space="preserve">excipients </w:t>
      </w:r>
      <w:r w:rsidR="007300A9" w:rsidRPr="002A30E6">
        <w:t xml:space="preserve">are </w:t>
      </w:r>
      <w:r w:rsidR="00E24668" w:rsidRPr="002A30E6">
        <w:t>implicated</w:t>
      </w:r>
      <w:r w:rsidR="00F96737" w:rsidRPr="002A30E6">
        <w:t xml:space="preserve"> </w:t>
      </w:r>
      <w:r w:rsidR="00F96737" w:rsidRPr="002A30E6">
        <w:fldChar w:fldCharType="begin"/>
      </w:r>
      <w:r w:rsidR="00C26218">
        <w:instrText xml:space="preserve"> ADDIN ZOTERO_ITEM CSL_CITATION {"citationID":"u0j0LP5o","properties":{"formattedCitation":"[19]","plainCitation":"[19]","noteIndex":0},"citationItems":[{"id":343,"uris":["http://zotero.org/users/5054817/items/KSUVSLN4"],"itemData":{"id":343,"type":"article-journal","container-title":"Rheumatology and Therapy","DOI":"10.1007/s40744-020-00245-0","ISSN":"2198-6576, 2198-6584","issue":"4","journalAbbreviation":"Rheumatol Ther","language":"en","page":"741-757","source":"DOI.org (Crossref)","title":"Understanding and Minimising Injection-Site Pain Following Subcutaneous Administration of Biologics: A Narrative Review","title-short":"Understanding and Minimising Injection-Site Pain Following Subcutaneous Administration of Biologics","volume":"7","author":[{"family":"St Clair-Jones","given":"Anja"},{"family":"Prignano","given":"Francesca"},{"family":"Goncalves","given":"Joao"},{"family":"Paul","given":"Muriel"},{"family":"Sewerin","given":"Philipp"}],"issued":{"date-parts":[["2020",12]]}}}],"schema":"https://github.com/citation-style-language/schema/raw/master/csl-citation.json"} </w:instrText>
      </w:r>
      <w:r w:rsidR="00F96737" w:rsidRPr="002A30E6">
        <w:fldChar w:fldCharType="separate"/>
      </w:r>
      <w:r w:rsidR="00C26218" w:rsidRPr="00C26218">
        <w:rPr>
          <w:rFonts w:ascii="Calibri" w:hAnsi="Calibri" w:cs="Calibri"/>
        </w:rPr>
        <w:t>[19]</w:t>
      </w:r>
      <w:r w:rsidR="00F96737" w:rsidRPr="002A30E6">
        <w:fldChar w:fldCharType="end"/>
      </w:r>
      <w:r w:rsidR="00E24668" w:rsidRPr="002A30E6">
        <w:t xml:space="preserve">. </w:t>
      </w:r>
      <w:r w:rsidR="00695F3C" w:rsidRPr="002A30E6">
        <w:t xml:space="preserve">The devices for both </w:t>
      </w:r>
      <w:r w:rsidR="007B5959" w:rsidRPr="002A30E6">
        <w:t>reference</w:t>
      </w:r>
      <w:r w:rsidR="00695F3C" w:rsidRPr="002A30E6">
        <w:t xml:space="preserve"> adalimumab and </w:t>
      </w:r>
      <w:r w:rsidR="00F94A00">
        <w:t>SB5</w:t>
      </w:r>
      <w:r w:rsidR="007B5959" w:rsidRPr="002A30E6">
        <w:t xml:space="preserve"> </w:t>
      </w:r>
      <w:r w:rsidR="00695F3C" w:rsidRPr="002A30E6">
        <w:t>use a similar size needle</w:t>
      </w:r>
      <w:r w:rsidR="00DE1CF2" w:rsidRPr="002A30E6">
        <w:t>. W</w:t>
      </w:r>
      <w:r w:rsidR="00C12C5E" w:rsidRPr="002A30E6">
        <w:t>hil</w:t>
      </w:r>
      <w:r w:rsidR="006F07C2" w:rsidRPr="002A30E6">
        <w:t>st</w:t>
      </w:r>
      <w:r w:rsidR="00C12C5E" w:rsidRPr="002A30E6">
        <w:t xml:space="preserve"> </w:t>
      </w:r>
      <w:r w:rsidR="00591A87" w:rsidRPr="002A30E6">
        <w:t xml:space="preserve">the </w:t>
      </w:r>
      <w:r w:rsidR="006F07C2" w:rsidRPr="002A30E6">
        <w:t>difference in</w:t>
      </w:r>
      <w:r w:rsidR="00591A87" w:rsidRPr="002A30E6">
        <w:t xml:space="preserve"> injection volume (0.4 mL vs. 0.8 mL</w:t>
      </w:r>
      <w:r w:rsidR="00C50D6E" w:rsidRPr="002A30E6">
        <w:t xml:space="preserve"> respectively</w:t>
      </w:r>
      <w:r w:rsidR="00591A87" w:rsidRPr="002A30E6">
        <w:t xml:space="preserve">) </w:t>
      </w:r>
      <w:r w:rsidR="00813FC5" w:rsidRPr="002A30E6">
        <w:t>may have a</w:t>
      </w:r>
      <w:r w:rsidR="001552A6" w:rsidRPr="002A30E6">
        <w:t xml:space="preserve"> minor</w:t>
      </w:r>
      <w:r w:rsidR="00813FC5" w:rsidRPr="002A30E6">
        <w:t xml:space="preserve"> impact on injection experience, </w:t>
      </w:r>
      <w:r w:rsidR="00945CC2" w:rsidRPr="002A30E6">
        <w:t>it is</w:t>
      </w:r>
      <w:r w:rsidR="00A409FF" w:rsidRPr="002A30E6">
        <w:t xml:space="preserve"> </w:t>
      </w:r>
      <w:r w:rsidR="00813FC5" w:rsidRPr="002A30E6">
        <w:t>suspected</w:t>
      </w:r>
      <w:r w:rsidR="00A409FF" w:rsidRPr="002A30E6">
        <w:t xml:space="preserve"> that the </w:t>
      </w:r>
      <w:r w:rsidR="00BB586A" w:rsidRPr="002A30E6">
        <w:t xml:space="preserve">presence </w:t>
      </w:r>
      <w:r w:rsidR="00A409FF" w:rsidRPr="002A30E6">
        <w:t>of citrate</w:t>
      </w:r>
      <w:r w:rsidR="00F22692" w:rsidRPr="002A30E6">
        <w:t>-</w:t>
      </w:r>
      <w:r w:rsidR="00F3027D" w:rsidRPr="002A30E6">
        <w:t xml:space="preserve">based </w:t>
      </w:r>
      <w:r w:rsidR="00F22692" w:rsidRPr="002A30E6">
        <w:t>b</w:t>
      </w:r>
      <w:r w:rsidR="00A409FF" w:rsidRPr="002A30E6">
        <w:t>uffer</w:t>
      </w:r>
      <w:r w:rsidR="00F22692" w:rsidRPr="002A30E6">
        <w:t>s</w:t>
      </w:r>
      <w:r w:rsidR="00F3027D" w:rsidRPr="002A30E6">
        <w:t xml:space="preserve"> </w:t>
      </w:r>
      <w:r w:rsidR="00B302C3" w:rsidRPr="002A30E6">
        <w:t xml:space="preserve">in the </w:t>
      </w:r>
      <w:r w:rsidR="00F94A00">
        <w:t>SB5</w:t>
      </w:r>
      <w:r w:rsidR="007B5959" w:rsidRPr="002A30E6">
        <w:t xml:space="preserve"> </w:t>
      </w:r>
      <w:r w:rsidR="00B302C3" w:rsidRPr="002A30E6">
        <w:t>formulation is the</w:t>
      </w:r>
      <w:r w:rsidR="001552A6" w:rsidRPr="002A30E6">
        <w:t xml:space="preserve"> cause for injection pain</w:t>
      </w:r>
      <w:r w:rsidR="00DB5110" w:rsidRPr="002A30E6">
        <w:t xml:space="preserve"> </w:t>
      </w:r>
      <w:r w:rsidR="001907DA" w:rsidRPr="002A30E6">
        <w:fldChar w:fldCharType="begin"/>
      </w:r>
      <w:r w:rsidR="00C26218">
        <w:instrText xml:space="preserve"> ADDIN ZOTERO_ITEM CSL_CITATION {"citationID":"IQdxa6ZX","properties":{"formattedCitation":"[19], [20]","plainCitation":"[19], [20]","noteIndex":0},"citationItems":[{"id":343,"uris":["http://zotero.org/users/5054817/items/KSUVSLN4"],"itemData":{"id":343,"type":"article-journal","container-title":"Rheumatology and Therapy","DOI":"10.1007/s40744-020-00245-0","ISSN":"2198-6576, 2198-6584","issue":"4","journalAbbreviation":"Rheumatol Ther","language":"en","page":"741-757","source":"DOI.org (Crossref)","title":"Understanding and Minimising Injection-Site Pain Following Subcutaneous Administration of Biologics: A Narrative Review","title-short":"Understanding and Minimising Injection-Site Pain Following Subcutaneous Administration of Biologics","volume":"7","author":[{"family":"St Clair-Jones","given":"Anja"},{"family":"Prignano","given":"Francesca"},{"family":"Goncalves","given":"Joao"},{"family":"Paul","given":"Muriel"},{"family":"Sewerin","given":"Philipp"}],"issued":{"date-parts":[["2020",12]]}}},{"id":273,"uris":["http://zotero.org/users/5054817/items/PE4A9VEY"],"itemData":{"id":273,"type":"article-journal","container-title":"Rheumatology and Therapy","DOI":"10.1007/s40744-016-0041-3","ISSN":"2198-6576, 2198-6584","issue":"2","language":"en","page":"257-270","source":"Crossref","title":"Randomized Crossover Comparison of Injection Site Pain with 40 mg/0.4 or 0.8 mL Formulations of Adalimumab in Patients with Rheumatoid Arthritis","volume":"3","author":[{"family":"Nash","given":"Peter"},{"family":"Vanhoof","given":"Johan"},{"family":"Hall","given":"Stephen"},{"family":"Arulmani","given":"Udayasankar"},{"family":"Tarzynski-Potempa","given":"Rita"},{"family":"Unnebrink","given":"Kristina"},{"family":"Payne","given":"Andrew N."},{"family":"Cividino","given":"Alfred"}],"issued":{"date-parts":[["2016",12]]}}}],"schema":"https://github.com/citation-style-language/schema/raw/master/csl-citation.json"} </w:instrText>
      </w:r>
      <w:r w:rsidR="001907DA" w:rsidRPr="002A30E6">
        <w:fldChar w:fldCharType="separate"/>
      </w:r>
      <w:r w:rsidR="00C26218" w:rsidRPr="00C26218">
        <w:rPr>
          <w:rFonts w:ascii="Calibri" w:hAnsi="Calibri" w:cs="Calibri"/>
        </w:rPr>
        <w:t>[19], [20]</w:t>
      </w:r>
      <w:r w:rsidR="001907DA" w:rsidRPr="002A30E6">
        <w:fldChar w:fldCharType="end"/>
      </w:r>
      <w:r w:rsidR="00F3027D" w:rsidRPr="002A30E6">
        <w:t>.</w:t>
      </w:r>
      <w:r w:rsidR="00F01021" w:rsidRPr="002A30E6">
        <w:t xml:space="preserve"> </w:t>
      </w:r>
      <w:r w:rsidR="001552A6" w:rsidRPr="002A30E6">
        <w:t>Interestingly, most</w:t>
      </w:r>
      <w:r w:rsidR="00A76AA5" w:rsidRPr="002A30E6">
        <w:t xml:space="preserve"> participants were </w:t>
      </w:r>
      <w:r w:rsidR="00216E9F" w:rsidRPr="002A30E6">
        <w:t xml:space="preserve">willing to tolerate this for relatively short period of the trial </w:t>
      </w:r>
      <w:r w:rsidR="00684E9C" w:rsidRPr="002A30E6">
        <w:t xml:space="preserve">but </w:t>
      </w:r>
      <w:r w:rsidR="00043FFA" w:rsidRPr="002A30E6">
        <w:t>frequently</w:t>
      </w:r>
      <w:r w:rsidR="00A65E9A" w:rsidRPr="002A30E6">
        <w:t xml:space="preserve"> cited this as the main reason for </w:t>
      </w:r>
      <w:r w:rsidR="00684E9C" w:rsidRPr="002A30E6">
        <w:t>request</w:t>
      </w:r>
      <w:r w:rsidR="00A65E9A" w:rsidRPr="002A30E6">
        <w:t>ing</w:t>
      </w:r>
      <w:r w:rsidR="00684E9C" w:rsidRPr="002A30E6">
        <w:t xml:space="preserve"> to change to a </w:t>
      </w:r>
      <w:r w:rsidR="008749E7" w:rsidRPr="002A30E6">
        <w:t>biosimilar</w:t>
      </w:r>
      <w:r w:rsidR="00200E81" w:rsidRPr="002A30E6">
        <w:t xml:space="preserve"> adalimumab </w:t>
      </w:r>
      <w:r w:rsidR="00FF7ACB" w:rsidRPr="002A30E6">
        <w:t xml:space="preserve">product </w:t>
      </w:r>
      <w:r w:rsidR="003C3B13" w:rsidRPr="002A30E6">
        <w:t xml:space="preserve">that </w:t>
      </w:r>
      <w:r w:rsidR="00542D2A" w:rsidRPr="002A30E6">
        <w:t xml:space="preserve">is </w:t>
      </w:r>
      <w:r w:rsidR="00FF7ACB" w:rsidRPr="002A30E6">
        <w:t>formulated without citrate</w:t>
      </w:r>
      <w:r w:rsidR="003A531E" w:rsidRPr="002A30E6">
        <w:t xml:space="preserve"> (</w:t>
      </w:r>
      <w:r w:rsidR="005B100F">
        <w:t>ABP501</w:t>
      </w:r>
      <w:r w:rsidR="003A531E" w:rsidRPr="002A30E6">
        <w:t>)</w:t>
      </w:r>
      <w:r w:rsidR="008749E7" w:rsidRPr="002A30E6">
        <w:t xml:space="preserve"> for ongoing treatment following the trial</w:t>
      </w:r>
      <w:r w:rsidR="00BA1FB4" w:rsidRPr="002A30E6">
        <w:t xml:space="preserve"> (</w:t>
      </w:r>
      <w:r w:rsidR="00A63E73" w:rsidRPr="002A30E6">
        <w:t xml:space="preserve">Supplementary Table </w:t>
      </w:r>
      <w:r w:rsidR="00FC28EE">
        <w:t>7</w:t>
      </w:r>
      <w:r w:rsidR="00BA1FB4" w:rsidRPr="002A30E6">
        <w:t>)</w:t>
      </w:r>
      <w:r w:rsidR="00DB0981" w:rsidRPr="002A30E6">
        <w:t>.</w:t>
      </w:r>
      <w:r w:rsidR="003220A4" w:rsidRPr="002A30E6">
        <w:t xml:space="preserve"> In many instances, the first dose of this was administered immediately following the </w:t>
      </w:r>
      <w:r w:rsidR="004E6CA6" w:rsidRPr="002A30E6">
        <w:t>final study visit and appeared to be well-tolerated.</w:t>
      </w:r>
    </w:p>
    <w:p w14:paraId="32F95C30" w14:textId="57A97797" w:rsidR="0091587D" w:rsidRPr="002A30E6" w:rsidRDefault="000A6E26" w:rsidP="0091587D">
      <w:r w:rsidRPr="002A30E6">
        <w:lastRenderedPageBreak/>
        <w:t>Previous authors have reported</w:t>
      </w:r>
      <w:r w:rsidR="00A8049D" w:rsidRPr="002A30E6">
        <w:t xml:space="preserve"> that t</w:t>
      </w:r>
      <w:r w:rsidR="00C24337" w:rsidRPr="002A30E6">
        <w:t>he n</w:t>
      </w:r>
      <w:r w:rsidR="00164703" w:rsidRPr="002A30E6">
        <w:t>ocebo</w:t>
      </w:r>
      <w:r w:rsidR="00C24337" w:rsidRPr="002A30E6">
        <w:t xml:space="preserve"> phenomenon</w:t>
      </w:r>
      <w:r w:rsidR="00164703" w:rsidRPr="002A30E6">
        <w:t>,</w:t>
      </w:r>
      <w:r w:rsidR="00C24337" w:rsidRPr="002A30E6">
        <w:t xml:space="preserve"> </w:t>
      </w:r>
      <w:r w:rsidR="004956B8" w:rsidRPr="002A30E6">
        <w:t xml:space="preserve">adverse symptoms </w:t>
      </w:r>
      <w:r w:rsidR="00A8049D" w:rsidRPr="002A30E6">
        <w:t>induced by negative expectations</w:t>
      </w:r>
      <w:r w:rsidR="000A132F" w:rsidRPr="002A30E6">
        <w:t xml:space="preserve"> </w:t>
      </w:r>
      <w:r w:rsidR="00FA6361" w:rsidRPr="002A30E6">
        <w:t xml:space="preserve">associated with </w:t>
      </w:r>
      <w:r w:rsidR="00954237" w:rsidRPr="002A30E6">
        <w:t>a change to an therapeutically equivalent medicine</w:t>
      </w:r>
      <w:r w:rsidR="00A8049D" w:rsidRPr="002A30E6">
        <w:t xml:space="preserve">, may contribute to </w:t>
      </w:r>
      <w:r w:rsidR="008F4866" w:rsidRPr="002A30E6">
        <w:t xml:space="preserve">higher injection pain scores on switching </w:t>
      </w:r>
      <w:r w:rsidR="008F4866" w:rsidRPr="002A30E6">
        <w:fldChar w:fldCharType="begin"/>
      </w:r>
      <w:r w:rsidR="00C26218">
        <w:instrText xml:space="preserve"> ADDIN ZOTERO_ITEM CSL_CITATION {"citationID":"wjkzhr5n","properties":{"formattedCitation":"[21]","plainCitation":"[21]","noteIndex":0},"citationItems":[{"id":121,"uris":["http://zotero.org/users/5054817/items/36C5WV67"],"itemData":{"id":121,"type":"article-journal","abstract":"Abstract\n            \n              Background and Aims\n              Patients’ perspectives after switching from originator to biosimilar adalimumab have yet to be assessed. We evaluated the efficacy of switching from the originator adalimumab to a biosimilar compound [SB5] in patients with inflammatory bowel disease [IBD].\n            \n            \n              Methods\n              Data on IBD patients who were switched from the originator to biosimilar adalimumab [SB5] at IBD Center ISCARE were analysed. Disease activity was assessed using standard clinical indices (Harvey-Bradshaw index [HBI] for Crohn’s disease [CD] and partial Mayo score for ulcerative colitis [UC]), and laboratory parameters (C-reactive protein [CRP] and faecal calprotectin [FC]). Trough levels and anti-drug antibodies were measured. Patients were evaluated 10 weeks [W10] after the switch, and results were compared with the control group of patients on originator compound.\n            \n            \n              Results\n              A total of 93 patients switched to biosimilar adalimumab were included [CD 86%] and were matched to 93 controls for age, gender, diagnosis, and disease activity. There was no difference in the disease activity in either SWITCH or ORIGINATOR cohorts between Weeks 0 and 10. Similarly, no difference was found between cohorts at both prespecified time points. Moreover, no significant differences in CRP or FC concentrations were seen between W0 and W10 either in the SWITCH, or in the ORIGINATOR cohort [p &amp;gt;0.05]. Adalimumab serum trough levels remained stable after the switch. No new safety signals were detected.\n            \n            \n              Conclusions\n              Our study confirmed that switching IBD patients from the originator adalimumab to a biosimilar compound [SB5] does not affect treatment efficacy.","container-title":"Journal of Crohn's and Colitis","DOI":"10.1093/ecco-jcc/jjaa001","ISSN":"1873-9946, 1876-4479","issue":"7","language":"en","page":"915-919","source":"DOI.org (Crossref)","title":"Switching From Originator Adalimumab to the Biosimilar SB5 in Patients With Inflammatory Bowel Disease: Short-term Experience From a Single Tertiary Clinical Centre","title-short":"Switching From Originator Adalimumab to the Biosimilar SB5 in Patients With Inflammatory Bowel Disease","volume":"14","author":[{"family":"Lukas","given":"Martin"},{"family":"Malickova","given":"K"},{"family":"Kolar","given":"M"},{"family":"Bortlik","given":"M"},{"family":"Vasatko","given":"M"},{"family":"Machkova","given":"N"},{"family":"Hruba","given":"V"},{"family":"Duricova","given":"D"},{"family":"Lukas","given":"Milan"}],"issued":{"date-parts":[["2020",7,30]]}}}],"schema":"https://github.com/citation-style-language/schema/raw/master/csl-citation.json"} </w:instrText>
      </w:r>
      <w:r w:rsidR="008F4866" w:rsidRPr="002A30E6">
        <w:fldChar w:fldCharType="separate"/>
      </w:r>
      <w:r w:rsidR="00C26218" w:rsidRPr="00C26218">
        <w:rPr>
          <w:rFonts w:ascii="Calibri" w:hAnsi="Calibri" w:cs="Calibri"/>
        </w:rPr>
        <w:t>[21]</w:t>
      </w:r>
      <w:r w:rsidR="008F4866" w:rsidRPr="002A30E6">
        <w:fldChar w:fldCharType="end"/>
      </w:r>
      <w:r w:rsidR="00FF5A91" w:rsidRPr="002A30E6">
        <w:t xml:space="preserve">. </w:t>
      </w:r>
      <w:r w:rsidR="004E5E63" w:rsidRPr="002A30E6">
        <w:t xml:space="preserve">With more time for </w:t>
      </w:r>
      <w:r w:rsidR="007D4661" w:rsidRPr="002A30E6">
        <w:t xml:space="preserve">counselling </w:t>
      </w:r>
      <w:r w:rsidR="00767796" w:rsidRPr="002A30E6">
        <w:t>available in the clinical trial</w:t>
      </w:r>
      <w:r w:rsidR="00CD6905" w:rsidRPr="002A30E6">
        <w:t>, compared to routine clinical practice</w:t>
      </w:r>
      <w:r w:rsidR="007046B9" w:rsidRPr="002A30E6">
        <w:t xml:space="preserve">, </w:t>
      </w:r>
      <w:r w:rsidR="0091587D" w:rsidRPr="002A30E6">
        <w:t xml:space="preserve">we were able to </w:t>
      </w:r>
      <w:r w:rsidR="007046B9" w:rsidRPr="002A30E6">
        <w:t xml:space="preserve">implement </w:t>
      </w:r>
      <w:r w:rsidR="0091587D" w:rsidRPr="002A30E6">
        <w:t xml:space="preserve">many of the </w:t>
      </w:r>
      <w:r w:rsidR="00333E94" w:rsidRPr="002A30E6">
        <w:t>strategies</w:t>
      </w:r>
      <w:r w:rsidR="007046B9" w:rsidRPr="002A30E6">
        <w:t xml:space="preserve"> </w:t>
      </w:r>
      <w:r w:rsidR="0091587D" w:rsidRPr="002A30E6">
        <w:t xml:space="preserve">suggested </w:t>
      </w:r>
      <w:r w:rsidR="007046B9" w:rsidRPr="002A30E6">
        <w:t xml:space="preserve">to </w:t>
      </w:r>
      <w:r w:rsidR="001A6BA3" w:rsidRPr="002A30E6">
        <w:t>minimi</w:t>
      </w:r>
      <w:r w:rsidR="00284A2F">
        <w:t>s</w:t>
      </w:r>
      <w:r w:rsidR="001A6BA3" w:rsidRPr="002A30E6">
        <w:t>e</w:t>
      </w:r>
      <w:r w:rsidR="007046B9" w:rsidRPr="002A30E6">
        <w:t xml:space="preserve"> nocebo effects </w:t>
      </w:r>
      <w:r w:rsidR="00EB30FE" w:rsidRPr="002A30E6">
        <w:fldChar w:fldCharType="begin"/>
      </w:r>
      <w:r w:rsidR="00C26218">
        <w:instrText xml:space="preserve"> ADDIN ZOTERO_ITEM CSL_CITATION {"citationID":"sE8Cd48Z","properties":{"formattedCitation":"[10], [22]","plainCitation":"[10], [22]","noteIndex":0},"citationItems":[{"id":202,"uris":["http://zotero.org/users/5054817/items/9CLQSIVX"],"itemData":{"id":202,"type":"article-journal","container-title":"Rheumatology and Therapy","DOI":"10.1007/s40744-017-0085-z","ISSN":"2198-6576, 2198-6584","issue":"2","journalAbbreviation":"Rheumatol Ther","language":"en","page":"209-218","source":"DOI.org (Crossref)","title":"Treatment Outcomes with Biosimilars: Be Aware of the Nocebo Effect","title-short":"Treatment Outcomes with Biosimilars","volume":"4","author":[{"family":"Rezk","given":"Mourad F."},{"family":"Pieper","given":"Burkhard"}],"issued":{"date-parts":[["2017",12]]}}},{"id":724,"uris":["http://zotero.org/users/5054817/items/365X8G42"],"itemData":{"id":724,"type":"article-journal","abstract":"Background and Aims. Regulatory pathways compare biosimilars with originator molecules only and not with other biosimilars. With the development of multiple infliximab biosimilars, patients may be asked to transition between them. Data is emerging but there is still a gap in the evidence on switching between infliximab biosimilars. Our aim was to conduct a full evaluation of switching a cohort of IBD patients from one biosimilar (CT-P13) to another (SB2) in a real-world setting including clinical and patient experience and molecular and drug immunogenicity aspects of the process. Methods. Prospective, phase IV interventional study of patients on CT-P13 switched to SB2. Demographics, disease history, validated disease activity scores, PROMs, and laboratory measurements were collected. Semistructured qualitative interviews were also conducted. Results. 133 out of 158 patients agreed to participate. Mean disease duration was 9.2 years. There was no difference in mean haemoglobin, platelet count, albumin, and C-reactive protein before and after switching. Mean faecal calprotectin at baseline and at week 30/32 was 306 μg/g versus 210 μg/g. Mean pMCS and mHBI at baseline were 1.54 and 3.14 versus 1.18 and 2.91 at week 30/32, respectively. Thirty-five subjects discontinued. There were 16 serious adverse events. Thematic analysis identified six major themes that reflected the patient experience—trust, clinical status at the point of switching, past experience, general disposition, information provision, and concerns/anxiety. Conclusions. Switching from CT-P13 to SB2 is safe and effective. Certain factors must be considered in supporting patient decision-making. These results support the development of clear, streamlined, and well-monitored biosimilar switching programmes.","container-title":"GastroHep","DOI":"10.1155/2023/1248526","ISSN":"1478-1239","journalAbbreviation":"GastroHep","language":"en","page":"1-14","source":"DOI.org (Crossref)","title":"Clinical Outcomes and Patient Experience of Biosimilar to Biosimilar Infliximab Switching in Patients with Inflammatory Bowel Disease: A Prospective, Single-Centre, Phase IV Interventional Study with a Nested Qualitative Study","title-short":"Clinical Outcomes and Patient Experience of Biosimilar to Biosimilar Infliximab Switching in Patients with Inflammatory Bowel Disease","volume":"2023","author":[{"family":"Harris","given":"Clare"},{"family":"Harris","given":"Richard James"},{"family":"Young","given":"David"},{"family":"McDonnell","given":"Martin"},{"family":"Clancy","given":"Bridget"},{"family":"Harvey","given":"Justin"},{"family":"Araujo","given":"Carlos"},{"family":"Iria","given":"Ines"},{"family":"Goncalves","given":"Joao"},{"family":"Latter","given":"Susan"},{"family":"Cummings","given":"J. R. Fraser"}],"editor":[{"family":"Sugumaran","given":"Arjun"}],"issued":{"date-parts":[["2023",8,25]]}}}],"schema":"https://github.com/citation-style-language/schema/raw/master/csl-citation.json"} </w:instrText>
      </w:r>
      <w:r w:rsidR="00EB30FE" w:rsidRPr="002A30E6">
        <w:fldChar w:fldCharType="separate"/>
      </w:r>
      <w:r w:rsidR="00C26218" w:rsidRPr="00C26218">
        <w:rPr>
          <w:rFonts w:ascii="Calibri" w:hAnsi="Calibri" w:cs="Calibri"/>
        </w:rPr>
        <w:t>[10], [22]</w:t>
      </w:r>
      <w:r w:rsidR="00EB30FE" w:rsidRPr="002A30E6">
        <w:fldChar w:fldCharType="end"/>
      </w:r>
      <w:r w:rsidR="0091587D" w:rsidRPr="002A30E6">
        <w:t xml:space="preserve">. Consequently, </w:t>
      </w:r>
      <w:r w:rsidR="0084142A" w:rsidRPr="002A30E6">
        <w:t>i</w:t>
      </w:r>
      <w:r w:rsidR="0091587D" w:rsidRPr="002A30E6">
        <w:t xml:space="preserve">n the associated interview study, patients reported feeling supported through the transition </w:t>
      </w:r>
      <w:r w:rsidR="0076543F" w:rsidRPr="002A30E6">
        <w:fldChar w:fldCharType="begin"/>
      </w:r>
      <w:r w:rsidR="00C26218">
        <w:instrText xml:space="preserve"> ADDIN ZOTERO_ITEM CSL_CITATION {"citationID":"oXZBICTf","properties":{"formattedCitation":"[18]","plainCitation":"[18]","noteIndex":0},"citationItems":[{"id":713,"uris":["http://zotero.org/users/5054817/items/8I4HDI35"],"itemData":{"id":713,"type":"article-journal","container-title":"European Journal of Hospital Pharmacy","DOI":"10.1136/ejhpharm-2022-003371","ISSN":"2047-9956, 2047-9964","journalAbbreviation":"Eur J Hosp Pharm","language":"en","page":"ejhpharm-2022-003371","source":"DOI.org (Crossref)","title":"Patient perspectives of successful adalimumab biosimilar transitioning in Crohn’s disease: an interview study","title-short":"Patient perspectives of successful adalimumab biosimilar transitioning in Crohn’s disease","author":[{"family":"Young","given":"David"},{"family":"Cummings","given":"Fraser"},{"family":"Latter","given":"Susan"}],"issued":{"date-parts":[["2022",7,19]]}}}],"schema":"https://github.com/citation-style-language/schema/raw/master/csl-citation.json"} </w:instrText>
      </w:r>
      <w:r w:rsidR="0076543F" w:rsidRPr="002A30E6">
        <w:fldChar w:fldCharType="separate"/>
      </w:r>
      <w:r w:rsidR="00C26218" w:rsidRPr="00C26218">
        <w:rPr>
          <w:rFonts w:ascii="Calibri" w:hAnsi="Calibri" w:cs="Calibri"/>
        </w:rPr>
        <w:t>[18]</w:t>
      </w:r>
      <w:r w:rsidR="0076543F" w:rsidRPr="002A30E6">
        <w:fldChar w:fldCharType="end"/>
      </w:r>
      <w:r w:rsidR="00E156F2" w:rsidRPr="002A30E6">
        <w:t xml:space="preserve"> and </w:t>
      </w:r>
      <w:r w:rsidR="00556F99" w:rsidRPr="002A30E6">
        <w:t>thus</w:t>
      </w:r>
      <w:r w:rsidR="00E156F2" w:rsidRPr="002A30E6">
        <w:t xml:space="preserve"> we believe that the nocebo effect was </w:t>
      </w:r>
      <w:r w:rsidR="001A6BA3" w:rsidRPr="002A30E6">
        <w:t>minimi</w:t>
      </w:r>
      <w:r w:rsidR="00284A2F">
        <w:t>s</w:t>
      </w:r>
      <w:r w:rsidR="001A6BA3" w:rsidRPr="002A30E6">
        <w:t>ed</w:t>
      </w:r>
      <w:r w:rsidR="00E156F2" w:rsidRPr="002A30E6">
        <w:t>. This is supported</w:t>
      </w:r>
      <w:r w:rsidR="00B37325" w:rsidRPr="002A30E6">
        <w:t xml:space="preserve"> by</w:t>
      </w:r>
      <w:r w:rsidR="00C42723" w:rsidRPr="002A30E6">
        <w:t xml:space="preserve"> consistent </w:t>
      </w:r>
      <w:r w:rsidR="00DA4551" w:rsidRPr="002A30E6">
        <w:t xml:space="preserve">injection pain </w:t>
      </w:r>
      <w:r w:rsidR="000F3747" w:rsidRPr="002A30E6">
        <w:t xml:space="preserve">and IBD-Control-VAS </w:t>
      </w:r>
      <w:r w:rsidR="00DA4551" w:rsidRPr="002A30E6">
        <w:t>scores over the trial period (</w:t>
      </w:r>
      <w:r w:rsidR="00D66197" w:rsidRPr="002A30E6">
        <w:t xml:space="preserve">Supplementary Figure </w:t>
      </w:r>
      <w:r w:rsidR="00187235">
        <w:t>3</w:t>
      </w:r>
      <w:r w:rsidR="000F3747" w:rsidRPr="002A30E6">
        <w:t xml:space="preserve"> and </w:t>
      </w:r>
      <w:r w:rsidR="00D66197" w:rsidRPr="002A30E6">
        <w:t xml:space="preserve">Supplementary Figure </w:t>
      </w:r>
      <w:r w:rsidR="00187235">
        <w:t>4</w:t>
      </w:r>
      <w:r w:rsidR="00575004" w:rsidRPr="002A30E6">
        <w:t>).</w:t>
      </w:r>
      <w:r w:rsidR="002F46C4" w:rsidRPr="002A30E6">
        <w:t xml:space="preserve"> Similarly, </w:t>
      </w:r>
      <w:r w:rsidR="006C1C55" w:rsidRPr="002A30E6">
        <w:t>the</w:t>
      </w:r>
      <w:r w:rsidR="00E672FF" w:rsidRPr="002A30E6">
        <w:t xml:space="preserve"> overall</w:t>
      </w:r>
      <w:r w:rsidR="006C1C55" w:rsidRPr="002A30E6">
        <w:t xml:space="preserve"> incidence of adverse effects</w:t>
      </w:r>
      <w:r w:rsidR="00E672FF" w:rsidRPr="002A30E6">
        <w:t xml:space="preserve"> </w:t>
      </w:r>
      <w:r w:rsidR="006C1C55" w:rsidRPr="002A30E6">
        <w:t>was the similar in each treatment period.</w:t>
      </w:r>
      <w:r w:rsidR="00A9037F" w:rsidRPr="002A30E6">
        <w:t xml:space="preserve"> </w:t>
      </w:r>
      <w:r w:rsidR="00085B77" w:rsidRPr="002A30E6">
        <w:t>Despite reasonable objective control of their disease</w:t>
      </w:r>
      <w:r w:rsidR="00575004" w:rsidRPr="002A30E6">
        <w:t xml:space="preserve">, </w:t>
      </w:r>
      <w:r w:rsidR="007D28BD" w:rsidRPr="002A30E6">
        <w:t>the</w:t>
      </w:r>
      <w:r w:rsidR="00A9037F" w:rsidRPr="002A30E6">
        <w:t xml:space="preserve"> relatively high </w:t>
      </w:r>
      <w:r w:rsidR="00085B77" w:rsidRPr="002A30E6">
        <w:t xml:space="preserve">overall </w:t>
      </w:r>
      <w:r w:rsidR="00A9037F" w:rsidRPr="002A30E6">
        <w:t>incidence of adverse events</w:t>
      </w:r>
      <w:r w:rsidR="00085B77" w:rsidRPr="002A30E6">
        <w:t xml:space="preserve"> </w:t>
      </w:r>
      <w:r w:rsidR="00537180" w:rsidRPr="002A30E6">
        <w:t>(a</w:t>
      </w:r>
      <w:r w:rsidR="002F46C4" w:rsidRPr="002A30E6">
        <w:t xml:space="preserve">pproximately </w:t>
      </w:r>
      <w:r w:rsidR="00537180" w:rsidRPr="002A30E6">
        <w:t xml:space="preserve">one-half of participants experiencing an adverse event in each treatment period) was striking and </w:t>
      </w:r>
      <w:r w:rsidR="002B4E7B" w:rsidRPr="002A30E6">
        <w:t xml:space="preserve">demonstrates the </w:t>
      </w:r>
      <w:r w:rsidR="00720A4C" w:rsidRPr="002A30E6">
        <w:t>morbidity</w:t>
      </w:r>
      <w:r w:rsidR="002B4E7B" w:rsidRPr="002A30E6">
        <w:t xml:space="preserve"> </w:t>
      </w:r>
      <w:r w:rsidR="00D275CD" w:rsidRPr="002A30E6">
        <w:t>burden</w:t>
      </w:r>
      <w:r w:rsidR="003D0035" w:rsidRPr="002A30E6">
        <w:t xml:space="preserve"> on patients</w:t>
      </w:r>
      <w:r w:rsidR="004A5D5D" w:rsidRPr="002A30E6">
        <w:t>.</w:t>
      </w:r>
    </w:p>
    <w:p w14:paraId="484BD4F9" w14:textId="69D845BF" w:rsidR="00F46B32" w:rsidRPr="00494BB8" w:rsidRDefault="00F46B32">
      <w:pPr>
        <w:rPr>
          <w:rStyle w:val="Heading3Char"/>
        </w:rPr>
      </w:pPr>
      <w:r w:rsidRPr="002A30E6">
        <w:t>Multiple</w:t>
      </w:r>
      <w:r w:rsidR="00F73125" w:rsidRPr="002A30E6">
        <w:t>,</w:t>
      </w:r>
      <w:r w:rsidRPr="002A30E6">
        <w:t xml:space="preserve"> </w:t>
      </w:r>
      <w:r w:rsidR="000905BE" w:rsidRPr="002A30E6">
        <w:t xml:space="preserve">bidirectional </w:t>
      </w:r>
      <w:r w:rsidR="00055847" w:rsidRPr="002A30E6">
        <w:t xml:space="preserve">switches between </w:t>
      </w:r>
      <w:r w:rsidR="007B5959" w:rsidRPr="002A30E6">
        <w:t>reference</w:t>
      </w:r>
      <w:r w:rsidR="000905BE" w:rsidRPr="002A30E6">
        <w:t xml:space="preserve"> and multiple biosimilar</w:t>
      </w:r>
      <w:r w:rsidR="00F73125" w:rsidRPr="002A30E6">
        <w:t>s</w:t>
      </w:r>
      <w:r w:rsidR="000905BE" w:rsidRPr="002A30E6">
        <w:t xml:space="preserve"> of the same </w:t>
      </w:r>
      <w:r w:rsidR="00F73125" w:rsidRPr="002A30E6">
        <w:t>biological</w:t>
      </w:r>
      <w:r w:rsidR="000905BE" w:rsidRPr="002A30E6">
        <w:t xml:space="preserve"> medicine are already a consideration in routine clinical practice</w:t>
      </w:r>
      <w:r w:rsidR="00F73125" w:rsidRPr="002A30E6">
        <w:t>. These are</w:t>
      </w:r>
      <w:r w:rsidR="000905BE" w:rsidRPr="002A30E6">
        <w:t xml:space="preserve"> likely t</w:t>
      </w:r>
      <w:r w:rsidR="007D28BD" w:rsidRPr="002A30E6">
        <w:t xml:space="preserve">o become </w:t>
      </w:r>
      <w:r w:rsidR="000905BE" w:rsidRPr="002A30E6">
        <w:t>common</w:t>
      </w:r>
      <w:r w:rsidR="007D28BD" w:rsidRPr="002A30E6">
        <w:t>place</w:t>
      </w:r>
      <w:r w:rsidR="000905BE" w:rsidRPr="002A30E6">
        <w:t xml:space="preserve"> as the number of </w:t>
      </w:r>
      <w:r w:rsidR="00121238" w:rsidRPr="002A30E6">
        <w:t>biosimilar products</w:t>
      </w:r>
      <w:r w:rsidR="00F914E6" w:rsidRPr="002A30E6">
        <w:t xml:space="preserve"> </w:t>
      </w:r>
      <w:r w:rsidR="00121238" w:rsidRPr="002A30E6">
        <w:t xml:space="preserve">increases and </w:t>
      </w:r>
      <w:r w:rsidR="00C1499E" w:rsidRPr="002A30E6">
        <w:t>competition forces cha</w:t>
      </w:r>
      <w:r w:rsidR="00D51187" w:rsidRPr="002A30E6">
        <w:t xml:space="preserve">nges in drug </w:t>
      </w:r>
      <w:r w:rsidR="00B71267" w:rsidRPr="002A30E6">
        <w:t>acquisition costs</w:t>
      </w:r>
      <w:r w:rsidR="00AE44A1" w:rsidRPr="002A30E6">
        <w:t>.</w:t>
      </w:r>
      <w:r w:rsidR="00D51187" w:rsidRPr="002A30E6">
        <w:t xml:space="preserve"> </w:t>
      </w:r>
      <w:r w:rsidR="00E023C5" w:rsidRPr="002A30E6">
        <w:t xml:space="preserve">While </w:t>
      </w:r>
      <w:r w:rsidR="00776AFA" w:rsidRPr="002A30E6">
        <w:t>positive</w:t>
      </w:r>
      <w:r w:rsidR="00E023C5" w:rsidRPr="002A30E6">
        <w:t xml:space="preserve"> </w:t>
      </w:r>
      <w:r w:rsidR="00D51187" w:rsidRPr="002A30E6">
        <w:t xml:space="preserve">data </w:t>
      </w:r>
      <w:r w:rsidR="00E023C5" w:rsidRPr="002A30E6">
        <w:t xml:space="preserve">about clinical </w:t>
      </w:r>
      <w:r w:rsidR="00D51187" w:rsidRPr="002A30E6">
        <w:t xml:space="preserve">outcomes of </w:t>
      </w:r>
      <w:r w:rsidR="00CF5DF3" w:rsidRPr="002A30E6">
        <w:t>multiple switches</w:t>
      </w:r>
      <w:r w:rsidR="00E023C5" w:rsidRPr="002A30E6">
        <w:t xml:space="preserve"> is available</w:t>
      </w:r>
      <w:r w:rsidR="00CF5DF3" w:rsidRPr="002A30E6">
        <w:t>, the</w:t>
      </w:r>
      <w:r w:rsidR="00702B22" w:rsidRPr="002A30E6">
        <w:t>re remains</w:t>
      </w:r>
      <w:r w:rsidR="00CF5DF3" w:rsidRPr="002A30E6">
        <w:t xml:space="preserve"> </w:t>
      </w:r>
      <w:r w:rsidR="00906466" w:rsidRPr="002A30E6">
        <w:t xml:space="preserve">a lack of information about the </w:t>
      </w:r>
      <w:r w:rsidR="00CF5DF3" w:rsidRPr="002A30E6">
        <w:t xml:space="preserve">effect on immunogenicity </w:t>
      </w:r>
      <w:r w:rsidR="00A71FF4" w:rsidRPr="002A30E6">
        <w:fldChar w:fldCharType="begin"/>
      </w:r>
      <w:r w:rsidR="00C26218">
        <w:instrText xml:space="preserve"> ADDIN ZOTERO_ITEM CSL_CITATION {"citationID":"GPFLyPlA","properties":{"formattedCitation":"[23], [24]","plainCitation":"[23], [24]","noteIndex":0},"citationItems":[{"id":708,"uris":["http://zotero.org/users/5054817/items/E4VHSW8Z"],"itemData":{"id":708,"type":"article-journal","abstract":"Biological medicines have improved patients’ outcomes, but their high costs may limit access. Biosimilars, alternatives that have demonstrated high similarity in terms of quality, safety, and efficacy to an already licensed originator biological product, could increase competition and decrease prices. Given the expanding number of biosimilars, patients may switch from originator to biosimilar or among biosimilars. Randomized trials and observational studies conducted with multiple biosimilars over many disease areas confirmed the safety and efficacy of switching from originator to biosimilar. This study summarizes evidence on switching between biosimilars for which there are concerns to provide future guidance. A systematic search (MEDLINE, Embase, and Cochrane Library) for studies on anti-TNF agents, assessing clinical efficacy and safety of biosimilar-to-biosimilar switch in chronic inflammatory diseases, was performed. We retrieved 320 records and included 19 clinical studies. One study with historical control compared switching between biosimilars to maintenance of the same biosimilar. Ten were controlled cohort studies comparing switching between two biosimilars vs. switching from originator to a biosimilar or vs. multiple switches. Eight were single-arm cohort studies, where participants switched from one biosimilar to another, and the outcomes were compared before and after the switch. Overall, these studies did not highlight significant concerns in switching between biosimilars. Therefore, switching studies seem difficult to perform and unnecessary with the body of evidence suggesting no real problems in practice coupled with stringent regulatory requirements. Monitoring the use of biosimilars in clinical practice could support clinical decision-making, rational use of biological medicines, and help to further realize possible savings.","container-title":"Frontiers in Pharmacology","DOI":"10.3389/fphar.2022.917814","ISSN":"1663-9812","journalAbbreviation":"Front. Pharmacol.","page":"917814","source":"DOI.org (Crossref)","title":"Switching Among Biosimilars: A Review of Clinical Evidence","title-short":"Switching Among Biosimilars","volume":"13","author":[{"family":"Allocati","given":"Eleonora"},{"family":"Godman","given":"Brian"},{"family":"Gobbi","given":"Marco"},{"family":"Garattini","given":"Silvio"},{"family":"Banzi","given":"Rita"}],"issued":{"date-parts":[["2022",8,24]]}}},{"id":706,"uris":["http://zotero.org/users/5054817/items/46CL3XVU"],"itemData":{"id":706,"type":"article-journal","container-title":"Drugs","DOI":"10.1007/s40265-021-01610-1","ISSN":"0012-6667, 1179-1950","issue":"16","journalAbbreviation":"Drugs","language":"en","page":"1859-1879","source":"DOI.org (Crossref)","title":"Biosimilar-to-Biosimilar Switching: What is the Rationale and Current Experience?","title-short":"Biosimilar-to-Biosimilar Switching","volume":"81","author":[{"family":"Mysler","given":"Eduardo"},{"family":"Azevedo","given":"Valderilio Feijó"},{"family":"Danese","given":"Silvio"},{"family":"Alvarez","given":"Daniel"},{"family":"Iikuni","given":"Noriko"},{"family":"Ingram","given":"Beverly"},{"family":"Mueller","given":"Markus"},{"family":"Peyrin-Biroulet","given":"Laurent"}],"issued":{"date-parts":[["2021",11]]}}}],"schema":"https://github.com/citation-style-language/schema/raw/master/csl-citation.json"} </w:instrText>
      </w:r>
      <w:r w:rsidR="00A71FF4" w:rsidRPr="002A30E6">
        <w:fldChar w:fldCharType="separate"/>
      </w:r>
      <w:r w:rsidR="00C26218" w:rsidRPr="00C26218">
        <w:rPr>
          <w:rFonts w:ascii="Calibri" w:hAnsi="Calibri" w:cs="Calibri"/>
        </w:rPr>
        <w:t>[23], [24]</w:t>
      </w:r>
      <w:r w:rsidR="00A71FF4" w:rsidRPr="002A30E6">
        <w:fldChar w:fldCharType="end"/>
      </w:r>
      <w:r w:rsidR="00CF5DF3" w:rsidRPr="002A30E6">
        <w:t>.</w:t>
      </w:r>
      <w:r w:rsidR="005235A0" w:rsidRPr="002A30E6">
        <w:t xml:space="preserve"> It is reassuring that </w:t>
      </w:r>
      <w:r w:rsidR="00A2401B" w:rsidRPr="002A30E6">
        <w:t xml:space="preserve">there was no difference in the </w:t>
      </w:r>
      <w:r w:rsidR="00AC5AF4" w:rsidRPr="002A30E6">
        <w:t>immunogenicity rates</w:t>
      </w:r>
      <w:r w:rsidR="00633597" w:rsidRPr="002A30E6">
        <w:t xml:space="preserve"> </w:t>
      </w:r>
      <w:r w:rsidR="005235A0" w:rsidRPr="002A30E6">
        <w:t xml:space="preserve">in our work, </w:t>
      </w:r>
      <w:r w:rsidR="00633597" w:rsidRPr="002A30E6">
        <w:t>regardless of the number of switches undert</w:t>
      </w:r>
      <w:r w:rsidR="00B53EA5" w:rsidRPr="002A30E6">
        <w:t xml:space="preserve">aken </w:t>
      </w:r>
      <w:r w:rsidR="009A01F7" w:rsidRPr="002A30E6">
        <w:t>by participants.</w:t>
      </w:r>
      <w:r w:rsidR="00005F47">
        <w:br/>
      </w:r>
      <w:r w:rsidR="00A05EFF" w:rsidRPr="00494BB8">
        <w:rPr>
          <w:rStyle w:val="Heading3Char"/>
        </w:rPr>
        <w:t>Strengths and Weaknesses</w:t>
      </w:r>
    </w:p>
    <w:p w14:paraId="2C0CF76D" w14:textId="4EA745EA" w:rsidR="00807674" w:rsidRPr="002A30E6" w:rsidRDefault="0018438E">
      <w:r>
        <w:t xml:space="preserve">A </w:t>
      </w:r>
      <w:r w:rsidR="00D524B8">
        <w:t>notable</w:t>
      </w:r>
      <w:r>
        <w:t xml:space="preserve"> strength of this </w:t>
      </w:r>
      <w:r w:rsidR="001774CA">
        <w:t>study</w:t>
      </w:r>
      <w:r>
        <w:t xml:space="preserve"> is the </w:t>
      </w:r>
      <w:r w:rsidR="004217DA">
        <w:t>completeness</w:t>
      </w:r>
      <w:r>
        <w:t xml:space="preserve"> and prospective nature</w:t>
      </w:r>
      <w:r w:rsidR="004217DA">
        <w:t xml:space="preserve"> of the data </w:t>
      </w:r>
      <w:r>
        <w:t>collected</w:t>
      </w:r>
      <w:r w:rsidR="004217DA">
        <w:t>,</w:t>
      </w:r>
      <w:r w:rsidR="00CF4E1A">
        <w:t xml:space="preserve"> including </w:t>
      </w:r>
      <w:r>
        <w:t>therapeutic drug monitoring</w:t>
      </w:r>
      <w:r w:rsidR="0038720D">
        <w:t xml:space="preserve"> and </w:t>
      </w:r>
      <w:r w:rsidR="0038720D" w:rsidRPr="0038720D">
        <w:t>humanistic patient-reported outcomes measures</w:t>
      </w:r>
      <w:r>
        <w:t>.</w:t>
      </w:r>
      <w:r w:rsidR="00B36A79">
        <w:t xml:space="preserve"> The crossover design </w:t>
      </w:r>
      <w:r w:rsidR="00361FDD">
        <w:t xml:space="preserve">is </w:t>
      </w:r>
      <w:r w:rsidR="00E32921">
        <w:t xml:space="preserve">particularly valuable in assessing patient experience </w:t>
      </w:r>
      <w:r w:rsidR="00147AFA">
        <w:t>as it allows participant</w:t>
      </w:r>
      <w:r w:rsidR="0048718B">
        <w:t>s</w:t>
      </w:r>
      <w:r w:rsidR="00147AFA">
        <w:t xml:space="preserve"> to</w:t>
      </w:r>
      <w:r w:rsidR="0048718B">
        <w:t xml:space="preserve"> experience and </w:t>
      </w:r>
      <w:r w:rsidR="008B321C">
        <w:t xml:space="preserve">give feedback on </w:t>
      </w:r>
      <w:r w:rsidR="0048718B">
        <w:t>each brand</w:t>
      </w:r>
      <w:r w:rsidR="008B321C">
        <w:t>.</w:t>
      </w:r>
      <w:r w:rsidR="004217DA">
        <w:t xml:space="preserve"> </w:t>
      </w:r>
      <w:r w:rsidR="002B4BAD" w:rsidRPr="002A30E6">
        <w:t>The main limitation of this study was the</w:t>
      </w:r>
      <w:r w:rsidR="00B97985" w:rsidRPr="002A30E6">
        <w:t xml:space="preserve"> underpower</w:t>
      </w:r>
      <w:r w:rsidR="007E6C17" w:rsidRPr="002A30E6">
        <w:t>ing</w:t>
      </w:r>
      <w:r w:rsidR="00B97985" w:rsidRPr="002A30E6">
        <w:t xml:space="preserve"> due to recruitment difficulties, principally because of the COVID</w:t>
      </w:r>
      <w:r w:rsidR="00776AFA" w:rsidRPr="002A30E6">
        <w:t>-19</w:t>
      </w:r>
      <w:r w:rsidR="00B97985" w:rsidRPr="002A30E6">
        <w:t xml:space="preserve"> pandemic</w:t>
      </w:r>
      <w:r w:rsidR="00A73D07" w:rsidRPr="002A30E6">
        <w:t>.</w:t>
      </w:r>
      <w:r w:rsidR="006B0D1F" w:rsidRPr="002A30E6">
        <w:t xml:space="preserve"> </w:t>
      </w:r>
      <w:r w:rsidR="006B0D1F" w:rsidRPr="002A30E6">
        <w:lastRenderedPageBreak/>
        <w:t>During th</w:t>
      </w:r>
      <w:r w:rsidR="00776AFA" w:rsidRPr="002A30E6">
        <w:t>e</w:t>
      </w:r>
      <w:r w:rsidR="00A73D07" w:rsidRPr="002A30E6">
        <w:t xml:space="preserve"> pandemic</w:t>
      </w:r>
      <w:r w:rsidR="006B0D1F" w:rsidRPr="002A30E6">
        <w:t xml:space="preserve">, </w:t>
      </w:r>
      <w:r w:rsidR="004D1F5E" w:rsidRPr="002A30E6">
        <w:t xml:space="preserve">resources were rightly </w:t>
      </w:r>
      <w:r w:rsidR="00F806F0" w:rsidRPr="002A30E6">
        <w:t>focused</w:t>
      </w:r>
      <w:r w:rsidR="004D1F5E" w:rsidRPr="002A30E6">
        <w:t xml:space="preserve"> on COVID</w:t>
      </w:r>
      <w:r w:rsidR="00776AFA" w:rsidRPr="002A30E6">
        <w:t>-19</w:t>
      </w:r>
      <w:r w:rsidR="004D1F5E" w:rsidRPr="002A30E6">
        <w:t>-related research</w:t>
      </w:r>
      <w:r w:rsidR="00A73D07" w:rsidRPr="002A30E6">
        <w:t>. Further</w:t>
      </w:r>
      <w:r w:rsidR="00776AFA" w:rsidRPr="002A30E6">
        <w:t>,</w:t>
      </w:r>
      <w:r w:rsidR="00A73D07" w:rsidRPr="002A30E6">
        <w:t xml:space="preserve"> </w:t>
      </w:r>
      <w:r w:rsidR="00BB0162" w:rsidRPr="002A30E6">
        <w:t xml:space="preserve">patients were discouraged from attending </w:t>
      </w:r>
      <w:r w:rsidR="003B5BCE" w:rsidRPr="002A30E6">
        <w:t>hospitals</w:t>
      </w:r>
      <w:r w:rsidR="00C20427" w:rsidRPr="002A30E6">
        <w:t xml:space="preserve"> for non-essential purposes</w:t>
      </w:r>
      <w:r w:rsidR="003F7814" w:rsidRPr="002A30E6">
        <w:t xml:space="preserve"> and this included our cohort</w:t>
      </w:r>
      <w:r w:rsidR="00C20427" w:rsidRPr="002A30E6">
        <w:t xml:space="preserve">. </w:t>
      </w:r>
      <w:r w:rsidR="00B23190" w:rsidRPr="002A30E6">
        <w:t>All p</w:t>
      </w:r>
      <w:r w:rsidR="00F44253" w:rsidRPr="002A30E6">
        <w:t>atients using</w:t>
      </w:r>
      <w:r w:rsidR="00CA00D8" w:rsidRPr="002A30E6">
        <w:t xml:space="preserve"> immunosuppressive</w:t>
      </w:r>
      <w:r w:rsidR="00F44253" w:rsidRPr="002A30E6">
        <w:t xml:space="preserve"> </w:t>
      </w:r>
      <w:r w:rsidR="00853407" w:rsidRPr="002A30E6">
        <w:t>biologic</w:t>
      </w:r>
      <w:r w:rsidR="00691DBF" w:rsidRPr="002A30E6">
        <w:t>al</w:t>
      </w:r>
      <w:r w:rsidR="00853407" w:rsidRPr="002A30E6">
        <w:t xml:space="preserve"> medicines</w:t>
      </w:r>
      <w:r w:rsidR="00776AFA" w:rsidRPr="002A30E6">
        <w:t>,</w:t>
      </w:r>
      <w:r w:rsidR="00853407" w:rsidRPr="002A30E6">
        <w:t xml:space="preserve"> such as adalimumab</w:t>
      </w:r>
      <w:r w:rsidR="00776AFA" w:rsidRPr="002A30E6">
        <w:t>,</w:t>
      </w:r>
      <w:r w:rsidR="00853407" w:rsidRPr="002A30E6">
        <w:t xml:space="preserve"> were recommended to continue with their treatment </w:t>
      </w:r>
      <w:r w:rsidR="00912499" w:rsidRPr="002A30E6">
        <w:t>i</w:t>
      </w:r>
      <w:r w:rsidR="00C20427" w:rsidRPr="002A30E6">
        <w:t xml:space="preserve">n the interests of </w:t>
      </w:r>
      <w:r w:rsidR="00912499" w:rsidRPr="002A30E6">
        <w:t>maintaining disease control</w:t>
      </w:r>
      <w:r w:rsidR="009138D4" w:rsidRPr="002A30E6">
        <w:t xml:space="preserve"> and reducing the need for oral corticosteroids or emergency inpatient </w:t>
      </w:r>
      <w:r w:rsidR="008E621D" w:rsidRPr="002A30E6">
        <w:t>admission</w:t>
      </w:r>
      <w:r w:rsidR="00FD6D42" w:rsidRPr="002A30E6">
        <w:t>. S</w:t>
      </w:r>
      <w:r w:rsidR="0040651A" w:rsidRPr="002A30E6">
        <w:t xml:space="preserve">everal mitigations were introduced to </w:t>
      </w:r>
      <w:r w:rsidR="00F806F0" w:rsidRPr="002A30E6">
        <w:t>maximi</w:t>
      </w:r>
      <w:r w:rsidR="00284A2F">
        <w:t>s</w:t>
      </w:r>
      <w:r w:rsidR="00F806F0" w:rsidRPr="002A30E6">
        <w:t>e</w:t>
      </w:r>
      <w:r w:rsidR="0040651A" w:rsidRPr="002A30E6">
        <w:t xml:space="preserve"> </w:t>
      </w:r>
      <w:r w:rsidR="00FD6D42" w:rsidRPr="002A30E6">
        <w:t>participant safety</w:t>
      </w:r>
      <w:r w:rsidR="00C21718" w:rsidRPr="002A30E6">
        <w:t xml:space="preserve">, including </w:t>
      </w:r>
      <w:r w:rsidR="00FB4880" w:rsidRPr="002A30E6">
        <w:t>careful screening for COVID</w:t>
      </w:r>
      <w:r w:rsidR="00776AFA" w:rsidRPr="002A30E6">
        <w:t>-19</w:t>
      </w:r>
      <w:r w:rsidR="00FB4880" w:rsidRPr="002A30E6">
        <w:t xml:space="preserve"> infection, introduction of remote </w:t>
      </w:r>
      <w:r w:rsidR="0070366B" w:rsidRPr="002A30E6">
        <w:t xml:space="preserve">study visits and </w:t>
      </w:r>
      <w:r w:rsidR="00FB4880" w:rsidRPr="002A30E6">
        <w:t>use of personal protective equipment</w:t>
      </w:r>
      <w:r w:rsidR="00FB7975" w:rsidRPr="002A30E6">
        <w:t>.</w:t>
      </w:r>
      <w:r w:rsidR="00C434ED">
        <w:t xml:space="preserve"> </w:t>
      </w:r>
      <w:r w:rsidR="00A42CE5">
        <w:t>W</w:t>
      </w:r>
      <w:r w:rsidR="005D6D85" w:rsidRPr="002A30E6">
        <w:t xml:space="preserve">e believe that </w:t>
      </w:r>
      <w:r w:rsidR="00081FBD" w:rsidRPr="002A30E6">
        <w:t xml:space="preserve">sufficient </w:t>
      </w:r>
      <w:r w:rsidR="00BC2330" w:rsidRPr="002A30E6">
        <w:t>participants</w:t>
      </w:r>
      <w:r w:rsidR="00081FBD" w:rsidRPr="002A30E6">
        <w:t xml:space="preserve"> completed the study to </w:t>
      </w:r>
      <w:r w:rsidR="00BD07EB" w:rsidRPr="002A30E6">
        <w:t>provide valuable insights</w:t>
      </w:r>
      <w:r w:rsidR="00A42CE5">
        <w:t>,</w:t>
      </w:r>
      <w:r w:rsidR="00E81A01">
        <w:t xml:space="preserve"> </w:t>
      </w:r>
      <w:r w:rsidR="002F0C72">
        <w:t>al</w:t>
      </w:r>
      <w:r w:rsidR="00541719">
        <w:t>though</w:t>
      </w:r>
      <w:r w:rsidR="006F40AB">
        <w:t xml:space="preserve"> we recognise that</w:t>
      </w:r>
      <w:r w:rsidR="00541719">
        <w:t xml:space="preserve"> inferential statistics </w:t>
      </w:r>
      <w:r w:rsidR="006F40AB">
        <w:t xml:space="preserve">provided </w:t>
      </w:r>
      <w:r w:rsidR="00541719">
        <w:t xml:space="preserve">must </w:t>
      </w:r>
      <w:r w:rsidR="006F40AB">
        <w:t xml:space="preserve">therefore </w:t>
      </w:r>
      <w:r w:rsidR="00541719">
        <w:t>be interpret</w:t>
      </w:r>
      <w:r w:rsidR="006F40AB">
        <w:t>ed with caution</w:t>
      </w:r>
      <w:r w:rsidR="00BD07EB" w:rsidRPr="002A30E6">
        <w:t>.</w:t>
      </w:r>
      <w:r w:rsidR="00B815DF" w:rsidRPr="002A30E6">
        <w:t xml:space="preserve"> </w:t>
      </w:r>
      <w:r w:rsidR="007A55B1" w:rsidRPr="002A30E6">
        <w:t xml:space="preserve">Further limitations included </w:t>
      </w:r>
      <w:r w:rsidR="00D14C78" w:rsidRPr="002A30E6">
        <w:t>th</w:t>
      </w:r>
      <w:r w:rsidR="00F96D91" w:rsidRPr="002A30E6">
        <w:t>at the RCT</w:t>
      </w:r>
      <w:r w:rsidR="00D14C78" w:rsidRPr="002A30E6">
        <w:t xml:space="preserve"> </w:t>
      </w:r>
      <w:r w:rsidR="00B815DF" w:rsidRPr="002A30E6">
        <w:t>was single</w:t>
      </w:r>
      <w:r w:rsidR="00776AFA" w:rsidRPr="002A30E6">
        <w:t>-</w:t>
      </w:r>
      <w:r w:rsidR="00B815DF" w:rsidRPr="002A30E6">
        <w:t>blinded</w:t>
      </w:r>
      <w:r w:rsidR="00D67ED9" w:rsidRPr="002A30E6">
        <w:t xml:space="preserve"> meaning that participants were aware </w:t>
      </w:r>
      <w:r w:rsidR="001F1DA3" w:rsidRPr="002A30E6">
        <w:t xml:space="preserve">which </w:t>
      </w:r>
      <w:r w:rsidR="00A74B87" w:rsidRPr="002A30E6">
        <w:t>adalimumab product</w:t>
      </w:r>
      <w:r w:rsidR="001F1DA3" w:rsidRPr="002A30E6">
        <w:t xml:space="preserve"> they were receiving throughout the trial</w:t>
      </w:r>
      <w:r w:rsidR="00815D20" w:rsidRPr="002A30E6">
        <w:t xml:space="preserve"> and</w:t>
      </w:r>
      <w:r w:rsidR="00720018" w:rsidRPr="002A30E6">
        <w:t>,</w:t>
      </w:r>
      <w:r w:rsidR="00815D20" w:rsidRPr="002A30E6">
        <w:t xml:space="preserve"> although this had the potential to introduce </w:t>
      </w:r>
      <w:r w:rsidR="00763231" w:rsidRPr="002A30E6">
        <w:t xml:space="preserve">observer </w:t>
      </w:r>
      <w:r w:rsidR="00815D20" w:rsidRPr="002A30E6">
        <w:t>bias</w:t>
      </w:r>
      <w:r w:rsidR="00D0148C" w:rsidRPr="002A30E6">
        <w:t xml:space="preserve">, </w:t>
      </w:r>
      <w:r w:rsidR="00815246" w:rsidRPr="002A30E6">
        <w:t xml:space="preserve">techniques </w:t>
      </w:r>
      <w:r w:rsidR="00F806F0" w:rsidRPr="002A30E6">
        <w:t>recogni</w:t>
      </w:r>
      <w:r w:rsidR="00284A2F">
        <w:t>s</w:t>
      </w:r>
      <w:r w:rsidR="00F806F0" w:rsidRPr="002A30E6">
        <w:t>ed</w:t>
      </w:r>
      <w:r w:rsidR="00815246" w:rsidRPr="002A30E6">
        <w:t xml:space="preserve"> to </w:t>
      </w:r>
      <w:r w:rsidR="00F806F0" w:rsidRPr="002A30E6">
        <w:t>minimi</w:t>
      </w:r>
      <w:r w:rsidR="00284A2F">
        <w:t>s</w:t>
      </w:r>
      <w:r w:rsidR="00F806F0" w:rsidRPr="002A30E6">
        <w:t>e</w:t>
      </w:r>
      <w:r w:rsidR="00815246" w:rsidRPr="002A30E6">
        <w:t xml:space="preserve"> the nocebo effect we</w:t>
      </w:r>
      <w:r w:rsidR="00166769" w:rsidRPr="002A30E6">
        <w:t>re employed</w:t>
      </w:r>
      <w:r w:rsidR="0097438D" w:rsidRPr="002A30E6">
        <w:t xml:space="preserve"> including education about biosimilars</w:t>
      </w:r>
      <w:r w:rsidR="000A7F4D" w:rsidRPr="002A30E6">
        <w:t xml:space="preserve"> and</w:t>
      </w:r>
      <w:r w:rsidR="0097438D" w:rsidRPr="002A30E6">
        <w:t xml:space="preserve"> careful monitoring</w:t>
      </w:r>
      <w:r w:rsidR="00166769" w:rsidRPr="002A30E6">
        <w:t>.</w:t>
      </w:r>
      <w:r w:rsidR="00F00536">
        <w:t xml:space="preserve"> </w:t>
      </w:r>
      <w:r w:rsidR="00B360CC" w:rsidRPr="00B360CC">
        <w:t>While one might contend that implementing a double-blind design could</w:t>
      </w:r>
      <w:r w:rsidR="00714A39">
        <w:t xml:space="preserve"> have</w:t>
      </w:r>
      <w:r w:rsidR="00B360CC" w:rsidRPr="00B360CC">
        <w:t xml:space="preserve"> </w:t>
      </w:r>
      <w:r w:rsidR="00714A39">
        <w:t>further reduced</w:t>
      </w:r>
      <w:r w:rsidR="00B360CC" w:rsidRPr="00B360CC">
        <w:t xml:space="preserve"> the influence of the nocebo effect, it would have precluded the evaluation of the specific impact of individual devices. Such assessment is pivotal in understanding the patient experience</w:t>
      </w:r>
      <w:r w:rsidR="00AC6920">
        <w:t>,</w:t>
      </w:r>
      <w:r w:rsidR="00B360CC" w:rsidRPr="00B360CC">
        <w:t xml:space="preserve"> serves as a significant distinguishing factor among products</w:t>
      </w:r>
      <w:r w:rsidR="00AC6920">
        <w:t xml:space="preserve"> and is discussed </w:t>
      </w:r>
      <w:r w:rsidR="0005546C">
        <w:t xml:space="preserve">further </w:t>
      </w:r>
      <w:r w:rsidR="00AC6920">
        <w:t>in the associated interview study</w:t>
      </w:r>
      <w:r w:rsidR="003F5174">
        <w:t>.</w:t>
      </w:r>
      <w:r w:rsidR="00166769" w:rsidRPr="002A30E6">
        <w:t xml:space="preserve"> </w:t>
      </w:r>
      <w:r w:rsidR="003C1A0E" w:rsidRPr="002A30E6">
        <w:t xml:space="preserve">While it is </w:t>
      </w:r>
      <w:r w:rsidR="00F806F0" w:rsidRPr="002A30E6">
        <w:t>recogni</w:t>
      </w:r>
      <w:r w:rsidR="00284A2F">
        <w:t>s</w:t>
      </w:r>
      <w:r w:rsidR="00F806F0" w:rsidRPr="002A30E6">
        <w:t>ed</w:t>
      </w:r>
      <w:r w:rsidR="003C1A0E" w:rsidRPr="002A30E6">
        <w:t xml:space="preserve"> that endoscopic outcomes </w:t>
      </w:r>
      <w:r w:rsidR="0038002E" w:rsidRPr="002A30E6">
        <w:t xml:space="preserve">are </w:t>
      </w:r>
      <w:r w:rsidR="00460BF1" w:rsidRPr="002A30E6">
        <w:t xml:space="preserve">the </w:t>
      </w:r>
      <w:r w:rsidR="0038002E" w:rsidRPr="002A30E6">
        <w:t>gold standa</w:t>
      </w:r>
      <w:r w:rsidR="00460BF1" w:rsidRPr="002A30E6">
        <w:t xml:space="preserve">rd in assessing </w:t>
      </w:r>
      <w:r w:rsidR="008068F7" w:rsidRPr="002A30E6">
        <w:t xml:space="preserve">disease activity in CD, this was </w:t>
      </w:r>
      <w:r w:rsidR="00704FAA" w:rsidRPr="002A30E6">
        <w:t>neither</w:t>
      </w:r>
      <w:r w:rsidR="008068F7" w:rsidRPr="002A30E6">
        <w:t xml:space="preserve"> feasible </w:t>
      </w:r>
      <w:r w:rsidR="00704FAA" w:rsidRPr="002A30E6">
        <w:t>nor appropriate for</w:t>
      </w:r>
      <w:r w:rsidR="008068F7" w:rsidRPr="002A30E6">
        <w:t xml:space="preserve"> a study designed to mimic routine clinical practic</w:t>
      </w:r>
      <w:r w:rsidR="001A7D80" w:rsidRPr="002A30E6">
        <w:t>e</w:t>
      </w:r>
      <w:r w:rsidR="00872F9D" w:rsidRPr="002A30E6">
        <w:t xml:space="preserve"> although </w:t>
      </w:r>
      <w:r w:rsidR="00CD29BD" w:rsidRPr="002A30E6">
        <w:t>faecal</w:t>
      </w:r>
      <w:r w:rsidR="007E647B" w:rsidRPr="002A30E6">
        <w:t xml:space="preserve"> calprotectin</w:t>
      </w:r>
      <w:r w:rsidR="00BE4F16" w:rsidRPr="002A30E6">
        <w:t xml:space="preserve"> was</w:t>
      </w:r>
      <w:r w:rsidR="00677001" w:rsidRPr="002A30E6">
        <w:t xml:space="preserve"> included</w:t>
      </w:r>
      <w:r w:rsidR="00BE4F16" w:rsidRPr="002A30E6">
        <w:t xml:space="preserve"> and</w:t>
      </w:r>
      <w:r w:rsidR="007E647B" w:rsidRPr="002A30E6">
        <w:t xml:space="preserve"> </w:t>
      </w:r>
      <w:r w:rsidR="00CC70C4" w:rsidRPr="002A30E6">
        <w:t>has been shown to be a reliable, non-invas</w:t>
      </w:r>
      <w:r w:rsidR="004A733B" w:rsidRPr="002A30E6">
        <w:t xml:space="preserve">ive </w:t>
      </w:r>
      <w:r w:rsidR="006C233A" w:rsidRPr="002A30E6">
        <w:t>su</w:t>
      </w:r>
      <w:r w:rsidR="00872F9D" w:rsidRPr="002A30E6">
        <w:t>rrogate</w:t>
      </w:r>
      <w:r w:rsidR="00CB5133" w:rsidRPr="002A30E6">
        <w:t xml:space="preserve"> </w:t>
      </w:r>
      <w:r w:rsidR="00CB5133" w:rsidRPr="002A30E6">
        <w:fldChar w:fldCharType="begin"/>
      </w:r>
      <w:r w:rsidR="00C26218">
        <w:instrText xml:space="preserve"> ADDIN ZOTERO_ITEM CSL_CITATION {"citationID":"QTDkxV7E","properties":{"formattedCitation":"[25]","plainCitation":"[25]","noteIndex":0},"citationItems":[{"id":705,"uris":["http://zotero.org/users/5054817/items/FVRTQ8VV"],"itemData":{"id":705,"type":"article-journal","container-title":"American Journal of Gastroenterology","DOI":"10.1038/ajg.2015.120","ISSN":"0002-9270","issue":"6","language":"en","page":"802-819","source":"DOI.org (Crossref)","title":"C-Reactive Protein, Fecal Calprotectin, and Stool Lactoferrin for Detection of Endoscopic Activity in Symptomatic Inflammatory Bowel Disease Patients: A Systematic Review and Meta-Analysis","title-short":"C-Reactive Protein, Fecal Calprotectin, and Stool Lactoferrin for Detection of Endoscopic Activity in Symptomatic Inflammatory Bowel Disease Patients","volume":"110","author":[{"family":"Mosli","given":"Mahmoud H"},{"family":"Zou","given":"Guangyong"},{"family":"Garg","given":"Sushil K"},{"family":"Feagan","given":"Sean G"},{"family":"MacDonald","given":"John K"},{"family":"Chande","given":"Nilesh"},{"family":"Sandborn","given":"William J"},{"family":"Feagan","given":"Brian G"}],"issued":{"date-parts":[["2015",6]]}}}],"schema":"https://github.com/citation-style-language/schema/raw/master/csl-citation.json"} </w:instrText>
      </w:r>
      <w:r w:rsidR="00CB5133" w:rsidRPr="002A30E6">
        <w:fldChar w:fldCharType="separate"/>
      </w:r>
      <w:r w:rsidR="00C26218" w:rsidRPr="00C26218">
        <w:rPr>
          <w:rFonts w:ascii="Calibri" w:hAnsi="Calibri" w:cs="Calibri"/>
        </w:rPr>
        <w:t>[25]</w:t>
      </w:r>
      <w:r w:rsidR="00CB5133" w:rsidRPr="002A30E6">
        <w:fldChar w:fldCharType="end"/>
      </w:r>
      <w:r w:rsidR="000F0A66" w:rsidRPr="002A30E6">
        <w:t>.</w:t>
      </w:r>
      <w:r w:rsidR="005E0988" w:rsidRPr="002A30E6">
        <w:t xml:space="preserve"> </w:t>
      </w:r>
      <w:r w:rsidR="00233321" w:rsidRPr="00233321">
        <w:t xml:space="preserve">In the UK, these treatments are </w:t>
      </w:r>
      <w:r w:rsidR="00233321">
        <w:t>provided t</w:t>
      </w:r>
      <w:r w:rsidR="00233321" w:rsidRPr="00233321">
        <w:t xml:space="preserve">o patients without any direct financial burden. </w:t>
      </w:r>
      <w:r w:rsidR="00583885">
        <w:t xml:space="preserve">It is acknowledged that pharmacoeconomic considerations (including </w:t>
      </w:r>
      <w:r w:rsidR="00B977DF">
        <w:t>the magnitude of direct patient contributions and social desirability</w:t>
      </w:r>
      <w:r w:rsidR="00583885">
        <w:t xml:space="preserve">) </w:t>
      </w:r>
      <w:r w:rsidR="00F85766">
        <w:t>may be relevant</w:t>
      </w:r>
      <w:r w:rsidR="00233321" w:rsidRPr="00233321">
        <w:t xml:space="preserve"> in regions where </w:t>
      </w:r>
      <w:r w:rsidR="00F01E2E">
        <w:t>there is a direct cost to patients</w:t>
      </w:r>
      <w:r w:rsidR="00233321" w:rsidRPr="00233321">
        <w:t>.</w:t>
      </w:r>
      <w:r w:rsidR="00233321">
        <w:t xml:space="preserve"> </w:t>
      </w:r>
      <w:r w:rsidR="005E0988" w:rsidRPr="002A30E6">
        <w:t>Despite these limitations</w:t>
      </w:r>
      <w:r w:rsidR="005978A8" w:rsidRPr="002A30E6">
        <w:t>,</w:t>
      </w:r>
      <w:r w:rsidR="005E0988" w:rsidRPr="002A30E6">
        <w:t xml:space="preserve"> </w:t>
      </w:r>
      <w:r w:rsidR="005E608F" w:rsidRPr="002A30E6">
        <w:t xml:space="preserve">we believe that </w:t>
      </w:r>
      <w:r w:rsidR="00C87F29" w:rsidRPr="002A30E6">
        <w:t xml:space="preserve">the </w:t>
      </w:r>
      <w:r w:rsidR="005E608F" w:rsidRPr="002A30E6">
        <w:t>pragmatic</w:t>
      </w:r>
      <w:r w:rsidR="00E47FBD" w:rsidRPr="002A30E6">
        <w:t xml:space="preserve"> </w:t>
      </w:r>
      <w:r w:rsidR="00C87F29" w:rsidRPr="002A30E6">
        <w:t xml:space="preserve">study </w:t>
      </w:r>
      <w:r w:rsidR="00C8452B" w:rsidRPr="002A30E6">
        <w:t xml:space="preserve">design </w:t>
      </w:r>
      <w:r w:rsidR="005E608F" w:rsidRPr="002A30E6">
        <w:t xml:space="preserve">and </w:t>
      </w:r>
      <w:r w:rsidR="00FF2896" w:rsidRPr="002A30E6">
        <w:t>high-quality</w:t>
      </w:r>
      <w:r w:rsidR="00CF6963" w:rsidRPr="002A30E6">
        <w:t xml:space="preserve"> data</w:t>
      </w:r>
      <w:r w:rsidR="005E608F" w:rsidRPr="002A30E6">
        <w:t xml:space="preserve"> makes</w:t>
      </w:r>
      <w:r w:rsidR="001C5777" w:rsidRPr="002A30E6">
        <w:t xml:space="preserve"> the results </w:t>
      </w:r>
      <w:r w:rsidR="00F806F0" w:rsidRPr="002A30E6">
        <w:t>generali</w:t>
      </w:r>
      <w:r w:rsidR="00284A2F">
        <w:t>s</w:t>
      </w:r>
      <w:r w:rsidR="00F806F0" w:rsidRPr="002A30E6">
        <w:t>able</w:t>
      </w:r>
      <w:r w:rsidR="001C5777" w:rsidRPr="002A30E6">
        <w:t>.</w:t>
      </w:r>
    </w:p>
    <w:p w14:paraId="209A5A1C" w14:textId="77777777" w:rsidR="00AA663A" w:rsidRPr="002A30E6" w:rsidRDefault="00AA663A" w:rsidP="00AA663A">
      <w:pPr>
        <w:pStyle w:val="Heading2"/>
      </w:pPr>
      <w:r w:rsidRPr="002A30E6">
        <w:lastRenderedPageBreak/>
        <w:t>Conclusion</w:t>
      </w:r>
    </w:p>
    <w:p w14:paraId="2DF8C1AF" w14:textId="5DB2CB62" w:rsidR="00AA663A" w:rsidRPr="002A30E6" w:rsidRDefault="00AA663A" w:rsidP="00A350FD">
      <w:r w:rsidRPr="002A30E6">
        <w:t>T</w:t>
      </w:r>
      <w:r w:rsidR="00716342" w:rsidRPr="002A30E6">
        <w:t xml:space="preserve">his study has demonstrated </w:t>
      </w:r>
      <w:r w:rsidR="00A43A5A" w:rsidRPr="002A30E6">
        <w:t>similar clinical, safety</w:t>
      </w:r>
      <w:r w:rsidR="009A6DC8" w:rsidRPr="002A30E6">
        <w:t xml:space="preserve">, patient </w:t>
      </w:r>
      <w:proofErr w:type="gramStart"/>
      <w:r w:rsidR="009A6DC8" w:rsidRPr="002A30E6">
        <w:t>satisfaction</w:t>
      </w:r>
      <w:proofErr w:type="gramEnd"/>
      <w:r w:rsidR="000037F1" w:rsidRPr="002A30E6">
        <w:t xml:space="preserve"> and </w:t>
      </w:r>
      <w:r w:rsidR="0037250A" w:rsidRPr="002A30E6">
        <w:t xml:space="preserve">pharmacokinetic </w:t>
      </w:r>
      <w:r w:rsidR="000037F1" w:rsidRPr="002A30E6">
        <w:t xml:space="preserve">outcomes between </w:t>
      </w:r>
      <w:r w:rsidR="007B5959" w:rsidRPr="002A30E6">
        <w:t xml:space="preserve">reference </w:t>
      </w:r>
      <w:r w:rsidR="000037F1" w:rsidRPr="002A30E6">
        <w:t xml:space="preserve">adalimumab and </w:t>
      </w:r>
      <w:r w:rsidR="007E5BDD" w:rsidRPr="002A30E6">
        <w:t>a biosimilar</w:t>
      </w:r>
      <w:r w:rsidR="00691DBF" w:rsidRPr="002A30E6">
        <w:t xml:space="preserve"> (</w:t>
      </w:r>
      <w:r w:rsidR="00284A2F">
        <w:t>SB5</w:t>
      </w:r>
      <w:r w:rsidR="00691DBF" w:rsidRPr="002A30E6">
        <w:t>)</w:t>
      </w:r>
      <w:r w:rsidR="00962A63" w:rsidRPr="002A30E6">
        <w:t xml:space="preserve"> in a real-world </w:t>
      </w:r>
      <w:r w:rsidR="00A47216" w:rsidRPr="002A30E6">
        <w:t>population of patients with CD.</w:t>
      </w:r>
      <w:r w:rsidR="00A42D08" w:rsidRPr="002A30E6">
        <w:t xml:space="preserve"> </w:t>
      </w:r>
      <w:r w:rsidR="002C166F" w:rsidRPr="002A30E6">
        <w:t>P</w:t>
      </w:r>
      <w:r w:rsidR="00A064DE" w:rsidRPr="002A30E6">
        <w:t>articipants reported a higher injection pain score with the biosimilar</w:t>
      </w:r>
      <w:r w:rsidR="002C166F" w:rsidRPr="002A30E6">
        <w:t xml:space="preserve">, compared to </w:t>
      </w:r>
      <w:r w:rsidR="007B5959" w:rsidRPr="002A30E6">
        <w:t>reference</w:t>
      </w:r>
      <w:r w:rsidR="00685D8C" w:rsidRPr="002A30E6">
        <w:t>,</w:t>
      </w:r>
      <w:r w:rsidR="002C166F" w:rsidRPr="002A30E6">
        <w:t xml:space="preserve"> </w:t>
      </w:r>
      <w:r w:rsidR="00685D8C" w:rsidRPr="002A30E6">
        <w:t>adalimumab</w:t>
      </w:r>
      <w:r w:rsidR="007E5BDD" w:rsidRPr="002A30E6">
        <w:t xml:space="preserve"> although this was generally manageable</w:t>
      </w:r>
      <w:r w:rsidR="003D1405" w:rsidRPr="002A30E6">
        <w:t>.</w:t>
      </w:r>
      <w:r w:rsidR="00C73679" w:rsidRPr="002A30E6">
        <w:t xml:space="preserve"> </w:t>
      </w:r>
      <w:r w:rsidR="003D3A39" w:rsidRPr="002A30E6">
        <w:t xml:space="preserve">Patient </w:t>
      </w:r>
      <w:r w:rsidR="00EA6839" w:rsidRPr="002A30E6">
        <w:t xml:space="preserve">perception </w:t>
      </w:r>
      <w:r w:rsidR="00B059BE" w:rsidRPr="002A30E6">
        <w:t>and satisfaction was similar</w:t>
      </w:r>
      <w:r w:rsidR="00EA6839" w:rsidRPr="002A30E6">
        <w:t xml:space="preserve"> for both</w:t>
      </w:r>
      <w:r w:rsidR="00B51C39" w:rsidRPr="002A30E6">
        <w:t>.</w:t>
      </w:r>
    </w:p>
    <w:p w14:paraId="7E107C2D" w14:textId="77777777" w:rsidR="00AA663A" w:rsidRPr="002A30E6" w:rsidRDefault="00AA663A">
      <w:pPr>
        <w:spacing w:after="160" w:line="259" w:lineRule="auto"/>
      </w:pPr>
      <w:r w:rsidRPr="002A30E6">
        <w:br w:type="page"/>
      </w:r>
    </w:p>
    <w:p w14:paraId="5978B771" w14:textId="77777777" w:rsidR="00AA663A" w:rsidRPr="002A30E6" w:rsidRDefault="00AA663A" w:rsidP="00AA663A">
      <w:pPr>
        <w:pStyle w:val="Heading1"/>
      </w:pPr>
      <w:r w:rsidRPr="002A30E6">
        <w:lastRenderedPageBreak/>
        <w:t xml:space="preserve">Acknowledgments </w:t>
      </w:r>
    </w:p>
    <w:p w14:paraId="44AE6405" w14:textId="335B8BBE" w:rsidR="001F1FE7" w:rsidRPr="002A30E6" w:rsidRDefault="00AA663A" w:rsidP="00A350FD">
      <w:r w:rsidRPr="002A30E6">
        <w:t xml:space="preserve">The authors are grateful to </w:t>
      </w:r>
      <w:proofErr w:type="gramStart"/>
      <w:r w:rsidRPr="002A30E6">
        <w:t>all of</w:t>
      </w:r>
      <w:proofErr w:type="gramEnd"/>
      <w:r w:rsidRPr="002A30E6">
        <w:t xml:space="preserve"> the participants for their contribution to the trial. With thanks to </w:t>
      </w:r>
      <w:proofErr w:type="spellStart"/>
      <w:r w:rsidRPr="002A30E6">
        <w:t>PHARMExcel</w:t>
      </w:r>
      <w:proofErr w:type="spellEnd"/>
      <w:r w:rsidRPr="002A30E6">
        <w:t xml:space="preserve"> for supporting the management of the trial. The contribution of Ulrich Freudensprung to the development of the statistical analysis plan is acknowledged. Clinical trial registered with EudraCT (number 2018-004967-30).</w:t>
      </w:r>
    </w:p>
    <w:p w14:paraId="3FD92488" w14:textId="77777777" w:rsidR="00856007" w:rsidRDefault="00856007">
      <w:pPr>
        <w:spacing w:after="160" w:line="259" w:lineRule="auto"/>
      </w:pPr>
      <w:r>
        <w:br w:type="page"/>
      </w:r>
    </w:p>
    <w:p w14:paraId="32822288" w14:textId="77777777" w:rsidR="00856007" w:rsidRDefault="00856007" w:rsidP="00494BB8">
      <w:pPr>
        <w:pStyle w:val="Heading1"/>
      </w:pPr>
      <w:r>
        <w:lastRenderedPageBreak/>
        <w:t>Funding</w:t>
      </w:r>
    </w:p>
    <w:p w14:paraId="4E41D134" w14:textId="0A04CD24" w:rsidR="00856007" w:rsidRDefault="00856007">
      <w:pPr>
        <w:spacing w:after="160" w:line="259" w:lineRule="auto"/>
        <w:rPr>
          <w:rFonts w:asciiTheme="majorHAnsi" w:eastAsiaTheme="majorEastAsia" w:hAnsiTheme="majorHAnsi" w:cstheme="majorBidi"/>
          <w:b/>
          <w:bCs/>
          <w:color w:val="2F5496" w:themeColor="accent1" w:themeShade="BF"/>
          <w:sz w:val="28"/>
          <w:szCs w:val="28"/>
        </w:rPr>
      </w:pPr>
      <w:r>
        <w:t>This is an investigator-initiated study with financial support from Biogen Idec Ltd..</w:t>
      </w:r>
      <w:r>
        <w:br w:type="page"/>
      </w:r>
    </w:p>
    <w:p w14:paraId="7EFA9A81" w14:textId="2D8123A9" w:rsidR="00856007" w:rsidRDefault="00856007" w:rsidP="00494BB8">
      <w:pPr>
        <w:pStyle w:val="Heading1"/>
      </w:pPr>
      <w:r>
        <w:lastRenderedPageBreak/>
        <w:t>Conflicts of interest</w:t>
      </w:r>
    </w:p>
    <w:p w14:paraId="6F0632AF" w14:textId="77777777" w:rsidR="00856007" w:rsidRDefault="00856007" w:rsidP="00856007">
      <w:pPr>
        <w:spacing w:after="160" w:line="259" w:lineRule="auto"/>
      </w:pPr>
      <w:r>
        <w:t>DY has received personal fees from Galapagos.</w:t>
      </w:r>
    </w:p>
    <w:p w14:paraId="5BD34C19" w14:textId="77777777" w:rsidR="00856007" w:rsidRDefault="00856007" w:rsidP="00856007">
      <w:pPr>
        <w:spacing w:after="160" w:line="259" w:lineRule="auto"/>
      </w:pPr>
      <w:r>
        <w:t xml:space="preserve">SR has received travel grant from </w:t>
      </w:r>
      <w:proofErr w:type="spellStart"/>
      <w:r>
        <w:t>Celltrion</w:t>
      </w:r>
      <w:proofErr w:type="spellEnd"/>
      <w:r>
        <w:t xml:space="preserve"> Healthcare and honoraria from </w:t>
      </w:r>
      <w:proofErr w:type="spellStart"/>
      <w:r>
        <w:t>Celltrion</w:t>
      </w:r>
      <w:proofErr w:type="spellEnd"/>
      <w:r>
        <w:t xml:space="preserve"> Healthcare and Galapagos.</w:t>
      </w:r>
    </w:p>
    <w:p w14:paraId="541B43E8" w14:textId="77777777" w:rsidR="00856007" w:rsidRDefault="00856007" w:rsidP="00856007">
      <w:pPr>
        <w:spacing w:after="160" w:line="259" w:lineRule="auto"/>
      </w:pPr>
      <w:r>
        <w:t xml:space="preserve">JG has acted as a speaker for Sandoz, AstraZeneca, Pfizer, Samsung Bioepis, and </w:t>
      </w:r>
      <w:proofErr w:type="spellStart"/>
      <w:r>
        <w:t>Libbs</w:t>
      </w:r>
      <w:proofErr w:type="spellEnd"/>
      <w:r>
        <w:t>, and has received research funding from AstraZeneca and Pfizer.</w:t>
      </w:r>
    </w:p>
    <w:p w14:paraId="3508F98B" w14:textId="77777777" w:rsidR="00856007" w:rsidRDefault="00856007" w:rsidP="00856007">
      <w:pPr>
        <w:spacing w:after="160" w:line="259" w:lineRule="auto"/>
      </w:pPr>
      <w:r>
        <w:t>JA is an employee of and may hold stocks in Biogen.</w:t>
      </w:r>
    </w:p>
    <w:p w14:paraId="345A104E" w14:textId="77777777" w:rsidR="00856007" w:rsidRDefault="00856007" w:rsidP="00856007">
      <w:pPr>
        <w:spacing w:after="160" w:line="259" w:lineRule="auto"/>
      </w:pPr>
      <w:r>
        <w:t xml:space="preserve">FC has served as consultant, advisory board member, or speaker for AbbVie, Amgen, </w:t>
      </w:r>
      <w:proofErr w:type="spellStart"/>
      <w:r>
        <w:t>Celltrion</w:t>
      </w:r>
      <w:proofErr w:type="spellEnd"/>
      <w:r>
        <w:t xml:space="preserve">, Falk, Ferring, Gilead, Galapagos, Janssen, MSD, </w:t>
      </w:r>
      <w:proofErr w:type="spellStart"/>
      <w:r>
        <w:t>Napp</w:t>
      </w:r>
      <w:proofErr w:type="spellEnd"/>
      <w:r>
        <w:t xml:space="preserve"> Pharmaceuticals, Pfizer, </w:t>
      </w:r>
      <w:proofErr w:type="spellStart"/>
      <w:r>
        <w:t>Pharmacosmos</w:t>
      </w:r>
      <w:proofErr w:type="spellEnd"/>
      <w:r>
        <w:t xml:space="preserve">, Sandoz, Biogen, Samsung, </w:t>
      </w:r>
      <w:proofErr w:type="spellStart"/>
      <w:r>
        <w:t>Tillotts</w:t>
      </w:r>
      <w:proofErr w:type="spellEnd"/>
      <w:r>
        <w:t xml:space="preserve"> and Takeda. He has received research funding from Biogen, Amgen, Hospira/Pfizer, </w:t>
      </w:r>
      <w:proofErr w:type="spellStart"/>
      <w:r>
        <w:t>Celltrion</w:t>
      </w:r>
      <w:proofErr w:type="spellEnd"/>
      <w:r>
        <w:t xml:space="preserve">, Takeda, Janssen, GSK and AstraZeneca. </w:t>
      </w:r>
    </w:p>
    <w:p w14:paraId="5A0CCF3D" w14:textId="7E304CC2" w:rsidR="001F1FE7" w:rsidRPr="002A30E6" w:rsidRDefault="00856007" w:rsidP="00856007">
      <w:pPr>
        <w:spacing w:after="160" w:line="259" w:lineRule="auto"/>
      </w:pPr>
      <w:r>
        <w:t>The other authors have no conflicts of interest to declare.</w:t>
      </w:r>
      <w:r w:rsidR="001F1FE7" w:rsidRPr="002A30E6">
        <w:br w:type="page"/>
      </w:r>
    </w:p>
    <w:p w14:paraId="05B875BE" w14:textId="2D64A69B" w:rsidR="00A350FD" w:rsidRDefault="00A350FD" w:rsidP="00A350FD">
      <w:pPr>
        <w:pStyle w:val="Heading1"/>
      </w:pPr>
      <w:bookmarkStart w:id="22" w:name="_Toc135163291"/>
      <w:r w:rsidRPr="002A30E6">
        <w:lastRenderedPageBreak/>
        <w:t>References</w:t>
      </w:r>
      <w:bookmarkEnd w:id="22"/>
    </w:p>
    <w:p w14:paraId="675079A6" w14:textId="512AA8BB" w:rsidR="00623FD7" w:rsidRPr="00494BB8" w:rsidRDefault="00623FD7" w:rsidP="00E97C73">
      <w:pPr>
        <w:rPr>
          <w:lang w:val="pt-PT"/>
        </w:rPr>
      </w:pPr>
      <w:r w:rsidRPr="00623FD7">
        <w:t>1.</w:t>
      </w:r>
      <w:r w:rsidRPr="00623FD7">
        <w:tab/>
      </w:r>
      <w:proofErr w:type="spellStart"/>
      <w:r w:rsidRPr="00623FD7">
        <w:t>Peyrin-Biroulet</w:t>
      </w:r>
      <w:proofErr w:type="spellEnd"/>
      <w:r w:rsidRPr="00623FD7">
        <w:t xml:space="preserve"> L, </w:t>
      </w:r>
      <w:proofErr w:type="spellStart"/>
      <w:r w:rsidRPr="00623FD7">
        <w:t>Panés</w:t>
      </w:r>
      <w:proofErr w:type="spellEnd"/>
      <w:r w:rsidRPr="00623FD7">
        <w:t xml:space="preserve"> J, </w:t>
      </w:r>
      <w:proofErr w:type="spellStart"/>
      <w:r w:rsidRPr="00623FD7">
        <w:t>Sandborn</w:t>
      </w:r>
      <w:proofErr w:type="spellEnd"/>
      <w:r w:rsidRPr="00623FD7">
        <w:t xml:space="preserve"> WJ, et al. Defining Disease Severity in Inflammatory Bowel Diseases: Current and Future Directions. </w:t>
      </w:r>
      <w:r w:rsidR="005943FC" w:rsidRPr="00494BB8">
        <w:rPr>
          <w:lang w:val="pt-PT"/>
        </w:rPr>
        <w:t>Clin Gastroenterol Hepatol</w:t>
      </w:r>
      <w:r w:rsidRPr="00494BB8">
        <w:rPr>
          <w:lang w:val="pt-PT"/>
        </w:rPr>
        <w:t xml:space="preserve">. 2016;14(3):348-354.e17. doi: </w:t>
      </w:r>
      <w:r w:rsidR="00D91B64" w:rsidRPr="004234BF">
        <w:rPr>
          <w:lang w:val="pt-PT"/>
        </w:rPr>
        <w:t>https://doi.org/10.1016/j.cgh.2015.06.001</w:t>
      </w:r>
    </w:p>
    <w:p w14:paraId="1BF2D9B2" w14:textId="14D4C793" w:rsidR="00E97C73" w:rsidRPr="007A6626" w:rsidRDefault="005943FC" w:rsidP="00E97C73">
      <w:pPr>
        <w:rPr>
          <w:lang w:val="pt-PT"/>
        </w:rPr>
      </w:pPr>
      <w:r>
        <w:t>2</w:t>
      </w:r>
      <w:r w:rsidR="00E97C73">
        <w:t>.</w:t>
      </w:r>
      <w:r w:rsidR="00E97C73">
        <w:tab/>
        <w:t xml:space="preserve">Berg DR, </w:t>
      </w:r>
      <w:proofErr w:type="spellStart"/>
      <w:r w:rsidR="00E97C73">
        <w:t>Colombel</w:t>
      </w:r>
      <w:proofErr w:type="spellEnd"/>
      <w:r w:rsidR="00E97C73">
        <w:t xml:space="preserve"> JF, </w:t>
      </w:r>
      <w:proofErr w:type="spellStart"/>
      <w:r w:rsidR="00E97C73">
        <w:t>Ungaro</w:t>
      </w:r>
      <w:proofErr w:type="spellEnd"/>
      <w:r w:rsidR="00E97C73">
        <w:t xml:space="preserve"> R. The Role of Early Biologic Therapy in Inflammatory Bowel Disease. </w:t>
      </w:r>
      <w:r w:rsidR="00D4733A" w:rsidRPr="007A6626">
        <w:rPr>
          <w:lang w:val="pt-PT"/>
        </w:rPr>
        <w:t>Inflamm Bowel Dis</w:t>
      </w:r>
      <w:r w:rsidR="00E97C73" w:rsidRPr="007A6626">
        <w:rPr>
          <w:lang w:val="pt-PT"/>
        </w:rPr>
        <w:t xml:space="preserve">. 2019;25(12):1896-1905. </w:t>
      </w:r>
      <w:r w:rsidR="00407A60">
        <w:rPr>
          <w:lang w:val="pt-PT"/>
        </w:rPr>
        <w:t>d</w:t>
      </w:r>
      <w:r w:rsidR="00E97C73" w:rsidRPr="007A6626">
        <w:rPr>
          <w:lang w:val="pt-PT"/>
        </w:rPr>
        <w:t xml:space="preserve">oi: </w:t>
      </w:r>
      <w:r w:rsidR="00D91B64" w:rsidRPr="007A4D92">
        <w:rPr>
          <w:lang w:val="pt-PT"/>
        </w:rPr>
        <w:t>https://doi.org/10.1093/ibd/izz059</w:t>
      </w:r>
    </w:p>
    <w:p w14:paraId="4E963E48" w14:textId="724CB5B5" w:rsidR="00E97C73" w:rsidRDefault="005943FC" w:rsidP="00E97C73">
      <w:r w:rsidRPr="00494BB8">
        <w:rPr>
          <w:lang w:val="pt-PT"/>
        </w:rPr>
        <w:t>3</w:t>
      </w:r>
      <w:r w:rsidR="00E97C73" w:rsidRPr="00494BB8">
        <w:rPr>
          <w:lang w:val="pt-PT"/>
        </w:rPr>
        <w:t>.</w:t>
      </w:r>
      <w:r w:rsidR="00E97C73" w:rsidRPr="00494BB8">
        <w:rPr>
          <w:lang w:val="pt-PT"/>
        </w:rPr>
        <w:tab/>
        <w:t xml:space="preserve">Burisch J, Vardi H, Schwartz D, et al. </w:t>
      </w:r>
      <w:r w:rsidR="00E97C73">
        <w:t xml:space="preserve">Health-care costs of inflammatory bowel disease in a pan-European, community-based, inception cohort during 5 years of follow-up: a population-based study. </w:t>
      </w:r>
      <w:r w:rsidR="00C356E5" w:rsidRPr="00C356E5">
        <w:t>Lancet Gastroenterol Hepatol</w:t>
      </w:r>
      <w:r w:rsidR="00E97C73">
        <w:t xml:space="preserve">. 2020;5(5):454-464. </w:t>
      </w:r>
      <w:proofErr w:type="spellStart"/>
      <w:r w:rsidR="007A4D92">
        <w:t>d</w:t>
      </w:r>
      <w:r w:rsidR="00E97C73">
        <w:t>oi</w:t>
      </w:r>
      <w:proofErr w:type="spellEnd"/>
      <w:r w:rsidR="00E97C73">
        <w:t xml:space="preserve">: </w:t>
      </w:r>
      <w:r w:rsidR="00D91B64" w:rsidRPr="007A4D92">
        <w:t>https://doi.org/10.1016/S2468-1253(20)30012-1</w:t>
      </w:r>
    </w:p>
    <w:p w14:paraId="3E7D15D7" w14:textId="4757D9A9" w:rsidR="007A4D92" w:rsidRDefault="009028BB" w:rsidP="00E97C73">
      <w:r>
        <w:t>4.</w:t>
      </w:r>
      <w:r>
        <w:tab/>
      </w:r>
      <w:proofErr w:type="spellStart"/>
      <w:r>
        <w:t>D’Haens</w:t>
      </w:r>
      <w:proofErr w:type="spellEnd"/>
      <w:r>
        <w:t xml:space="preserve"> GR, Van Deventer S. 25 years of anti-TNF treatment for inflammatory bowel disease: lessons from the past and a look to the future. Gut. 2021;70(7):1396-1405. </w:t>
      </w:r>
      <w:proofErr w:type="spellStart"/>
      <w:r w:rsidR="00407A60">
        <w:t>d</w:t>
      </w:r>
      <w:r>
        <w:t>oi</w:t>
      </w:r>
      <w:proofErr w:type="spellEnd"/>
      <w:r>
        <w:t xml:space="preserve">: </w:t>
      </w:r>
      <w:r w:rsidR="007A4D92" w:rsidRPr="007A4D92">
        <w:t>https://doi.org/10.1136/gutjnl-2019-320022</w:t>
      </w:r>
    </w:p>
    <w:p w14:paraId="74E027F8" w14:textId="01FD2E23" w:rsidR="00E97C73" w:rsidRDefault="00C23771" w:rsidP="00E97C73">
      <w:r>
        <w:t>5</w:t>
      </w:r>
      <w:r w:rsidR="00E97C73">
        <w:t>.</w:t>
      </w:r>
      <w:r w:rsidR="00E97C73">
        <w:tab/>
        <w:t xml:space="preserve">Committee for Medicinal Products for Human Use. Guideline on Similar Biological Medicinal Products. European Medicines Agency; 2014. Accessed </w:t>
      </w:r>
      <w:r w:rsidR="008D10CD">
        <w:t>01.09.2021</w:t>
      </w:r>
      <w:r w:rsidR="00E97C73">
        <w:t xml:space="preserve">. </w:t>
      </w:r>
      <w:r w:rsidR="00D91B64" w:rsidRPr="007A4D92">
        <w:t>https://www.ema.europa.eu/en/documents/scientific-guideline/guideline-similar-biological-medicinal-products-rev1_en.pdf</w:t>
      </w:r>
    </w:p>
    <w:p w14:paraId="566A50CD" w14:textId="288380D6" w:rsidR="00E97C73" w:rsidRDefault="00C23771" w:rsidP="00E97C73">
      <w:r>
        <w:t>6</w:t>
      </w:r>
      <w:r w:rsidR="00E97C73">
        <w:t>.</w:t>
      </w:r>
      <w:r w:rsidR="00E97C73">
        <w:tab/>
        <w:t>Blackstone EA, Joseph PF. The economics of biosimilars. Am Health Drug Benefits. 2013;6(8):469-478.</w:t>
      </w:r>
    </w:p>
    <w:p w14:paraId="47AA9E1E" w14:textId="48DAC031" w:rsidR="00E97C73" w:rsidRDefault="00C23771" w:rsidP="00E97C73">
      <w:r w:rsidRPr="00C26218">
        <w:t>7</w:t>
      </w:r>
      <w:r w:rsidR="00E97C73" w:rsidRPr="00C26218">
        <w:t>.</w:t>
      </w:r>
      <w:r w:rsidR="00E97C73" w:rsidRPr="00C26218">
        <w:tab/>
        <w:t>García‐</w:t>
      </w:r>
      <w:proofErr w:type="spellStart"/>
      <w:r w:rsidR="00E97C73" w:rsidRPr="00C26218">
        <w:t>Beloso</w:t>
      </w:r>
      <w:proofErr w:type="spellEnd"/>
      <w:r w:rsidR="00E97C73" w:rsidRPr="00C26218">
        <w:t xml:space="preserve"> N, </w:t>
      </w:r>
      <w:proofErr w:type="spellStart"/>
      <w:r w:rsidR="00E97C73" w:rsidRPr="00C26218">
        <w:t>Altabás</w:t>
      </w:r>
      <w:proofErr w:type="spellEnd"/>
      <w:r w:rsidR="00E97C73" w:rsidRPr="00C26218">
        <w:t xml:space="preserve">‐González I, </w:t>
      </w:r>
      <w:proofErr w:type="spellStart"/>
      <w:r w:rsidR="00E97C73" w:rsidRPr="00C26218">
        <w:t>Samartín‐Ucha</w:t>
      </w:r>
      <w:proofErr w:type="spellEnd"/>
      <w:r w:rsidR="00E97C73" w:rsidRPr="00C26218">
        <w:t xml:space="preserve"> M, et al. </w:t>
      </w:r>
      <w:r w:rsidR="00E97C73">
        <w:t xml:space="preserve">Switching between reference adalimumab and biosimilars in chronic immune‐mediated inflammatory diseases: A systematic literature review. </w:t>
      </w:r>
      <w:r w:rsidR="00FF4904" w:rsidRPr="00FF4904">
        <w:t xml:space="preserve">Br J Clin </w:t>
      </w:r>
      <w:proofErr w:type="spellStart"/>
      <w:r w:rsidR="00FF4904" w:rsidRPr="00FF4904">
        <w:t>Pharmacol</w:t>
      </w:r>
      <w:proofErr w:type="spellEnd"/>
      <w:r w:rsidR="00E97C73">
        <w:t xml:space="preserve">. 2022;88(4):1529-1550. </w:t>
      </w:r>
      <w:proofErr w:type="spellStart"/>
      <w:r w:rsidR="007A4D92">
        <w:t>d</w:t>
      </w:r>
      <w:r w:rsidR="00E97C73">
        <w:t>oi</w:t>
      </w:r>
      <w:proofErr w:type="spellEnd"/>
      <w:r w:rsidR="00E97C73">
        <w:t xml:space="preserve">: </w:t>
      </w:r>
      <w:r w:rsidR="00D91B64" w:rsidRPr="007A4D92">
        <w:t>https://doi.org/10.1111/bcp.15101</w:t>
      </w:r>
    </w:p>
    <w:p w14:paraId="7780AFF9" w14:textId="61D331CF" w:rsidR="00E97C73" w:rsidRDefault="00C23771" w:rsidP="00E97C73">
      <w:r>
        <w:lastRenderedPageBreak/>
        <w:t>8</w:t>
      </w:r>
      <w:r w:rsidR="00E97C73">
        <w:t>.</w:t>
      </w:r>
      <w:r w:rsidR="00E97C73">
        <w:tab/>
      </w:r>
      <w:proofErr w:type="spellStart"/>
      <w:r w:rsidR="00E97C73">
        <w:t>Gisbert</w:t>
      </w:r>
      <w:proofErr w:type="spellEnd"/>
      <w:r w:rsidR="00E97C73">
        <w:t xml:space="preserve"> JP, Gaffney K, Young D, </w:t>
      </w:r>
      <w:r w:rsidR="007C6DD1">
        <w:t>et al</w:t>
      </w:r>
      <w:r w:rsidR="00E97C73">
        <w:t xml:space="preserve">. Current evidence on the use of the adalimumab biosimilar SB5 (Imraldi </w:t>
      </w:r>
      <w:proofErr w:type="gramStart"/>
      <w:r w:rsidR="00E97C73">
        <w:t>TM )</w:t>
      </w:r>
      <w:proofErr w:type="gramEnd"/>
      <w:r w:rsidR="00E97C73">
        <w:t xml:space="preserve">: a multidisciplinary perspective. </w:t>
      </w:r>
      <w:r w:rsidR="00AE6401" w:rsidRPr="00AE6401">
        <w:t xml:space="preserve">Expert </w:t>
      </w:r>
      <w:proofErr w:type="spellStart"/>
      <w:r w:rsidR="00AE6401" w:rsidRPr="00AE6401">
        <w:t>Opin</w:t>
      </w:r>
      <w:proofErr w:type="spellEnd"/>
      <w:r w:rsidR="00AE6401" w:rsidRPr="00AE6401">
        <w:t xml:space="preserve"> </w:t>
      </w:r>
      <w:proofErr w:type="spellStart"/>
      <w:r w:rsidR="00AE6401" w:rsidRPr="00AE6401">
        <w:t>Biol</w:t>
      </w:r>
      <w:proofErr w:type="spellEnd"/>
      <w:r w:rsidR="00AE6401" w:rsidRPr="00AE6401">
        <w:t xml:space="preserve"> </w:t>
      </w:r>
      <w:proofErr w:type="spellStart"/>
      <w:r w:rsidR="00AE6401" w:rsidRPr="00AE6401">
        <w:t>Ther</w:t>
      </w:r>
      <w:proofErr w:type="spellEnd"/>
      <w:r w:rsidR="00E97C73">
        <w:t xml:space="preserve"> </w:t>
      </w:r>
      <w:r w:rsidR="002D5C5A">
        <w:t>2022;</w:t>
      </w:r>
      <w:r w:rsidR="009F66B4">
        <w:t xml:space="preserve">22(2):109-121. </w:t>
      </w:r>
      <w:proofErr w:type="spellStart"/>
      <w:r w:rsidR="00E97C73">
        <w:t>doi</w:t>
      </w:r>
      <w:proofErr w:type="spellEnd"/>
      <w:r w:rsidR="00E97C73">
        <w:t>: https://doi.org/10.1080/14712598.2022.2012146</w:t>
      </w:r>
    </w:p>
    <w:p w14:paraId="1EEBE3D0" w14:textId="6FA654E2" w:rsidR="00E97C73" w:rsidRDefault="00C23771" w:rsidP="00E97C73">
      <w:r>
        <w:t>9</w:t>
      </w:r>
      <w:r w:rsidR="00E97C73">
        <w:t>.</w:t>
      </w:r>
      <w:r w:rsidR="00E97C73">
        <w:tab/>
        <w:t xml:space="preserve">Dias-Barbosa C, </w:t>
      </w:r>
      <w:proofErr w:type="spellStart"/>
      <w:r w:rsidR="00E97C73">
        <w:t>Balp</w:t>
      </w:r>
      <w:proofErr w:type="spellEnd"/>
      <w:r w:rsidR="00E97C73">
        <w:t xml:space="preserve">, Kulich K, </w:t>
      </w:r>
      <w:r w:rsidR="007C6DD1">
        <w:t>et al</w:t>
      </w:r>
      <w:r w:rsidR="00E97C73">
        <w:t xml:space="preserve">. A literature review to explore the link between treatment satisfaction and adherence, compliance, and persistence. </w:t>
      </w:r>
      <w:r w:rsidR="00573409" w:rsidRPr="00573409">
        <w:t>Patient Prefer Adherence</w:t>
      </w:r>
      <w:r w:rsidR="00E97C73">
        <w:t xml:space="preserve">. </w:t>
      </w:r>
      <w:proofErr w:type="gramStart"/>
      <w:r w:rsidR="00C44E15" w:rsidRPr="00C44E15">
        <w:t>2012;6:39</w:t>
      </w:r>
      <w:proofErr w:type="gramEnd"/>
      <w:r w:rsidR="00C44E15" w:rsidRPr="00C44E15">
        <w:t>-48</w:t>
      </w:r>
      <w:r w:rsidR="00C44E15">
        <w:t xml:space="preserve">. </w:t>
      </w:r>
      <w:proofErr w:type="spellStart"/>
      <w:r w:rsidR="00E97C73">
        <w:t>doi</w:t>
      </w:r>
      <w:proofErr w:type="spellEnd"/>
      <w:r w:rsidR="00E97C73">
        <w:t xml:space="preserve">: </w:t>
      </w:r>
      <w:r w:rsidRPr="00494BB8">
        <w:t>https://doi.org/10.2147/PPA.S24752</w:t>
      </w:r>
    </w:p>
    <w:p w14:paraId="676E901E" w14:textId="5D48DDCD" w:rsidR="007A4D92" w:rsidRDefault="00C23771" w:rsidP="00E97C73">
      <w:r>
        <w:t>10.</w:t>
      </w:r>
      <w:r>
        <w:tab/>
      </w:r>
      <w:proofErr w:type="spellStart"/>
      <w:r>
        <w:t>Rezk</w:t>
      </w:r>
      <w:proofErr w:type="spellEnd"/>
      <w:r>
        <w:t xml:space="preserve"> MF, Pieper B. Treatment Outcomes with Biosimilars: Be Aware of the Nocebo Effect. </w:t>
      </w:r>
      <w:proofErr w:type="spellStart"/>
      <w:r>
        <w:t>Rheumatol</w:t>
      </w:r>
      <w:proofErr w:type="spellEnd"/>
      <w:r>
        <w:t xml:space="preserve"> </w:t>
      </w:r>
      <w:proofErr w:type="spellStart"/>
      <w:r>
        <w:t>Ther</w:t>
      </w:r>
      <w:proofErr w:type="spellEnd"/>
      <w:r>
        <w:t xml:space="preserve">. 2017;4(2):209-218. </w:t>
      </w:r>
      <w:proofErr w:type="spellStart"/>
      <w:r>
        <w:t>doi</w:t>
      </w:r>
      <w:proofErr w:type="spellEnd"/>
      <w:r>
        <w:t xml:space="preserve">: </w:t>
      </w:r>
      <w:r w:rsidR="007A4D92" w:rsidRPr="007A4D92">
        <w:t>https://doi.org/10.1007/s40744-017-0085-z</w:t>
      </w:r>
    </w:p>
    <w:p w14:paraId="5A8F5BE2" w14:textId="274D9C36" w:rsidR="00E97C73" w:rsidRDefault="00C23771" w:rsidP="00E97C73">
      <w:r>
        <w:t>11</w:t>
      </w:r>
      <w:r w:rsidR="00E97C73">
        <w:t>.</w:t>
      </w:r>
      <w:r w:rsidR="00E97C73">
        <w:tab/>
        <w:t xml:space="preserve">Bodger K, Ormerod C, </w:t>
      </w:r>
      <w:proofErr w:type="spellStart"/>
      <w:r w:rsidR="00E97C73">
        <w:t>Shackcloth</w:t>
      </w:r>
      <w:proofErr w:type="spellEnd"/>
      <w:r w:rsidR="00E97C73">
        <w:t xml:space="preserve"> D, </w:t>
      </w:r>
      <w:r w:rsidR="007C6DD1">
        <w:t>et al</w:t>
      </w:r>
      <w:r w:rsidR="00E97C73">
        <w:t xml:space="preserve">. Development and validation of a rapid, generic measure of disease control from the patient’s perspective: the IBD-Control questionnaire. Gut. 2014;63(7):1092-1102. </w:t>
      </w:r>
      <w:proofErr w:type="spellStart"/>
      <w:r w:rsidR="00E97C73">
        <w:t>doi</w:t>
      </w:r>
      <w:proofErr w:type="spellEnd"/>
      <w:r w:rsidR="00E97C73">
        <w:t>: https://doi.org/10.1136/gutjnl-2013-305600</w:t>
      </w:r>
    </w:p>
    <w:p w14:paraId="48C4C538" w14:textId="1B4016E5" w:rsidR="00E97C73" w:rsidRPr="008B4236" w:rsidRDefault="00C23771" w:rsidP="00E97C73">
      <w:r>
        <w:t>12</w:t>
      </w:r>
      <w:r w:rsidR="00E97C73">
        <w:t>.</w:t>
      </w:r>
      <w:r w:rsidR="00E97C73">
        <w:tab/>
        <w:t xml:space="preserve">Atkinson MJ, Sinha A, Hass SL, et al. Validation of a general measure of treatment satisfaction, the Treatment Satisfaction Questionnaire for Medication (TSQM), using a national panel study of chronic disease. Health Qual Life Outcomes. </w:t>
      </w:r>
      <w:r w:rsidR="00E97C73" w:rsidRPr="008B4236">
        <w:t xml:space="preserve">2004;2(1):12. </w:t>
      </w:r>
      <w:proofErr w:type="spellStart"/>
      <w:r w:rsidR="00E97C73" w:rsidRPr="008B4236">
        <w:t>doi</w:t>
      </w:r>
      <w:proofErr w:type="spellEnd"/>
      <w:r w:rsidR="00E97C73" w:rsidRPr="008B4236">
        <w:t>: https://doi.org/10.1186/1477-7525-2-12</w:t>
      </w:r>
    </w:p>
    <w:p w14:paraId="263A04A8" w14:textId="77777777" w:rsidR="00C23771" w:rsidRDefault="00C23771" w:rsidP="00C23771">
      <w:r w:rsidRPr="008B4236">
        <w:t>13.</w:t>
      </w:r>
      <w:r w:rsidRPr="008B4236">
        <w:tab/>
      </w:r>
      <w:proofErr w:type="spellStart"/>
      <w:r w:rsidRPr="008B4236">
        <w:t>Vrijens</w:t>
      </w:r>
      <w:proofErr w:type="spellEnd"/>
      <w:r w:rsidRPr="008B4236">
        <w:t xml:space="preserve"> B, De </w:t>
      </w:r>
      <w:proofErr w:type="spellStart"/>
      <w:r w:rsidRPr="008B4236">
        <w:t>Geest</w:t>
      </w:r>
      <w:proofErr w:type="spellEnd"/>
      <w:r w:rsidRPr="008B4236">
        <w:t xml:space="preserve"> S, Hughes DA, et al. </w:t>
      </w:r>
      <w:r>
        <w:t xml:space="preserve">A new taxonomy for describing and defining adherence to medications. Brit J Clinical Pharma. 2012;73(5):691-705. </w:t>
      </w:r>
      <w:proofErr w:type="spellStart"/>
      <w:r>
        <w:t>doi</w:t>
      </w:r>
      <w:proofErr w:type="spellEnd"/>
      <w:r>
        <w:t>: https://doi.org/10.1111/j.1365-2125.2012.04167.x</w:t>
      </w:r>
    </w:p>
    <w:p w14:paraId="334C5496" w14:textId="74C2C6AB" w:rsidR="00F46B52" w:rsidRDefault="00C23771" w:rsidP="00E97C73">
      <w:r>
        <w:t>14.</w:t>
      </w:r>
      <w:r>
        <w:tab/>
      </w:r>
      <w:proofErr w:type="spellStart"/>
      <w:r>
        <w:t>Vermeire</w:t>
      </w:r>
      <w:proofErr w:type="spellEnd"/>
      <w:r>
        <w:t xml:space="preserve"> S, Schreiber S, </w:t>
      </w:r>
      <w:proofErr w:type="spellStart"/>
      <w:r>
        <w:t>Sandborn</w:t>
      </w:r>
      <w:proofErr w:type="spellEnd"/>
      <w:r>
        <w:t xml:space="preserve"> WJ, </w:t>
      </w:r>
      <w:r w:rsidR="00426F8E">
        <w:t>et al</w:t>
      </w:r>
      <w:r>
        <w:t xml:space="preserve">. Correlation Between the Crohn’s Disease Activity and Harvey–Bradshaw Indices in Assessing Crohn’s Disease Severity. </w:t>
      </w:r>
      <w:r w:rsidRPr="00C23771">
        <w:t>Clin Gastroenterol Hepatol</w:t>
      </w:r>
      <w:r>
        <w:t xml:space="preserve">. 2010;8(4):357-363. </w:t>
      </w:r>
      <w:proofErr w:type="spellStart"/>
      <w:r>
        <w:t>doi</w:t>
      </w:r>
      <w:proofErr w:type="spellEnd"/>
      <w:r>
        <w:t>: https://doi.org/10.1016/j.cgh.2010.01.001</w:t>
      </w:r>
    </w:p>
    <w:p w14:paraId="12F2489B" w14:textId="39BD89B7" w:rsidR="00ED5B23" w:rsidRDefault="00426F8E" w:rsidP="00E97C73">
      <w:r>
        <w:lastRenderedPageBreak/>
        <w:t>15.</w:t>
      </w:r>
      <w:r>
        <w:tab/>
        <w:t>Norman G</w:t>
      </w:r>
      <w:r w:rsidR="00F6431D">
        <w:t>R</w:t>
      </w:r>
      <w:r>
        <w:t xml:space="preserve">, </w:t>
      </w:r>
      <w:r w:rsidR="004504E5">
        <w:t xml:space="preserve">Sloan JA, </w:t>
      </w:r>
      <w:proofErr w:type="spellStart"/>
      <w:r w:rsidR="004504E5">
        <w:t>Wyr</w:t>
      </w:r>
      <w:r w:rsidR="00E41FE8">
        <w:t>wich</w:t>
      </w:r>
      <w:proofErr w:type="spellEnd"/>
      <w:r w:rsidR="00E41FE8">
        <w:t xml:space="preserve"> KW. </w:t>
      </w:r>
      <w:r w:rsidR="0001400A" w:rsidRPr="0001400A">
        <w:t>Interpretation of Changes in Health-related Quality of Life: The Remarkable Universality of Half a Standard Deviation. Medical Care</w:t>
      </w:r>
      <w:r w:rsidR="003A50C5">
        <w:t>. 2003;</w:t>
      </w:r>
      <w:r w:rsidR="0001400A" w:rsidRPr="0001400A">
        <w:t>41(5):582-592</w:t>
      </w:r>
      <w:r w:rsidR="00D118CB">
        <w:t xml:space="preserve">. </w:t>
      </w:r>
      <w:proofErr w:type="spellStart"/>
      <w:r w:rsidR="00D118CB">
        <w:t>doi</w:t>
      </w:r>
      <w:proofErr w:type="spellEnd"/>
      <w:r w:rsidR="00D118CB">
        <w:t>:</w:t>
      </w:r>
      <w:r w:rsidR="0001400A" w:rsidRPr="0001400A">
        <w:t xml:space="preserve"> </w:t>
      </w:r>
      <w:r w:rsidR="0013373F">
        <w:t>http</w:t>
      </w:r>
      <w:r w:rsidR="006A54C8">
        <w:t>s://doi.org/</w:t>
      </w:r>
      <w:r w:rsidR="0001400A" w:rsidRPr="0001400A">
        <w:t>10.1097/01.MLR.0000062554.74615.4C</w:t>
      </w:r>
    </w:p>
    <w:p w14:paraId="3FCEC033" w14:textId="0215101C" w:rsidR="00E97C73" w:rsidRDefault="00C23771" w:rsidP="00E97C73">
      <w:r>
        <w:t>1</w:t>
      </w:r>
      <w:r w:rsidR="003524B5">
        <w:t>6</w:t>
      </w:r>
      <w:r w:rsidR="00E97C73">
        <w:t>.</w:t>
      </w:r>
      <w:r w:rsidR="00E97C73">
        <w:tab/>
        <w:t xml:space="preserve">National Institute for Health and Care Excellence. Adalimumab, etanercept, infliximab and abatacept for treating moderate rheumatoid arthritis after conventional DMARDs have failed [Technology appraisal guidance No. TA715]. Published online July 14, 2021. Accessed </w:t>
      </w:r>
      <w:r w:rsidR="008D10CD">
        <w:t>14.03.2023</w:t>
      </w:r>
      <w:r w:rsidR="00E97C73">
        <w:t>. https://www.nice.org.uk/guidance/ta715/resources/adalimumab-etanercept-infliximab-and-abatacept-for-treating-moderate-rheumatoid-arthritis-after-conventional-dmards-have-failed-pdf-82611135252421</w:t>
      </w:r>
    </w:p>
    <w:p w14:paraId="79B0299C" w14:textId="79E3D5D1" w:rsidR="00E97C73" w:rsidRDefault="00AC3FBE" w:rsidP="00E97C73">
      <w:r>
        <w:t>1</w:t>
      </w:r>
      <w:r w:rsidR="003524B5">
        <w:t>7</w:t>
      </w:r>
      <w:r w:rsidR="00E97C73">
        <w:t>.</w:t>
      </w:r>
      <w:r w:rsidR="00E97C73">
        <w:tab/>
        <w:t xml:space="preserve">Mulcahy AW, </w:t>
      </w:r>
      <w:proofErr w:type="spellStart"/>
      <w:r w:rsidR="00E97C73">
        <w:t>Hlavka</w:t>
      </w:r>
      <w:proofErr w:type="spellEnd"/>
      <w:r w:rsidR="00E97C73">
        <w:t xml:space="preserve"> JP, Case SR. Biosimilar Cost Savings in the United States: Initial Experience and Future Potential. Rand Health Q. 2018;7(4):3.</w:t>
      </w:r>
    </w:p>
    <w:p w14:paraId="763931A4" w14:textId="631890BB" w:rsidR="00E97C73" w:rsidRDefault="00AC3FBE" w:rsidP="00E97C73">
      <w:r>
        <w:t>1</w:t>
      </w:r>
      <w:r w:rsidR="003524B5">
        <w:t>8</w:t>
      </w:r>
      <w:r w:rsidR="00E97C73">
        <w:t>.</w:t>
      </w:r>
      <w:r w:rsidR="00E97C73">
        <w:tab/>
        <w:t xml:space="preserve">Young D, Cummings F, Latter S. Patient perspectives of successful adalimumab biosimilar transitioning in Crohn’s disease: an interview study. </w:t>
      </w:r>
      <w:proofErr w:type="spellStart"/>
      <w:r w:rsidR="00E97C73">
        <w:t>Eur</w:t>
      </w:r>
      <w:proofErr w:type="spellEnd"/>
      <w:r w:rsidR="00E97C73">
        <w:t xml:space="preserve"> J Hosp Pharm. </w:t>
      </w:r>
      <w:r w:rsidR="007D5357">
        <w:t>2024;</w:t>
      </w:r>
      <w:r w:rsidR="00F75DA1">
        <w:t>31(2):143-149.</w:t>
      </w:r>
      <w:r w:rsidR="00E97C73">
        <w:t xml:space="preserve">  </w:t>
      </w:r>
      <w:proofErr w:type="spellStart"/>
      <w:r w:rsidR="00E97C73">
        <w:t>doi</w:t>
      </w:r>
      <w:proofErr w:type="spellEnd"/>
      <w:r w:rsidR="00E97C73">
        <w:t>: https://doi.org/10.1136/ejhpharm-2022-003371</w:t>
      </w:r>
    </w:p>
    <w:p w14:paraId="0B32570B" w14:textId="57A5A64E" w:rsidR="00E97C73" w:rsidRDefault="00AC3FBE" w:rsidP="00E97C73">
      <w:r>
        <w:t>1</w:t>
      </w:r>
      <w:r w:rsidR="003524B5">
        <w:t>9</w:t>
      </w:r>
      <w:r w:rsidR="00E97C73">
        <w:t>.</w:t>
      </w:r>
      <w:r w:rsidR="00E97C73">
        <w:tab/>
        <w:t xml:space="preserve">St Clair-Jones A, </w:t>
      </w:r>
      <w:proofErr w:type="spellStart"/>
      <w:r w:rsidR="00E97C73">
        <w:t>Prignano</w:t>
      </w:r>
      <w:proofErr w:type="spellEnd"/>
      <w:r w:rsidR="00E97C73">
        <w:t xml:space="preserve"> F, Goncalves J, </w:t>
      </w:r>
      <w:r w:rsidR="007C6DD1">
        <w:t>et al</w:t>
      </w:r>
      <w:r w:rsidR="00E97C73">
        <w:t xml:space="preserve">. Understanding and Minimising Injection-Site Pain Following Subcutaneous Administration of Biologics: A Narrative Review. </w:t>
      </w:r>
      <w:proofErr w:type="spellStart"/>
      <w:r w:rsidR="00E97C73">
        <w:t>Rheumatol</w:t>
      </w:r>
      <w:proofErr w:type="spellEnd"/>
      <w:r w:rsidR="00E97C73">
        <w:t xml:space="preserve"> </w:t>
      </w:r>
      <w:proofErr w:type="spellStart"/>
      <w:r w:rsidR="00E97C73">
        <w:t>Ther</w:t>
      </w:r>
      <w:proofErr w:type="spellEnd"/>
      <w:r w:rsidR="00E97C73">
        <w:t xml:space="preserve">. 2020;7(4):741-757. </w:t>
      </w:r>
      <w:proofErr w:type="spellStart"/>
      <w:r w:rsidR="00E97C73">
        <w:t>doi</w:t>
      </w:r>
      <w:proofErr w:type="spellEnd"/>
      <w:r w:rsidR="00E97C73">
        <w:t>: https://doi.org/10.1007/s40744-020-00245-0</w:t>
      </w:r>
    </w:p>
    <w:p w14:paraId="2541FB38" w14:textId="0FD4A2BD" w:rsidR="00E97C73" w:rsidRDefault="003524B5" w:rsidP="00E97C73">
      <w:r>
        <w:t>20</w:t>
      </w:r>
      <w:r w:rsidR="00E97C73">
        <w:t>.</w:t>
      </w:r>
      <w:r w:rsidR="00E97C73">
        <w:tab/>
        <w:t xml:space="preserve">Nash P, </w:t>
      </w:r>
      <w:proofErr w:type="spellStart"/>
      <w:r w:rsidR="00E97C73">
        <w:t>Vanhoof</w:t>
      </w:r>
      <w:proofErr w:type="spellEnd"/>
      <w:r w:rsidR="00E97C73">
        <w:t xml:space="preserve"> J, Hall S, et al. Randomized Crossover Comparison of Injection Site Pain with 40 mg/0.4 or 0.8 mL Formulations of Adalimumab in Patients with Rheumatoid Arthritis. </w:t>
      </w:r>
      <w:proofErr w:type="spellStart"/>
      <w:r w:rsidR="00BC76D6" w:rsidRPr="00BC76D6">
        <w:t>Rheumatol</w:t>
      </w:r>
      <w:proofErr w:type="spellEnd"/>
      <w:r w:rsidR="00BC76D6" w:rsidRPr="00BC76D6">
        <w:t xml:space="preserve"> </w:t>
      </w:r>
      <w:proofErr w:type="spellStart"/>
      <w:r w:rsidR="00BC76D6" w:rsidRPr="00BC76D6">
        <w:t>Ther</w:t>
      </w:r>
      <w:proofErr w:type="spellEnd"/>
      <w:r w:rsidR="00E97C73">
        <w:t xml:space="preserve">. 2016;3(2):257-270. </w:t>
      </w:r>
      <w:proofErr w:type="spellStart"/>
      <w:r w:rsidR="00E97C73">
        <w:t>doi</w:t>
      </w:r>
      <w:proofErr w:type="spellEnd"/>
      <w:r w:rsidR="00E97C73">
        <w:t>: https://doi.org/10.1007/s40744-016-0041-3</w:t>
      </w:r>
    </w:p>
    <w:p w14:paraId="6F4F4BFD" w14:textId="228000FA" w:rsidR="00E97C73" w:rsidRDefault="00AC3FBE" w:rsidP="00E97C73">
      <w:r>
        <w:t>2</w:t>
      </w:r>
      <w:r w:rsidR="003524B5">
        <w:t>1</w:t>
      </w:r>
      <w:r w:rsidR="00E97C73">
        <w:t>.</w:t>
      </w:r>
      <w:r w:rsidR="00E97C73">
        <w:tab/>
        <w:t xml:space="preserve">Lukas M, </w:t>
      </w:r>
      <w:proofErr w:type="spellStart"/>
      <w:r w:rsidR="00E97C73">
        <w:t>Malickova</w:t>
      </w:r>
      <w:proofErr w:type="spellEnd"/>
      <w:r w:rsidR="00E97C73">
        <w:t xml:space="preserve"> K, Kolar M, et al. Switching </w:t>
      </w:r>
      <w:proofErr w:type="gramStart"/>
      <w:r w:rsidR="00E97C73">
        <w:t>From</w:t>
      </w:r>
      <w:proofErr w:type="gramEnd"/>
      <w:r w:rsidR="00E97C73">
        <w:t xml:space="preserve"> Originator Adalimumab to the Biosimilar SB5 in Patients With Inflammatory Bowel Disease: Short-term Experience From a Single </w:t>
      </w:r>
      <w:r w:rsidR="00E97C73">
        <w:lastRenderedPageBreak/>
        <w:t xml:space="preserve">Tertiary Clinical Centre. </w:t>
      </w:r>
      <w:r w:rsidR="00840B3F" w:rsidRPr="00840B3F">
        <w:t xml:space="preserve">J </w:t>
      </w:r>
      <w:proofErr w:type="spellStart"/>
      <w:r w:rsidR="00840B3F" w:rsidRPr="00840B3F">
        <w:t>Crohns</w:t>
      </w:r>
      <w:proofErr w:type="spellEnd"/>
      <w:r w:rsidR="00840B3F" w:rsidRPr="00840B3F">
        <w:t xml:space="preserve"> Colitis</w:t>
      </w:r>
      <w:r w:rsidR="00E97C73">
        <w:t xml:space="preserve">. 2020;14(7):915-919. </w:t>
      </w:r>
      <w:proofErr w:type="spellStart"/>
      <w:r w:rsidR="00E97C73">
        <w:t>doi</w:t>
      </w:r>
      <w:proofErr w:type="spellEnd"/>
      <w:r w:rsidR="00E97C73">
        <w:t>: https://doi.org/10.1093/ecco-jcc/jjaa001</w:t>
      </w:r>
    </w:p>
    <w:p w14:paraId="6C04BC49" w14:textId="1A8E350D" w:rsidR="00E97C73" w:rsidRDefault="00290EA8" w:rsidP="00E97C73">
      <w:r>
        <w:t>2</w:t>
      </w:r>
      <w:r w:rsidR="003524B5">
        <w:t>2</w:t>
      </w:r>
      <w:r w:rsidR="00E97C73">
        <w:t>.</w:t>
      </w:r>
      <w:r w:rsidR="00E97C73">
        <w:tab/>
        <w:t xml:space="preserve">Harris C, Harris RJ, Young D, et al. Clinical Outcomes and Patient Experience of </w:t>
      </w:r>
      <w:proofErr w:type="gramStart"/>
      <w:r w:rsidR="00E97C73">
        <w:t>Biosimilar to Biosimilar</w:t>
      </w:r>
      <w:proofErr w:type="gramEnd"/>
      <w:r w:rsidR="00E97C73">
        <w:t xml:space="preserve"> Infliximab Switching in Patients with Inflammatory Bowel Disease: A Prospective, Single-Centre, Phase IV Interventional Study with a Nested Qualitative Study. </w:t>
      </w:r>
      <w:proofErr w:type="spellStart"/>
      <w:r w:rsidR="00E97C73">
        <w:t>Sugumaran</w:t>
      </w:r>
      <w:proofErr w:type="spellEnd"/>
      <w:r w:rsidR="00E97C73">
        <w:t xml:space="preserve"> A, ed. </w:t>
      </w:r>
      <w:proofErr w:type="spellStart"/>
      <w:r w:rsidR="00E97C73">
        <w:t>GastroHep</w:t>
      </w:r>
      <w:proofErr w:type="spellEnd"/>
      <w:r w:rsidR="00E97C73">
        <w:t xml:space="preserve">. </w:t>
      </w:r>
      <w:proofErr w:type="gramStart"/>
      <w:r w:rsidR="00E97C73">
        <w:t>2023;2023:1</w:t>
      </w:r>
      <w:proofErr w:type="gramEnd"/>
      <w:r w:rsidR="00E97C73">
        <w:t xml:space="preserve">-14. </w:t>
      </w:r>
      <w:proofErr w:type="spellStart"/>
      <w:r w:rsidR="00E97C73">
        <w:t>doi</w:t>
      </w:r>
      <w:proofErr w:type="spellEnd"/>
      <w:r w:rsidR="00E97C73">
        <w:t>: https://doi.org/10.1155/2023/1248526</w:t>
      </w:r>
    </w:p>
    <w:p w14:paraId="0CB82B91" w14:textId="4A723B72" w:rsidR="00E97C73" w:rsidRDefault="00290EA8" w:rsidP="00E97C73">
      <w:r>
        <w:t>2</w:t>
      </w:r>
      <w:r w:rsidR="003524B5">
        <w:t>3</w:t>
      </w:r>
      <w:r w:rsidR="00E97C73">
        <w:t>.</w:t>
      </w:r>
      <w:r w:rsidR="00E97C73">
        <w:tab/>
      </w:r>
      <w:proofErr w:type="spellStart"/>
      <w:r w:rsidR="00E97C73">
        <w:t>Allocati</w:t>
      </w:r>
      <w:proofErr w:type="spellEnd"/>
      <w:r w:rsidR="00E97C73">
        <w:t xml:space="preserve"> E, Godman B, </w:t>
      </w:r>
      <w:proofErr w:type="spellStart"/>
      <w:r w:rsidR="00E97C73">
        <w:t>Gobbi</w:t>
      </w:r>
      <w:proofErr w:type="spellEnd"/>
      <w:r w:rsidR="00E97C73">
        <w:t xml:space="preserve"> M, </w:t>
      </w:r>
      <w:r w:rsidR="007C6DD1">
        <w:t>et al</w:t>
      </w:r>
      <w:r w:rsidR="00E97C73">
        <w:t xml:space="preserve">. Switching Among Biosimilars: A Review of Clinical Evidence. Front </w:t>
      </w:r>
      <w:proofErr w:type="spellStart"/>
      <w:r w:rsidR="00E97C73">
        <w:t>Pharmacol</w:t>
      </w:r>
      <w:proofErr w:type="spellEnd"/>
      <w:r w:rsidR="00E97C73">
        <w:t xml:space="preserve">. </w:t>
      </w:r>
      <w:proofErr w:type="gramStart"/>
      <w:r w:rsidR="00E97C73">
        <w:t>2022;13:917814</w:t>
      </w:r>
      <w:proofErr w:type="gramEnd"/>
      <w:r w:rsidR="00E97C73">
        <w:t xml:space="preserve">. </w:t>
      </w:r>
      <w:proofErr w:type="spellStart"/>
      <w:r w:rsidR="00E97C73">
        <w:t>doi</w:t>
      </w:r>
      <w:proofErr w:type="spellEnd"/>
      <w:r w:rsidR="00E97C73">
        <w:t>: https://doi.org/10.3389/fphar.2022.917814</w:t>
      </w:r>
    </w:p>
    <w:p w14:paraId="106C14A6" w14:textId="4800F95F" w:rsidR="00E97C73" w:rsidRDefault="008F6DFC" w:rsidP="00E97C73">
      <w:r w:rsidRPr="00C26218">
        <w:t>2</w:t>
      </w:r>
      <w:r w:rsidR="003524B5" w:rsidRPr="00C26218">
        <w:t>4</w:t>
      </w:r>
      <w:r w:rsidR="00E97C73" w:rsidRPr="00C26218">
        <w:t>.</w:t>
      </w:r>
      <w:r w:rsidR="00E97C73" w:rsidRPr="00C26218">
        <w:tab/>
      </w:r>
      <w:proofErr w:type="spellStart"/>
      <w:r w:rsidR="00E97C73" w:rsidRPr="00C26218">
        <w:t>Mysler</w:t>
      </w:r>
      <w:proofErr w:type="spellEnd"/>
      <w:r w:rsidR="00E97C73" w:rsidRPr="00C26218">
        <w:t xml:space="preserve"> E, Azevedo VF, </w:t>
      </w:r>
      <w:proofErr w:type="spellStart"/>
      <w:r w:rsidR="00E97C73" w:rsidRPr="00C26218">
        <w:t>Danese</w:t>
      </w:r>
      <w:proofErr w:type="spellEnd"/>
      <w:r w:rsidR="00E97C73" w:rsidRPr="00C26218">
        <w:t xml:space="preserve"> S, et al. </w:t>
      </w:r>
      <w:r w:rsidR="00E97C73">
        <w:t xml:space="preserve">Biosimilar-to-Biosimilar Switching: What is the Rationale and Current Experience? Drugs. 2021;81(16):1859-1879. </w:t>
      </w:r>
      <w:proofErr w:type="spellStart"/>
      <w:r w:rsidR="00E97C73">
        <w:t>doi</w:t>
      </w:r>
      <w:proofErr w:type="spellEnd"/>
      <w:r w:rsidR="00E97C73">
        <w:t>: https://doi.org/10.1007/s40265-021-01610-1</w:t>
      </w:r>
    </w:p>
    <w:p w14:paraId="1AEA3963" w14:textId="5D67C2DD" w:rsidR="004E1EAB" w:rsidRPr="00656E66" w:rsidRDefault="008F6DFC" w:rsidP="00141ABC">
      <w:r>
        <w:t>2</w:t>
      </w:r>
      <w:r w:rsidR="003524B5">
        <w:t>5</w:t>
      </w:r>
      <w:r w:rsidR="00E97C73">
        <w:t>.</w:t>
      </w:r>
      <w:r w:rsidR="00E97C73">
        <w:tab/>
      </w:r>
      <w:proofErr w:type="spellStart"/>
      <w:r w:rsidR="00E97C73">
        <w:t>Mosli</w:t>
      </w:r>
      <w:proofErr w:type="spellEnd"/>
      <w:r w:rsidR="00E97C73">
        <w:t xml:space="preserve"> MH, Zou G, Garg SK, et al. C-Reactive Protein, </w:t>
      </w:r>
      <w:proofErr w:type="spellStart"/>
      <w:r w:rsidR="00E97C73">
        <w:t>Fecal</w:t>
      </w:r>
      <w:proofErr w:type="spellEnd"/>
      <w:r w:rsidR="00E97C73">
        <w:t xml:space="preserve"> Calprotectin, and Stool Lactoferrin for Detection of Endoscopic Activity in Symptomatic Inflammatory Bowel Disease Patients: A Systematic Review and Meta-Analysis. </w:t>
      </w:r>
      <w:r w:rsidR="00BC6B3C" w:rsidRPr="00BC6B3C">
        <w:t>Am J Gastroenterol</w:t>
      </w:r>
      <w:r w:rsidR="00E97C73">
        <w:t xml:space="preserve">. 2015;110(6):802-819. </w:t>
      </w:r>
      <w:proofErr w:type="spellStart"/>
      <w:r w:rsidR="00E97C73">
        <w:t>doi</w:t>
      </w:r>
      <w:proofErr w:type="spellEnd"/>
      <w:r w:rsidR="00E97C73">
        <w:t>: https://doi.org/10.1038/ajg.2015.120</w:t>
      </w:r>
    </w:p>
    <w:p w14:paraId="63CE4254" w14:textId="095848B7" w:rsidR="00204876" w:rsidRPr="002A30E6" w:rsidRDefault="00204876" w:rsidP="00204876">
      <w:pPr>
        <w:pStyle w:val="Heading1"/>
      </w:pPr>
      <w:r w:rsidRPr="002A30E6">
        <w:lastRenderedPageBreak/>
        <w:t>Figures</w:t>
      </w:r>
    </w:p>
    <w:p w14:paraId="01C132DB" w14:textId="36C0AAE7" w:rsidR="00204876" w:rsidRPr="002A30E6" w:rsidRDefault="00337A05" w:rsidP="00204876">
      <w:pPr>
        <w:keepNext/>
      </w:pPr>
      <w:r w:rsidRPr="002A30E6">
        <w:rPr>
          <w:noProof/>
        </w:rPr>
        <w:drawing>
          <wp:inline distT="0" distB="0" distL="0" distR="0" wp14:anchorId="2AA53C2F" wp14:editId="5164DEF6">
            <wp:extent cx="5194300" cy="77914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94300" cy="7791450"/>
                    </a:xfrm>
                    <a:prstGeom prst="rect">
                      <a:avLst/>
                    </a:prstGeom>
                  </pic:spPr>
                </pic:pic>
              </a:graphicData>
            </a:graphic>
          </wp:inline>
        </w:drawing>
      </w:r>
    </w:p>
    <w:p w14:paraId="6BC8B720" w14:textId="3D33B0F1" w:rsidR="00204876" w:rsidRPr="002A30E6" w:rsidRDefault="00204876" w:rsidP="00204876">
      <w:pPr>
        <w:pStyle w:val="Caption"/>
      </w:pPr>
      <w:bookmarkStart w:id="23" w:name="_Toc135163347"/>
      <w:r w:rsidRPr="00AB796E">
        <w:rPr>
          <w:b/>
          <w:bCs/>
        </w:rPr>
        <w:t>Fig</w:t>
      </w:r>
      <w:r w:rsidR="00AB796E" w:rsidRPr="00AB796E">
        <w:rPr>
          <w:b/>
          <w:bCs/>
        </w:rPr>
        <w:t>.</w:t>
      </w:r>
      <w:r w:rsidRPr="00AB796E">
        <w:rPr>
          <w:b/>
          <w:bCs/>
        </w:rPr>
        <w:t xml:space="preserve"> </w:t>
      </w:r>
      <w:r w:rsidR="00C37DD4">
        <w:rPr>
          <w:b/>
          <w:bCs/>
        </w:rPr>
        <w:t>1</w:t>
      </w:r>
      <w:r w:rsidRPr="002A30E6">
        <w:t xml:space="preserve"> CONSORT flow diagram for the trial</w:t>
      </w:r>
      <w:bookmarkEnd w:id="23"/>
    </w:p>
    <w:p w14:paraId="0E262FFB" w14:textId="77777777" w:rsidR="00204876" w:rsidRPr="002A30E6" w:rsidRDefault="00204876" w:rsidP="00204876">
      <w:pPr>
        <w:rPr>
          <w:noProof/>
        </w:rPr>
      </w:pPr>
      <w:r w:rsidRPr="002A30E6">
        <w:rPr>
          <w:noProof/>
        </w:rPr>
        <w:lastRenderedPageBreak/>
        <w:drawing>
          <wp:inline distT="0" distB="0" distL="0" distR="0" wp14:anchorId="1935CF16" wp14:editId="4056481F">
            <wp:extent cx="5731510" cy="3366135"/>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366135"/>
                    </a:xfrm>
                    <a:prstGeom prst="rect">
                      <a:avLst/>
                    </a:prstGeom>
                  </pic:spPr>
                </pic:pic>
              </a:graphicData>
            </a:graphic>
          </wp:inline>
        </w:drawing>
      </w:r>
    </w:p>
    <w:p w14:paraId="6A0B6335" w14:textId="10DCC071" w:rsidR="00204876" w:rsidRPr="002A30E6" w:rsidRDefault="00204876" w:rsidP="00204876">
      <w:pPr>
        <w:pStyle w:val="Caption"/>
      </w:pPr>
      <w:bookmarkStart w:id="24" w:name="_Ref129082889"/>
      <w:bookmarkStart w:id="25" w:name="_Toc128664889"/>
      <w:bookmarkStart w:id="26" w:name="_Toc135163348"/>
      <w:r w:rsidRPr="00AB796E">
        <w:rPr>
          <w:b/>
          <w:bCs/>
        </w:rPr>
        <w:t>Fig</w:t>
      </w:r>
      <w:r w:rsidR="00AB796E" w:rsidRPr="00AB796E">
        <w:rPr>
          <w:b/>
          <w:bCs/>
        </w:rPr>
        <w:t xml:space="preserve">. </w:t>
      </w:r>
      <w:r w:rsidR="00C37DD4">
        <w:rPr>
          <w:b/>
          <w:bCs/>
        </w:rPr>
        <w:t>2</w:t>
      </w:r>
      <w:bookmarkEnd w:id="24"/>
      <w:r w:rsidRPr="002A30E6">
        <w:t xml:space="preserve"> IBD-Control-8 (A and B) and IBD-Control-VAS (C and D) </w:t>
      </w:r>
      <w:proofErr w:type="spellStart"/>
      <w:r w:rsidRPr="002A30E6">
        <w:t>subscores</w:t>
      </w:r>
      <w:proofErr w:type="spellEnd"/>
      <w:r w:rsidRPr="002A30E6">
        <w:t xml:space="preserve"> for TS1 (A and C) and TS2 (B and D)</w:t>
      </w:r>
      <w:bookmarkEnd w:id="25"/>
      <w:r w:rsidRPr="002A30E6">
        <w:t xml:space="preserve"> at baseline (blue) and following treatment with reference adalimumab (red) and </w:t>
      </w:r>
      <w:r w:rsidR="00DB76E6" w:rsidRPr="002A30E6">
        <w:t>SB5</w:t>
      </w:r>
      <w:r w:rsidRPr="002A30E6">
        <w:t xml:space="preserve"> (green)</w:t>
      </w:r>
      <w:bookmarkEnd w:id="26"/>
    </w:p>
    <w:p w14:paraId="51E9DCD7" w14:textId="77777777" w:rsidR="00204876" w:rsidRPr="002A30E6" w:rsidRDefault="00204876" w:rsidP="00204876">
      <w:r w:rsidRPr="002A30E6">
        <w:rPr>
          <w:noProof/>
        </w:rPr>
        <w:lastRenderedPageBreak/>
        <w:drawing>
          <wp:inline distT="0" distB="0" distL="0" distR="0" wp14:anchorId="4919B1E4" wp14:editId="79CA4F7E">
            <wp:extent cx="5731510" cy="653161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6531610"/>
                    </a:xfrm>
                    <a:prstGeom prst="rect">
                      <a:avLst/>
                    </a:prstGeom>
                  </pic:spPr>
                </pic:pic>
              </a:graphicData>
            </a:graphic>
          </wp:inline>
        </w:drawing>
      </w:r>
    </w:p>
    <w:p w14:paraId="13CA1639" w14:textId="3A0BED8E" w:rsidR="00204876" w:rsidRPr="002A30E6" w:rsidRDefault="00204876" w:rsidP="00204876">
      <w:pPr>
        <w:pStyle w:val="Caption"/>
      </w:pPr>
      <w:bookmarkStart w:id="27" w:name="_Ref135163540"/>
      <w:bookmarkStart w:id="28" w:name="_Toc135163349"/>
      <w:r w:rsidRPr="00AB796E">
        <w:rPr>
          <w:b/>
          <w:bCs/>
        </w:rPr>
        <w:t>Fig</w:t>
      </w:r>
      <w:r w:rsidR="00AB796E" w:rsidRPr="00AB796E">
        <w:rPr>
          <w:b/>
          <w:bCs/>
        </w:rPr>
        <w:t>.</w:t>
      </w:r>
      <w:r w:rsidRPr="00AB796E">
        <w:rPr>
          <w:b/>
          <w:bCs/>
        </w:rPr>
        <w:t xml:space="preserve"> </w:t>
      </w:r>
      <w:r w:rsidR="00C37DD4">
        <w:rPr>
          <w:b/>
          <w:bCs/>
        </w:rPr>
        <w:t>3</w:t>
      </w:r>
      <w:bookmarkEnd w:id="27"/>
      <w:r w:rsidRPr="002A30E6">
        <w:t xml:space="preserve"> TSQM domain scores for TS1 (A, C, E and G) and TS2 (B, D, F and H) at baseline (blue) and following treatment with reference adalimumab (red) and </w:t>
      </w:r>
      <w:r w:rsidR="00DB76E6" w:rsidRPr="002A30E6">
        <w:t>SB5</w:t>
      </w:r>
      <w:r w:rsidRPr="002A30E6">
        <w:t xml:space="preserve"> (green)</w:t>
      </w:r>
      <w:bookmarkEnd w:id="28"/>
    </w:p>
    <w:p w14:paraId="5A8FC306" w14:textId="77777777" w:rsidR="00204876" w:rsidRPr="002A30E6" w:rsidRDefault="00204876" w:rsidP="00204876">
      <w:pPr>
        <w:spacing w:after="0"/>
      </w:pPr>
    </w:p>
    <w:p w14:paraId="583992D2" w14:textId="66B0E272" w:rsidR="00204876" w:rsidRPr="002A30E6" w:rsidRDefault="00E1569C" w:rsidP="00204876">
      <w:pPr>
        <w:spacing w:after="0"/>
      </w:pPr>
      <w:r w:rsidRPr="002A30E6">
        <w:rPr>
          <w:noProof/>
        </w:rPr>
        <w:lastRenderedPageBreak/>
        <w:drawing>
          <wp:inline distT="0" distB="0" distL="0" distR="0" wp14:anchorId="16277C69" wp14:editId="60CD7F0A">
            <wp:extent cx="5724525" cy="200837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9443" cy="2017118"/>
                    </a:xfrm>
                    <a:prstGeom prst="rect">
                      <a:avLst/>
                    </a:prstGeom>
                    <a:noFill/>
                  </pic:spPr>
                </pic:pic>
              </a:graphicData>
            </a:graphic>
          </wp:inline>
        </w:drawing>
      </w:r>
    </w:p>
    <w:p w14:paraId="33C273BB" w14:textId="69950059" w:rsidR="00204876" w:rsidRPr="002A30E6" w:rsidRDefault="00204876" w:rsidP="00204876">
      <w:pPr>
        <w:pStyle w:val="Caption"/>
      </w:pPr>
      <w:bookmarkStart w:id="29" w:name="_Ref129266689"/>
      <w:bookmarkStart w:id="30" w:name="_Toc135163350"/>
      <w:r w:rsidRPr="00AB796E">
        <w:rPr>
          <w:b/>
          <w:bCs/>
        </w:rPr>
        <w:t>Fig</w:t>
      </w:r>
      <w:r w:rsidR="00AB796E" w:rsidRPr="00AB796E">
        <w:rPr>
          <w:b/>
          <w:bCs/>
        </w:rPr>
        <w:t>.</w:t>
      </w:r>
      <w:r w:rsidRPr="00AB796E">
        <w:rPr>
          <w:b/>
          <w:bCs/>
        </w:rPr>
        <w:t xml:space="preserve"> </w:t>
      </w:r>
      <w:r w:rsidR="00C37DD4">
        <w:rPr>
          <w:b/>
          <w:bCs/>
        </w:rPr>
        <w:t>4</w:t>
      </w:r>
      <w:bookmarkEnd w:id="29"/>
      <w:r w:rsidRPr="002A30E6">
        <w:t xml:space="preserve"> Therapeutic drug monitoring (including (A) adalimumab concentration and (B) immunogenicity) at baseline and during treatment with each adalimumab product, presented with the baseline values central and increasing time on each product </w:t>
      </w:r>
      <w:bookmarkEnd w:id="30"/>
      <w:r w:rsidRPr="002A30E6">
        <w:t xml:space="preserve">in each direction on the </w:t>
      </w:r>
      <w:proofErr w:type="gramStart"/>
      <w:r w:rsidRPr="002A30E6">
        <w:t>x-axis</w:t>
      </w:r>
      <w:proofErr w:type="gramEnd"/>
    </w:p>
    <w:p w14:paraId="3D8567B2" w14:textId="1C91686E" w:rsidR="006D4C48" w:rsidRPr="002A30E6" w:rsidRDefault="006D4C48" w:rsidP="00204876">
      <w:r w:rsidRPr="002A30E6">
        <w:br w:type="page"/>
      </w:r>
    </w:p>
    <w:p w14:paraId="15255089" w14:textId="35EF4D16" w:rsidR="00E35394" w:rsidRPr="002A30E6" w:rsidRDefault="006D4C48" w:rsidP="00E768BC">
      <w:pPr>
        <w:pStyle w:val="Heading1"/>
      </w:pPr>
      <w:r w:rsidRPr="002A30E6">
        <w:lastRenderedPageBreak/>
        <w:t>Tables</w:t>
      </w:r>
    </w:p>
    <w:p w14:paraId="6462B358" w14:textId="777DA38F" w:rsidR="00E768BC" w:rsidRPr="002A30E6" w:rsidRDefault="00E768BC" w:rsidP="00E768BC">
      <w:pPr>
        <w:pStyle w:val="Caption"/>
        <w:keepNext/>
      </w:pPr>
      <w:bookmarkStart w:id="31" w:name="_Toc135163356"/>
      <w:r w:rsidRPr="002A30E6">
        <w:t xml:space="preserve">Table </w:t>
      </w:r>
      <w:fldSimple w:instr=" SEQ Table \* ARABIC ">
        <w:r w:rsidR="00F16607">
          <w:rPr>
            <w:noProof/>
          </w:rPr>
          <w:t>1</w:t>
        </w:r>
      </w:fldSimple>
      <w:r w:rsidRPr="002A30E6">
        <w:t xml:space="preserve"> | Baseline demographic and clinical characteristics</w:t>
      </w:r>
      <w:bookmarkEnd w:id="31"/>
    </w:p>
    <w:tbl>
      <w:tblPr>
        <w:tblStyle w:val="TableGrid"/>
        <w:tblW w:w="9889" w:type="dxa"/>
        <w:tblLayout w:type="fixed"/>
        <w:tblLook w:val="04A0" w:firstRow="1" w:lastRow="0" w:firstColumn="1" w:lastColumn="0" w:noHBand="0" w:noVBand="1"/>
      </w:tblPr>
      <w:tblGrid>
        <w:gridCol w:w="486"/>
        <w:gridCol w:w="1749"/>
        <w:gridCol w:w="850"/>
        <w:gridCol w:w="2126"/>
        <w:gridCol w:w="1843"/>
        <w:gridCol w:w="1418"/>
        <w:gridCol w:w="1417"/>
      </w:tblGrid>
      <w:tr w:rsidR="00E768BC" w:rsidRPr="002A30E6" w14:paraId="44968BDC" w14:textId="77777777" w:rsidTr="00BA7DBA">
        <w:trPr>
          <w:trHeight w:val="834"/>
        </w:trPr>
        <w:tc>
          <w:tcPr>
            <w:tcW w:w="2235" w:type="dxa"/>
            <w:gridSpan w:val="2"/>
            <w:tcBorders>
              <w:top w:val="nil"/>
              <w:left w:val="nil"/>
              <w:right w:val="nil"/>
            </w:tcBorders>
          </w:tcPr>
          <w:p w14:paraId="398723FD" w14:textId="77777777" w:rsidR="00E768BC" w:rsidRPr="002A30E6" w:rsidRDefault="00E768BC" w:rsidP="00BA7DBA">
            <w:pPr>
              <w:pStyle w:val="NoSpacing"/>
            </w:pPr>
          </w:p>
        </w:tc>
        <w:tc>
          <w:tcPr>
            <w:tcW w:w="850" w:type="dxa"/>
            <w:tcBorders>
              <w:top w:val="nil"/>
              <w:left w:val="nil"/>
              <w:right w:val="nil"/>
            </w:tcBorders>
          </w:tcPr>
          <w:p w14:paraId="107C85C4" w14:textId="77777777" w:rsidR="00E768BC" w:rsidRPr="002A30E6" w:rsidRDefault="00E768BC" w:rsidP="00BA7DBA">
            <w:pPr>
              <w:pStyle w:val="NoSpacing"/>
            </w:pPr>
          </w:p>
        </w:tc>
        <w:tc>
          <w:tcPr>
            <w:tcW w:w="2126" w:type="dxa"/>
            <w:tcBorders>
              <w:top w:val="nil"/>
              <w:left w:val="nil"/>
            </w:tcBorders>
          </w:tcPr>
          <w:p w14:paraId="1424766A" w14:textId="77777777" w:rsidR="00E768BC" w:rsidRPr="002A30E6" w:rsidRDefault="00E768BC" w:rsidP="00BA7DBA">
            <w:pPr>
              <w:pStyle w:val="NoSpacing"/>
            </w:pPr>
          </w:p>
        </w:tc>
        <w:tc>
          <w:tcPr>
            <w:tcW w:w="1843" w:type="dxa"/>
            <w:shd w:val="clear" w:color="auto" w:fill="D9D9D9" w:themeFill="background1" w:themeFillShade="D9"/>
            <w:vAlign w:val="center"/>
          </w:tcPr>
          <w:p w14:paraId="55DF7B8D" w14:textId="77777777" w:rsidR="00E768BC" w:rsidRPr="002A30E6" w:rsidRDefault="00E768BC" w:rsidP="00BA7DBA">
            <w:pPr>
              <w:pStyle w:val="NoSpacing"/>
              <w:rPr>
                <w:b/>
              </w:rPr>
            </w:pPr>
            <w:r w:rsidRPr="002A30E6">
              <w:rPr>
                <w:b/>
              </w:rPr>
              <w:t>TS1</w:t>
            </w:r>
          </w:p>
          <w:p w14:paraId="7993AF27" w14:textId="61A953EA" w:rsidR="00E768BC" w:rsidRPr="002A30E6" w:rsidRDefault="00E768BC" w:rsidP="00BA7DBA">
            <w:pPr>
              <w:pStyle w:val="NoSpacing"/>
              <w:rPr>
                <w:b/>
              </w:rPr>
            </w:pPr>
            <w:r w:rsidRPr="002A30E6">
              <w:rPr>
                <w:b/>
              </w:rPr>
              <w:t>(n=45)</w:t>
            </w:r>
          </w:p>
        </w:tc>
        <w:tc>
          <w:tcPr>
            <w:tcW w:w="1418" w:type="dxa"/>
            <w:shd w:val="clear" w:color="auto" w:fill="D9D9D9" w:themeFill="background1" w:themeFillShade="D9"/>
          </w:tcPr>
          <w:p w14:paraId="31B370B1" w14:textId="77777777" w:rsidR="00E768BC" w:rsidRPr="002A30E6" w:rsidRDefault="00E768BC" w:rsidP="00BA7DBA">
            <w:pPr>
              <w:pStyle w:val="NoSpacing"/>
              <w:rPr>
                <w:b/>
              </w:rPr>
            </w:pPr>
            <w:r w:rsidRPr="002A30E6">
              <w:rPr>
                <w:b/>
              </w:rPr>
              <w:t>TS2</w:t>
            </w:r>
          </w:p>
          <w:p w14:paraId="4BF70427" w14:textId="3A056FE7" w:rsidR="00E768BC" w:rsidRPr="002A30E6" w:rsidRDefault="00E768BC" w:rsidP="00BA7DBA">
            <w:pPr>
              <w:pStyle w:val="NoSpacing"/>
              <w:rPr>
                <w:b/>
              </w:rPr>
            </w:pPr>
            <w:r w:rsidRPr="002A30E6">
              <w:rPr>
                <w:b/>
              </w:rPr>
              <w:t>(n=43)</w:t>
            </w:r>
          </w:p>
        </w:tc>
        <w:tc>
          <w:tcPr>
            <w:tcW w:w="1417" w:type="dxa"/>
            <w:shd w:val="clear" w:color="auto" w:fill="D9D9D9" w:themeFill="background1" w:themeFillShade="D9"/>
          </w:tcPr>
          <w:p w14:paraId="5E671B71" w14:textId="77777777" w:rsidR="00E768BC" w:rsidRPr="002A30E6" w:rsidRDefault="00E768BC" w:rsidP="00BA7DBA">
            <w:pPr>
              <w:pStyle w:val="NoSpacing"/>
              <w:rPr>
                <w:b/>
              </w:rPr>
            </w:pPr>
            <w:r w:rsidRPr="002A30E6">
              <w:rPr>
                <w:b/>
              </w:rPr>
              <w:t>Overall</w:t>
            </w:r>
          </w:p>
          <w:p w14:paraId="34949EA2" w14:textId="77777777" w:rsidR="00E768BC" w:rsidRPr="002A30E6" w:rsidRDefault="00E768BC" w:rsidP="00BA7DBA">
            <w:pPr>
              <w:pStyle w:val="NoSpacing"/>
              <w:rPr>
                <w:b/>
              </w:rPr>
            </w:pPr>
            <w:r w:rsidRPr="002A30E6">
              <w:rPr>
                <w:b/>
              </w:rPr>
              <w:t>(n=88)</w:t>
            </w:r>
          </w:p>
        </w:tc>
      </w:tr>
      <w:tr w:rsidR="00E768BC" w:rsidRPr="002A30E6" w14:paraId="4CCC13F3" w14:textId="77777777" w:rsidTr="00BA7DBA">
        <w:tc>
          <w:tcPr>
            <w:tcW w:w="3085" w:type="dxa"/>
            <w:gridSpan w:val="3"/>
            <w:vMerge w:val="restart"/>
          </w:tcPr>
          <w:p w14:paraId="5E805D0C" w14:textId="77777777" w:rsidR="00E768BC" w:rsidRPr="002A30E6" w:rsidRDefault="00E768BC" w:rsidP="00BA7DBA">
            <w:pPr>
              <w:pStyle w:val="NoSpacing"/>
              <w:rPr>
                <w:b/>
              </w:rPr>
            </w:pPr>
            <w:r w:rsidRPr="002A30E6">
              <w:rPr>
                <w:b/>
              </w:rPr>
              <w:t>Gender, n (%)</w:t>
            </w:r>
          </w:p>
        </w:tc>
        <w:tc>
          <w:tcPr>
            <w:tcW w:w="2126" w:type="dxa"/>
          </w:tcPr>
          <w:p w14:paraId="7D7E854C" w14:textId="77777777" w:rsidR="00E768BC" w:rsidRPr="002A30E6" w:rsidRDefault="00E768BC" w:rsidP="00BA7DBA">
            <w:pPr>
              <w:pStyle w:val="NoSpacing"/>
            </w:pPr>
            <w:r w:rsidRPr="002A30E6">
              <w:t>Male</w:t>
            </w:r>
          </w:p>
        </w:tc>
        <w:tc>
          <w:tcPr>
            <w:tcW w:w="1843" w:type="dxa"/>
          </w:tcPr>
          <w:p w14:paraId="79CCC30B" w14:textId="77777777" w:rsidR="00E768BC" w:rsidRPr="002A30E6" w:rsidRDefault="00E768BC" w:rsidP="00BA7DBA">
            <w:pPr>
              <w:pStyle w:val="NoSpacing"/>
            </w:pPr>
            <w:r w:rsidRPr="002A30E6">
              <w:t>24 (53.3)</w:t>
            </w:r>
          </w:p>
        </w:tc>
        <w:tc>
          <w:tcPr>
            <w:tcW w:w="1418" w:type="dxa"/>
          </w:tcPr>
          <w:p w14:paraId="3F6388BD" w14:textId="77777777" w:rsidR="00E768BC" w:rsidRPr="002A30E6" w:rsidRDefault="00E768BC" w:rsidP="00BA7DBA">
            <w:pPr>
              <w:pStyle w:val="NoSpacing"/>
            </w:pPr>
            <w:r w:rsidRPr="002A30E6">
              <w:t>21 (46.7)</w:t>
            </w:r>
          </w:p>
        </w:tc>
        <w:tc>
          <w:tcPr>
            <w:tcW w:w="1417" w:type="dxa"/>
          </w:tcPr>
          <w:p w14:paraId="68818B5B" w14:textId="77777777" w:rsidR="00E768BC" w:rsidRPr="002A30E6" w:rsidRDefault="00E768BC" w:rsidP="00BA7DBA">
            <w:pPr>
              <w:pStyle w:val="NoSpacing"/>
            </w:pPr>
            <w:r w:rsidRPr="002A30E6">
              <w:t>46 (52.3)</w:t>
            </w:r>
          </w:p>
        </w:tc>
      </w:tr>
      <w:tr w:rsidR="00E768BC" w:rsidRPr="002A30E6" w14:paraId="5232DD2D" w14:textId="77777777" w:rsidTr="00BA7DBA">
        <w:tc>
          <w:tcPr>
            <w:tcW w:w="3085" w:type="dxa"/>
            <w:gridSpan w:val="3"/>
            <w:vMerge/>
            <w:tcBorders>
              <w:bottom w:val="single" w:sz="4" w:space="0" w:color="auto"/>
            </w:tcBorders>
          </w:tcPr>
          <w:p w14:paraId="4C262EB6" w14:textId="77777777" w:rsidR="00E768BC" w:rsidRPr="002A30E6" w:rsidRDefault="00E768BC" w:rsidP="00BA7DBA">
            <w:pPr>
              <w:pStyle w:val="NoSpacing"/>
              <w:rPr>
                <w:b/>
              </w:rPr>
            </w:pPr>
          </w:p>
        </w:tc>
        <w:tc>
          <w:tcPr>
            <w:tcW w:w="2126" w:type="dxa"/>
            <w:tcBorders>
              <w:bottom w:val="single" w:sz="4" w:space="0" w:color="auto"/>
            </w:tcBorders>
          </w:tcPr>
          <w:p w14:paraId="6FDAE95C" w14:textId="77777777" w:rsidR="00E768BC" w:rsidRPr="002A30E6" w:rsidRDefault="00E768BC" w:rsidP="00BA7DBA">
            <w:pPr>
              <w:pStyle w:val="NoSpacing"/>
            </w:pPr>
            <w:r w:rsidRPr="002A30E6">
              <w:t>Female</w:t>
            </w:r>
          </w:p>
        </w:tc>
        <w:tc>
          <w:tcPr>
            <w:tcW w:w="1843" w:type="dxa"/>
            <w:tcBorders>
              <w:bottom w:val="single" w:sz="4" w:space="0" w:color="auto"/>
            </w:tcBorders>
          </w:tcPr>
          <w:p w14:paraId="3C37682E" w14:textId="77777777" w:rsidR="00E768BC" w:rsidRPr="002A30E6" w:rsidRDefault="00E768BC" w:rsidP="00BA7DBA">
            <w:pPr>
              <w:pStyle w:val="NoSpacing"/>
            </w:pPr>
            <w:r w:rsidRPr="002A30E6">
              <w:t>21 (46.7)</w:t>
            </w:r>
          </w:p>
        </w:tc>
        <w:tc>
          <w:tcPr>
            <w:tcW w:w="1418" w:type="dxa"/>
            <w:tcBorders>
              <w:bottom w:val="single" w:sz="4" w:space="0" w:color="auto"/>
            </w:tcBorders>
          </w:tcPr>
          <w:p w14:paraId="34A48CFF" w14:textId="77777777" w:rsidR="00E768BC" w:rsidRPr="002A30E6" w:rsidRDefault="00E768BC" w:rsidP="00BA7DBA">
            <w:pPr>
              <w:pStyle w:val="NoSpacing"/>
            </w:pPr>
            <w:r w:rsidRPr="002A30E6">
              <w:t>21 (48.8)</w:t>
            </w:r>
          </w:p>
        </w:tc>
        <w:tc>
          <w:tcPr>
            <w:tcW w:w="1417" w:type="dxa"/>
            <w:tcBorders>
              <w:bottom w:val="single" w:sz="4" w:space="0" w:color="auto"/>
            </w:tcBorders>
          </w:tcPr>
          <w:p w14:paraId="27C1D5C6" w14:textId="77777777" w:rsidR="00E768BC" w:rsidRPr="002A30E6" w:rsidRDefault="00E768BC" w:rsidP="00BA7DBA">
            <w:pPr>
              <w:pStyle w:val="NoSpacing"/>
            </w:pPr>
            <w:r w:rsidRPr="002A30E6">
              <w:t>42 (47.7)</w:t>
            </w:r>
          </w:p>
        </w:tc>
      </w:tr>
      <w:tr w:rsidR="00E768BC" w:rsidRPr="002A30E6" w14:paraId="03B8D170" w14:textId="77777777" w:rsidTr="00BA7DBA">
        <w:tc>
          <w:tcPr>
            <w:tcW w:w="5211" w:type="dxa"/>
            <w:gridSpan w:val="4"/>
            <w:shd w:val="clear" w:color="auto" w:fill="F2F2F2" w:themeFill="background1" w:themeFillShade="F2"/>
          </w:tcPr>
          <w:p w14:paraId="045BF5CC" w14:textId="77777777" w:rsidR="00E768BC" w:rsidRPr="002A30E6" w:rsidRDefault="00E768BC" w:rsidP="00BA7DBA">
            <w:pPr>
              <w:pStyle w:val="NoSpacing"/>
              <w:rPr>
                <w:b/>
              </w:rPr>
            </w:pPr>
            <w:r w:rsidRPr="002A30E6">
              <w:rPr>
                <w:b/>
              </w:rPr>
              <w:t>Age at consent (years), median (IQR)</w:t>
            </w:r>
          </w:p>
        </w:tc>
        <w:tc>
          <w:tcPr>
            <w:tcW w:w="1843" w:type="dxa"/>
            <w:shd w:val="clear" w:color="auto" w:fill="F2F2F2" w:themeFill="background1" w:themeFillShade="F2"/>
          </w:tcPr>
          <w:p w14:paraId="56F13C8B" w14:textId="488122BA" w:rsidR="00E768BC" w:rsidRPr="002A30E6" w:rsidRDefault="00E768BC" w:rsidP="00BA7DBA">
            <w:pPr>
              <w:pStyle w:val="NoSpacing"/>
            </w:pPr>
            <w:r w:rsidRPr="002A30E6">
              <w:t>39 (30-51)</w:t>
            </w:r>
          </w:p>
        </w:tc>
        <w:tc>
          <w:tcPr>
            <w:tcW w:w="1418" w:type="dxa"/>
            <w:shd w:val="clear" w:color="auto" w:fill="F2F2F2" w:themeFill="background1" w:themeFillShade="F2"/>
          </w:tcPr>
          <w:p w14:paraId="7FAC8B7D" w14:textId="77777777" w:rsidR="00E768BC" w:rsidRPr="002A30E6" w:rsidRDefault="00E768BC" w:rsidP="00BA7DBA">
            <w:pPr>
              <w:pStyle w:val="NoSpacing"/>
            </w:pPr>
            <w:r w:rsidRPr="002A30E6">
              <w:t>42 (30-55)</w:t>
            </w:r>
          </w:p>
        </w:tc>
        <w:tc>
          <w:tcPr>
            <w:tcW w:w="1417" w:type="dxa"/>
            <w:shd w:val="clear" w:color="auto" w:fill="F2F2F2" w:themeFill="background1" w:themeFillShade="F2"/>
          </w:tcPr>
          <w:p w14:paraId="1970494D" w14:textId="77777777" w:rsidR="00E768BC" w:rsidRPr="002A30E6" w:rsidRDefault="00E768BC" w:rsidP="00BA7DBA">
            <w:pPr>
              <w:pStyle w:val="NoSpacing"/>
            </w:pPr>
            <w:r w:rsidRPr="002A30E6">
              <w:t>41 (30-52)</w:t>
            </w:r>
          </w:p>
        </w:tc>
      </w:tr>
      <w:tr w:rsidR="00E768BC" w:rsidRPr="002A30E6" w14:paraId="6B42B2D5" w14:textId="77777777" w:rsidTr="00BA7DBA">
        <w:tc>
          <w:tcPr>
            <w:tcW w:w="5211" w:type="dxa"/>
            <w:gridSpan w:val="4"/>
            <w:tcBorders>
              <w:bottom w:val="single" w:sz="4" w:space="0" w:color="auto"/>
            </w:tcBorders>
          </w:tcPr>
          <w:p w14:paraId="64476D95" w14:textId="77777777" w:rsidR="00E768BC" w:rsidRPr="002A30E6" w:rsidRDefault="00E768BC" w:rsidP="00BA7DBA">
            <w:pPr>
              <w:pStyle w:val="NoSpacing"/>
              <w:rPr>
                <w:b/>
              </w:rPr>
            </w:pPr>
            <w:r w:rsidRPr="002A30E6">
              <w:rPr>
                <w:b/>
              </w:rPr>
              <w:t>Time since CD diagnosis (years), median (IQR)</w:t>
            </w:r>
          </w:p>
        </w:tc>
        <w:tc>
          <w:tcPr>
            <w:tcW w:w="1843" w:type="dxa"/>
            <w:tcBorders>
              <w:bottom w:val="single" w:sz="4" w:space="0" w:color="auto"/>
            </w:tcBorders>
          </w:tcPr>
          <w:p w14:paraId="2343DA4D" w14:textId="77777777" w:rsidR="00E768BC" w:rsidRPr="002A30E6" w:rsidRDefault="00E768BC" w:rsidP="00BA7DBA">
            <w:pPr>
              <w:pStyle w:val="NoSpacing"/>
            </w:pPr>
            <w:r w:rsidRPr="002A30E6">
              <w:t>9 (4-16)</w:t>
            </w:r>
          </w:p>
        </w:tc>
        <w:tc>
          <w:tcPr>
            <w:tcW w:w="1418" w:type="dxa"/>
            <w:tcBorders>
              <w:bottom w:val="single" w:sz="4" w:space="0" w:color="auto"/>
            </w:tcBorders>
          </w:tcPr>
          <w:p w14:paraId="7D1A8865" w14:textId="77777777" w:rsidR="00E768BC" w:rsidRPr="002A30E6" w:rsidRDefault="00E768BC" w:rsidP="00BA7DBA">
            <w:pPr>
              <w:pStyle w:val="NoSpacing"/>
            </w:pPr>
            <w:r w:rsidRPr="002A30E6">
              <w:t>10 (4-18)</w:t>
            </w:r>
          </w:p>
        </w:tc>
        <w:tc>
          <w:tcPr>
            <w:tcW w:w="1417" w:type="dxa"/>
            <w:tcBorders>
              <w:bottom w:val="single" w:sz="4" w:space="0" w:color="auto"/>
            </w:tcBorders>
          </w:tcPr>
          <w:p w14:paraId="7DEF9561" w14:textId="77777777" w:rsidR="00E768BC" w:rsidRPr="002A30E6" w:rsidRDefault="00E768BC" w:rsidP="00BA7DBA">
            <w:pPr>
              <w:pStyle w:val="NoSpacing"/>
            </w:pPr>
            <w:r w:rsidRPr="002A30E6">
              <w:t>9 (4-17)</w:t>
            </w:r>
          </w:p>
        </w:tc>
      </w:tr>
      <w:tr w:rsidR="00E768BC" w:rsidRPr="002A30E6" w14:paraId="13EDF923" w14:textId="77777777" w:rsidTr="00BA7DBA">
        <w:tc>
          <w:tcPr>
            <w:tcW w:w="3085" w:type="dxa"/>
            <w:gridSpan w:val="3"/>
            <w:vMerge w:val="restart"/>
            <w:shd w:val="clear" w:color="auto" w:fill="F2F2F2" w:themeFill="background1" w:themeFillShade="F2"/>
          </w:tcPr>
          <w:p w14:paraId="78D3744F" w14:textId="77777777" w:rsidR="00E768BC" w:rsidRPr="002A30E6" w:rsidRDefault="00E768BC" w:rsidP="00BA7DBA">
            <w:pPr>
              <w:pStyle w:val="NoSpacing"/>
              <w:rPr>
                <w:b/>
              </w:rPr>
            </w:pPr>
            <w:r w:rsidRPr="002A30E6">
              <w:rPr>
                <w:b/>
              </w:rPr>
              <w:t>Smoking status, n (%)</w:t>
            </w:r>
          </w:p>
        </w:tc>
        <w:tc>
          <w:tcPr>
            <w:tcW w:w="2126" w:type="dxa"/>
            <w:shd w:val="clear" w:color="auto" w:fill="F2F2F2" w:themeFill="background1" w:themeFillShade="F2"/>
          </w:tcPr>
          <w:p w14:paraId="6322004B" w14:textId="77777777" w:rsidR="00E768BC" w:rsidRPr="002A30E6" w:rsidRDefault="00E768BC" w:rsidP="00BA7DBA">
            <w:pPr>
              <w:pStyle w:val="NoSpacing"/>
            </w:pPr>
            <w:r w:rsidRPr="002A30E6">
              <w:t>Current</w:t>
            </w:r>
          </w:p>
        </w:tc>
        <w:tc>
          <w:tcPr>
            <w:tcW w:w="1843" w:type="dxa"/>
            <w:shd w:val="clear" w:color="auto" w:fill="F2F2F2" w:themeFill="background1" w:themeFillShade="F2"/>
          </w:tcPr>
          <w:p w14:paraId="2A72385B" w14:textId="77777777" w:rsidR="00E768BC" w:rsidRPr="002A30E6" w:rsidRDefault="00E768BC" w:rsidP="00BA7DBA">
            <w:pPr>
              <w:pStyle w:val="NoSpacing"/>
            </w:pPr>
            <w:r w:rsidRPr="002A30E6">
              <w:t>4 (8.9)</w:t>
            </w:r>
          </w:p>
        </w:tc>
        <w:tc>
          <w:tcPr>
            <w:tcW w:w="1418" w:type="dxa"/>
            <w:shd w:val="clear" w:color="auto" w:fill="F2F2F2" w:themeFill="background1" w:themeFillShade="F2"/>
          </w:tcPr>
          <w:p w14:paraId="7AE8BF3D" w14:textId="77777777" w:rsidR="00E768BC" w:rsidRPr="002A30E6" w:rsidRDefault="00E768BC" w:rsidP="00BA7DBA">
            <w:pPr>
              <w:pStyle w:val="NoSpacing"/>
            </w:pPr>
            <w:r w:rsidRPr="002A30E6">
              <w:t>5 (11.6)</w:t>
            </w:r>
          </w:p>
        </w:tc>
        <w:tc>
          <w:tcPr>
            <w:tcW w:w="1417" w:type="dxa"/>
            <w:shd w:val="clear" w:color="auto" w:fill="F2F2F2" w:themeFill="background1" w:themeFillShade="F2"/>
          </w:tcPr>
          <w:p w14:paraId="4DFD929A" w14:textId="77777777" w:rsidR="00E768BC" w:rsidRPr="002A30E6" w:rsidRDefault="00E768BC" w:rsidP="00BA7DBA">
            <w:pPr>
              <w:pStyle w:val="NoSpacing"/>
            </w:pPr>
            <w:r w:rsidRPr="002A30E6">
              <w:t>9 (10.2)</w:t>
            </w:r>
          </w:p>
        </w:tc>
      </w:tr>
      <w:tr w:rsidR="00E768BC" w:rsidRPr="002A30E6" w14:paraId="06460DA9" w14:textId="77777777" w:rsidTr="00BA7DBA">
        <w:tc>
          <w:tcPr>
            <w:tcW w:w="3085" w:type="dxa"/>
            <w:gridSpan w:val="3"/>
            <w:vMerge/>
            <w:shd w:val="clear" w:color="auto" w:fill="F2F2F2" w:themeFill="background1" w:themeFillShade="F2"/>
          </w:tcPr>
          <w:p w14:paraId="2B7B695D" w14:textId="77777777" w:rsidR="00E768BC" w:rsidRPr="002A30E6" w:rsidRDefault="00E768BC" w:rsidP="00BA7DBA">
            <w:pPr>
              <w:pStyle w:val="NoSpacing"/>
              <w:rPr>
                <w:b/>
              </w:rPr>
            </w:pPr>
          </w:p>
        </w:tc>
        <w:tc>
          <w:tcPr>
            <w:tcW w:w="2126" w:type="dxa"/>
            <w:shd w:val="clear" w:color="auto" w:fill="F2F2F2" w:themeFill="background1" w:themeFillShade="F2"/>
          </w:tcPr>
          <w:p w14:paraId="3885F0B9" w14:textId="77777777" w:rsidR="00E768BC" w:rsidRPr="002A30E6" w:rsidRDefault="00E768BC" w:rsidP="00BA7DBA">
            <w:pPr>
              <w:pStyle w:val="NoSpacing"/>
            </w:pPr>
            <w:r w:rsidRPr="002A30E6">
              <w:t>Never/ former</w:t>
            </w:r>
          </w:p>
        </w:tc>
        <w:tc>
          <w:tcPr>
            <w:tcW w:w="1843" w:type="dxa"/>
            <w:shd w:val="clear" w:color="auto" w:fill="F2F2F2" w:themeFill="background1" w:themeFillShade="F2"/>
          </w:tcPr>
          <w:p w14:paraId="0570BE2E" w14:textId="77777777" w:rsidR="00E768BC" w:rsidRPr="002A30E6" w:rsidRDefault="00E768BC" w:rsidP="00BA7DBA">
            <w:pPr>
              <w:pStyle w:val="NoSpacing"/>
            </w:pPr>
            <w:r w:rsidRPr="002A30E6">
              <w:t>41 (91.1)</w:t>
            </w:r>
          </w:p>
        </w:tc>
        <w:tc>
          <w:tcPr>
            <w:tcW w:w="1418" w:type="dxa"/>
            <w:shd w:val="clear" w:color="auto" w:fill="F2F2F2" w:themeFill="background1" w:themeFillShade="F2"/>
          </w:tcPr>
          <w:p w14:paraId="513C9D70" w14:textId="77777777" w:rsidR="00E768BC" w:rsidRPr="002A30E6" w:rsidRDefault="00E768BC" w:rsidP="00BA7DBA">
            <w:pPr>
              <w:pStyle w:val="NoSpacing"/>
            </w:pPr>
            <w:r w:rsidRPr="002A30E6">
              <w:t>38 (88.4)</w:t>
            </w:r>
          </w:p>
        </w:tc>
        <w:tc>
          <w:tcPr>
            <w:tcW w:w="1417" w:type="dxa"/>
            <w:shd w:val="clear" w:color="auto" w:fill="F2F2F2" w:themeFill="background1" w:themeFillShade="F2"/>
          </w:tcPr>
          <w:p w14:paraId="1D70AA68" w14:textId="77777777" w:rsidR="00E768BC" w:rsidRPr="002A30E6" w:rsidRDefault="00E768BC" w:rsidP="00BA7DBA">
            <w:pPr>
              <w:pStyle w:val="NoSpacing"/>
            </w:pPr>
            <w:r w:rsidRPr="002A30E6">
              <w:t>79 (89.8)</w:t>
            </w:r>
          </w:p>
        </w:tc>
      </w:tr>
      <w:tr w:rsidR="00E768BC" w:rsidRPr="002A30E6" w14:paraId="7E675F1E" w14:textId="77777777" w:rsidTr="00BA7DBA">
        <w:tc>
          <w:tcPr>
            <w:tcW w:w="486" w:type="dxa"/>
            <w:vMerge w:val="restart"/>
            <w:textDirection w:val="btLr"/>
          </w:tcPr>
          <w:p w14:paraId="4886B083" w14:textId="77777777" w:rsidR="00E768BC" w:rsidRPr="002A30E6" w:rsidRDefault="00E768BC" w:rsidP="009C0EB8">
            <w:pPr>
              <w:pStyle w:val="NoSpacing"/>
              <w:jc w:val="center"/>
              <w:rPr>
                <w:b/>
                <w:iCs/>
              </w:rPr>
            </w:pPr>
            <w:r w:rsidRPr="002A30E6">
              <w:rPr>
                <w:b/>
                <w:iCs/>
              </w:rPr>
              <w:t>Montreal classification</w:t>
            </w:r>
          </w:p>
        </w:tc>
        <w:tc>
          <w:tcPr>
            <w:tcW w:w="2599" w:type="dxa"/>
            <w:gridSpan w:val="2"/>
            <w:vMerge w:val="restart"/>
          </w:tcPr>
          <w:p w14:paraId="722E5A31" w14:textId="77777777" w:rsidR="00E768BC" w:rsidRPr="002A30E6" w:rsidRDefault="00E768BC" w:rsidP="00BA7DBA">
            <w:pPr>
              <w:pStyle w:val="NoSpacing"/>
              <w:rPr>
                <w:b/>
                <w:iCs/>
              </w:rPr>
            </w:pPr>
            <w:r w:rsidRPr="002A30E6">
              <w:rPr>
                <w:b/>
                <w:iCs/>
              </w:rPr>
              <w:t>Age at diagnosis, n (%)</w:t>
            </w:r>
          </w:p>
        </w:tc>
        <w:tc>
          <w:tcPr>
            <w:tcW w:w="2126" w:type="dxa"/>
          </w:tcPr>
          <w:p w14:paraId="77470A60" w14:textId="77777777" w:rsidR="00E768BC" w:rsidRPr="002A30E6" w:rsidRDefault="00E768BC" w:rsidP="00BA7DBA">
            <w:pPr>
              <w:pStyle w:val="NoSpacing"/>
            </w:pPr>
            <w:r w:rsidRPr="002A30E6">
              <w:t>A</w:t>
            </w:r>
            <w:proofErr w:type="gramStart"/>
            <w:r w:rsidRPr="002A30E6">
              <w:t>1  (</w:t>
            </w:r>
            <w:proofErr w:type="gramEnd"/>
            <w:r w:rsidRPr="002A30E6">
              <w:t>≤ 16 years)</w:t>
            </w:r>
          </w:p>
        </w:tc>
        <w:tc>
          <w:tcPr>
            <w:tcW w:w="1843" w:type="dxa"/>
          </w:tcPr>
          <w:p w14:paraId="7B65F963" w14:textId="77777777" w:rsidR="00E768BC" w:rsidRPr="002A30E6" w:rsidRDefault="00E768BC" w:rsidP="00BA7DBA">
            <w:pPr>
              <w:pStyle w:val="NoSpacing"/>
            </w:pPr>
            <w:r w:rsidRPr="002A30E6">
              <w:t>7 (15.6)</w:t>
            </w:r>
          </w:p>
        </w:tc>
        <w:tc>
          <w:tcPr>
            <w:tcW w:w="1418" w:type="dxa"/>
          </w:tcPr>
          <w:p w14:paraId="121D3631" w14:textId="77777777" w:rsidR="00E768BC" w:rsidRPr="002A30E6" w:rsidRDefault="00E768BC" w:rsidP="00BA7DBA">
            <w:pPr>
              <w:pStyle w:val="NoSpacing"/>
            </w:pPr>
            <w:r w:rsidRPr="002A30E6">
              <w:t>7 (16.3)</w:t>
            </w:r>
          </w:p>
        </w:tc>
        <w:tc>
          <w:tcPr>
            <w:tcW w:w="1417" w:type="dxa"/>
          </w:tcPr>
          <w:p w14:paraId="05B4A695" w14:textId="77777777" w:rsidR="00E768BC" w:rsidRPr="002A30E6" w:rsidRDefault="00E768BC" w:rsidP="00BA7DBA">
            <w:pPr>
              <w:pStyle w:val="NoSpacing"/>
            </w:pPr>
            <w:r w:rsidRPr="002A30E6">
              <w:t>14 (15.9)</w:t>
            </w:r>
          </w:p>
        </w:tc>
      </w:tr>
      <w:tr w:rsidR="00E768BC" w:rsidRPr="002A30E6" w14:paraId="2FC87E27" w14:textId="77777777" w:rsidTr="00BA7DBA">
        <w:tc>
          <w:tcPr>
            <w:tcW w:w="486" w:type="dxa"/>
            <w:vMerge/>
          </w:tcPr>
          <w:p w14:paraId="5EB8FC8E" w14:textId="77777777" w:rsidR="00E768BC" w:rsidRPr="002A30E6" w:rsidRDefault="00E768BC" w:rsidP="00BA7DBA">
            <w:pPr>
              <w:pStyle w:val="NoSpacing"/>
              <w:rPr>
                <w:b/>
                <w:i/>
                <w:iCs/>
              </w:rPr>
            </w:pPr>
          </w:p>
        </w:tc>
        <w:tc>
          <w:tcPr>
            <w:tcW w:w="2599" w:type="dxa"/>
            <w:gridSpan w:val="2"/>
            <w:vMerge/>
          </w:tcPr>
          <w:p w14:paraId="79BDBAC2" w14:textId="77777777" w:rsidR="00E768BC" w:rsidRPr="002A30E6" w:rsidRDefault="00E768BC" w:rsidP="00BA7DBA">
            <w:pPr>
              <w:pStyle w:val="NoSpacing"/>
              <w:rPr>
                <w:b/>
                <w:i/>
                <w:iCs/>
              </w:rPr>
            </w:pPr>
          </w:p>
        </w:tc>
        <w:tc>
          <w:tcPr>
            <w:tcW w:w="2126" w:type="dxa"/>
          </w:tcPr>
          <w:p w14:paraId="7EB2A93F" w14:textId="77777777" w:rsidR="00E768BC" w:rsidRPr="002A30E6" w:rsidRDefault="00E768BC" w:rsidP="00BA7DBA">
            <w:pPr>
              <w:pStyle w:val="NoSpacing"/>
            </w:pPr>
            <w:r w:rsidRPr="002A30E6">
              <w:t>A</w:t>
            </w:r>
            <w:proofErr w:type="gramStart"/>
            <w:r w:rsidRPr="002A30E6">
              <w:t>2  (</w:t>
            </w:r>
            <w:proofErr w:type="gramEnd"/>
            <w:r w:rsidRPr="002A30E6">
              <w:t>17-40 years)</w:t>
            </w:r>
          </w:p>
        </w:tc>
        <w:tc>
          <w:tcPr>
            <w:tcW w:w="1843" w:type="dxa"/>
          </w:tcPr>
          <w:p w14:paraId="2713D0FF" w14:textId="77777777" w:rsidR="00E768BC" w:rsidRPr="002A30E6" w:rsidRDefault="00E768BC" w:rsidP="00BA7DBA">
            <w:pPr>
              <w:pStyle w:val="NoSpacing"/>
            </w:pPr>
            <w:r w:rsidRPr="002A30E6">
              <w:t>27 (60.0)</w:t>
            </w:r>
          </w:p>
        </w:tc>
        <w:tc>
          <w:tcPr>
            <w:tcW w:w="1418" w:type="dxa"/>
          </w:tcPr>
          <w:p w14:paraId="3E458AE6" w14:textId="77777777" w:rsidR="00E768BC" w:rsidRPr="002A30E6" w:rsidRDefault="00E768BC" w:rsidP="00BA7DBA">
            <w:pPr>
              <w:pStyle w:val="NoSpacing"/>
            </w:pPr>
            <w:r w:rsidRPr="002A30E6">
              <w:t>23 (53.5)</w:t>
            </w:r>
          </w:p>
        </w:tc>
        <w:tc>
          <w:tcPr>
            <w:tcW w:w="1417" w:type="dxa"/>
          </w:tcPr>
          <w:p w14:paraId="0CEE5F3E" w14:textId="77777777" w:rsidR="00E768BC" w:rsidRPr="002A30E6" w:rsidRDefault="00E768BC" w:rsidP="00BA7DBA">
            <w:pPr>
              <w:pStyle w:val="NoSpacing"/>
            </w:pPr>
            <w:r w:rsidRPr="002A30E6">
              <w:t>50 (56.8)</w:t>
            </w:r>
          </w:p>
        </w:tc>
      </w:tr>
      <w:tr w:rsidR="00E768BC" w:rsidRPr="002A30E6" w14:paraId="00DE1755" w14:textId="77777777" w:rsidTr="00BA7DBA">
        <w:tc>
          <w:tcPr>
            <w:tcW w:w="486" w:type="dxa"/>
            <w:vMerge/>
          </w:tcPr>
          <w:p w14:paraId="399C7396" w14:textId="77777777" w:rsidR="00E768BC" w:rsidRPr="002A30E6" w:rsidRDefault="00E768BC" w:rsidP="00BA7DBA">
            <w:pPr>
              <w:pStyle w:val="NoSpacing"/>
              <w:rPr>
                <w:b/>
                <w:i/>
                <w:iCs/>
              </w:rPr>
            </w:pPr>
          </w:p>
        </w:tc>
        <w:tc>
          <w:tcPr>
            <w:tcW w:w="2599" w:type="dxa"/>
            <w:gridSpan w:val="2"/>
            <w:vMerge/>
            <w:tcBorders>
              <w:bottom w:val="single" w:sz="4" w:space="0" w:color="auto"/>
            </w:tcBorders>
          </w:tcPr>
          <w:p w14:paraId="420B1E07" w14:textId="77777777" w:rsidR="00E768BC" w:rsidRPr="002A30E6" w:rsidRDefault="00E768BC" w:rsidP="00BA7DBA">
            <w:pPr>
              <w:pStyle w:val="NoSpacing"/>
              <w:rPr>
                <w:b/>
                <w:i/>
                <w:iCs/>
              </w:rPr>
            </w:pPr>
          </w:p>
        </w:tc>
        <w:tc>
          <w:tcPr>
            <w:tcW w:w="2126" w:type="dxa"/>
            <w:tcBorders>
              <w:bottom w:val="single" w:sz="4" w:space="0" w:color="auto"/>
            </w:tcBorders>
          </w:tcPr>
          <w:p w14:paraId="3F8BD8E5" w14:textId="77777777" w:rsidR="00E768BC" w:rsidRPr="002A30E6" w:rsidRDefault="00E768BC" w:rsidP="00BA7DBA">
            <w:pPr>
              <w:pStyle w:val="NoSpacing"/>
            </w:pPr>
            <w:r w:rsidRPr="002A30E6">
              <w:t>A</w:t>
            </w:r>
            <w:proofErr w:type="gramStart"/>
            <w:r w:rsidRPr="002A30E6">
              <w:t>3  (</w:t>
            </w:r>
            <w:proofErr w:type="gramEnd"/>
            <w:r w:rsidRPr="002A30E6">
              <w:t>&gt; 40 years)</w:t>
            </w:r>
          </w:p>
        </w:tc>
        <w:tc>
          <w:tcPr>
            <w:tcW w:w="1843" w:type="dxa"/>
            <w:tcBorders>
              <w:bottom w:val="single" w:sz="4" w:space="0" w:color="auto"/>
            </w:tcBorders>
          </w:tcPr>
          <w:p w14:paraId="730CA7AC" w14:textId="77777777" w:rsidR="00E768BC" w:rsidRPr="002A30E6" w:rsidRDefault="00E768BC" w:rsidP="00BA7DBA">
            <w:pPr>
              <w:pStyle w:val="NoSpacing"/>
            </w:pPr>
            <w:r w:rsidRPr="002A30E6">
              <w:t>11 (24.4)</w:t>
            </w:r>
          </w:p>
        </w:tc>
        <w:tc>
          <w:tcPr>
            <w:tcW w:w="1418" w:type="dxa"/>
            <w:tcBorders>
              <w:bottom w:val="single" w:sz="4" w:space="0" w:color="auto"/>
            </w:tcBorders>
          </w:tcPr>
          <w:p w14:paraId="4789738F" w14:textId="77777777" w:rsidR="00E768BC" w:rsidRPr="002A30E6" w:rsidRDefault="00E768BC" w:rsidP="00BA7DBA">
            <w:pPr>
              <w:pStyle w:val="NoSpacing"/>
            </w:pPr>
            <w:r w:rsidRPr="002A30E6">
              <w:t>13 (30.2)</w:t>
            </w:r>
          </w:p>
        </w:tc>
        <w:tc>
          <w:tcPr>
            <w:tcW w:w="1417" w:type="dxa"/>
            <w:tcBorders>
              <w:bottom w:val="single" w:sz="4" w:space="0" w:color="auto"/>
            </w:tcBorders>
          </w:tcPr>
          <w:p w14:paraId="7F231B5F" w14:textId="77777777" w:rsidR="00E768BC" w:rsidRPr="002A30E6" w:rsidRDefault="00E768BC" w:rsidP="00BA7DBA">
            <w:pPr>
              <w:pStyle w:val="NoSpacing"/>
            </w:pPr>
            <w:r w:rsidRPr="002A30E6">
              <w:t>24 (27.3)</w:t>
            </w:r>
          </w:p>
        </w:tc>
      </w:tr>
      <w:tr w:rsidR="00E768BC" w:rsidRPr="002A30E6" w14:paraId="6952F127" w14:textId="77777777" w:rsidTr="00BA7DBA">
        <w:tc>
          <w:tcPr>
            <w:tcW w:w="486" w:type="dxa"/>
            <w:vMerge/>
            <w:shd w:val="clear" w:color="auto" w:fill="F2F2F2" w:themeFill="background1" w:themeFillShade="F2"/>
          </w:tcPr>
          <w:p w14:paraId="6331C941" w14:textId="77777777" w:rsidR="00E768BC" w:rsidRPr="002A30E6" w:rsidRDefault="00E768BC" w:rsidP="00BA7DBA">
            <w:pPr>
              <w:pStyle w:val="NoSpacing"/>
              <w:rPr>
                <w:b/>
                <w:iCs/>
              </w:rPr>
            </w:pPr>
          </w:p>
        </w:tc>
        <w:tc>
          <w:tcPr>
            <w:tcW w:w="2599" w:type="dxa"/>
            <w:gridSpan w:val="2"/>
            <w:vMerge w:val="restart"/>
            <w:shd w:val="clear" w:color="auto" w:fill="F2F2F2" w:themeFill="background1" w:themeFillShade="F2"/>
          </w:tcPr>
          <w:p w14:paraId="0802B75B" w14:textId="77777777" w:rsidR="00E768BC" w:rsidRPr="002A30E6" w:rsidRDefault="00E768BC" w:rsidP="00BA7DBA">
            <w:pPr>
              <w:pStyle w:val="NoSpacing"/>
              <w:rPr>
                <w:b/>
                <w:iCs/>
              </w:rPr>
            </w:pPr>
            <w:r w:rsidRPr="002A30E6">
              <w:rPr>
                <w:b/>
                <w:iCs/>
              </w:rPr>
              <w:t>Disease location, n (%)</w:t>
            </w:r>
          </w:p>
        </w:tc>
        <w:tc>
          <w:tcPr>
            <w:tcW w:w="2126" w:type="dxa"/>
            <w:shd w:val="clear" w:color="auto" w:fill="F2F2F2" w:themeFill="background1" w:themeFillShade="F2"/>
          </w:tcPr>
          <w:p w14:paraId="6B40DCD9" w14:textId="77777777" w:rsidR="00E768BC" w:rsidRPr="002A30E6" w:rsidRDefault="00E768BC" w:rsidP="00BA7DBA">
            <w:pPr>
              <w:pStyle w:val="NoSpacing"/>
            </w:pPr>
            <w:r w:rsidRPr="002A30E6">
              <w:t>L</w:t>
            </w:r>
            <w:proofErr w:type="gramStart"/>
            <w:r w:rsidRPr="002A30E6">
              <w:t>1  (</w:t>
            </w:r>
            <w:proofErr w:type="gramEnd"/>
            <w:r w:rsidRPr="002A30E6">
              <w:t>ileal)</w:t>
            </w:r>
          </w:p>
        </w:tc>
        <w:tc>
          <w:tcPr>
            <w:tcW w:w="1843" w:type="dxa"/>
            <w:shd w:val="clear" w:color="auto" w:fill="F2F2F2" w:themeFill="background1" w:themeFillShade="F2"/>
          </w:tcPr>
          <w:p w14:paraId="326552EA" w14:textId="77777777" w:rsidR="00E768BC" w:rsidRPr="002A30E6" w:rsidRDefault="00E768BC" w:rsidP="00BA7DBA">
            <w:pPr>
              <w:pStyle w:val="NoSpacing"/>
            </w:pPr>
            <w:r w:rsidRPr="002A30E6">
              <w:t>11 (24.4)</w:t>
            </w:r>
          </w:p>
        </w:tc>
        <w:tc>
          <w:tcPr>
            <w:tcW w:w="1418" w:type="dxa"/>
            <w:shd w:val="clear" w:color="auto" w:fill="F2F2F2" w:themeFill="background1" w:themeFillShade="F2"/>
          </w:tcPr>
          <w:p w14:paraId="742AAC01" w14:textId="77777777" w:rsidR="00E768BC" w:rsidRPr="002A30E6" w:rsidRDefault="00E768BC" w:rsidP="00BA7DBA">
            <w:pPr>
              <w:pStyle w:val="NoSpacing"/>
            </w:pPr>
            <w:r w:rsidRPr="002A30E6">
              <w:t>14 (32.6)</w:t>
            </w:r>
          </w:p>
        </w:tc>
        <w:tc>
          <w:tcPr>
            <w:tcW w:w="1417" w:type="dxa"/>
            <w:shd w:val="clear" w:color="auto" w:fill="F2F2F2" w:themeFill="background1" w:themeFillShade="F2"/>
          </w:tcPr>
          <w:p w14:paraId="241589C4" w14:textId="77777777" w:rsidR="00E768BC" w:rsidRPr="002A30E6" w:rsidRDefault="00E768BC" w:rsidP="00BA7DBA">
            <w:pPr>
              <w:pStyle w:val="NoSpacing"/>
            </w:pPr>
            <w:r w:rsidRPr="002A30E6">
              <w:t>25 (28.4)</w:t>
            </w:r>
          </w:p>
        </w:tc>
      </w:tr>
      <w:tr w:rsidR="00E768BC" w:rsidRPr="002A30E6" w14:paraId="6262A46C" w14:textId="77777777" w:rsidTr="00BA7DBA">
        <w:tc>
          <w:tcPr>
            <w:tcW w:w="486" w:type="dxa"/>
            <w:vMerge/>
            <w:shd w:val="clear" w:color="auto" w:fill="F2F2F2" w:themeFill="background1" w:themeFillShade="F2"/>
          </w:tcPr>
          <w:p w14:paraId="2DFA53EA" w14:textId="77777777" w:rsidR="00E768BC" w:rsidRPr="002A30E6" w:rsidRDefault="00E768BC" w:rsidP="00BA7DBA">
            <w:pPr>
              <w:pStyle w:val="NoSpacing"/>
              <w:rPr>
                <w:b/>
                <w:i/>
                <w:iCs/>
              </w:rPr>
            </w:pPr>
          </w:p>
        </w:tc>
        <w:tc>
          <w:tcPr>
            <w:tcW w:w="2599" w:type="dxa"/>
            <w:gridSpan w:val="2"/>
            <w:vMerge/>
            <w:shd w:val="clear" w:color="auto" w:fill="F2F2F2" w:themeFill="background1" w:themeFillShade="F2"/>
          </w:tcPr>
          <w:p w14:paraId="7771FD50" w14:textId="77777777" w:rsidR="00E768BC" w:rsidRPr="002A30E6" w:rsidRDefault="00E768BC" w:rsidP="00BA7DBA">
            <w:pPr>
              <w:pStyle w:val="NoSpacing"/>
              <w:rPr>
                <w:b/>
                <w:i/>
                <w:iCs/>
              </w:rPr>
            </w:pPr>
          </w:p>
        </w:tc>
        <w:tc>
          <w:tcPr>
            <w:tcW w:w="2126" w:type="dxa"/>
            <w:shd w:val="clear" w:color="auto" w:fill="F2F2F2" w:themeFill="background1" w:themeFillShade="F2"/>
          </w:tcPr>
          <w:p w14:paraId="6B0FE6F0" w14:textId="77777777" w:rsidR="00E768BC" w:rsidRPr="002A30E6" w:rsidRDefault="00E768BC" w:rsidP="00BA7DBA">
            <w:pPr>
              <w:pStyle w:val="NoSpacing"/>
            </w:pPr>
            <w:r w:rsidRPr="002A30E6">
              <w:t>L</w:t>
            </w:r>
            <w:proofErr w:type="gramStart"/>
            <w:r w:rsidRPr="002A30E6">
              <w:t>2  (</w:t>
            </w:r>
            <w:proofErr w:type="gramEnd"/>
            <w:r w:rsidRPr="002A30E6">
              <w:t>colonic)</w:t>
            </w:r>
          </w:p>
        </w:tc>
        <w:tc>
          <w:tcPr>
            <w:tcW w:w="1843" w:type="dxa"/>
            <w:shd w:val="clear" w:color="auto" w:fill="F2F2F2" w:themeFill="background1" w:themeFillShade="F2"/>
          </w:tcPr>
          <w:p w14:paraId="5C1B6F36" w14:textId="77777777" w:rsidR="00E768BC" w:rsidRPr="002A30E6" w:rsidRDefault="00E768BC" w:rsidP="00BA7DBA">
            <w:pPr>
              <w:pStyle w:val="NoSpacing"/>
            </w:pPr>
            <w:r w:rsidRPr="002A30E6">
              <w:t>9 (20.0)</w:t>
            </w:r>
          </w:p>
        </w:tc>
        <w:tc>
          <w:tcPr>
            <w:tcW w:w="1418" w:type="dxa"/>
            <w:shd w:val="clear" w:color="auto" w:fill="F2F2F2" w:themeFill="background1" w:themeFillShade="F2"/>
          </w:tcPr>
          <w:p w14:paraId="2386455B" w14:textId="77777777" w:rsidR="00E768BC" w:rsidRPr="002A30E6" w:rsidRDefault="00E768BC" w:rsidP="00BA7DBA">
            <w:pPr>
              <w:pStyle w:val="NoSpacing"/>
            </w:pPr>
            <w:r w:rsidRPr="002A30E6">
              <w:t>6 (14.0)</w:t>
            </w:r>
          </w:p>
        </w:tc>
        <w:tc>
          <w:tcPr>
            <w:tcW w:w="1417" w:type="dxa"/>
            <w:shd w:val="clear" w:color="auto" w:fill="F2F2F2" w:themeFill="background1" w:themeFillShade="F2"/>
          </w:tcPr>
          <w:p w14:paraId="711F8C9F" w14:textId="77777777" w:rsidR="00E768BC" w:rsidRPr="002A30E6" w:rsidRDefault="00E768BC" w:rsidP="00BA7DBA">
            <w:pPr>
              <w:pStyle w:val="NoSpacing"/>
            </w:pPr>
            <w:r w:rsidRPr="002A30E6">
              <w:t>15 (17.0)</w:t>
            </w:r>
          </w:p>
        </w:tc>
      </w:tr>
      <w:tr w:rsidR="00E768BC" w:rsidRPr="002A30E6" w14:paraId="3E7C8FAA" w14:textId="77777777" w:rsidTr="00BA7DBA">
        <w:tc>
          <w:tcPr>
            <w:tcW w:w="486" w:type="dxa"/>
            <w:vMerge/>
            <w:shd w:val="clear" w:color="auto" w:fill="F2F2F2" w:themeFill="background1" w:themeFillShade="F2"/>
          </w:tcPr>
          <w:p w14:paraId="7D4ABC64" w14:textId="77777777" w:rsidR="00E768BC" w:rsidRPr="002A30E6" w:rsidRDefault="00E768BC" w:rsidP="00BA7DBA">
            <w:pPr>
              <w:pStyle w:val="NoSpacing"/>
              <w:rPr>
                <w:b/>
                <w:i/>
                <w:iCs/>
              </w:rPr>
            </w:pPr>
          </w:p>
        </w:tc>
        <w:tc>
          <w:tcPr>
            <w:tcW w:w="2599" w:type="dxa"/>
            <w:gridSpan w:val="2"/>
            <w:vMerge/>
            <w:shd w:val="clear" w:color="auto" w:fill="F2F2F2" w:themeFill="background1" w:themeFillShade="F2"/>
          </w:tcPr>
          <w:p w14:paraId="372A3D84" w14:textId="77777777" w:rsidR="00E768BC" w:rsidRPr="002A30E6" w:rsidRDefault="00E768BC" w:rsidP="00BA7DBA">
            <w:pPr>
              <w:pStyle w:val="NoSpacing"/>
              <w:rPr>
                <w:b/>
                <w:i/>
                <w:iCs/>
              </w:rPr>
            </w:pPr>
          </w:p>
        </w:tc>
        <w:tc>
          <w:tcPr>
            <w:tcW w:w="2126" w:type="dxa"/>
            <w:shd w:val="clear" w:color="auto" w:fill="F2F2F2" w:themeFill="background1" w:themeFillShade="F2"/>
          </w:tcPr>
          <w:p w14:paraId="6A86CE16" w14:textId="77777777" w:rsidR="00E768BC" w:rsidRPr="002A30E6" w:rsidRDefault="00E768BC" w:rsidP="00BA7DBA">
            <w:pPr>
              <w:pStyle w:val="NoSpacing"/>
            </w:pPr>
            <w:r w:rsidRPr="002A30E6">
              <w:t>L</w:t>
            </w:r>
            <w:proofErr w:type="gramStart"/>
            <w:r w:rsidRPr="002A30E6">
              <w:t>3  (</w:t>
            </w:r>
            <w:proofErr w:type="gramEnd"/>
            <w:r w:rsidRPr="002A30E6">
              <w:t>ileocolonic)</w:t>
            </w:r>
          </w:p>
        </w:tc>
        <w:tc>
          <w:tcPr>
            <w:tcW w:w="1843" w:type="dxa"/>
            <w:shd w:val="clear" w:color="auto" w:fill="F2F2F2" w:themeFill="background1" w:themeFillShade="F2"/>
          </w:tcPr>
          <w:p w14:paraId="509D19BA" w14:textId="77777777" w:rsidR="00E768BC" w:rsidRPr="002A30E6" w:rsidRDefault="00E768BC" w:rsidP="00BA7DBA">
            <w:pPr>
              <w:pStyle w:val="NoSpacing"/>
            </w:pPr>
            <w:r w:rsidRPr="002A30E6">
              <w:t>25 (55.6)</w:t>
            </w:r>
          </w:p>
        </w:tc>
        <w:tc>
          <w:tcPr>
            <w:tcW w:w="1418" w:type="dxa"/>
            <w:shd w:val="clear" w:color="auto" w:fill="F2F2F2" w:themeFill="background1" w:themeFillShade="F2"/>
          </w:tcPr>
          <w:p w14:paraId="35F0D873" w14:textId="77777777" w:rsidR="00E768BC" w:rsidRPr="002A30E6" w:rsidRDefault="00E768BC" w:rsidP="00BA7DBA">
            <w:pPr>
              <w:pStyle w:val="NoSpacing"/>
            </w:pPr>
            <w:r w:rsidRPr="002A30E6">
              <w:t>23 (53.5)</w:t>
            </w:r>
          </w:p>
        </w:tc>
        <w:tc>
          <w:tcPr>
            <w:tcW w:w="1417" w:type="dxa"/>
            <w:shd w:val="clear" w:color="auto" w:fill="F2F2F2" w:themeFill="background1" w:themeFillShade="F2"/>
          </w:tcPr>
          <w:p w14:paraId="73AC927C" w14:textId="77777777" w:rsidR="00E768BC" w:rsidRPr="002A30E6" w:rsidRDefault="00E768BC" w:rsidP="00BA7DBA">
            <w:pPr>
              <w:pStyle w:val="NoSpacing"/>
            </w:pPr>
            <w:r w:rsidRPr="002A30E6">
              <w:t>48 (54.5)</w:t>
            </w:r>
          </w:p>
        </w:tc>
      </w:tr>
      <w:tr w:rsidR="00E768BC" w:rsidRPr="002A30E6" w14:paraId="4DA91DC0" w14:textId="77777777" w:rsidTr="00BA7DBA">
        <w:tc>
          <w:tcPr>
            <w:tcW w:w="486" w:type="dxa"/>
            <w:vMerge/>
            <w:shd w:val="clear" w:color="auto" w:fill="F2F2F2" w:themeFill="background1" w:themeFillShade="F2"/>
          </w:tcPr>
          <w:p w14:paraId="4BA046E5" w14:textId="77777777" w:rsidR="00E768BC" w:rsidRPr="002A30E6" w:rsidRDefault="00E768BC" w:rsidP="00BA7DBA">
            <w:pPr>
              <w:pStyle w:val="NoSpacing"/>
              <w:rPr>
                <w:b/>
                <w:i/>
                <w:iCs/>
              </w:rPr>
            </w:pPr>
          </w:p>
        </w:tc>
        <w:tc>
          <w:tcPr>
            <w:tcW w:w="2599" w:type="dxa"/>
            <w:gridSpan w:val="2"/>
            <w:vMerge/>
            <w:shd w:val="clear" w:color="auto" w:fill="F2F2F2" w:themeFill="background1" w:themeFillShade="F2"/>
          </w:tcPr>
          <w:p w14:paraId="5ECCACBC" w14:textId="77777777" w:rsidR="00E768BC" w:rsidRPr="002A30E6" w:rsidRDefault="00E768BC" w:rsidP="00BA7DBA">
            <w:pPr>
              <w:pStyle w:val="NoSpacing"/>
              <w:rPr>
                <w:b/>
                <w:i/>
                <w:iCs/>
              </w:rPr>
            </w:pPr>
          </w:p>
        </w:tc>
        <w:tc>
          <w:tcPr>
            <w:tcW w:w="2126" w:type="dxa"/>
            <w:shd w:val="clear" w:color="auto" w:fill="F2F2F2" w:themeFill="background1" w:themeFillShade="F2"/>
          </w:tcPr>
          <w:p w14:paraId="6D0B9790" w14:textId="77777777" w:rsidR="00E768BC" w:rsidRPr="002A30E6" w:rsidRDefault="00E768BC" w:rsidP="00BA7DBA">
            <w:pPr>
              <w:pStyle w:val="NoSpacing"/>
            </w:pPr>
            <w:r w:rsidRPr="002A30E6">
              <w:t>+ L</w:t>
            </w:r>
            <w:proofErr w:type="gramStart"/>
            <w:r w:rsidRPr="002A30E6">
              <w:t>4  (</w:t>
            </w:r>
            <w:proofErr w:type="gramEnd"/>
            <w:r w:rsidRPr="002A30E6">
              <w:t>upper GI tract)</w:t>
            </w:r>
          </w:p>
        </w:tc>
        <w:tc>
          <w:tcPr>
            <w:tcW w:w="1843" w:type="dxa"/>
            <w:shd w:val="clear" w:color="auto" w:fill="F2F2F2" w:themeFill="background1" w:themeFillShade="F2"/>
          </w:tcPr>
          <w:p w14:paraId="70C26566" w14:textId="77777777" w:rsidR="00E768BC" w:rsidRPr="002A30E6" w:rsidRDefault="00E768BC" w:rsidP="00BA7DBA">
            <w:pPr>
              <w:pStyle w:val="NoSpacing"/>
            </w:pPr>
            <w:r w:rsidRPr="002A30E6">
              <w:t>7 (15.6)</w:t>
            </w:r>
          </w:p>
        </w:tc>
        <w:tc>
          <w:tcPr>
            <w:tcW w:w="1418" w:type="dxa"/>
            <w:shd w:val="clear" w:color="auto" w:fill="F2F2F2" w:themeFill="background1" w:themeFillShade="F2"/>
          </w:tcPr>
          <w:p w14:paraId="6CB8DE15" w14:textId="77777777" w:rsidR="00E768BC" w:rsidRPr="002A30E6" w:rsidRDefault="00E768BC" w:rsidP="00BA7DBA">
            <w:pPr>
              <w:pStyle w:val="NoSpacing"/>
            </w:pPr>
            <w:r w:rsidRPr="002A30E6">
              <w:t>5 (11.6)</w:t>
            </w:r>
          </w:p>
        </w:tc>
        <w:tc>
          <w:tcPr>
            <w:tcW w:w="1417" w:type="dxa"/>
            <w:shd w:val="clear" w:color="auto" w:fill="F2F2F2" w:themeFill="background1" w:themeFillShade="F2"/>
          </w:tcPr>
          <w:p w14:paraId="0B2CB85A" w14:textId="77777777" w:rsidR="00E768BC" w:rsidRPr="002A30E6" w:rsidRDefault="00E768BC" w:rsidP="00BA7DBA">
            <w:pPr>
              <w:pStyle w:val="NoSpacing"/>
            </w:pPr>
            <w:r w:rsidRPr="002A30E6">
              <w:t>12 (13.6)</w:t>
            </w:r>
          </w:p>
        </w:tc>
      </w:tr>
      <w:tr w:rsidR="00E768BC" w:rsidRPr="002A30E6" w14:paraId="7C96CE3C" w14:textId="77777777" w:rsidTr="00BA7DBA">
        <w:tc>
          <w:tcPr>
            <w:tcW w:w="486" w:type="dxa"/>
            <w:vMerge/>
          </w:tcPr>
          <w:p w14:paraId="6BE72C68" w14:textId="77777777" w:rsidR="00E768BC" w:rsidRPr="002A30E6" w:rsidRDefault="00E768BC" w:rsidP="00BA7DBA">
            <w:pPr>
              <w:pStyle w:val="NoSpacing"/>
              <w:rPr>
                <w:b/>
                <w:iCs/>
              </w:rPr>
            </w:pPr>
          </w:p>
        </w:tc>
        <w:tc>
          <w:tcPr>
            <w:tcW w:w="2599" w:type="dxa"/>
            <w:gridSpan w:val="2"/>
            <w:vMerge w:val="restart"/>
          </w:tcPr>
          <w:p w14:paraId="1E9F93EF" w14:textId="24634650" w:rsidR="00E768BC" w:rsidRPr="002A30E6" w:rsidRDefault="00E768BC" w:rsidP="00BA7DBA">
            <w:pPr>
              <w:pStyle w:val="NoSpacing"/>
              <w:rPr>
                <w:b/>
                <w:iCs/>
              </w:rPr>
            </w:pPr>
            <w:r w:rsidRPr="002A30E6">
              <w:rPr>
                <w:b/>
                <w:iCs/>
              </w:rPr>
              <w:t xml:space="preserve">Disease </w:t>
            </w:r>
            <w:r w:rsidR="00284A2F" w:rsidRPr="002A30E6">
              <w:rPr>
                <w:b/>
                <w:iCs/>
              </w:rPr>
              <w:t>behaviour</w:t>
            </w:r>
            <w:r w:rsidRPr="002A30E6">
              <w:rPr>
                <w:b/>
                <w:iCs/>
              </w:rPr>
              <w:t>, n (%)</w:t>
            </w:r>
          </w:p>
        </w:tc>
        <w:tc>
          <w:tcPr>
            <w:tcW w:w="2126" w:type="dxa"/>
          </w:tcPr>
          <w:p w14:paraId="6AFAFEEE" w14:textId="77777777" w:rsidR="00E768BC" w:rsidRPr="002A30E6" w:rsidRDefault="00E768BC" w:rsidP="00BA7DBA">
            <w:pPr>
              <w:pStyle w:val="NoSpacing"/>
            </w:pPr>
            <w:r w:rsidRPr="002A30E6">
              <w:t>B</w:t>
            </w:r>
            <w:proofErr w:type="gramStart"/>
            <w:r w:rsidRPr="002A30E6">
              <w:t>1  (</w:t>
            </w:r>
            <w:proofErr w:type="gramEnd"/>
            <w:r w:rsidRPr="002A30E6">
              <w:t>inflammatory)</w:t>
            </w:r>
          </w:p>
        </w:tc>
        <w:tc>
          <w:tcPr>
            <w:tcW w:w="1843" w:type="dxa"/>
          </w:tcPr>
          <w:p w14:paraId="3A12D8C3" w14:textId="77777777" w:rsidR="00E768BC" w:rsidRPr="002A30E6" w:rsidRDefault="00E768BC" w:rsidP="00BA7DBA">
            <w:pPr>
              <w:pStyle w:val="NoSpacing"/>
            </w:pPr>
            <w:r w:rsidRPr="002A30E6">
              <w:t>27 (60.0)</w:t>
            </w:r>
          </w:p>
        </w:tc>
        <w:tc>
          <w:tcPr>
            <w:tcW w:w="1418" w:type="dxa"/>
          </w:tcPr>
          <w:p w14:paraId="001284B0" w14:textId="77777777" w:rsidR="00E768BC" w:rsidRPr="002A30E6" w:rsidRDefault="00E768BC" w:rsidP="00BA7DBA">
            <w:pPr>
              <w:pStyle w:val="NoSpacing"/>
            </w:pPr>
            <w:r w:rsidRPr="002A30E6">
              <w:t>16 (37.2)</w:t>
            </w:r>
          </w:p>
        </w:tc>
        <w:tc>
          <w:tcPr>
            <w:tcW w:w="1417" w:type="dxa"/>
          </w:tcPr>
          <w:p w14:paraId="6179113A" w14:textId="77777777" w:rsidR="00E768BC" w:rsidRPr="002A30E6" w:rsidRDefault="00E768BC" w:rsidP="00BA7DBA">
            <w:pPr>
              <w:pStyle w:val="NoSpacing"/>
            </w:pPr>
            <w:r w:rsidRPr="002A30E6">
              <w:t>43 (48.9)</w:t>
            </w:r>
          </w:p>
        </w:tc>
      </w:tr>
      <w:tr w:rsidR="00E768BC" w:rsidRPr="002A30E6" w14:paraId="4C5A9787" w14:textId="77777777" w:rsidTr="00BA7DBA">
        <w:tc>
          <w:tcPr>
            <w:tcW w:w="486" w:type="dxa"/>
            <w:vMerge/>
          </w:tcPr>
          <w:p w14:paraId="4072DE6A" w14:textId="77777777" w:rsidR="00E768BC" w:rsidRPr="002A30E6" w:rsidRDefault="00E768BC" w:rsidP="00BA7DBA">
            <w:pPr>
              <w:pStyle w:val="NoSpacing"/>
              <w:rPr>
                <w:b/>
                <w:i/>
                <w:iCs/>
              </w:rPr>
            </w:pPr>
          </w:p>
        </w:tc>
        <w:tc>
          <w:tcPr>
            <w:tcW w:w="2599" w:type="dxa"/>
            <w:gridSpan w:val="2"/>
            <w:vMerge/>
          </w:tcPr>
          <w:p w14:paraId="11CB63D9" w14:textId="77777777" w:rsidR="00E768BC" w:rsidRPr="002A30E6" w:rsidRDefault="00E768BC" w:rsidP="00BA7DBA">
            <w:pPr>
              <w:pStyle w:val="NoSpacing"/>
              <w:rPr>
                <w:b/>
                <w:i/>
                <w:iCs/>
              </w:rPr>
            </w:pPr>
          </w:p>
        </w:tc>
        <w:tc>
          <w:tcPr>
            <w:tcW w:w="2126" w:type="dxa"/>
          </w:tcPr>
          <w:p w14:paraId="42C23F6B" w14:textId="77777777" w:rsidR="00E768BC" w:rsidRPr="002A30E6" w:rsidRDefault="00E768BC" w:rsidP="00BA7DBA">
            <w:pPr>
              <w:pStyle w:val="NoSpacing"/>
            </w:pPr>
            <w:r w:rsidRPr="002A30E6">
              <w:t>B</w:t>
            </w:r>
            <w:proofErr w:type="gramStart"/>
            <w:r w:rsidRPr="002A30E6">
              <w:t>2  (</w:t>
            </w:r>
            <w:proofErr w:type="gramEnd"/>
            <w:r w:rsidRPr="002A30E6">
              <w:t>stricturing)</w:t>
            </w:r>
          </w:p>
        </w:tc>
        <w:tc>
          <w:tcPr>
            <w:tcW w:w="1843" w:type="dxa"/>
          </w:tcPr>
          <w:p w14:paraId="3107BF91" w14:textId="77777777" w:rsidR="00E768BC" w:rsidRPr="002A30E6" w:rsidRDefault="00E768BC" w:rsidP="00BA7DBA">
            <w:pPr>
              <w:pStyle w:val="NoSpacing"/>
            </w:pPr>
            <w:r w:rsidRPr="002A30E6">
              <w:t>11 (24.4)</w:t>
            </w:r>
          </w:p>
        </w:tc>
        <w:tc>
          <w:tcPr>
            <w:tcW w:w="1418" w:type="dxa"/>
          </w:tcPr>
          <w:p w14:paraId="114CF366" w14:textId="77777777" w:rsidR="00E768BC" w:rsidRPr="002A30E6" w:rsidRDefault="00E768BC" w:rsidP="00BA7DBA">
            <w:pPr>
              <w:pStyle w:val="NoSpacing"/>
            </w:pPr>
            <w:r w:rsidRPr="002A30E6">
              <w:t>21 (48.8)</w:t>
            </w:r>
          </w:p>
        </w:tc>
        <w:tc>
          <w:tcPr>
            <w:tcW w:w="1417" w:type="dxa"/>
          </w:tcPr>
          <w:p w14:paraId="50223BBD" w14:textId="77777777" w:rsidR="00E768BC" w:rsidRPr="002A30E6" w:rsidRDefault="00E768BC" w:rsidP="00BA7DBA">
            <w:pPr>
              <w:pStyle w:val="NoSpacing"/>
            </w:pPr>
            <w:r w:rsidRPr="002A30E6">
              <w:t>32 (36.4)</w:t>
            </w:r>
          </w:p>
        </w:tc>
      </w:tr>
      <w:tr w:rsidR="00E768BC" w:rsidRPr="002A30E6" w14:paraId="491CA1FB" w14:textId="77777777" w:rsidTr="00BA7DBA">
        <w:tc>
          <w:tcPr>
            <w:tcW w:w="486" w:type="dxa"/>
            <w:vMerge/>
          </w:tcPr>
          <w:p w14:paraId="4A73F607" w14:textId="77777777" w:rsidR="00E768BC" w:rsidRPr="002A30E6" w:rsidRDefault="00E768BC" w:rsidP="00BA7DBA">
            <w:pPr>
              <w:pStyle w:val="NoSpacing"/>
              <w:rPr>
                <w:b/>
                <w:i/>
                <w:iCs/>
              </w:rPr>
            </w:pPr>
          </w:p>
        </w:tc>
        <w:tc>
          <w:tcPr>
            <w:tcW w:w="2599" w:type="dxa"/>
            <w:gridSpan w:val="2"/>
            <w:vMerge/>
            <w:tcBorders>
              <w:bottom w:val="single" w:sz="4" w:space="0" w:color="auto"/>
            </w:tcBorders>
          </w:tcPr>
          <w:p w14:paraId="5DB2382B" w14:textId="77777777" w:rsidR="00E768BC" w:rsidRPr="002A30E6" w:rsidRDefault="00E768BC" w:rsidP="00BA7DBA">
            <w:pPr>
              <w:pStyle w:val="NoSpacing"/>
              <w:rPr>
                <w:b/>
                <w:i/>
                <w:iCs/>
              </w:rPr>
            </w:pPr>
          </w:p>
        </w:tc>
        <w:tc>
          <w:tcPr>
            <w:tcW w:w="2126" w:type="dxa"/>
            <w:tcBorders>
              <w:bottom w:val="single" w:sz="4" w:space="0" w:color="auto"/>
            </w:tcBorders>
          </w:tcPr>
          <w:p w14:paraId="1921AA5B" w14:textId="77777777" w:rsidR="00E768BC" w:rsidRPr="002A30E6" w:rsidRDefault="00E768BC" w:rsidP="00BA7DBA">
            <w:pPr>
              <w:pStyle w:val="NoSpacing"/>
            </w:pPr>
            <w:r w:rsidRPr="002A30E6">
              <w:t>B</w:t>
            </w:r>
            <w:proofErr w:type="gramStart"/>
            <w:r w:rsidRPr="002A30E6">
              <w:t>3  (</w:t>
            </w:r>
            <w:proofErr w:type="gramEnd"/>
            <w:r w:rsidRPr="002A30E6">
              <w:t>penetrating)</w:t>
            </w:r>
          </w:p>
        </w:tc>
        <w:tc>
          <w:tcPr>
            <w:tcW w:w="1843" w:type="dxa"/>
            <w:tcBorders>
              <w:bottom w:val="single" w:sz="4" w:space="0" w:color="auto"/>
            </w:tcBorders>
          </w:tcPr>
          <w:p w14:paraId="3B912BA4" w14:textId="1D1E174F" w:rsidR="00E768BC" w:rsidRPr="002A30E6" w:rsidRDefault="00E768BC" w:rsidP="00BA7DBA">
            <w:pPr>
              <w:pStyle w:val="NoSpacing"/>
            </w:pPr>
            <w:r w:rsidRPr="002A30E6">
              <w:t>7 (15.6)</w:t>
            </w:r>
          </w:p>
        </w:tc>
        <w:tc>
          <w:tcPr>
            <w:tcW w:w="1418" w:type="dxa"/>
            <w:tcBorders>
              <w:bottom w:val="single" w:sz="4" w:space="0" w:color="auto"/>
            </w:tcBorders>
          </w:tcPr>
          <w:p w14:paraId="4B441077" w14:textId="2670EE18" w:rsidR="00E768BC" w:rsidRPr="002A30E6" w:rsidRDefault="00E768BC" w:rsidP="00BA7DBA">
            <w:pPr>
              <w:pStyle w:val="NoSpacing"/>
            </w:pPr>
            <w:r w:rsidRPr="002A30E6">
              <w:t>6 (14.0)</w:t>
            </w:r>
          </w:p>
        </w:tc>
        <w:tc>
          <w:tcPr>
            <w:tcW w:w="1417" w:type="dxa"/>
            <w:tcBorders>
              <w:bottom w:val="single" w:sz="4" w:space="0" w:color="auto"/>
            </w:tcBorders>
          </w:tcPr>
          <w:p w14:paraId="0D386F90" w14:textId="77777777" w:rsidR="00E768BC" w:rsidRPr="002A30E6" w:rsidRDefault="00E768BC" w:rsidP="00BA7DBA">
            <w:pPr>
              <w:pStyle w:val="NoSpacing"/>
            </w:pPr>
            <w:r w:rsidRPr="002A30E6">
              <w:t>13 (14.8)</w:t>
            </w:r>
          </w:p>
        </w:tc>
      </w:tr>
      <w:tr w:rsidR="00E768BC" w:rsidRPr="002A30E6" w14:paraId="181C54F4" w14:textId="77777777" w:rsidTr="00BA7DBA">
        <w:tc>
          <w:tcPr>
            <w:tcW w:w="486" w:type="dxa"/>
            <w:vMerge/>
            <w:shd w:val="clear" w:color="auto" w:fill="F2F2F2" w:themeFill="background1" w:themeFillShade="F2"/>
          </w:tcPr>
          <w:p w14:paraId="6A7EFCA3" w14:textId="77777777" w:rsidR="00E768BC" w:rsidRPr="002A30E6" w:rsidRDefault="00E768BC" w:rsidP="00BA7DBA">
            <w:pPr>
              <w:pStyle w:val="NoSpacing"/>
              <w:rPr>
                <w:b/>
              </w:rPr>
            </w:pPr>
          </w:p>
        </w:tc>
        <w:tc>
          <w:tcPr>
            <w:tcW w:w="4725" w:type="dxa"/>
            <w:gridSpan w:val="3"/>
            <w:shd w:val="clear" w:color="auto" w:fill="F2F2F2" w:themeFill="background1" w:themeFillShade="F2"/>
          </w:tcPr>
          <w:p w14:paraId="24AEECFB" w14:textId="77777777" w:rsidR="00E768BC" w:rsidRPr="002A30E6" w:rsidRDefault="00E768BC" w:rsidP="00BA7DBA">
            <w:pPr>
              <w:pStyle w:val="NoSpacing"/>
              <w:rPr>
                <w:b/>
              </w:rPr>
            </w:pPr>
            <w:r w:rsidRPr="002A30E6">
              <w:rPr>
                <w:b/>
              </w:rPr>
              <w:t>Perianal disease modifier</w:t>
            </w:r>
            <w:r w:rsidRPr="002A30E6">
              <w:rPr>
                <w:b/>
                <w:iCs/>
              </w:rPr>
              <w:t>, n (%)</w:t>
            </w:r>
          </w:p>
        </w:tc>
        <w:tc>
          <w:tcPr>
            <w:tcW w:w="1843" w:type="dxa"/>
            <w:shd w:val="clear" w:color="auto" w:fill="F2F2F2" w:themeFill="background1" w:themeFillShade="F2"/>
          </w:tcPr>
          <w:p w14:paraId="65C62502" w14:textId="77777777" w:rsidR="00E768BC" w:rsidRPr="002A30E6" w:rsidRDefault="00E768BC" w:rsidP="00BA7DBA">
            <w:pPr>
              <w:pStyle w:val="NoSpacing"/>
            </w:pPr>
            <w:r w:rsidRPr="002A30E6">
              <w:t>16 (35.6)</w:t>
            </w:r>
          </w:p>
        </w:tc>
        <w:tc>
          <w:tcPr>
            <w:tcW w:w="1418" w:type="dxa"/>
            <w:shd w:val="clear" w:color="auto" w:fill="F2F2F2" w:themeFill="background1" w:themeFillShade="F2"/>
          </w:tcPr>
          <w:p w14:paraId="7D86B708" w14:textId="556AD1A1" w:rsidR="00E768BC" w:rsidRPr="002A30E6" w:rsidRDefault="00E768BC" w:rsidP="00BA7DBA">
            <w:pPr>
              <w:pStyle w:val="NoSpacing"/>
            </w:pPr>
            <w:r w:rsidRPr="002A30E6">
              <w:t>9 (20.9)</w:t>
            </w:r>
          </w:p>
        </w:tc>
        <w:tc>
          <w:tcPr>
            <w:tcW w:w="1417" w:type="dxa"/>
            <w:shd w:val="clear" w:color="auto" w:fill="F2F2F2" w:themeFill="background1" w:themeFillShade="F2"/>
          </w:tcPr>
          <w:p w14:paraId="3428B108" w14:textId="77777777" w:rsidR="00E768BC" w:rsidRPr="002A30E6" w:rsidRDefault="00E768BC" w:rsidP="00BA7DBA">
            <w:pPr>
              <w:pStyle w:val="NoSpacing"/>
            </w:pPr>
            <w:r w:rsidRPr="002A30E6">
              <w:t>25 (28.4)</w:t>
            </w:r>
          </w:p>
        </w:tc>
      </w:tr>
      <w:tr w:rsidR="00E768BC" w:rsidRPr="002A30E6" w14:paraId="66C494D1" w14:textId="77777777" w:rsidTr="00BA7DBA">
        <w:tc>
          <w:tcPr>
            <w:tcW w:w="5211" w:type="dxa"/>
            <w:gridSpan w:val="4"/>
            <w:tcBorders>
              <w:bottom w:val="single" w:sz="4" w:space="0" w:color="auto"/>
            </w:tcBorders>
          </w:tcPr>
          <w:p w14:paraId="11F3CE57" w14:textId="77777777" w:rsidR="00E768BC" w:rsidRPr="002A30E6" w:rsidRDefault="00E768BC" w:rsidP="00BA7DBA">
            <w:pPr>
              <w:pStyle w:val="NoSpacing"/>
              <w:rPr>
                <w:b/>
                <w:iCs/>
              </w:rPr>
            </w:pPr>
            <w:r w:rsidRPr="002A30E6">
              <w:rPr>
                <w:b/>
                <w:iCs/>
              </w:rPr>
              <w:t>Previous bowel resection, n (%)</w:t>
            </w:r>
          </w:p>
        </w:tc>
        <w:tc>
          <w:tcPr>
            <w:tcW w:w="1843" w:type="dxa"/>
            <w:tcBorders>
              <w:bottom w:val="single" w:sz="4" w:space="0" w:color="auto"/>
            </w:tcBorders>
          </w:tcPr>
          <w:p w14:paraId="513F8DD6" w14:textId="77777777" w:rsidR="00E768BC" w:rsidRPr="002A30E6" w:rsidRDefault="00E768BC" w:rsidP="00BA7DBA">
            <w:pPr>
              <w:pStyle w:val="NoSpacing"/>
            </w:pPr>
            <w:r w:rsidRPr="002A30E6">
              <w:t>12 (26.7)</w:t>
            </w:r>
          </w:p>
        </w:tc>
        <w:tc>
          <w:tcPr>
            <w:tcW w:w="1418" w:type="dxa"/>
            <w:tcBorders>
              <w:bottom w:val="single" w:sz="4" w:space="0" w:color="auto"/>
            </w:tcBorders>
          </w:tcPr>
          <w:p w14:paraId="0E31275B" w14:textId="77777777" w:rsidR="00E768BC" w:rsidRPr="002A30E6" w:rsidRDefault="00E768BC" w:rsidP="00BA7DBA">
            <w:pPr>
              <w:pStyle w:val="NoSpacing"/>
            </w:pPr>
            <w:r w:rsidRPr="002A30E6">
              <w:t>19 (44.2)</w:t>
            </w:r>
          </w:p>
        </w:tc>
        <w:tc>
          <w:tcPr>
            <w:tcW w:w="1417" w:type="dxa"/>
            <w:tcBorders>
              <w:bottom w:val="single" w:sz="4" w:space="0" w:color="auto"/>
            </w:tcBorders>
          </w:tcPr>
          <w:p w14:paraId="0EBF9505" w14:textId="77777777" w:rsidR="00E768BC" w:rsidRPr="002A30E6" w:rsidRDefault="00E768BC" w:rsidP="00BA7DBA">
            <w:pPr>
              <w:pStyle w:val="NoSpacing"/>
            </w:pPr>
            <w:r w:rsidRPr="002A30E6">
              <w:t>31 (35.2)</w:t>
            </w:r>
          </w:p>
        </w:tc>
      </w:tr>
      <w:tr w:rsidR="00E768BC" w:rsidRPr="002A30E6" w14:paraId="2F0626C9" w14:textId="77777777" w:rsidTr="00BA7DBA">
        <w:tc>
          <w:tcPr>
            <w:tcW w:w="5211" w:type="dxa"/>
            <w:gridSpan w:val="4"/>
            <w:tcBorders>
              <w:bottom w:val="single" w:sz="4" w:space="0" w:color="auto"/>
            </w:tcBorders>
            <w:shd w:val="clear" w:color="auto" w:fill="F2F2F2" w:themeFill="background1" w:themeFillShade="F2"/>
          </w:tcPr>
          <w:p w14:paraId="1E8DF204" w14:textId="4B4DC2A5" w:rsidR="00E768BC" w:rsidRPr="002A30E6" w:rsidRDefault="00E768BC" w:rsidP="00BA7DBA">
            <w:pPr>
              <w:pStyle w:val="NoSpacing"/>
              <w:rPr>
                <w:b/>
              </w:rPr>
            </w:pPr>
            <w:r w:rsidRPr="002A30E6">
              <w:rPr>
                <w:b/>
                <w:iCs/>
              </w:rPr>
              <w:t>Prior exposure to biologic</w:t>
            </w:r>
            <w:r w:rsidR="00691DBF" w:rsidRPr="002A30E6">
              <w:rPr>
                <w:b/>
                <w:iCs/>
              </w:rPr>
              <w:t>al medicine</w:t>
            </w:r>
            <w:r w:rsidRPr="002A30E6">
              <w:rPr>
                <w:b/>
                <w:iCs/>
              </w:rPr>
              <w:t xml:space="preserve"> other than adalimumab, n (%)</w:t>
            </w:r>
          </w:p>
        </w:tc>
        <w:tc>
          <w:tcPr>
            <w:tcW w:w="1843" w:type="dxa"/>
            <w:tcBorders>
              <w:bottom w:val="single" w:sz="4" w:space="0" w:color="auto"/>
            </w:tcBorders>
            <w:shd w:val="clear" w:color="auto" w:fill="F2F2F2" w:themeFill="background1" w:themeFillShade="F2"/>
          </w:tcPr>
          <w:p w14:paraId="468A3FFF" w14:textId="77777777" w:rsidR="00E768BC" w:rsidRPr="002A30E6" w:rsidRDefault="00E768BC" w:rsidP="00BA7DBA">
            <w:pPr>
              <w:pStyle w:val="NoSpacing"/>
            </w:pPr>
            <w:r w:rsidRPr="002A30E6">
              <w:t>14 (31.1)</w:t>
            </w:r>
          </w:p>
        </w:tc>
        <w:tc>
          <w:tcPr>
            <w:tcW w:w="1418" w:type="dxa"/>
            <w:tcBorders>
              <w:bottom w:val="single" w:sz="4" w:space="0" w:color="auto"/>
            </w:tcBorders>
            <w:shd w:val="clear" w:color="auto" w:fill="F2F2F2" w:themeFill="background1" w:themeFillShade="F2"/>
          </w:tcPr>
          <w:p w14:paraId="40C5EA7C" w14:textId="77777777" w:rsidR="00E768BC" w:rsidRPr="002A30E6" w:rsidRDefault="00E768BC" w:rsidP="00BA7DBA">
            <w:pPr>
              <w:pStyle w:val="NoSpacing"/>
            </w:pPr>
            <w:r w:rsidRPr="002A30E6">
              <w:t>11 (25.6)</w:t>
            </w:r>
          </w:p>
        </w:tc>
        <w:tc>
          <w:tcPr>
            <w:tcW w:w="1417" w:type="dxa"/>
            <w:tcBorders>
              <w:bottom w:val="single" w:sz="4" w:space="0" w:color="auto"/>
            </w:tcBorders>
            <w:shd w:val="clear" w:color="auto" w:fill="F2F2F2" w:themeFill="background1" w:themeFillShade="F2"/>
          </w:tcPr>
          <w:p w14:paraId="03C17084" w14:textId="77777777" w:rsidR="00E768BC" w:rsidRPr="002A30E6" w:rsidRDefault="00E768BC" w:rsidP="00BA7DBA">
            <w:pPr>
              <w:pStyle w:val="NoSpacing"/>
            </w:pPr>
            <w:r w:rsidRPr="002A30E6">
              <w:t>25 (28.4)</w:t>
            </w:r>
          </w:p>
        </w:tc>
      </w:tr>
      <w:tr w:rsidR="00E768BC" w:rsidRPr="002A30E6" w14:paraId="57F6BDA4" w14:textId="77777777" w:rsidTr="00BA7DBA">
        <w:tc>
          <w:tcPr>
            <w:tcW w:w="5211" w:type="dxa"/>
            <w:gridSpan w:val="4"/>
            <w:shd w:val="clear" w:color="auto" w:fill="FFFFFF" w:themeFill="background1"/>
          </w:tcPr>
          <w:p w14:paraId="1A0AB4A7" w14:textId="77777777" w:rsidR="00E768BC" w:rsidRPr="002A30E6" w:rsidRDefault="00E768BC" w:rsidP="00BA7DBA">
            <w:pPr>
              <w:pStyle w:val="NoSpacing"/>
              <w:rPr>
                <w:b/>
                <w:iCs/>
              </w:rPr>
            </w:pPr>
            <w:r w:rsidRPr="002A30E6">
              <w:rPr>
                <w:b/>
                <w:iCs/>
              </w:rPr>
              <w:t xml:space="preserve">Duration of adalimumab exposure </w:t>
            </w:r>
            <w:r w:rsidRPr="002A30E6">
              <w:rPr>
                <w:b/>
              </w:rPr>
              <w:t>(years), median (IQR)</w:t>
            </w:r>
          </w:p>
        </w:tc>
        <w:tc>
          <w:tcPr>
            <w:tcW w:w="1843" w:type="dxa"/>
            <w:shd w:val="clear" w:color="auto" w:fill="FFFFFF" w:themeFill="background1"/>
          </w:tcPr>
          <w:p w14:paraId="27C13706" w14:textId="77777777" w:rsidR="00E768BC" w:rsidRPr="002A30E6" w:rsidRDefault="00E768BC" w:rsidP="00BA7DBA">
            <w:pPr>
              <w:pStyle w:val="NoSpacing"/>
            </w:pPr>
            <w:r w:rsidRPr="002A30E6">
              <w:t>2 (2-5)</w:t>
            </w:r>
          </w:p>
        </w:tc>
        <w:tc>
          <w:tcPr>
            <w:tcW w:w="1418" w:type="dxa"/>
            <w:shd w:val="clear" w:color="auto" w:fill="FFFFFF" w:themeFill="background1"/>
          </w:tcPr>
          <w:p w14:paraId="3A68982D" w14:textId="77777777" w:rsidR="00E768BC" w:rsidRPr="002A30E6" w:rsidRDefault="00E768BC" w:rsidP="00BA7DBA">
            <w:pPr>
              <w:pStyle w:val="NoSpacing"/>
            </w:pPr>
            <w:r w:rsidRPr="002A30E6">
              <w:t>4 (2-6)</w:t>
            </w:r>
          </w:p>
        </w:tc>
        <w:tc>
          <w:tcPr>
            <w:tcW w:w="1417" w:type="dxa"/>
            <w:shd w:val="clear" w:color="auto" w:fill="FFFFFF" w:themeFill="background1"/>
          </w:tcPr>
          <w:p w14:paraId="59A2DCA0" w14:textId="77777777" w:rsidR="00E768BC" w:rsidRPr="002A30E6" w:rsidRDefault="00E768BC" w:rsidP="00BA7DBA">
            <w:pPr>
              <w:pStyle w:val="NoSpacing"/>
            </w:pPr>
            <w:r w:rsidRPr="002A30E6">
              <w:t>3 (2-5)</w:t>
            </w:r>
          </w:p>
        </w:tc>
      </w:tr>
      <w:tr w:rsidR="00E768BC" w:rsidRPr="002A30E6" w14:paraId="66B43294" w14:textId="77777777" w:rsidTr="00BA7DBA">
        <w:trPr>
          <w:trHeight w:val="135"/>
        </w:trPr>
        <w:tc>
          <w:tcPr>
            <w:tcW w:w="3085" w:type="dxa"/>
            <w:gridSpan w:val="3"/>
            <w:vMerge w:val="restart"/>
            <w:shd w:val="clear" w:color="auto" w:fill="FFFFFF" w:themeFill="background1"/>
          </w:tcPr>
          <w:p w14:paraId="2FD61C6A" w14:textId="77777777" w:rsidR="00E768BC" w:rsidRPr="002A30E6" w:rsidRDefault="00E768BC" w:rsidP="00BA7DBA">
            <w:pPr>
              <w:pStyle w:val="NoSpacing"/>
              <w:rPr>
                <w:b/>
                <w:iCs/>
              </w:rPr>
            </w:pPr>
            <w:r w:rsidRPr="002A30E6">
              <w:rPr>
                <w:b/>
                <w:iCs/>
              </w:rPr>
              <w:t>Pre-treatment status</w:t>
            </w:r>
          </w:p>
        </w:tc>
        <w:tc>
          <w:tcPr>
            <w:tcW w:w="2126" w:type="dxa"/>
            <w:shd w:val="clear" w:color="auto" w:fill="FFFFFF" w:themeFill="background1"/>
          </w:tcPr>
          <w:p w14:paraId="440CCE32" w14:textId="58947728" w:rsidR="00E768BC" w:rsidRPr="002A30E6" w:rsidRDefault="007B5959" w:rsidP="00BA7DBA">
            <w:pPr>
              <w:pStyle w:val="NoSpacing"/>
              <w:rPr>
                <w:iCs/>
              </w:rPr>
            </w:pPr>
            <w:r w:rsidRPr="002A30E6">
              <w:rPr>
                <w:iCs/>
              </w:rPr>
              <w:t>Reference adalimumab</w:t>
            </w:r>
          </w:p>
        </w:tc>
        <w:tc>
          <w:tcPr>
            <w:tcW w:w="1843" w:type="dxa"/>
            <w:shd w:val="clear" w:color="auto" w:fill="FFFFFF" w:themeFill="background1"/>
          </w:tcPr>
          <w:p w14:paraId="3A4F3D24" w14:textId="77777777" w:rsidR="00E768BC" w:rsidRPr="002A30E6" w:rsidRDefault="00E768BC" w:rsidP="00BA7DBA">
            <w:pPr>
              <w:pStyle w:val="NoSpacing"/>
            </w:pPr>
            <w:r w:rsidRPr="002A30E6">
              <w:t>39 (86.7)</w:t>
            </w:r>
          </w:p>
        </w:tc>
        <w:tc>
          <w:tcPr>
            <w:tcW w:w="1418" w:type="dxa"/>
            <w:shd w:val="clear" w:color="auto" w:fill="FFFFFF" w:themeFill="background1"/>
          </w:tcPr>
          <w:p w14:paraId="0CE953EA" w14:textId="77777777" w:rsidR="00E768BC" w:rsidRPr="002A30E6" w:rsidRDefault="00E768BC" w:rsidP="00BA7DBA">
            <w:pPr>
              <w:pStyle w:val="NoSpacing"/>
            </w:pPr>
            <w:r w:rsidRPr="002A30E6">
              <w:t>36 (83.7)</w:t>
            </w:r>
          </w:p>
        </w:tc>
        <w:tc>
          <w:tcPr>
            <w:tcW w:w="1417" w:type="dxa"/>
            <w:shd w:val="clear" w:color="auto" w:fill="FFFFFF" w:themeFill="background1"/>
          </w:tcPr>
          <w:p w14:paraId="6E44F692" w14:textId="77777777" w:rsidR="00E768BC" w:rsidRPr="002A30E6" w:rsidRDefault="00E768BC" w:rsidP="00BA7DBA">
            <w:pPr>
              <w:pStyle w:val="NoSpacing"/>
            </w:pPr>
            <w:r w:rsidRPr="002A30E6">
              <w:t>75 (85.2)</w:t>
            </w:r>
          </w:p>
        </w:tc>
      </w:tr>
      <w:tr w:rsidR="00E768BC" w:rsidRPr="002A30E6" w14:paraId="3A1F4116" w14:textId="77777777" w:rsidTr="00BA7DBA">
        <w:trPr>
          <w:trHeight w:val="135"/>
        </w:trPr>
        <w:tc>
          <w:tcPr>
            <w:tcW w:w="3085" w:type="dxa"/>
            <w:gridSpan w:val="3"/>
            <w:vMerge/>
            <w:shd w:val="clear" w:color="auto" w:fill="FFFFFF" w:themeFill="background1"/>
          </w:tcPr>
          <w:p w14:paraId="2A053534" w14:textId="77777777" w:rsidR="00E768BC" w:rsidRPr="002A30E6" w:rsidRDefault="00E768BC" w:rsidP="00BA7DBA">
            <w:pPr>
              <w:pStyle w:val="NoSpacing"/>
              <w:rPr>
                <w:b/>
                <w:iCs/>
              </w:rPr>
            </w:pPr>
          </w:p>
        </w:tc>
        <w:tc>
          <w:tcPr>
            <w:tcW w:w="2126" w:type="dxa"/>
            <w:shd w:val="clear" w:color="auto" w:fill="FFFFFF" w:themeFill="background1"/>
          </w:tcPr>
          <w:p w14:paraId="24D6D2C6" w14:textId="0509C14C" w:rsidR="00E768BC" w:rsidRPr="002A30E6" w:rsidRDefault="00284A2F" w:rsidP="00BA7DBA">
            <w:pPr>
              <w:pStyle w:val="NoSpacing"/>
              <w:rPr>
                <w:iCs/>
              </w:rPr>
            </w:pPr>
            <w:r>
              <w:t>SB5</w:t>
            </w:r>
          </w:p>
        </w:tc>
        <w:tc>
          <w:tcPr>
            <w:tcW w:w="1843" w:type="dxa"/>
            <w:shd w:val="clear" w:color="auto" w:fill="FFFFFF" w:themeFill="background1"/>
          </w:tcPr>
          <w:p w14:paraId="6060C953" w14:textId="77777777" w:rsidR="00E768BC" w:rsidRPr="002A30E6" w:rsidRDefault="00E768BC" w:rsidP="00BA7DBA">
            <w:pPr>
              <w:pStyle w:val="NoSpacing"/>
            </w:pPr>
            <w:r w:rsidRPr="002A30E6">
              <w:t>6 (13.3)</w:t>
            </w:r>
          </w:p>
        </w:tc>
        <w:tc>
          <w:tcPr>
            <w:tcW w:w="1418" w:type="dxa"/>
            <w:shd w:val="clear" w:color="auto" w:fill="FFFFFF" w:themeFill="background1"/>
          </w:tcPr>
          <w:p w14:paraId="7C18555B" w14:textId="77777777" w:rsidR="00E768BC" w:rsidRPr="002A30E6" w:rsidRDefault="00E768BC" w:rsidP="00BA7DBA">
            <w:pPr>
              <w:pStyle w:val="NoSpacing"/>
            </w:pPr>
            <w:r w:rsidRPr="002A30E6">
              <w:t>7 (16.3)</w:t>
            </w:r>
          </w:p>
        </w:tc>
        <w:tc>
          <w:tcPr>
            <w:tcW w:w="1417" w:type="dxa"/>
            <w:shd w:val="clear" w:color="auto" w:fill="FFFFFF" w:themeFill="background1"/>
          </w:tcPr>
          <w:p w14:paraId="4C8F8CF4" w14:textId="77777777" w:rsidR="00E768BC" w:rsidRPr="002A30E6" w:rsidRDefault="00E768BC" w:rsidP="00BA7DBA">
            <w:pPr>
              <w:pStyle w:val="NoSpacing"/>
            </w:pPr>
            <w:r w:rsidRPr="002A30E6">
              <w:t>13 (14.8)</w:t>
            </w:r>
          </w:p>
        </w:tc>
      </w:tr>
      <w:tr w:rsidR="00E768BC" w:rsidRPr="002A30E6" w14:paraId="69E9B79C" w14:textId="77777777" w:rsidTr="00BA7DBA">
        <w:trPr>
          <w:trHeight w:val="135"/>
        </w:trPr>
        <w:tc>
          <w:tcPr>
            <w:tcW w:w="5211" w:type="dxa"/>
            <w:gridSpan w:val="4"/>
            <w:shd w:val="clear" w:color="auto" w:fill="FFFFFF" w:themeFill="background1"/>
          </w:tcPr>
          <w:p w14:paraId="5C10B7AA" w14:textId="77777777" w:rsidR="00E768BC" w:rsidRPr="002A30E6" w:rsidRDefault="00E768BC" w:rsidP="00BA7DBA">
            <w:pPr>
              <w:pStyle w:val="NoSpacing"/>
              <w:rPr>
                <w:iCs/>
              </w:rPr>
            </w:pPr>
            <w:r w:rsidRPr="002A30E6">
              <w:rPr>
                <w:b/>
                <w:iCs/>
              </w:rPr>
              <w:t>C-reactive protein (mg/L), median (IQR)</w:t>
            </w:r>
          </w:p>
        </w:tc>
        <w:tc>
          <w:tcPr>
            <w:tcW w:w="1843" w:type="dxa"/>
            <w:shd w:val="clear" w:color="auto" w:fill="FFFFFF" w:themeFill="background1"/>
          </w:tcPr>
          <w:p w14:paraId="0862EA53" w14:textId="77777777" w:rsidR="00E768BC" w:rsidRPr="002A30E6" w:rsidRDefault="00E768BC" w:rsidP="00BA7DBA">
            <w:pPr>
              <w:pStyle w:val="NoSpacing"/>
            </w:pPr>
            <w:r w:rsidRPr="002A30E6">
              <w:t>1 (1-3)</w:t>
            </w:r>
          </w:p>
        </w:tc>
        <w:tc>
          <w:tcPr>
            <w:tcW w:w="1418" w:type="dxa"/>
            <w:shd w:val="clear" w:color="auto" w:fill="FFFFFF" w:themeFill="background1"/>
          </w:tcPr>
          <w:p w14:paraId="55C42567" w14:textId="77777777" w:rsidR="00E768BC" w:rsidRPr="002A30E6" w:rsidRDefault="00E768BC" w:rsidP="00BA7DBA">
            <w:pPr>
              <w:pStyle w:val="NoSpacing"/>
            </w:pPr>
            <w:r w:rsidRPr="002A30E6">
              <w:t>1 (1-5)</w:t>
            </w:r>
          </w:p>
        </w:tc>
        <w:tc>
          <w:tcPr>
            <w:tcW w:w="1417" w:type="dxa"/>
            <w:shd w:val="clear" w:color="auto" w:fill="FFFFFF" w:themeFill="background1"/>
          </w:tcPr>
          <w:p w14:paraId="60DBC38C" w14:textId="77777777" w:rsidR="00E768BC" w:rsidRPr="002A30E6" w:rsidRDefault="00E768BC" w:rsidP="00BA7DBA">
            <w:pPr>
              <w:pStyle w:val="NoSpacing"/>
            </w:pPr>
            <w:r w:rsidRPr="002A30E6">
              <w:t>1 (1-3)</w:t>
            </w:r>
          </w:p>
        </w:tc>
      </w:tr>
      <w:tr w:rsidR="00E768BC" w:rsidRPr="002A30E6" w14:paraId="22F4EBFF" w14:textId="77777777" w:rsidTr="00BA7DBA">
        <w:trPr>
          <w:trHeight w:val="135"/>
        </w:trPr>
        <w:tc>
          <w:tcPr>
            <w:tcW w:w="5211" w:type="dxa"/>
            <w:gridSpan w:val="4"/>
            <w:shd w:val="clear" w:color="auto" w:fill="FFFFFF" w:themeFill="background1"/>
          </w:tcPr>
          <w:p w14:paraId="4635CF23" w14:textId="77777777" w:rsidR="00E768BC" w:rsidRPr="002A30E6" w:rsidRDefault="00E768BC" w:rsidP="00BA7DBA">
            <w:pPr>
              <w:pStyle w:val="NoSpacing"/>
              <w:rPr>
                <w:b/>
                <w:iCs/>
              </w:rPr>
            </w:pPr>
            <w:r w:rsidRPr="002A30E6">
              <w:rPr>
                <w:b/>
              </w:rPr>
              <w:t>Calprotectin (µg/g)</w:t>
            </w:r>
            <w:r w:rsidRPr="002A30E6">
              <w:rPr>
                <w:b/>
                <w:iCs/>
              </w:rPr>
              <w:t>, median (IQR)</w:t>
            </w:r>
          </w:p>
        </w:tc>
        <w:tc>
          <w:tcPr>
            <w:tcW w:w="1843" w:type="dxa"/>
            <w:shd w:val="clear" w:color="auto" w:fill="FFFFFF" w:themeFill="background1"/>
          </w:tcPr>
          <w:p w14:paraId="19584809" w14:textId="77777777" w:rsidR="00E768BC" w:rsidRPr="002A30E6" w:rsidRDefault="00E768BC" w:rsidP="00BA7DBA">
            <w:pPr>
              <w:pStyle w:val="NoSpacing"/>
            </w:pPr>
            <w:r w:rsidRPr="002A30E6">
              <w:t>18 (7-32)</w:t>
            </w:r>
          </w:p>
        </w:tc>
        <w:tc>
          <w:tcPr>
            <w:tcW w:w="1418" w:type="dxa"/>
            <w:shd w:val="clear" w:color="auto" w:fill="FFFFFF" w:themeFill="background1"/>
          </w:tcPr>
          <w:p w14:paraId="6AD03E55" w14:textId="77777777" w:rsidR="00E768BC" w:rsidRPr="002A30E6" w:rsidRDefault="00E768BC" w:rsidP="00BA7DBA">
            <w:pPr>
              <w:pStyle w:val="NoSpacing"/>
            </w:pPr>
            <w:r w:rsidRPr="002A30E6">
              <w:t>24 (9-95)</w:t>
            </w:r>
          </w:p>
        </w:tc>
        <w:tc>
          <w:tcPr>
            <w:tcW w:w="1417" w:type="dxa"/>
            <w:shd w:val="clear" w:color="auto" w:fill="FFFFFF" w:themeFill="background1"/>
          </w:tcPr>
          <w:p w14:paraId="51F44481" w14:textId="77777777" w:rsidR="00E768BC" w:rsidRPr="002A30E6" w:rsidRDefault="00E768BC" w:rsidP="00BA7DBA">
            <w:pPr>
              <w:pStyle w:val="NoSpacing"/>
            </w:pPr>
            <w:r w:rsidRPr="002A30E6">
              <w:t>20 (8-62)</w:t>
            </w:r>
          </w:p>
        </w:tc>
      </w:tr>
      <w:tr w:rsidR="00E768BC" w:rsidRPr="002A30E6" w14:paraId="6C6E6E0B" w14:textId="77777777" w:rsidTr="00BA7DBA">
        <w:trPr>
          <w:trHeight w:val="135"/>
        </w:trPr>
        <w:tc>
          <w:tcPr>
            <w:tcW w:w="5211" w:type="dxa"/>
            <w:gridSpan w:val="4"/>
            <w:shd w:val="clear" w:color="auto" w:fill="FFFFFF" w:themeFill="background1"/>
          </w:tcPr>
          <w:p w14:paraId="290E5507" w14:textId="77777777" w:rsidR="00E768BC" w:rsidRPr="002A30E6" w:rsidRDefault="00E768BC" w:rsidP="00BA7DBA">
            <w:pPr>
              <w:pStyle w:val="NoSpacing"/>
              <w:rPr>
                <w:b/>
              </w:rPr>
            </w:pPr>
            <w:r w:rsidRPr="002A30E6">
              <w:rPr>
                <w:b/>
              </w:rPr>
              <w:t>mHBI score, median (IQR)</w:t>
            </w:r>
          </w:p>
        </w:tc>
        <w:tc>
          <w:tcPr>
            <w:tcW w:w="1843" w:type="dxa"/>
            <w:shd w:val="clear" w:color="auto" w:fill="FFFFFF" w:themeFill="background1"/>
          </w:tcPr>
          <w:p w14:paraId="25E0BAA5" w14:textId="77777777" w:rsidR="00E768BC" w:rsidRPr="002A30E6" w:rsidRDefault="00E768BC" w:rsidP="00BA7DBA">
            <w:pPr>
              <w:pStyle w:val="NoSpacing"/>
            </w:pPr>
            <w:r w:rsidRPr="002A30E6">
              <w:t>1 (1-4)</w:t>
            </w:r>
          </w:p>
        </w:tc>
        <w:tc>
          <w:tcPr>
            <w:tcW w:w="1418" w:type="dxa"/>
            <w:shd w:val="clear" w:color="auto" w:fill="FFFFFF" w:themeFill="background1"/>
          </w:tcPr>
          <w:p w14:paraId="39652242" w14:textId="77777777" w:rsidR="00E768BC" w:rsidRPr="002A30E6" w:rsidRDefault="00E768BC" w:rsidP="00BA7DBA">
            <w:pPr>
              <w:pStyle w:val="NoSpacing"/>
            </w:pPr>
            <w:r w:rsidRPr="002A30E6">
              <w:t>2 (0-4)</w:t>
            </w:r>
          </w:p>
        </w:tc>
        <w:tc>
          <w:tcPr>
            <w:tcW w:w="1417" w:type="dxa"/>
            <w:shd w:val="clear" w:color="auto" w:fill="FFFFFF" w:themeFill="background1"/>
          </w:tcPr>
          <w:p w14:paraId="77E02167" w14:textId="77777777" w:rsidR="00E768BC" w:rsidRPr="002A30E6" w:rsidRDefault="00E768BC" w:rsidP="00BA7DBA">
            <w:pPr>
              <w:pStyle w:val="NoSpacing"/>
            </w:pPr>
            <w:r w:rsidRPr="002A30E6">
              <w:t>2 (1-4)</w:t>
            </w:r>
          </w:p>
        </w:tc>
      </w:tr>
      <w:tr w:rsidR="00E768BC" w:rsidRPr="002A30E6" w14:paraId="7A923E5D" w14:textId="77777777" w:rsidTr="00BA7DBA">
        <w:trPr>
          <w:trHeight w:val="135"/>
        </w:trPr>
        <w:tc>
          <w:tcPr>
            <w:tcW w:w="5211" w:type="dxa"/>
            <w:gridSpan w:val="4"/>
            <w:shd w:val="clear" w:color="auto" w:fill="FFFFFF" w:themeFill="background1"/>
          </w:tcPr>
          <w:p w14:paraId="63807F20" w14:textId="77777777" w:rsidR="00E768BC" w:rsidRPr="002A30E6" w:rsidRDefault="00E768BC" w:rsidP="00BA7DBA">
            <w:pPr>
              <w:pStyle w:val="NoSpacing"/>
              <w:rPr>
                <w:b/>
              </w:rPr>
            </w:pPr>
            <w:r w:rsidRPr="002A30E6">
              <w:rPr>
                <w:b/>
              </w:rPr>
              <w:t>Count of patients with mHBI ≥5</w:t>
            </w:r>
          </w:p>
        </w:tc>
        <w:tc>
          <w:tcPr>
            <w:tcW w:w="1843" w:type="dxa"/>
            <w:shd w:val="clear" w:color="auto" w:fill="FFFFFF" w:themeFill="background1"/>
          </w:tcPr>
          <w:p w14:paraId="5399D474" w14:textId="77777777" w:rsidR="00E768BC" w:rsidRPr="002A30E6" w:rsidRDefault="00E768BC" w:rsidP="00BA7DBA">
            <w:pPr>
              <w:pStyle w:val="NoSpacing"/>
            </w:pPr>
            <w:r w:rsidRPr="002A30E6">
              <w:t>7 (15.6)</w:t>
            </w:r>
          </w:p>
        </w:tc>
        <w:tc>
          <w:tcPr>
            <w:tcW w:w="1418" w:type="dxa"/>
            <w:shd w:val="clear" w:color="auto" w:fill="FFFFFF" w:themeFill="background1"/>
          </w:tcPr>
          <w:p w14:paraId="4F783A36" w14:textId="77777777" w:rsidR="00E768BC" w:rsidRPr="002A30E6" w:rsidRDefault="00E768BC" w:rsidP="00BA7DBA">
            <w:pPr>
              <w:pStyle w:val="NoSpacing"/>
            </w:pPr>
            <w:r w:rsidRPr="002A30E6">
              <w:t>7 (16.3)</w:t>
            </w:r>
          </w:p>
        </w:tc>
        <w:tc>
          <w:tcPr>
            <w:tcW w:w="1417" w:type="dxa"/>
            <w:shd w:val="clear" w:color="auto" w:fill="FFFFFF" w:themeFill="background1"/>
          </w:tcPr>
          <w:p w14:paraId="525DFBD0" w14:textId="77777777" w:rsidR="00E768BC" w:rsidRPr="002A30E6" w:rsidRDefault="00E768BC" w:rsidP="00BA7DBA">
            <w:pPr>
              <w:pStyle w:val="NoSpacing"/>
            </w:pPr>
            <w:r w:rsidRPr="002A30E6">
              <w:t>14 (15.9)</w:t>
            </w:r>
          </w:p>
        </w:tc>
      </w:tr>
      <w:tr w:rsidR="00E768BC" w:rsidRPr="002A30E6" w14:paraId="1AA12F1F" w14:textId="77777777" w:rsidTr="00BA7DBA">
        <w:trPr>
          <w:trHeight w:val="1129"/>
        </w:trPr>
        <w:tc>
          <w:tcPr>
            <w:tcW w:w="5211" w:type="dxa"/>
            <w:gridSpan w:val="4"/>
            <w:shd w:val="clear" w:color="auto" w:fill="FFFFFF" w:themeFill="background1"/>
          </w:tcPr>
          <w:p w14:paraId="576F73E3" w14:textId="77777777" w:rsidR="00E768BC" w:rsidRPr="002A30E6" w:rsidRDefault="00E768BC" w:rsidP="00BA7DBA">
            <w:pPr>
              <w:pStyle w:val="NoSpacing"/>
            </w:pPr>
            <w:r w:rsidRPr="002A30E6">
              <w:rPr>
                <w:b/>
              </w:rPr>
              <w:t>Currently taking concomitant immunosuppressive therapy at baseline, n (%)</w:t>
            </w:r>
          </w:p>
        </w:tc>
        <w:tc>
          <w:tcPr>
            <w:tcW w:w="1843" w:type="dxa"/>
            <w:shd w:val="clear" w:color="auto" w:fill="FFFFFF" w:themeFill="background1"/>
          </w:tcPr>
          <w:p w14:paraId="69BDC047" w14:textId="77777777" w:rsidR="00E768BC" w:rsidRPr="002A30E6" w:rsidRDefault="00E768BC" w:rsidP="00BA7DBA">
            <w:pPr>
              <w:pStyle w:val="NoSpacing"/>
            </w:pPr>
            <w:r w:rsidRPr="002A30E6">
              <w:t>24 (53.3)</w:t>
            </w:r>
          </w:p>
        </w:tc>
        <w:tc>
          <w:tcPr>
            <w:tcW w:w="1418" w:type="dxa"/>
            <w:shd w:val="clear" w:color="auto" w:fill="FFFFFF" w:themeFill="background1"/>
          </w:tcPr>
          <w:p w14:paraId="2F864474" w14:textId="77777777" w:rsidR="00E768BC" w:rsidRPr="002A30E6" w:rsidRDefault="00E768BC" w:rsidP="00BA7DBA">
            <w:pPr>
              <w:pStyle w:val="NoSpacing"/>
            </w:pPr>
            <w:r w:rsidRPr="002A30E6">
              <w:t>20 (46.5)</w:t>
            </w:r>
          </w:p>
        </w:tc>
        <w:tc>
          <w:tcPr>
            <w:tcW w:w="1417" w:type="dxa"/>
            <w:shd w:val="clear" w:color="auto" w:fill="FFFFFF" w:themeFill="background1"/>
          </w:tcPr>
          <w:p w14:paraId="4CFCD5C1" w14:textId="77777777" w:rsidR="00E768BC" w:rsidRPr="002A30E6" w:rsidRDefault="00E768BC" w:rsidP="00BA7DBA">
            <w:pPr>
              <w:pStyle w:val="NoSpacing"/>
            </w:pPr>
            <w:r w:rsidRPr="002A30E6">
              <w:t>44 (50.0)</w:t>
            </w:r>
          </w:p>
        </w:tc>
      </w:tr>
      <w:tr w:rsidR="00E768BC" w:rsidRPr="002A30E6" w14:paraId="4BF7CE14" w14:textId="77777777" w:rsidTr="00BA7DBA">
        <w:trPr>
          <w:trHeight w:val="135"/>
        </w:trPr>
        <w:tc>
          <w:tcPr>
            <w:tcW w:w="3085" w:type="dxa"/>
            <w:gridSpan w:val="3"/>
            <w:vMerge w:val="restart"/>
            <w:shd w:val="clear" w:color="auto" w:fill="FFFFFF" w:themeFill="background1"/>
          </w:tcPr>
          <w:p w14:paraId="34998238" w14:textId="77777777" w:rsidR="00E768BC" w:rsidRPr="002A30E6" w:rsidRDefault="00E768BC" w:rsidP="00BA7DBA">
            <w:pPr>
              <w:pStyle w:val="NoSpacing"/>
              <w:rPr>
                <w:b/>
              </w:rPr>
            </w:pPr>
            <w:r w:rsidRPr="002A30E6">
              <w:rPr>
                <w:b/>
              </w:rPr>
              <w:t>Dosing frequency</w:t>
            </w:r>
          </w:p>
        </w:tc>
        <w:tc>
          <w:tcPr>
            <w:tcW w:w="2126" w:type="dxa"/>
            <w:shd w:val="clear" w:color="auto" w:fill="FFFFFF" w:themeFill="background1"/>
          </w:tcPr>
          <w:p w14:paraId="00255C8A" w14:textId="77777777" w:rsidR="00E768BC" w:rsidRPr="002A30E6" w:rsidRDefault="00E768BC" w:rsidP="00BA7DBA">
            <w:pPr>
              <w:pStyle w:val="NoSpacing"/>
            </w:pPr>
            <w:r w:rsidRPr="002A30E6">
              <w:t>40 mg Q2W</w:t>
            </w:r>
          </w:p>
        </w:tc>
        <w:tc>
          <w:tcPr>
            <w:tcW w:w="1843" w:type="dxa"/>
            <w:shd w:val="clear" w:color="auto" w:fill="FFFFFF" w:themeFill="background1"/>
          </w:tcPr>
          <w:p w14:paraId="345BC478" w14:textId="77777777" w:rsidR="00E768BC" w:rsidRPr="002A30E6" w:rsidRDefault="00E768BC" w:rsidP="00BA7DBA">
            <w:pPr>
              <w:pStyle w:val="NoSpacing"/>
            </w:pPr>
            <w:r w:rsidRPr="002A30E6">
              <w:t>37 (82.2)</w:t>
            </w:r>
          </w:p>
        </w:tc>
        <w:tc>
          <w:tcPr>
            <w:tcW w:w="1418" w:type="dxa"/>
            <w:shd w:val="clear" w:color="auto" w:fill="FFFFFF" w:themeFill="background1"/>
          </w:tcPr>
          <w:p w14:paraId="3F8CFB20" w14:textId="77777777" w:rsidR="00E768BC" w:rsidRPr="002A30E6" w:rsidRDefault="00E768BC" w:rsidP="00BA7DBA">
            <w:pPr>
              <w:pStyle w:val="NoSpacing"/>
            </w:pPr>
            <w:r w:rsidRPr="002A30E6">
              <w:t>39 (90.7)</w:t>
            </w:r>
          </w:p>
        </w:tc>
        <w:tc>
          <w:tcPr>
            <w:tcW w:w="1417" w:type="dxa"/>
            <w:shd w:val="clear" w:color="auto" w:fill="FFFFFF" w:themeFill="background1"/>
          </w:tcPr>
          <w:p w14:paraId="1E8AC016" w14:textId="77777777" w:rsidR="00E768BC" w:rsidRPr="002A30E6" w:rsidRDefault="00E768BC" w:rsidP="00BA7DBA">
            <w:pPr>
              <w:pStyle w:val="NoSpacing"/>
            </w:pPr>
            <w:r w:rsidRPr="002A30E6">
              <w:t>76 (86.4)</w:t>
            </w:r>
          </w:p>
        </w:tc>
      </w:tr>
      <w:tr w:rsidR="00E768BC" w:rsidRPr="002A30E6" w14:paraId="3CBC9915" w14:textId="77777777" w:rsidTr="00BA7DBA">
        <w:trPr>
          <w:trHeight w:val="547"/>
        </w:trPr>
        <w:tc>
          <w:tcPr>
            <w:tcW w:w="3085" w:type="dxa"/>
            <w:gridSpan w:val="3"/>
            <w:vMerge/>
            <w:shd w:val="clear" w:color="auto" w:fill="FFFFFF" w:themeFill="background1"/>
          </w:tcPr>
          <w:p w14:paraId="7CA9B70B" w14:textId="77777777" w:rsidR="00E768BC" w:rsidRPr="002A30E6" w:rsidRDefault="00E768BC" w:rsidP="00BA7DBA">
            <w:pPr>
              <w:pStyle w:val="NoSpacing"/>
              <w:rPr>
                <w:b/>
              </w:rPr>
            </w:pPr>
          </w:p>
        </w:tc>
        <w:tc>
          <w:tcPr>
            <w:tcW w:w="2126" w:type="dxa"/>
            <w:shd w:val="clear" w:color="auto" w:fill="FFFFFF" w:themeFill="background1"/>
          </w:tcPr>
          <w:p w14:paraId="15E022C6" w14:textId="77777777" w:rsidR="00E768BC" w:rsidRPr="002A30E6" w:rsidRDefault="00E768BC" w:rsidP="00BA7DBA">
            <w:pPr>
              <w:pStyle w:val="NoSpacing"/>
            </w:pPr>
            <w:r w:rsidRPr="002A30E6">
              <w:t>40 mg QW or 80 mg Q2W</w:t>
            </w:r>
          </w:p>
        </w:tc>
        <w:tc>
          <w:tcPr>
            <w:tcW w:w="1843" w:type="dxa"/>
            <w:shd w:val="clear" w:color="auto" w:fill="FFFFFF" w:themeFill="background1"/>
          </w:tcPr>
          <w:p w14:paraId="52A2D07C" w14:textId="77777777" w:rsidR="00E768BC" w:rsidRPr="002A30E6" w:rsidRDefault="00E768BC" w:rsidP="00BA7DBA">
            <w:pPr>
              <w:pStyle w:val="NoSpacing"/>
            </w:pPr>
            <w:r w:rsidRPr="002A30E6">
              <w:t>8 (17.8)</w:t>
            </w:r>
          </w:p>
        </w:tc>
        <w:tc>
          <w:tcPr>
            <w:tcW w:w="1418" w:type="dxa"/>
            <w:shd w:val="clear" w:color="auto" w:fill="FFFFFF" w:themeFill="background1"/>
          </w:tcPr>
          <w:p w14:paraId="4B24F49F" w14:textId="77777777" w:rsidR="00E768BC" w:rsidRPr="002A30E6" w:rsidRDefault="00E768BC" w:rsidP="00BA7DBA">
            <w:pPr>
              <w:pStyle w:val="NoSpacing"/>
            </w:pPr>
            <w:r w:rsidRPr="002A30E6">
              <w:t>4 (9.3)</w:t>
            </w:r>
          </w:p>
        </w:tc>
        <w:tc>
          <w:tcPr>
            <w:tcW w:w="1417" w:type="dxa"/>
            <w:shd w:val="clear" w:color="auto" w:fill="FFFFFF" w:themeFill="background1"/>
          </w:tcPr>
          <w:p w14:paraId="63C94DDA" w14:textId="77777777" w:rsidR="00E768BC" w:rsidRPr="002A30E6" w:rsidRDefault="00E768BC" w:rsidP="00BA7DBA">
            <w:pPr>
              <w:pStyle w:val="NoSpacing"/>
            </w:pPr>
            <w:r w:rsidRPr="002A30E6">
              <w:t>12 (13.6)</w:t>
            </w:r>
          </w:p>
        </w:tc>
      </w:tr>
    </w:tbl>
    <w:p w14:paraId="2A49A242" w14:textId="77777777" w:rsidR="00E768BC" w:rsidRPr="002A30E6" w:rsidRDefault="00E768BC" w:rsidP="00E768BC">
      <w:pPr>
        <w:pStyle w:val="Caption"/>
      </w:pPr>
    </w:p>
    <w:p w14:paraId="65E27978" w14:textId="77777777" w:rsidR="00E768BC" w:rsidRPr="002A30E6" w:rsidRDefault="00E768BC" w:rsidP="00E768BC">
      <w:pPr>
        <w:pStyle w:val="Caption"/>
      </w:pPr>
    </w:p>
    <w:p w14:paraId="3C5AD2FA" w14:textId="0027934B" w:rsidR="00E768BC" w:rsidRPr="002A30E6" w:rsidRDefault="00E768BC" w:rsidP="00E768BC">
      <w:pPr>
        <w:pStyle w:val="Caption"/>
        <w:keepNext/>
        <w:keepLines/>
      </w:pPr>
      <w:bookmarkStart w:id="32" w:name="_Toc135163357"/>
      <w:r w:rsidRPr="002A30E6">
        <w:lastRenderedPageBreak/>
        <w:t xml:space="preserve">Table </w:t>
      </w:r>
      <w:fldSimple w:instr=" SEQ Table \* ARABIC ">
        <w:r w:rsidR="00F16607">
          <w:rPr>
            <w:noProof/>
          </w:rPr>
          <w:t>2</w:t>
        </w:r>
      </w:fldSimple>
      <w:r w:rsidRPr="002A30E6">
        <w:t xml:space="preserve"> | Treatment emergent adverse events (by MedDRA system organ class)</w:t>
      </w:r>
      <w:bookmarkEnd w:id="32"/>
    </w:p>
    <w:tbl>
      <w:tblPr>
        <w:tblStyle w:val="TableGrid"/>
        <w:tblW w:w="0" w:type="auto"/>
        <w:tblLook w:val="04A0" w:firstRow="1" w:lastRow="0" w:firstColumn="1" w:lastColumn="0" w:noHBand="0" w:noVBand="1"/>
      </w:tblPr>
      <w:tblGrid>
        <w:gridCol w:w="6188"/>
        <w:gridCol w:w="1417"/>
        <w:gridCol w:w="1416"/>
      </w:tblGrid>
      <w:tr w:rsidR="00E768BC" w:rsidRPr="002A30E6" w14:paraId="44166E90" w14:textId="77777777" w:rsidTr="00BA7DBA">
        <w:trPr>
          <w:cantSplit/>
        </w:trPr>
        <w:tc>
          <w:tcPr>
            <w:tcW w:w="6204" w:type="dxa"/>
            <w:tcBorders>
              <w:top w:val="nil"/>
              <w:left w:val="nil"/>
              <w:bottom w:val="single" w:sz="4" w:space="0" w:color="auto"/>
            </w:tcBorders>
          </w:tcPr>
          <w:p w14:paraId="035C8742" w14:textId="77777777" w:rsidR="00E768BC" w:rsidRPr="002A30E6" w:rsidRDefault="00E768BC" w:rsidP="00BA7DBA">
            <w:pPr>
              <w:pStyle w:val="NoSpacing"/>
              <w:keepNext/>
              <w:keepLines/>
            </w:pPr>
          </w:p>
        </w:tc>
        <w:tc>
          <w:tcPr>
            <w:tcW w:w="1417" w:type="dxa"/>
            <w:tcBorders>
              <w:bottom w:val="single" w:sz="4" w:space="0" w:color="auto"/>
            </w:tcBorders>
          </w:tcPr>
          <w:p w14:paraId="0FBD9891" w14:textId="640E2A1A" w:rsidR="00E768BC" w:rsidRPr="002A30E6" w:rsidRDefault="007B5959" w:rsidP="00BA7DBA">
            <w:pPr>
              <w:pStyle w:val="NoSpacing"/>
              <w:keepNext/>
              <w:keepLines/>
              <w:rPr>
                <w:b/>
                <w:bCs/>
              </w:rPr>
            </w:pPr>
            <w:r w:rsidRPr="002A30E6">
              <w:rPr>
                <w:b/>
                <w:bCs/>
              </w:rPr>
              <w:t>Reference</w:t>
            </w:r>
            <w:r w:rsidR="00E768BC" w:rsidRPr="002A30E6">
              <w:rPr>
                <w:b/>
                <w:bCs/>
              </w:rPr>
              <w:t xml:space="preserve"> adalimumab</w:t>
            </w:r>
          </w:p>
          <w:p w14:paraId="77929EE1" w14:textId="47EF800D" w:rsidR="00E768BC" w:rsidRPr="002A30E6" w:rsidRDefault="00E768BC" w:rsidP="00BA7DBA">
            <w:pPr>
              <w:pStyle w:val="NoSpacing"/>
              <w:keepNext/>
              <w:keepLines/>
              <w:rPr>
                <w:b/>
                <w:bCs/>
              </w:rPr>
            </w:pPr>
            <w:r w:rsidRPr="002A30E6">
              <w:rPr>
                <w:b/>
                <w:bCs/>
              </w:rPr>
              <w:t>(n=104)</w:t>
            </w:r>
          </w:p>
        </w:tc>
        <w:tc>
          <w:tcPr>
            <w:tcW w:w="1418" w:type="dxa"/>
            <w:tcBorders>
              <w:bottom w:val="single" w:sz="4" w:space="0" w:color="auto"/>
            </w:tcBorders>
          </w:tcPr>
          <w:p w14:paraId="6E0EAD2C" w14:textId="7A263AF3" w:rsidR="00E768BC" w:rsidRPr="002A30E6" w:rsidRDefault="00284A2F" w:rsidP="00BA7DBA">
            <w:pPr>
              <w:pStyle w:val="NoSpacing"/>
              <w:keepNext/>
              <w:keepLines/>
              <w:rPr>
                <w:b/>
                <w:bCs/>
              </w:rPr>
            </w:pPr>
            <w:r>
              <w:rPr>
                <w:b/>
                <w:bCs/>
              </w:rPr>
              <w:t>SB5</w:t>
            </w:r>
            <w:r w:rsidR="00F94A00">
              <w:rPr>
                <w:b/>
                <w:bCs/>
              </w:rPr>
              <w:br/>
            </w:r>
            <w:r w:rsidR="00E768BC" w:rsidRPr="002A30E6">
              <w:rPr>
                <w:b/>
                <w:bCs/>
              </w:rPr>
              <w:t>(n=107)</w:t>
            </w:r>
          </w:p>
        </w:tc>
      </w:tr>
      <w:tr w:rsidR="00E768BC" w:rsidRPr="002A30E6" w14:paraId="143394F9" w14:textId="77777777" w:rsidTr="00BA7DBA">
        <w:trPr>
          <w:cantSplit/>
        </w:trPr>
        <w:tc>
          <w:tcPr>
            <w:tcW w:w="6204" w:type="dxa"/>
            <w:tcBorders>
              <w:bottom w:val="single" w:sz="4" w:space="0" w:color="auto"/>
            </w:tcBorders>
          </w:tcPr>
          <w:p w14:paraId="2B9C74A3" w14:textId="77777777" w:rsidR="00E768BC" w:rsidRPr="002A30E6" w:rsidRDefault="00E768BC" w:rsidP="00BA7DBA">
            <w:pPr>
              <w:pStyle w:val="NoSpacing"/>
              <w:keepNext/>
              <w:keepLines/>
            </w:pPr>
            <w:r w:rsidRPr="002A30E6">
              <w:t>Number of participants with any event, n (%)</w:t>
            </w:r>
          </w:p>
        </w:tc>
        <w:tc>
          <w:tcPr>
            <w:tcW w:w="1417" w:type="dxa"/>
            <w:tcBorders>
              <w:bottom w:val="single" w:sz="4" w:space="0" w:color="auto"/>
            </w:tcBorders>
          </w:tcPr>
          <w:p w14:paraId="2C336164" w14:textId="77777777" w:rsidR="00E768BC" w:rsidRPr="002A30E6" w:rsidRDefault="00E768BC" w:rsidP="00BA7DBA">
            <w:pPr>
              <w:pStyle w:val="NoSpacing"/>
              <w:keepNext/>
              <w:keepLines/>
            </w:pPr>
            <w:r w:rsidRPr="002A30E6">
              <w:t>49 (47.1)</w:t>
            </w:r>
          </w:p>
        </w:tc>
        <w:tc>
          <w:tcPr>
            <w:tcW w:w="1418" w:type="dxa"/>
            <w:tcBorders>
              <w:bottom w:val="single" w:sz="4" w:space="0" w:color="auto"/>
            </w:tcBorders>
          </w:tcPr>
          <w:p w14:paraId="4A2BFA71" w14:textId="77777777" w:rsidR="00E768BC" w:rsidRPr="002A30E6" w:rsidRDefault="00E768BC" w:rsidP="00BA7DBA">
            <w:pPr>
              <w:pStyle w:val="NoSpacing"/>
              <w:keepNext/>
              <w:keepLines/>
            </w:pPr>
            <w:r w:rsidRPr="002A30E6">
              <w:t>63 (58.9)</w:t>
            </w:r>
          </w:p>
        </w:tc>
      </w:tr>
      <w:tr w:rsidR="00E768BC" w:rsidRPr="002A30E6" w14:paraId="04A508B1" w14:textId="77777777" w:rsidTr="00BA7DBA">
        <w:trPr>
          <w:cantSplit/>
        </w:trPr>
        <w:tc>
          <w:tcPr>
            <w:tcW w:w="6204" w:type="dxa"/>
            <w:tcBorders>
              <w:top w:val="single" w:sz="4" w:space="0" w:color="auto"/>
            </w:tcBorders>
          </w:tcPr>
          <w:p w14:paraId="19E6D8B8" w14:textId="77777777" w:rsidR="00E768BC" w:rsidRPr="002A30E6" w:rsidRDefault="00E768BC" w:rsidP="00BA7DBA">
            <w:pPr>
              <w:pStyle w:val="NoSpacing"/>
              <w:keepNext/>
              <w:keepLines/>
            </w:pPr>
            <w:r w:rsidRPr="002A30E6">
              <w:t>System organ class, n (%)</w:t>
            </w:r>
          </w:p>
        </w:tc>
        <w:tc>
          <w:tcPr>
            <w:tcW w:w="1417" w:type="dxa"/>
            <w:tcBorders>
              <w:top w:val="single" w:sz="4" w:space="0" w:color="auto"/>
            </w:tcBorders>
          </w:tcPr>
          <w:p w14:paraId="4814D087" w14:textId="77777777" w:rsidR="00E768BC" w:rsidRPr="002A30E6" w:rsidRDefault="00E768BC" w:rsidP="00BA7DBA">
            <w:pPr>
              <w:pStyle w:val="NoSpacing"/>
              <w:keepNext/>
              <w:keepLines/>
            </w:pPr>
          </w:p>
        </w:tc>
        <w:tc>
          <w:tcPr>
            <w:tcW w:w="1418" w:type="dxa"/>
            <w:tcBorders>
              <w:top w:val="single" w:sz="4" w:space="0" w:color="auto"/>
            </w:tcBorders>
          </w:tcPr>
          <w:p w14:paraId="6190A208" w14:textId="77777777" w:rsidR="00E768BC" w:rsidRPr="002A30E6" w:rsidRDefault="00E768BC" w:rsidP="00BA7DBA">
            <w:pPr>
              <w:pStyle w:val="NoSpacing"/>
              <w:keepNext/>
              <w:keepLines/>
            </w:pPr>
          </w:p>
        </w:tc>
      </w:tr>
      <w:tr w:rsidR="00E768BC" w:rsidRPr="002A30E6" w14:paraId="1DC8A3CA" w14:textId="77777777" w:rsidTr="00BA7DBA">
        <w:trPr>
          <w:cantSplit/>
        </w:trPr>
        <w:tc>
          <w:tcPr>
            <w:tcW w:w="6204" w:type="dxa"/>
          </w:tcPr>
          <w:p w14:paraId="4A4B2479" w14:textId="77777777" w:rsidR="00E768BC" w:rsidRPr="002A30E6" w:rsidRDefault="00E768BC" w:rsidP="00BA7DBA">
            <w:pPr>
              <w:pStyle w:val="NoSpacing"/>
              <w:keepNext/>
              <w:keepLines/>
              <w:numPr>
                <w:ilvl w:val="0"/>
                <w:numId w:val="2"/>
              </w:numPr>
            </w:pPr>
            <w:r w:rsidRPr="002A30E6">
              <w:t>Blood and lymphatic system disorders</w:t>
            </w:r>
          </w:p>
        </w:tc>
        <w:tc>
          <w:tcPr>
            <w:tcW w:w="1417" w:type="dxa"/>
          </w:tcPr>
          <w:p w14:paraId="3FC31C4F" w14:textId="77777777" w:rsidR="00E768BC" w:rsidRPr="002A30E6" w:rsidRDefault="00E768BC" w:rsidP="00BA7DBA">
            <w:pPr>
              <w:pStyle w:val="NoSpacing"/>
              <w:keepNext/>
              <w:keepLines/>
            </w:pPr>
            <w:r w:rsidRPr="002A30E6">
              <w:t>0</w:t>
            </w:r>
          </w:p>
        </w:tc>
        <w:tc>
          <w:tcPr>
            <w:tcW w:w="1418" w:type="dxa"/>
          </w:tcPr>
          <w:p w14:paraId="3B21E12F" w14:textId="77777777" w:rsidR="00E768BC" w:rsidRPr="002A30E6" w:rsidRDefault="00E768BC" w:rsidP="00BA7DBA">
            <w:pPr>
              <w:pStyle w:val="NoSpacing"/>
              <w:keepNext/>
              <w:keepLines/>
            </w:pPr>
            <w:r w:rsidRPr="002A30E6">
              <w:t>1 (0.9)</w:t>
            </w:r>
          </w:p>
        </w:tc>
      </w:tr>
      <w:tr w:rsidR="00E768BC" w:rsidRPr="002A30E6" w14:paraId="723AAD09" w14:textId="77777777" w:rsidTr="00BA7DBA">
        <w:trPr>
          <w:cantSplit/>
        </w:trPr>
        <w:tc>
          <w:tcPr>
            <w:tcW w:w="6204" w:type="dxa"/>
          </w:tcPr>
          <w:p w14:paraId="35403C73" w14:textId="77777777" w:rsidR="00E768BC" w:rsidRPr="002A30E6" w:rsidRDefault="00E768BC" w:rsidP="00BA7DBA">
            <w:pPr>
              <w:pStyle w:val="NoSpacing"/>
              <w:keepNext/>
              <w:keepLines/>
              <w:numPr>
                <w:ilvl w:val="0"/>
                <w:numId w:val="2"/>
              </w:numPr>
            </w:pPr>
            <w:r w:rsidRPr="002A30E6">
              <w:t>Cardiac disorders</w:t>
            </w:r>
          </w:p>
        </w:tc>
        <w:tc>
          <w:tcPr>
            <w:tcW w:w="1417" w:type="dxa"/>
          </w:tcPr>
          <w:p w14:paraId="7C5BC6DD" w14:textId="77777777" w:rsidR="00E768BC" w:rsidRPr="002A30E6" w:rsidRDefault="00E768BC" w:rsidP="00BA7DBA">
            <w:pPr>
              <w:pStyle w:val="NoSpacing"/>
              <w:keepNext/>
              <w:keepLines/>
            </w:pPr>
            <w:r w:rsidRPr="002A30E6">
              <w:t>1 (1.0)</w:t>
            </w:r>
          </w:p>
        </w:tc>
        <w:tc>
          <w:tcPr>
            <w:tcW w:w="1418" w:type="dxa"/>
          </w:tcPr>
          <w:p w14:paraId="67E90A3D" w14:textId="77777777" w:rsidR="00E768BC" w:rsidRPr="002A30E6" w:rsidRDefault="00E768BC" w:rsidP="00BA7DBA">
            <w:pPr>
              <w:pStyle w:val="NoSpacing"/>
              <w:keepNext/>
              <w:keepLines/>
            </w:pPr>
            <w:r w:rsidRPr="002A30E6">
              <w:t>0</w:t>
            </w:r>
          </w:p>
        </w:tc>
      </w:tr>
      <w:tr w:rsidR="00E768BC" w:rsidRPr="002A30E6" w14:paraId="79E350E6" w14:textId="77777777" w:rsidTr="00BA7DBA">
        <w:trPr>
          <w:cantSplit/>
        </w:trPr>
        <w:tc>
          <w:tcPr>
            <w:tcW w:w="6204" w:type="dxa"/>
          </w:tcPr>
          <w:p w14:paraId="500D1B2B" w14:textId="77777777" w:rsidR="00E768BC" w:rsidRPr="002A30E6" w:rsidRDefault="00E768BC" w:rsidP="00BA7DBA">
            <w:pPr>
              <w:pStyle w:val="NoSpacing"/>
              <w:keepNext/>
              <w:keepLines/>
              <w:numPr>
                <w:ilvl w:val="0"/>
                <w:numId w:val="2"/>
              </w:numPr>
            </w:pPr>
            <w:r w:rsidRPr="002A30E6">
              <w:t>Ear and labyrinth disorders</w:t>
            </w:r>
          </w:p>
        </w:tc>
        <w:tc>
          <w:tcPr>
            <w:tcW w:w="1417" w:type="dxa"/>
          </w:tcPr>
          <w:p w14:paraId="21D825DA" w14:textId="77777777" w:rsidR="00E768BC" w:rsidRPr="002A30E6" w:rsidRDefault="00E768BC" w:rsidP="00BA7DBA">
            <w:pPr>
              <w:pStyle w:val="NoSpacing"/>
              <w:keepNext/>
              <w:keepLines/>
            </w:pPr>
            <w:r w:rsidRPr="002A30E6">
              <w:t>0</w:t>
            </w:r>
          </w:p>
        </w:tc>
        <w:tc>
          <w:tcPr>
            <w:tcW w:w="1418" w:type="dxa"/>
          </w:tcPr>
          <w:p w14:paraId="7C30DEE1" w14:textId="77777777" w:rsidR="00E768BC" w:rsidRPr="002A30E6" w:rsidRDefault="00E768BC" w:rsidP="00BA7DBA">
            <w:pPr>
              <w:pStyle w:val="NoSpacing"/>
              <w:keepNext/>
              <w:keepLines/>
            </w:pPr>
            <w:r w:rsidRPr="002A30E6">
              <w:t>2 (1.9)</w:t>
            </w:r>
          </w:p>
        </w:tc>
      </w:tr>
      <w:tr w:rsidR="00E768BC" w:rsidRPr="002A30E6" w14:paraId="5CA04F57" w14:textId="77777777" w:rsidTr="00BA7DBA">
        <w:trPr>
          <w:cantSplit/>
        </w:trPr>
        <w:tc>
          <w:tcPr>
            <w:tcW w:w="6204" w:type="dxa"/>
          </w:tcPr>
          <w:p w14:paraId="20A38ECD" w14:textId="77777777" w:rsidR="00E768BC" w:rsidRPr="002A30E6" w:rsidRDefault="00E768BC" w:rsidP="00BA7DBA">
            <w:pPr>
              <w:pStyle w:val="NoSpacing"/>
              <w:keepNext/>
              <w:keepLines/>
              <w:numPr>
                <w:ilvl w:val="0"/>
                <w:numId w:val="2"/>
              </w:numPr>
            </w:pPr>
            <w:r w:rsidRPr="002A30E6">
              <w:t>Eye disorders</w:t>
            </w:r>
          </w:p>
        </w:tc>
        <w:tc>
          <w:tcPr>
            <w:tcW w:w="1417" w:type="dxa"/>
          </w:tcPr>
          <w:p w14:paraId="3DAA2311" w14:textId="77777777" w:rsidR="00E768BC" w:rsidRPr="002A30E6" w:rsidRDefault="00E768BC" w:rsidP="00BA7DBA">
            <w:pPr>
              <w:pStyle w:val="NoSpacing"/>
              <w:keepNext/>
              <w:keepLines/>
            </w:pPr>
            <w:r w:rsidRPr="002A30E6">
              <w:t>2 (1.9)</w:t>
            </w:r>
          </w:p>
        </w:tc>
        <w:tc>
          <w:tcPr>
            <w:tcW w:w="1418" w:type="dxa"/>
          </w:tcPr>
          <w:p w14:paraId="43101FCA" w14:textId="77777777" w:rsidR="00E768BC" w:rsidRPr="002A30E6" w:rsidRDefault="00E768BC" w:rsidP="00BA7DBA">
            <w:pPr>
              <w:pStyle w:val="NoSpacing"/>
              <w:keepNext/>
              <w:keepLines/>
            </w:pPr>
            <w:r w:rsidRPr="002A30E6">
              <w:t>3 (2.8)</w:t>
            </w:r>
          </w:p>
        </w:tc>
      </w:tr>
      <w:tr w:rsidR="00E768BC" w:rsidRPr="002A30E6" w14:paraId="7C156D3E" w14:textId="77777777" w:rsidTr="00BA7DBA">
        <w:trPr>
          <w:cantSplit/>
        </w:trPr>
        <w:tc>
          <w:tcPr>
            <w:tcW w:w="6204" w:type="dxa"/>
          </w:tcPr>
          <w:p w14:paraId="0D1096F9" w14:textId="77777777" w:rsidR="00E768BC" w:rsidRPr="002A30E6" w:rsidRDefault="00E768BC" w:rsidP="00BA7DBA">
            <w:pPr>
              <w:pStyle w:val="NoSpacing"/>
              <w:keepNext/>
              <w:keepLines/>
              <w:numPr>
                <w:ilvl w:val="0"/>
                <w:numId w:val="2"/>
              </w:numPr>
            </w:pPr>
            <w:r w:rsidRPr="002A30E6">
              <w:t>Gastrointestinal disorders</w:t>
            </w:r>
          </w:p>
        </w:tc>
        <w:tc>
          <w:tcPr>
            <w:tcW w:w="1417" w:type="dxa"/>
          </w:tcPr>
          <w:p w14:paraId="507C842E" w14:textId="77777777" w:rsidR="00E768BC" w:rsidRPr="002A30E6" w:rsidRDefault="00E768BC" w:rsidP="00BA7DBA">
            <w:pPr>
              <w:pStyle w:val="NoSpacing"/>
              <w:keepNext/>
              <w:keepLines/>
            </w:pPr>
            <w:r w:rsidRPr="002A30E6">
              <w:t>17 (16.3)</w:t>
            </w:r>
          </w:p>
        </w:tc>
        <w:tc>
          <w:tcPr>
            <w:tcW w:w="1418" w:type="dxa"/>
          </w:tcPr>
          <w:p w14:paraId="53E7BB9E" w14:textId="77777777" w:rsidR="00E768BC" w:rsidRPr="002A30E6" w:rsidRDefault="00E768BC" w:rsidP="00BA7DBA">
            <w:pPr>
              <w:pStyle w:val="NoSpacing"/>
              <w:keepNext/>
              <w:keepLines/>
            </w:pPr>
            <w:r w:rsidRPr="002A30E6">
              <w:t>18 (16.8)</w:t>
            </w:r>
          </w:p>
        </w:tc>
      </w:tr>
      <w:tr w:rsidR="00E768BC" w:rsidRPr="002A30E6" w14:paraId="6FB440FF" w14:textId="77777777" w:rsidTr="00BA7DBA">
        <w:trPr>
          <w:cantSplit/>
        </w:trPr>
        <w:tc>
          <w:tcPr>
            <w:tcW w:w="6204" w:type="dxa"/>
          </w:tcPr>
          <w:p w14:paraId="5D0CE35A" w14:textId="77777777" w:rsidR="00E768BC" w:rsidRPr="002A30E6" w:rsidRDefault="00E768BC" w:rsidP="00BA7DBA">
            <w:pPr>
              <w:pStyle w:val="NoSpacing"/>
              <w:keepNext/>
              <w:keepLines/>
              <w:numPr>
                <w:ilvl w:val="0"/>
                <w:numId w:val="2"/>
              </w:numPr>
            </w:pPr>
            <w:r w:rsidRPr="002A30E6">
              <w:t>General disorders and administration site conditions</w:t>
            </w:r>
          </w:p>
        </w:tc>
        <w:tc>
          <w:tcPr>
            <w:tcW w:w="1417" w:type="dxa"/>
          </w:tcPr>
          <w:p w14:paraId="527AC90A" w14:textId="77777777" w:rsidR="00E768BC" w:rsidRPr="002A30E6" w:rsidRDefault="00E768BC" w:rsidP="00BA7DBA">
            <w:pPr>
              <w:pStyle w:val="NoSpacing"/>
              <w:keepNext/>
              <w:keepLines/>
            </w:pPr>
            <w:r w:rsidRPr="002A30E6">
              <w:t>11 (10.6)</w:t>
            </w:r>
          </w:p>
        </w:tc>
        <w:tc>
          <w:tcPr>
            <w:tcW w:w="1418" w:type="dxa"/>
          </w:tcPr>
          <w:p w14:paraId="4B7F5A33" w14:textId="77777777" w:rsidR="00E768BC" w:rsidRPr="002A30E6" w:rsidRDefault="00E768BC" w:rsidP="00BA7DBA">
            <w:pPr>
              <w:pStyle w:val="NoSpacing"/>
              <w:keepNext/>
              <w:keepLines/>
            </w:pPr>
            <w:r w:rsidRPr="002A30E6">
              <w:t>16 (15.0)</w:t>
            </w:r>
          </w:p>
        </w:tc>
      </w:tr>
      <w:tr w:rsidR="00E768BC" w:rsidRPr="002A30E6" w14:paraId="1C23413B" w14:textId="77777777" w:rsidTr="00BA7DBA">
        <w:trPr>
          <w:cantSplit/>
        </w:trPr>
        <w:tc>
          <w:tcPr>
            <w:tcW w:w="6204" w:type="dxa"/>
          </w:tcPr>
          <w:p w14:paraId="712E7B1B" w14:textId="77777777" w:rsidR="00E768BC" w:rsidRPr="002A30E6" w:rsidRDefault="00E768BC" w:rsidP="00BA7DBA">
            <w:pPr>
              <w:pStyle w:val="NoSpacing"/>
              <w:keepNext/>
              <w:keepLines/>
              <w:numPr>
                <w:ilvl w:val="0"/>
                <w:numId w:val="2"/>
              </w:numPr>
            </w:pPr>
            <w:r w:rsidRPr="002A30E6">
              <w:t>Immune system disorders</w:t>
            </w:r>
          </w:p>
        </w:tc>
        <w:tc>
          <w:tcPr>
            <w:tcW w:w="1417" w:type="dxa"/>
          </w:tcPr>
          <w:p w14:paraId="1F35C068" w14:textId="77777777" w:rsidR="00E768BC" w:rsidRPr="002A30E6" w:rsidRDefault="00E768BC" w:rsidP="00BA7DBA">
            <w:pPr>
              <w:pStyle w:val="NoSpacing"/>
              <w:keepNext/>
              <w:keepLines/>
            </w:pPr>
            <w:r w:rsidRPr="002A30E6">
              <w:t>1 (1.0)</w:t>
            </w:r>
          </w:p>
        </w:tc>
        <w:tc>
          <w:tcPr>
            <w:tcW w:w="1418" w:type="dxa"/>
          </w:tcPr>
          <w:p w14:paraId="6C232A86" w14:textId="77777777" w:rsidR="00E768BC" w:rsidRPr="002A30E6" w:rsidRDefault="00E768BC" w:rsidP="00BA7DBA">
            <w:pPr>
              <w:pStyle w:val="NoSpacing"/>
              <w:keepNext/>
              <w:keepLines/>
            </w:pPr>
            <w:r w:rsidRPr="002A30E6">
              <w:t>1 (0.9)</w:t>
            </w:r>
          </w:p>
        </w:tc>
      </w:tr>
      <w:tr w:rsidR="00E768BC" w:rsidRPr="002A30E6" w14:paraId="5968A9F8" w14:textId="77777777" w:rsidTr="00BA7DBA">
        <w:trPr>
          <w:cantSplit/>
        </w:trPr>
        <w:tc>
          <w:tcPr>
            <w:tcW w:w="6204" w:type="dxa"/>
          </w:tcPr>
          <w:p w14:paraId="0F8A334D" w14:textId="77777777" w:rsidR="00E768BC" w:rsidRPr="002A30E6" w:rsidRDefault="00E768BC" w:rsidP="00BA7DBA">
            <w:pPr>
              <w:pStyle w:val="NoSpacing"/>
              <w:keepNext/>
              <w:keepLines/>
              <w:numPr>
                <w:ilvl w:val="0"/>
                <w:numId w:val="2"/>
              </w:numPr>
            </w:pPr>
            <w:r w:rsidRPr="002A30E6">
              <w:t>Infections and infestations</w:t>
            </w:r>
          </w:p>
        </w:tc>
        <w:tc>
          <w:tcPr>
            <w:tcW w:w="1417" w:type="dxa"/>
          </w:tcPr>
          <w:p w14:paraId="43DED3A9" w14:textId="77777777" w:rsidR="00E768BC" w:rsidRPr="002A30E6" w:rsidRDefault="00E768BC" w:rsidP="00BA7DBA">
            <w:pPr>
              <w:pStyle w:val="NoSpacing"/>
              <w:keepNext/>
              <w:keepLines/>
            </w:pPr>
            <w:r w:rsidRPr="002A30E6">
              <w:t>24 (23.1)</w:t>
            </w:r>
          </w:p>
        </w:tc>
        <w:tc>
          <w:tcPr>
            <w:tcW w:w="1418" w:type="dxa"/>
          </w:tcPr>
          <w:p w14:paraId="566AC732" w14:textId="77777777" w:rsidR="00E768BC" w:rsidRPr="002A30E6" w:rsidRDefault="00E768BC" w:rsidP="00BA7DBA">
            <w:pPr>
              <w:pStyle w:val="NoSpacing"/>
              <w:keepNext/>
              <w:keepLines/>
            </w:pPr>
            <w:r w:rsidRPr="002A30E6">
              <w:t>31 (29.0)</w:t>
            </w:r>
          </w:p>
        </w:tc>
      </w:tr>
      <w:tr w:rsidR="00E768BC" w:rsidRPr="002A30E6" w14:paraId="196506E9" w14:textId="77777777" w:rsidTr="00BA7DBA">
        <w:trPr>
          <w:cantSplit/>
        </w:trPr>
        <w:tc>
          <w:tcPr>
            <w:tcW w:w="6204" w:type="dxa"/>
          </w:tcPr>
          <w:p w14:paraId="1F4D8303" w14:textId="77777777" w:rsidR="00E768BC" w:rsidRPr="002A30E6" w:rsidRDefault="00E768BC" w:rsidP="00BA7DBA">
            <w:pPr>
              <w:pStyle w:val="NoSpacing"/>
              <w:keepNext/>
              <w:keepLines/>
              <w:numPr>
                <w:ilvl w:val="0"/>
                <w:numId w:val="2"/>
              </w:numPr>
            </w:pPr>
            <w:r w:rsidRPr="002A30E6">
              <w:t>Injury, poisoning and procedural complications</w:t>
            </w:r>
          </w:p>
        </w:tc>
        <w:tc>
          <w:tcPr>
            <w:tcW w:w="1417" w:type="dxa"/>
          </w:tcPr>
          <w:p w14:paraId="7BA7BD7D" w14:textId="77777777" w:rsidR="00E768BC" w:rsidRPr="002A30E6" w:rsidRDefault="00E768BC" w:rsidP="00BA7DBA">
            <w:pPr>
              <w:pStyle w:val="NoSpacing"/>
              <w:keepNext/>
              <w:keepLines/>
            </w:pPr>
            <w:r w:rsidRPr="002A30E6">
              <w:t>4 (3.8)</w:t>
            </w:r>
          </w:p>
        </w:tc>
        <w:tc>
          <w:tcPr>
            <w:tcW w:w="1418" w:type="dxa"/>
          </w:tcPr>
          <w:p w14:paraId="6D1D5579" w14:textId="77777777" w:rsidR="00E768BC" w:rsidRPr="002A30E6" w:rsidRDefault="00E768BC" w:rsidP="00BA7DBA">
            <w:pPr>
              <w:pStyle w:val="NoSpacing"/>
              <w:keepNext/>
              <w:keepLines/>
            </w:pPr>
            <w:r w:rsidRPr="002A30E6">
              <w:t>5 (4.7)</w:t>
            </w:r>
          </w:p>
        </w:tc>
      </w:tr>
      <w:tr w:rsidR="00E768BC" w:rsidRPr="002A30E6" w14:paraId="2067C2D3" w14:textId="77777777" w:rsidTr="00BA7DBA">
        <w:trPr>
          <w:cantSplit/>
        </w:trPr>
        <w:tc>
          <w:tcPr>
            <w:tcW w:w="6204" w:type="dxa"/>
          </w:tcPr>
          <w:p w14:paraId="53C6C72D" w14:textId="77777777" w:rsidR="00E768BC" w:rsidRPr="002A30E6" w:rsidRDefault="00E768BC" w:rsidP="00BA7DBA">
            <w:pPr>
              <w:pStyle w:val="NoSpacing"/>
              <w:keepNext/>
              <w:keepLines/>
              <w:numPr>
                <w:ilvl w:val="0"/>
                <w:numId w:val="2"/>
              </w:numPr>
            </w:pPr>
            <w:r w:rsidRPr="002A30E6">
              <w:t>Investigations</w:t>
            </w:r>
          </w:p>
        </w:tc>
        <w:tc>
          <w:tcPr>
            <w:tcW w:w="1417" w:type="dxa"/>
          </w:tcPr>
          <w:p w14:paraId="0BD3DB79" w14:textId="77777777" w:rsidR="00E768BC" w:rsidRPr="002A30E6" w:rsidRDefault="00E768BC" w:rsidP="00BA7DBA">
            <w:pPr>
              <w:pStyle w:val="NoSpacing"/>
              <w:keepNext/>
              <w:keepLines/>
            </w:pPr>
            <w:r w:rsidRPr="002A30E6">
              <w:t>0</w:t>
            </w:r>
          </w:p>
        </w:tc>
        <w:tc>
          <w:tcPr>
            <w:tcW w:w="1418" w:type="dxa"/>
          </w:tcPr>
          <w:p w14:paraId="5997676E" w14:textId="77777777" w:rsidR="00E768BC" w:rsidRPr="002A30E6" w:rsidRDefault="00E768BC" w:rsidP="00BA7DBA">
            <w:pPr>
              <w:pStyle w:val="NoSpacing"/>
              <w:keepNext/>
              <w:keepLines/>
            </w:pPr>
            <w:r w:rsidRPr="002A30E6">
              <w:t>2 (1.9)</w:t>
            </w:r>
          </w:p>
        </w:tc>
      </w:tr>
      <w:tr w:rsidR="00E768BC" w:rsidRPr="002A30E6" w14:paraId="3EB1E806" w14:textId="77777777" w:rsidTr="00BA7DBA">
        <w:trPr>
          <w:cantSplit/>
        </w:trPr>
        <w:tc>
          <w:tcPr>
            <w:tcW w:w="6204" w:type="dxa"/>
          </w:tcPr>
          <w:p w14:paraId="47A9E6A7" w14:textId="77777777" w:rsidR="00E768BC" w:rsidRPr="002A30E6" w:rsidRDefault="00E768BC" w:rsidP="00BA7DBA">
            <w:pPr>
              <w:pStyle w:val="NoSpacing"/>
              <w:keepNext/>
              <w:keepLines/>
              <w:numPr>
                <w:ilvl w:val="0"/>
                <w:numId w:val="2"/>
              </w:numPr>
            </w:pPr>
            <w:r w:rsidRPr="002A30E6">
              <w:t>Musculoskeletal and connective tissue disorders</w:t>
            </w:r>
          </w:p>
        </w:tc>
        <w:tc>
          <w:tcPr>
            <w:tcW w:w="1417" w:type="dxa"/>
          </w:tcPr>
          <w:p w14:paraId="5C0271E1" w14:textId="77777777" w:rsidR="00E768BC" w:rsidRPr="002A30E6" w:rsidRDefault="00E768BC" w:rsidP="00BA7DBA">
            <w:pPr>
              <w:pStyle w:val="NoSpacing"/>
              <w:keepNext/>
              <w:keepLines/>
            </w:pPr>
            <w:r w:rsidRPr="002A30E6">
              <w:t>4 (3.8)</w:t>
            </w:r>
          </w:p>
        </w:tc>
        <w:tc>
          <w:tcPr>
            <w:tcW w:w="1418" w:type="dxa"/>
          </w:tcPr>
          <w:p w14:paraId="64D79D14" w14:textId="77777777" w:rsidR="00E768BC" w:rsidRPr="002A30E6" w:rsidRDefault="00E768BC" w:rsidP="00BA7DBA">
            <w:pPr>
              <w:pStyle w:val="NoSpacing"/>
              <w:keepNext/>
              <w:keepLines/>
            </w:pPr>
            <w:r w:rsidRPr="002A30E6">
              <w:t>8 (7.5)</w:t>
            </w:r>
          </w:p>
        </w:tc>
      </w:tr>
      <w:tr w:rsidR="00E768BC" w:rsidRPr="002A30E6" w14:paraId="460939E4" w14:textId="77777777" w:rsidTr="00BA7DBA">
        <w:trPr>
          <w:cantSplit/>
        </w:trPr>
        <w:tc>
          <w:tcPr>
            <w:tcW w:w="6204" w:type="dxa"/>
          </w:tcPr>
          <w:p w14:paraId="4A1F0D43" w14:textId="77777777" w:rsidR="00E768BC" w:rsidRPr="002A30E6" w:rsidRDefault="00E768BC" w:rsidP="00BA7DBA">
            <w:pPr>
              <w:pStyle w:val="NoSpacing"/>
              <w:keepNext/>
              <w:keepLines/>
              <w:numPr>
                <w:ilvl w:val="0"/>
                <w:numId w:val="2"/>
              </w:numPr>
            </w:pPr>
            <w:r w:rsidRPr="002A30E6">
              <w:t xml:space="preserve">Neoplasms benign, </w:t>
            </w:r>
            <w:proofErr w:type="gramStart"/>
            <w:r w:rsidRPr="002A30E6">
              <w:t>malignant</w:t>
            </w:r>
            <w:proofErr w:type="gramEnd"/>
            <w:r w:rsidRPr="002A30E6">
              <w:t xml:space="preserve"> and unspecified (including cysts and polyps)</w:t>
            </w:r>
          </w:p>
        </w:tc>
        <w:tc>
          <w:tcPr>
            <w:tcW w:w="1417" w:type="dxa"/>
          </w:tcPr>
          <w:p w14:paraId="244CB070" w14:textId="77777777" w:rsidR="00E768BC" w:rsidRPr="002A30E6" w:rsidRDefault="00E768BC" w:rsidP="00BA7DBA">
            <w:pPr>
              <w:pStyle w:val="NoSpacing"/>
              <w:keepNext/>
              <w:keepLines/>
            </w:pPr>
            <w:r w:rsidRPr="002A30E6">
              <w:t>0</w:t>
            </w:r>
          </w:p>
        </w:tc>
        <w:tc>
          <w:tcPr>
            <w:tcW w:w="1418" w:type="dxa"/>
          </w:tcPr>
          <w:p w14:paraId="2D197E26" w14:textId="77777777" w:rsidR="00E768BC" w:rsidRPr="002A30E6" w:rsidRDefault="00E768BC" w:rsidP="00BA7DBA">
            <w:pPr>
              <w:pStyle w:val="NoSpacing"/>
              <w:keepNext/>
              <w:keepLines/>
            </w:pPr>
            <w:r w:rsidRPr="002A30E6">
              <w:t>1 (0.9)</w:t>
            </w:r>
          </w:p>
        </w:tc>
      </w:tr>
      <w:tr w:rsidR="00E768BC" w:rsidRPr="002A30E6" w14:paraId="57BEA96F" w14:textId="77777777" w:rsidTr="00BA7DBA">
        <w:trPr>
          <w:cantSplit/>
        </w:trPr>
        <w:tc>
          <w:tcPr>
            <w:tcW w:w="6204" w:type="dxa"/>
          </w:tcPr>
          <w:p w14:paraId="6AFEC19B" w14:textId="77777777" w:rsidR="00E768BC" w:rsidRPr="002A30E6" w:rsidRDefault="00E768BC" w:rsidP="00BA7DBA">
            <w:pPr>
              <w:pStyle w:val="NoSpacing"/>
              <w:keepNext/>
              <w:keepLines/>
              <w:numPr>
                <w:ilvl w:val="0"/>
                <w:numId w:val="2"/>
              </w:numPr>
            </w:pPr>
            <w:r w:rsidRPr="002A30E6">
              <w:t>Nervous system disorders</w:t>
            </w:r>
          </w:p>
        </w:tc>
        <w:tc>
          <w:tcPr>
            <w:tcW w:w="1417" w:type="dxa"/>
          </w:tcPr>
          <w:p w14:paraId="4A565916" w14:textId="77777777" w:rsidR="00E768BC" w:rsidRPr="002A30E6" w:rsidRDefault="00E768BC" w:rsidP="00BA7DBA">
            <w:pPr>
              <w:pStyle w:val="NoSpacing"/>
              <w:keepNext/>
              <w:keepLines/>
            </w:pPr>
            <w:r w:rsidRPr="002A30E6">
              <w:t>6 (5.8)</w:t>
            </w:r>
          </w:p>
        </w:tc>
        <w:tc>
          <w:tcPr>
            <w:tcW w:w="1418" w:type="dxa"/>
          </w:tcPr>
          <w:p w14:paraId="6DA46B8B" w14:textId="77777777" w:rsidR="00E768BC" w:rsidRPr="002A30E6" w:rsidRDefault="00E768BC" w:rsidP="00BA7DBA">
            <w:pPr>
              <w:pStyle w:val="NoSpacing"/>
              <w:keepNext/>
              <w:keepLines/>
            </w:pPr>
            <w:r w:rsidRPr="002A30E6">
              <w:t>7 (6.5)</w:t>
            </w:r>
          </w:p>
        </w:tc>
      </w:tr>
      <w:tr w:rsidR="00E768BC" w:rsidRPr="002A30E6" w14:paraId="0FB767B1" w14:textId="77777777" w:rsidTr="00BA7DBA">
        <w:trPr>
          <w:cantSplit/>
        </w:trPr>
        <w:tc>
          <w:tcPr>
            <w:tcW w:w="6204" w:type="dxa"/>
          </w:tcPr>
          <w:p w14:paraId="4876DD91" w14:textId="77777777" w:rsidR="00E768BC" w:rsidRPr="002A30E6" w:rsidRDefault="00E768BC" w:rsidP="00BA7DBA">
            <w:pPr>
              <w:pStyle w:val="NoSpacing"/>
              <w:keepNext/>
              <w:keepLines/>
              <w:numPr>
                <w:ilvl w:val="0"/>
                <w:numId w:val="2"/>
              </w:numPr>
            </w:pPr>
            <w:r w:rsidRPr="002A30E6">
              <w:t>Psychiatric disorders</w:t>
            </w:r>
          </w:p>
        </w:tc>
        <w:tc>
          <w:tcPr>
            <w:tcW w:w="1417" w:type="dxa"/>
          </w:tcPr>
          <w:p w14:paraId="131EE024" w14:textId="77777777" w:rsidR="00E768BC" w:rsidRPr="002A30E6" w:rsidRDefault="00E768BC" w:rsidP="00BA7DBA">
            <w:pPr>
              <w:pStyle w:val="NoSpacing"/>
              <w:keepNext/>
              <w:keepLines/>
            </w:pPr>
            <w:r w:rsidRPr="002A30E6">
              <w:t>0</w:t>
            </w:r>
          </w:p>
        </w:tc>
        <w:tc>
          <w:tcPr>
            <w:tcW w:w="1418" w:type="dxa"/>
          </w:tcPr>
          <w:p w14:paraId="22897E1A" w14:textId="77777777" w:rsidR="00E768BC" w:rsidRPr="002A30E6" w:rsidRDefault="00E768BC" w:rsidP="00BA7DBA">
            <w:pPr>
              <w:pStyle w:val="NoSpacing"/>
              <w:keepNext/>
              <w:keepLines/>
            </w:pPr>
            <w:r w:rsidRPr="002A30E6">
              <w:t>1 (0.9)</w:t>
            </w:r>
          </w:p>
        </w:tc>
      </w:tr>
      <w:tr w:rsidR="00E768BC" w:rsidRPr="002A30E6" w14:paraId="373C2F8B" w14:textId="77777777" w:rsidTr="00BA7DBA">
        <w:trPr>
          <w:cantSplit/>
        </w:trPr>
        <w:tc>
          <w:tcPr>
            <w:tcW w:w="6204" w:type="dxa"/>
          </w:tcPr>
          <w:p w14:paraId="0A11A647" w14:textId="77777777" w:rsidR="00E768BC" w:rsidRPr="002A30E6" w:rsidRDefault="00E768BC" w:rsidP="00BA7DBA">
            <w:pPr>
              <w:pStyle w:val="NoSpacing"/>
              <w:keepNext/>
              <w:keepLines/>
              <w:numPr>
                <w:ilvl w:val="0"/>
                <w:numId w:val="2"/>
              </w:numPr>
            </w:pPr>
            <w:r w:rsidRPr="002A30E6">
              <w:t>Reproductive system and breast disorders</w:t>
            </w:r>
          </w:p>
        </w:tc>
        <w:tc>
          <w:tcPr>
            <w:tcW w:w="1417" w:type="dxa"/>
          </w:tcPr>
          <w:p w14:paraId="6224B560" w14:textId="77777777" w:rsidR="00E768BC" w:rsidRPr="002A30E6" w:rsidRDefault="00E768BC" w:rsidP="00BA7DBA">
            <w:pPr>
              <w:pStyle w:val="NoSpacing"/>
              <w:keepNext/>
              <w:keepLines/>
            </w:pPr>
            <w:r w:rsidRPr="002A30E6">
              <w:t>1 (1.0)</w:t>
            </w:r>
          </w:p>
        </w:tc>
        <w:tc>
          <w:tcPr>
            <w:tcW w:w="1418" w:type="dxa"/>
          </w:tcPr>
          <w:p w14:paraId="354F1DEF" w14:textId="77777777" w:rsidR="00E768BC" w:rsidRPr="002A30E6" w:rsidRDefault="00E768BC" w:rsidP="00BA7DBA">
            <w:pPr>
              <w:pStyle w:val="NoSpacing"/>
              <w:keepNext/>
              <w:keepLines/>
            </w:pPr>
            <w:r w:rsidRPr="002A30E6">
              <w:t>1 (0.9)</w:t>
            </w:r>
          </w:p>
        </w:tc>
      </w:tr>
      <w:tr w:rsidR="00E768BC" w:rsidRPr="002A30E6" w14:paraId="3EF59D31" w14:textId="77777777" w:rsidTr="00BA7DBA">
        <w:trPr>
          <w:cantSplit/>
        </w:trPr>
        <w:tc>
          <w:tcPr>
            <w:tcW w:w="6204" w:type="dxa"/>
          </w:tcPr>
          <w:p w14:paraId="1AF8B98C" w14:textId="77777777" w:rsidR="00E768BC" w:rsidRPr="002A30E6" w:rsidRDefault="00E768BC" w:rsidP="00BA7DBA">
            <w:pPr>
              <w:pStyle w:val="NoSpacing"/>
              <w:keepNext/>
              <w:keepLines/>
              <w:numPr>
                <w:ilvl w:val="0"/>
                <w:numId w:val="2"/>
              </w:numPr>
            </w:pPr>
            <w:r w:rsidRPr="002A30E6">
              <w:t xml:space="preserve">Respiratory, </w:t>
            </w:r>
            <w:proofErr w:type="gramStart"/>
            <w:r w:rsidRPr="002A30E6">
              <w:t>thoracic</w:t>
            </w:r>
            <w:proofErr w:type="gramEnd"/>
            <w:r w:rsidRPr="002A30E6">
              <w:t xml:space="preserve"> and mediastinal disorders</w:t>
            </w:r>
          </w:p>
        </w:tc>
        <w:tc>
          <w:tcPr>
            <w:tcW w:w="1417" w:type="dxa"/>
          </w:tcPr>
          <w:p w14:paraId="52F2DF5D" w14:textId="77777777" w:rsidR="00E768BC" w:rsidRPr="002A30E6" w:rsidRDefault="00E768BC" w:rsidP="00BA7DBA">
            <w:pPr>
              <w:pStyle w:val="NoSpacing"/>
              <w:keepNext/>
              <w:keepLines/>
            </w:pPr>
            <w:r w:rsidRPr="002A30E6">
              <w:t>4 (3.8)</w:t>
            </w:r>
          </w:p>
        </w:tc>
        <w:tc>
          <w:tcPr>
            <w:tcW w:w="1418" w:type="dxa"/>
          </w:tcPr>
          <w:p w14:paraId="4A6FD2C5" w14:textId="77777777" w:rsidR="00E768BC" w:rsidRPr="002A30E6" w:rsidRDefault="00E768BC" w:rsidP="00BA7DBA">
            <w:pPr>
              <w:pStyle w:val="NoSpacing"/>
              <w:keepNext/>
              <w:keepLines/>
            </w:pPr>
            <w:r w:rsidRPr="002A30E6">
              <w:t>3 (2.8)</w:t>
            </w:r>
          </w:p>
        </w:tc>
      </w:tr>
      <w:tr w:rsidR="00E768BC" w:rsidRPr="002A30E6" w14:paraId="46A91333" w14:textId="77777777" w:rsidTr="00BA7DBA">
        <w:trPr>
          <w:cantSplit/>
        </w:trPr>
        <w:tc>
          <w:tcPr>
            <w:tcW w:w="6204" w:type="dxa"/>
          </w:tcPr>
          <w:p w14:paraId="6F9C4188" w14:textId="77777777" w:rsidR="00E768BC" w:rsidRPr="002A30E6" w:rsidRDefault="00E768BC" w:rsidP="00BA7DBA">
            <w:pPr>
              <w:pStyle w:val="NoSpacing"/>
              <w:keepNext/>
              <w:keepLines/>
              <w:numPr>
                <w:ilvl w:val="0"/>
                <w:numId w:val="2"/>
              </w:numPr>
            </w:pPr>
            <w:r w:rsidRPr="002A30E6">
              <w:t>Skin and subcutaneous tissue disorders</w:t>
            </w:r>
          </w:p>
        </w:tc>
        <w:tc>
          <w:tcPr>
            <w:tcW w:w="1417" w:type="dxa"/>
          </w:tcPr>
          <w:p w14:paraId="588AEB5A" w14:textId="77777777" w:rsidR="00E768BC" w:rsidRPr="002A30E6" w:rsidRDefault="00E768BC" w:rsidP="00BA7DBA">
            <w:pPr>
              <w:pStyle w:val="NoSpacing"/>
              <w:keepNext/>
              <w:keepLines/>
            </w:pPr>
            <w:r w:rsidRPr="002A30E6">
              <w:t>4 (3.8)</w:t>
            </w:r>
          </w:p>
        </w:tc>
        <w:tc>
          <w:tcPr>
            <w:tcW w:w="1418" w:type="dxa"/>
          </w:tcPr>
          <w:p w14:paraId="6473B9BA" w14:textId="77777777" w:rsidR="00E768BC" w:rsidRPr="002A30E6" w:rsidRDefault="00E768BC" w:rsidP="00BA7DBA">
            <w:pPr>
              <w:pStyle w:val="NoSpacing"/>
              <w:keepNext/>
              <w:keepLines/>
            </w:pPr>
            <w:r w:rsidRPr="002A30E6">
              <w:t>7 (6.5)</w:t>
            </w:r>
          </w:p>
        </w:tc>
      </w:tr>
      <w:tr w:rsidR="00E768BC" w:rsidRPr="002A30E6" w14:paraId="584843AC" w14:textId="77777777" w:rsidTr="00BA7DBA">
        <w:trPr>
          <w:cantSplit/>
        </w:trPr>
        <w:tc>
          <w:tcPr>
            <w:tcW w:w="6204" w:type="dxa"/>
          </w:tcPr>
          <w:p w14:paraId="5F526451" w14:textId="77777777" w:rsidR="00E768BC" w:rsidRPr="002A30E6" w:rsidRDefault="00E768BC" w:rsidP="00BA7DBA">
            <w:pPr>
              <w:pStyle w:val="NoSpacing"/>
              <w:keepNext/>
              <w:keepLines/>
              <w:numPr>
                <w:ilvl w:val="0"/>
                <w:numId w:val="2"/>
              </w:numPr>
            </w:pPr>
            <w:r w:rsidRPr="002A30E6">
              <w:t>Surgical and medical procedures</w:t>
            </w:r>
          </w:p>
        </w:tc>
        <w:tc>
          <w:tcPr>
            <w:tcW w:w="1417" w:type="dxa"/>
          </w:tcPr>
          <w:p w14:paraId="76DF5AA1" w14:textId="77777777" w:rsidR="00E768BC" w:rsidRPr="002A30E6" w:rsidRDefault="00E768BC" w:rsidP="00BA7DBA">
            <w:pPr>
              <w:pStyle w:val="NoSpacing"/>
              <w:keepNext/>
              <w:keepLines/>
            </w:pPr>
            <w:r w:rsidRPr="002A30E6">
              <w:t>1 (1.0)</w:t>
            </w:r>
          </w:p>
        </w:tc>
        <w:tc>
          <w:tcPr>
            <w:tcW w:w="1418" w:type="dxa"/>
          </w:tcPr>
          <w:p w14:paraId="71A4BF35" w14:textId="77777777" w:rsidR="00E768BC" w:rsidRPr="002A30E6" w:rsidRDefault="00E768BC" w:rsidP="00BA7DBA">
            <w:pPr>
              <w:pStyle w:val="NoSpacing"/>
              <w:keepNext/>
              <w:keepLines/>
            </w:pPr>
            <w:r w:rsidRPr="002A30E6">
              <w:t>1 (0.9)</w:t>
            </w:r>
          </w:p>
        </w:tc>
      </w:tr>
      <w:tr w:rsidR="00E768BC" w:rsidRPr="002A30E6" w14:paraId="450C32C4" w14:textId="77777777" w:rsidTr="00BA7DBA">
        <w:trPr>
          <w:cantSplit/>
        </w:trPr>
        <w:tc>
          <w:tcPr>
            <w:tcW w:w="6204" w:type="dxa"/>
          </w:tcPr>
          <w:p w14:paraId="6758FB38" w14:textId="77777777" w:rsidR="00E768BC" w:rsidRPr="002A30E6" w:rsidRDefault="00E768BC" w:rsidP="00BA7DBA">
            <w:pPr>
              <w:pStyle w:val="NoSpacing"/>
              <w:keepNext/>
              <w:keepLines/>
              <w:numPr>
                <w:ilvl w:val="0"/>
                <w:numId w:val="2"/>
              </w:numPr>
            </w:pPr>
            <w:r w:rsidRPr="002A30E6">
              <w:t>Vascular disorders</w:t>
            </w:r>
          </w:p>
        </w:tc>
        <w:tc>
          <w:tcPr>
            <w:tcW w:w="1417" w:type="dxa"/>
          </w:tcPr>
          <w:p w14:paraId="5BAA7619" w14:textId="77777777" w:rsidR="00E768BC" w:rsidRPr="002A30E6" w:rsidRDefault="00E768BC" w:rsidP="00BA7DBA">
            <w:pPr>
              <w:pStyle w:val="NoSpacing"/>
              <w:keepNext/>
              <w:keepLines/>
            </w:pPr>
            <w:r w:rsidRPr="002A30E6">
              <w:t>1 (1.0)</w:t>
            </w:r>
          </w:p>
        </w:tc>
        <w:tc>
          <w:tcPr>
            <w:tcW w:w="1418" w:type="dxa"/>
          </w:tcPr>
          <w:p w14:paraId="3581865B" w14:textId="77777777" w:rsidR="00E768BC" w:rsidRPr="002A30E6" w:rsidRDefault="00E768BC" w:rsidP="00BA7DBA">
            <w:pPr>
              <w:pStyle w:val="NoSpacing"/>
              <w:keepNext/>
              <w:keepLines/>
            </w:pPr>
            <w:r w:rsidRPr="002A30E6">
              <w:t>1 (0.9)</w:t>
            </w:r>
          </w:p>
        </w:tc>
      </w:tr>
    </w:tbl>
    <w:p w14:paraId="00045DA7" w14:textId="77777777" w:rsidR="00E768BC" w:rsidRPr="002A30E6" w:rsidRDefault="00E768BC" w:rsidP="00E768BC">
      <w:pPr>
        <w:pStyle w:val="NoSpacing"/>
      </w:pPr>
      <w:r w:rsidRPr="002A30E6">
        <w:t>Table footnote: A participant is counted only once at the SOC level, even if the subject experienced more than one AE within a specific SOC.</w:t>
      </w:r>
    </w:p>
    <w:p w14:paraId="0C444166" w14:textId="201B856B" w:rsidR="00E35394" w:rsidRPr="002A30E6" w:rsidRDefault="00E35394">
      <w:pPr>
        <w:spacing w:after="160" w:line="259" w:lineRule="auto"/>
      </w:pPr>
    </w:p>
    <w:sectPr w:rsidR="00E35394" w:rsidRPr="002A30E6" w:rsidSect="00F53189">
      <w:footerReference w:type="default" r:id="rId12"/>
      <w:pgSz w:w="11906" w:h="16838"/>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DAC0" w14:textId="77777777" w:rsidR="0047215E" w:rsidRDefault="0047215E" w:rsidP="00F83739">
      <w:pPr>
        <w:spacing w:after="0" w:line="240" w:lineRule="auto"/>
      </w:pPr>
      <w:r>
        <w:separator/>
      </w:r>
    </w:p>
  </w:endnote>
  <w:endnote w:type="continuationSeparator" w:id="0">
    <w:p w14:paraId="248062B1" w14:textId="77777777" w:rsidR="0047215E" w:rsidRDefault="0047215E" w:rsidP="00F83739">
      <w:pPr>
        <w:spacing w:after="0" w:line="240" w:lineRule="auto"/>
      </w:pPr>
      <w:r>
        <w:continuationSeparator/>
      </w:r>
    </w:p>
  </w:endnote>
  <w:endnote w:type="continuationNotice" w:id="1">
    <w:p w14:paraId="5A3828C4" w14:textId="77777777" w:rsidR="0047215E" w:rsidRDefault="00472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2302" w14:textId="521C0942" w:rsidR="00234632" w:rsidRPr="00234632" w:rsidRDefault="00234632" w:rsidP="00234632">
    <w:pPr>
      <w:pStyle w:val="Footer"/>
      <w:jc w:val="center"/>
      <w:rPr>
        <w:sz w:val="18"/>
        <w:szCs w:val="18"/>
      </w:rPr>
    </w:pPr>
    <w:r>
      <w:rPr>
        <w:sz w:val="18"/>
        <w:szCs w:val="18"/>
      </w:rPr>
      <w:t xml:space="preserve">Page </w:t>
    </w:r>
    <w:r w:rsidR="004E69BE">
      <w:rPr>
        <w:sz w:val="18"/>
        <w:szCs w:val="18"/>
      </w:rPr>
      <w:fldChar w:fldCharType="begin"/>
    </w:r>
    <w:r w:rsidR="004E69BE">
      <w:rPr>
        <w:sz w:val="18"/>
        <w:szCs w:val="18"/>
      </w:rPr>
      <w:instrText xml:space="preserve"> PAGE  \* Arabic  \* MERGEFORMAT </w:instrText>
    </w:r>
    <w:r w:rsidR="004E69BE">
      <w:rPr>
        <w:sz w:val="18"/>
        <w:szCs w:val="18"/>
      </w:rPr>
      <w:fldChar w:fldCharType="separate"/>
    </w:r>
    <w:r w:rsidR="004E69BE">
      <w:rPr>
        <w:noProof/>
        <w:sz w:val="18"/>
        <w:szCs w:val="18"/>
      </w:rPr>
      <w:t>1</w:t>
    </w:r>
    <w:r w:rsidR="004E69B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472D" w14:textId="77777777" w:rsidR="0047215E" w:rsidRDefault="0047215E" w:rsidP="00F83739">
      <w:pPr>
        <w:spacing w:after="0" w:line="240" w:lineRule="auto"/>
      </w:pPr>
      <w:r>
        <w:separator/>
      </w:r>
    </w:p>
  </w:footnote>
  <w:footnote w:type="continuationSeparator" w:id="0">
    <w:p w14:paraId="10D46F4E" w14:textId="77777777" w:rsidR="0047215E" w:rsidRDefault="0047215E" w:rsidP="00F83739">
      <w:pPr>
        <w:spacing w:after="0" w:line="240" w:lineRule="auto"/>
      </w:pPr>
      <w:r>
        <w:continuationSeparator/>
      </w:r>
    </w:p>
  </w:footnote>
  <w:footnote w:type="continuationNotice" w:id="1">
    <w:p w14:paraId="71F63E85" w14:textId="77777777" w:rsidR="0047215E" w:rsidRDefault="004721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B6A72"/>
    <w:multiLevelType w:val="hybridMultilevel"/>
    <w:tmpl w:val="F02A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1E2178"/>
    <w:multiLevelType w:val="hybridMultilevel"/>
    <w:tmpl w:val="782E09C2"/>
    <w:lvl w:ilvl="0" w:tplc="9370CF96">
      <w:start w:val="1"/>
      <w:numFmt w:val="bullet"/>
      <w:lvlText w:val=""/>
      <w:lvlJc w:val="left"/>
      <w:pPr>
        <w:tabs>
          <w:tab w:val="num" w:pos="720"/>
        </w:tabs>
        <w:ind w:left="720" w:hanging="360"/>
      </w:pPr>
      <w:rPr>
        <w:rFonts w:ascii="Symbol" w:hAnsi="Symbol" w:hint="default"/>
      </w:rPr>
    </w:lvl>
    <w:lvl w:ilvl="1" w:tplc="25ACB64A" w:tentative="1">
      <w:start w:val="1"/>
      <w:numFmt w:val="bullet"/>
      <w:lvlText w:val=""/>
      <w:lvlJc w:val="left"/>
      <w:pPr>
        <w:tabs>
          <w:tab w:val="num" w:pos="1440"/>
        </w:tabs>
        <w:ind w:left="1440" w:hanging="360"/>
      </w:pPr>
      <w:rPr>
        <w:rFonts w:ascii="Symbol" w:hAnsi="Symbol" w:hint="default"/>
      </w:rPr>
    </w:lvl>
    <w:lvl w:ilvl="2" w:tplc="D5269E3A" w:tentative="1">
      <w:start w:val="1"/>
      <w:numFmt w:val="bullet"/>
      <w:lvlText w:val=""/>
      <w:lvlJc w:val="left"/>
      <w:pPr>
        <w:tabs>
          <w:tab w:val="num" w:pos="2160"/>
        </w:tabs>
        <w:ind w:left="2160" w:hanging="360"/>
      </w:pPr>
      <w:rPr>
        <w:rFonts w:ascii="Symbol" w:hAnsi="Symbol" w:hint="default"/>
      </w:rPr>
    </w:lvl>
    <w:lvl w:ilvl="3" w:tplc="8818A57A" w:tentative="1">
      <w:start w:val="1"/>
      <w:numFmt w:val="bullet"/>
      <w:lvlText w:val=""/>
      <w:lvlJc w:val="left"/>
      <w:pPr>
        <w:tabs>
          <w:tab w:val="num" w:pos="2880"/>
        </w:tabs>
        <w:ind w:left="2880" w:hanging="360"/>
      </w:pPr>
      <w:rPr>
        <w:rFonts w:ascii="Symbol" w:hAnsi="Symbol" w:hint="default"/>
      </w:rPr>
    </w:lvl>
    <w:lvl w:ilvl="4" w:tplc="BF582E20" w:tentative="1">
      <w:start w:val="1"/>
      <w:numFmt w:val="bullet"/>
      <w:lvlText w:val=""/>
      <w:lvlJc w:val="left"/>
      <w:pPr>
        <w:tabs>
          <w:tab w:val="num" w:pos="3600"/>
        </w:tabs>
        <w:ind w:left="3600" w:hanging="360"/>
      </w:pPr>
      <w:rPr>
        <w:rFonts w:ascii="Symbol" w:hAnsi="Symbol" w:hint="default"/>
      </w:rPr>
    </w:lvl>
    <w:lvl w:ilvl="5" w:tplc="E092D2C8" w:tentative="1">
      <w:start w:val="1"/>
      <w:numFmt w:val="bullet"/>
      <w:lvlText w:val=""/>
      <w:lvlJc w:val="left"/>
      <w:pPr>
        <w:tabs>
          <w:tab w:val="num" w:pos="4320"/>
        </w:tabs>
        <w:ind w:left="4320" w:hanging="360"/>
      </w:pPr>
      <w:rPr>
        <w:rFonts w:ascii="Symbol" w:hAnsi="Symbol" w:hint="default"/>
      </w:rPr>
    </w:lvl>
    <w:lvl w:ilvl="6" w:tplc="BF8CE802" w:tentative="1">
      <w:start w:val="1"/>
      <w:numFmt w:val="bullet"/>
      <w:lvlText w:val=""/>
      <w:lvlJc w:val="left"/>
      <w:pPr>
        <w:tabs>
          <w:tab w:val="num" w:pos="5040"/>
        </w:tabs>
        <w:ind w:left="5040" w:hanging="360"/>
      </w:pPr>
      <w:rPr>
        <w:rFonts w:ascii="Symbol" w:hAnsi="Symbol" w:hint="default"/>
      </w:rPr>
    </w:lvl>
    <w:lvl w:ilvl="7" w:tplc="15E68B5E" w:tentative="1">
      <w:start w:val="1"/>
      <w:numFmt w:val="bullet"/>
      <w:lvlText w:val=""/>
      <w:lvlJc w:val="left"/>
      <w:pPr>
        <w:tabs>
          <w:tab w:val="num" w:pos="5760"/>
        </w:tabs>
        <w:ind w:left="5760" w:hanging="360"/>
      </w:pPr>
      <w:rPr>
        <w:rFonts w:ascii="Symbol" w:hAnsi="Symbol" w:hint="default"/>
      </w:rPr>
    </w:lvl>
    <w:lvl w:ilvl="8" w:tplc="374CA5C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4F4143B"/>
    <w:multiLevelType w:val="hybridMultilevel"/>
    <w:tmpl w:val="84121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430036">
    <w:abstractNumId w:val="1"/>
  </w:num>
  <w:num w:numId="2" w16cid:durableId="1695376613">
    <w:abstractNumId w:val="0"/>
  </w:num>
  <w:num w:numId="3" w16cid:durableId="1054699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4E6CCC3"/>
    <w:rsid w:val="000016A1"/>
    <w:rsid w:val="00001A82"/>
    <w:rsid w:val="000032A3"/>
    <w:rsid w:val="00003375"/>
    <w:rsid w:val="00003769"/>
    <w:rsid w:val="000037F1"/>
    <w:rsid w:val="00005F47"/>
    <w:rsid w:val="00006326"/>
    <w:rsid w:val="0000684C"/>
    <w:rsid w:val="00006D6C"/>
    <w:rsid w:val="00006DB3"/>
    <w:rsid w:val="00007280"/>
    <w:rsid w:val="0000763D"/>
    <w:rsid w:val="00007A38"/>
    <w:rsid w:val="00007A3F"/>
    <w:rsid w:val="0001093C"/>
    <w:rsid w:val="000110CF"/>
    <w:rsid w:val="00011E2E"/>
    <w:rsid w:val="00011E7D"/>
    <w:rsid w:val="000123B1"/>
    <w:rsid w:val="0001400A"/>
    <w:rsid w:val="000149F9"/>
    <w:rsid w:val="000150D7"/>
    <w:rsid w:val="00016810"/>
    <w:rsid w:val="00017712"/>
    <w:rsid w:val="00017E43"/>
    <w:rsid w:val="00021724"/>
    <w:rsid w:val="00021804"/>
    <w:rsid w:val="00023386"/>
    <w:rsid w:val="00023877"/>
    <w:rsid w:val="0002498E"/>
    <w:rsid w:val="00024996"/>
    <w:rsid w:val="000261F2"/>
    <w:rsid w:val="000268DE"/>
    <w:rsid w:val="0002729D"/>
    <w:rsid w:val="0002745A"/>
    <w:rsid w:val="00027499"/>
    <w:rsid w:val="000336A9"/>
    <w:rsid w:val="000342C2"/>
    <w:rsid w:val="0003525B"/>
    <w:rsid w:val="000355D8"/>
    <w:rsid w:val="0003641C"/>
    <w:rsid w:val="000365CC"/>
    <w:rsid w:val="00036FCC"/>
    <w:rsid w:val="000417A8"/>
    <w:rsid w:val="0004196B"/>
    <w:rsid w:val="000421B6"/>
    <w:rsid w:val="000423B1"/>
    <w:rsid w:val="00043FFA"/>
    <w:rsid w:val="00044350"/>
    <w:rsid w:val="0004506E"/>
    <w:rsid w:val="00045B01"/>
    <w:rsid w:val="00046319"/>
    <w:rsid w:val="00047056"/>
    <w:rsid w:val="000471D4"/>
    <w:rsid w:val="00047463"/>
    <w:rsid w:val="00047FB4"/>
    <w:rsid w:val="00050AA1"/>
    <w:rsid w:val="00052C7F"/>
    <w:rsid w:val="00052EDF"/>
    <w:rsid w:val="000536C0"/>
    <w:rsid w:val="00053FD8"/>
    <w:rsid w:val="00054006"/>
    <w:rsid w:val="0005444E"/>
    <w:rsid w:val="0005546C"/>
    <w:rsid w:val="00055847"/>
    <w:rsid w:val="000567BE"/>
    <w:rsid w:val="00056884"/>
    <w:rsid w:val="000568E8"/>
    <w:rsid w:val="00057473"/>
    <w:rsid w:val="00057585"/>
    <w:rsid w:val="00057A1D"/>
    <w:rsid w:val="00057F0F"/>
    <w:rsid w:val="00061B0A"/>
    <w:rsid w:val="000624D4"/>
    <w:rsid w:val="00063063"/>
    <w:rsid w:val="00063B8B"/>
    <w:rsid w:val="000648EC"/>
    <w:rsid w:val="00066E84"/>
    <w:rsid w:val="000718B4"/>
    <w:rsid w:val="00072084"/>
    <w:rsid w:val="00072C89"/>
    <w:rsid w:val="000737F2"/>
    <w:rsid w:val="00074EB9"/>
    <w:rsid w:val="00076FB2"/>
    <w:rsid w:val="000779B7"/>
    <w:rsid w:val="00081FBD"/>
    <w:rsid w:val="000820E5"/>
    <w:rsid w:val="00082D6C"/>
    <w:rsid w:val="000833BA"/>
    <w:rsid w:val="00083B18"/>
    <w:rsid w:val="00084088"/>
    <w:rsid w:val="00085363"/>
    <w:rsid w:val="000854AC"/>
    <w:rsid w:val="0008590D"/>
    <w:rsid w:val="00085B77"/>
    <w:rsid w:val="00086D4E"/>
    <w:rsid w:val="00087CD7"/>
    <w:rsid w:val="000905BE"/>
    <w:rsid w:val="00091225"/>
    <w:rsid w:val="00094763"/>
    <w:rsid w:val="00094CDD"/>
    <w:rsid w:val="00094FD8"/>
    <w:rsid w:val="00096135"/>
    <w:rsid w:val="000962C3"/>
    <w:rsid w:val="00097C87"/>
    <w:rsid w:val="00097D2B"/>
    <w:rsid w:val="000A0276"/>
    <w:rsid w:val="000A0EB7"/>
    <w:rsid w:val="000A132F"/>
    <w:rsid w:val="000A19AF"/>
    <w:rsid w:val="000A3825"/>
    <w:rsid w:val="000A3AE5"/>
    <w:rsid w:val="000A46B1"/>
    <w:rsid w:val="000A5A0F"/>
    <w:rsid w:val="000A6A84"/>
    <w:rsid w:val="000A6E26"/>
    <w:rsid w:val="000A7872"/>
    <w:rsid w:val="000A7F4D"/>
    <w:rsid w:val="000B17FD"/>
    <w:rsid w:val="000B2A47"/>
    <w:rsid w:val="000B43BF"/>
    <w:rsid w:val="000B6C16"/>
    <w:rsid w:val="000B78A0"/>
    <w:rsid w:val="000C0814"/>
    <w:rsid w:val="000C0B9B"/>
    <w:rsid w:val="000C0FB4"/>
    <w:rsid w:val="000C158D"/>
    <w:rsid w:val="000C33AC"/>
    <w:rsid w:val="000C44C9"/>
    <w:rsid w:val="000C48E6"/>
    <w:rsid w:val="000C48E7"/>
    <w:rsid w:val="000C49B2"/>
    <w:rsid w:val="000C6726"/>
    <w:rsid w:val="000C726B"/>
    <w:rsid w:val="000C7914"/>
    <w:rsid w:val="000C7B42"/>
    <w:rsid w:val="000D27B4"/>
    <w:rsid w:val="000D2FA5"/>
    <w:rsid w:val="000D3917"/>
    <w:rsid w:val="000D4837"/>
    <w:rsid w:val="000D5EF1"/>
    <w:rsid w:val="000D791A"/>
    <w:rsid w:val="000E25F2"/>
    <w:rsid w:val="000E3D3A"/>
    <w:rsid w:val="000E552F"/>
    <w:rsid w:val="000E64CB"/>
    <w:rsid w:val="000F0A66"/>
    <w:rsid w:val="000F0CD7"/>
    <w:rsid w:val="000F1574"/>
    <w:rsid w:val="000F1A8E"/>
    <w:rsid w:val="000F1B65"/>
    <w:rsid w:val="000F25F3"/>
    <w:rsid w:val="000F3287"/>
    <w:rsid w:val="000F369A"/>
    <w:rsid w:val="000F3747"/>
    <w:rsid w:val="000F3E14"/>
    <w:rsid w:val="000F423B"/>
    <w:rsid w:val="000F5261"/>
    <w:rsid w:val="000F56F9"/>
    <w:rsid w:val="000F6994"/>
    <w:rsid w:val="00103706"/>
    <w:rsid w:val="00103F45"/>
    <w:rsid w:val="001045D5"/>
    <w:rsid w:val="00104A96"/>
    <w:rsid w:val="00105108"/>
    <w:rsid w:val="00105FF9"/>
    <w:rsid w:val="00106956"/>
    <w:rsid w:val="00106E5E"/>
    <w:rsid w:val="001076E4"/>
    <w:rsid w:val="00107E16"/>
    <w:rsid w:val="00110095"/>
    <w:rsid w:val="0011013B"/>
    <w:rsid w:val="001113A3"/>
    <w:rsid w:val="001115FA"/>
    <w:rsid w:val="001121CD"/>
    <w:rsid w:val="001134AF"/>
    <w:rsid w:val="0011378F"/>
    <w:rsid w:val="001142A8"/>
    <w:rsid w:val="001148D0"/>
    <w:rsid w:val="001158F3"/>
    <w:rsid w:val="00117327"/>
    <w:rsid w:val="00120C51"/>
    <w:rsid w:val="0012100D"/>
    <w:rsid w:val="00121238"/>
    <w:rsid w:val="00121C7A"/>
    <w:rsid w:val="00122EF1"/>
    <w:rsid w:val="00123B1C"/>
    <w:rsid w:val="001241E3"/>
    <w:rsid w:val="00124C95"/>
    <w:rsid w:val="001265AD"/>
    <w:rsid w:val="00126664"/>
    <w:rsid w:val="00127652"/>
    <w:rsid w:val="001302B5"/>
    <w:rsid w:val="00130512"/>
    <w:rsid w:val="001305A8"/>
    <w:rsid w:val="0013102B"/>
    <w:rsid w:val="00131B0F"/>
    <w:rsid w:val="0013220F"/>
    <w:rsid w:val="00132AB8"/>
    <w:rsid w:val="0013373F"/>
    <w:rsid w:val="00135891"/>
    <w:rsid w:val="00136869"/>
    <w:rsid w:val="00140497"/>
    <w:rsid w:val="00140809"/>
    <w:rsid w:val="00140EA6"/>
    <w:rsid w:val="00141ABC"/>
    <w:rsid w:val="00141E61"/>
    <w:rsid w:val="00141F3C"/>
    <w:rsid w:val="001420E0"/>
    <w:rsid w:val="00142E95"/>
    <w:rsid w:val="001436DF"/>
    <w:rsid w:val="0014383F"/>
    <w:rsid w:val="0014696E"/>
    <w:rsid w:val="00147330"/>
    <w:rsid w:val="00147AFA"/>
    <w:rsid w:val="0015151B"/>
    <w:rsid w:val="00152C7D"/>
    <w:rsid w:val="00153617"/>
    <w:rsid w:val="0015441D"/>
    <w:rsid w:val="001552A6"/>
    <w:rsid w:val="00157668"/>
    <w:rsid w:val="0015788A"/>
    <w:rsid w:val="00160B73"/>
    <w:rsid w:val="00161972"/>
    <w:rsid w:val="00162382"/>
    <w:rsid w:val="001624A7"/>
    <w:rsid w:val="00162831"/>
    <w:rsid w:val="0016337D"/>
    <w:rsid w:val="00164703"/>
    <w:rsid w:val="00164A07"/>
    <w:rsid w:val="00164DE1"/>
    <w:rsid w:val="00166769"/>
    <w:rsid w:val="00167B76"/>
    <w:rsid w:val="001703FB"/>
    <w:rsid w:val="001704C6"/>
    <w:rsid w:val="00170830"/>
    <w:rsid w:val="00173117"/>
    <w:rsid w:val="00173594"/>
    <w:rsid w:val="001751CC"/>
    <w:rsid w:val="00175358"/>
    <w:rsid w:val="00176E3B"/>
    <w:rsid w:val="0017722A"/>
    <w:rsid w:val="001774CA"/>
    <w:rsid w:val="00177842"/>
    <w:rsid w:val="00177D5C"/>
    <w:rsid w:val="00181851"/>
    <w:rsid w:val="0018216F"/>
    <w:rsid w:val="0018297A"/>
    <w:rsid w:val="00182BE1"/>
    <w:rsid w:val="00183291"/>
    <w:rsid w:val="00183EA6"/>
    <w:rsid w:val="0018438E"/>
    <w:rsid w:val="001847B4"/>
    <w:rsid w:val="001866CC"/>
    <w:rsid w:val="00186D78"/>
    <w:rsid w:val="00187235"/>
    <w:rsid w:val="001907DA"/>
    <w:rsid w:val="001945A1"/>
    <w:rsid w:val="00194A0B"/>
    <w:rsid w:val="00194C8E"/>
    <w:rsid w:val="00195518"/>
    <w:rsid w:val="001977A2"/>
    <w:rsid w:val="001A5E87"/>
    <w:rsid w:val="001A64AB"/>
    <w:rsid w:val="001A6BA3"/>
    <w:rsid w:val="001A7D80"/>
    <w:rsid w:val="001B1E5D"/>
    <w:rsid w:val="001B2C9C"/>
    <w:rsid w:val="001C0BB6"/>
    <w:rsid w:val="001C1478"/>
    <w:rsid w:val="001C14A5"/>
    <w:rsid w:val="001C49C6"/>
    <w:rsid w:val="001C4EBD"/>
    <w:rsid w:val="001C5777"/>
    <w:rsid w:val="001C6E19"/>
    <w:rsid w:val="001D043A"/>
    <w:rsid w:val="001D044E"/>
    <w:rsid w:val="001D082C"/>
    <w:rsid w:val="001D15B2"/>
    <w:rsid w:val="001D2065"/>
    <w:rsid w:val="001D23F1"/>
    <w:rsid w:val="001D2A52"/>
    <w:rsid w:val="001D368B"/>
    <w:rsid w:val="001D4130"/>
    <w:rsid w:val="001D55D5"/>
    <w:rsid w:val="001D5BFA"/>
    <w:rsid w:val="001D74F8"/>
    <w:rsid w:val="001D7AC0"/>
    <w:rsid w:val="001D7B50"/>
    <w:rsid w:val="001D7C95"/>
    <w:rsid w:val="001E1521"/>
    <w:rsid w:val="001E4D92"/>
    <w:rsid w:val="001E5090"/>
    <w:rsid w:val="001E516C"/>
    <w:rsid w:val="001E5DB6"/>
    <w:rsid w:val="001E65D3"/>
    <w:rsid w:val="001E6645"/>
    <w:rsid w:val="001E6AD6"/>
    <w:rsid w:val="001E76EF"/>
    <w:rsid w:val="001F060A"/>
    <w:rsid w:val="001F094E"/>
    <w:rsid w:val="001F1810"/>
    <w:rsid w:val="001F1DA3"/>
    <w:rsid w:val="001F1FE7"/>
    <w:rsid w:val="001F20C2"/>
    <w:rsid w:val="001F70D3"/>
    <w:rsid w:val="001F7704"/>
    <w:rsid w:val="002007BA"/>
    <w:rsid w:val="00200E81"/>
    <w:rsid w:val="002044E3"/>
    <w:rsid w:val="00204876"/>
    <w:rsid w:val="0020582C"/>
    <w:rsid w:val="00205A5D"/>
    <w:rsid w:val="00206B0A"/>
    <w:rsid w:val="00207965"/>
    <w:rsid w:val="0021020A"/>
    <w:rsid w:val="00210536"/>
    <w:rsid w:val="002109A2"/>
    <w:rsid w:val="0021180C"/>
    <w:rsid w:val="002119EB"/>
    <w:rsid w:val="00211AF5"/>
    <w:rsid w:val="00213CDE"/>
    <w:rsid w:val="00213D77"/>
    <w:rsid w:val="00214C60"/>
    <w:rsid w:val="00215C78"/>
    <w:rsid w:val="00215EC6"/>
    <w:rsid w:val="00216337"/>
    <w:rsid w:val="00216E9F"/>
    <w:rsid w:val="00216EDD"/>
    <w:rsid w:val="00217A05"/>
    <w:rsid w:val="002213B2"/>
    <w:rsid w:val="0022181D"/>
    <w:rsid w:val="00223454"/>
    <w:rsid w:val="00224BAB"/>
    <w:rsid w:val="00225B35"/>
    <w:rsid w:val="00225B62"/>
    <w:rsid w:val="00225BE4"/>
    <w:rsid w:val="00226416"/>
    <w:rsid w:val="00231647"/>
    <w:rsid w:val="00231BDF"/>
    <w:rsid w:val="00232560"/>
    <w:rsid w:val="00233075"/>
    <w:rsid w:val="00233130"/>
    <w:rsid w:val="00233321"/>
    <w:rsid w:val="00233B4B"/>
    <w:rsid w:val="00233DDD"/>
    <w:rsid w:val="00234632"/>
    <w:rsid w:val="0023553F"/>
    <w:rsid w:val="00235755"/>
    <w:rsid w:val="00236B5D"/>
    <w:rsid w:val="00240665"/>
    <w:rsid w:val="002412C1"/>
    <w:rsid w:val="00242F15"/>
    <w:rsid w:val="00242F70"/>
    <w:rsid w:val="00244A6C"/>
    <w:rsid w:val="00244FD1"/>
    <w:rsid w:val="00245643"/>
    <w:rsid w:val="00245F2B"/>
    <w:rsid w:val="00246437"/>
    <w:rsid w:val="002479BF"/>
    <w:rsid w:val="00247F8E"/>
    <w:rsid w:val="00247FA6"/>
    <w:rsid w:val="002507DF"/>
    <w:rsid w:val="00250B07"/>
    <w:rsid w:val="00251162"/>
    <w:rsid w:val="00251623"/>
    <w:rsid w:val="002540A0"/>
    <w:rsid w:val="00255E5E"/>
    <w:rsid w:val="0026175F"/>
    <w:rsid w:val="00261875"/>
    <w:rsid w:val="00262F4E"/>
    <w:rsid w:val="002648CC"/>
    <w:rsid w:val="00266AE0"/>
    <w:rsid w:val="002705EA"/>
    <w:rsid w:val="00270815"/>
    <w:rsid w:val="0027150E"/>
    <w:rsid w:val="00272F62"/>
    <w:rsid w:val="00273397"/>
    <w:rsid w:val="00273818"/>
    <w:rsid w:val="00274C0D"/>
    <w:rsid w:val="00274D17"/>
    <w:rsid w:val="0027581E"/>
    <w:rsid w:val="00275CA3"/>
    <w:rsid w:val="00276FC1"/>
    <w:rsid w:val="0027794A"/>
    <w:rsid w:val="00280BAD"/>
    <w:rsid w:val="00281D5F"/>
    <w:rsid w:val="0028225E"/>
    <w:rsid w:val="0028282F"/>
    <w:rsid w:val="00283729"/>
    <w:rsid w:val="00283DD7"/>
    <w:rsid w:val="00284A2F"/>
    <w:rsid w:val="00285F20"/>
    <w:rsid w:val="002871C8"/>
    <w:rsid w:val="002872C0"/>
    <w:rsid w:val="002878E5"/>
    <w:rsid w:val="00287C09"/>
    <w:rsid w:val="00287D40"/>
    <w:rsid w:val="00290891"/>
    <w:rsid w:val="002909ED"/>
    <w:rsid w:val="00290EA8"/>
    <w:rsid w:val="00291978"/>
    <w:rsid w:val="00293267"/>
    <w:rsid w:val="0029483C"/>
    <w:rsid w:val="002950FB"/>
    <w:rsid w:val="0029553C"/>
    <w:rsid w:val="00296E66"/>
    <w:rsid w:val="002973FC"/>
    <w:rsid w:val="00297686"/>
    <w:rsid w:val="002A0098"/>
    <w:rsid w:val="002A034F"/>
    <w:rsid w:val="002A117A"/>
    <w:rsid w:val="002A1552"/>
    <w:rsid w:val="002A1DD7"/>
    <w:rsid w:val="002A30E6"/>
    <w:rsid w:val="002A3A55"/>
    <w:rsid w:val="002A6D2B"/>
    <w:rsid w:val="002A789F"/>
    <w:rsid w:val="002A791C"/>
    <w:rsid w:val="002B00B2"/>
    <w:rsid w:val="002B04D9"/>
    <w:rsid w:val="002B09F2"/>
    <w:rsid w:val="002B12E3"/>
    <w:rsid w:val="002B1342"/>
    <w:rsid w:val="002B1F0D"/>
    <w:rsid w:val="002B3A1D"/>
    <w:rsid w:val="002B4B31"/>
    <w:rsid w:val="002B4BAD"/>
    <w:rsid w:val="002B4E7B"/>
    <w:rsid w:val="002C12EC"/>
    <w:rsid w:val="002C166F"/>
    <w:rsid w:val="002C2530"/>
    <w:rsid w:val="002C48B6"/>
    <w:rsid w:val="002C497F"/>
    <w:rsid w:val="002C5C24"/>
    <w:rsid w:val="002C5DB8"/>
    <w:rsid w:val="002C5F41"/>
    <w:rsid w:val="002C6C23"/>
    <w:rsid w:val="002C7F79"/>
    <w:rsid w:val="002D0267"/>
    <w:rsid w:val="002D1A4C"/>
    <w:rsid w:val="002D264B"/>
    <w:rsid w:val="002D2803"/>
    <w:rsid w:val="002D2C23"/>
    <w:rsid w:val="002D3712"/>
    <w:rsid w:val="002D4D6C"/>
    <w:rsid w:val="002D5679"/>
    <w:rsid w:val="002D5C5A"/>
    <w:rsid w:val="002D7C97"/>
    <w:rsid w:val="002E074F"/>
    <w:rsid w:val="002E2B66"/>
    <w:rsid w:val="002E3952"/>
    <w:rsid w:val="002E3A25"/>
    <w:rsid w:val="002E6592"/>
    <w:rsid w:val="002E7124"/>
    <w:rsid w:val="002E71A3"/>
    <w:rsid w:val="002E78EC"/>
    <w:rsid w:val="002F0A2B"/>
    <w:rsid w:val="002F0C72"/>
    <w:rsid w:val="002F0C81"/>
    <w:rsid w:val="002F1F1A"/>
    <w:rsid w:val="002F2FD0"/>
    <w:rsid w:val="002F46C4"/>
    <w:rsid w:val="002F48C5"/>
    <w:rsid w:val="002F5DA8"/>
    <w:rsid w:val="0030206D"/>
    <w:rsid w:val="00302EF8"/>
    <w:rsid w:val="00303185"/>
    <w:rsid w:val="003038E4"/>
    <w:rsid w:val="003053BD"/>
    <w:rsid w:val="00305428"/>
    <w:rsid w:val="003056E2"/>
    <w:rsid w:val="00306214"/>
    <w:rsid w:val="00306546"/>
    <w:rsid w:val="00306D0B"/>
    <w:rsid w:val="00307DCB"/>
    <w:rsid w:val="00310AAF"/>
    <w:rsid w:val="00311EB0"/>
    <w:rsid w:val="00313531"/>
    <w:rsid w:val="00314086"/>
    <w:rsid w:val="0031418C"/>
    <w:rsid w:val="00314CA4"/>
    <w:rsid w:val="0031568E"/>
    <w:rsid w:val="00315AF2"/>
    <w:rsid w:val="00316369"/>
    <w:rsid w:val="003164DF"/>
    <w:rsid w:val="00316AA6"/>
    <w:rsid w:val="003176D7"/>
    <w:rsid w:val="003200A1"/>
    <w:rsid w:val="0032098A"/>
    <w:rsid w:val="00321D8D"/>
    <w:rsid w:val="003220A4"/>
    <w:rsid w:val="00322161"/>
    <w:rsid w:val="00322271"/>
    <w:rsid w:val="00323A40"/>
    <w:rsid w:val="00324E3E"/>
    <w:rsid w:val="0032525F"/>
    <w:rsid w:val="003272E7"/>
    <w:rsid w:val="0033043C"/>
    <w:rsid w:val="00330CD1"/>
    <w:rsid w:val="003328C6"/>
    <w:rsid w:val="00333587"/>
    <w:rsid w:val="003336EF"/>
    <w:rsid w:val="00333A01"/>
    <w:rsid w:val="00333E94"/>
    <w:rsid w:val="00333F4A"/>
    <w:rsid w:val="00334405"/>
    <w:rsid w:val="00334C14"/>
    <w:rsid w:val="00334C73"/>
    <w:rsid w:val="0033563C"/>
    <w:rsid w:val="00335E72"/>
    <w:rsid w:val="00337A05"/>
    <w:rsid w:val="00342B15"/>
    <w:rsid w:val="00342C90"/>
    <w:rsid w:val="00343318"/>
    <w:rsid w:val="00343A10"/>
    <w:rsid w:val="0034442F"/>
    <w:rsid w:val="00344470"/>
    <w:rsid w:val="00346768"/>
    <w:rsid w:val="00346EB6"/>
    <w:rsid w:val="0034791A"/>
    <w:rsid w:val="00347B79"/>
    <w:rsid w:val="003503D2"/>
    <w:rsid w:val="00350757"/>
    <w:rsid w:val="003514C8"/>
    <w:rsid w:val="003524B5"/>
    <w:rsid w:val="00353E71"/>
    <w:rsid w:val="0035411C"/>
    <w:rsid w:val="00354658"/>
    <w:rsid w:val="00354F65"/>
    <w:rsid w:val="0035518F"/>
    <w:rsid w:val="00355269"/>
    <w:rsid w:val="00355900"/>
    <w:rsid w:val="003567D5"/>
    <w:rsid w:val="00356D13"/>
    <w:rsid w:val="00357E91"/>
    <w:rsid w:val="00360C49"/>
    <w:rsid w:val="00361223"/>
    <w:rsid w:val="00361630"/>
    <w:rsid w:val="00361FDD"/>
    <w:rsid w:val="003620FE"/>
    <w:rsid w:val="003621E4"/>
    <w:rsid w:val="00362F3E"/>
    <w:rsid w:val="00362F43"/>
    <w:rsid w:val="00363704"/>
    <w:rsid w:val="00364D2A"/>
    <w:rsid w:val="0036595E"/>
    <w:rsid w:val="00372114"/>
    <w:rsid w:val="0037250A"/>
    <w:rsid w:val="00372A5C"/>
    <w:rsid w:val="003731FD"/>
    <w:rsid w:val="00373BB3"/>
    <w:rsid w:val="00373C14"/>
    <w:rsid w:val="00376F45"/>
    <w:rsid w:val="0038002E"/>
    <w:rsid w:val="00380763"/>
    <w:rsid w:val="00382979"/>
    <w:rsid w:val="0038445E"/>
    <w:rsid w:val="00384D7C"/>
    <w:rsid w:val="00385377"/>
    <w:rsid w:val="0038538A"/>
    <w:rsid w:val="00386687"/>
    <w:rsid w:val="0038720D"/>
    <w:rsid w:val="0038756F"/>
    <w:rsid w:val="00391934"/>
    <w:rsid w:val="00392EEA"/>
    <w:rsid w:val="00394E4F"/>
    <w:rsid w:val="003968FE"/>
    <w:rsid w:val="003976CD"/>
    <w:rsid w:val="00397AC6"/>
    <w:rsid w:val="003A10F9"/>
    <w:rsid w:val="003A39BC"/>
    <w:rsid w:val="003A3ABB"/>
    <w:rsid w:val="003A3BE9"/>
    <w:rsid w:val="003A3CEF"/>
    <w:rsid w:val="003A3F45"/>
    <w:rsid w:val="003A44A6"/>
    <w:rsid w:val="003A5068"/>
    <w:rsid w:val="003A50C5"/>
    <w:rsid w:val="003A531E"/>
    <w:rsid w:val="003A6A17"/>
    <w:rsid w:val="003A72E5"/>
    <w:rsid w:val="003B081C"/>
    <w:rsid w:val="003B1520"/>
    <w:rsid w:val="003B2827"/>
    <w:rsid w:val="003B2EC3"/>
    <w:rsid w:val="003B32A7"/>
    <w:rsid w:val="003B3B0F"/>
    <w:rsid w:val="003B4B4C"/>
    <w:rsid w:val="003B5BCE"/>
    <w:rsid w:val="003B6800"/>
    <w:rsid w:val="003B6D30"/>
    <w:rsid w:val="003B7607"/>
    <w:rsid w:val="003C1616"/>
    <w:rsid w:val="003C1A0E"/>
    <w:rsid w:val="003C2437"/>
    <w:rsid w:val="003C2DE1"/>
    <w:rsid w:val="003C2F0C"/>
    <w:rsid w:val="003C3B13"/>
    <w:rsid w:val="003C7AAC"/>
    <w:rsid w:val="003D0035"/>
    <w:rsid w:val="003D1405"/>
    <w:rsid w:val="003D1B5E"/>
    <w:rsid w:val="003D1E17"/>
    <w:rsid w:val="003D3A39"/>
    <w:rsid w:val="003D4614"/>
    <w:rsid w:val="003D7632"/>
    <w:rsid w:val="003E03BB"/>
    <w:rsid w:val="003E120F"/>
    <w:rsid w:val="003E249D"/>
    <w:rsid w:val="003E2C59"/>
    <w:rsid w:val="003E33C9"/>
    <w:rsid w:val="003E41EF"/>
    <w:rsid w:val="003E53BE"/>
    <w:rsid w:val="003E58AB"/>
    <w:rsid w:val="003E6324"/>
    <w:rsid w:val="003F14AA"/>
    <w:rsid w:val="003F2628"/>
    <w:rsid w:val="003F29E8"/>
    <w:rsid w:val="003F4764"/>
    <w:rsid w:val="003F5174"/>
    <w:rsid w:val="003F5C3B"/>
    <w:rsid w:val="003F6A3A"/>
    <w:rsid w:val="003F7016"/>
    <w:rsid w:val="003F70DC"/>
    <w:rsid w:val="003F7814"/>
    <w:rsid w:val="00401327"/>
    <w:rsid w:val="00401B84"/>
    <w:rsid w:val="00403908"/>
    <w:rsid w:val="00403966"/>
    <w:rsid w:val="00403F0E"/>
    <w:rsid w:val="004049C2"/>
    <w:rsid w:val="004063D0"/>
    <w:rsid w:val="0040651A"/>
    <w:rsid w:val="00406D18"/>
    <w:rsid w:val="004076D5"/>
    <w:rsid w:val="00407889"/>
    <w:rsid w:val="00407A60"/>
    <w:rsid w:val="00410EF8"/>
    <w:rsid w:val="0041184C"/>
    <w:rsid w:val="004120C5"/>
    <w:rsid w:val="00412A81"/>
    <w:rsid w:val="004133C1"/>
    <w:rsid w:val="00413B04"/>
    <w:rsid w:val="0041419A"/>
    <w:rsid w:val="0041556E"/>
    <w:rsid w:val="00416D09"/>
    <w:rsid w:val="00417149"/>
    <w:rsid w:val="00417829"/>
    <w:rsid w:val="00421233"/>
    <w:rsid w:val="004217DA"/>
    <w:rsid w:val="00421D60"/>
    <w:rsid w:val="00422776"/>
    <w:rsid w:val="0042340A"/>
    <w:rsid w:val="004234BF"/>
    <w:rsid w:val="004235CF"/>
    <w:rsid w:val="00424D42"/>
    <w:rsid w:val="00426F8E"/>
    <w:rsid w:val="004272D5"/>
    <w:rsid w:val="00431823"/>
    <w:rsid w:val="00434792"/>
    <w:rsid w:val="00434A04"/>
    <w:rsid w:val="00434FFA"/>
    <w:rsid w:val="00436341"/>
    <w:rsid w:val="00436593"/>
    <w:rsid w:val="00436927"/>
    <w:rsid w:val="004401BA"/>
    <w:rsid w:val="00440BB0"/>
    <w:rsid w:val="00443AD4"/>
    <w:rsid w:val="004448BE"/>
    <w:rsid w:val="00444CC1"/>
    <w:rsid w:val="00444F3D"/>
    <w:rsid w:val="00445019"/>
    <w:rsid w:val="004454ED"/>
    <w:rsid w:val="004462D4"/>
    <w:rsid w:val="00447857"/>
    <w:rsid w:val="00447C45"/>
    <w:rsid w:val="004500BE"/>
    <w:rsid w:val="0045021D"/>
    <w:rsid w:val="004504E5"/>
    <w:rsid w:val="004508F6"/>
    <w:rsid w:val="00450F68"/>
    <w:rsid w:val="0045102B"/>
    <w:rsid w:val="00451179"/>
    <w:rsid w:val="00452118"/>
    <w:rsid w:val="00452453"/>
    <w:rsid w:val="00453D19"/>
    <w:rsid w:val="004548C7"/>
    <w:rsid w:val="00460BF1"/>
    <w:rsid w:val="004625F5"/>
    <w:rsid w:val="00462DA0"/>
    <w:rsid w:val="00463254"/>
    <w:rsid w:val="00463C29"/>
    <w:rsid w:val="00463CC1"/>
    <w:rsid w:val="00463D51"/>
    <w:rsid w:val="00463D84"/>
    <w:rsid w:val="0046553A"/>
    <w:rsid w:val="00465976"/>
    <w:rsid w:val="00467778"/>
    <w:rsid w:val="0046789D"/>
    <w:rsid w:val="00467977"/>
    <w:rsid w:val="00467B12"/>
    <w:rsid w:val="004700CA"/>
    <w:rsid w:val="0047050A"/>
    <w:rsid w:val="00470681"/>
    <w:rsid w:val="00470B5D"/>
    <w:rsid w:val="00471671"/>
    <w:rsid w:val="00471690"/>
    <w:rsid w:val="0047215E"/>
    <w:rsid w:val="004721E1"/>
    <w:rsid w:val="004723E8"/>
    <w:rsid w:val="004726B6"/>
    <w:rsid w:val="00473CD2"/>
    <w:rsid w:val="00476EB5"/>
    <w:rsid w:val="00477E2E"/>
    <w:rsid w:val="004801E3"/>
    <w:rsid w:val="004803A6"/>
    <w:rsid w:val="0048065C"/>
    <w:rsid w:val="004821CE"/>
    <w:rsid w:val="00483D92"/>
    <w:rsid w:val="00484B71"/>
    <w:rsid w:val="00484ECB"/>
    <w:rsid w:val="00485792"/>
    <w:rsid w:val="004859B8"/>
    <w:rsid w:val="00485D3A"/>
    <w:rsid w:val="00485EC3"/>
    <w:rsid w:val="0048718B"/>
    <w:rsid w:val="00487E73"/>
    <w:rsid w:val="0049039C"/>
    <w:rsid w:val="00493523"/>
    <w:rsid w:val="00493B04"/>
    <w:rsid w:val="00493B43"/>
    <w:rsid w:val="00494BB8"/>
    <w:rsid w:val="004956B8"/>
    <w:rsid w:val="00495F30"/>
    <w:rsid w:val="00496271"/>
    <w:rsid w:val="0049699E"/>
    <w:rsid w:val="004A08F1"/>
    <w:rsid w:val="004A0EBA"/>
    <w:rsid w:val="004A0FA4"/>
    <w:rsid w:val="004A1470"/>
    <w:rsid w:val="004A20B4"/>
    <w:rsid w:val="004A2698"/>
    <w:rsid w:val="004A2B6F"/>
    <w:rsid w:val="004A2C54"/>
    <w:rsid w:val="004A30D7"/>
    <w:rsid w:val="004A4772"/>
    <w:rsid w:val="004A5D5D"/>
    <w:rsid w:val="004A6B37"/>
    <w:rsid w:val="004A6CDB"/>
    <w:rsid w:val="004A7248"/>
    <w:rsid w:val="004A733B"/>
    <w:rsid w:val="004A79C3"/>
    <w:rsid w:val="004B01EF"/>
    <w:rsid w:val="004B0AAE"/>
    <w:rsid w:val="004B2227"/>
    <w:rsid w:val="004B2702"/>
    <w:rsid w:val="004B2724"/>
    <w:rsid w:val="004B34E7"/>
    <w:rsid w:val="004B3900"/>
    <w:rsid w:val="004B493A"/>
    <w:rsid w:val="004B55E1"/>
    <w:rsid w:val="004B58ED"/>
    <w:rsid w:val="004B5D7C"/>
    <w:rsid w:val="004B749C"/>
    <w:rsid w:val="004C00A0"/>
    <w:rsid w:val="004C1090"/>
    <w:rsid w:val="004C18EC"/>
    <w:rsid w:val="004C259A"/>
    <w:rsid w:val="004C261B"/>
    <w:rsid w:val="004C2977"/>
    <w:rsid w:val="004C2AE6"/>
    <w:rsid w:val="004C2BB2"/>
    <w:rsid w:val="004C314B"/>
    <w:rsid w:val="004C3BED"/>
    <w:rsid w:val="004C4AF3"/>
    <w:rsid w:val="004C4F1A"/>
    <w:rsid w:val="004C543D"/>
    <w:rsid w:val="004C64F9"/>
    <w:rsid w:val="004C72DA"/>
    <w:rsid w:val="004D10A0"/>
    <w:rsid w:val="004D1C43"/>
    <w:rsid w:val="004D1F5E"/>
    <w:rsid w:val="004D22DA"/>
    <w:rsid w:val="004D38AC"/>
    <w:rsid w:val="004D4EC1"/>
    <w:rsid w:val="004D5D87"/>
    <w:rsid w:val="004D657E"/>
    <w:rsid w:val="004D6F80"/>
    <w:rsid w:val="004D77A1"/>
    <w:rsid w:val="004D787F"/>
    <w:rsid w:val="004D7F99"/>
    <w:rsid w:val="004E041F"/>
    <w:rsid w:val="004E143B"/>
    <w:rsid w:val="004E1EAB"/>
    <w:rsid w:val="004E1EF3"/>
    <w:rsid w:val="004E2907"/>
    <w:rsid w:val="004E29D6"/>
    <w:rsid w:val="004E3A57"/>
    <w:rsid w:val="004E3C46"/>
    <w:rsid w:val="004E4025"/>
    <w:rsid w:val="004E4BBB"/>
    <w:rsid w:val="004E529B"/>
    <w:rsid w:val="004E5687"/>
    <w:rsid w:val="004E5D72"/>
    <w:rsid w:val="004E5E63"/>
    <w:rsid w:val="004E5FDC"/>
    <w:rsid w:val="004E6226"/>
    <w:rsid w:val="004E69BE"/>
    <w:rsid w:val="004E6CA6"/>
    <w:rsid w:val="004E74B7"/>
    <w:rsid w:val="004E7619"/>
    <w:rsid w:val="004E784C"/>
    <w:rsid w:val="004E7972"/>
    <w:rsid w:val="004F084A"/>
    <w:rsid w:val="004F0CCE"/>
    <w:rsid w:val="004F0E19"/>
    <w:rsid w:val="004F1828"/>
    <w:rsid w:val="004F1A75"/>
    <w:rsid w:val="004F2A6D"/>
    <w:rsid w:val="004F3AEA"/>
    <w:rsid w:val="004F4369"/>
    <w:rsid w:val="004F489E"/>
    <w:rsid w:val="004F4CEA"/>
    <w:rsid w:val="004F5742"/>
    <w:rsid w:val="004F7494"/>
    <w:rsid w:val="0050091B"/>
    <w:rsid w:val="00500B13"/>
    <w:rsid w:val="0050144B"/>
    <w:rsid w:val="00501DB0"/>
    <w:rsid w:val="005028A4"/>
    <w:rsid w:val="0050293E"/>
    <w:rsid w:val="00502B95"/>
    <w:rsid w:val="00503D18"/>
    <w:rsid w:val="00503F24"/>
    <w:rsid w:val="00503F70"/>
    <w:rsid w:val="00504A70"/>
    <w:rsid w:val="00505E94"/>
    <w:rsid w:val="00510383"/>
    <w:rsid w:val="00512A0D"/>
    <w:rsid w:val="00512B98"/>
    <w:rsid w:val="00514CF6"/>
    <w:rsid w:val="00516DF7"/>
    <w:rsid w:val="00516E6B"/>
    <w:rsid w:val="0052089D"/>
    <w:rsid w:val="00522130"/>
    <w:rsid w:val="005235A0"/>
    <w:rsid w:val="00523ADC"/>
    <w:rsid w:val="00524B2A"/>
    <w:rsid w:val="00526B66"/>
    <w:rsid w:val="005275D1"/>
    <w:rsid w:val="00527C34"/>
    <w:rsid w:val="00531570"/>
    <w:rsid w:val="005327CE"/>
    <w:rsid w:val="00532A3A"/>
    <w:rsid w:val="00534F41"/>
    <w:rsid w:val="0053563B"/>
    <w:rsid w:val="00537180"/>
    <w:rsid w:val="005401CE"/>
    <w:rsid w:val="005412D8"/>
    <w:rsid w:val="00541719"/>
    <w:rsid w:val="00542CD5"/>
    <w:rsid w:val="00542D2A"/>
    <w:rsid w:val="00542E90"/>
    <w:rsid w:val="0054337F"/>
    <w:rsid w:val="0054380F"/>
    <w:rsid w:val="00545F8C"/>
    <w:rsid w:val="00546FB3"/>
    <w:rsid w:val="00547247"/>
    <w:rsid w:val="00550A01"/>
    <w:rsid w:val="00551C6D"/>
    <w:rsid w:val="0055439B"/>
    <w:rsid w:val="00554630"/>
    <w:rsid w:val="0055501B"/>
    <w:rsid w:val="005551F7"/>
    <w:rsid w:val="00556239"/>
    <w:rsid w:val="00556F99"/>
    <w:rsid w:val="005608D5"/>
    <w:rsid w:val="00560EAC"/>
    <w:rsid w:val="00561447"/>
    <w:rsid w:val="005615A7"/>
    <w:rsid w:val="00561958"/>
    <w:rsid w:val="005651E1"/>
    <w:rsid w:val="00566B31"/>
    <w:rsid w:val="00567EAF"/>
    <w:rsid w:val="00571BCD"/>
    <w:rsid w:val="00571F92"/>
    <w:rsid w:val="005720D0"/>
    <w:rsid w:val="00572F91"/>
    <w:rsid w:val="00573409"/>
    <w:rsid w:val="005742F8"/>
    <w:rsid w:val="00574BB5"/>
    <w:rsid w:val="00575004"/>
    <w:rsid w:val="00575060"/>
    <w:rsid w:val="0057541B"/>
    <w:rsid w:val="005768E8"/>
    <w:rsid w:val="0057745F"/>
    <w:rsid w:val="00580036"/>
    <w:rsid w:val="00580277"/>
    <w:rsid w:val="00581FED"/>
    <w:rsid w:val="0058299F"/>
    <w:rsid w:val="00583885"/>
    <w:rsid w:val="0058464B"/>
    <w:rsid w:val="00584A5A"/>
    <w:rsid w:val="00584EAE"/>
    <w:rsid w:val="00587914"/>
    <w:rsid w:val="00590AEE"/>
    <w:rsid w:val="00591A87"/>
    <w:rsid w:val="00591B65"/>
    <w:rsid w:val="005923D8"/>
    <w:rsid w:val="0059244F"/>
    <w:rsid w:val="0059317F"/>
    <w:rsid w:val="00593AAA"/>
    <w:rsid w:val="00593EDA"/>
    <w:rsid w:val="005943FC"/>
    <w:rsid w:val="005945FB"/>
    <w:rsid w:val="00595B75"/>
    <w:rsid w:val="005961A9"/>
    <w:rsid w:val="005978A8"/>
    <w:rsid w:val="00597917"/>
    <w:rsid w:val="005A03D8"/>
    <w:rsid w:val="005A354F"/>
    <w:rsid w:val="005A49C9"/>
    <w:rsid w:val="005A563E"/>
    <w:rsid w:val="005A70C5"/>
    <w:rsid w:val="005A795B"/>
    <w:rsid w:val="005B0DBA"/>
    <w:rsid w:val="005B100F"/>
    <w:rsid w:val="005B1EB6"/>
    <w:rsid w:val="005B2C16"/>
    <w:rsid w:val="005B378A"/>
    <w:rsid w:val="005B4ECD"/>
    <w:rsid w:val="005B53DD"/>
    <w:rsid w:val="005B5614"/>
    <w:rsid w:val="005B73E1"/>
    <w:rsid w:val="005B7DAC"/>
    <w:rsid w:val="005B7E0C"/>
    <w:rsid w:val="005C05F0"/>
    <w:rsid w:val="005C0EC3"/>
    <w:rsid w:val="005C0EFA"/>
    <w:rsid w:val="005C28A0"/>
    <w:rsid w:val="005C2C3C"/>
    <w:rsid w:val="005C424A"/>
    <w:rsid w:val="005C4B82"/>
    <w:rsid w:val="005C55FE"/>
    <w:rsid w:val="005C567F"/>
    <w:rsid w:val="005C596E"/>
    <w:rsid w:val="005C6787"/>
    <w:rsid w:val="005D0003"/>
    <w:rsid w:val="005D0950"/>
    <w:rsid w:val="005D0A1A"/>
    <w:rsid w:val="005D10C1"/>
    <w:rsid w:val="005D152A"/>
    <w:rsid w:val="005D1CB5"/>
    <w:rsid w:val="005D29FC"/>
    <w:rsid w:val="005D5E2B"/>
    <w:rsid w:val="005D614A"/>
    <w:rsid w:val="005D61C9"/>
    <w:rsid w:val="005D6D85"/>
    <w:rsid w:val="005E05FF"/>
    <w:rsid w:val="005E0988"/>
    <w:rsid w:val="005E22E4"/>
    <w:rsid w:val="005E24F0"/>
    <w:rsid w:val="005E572A"/>
    <w:rsid w:val="005E6082"/>
    <w:rsid w:val="005E608F"/>
    <w:rsid w:val="005E77CD"/>
    <w:rsid w:val="005E7851"/>
    <w:rsid w:val="005E78A0"/>
    <w:rsid w:val="005E7B80"/>
    <w:rsid w:val="005F3290"/>
    <w:rsid w:val="005F35BC"/>
    <w:rsid w:val="005F418A"/>
    <w:rsid w:val="005F5046"/>
    <w:rsid w:val="005F63DC"/>
    <w:rsid w:val="005F658A"/>
    <w:rsid w:val="005F6D54"/>
    <w:rsid w:val="005F755B"/>
    <w:rsid w:val="00602E94"/>
    <w:rsid w:val="00603E11"/>
    <w:rsid w:val="00604CC9"/>
    <w:rsid w:val="0060798B"/>
    <w:rsid w:val="00607D07"/>
    <w:rsid w:val="006103A3"/>
    <w:rsid w:val="00610582"/>
    <w:rsid w:val="00611601"/>
    <w:rsid w:val="006130DC"/>
    <w:rsid w:val="00613AF7"/>
    <w:rsid w:val="00614B45"/>
    <w:rsid w:val="00615378"/>
    <w:rsid w:val="00616243"/>
    <w:rsid w:val="0061659D"/>
    <w:rsid w:val="00616D06"/>
    <w:rsid w:val="00616DFA"/>
    <w:rsid w:val="00616EDB"/>
    <w:rsid w:val="00617BF3"/>
    <w:rsid w:val="0062041C"/>
    <w:rsid w:val="00620B0C"/>
    <w:rsid w:val="00623FD7"/>
    <w:rsid w:val="00624767"/>
    <w:rsid w:val="00624A00"/>
    <w:rsid w:val="0062565C"/>
    <w:rsid w:val="00630318"/>
    <w:rsid w:val="00630BD5"/>
    <w:rsid w:val="006323CB"/>
    <w:rsid w:val="00632E1B"/>
    <w:rsid w:val="00633597"/>
    <w:rsid w:val="00633607"/>
    <w:rsid w:val="00635031"/>
    <w:rsid w:val="006352B9"/>
    <w:rsid w:val="00635B67"/>
    <w:rsid w:val="00637F25"/>
    <w:rsid w:val="00640FD4"/>
    <w:rsid w:val="00640FDA"/>
    <w:rsid w:val="00641CEC"/>
    <w:rsid w:val="00641EF9"/>
    <w:rsid w:val="006434A0"/>
    <w:rsid w:val="006442E8"/>
    <w:rsid w:val="00644AD8"/>
    <w:rsid w:val="00645E2B"/>
    <w:rsid w:val="00651BE6"/>
    <w:rsid w:val="006520D9"/>
    <w:rsid w:val="006530F2"/>
    <w:rsid w:val="00656445"/>
    <w:rsid w:val="00656D98"/>
    <w:rsid w:val="00656E66"/>
    <w:rsid w:val="00664066"/>
    <w:rsid w:val="0066486A"/>
    <w:rsid w:val="00664930"/>
    <w:rsid w:val="00666E83"/>
    <w:rsid w:val="00667FC1"/>
    <w:rsid w:val="00670D81"/>
    <w:rsid w:val="006712E3"/>
    <w:rsid w:val="0067195E"/>
    <w:rsid w:val="006722C6"/>
    <w:rsid w:val="00674309"/>
    <w:rsid w:val="00677001"/>
    <w:rsid w:val="00681608"/>
    <w:rsid w:val="00681D63"/>
    <w:rsid w:val="006836F8"/>
    <w:rsid w:val="00684E9C"/>
    <w:rsid w:val="006852C4"/>
    <w:rsid w:val="00685D8C"/>
    <w:rsid w:val="00686597"/>
    <w:rsid w:val="0068689B"/>
    <w:rsid w:val="006912FD"/>
    <w:rsid w:val="00691DB8"/>
    <w:rsid w:val="00691DBF"/>
    <w:rsid w:val="006938D1"/>
    <w:rsid w:val="0069419A"/>
    <w:rsid w:val="00694F87"/>
    <w:rsid w:val="00695F3C"/>
    <w:rsid w:val="00696036"/>
    <w:rsid w:val="00697F7A"/>
    <w:rsid w:val="006A3652"/>
    <w:rsid w:val="006A39A6"/>
    <w:rsid w:val="006A483A"/>
    <w:rsid w:val="006A52C7"/>
    <w:rsid w:val="006A5496"/>
    <w:rsid w:val="006A54C8"/>
    <w:rsid w:val="006A59F0"/>
    <w:rsid w:val="006A7AFA"/>
    <w:rsid w:val="006A7E0D"/>
    <w:rsid w:val="006B067C"/>
    <w:rsid w:val="006B0D1F"/>
    <w:rsid w:val="006B28C2"/>
    <w:rsid w:val="006B2EC5"/>
    <w:rsid w:val="006B4716"/>
    <w:rsid w:val="006B52A9"/>
    <w:rsid w:val="006B54BE"/>
    <w:rsid w:val="006B608E"/>
    <w:rsid w:val="006C180A"/>
    <w:rsid w:val="006C18C4"/>
    <w:rsid w:val="006C1C55"/>
    <w:rsid w:val="006C233A"/>
    <w:rsid w:val="006C3ABE"/>
    <w:rsid w:val="006C3D36"/>
    <w:rsid w:val="006C4029"/>
    <w:rsid w:val="006C4768"/>
    <w:rsid w:val="006C4FB9"/>
    <w:rsid w:val="006D03D7"/>
    <w:rsid w:val="006D09D9"/>
    <w:rsid w:val="006D1C77"/>
    <w:rsid w:val="006D1DF0"/>
    <w:rsid w:val="006D27E1"/>
    <w:rsid w:val="006D287B"/>
    <w:rsid w:val="006D3C1D"/>
    <w:rsid w:val="006D4554"/>
    <w:rsid w:val="006D4C48"/>
    <w:rsid w:val="006D6347"/>
    <w:rsid w:val="006D6B15"/>
    <w:rsid w:val="006D7513"/>
    <w:rsid w:val="006D7C03"/>
    <w:rsid w:val="006E19DB"/>
    <w:rsid w:val="006E251A"/>
    <w:rsid w:val="006E328B"/>
    <w:rsid w:val="006E39D5"/>
    <w:rsid w:val="006E3D66"/>
    <w:rsid w:val="006E5511"/>
    <w:rsid w:val="006E5CB8"/>
    <w:rsid w:val="006E6A28"/>
    <w:rsid w:val="006F07C2"/>
    <w:rsid w:val="006F19C7"/>
    <w:rsid w:val="006F26E3"/>
    <w:rsid w:val="006F2A46"/>
    <w:rsid w:val="006F30FF"/>
    <w:rsid w:val="006F40AB"/>
    <w:rsid w:val="006F508D"/>
    <w:rsid w:val="006F5227"/>
    <w:rsid w:val="006F5803"/>
    <w:rsid w:val="006F6FC8"/>
    <w:rsid w:val="006F7A10"/>
    <w:rsid w:val="007006A2"/>
    <w:rsid w:val="00700E30"/>
    <w:rsid w:val="00702B22"/>
    <w:rsid w:val="0070366B"/>
    <w:rsid w:val="00703C78"/>
    <w:rsid w:val="007042CB"/>
    <w:rsid w:val="007046B9"/>
    <w:rsid w:val="00704D4F"/>
    <w:rsid w:val="00704FAA"/>
    <w:rsid w:val="00705EC2"/>
    <w:rsid w:val="00706CC5"/>
    <w:rsid w:val="00706D4C"/>
    <w:rsid w:val="00707795"/>
    <w:rsid w:val="007102FC"/>
    <w:rsid w:val="00714A39"/>
    <w:rsid w:val="007150DE"/>
    <w:rsid w:val="00715E53"/>
    <w:rsid w:val="00716342"/>
    <w:rsid w:val="0071743B"/>
    <w:rsid w:val="00720018"/>
    <w:rsid w:val="00720445"/>
    <w:rsid w:val="00720A4C"/>
    <w:rsid w:val="00720C8C"/>
    <w:rsid w:val="0072215A"/>
    <w:rsid w:val="00722989"/>
    <w:rsid w:val="007243B3"/>
    <w:rsid w:val="0072494B"/>
    <w:rsid w:val="00724989"/>
    <w:rsid w:val="007252BC"/>
    <w:rsid w:val="00726875"/>
    <w:rsid w:val="00727D3D"/>
    <w:rsid w:val="007300A9"/>
    <w:rsid w:val="00730663"/>
    <w:rsid w:val="007306FE"/>
    <w:rsid w:val="007331B0"/>
    <w:rsid w:val="007336C8"/>
    <w:rsid w:val="00735D69"/>
    <w:rsid w:val="00737041"/>
    <w:rsid w:val="007400DE"/>
    <w:rsid w:val="0074281F"/>
    <w:rsid w:val="00742A17"/>
    <w:rsid w:val="007439AC"/>
    <w:rsid w:val="00743E99"/>
    <w:rsid w:val="0074608A"/>
    <w:rsid w:val="00747816"/>
    <w:rsid w:val="00747C90"/>
    <w:rsid w:val="00747DDA"/>
    <w:rsid w:val="00751815"/>
    <w:rsid w:val="0075236F"/>
    <w:rsid w:val="0075253B"/>
    <w:rsid w:val="00757085"/>
    <w:rsid w:val="007571B7"/>
    <w:rsid w:val="00762843"/>
    <w:rsid w:val="00762E85"/>
    <w:rsid w:val="00763231"/>
    <w:rsid w:val="00763556"/>
    <w:rsid w:val="00763CB2"/>
    <w:rsid w:val="007644C7"/>
    <w:rsid w:val="007644D1"/>
    <w:rsid w:val="0076543F"/>
    <w:rsid w:val="00765EB3"/>
    <w:rsid w:val="0076659F"/>
    <w:rsid w:val="00766AA7"/>
    <w:rsid w:val="00766E05"/>
    <w:rsid w:val="00767796"/>
    <w:rsid w:val="00767A64"/>
    <w:rsid w:val="00771841"/>
    <w:rsid w:val="00771F6E"/>
    <w:rsid w:val="00774C10"/>
    <w:rsid w:val="0077542E"/>
    <w:rsid w:val="00776AFA"/>
    <w:rsid w:val="00780684"/>
    <w:rsid w:val="00781389"/>
    <w:rsid w:val="0078155D"/>
    <w:rsid w:val="00783753"/>
    <w:rsid w:val="007838B8"/>
    <w:rsid w:val="00783A16"/>
    <w:rsid w:val="00785576"/>
    <w:rsid w:val="00785A43"/>
    <w:rsid w:val="00785FF9"/>
    <w:rsid w:val="00786A85"/>
    <w:rsid w:val="00787F1E"/>
    <w:rsid w:val="00790E95"/>
    <w:rsid w:val="007929B8"/>
    <w:rsid w:val="00793C88"/>
    <w:rsid w:val="0079419A"/>
    <w:rsid w:val="00794D3F"/>
    <w:rsid w:val="007A3BEB"/>
    <w:rsid w:val="007A4D92"/>
    <w:rsid w:val="007A55B1"/>
    <w:rsid w:val="007A6019"/>
    <w:rsid w:val="007A6626"/>
    <w:rsid w:val="007A7732"/>
    <w:rsid w:val="007B0867"/>
    <w:rsid w:val="007B0AFA"/>
    <w:rsid w:val="007B0EA5"/>
    <w:rsid w:val="007B1343"/>
    <w:rsid w:val="007B1A9B"/>
    <w:rsid w:val="007B233D"/>
    <w:rsid w:val="007B2D37"/>
    <w:rsid w:val="007B4C08"/>
    <w:rsid w:val="007B553C"/>
    <w:rsid w:val="007B5959"/>
    <w:rsid w:val="007B6D0B"/>
    <w:rsid w:val="007C0EAB"/>
    <w:rsid w:val="007C16C7"/>
    <w:rsid w:val="007C5C02"/>
    <w:rsid w:val="007C6DD1"/>
    <w:rsid w:val="007C6F55"/>
    <w:rsid w:val="007C734B"/>
    <w:rsid w:val="007D0179"/>
    <w:rsid w:val="007D018D"/>
    <w:rsid w:val="007D0CF3"/>
    <w:rsid w:val="007D145A"/>
    <w:rsid w:val="007D1998"/>
    <w:rsid w:val="007D1CF1"/>
    <w:rsid w:val="007D28BD"/>
    <w:rsid w:val="007D2E8D"/>
    <w:rsid w:val="007D38B6"/>
    <w:rsid w:val="007D40D5"/>
    <w:rsid w:val="007D4552"/>
    <w:rsid w:val="007D4661"/>
    <w:rsid w:val="007D4DA5"/>
    <w:rsid w:val="007D50A5"/>
    <w:rsid w:val="007D5357"/>
    <w:rsid w:val="007D6841"/>
    <w:rsid w:val="007E0B09"/>
    <w:rsid w:val="007E10AB"/>
    <w:rsid w:val="007E13FF"/>
    <w:rsid w:val="007E1447"/>
    <w:rsid w:val="007E1616"/>
    <w:rsid w:val="007E1DC3"/>
    <w:rsid w:val="007E5527"/>
    <w:rsid w:val="007E559E"/>
    <w:rsid w:val="007E5BDD"/>
    <w:rsid w:val="007E647B"/>
    <w:rsid w:val="007E6C17"/>
    <w:rsid w:val="007E6ECD"/>
    <w:rsid w:val="007E7330"/>
    <w:rsid w:val="007F09CE"/>
    <w:rsid w:val="007F1BC5"/>
    <w:rsid w:val="007F260E"/>
    <w:rsid w:val="007F2891"/>
    <w:rsid w:val="007F2939"/>
    <w:rsid w:val="007F2CE6"/>
    <w:rsid w:val="007F353C"/>
    <w:rsid w:val="007F471B"/>
    <w:rsid w:val="007F4B4D"/>
    <w:rsid w:val="007F51C8"/>
    <w:rsid w:val="007F5462"/>
    <w:rsid w:val="007F551E"/>
    <w:rsid w:val="007F5A4E"/>
    <w:rsid w:val="007F79E4"/>
    <w:rsid w:val="007F7CFC"/>
    <w:rsid w:val="008020C4"/>
    <w:rsid w:val="00802D86"/>
    <w:rsid w:val="00803AD7"/>
    <w:rsid w:val="00804DBD"/>
    <w:rsid w:val="00805410"/>
    <w:rsid w:val="0080548D"/>
    <w:rsid w:val="008068F7"/>
    <w:rsid w:val="00806B7A"/>
    <w:rsid w:val="00807674"/>
    <w:rsid w:val="00811EA6"/>
    <w:rsid w:val="00812E30"/>
    <w:rsid w:val="00813FC5"/>
    <w:rsid w:val="00815246"/>
    <w:rsid w:val="00815747"/>
    <w:rsid w:val="00815D20"/>
    <w:rsid w:val="00816B76"/>
    <w:rsid w:val="00816C52"/>
    <w:rsid w:val="00817F28"/>
    <w:rsid w:val="00820878"/>
    <w:rsid w:val="00820EA1"/>
    <w:rsid w:val="00822371"/>
    <w:rsid w:val="00823A62"/>
    <w:rsid w:val="00824032"/>
    <w:rsid w:val="0082436C"/>
    <w:rsid w:val="008256DD"/>
    <w:rsid w:val="00825FDF"/>
    <w:rsid w:val="00826A25"/>
    <w:rsid w:val="00830886"/>
    <w:rsid w:val="00833D17"/>
    <w:rsid w:val="008351C2"/>
    <w:rsid w:val="00835E66"/>
    <w:rsid w:val="00837637"/>
    <w:rsid w:val="00840B3F"/>
    <w:rsid w:val="00840FB2"/>
    <w:rsid w:val="008412BB"/>
    <w:rsid w:val="0084142A"/>
    <w:rsid w:val="00841A6D"/>
    <w:rsid w:val="00844430"/>
    <w:rsid w:val="00844AFC"/>
    <w:rsid w:val="0084636F"/>
    <w:rsid w:val="00846CFD"/>
    <w:rsid w:val="0085272B"/>
    <w:rsid w:val="00853407"/>
    <w:rsid w:val="0085395E"/>
    <w:rsid w:val="00854D32"/>
    <w:rsid w:val="00855AE4"/>
    <w:rsid w:val="00856007"/>
    <w:rsid w:val="0085778C"/>
    <w:rsid w:val="00857D31"/>
    <w:rsid w:val="00861C31"/>
    <w:rsid w:val="00862D1F"/>
    <w:rsid w:val="0086307E"/>
    <w:rsid w:val="008640EB"/>
    <w:rsid w:val="00864217"/>
    <w:rsid w:val="00864319"/>
    <w:rsid w:val="00864FAA"/>
    <w:rsid w:val="00865025"/>
    <w:rsid w:val="0086547A"/>
    <w:rsid w:val="008657E2"/>
    <w:rsid w:val="008657E7"/>
    <w:rsid w:val="00867370"/>
    <w:rsid w:val="008675F5"/>
    <w:rsid w:val="00872F9D"/>
    <w:rsid w:val="008749E7"/>
    <w:rsid w:val="00880902"/>
    <w:rsid w:val="00880DBB"/>
    <w:rsid w:val="008810B1"/>
    <w:rsid w:val="0088143D"/>
    <w:rsid w:val="00881FC0"/>
    <w:rsid w:val="00882FA9"/>
    <w:rsid w:val="008830C6"/>
    <w:rsid w:val="008839F3"/>
    <w:rsid w:val="00883BD4"/>
    <w:rsid w:val="00883CA8"/>
    <w:rsid w:val="00883F20"/>
    <w:rsid w:val="00884B6C"/>
    <w:rsid w:val="0088645C"/>
    <w:rsid w:val="00886508"/>
    <w:rsid w:val="00890A76"/>
    <w:rsid w:val="00890A98"/>
    <w:rsid w:val="00890ACF"/>
    <w:rsid w:val="00890C17"/>
    <w:rsid w:val="00890C2E"/>
    <w:rsid w:val="00893562"/>
    <w:rsid w:val="0089540D"/>
    <w:rsid w:val="0089759E"/>
    <w:rsid w:val="00897833"/>
    <w:rsid w:val="008A2858"/>
    <w:rsid w:val="008A2A16"/>
    <w:rsid w:val="008A2AFA"/>
    <w:rsid w:val="008A300E"/>
    <w:rsid w:val="008A42C9"/>
    <w:rsid w:val="008A5713"/>
    <w:rsid w:val="008A6CFB"/>
    <w:rsid w:val="008A7085"/>
    <w:rsid w:val="008A75DF"/>
    <w:rsid w:val="008B009D"/>
    <w:rsid w:val="008B0D7A"/>
    <w:rsid w:val="008B321C"/>
    <w:rsid w:val="008B3E64"/>
    <w:rsid w:val="008B4236"/>
    <w:rsid w:val="008B45ED"/>
    <w:rsid w:val="008B4B3F"/>
    <w:rsid w:val="008B5F86"/>
    <w:rsid w:val="008B61E4"/>
    <w:rsid w:val="008B74F8"/>
    <w:rsid w:val="008B77AB"/>
    <w:rsid w:val="008B7BC2"/>
    <w:rsid w:val="008B7CB3"/>
    <w:rsid w:val="008C0B70"/>
    <w:rsid w:val="008C1DC2"/>
    <w:rsid w:val="008C322E"/>
    <w:rsid w:val="008C6168"/>
    <w:rsid w:val="008D02E0"/>
    <w:rsid w:val="008D0C8C"/>
    <w:rsid w:val="008D0EE1"/>
    <w:rsid w:val="008D10CD"/>
    <w:rsid w:val="008D1106"/>
    <w:rsid w:val="008D1260"/>
    <w:rsid w:val="008D2188"/>
    <w:rsid w:val="008D40D7"/>
    <w:rsid w:val="008D4837"/>
    <w:rsid w:val="008D6199"/>
    <w:rsid w:val="008D6484"/>
    <w:rsid w:val="008D682A"/>
    <w:rsid w:val="008E0CD2"/>
    <w:rsid w:val="008E28E8"/>
    <w:rsid w:val="008E2A35"/>
    <w:rsid w:val="008E2FB9"/>
    <w:rsid w:val="008E3847"/>
    <w:rsid w:val="008E396D"/>
    <w:rsid w:val="008E5C6F"/>
    <w:rsid w:val="008E5CCB"/>
    <w:rsid w:val="008E621D"/>
    <w:rsid w:val="008E664A"/>
    <w:rsid w:val="008F0294"/>
    <w:rsid w:val="008F04BB"/>
    <w:rsid w:val="008F112D"/>
    <w:rsid w:val="008F20BB"/>
    <w:rsid w:val="008F243A"/>
    <w:rsid w:val="008F3680"/>
    <w:rsid w:val="008F4774"/>
    <w:rsid w:val="008F4866"/>
    <w:rsid w:val="008F5CDC"/>
    <w:rsid w:val="008F64C6"/>
    <w:rsid w:val="008F6DFC"/>
    <w:rsid w:val="00901783"/>
    <w:rsid w:val="00902686"/>
    <w:rsid w:val="009028BB"/>
    <w:rsid w:val="009035AB"/>
    <w:rsid w:val="00903B8E"/>
    <w:rsid w:val="00903BAF"/>
    <w:rsid w:val="00903C98"/>
    <w:rsid w:val="00905F80"/>
    <w:rsid w:val="00906466"/>
    <w:rsid w:val="00907C3E"/>
    <w:rsid w:val="00910173"/>
    <w:rsid w:val="00911006"/>
    <w:rsid w:val="00911964"/>
    <w:rsid w:val="00912499"/>
    <w:rsid w:val="00913839"/>
    <w:rsid w:val="009138D4"/>
    <w:rsid w:val="00913B73"/>
    <w:rsid w:val="00913B88"/>
    <w:rsid w:val="00913F3F"/>
    <w:rsid w:val="0091587D"/>
    <w:rsid w:val="00915F19"/>
    <w:rsid w:val="00916579"/>
    <w:rsid w:val="009168E8"/>
    <w:rsid w:val="009169E1"/>
    <w:rsid w:val="00917124"/>
    <w:rsid w:val="00921D4E"/>
    <w:rsid w:val="0092244C"/>
    <w:rsid w:val="00924BDC"/>
    <w:rsid w:val="009265BB"/>
    <w:rsid w:val="009279DE"/>
    <w:rsid w:val="00927C53"/>
    <w:rsid w:val="00927F4A"/>
    <w:rsid w:val="009355E9"/>
    <w:rsid w:val="00935BFF"/>
    <w:rsid w:val="00936C8E"/>
    <w:rsid w:val="009372CB"/>
    <w:rsid w:val="00937695"/>
    <w:rsid w:val="00937F94"/>
    <w:rsid w:val="009400E1"/>
    <w:rsid w:val="009422FC"/>
    <w:rsid w:val="00942AE3"/>
    <w:rsid w:val="00943F44"/>
    <w:rsid w:val="00944309"/>
    <w:rsid w:val="00945CC2"/>
    <w:rsid w:val="00947260"/>
    <w:rsid w:val="00947931"/>
    <w:rsid w:val="00950076"/>
    <w:rsid w:val="009527B7"/>
    <w:rsid w:val="00952F4F"/>
    <w:rsid w:val="009536BF"/>
    <w:rsid w:val="00954236"/>
    <w:rsid w:val="00954237"/>
    <w:rsid w:val="00954E8F"/>
    <w:rsid w:val="00954FC1"/>
    <w:rsid w:val="00956219"/>
    <w:rsid w:val="00956A9F"/>
    <w:rsid w:val="00957012"/>
    <w:rsid w:val="009577BD"/>
    <w:rsid w:val="009607D4"/>
    <w:rsid w:val="00960EB2"/>
    <w:rsid w:val="00961A7D"/>
    <w:rsid w:val="0096282B"/>
    <w:rsid w:val="00962A63"/>
    <w:rsid w:val="00963AA9"/>
    <w:rsid w:val="00963EBA"/>
    <w:rsid w:val="0096533F"/>
    <w:rsid w:val="00965499"/>
    <w:rsid w:val="00966153"/>
    <w:rsid w:val="009667A8"/>
    <w:rsid w:val="00967647"/>
    <w:rsid w:val="00970002"/>
    <w:rsid w:val="00970D16"/>
    <w:rsid w:val="009714B0"/>
    <w:rsid w:val="00971EF7"/>
    <w:rsid w:val="0097438D"/>
    <w:rsid w:val="00975232"/>
    <w:rsid w:val="00975B8A"/>
    <w:rsid w:val="00976F64"/>
    <w:rsid w:val="00976FFB"/>
    <w:rsid w:val="00977F4B"/>
    <w:rsid w:val="00980BB4"/>
    <w:rsid w:val="00981661"/>
    <w:rsid w:val="009819AA"/>
    <w:rsid w:val="00982D5C"/>
    <w:rsid w:val="00983B71"/>
    <w:rsid w:val="009840AF"/>
    <w:rsid w:val="009844DE"/>
    <w:rsid w:val="00985852"/>
    <w:rsid w:val="009863AB"/>
    <w:rsid w:val="00986FC1"/>
    <w:rsid w:val="009877A1"/>
    <w:rsid w:val="0099105D"/>
    <w:rsid w:val="0099483A"/>
    <w:rsid w:val="0099634F"/>
    <w:rsid w:val="00996437"/>
    <w:rsid w:val="00996A14"/>
    <w:rsid w:val="009977DA"/>
    <w:rsid w:val="009A01F7"/>
    <w:rsid w:val="009A3086"/>
    <w:rsid w:val="009A4B5F"/>
    <w:rsid w:val="009A5CEF"/>
    <w:rsid w:val="009A67C9"/>
    <w:rsid w:val="009A6DC8"/>
    <w:rsid w:val="009A6E6E"/>
    <w:rsid w:val="009B022F"/>
    <w:rsid w:val="009B0738"/>
    <w:rsid w:val="009B1108"/>
    <w:rsid w:val="009B19D7"/>
    <w:rsid w:val="009B25CC"/>
    <w:rsid w:val="009B2FFC"/>
    <w:rsid w:val="009B3092"/>
    <w:rsid w:val="009B6495"/>
    <w:rsid w:val="009B68CC"/>
    <w:rsid w:val="009B6F5D"/>
    <w:rsid w:val="009B7899"/>
    <w:rsid w:val="009C0EB8"/>
    <w:rsid w:val="009C1BAB"/>
    <w:rsid w:val="009C35EB"/>
    <w:rsid w:val="009C39E8"/>
    <w:rsid w:val="009C3C46"/>
    <w:rsid w:val="009C4184"/>
    <w:rsid w:val="009C4822"/>
    <w:rsid w:val="009C5311"/>
    <w:rsid w:val="009C575D"/>
    <w:rsid w:val="009C687D"/>
    <w:rsid w:val="009C69DE"/>
    <w:rsid w:val="009C7EA9"/>
    <w:rsid w:val="009D0921"/>
    <w:rsid w:val="009D13CA"/>
    <w:rsid w:val="009D262F"/>
    <w:rsid w:val="009D28BC"/>
    <w:rsid w:val="009D58BE"/>
    <w:rsid w:val="009D76CC"/>
    <w:rsid w:val="009E0A51"/>
    <w:rsid w:val="009E0F55"/>
    <w:rsid w:val="009E1367"/>
    <w:rsid w:val="009E21BE"/>
    <w:rsid w:val="009E235D"/>
    <w:rsid w:val="009E2FAC"/>
    <w:rsid w:val="009E480C"/>
    <w:rsid w:val="009E67BE"/>
    <w:rsid w:val="009E72D3"/>
    <w:rsid w:val="009E7330"/>
    <w:rsid w:val="009F05BF"/>
    <w:rsid w:val="009F0986"/>
    <w:rsid w:val="009F29C1"/>
    <w:rsid w:val="009F2A20"/>
    <w:rsid w:val="009F3C92"/>
    <w:rsid w:val="009F48C9"/>
    <w:rsid w:val="009F583E"/>
    <w:rsid w:val="009F6201"/>
    <w:rsid w:val="009F66B4"/>
    <w:rsid w:val="009F7431"/>
    <w:rsid w:val="009F78B9"/>
    <w:rsid w:val="00A002EA"/>
    <w:rsid w:val="00A0045E"/>
    <w:rsid w:val="00A00D46"/>
    <w:rsid w:val="00A01D16"/>
    <w:rsid w:val="00A02F43"/>
    <w:rsid w:val="00A02FAC"/>
    <w:rsid w:val="00A03329"/>
    <w:rsid w:val="00A0451A"/>
    <w:rsid w:val="00A05EFF"/>
    <w:rsid w:val="00A064DE"/>
    <w:rsid w:val="00A0769B"/>
    <w:rsid w:val="00A07783"/>
    <w:rsid w:val="00A07D2C"/>
    <w:rsid w:val="00A1026B"/>
    <w:rsid w:val="00A121EB"/>
    <w:rsid w:val="00A13712"/>
    <w:rsid w:val="00A1373D"/>
    <w:rsid w:val="00A13FA5"/>
    <w:rsid w:val="00A149EB"/>
    <w:rsid w:val="00A14B4B"/>
    <w:rsid w:val="00A15DA0"/>
    <w:rsid w:val="00A16806"/>
    <w:rsid w:val="00A16A8D"/>
    <w:rsid w:val="00A175F7"/>
    <w:rsid w:val="00A20170"/>
    <w:rsid w:val="00A205B3"/>
    <w:rsid w:val="00A209B9"/>
    <w:rsid w:val="00A21CDB"/>
    <w:rsid w:val="00A23592"/>
    <w:rsid w:val="00A2401B"/>
    <w:rsid w:val="00A24A97"/>
    <w:rsid w:val="00A2524D"/>
    <w:rsid w:val="00A25E93"/>
    <w:rsid w:val="00A2753D"/>
    <w:rsid w:val="00A30D6B"/>
    <w:rsid w:val="00A315FE"/>
    <w:rsid w:val="00A32CAA"/>
    <w:rsid w:val="00A32CE5"/>
    <w:rsid w:val="00A350FD"/>
    <w:rsid w:val="00A3558C"/>
    <w:rsid w:val="00A3591A"/>
    <w:rsid w:val="00A37EB3"/>
    <w:rsid w:val="00A406BE"/>
    <w:rsid w:val="00A409FF"/>
    <w:rsid w:val="00A41134"/>
    <w:rsid w:val="00A42695"/>
    <w:rsid w:val="00A427BE"/>
    <w:rsid w:val="00A42CE5"/>
    <w:rsid w:val="00A42D08"/>
    <w:rsid w:val="00A43A21"/>
    <w:rsid w:val="00A43A5A"/>
    <w:rsid w:val="00A441E8"/>
    <w:rsid w:val="00A46090"/>
    <w:rsid w:val="00A46329"/>
    <w:rsid w:val="00A47216"/>
    <w:rsid w:val="00A4777C"/>
    <w:rsid w:val="00A512D5"/>
    <w:rsid w:val="00A51ACB"/>
    <w:rsid w:val="00A51B33"/>
    <w:rsid w:val="00A52612"/>
    <w:rsid w:val="00A53053"/>
    <w:rsid w:val="00A54BE2"/>
    <w:rsid w:val="00A54BF1"/>
    <w:rsid w:val="00A54F26"/>
    <w:rsid w:val="00A54F3C"/>
    <w:rsid w:val="00A54F8C"/>
    <w:rsid w:val="00A55690"/>
    <w:rsid w:val="00A55812"/>
    <w:rsid w:val="00A5595F"/>
    <w:rsid w:val="00A5632B"/>
    <w:rsid w:val="00A56A1B"/>
    <w:rsid w:val="00A56CDB"/>
    <w:rsid w:val="00A57DFD"/>
    <w:rsid w:val="00A60D30"/>
    <w:rsid w:val="00A60D6E"/>
    <w:rsid w:val="00A60E62"/>
    <w:rsid w:val="00A616B4"/>
    <w:rsid w:val="00A625AE"/>
    <w:rsid w:val="00A62CF0"/>
    <w:rsid w:val="00A62F73"/>
    <w:rsid w:val="00A63E73"/>
    <w:rsid w:val="00A65E9A"/>
    <w:rsid w:val="00A66E0E"/>
    <w:rsid w:val="00A678D9"/>
    <w:rsid w:val="00A67B66"/>
    <w:rsid w:val="00A70686"/>
    <w:rsid w:val="00A71C0D"/>
    <w:rsid w:val="00A71FF4"/>
    <w:rsid w:val="00A7299F"/>
    <w:rsid w:val="00A72FD1"/>
    <w:rsid w:val="00A73D07"/>
    <w:rsid w:val="00A74B87"/>
    <w:rsid w:val="00A752D9"/>
    <w:rsid w:val="00A75650"/>
    <w:rsid w:val="00A76AA5"/>
    <w:rsid w:val="00A76B3E"/>
    <w:rsid w:val="00A76FA6"/>
    <w:rsid w:val="00A77C9F"/>
    <w:rsid w:val="00A8049D"/>
    <w:rsid w:val="00A8122C"/>
    <w:rsid w:val="00A8165D"/>
    <w:rsid w:val="00A81A98"/>
    <w:rsid w:val="00A822E1"/>
    <w:rsid w:val="00A83115"/>
    <w:rsid w:val="00A831F9"/>
    <w:rsid w:val="00A84031"/>
    <w:rsid w:val="00A84054"/>
    <w:rsid w:val="00A850B4"/>
    <w:rsid w:val="00A85D63"/>
    <w:rsid w:val="00A86D07"/>
    <w:rsid w:val="00A901C4"/>
    <w:rsid w:val="00A9037F"/>
    <w:rsid w:val="00A931E5"/>
    <w:rsid w:val="00A94698"/>
    <w:rsid w:val="00A94C75"/>
    <w:rsid w:val="00AA1C50"/>
    <w:rsid w:val="00AA212C"/>
    <w:rsid w:val="00AA25A7"/>
    <w:rsid w:val="00AA34A4"/>
    <w:rsid w:val="00AA36C3"/>
    <w:rsid w:val="00AA5A09"/>
    <w:rsid w:val="00AA61E4"/>
    <w:rsid w:val="00AA663A"/>
    <w:rsid w:val="00AA6683"/>
    <w:rsid w:val="00AA759F"/>
    <w:rsid w:val="00AA77BA"/>
    <w:rsid w:val="00AB119B"/>
    <w:rsid w:val="00AB1C66"/>
    <w:rsid w:val="00AB1D84"/>
    <w:rsid w:val="00AB22D0"/>
    <w:rsid w:val="00AB2CF1"/>
    <w:rsid w:val="00AB2D8E"/>
    <w:rsid w:val="00AB4564"/>
    <w:rsid w:val="00AB4F4F"/>
    <w:rsid w:val="00AB5765"/>
    <w:rsid w:val="00AB6A99"/>
    <w:rsid w:val="00AB796E"/>
    <w:rsid w:val="00AB7CCC"/>
    <w:rsid w:val="00AC0769"/>
    <w:rsid w:val="00AC1614"/>
    <w:rsid w:val="00AC27CD"/>
    <w:rsid w:val="00AC3B69"/>
    <w:rsid w:val="00AC3FBE"/>
    <w:rsid w:val="00AC47DB"/>
    <w:rsid w:val="00AC4B1F"/>
    <w:rsid w:val="00AC5AF4"/>
    <w:rsid w:val="00AC6920"/>
    <w:rsid w:val="00AC712D"/>
    <w:rsid w:val="00AC7325"/>
    <w:rsid w:val="00AD0AC9"/>
    <w:rsid w:val="00AD0FF4"/>
    <w:rsid w:val="00AD1E90"/>
    <w:rsid w:val="00AD2762"/>
    <w:rsid w:val="00AD2D97"/>
    <w:rsid w:val="00AD36F5"/>
    <w:rsid w:val="00AD3CF4"/>
    <w:rsid w:val="00AD4735"/>
    <w:rsid w:val="00AD4AC9"/>
    <w:rsid w:val="00AD4D8B"/>
    <w:rsid w:val="00AD4F27"/>
    <w:rsid w:val="00AD584A"/>
    <w:rsid w:val="00AD596F"/>
    <w:rsid w:val="00AD6269"/>
    <w:rsid w:val="00AD7CA2"/>
    <w:rsid w:val="00AE0DA4"/>
    <w:rsid w:val="00AE11B5"/>
    <w:rsid w:val="00AE2026"/>
    <w:rsid w:val="00AE3638"/>
    <w:rsid w:val="00AE3F7E"/>
    <w:rsid w:val="00AE44A1"/>
    <w:rsid w:val="00AE58D8"/>
    <w:rsid w:val="00AE6401"/>
    <w:rsid w:val="00AE740E"/>
    <w:rsid w:val="00AF23B7"/>
    <w:rsid w:val="00AF3C95"/>
    <w:rsid w:val="00AF48BB"/>
    <w:rsid w:val="00AF64A4"/>
    <w:rsid w:val="00AF66C9"/>
    <w:rsid w:val="00AF7E69"/>
    <w:rsid w:val="00B01D74"/>
    <w:rsid w:val="00B028FC"/>
    <w:rsid w:val="00B028FD"/>
    <w:rsid w:val="00B0373B"/>
    <w:rsid w:val="00B045FE"/>
    <w:rsid w:val="00B049EB"/>
    <w:rsid w:val="00B04D12"/>
    <w:rsid w:val="00B059BE"/>
    <w:rsid w:val="00B07EA1"/>
    <w:rsid w:val="00B12216"/>
    <w:rsid w:val="00B12B86"/>
    <w:rsid w:val="00B151BE"/>
    <w:rsid w:val="00B153A2"/>
    <w:rsid w:val="00B172D6"/>
    <w:rsid w:val="00B17CA8"/>
    <w:rsid w:val="00B20528"/>
    <w:rsid w:val="00B20C7A"/>
    <w:rsid w:val="00B20FB4"/>
    <w:rsid w:val="00B210EF"/>
    <w:rsid w:val="00B22A47"/>
    <w:rsid w:val="00B23190"/>
    <w:rsid w:val="00B23799"/>
    <w:rsid w:val="00B23E2E"/>
    <w:rsid w:val="00B25DF3"/>
    <w:rsid w:val="00B25F15"/>
    <w:rsid w:val="00B261C1"/>
    <w:rsid w:val="00B26D69"/>
    <w:rsid w:val="00B2784C"/>
    <w:rsid w:val="00B302C3"/>
    <w:rsid w:val="00B321A7"/>
    <w:rsid w:val="00B33A3D"/>
    <w:rsid w:val="00B34038"/>
    <w:rsid w:val="00B34977"/>
    <w:rsid w:val="00B355A8"/>
    <w:rsid w:val="00B360CC"/>
    <w:rsid w:val="00B36A79"/>
    <w:rsid w:val="00B36E18"/>
    <w:rsid w:val="00B37200"/>
    <w:rsid w:val="00B37325"/>
    <w:rsid w:val="00B40AA3"/>
    <w:rsid w:val="00B43E59"/>
    <w:rsid w:val="00B441E1"/>
    <w:rsid w:val="00B44AAB"/>
    <w:rsid w:val="00B479BC"/>
    <w:rsid w:val="00B47D3F"/>
    <w:rsid w:val="00B50687"/>
    <w:rsid w:val="00B51C39"/>
    <w:rsid w:val="00B539B1"/>
    <w:rsid w:val="00B53EA5"/>
    <w:rsid w:val="00B53F27"/>
    <w:rsid w:val="00B54DBF"/>
    <w:rsid w:val="00B5716F"/>
    <w:rsid w:val="00B600BF"/>
    <w:rsid w:val="00B60BA8"/>
    <w:rsid w:val="00B61A8B"/>
    <w:rsid w:val="00B61C07"/>
    <w:rsid w:val="00B627A6"/>
    <w:rsid w:val="00B62B8B"/>
    <w:rsid w:val="00B62CA7"/>
    <w:rsid w:val="00B63E6D"/>
    <w:rsid w:val="00B65426"/>
    <w:rsid w:val="00B6692C"/>
    <w:rsid w:val="00B67A11"/>
    <w:rsid w:val="00B67CB2"/>
    <w:rsid w:val="00B71267"/>
    <w:rsid w:val="00B7226D"/>
    <w:rsid w:val="00B7319B"/>
    <w:rsid w:val="00B73A6E"/>
    <w:rsid w:val="00B747B3"/>
    <w:rsid w:val="00B75750"/>
    <w:rsid w:val="00B75D7A"/>
    <w:rsid w:val="00B768E2"/>
    <w:rsid w:val="00B77383"/>
    <w:rsid w:val="00B777D8"/>
    <w:rsid w:val="00B80049"/>
    <w:rsid w:val="00B808B3"/>
    <w:rsid w:val="00B815DF"/>
    <w:rsid w:val="00B824A7"/>
    <w:rsid w:val="00B82C4A"/>
    <w:rsid w:val="00B83406"/>
    <w:rsid w:val="00B83C0C"/>
    <w:rsid w:val="00B84201"/>
    <w:rsid w:val="00B84261"/>
    <w:rsid w:val="00B852F6"/>
    <w:rsid w:val="00B85BDB"/>
    <w:rsid w:val="00B85D4D"/>
    <w:rsid w:val="00B85E69"/>
    <w:rsid w:val="00B87577"/>
    <w:rsid w:val="00B87C2C"/>
    <w:rsid w:val="00B930D7"/>
    <w:rsid w:val="00B94420"/>
    <w:rsid w:val="00B9450E"/>
    <w:rsid w:val="00B94BFE"/>
    <w:rsid w:val="00B94FF5"/>
    <w:rsid w:val="00B9516B"/>
    <w:rsid w:val="00B961EB"/>
    <w:rsid w:val="00B973FE"/>
    <w:rsid w:val="00B97416"/>
    <w:rsid w:val="00B97646"/>
    <w:rsid w:val="00B977DF"/>
    <w:rsid w:val="00B97985"/>
    <w:rsid w:val="00B97AB7"/>
    <w:rsid w:val="00BA0306"/>
    <w:rsid w:val="00BA1FB4"/>
    <w:rsid w:val="00BA2197"/>
    <w:rsid w:val="00BA478C"/>
    <w:rsid w:val="00BA4BA2"/>
    <w:rsid w:val="00BA4C0A"/>
    <w:rsid w:val="00BA5AAE"/>
    <w:rsid w:val="00BA716E"/>
    <w:rsid w:val="00BA7DBA"/>
    <w:rsid w:val="00BB0162"/>
    <w:rsid w:val="00BB0351"/>
    <w:rsid w:val="00BB05BC"/>
    <w:rsid w:val="00BB0740"/>
    <w:rsid w:val="00BB18A2"/>
    <w:rsid w:val="00BB2F43"/>
    <w:rsid w:val="00BB3B0C"/>
    <w:rsid w:val="00BB581A"/>
    <w:rsid w:val="00BB586A"/>
    <w:rsid w:val="00BB61E0"/>
    <w:rsid w:val="00BB6D24"/>
    <w:rsid w:val="00BC0A10"/>
    <w:rsid w:val="00BC0B20"/>
    <w:rsid w:val="00BC2330"/>
    <w:rsid w:val="00BC3D12"/>
    <w:rsid w:val="00BC3FC3"/>
    <w:rsid w:val="00BC4CE8"/>
    <w:rsid w:val="00BC5328"/>
    <w:rsid w:val="00BC5AC2"/>
    <w:rsid w:val="00BC6B3C"/>
    <w:rsid w:val="00BC6FE2"/>
    <w:rsid w:val="00BC76D6"/>
    <w:rsid w:val="00BC776D"/>
    <w:rsid w:val="00BC785E"/>
    <w:rsid w:val="00BD07EB"/>
    <w:rsid w:val="00BD0EB8"/>
    <w:rsid w:val="00BD3148"/>
    <w:rsid w:val="00BD380E"/>
    <w:rsid w:val="00BD3E46"/>
    <w:rsid w:val="00BD46B7"/>
    <w:rsid w:val="00BD502A"/>
    <w:rsid w:val="00BD5C25"/>
    <w:rsid w:val="00BE06A0"/>
    <w:rsid w:val="00BE17B0"/>
    <w:rsid w:val="00BE1BAA"/>
    <w:rsid w:val="00BE238D"/>
    <w:rsid w:val="00BE3EDB"/>
    <w:rsid w:val="00BE4A7B"/>
    <w:rsid w:val="00BE4F16"/>
    <w:rsid w:val="00BE4F94"/>
    <w:rsid w:val="00BE75DB"/>
    <w:rsid w:val="00BE7FF4"/>
    <w:rsid w:val="00BF0E93"/>
    <w:rsid w:val="00BF18E6"/>
    <w:rsid w:val="00BF1C7F"/>
    <w:rsid w:val="00BF26CA"/>
    <w:rsid w:val="00BF2F88"/>
    <w:rsid w:val="00BF3D50"/>
    <w:rsid w:val="00BF410C"/>
    <w:rsid w:val="00BF4135"/>
    <w:rsid w:val="00BF6230"/>
    <w:rsid w:val="00BF661A"/>
    <w:rsid w:val="00BF6EEB"/>
    <w:rsid w:val="00C010EE"/>
    <w:rsid w:val="00C01F98"/>
    <w:rsid w:val="00C0278F"/>
    <w:rsid w:val="00C02C02"/>
    <w:rsid w:val="00C03771"/>
    <w:rsid w:val="00C046A9"/>
    <w:rsid w:val="00C05BDC"/>
    <w:rsid w:val="00C07C2B"/>
    <w:rsid w:val="00C07C47"/>
    <w:rsid w:val="00C10CFB"/>
    <w:rsid w:val="00C111FD"/>
    <w:rsid w:val="00C11C56"/>
    <w:rsid w:val="00C12C5E"/>
    <w:rsid w:val="00C1499E"/>
    <w:rsid w:val="00C1718A"/>
    <w:rsid w:val="00C17BB5"/>
    <w:rsid w:val="00C20427"/>
    <w:rsid w:val="00C20CC0"/>
    <w:rsid w:val="00C212E3"/>
    <w:rsid w:val="00C21411"/>
    <w:rsid w:val="00C21718"/>
    <w:rsid w:val="00C223C1"/>
    <w:rsid w:val="00C22D1A"/>
    <w:rsid w:val="00C23771"/>
    <w:rsid w:val="00C23973"/>
    <w:rsid w:val="00C23B08"/>
    <w:rsid w:val="00C23C6F"/>
    <w:rsid w:val="00C24337"/>
    <w:rsid w:val="00C2443B"/>
    <w:rsid w:val="00C24A02"/>
    <w:rsid w:val="00C25ADA"/>
    <w:rsid w:val="00C26218"/>
    <w:rsid w:val="00C26A75"/>
    <w:rsid w:val="00C27B02"/>
    <w:rsid w:val="00C30D68"/>
    <w:rsid w:val="00C30DAC"/>
    <w:rsid w:val="00C32447"/>
    <w:rsid w:val="00C329A4"/>
    <w:rsid w:val="00C332EE"/>
    <w:rsid w:val="00C34910"/>
    <w:rsid w:val="00C34BAC"/>
    <w:rsid w:val="00C356E5"/>
    <w:rsid w:val="00C361F8"/>
    <w:rsid w:val="00C36C3F"/>
    <w:rsid w:val="00C36D96"/>
    <w:rsid w:val="00C375DB"/>
    <w:rsid w:val="00C376E3"/>
    <w:rsid w:val="00C37DD4"/>
    <w:rsid w:val="00C42723"/>
    <w:rsid w:val="00C429B7"/>
    <w:rsid w:val="00C434ED"/>
    <w:rsid w:val="00C43781"/>
    <w:rsid w:val="00C43E6A"/>
    <w:rsid w:val="00C44783"/>
    <w:rsid w:val="00C44853"/>
    <w:rsid w:val="00C44E15"/>
    <w:rsid w:val="00C45183"/>
    <w:rsid w:val="00C46424"/>
    <w:rsid w:val="00C4700F"/>
    <w:rsid w:val="00C50D6E"/>
    <w:rsid w:val="00C51071"/>
    <w:rsid w:val="00C51C7F"/>
    <w:rsid w:val="00C51E4F"/>
    <w:rsid w:val="00C53849"/>
    <w:rsid w:val="00C5773D"/>
    <w:rsid w:val="00C57C75"/>
    <w:rsid w:val="00C60F76"/>
    <w:rsid w:val="00C6102B"/>
    <w:rsid w:val="00C62B5B"/>
    <w:rsid w:val="00C6317C"/>
    <w:rsid w:val="00C6413B"/>
    <w:rsid w:val="00C6714E"/>
    <w:rsid w:val="00C706EA"/>
    <w:rsid w:val="00C7238A"/>
    <w:rsid w:val="00C73679"/>
    <w:rsid w:val="00C7399D"/>
    <w:rsid w:val="00C753FD"/>
    <w:rsid w:val="00C75E65"/>
    <w:rsid w:val="00C765F4"/>
    <w:rsid w:val="00C80F82"/>
    <w:rsid w:val="00C8103C"/>
    <w:rsid w:val="00C83079"/>
    <w:rsid w:val="00C8383A"/>
    <w:rsid w:val="00C8393F"/>
    <w:rsid w:val="00C83BDA"/>
    <w:rsid w:val="00C8452B"/>
    <w:rsid w:val="00C853DA"/>
    <w:rsid w:val="00C87F29"/>
    <w:rsid w:val="00C905A0"/>
    <w:rsid w:val="00C91059"/>
    <w:rsid w:val="00C91902"/>
    <w:rsid w:val="00C9190F"/>
    <w:rsid w:val="00C91938"/>
    <w:rsid w:val="00C922DB"/>
    <w:rsid w:val="00C92A6F"/>
    <w:rsid w:val="00C92E19"/>
    <w:rsid w:val="00C93001"/>
    <w:rsid w:val="00C94A71"/>
    <w:rsid w:val="00C94F08"/>
    <w:rsid w:val="00C95298"/>
    <w:rsid w:val="00C96F98"/>
    <w:rsid w:val="00CA00D8"/>
    <w:rsid w:val="00CA1BC7"/>
    <w:rsid w:val="00CA2DBF"/>
    <w:rsid w:val="00CA3737"/>
    <w:rsid w:val="00CA5FD9"/>
    <w:rsid w:val="00CA6159"/>
    <w:rsid w:val="00CB043D"/>
    <w:rsid w:val="00CB074F"/>
    <w:rsid w:val="00CB1449"/>
    <w:rsid w:val="00CB17CE"/>
    <w:rsid w:val="00CB41AD"/>
    <w:rsid w:val="00CB5133"/>
    <w:rsid w:val="00CB5432"/>
    <w:rsid w:val="00CB5756"/>
    <w:rsid w:val="00CB5EEA"/>
    <w:rsid w:val="00CB642C"/>
    <w:rsid w:val="00CB6DD9"/>
    <w:rsid w:val="00CB7C22"/>
    <w:rsid w:val="00CB7EC2"/>
    <w:rsid w:val="00CC0A24"/>
    <w:rsid w:val="00CC0EC9"/>
    <w:rsid w:val="00CC12EF"/>
    <w:rsid w:val="00CC14EF"/>
    <w:rsid w:val="00CC1BD5"/>
    <w:rsid w:val="00CC36B2"/>
    <w:rsid w:val="00CC3C20"/>
    <w:rsid w:val="00CC4078"/>
    <w:rsid w:val="00CC4083"/>
    <w:rsid w:val="00CC466C"/>
    <w:rsid w:val="00CC6DE9"/>
    <w:rsid w:val="00CC70C4"/>
    <w:rsid w:val="00CC7324"/>
    <w:rsid w:val="00CD1837"/>
    <w:rsid w:val="00CD29BD"/>
    <w:rsid w:val="00CD3D03"/>
    <w:rsid w:val="00CD5185"/>
    <w:rsid w:val="00CD5B67"/>
    <w:rsid w:val="00CD63F2"/>
    <w:rsid w:val="00CD6811"/>
    <w:rsid w:val="00CD6905"/>
    <w:rsid w:val="00CD71FE"/>
    <w:rsid w:val="00CD7532"/>
    <w:rsid w:val="00CE032E"/>
    <w:rsid w:val="00CE0CF4"/>
    <w:rsid w:val="00CE21E1"/>
    <w:rsid w:val="00CE37D0"/>
    <w:rsid w:val="00CE43FF"/>
    <w:rsid w:val="00CE5195"/>
    <w:rsid w:val="00CE6A35"/>
    <w:rsid w:val="00CF29B8"/>
    <w:rsid w:val="00CF3595"/>
    <w:rsid w:val="00CF487E"/>
    <w:rsid w:val="00CF4BC6"/>
    <w:rsid w:val="00CF4E1A"/>
    <w:rsid w:val="00CF5560"/>
    <w:rsid w:val="00CF5DF3"/>
    <w:rsid w:val="00CF6095"/>
    <w:rsid w:val="00CF6963"/>
    <w:rsid w:val="00CF7450"/>
    <w:rsid w:val="00D0148C"/>
    <w:rsid w:val="00D02216"/>
    <w:rsid w:val="00D0246D"/>
    <w:rsid w:val="00D0326E"/>
    <w:rsid w:val="00D0362D"/>
    <w:rsid w:val="00D038E9"/>
    <w:rsid w:val="00D03D7D"/>
    <w:rsid w:val="00D05BC9"/>
    <w:rsid w:val="00D0678A"/>
    <w:rsid w:val="00D07DD4"/>
    <w:rsid w:val="00D10080"/>
    <w:rsid w:val="00D10588"/>
    <w:rsid w:val="00D118CB"/>
    <w:rsid w:val="00D12D9E"/>
    <w:rsid w:val="00D13D8B"/>
    <w:rsid w:val="00D13E8E"/>
    <w:rsid w:val="00D14C78"/>
    <w:rsid w:val="00D15A08"/>
    <w:rsid w:val="00D168C9"/>
    <w:rsid w:val="00D16DB8"/>
    <w:rsid w:val="00D17324"/>
    <w:rsid w:val="00D17788"/>
    <w:rsid w:val="00D1789D"/>
    <w:rsid w:val="00D207D8"/>
    <w:rsid w:val="00D212DA"/>
    <w:rsid w:val="00D2376F"/>
    <w:rsid w:val="00D24E11"/>
    <w:rsid w:val="00D26D36"/>
    <w:rsid w:val="00D275CD"/>
    <w:rsid w:val="00D31090"/>
    <w:rsid w:val="00D314F7"/>
    <w:rsid w:val="00D325D3"/>
    <w:rsid w:val="00D33251"/>
    <w:rsid w:val="00D335F9"/>
    <w:rsid w:val="00D346EF"/>
    <w:rsid w:val="00D353E3"/>
    <w:rsid w:val="00D359BE"/>
    <w:rsid w:val="00D378B9"/>
    <w:rsid w:val="00D3791D"/>
    <w:rsid w:val="00D400B5"/>
    <w:rsid w:val="00D41795"/>
    <w:rsid w:val="00D41EE5"/>
    <w:rsid w:val="00D4340B"/>
    <w:rsid w:val="00D45629"/>
    <w:rsid w:val="00D45630"/>
    <w:rsid w:val="00D45D9D"/>
    <w:rsid w:val="00D4733A"/>
    <w:rsid w:val="00D50042"/>
    <w:rsid w:val="00D50837"/>
    <w:rsid w:val="00D51187"/>
    <w:rsid w:val="00D51FBA"/>
    <w:rsid w:val="00D524B8"/>
    <w:rsid w:val="00D569A1"/>
    <w:rsid w:val="00D56FA3"/>
    <w:rsid w:val="00D57126"/>
    <w:rsid w:val="00D576E3"/>
    <w:rsid w:val="00D57E44"/>
    <w:rsid w:val="00D6018C"/>
    <w:rsid w:val="00D604A0"/>
    <w:rsid w:val="00D6083A"/>
    <w:rsid w:val="00D613EE"/>
    <w:rsid w:val="00D61429"/>
    <w:rsid w:val="00D61CE7"/>
    <w:rsid w:val="00D61EFC"/>
    <w:rsid w:val="00D6284C"/>
    <w:rsid w:val="00D62DD6"/>
    <w:rsid w:val="00D6488A"/>
    <w:rsid w:val="00D656E6"/>
    <w:rsid w:val="00D65EAB"/>
    <w:rsid w:val="00D66197"/>
    <w:rsid w:val="00D66C7A"/>
    <w:rsid w:val="00D67ED9"/>
    <w:rsid w:val="00D703FE"/>
    <w:rsid w:val="00D70539"/>
    <w:rsid w:val="00D70633"/>
    <w:rsid w:val="00D71B92"/>
    <w:rsid w:val="00D72BB5"/>
    <w:rsid w:val="00D743D4"/>
    <w:rsid w:val="00D74402"/>
    <w:rsid w:val="00D744D1"/>
    <w:rsid w:val="00D75413"/>
    <w:rsid w:val="00D7545C"/>
    <w:rsid w:val="00D76EEA"/>
    <w:rsid w:val="00D801AA"/>
    <w:rsid w:val="00D803BD"/>
    <w:rsid w:val="00D80C1A"/>
    <w:rsid w:val="00D80D19"/>
    <w:rsid w:val="00D81057"/>
    <w:rsid w:val="00D82D57"/>
    <w:rsid w:val="00D83424"/>
    <w:rsid w:val="00D8444D"/>
    <w:rsid w:val="00D8520C"/>
    <w:rsid w:val="00D86A9A"/>
    <w:rsid w:val="00D8702D"/>
    <w:rsid w:val="00D876C5"/>
    <w:rsid w:val="00D90892"/>
    <w:rsid w:val="00D90C77"/>
    <w:rsid w:val="00D9188D"/>
    <w:rsid w:val="00D91B64"/>
    <w:rsid w:val="00D91FCA"/>
    <w:rsid w:val="00D92861"/>
    <w:rsid w:val="00D93C17"/>
    <w:rsid w:val="00D94420"/>
    <w:rsid w:val="00D94FF8"/>
    <w:rsid w:val="00D954E2"/>
    <w:rsid w:val="00D96251"/>
    <w:rsid w:val="00D96D3F"/>
    <w:rsid w:val="00D97239"/>
    <w:rsid w:val="00D97796"/>
    <w:rsid w:val="00DA015C"/>
    <w:rsid w:val="00DA2916"/>
    <w:rsid w:val="00DA2B55"/>
    <w:rsid w:val="00DA451B"/>
    <w:rsid w:val="00DA4551"/>
    <w:rsid w:val="00DA78DD"/>
    <w:rsid w:val="00DB02BC"/>
    <w:rsid w:val="00DB0684"/>
    <w:rsid w:val="00DB0981"/>
    <w:rsid w:val="00DB1864"/>
    <w:rsid w:val="00DB2520"/>
    <w:rsid w:val="00DB2D6F"/>
    <w:rsid w:val="00DB318A"/>
    <w:rsid w:val="00DB33AD"/>
    <w:rsid w:val="00DB39BD"/>
    <w:rsid w:val="00DB3AF5"/>
    <w:rsid w:val="00DB481D"/>
    <w:rsid w:val="00DB5110"/>
    <w:rsid w:val="00DB76E6"/>
    <w:rsid w:val="00DC0037"/>
    <w:rsid w:val="00DC274F"/>
    <w:rsid w:val="00DC3DF1"/>
    <w:rsid w:val="00DC4866"/>
    <w:rsid w:val="00DC7752"/>
    <w:rsid w:val="00DC7E60"/>
    <w:rsid w:val="00DD4620"/>
    <w:rsid w:val="00DD466B"/>
    <w:rsid w:val="00DD4A07"/>
    <w:rsid w:val="00DD565E"/>
    <w:rsid w:val="00DD5927"/>
    <w:rsid w:val="00DD5949"/>
    <w:rsid w:val="00DD5EFE"/>
    <w:rsid w:val="00DE0620"/>
    <w:rsid w:val="00DE1045"/>
    <w:rsid w:val="00DE1CF2"/>
    <w:rsid w:val="00DE2192"/>
    <w:rsid w:val="00DE26E0"/>
    <w:rsid w:val="00DE38E2"/>
    <w:rsid w:val="00DE3E69"/>
    <w:rsid w:val="00DE3F1C"/>
    <w:rsid w:val="00DE49D3"/>
    <w:rsid w:val="00DE5402"/>
    <w:rsid w:val="00DE57FB"/>
    <w:rsid w:val="00DE6DF9"/>
    <w:rsid w:val="00DE7F6A"/>
    <w:rsid w:val="00DF0924"/>
    <w:rsid w:val="00DF0D26"/>
    <w:rsid w:val="00DF4C78"/>
    <w:rsid w:val="00DF5167"/>
    <w:rsid w:val="00DF5282"/>
    <w:rsid w:val="00E003DE"/>
    <w:rsid w:val="00E023C5"/>
    <w:rsid w:val="00E06CC2"/>
    <w:rsid w:val="00E07282"/>
    <w:rsid w:val="00E07E5E"/>
    <w:rsid w:val="00E07ED2"/>
    <w:rsid w:val="00E101A2"/>
    <w:rsid w:val="00E12816"/>
    <w:rsid w:val="00E13049"/>
    <w:rsid w:val="00E14855"/>
    <w:rsid w:val="00E1569C"/>
    <w:rsid w:val="00E156F2"/>
    <w:rsid w:val="00E17964"/>
    <w:rsid w:val="00E20807"/>
    <w:rsid w:val="00E228B4"/>
    <w:rsid w:val="00E22CED"/>
    <w:rsid w:val="00E23375"/>
    <w:rsid w:val="00E23699"/>
    <w:rsid w:val="00E23701"/>
    <w:rsid w:val="00E24668"/>
    <w:rsid w:val="00E24C26"/>
    <w:rsid w:val="00E24FB8"/>
    <w:rsid w:val="00E252EE"/>
    <w:rsid w:val="00E2607D"/>
    <w:rsid w:val="00E261AE"/>
    <w:rsid w:val="00E261CB"/>
    <w:rsid w:val="00E27280"/>
    <w:rsid w:val="00E310E3"/>
    <w:rsid w:val="00E31A9A"/>
    <w:rsid w:val="00E32921"/>
    <w:rsid w:val="00E3294C"/>
    <w:rsid w:val="00E32A5D"/>
    <w:rsid w:val="00E33BB7"/>
    <w:rsid w:val="00E33E14"/>
    <w:rsid w:val="00E349C8"/>
    <w:rsid w:val="00E34E71"/>
    <w:rsid w:val="00E34FA3"/>
    <w:rsid w:val="00E35394"/>
    <w:rsid w:val="00E3702F"/>
    <w:rsid w:val="00E37156"/>
    <w:rsid w:val="00E371D3"/>
    <w:rsid w:val="00E379D1"/>
    <w:rsid w:val="00E41F42"/>
    <w:rsid w:val="00E41FE8"/>
    <w:rsid w:val="00E42335"/>
    <w:rsid w:val="00E43C63"/>
    <w:rsid w:val="00E4536D"/>
    <w:rsid w:val="00E47CD6"/>
    <w:rsid w:val="00E47FBD"/>
    <w:rsid w:val="00E50112"/>
    <w:rsid w:val="00E50753"/>
    <w:rsid w:val="00E509D4"/>
    <w:rsid w:val="00E51426"/>
    <w:rsid w:val="00E52C92"/>
    <w:rsid w:val="00E52D48"/>
    <w:rsid w:val="00E53492"/>
    <w:rsid w:val="00E54090"/>
    <w:rsid w:val="00E54F21"/>
    <w:rsid w:val="00E5545D"/>
    <w:rsid w:val="00E56158"/>
    <w:rsid w:val="00E575E4"/>
    <w:rsid w:val="00E579F0"/>
    <w:rsid w:val="00E579F8"/>
    <w:rsid w:val="00E62DFC"/>
    <w:rsid w:val="00E63936"/>
    <w:rsid w:val="00E65147"/>
    <w:rsid w:val="00E65C2C"/>
    <w:rsid w:val="00E65D99"/>
    <w:rsid w:val="00E663F3"/>
    <w:rsid w:val="00E672FF"/>
    <w:rsid w:val="00E711B3"/>
    <w:rsid w:val="00E71425"/>
    <w:rsid w:val="00E71AB9"/>
    <w:rsid w:val="00E7296B"/>
    <w:rsid w:val="00E733D4"/>
    <w:rsid w:val="00E74DFE"/>
    <w:rsid w:val="00E75DF7"/>
    <w:rsid w:val="00E7649F"/>
    <w:rsid w:val="00E768BC"/>
    <w:rsid w:val="00E80680"/>
    <w:rsid w:val="00E806F4"/>
    <w:rsid w:val="00E81A01"/>
    <w:rsid w:val="00E82471"/>
    <w:rsid w:val="00E828D3"/>
    <w:rsid w:val="00E84068"/>
    <w:rsid w:val="00E85545"/>
    <w:rsid w:val="00E8658B"/>
    <w:rsid w:val="00E87982"/>
    <w:rsid w:val="00E91C3B"/>
    <w:rsid w:val="00E91F0A"/>
    <w:rsid w:val="00E934AE"/>
    <w:rsid w:val="00E93A94"/>
    <w:rsid w:val="00E93FE4"/>
    <w:rsid w:val="00E95ADA"/>
    <w:rsid w:val="00E97C73"/>
    <w:rsid w:val="00EA18D9"/>
    <w:rsid w:val="00EA314A"/>
    <w:rsid w:val="00EA490C"/>
    <w:rsid w:val="00EA5243"/>
    <w:rsid w:val="00EA6839"/>
    <w:rsid w:val="00EB141E"/>
    <w:rsid w:val="00EB26FC"/>
    <w:rsid w:val="00EB30FE"/>
    <w:rsid w:val="00EB56AE"/>
    <w:rsid w:val="00EB6C04"/>
    <w:rsid w:val="00EC00E7"/>
    <w:rsid w:val="00EC0A14"/>
    <w:rsid w:val="00EC0BD2"/>
    <w:rsid w:val="00EC11B0"/>
    <w:rsid w:val="00EC3BE0"/>
    <w:rsid w:val="00EC5180"/>
    <w:rsid w:val="00EC521D"/>
    <w:rsid w:val="00EC54F4"/>
    <w:rsid w:val="00EC5C73"/>
    <w:rsid w:val="00EC60AD"/>
    <w:rsid w:val="00ED0685"/>
    <w:rsid w:val="00ED1501"/>
    <w:rsid w:val="00ED15F8"/>
    <w:rsid w:val="00ED3552"/>
    <w:rsid w:val="00ED4EC9"/>
    <w:rsid w:val="00ED50BF"/>
    <w:rsid w:val="00ED5B23"/>
    <w:rsid w:val="00ED6AB4"/>
    <w:rsid w:val="00EE0FC5"/>
    <w:rsid w:val="00EE1444"/>
    <w:rsid w:val="00EE1F63"/>
    <w:rsid w:val="00EE23E9"/>
    <w:rsid w:val="00EE383F"/>
    <w:rsid w:val="00EE3BCA"/>
    <w:rsid w:val="00EE545B"/>
    <w:rsid w:val="00EE61DF"/>
    <w:rsid w:val="00EE6CBF"/>
    <w:rsid w:val="00EE6D35"/>
    <w:rsid w:val="00EE6FE8"/>
    <w:rsid w:val="00EE7746"/>
    <w:rsid w:val="00EF1A21"/>
    <w:rsid w:val="00EF2500"/>
    <w:rsid w:val="00EF3999"/>
    <w:rsid w:val="00EF3B42"/>
    <w:rsid w:val="00EF42D3"/>
    <w:rsid w:val="00EF4DA5"/>
    <w:rsid w:val="00EF5E07"/>
    <w:rsid w:val="00EF72FF"/>
    <w:rsid w:val="00F00536"/>
    <w:rsid w:val="00F00C82"/>
    <w:rsid w:val="00F01021"/>
    <w:rsid w:val="00F01E2E"/>
    <w:rsid w:val="00F022DF"/>
    <w:rsid w:val="00F038DE"/>
    <w:rsid w:val="00F03AE0"/>
    <w:rsid w:val="00F048FC"/>
    <w:rsid w:val="00F04990"/>
    <w:rsid w:val="00F04C99"/>
    <w:rsid w:val="00F05659"/>
    <w:rsid w:val="00F0565A"/>
    <w:rsid w:val="00F06A5A"/>
    <w:rsid w:val="00F078E0"/>
    <w:rsid w:val="00F07CA3"/>
    <w:rsid w:val="00F1079B"/>
    <w:rsid w:val="00F1100E"/>
    <w:rsid w:val="00F116A3"/>
    <w:rsid w:val="00F12955"/>
    <w:rsid w:val="00F16607"/>
    <w:rsid w:val="00F20804"/>
    <w:rsid w:val="00F211A4"/>
    <w:rsid w:val="00F2257C"/>
    <w:rsid w:val="00F22692"/>
    <w:rsid w:val="00F2368C"/>
    <w:rsid w:val="00F2396D"/>
    <w:rsid w:val="00F23CDB"/>
    <w:rsid w:val="00F25F94"/>
    <w:rsid w:val="00F26001"/>
    <w:rsid w:val="00F27C68"/>
    <w:rsid w:val="00F3027D"/>
    <w:rsid w:val="00F30486"/>
    <w:rsid w:val="00F3158A"/>
    <w:rsid w:val="00F3441B"/>
    <w:rsid w:val="00F3713D"/>
    <w:rsid w:val="00F40D28"/>
    <w:rsid w:val="00F42B70"/>
    <w:rsid w:val="00F4424E"/>
    <w:rsid w:val="00F44253"/>
    <w:rsid w:val="00F45EC6"/>
    <w:rsid w:val="00F45F7B"/>
    <w:rsid w:val="00F46122"/>
    <w:rsid w:val="00F463F5"/>
    <w:rsid w:val="00F46B32"/>
    <w:rsid w:val="00F46B52"/>
    <w:rsid w:val="00F46EE5"/>
    <w:rsid w:val="00F5046F"/>
    <w:rsid w:val="00F50E95"/>
    <w:rsid w:val="00F50F49"/>
    <w:rsid w:val="00F51D7C"/>
    <w:rsid w:val="00F53189"/>
    <w:rsid w:val="00F54369"/>
    <w:rsid w:val="00F56BD7"/>
    <w:rsid w:val="00F57D34"/>
    <w:rsid w:val="00F61AE6"/>
    <w:rsid w:val="00F61C6E"/>
    <w:rsid w:val="00F639A6"/>
    <w:rsid w:val="00F64278"/>
    <w:rsid w:val="00F6431D"/>
    <w:rsid w:val="00F66E96"/>
    <w:rsid w:val="00F67769"/>
    <w:rsid w:val="00F67951"/>
    <w:rsid w:val="00F70904"/>
    <w:rsid w:val="00F71796"/>
    <w:rsid w:val="00F71BDA"/>
    <w:rsid w:val="00F73125"/>
    <w:rsid w:val="00F742B1"/>
    <w:rsid w:val="00F74AD7"/>
    <w:rsid w:val="00F75DA1"/>
    <w:rsid w:val="00F77D9B"/>
    <w:rsid w:val="00F8006E"/>
    <w:rsid w:val="00F806F0"/>
    <w:rsid w:val="00F80991"/>
    <w:rsid w:val="00F8147A"/>
    <w:rsid w:val="00F83739"/>
    <w:rsid w:val="00F83A2A"/>
    <w:rsid w:val="00F84309"/>
    <w:rsid w:val="00F84F1B"/>
    <w:rsid w:val="00F85766"/>
    <w:rsid w:val="00F860BE"/>
    <w:rsid w:val="00F87678"/>
    <w:rsid w:val="00F90CB6"/>
    <w:rsid w:val="00F91153"/>
    <w:rsid w:val="00F914E6"/>
    <w:rsid w:val="00F91D8B"/>
    <w:rsid w:val="00F920AB"/>
    <w:rsid w:val="00F93AD2"/>
    <w:rsid w:val="00F94A00"/>
    <w:rsid w:val="00F94A0F"/>
    <w:rsid w:val="00F95F33"/>
    <w:rsid w:val="00F96737"/>
    <w:rsid w:val="00F9676F"/>
    <w:rsid w:val="00F96D91"/>
    <w:rsid w:val="00F970FA"/>
    <w:rsid w:val="00FA0B6F"/>
    <w:rsid w:val="00FA1197"/>
    <w:rsid w:val="00FA1749"/>
    <w:rsid w:val="00FA253E"/>
    <w:rsid w:val="00FA3ED0"/>
    <w:rsid w:val="00FA4907"/>
    <w:rsid w:val="00FA51EA"/>
    <w:rsid w:val="00FA581B"/>
    <w:rsid w:val="00FA6361"/>
    <w:rsid w:val="00FA7092"/>
    <w:rsid w:val="00FB091F"/>
    <w:rsid w:val="00FB1820"/>
    <w:rsid w:val="00FB4063"/>
    <w:rsid w:val="00FB45AD"/>
    <w:rsid w:val="00FB4880"/>
    <w:rsid w:val="00FB4A4B"/>
    <w:rsid w:val="00FB4C49"/>
    <w:rsid w:val="00FB5273"/>
    <w:rsid w:val="00FB554B"/>
    <w:rsid w:val="00FB61DF"/>
    <w:rsid w:val="00FB6498"/>
    <w:rsid w:val="00FB78B9"/>
    <w:rsid w:val="00FB7975"/>
    <w:rsid w:val="00FC09DC"/>
    <w:rsid w:val="00FC13D1"/>
    <w:rsid w:val="00FC1850"/>
    <w:rsid w:val="00FC28EE"/>
    <w:rsid w:val="00FC2E71"/>
    <w:rsid w:val="00FC2E7D"/>
    <w:rsid w:val="00FC34EC"/>
    <w:rsid w:val="00FC3844"/>
    <w:rsid w:val="00FC3E53"/>
    <w:rsid w:val="00FC4695"/>
    <w:rsid w:val="00FC4EBD"/>
    <w:rsid w:val="00FC5255"/>
    <w:rsid w:val="00FC6005"/>
    <w:rsid w:val="00FC607A"/>
    <w:rsid w:val="00FC706F"/>
    <w:rsid w:val="00FC7C72"/>
    <w:rsid w:val="00FD25C8"/>
    <w:rsid w:val="00FD4235"/>
    <w:rsid w:val="00FD6D42"/>
    <w:rsid w:val="00FE06AD"/>
    <w:rsid w:val="00FE1C02"/>
    <w:rsid w:val="00FE4123"/>
    <w:rsid w:val="00FE68C4"/>
    <w:rsid w:val="00FE7DF2"/>
    <w:rsid w:val="00FF0E06"/>
    <w:rsid w:val="00FF1278"/>
    <w:rsid w:val="00FF20A0"/>
    <w:rsid w:val="00FF2896"/>
    <w:rsid w:val="00FF385C"/>
    <w:rsid w:val="00FF4904"/>
    <w:rsid w:val="00FF5038"/>
    <w:rsid w:val="00FF5A91"/>
    <w:rsid w:val="00FF5A99"/>
    <w:rsid w:val="00FF5CB6"/>
    <w:rsid w:val="00FF5D2A"/>
    <w:rsid w:val="00FF62B6"/>
    <w:rsid w:val="00FF7ACB"/>
    <w:rsid w:val="04E6CCC3"/>
    <w:rsid w:val="2F4B065F"/>
    <w:rsid w:val="5DAE66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CCC3"/>
  <w15:docId w15:val="{48A75410-15CE-4ABF-86A5-07A52C54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E71"/>
    <w:pPr>
      <w:spacing w:after="240" w:line="480" w:lineRule="auto"/>
    </w:pPr>
  </w:style>
  <w:style w:type="paragraph" w:styleId="Heading1">
    <w:name w:val="heading 1"/>
    <w:basedOn w:val="Normal"/>
    <w:next w:val="Normal"/>
    <w:link w:val="Heading1Char"/>
    <w:uiPriority w:val="9"/>
    <w:qFormat/>
    <w:rsid w:val="007F546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F546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07C3E"/>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4C314B"/>
    <w:pPr>
      <w:tabs>
        <w:tab w:val="left" w:pos="384"/>
      </w:tabs>
      <w:spacing w:line="240" w:lineRule="auto"/>
      <w:ind w:left="384" w:hanging="384"/>
    </w:pPr>
  </w:style>
  <w:style w:type="character" w:customStyle="1" w:styleId="Heading1Char">
    <w:name w:val="Heading 1 Char"/>
    <w:basedOn w:val="DefaultParagraphFont"/>
    <w:link w:val="Heading1"/>
    <w:uiPriority w:val="9"/>
    <w:rsid w:val="007F546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F546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07C3E"/>
    <w:rPr>
      <w:rFonts w:asciiTheme="majorHAnsi" w:eastAsiaTheme="majorEastAsia" w:hAnsiTheme="majorHAnsi" w:cstheme="majorBidi"/>
      <w:b/>
      <w:bCs/>
      <w:color w:val="4472C4" w:themeColor="accent1"/>
    </w:rPr>
  </w:style>
  <w:style w:type="table" w:styleId="TableGrid">
    <w:name w:val="Table Grid"/>
    <w:basedOn w:val="TableNormal"/>
    <w:uiPriority w:val="59"/>
    <w:rsid w:val="00910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4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E11"/>
    <w:rPr>
      <w:rFonts w:ascii="Tahoma" w:hAnsi="Tahoma" w:cs="Tahoma"/>
      <w:sz w:val="16"/>
      <w:szCs w:val="16"/>
    </w:rPr>
  </w:style>
  <w:style w:type="character" w:styleId="Hyperlink">
    <w:name w:val="Hyperlink"/>
    <w:basedOn w:val="DefaultParagraphFont"/>
    <w:uiPriority w:val="99"/>
    <w:unhideWhenUsed/>
    <w:rsid w:val="00311EB0"/>
    <w:rPr>
      <w:color w:val="0000FF"/>
      <w:u w:val="single"/>
    </w:rPr>
  </w:style>
  <w:style w:type="paragraph" w:customStyle="1" w:styleId="TableNote">
    <w:name w:val="TableNote"/>
    <w:basedOn w:val="Normal"/>
    <w:rsid w:val="00311EB0"/>
    <w:pPr>
      <w:spacing w:after="0" w:line="300" w:lineRule="exact"/>
    </w:pPr>
    <w:rPr>
      <w:rFonts w:ascii="Times New Roman" w:eastAsia="Times New Roman" w:hAnsi="Times New Roman" w:cs="Times New Roman"/>
      <w:sz w:val="24"/>
      <w:szCs w:val="20"/>
    </w:rPr>
  </w:style>
  <w:style w:type="paragraph" w:customStyle="1" w:styleId="TableHeader">
    <w:name w:val="TableHeader"/>
    <w:basedOn w:val="Normal"/>
    <w:rsid w:val="00311EB0"/>
    <w:pPr>
      <w:spacing w:before="120" w:after="0" w:line="240" w:lineRule="auto"/>
    </w:pPr>
    <w:rPr>
      <w:rFonts w:ascii="Times New Roman" w:eastAsia="Times New Roman" w:hAnsi="Times New Roman" w:cs="Times New Roman"/>
      <w:b/>
      <w:sz w:val="24"/>
      <w:szCs w:val="20"/>
    </w:rPr>
  </w:style>
  <w:style w:type="paragraph" w:customStyle="1" w:styleId="TableSubHead">
    <w:name w:val="TableSubHead"/>
    <w:basedOn w:val="TableHeader"/>
    <w:rsid w:val="00311EB0"/>
  </w:style>
  <w:style w:type="paragraph" w:styleId="Caption">
    <w:name w:val="caption"/>
    <w:basedOn w:val="Normal"/>
    <w:next w:val="Normal"/>
    <w:uiPriority w:val="35"/>
    <w:unhideWhenUsed/>
    <w:qFormat/>
    <w:rsid w:val="00546FB3"/>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641EF9"/>
    <w:pPr>
      <w:spacing w:before="240"/>
      <w:outlineLvl w:val="9"/>
    </w:pPr>
    <w:rPr>
      <w:b w:val="0"/>
      <w:bCs w:val="0"/>
      <w:sz w:val="32"/>
      <w:szCs w:val="32"/>
      <w:lang w:val="en-US"/>
    </w:rPr>
  </w:style>
  <w:style w:type="paragraph" w:styleId="TOC1">
    <w:name w:val="toc 1"/>
    <w:basedOn w:val="Normal"/>
    <w:next w:val="Normal"/>
    <w:autoRedefine/>
    <w:uiPriority w:val="39"/>
    <w:unhideWhenUsed/>
    <w:rsid w:val="00641EF9"/>
    <w:pPr>
      <w:spacing w:after="100"/>
    </w:pPr>
  </w:style>
  <w:style w:type="paragraph" w:styleId="TOC2">
    <w:name w:val="toc 2"/>
    <w:basedOn w:val="Normal"/>
    <w:next w:val="Normal"/>
    <w:autoRedefine/>
    <w:uiPriority w:val="39"/>
    <w:unhideWhenUsed/>
    <w:rsid w:val="00641EF9"/>
    <w:pPr>
      <w:spacing w:after="100"/>
      <w:ind w:left="220"/>
    </w:pPr>
  </w:style>
  <w:style w:type="paragraph" w:styleId="TOC3">
    <w:name w:val="toc 3"/>
    <w:basedOn w:val="Normal"/>
    <w:next w:val="Normal"/>
    <w:autoRedefine/>
    <w:uiPriority w:val="39"/>
    <w:unhideWhenUsed/>
    <w:rsid w:val="00641EF9"/>
    <w:pPr>
      <w:spacing w:after="100"/>
      <w:ind w:left="440"/>
    </w:pPr>
  </w:style>
  <w:style w:type="paragraph" w:styleId="TableofFigures">
    <w:name w:val="table of figures"/>
    <w:basedOn w:val="Normal"/>
    <w:next w:val="Normal"/>
    <w:uiPriority w:val="99"/>
    <w:unhideWhenUsed/>
    <w:rsid w:val="009B3092"/>
    <w:pPr>
      <w:spacing w:after="0"/>
    </w:pPr>
  </w:style>
  <w:style w:type="character" w:styleId="CommentReference">
    <w:name w:val="annotation reference"/>
    <w:basedOn w:val="DefaultParagraphFont"/>
    <w:uiPriority w:val="99"/>
    <w:semiHidden/>
    <w:unhideWhenUsed/>
    <w:rsid w:val="00E101A2"/>
    <w:rPr>
      <w:sz w:val="16"/>
      <w:szCs w:val="16"/>
    </w:rPr>
  </w:style>
  <w:style w:type="paragraph" w:styleId="CommentText">
    <w:name w:val="annotation text"/>
    <w:basedOn w:val="Normal"/>
    <w:link w:val="CommentTextChar"/>
    <w:uiPriority w:val="99"/>
    <w:unhideWhenUsed/>
    <w:rsid w:val="00E101A2"/>
    <w:pPr>
      <w:spacing w:line="240" w:lineRule="auto"/>
    </w:pPr>
    <w:rPr>
      <w:sz w:val="20"/>
      <w:szCs w:val="20"/>
    </w:rPr>
  </w:style>
  <w:style w:type="character" w:customStyle="1" w:styleId="CommentTextChar">
    <w:name w:val="Comment Text Char"/>
    <w:basedOn w:val="DefaultParagraphFont"/>
    <w:link w:val="CommentText"/>
    <w:uiPriority w:val="99"/>
    <w:rsid w:val="00E101A2"/>
    <w:rPr>
      <w:sz w:val="20"/>
      <w:szCs w:val="20"/>
    </w:rPr>
  </w:style>
  <w:style w:type="paragraph" w:styleId="CommentSubject">
    <w:name w:val="annotation subject"/>
    <w:basedOn w:val="CommentText"/>
    <w:next w:val="CommentText"/>
    <w:link w:val="CommentSubjectChar"/>
    <w:uiPriority w:val="99"/>
    <w:semiHidden/>
    <w:unhideWhenUsed/>
    <w:rsid w:val="00E101A2"/>
    <w:rPr>
      <w:b/>
      <w:bCs/>
    </w:rPr>
  </w:style>
  <w:style w:type="character" w:customStyle="1" w:styleId="CommentSubjectChar">
    <w:name w:val="Comment Subject Char"/>
    <w:basedOn w:val="CommentTextChar"/>
    <w:link w:val="CommentSubject"/>
    <w:uiPriority w:val="99"/>
    <w:semiHidden/>
    <w:rsid w:val="00E101A2"/>
    <w:rPr>
      <w:b/>
      <w:bCs/>
      <w:sz w:val="20"/>
      <w:szCs w:val="20"/>
    </w:rPr>
  </w:style>
  <w:style w:type="character" w:styleId="UnresolvedMention">
    <w:name w:val="Unresolved Mention"/>
    <w:basedOn w:val="DefaultParagraphFont"/>
    <w:uiPriority w:val="99"/>
    <w:semiHidden/>
    <w:unhideWhenUsed/>
    <w:rsid w:val="001142A8"/>
    <w:rPr>
      <w:color w:val="605E5C"/>
      <w:shd w:val="clear" w:color="auto" w:fill="E1DFDD"/>
    </w:rPr>
  </w:style>
  <w:style w:type="character" w:styleId="FollowedHyperlink">
    <w:name w:val="FollowedHyperlink"/>
    <w:basedOn w:val="DefaultParagraphFont"/>
    <w:uiPriority w:val="99"/>
    <w:semiHidden/>
    <w:unhideWhenUsed/>
    <w:rsid w:val="00043FFA"/>
    <w:rPr>
      <w:color w:val="954F72" w:themeColor="followedHyperlink"/>
      <w:u w:val="single"/>
    </w:rPr>
  </w:style>
  <w:style w:type="paragraph" w:styleId="Revision">
    <w:name w:val="Revision"/>
    <w:hidden/>
    <w:uiPriority w:val="99"/>
    <w:semiHidden/>
    <w:rsid w:val="00BD502A"/>
    <w:pPr>
      <w:spacing w:after="0" w:line="240" w:lineRule="auto"/>
    </w:pPr>
  </w:style>
  <w:style w:type="paragraph" w:styleId="NoSpacing">
    <w:name w:val="No Spacing"/>
    <w:uiPriority w:val="1"/>
    <w:qFormat/>
    <w:rsid w:val="00A1026B"/>
    <w:pPr>
      <w:spacing w:after="0" w:line="240" w:lineRule="auto"/>
    </w:pPr>
  </w:style>
  <w:style w:type="paragraph" w:styleId="ListParagraph">
    <w:name w:val="List Paragraph"/>
    <w:basedOn w:val="Normal"/>
    <w:uiPriority w:val="34"/>
    <w:qFormat/>
    <w:rsid w:val="000B78A0"/>
    <w:pPr>
      <w:ind w:left="720"/>
      <w:contextualSpacing/>
    </w:pPr>
  </w:style>
  <w:style w:type="paragraph" w:styleId="Header">
    <w:name w:val="header"/>
    <w:basedOn w:val="Normal"/>
    <w:link w:val="HeaderChar"/>
    <w:uiPriority w:val="99"/>
    <w:unhideWhenUsed/>
    <w:rsid w:val="00F83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739"/>
  </w:style>
  <w:style w:type="paragraph" w:styleId="Footer">
    <w:name w:val="footer"/>
    <w:basedOn w:val="Normal"/>
    <w:link w:val="FooterChar"/>
    <w:uiPriority w:val="99"/>
    <w:unhideWhenUsed/>
    <w:rsid w:val="00F83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739"/>
  </w:style>
  <w:style w:type="character" w:styleId="LineNumber">
    <w:name w:val="line number"/>
    <w:basedOn w:val="DefaultParagraphFont"/>
    <w:uiPriority w:val="99"/>
    <w:semiHidden/>
    <w:unhideWhenUsed/>
    <w:rsid w:val="00F53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06985">
      <w:bodyDiv w:val="1"/>
      <w:marLeft w:val="0"/>
      <w:marRight w:val="0"/>
      <w:marTop w:val="0"/>
      <w:marBottom w:val="0"/>
      <w:divBdr>
        <w:top w:val="none" w:sz="0" w:space="0" w:color="auto"/>
        <w:left w:val="none" w:sz="0" w:space="0" w:color="auto"/>
        <w:bottom w:val="none" w:sz="0" w:space="0" w:color="auto"/>
        <w:right w:val="none" w:sz="0" w:space="0" w:color="auto"/>
      </w:divBdr>
    </w:div>
    <w:div w:id="135493964">
      <w:bodyDiv w:val="1"/>
      <w:marLeft w:val="0"/>
      <w:marRight w:val="0"/>
      <w:marTop w:val="0"/>
      <w:marBottom w:val="0"/>
      <w:divBdr>
        <w:top w:val="none" w:sz="0" w:space="0" w:color="auto"/>
        <w:left w:val="none" w:sz="0" w:space="0" w:color="auto"/>
        <w:bottom w:val="none" w:sz="0" w:space="0" w:color="auto"/>
        <w:right w:val="none" w:sz="0" w:space="0" w:color="auto"/>
      </w:divBdr>
    </w:div>
    <w:div w:id="440880670">
      <w:bodyDiv w:val="1"/>
      <w:marLeft w:val="0"/>
      <w:marRight w:val="0"/>
      <w:marTop w:val="0"/>
      <w:marBottom w:val="0"/>
      <w:divBdr>
        <w:top w:val="none" w:sz="0" w:space="0" w:color="auto"/>
        <w:left w:val="none" w:sz="0" w:space="0" w:color="auto"/>
        <w:bottom w:val="none" w:sz="0" w:space="0" w:color="auto"/>
        <w:right w:val="none" w:sz="0" w:space="0" w:color="auto"/>
      </w:divBdr>
    </w:div>
    <w:div w:id="470632850">
      <w:bodyDiv w:val="1"/>
      <w:marLeft w:val="0"/>
      <w:marRight w:val="0"/>
      <w:marTop w:val="0"/>
      <w:marBottom w:val="0"/>
      <w:divBdr>
        <w:top w:val="none" w:sz="0" w:space="0" w:color="auto"/>
        <w:left w:val="none" w:sz="0" w:space="0" w:color="auto"/>
        <w:bottom w:val="none" w:sz="0" w:space="0" w:color="auto"/>
        <w:right w:val="none" w:sz="0" w:space="0" w:color="auto"/>
      </w:divBdr>
    </w:div>
    <w:div w:id="920529332">
      <w:bodyDiv w:val="1"/>
      <w:marLeft w:val="0"/>
      <w:marRight w:val="0"/>
      <w:marTop w:val="0"/>
      <w:marBottom w:val="0"/>
      <w:divBdr>
        <w:top w:val="none" w:sz="0" w:space="0" w:color="auto"/>
        <w:left w:val="none" w:sz="0" w:space="0" w:color="auto"/>
        <w:bottom w:val="none" w:sz="0" w:space="0" w:color="auto"/>
        <w:right w:val="none" w:sz="0" w:space="0" w:color="auto"/>
      </w:divBdr>
    </w:div>
    <w:div w:id="948898790">
      <w:bodyDiv w:val="1"/>
      <w:marLeft w:val="0"/>
      <w:marRight w:val="0"/>
      <w:marTop w:val="0"/>
      <w:marBottom w:val="0"/>
      <w:divBdr>
        <w:top w:val="none" w:sz="0" w:space="0" w:color="auto"/>
        <w:left w:val="none" w:sz="0" w:space="0" w:color="auto"/>
        <w:bottom w:val="none" w:sz="0" w:space="0" w:color="auto"/>
        <w:right w:val="none" w:sz="0" w:space="0" w:color="auto"/>
      </w:divBdr>
    </w:div>
    <w:div w:id="1414353144">
      <w:bodyDiv w:val="1"/>
      <w:marLeft w:val="0"/>
      <w:marRight w:val="0"/>
      <w:marTop w:val="0"/>
      <w:marBottom w:val="0"/>
      <w:divBdr>
        <w:top w:val="none" w:sz="0" w:space="0" w:color="auto"/>
        <w:left w:val="none" w:sz="0" w:space="0" w:color="auto"/>
        <w:bottom w:val="none" w:sz="0" w:space="0" w:color="auto"/>
        <w:right w:val="none" w:sz="0" w:space="0" w:color="auto"/>
      </w:divBdr>
    </w:div>
    <w:div w:id="1664814793">
      <w:bodyDiv w:val="1"/>
      <w:marLeft w:val="0"/>
      <w:marRight w:val="0"/>
      <w:marTop w:val="0"/>
      <w:marBottom w:val="0"/>
      <w:divBdr>
        <w:top w:val="none" w:sz="0" w:space="0" w:color="auto"/>
        <w:left w:val="none" w:sz="0" w:space="0" w:color="auto"/>
        <w:bottom w:val="none" w:sz="0" w:space="0" w:color="auto"/>
        <w:right w:val="none" w:sz="0" w:space="0" w:color="auto"/>
      </w:divBdr>
    </w:div>
    <w:div w:id="1731733403">
      <w:bodyDiv w:val="1"/>
      <w:marLeft w:val="0"/>
      <w:marRight w:val="0"/>
      <w:marTop w:val="0"/>
      <w:marBottom w:val="0"/>
      <w:divBdr>
        <w:top w:val="none" w:sz="0" w:space="0" w:color="auto"/>
        <w:left w:val="none" w:sz="0" w:space="0" w:color="auto"/>
        <w:bottom w:val="none" w:sz="0" w:space="0" w:color="auto"/>
        <w:right w:val="none" w:sz="0" w:space="0" w:color="auto"/>
      </w:divBdr>
    </w:div>
    <w:div w:id="1884905183">
      <w:bodyDiv w:val="1"/>
      <w:marLeft w:val="0"/>
      <w:marRight w:val="0"/>
      <w:marTop w:val="0"/>
      <w:marBottom w:val="0"/>
      <w:divBdr>
        <w:top w:val="none" w:sz="0" w:space="0" w:color="auto"/>
        <w:left w:val="none" w:sz="0" w:space="0" w:color="auto"/>
        <w:bottom w:val="none" w:sz="0" w:space="0" w:color="auto"/>
        <w:right w:val="none" w:sz="0" w:space="0" w:color="auto"/>
      </w:divBdr>
    </w:div>
    <w:div w:id="197598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69386-07EF-4013-9D8D-20A343B6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31</Pages>
  <Words>13082</Words>
  <Characters>74573</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87481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David</dc:creator>
  <cp:keywords/>
  <cp:lastModifiedBy>Young, David</cp:lastModifiedBy>
  <cp:revision>13</cp:revision>
  <cp:lastPrinted>2024-04-02T09:56:00Z</cp:lastPrinted>
  <dcterms:created xsi:type="dcterms:W3CDTF">2024-04-02T09:21:00Z</dcterms:created>
  <dcterms:modified xsi:type="dcterms:W3CDTF">2024-04-02T10:43:00Z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id="fsBbYQWB"/&gt;&lt;style id="http://www.zotero.org/styles/ieee" locale="en-GB" hasBibliography="1" bibliographyStyleHasBeenSet="0"/&gt;&lt;prefs&gt;&lt;pref name="fieldType" value="Field"/&gt;&lt;/prefs&gt;&lt;/data&gt;</vt:lpwstr>
  </property>
  <property fmtid="{D5CDD505-2E9C-101B-9397-08002B2CF9AE}" pid="3" name="ExcludedWords">
    <vt:i4>4791</vt:i4>
  </property>
</Properties>
</file>