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1C82" w14:textId="5A2C3238" w:rsidR="005D1133" w:rsidRDefault="003A34DE" w:rsidP="005B4364">
      <w:pPr>
        <w:spacing w:line="360" w:lineRule="auto"/>
        <w:rPr>
          <w:rFonts w:cstheme="minorHAnsi"/>
          <w:b/>
          <w:bCs/>
          <w:sz w:val="28"/>
          <w:szCs w:val="28"/>
        </w:rPr>
      </w:pPr>
      <w:bookmarkStart w:id="0" w:name="_Hlk210374312"/>
      <w:r w:rsidRPr="00B75DCF">
        <w:rPr>
          <w:rFonts w:cstheme="minorHAnsi"/>
          <w:b/>
          <w:bCs/>
          <w:sz w:val="28"/>
          <w:szCs w:val="28"/>
        </w:rPr>
        <w:t>Cost-utility analysis of TAVI vs surgery in low-risk patients with severe aortic stenosis in the U</w:t>
      </w:r>
      <w:commentRangeStart w:id="1"/>
      <w:commentRangeStart w:id="2"/>
      <w:r w:rsidRPr="00B75DCF">
        <w:rPr>
          <w:rFonts w:cstheme="minorHAnsi"/>
          <w:b/>
          <w:bCs/>
          <w:sz w:val="28"/>
          <w:szCs w:val="28"/>
        </w:rPr>
        <w:t>K</w:t>
      </w:r>
      <w:commentRangeEnd w:id="1"/>
      <w:r w:rsidR="0048155F">
        <w:rPr>
          <w:rStyle w:val="CommentReference"/>
        </w:rPr>
        <w:commentReference w:id="1"/>
      </w:r>
      <w:commentRangeEnd w:id="2"/>
      <w:r w:rsidR="00115E8B">
        <w:rPr>
          <w:rStyle w:val="CommentReference"/>
        </w:rPr>
        <w:commentReference w:id="2"/>
      </w:r>
    </w:p>
    <w:p w14:paraId="2775E397" w14:textId="160E77B5" w:rsidR="00115E8B" w:rsidRPr="00115E8B" w:rsidRDefault="00115E8B" w:rsidP="005B4364">
      <w:pPr>
        <w:spacing w:line="360" w:lineRule="auto"/>
        <w:rPr>
          <w:rFonts w:cstheme="minorHAnsi"/>
        </w:rPr>
      </w:pPr>
      <w:r>
        <w:rPr>
          <w:rFonts w:cstheme="minorHAnsi"/>
        </w:rPr>
        <w:t>Cost-utility of TAVI for severe aortic stenosis in the UK</w:t>
      </w:r>
    </w:p>
    <w:p w14:paraId="692F8B8D" w14:textId="06657E21" w:rsidR="0049720A" w:rsidRPr="00B75DCF" w:rsidRDefault="003A34DE" w:rsidP="005B4364">
      <w:pPr>
        <w:spacing w:line="360" w:lineRule="auto"/>
        <w:rPr>
          <w:vertAlign w:val="superscript"/>
        </w:rPr>
      </w:pPr>
      <w:r w:rsidRPr="00B75DCF">
        <w:rPr>
          <w:b/>
          <w:bCs/>
        </w:rPr>
        <w:t>Authors:</w:t>
      </w:r>
      <w:r w:rsidRPr="00B75DCF">
        <w:t xml:space="preserve"> </w:t>
      </w:r>
      <w:r w:rsidR="0099754B" w:rsidRPr="00B75DCF">
        <w:t>Nick Curzen PhD</w:t>
      </w:r>
      <w:r w:rsidR="009E3776">
        <w:rPr>
          <w:vertAlign w:val="superscript"/>
        </w:rPr>
        <w:t>1,2</w:t>
      </w:r>
      <w:r w:rsidR="0099754B">
        <w:t xml:space="preserve">, </w:t>
      </w:r>
      <w:r w:rsidR="000E4D27" w:rsidRPr="0099754B">
        <w:t>Pascal</w:t>
      </w:r>
      <w:r w:rsidR="000E4D27" w:rsidRPr="00B75DCF">
        <w:t xml:space="preserve"> Candolfi PhD</w:t>
      </w:r>
      <w:r w:rsidR="009E3776">
        <w:rPr>
          <w:vertAlign w:val="superscript"/>
        </w:rPr>
        <w:t>3</w:t>
      </w:r>
      <w:r w:rsidR="000E4D27">
        <w:t xml:space="preserve">, </w:t>
      </w:r>
      <w:r w:rsidR="00C21229" w:rsidRPr="00B75DCF">
        <w:t xml:space="preserve">Philip </w:t>
      </w:r>
      <w:proofErr w:type="spellStart"/>
      <w:r w:rsidR="00C21229" w:rsidRPr="00B75DCF">
        <w:t>MacCarthy</w:t>
      </w:r>
      <w:proofErr w:type="spellEnd"/>
      <w:r w:rsidR="00535F12" w:rsidRPr="00B75DCF">
        <w:t xml:space="preserve"> MD</w:t>
      </w:r>
      <w:r w:rsidR="009E3776">
        <w:rPr>
          <w:vertAlign w:val="superscript"/>
        </w:rPr>
        <w:t>4</w:t>
      </w:r>
      <w:r w:rsidR="000070E1" w:rsidRPr="00B75DCF">
        <w:t xml:space="preserve">, </w:t>
      </w:r>
      <w:r w:rsidR="001366EF" w:rsidRPr="00B75DCF">
        <w:t>C</w:t>
      </w:r>
      <w:r w:rsidR="009E62D7" w:rsidRPr="00B75DCF">
        <w:t>linton T Lloyd</w:t>
      </w:r>
      <w:r w:rsidR="0093531C" w:rsidRPr="00B75DCF">
        <w:t xml:space="preserve"> MD</w:t>
      </w:r>
      <w:r w:rsidR="009E3776">
        <w:rPr>
          <w:vertAlign w:val="superscript"/>
        </w:rPr>
        <w:t>5</w:t>
      </w:r>
      <w:r w:rsidRPr="00B75DCF">
        <w:t>,</w:t>
      </w:r>
      <w:r w:rsidR="003A239A" w:rsidRPr="00B75DCF">
        <w:t xml:space="preserve"> </w:t>
      </w:r>
      <w:r w:rsidR="00D92D58" w:rsidRPr="00B75DCF">
        <w:t xml:space="preserve">Muhammad </w:t>
      </w:r>
      <w:proofErr w:type="spellStart"/>
      <w:r w:rsidR="00D92D58" w:rsidRPr="00B75DCF">
        <w:t>Aetesam-Ur-Rahman</w:t>
      </w:r>
      <w:proofErr w:type="spellEnd"/>
      <w:r w:rsidR="001366EF" w:rsidRPr="00B75DCF">
        <w:t xml:space="preserve"> MD</w:t>
      </w:r>
      <w:r w:rsidR="009E3776">
        <w:rPr>
          <w:vertAlign w:val="superscript"/>
        </w:rPr>
        <w:t>6</w:t>
      </w:r>
      <w:r w:rsidR="001366EF" w:rsidRPr="00B75DCF">
        <w:t xml:space="preserve">, </w:t>
      </w:r>
      <w:r w:rsidR="002328EF" w:rsidRPr="00B75DCF">
        <w:t>Tom Bromilow MSc</w:t>
      </w:r>
      <w:r w:rsidR="009E3776">
        <w:rPr>
          <w:vertAlign w:val="superscript"/>
        </w:rPr>
        <w:t>7</w:t>
      </w:r>
      <w:r w:rsidRPr="00B75DCF">
        <w:t>,</w:t>
      </w:r>
      <w:r w:rsidR="00F0672C" w:rsidRPr="00B75DCF">
        <w:t xml:space="preserve"> </w:t>
      </w:r>
      <w:r w:rsidR="00F7668C" w:rsidRPr="00B75DCF">
        <w:t>Valentina Sellitto</w:t>
      </w:r>
      <w:r w:rsidR="00CC354D" w:rsidRPr="00B75DCF">
        <w:t xml:space="preserve"> MSc</w:t>
      </w:r>
      <w:r w:rsidR="00925FF5">
        <w:rPr>
          <w:vertAlign w:val="superscript"/>
        </w:rPr>
        <w:t>8</w:t>
      </w:r>
      <w:r w:rsidR="00F0672C" w:rsidRPr="00B75DCF">
        <w:t xml:space="preserve">, </w:t>
      </w:r>
      <w:r w:rsidR="0099754B" w:rsidRPr="00B75DCF">
        <w:t>Daniel J Blackman MD</w:t>
      </w:r>
      <w:r w:rsidR="00925FF5">
        <w:rPr>
          <w:vertAlign w:val="superscript"/>
        </w:rPr>
        <w:t>9</w:t>
      </w:r>
    </w:p>
    <w:p w14:paraId="57E1B1BF" w14:textId="77777777" w:rsidR="009E3776" w:rsidRDefault="003A34DE" w:rsidP="000E4D27">
      <w:pPr>
        <w:spacing w:line="360" w:lineRule="auto"/>
      </w:pPr>
      <w:r w:rsidRPr="00B75DCF">
        <w:rPr>
          <w:b/>
          <w:bCs/>
        </w:rPr>
        <w:t>Affiliations:</w:t>
      </w:r>
      <w:r w:rsidRPr="00B75DCF">
        <w:t xml:space="preserve"> </w:t>
      </w:r>
    </w:p>
    <w:p w14:paraId="328CB731" w14:textId="7BF8BCD4" w:rsidR="009E3776" w:rsidRDefault="009E3776" w:rsidP="009E3776">
      <w:pPr>
        <w:spacing w:line="360" w:lineRule="auto"/>
      </w:pPr>
      <w:r>
        <w:rPr>
          <w:vertAlign w:val="superscript"/>
        </w:rPr>
        <w:t>1</w:t>
      </w:r>
      <w:r>
        <w:t xml:space="preserve">University of Southampton Faculty of Medicine, Southampton, </w:t>
      </w:r>
      <w:proofErr w:type="gramStart"/>
      <w:r>
        <w:t>UK;</w:t>
      </w:r>
      <w:proofErr w:type="gramEnd"/>
    </w:p>
    <w:p w14:paraId="5B5C98A2" w14:textId="41C3E8AB" w:rsidR="009E3776" w:rsidRDefault="009E3776" w:rsidP="009E3776">
      <w:pPr>
        <w:spacing w:line="360" w:lineRule="auto"/>
      </w:pPr>
      <w:r>
        <w:rPr>
          <w:vertAlign w:val="superscript"/>
        </w:rPr>
        <w:t>2</w:t>
      </w:r>
      <w:r>
        <w:t xml:space="preserve">Cardiothoracic Unit, University Hospital Southampton NHS Trust, Southampton, </w:t>
      </w:r>
      <w:proofErr w:type="gramStart"/>
      <w:r>
        <w:t>UK;</w:t>
      </w:r>
      <w:proofErr w:type="gramEnd"/>
    </w:p>
    <w:p w14:paraId="536369E3" w14:textId="7D67E305" w:rsidR="0099754B" w:rsidRDefault="009E3776" w:rsidP="000E4D27">
      <w:pPr>
        <w:spacing w:line="360" w:lineRule="auto"/>
      </w:pPr>
      <w:r w:rsidRPr="00925FF5">
        <w:rPr>
          <w:vertAlign w:val="superscript"/>
        </w:rPr>
        <w:t>3</w:t>
      </w:r>
      <w:r w:rsidR="000E4D27" w:rsidRPr="00B75DCF">
        <w:t xml:space="preserve">Edwards Lifesciences, Nyon, </w:t>
      </w:r>
      <w:proofErr w:type="gramStart"/>
      <w:r w:rsidR="000E4D27" w:rsidRPr="00B75DCF">
        <w:t>Switzerland</w:t>
      </w:r>
      <w:r w:rsidR="000E4D27">
        <w:t>;</w:t>
      </w:r>
      <w:proofErr w:type="gramEnd"/>
    </w:p>
    <w:p w14:paraId="7DB05B91" w14:textId="77777777" w:rsidR="00925FF5" w:rsidRDefault="00925FF5" w:rsidP="00925FF5">
      <w:pPr>
        <w:spacing w:line="360" w:lineRule="auto"/>
      </w:pPr>
      <w:r>
        <w:rPr>
          <w:vertAlign w:val="superscript"/>
        </w:rPr>
        <w:t>4</w:t>
      </w:r>
      <w:r w:rsidRPr="00B75DCF">
        <w:t xml:space="preserve">King’s College Hospital, London, </w:t>
      </w:r>
      <w:proofErr w:type="gramStart"/>
      <w:r w:rsidRPr="00B75DCF">
        <w:t>UK;</w:t>
      </w:r>
      <w:proofErr w:type="gramEnd"/>
    </w:p>
    <w:p w14:paraId="5EB91327" w14:textId="67451772" w:rsidR="00925FF5" w:rsidRDefault="00925FF5" w:rsidP="00925FF5">
      <w:pPr>
        <w:spacing w:line="360" w:lineRule="auto"/>
      </w:pPr>
      <w:r>
        <w:rPr>
          <w:vertAlign w:val="superscript"/>
        </w:rPr>
        <w:t>5</w:t>
      </w:r>
      <w:r w:rsidRPr="00B75DCF">
        <w:t xml:space="preserve">University Hospitals Plymouth NHS Trust, Plymouth, </w:t>
      </w:r>
      <w:proofErr w:type="gramStart"/>
      <w:r w:rsidRPr="00B75DCF">
        <w:t>UK;</w:t>
      </w:r>
      <w:proofErr w:type="gramEnd"/>
    </w:p>
    <w:p w14:paraId="40D7401D" w14:textId="0DD74347" w:rsidR="00925FF5" w:rsidRDefault="00925FF5" w:rsidP="00925FF5">
      <w:pPr>
        <w:spacing w:line="360" w:lineRule="auto"/>
      </w:pPr>
      <w:r>
        <w:rPr>
          <w:vertAlign w:val="superscript"/>
        </w:rPr>
        <w:t>6</w:t>
      </w:r>
      <w:r w:rsidRPr="00B75DCF">
        <w:t>Sheffield Teaching Hospitals NHS FT, Sheffield</w:t>
      </w:r>
      <w:r>
        <w:t>,</w:t>
      </w:r>
      <w:r w:rsidRPr="00B75DCF">
        <w:t xml:space="preserve"> </w:t>
      </w:r>
      <w:proofErr w:type="gramStart"/>
      <w:r w:rsidRPr="00B75DCF">
        <w:t>UK;</w:t>
      </w:r>
      <w:proofErr w:type="gramEnd"/>
      <w:r w:rsidRPr="00B75DCF">
        <w:t xml:space="preserve"> </w:t>
      </w:r>
    </w:p>
    <w:p w14:paraId="38FEBE0A" w14:textId="77777777" w:rsidR="00925FF5" w:rsidRDefault="00925FF5" w:rsidP="00925FF5">
      <w:pPr>
        <w:spacing w:line="360" w:lineRule="auto"/>
      </w:pPr>
      <w:r>
        <w:rPr>
          <w:vertAlign w:val="superscript"/>
        </w:rPr>
        <w:t>7</w:t>
      </w:r>
      <w:r w:rsidRPr="00B75DCF">
        <w:t xml:space="preserve">York Health Economics Consortium, University of York, York, </w:t>
      </w:r>
      <w:proofErr w:type="gramStart"/>
      <w:r w:rsidRPr="00B75DCF">
        <w:t>UK;</w:t>
      </w:r>
      <w:proofErr w:type="gramEnd"/>
      <w:r w:rsidRPr="00B75DCF">
        <w:t xml:space="preserve"> </w:t>
      </w:r>
    </w:p>
    <w:p w14:paraId="6B2835AD" w14:textId="77777777" w:rsidR="00925FF5" w:rsidRDefault="00925FF5" w:rsidP="00925FF5">
      <w:pPr>
        <w:spacing w:line="360" w:lineRule="auto"/>
      </w:pPr>
      <w:r>
        <w:rPr>
          <w:vertAlign w:val="superscript"/>
        </w:rPr>
        <w:t>8</w:t>
      </w:r>
      <w:r w:rsidRPr="00B75DCF">
        <w:t xml:space="preserve">Edwards Lifesciences, Milan, </w:t>
      </w:r>
      <w:proofErr w:type="gramStart"/>
      <w:r w:rsidRPr="00B75DCF">
        <w:t>Italy</w:t>
      </w:r>
      <w:r>
        <w:t>;</w:t>
      </w:r>
      <w:proofErr w:type="gramEnd"/>
      <w:r w:rsidRPr="00B75DCF">
        <w:t xml:space="preserve"> </w:t>
      </w:r>
    </w:p>
    <w:p w14:paraId="286134E2" w14:textId="77778306" w:rsidR="0099754B" w:rsidRDefault="00925FF5" w:rsidP="000E4D27">
      <w:pPr>
        <w:spacing w:line="360" w:lineRule="auto"/>
      </w:pPr>
      <w:r>
        <w:rPr>
          <w:vertAlign w:val="superscript"/>
        </w:rPr>
        <w:t>9</w:t>
      </w:r>
      <w:r w:rsidR="003A239A" w:rsidRPr="00B75DCF">
        <w:t xml:space="preserve">Leeds </w:t>
      </w:r>
      <w:r w:rsidR="005F534A" w:rsidRPr="00B75DCF">
        <w:t>Teaching Hospital</w:t>
      </w:r>
      <w:r w:rsidR="0044395C" w:rsidRPr="00B75DCF">
        <w:t>s</w:t>
      </w:r>
      <w:r w:rsidR="005F534A" w:rsidRPr="00B75DCF">
        <w:t xml:space="preserve"> NHS Trust</w:t>
      </w:r>
      <w:r w:rsidR="0093531C" w:rsidRPr="00B75DCF">
        <w:t xml:space="preserve">, </w:t>
      </w:r>
      <w:r w:rsidR="00D1244B" w:rsidRPr="00B75DCF">
        <w:t>Leeds, UK</w:t>
      </w:r>
      <w:r w:rsidR="00C741E6">
        <w:t>.</w:t>
      </w:r>
    </w:p>
    <w:p w14:paraId="0CB73A8F" w14:textId="4E8A637E" w:rsidR="0049720A" w:rsidRPr="00B75DCF" w:rsidRDefault="0049720A" w:rsidP="005B4364">
      <w:pPr>
        <w:spacing w:line="360" w:lineRule="auto"/>
      </w:pPr>
    </w:p>
    <w:p w14:paraId="7A65A93B" w14:textId="77777777" w:rsidR="005B4364" w:rsidRPr="00B75DCF" w:rsidRDefault="003A34DE" w:rsidP="005B4364">
      <w:pPr>
        <w:spacing w:line="360" w:lineRule="auto"/>
      </w:pPr>
      <w:r w:rsidRPr="00B75DCF">
        <w:rPr>
          <w:b/>
          <w:bCs/>
        </w:rPr>
        <w:t>Author for c</w:t>
      </w:r>
      <w:r w:rsidR="00D4672A" w:rsidRPr="00B75DCF">
        <w:rPr>
          <w:b/>
          <w:bCs/>
        </w:rPr>
        <w:t>orrespondence</w:t>
      </w:r>
      <w:r w:rsidR="009F7E39" w:rsidRPr="00B75DCF">
        <w:rPr>
          <w:b/>
          <w:bCs/>
        </w:rPr>
        <w:t>:</w:t>
      </w:r>
      <w:r w:rsidR="00A539C6" w:rsidRPr="00B75DCF">
        <w:t xml:space="preserve"> </w:t>
      </w:r>
    </w:p>
    <w:p w14:paraId="27C7E70C" w14:textId="65F7963C" w:rsidR="006E3F01" w:rsidRPr="00B75DCF" w:rsidRDefault="003F18BA" w:rsidP="005B4364">
      <w:pPr>
        <w:spacing w:line="360" w:lineRule="auto"/>
      </w:pPr>
      <w:r w:rsidRPr="00B75DCF">
        <w:t>Dr Pascal Candolfi</w:t>
      </w:r>
    </w:p>
    <w:p w14:paraId="270CF3CA" w14:textId="77777777" w:rsidR="006E3F01" w:rsidRPr="00B75DCF" w:rsidRDefault="006E3F01" w:rsidP="006E3F01">
      <w:pPr>
        <w:spacing w:after="120" w:line="480" w:lineRule="auto"/>
        <w:rPr>
          <w:rFonts w:ascii="Calibri" w:hAnsi="Calibri" w:cs="Calibri"/>
        </w:rPr>
      </w:pPr>
      <w:r w:rsidRPr="00B75DCF">
        <w:rPr>
          <w:rFonts w:ascii="Calibri" w:hAnsi="Calibri" w:cs="Calibri"/>
        </w:rPr>
        <w:t xml:space="preserve">Edwards Lifesciences </w:t>
      </w:r>
      <w:proofErr w:type="spellStart"/>
      <w:r w:rsidRPr="00B75DCF">
        <w:rPr>
          <w:rFonts w:ascii="Calibri" w:hAnsi="Calibri" w:cs="Calibri"/>
        </w:rPr>
        <w:t>Sàrl</w:t>
      </w:r>
      <w:proofErr w:type="spellEnd"/>
      <w:r w:rsidRPr="00B75DCF">
        <w:rPr>
          <w:rFonts w:ascii="Calibri" w:hAnsi="Calibri" w:cs="Calibri"/>
        </w:rPr>
        <w:t>, Nyon, Switzerland</w:t>
      </w:r>
    </w:p>
    <w:p w14:paraId="36F14E05" w14:textId="77777777" w:rsidR="006E3F01" w:rsidRPr="00B75DCF" w:rsidRDefault="006E3F01" w:rsidP="006E3F01">
      <w:pPr>
        <w:spacing w:after="120" w:line="480" w:lineRule="auto"/>
        <w:rPr>
          <w:rFonts w:ascii="Calibri" w:hAnsi="Calibri" w:cs="Calibri"/>
        </w:rPr>
      </w:pPr>
      <w:r w:rsidRPr="00B75DCF">
        <w:rPr>
          <w:rFonts w:ascii="Calibri" w:hAnsi="Calibri" w:cs="Calibri"/>
        </w:rPr>
        <w:t>Tel: +41 22 787 4300</w:t>
      </w:r>
    </w:p>
    <w:p w14:paraId="624AF426" w14:textId="77777777" w:rsidR="006E3F01" w:rsidRPr="00F01336" w:rsidRDefault="006E3F01" w:rsidP="006E3F01">
      <w:pPr>
        <w:spacing w:after="120" w:line="480" w:lineRule="auto"/>
        <w:rPr>
          <w:rFonts w:ascii="Calibri" w:hAnsi="Calibri" w:cs="Calibri"/>
          <w:lang w:val="it-IT"/>
        </w:rPr>
      </w:pPr>
      <w:r w:rsidRPr="00F01336">
        <w:rPr>
          <w:rFonts w:ascii="Calibri" w:hAnsi="Calibri" w:cs="Calibri"/>
          <w:lang w:val="it-IT"/>
        </w:rPr>
        <w:t xml:space="preserve">E-mail: pascal_candolfi@edwards.com </w:t>
      </w:r>
    </w:p>
    <w:bookmarkEnd w:id="0"/>
    <w:p w14:paraId="708549F1" w14:textId="77777777" w:rsidR="006E3F01" w:rsidRPr="00B75DCF" w:rsidRDefault="006E3F01" w:rsidP="006E3F01">
      <w:pPr>
        <w:spacing w:after="120" w:line="480" w:lineRule="auto"/>
        <w:rPr>
          <w:rFonts w:ascii="Calibri" w:hAnsi="Calibri" w:cs="Calibri"/>
        </w:rPr>
      </w:pPr>
      <w:r w:rsidRPr="00B75DCF">
        <w:rPr>
          <w:rFonts w:ascii="Calibri" w:hAnsi="Calibri" w:cs="Calibri"/>
        </w:rPr>
        <w:t>ORCID ID: 0000-0001-6728-451X</w:t>
      </w:r>
    </w:p>
    <w:p w14:paraId="3D388694" w14:textId="5BFCC7E1" w:rsidR="00043781" w:rsidRPr="00B72ED2" w:rsidRDefault="00043781" w:rsidP="005B4364">
      <w:pPr>
        <w:spacing w:line="360" w:lineRule="auto"/>
        <w:rPr>
          <w:rStyle w:val="Heading2Char"/>
          <w:b w:val="0"/>
          <w:bCs w:val="0"/>
        </w:rPr>
      </w:pPr>
    </w:p>
    <w:p w14:paraId="380D9362" w14:textId="6A1BAE09" w:rsidR="0034028E" w:rsidRPr="00B75DCF" w:rsidRDefault="003A34DE" w:rsidP="005B4364">
      <w:pPr>
        <w:spacing w:line="360" w:lineRule="auto"/>
        <w:rPr>
          <w:i/>
          <w:iCs/>
        </w:rPr>
      </w:pPr>
      <w:bookmarkStart w:id="3" w:name="_Hlk210374296"/>
      <w:r w:rsidRPr="00B75DCF">
        <w:rPr>
          <w:b/>
          <w:bCs/>
        </w:rPr>
        <w:t>Target journal:</w:t>
      </w:r>
      <w:r w:rsidRPr="00B75DCF">
        <w:t xml:space="preserve"> </w:t>
      </w:r>
      <w:r w:rsidR="009E3776">
        <w:rPr>
          <w:i/>
          <w:iCs/>
        </w:rPr>
        <w:t>Applied Health Economics and Health Policy</w:t>
      </w:r>
    </w:p>
    <w:bookmarkEnd w:id="3"/>
    <w:p w14:paraId="31FCCAF6" w14:textId="77DECCD4" w:rsidR="00626BCB" w:rsidRPr="00B75DCF" w:rsidRDefault="003A34DE" w:rsidP="005B4364">
      <w:pPr>
        <w:spacing w:line="360" w:lineRule="auto"/>
      </w:pPr>
      <w:r w:rsidRPr="00B75DCF">
        <w:rPr>
          <w:b/>
          <w:bCs/>
        </w:rPr>
        <w:lastRenderedPageBreak/>
        <w:t xml:space="preserve">Article type: </w:t>
      </w:r>
      <w:r w:rsidRPr="00B75DCF">
        <w:t>Original research</w:t>
      </w:r>
    </w:p>
    <w:p w14:paraId="2903F7A8" w14:textId="4663AEC9" w:rsidR="001D05EE" w:rsidRPr="00B75DCF" w:rsidRDefault="003A34DE" w:rsidP="005B4364">
      <w:pPr>
        <w:spacing w:line="360" w:lineRule="auto"/>
      </w:pPr>
      <w:r w:rsidRPr="00B75DCF">
        <w:rPr>
          <w:b/>
          <w:bCs/>
        </w:rPr>
        <w:t>Word count:</w:t>
      </w:r>
      <w:r w:rsidRPr="00B75DCF">
        <w:t xml:space="preserve"> </w:t>
      </w:r>
      <w:r w:rsidR="00D71C60">
        <w:t>4735</w:t>
      </w:r>
      <w:r w:rsidR="0015584A" w:rsidRPr="00B75DCF">
        <w:t xml:space="preserve"> (</w:t>
      </w:r>
      <w:r w:rsidR="00966CF5">
        <w:t>guide</w:t>
      </w:r>
      <w:r w:rsidR="0015584A" w:rsidRPr="00B75DCF">
        <w:t xml:space="preserve">: </w:t>
      </w:r>
      <w:r w:rsidR="009E3776">
        <w:t>6</w:t>
      </w:r>
      <w:r w:rsidRPr="00B75DCF">
        <w:t>000)</w:t>
      </w:r>
    </w:p>
    <w:p w14:paraId="41A68F06" w14:textId="6089544F" w:rsidR="001D05EE" w:rsidRPr="00925FF5" w:rsidRDefault="003A34DE" w:rsidP="005B4364">
      <w:pPr>
        <w:spacing w:line="360" w:lineRule="auto"/>
      </w:pPr>
      <w:r w:rsidRPr="00925FF5">
        <w:rPr>
          <w:b/>
          <w:bCs/>
        </w:rPr>
        <w:t>Figures/tables:</w:t>
      </w:r>
      <w:r w:rsidRPr="00925FF5">
        <w:t xml:space="preserve"> </w:t>
      </w:r>
      <w:r w:rsidR="00C75B73">
        <w:t>8</w:t>
      </w:r>
      <w:r w:rsidR="0015584A" w:rsidRPr="00925FF5">
        <w:t xml:space="preserve"> </w:t>
      </w:r>
      <w:r w:rsidRPr="00925FF5">
        <w:t>(</w:t>
      </w:r>
      <w:r w:rsidR="009E3776" w:rsidRPr="00925FF5">
        <w:t xml:space="preserve">no </w:t>
      </w:r>
      <w:r w:rsidRPr="00925FF5">
        <w:t>limit)</w:t>
      </w:r>
    </w:p>
    <w:p w14:paraId="0B8CEA84" w14:textId="4C8A4B82" w:rsidR="0034028E" w:rsidRPr="00925FF5" w:rsidRDefault="003A34DE" w:rsidP="005B4364">
      <w:pPr>
        <w:spacing w:line="360" w:lineRule="auto"/>
        <w:rPr>
          <w:rStyle w:val="Heading2Char"/>
          <w:b w:val="0"/>
          <w:bCs w:val="0"/>
        </w:rPr>
      </w:pPr>
      <w:r w:rsidRPr="00925FF5">
        <w:rPr>
          <w:b/>
          <w:bCs/>
        </w:rPr>
        <w:t>References:</w:t>
      </w:r>
      <w:r w:rsidRPr="00925FF5">
        <w:t xml:space="preserve"> </w:t>
      </w:r>
      <w:r w:rsidR="00966CF5" w:rsidRPr="00925FF5">
        <w:t>4</w:t>
      </w:r>
      <w:r w:rsidR="00D71C60">
        <w:t>9</w:t>
      </w:r>
      <w:r w:rsidR="006F7319" w:rsidRPr="00925FF5">
        <w:t xml:space="preserve"> </w:t>
      </w:r>
      <w:r w:rsidRPr="00925FF5">
        <w:t>(</w:t>
      </w:r>
      <w:r w:rsidR="009E3776" w:rsidRPr="00925FF5">
        <w:t xml:space="preserve">no </w:t>
      </w:r>
      <w:r w:rsidRPr="00925FF5">
        <w:t>limit:)</w:t>
      </w:r>
    </w:p>
    <w:p w14:paraId="2BCEC1C4" w14:textId="56408CB2" w:rsidR="003F49DB" w:rsidRPr="009652EA" w:rsidRDefault="003F49DB" w:rsidP="005B4364">
      <w:pPr>
        <w:spacing w:line="360" w:lineRule="auto"/>
        <w:rPr>
          <w:rStyle w:val="Heading2Char"/>
          <w:b w:val="0"/>
          <w:bCs w:val="0"/>
          <w:lang w:val="en-US"/>
        </w:rPr>
      </w:pPr>
    </w:p>
    <w:p w14:paraId="6D488EBB" w14:textId="544901D7" w:rsidR="00043781" w:rsidRPr="00B75DCF" w:rsidRDefault="003A34DE" w:rsidP="00BA0331">
      <w:pPr>
        <w:spacing w:line="480" w:lineRule="auto"/>
      </w:pPr>
      <w:r w:rsidRPr="00614A10">
        <w:rPr>
          <w:rStyle w:val="Heading2Char"/>
          <w:lang w:val="en-US"/>
        </w:rPr>
        <w:br w:type="page"/>
      </w:r>
      <w:r w:rsidRPr="00B75DCF">
        <w:rPr>
          <w:rStyle w:val="Heading2Char"/>
        </w:rPr>
        <w:lastRenderedPageBreak/>
        <w:t>Abstract</w:t>
      </w:r>
    </w:p>
    <w:p w14:paraId="16108518" w14:textId="2A4F3FA8" w:rsidR="002725BC" w:rsidRPr="00B75DCF" w:rsidRDefault="00115E8B" w:rsidP="00E4494A">
      <w:pPr>
        <w:spacing w:line="480" w:lineRule="auto"/>
      </w:pPr>
      <w:r w:rsidRPr="00115E8B">
        <w:rPr>
          <w:b/>
          <w:bCs/>
        </w:rPr>
        <w:t xml:space="preserve">Background and </w:t>
      </w:r>
      <w:commentRangeStart w:id="4"/>
      <w:commentRangeStart w:id="5"/>
      <w:r w:rsidR="00EE60F4">
        <w:rPr>
          <w:b/>
          <w:bCs/>
        </w:rPr>
        <w:t>O</w:t>
      </w:r>
      <w:r w:rsidR="003A34DE" w:rsidRPr="00890292">
        <w:rPr>
          <w:b/>
          <w:bCs/>
        </w:rPr>
        <w:t>bjective</w:t>
      </w:r>
      <w:commentRangeEnd w:id="4"/>
      <w:r w:rsidR="00CC4AC6" w:rsidRPr="00093AF3">
        <w:rPr>
          <w:rStyle w:val="CommentReference"/>
        </w:rPr>
        <w:commentReference w:id="4"/>
      </w:r>
      <w:commentRangeEnd w:id="5"/>
      <w:r w:rsidRPr="00093AF3">
        <w:rPr>
          <w:rStyle w:val="CommentReference"/>
        </w:rPr>
        <w:commentReference w:id="5"/>
      </w:r>
      <w:r w:rsidR="00244A12" w:rsidRPr="00093AF3">
        <w:rPr>
          <w:b/>
          <w:bCs/>
        </w:rPr>
        <w:t>:</w:t>
      </w:r>
      <w:r w:rsidR="00244A12" w:rsidRPr="00B75DCF">
        <w:t xml:space="preserve"> </w:t>
      </w:r>
      <w:r w:rsidR="00695431" w:rsidRPr="00B75DCF">
        <w:t xml:space="preserve">European guidelines recommend </w:t>
      </w:r>
      <w:bookmarkStart w:id="6" w:name="_Hlk203558840"/>
      <w:r w:rsidR="0010043F" w:rsidRPr="00B75DCF">
        <w:t xml:space="preserve">transcatheter aortic valve implantation </w:t>
      </w:r>
      <w:bookmarkEnd w:id="6"/>
      <w:r w:rsidR="0010043F" w:rsidRPr="00B75DCF">
        <w:t>(</w:t>
      </w:r>
      <w:r w:rsidR="00695431" w:rsidRPr="00B75DCF">
        <w:t>TAVI</w:t>
      </w:r>
      <w:r w:rsidR="0010043F" w:rsidRPr="00B75DCF">
        <w:t xml:space="preserve">; </w:t>
      </w:r>
      <w:r w:rsidR="00695431" w:rsidRPr="00B75DCF">
        <w:t xml:space="preserve">class IA) </w:t>
      </w:r>
      <w:r w:rsidR="009B066A">
        <w:t xml:space="preserve">for </w:t>
      </w:r>
      <w:r w:rsidR="00695431" w:rsidRPr="00B75DCF">
        <w:t>symptomatic severe aortic stenosis (</w:t>
      </w:r>
      <w:proofErr w:type="spellStart"/>
      <w:r w:rsidR="00695431" w:rsidRPr="00B75DCF">
        <w:t>sSAS</w:t>
      </w:r>
      <w:proofErr w:type="spellEnd"/>
      <w:r w:rsidR="00695431" w:rsidRPr="00B75DCF">
        <w:t xml:space="preserve">) </w:t>
      </w:r>
      <w:r w:rsidR="00C51702">
        <w:t>in patients</w:t>
      </w:r>
      <w:r w:rsidR="00C51702" w:rsidRPr="00B75DCF">
        <w:t xml:space="preserve"> </w:t>
      </w:r>
      <w:r w:rsidR="00695431" w:rsidRPr="00B75DCF">
        <w:t>≥75 years</w:t>
      </w:r>
      <w:r w:rsidR="00C51702">
        <w:t>,</w:t>
      </w:r>
      <w:r w:rsidR="00695431" w:rsidRPr="00B75DCF">
        <w:t xml:space="preserve"> if a transfemoral approach is possible</w:t>
      </w:r>
      <w:r w:rsidR="00924669" w:rsidRPr="00B75DCF">
        <w:t xml:space="preserve">. </w:t>
      </w:r>
      <w:r w:rsidR="0010043F" w:rsidRPr="00B75DCF">
        <w:t>Recent</w:t>
      </w:r>
      <w:r w:rsidR="003A34DE" w:rsidRPr="00B75DCF">
        <w:t xml:space="preserve"> </w:t>
      </w:r>
      <w:r w:rsidR="00AC7DBA" w:rsidRPr="00B75DCF">
        <w:t xml:space="preserve">cost-utility analyses </w:t>
      </w:r>
      <w:r w:rsidR="001C01D5" w:rsidRPr="00B75DCF">
        <w:t xml:space="preserve">based on the PARTNER 3 trial have </w:t>
      </w:r>
      <w:r w:rsidR="003A34DE" w:rsidRPr="00B75DCF">
        <w:t xml:space="preserve">suggested </w:t>
      </w:r>
      <w:r w:rsidR="005535CA" w:rsidRPr="00B75DCF">
        <w:t xml:space="preserve">that TAVI </w:t>
      </w:r>
      <w:r w:rsidR="008F3628" w:rsidRPr="00B75DCF">
        <w:t xml:space="preserve">with the SAPIEN 3 device </w:t>
      </w:r>
      <w:r w:rsidR="005535CA" w:rsidRPr="00B75DCF">
        <w:t>is cost-effective versus</w:t>
      </w:r>
      <w:r w:rsidR="0010043F" w:rsidRPr="00B75DCF">
        <w:rPr>
          <w:rStyle w:val="Heading2Char"/>
          <w:b w:val="0"/>
          <w:bCs w:val="0"/>
        </w:rPr>
        <w:t xml:space="preserve"> </w:t>
      </w:r>
      <w:bookmarkStart w:id="7" w:name="_Hlk203558822"/>
      <w:r w:rsidR="0010043F" w:rsidRPr="00B75DCF">
        <w:rPr>
          <w:rStyle w:val="Heading2Char"/>
          <w:b w:val="0"/>
          <w:bCs w:val="0"/>
        </w:rPr>
        <w:t>surgical aortic valve replacement</w:t>
      </w:r>
      <w:bookmarkEnd w:id="7"/>
      <w:r w:rsidR="005535CA" w:rsidRPr="00B75DCF">
        <w:t xml:space="preserve"> </w:t>
      </w:r>
      <w:r w:rsidR="0010043F" w:rsidRPr="00B75DCF">
        <w:t>(</w:t>
      </w:r>
      <w:r w:rsidR="005535CA" w:rsidRPr="00B75DCF">
        <w:t>SAVR</w:t>
      </w:r>
      <w:r w:rsidR="0010043F" w:rsidRPr="00B75DCF">
        <w:t xml:space="preserve">) </w:t>
      </w:r>
      <w:r w:rsidR="003A34DE" w:rsidRPr="00B75DCF">
        <w:t>in patients at low risk of surgical mortality</w:t>
      </w:r>
      <w:r w:rsidR="00857471">
        <w:t xml:space="preserve"> </w:t>
      </w:r>
      <w:r w:rsidR="003A34DE" w:rsidRPr="00B75DCF">
        <w:t xml:space="preserve">in </w:t>
      </w:r>
      <w:r w:rsidR="002013D2" w:rsidRPr="00B75DCF">
        <w:t>several</w:t>
      </w:r>
      <w:r w:rsidR="003A34DE" w:rsidRPr="00B75DCF">
        <w:t xml:space="preserve"> European countries. This cost-utility analysis compare</w:t>
      </w:r>
      <w:r w:rsidR="000C690F" w:rsidRPr="00B75DCF">
        <w:t>s</w:t>
      </w:r>
      <w:r w:rsidR="003A34DE" w:rsidRPr="00B75DCF">
        <w:t xml:space="preserve"> TAVI with SAPIEN 3 versus SAVR in patients </w:t>
      </w:r>
      <w:r w:rsidR="002013D2" w:rsidRPr="00B75DCF">
        <w:t xml:space="preserve">with </w:t>
      </w:r>
      <w:proofErr w:type="spellStart"/>
      <w:r w:rsidR="002013D2" w:rsidRPr="00B75DCF">
        <w:t>sSAS</w:t>
      </w:r>
      <w:proofErr w:type="spellEnd"/>
      <w:r w:rsidR="002013D2" w:rsidRPr="00B75DCF">
        <w:t xml:space="preserve"> </w:t>
      </w:r>
      <w:r w:rsidR="003A34DE" w:rsidRPr="00B75DCF">
        <w:t>at low risk of surgical mortality</w:t>
      </w:r>
      <w:r w:rsidR="00857471">
        <w:t xml:space="preserve"> </w:t>
      </w:r>
      <w:r w:rsidR="003A34DE" w:rsidRPr="00B75DCF">
        <w:t xml:space="preserve">from the </w:t>
      </w:r>
      <w:r w:rsidR="0010043F" w:rsidRPr="00B75DCF">
        <w:t xml:space="preserve">UK healthcare system </w:t>
      </w:r>
      <w:r w:rsidR="003A34DE" w:rsidRPr="00B75DCF">
        <w:t>perspective</w:t>
      </w:r>
      <w:r w:rsidR="00C51702">
        <w:t>, using 5-year PARTNER 3 trial data</w:t>
      </w:r>
      <w:r w:rsidR="003A34DE" w:rsidRPr="00B75DCF">
        <w:t>.</w:t>
      </w:r>
    </w:p>
    <w:p w14:paraId="305DDB44" w14:textId="3BE6008C" w:rsidR="007D545B" w:rsidRPr="00B75DCF" w:rsidRDefault="003A34DE" w:rsidP="00BA0331">
      <w:pPr>
        <w:spacing w:line="480" w:lineRule="auto"/>
      </w:pPr>
      <w:r w:rsidRPr="00B75DCF">
        <w:rPr>
          <w:b/>
          <w:bCs/>
        </w:rPr>
        <w:t>Methods</w:t>
      </w:r>
      <w:r w:rsidR="00244A12" w:rsidRPr="00B75DCF">
        <w:rPr>
          <w:b/>
          <w:bCs/>
        </w:rPr>
        <w:t>:</w:t>
      </w:r>
      <w:r w:rsidR="00244A12" w:rsidRPr="00B75DCF">
        <w:t xml:space="preserve"> </w:t>
      </w:r>
      <w:r w:rsidRPr="00B75DCF">
        <w:t>A two-stage</w:t>
      </w:r>
      <w:r w:rsidR="002013D2" w:rsidRPr="00B75DCF">
        <w:t>,</w:t>
      </w:r>
      <w:r w:rsidRPr="00B75DCF">
        <w:t xml:space="preserve"> Markov-based</w:t>
      </w:r>
      <w:r w:rsidR="002013D2" w:rsidRPr="00B75DCF">
        <w:t>,</w:t>
      </w:r>
      <w:r w:rsidRPr="00B75DCF">
        <w:t xml:space="preserve"> cost-utility analysis was performed using published and validated methodology to estimate changes in both direct healthcare costs and health-related quality of life </w:t>
      </w:r>
      <w:r w:rsidR="00C51702">
        <w:t xml:space="preserve">for </w:t>
      </w:r>
      <w:r w:rsidRPr="00B75DCF">
        <w:t xml:space="preserve">TAVI with SAPIEN 3 versus SAVR in </w:t>
      </w:r>
      <w:proofErr w:type="spellStart"/>
      <w:r w:rsidRPr="00B75DCF">
        <w:t>sSAS</w:t>
      </w:r>
      <w:proofErr w:type="spellEnd"/>
      <w:r w:rsidRPr="00B75DCF">
        <w:t xml:space="preserve"> patients at low </w:t>
      </w:r>
      <w:r w:rsidR="00DC7C41" w:rsidRPr="00B75DCF">
        <w:t xml:space="preserve">surgical </w:t>
      </w:r>
      <w:r w:rsidRPr="00B75DCF">
        <w:t xml:space="preserve">risk from the perspective of UK healthcare system. </w:t>
      </w:r>
      <w:r w:rsidR="00124FB0" w:rsidRPr="00B75DCF">
        <w:t xml:space="preserve">The model </w:t>
      </w:r>
      <w:r w:rsidR="00C51702">
        <w:t>used</w:t>
      </w:r>
      <w:r w:rsidR="00C51702" w:rsidRPr="00B75DCF">
        <w:t xml:space="preserve"> </w:t>
      </w:r>
      <w:r w:rsidR="00124FB0" w:rsidRPr="00B75DCF">
        <w:t>a lifetime horizon with a 3.5% yearly discounting factor. Uncertainty was addressed using deterministic and probabilistic sensitivity analyses.</w:t>
      </w:r>
    </w:p>
    <w:p w14:paraId="0024C13D" w14:textId="6A0A9083" w:rsidR="00124FB0" w:rsidRPr="00B75DCF" w:rsidRDefault="003A34DE" w:rsidP="00BA0331">
      <w:pPr>
        <w:spacing w:line="480" w:lineRule="auto"/>
      </w:pPr>
      <w:r w:rsidRPr="00B75DCF">
        <w:rPr>
          <w:b/>
          <w:bCs/>
        </w:rPr>
        <w:t>Results</w:t>
      </w:r>
      <w:r w:rsidR="00244A12" w:rsidRPr="00B75DCF">
        <w:rPr>
          <w:b/>
          <w:bCs/>
        </w:rPr>
        <w:t>:</w:t>
      </w:r>
      <w:r w:rsidR="00244A12" w:rsidRPr="00B75DCF">
        <w:t xml:space="preserve"> </w:t>
      </w:r>
      <w:r w:rsidRPr="00B75DCF">
        <w:t xml:space="preserve">TAVI with SAPIEN 3 </w:t>
      </w:r>
      <w:r w:rsidRPr="007C29AE">
        <w:t xml:space="preserve">generated an incremental health benefit of </w:t>
      </w:r>
      <w:r w:rsidR="00C515D3" w:rsidRPr="007C29AE">
        <w:t>0.47</w:t>
      </w:r>
      <w:r w:rsidRPr="007C29AE">
        <w:t xml:space="preserve"> </w:t>
      </w:r>
      <w:r w:rsidR="00B35AFE" w:rsidRPr="007C29AE">
        <w:t>(0.</w:t>
      </w:r>
      <w:r w:rsidR="00E7783C">
        <w:t>35</w:t>
      </w:r>
      <w:r w:rsidR="00B35AFE" w:rsidRPr="007C29AE">
        <w:t xml:space="preserve"> to 0.</w:t>
      </w:r>
      <w:r w:rsidR="00E7783C">
        <w:t>6</w:t>
      </w:r>
      <w:r w:rsidR="00753356">
        <w:t>0</w:t>
      </w:r>
      <w:r w:rsidR="00B35AFE" w:rsidRPr="007C29AE">
        <w:t xml:space="preserve"> 90% credible interval) </w:t>
      </w:r>
      <w:r w:rsidRPr="007C29AE">
        <w:t>quality-adjusted life years (QALYs) per patient compared with SAVR</w:t>
      </w:r>
      <w:r w:rsidR="0006792B">
        <w:t>,</w:t>
      </w:r>
      <w:r w:rsidRPr="007C29AE">
        <w:t xml:space="preserve"> at a</w:t>
      </w:r>
      <w:r w:rsidR="0006792B">
        <w:t>n</w:t>
      </w:r>
      <w:r w:rsidRPr="007C29AE">
        <w:t xml:space="preserve"> increased cost of £</w:t>
      </w:r>
      <w:r w:rsidR="00CA691C">
        <w:t>7,9</w:t>
      </w:r>
      <w:r w:rsidR="00E7783C">
        <w:t>99</w:t>
      </w:r>
      <w:r w:rsidR="007C29AE" w:rsidRPr="00E973CC">
        <w:t xml:space="preserve"> </w:t>
      </w:r>
      <w:r w:rsidR="007C29AE" w:rsidRPr="007C29AE">
        <w:t>(£</w:t>
      </w:r>
      <w:r w:rsidR="00E7783C">
        <w:t>852</w:t>
      </w:r>
      <w:r w:rsidR="007C29AE" w:rsidRPr="007C29AE">
        <w:t xml:space="preserve"> to £</w:t>
      </w:r>
      <w:r w:rsidR="00E7783C">
        <w:t>15,035</w:t>
      </w:r>
      <w:r w:rsidR="00C50B07">
        <w:t xml:space="preserve"> 90%</w:t>
      </w:r>
      <w:r w:rsidR="007C29AE" w:rsidRPr="007C29AE">
        <w:t xml:space="preserve"> </w:t>
      </w:r>
      <w:r w:rsidR="00C51702">
        <w:t>credible interval</w:t>
      </w:r>
      <w:r w:rsidR="007C29AE" w:rsidRPr="007C29AE">
        <w:t>)</w:t>
      </w:r>
      <w:r w:rsidR="009B7931" w:rsidRPr="007C29AE">
        <w:t xml:space="preserve"> </w:t>
      </w:r>
      <w:r w:rsidRPr="007C29AE">
        <w:t>per patient over a lifetime horizon</w:t>
      </w:r>
      <w:r w:rsidR="00115E8B">
        <w:t xml:space="preserve"> (ICER: </w:t>
      </w:r>
      <w:r w:rsidR="00115E8B" w:rsidRPr="007C29AE">
        <w:t>£</w:t>
      </w:r>
      <w:r w:rsidR="00115E8B">
        <w:t>16,979</w:t>
      </w:r>
      <w:r w:rsidR="00115E8B" w:rsidRPr="007C29AE">
        <w:t xml:space="preserve"> per QALY gained</w:t>
      </w:r>
      <w:r w:rsidR="00115E8B">
        <w:t>)</w:t>
      </w:r>
      <w:r w:rsidRPr="007C29AE">
        <w:t xml:space="preserve">. </w:t>
      </w:r>
      <w:r w:rsidR="00115E8B">
        <w:t xml:space="preserve">TAVI has a 63% </w:t>
      </w:r>
      <w:r w:rsidR="003D6C38">
        <w:t>to</w:t>
      </w:r>
      <w:r w:rsidR="00115E8B">
        <w:t xml:space="preserve"> 9</w:t>
      </w:r>
      <w:r w:rsidR="00EF6260">
        <w:t>0</w:t>
      </w:r>
      <w:r w:rsidR="00115E8B">
        <w:t>% probability of cost-effectiveness based on a £20,000 to £30,000 willingness to pay (WTP) threshold</w:t>
      </w:r>
      <w:r w:rsidRPr="007C29AE">
        <w:t xml:space="preserve">. TAVI </w:t>
      </w:r>
      <w:r w:rsidR="00124FB0" w:rsidRPr="007C29AE">
        <w:t>remain</w:t>
      </w:r>
      <w:r w:rsidR="0044395C" w:rsidRPr="007C29AE">
        <w:t>ed</w:t>
      </w:r>
      <w:r w:rsidRPr="007C29AE">
        <w:t xml:space="preserve"> cost</w:t>
      </w:r>
      <w:r w:rsidR="00986B9F" w:rsidRPr="007C29AE">
        <w:t>-</w:t>
      </w:r>
      <w:r w:rsidRPr="000F1EF8">
        <w:t>effective across</w:t>
      </w:r>
      <w:r w:rsidRPr="007C29AE">
        <w:t xml:space="preserve"> </w:t>
      </w:r>
      <w:r w:rsidR="00115E8B">
        <w:t>most</w:t>
      </w:r>
      <w:r w:rsidR="00115E8B" w:rsidRPr="007C29AE">
        <w:t xml:space="preserve"> </w:t>
      </w:r>
      <w:commentRangeStart w:id="8"/>
      <w:commentRangeStart w:id="9"/>
      <w:commentRangeEnd w:id="8"/>
      <w:commentRangeEnd w:id="9"/>
      <w:r w:rsidR="00F3522F">
        <w:rPr>
          <w:rStyle w:val="CommentReference"/>
        </w:rPr>
        <w:commentReference w:id="8"/>
      </w:r>
      <w:r w:rsidR="00115E8B">
        <w:rPr>
          <w:rStyle w:val="CommentReference"/>
        </w:rPr>
        <w:commentReference w:id="9"/>
      </w:r>
      <w:r w:rsidR="00C515D3" w:rsidRPr="007C29AE">
        <w:t>deterministic</w:t>
      </w:r>
      <w:r w:rsidRPr="007C29AE">
        <w:t xml:space="preserve"> sensitivity analyses</w:t>
      </w:r>
      <w:r w:rsidR="0044395C" w:rsidRPr="007C29AE">
        <w:t xml:space="preserve">, confirming the </w:t>
      </w:r>
      <w:r w:rsidR="00115E8B">
        <w:t xml:space="preserve">relative </w:t>
      </w:r>
      <w:commentRangeStart w:id="10"/>
      <w:commentRangeStart w:id="11"/>
      <w:r w:rsidR="0044395C" w:rsidRPr="007C29AE">
        <w:t xml:space="preserve">robustness </w:t>
      </w:r>
      <w:commentRangeEnd w:id="10"/>
      <w:r w:rsidR="006913B9">
        <w:rPr>
          <w:rStyle w:val="CommentReference"/>
        </w:rPr>
        <w:commentReference w:id="10"/>
      </w:r>
      <w:commentRangeEnd w:id="11"/>
      <w:r w:rsidR="00115E8B">
        <w:rPr>
          <w:rStyle w:val="CommentReference"/>
        </w:rPr>
        <w:commentReference w:id="11"/>
      </w:r>
      <w:r w:rsidR="0044395C" w:rsidRPr="007C29AE">
        <w:t>of the results</w:t>
      </w:r>
      <w:r w:rsidR="00E43EAB" w:rsidRPr="007C29AE">
        <w:t>.</w:t>
      </w:r>
    </w:p>
    <w:p w14:paraId="3CB13466" w14:textId="0236F955" w:rsidR="0034028E" w:rsidRPr="00B75DCF" w:rsidRDefault="003A34DE" w:rsidP="00BA0331">
      <w:pPr>
        <w:spacing w:line="480" w:lineRule="auto"/>
      </w:pPr>
      <w:r w:rsidRPr="00B75DCF">
        <w:rPr>
          <w:b/>
          <w:bCs/>
        </w:rPr>
        <w:t>Conclusions</w:t>
      </w:r>
      <w:r w:rsidR="00244A12" w:rsidRPr="00B75DCF">
        <w:rPr>
          <w:b/>
          <w:bCs/>
        </w:rPr>
        <w:t>:</w:t>
      </w:r>
      <w:r w:rsidR="00244A12" w:rsidRPr="00B75DCF">
        <w:t xml:space="preserve"> </w:t>
      </w:r>
      <w:commentRangeStart w:id="12"/>
      <w:commentRangeStart w:id="13"/>
      <w:r w:rsidR="00124FB0" w:rsidRPr="00890292">
        <w:t xml:space="preserve">TAVI with SAPIEN 3 </w:t>
      </w:r>
      <w:r w:rsidR="00922AFB" w:rsidRPr="00890292">
        <w:t>has a</w:t>
      </w:r>
      <w:r w:rsidR="00C515D3" w:rsidRPr="00890292">
        <w:t xml:space="preserve"> </w:t>
      </w:r>
      <w:r w:rsidR="00C50B07" w:rsidRPr="00890292">
        <w:t>63</w:t>
      </w:r>
      <w:r w:rsidR="00922AFB" w:rsidRPr="00890292">
        <w:t>%</w:t>
      </w:r>
      <w:r w:rsidR="00C515D3" w:rsidRPr="00890292">
        <w:t xml:space="preserve"> to </w:t>
      </w:r>
      <w:r w:rsidR="00C50B07" w:rsidRPr="00890292">
        <w:t>9</w:t>
      </w:r>
      <w:r w:rsidR="00EF6260">
        <w:t>0</w:t>
      </w:r>
      <w:r w:rsidR="00C515D3" w:rsidRPr="00890292">
        <w:t>%</w:t>
      </w:r>
      <w:r w:rsidR="00922AFB" w:rsidRPr="00890292">
        <w:t xml:space="preserve"> probability of being cost-effective</w:t>
      </w:r>
      <w:r w:rsidR="00124FB0" w:rsidRPr="00890292">
        <w:t xml:space="preserve"> compared with SAVR for </w:t>
      </w:r>
      <w:r w:rsidR="0006792B" w:rsidRPr="00890292">
        <w:t xml:space="preserve">low-surgical-risk </w:t>
      </w:r>
      <w:proofErr w:type="spellStart"/>
      <w:r w:rsidR="0006792B" w:rsidRPr="00890292">
        <w:t>sSAS</w:t>
      </w:r>
      <w:proofErr w:type="spellEnd"/>
      <w:r w:rsidR="0006792B" w:rsidRPr="00890292">
        <w:t xml:space="preserve"> </w:t>
      </w:r>
      <w:r w:rsidR="00124FB0" w:rsidRPr="00890292">
        <w:t>patients.</w:t>
      </w:r>
      <w:r w:rsidR="00124FB0" w:rsidRPr="003D6C38">
        <w:t xml:space="preserve"> </w:t>
      </w:r>
      <w:commentRangeEnd w:id="12"/>
      <w:r w:rsidR="00845BBF" w:rsidRPr="003D6C38">
        <w:rPr>
          <w:rStyle w:val="CommentReference"/>
        </w:rPr>
        <w:commentReference w:id="12"/>
      </w:r>
      <w:commentRangeEnd w:id="13"/>
      <w:r w:rsidR="003D6C38">
        <w:rPr>
          <w:rStyle w:val="CommentReference"/>
        </w:rPr>
        <w:commentReference w:id="13"/>
      </w:r>
      <w:r w:rsidR="00124FB0" w:rsidRPr="00B75DCF">
        <w:t>These findings may inform policy decision</w:t>
      </w:r>
      <w:r w:rsidR="0006792B">
        <w:t>-making</w:t>
      </w:r>
      <w:r w:rsidR="00124FB0" w:rsidRPr="00B75DCF">
        <w:t xml:space="preserve"> </w:t>
      </w:r>
      <w:r w:rsidR="0006792B">
        <w:t xml:space="preserve">in </w:t>
      </w:r>
      <w:r w:rsidR="00124FB0" w:rsidRPr="00B75DCF">
        <w:t>the management of this patient group.</w:t>
      </w:r>
    </w:p>
    <w:p w14:paraId="4ED143AC" w14:textId="475B28E7" w:rsidR="00244A12" w:rsidRPr="00B75DCF" w:rsidRDefault="003A34DE" w:rsidP="00BA0331">
      <w:pPr>
        <w:spacing w:line="480" w:lineRule="auto"/>
      </w:pPr>
      <w:r w:rsidRPr="006F3864">
        <w:rPr>
          <w:b/>
          <w:bCs/>
        </w:rPr>
        <w:t>Word count:</w:t>
      </w:r>
      <w:r w:rsidRPr="006F3864">
        <w:t xml:space="preserve"> </w:t>
      </w:r>
      <w:r w:rsidR="00432374" w:rsidRPr="006F3864">
        <w:t>2</w:t>
      </w:r>
      <w:r w:rsidR="00432374">
        <w:t>9</w:t>
      </w:r>
      <w:r w:rsidR="00C75B73">
        <w:t>6</w:t>
      </w:r>
      <w:r w:rsidR="00432374">
        <w:t xml:space="preserve"> </w:t>
      </w:r>
      <w:r w:rsidRPr="006F3864">
        <w:t xml:space="preserve">words (limit: </w:t>
      </w:r>
      <w:r w:rsidR="009B066A">
        <w:t>1</w:t>
      </w:r>
      <w:r w:rsidR="00503E8E" w:rsidRPr="006F3864">
        <w:t>50</w:t>
      </w:r>
      <w:r w:rsidR="006F3864" w:rsidRPr="006F3864">
        <w:t>–450</w:t>
      </w:r>
      <w:r w:rsidR="00861449" w:rsidRPr="006F3864">
        <w:t xml:space="preserve"> words</w:t>
      </w:r>
      <w:r w:rsidRPr="006F3864">
        <w:t>)</w:t>
      </w:r>
    </w:p>
    <w:p w14:paraId="58266B10" w14:textId="3C0735FC" w:rsidR="001D05EE" w:rsidRDefault="003A34DE" w:rsidP="00BA0331">
      <w:pPr>
        <w:spacing w:line="480" w:lineRule="auto"/>
      </w:pPr>
      <w:r w:rsidRPr="00B75DCF">
        <w:rPr>
          <w:rStyle w:val="Heading2Char"/>
        </w:rPr>
        <w:lastRenderedPageBreak/>
        <w:t>Keywords:</w:t>
      </w:r>
      <w:r w:rsidRPr="00B75DCF">
        <w:rPr>
          <w:b/>
          <w:bCs/>
          <w:sz w:val="24"/>
          <w:szCs w:val="24"/>
        </w:rPr>
        <w:t xml:space="preserve"> </w:t>
      </w:r>
      <w:r w:rsidR="002725BC" w:rsidRPr="00B75DCF">
        <w:rPr>
          <w:rStyle w:val="Heading2Char"/>
          <w:b w:val="0"/>
          <w:bCs w:val="0"/>
        </w:rPr>
        <w:t xml:space="preserve">Transcatheter aortic valve implantation, </w:t>
      </w:r>
      <w:r w:rsidRPr="00B75DCF">
        <w:rPr>
          <w:rFonts w:cstheme="minorHAnsi"/>
        </w:rPr>
        <w:t xml:space="preserve">TAVI, </w:t>
      </w:r>
      <w:bookmarkStart w:id="14" w:name="_Hlk168557499"/>
      <w:r w:rsidR="002725BC" w:rsidRPr="00B75DCF">
        <w:rPr>
          <w:rStyle w:val="Heading2Char"/>
          <w:b w:val="0"/>
          <w:bCs w:val="0"/>
        </w:rPr>
        <w:t>surgical aortic valve replacement</w:t>
      </w:r>
      <w:bookmarkEnd w:id="14"/>
      <w:r w:rsidR="002725BC" w:rsidRPr="00B75DCF">
        <w:rPr>
          <w:rStyle w:val="Heading2Char"/>
          <w:b w:val="0"/>
          <w:bCs w:val="0"/>
        </w:rPr>
        <w:t>,</w:t>
      </w:r>
      <w:r w:rsidR="002725BC" w:rsidRPr="00B75DCF">
        <w:rPr>
          <w:rFonts w:cstheme="minorHAnsi"/>
        </w:rPr>
        <w:t xml:space="preserve"> </w:t>
      </w:r>
      <w:r w:rsidRPr="00B75DCF">
        <w:rPr>
          <w:rFonts w:cstheme="minorHAnsi"/>
        </w:rPr>
        <w:t>SAVR, cost-effectiveness, aortic stenosis, low risk</w:t>
      </w:r>
      <w:r w:rsidR="002725BC" w:rsidRPr="00B75DCF">
        <w:t>, UK</w:t>
      </w:r>
    </w:p>
    <w:p w14:paraId="45790582" w14:textId="77777777" w:rsidR="00AF2C46" w:rsidRPr="00B75DCF" w:rsidRDefault="00AF2C46" w:rsidP="00BA0331">
      <w:pPr>
        <w:spacing w:line="480" w:lineRule="auto"/>
      </w:pPr>
    </w:p>
    <w:p w14:paraId="6ED7CA09" w14:textId="32F61B5C" w:rsidR="000B62B9" w:rsidRPr="00B75DCF" w:rsidRDefault="003A34DE" w:rsidP="002D0C48">
      <w:pPr>
        <w:spacing w:line="480" w:lineRule="auto"/>
      </w:pPr>
      <w:r w:rsidRPr="00B75DCF">
        <w:rPr>
          <w:rStyle w:val="Heading2Char"/>
        </w:rPr>
        <w:t xml:space="preserve">Key </w:t>
      </w:r>
      <w:r w:rsidR="0057178E">
        <w:rPr>
          <w:rStyle w:val="Heading2Char"/>
        </w:rPr>
        <w:t>Points for Decision Makers</w:t>
      </w:r>
    </w:p>
    <w:p w14:paraId="25540444" w14:textId="6F439505" w:rsidR="000A4FB0" w:rsidRPr="00DD550E" w:rsidRDefault="0006792B" w:rsidP="0057178E">
      <w:pPr>
        <w:pStyle w:val="ListParagraph"/>
        <w:numPr>
          <w:ilvl w:val="0"/>
          <w:numId w:val="46"/>
        </w:numPr>
        <w:spacing w:line="480" w:lineRule="auto"/>
      </w:pPr>
      <w:r>
        <w:t>An i</w:t>
      </w:r>
      <w:r w:rsidR="003A34DE" w:rsidRPr="00B75DCF">
        <w:t xml:space="preserve">ncreasing </w:t>
      </w:r>
      <w:r>
        <w:t xml:space="preserve">body of </w:t>
      </w:r>
      <w:r w:rsidR="003A34DE" w:rsidRPr="00B75DCF">
        <w:t>evidence</w:t>
      </w:r>
      <w:r>
        <w:t xml:space="preserve">, combined </w:t>
      </w:r>
      <w:r w:rsidR="003A34DE" w:rsidRPr="00B75DCF">
        <w:t xml:space="preserve">with recent </w:t>
      </w:r>
      <w:r w:rsidR="00667F7A">
        <w:t>European and US</w:t>
      </w:r>
      <w:r w:rsidR="009B066A">
        <w:t xml:space="preserve"> </w:t>
      </w:r>
      <w:r w:rsidR="003A34DE" w:rsidRPr="00B75DCF">
        <w:t>guideline updates</w:t>
      </w:r>
      <w:r>
        <w:t>,</w:t>
      </w:r>
      <w:r w:rsidR="003A34DE" w:rsidRPr="00B75DCF">
        <w:t xml:space="preserve"> </w:t>
      </w:r>
      <w:r>
        <w:t>acknowledge</w:t>
      </w:r>
      <w:r w:rsidRPr="00B75DCF">
        <w:t xml:space="preserve"> </w:t>
      </w:r>
      <w:r w:rsidR="003A34DE" w:rsidRPr="00B75DCF">
        <w:t>the clinical benefits of transcatheter aortic valve implantation (TAVI) compared with surgical aortic valve replacement (SAVR) for patients with symptomatic severe aortic stenosis (</w:t>
      </w:r>
      <w:proofErr w:type="spellStart"/>
      <w:r w:rsidR="003A34DE" w:rsidRPr="00B75DCF">
        <w:t>sSAS</w:t>
      </w:r>
      <w:proofErr w:type="spellEnd"/>
      <w:r w:rsidR="003A34DE" w:rsidRPr="00B75DCF">
        <w:t>)</w:t>
      </w:r>
      <w:r>
        <w:t>,</w:t>
      </w:r>
      <w:r w:rsidR="003A34DE" w:rsidRPr="00B75DCF">
        <w:t xml:space="preserve"> </w:t>
      </w:r>
      <w:r w:rsidR="003A34DE" w:rsidRPr="00DD550E">
        <w:t>regardless of surgical risk status.</w:t>
      </w:r>
    </w:p>
    <w:p w14:paraId="293DE58C" w14:textId="1207E5CF" w:rsidR="000A4FB0" w:rsidRPr="00B75DCF" w:rsidRDefault="003A34DE" w:rsidP="0057178E">
      <w:pPr>
        <w:pStyle w:val="ListParagraph"/>
        <w:numPr>
          <w:ilvl w:val="0"/>
          <w:numId w:val="46"/>
        </w:numPr>
        <w:spacing w:line="480" w:lineRule="auto"/>
      </w:pPr>
      <w:r w:rsidRPr="00B75DCF">
        <w:t>This cost-utility analysis shows that</w:t>
      </w:r>
      <w:r w:rsidR="00667F7A">
        <w:t>,</w:t>
      </w:r>
      <w:r w:rsidRPr="00B75DCF">
        <w:t xml:space="preserve"> from the perspective of the UK healthcare system, TAVI with </w:t>
      </w:r>
      <w:r w:rsidRPr="00E973CC">
        <w:t xml:space="preserve">SAPIEN 3 </w:t>
      </w:r>
      <w:r w:rsidR="00922AFB" w:rsidRPr="00E973CC">
        <w:t>has a</w:t>
      </w:r>
      <w:r w:rsidR="00C515D3" w:rsidRPr="00E973CC">
        <w:t xml:space="preserve"> </w:t>
      </w:r>
      <w:r w:rsidR="00CA691C">
        <w:t>63</w:t>
      </w:r>
      <w:r w:rsidR="00922AFB" w:rsidRPr="00E973CC">
        <w:t>%</w:t>
      </w:r>
      <w:r w:rsidR="00C515D3" w:rsidRPr="00E973CC">
        <w:t xml:space="preserve"> to</w:t>
      </w:r>
      <w:r w:rsidR="00C515D3" w:rsidRPr="00C515D3">
        <w:t xml:space="preserve"> </w:t>
      </w:r>
      <w:r w:rsidR="00CA691C">
        <w:t>9</w:t>
      </w:r>
      <w:r w:rsidR="00EF6260">
        <w:t>0</w:t>
      </w:r>
      <w:r w:rsidR="00C515D3">
        <w:t>%</w:t>
      </w:r>
      <w:r w:rsidR="00922AFB">
        <w:t xml:space="preserve"> probability of being cost-effective at a £20,000</w:t>
      </w:r>
      <w:r w:rsidR="00C515D3">
        <w:t xml:space="preserve"> </w:t>
      </w:r>
      <w:r w:rsidR="0006792B">
        <w:t>to</w:t>
      </w:r>
      <w:r w:rsidR="00C515D3">
        <w:t xml:space="preserve"> £30,000</w:t>
      </w:r>
      <w:r w:rsidR="00922AFB">
        <w:t xml:space="preserve"> per QALY willingness-to-pay threshold</w:t>
      </w:r>
      <w:r w:rsidRPr="00B75DCF">
        <w:t xml:space="preserve"> compared with SAVR for patients with </w:t>
      </w:r>
      <w:proofErr w:type="spellStart"/>
      <w:r w:rsidRPr="00B75DCF">
        <w:t>sSAS</w:t>
      </w:r>
      <w:proofErr w:type="spellEnd"/>
      <w:r w:rsidRPr="00B75DCF">
        <w:t xml:space="preserve"> who are at low risk of surgical mortality. </w:t>
      </w:r>
    </w:p>
    <w:p w14:paraId="383FC13C" w14:textId="06030065" w:rsidR="002D0C48" w:rsidRPr="00B75DCF" w:rsidRDefault="003A34DE" w:rsidP="0057178E">
      <w:pPr>
        <w:pStyle w:val="ListParagraph"/>
        <w:numPr>
          <w:ilvl w:val="0"/>
          <w:numId w:val="46"/>
        </w:numPr>
        <w:spacing w:line="480" w:lineRule="auto"/>
      </w:pPr>
      <w:r w:rsidRPr="00B75DCF">
        <w:t xml:space="preserve">TAVI with SAPIEN 3 appears to be </w:t>
      </w:r>
      <w:r w:rsidRPr="00C515D3">
        <w:t>associated with both clinical and economic benefits</w:t>
      </w:r>
      <w:r w:rsidRPr="00B75DCF">
        <w:t xml:space="preserve"> compared with SAVR in patients with </w:t>
      </w:r>
      <w:proofErr w:type="spellStart"/>
      <w:r w:rsidRPr="00B75DCF">
        <w:t>sSAS</w:t>
      </w:r>
      <w:proofErr w:type="spellEnd"/>
      <w:r w:rsidRPr="00B75DCF">
        <w:t xml:space="preserve"> who are at low risk of surgical mortality. Healthcare providers and policy makers in the UK can use these data to inform their decisions on intervention selection for patients with </w:t>
      </w:r>
      <w:proofErr w:type="spellStart"/>
      <w:r w:rsidRPr="00B75DCF">
        <w:t>sSAS</w:t>
      </w:r>
      <w:proofErr w:type="spellEnd"/>
      <w:r w:rsidRPr="00B75DCF">
        <w:t>.</w:t>
      </w:r>
    </w:p>
    <w:p w14:paraId="0BD315F9" w14:textId="77777777" w:rsidR="00953C4E" w:rsidRPr="00B75DCF" w:rsidRDefault="00953C4E" w:rsidP="002D0C48">
      <w:pPr>
        <w:spacing w:line="480" w:lineRule="auto"/>
      </w:pPr>
    </w:p>
    <w:p w14:paraId="3AFD07E3" w14:textId="77777777" w:rsidR="00A44450" w:rsidRPr="00B75DCF" w:rsidRDefault="003A34DE" w:rsidP="005B4364">
      <w:pPr>
        <w:pStyle w:val="ListParagraph"/>
        <w:spacing w:line="360" w:lineRule="auto"/>
        <w:rPr>
          <w:b/>
          <w:bCs/>
        </w:rPr>
      </w:pPr>
      <w:r w:rsidRPr="00B75DCF">
        <w:br w:type="page"/>
      </w:r>
    </w:p>
    <w:p w14:paraId="33E54C0A" w14:textId="111C0456" w:rsidR="0083695E" w:rsidRPr="00B75DCF" w:rsidRDefault="00CB72C9" w:rsidP="00B140F6">
      <w:pPr>
        <w:pStyle w:val="Heading2"/>
        <w:spacing w:line="480" w:lineRule="auto"/>
      </w:pPr>
      <w:r>
        <w:lastRenderedPageBreak/>
        <w:t xml:space="preserve">1 </w:t>
      </w:r>
      <w:r w:rsidR="003A34DE" w:rsidRPr="00B75DCF">
        <w:t>Introduction</w:t>
      </w:r>
    </w:p>
    <w:p w14:paraId="6FD63FFC" w14:textId="5CD4CBE9" w:rsidR="00790A15" w:rsidRPr="00B75DCF" w:rsidRDefault="003A34DE" w:rsidP="00B140F6">
      <w:pPr>
        <w:spacing w:line="480" w:lineRule="auto"/>
        <w:rPr>
          <w:rFonts w:cstheme="minorHAnsi"/>
        </w:rPr>
      </w:pPr>
      <w:r w:rsidRPr="00B75DCF">
        <w:rPr>
          <w:rFonts w:cstheme="minorHAnsi"/>
        </w:rPr>
        <w:t xml:space="preserve">Aortic valve replacement options for the treatment of symptomatic </w:t>
      </w:r>
      <w:r w:rsidR="001F3840" w:rsidRPr="00B75DCF">
        <w:rPr>
          <w:rFonts w:cstheme="minorHAnsi"/>
        </w:rPr>
        <w:t xml:space="preserve">severe </w:t>
      </w:r>
      <w:r w:rsidRPr="0060703C">
        <w:rPr>
          <w:rFonts w:cstheme="minorHAnsi"/>
        </w:rPr>
        <w:t>aortic stenosis</w:t>
      </w:r>
      <w:r w:rsidRPr="00B75DCF">
        <w:rPr>
          <w:rFonts w:cstheme="minorHAnsi"/>
        </w:rPr>
        <w:t xml:space="preserve"> (</w:t>
      </w:r>
      <w:proofErr w:type="spellStart"/>
      <w:r w:rsidRPr="00B75DCF">
        <w:rPr>
          <w:rFonts w:cstheme="minorHAnsi"/>
        </w:rPr>
        <w:t>sSAS</w:t>
      </w:r>
      <w:proofErr w:type="spellEnd"/>
      <w:r w:rsidRPr="00B75DCF">
        <w:rPr>
          <w:rFonts w:cstheme="minorHAnsi"/>
        </w:rPr>
        <w:t>) include surgery (surgical aortic valve replacement; SAVR) or transcatheter aortic valve implantation (TAVI)</w:t>
      </w:r>
      <w:r w:rsidR="003959F7">
        <w:rPr>
          <w:rFonts w:cstheme="minorHAnsi"/>
        </w:rPr>
        <w:t xml:space="preserve"> [1]</w:t>
      </w:r>
      <w:r w:rsidRPr="00B75DCF">
        <w:rPr>
          <w:rFonts w:cstheme="minorHAnsi"/>
        </w:rPr>
        <w:t xml:space="preserve">. TAVI was initially introduced as a treatment option for </w:t>
      </w:r>
      <w:proofErr w:type="spellStart"/>
      <w:r w:rsidRPr="00B75DCF">
        <w:rPr>
          <w:rFonts w:cstheme="minorHAnsi"/>
        </w:rPr>
        <w:t>sSAS</w:t>
      </w:r>
      <w:proofErr w:type="spellEnd"/>
      <w:r w:rsidRPr="00B75DCF">
        <w:rPr>
          <w:rFonts w:cstheme="minorHAnsi"/>
        </w:rPr>
        <w:t xml:space="preserve"> in patients considered inoperable or at high risk of surgical mortality</w:t>
      </w:r>
      <w:r w:rsidR="003959F7">
        <w:rPr>
          <w:rFonts w:cstheme="minorHAnsi"/>
        </w:rPr>
        <w:t xml:space="preserve"> [2]</w:t>
      </w:r>
      <w:r w:rsidR="0006792B">
        <w:rPr>
          <w:rFonts w:cstheme="minorHAnsi"/>
        </w:rPr>
        <w:t>, but t</w:t>
      </w:r>
      <w:r w:rsidR="00FE7B0C" w:rsidRPr="00B75DCF">
        <w:rPr>
          <w:rFonts w:cstheme="minorHAnsi"/>
        </w:rPr>
        <w:t xml:space="preserve">echnical advances </w:t>
      </w:r>
      <w:r w:rsidR="007D1CB4">
        <w:rPr>
          <w:rFonts w:cstheme="minorHAnsi"/>
        </w:rPr>
        <w:t xml:space="preserve">and </w:t>
      </w:r>
      <w:r w:rsidR="00C578A1" w:rsidRPr="00B75DCF">
        <w:rPr>
          <w:rFonts w:cstheme="minorHAnsi"/>
        </w:rPr>
        <w:t xml:space="preserve">excellent </w:t>
      </w:r>
      <w:r w:rsidR="0006792B">
        <w:rPr>
          <w:rFonts w:cstheme="minorHAnsi"/>
        </w:rPr>
        <w:t xml:space="preserve">trial </w:t>
      </w:r>
      <w:r w:rsidR="00BA4CD0" w:rsidRPr="00B75DCF">
        <w:rPr>
          <w:rFonts w:cstheme="minorHAnsi"/>
        </w:rPr>
        <w:t>outcomes</w:t>
      </w:r>
      <w:r w:rsidR="00C578A1" w:rsidRPr="00B75DCF">
        <w:rPr>
          <w:rFonts w:cstheme="minorHAnsi"/>
        </w:rPr>
        <w:t xml:space="preserve"> </w:t>
      </w:r>
      <w:r w:rsidR="0006792B">
        <w:rPr>
          <w:rFonts w:cstheme="minorHAnsi"/>
        </w:rPr>
        <w:t xml:space="preserve">in </w:t>
      </w:r>
      <w:r w:rsidR="00DF69C6" w:rsidRPr="00B75DCF">
        <w:rPr>
          <w:rFonts w:cstheme="minorHAnsi"/>
        </w:rPr>
        <w:t xml:space="preserve">large randomised </w:t>
      </w:r>
      <w:r w:rsidR="00D3622A" w:rsidRPr="00B75DCF">
        <w:rPr>
          <w:rFonts w:cstheme="minorHAnsi"/>
        </w:rPr>
        <w:t xml:space="preserve">controlled trials </w:t>
      </w:r>
      <w:r w:rsidR="0006792B">
        <w:rPr>
          <w:rFonts w:cstheme="minorHAnsi"/>
        </w:rPr>
        <w:t xml:space="preserve">have expanded the indication. </w:t>
      </w:r>
      <w:r w:rsidRPr="00B75DCF">
        <w:rPr>
          <w:rFonts w:cstheme="minorHAnsi"/>
        </w:rPr>
        <w:t xml:space="preserve">TAVI </w:t>
      </w:r>
      <w:r w:rsidR="0006792B">
        <w:rPr>
          <w:rFonts w:cstheme="minorHAnsi"/>
        </w:rPr>
        <w:t xml:space="preserve">is now recommended as </w:t>
      </w:r>
      <w:r w:rsidR="00400AAC" w:rsidRPr="00B75DCF">
        <w:rPr>
          <w:rFonts w:cstheme="minorHAnsi"/>
        </w:rPr>
        <w:t xml:space="preserve">an alternative to </w:t>
      </w:r>
      <w:r w:rsidR="00940162" w:rsidRPr="00B75DCF">
        <w:rPr>
          <w:rFonts w:cstheme="minorHAnsi"/>
        </w:rPr>
        <w:t>SAVR in</w:t>
      </w:r>
      <w:r w:rsidR="00937F68" w:rsidRPr="00B75DCF">
        <w:rPr>
          <w:rFonts w:cstheme="minorHAnsi"/>
        </w:rPr>
        <w:t xml:space="preserve"> </w:t>
      </w:r>
      <w:r w:rsidRPr="00B75DCF">
        <w:rPr>
          <w:rFonts w:cstheme="minorHAnsi"/>
        </w:rPr>
        <w:t xml:space="preserve">all patients </w:t>
      </w:r>
      <w:r w:rsidR="00F93A78" w:rsidRPr="00B75DCF">
        <w:rPr>
          <w:rFonts w:cstheme="minorHAnsi"/>
        </w:rPr>
        <w:t xml:space="preserve">regardless of </w:t>
      </w:r>
      <w:r w:rsidR="00AE4A01" w:rsidRPr="00B75DCF">
        <w:rPr>
          <w:rFonts w:cstheme="minorHAnsi"/>
        </w:rPr>
        <w:t xml:space="preserve">the </w:t>
      </w:r>
      <w:r w:rsidR="0006724B" w:rsidRPr="00B75DCF">
        <w:rPr>
          <w:rFonts w:cstheme="minorHAnsi"/>
        </w:rPr>
        <w:t xml:space="preserve">surgical </w:t>
      </w:r>
      <w:r w:rsidR="00F93A78" w:rsidRPr="00B75DCF">
        <w:rPr>
          <w:rFonts w:cstheme="minorHAnsi"/>
        </w:rPr>
        <w:t>risk</w:t>
      </w:r>
      <w:r w:rsidR="003050F1" w:rsidRPr="00B75DCF">
        <w:rPr>
          <w:rFonts w:cstheme="minorHAnsi"/>
        </w:rPr>
        <w:t xml:space="preserve"> level</w:t>
      </w:r>
      <w:r w:rsidR="00F93A78" w:rsidRPr="00B75DCF">
        <w:rPr>
          <w:rFonts w:cstheme="minorHAnsi"/>
        </w:rPr>
        <w:t xml:space="preserve">, </w:t>
      </w:r>
      <w:r w:rsidR="00425D7F" w:rsidRPr="00B75DCF">
        <w:rPr>
          <w:rFonts w:cstheme="minorHAnsi"/>
        </w:rPr>
        <w:t xml:space="preserve">as </w:t>
      </w:r>
      <w:r w:rsidR="007D1CB4">
        <w:rPr>
          <w:rFonts w:cstheme="minorHAnsi"/>
        </w:rPr>
        <w:t>per</w:t>
      </w:r>
      <w:r w:rsidR="007D1CB4" w:rsidRPr="00B75DCF">
        <w:rPr>
          <w:rFonts w:cstheme="minorHAnsi"/>
        </w:rPr>
        <w:t xml:space="preserve"> </w:t>
      </w:r>
      <w:r w:rsidR="00425D7F" w:rsidRPr="00B75DCF">
        <w:rPr>
          <w:rFonts w:cstheme="minorHAnsi"/>
        </w:rPr>
        <w:t>the European Society of Cardiology (ESC)/European Association for Cardio-Thoracic Surgery (EACTS)</w:t>
      </w:r>
      <w:r w:rsidR="003959F7">
        <w:rPr>
          <w:rFonts w:cstheme="minorHAnsi"/>
        </w:rPr>
        <w:t xml:space="preserve"> [3]</w:t>
      </w:r>
      <w:r w:rsidR="00425D7F" w:rsidRPr="00B75DCF">
        <w:rPr>
          <w:rFonts w:cstheme="minorHAnsi"/>
        </w:rPr>
        <w:t xml:space="preserve"> and</w:t>
      </w:r>
      <w:r w:rsidR="00425D7F" w:rsidRPr="00B75DCF">
        <w:t xml:space="preserve"> </w:t>
      </w:r>
      <w:r w:rsidR="00425D7F" w:rsidRPr="00B75DCF">
        <w:rPr>
          <w:rFonts w:cstheme="minorHAnsi"/>
        </w:rPr>
        <w:t>American College of Cardiology/American Heart Association (ACC/AHA) Clinical Practice guidelines</w:t>
      </w:r>
      <w:r w:rsidR="003959F7">
        <w:rPr>
          <w:rFonts w:cstheme="minorHAnsi"/>
        </w:rPr>
        <w:t xml:space="preserve"> [4]</w:t>
      </w:r>
      <w:r w:rsidR="00425D7F" w:rsidRPr="00B75DCF">
        <w:rPr>
          <w:rFonts w:cstheme="minorHAnsi"/>
        </w:rPr>
        <w:t>.</w:t>
      </w:r>
    </w:p>
    <w:p w14:paraId="37C490A7" w14:textId="5407E4F5" w:rsidR="002D4530" w:rsidRPr="00B75DCF" w:rsidRDefault="003A34DE" w:rsidP="00B140F6">
      <w:pPr>
        <w:spacing w:line="480" w:lineRule="auto"/>
        <w:rPr>
          <w:rFonts w:cstheme="minorHAnsi"/>
        </w:rPr>
      </w:pPr>
      <w:r w:rsidRPr="00B75DCF">
        <w:rPr>
          <w:rFonts w:cstheme="minorHAnsi"/>
        </w:rPr>
        <w:t xml:space="preserve">In the UK, the latest </w:t>
      </w:r>
      <w:r w:rsidR="00E1493D">
        <w:rPr>
          <w:rFonts w:cstheme="minorHAnsi"/>
        </w:rPr>
        <w:t xml:space="preserve">(2021) </w:t>
      </w:r>
      <w:commentRangeStart w:id="15"/>
      <w:commentRangeStart w:id="16"/>
      <w:r w:rsidRPr="00890292">
        <w:rPr>
          <w:rFonts w:cstheme="minorHAnsi"/>
        </w:rPr>
        <w:t xml:space="preserve">National Institute </w:t>
      </w:r>
      <w:r w:rsidR="003D6C38" w:rsidRPr="00890292">
        <w:rPr>
          <w:rFonts w:cstheme="minorHAnsi"/>
        </w:rPr>
        <w:t>for</w:t>
      </w:r>
      <w:r w:rsidRPr="00890292">
        <w:rPr>
          <w:rFonts w:cstheme="minorHAnsi"/>
        </w:rPr>
        <w:t xml:space="preserve"> Healthcare Excellence</w:t>
      </w:r>
      <w:r w:rsidRPr="00D33236">
        <w:rPr>
          <w:rFonts w:cstheme="minorHAnsi"/>
        </w:rPr>
        <w:t xml:space="preserve"> </w:t>
      </w:r>
      <w:commentRangeEnd w:id="15"/>
      <w:r w:rsidR="00E93D6D" w:rsidRPr="00D33236">
        <w:rPr>
          <w:rStyle w:val="CommentReference"/>
        </w:rPr>
        <w:commentReference w:id="15"/>
      </w:r>
      <w:commentRangeEnd w:id="16"/>
      <w:r w:rsidR="003D6C38" w:rsidRPr="00D33236">
        <w:rPr>
          <w:rStyle w:val="CommentReference"/>
        </w:rPr>
        <w:commentReference w:id="16"/>
      </w:r>
      <w:r w:rsidRPr="00B75DCF">
        <w:rPr>
          <w:rFonts w:cstheme="minorHAnsi"/>
        </w:rPr>
        <w:t xml:space="preserve">(NICE) </w:t>
      </w:r>
      <w:r w:rsidR="00E1493D">
        <w:rPr>
          <w:rFonts w:cstheme="minorHAnsi"/>
        </w:rPr>
        <w:t>h</w:t>
      </w:r>
      <w:r w:rsidRPr="00B75DCF">
        <w:rPr>
          <w:rFonts w:cstheme="minorHAnsi"/>
        </w:rPr>
        <w:t xml:space="preserve">eart </w:t>
      </w:r>
      <w:r w:rsidR="00E1493D">
        <w:rPr>
          <w:rFonts w:cstheme="minorHAnsi"/>
        </w:rPr>
        <w:t>v</w:t>
      </w:r>
      <w:r w:rsidRPr="00B75DCF">
        <w:rPr>
          <w:rFonts w:cstheme="minorHAnsi"/>
        </w:rPr>
        <w:t xml:space="preserve">alve </w:t>
      </w:r>
      <w:r w:rsidR="00E1493D">
        <w:rPr>
          <w:rFonts w:cstheme="minorHAnsi"/>
        </w:rPr>
        <w:t>d</w:t>
      </w:r>
      <w:r w:rsidRPr="00B75DCF">
        <w:rPr>
          <w:rFonts w:cstheme="minorHAnsi"/>
        </w:rPr>
        <w:t>isease (HVD) guidelines</w:t>
      </w:r>
      <w:r w:rsidR="007A4FEC">
        <w:rPr>
          <w:rFonts w:cstheme="minorHAnsi"/>
        </w:rPr>
        <w:t xml:space="preserve"> [5]</w:t>
      </w:r>
      <w:r w:rsidRPr="00B75DCF">
        <w:rPr>
          <w:rFonts w:cstheme="minorHAnsi"/>
        </w:rPr>
        <w:t xml:space="preserve"> are </w:t>
      </w:r>
      <w:r w:rsidR="00064400" w:rsidRPr="00B75DCF">
        <w:rPr>
          <w:rFonts w:cstheme="minorHAnsi"/>
        </w:rPr>
        <w:t xml:space="preserve">substantially </w:t>
      </w:r>
      <w:r w:rsidRPr="00B75DCF">
        <w:rPr>
          <w:rFonts w:cstheme="minorHAnsi"/>
        </w:rPr>
        <w:t xml:space="preserve">more restrictive in the use of TAVI than </w:t>
      </w:r>
      <w:r w:rsidR="00AE37C2">
        <w:rPr>
          <w:rFonts w:cstheme="minorHAnsi"/>
        </w:rPr>
        <w:t xml:space="preserve">the </w:t>
      </w:r>
      <w:r w:rsidRPr="00B75DCF">
        <w:rPr>
          <w:rFonts w:cstheme="minorHAnsi"/>
        </w:rPr>
        <w:t>ACC/AHA and ESC/EACTS guidelines</w:t>
      </w:r>
      <w:r w:rsidR="007D1CB4">
        <w:rPr>
          <w:rFonts w:cstheme="minorHAnsi"/>
        </w:rPr>
        <w:t xml:space="preserve">. This is </w:t>
      </w:r>
      <w:r w:rsidR="00E1493D">
        <w:rPr>
          <w:rFonts w:cstheme="minorHAnsi"/>
        </w:rPr>
        <w:t xml:space="preserve">partly </w:t>
      </w:r>
      <w:r w:rsidR="007D1CB4">
        <w:rPr>
          <w:rFonts w:cstheme="minorHAnsi"/>
        </w:rPr>
        <w:t>because</w:t>
      </w:r>
      <w:r w:rsidR="00E1493D">
        <w:rPr>
          <w:rFonts w:cstheme="minorHAnsi"/>
        </w:rPr>
        <w:t xml:space="preserve"> (1) </w:t>
      </w:r>
      <w:r w:rsidRPr="00B75DCF">
        <w:rPr>
          <w:rFonts w:cstheme="minorHAnsi"/>
        </w:rPr>
        <w:t xml:space="preserve">NICE guidance </w:t>
      </w:r>
      <w:r w:rsidR="007D1CB4">
        <w:rPr>
          <w:rFonts w:cstheme="minorHAnsi"/>
        </w:rPr>
        <w:t xml:space="preserve">needs </w:t>
      </w:r>
      <w:r w:rsidRPr="00B75DCF">
        <w:rPr>
          <w:rFonts w:cstheme="minorHAnsi"/>
        </w:rPr>
        <w:t>to account for cost or cost-effectiveness of therapies</w:t>
      </w:r>
      <w:r w:rsidR="007D1CB4">
        <w:rPr>
          <w:rFonts w:cstheme="minorHAnsi"/>
        </w:rPr>
        <w:t xml:space="preserve">, and </w:t>
      </w:r>
      <w:r w:rsidR="00E1493D">
        <w:rPr>
          <w:rFonts w:cstheme="minorHAnsi"/>
        </w:rPr>
        <w:t>(2)</w:t>
      </w:r>
      <w:r w:rsidR="007D1CB4">
        <w:rPr>
          <w:rFonts w:cstheme="minorHAnsi"/>
        </w:rPr>
        <w:t xml:space="preserve"> updates in health funding </w:t>
      </w:r>
      <w:proofErr w:type="gramStart"/>
      <w:r w:rsidR="007D1CB4">
        <w:rPr>
          <w:rFonts w:cstheme="minorHAnsi"/>
        </w:rPr>
        <w:t>lag behind</w:t>
      </w:r>
      <w:proofErr w:type="gramEnd"/>
      <w:r w:rsidR="007D1CB4">
        <w:rPr>
          <w:rFonts w:cstheme="minorHAnsi"/>
        </w:rPr>
        <w:t xml:space="preserve"> clinical guidelines updates in the UK – leading to </w:t>
      </w:r>
      <w:r w:rsidRPr="00B75DCF">
        <w:rPr>
          <w:rFonts w:cstheme="minorHAnsi"/>
        </w:rPr>
        <w:t>delays in the reimbursement and penetration of TAVI</w:t>
      </w:r>
      <w:r w:rsidR="007A4FEC">
        <w:rPr>
          <w:rFonts w:cstheme="minorHAnsi"/>
        </w:rPr>
        <w:t xml:space="preserve"> [6, 7]</w:t>
      </w:r>
      <w:r w:rsidRPr="00B75DCF">
        <w:rPr>
          <w:rFonts w:cstheme="minorHAnsi"/>
        </w:rPr>
        <w:t xml:space="preserve">. </w:t>
      </w:r>
      <w:r w:rsidR="00E1493D">
        <w:rPr>
          <w:rFonts w:cstheme="minorHAnsi"/>
        </w:rPr>
        <w:t>For example, d</w:t>
      </w:r>
      <w:r w:rsidRPr="00B75DCF">
        <w:rPr>
          <w:rFonts w:cstheme="minorHAnsi"/>
        </w:rPr>
        <w:t xml:space="preserve">espite ESC/EACTS </w:t>
      </w:r>
      <w:r w:rsidR="00D06D96" w:rsidRPr="00B75DCF">
        <w:rPr>
          <w:rFonts w:cstheme="minorHAnsi"/>
        </w:rPr>
        <w:t>g</w:t>
      </w:r>
      <w:r w:rsidRPr="00B75DCF">
        <w:rPr>
          <w:rFonts w:cstheme="minorHAnsi"/>
        </w:rPr>
        <w:t>uidelines updat</w:t>
      </w:r>
      <w:r w:rsidR="00E1493D">
        <w:rPr>
          <w:rFonts w:cstheme="minorHAnsi"/>
        </w:rPr>
        <w:t>ing</w:t>
      </w:r>
      <w:r w:rsidRPr="00B75DCF">
        <w:rPr>
          <w:rFonts w:cstheme="minorHAnsi"/>
        </w:rPr>
        <w:t xml:space="preserve"> in August 2021, </w:t>
      </w:r>
      <w:r w:rsidR="00E1493D">
        <w:rPr>
          <w:rFonts w:cstheme="minorHAnsi"/>
        </w:rPr>
        <w:t xml:space="preserve">TAVI </w:t>
      </w:r>
      <w:r w:rsidRPr="00B75DCF">
        <w:rPr>
          <w:rFonts w:cstheme="minorHAnsi"/>
        </w:rPr>
        <w:t xml:space="preserve">reimbursement for </w:t>
      </w:r>
      <w:r w:rsidR="00733683" w:rsidRPr="00B75DCF">
        <w:rPr>
          <w:rFonts w:cstheme="minorHAnsi"/>
        </w:rPr>
        <w:t>intermediate</w:t>
      </w:r>
      <w:r w:rsidR="00E1493D">
        <w:rPr>
          <w:rFonts w:cstheme="minorHAnsi"/>
        </w:rPr>
        <w:t>/</w:t>
      </w:r>
      <w:r w:rsidR="00733683" w:rsidRPr="00B75DCF">
        <w:rPr>
          <w:rFonts w:cstheme="minorHAnsi"/>
        </w:rPr>
        <w:t>low</w:t>
      </w:r>
      <w:r w:rsidR="00E1493D">
        <w:rPr>
          <w:rFonts w:cstheme="minorHAnsi"/>
        </w:rPr>
        <w:t>-surgical-</w:t>
      </w:r>
      <w:r w:rsidR="00733683" w:rsidRPr="00B75DCF">
        <w:rPr>
          <w:rFonts w:cstheme="minorHAnsi"/>
        </w:rPr>
        <w:t xml:space="preserve">risk </w:t>
      </w:r>
      <w:r w:rsidR="00E1493D">
        <w:rPr>
          <w:rFonts w:cstheme="minorHAnsi"/>
        </w:rPr>
        <w:t xml:space="preserve">patients only expanded in January 2023 </w:t>
      </w:r>
      <w:r w:rsidR="007A4FEC">
        <w:rPr>
          <w:rFonts w:cstheme="minorHAnsi"/>
        </w:rPr>
        <w:t>[8]</w:t>
      </w:r>
      <w:r w:rsidR="00733683" w:rsidRPr="00B75DCF">
        <w:rPr>
          <w:rFonts w:cstheme="minorHAnsi"/>
        </w:rPr>
        <w:t xml:space="preserve">. </w:t>
      </w:r>
      <w:r w:rsidR="00E1493D">
        <w:rPr>
          <w:rFonts w:cstheme="minorHAnsi"/>
        </w:rPr>
        <w:t xml:space="preserve">This, combined with geographical inequities in the UK, has led to low TAVI penetration, longer waiting times, and excess mortality among those awaiting intervention </w:t>
      </w:r>
      <w:r w:rsidR="007A4FEC">
        <w:rPr>
          <w:rFonts w:cstheme="minorHAnsi"/>
        </w:rPr>
        <w:t>[6]</w:t>
      </w:r>
      <w:r w:rsidR="00733683" w:rsidRPr="00B75DCF">
        <w:rPr>
          <w:rFonts w:cstheme="minorHAnsi"/>
        </w:rPr>
        <w:t>.</w:t>
      </w:r>
    </w:p>
    <w:p w14:paraId="7951FBE6" w14:textId="053BBFD0" w:rsidR="00AE37C2" w:rsidRDefault="00AE37C2" w:rsidP="00FB422B">
      <w:pPr>
        <w:spacing w:line="480" w:lineRule="auto"/>
        <w:rPr>
          <w:rFonts w:cstheme="minorHAnsi"/>
        </w:rPr>
      </w:pPr>
      <w:r>
        <w:rPr>
          <w:rFonts w:cstheme="minorHAnsi"/>
        </w:rPr>
        <w:t>While t</w:t>
      </w:r>
      <w:r w:rsidR="003A34DE" w:rsidRPr="00B75DCF">
        <w:rPr>
          <w:rFonts w:cstheme="minorHAnsi"/>
        </w:rPr>
        <w:t>he NICE 2021 HVD guideline</w:t>
      </w:r>
      <w:r w:rsidR="00E1493D">
        <w:rPr>
          <w:rFonts w:cstheme="minorHAnsi"/>
        </w:rPr>
        <w:t>s</w:t>
      </w:r>
      <w:r w:rsidR="007A4FEC">
        <w:rPr>
          <w:rFonts w:cstheme="minorHAnsi"/>
        </w:rPr>
        <w:t xml:space="preserve"> [5]</w:t>
      </w:r>
      <w:r w:rsidR="003A34DE" w:rsidRPr="00B75DCF">
        <w:rPr>
          <w:rFonts w:cstheme="minorHAnsi"/>
        </w:rPr>
        <w:t xml:space="preserve"> </w:t>
      </w:r>
      <w:r w:rsidR="001448C0" w:rsidRPr="00B75DCF">
        <w:rPr>
          <w:rFonts w:cstheme="minorHAnsi"/>
        </w:rPr>
        <w:t>concluded that TAVI was not cost-effective compared with SAVR in patients at low surgical risk of mortality</w:t>
      </w:r>
      <w:r>
        <w:rPr>
          <w:rFonts w:cstheme="minorHAnsi"/>
        </w:rPr>
        <w:t xml:space="preserve">, these findings </w:t>
      </w:r>
      <w:r w:rsidR="00667F7A">
        <w:rPr>
          <w:rFonts w:cstheme="minorHAnsi"/>
        </w:rPr>
        <w:t xml:space="preserve">are in </w:t>
      </w:r>
      <w:r>
        <w:rPr>
          <w:rFonts w:cstheme="minorHAnsi"/>
        </w:rPr>
        <w:t xml:space="preserve">contrast with other published literature and were calculated from a model that has several limitations. For example, the NICE cost-effectiveness model included heterogeneous sources of mixed indications, types of devices, different valve generations, and various TAVI approaches. A </w:t>
      </w:r>
      <w:r w:rsidR="00824B41">
        <w:rPr>
          <w:rFonts w:cstheme="minorHAnsi"/>
        </w:rPr>
        <w:t>2023</w:t>
      </w:r>
      <w:r>
        <w:rPr>
          <w:rFonts w:cstheme="minorHAnsi"/>
        </w:rPr>
        <w:t xml:space="preserve"> systematic literature review of 42 studies [18] demonstrated that </w:t>
      </w:r>
      <w:r w:rsidR="00824B41">
        <w:rPr>
          <w:rFonts w:cstheme="minorHAnsi"/>
        </w:rPr>
        <w:t xml:space="preserve">inappropriately combining evidence from different devices, risk groups and </w:t>
      </w:r>
      <w:r w:rsidR="00824B41">
        <w:rPr>
          <w:rFonts w:cstheme="minorHAnsi"/>
        </w:rPr>
        <w:lastRenderedPageBreak/>
        <w:t xml:space="preserve">access groups can underestimate the economic benefit of the newest generation of TAVI </w:t>
      </w:r>
      <w:r w:rsidR="00203638">
        <w:rPr>
          <w:rFonts w:cstheme="minorHAnsi"/>
        </w:rPr>
        <w:t xml:space="preserve">devices </w:t>
      </w:r>
      <w:r w:rsidR="00824B41">
        <w:rPr>
          <w:rFonts w:cstheme="minorHAnsi"/>
        </w:rPr>
        <w:t xml:space="preserve">– such as </w:t>
      </w:r>
      <w:r w:rsidR="00203638">
        <w:rPr>
          <w:rFonts w:cstheme="minorHAnsi"/>
        </w:rPr>
        <w:t xml:space="preserve">the </w:t>
      </w:r>
      <w:r w:rsidR="00824B41">
        <w:rPr>
          <w:rFonts w:cstheme="minorHAnsi"/>
        </w:rPr>
        <w:t xml:space="preserve">SAPIEN 3 </w:t>
      </w:r>
      <w:r w:rsidR="00203638">
        <w:rPr>
          <w:rFonts w:cstheme="minorHAnsi"/>
        </w:rPr>
        <w:t xml:space="preserve">transcatheter heart valve </w:t>
      </w:r>
      <w:r w:rsidR="00824B41">
        <w:rPr>
          <w:rFonts w:cstheme="minorHAnsi"/>
        </w:rPr>
        <w:t xml:space="preserve">[10–17]. The literature review also reported that SAPIEN 3 was more likely to be found cost effective than other generations of device. </w:t>
      </w:r>
    </w:p>
    <w:p w14:paraId="27A8E755" w14:textId="6901EBEB" w:rsidR="001448C0" w:rsidRPr="00B75DCF" w:rsidRDefault="003A34DE" w:rsidP="00B140F6">
      <w:pPr>
        <w:spacing w:line="480" w:lineRule="auto"/>
      </w:pPr>
      <w:r w:rsidRPr="00B75DCF">
        <w:rPr>
          <w:rFonts w:cstheme="minorHAnsi"/>
        </w:rPr>
        <w:t xml:space="preserve">The PARTNER 3 trial was a multicentre, randomised controlled study </w:t>
      </w:r>
      <w:r w:rsidR="00CC697C">
        <w:rPr>
          <w:rFonts w:cstheme="minorHAnsi"/>
        </w:rPr>
        <w:t xml:space="preserve">investigating the outcomes of TAVI </w:t>
      </w:r>
      <w:r w:rsidR="00667F7A">
        <w:rPr>
          <w:rFonts w:cstheme="minorHAnsi"/>
        </w:rPr>
        <w:t xml:space="preserve">using </w:t>
      </w:r>
      <w:r w:rsidR="00CC697C">
        <w:rPr>
          <w:rFonts w:cstheme="minorHAnsi"/>
        </w:rPr>
        <w:t xml:space="preserve">the SAPIEN 3 device </w:t>
      </w:r>
      <w:r w:rsidRPr="00B75DCF">
        <w:rPr>
          <w:rFonts w:cstheme="minorHAnsi"/>
        </w:rPr>
        <w:t xml:space="preserve">in patients with </w:t>
      </w:r>
      <w:proofErr w:type="spellStart"/>
      <w:r w:rsidRPr="00B75DCF">
        <w:rPr>
          <w:rFonts w:cstheme="minorHAnsi"/>
        </w:rPr>
        <w:t>sSAS</w:t>
      </w:r>
      <w:proofErr w:type="spellEnd"/>
      <w:r w:rsidRPr="00B75DCF">
        <w:rPr>
          <w:rFonts w:cstheme="minorHAnsi"/>
        </w:rPr>
        <w:t xml:space="preserve"> considered at low risk of surgical mortality</w:t>
      </w:r>
      <w:r w:rsidR="00203638">
        <w:rPr>
          <w:rFonts w:cstheme="minorHAnsi"/>
        </w:rPr>
        <w:t xml:space="preserve">. </w:t>
      </w:r>
      <w:r w:rsidRPr="00B75DCF">
        <w:rPr>
          <w:rFonts w:cstheme="minorHAnsi"/>
        </w:rPr>
        <w:t xml:space="preserve">TAVI </w:t>
      </w:r>
      <w:r w:rsidR="00CC697C">
        <w:rPr>
          <w:rFonts w:cstheme="minorHAnsi"/>
        </w:rPr>
        <w:t xml:space="preserve">with SAPIEN 3 </w:t>
      </w:r>
      <w:r w:rsidRPr="00B75DCF">
        <w:rPr>
          <w:rFonts w:cstheme="minorHAnsi"/>
        </w:rPr>
        <w:t xml:space="preserve">resulted in significantly lower rates of stroke and new-onset atrial fibrillation (AF), shorter index hospitalisation, higher functional status, and improved quality of life at 30 days. </w:t>
      </w:r>
      <w:r w:rsidR="00203638">
        <w:rPr>
          <w:rFonts w:cstheme="minorHAnsi"/>
        </w:rPr>
        <w:t>There</w:t>
      </w:r>
      <w:r w:rsidRPr="00B75DCF">
        <w:rPr>
          <w:rFonts w:cstheme="minorHAnsi"/>
        </w:rPr>
        <w:t xml:space="preserve"> were </w:t>
      </w:r>
      <w:r w:rsidR="00203638">
        <w:rPr>
          <w:rFonts w:cstheme="minorHAnsi"/>
        </w:rPr>
        <w:t xml:space="preserve">also </w:t>
      </w:r>
      <w:r w:rsidRPr="00B75DCF">
        <w:rPr>
          <w:rFonts w:cstheme="minorHAnsi"/>
        </w:rPr>
        <w:t>no significant between-group differences in major vascular complications, new permanent pacemaker insertions (PPI), or moderate or severe paravalvular regurgitation</w:t>
      </w:r>
      <w:r w:rsidR="007A4FEC">
        <w:rPr>
          <w:rFonts w:cstheme="minorHAnsi"/>
        </w:rPr>
        <w:t xml:space="preserve"> [19, 20]</w:t>
      </w:r>
      <w:r w:rsidR="00574D81" w:rsidRPr="00B75DCF">
        <w:rPr>
          <w:rFonts w:cstheme="minorHAnsi"/>
        </w:rPr>
        <w:t xml:space="preserve">. </w:t>
      </w:r>
      <w:r w:rsidR="00D557F1" w:rsidRPr="00B75DCF">
        <w:rPr>
          <w:rFonts w:cstheme="minorHAnsi"/>
        </w:rPr>
        <w:t>The</w:t>
      </w:r>
      <w:r w:rsidR="00574D81" w:rsidRPr="00B75DCF">
        <w:rPr>
          <w:rFonts w:cstheme="minorHAnsi"/>
        </w:rPr>
        <w:t xml:space="preserve"> 5-year </w:t>
      </w:r>
      <w:r w:rsidR="00D557F1" w:rsidRPr="00B75DCF">
        <w:rPr>
          <w:rFonts w:cstheme="minorHAnsi"/>
        </w:rPr>
        <w:t>results</w:t>
      </w:r>
      <w:r w:rsidR="00574D81" w:rsidRPr="00B75DCF">
        <w:rPr>
          <w:rFonts w:cstheme="minorHAnsi"/>
        </w:rPr>
        <w:t xml:space="preserve"> </w:t>
      </w:r>
      <w:r w:rsidR="002C5871" w:rsidRPr="00B75DCF">
        <w:rPr>
          <w:rFonts w:cstheme="minorHAnsi"/>
        </w:rPr>
        <w:t xml:space="preserve">of the PARTNER 3 trial found </w:t>
      </w:r>
      <w:r w:rsidR="00D557F1" w:rsidRPr="00B75DCF">
        <w:rPr>
          <w:rFonts w:cstheme="minorHAnsi"/>
        </w:rPr>
        <w:t>event rates for death, stroke or rehospitalisation remained low with TAVI and very similar to the SAVR arm</w:t>
      </w:r>
      <w:r w:rsidR="002C5871" w:rsidRPr="00B75DCF">
        <w:rPr>
          <w:rFonts w:cstheme="minorHAnsi"/>
        </w:rPr>
        <w:t xml:space="preserve">, </w:t>
      </w:r>
      <w:r w:rsidR="002C5871" w:rsidRPr="00B75DCF">
        <w:t xml:space="preserve">reaffirming </w:t>
      </w:r>
      <w:r w:rsidR="00D557F1" w:rsidRPr="00B75DCF">
        <w:t xml:space="preserve">the </w:t>
      </w:r>
      <w:r w:rsidR="002C5871" w:rsidRPr="00B75DCF">
        <w:t xml:space="preserve">SAPIEN 3 </w:t>
      </w:r>
      <w:r w:rsidR="00D557F1" w:rsidRPr="00B75DCF">
        <w:t xml:space="preserve">device </w:t>
      </w:r>
      <w:r w:rsidR="002C5871" w:rsidRPr="00B75DCF">
        <w:t xml:space="preserve">as a meaningful alternative to SAVR for patients with </w:t>
      </w:r>
      <w:proofErr w:type="spellStart"/>
      <w:r w:rsidR="002C5871" w:rsidRPr="00B75DCF">
        <w:t>sSAS</w:t>
      </w:r>
      <w:proofErr w:type="spellEnd"/>
      <w:r w:rsidR="002C5871" w:rsidRPr="00B75DCF">
        <w:t xml:space="preserve"> considered at low risk of surgical mortality</w:t>
      </w:r>
      <w:r w:rsidR="007A4FEC">
        <w:t xml:space="preserve"> [21]</w:t>
      </w:r>
      <w:r w:rsidR="002C5871" w:rsidRPr="00B75DCF">
        <w:t>.</w:t>
      </w:r>
    </w:p>
    <w:p w14:paraId="7F4C4363" w14:textId="6D542297" w:rsidR="002C5871" w:rsidRPr="00B75DCF" w:rsidRDefault="003A34DE" w:rsidP="00B140F6">
      <w:pPr>
        <w:spacing w:line="480" w:lineRule="auto"/>
        <w:rPr>
          <w:rFonts w:cstheme="minorHAnsi"/>
        </w:rPr>
      </w:pPr>
      <w:r w:rsidRPr="00B75DCF">
        <w:rPr>
          <w:rFonts w:cstheme="minorHAnsi"/>
        </w:rPr>
        <w:t xml:space="preserve">Recently </w:t>
      </w:r>
      <w:r w:rsidR="00B32D0C" w:rsidRPr="00B75DCF">
        <w:rPr>
          <w:rFonts w:cstheme="minorHAnsi"/>
        </w:rPr>
        <w:t>published</w:t>
      </w:r>
      <w:r w:rsidR="009C58A5" w:rsidRPr="00B75DCF">
        <w:rPr>
          <w:rFonts w:cstheme="minorHAnsi"/>
        </w:rPr>
        <w:t xml:space="preserve"> analyses </w:t>
      </w:r>
      <w:r w:rsidRPr="00B75DCF">
        <w:rPr>
          <w:rFonts w:cstheme="minorHAnsi"/>
        </w:rPr>
        <w:t xml:space="preserve">suggest </w:t>
      </w:r>
      <w:r w:rsidR="00726449" w:rsidRPr="00B75DCF">
        <w:rPr>
          <w:rFonts w:cstheme="minorHAnsi"/>
        </w:rPr>
        <w:t>that TAVI is cost-effective versus SAVR</w:t>
      </w:r>
      <w:r w:rsidR="00A04D01" w:rsidRPr="00B75DCF">
        <w:rPr>
          <w:rFonts w:cstheme="minorHAnsi"/>
        </w:rPr>
        <w:t xml:space="preserve"> </w:t>
      </w:r>
      <w:r w:rsidRPr="00B75DCF">
        <w:rPr>
          <w:rFonts w:cstheme="minorHAnsi"/>
        </w:rPr>
        <w:t>in patients at low risk of surgical mortality in France</w:t>
      </w:r>
      <w:r w:rsidR="007A4FEC">
        <w:rPr>
          <w:rFonts w:cstheme="minorHAnsi"/>
        </w:rPr>
        <w:t xml:space="preserve"> [10]</w:t>
      </w:r>
      <w:r w:rsidRPr="00B75DCF">
        <w:rPr>
          <w:rFonts w:cstheme="minorHAnsi"/>
        </w:rPr>
        <w:t>, Italy</w:t>
      </w:r>
      <w:r w:rsidR="007A4FEC">
        <w:rPr>
          <w:rFonts w:cstheme="minorHAnsi"/>
        </w:rPr>
        <w:t xml:space="preserve"> [11]</w:t>
      </w:r>
      <w:r w:rsidRPr="00B75DCF">
        <w:rPr>
          <w:rFonts w:cstheme="minorHAnsi"/>
        </w:rPr>
        <w:t>, Spain</w:t>
      </w:r>
      <w:r w:rsidR="007A4FEC">
        <w:rPr>
          <w:rFonts w:cstheme="minorHAnsi"/>
        </w:rPr>
        <w:t xml:space="preserve"> [12]</w:t>
      </w:r>
      <w:r w:rsidRPr="00B75DCF">
        <w:rPr>
          <w:rFonts w:cstheme="minorHAnsi"/>
        </w:rPr>
        <w:t>, Germany</w:t>
      </w:r>
      <w:r w:rsidR="007A4FEC">
        <w:rPr>
          <w:rFonts w:cstheme="minorHAnsi"/>
        </w:rPr>
        <w:t xml:space="preserve"> [13]</w:t>
      </w:r>
      <w:r w:rsidRPr="00B75DCF">
        <w:rPr>
          <w:rFonts w:cstheme="minorHAnsi"/>
        </w:rPr>
        <w:t>, Belgium</w:t>
      </w:r>
      <w:r w:rsidR="007A4FEC">
        <w:rPr>
          <w:rFonts w:cstheme="minorHAnsi"/>
        </w:rPr>
        <w:t xml:space="preserve"> [14]</w:t>
      </w:r>
      <w:r w:rsidR="000041A2" w:rsidRPr="00B75DCF">
        <w:rPr>
          <w:rFonts w:cstheme="minorHAnsi"/>
        </w:rPr>
        <w:t>,</w:t>
      </w:r>
      <w:r w:rsidRPr="00B75DCF">
        <w:rPr>
          <w:rFonts w:cstheme="minorHAnsi"/>
        </w:rPr>
        <w:t xml:space="preserve"> Netherlands</w:t>
      </w:r>
      <w:r w:rsidR="007A4FEC">
        <w:rPr>
          <w:rFonts w:cstheme="minorHAnsi"/>
        </w:rPr>
        <w:t xml:space="preserve"> [15]</w:t>
      </w:r>
      <w:r w:rsidR="000041A2" w:rsidRPr="00B75DCF">
        <w:rPr>
          <w:rFonts w:cstheme="minorHAnsi"/>
        </w:rPr>
        <w:t>, Sweden</w:t>
      </w:r>
      <w:r w:rsidR="007A4FEC">
        <w:rPr>
          <w:rFonts w:cstheme="minorHAnsi"/>
        </w:rPr>
        <w:t xml:space="preserve"> [16]</w:t>
      </w:r>
      <w:r w:rsidR="000041A2" w:rsidRPr="00B75DCF">
        <w:rPr>
          <w:rFonts w:cstheme="minorHAnsi"/>
        </w:rPr>
        <w:t xml:space="preserve"> and Switzerland</w:t>
      </w:r>
      <w:r w:rsidR="007A4FEC">
        <w:rPr>
          <w:rFonts w:cstheme="minorHAnsi"/>
        </w:rPr>
        <w:t xml:space="preserve"> [17]</w:t>
      </w:r>
      <w:r w:rsidR="000041A2" w:rsidRPr="00B75DCF">
        <w:rPr>
          <w:rFonts w:cstheme="minorHAnsi"/>
        </w:rPr>
        <w:t>.</w:t>
      </w:r>
      <w:r w:rsidRPr="00B75DCF">
        <w:rPr>
          <w:rFonts w:cstheme="minorHAnsi"/>
        </w:rPr>
        <w:t xml:space="preserve"> </w:t>
      </w:r>
      <w:r w:rsidR="00667F7A">
        <w:rPr>
          <w:rFonts w:cstheme="minorHAnsi"/>
        </w:rPr>
        <w:t xml:space="preserve">This study </w:t>
      </w:r>
      <w:r w:rsidR="000E7F29">
        <w:rPr>
          <w:rFonts w:cstheme="minorHAnsi"/>
        </w:rPr>
        <w:t xml:space="preserve">involved the </w:t>
      </w:r>
      <w:r w:rsidR="00667F7A">
        <w:rPr>
          <w:rFonts w:cstheme="minorHAnsi"/>
        </w:rPr>
        <w:t xml:space="preserve">development of </w:t>
      </w:r>
      <w:r w:rsidRPr="00B75DCF">
        <w:rPr>
          <w:rFonts w:cstheme="minorHAnsi"/>
        </w:rPr>
        <w:t xml:space="preserve">a cost-utility analysis using </w:t>
      </w:r>
      <w:r w:rsidR="00917A4D" w:rsidRPr="00B75DCF">
        <w:t>5-year data from the PARTNER 3 trial</w:t>
      </w:r>
      <w:r w:rsidRPr="00B75DCF">
        <w:rPr>
          <w:rFonts w:cstheme="minorHAnsi"/>
        </w:rPr>
        <w:t xml:space="preserve"> to assess the value of TAVI with SAPIEN 3 versus SAVR in patients with </w:t>
      </w:r>
      <w:proofErr w:type="spellStart"/>
      <w:r w:rsidR="00CC0EF9" w:rsidRPr="00B75DCF">
        <w:rPr>
          <w:rFonts w:cstheme="minorHAnsi"/>
        </w:rPr>
        <w:t>sSAS</w:t>
      </w:r>
      <w:proofErr w:type="spellEnd"/>
      <w:r w:rsidRPr="00B75DCF">
        <w:rPr>
          <w:rFonts w:cstheme="minorHAnsi"/>
        </w:rPr>
        <w:t xml:space="preserve"> and </w:t>
      </w:r>
      <w:r w:rsidR="00CC0EF9" w:rsidRPr="00B75DCF">
        <w:rPr>
          <w:rFonts w:cstheme="minorHAnsi"/>
        </w:rPr>
        <w:t>at l</w:t>
      </w:r>
      <w:r w:rsidRPr="00B75DCF">
        <w:rPr>
          <w:rFonts w:cstheme="minorHAnsi"/>
        </w:rPr>
        <w:t>ow risk of surgical mortality</w:t>
      </w:r>
      <w:r w:rsidR="0044395C" w:rsidRPr="00B75DCF">
        <w:rPr>
          <w:rFonts w:cstheme="minorHAnsi"/>
        </w:rPr>
        <w:t xml:space="preserve"> in a UK healthcare setting</w:t>
      </w:r>
      <w:r w:rsidRPr="00B75DCF">
        <w:rPr>
          <w:rFonts w:cstheme="minorHAnsi"/>
        </w:rPr>
        <w:t>.</w:t>
      </w:r>
      <w:r w:rsidR="005D01DA" w:rsidRPr="00B75DCF">
        <w:rPr>
          <w:rFonts w:cstheme="minorHAnsi"/>
        </w:rPr>
        <w:t xml:space="preserve"> </w:t>
      </w:r>
      <w:r w:rsidR="00667F7A">
        <w:rPr>
          <w:rFonts w:cstheme="minorHAnsi"/>
        </w:rPr>
        <w:t>The</w:t>
      </w:r>
      <w:r w:rsidR="00667F7A" w:rsidRPr="00B75DCF">
        <w:rPr>
          <w:rFonts w:cstheme="minorHAnsi"/>
        </w:rPr>
        <w:t xml:space="preserve"> </w:t>
      </w:r>
      <w:r w:rsidR="005D01DA" w:rsidRPr="00B75DCF">
        <w:rPr>
          <w:rFonts w:cstheme="minorHAnsi"/>
        </w:rPr>
        <w:t xml:space="preserve">aim was to produce device-specific </w:t>
      </w:r>
      <w:r w:rsidR="00AB75B3" w:rsidRPr="00B75DCF">
        <w:rPr>
          <w:rFonts w:cstheme="minorHAnsi"/>
        </w:rPr>
        <w:t>evidence.</w:t>
      </w:r>
    </w:p>
    <w:p w14:paraId="727EF284" w14:textId="77777777" w:rsidR="005B4364" w:rsidRPr="00B75DCF" w:rsidRDefault="005B4364" w:rsidP="005B4364">
      <w:pPr>
        <w:spacing w:line="360" w:lineRule="auto"/>
      </w:pPr>
    </w:p>
    <w:p w14:paraId="57FA33A6" w14:textId="77777777" w:rsidR="005B4364" w:rsidRPr="00B75DCF" w:rsidRDefault="003A34DE">
      <w:r w:rsidRPr="00B75DCF">
        <w:br w:type="page"/>
      </w:r>
    </w:p>
    <w:p w14:paraId="5F3E18BF" w14:textId="3010D72F" w:rsidR="009D435C" w:rsidRPr="00B75DCF" w:rsidRDefault="0037080A" w:rsidP="00EE1CB4">
      <w:pPr>
        <w:spacing w:line="480" w:lineRule="auto"/>
        <w:rPr>
          <w:b/>
          <w:bCs/>
        </w:rPr>
      </w:pPr>
      <w:r>
        <w:rPr>
          <w:b/>
          <w:bCs/>
        </w:rPr>
        <w:lastRenderedPageBreak/>
        <w:t xml:space="preserve">2 </w:t>
      </w:r>
      <w:r w:rsidR="003A34DE" w:rsidRPr="00B75DCF">
        <w:rPr>
          <w:b/>
          <w:bCs/>
        </w:rPr>
        <w:t>Methods</w:t>
      </w:r>
    </w:p>
    <w:p w14:paraId="4DEB07DC" w14:textId="4E365CAA" w:rsidR="0044342B" w:rsidRPr="00B75DCF" w:rsidRDefault="007471C5" w:rsidP="009B639C">
      <w:pPr>
        <w:spacing w:line="480" w:lineRule="auto"/>
      </w:pPr>
      <w:r>
        <w:t xml:space="preserve">A cost-utility </w:t>
      </w:r>
      <w:r w:rsidR="009B639C">
        <w:t>model</w:t>
      </w:r>
      <w:r>
        <w:t xml:space="preserve"> was built to estimate changes in direct healthcare costs and health-related quality of life with TAVI (using SAPIEN 3) versus SAVR in </w:t>
      </w:r>
      <w:proofErr w:type="spellStart"/>
      <w:r>
        <w:t>sSAS</w:t>
      </w:r>
      <w:proofErr w:type="spellEnd"/>
      <w:r>
        <w:t xml:space="preserve"> patients with a low risk of surgical mortality</w:t>
      </w:r>
      <w:r w:rsidR="009B639C">
        <w:t xml:space="preserve"> (&lt;</w:t>
      </w:r>
      <w:commentRangeStart w:id="17"/>
      <w:commentRangeStart w:id="18"/>
      <w:r w:rsidR="009B639C">
        <w:t>4%, as defined by the Society of Thoracic Surgeons</w:t>
      </w:r>
      <w:commentRangeEnd w:id="17"/>
      <w:r w:rsidR="00DB1431">
        <w:rPr>
          <w:rStyle w:val="CommentReference"/>
        </w:rPr>
        <w:commentReference w:id="17"/>
      </w:r>
      <w:commentRangeEnd w:id="18"/>
      <w:r w:rsidR="00093AF3">
        <w:rPr>
          <w:rStyle w:val="CommentReference"/>
        </w:rPr>
        <w:commentReference w:id="18"/>
      </w:r>
      <w:r w:rsidR="00093AF3">
        <w:t xml:space="preserve"> [49]</w:t>
      </w:r>
      <w:r w:rsidR="009B639C">
        <w:t>)</w:t>
      </w:r>
      <w:r>
        <w:t xml:space="preserve">, from the perspective of the </w:t>
      </w:r>
      <w:proofErr w:type="gramStart"/>
      <w:r>
        <w:t>UK  healthcare</w:t>
      </w:r>
      <w:proofErr w:type="gramEnd"/>
      <w:r>
        <w:t xml:space="preserve"> system. </w:t>
      </w:r>
      <w:r w:rsidR="003A34DE" w:rsidRPr="00B75DCF">
        <w:t>Ethical approval of research was not required as th</w:t>
      </w:r>
      <w:r w:rsidR="009B639C">
        <w:t>e</w:t>
      </w:r>
      <w:r w:rsidR="003A34DE" w:rsidRPr="00B75DCF">
        <w:t xml:space="preserve"> cost-utility analysis was based on data from </w:t>
      </w:r>
      <w:r w:rsidR="009B639C">
        <w:t>existing</w:t>
      </w:r>
      <w:r w:rsidR="003A34DE" w:rsidRPr="00B75DCF">
        <w:t xml:space="preserve"> studies and did not </w:t>
      </w:r>
      <w:r w:rsidR="009B639C">
        <w:t xml:space="preserve">gather any new data from </w:t>
      </w:r>
      <w:r w:rsidR="003A34DE" w:rsidRPr="00B75DCF">
        <w:t>human participants.</w:t>
      </w:r>
      <w:r w:rsidR="00134152">
        <w:t xml:space="preserve"> </w:t>
      </w:r>
    </w:p>
    <w:p w14:paraId="4ACCF95E" w14:textId="10D0F253" w:rsidR="003E11FD" w:rsidRPr="00B75DCF" w:rsidRDefault="0037080A" w:rsidP="00EE1CB4">
      <w:pPr>
        <w:pStyle w:val="Heading3"/>
        <w:spacing w:line="480" w:lineRule="auto"/>
        <w:rPr>
          <w:b/>
          <w:bCs/>
        </w:rPr>
      </w:pPr>
      <w:r>
        <w:rPr>
          <w:b/>
          <w:bCs/>
        </w:rPr>
        <w:t xml:space="preserve">2.1 </w:t>
      </w:r>
      <w:r w:rsidR="003A34DE" w:rsidRPr="00B75DCF">
        <w:rPr>
          <w:b/>
          <w:bCs/>
        </w:rPr>
        <w:t>Model structure</w:t>
      </w:r>
    </w:p>
    <w:p w14:paraId="7760005E" w14:textId="709452F5" w:rsidR="003D08CD" w:rsidRPr="00B75DCF" w:rsidRDefault="00134152" w:rsidP="008A172E">
      <w:pPr>
        <w:spacing w:line="480" w:lineRule="auto"/>
      </w:pPr>
      <w:r>
        <w:t>Following a conceptualisation period, t</w:t>
      </w:r>
      <w:r w:rsidR="0069429E">
        <w:t xml:space="preserve">he model was built using a two-stage structure – a </w:t>
      </w:r>
      <w:r w:rsidR="0069429E" w:rsidRPr="00B75DCF">
        <w:t xml:space="preserve">methodology validated </w:t>
      </w:r>
      <w:r w:rsidR="0069429E">
        <w:t>in</w:t>
      </w:r>
      <w:r w:rsidR="0069429E" w:rsidRPr="00B75DCF">
        <w:t xml:space="preserve"> </w:t>
      </w:r>
      <w:r w:rsidR="0069429E">
        <w:t xml:space="preserve">the </w:t>
      </w:r>
      <w:r w:rsidR="0069429E" w:rsidRPr="00B75DCF">
        <w:t>French</w:t>
      </w:r>
      <w:r w:rsidR="0069429E">
        <w:t xml:space="preserve"> [10]</w:t>
      </w:r>
      <w:r w:rsidR="0069429E" w:rsidRPr="00B75DCF">
        <w:t>, Italian</w:t>
      </w:r>
      <w:r w:rsidR="0069429E">
        <w:t xml:space="preserve"> [11]</w:t>
      </w:r>
      <w:r w:rsidR="0069429E" w:rsidRPr="00B75DCF">
        <w:t>, Spanish</w:t>
      </w:r>
      <w:r w:rsidR="0069429E">
        <w:t xml:space="preserve"> [12]</w:t>
      </w:r>
      <w:r w:rsidR="0069429E" w:rsidRPr="00B75DCF">
        <w:t>, German</w:t>
      </w:r>
      <w:r w:rsidR="0069429E">
        <w:t xml:space="preserve"> [13]</w:t>
      </w:r>
      <w:r w:rsidR="0069429E" w:rsidRPr="00B75DCF">
        <w:t>, Belgian</w:t>
      </w:r>
      <w:r w:rsidR="0069429E">
        <w:t xml:space="preserve"> [14]</w:t>
      </w:r>
      <w:r w:rsidR="0069429E" w:rsidRPr="00B75DCF">
        <w:t>, Dutch</w:t>
      </w:r>
      <w:r w:rsidR="0069429E">
        <w:t xml:space="preserve"> [15]</w:t>
      </w:r>
      <w:r w:rsidR="0069429E" w:rsidRPr="00B75DCF">
        <w:t>, Swedish</w:t>
      </w:r>
      <w:r w:rsidR="0069429E">
        <w:t xml:space="preserve"> [16]</w:t>
      </w:r>
      <w:r w:rsidR="0069429E" w:rsidRPr="00B75DCF">
        <w:t xml:space="preserve"> and Swiss</w:t>
      </w:r>
      <w:r w:rsidR="0069429E">
        <w:t xml:space="preserve"> [17]</w:t>
      </w:r>
      <w:r w:rsidR="0069429E" w:rsidRPr="00B75DCF">
        <w:t xml:space="preserve"> populations</w:t>
      </w:r>
      <w:r w:rsidR="0069429E">
        <w:t xml:space="preserve"> and considered appropriate for a UK context by all authors.</w:t>
      </w:r>
      <w:r w:rsidR="0069429E" w:rsidRPr="00B75DCF">
        <w:t xml:space="preserve"> </w:t>
      </w:r>
      <w:r w:rsidR="0069429E">
        <w:t>E</w:t>
      </w:r>
      <w:r w:rsidR="005D6632" w:rsidRPr="00B75DCF">
        <w:t xml:space="preserve">arly adverse events (AEs) linked to the TAVI procedure were captured </w:t>
      </w:r>
      <w:r w:rsidR="0069429E">
        <w:t>using</w:t>
      </w:r>
      <w:r w:rsidR="0069429E" w:rsidRPr="00B75DCF">
        <w:t xml:space="preserve"> </w:t>
      </w:r>
      <w:r w:rsidR="005D6632" w:rsidRPr="00B75DCF">
        <w:t>the 30-day AEs dataset from the PARTNER 3 trial</w:t>
      </w:r>
      <w:r w:rsidR="007A4FEC">
        <w:t xml:space="preserve"> [19]</w:t>
      </w:r>
      <w:r w:rsidR="005D6632" w:rsidRPr="00B75DCF">
        <w:t xml:space="preserve"> in a decision tree (</w:t>
      </w:r>
      <w:r w:rsidR="005D6632" w:rsidRPr="00E93D6D">
        <w:rPr>
          <w:b/>
          <w:bCs/>
        </w:rPr>
        <w:t>Figure</w:t>
      </w:r>
      <w:r w:rsidR="005D6632" w:rsidRPr="00B75DCF">
        <w:rPr>
          <w:b/>
          <w:bCs/>
        </w:rPr>
        <w:t xml:space="preserve"> 1a</w:t>
      </w:r>
      <w:r w:rsidR="005D6632" w:rsidRPr="00B75DCF">
        <w:t>).</w:t>
      </w:r>
      <w:r w:rsidR="007B54B3">
        <w:t xml:space="preserve"> </w:t>
      </w:r>
      <w:r w:rsidR="0069429E">
        <w:t>T</w:t>
      </w:r>
      <w:r w:rsidR="005D6632" w:rsidRPr="00B75DCF">
        <w:t xml:space="preserve">hese data were </w:t>
      </w:r>
      <w:r w:rsidR="0069429E">
        <w:t xml:space="preserve">subsequently </w:t>
      </w:r>
      <w:r w:rsidR="005D6632" w:rsidRPr="00B75DCF">
        <w:t>fed into a Markov model that included four distinct health states (‘alive and well’, ‘treated AF’, ‘disabling stroke’, and ‘dead’) to capture longer-term outcomes of patients, post TAVI or SAVR intervention (</w:t>
      </w:r>
      <w:r w:rsidR="005D6632" w:rsidRPr="00B75DCF">
        <w:rPr>
          <w:b/>
          <w:bCs/>
        </w:rPr>
        <w:t>Figure 1b</w:t>
      </w:r>
      <w:r w:rsidR="005D6632" w:rsidRPr="00B75DCF">
        <w:t xml:space="preserve">). </w:t>
      </w:r>
      <w:r w:rsidR="00F07EE5">
        <w:t xml:space="preserve">The </w:t>
      </w:r>
      <w:r w:rsidR="00153AD3">
        <w:t xml:space="preserve">acute </w:t>
      </w:r>
      <w:r w:rsidR="00F07EE5">
        <w:t xml:space="preserve">costs </w:t>
      </w:r>
      <w:r w:rsidR="00153AD3">
        <w:t>associated with</w:t>
      </w:r>
      <w:r w:rsidR="00F07EE5">
        <w:t xml:space="preserve"> t</w:t>
      </w:r>
      <w:r w:rsidR="007B54B3">
        <w:t xml:space="preserve">ransient ischaemic attack, myocardial infarction and bleed rates were captured </w:t>
      </w:r>
      <w:r w:rsidR="00F07EE5">
        <w:t>between 30 days and</w:t>
      </w:r>
      <w:r w:rsidR="007B54B3">
        <w:t xml:space="preserve"> one year</w:t>
      </w:r>
      <w:r w:rsidR="00391CB2">
        <w:t xml:space="preserve"> </w:t>
      </w:r>
      <w:r w:rsidR="007B54B3">
        <w:t xml:space="preserve">[19]. </w:t>
      </w:r>
      <w:r w:rsidR="007B54B3" w:rsidRPr="00B75DCF">
        <w:t xml:space="preserve"> </w:t>
      </w:r>
    </w:p>
    <w:p w14:paraId="322364D7" w14:textId="7D4A0A74" w:rsidR="0098241F" w:rsidRPr="00B75DCF" w:rsidRDefault="0090291A" w:rsidP="008A172E">
      <w:pPr>
        <w:spacing w:line="480" w:lineRule="auto"/>
      </w:pPr>
      <w:r w:rsidRPr="0090291A">
        <w:t xml:space="preserve">A lifetime horizon </w:t>
      </w:r>
      <w:r>
        <w:t xml:space="preserve">(30 years), </w:t>
      </w:r>
      <w:r w:rsidRPr="0090291A">
        <w:t>and one-month cycle length was used</w:t>
      </w:r>
      <w:r>
        <w:t>,</w:t>
      </w:r>
      <w:r w:rsidRPr="00B75DCF">
        <w:t xml:space="preserve"> with a</w:t>
      </w:r>
      <w:r>
        <w:t>n annual</w:t>
      </w:r>
      <w:r w:rsidRPr="00B75DCF">
        <w:t xml:space="preserve"> discounting factor of 3.5% applied for both future costs and benefits</w:t>
      </w:r>
      <w:r w:rsidRPr="0090291A">
        <w:t xml:space="preserve">. </w:t>
      </w:r>
      <w:r>
        <w:t xml:space="preserve">A </w:t>
      </w:r>
      <w:r w:rsidR="008B0E1D">
        <w:t>30-year</w:t>
      </w:r>
      <w:r>
        <w:t xml:space="preserve"> time horizon </w:t>
      </w:r>
      <w:r w:rsidRPr="0033164A">
        <w:t xml:space="preserve">was chosen to </w:t>
      </w:r>
      <w:r>
        <w:t>capture the</w:t>
      </w:r>
      <w:r w:rsidRPr="0033164A">
        <w:t xml:space="preserve"> potential </w:t>
      </w:r>
      <w:r>
        <w:t>outcomes</w:t>
      </w:r>
      <w:r w:rsidRPr="0033164A">
        <w:t xml:space="preserve"> </w:t>
      </w:r>
      <w:r>
        <w:t>of people</w:t>
      </w:r>
      <w:r w:rsidRPr="0033164A">
        <w:t xml:space="preserve"> with </w:t>
      </w:r>
      <w:proofErr w:type="spellStart"/>
      <w:r w:rsidRPr="00B75DCF">
        <w:rPr>
          <w:rFonts w:cstheme="minorHAnsi"/>
        </w:rPr>
        <w:t>sSAS</w:t>
      </w:r>
      <w:proofErr w:type="spellEnd"/>
      <w:r w:rsidRPr="0033164A">
        <w:t xml:space="preserve"> over their lifetime.</w:t>
      </w:r>
      <w:r>
        <w:t xml:space="preserve"> </w:t>
      </w:r>
      <w:r w:rsidRPr="0090291A">
        <w:t xml:space="preserve">Half-cycle corrections were applied for costs and QALYs, </w:t>
      </w:r>
      <w:proofErr w:type="gramStart"/>
      <w:r w:rsidRPr="0090291A">
        <w:t xml:space="preserve">with the </w:t>
      </w:r>
      <w:r w:rsidR="008B0E1D" w:rsidRPr="0090291A">
        <w:t>exception</w:t>
      </w:r>
      <w:r w:rsidRPr="0090291A">
        <w:t xml:space="preserve"> of</w:t>
      </w:r>
      <w:proofErr w:type="gramEnd"/>
      <w:r w:rsidRPr="0090291A">
        <w:t xml:space="preserve"> the procedure costs; all patients will incur these costs, which can be justified given the low risk of surgical mortality. </w:t>
      </w:r>
    </w:p>
    <w:p w14:paraId="000F478C" w14:textId="4D2433A3" w:rsidR="00F216F6" w:rsidRPr="00B75DCF" w:rsidRDefault="003A34DE" w:rsidP="008A172E">
      <w:pPr>
        <w:spacing w:line="480" w:lineRule="auto"/>
      </w:pPr>
      <w:r w:rsidRPr="00B75DCF">
        <w:t xml:space="preserve">Health-related quality of life was included in the analysis using </w:t>
      </w:r>
      <w:r w:rsidR="0069429E">
        <w:t>q</w:t>
      </w:r>
      <w:r w:rsidRPr="00B75DCF">
        <w:t>uality</w:t>
      </w:r>
      <w:r w:rsidR="0069429E">
        <w:t>-a</w:t>
      </w:r>
      <w:r w:rsidRPr="00B75DCF">
        <w:t>djusted</w:t>
      </w:r>
      <w:r w:rsidR="00667F7A">
        <w:t xml:space="preserve"> </w:t>
      </w:r>
      <w:r w:rsidR="0069429E">
        <w:t>l</w:t>
      </w:r>
      <w:r w:rsidRPr="00B75DCF">
        <w:t xml:space="preserve">ife </w:t>
      </w:r>
      <w:r w:rsidR="0069429E">
        <w:t>y</w:t>
      </w:r>
      <w:r w:rsidRPr="00B75DCF">
        <w:t xml:space="preserve">ears (QALYs) as an endpoint. These were </w:t>
      </w:r>
      <w:r w:rsidR="00D6014B" w:rsidRPr="00B75DCF">
        <w:t>based on</w:t>
      </w:r>
      <w:r w:rsidRPr="00B75DCF">
        <w:t xml:space="preserve"> the </w:t>
      </w:r>
      <w:r w:rsidRPr="00E93D6D">
        <w:t>EQ-5D</w:t>
      </w:r>
      <w:r w:rsidRPr="00B75DCF">
        <w:t xml:space="preserve"> </w:t>
      </w:r>
      <w:r w:rsidR="00834167" w:rsidRPr="00B75DCF">
        <w:t xml:space="preserve">utility values </w:t>
      </w:r>
      <w:r w:rsidR="00FA1F33" w:rsidRPr="00B75DCF">
        <w:t xml:space="preserve">for the different health states in the </w:t>
      </w:r>
      <w:r w:rsidR="00FA1F33" w:rsidRPr="00B75DCF">
        <w:lastRenderedPageBreak/>
        <w:t xml:space="preserve">model, with </w:t>
      </w:r>
      <w:r w:rsidRPr="00B75DCF">
        <w:t xml:space="preserve">utility decrements for the AF and stroke health states taken from published literature and adjusted for age and population norms using </w:t>
      </w:r>
      <w:r w:rsidR="0078459F">
        <w:t>Hernandez Alava</w:t>
      </w:r>
      <w:r w:rsidR="0078459F" w:rsidRPr="00B75DCF">
        <w:t xml:space="preserve"> </w:t>
      </w:r>
      <w:r w:rsidR="00AF065F" w:rsidRPr="00B75DCF">
        <w:t>et al</w:t>
      </w:r>
      <w:r w:rsidR="007A4FEC">
        <w:t xml:space="preserve"> [22]</w:t>
      </w:r>
      <w:r w:rsidR="00FA1F33" w:rsidRPr="00B75DCF">
        <w:t>.</w:t>
      </w:r>
    </w:p>
    <w:p w14:paraId="47C2569D" w14:textId="6A157AC8" w:rsidR="00D535EA" w:rsidRPr="00B75DCF" w:rsidRDefault="0037080A" w:rsidP="00002F87">
      <w:pPr>
        <w:pStyle w:val="Heading3"/>
        <w:keepNext/>
        <w:spacing w:line="480" w:lineRule="auto"/>
        <w:rPr>
          <w:b/>
          <w:bCs/>
        </w:rPr>
      </w:pPr>
      <w:r>
        <w:rPr>
          <w:b/>
          <w:bCs/>
        </w:rPr>
        <w:t xml:space="preserve">2.2 </w:t>
      </w:r>
      <w:r w:rsidR="003A34DE" w:rsidRPr="00B75DCF">
        <w:rPr>
          <w:b/>
          <w:bCs/>
        </w:rPr>
        <w:t>Model inputs</w:t>
      </w:r>
    </w:p>
    <w:p w14:paraId="3A3FB5B6" w14:textId="64331AE9" w:rsidR="008A172E" w:rsidRPr="00B75DCF" w:rsidRDefault="003A34DE" w:rsidP="008A172E">
      <w:pPr>
        <w:spacing w:line="480" w:lineRule="auto"/>
      </w:pPr>
      <w:r w:rsidRPr="00B75DCF">
        <w:t>The model was informed by the PARTNER 3 trial population, which excluded patients with clinical frailty, bicuspid aortic valves</w:t>
      </w:r>
      <w:r w:rsidR="0044395C" w:rsidRPr="00B75DCF">
        <w:t>,</w:t>
      </w:r>
      <w:r w:rsidRPr="00B75DCF">
        <w:t xml:space="preserve"> or other anatomical features that increased the risk of complications associated with either surgery or TAVI</w:t>
      </w:r>
      <w:r w:rsidR="00D7077F">
        <w:t xml:space="preserve">, such as </w:t>
      </w:r>
      <w:r w:rsidR="00D7077F" w:rsidRPr="00D7077F">
        <w:t xml:space="preserve">aortic insufficiency, and </w:t>
      </w:r>
      <w:proofErr w:type="spellStart"/>
      <w:r w:rsidR="00D7077F" w:rsidRPr="00D7077F">
        <w:t>aortopathy</w:t>
      </w:r>
      <w:proofErr w:type="spellEnd"/>
      <w:r w:rsidRPr="00B75DCF">
        <w:t xml:space="preserve">. In the </w:t>
      </w:r>
      <w:r w:rsidR="005A2970">
        <w:t>trial</w:t>
      </w:r>
      <w:r w:rsidRPr="00B75DCF">
        <w:t xml:space="preserve">, 503 patients were randomised to TAVI and 497 </w:t>
      </w:r>
      <w:r w:rsidR="005A2970">
        <w:t xml:space="preserve">patients </w:t>
      </w:r>
      <w:r w:rsidR="00667F7A">
        <w:t xml:space="preserve">randomised </w:t>
      </w:r>
      <w:r w:rsidRPr="00B75DCF">
        <w:t>to SAVR, with the ‘as treated’ groups comprising 496 and 454 patients, respectively</w:t>
      </w:r>
      <w:r w:rsidR="007A4FEC">
        <w:t xml:space="preserve"> [19]</w:t>
      </w:r>
      <w:r w:rsidRPr="00B75DCF">
        <w:t xml:space="preserve">. The primary endpoint was a composite of death from any cause, stroke, or rehospitalisation at 1 year after the procedure. </w:t>
      </w:r>
    </w:p>
    <w:p w14:paraId="5064B6F3" w14:textId="4C0345E6" w:rsidR="00F216F6" w:rsidRPr="00B75DCF" w:rsidRDefault="0037080A" w:rsidP="00EE1CB4">
      <w:pPr>
        <w:pStyle w:val="Heading3"/>
        <w:spacing w:line="480" w:lineRule="auto"/>
      </w:pPr>
      <w:r>
        <w:t xml:space="preserve">2.2.1 </w:t>
      </w:r>
      <w:r w:rsidR="003A34DE" w:rsidRPr="00B75DCF">
        <w:t xml:space="preserve">Clinical </w:t>
      </w:r>
      <w:r w:rsidR="00AF7BA3" w:rsidRPr="00B75DCF">
        <w:t>events</w:t>
      </w:r>
    </w:p>
    <w:p w14:paraId="13912D3A" w14:textId="5A8CA60B" w:rsidR="005C0B58" w:rsidRPr="00B75DCF" w:rsidRDefault="005A2970" w:rsidP="008A172E">
      <w:pPr>
        <w:spacing w:line="480" w:lineRule="auto"/>
      </w:pPr>
      <w:r>
        <w:t xml:space="preserve">The monthly </w:t>
      </w:r>
      <w:r w:rsidR="008A172E" w:rsidRPr="00B75DCF">
        <w:t xml:space="preserve">transition </w:t>
      </w:r>
      <w:r>
        <w:t xml:space="preserve">probability </w:t>
      </w:r>
      <w:r w:rsidR="008A172E" w:rsidRPr="00B75DCF">
        <w:t>from ‘alive and well’ to ‘treated AF’</w:t>
      </w:r>
      <w:r>
        <w:t xml:space="preserve"> was informed by </w:t>
      </w:r>
      <w:r w:rsidR="008A172E" w:rsidRPr="00B75DCF">
        <w:t>PARTNER 3</w:t>
      </w:r>
      <w:r>
        <w:t xml:space="preserve"> data</w:t>
      </w:r>
      <w:r w:rsidR="008A172E" w:rsidRPr="00B75DCF">
        <w:t xml:space="preserve"> on new-onset treated AF between 30 days and </w:t>
      </w:r>
      <w:r w:rsidR="00550E97">
        <w:t>5</w:t>
      </w:r>
      <w:r w:rsidR="008A172E" w:rsidRPr="00B75DCF">
        <w:t xml:space="preserve"> year</w:t>
      </w:r>
      <w:r w:rsidR="00550E97">
        <w:t>s</w:t>
      </w:r>
      <w:r w:rsidR="008A172E" w:rsidRPr="00B75DCF">
        <w:t xml:space="preserve"> (</w:t>
      </w:r>
      <w:r w:rsidR="008A172E" w:rsidRPr="00347CE7">
        <w:rPr>
          <w:b/>
          <w:bCs/>
        </w:rPr>
        <w:t>Table</w:t>
      </w:r>
      <w:r w:rsidR="008A172E" w:rsidRPr="00B75DCF">
        <w:rPr>
          <w:b/>
          <w:bCs/>
        </w:rPr>
        <w:t xml:space="preserve"> 1</w:t>
      </w:r>
      <w:r w:rsidR="008A172E" w:rsidRPr="00B75DCF">
        <w:t>)</w:t>
      </w:r>
      <w:r w:rsidR="007A4FEC">
        <w:t xml:space="preserve"> [19–26]</w:t>
      </w:r>
      <w:r w:rsidR="008A172E" w:rsidRPr="00B75DCF">
        <w:t xml:space="preserve">. </w:t>
      </w:r>
      <w:r w:rsidR="00DF4610">
        <w:t xml:space="preserve">This was based on patients that received no treatment for AF to represent those with chronic, rather than acute, AF. </w:t>
      </w:r>
      <w:r>
        <w:t>For the remaining two health-state transitions, the monthly transition probabilities were informed by other literature sources because these events had limited occurrences within PARTNER 3. T</w:t>
      </w:r>
      <w:r w:rsidR="008A172E" w:rsidRPr="00B75DCF">
        <w:t xml:space="preserve">he transition from ‘alive and well’ to ‘disabling stroke’ was informed </w:t>
      </w:r>
      <w:r w:rsidR="0044395C" w:rsidRPr="00B75DCF">
        <w:t xml:space="preserve">by </w:t>
      </w:r>
      <w:r w:rsidR="003A34DE" w:rsidRPr="00B75DCF">
        <w:t>Public Health England data from 2007 to 2016</w:t>
      </w:r>
      <w:r w:rsidR="007A4FEC">
        <w:t xml:space="preserve"> [23]</w:t>
      </w:r>
      <w:r w:rsidR="003A34DE" w:rsidRPr="00B75DCF">
        <w:t xml:space="preserve"> and Hewitt et al</w:t>
      </w:r>
      <w:r w:rsidR="007A4FEC">
        <w:t xml:space="preserve"> [24]</w:t>
      </w:r>
      <w:r>
        <w:t xml:space="preserve">. The transition </w:t>
      </w:r>
      <w:proofErr w:type="gramStart"/>
      <w:r>
        <w:t xml:space="preserve">from </w:t>
      </w:r>
      <w:r w:rsidR="008A172E" w:rsidRPr="00B75DCF">
        <w:t xml:space="preserve"> ‘</w:t>
      </w:r>
      <w:proofErr w:type="gramEnd"/>
      <w:r w:rsidR="008A172E" w:rsidRPr="00B75DCF">
        <w:t xml:space="preserve">treated AF’ to ‘disabling stroke’ was informed by a systematic review and meta-analysis involving </w:t>
      </w:r>
      <w:r w:rsidR="003A34DE" w:rsidRPr="00B75DCF">
        <w:t xml:space="preserve">over </w:t>
      </w:r>
      <w:r w:rsidR="008A172E" w:rsidRPr="00B75DCF">
        <w:t>9.5 million participants</w:t>
      </w:r>
      <w:r w:rsidR="007A4FEC">
        <w:t xml:space="preserve"> [25]</w:t>
      </w:r>
      <w:r w:rsidR="008A172E" w:rsidRPr="00B75DCF">
        <w:t xml:space="preserve"> (</w:t>
      </w:r>
      <w:r w:rsidR="008A172E" w:rsidRPr="00B75DCF">
        <w:rPr>
          <w:b/>
          <w:bCs/>
        </w:rPr>
        <w:t>Table 1</w:t>
      </w:r>
      <w:r w:rsidR="008A172E" w:rsidRPr="00B75DCF">
        <w:t>).</w:t>
      </w:r>
      <w:r w:rsidR="007700C6">
        <w:t xml:space="preserve"> A simplifying assumption was made that the t</w:t>
      </w:r>
      <w:r w:rsidR="007700C6" w:rsidRPr="007700C6">
        <w:t xml:space="preserve">ransitions to “treated AF” and “disabling stroke” remain constant from year </w:t>
      </w:r>
      <w:r w:rsidR="007700C6">
        <w:t>5</w:t>
      </w:r>
      <w:r w:rsidR="007700C6" w:rsidRPr="007700C6">
        <w:t xml:space="preserve"> onward</w:t>
      </w:r>
      <w:r w:rsidR="007700C6">
        <w:t>s in the model.</w:t>
      </w:r>
      <w:r w:rsidR="008A172E" w:rsidRPr="00B75DCF">
        <w:t xml:space="preserve"> </w:t>
      </w:r>
      <w:r w:rsidR="00002F87" w:rsidRPr="00B75DCF">
        <w:t>Permanent</w:t>
      </w:r>
      <w:r w:rsidR="006C1617" w:rsidRPr="00B75DCF">
        <w:t xml:space="preserve"> </w:t>
      </w:r>
      <w:r w:rsidR="001D5245" w:rsidRPr="00B75DCF">
        <w:t>pacemaker implantation was</w:t>
      </w:r>
      <w:r w:rsidR="008A172E" w:rsidRPr="00B75DCF">
        <w:t xml:space="preserve"> captured as intercurrent event between 30 days and 1 year from the PARTNER </w:t>
      </w:r>
      <w:r w:rsidR="00B22D75" w:rsidRPr="00B75DCF">
        <w:t xml:space="preserve">3 </w:t>
      </w:r>
      <w:r w:rsidR="008A172E" w:rsidRPr="00B75DCF">
        <w:t>trial</w:t>
      </w:r>
      <w:r w:rsidR="007A4FEC">
        <w:t xml:space="preserve"> [19]</w:t>
      </w:r>
      <w:r w:rsidR="008A172E" w:rsidRPr="00B75DCF">
        <w:t>.</w:t>
      </w:r>
    </w:p>
    <w:p w14:paraId="4A9A581B" w14:textId="064EB168" w:rsidR="00B22D75" w:rsidRPr="00B75DCF" w:rsidRDefault="003A34DE" w:rsidP="00B22D75">
      <w:pPr>
        <w:spacing w:line="480" w:lineRule="auto"/>
      </w:pPr>
      <w:r w:rsidRPr="00B75DCF">
        <w:t>Other relevant events, such as rehospitalisation rates</w:t>
      </w:r>
      <w:r w:rsidR="0044395C" w:rsidRPr="00B75DCF">
        <w:t>,</w:t>
      </w:r>
      <w:r w:rsidRPr="00B75DCF">
        <w:t xml:space="preserve"> </w:t>
      </w:r>
      <w:r w:rsidR="003C6524" w:rsidRPr="00B75DCF">
        <w:t xml:space="preserve">were based on the 1-, </w:t>
      </w:r>
      <w:r w:rsidR="004652C8" w:rsidRPr="00B75DCF">
        <w:t>2- and 5-year outcome</w:t>
      </w:r>
      <w:r w:rsidR="003C6524" w:rsidRPr="00B75DCF">
        <w:t xml:space="preserve"> data</w:t>
      </w:r>
      <w:r w:rsidR="004652C8" w:rsidRPr="00B75DCF">
        <w:t xml:space="preserve"> from PARTNER 3</w:t>
      </w:r>
      <w:r w:rsidR="007A4FEC">
        <w:t xml:space="preserve"> [19–21]</w:t>
      </w:r>
      <w:r w:rsidR="005A2970">
        <w:t>.</w:t>
      </w:r>
      <w:r w:rsidRPr="00B75DCF">
        <w:t xml:space="preserve"> </w:t>
      </w:r>
      <w:r w:rsidR="005A2970">
        <w:t>R</w:t>
      </w:r>
      <w:r w:rsidRPr="00B75DCF">
        <w:t xml:space="preserve">eintervention rates due to valve deterioration </w:t>
      </w:r>
      <w:r w:rsidR="004652C8" w:rsidRPr="00B75DCF">
        <w:t xml:space="preserve">used </w:t>
      </w:r>
      <w:r w:rsidRPr="00B75DCF">
        <w:t xml:space="preserve">PARTNER 3 </w:t>
      </w:r>
      <w:r w:rsidR="005A2970">
        <w:t xml:space="preserve">for the first </w:t>
      </w:r>
      <w:r w:rsidR="004652C8" w:rsidRPr="00B75DCF">
        <w:t xml:space="preserve">5 </w:t>
      </w:r>
      <w:r w:rsidR="005E3FE5" w:rsidRPr="00B75DCF">
        <w:t>years</w:t>
      </w:r>
      <w:r w:rsidR="005A2970">
        <w:t xml:space="preserve"> of data </w:t>
      </w:r>
      <w:r w:rsidR="004652C8" w:rsidRPr="00B75DCF">
        <w:t>and Bourguig</w:t>
      </w:r>
      <w:r w:rsidR="00565E9A" w:rsidRPr="00B75DCF">
        <w:t>n</w:t>
      </w:r>
      <w:r w:rsidR="004652C8" w:rsidRPr="00B75DCF">
        <w:t>on et al</w:t>
      </w:r>
      <w:r w:rsidR="005A2970">
        <w:t>. for subsequent data</w:t>
      </w:r>
      <w:r w:rsidR="007A4FEC">
        <w:t xml:space="preserve"> [26]</w:t>
      </w:r>
      <w:r w:rsidRPr="00B75DCF">
        <w:t xml:space="preserve"> (</w:t>
      </w:r>
      <w:r w:rsidRPr="00B75DCF">
        <w:rPr>
          <w:b/>
          <w:bCs/>
        </w:rPr>
        <w:t>Table 1</w:t>
      </w:r>
      <w:r w:rsidRPr="00B75DCF">
        <w:t xml:space="preserve">). In the base case, </w:t>
      </w:r>
      <w:r w:rsidRPr="00B75DCF">
        <w:lastRenderedPageBreak/>
        <w:t>the same reintervention rate was used for both the TAVI and SAVR arms; this simplifying assumption allowed best use of the available data.</w:t>
      </w:r>
      <w:r w:rsidR="00550E97">
        <w:t xml:space="preserve"> Other reintervention data available for TAVI</w:t>
      </w:r>
      <w:r w:rsidR="004C78D3">
        <w:t xml:space="preserve"> w</w:t>
      </w:r>
      <w:r w:rsidR="005849EE">
        <w:t>ere</w:t>
      </w:r>
      <w:r w:rsidR="004C78D3">
        <w:t xml:space="preserve"> used in a scenario </w:t>
      </w:r>
      <w:r w:rsidR="005849EE">
        <w:t xml:space="preserve">analysis </w:t>
      </w:r>
      <w:r w:rsidR="004C78D3">
        <w:t>[5]</w:t>
      </w:r>
      <w:commentRangeStart w:id="19"/>
      <w:commentRangeEnd w:id="19"/>
      <w:r w:rsidR="006C7092">
        <w:rPr>
          <w:rStyle w:val="CommentReference"/>
        </w:rPr>
        <w:commentReference w:id="19"/>
      </w:r>
      <w:r w:rsidR="00A12F9E">
        <w:t xml:space="preserve"> </w:t>
      </w:r>
      <w:r w:rsidR="00EA7EC3" w:rsidRPr="00EA7EC3">
        <w:t>but was corresponding to a previous generation of TAVR device (SAPIEN XT) so was not deemed appropriate for use in the base case</w:t>
      </w:r>
      <w:r w:rsidR="00550E97">
        <w:t>.</w:t>
      </w:r>
    </w:p>
    <w:p w14:paraId="768467AF" w14:textId="5FF9E604" w:rsidR="000012DB" w:rsidRDefault="003A34DE" w:rsidP="00392203">
      <w:pPr>
        <w:spacing w:line="480" w:lineRule="auto"/>
      </w:pPr>
      <w:r w:rsidRPr="00B75DCF">
        <w:t>Two options were considered for extrapolation of survival. Option 1: transition probabilities were estimated for each health state using general population mortality data and literature reports of hazard ratio (HR) for death with AF (HR=1.46)</w:t>
      </w:r>
      <w:r w:rsidR="007A4FEC">
        <w:t xml:space="preserve"> [25]</w:t>
      </w:r>
      <w:r w:rsidR="003C6524" w:rsidRPr="00B75DCF">
        <w:t>,</w:t>
      </w:r>
      <w:r w:rsidRPr="00B75DCF">
        <w:t xml:space="preserve"> and for death with disabling stroke</w:t>
      </w:r>
      <w:r w:rsidR="005F2736" w:rsidRPr="00B75DCF">
        <w:t xml:space="preserve"> at 30 days</w:t>
      </w:r>
      <w:r w:rsidRPr="00B75DCF">
        <w:t xml:space="preserve"> (HR=</w:t>
      </w:r>
      <w:r w:rsidR="005F2736" w:rsidRPr="00B75DCF">
        <w:t>5.22</w:t>
      </w:r>
      <w:r w:rsidRPr="00B75DCF">
        <w:t>)</w:t>
      </w:r>
      <w:r w:rsidR="007A4FEC">
        <w:t xml:space="preserve"> </w:t>
      </w:r>
      <w:bookmarkStart w:id="20" w:name="_Hlk203649229"/>
      <w:r w:rsidR="007A4FEC">
        <w:t>[27]</w:t>
      </w:r>
      <w:r w:rsidR="005F2736" w:rsidRPr="00B75DCF">
        <w:t xml:space="preserve"> </w:t>
      </w:r>
      <w:bookmarkEnd w:id="20"/>
      <w:r w:rsidR="005F2736" w:rsidRPr="00B75DCF">
        <w:t xml:space="preserve">and </w:t>
      </w:r>
      <w:r w:rsidR="00D642C8" w:rsidRPr="00B75DCF">
        <w:t xml:space="preserve">in the following </w:t>
      </w:r>
      <w:r w:rsidR="009E4D14" w:rsidRPr="00B75DCF">
        <w:t>months (HR=1.58)</w:t>
      </w:r>
      <w:r w:rsidR="007A4FEC">
        <w:t xml:space="preserve"> [5]</w:t>
      </w:r>
      <w:r w:rsidR="00BB32FA" w:rsidRPr="00B75DCF">
        <w:t>.</w:t>
      </w:r>
      <w:r w:rsidR="007A4FEC">
        <w:t xml:space="preserve"> </w:t>
      </w:r>
      <w:r w:rsidR="005A24CC" w:rsidRPr="005A24CC">
        <w:t xml:space="preserve">The </w:t>
      </w:r>
      <w:r w:rsidR="005A24CC">
        <w:t>H</w:t>
      </w:r>
      <w:r w:rsidR="005A24CC" w:rsidRPr="005A24CC">
        <w:t>R</w:t>
      </w:r>
      <w:r w:rsidR="005A24CC">
        <w:t>s</w:t>
      </w:r>
      <w:r w:rsidR="005A24CC" w:rsidRPr="005A24CC">
        <w:t xml:space="preserve"> were sourced through a pragmatic, targeted literature search and an assessment made to select the most robust and appropriate source available</w:t>
      </w:r>
      <w:r w:rsidR="005A24CC">
        <w:t xml:space="preserve"> at the time of the search</w:t>
      </w:r>
      <w:r w:rsidR="005A24CC" w:rsidRPr="005A24CC">
        <w:t xml:space="preserve">. </w:t>
      </w:r>
      <w:r w:rsidR="00BB32FA" w:rsidRPr="00B75DCF">
        <w:t>O</w:t>
      </w:r>
      <w:r w:rsidRPr="00B75DCF">
        <w:t>ption 2:</w:t>
      </w:r>
      <w:r w:rsidR="00392203">
        <w:t xml:space="preserve"> this consisted of</w:t>
      </w:r>
      <w:r w:rsidRPr="00B75DCF">
        <w:t xml:space="preserve"> parametric survival </w:t>
      </w:r>
      <w:r w:rsidR="008E70CB" w:rsidRPr="00B75DCF">
        <w:t>fitting</w:t>
      </w:r>
      <w:r w:rsidRPr="00B75DCF">
        <w:t xml:space="preserve"> based on Kaplan-Meier data from the </w:t>
      </w:r>
      <w:r w:rsidR="004F198E" w:rsidRPr="00B75DCF">
        <w:t xml:space="preserve">5-year </w:t>
      </w:r>
      <w:r w:rsidRPr="00B75DCF">
        <w:t>PARTNER 3 study</w:t>
      </w:r>
      <w:r w:rsidR="007A4FEC">
        <w:t xml:space="preserve"> [21]</w:t>
      </w:r>
      <w:r w:rsidR="004F198E" w:rsidRPr="00B75DCF">
        <w:t xml:space="preserve"> </w:t>
      </w:r>
      <w:r w:rsidRPr="00B75DCF">
        <w:t xml:space="preserve">with a choice of </w:t>
      </w:r>
      <w:r w:rsidR="00550E97">
        <w:t>six</w:t>
      </w:r>
      <w:r w:rsidR="00550E97" w:rsidRPr="00B75DCF">
        <w:t xml:space="preserve"> </w:t>
      </w:r>
      <w:r w:rsidRPr="00B75DCF">
        <w:t>parametric distributions applied (Weibull, exponential, Gompertz</w:t>
      </w:r>
      <w:r w:rsidR="00550E97">
        <w:t>, generalised gamma, log-logistic and log-normal</w:t>
      </w:r>
      <w:r w:rsidRPr="00B75DCF">
        <w:t xml:space="preserve">). </w:t>
      </w:r>
      <w:bookmarkStart w:id="21" w:name="_Hlk203558915"/>
      <w:r w:rsidRPr="00B75DCF">
        <w:t xml:space="preserve">The survival estimates were adjusted using </w:t>
      </w:r>
      <w:r w:rsidR="008E70CB" w:rsidRPr="00B75DCF">
        <w:t>the UK</w:t>
      </w:r>
      <w:r w:rsidRPr="00B75DCF">
        <w:t xml:space="preserve"> general population survival to ensure that people in the model did not live longer than expected for the general population. </w:t>
      </w:r>
      <w:bookmarkEnd w:id="21"/>
    </w:p>
    <w:p w14:paraId="4D6A2A0B" w14:textId="16DBFFA7" w:rsidR="00392203" w:rsidRDefault="00267670" w:rsidP="00392203">
      <w:pPr>
        <w:spacing w:line="480" w:lineRule="auto"/>
      </w:pPr>
      <w:r>
        <w:t xml:space="preserve">Option 1 was used to determine all-cause </w:t>
      </w:r>
      <w:r w:rsidRPr="000F1EF8">
        <w:t>mortality estimates in the base case (</w:t>
      </w:r>
      <w:commentRangeStart w:id="22"/>
      <w:commentRangeStart w:id="23"/>
      <w:r w:rsidRPr="00890292">
        <w:rPr>
          <w:b/>
          <w:bCs/>
        </w:rPr>
        <w:t>Supplementary</w:t>
      </w:r>
      <w:r w:rsidRPr="000F1EF8">
        <w:rPr>
          <w:b/>
          <w:bCs/>
        </w:rPr>
        <w:t xml:space="preserve"> </w:t>
      </w:r>
      <w:commentRangeEnd w:id="22"/>
      <w:r w:rsidR="00751194" w:rsidRPr="000F1EF8">
        <w:rPr>
          <w:rStyle w:val="CommentReference"/>
        </w:rPr>
        <w:commentReference w:id="22"/>
      </w:r>
      <w:commentRangeEnd w:id="23"/>
      <w:r w:rsidR="00093AF3" w:rsidRPr="000F1EF8">
        <w:rPr>
          <w:rStyle w:val="CommentReference"/>
        </w:rPr>
        <w:commentReference w:id="23"/>
      </w:r>
      <w:r w:rsidRPr="000F1EF8">
        <w:rPr>
          <w:b/>
          <w:bCs/>
        </w:rPr>
        <w:t>Table S1</w:t>
      </w:r>
      <w:r w:rsidRPr="000F1EF8">
        <w:t>), with Option 2</w:t>
      </w:r>
      <w:r w:rsidR="00392203" w:rsidRPr="000F1EF8">
        <w:t xml:space="preserve"> (parametric survival analysis)</w:t>
      </w:r>
      <w:r w:rsidRPr="000F1EF8">
        <w:t xml:space="preserve"> explored in scenario analyses. </w:t>
      </w:r>
      <w:r w:rsidR="000012DB" w:rsidRPr="000F1EF8">
        <w:t>Option 2</w:t>
      </w:r>
      <w:r w:rsidR="00392203" w:rsidRPr="000F1EF8">
        <w:t xml:space="preserve"> was chosen as a scenario rather than the base</w:t>
      </w:r>
      <w:r w:rsidR="00EA7EC3" w:rsidRPr="000F1EF8">
        <w:t xml:space="preserve"> </w:t>
      </w:r>
      <w:r w:rsidR="00392203" w:rsidRPr="000F1EF8">
        <w:t xml:space="preserve">case because the unadjusted PARTNER 3 study produced clinically implausible estimates in the model due to a very low rate of death in the study. </w:t>
      </w:r>
      <w:r w:rsidR="000012DB" w:rsidRPr="000F1EF8">
        <w:t>As previously mentioned, in</w:t>
      </w:r>
      <w:r w:rsidR="00392203" w:rsidRPr="000F1EF8">
        <w:t xml:space="preserve"> Option 2, the survival data was adjusted by</w:t>
      </w:r>
      <w:r w:rsidR="00EA7EC3" w:rsidRPr="000F1EF8">
        <w:t xml:space="preserve"> the</w:t>
      </w:r>
      <w:r w:rsidR="00392203" w:rsidRPr="000F1EF8">
        <w:t xml:space="preserve"> general population mortality. General population mortality was predicted</w:t>
      </w:r>
      <w:r w:rsidR="00392203" w:rsidRPr="00392203">
        <w:t xml:space="preserve"> to be higher than the PARTNER 3 study by month one</w:t>
      </w:r>
      <w:r w:rsidR="000012DB">
        <w:t xml:space="preserve"> of the </w:t>
      </w:r>
      <w:proofErr w:type="gramStart"/>
      <w:r w:rsidR="000012DB">
        <w:t>model</w:t>
      </w:r>
      <w:proofErr w:type="gramEnd"/>
      <w:r w:rsidR="00392203" w:rsidRPr="00392203">
        <w:t xml:space="preserve"> in the TAVR arm and month 7 in the SAVR arm. Therefore, it was deemed appropriate to reflect the excess risk of death associated with AF and disabling stroke in the model base</w:t>
      </w:r>
      <w:r w:rsidR="00EA7EC3">
        <w:t xml:space="preserve"> </w:t>
      </w:r>
      <w:r w:rsidR="00392203" w:rsidRPr="00392203">
        <w:t>case [25, 27] in line with previous publications [10-17, 25, 27]. Despite this, the survival outcomes predicted by the model were similar when using Option 1 or 2 (</w:t>
      </w:r>
      <w:r w:rsidR="00392203" w:rsidRPr="00EA7EC3">
        <w:rPr>
          <w:b/>
          <w:bCs/>
        </w:rPr>
        <w:t>see Supplementary Figure S2</w:t>
      </w:r>
      <w:r w:rsidR="00392203" w:rsidRPr="00392203">
        <w:t>).</w:t>
      </w:r>
    </w:p>
    <w:p w14:paraId="14172583" w14:textId="64524FD5" w:rsidR="006D308C" w:rsidRPr="00B75DCF" w:rsidRDefault="0037080A" w:rsidP="00392203">
      <w:pPr>
        <w:spacing w:line="480" w:lineRule="auto"/>
        <w:rPr>
          <w:i/>
          <w:iCs/>
        </w:rPr>
      </w:pPr>
      <w:r>
        <w:rPr>
          <w:i/>
          <w:iCs/>
        </w:rPr>
        <w:lastRenderedPageBreak/>
        <w:t xml:space="preserve">2.2.2 </w:t>
      </w:r>
      <w:r w:rsidR="003A34DE" w:rsidRPr="00B75DCF">
        <w:rPr>
          <w:i/>
          <w:iCs/>
        </w:rPr>
        <w:t>Utilities</w:t>
      </w:r>
    </w:p>
    <w:p w14:paraId="3C1D9169" w14:textId="44CD9750" w:rsidR="0036798A" w:rsidRPr="00B75DCF" w:rsidRDefault="003A34DE" w:rsidP="0037273F">
      <w:pPr>
        <w:pStyle w:val="Heading3"/>
        <w:spacing w:line="480" w:lineRule="auto"/>
        <w:rPr>
          <w:b/>
          <w:bCs/>
          <w:i w:val="0"/>
          <w:iCs w:val="0"/>
        </w:rPr>
      </w:pPr>
      <w:r w:rsidRPr="00B75DCF">
        <w:rPr>
          <w:i w:val="0"/>
          <w:iCs w:val="0"/>
        </w:rPr>
        <w:t>Utility values used age-adjusted population utility norms. An EQ-5D index value (time trade-off value set) was used for the age</w:t>
      </w:r>
      <w:r w:rsidR="00267670">
        <w:rPr>
          <w:i w:val="0"/>
          <w:iCs w:val="0"/>
        </w:rPr>
        <w:t>-</w:t>
      </w:r>
      <w:r w:rsidRPr="00B75DCF">
        <w:rPr>
          <w:i w:val="0"/>
          <w:iCs w:val="0"/>
        </w:rPr>
        <w:t>adjusted population utility norms</w:t>
      </w:r>
      <w:r w:rsidR="000351DA" w:rsidRPr="00B75DCF">
        <w:rPr>
          <w:i w:val="0"/>
          <w:iCs w:val="0"/>
        </w:rPr>
        <w:t>, specific to the UK population</w:t>
      </w:r>
      <w:r w:rsidR="007A4FEC">
        <w:rPr>
          <w:i w:val="0"/>
          <w:iCs w:val="0"/>
        </w:rPr>
        <w:t xml:space="preserve"> [22]</w:t>
      </w:r>
      <w:r w:rsidRPr="00B75DCF">
        <w:rPr>
          <w:i w:val="0"/>
          <w:iCs w:val="0"/>
        </w:rPr>
        <w:t xml:space="preserve">. </w:t>
      </w:r>
      <w:r w:rsidR="004379F8" w:rsidRPr="00B75DCF">
        <w:rPr>
          <w:i w:val="0"/>
          <w:iCs w:val="0"/>
        </w:rPr>
        <w:t>To account for there being too few events in the PARTNER 3 trial</w:t>
      </w:r>
      <w:r w:rsidR="005975A3" w:rsidRPr="00B75DCF">
        <w:rPr>
          <w:i w:val="0"/>
          <w:iCs w:val="0"/>
        </w:rPr>
        <w:t>, u</w:t>
      </w:r>
      <w:r w:rsidRPr="00B75DCF">
        <w:rPr>
          <w:i w:val="0"/>
          <w:iCs w:val="0"/>
        </w:rPr>
        <w:t xml:space="preserve">tility decrements were based on realistic estimates from the literature, estimated utility decrements </w:t>
      </w:r>
      <w:r w:rsidR="005558CE" w:rsidRPr="00B75DCF">
        <w:rPr>
          <w:i w:val="0"/>
          <w:iCs w:val="0"/>
        </w:rPr>
        <w:t xml:space="preserve">for </w:t>
      </w:r>
      <w:r w:rsidRPr="00B75DCF">
        <w:rPr>
          <w:i w:val="0"/>
          <w:iCs w:val="0"/>
        </w:rPr>
        <w:t>AF</w:t>
      </w:r>
      <w:r w:rsidR="0076737D">
        <w:rPr>
          <w:i w:val="0"/>
          <w:iCs w:val="0"/>
        </w:rPr>
        <w:t xml:space="preserve"> (-0.08)</w:t>
      </w:r>
      <w:r w:rsidR="00267670">
        <w:rPr>
          <w:i w:val="0"/>
          <w:iCs w:val="0"/>
        </w:rPr>
        <w:t>,</w:t>
      </w:r>
      <w:r w:rsidRPr="00B75DCF">
        <w:rPr>
          <w:i w:val="0"/>
          <w:iCs w:val="0"/>
        </w:rPr>
        <w:t xml:space="preserve"> and disabling stroke </w:t>
      </w:r>
      <w:r w:rsidR="0076737D">
        <w:rPr>
          <w:i w:val="0"/>
          <w:iCs w:val="0"/>
        </w:rPr>
        <w:t xml:space="preserve">(-0.39) </w:t>
      </w:r>
      <w:r w:rsidRPr="00B75DCF">
        <w:rPr>
          <w:i w:val="0"/>
          <w:iCs w:val="0"/>
        </w:rPr>
        <w:t>using data reported by</w:t>
      </w:r>
      <w:r w:rsidR="005558CE" w:rsidRPr="00B75DCF">
        <w:rPr>
          <w:i w:val="0"/>
          <w:iCs w:val="0"/>
        </w:rPr>
        <w:t xml:space="preserve"> Sullivan et al</w:t>
      </w:r>
      <w:r w:rsidR="007A4FEC">
        <w:rPr>
          <w:i w:val="0"/>
          <w:iCs w:val="0"/>
        </w:rPr>
        <w:t xml:space="preserve"> [28]</w:t>
      </w:r>
      <w:r w:rsidR="005558CE" w:rsidRPr="00B75DCF">
        <w:rPr>
          <w:i w:val="0"/>
          <w:iCs w:val="0"/>
        </w:rPr>
        <w:t xml:space="preserve"> and</w:t>
      </w:r>
      <w:r w:rsidR="00ED7DC7" w:rsidRPr="00B75DCF">
        <w:rPr>
          <w:i w:val="0"/>
          <w:iCs w:val="0"/>
        </w:rPr>
        <w:t xml:space="preserve"> Luengo-Fernandez et al</w:t>
      </w:r>
      <w:r w:rsidR="007A4FEC">
        <w:rPr>
          <w:i w:val="0"/>
          <w:iCs w:val="0"/>
        </w:rPr>
        <w:t xml:space="preserve"> [29]</w:t>
      </w:r>
      <w:r w:rsidR="00ED7DC7" w:rsidRPr="00B75DCF">
        <w:rPr>
          <w:i w:val="0"/>
          <w:iCs w:val="0"/>
        </w:rPr>
        <w:t>.</w:t>
      </w:r>
    </w:p>
    <w:p w14:paraId="0A93F533" w14:textId="05EA3E66" w:rsidR="00013398" w:rsidRPr="00B75DCF" w:rsidRDefault="0037080A" w:rsidP="00EE1CB4">
      <w:pPr>
        <w:pStyle w:val="Heading3"/>
        <w:keepNext/>
        <w:spacing w:line="480" w:lineRule="auto"/>
      </w:pPr>
      <w:r>
        <w:t xml:space="preserve">2.2.3 </w:t>
      </w:r>
      <w:r w:rsidR="003A34DE" w:rsidRPr="00B75DCF">
        <w:t>Cost</w:t>
      </w:r>
      <w:r w:rsidR="002F2D0B" w:rsidRPr="00B75DCF">
        <w:t>s</w:t>
      </w:r>
    </w:p>
    <w:p w14:paraId="09E99407" w14:textId="294DA517" w:rsidR="00D83EB0" w:rsidRPr="00B75DCF" w:rsidRDefault="00D83EB0" w:rsidP="00BC7F2C">
      <w:pPr>
        <w:spacing w:line="480" w:lineRule="auto"/>
      </w:pPr>
      <w:r w:rsidRPr="00B75DCF">
        <w:t>In the base case, procedure costs for TAVI and SAVR were calculated using the same methodology used in the NICE HVD cost-effectiveness model</w:t>
      </w:r>
      <w:r w:rsidR="007A4FEC">
        <w:t xml:space="preserve"> [5]</w:t>
      </w:r>
      <w:r w:rsidRPr="00B75DCF">
        <w:t>.</w:t>
      </w:r>
      <w:r w:rsidR="00505703" w:rsidRPr="00B75DCF">
        <w:t xml:space="preserve"> The NHS Cost Collection</w:t>
      </w:r>
      <w:r w:rsidR="007A4FEC">
        <w:t xml:space="preserve"> [30]</w:t>
      </w:r>
      <w:r w:rsidR="00F63622" w:rsidRPr="00B75DCF">
        <w:t xml:space="preserve"> </w:t>
      </w:r>
      <w:r w:rsidR="00505703" w:rsidRPr="00B75DCF">
        <w:t xml:space="preserve">price for each procedure was recalculated to include </w:t>
      </w:r>
      <w:r w:rsidR="00505703" w:rsidRPr="00B75DCF">
        <w:rPr>
          <w:rFonts w:cstheme="minorHAnsi"/>
        </w:rPr>
        <w:t xml:space="preserve">intensive care unit stay, using published average length of stay data. </w:t>
      </w:r>
      <w:r w:rsidR="00267670">
        <w:rPr>
          <w:rFonts w:cstheme="minorHAnsi"/>
        </w:rPr>
        <w:t>T</w:t>
      </w:r>
      <w:r w:rsidR="00505703" w:rsidRPr="00B75DCF">
        <w:rPr>
          <w:rFonts w:cstheme="minorHAnsi"/>
        </w:rPr>
        <w:t xml:space="preserve">he cost of </w:t>
      </w:r>
      <w:r w:rsidR="00267670">
        <w:rPr>
          <w:rFonts w:cstheme="minorHAnsi"/>
        </w:rPr>
        <w:t xml:space="preserve">the </w:t>
      </w:r>
      <w:r w:rsidR="00505703" w:rsidRPr="00B75DCF">
        <w:rPr>
          <w:rFonts w:cstheme="minorHAnsi"/>
        </w:rPr>
        <w:t>valve (TAVI only) and costs</w:t>
      </w:r>
      <w:r w:rsidRPr="00B75DCF">
        <w:t xml:space="preserve"> </w:t>
      </w:r>
      <w:r w:rsidR="00505703" w:rsidRPr="00B75DCF">
        <w:t xml:space="preserve">of rehabilitation for each procedure were </w:t>
      </w:r>
      <w:r w:rsidR="00267670">
        <w:t xml:space="preserve">then </w:t>
      </w:r>
      <w:r w:rsidR="00505703" w:rsidRPr="00B75DCF">
        <w:t xml:space="preserve">added to reach the final cost of each procedure. </w:t>
      </w:r>
      <w:r w:rsidRPr="00B75DCF">
        <w:t xml:space="preserve">Further details on procedure costs can be found in </w:t>
      </w:r>
      <w:r w:rsidRPr="00B75DCF">
        <w:rPr>
          <w:b/>
          <w:bCs/>
        </w:rPr>
        <w:t>Supplementary Table S2.</w:t>
      </w:r>
    </w:p>
    <w:p w14:paraId="43334C89" w14:textId="7A66E07C" w:rsidR="009C6C9D" w:rsidRPr="00B75DCF" w:rsidRDefault="00D83EB0" w:rsidP="00BC7F2C">
      <w:pPr>
        <w:spacing w:line="480" w:lineRule="auto"/>
      </w:pPr>
      <w:proofErr w:type="gramStart"/>
      <w:r w:rsidRPr="00B75DCF">
        <w:t>The majority of</w:t>
      </w:r>
      <w:proofErr w:type="gramEnd"/>
      <w:r w:rsidRPr="00B75DCF">
        <w:t xml:space="preserve"> cost inputs for </w:t>
      </w:r>
      <w:r w:rsidR="00F63622" w:rsidRPr="00B75DCF">
        <w:t xml:space="preserve">health states, </w:t>
      </w:r>
      <w:r w:rsidRPr="00B75DCF">
        <w:t>short-term</w:t>
      </w:r>
      <w:r w:rsidR="00505703" w:rsidRPr="00B75DCF">
        <w:t xml:space="preserve"> </w:t>
      </w:r>
      <w:r w:rsidR="00267670">
        <w:t xml:space="preserve">complications </w:t>
      </w:r>
      <w:r w:rsidR="00505703" w:rsidRPr="00B75DCF">
        <w:t xml:space="preserve">and long-term complications </w:t>
      </w:r>
      <w:r w:rsidRPr="00B75DCF">
        <w:t>were sourced from the NHS Cost Collection</w:t>
      </w:r>
      <w:r w:rsidR="007E6E9A">
        <w:t xml:space="preserve"> [30]</w:t>
      </w:r>
      <w:r w:rsidR="00F63622" w:rsidRPr="00B75DCF">
        <w:t>. However,</w:t>
      </w:r>
      <w:r w:rsidR="008A5D39">
        <w:t xml:space="preserve"> when </w:t>
      </w:r>
      <w:r w:rsidR="007E6E9A">
        <w:t>the NHS Cost Collection was not applicable (such as for long-term health state costs)</w:t>
      </w:r>
      <w:r w:rsidR="008A5D39">
        <w:t xml:space="preserve">, </w:t>
      </w:r>
      <w:r w:rsidRPr="00B75DCF">
        <w:t xml:space="preserve">inputs were taken from published literature and inflated to a </w:t>
      </w:r>
      <w:commentRangeStart w:id="24"/>
      <w:commentRangeStart w:id="25"/>
      <w:r w:rsidRPr="00890292">
        <w:t>2021/22</w:t>
      </w:r>
      <w:r w:rsidRPr="00521F7E">
        <w:t xml:space="preserve"> </w:t>
      </w:r>
      <w:commentRangeEnd w:id="24"/>
      <w:r w:rsidR="00383DC6" w:rsidRPr="00521F7E">
        <w:rPr>
          <w:rStyle w:val="CommentReference"/>
        </w:rPr>
        <w:commentReference w:id="24"/>
      </w:r>
      <w:commentRangeEnd w:id="25"/>
      <w:r w:rsidR="00A12F9E" w:rsidRPr="00521F7E">
        <w:rPr>
          <w:rStyle w:val="CommentReference"/>
        </w:rPr>
        <w:commentReference w:id="25"/>
      </w:r>
      <w:r w:rsidRPr="00B75DCF">
        <w:t>cost year using the Personal Social Services Research Unit (PSSRU) inflation index</w:t>
      </w:r>
      <w:r w:rsidR="007A4FEC">
        <w:t xml:space="preserve"> [31]</w:t>
      </w:r>
      <w:r w:rsidR="00F63622" w:rsidRPr="00B75DCF">
        <w:t>.</w:t>
      </w:r>
      <w:r w:rsidR="00267670">
        <w:t xml:space="preserve"> </w:t>
      </w:r>
      <w:r w:rsidRPr="00B75DCF">
        <w:t>Costs associated with</w:t>
      </w:r>
      <w:r w:rsidR="00505703" w:rsidRPr="00B75DCF">
        <w:t xml:space="preserve"> the</w:t>
      </w:r>
      <w:r w:rsidRPr="00B75DCF">
        <w:t xml:space="preserve"> TAVI and SAVR procedures, rehabilitation, complications, health states and other costs are shown in </w:t>
      </w:r>
      <w:r w:rsidRPr="00B75DCF">
        <w:rPr>
          <w:b/>
          <w:bCs/>
        </w:rPr>
        <w:t>Table 2</w:t>
      </w:r>
      <w:r w:rsidR="007A4FEC">
        <w:t xml:space="preserve"> [5, 8, 32–34]</w:t>
      </w:r>
      <w:r w:rsidRPr="00B75DCF">
        <w:t>.</w:t>
      </w:r>
    </w:p>
    <w:p w14:paraId="691F338B" w14:textId="1B7610E0" w:rsidR="00EF1E94" w:rsidRPr="00B75DCF" w:rsidRDefault="0037080A" w:rsidP="00EE1CB4">
      <w:pPr>
        <w:keepNext/>
        <w:spacing w:line="480" w:lineRule="auto"/>
        <w:rPr>
          <w:i/>
          <w:iCs/>
        </w:rPr>
      </w:pPr>
      <w:r>
        <w:rPr>
          <w:i/>
          <w:iCs/>
        </w:rPr>
        <w:t xml:space="preserve">2.2.4 </w:t>
      </w:r>
      <w:r w:rsidR="003A34DE" w:rsidRPr="00B75DCF">
        <w:rPr>
          <w:i/>
          <w:iCs/>
        </w:rPr>
        <w:t>Model outputs</w:t>
      </w:r>
    </w:p>
    <w:p w14:paraId="378D6666" w14:textId="118B9CB5" w:rsidR="00FE6391" w:rsidRDefault="003A34DE" w:rsidP="00FE6391">
      <w:pPr>
        <w:spacing w:line="480" w:lineRule="auto"/>
      </w:pPr>
      <w:r w:rsidRPr="00B75DCF">
        <w:t>Details of the model outputs and assumptions have been published previously</w:t>
      </w:r>
      <w:r w:rsidR="007A4FEC">
        <w:t xml:space="preserve"> [10]</w:t>
      </w:r>
      <w:r w:rsidRPr="00B75DCF">
        <w:t xml:space="preserve">. All analyses were performed using Microsoft Excel (Microsoft Corporation, Redmond, WA). The model generated total per-patient costs and QALYs for each intervention over the patients’ lifetime, </w:t>
      </w:r>
      <w:r w:rsidR="00267670">
        <w:t>as well as</w:t>
      </w:r>
      <w:r w:rsidR="00267670" w:rsidRPr="00B75DCF">
        <w:t xml:space="preserve"> </w:t>
      </w:r>
      <w:r w:rsidRPr="00B75DCF">
        <w:t xml:space="preserve">an incremental cost-effectiveness ratio (ICER) for TAVI with SAPIEN 3 compared with SAVR in a </w:t>
      </w:r>
      <w:r w:rsidRPr="00B75DCF">
        <w:lastRenderedPageBreak/>
        <w:t xml:space="preserve">population of UK low-risk patients with </w:t>
      </w:r>
      <w:proofErr w:type="spellStart"/>
      <w:r w:rsidRPr="00B75DCF">
        <w:t>sSAS</w:t>
      </w:r>
      <w:proofErr w:type="spellEnd"/>
      <w:r w:rsidRPr="00B75DCF">
        <w:t xml:space="preserve">. In the UK, the </w:t>
      </w:r>
      <w:r w:rsidR="00F41E8C" w:rsidRPr="00B75DCF">
        <w:t>willingness-to-pay</w:t>
      </w:r>
      <w:r w:rsidR="00DA4F74" w:rsidRPr="00B75DCF">
        <w:t xml:space="preserve"> </w:t>
      </w:r>
      <w:r w:rsidR="00267670">
        <w:t>(</w:t>
      </w:r>
      <w:r w:rsidR="00DA4F74" w:rsidRPr="00B75DCF">
        <w:t>WTP</w:t>
      </w:r>
      <w:r w:rsidR="00F41E8C" w:rsidRPr="00B75DCF">
        <w:t xml:space="preserve">) </w:t>
      </w:r>
      <w:r w:rsidRPr="00B75DCF">
        <w:t xml:space="preserve">threshold is </w:t>
      </w:r>
      <w:r w:rsidR="00851E13" w:rsidRPr="00B75DCF">
        <w:t xml:space="preserve">between </w:t>
      </w:r>
      <w:r w:rsidR="00DA4F74" w:rsidRPr="003F01DA">
        <w:t>£</w:t>
      </w:r>
      <w:r w:rsidR="00091D4F" w:rsidRPr="003F01DA">
        <w:t>20,000</w:t>
      </w:r>
      <w:r w:rsidR="00851E13" w:rsidRPr="003F01DA">
        <w:t xml:space="preserve"> and </w:t>
      </w:r>
      <w:r w:rsidR="00697829" w:rsidRPr="003F01DA">
        <w:t>£</w:t>
      </w:r>
      <w:r w:rsidRPr="003F01DA">
        <w:t>30,000</w:t>
      </w:r>
      <w:r w:rsidR="00103F08" w:rsidRPr="00B75DCF">
        <w:t xml:space="preserve"> per </w:t>
      </w:r>
      <w:r w:rsidRPr="00B75DCF">
        <w:t>QALY</w:t>
      </w:r>
      <w:r w:rsidR="00103F08" w:rsidRPr="00B75DCF">
        <w:t xml:space="preserve"> gained</w:t>
      </w:r>
      <w:r w:rsidRPr="00B75DCF">
        <w:t>.</w:t>
      </w:r>
    </w:p>
    <w:p w14:paraId="75049D05" w14:textId="6CCD7239" w:rsidR="00A12F9E" w:rsidRPr="00B75DCF" w:rsidRDefault="00A12F9E" w:rsidP="00FE6391">
      <w:pPr>
        <w:spacing w:line="480" w:lineRule="auto"/>
      </w:pPr>
      <w:r w:rsidRPr="00B75DCF">
        <w:t>Overall parameter uncertainty</w:t>
      </w:r>
      <w:r>
        <w:t xml:space="preserve"> (or second-order uncertainty)</w:t>
      </w:r>
      <w:r w:rsidRPr="00B75DCF">
        <w:t xml:space="preserve"> was addressed using a probabilistic sensitivity analysis (</w:t>
      </w:r>
      <w:r w:rsidRPr="00B75DCF">
        <w:rPr>
          <w:b/>
          <w:bCs/>
        </w:rPr>
        <w:t>Supplementary Table</w:t>
      </w:r>
      <w:r>
        <w:rPr>
          <w:b/>
          <w:bCs/>
        </w:rPr>
        <w:t> </w:t>
      </w:r>
      <w:r w:rsidRPr="00B75DCF">
        <w:rPr>
          <w:b/>
          <w:bCs/>
        </w:rPr>
        <w:t>S</w:t>
      </w:r>
      <w:r>
        <w:rPr>
          <w:b/>
          <w:bCs/>
        </w:rPr>
        <w:t>3)</w:t>
      </w:r>
      <w:r>
        <w:t xml:space="preserve">; </w:t>
      </w:r>
      <w:commentRangeStart w:id="26"/>
      <w:commentRangeStart w:id="27"/>
      <w:r w:rsidRPr="00890292">
        <w:t xml:space="preserve">these results </w:t>
      </w:r>
      <w:proofErr w:type="spellStart"/>
      <w:r w:rsidRPr="00890292">
        <w:t>form</w:t>
      </w:r>
      <w:proofErr w:type="spellEnd"/>
      <w:r w:rsidRPr="00890292">
        <w:t xml:space="preserve"> the base case</w:t>
      </w:r>
      <w:commentRangeEnd w:id="26"/>
      <w:r w:rsidRPr="00A12F9E">
        <w:rPr>
          <w:rStyle w:val="CommentReference"/>
        </w:rPr>
        <w:commentReference w:id="26"/>
      </w:r>
      <w:commentRangeEnd w:id="27"/>
      <w:r w:rsidRPr="00A12F9E">
        <w:rPr>
          <w:rStyle w:val="CommentReference"/>
        </w:rPr>
        <w:commentReference w:id="27"/>
      </w:r>
      <w:r w:rsidRPr="00A12F9E">
        <w:t>.</w:t>
      </w:r>
      <w:r w:rsidRPr="00B75DCF">
        <w:t xml:space="preserve"> Probability distributions for all input parameters were specified</w:t>
      </w:r>
      <w:r>
        <w:t xml:space="preserve">. </w:t>
      </w:r>
      <w:r w:rsidRPr="00944CB6">
        <w:t xml:space="preserve">For instance, a beta distribution </w:t>
      </w:r>
      <w:r>
        <w:t>wa</w:t>
      </w:r>
      <w:r w:rsidRPr="00944CB6">
        <w:t>s applied to proportions and probabilities, a log normal distribution</w:t>
      </w:r>
      <w:r>
        <w:t xml:space="preserve"> was</w:t>
      </w:r>
      <w:r w:rsidRPr="00944CB6">
        <w:t xml:space="preserve"> applied to relative risks and hazard ratios, and a gamma distribution </w:t>
      </w:r>
      <w:r>
        <w:t>was</w:t>
      </w:r>
      <w:r w:rsidRPr="00944CB6">
        <w:t xml:space="preserve"> applied to costs and resource use values</w:t>
      </w:r>
      <w:r>
        <w:t xml:space="preserve"> </w:t>
      </w:r>
      <w:commentRangeStart w:id="28"/>
      <w:commentRangeStart w:id="29"/>
      <w:r>
        <w:t>(Briggs et al, 2006 [45])</w:t>
      </w:r>
      <w:r w:rsidRPr="00944CB6">
        <w:t>.</w:t>
      </w:r>
      <w:r>
        <w:t xml:space="preserve"> </w:t>
      </w:r>
      <w:r w:rsidRPr="00B75DCF">
        <w:t xml:space="preserve"> </w:t>
      </w:r>
      <w:commentRangeEnd w:id="28"/>
      <w:r>
        <w:rPr>
          <w:rStyle w:val="CommentReference"/>
        </w:rPr>
        <w:commentReference w:id="28"/>
      </w:r>
      <w:commentRangeEnd w:id="29"/>
      <w:r>
        <w:rPr>
          <w:rStyle w:val="CommentReference"/>
        </w:rPr>
        <w:commentReference w:id="29"/>
      </w:r>
      <w:r w:rsidRPr="00B75DCF">
        <w:t>1</w:t>
      </w:r>
      <w:r>
        <w:t>,</w:t>
      </w:r>
      <w:r w:rsidRPr="00B75DCF">
        <w:t>000 Monte</w:t>
      </w:r>
      <w:r>
        <w:t>-</w:t>
      </w:r>
      <w:r w:rsidRPr="00B75DCF">
        <w:t>Carlo simulations were run using random draws of all parameters from within their assigned distributions</w:t>
      </w:r>
      <w:r>
        <w:t>, and</w:t>
      </w:r>
      <w:r w:rsidRPr="00944CB6">
        <w:t xml:space="preserve"> </w:t>
      </w:r>
      <w:r>
        <w:t>90% credible intervals (CI) were then calculated.</w:t>
      </w:r>
    </w:p>
    <w:p w14:paraId="6D0953D4" w14:textId="6D640621" w:rsidR="00EF1E94" w:rsidRPr="00B75DCF" w:rsidRDefault="0037080A" w:rsidP="00EE1CB4">
      <w:pPr>
        <w:spacing w:line="480" w:lineRule="auto"/>
        <w:rPr>
          <w:i/>
          <w:iCs/>
        </w:rPr>
      </w:pPr>
      <w:r>
        <w:rPr>
          <w:i/>
          <w:iCs/>
        </w:rPr>
        <w:t xml:space="preserve">2.2.5 </w:t>
      </w:r>
      <w:r w:rsidR="003A34DE" w:rsidRPr="00B75DCF">
        <w:rPr>
          <w:i/>
          <w:iCs/>
        </w:rPr>
        <w:t>Sensitivity analyses</w:t>
      </w:r>
    </w:p>
    <w:p w14:paraId="2DAB062F" w14:textId="5D719098" w:rsidR="00922AFB" w:rsidRDefault="003A34DE" w:rsidP="00107C52">
      <w:pPr>
        <w:spacing w:line="480" w:lineRule="auto"/>
      </w:pPr>
      <w:r w:rsidRPr="00B75DCF">
        <w:t>To</w:t>
      </w:r>
      <w:r w:rsidR="00E7783C">
        <w:t xml:space="preserve"> </w:t>
      </w:r>
      <w:r w:rsidRPr="00B75DCF">
        <w:t>evaluate uncertainty, univariate deterministic sensitivity analyses were performed by varying inputs using confidence intervals and ranges from the literature when available, and plausible ranges when data were unavailable (</w:t>
      </w:r>
      <w:r w:rsidRPr="00B75DCF">
        <w:rPr>
          <w:b/>
          <w:bCs/>
        </w:rPr>
        <w:t>Supplementary Table S</w:t>
      </w:r>
      <w:r w:rsidR="0026298B">
        <w:rPr>
          <w:b/>
          <w:bCs/>
        </w:rPr>
        <w:t>4</w:t>
      </w:r>
      <w:r w:rsidRPr="00B75DCF">
        <w:t xml:space="preserve">). </w:t>
      </w:r>
      <w:r w:rsidR="00C4155F">
        <w:t xml:space="preserve">A </w:t>
      </w:r>
      <w:r w:rsidR="0061211C" w:rsidRPr="0061211C">
        <w:t>±</w:t>
      </w:r>
      <w:r w:rsidR="0061211C">
        <w:t xml:space="preserve">20% </w:t>
      </w:r>
      <w:r w:rsidR="009563A1">
        <w:t>assumed</w:t>
      </w:r>
      <w:r w:rsidR="000206AC">
        <w:t xml:space="preserve"> </w:t>
      </w:r>
      <w:r w:rsidR="00F56965">
        <w:t xml:space="preserve">variation </w:t>
      </w:r>
      <w:r w:rsidR="0061211C">
        <w:t xml:space="preserve">was applied </w:t>
      </w:r>
      <w:r w:rsidR="005743B1">
        <w:t xml:space="preserve">to </w:t>
      </w:r>
      <w:r w:rsidR="002867F3">
        <w:t xml:space="preserve">the base case values of key model parameters to determine </w:t>
      </w:r>
      <w:r w:rsidR="001E39F7">
        <w:t xml:space="preserve">their lower and upper limits. </w:t>
      </w:r>
      <w:r w:rsidR="00845AB7">
        <w:t xml:space="preserve">The </w:t>
      </w:r>
      <w:r w:rsidR="009D425A">
        <w:t>resulting impact</w:t>
      </w:r>
      <w:r w:rsidR="00873DC5">
        <w:t xml:space="preserve"> </w:t>
      </w:r>
      <w:r w:rsidR="00873DC5" w:rsidRPr="00A12F9E">
        <w:t xml:space="preserve">on </w:t>
      </w:r>
      <w:commentRangeStart w:id="30"/>
      <w:commentRangeStart w:id="31"/>
      <w:r w:rsidR="003F1B63" w:rsidRPr="00890292">
        <w:t>net monetary benefit (NMB</w:t>
      </w:r>
      <w:r w:rsidR="003F1B63" w:rsidRPr="00A12F9E">
        <w:t>)</w:t>
      </w:r>
      <w:r w:rsidR="00A12F9E" w:rsidRPr="00A12F9E">
        <w:t>,</w:t>
      </w:r>
      <w:r w:rsidR="00A12F9E">
        <w:t xml:space="preserve"> using a £20,000 WTP threshold,</w:t>
      </w:r>
      <w:r w:rsidR="003F1B63">
        <w:t xml:space="preserve"> </w:t>
      </w:r>
      <w:commentRangeEnd w:id="30"/>
      <w:r w:rsidR="00063F90">
        <w:rPr>
          <w:rStyle w:val="CommentReference"/>
        </w:rPr>
        <w:commentReference w:id="30"/>
      </w:r>
      <w:commentRangeEnd w:id="31"/>
      <w:r w:rsidR="00A12F9E">
        <w:rPr>
          <w:rStyle w:val="CommentReference"/>
        </w:rPr>
        <w:commentReference w:id="31"/>
      </w:r>
      <w:r w:rsidR="003F1B63">
        <w:t xml:space="preserve">was </w:t>
      </w:r>
      <w:r w:rsidR="00442A7C">
        <w:t xml:space="preserve">analysed and </w:t>
      </w:r>
      <w:r w:rsidR="003F1B63">
        <w:t xml:space="preserve">visualised </w:t>
      </w:r>
      <w:r w:rsidR="00430B01">
        <w:t xml:space="preserve">using a tornado diagram, </w:t>
      </w:r>
      <w:r w:rsidR="00442A7C">
        <w:t xml:space="preserve">which ranked </w:t>
      </w:r>
      <w:r w:rsidR="00430B01">
        <w:t xml:space="preserve">the most influential factors </w:t>
      </w:r>
      <w:r w:rsidR="00ED55CB">
        <w:t>affecting cost-effectiveness.</w:t>
      </w:r>
      <w:r w:rsidR="006925AB">
        <w:t xml:space="preserve"> </w:t>
      </w:r>
      <w:r w:rsidRPr="00B75DCF">
        <w:t xml:space="preserve">All parameters were changed and the impact on the results </w:t>
      </w:r>
      <w:r w:rsidR="005F1171">
        <w:t xml:space="preserve">was </w:t>
      </w:r>
      <w:r w:rsidRPr="00B75DCF">
        <w:t>explored</w:t>
      </w:r>
      <w:r w:rsidR="005F1171">
        <w:t xml:space="preserve"> to identify the </w:t>
      </w:r>
      <w:r w:rsidR="009F5087">
        <w:t xml:space="preserve">key drivers of model </w:t>
      </w:r>
      <w:r w:rsidR="004C6E01">
        <w:t>uncertainty</w:t>
      </w:r>
      <w:r w:rsidRPr="00B75DCF">
        <w:t xml:space="preserve">. </w:t>
      </w:r>
      <w:r w:rsidR="00E7783C" w:rsidRPr="00B75DCF">
        <w:t xml:space="preserve">In addition, 22 </w:t>
      </w:r>
      <w:r w:rsidR="009443CD">
        <w:t xml:space="preserve">deterministic </w:t>
      </w:r>
      <w:r w:rsidR="00E7783C" w:rsidRPr="00B75DCF">
        <w:t xml:space="preserve">scenario analyses were run to test </w:t>
      </w:r>
      <w:proofErr w:type="gramStart"/>
      <w:r w:rsidR="00E7783C" w:rsidRPr="00B75DCF">
        <w:t>a number of</w:t>
      </w:r>
      <w:proofErr w:type="gramEnd"/>
      <w:r w:rsidR="00E7783C" w:rsidRPr="00B75DCF">
        <w:t xml:space="preserve"> assumptions on the clinical inputs, time horizon, the discount factor and the survival data. </w:t>
      </w:r>
      <w:r w:rsidR="00E7783C">
        <w:t xml:space="preserve">To understand how the cost of SAPIEN 3 impacts the ICER, a </w:t>
      </w:r>
      <w:r w:rsidR="009443CD">
        <w:t xml:space="preserve">deterministic </w:t>
      </w:r>
      <w:r w:rsidR="00E7783C">
        <w:t xml:space="preserve">threshold analysis was performed </w:t>
      </w:r>
      <w:r w:rsidR="00E7783C" w:rsidRPr="00B75DCF">
        <w:t>(</w:t>
      </w:r>
      <w:r w:rsidR="00E7783C" w:rsidRPr="00B75DCF">
        <w:rPr>
          <w:b/>
          <w:bCs/>
        </w:rPr>
        <w:t>Supplementary Figure S1</w:t>
      </w:r>
      <w:proofErr w:type="gramStart"/>
      <w:r w:rsidR="00E7783C" w:rsidRPr="00B75DCF">
        <w:t>)</w:t>
      </w:r>
      <w:proofErr w:type="gramEnd"/>
      <w:r w:rsidR="009443CD">
        <w:t xml:space="preserve"> and probabilistic scenarios were performed to assess the robustness of the threshold results</w:t>
      </w:r>
      <w:r w:rsidR="00E7783C" w:rsidRPr="00B75DCF">
        <w:t>.</w:t>
      </w:r>
      <w:r w:rsidR="002A1FBF">
        <w:t xml:space="preserve"> Stochastic uncertainty was not assessed due to the cohort-based nature of the model. </w:t>
      </w:r>
    </w:p>
    <w:p w14:paraId="1AF7DC3F" w14:textId="77777777" w:rsidR="008044C1" w:rsidRDefault="008044C1" w:rsidP="008044C1">
      <w:pPr>
        <w:spacing w:line="480" w:lineRule="auto"/>
        <w:rPr>
          <w:b/>
          <w:bCs/>
        </w:rPr>
      </w:pPr>
      <w:r w:rsidRPr="00B75DCF">
        <w:rPr>
          <w:b/>
          <w:bCs/>
        </w:rPr>
        <w:t xml:space="preserve">Model </w:t>
      </w:r>
      <w:r>
        <w:rPr>
          <w:b/>
          <w:bCs/>
        </w:rPr>
        <w:t>Validation</w:t>
      </w:r>
    </w:p>
    <w:p w14:paraId="31C9298A" w14:textId="5927C46E" w:rsidR="008044C1" w:rsidRPr="00E973CC" w:rsidRDefault="003E4FAD" w:rsidP="008044C1">
      <w:pPr>
        <w:spacing w:line="480" w:lineRule="auto"/>
      </w:pPr>
      <w:r w:rsidRPr="003E4FAD">
        <w:lastRenderedPageBreak/>
        <w:t>Clinical experts were introduced to the cost-effectiveness model following its development by health economics specialists, as the methodological framework lies outside their area of expertise. The model’s structure, analytical approach, and outcomes were subsequently presented and explained to the clinical panel, which comprised six interventional cardiologists and one cardiac surgeon. The experts were invited to evaluate the methodology, the results, and particularly the interpretation of those results in the context of existing clinical literature. Consensus was reached that the interpretation was appropriate and that the potential implications for clinical decision-making were both robust and well-founded</w:t>
      </w:r>
      <w:r w:rsidR="008044C1" w:rsidRPr="009443CD">
        <w:t xml:space="preserve">. The model has also been through a stringent quality assurance process whereby the calculations were checked. The model clinical outcomes were </w:t>
      </w:r>
      <w:commentRangeStart w:id="32"/>
      <w:commentRangeStart w:id="33"/>
      <w:r w:rsidR="008044C1" w:rsidRPr="00890292">
        <w:t>compared</w:t>
      </w:r>
      <w:r w:rsidR="008044C1" w:rsidRPr="009443CD">
        <w:t xml:space="preserve"> </w:t>
      </w:r>
      <w:commentRangeEnd w:id="32"/>
      <w:r w:rsidR="006C76FF" w:rsidRPr="009443CD">
        <w:rPr>
          <w:rStyle w:val="CommentReference"/>
        </w:rPr>
        <w:commentReference w:id="32"/>
      </w:r>
      <w:commentRangeEnd w:id="33"/>
      <w:r w:rsidR="000E3AED" w:rsidRPr="009443CD">
        <w:rPr>
          <w:rStyle w:val="CommentReference"/>
        </w:rPr>
        <w:commentReference w:id="33"/>
      </w:r>
      <w:r w:rsidR="008044C1" w:rsidRPr="009443CD">
        <w:t>with the PARTNER 3 trial data</w:t>
      </w:r>
      <w:r w:rsidR="008044C1">
        <w:t xml:space="preserve"> at a five-year time point to ensure internal validity</w:t>
      </w:r>
      <w:r w:rsidR="000E3AED">
        <w:t xml:space="preserve"> (see Supplementary material for results)</w:t>
      </w:r>
      <w:r w:rsidR="008044C1">
        <w:t xml:space="preserve">. </w:t>
      </w:r>
    </w:p>
    <w:p w14:paraId="49B57014" w14:textId="132E438F" w:rsidR="00107C52" w:rsidRPr="00B75DCF" w:rsidRDefault="00107C52" w:rsidP="00107C52">
      <w:pPr>
        <w:spacing w:line="480" w:lineRule="auto"/>
      </w:pPr>
      <w:r w:rsidRPr="00B75DCF">
        <w:br w:type="page"/>
      </w:r>
    </w:p>
    <w:p w14:paraId="405D563C" w14:textId="54648A0C" w:rsidR="007842E5" w:rsidRPr="00B75DCF" w:rsidRDefault="0037080A" w:rsidP="00F41E8C">
      <w:pPr>
        <w:pStyle w:val="Heading2"/>
        <w:spacing w:line="480" w:lineRule="auto"/>
      </w:pPr>
      <w:r>
        <w:lastRenderedPageBreak/>
        <w:t xml:space="preserve">3 </w:t>
      </w:r>
      <w:r w:rsidR="003A34DE" w:rsidRPr="00B75DCF">
        <w:t>Results</w:t>
      </w:r>
    </w:p>
    <w:p w14:paraId="0E19A746" w14:textId="1496F964" w:rsidR="00251CB2" w:rsidRPr="0037080A" w:rsidRDefault="0037080A" w:rsidP="00EE1CB4">
      <w:pPr>
        <w:spacing w:line="480" w:lineRule="auto"/>
        <w:rPr>
          <w:b/>
          <w:bCs/>
          <w:i/>
          <w:iCs/>
        </w:rPr>
      </w:pPr>
      <w:r w:rsidRPr="0037080A">
        <w:rPr>
          <w:b/>
          <w:bCs/>
          <w:i/>
          <w:iCs/>
        </w:rPr>
        <w:t xml:space="preserve">3.1 </w:t>
      </w:r>
      <w:r w:rsidR="003A34DE" w:rsidRPr="0037080A">
        <w:rPr>
          <w:b/>
          <w:bCs/>
          <w:i/>
          <w:iCs/>
        </w:rPr>
        <w:t>Base case</w:t>
      </w:r>
      <w:r w:rsidR="003F01DA">
        <w:rPr>
          <w:b/>
          <w:bCs/>
          <w:i/>
          <w:iCs/>
        </w:rPr>
        <w:t xml:space="preserve"> (Probabilistic)</w:t>
      </w:r>
    </w:p>
    <w:p w14:paraId="278D9448" w14:textId="0489272E" w:rsidR="00F41E8C" w:rsidRDefault="003A34DE" w:rsidP="00276A2D">
      <w:pPr>
        <w:spacing w:line="480" w:lineRule="auto"/>
      </w:pPr>
      <w:r w:rsidRPr="00B75DCF">
        <w:t xml:space="preserve">TAVI with SAPIEN 3 is estimated to offer an incremental health benefit of </w:t>
      </w:r>
      <w:r w:rsidR="003F01DA">
        <w:t>0.47</w:t>
      </w:r>
      <w:r w:rsidR="00B35AFE">
        <w:t xml:space="preserve"> </w:t>
      </w:r>
      <w:bookmarkStart w:id="34" w:name="_Hlk203651360"/>
      <w:r w:rsidR="00B35AFE">
        <w:t>(0.</w:t>
      </w:r>
      <w:r w:rsidR="00E7783C">
        <w:t>35</w:t>
      </w:r>
      <w:r w:rsidR="00B35AFE">
        <w:t xml:space="preserve"> to 0.</w:t>
      </w:r>
      <w:r w:rsidR="00E7783C">
        <w:t>60</w:t>
      </w:r>
      <w:r w:rsidR="00B35AFE">
        <w:t xml:space="preserve"> CI)</w:t>
      </w:r>
      <w:r w:rsidR="001C63B5" w:rsidRPr="00B75DCF">
        <w:t xml:space="preserve"> </w:t>
      </w:r>
      <w:bookmarkEnd w:id="34"/>
      <w:r w:rsidR="001C63B5" w:rsidRPr="00B75DCF">
        <w:t xml:space="preserve">QALYs </w:t>
      </w:r>
      <w:r w:rsidRPr="00B75DCF">
        <w:t>per patient</w:t>
      </w:r>
      <w:r w:rsidR="001C63B5" w:rsidRPr="00B75DCF">
        <w:t xml:space="preserve"> c</w:t>
      </w:r>
      <w:r w:rsidRPr="00B75DCF">
        <w:t>ompared with SAVR</w:t>
      </w:r>
      <w:r w:rsidR="005B2479">
        <w:t>,</w:t>
      </w:r>
      <w:r w:rsidRPr="00B75DCF">
        <w:t xml:space="preserve"> at </w:t>
      </w:r>
      <w:proofErr w:type="spellStart"/>
      <w:proofErr w:type="gramStart"/>
      <w:r w:rsidRPr="003F01DA">
        <w:t>a</w:t>
      </w:r>
      <w:proofErr w:type="spellEnd"/>
      <w:proofErr w:type="gramEnd"/>
      <w:r w:rsidRPr="003F01DA">
        <w:t xml:space="preserve"> </w:t>
      </w:r>
      <w:r w:rsidR="000E3AED">
        <w:rPr>
          <w:highlight w:val="yellow"/>
        </w:rPr>
        <w:t>i</w:t>
      </w:r>
      <w:r w:rsidRPr="003F01DA">
        <w:t xml:space="preserve">ncreased cost </w:t>
      </w:r>
      <w:r w:rsidR="001C63B5" w:rsidRPr="003F01DA">
        <w:t>of £</w:t>
      </w:r>
      <w:r w:rsidR="00CA691C">
        <w:t>7,9</w:t>
      </w:r>
      <w:r w:rsidR="0023582F">
        <w:t>99</w:t>
      </w:r>
      <w:r w:rsidR="00B35AFE">
        <w:t xml:space="preserve"> (£</w:t>
      </w:r>
      <w:r w:rsidR="0023582F">
        <w:t>852</w:t>
      </w:r>
      <w:r w:rsidR="00B35AFE">
        <w:t xml:space="preserve"> to £</w:t>
      </w:r>
      <w:r w:rsidR="0023582F">
        <w:t>15,035</w:t>
      </w:r>
      <w:r w:rsidR="00B35AFE">
        <w:t xml:space="preserve"> CI)</w:t>
      </w:r>
      <w:r w:rsidR="001C63B5" w:rsidRPr="003F01DA">
        <w:t xml:space="preserve"> </w:t>
      </w:r>
      <w:r w:rsidRPr="003F01DA">
        <w:rPr>
          <w:rFonts w:cstheme="minorHAnsi"/>
        </w:rPr>
        <w:t>per patient</w:t>
      </w:r>
      <w:r w:rsidRPr="00B75DCF">
        <w:rPr>
          <w:rFonts w:cstheme="minorHAnsi"/>
        </w:rPr>
        <w:t xml:space="preserve"> </w:t>
      </w:r>
      <w:r w:rsidRPr="00B75DCF">
        <w:t>over a lifetime horizon</w:t>
      </w:r>
      <w:r w:rsidR="001C63B5" w:rsidRPr="00B75DCF">
        <w:t xml:space="preserve">. </w:t>
      </w:r>
      <w:r w:rsidRPr="00B75DCF">
        <w:t>This represents a</w:t>
      </w:r>
      <w:r w:rsidR="00922AFB">
        <w:t xml:space="preserve"> probabilistic</w:t>
      </w:r>
      <w:r w:rsidRPr="00B75DCF">
        <w:t xml:space="preserve"> ICER </w:t>
      </w:r>
      <w:r w:rsidRPr="00B35AFE">
        <w:t xml:space="preserve">of </w:t>
      </w:r>
      <w:r w:rsidR="001C63B5" w:rsidRPr="00B35AFE">
        <w:t>£</w:t>
      </w:r>
      <w:r w:rsidR="0023582F">
        <w:t>16,979</w:t>
      </w:r>
      <w:r w:rsidRPr="00B35AFE">
        <w:t xml:space="preserve"> per QALY gained</w:t>
      </w:r>
      <w:r w:rsidR="001C63B5" w:rsidRPr="00B35AFE">
        <w:t xml:space="preserve"> (</w:t>
      </w:r>
      <w:r w:rsidR="001C63B5" w:rsidRPr="00B35AFE">
        <w:rPr>
          <w:b/>
          <w:bCs/>
        </w:rPr>
        <w:t>Table 3</w:t>
      </w:r>
      <w:r w:rsidR="001C63B5" w:rsidRPr="00B35AFE">
        <w:t>)</w:t>
      </w:r>
      <w:r w:rsidR="003F01DA" w:rsidRPr="00B35AFE">
        <w:t>.</w:t>
      </w:r>
      <w:r w:rsidRPr="00B35AFE">
        <w:t xml:space="preserve"> </w:t>
      </w:r>
      <w:r w:rsidR="003F01DA" w:rsidRPr="00E973CC">
        <w:t xml:space="preserve">At the conventional </w:t>
      </w:r>
      <w:r w:rsidR="004D0B4C">
        <w:t xml:space="preserve">UK </w:t>
      </w:r>
      <w:r w:rsidR="003F01DA" w:rsidRPr="00E973CC">
        <w:t>WTP threshold range of £20,000 to £30,000</w:t>
      </w:r>
      <w:r w:rsidR="004D0B4C">
        <w:t xml:space="preserve"> per </w:t>
      </w:r>
      <w:r w:rsidR="003F01DA" w:rsidRPr="00E973CC">
        <w:t>QALY</w:t>
      </w:r>
      <w:r w:rsidR="004D0B4C">
        <w:t xml:space="preserve"> gained</w:t>
      </w:r>
      <w:r w:rsidR="003F01DA" w:rsidRPr="00E973CC">
        <w:t xml:space="preserve">, TAVI with SAPIEN 3 was cost-effective compared with SAVR in </w:t>
      </w:r>
      <w:commentRangeStart w:id="35"/>
      <w:commentRangeStart w:id="36"/>
      <w:r w:rsidR="00CA691C">
        <w:t>63</w:t>
      </w:r>
      <w:r w:rsidR="005B2479">
        <w:t>%</w:t>
      </w:r>
      <w:r w:rsidR="003F01DA" w:rsidRPr="00E973CC">
        <w:t xml:space="preserve"> to </w:t>
      </w:r>
      <w:r w:rsidR="00CA691C">
        <w:t>9</w:t>
      </w:r>
      <w:r w:rsidR="00EF6260">
        <w:t>0</w:t>
      </w:r>
      <w:r w:rsidR="003F01DA" w:rsidRPr="00E973CC">
        <w:t xml:space="preserve">% </w:t>
      </w:r>
      <w:commentRangeEnd w:id="35"/>
      <w:r w:rsidR="00941082">
        <w:rPr>
          <w:rStyle w:val="CommentReference"/>
        </w:rPr>
        <w:commentReference w:id="35"/>
      </w:r>
      <w:commentRangeEnd w:id="36"/>
      <w:r w:rsidR="000E3AED">
        <w:rPr>
          <w:rStyle w:val="CommentReference"/>
        </w:rPr>
        <w:commentReference w:id="36"/>
      </w:r>
      <w:r w:rsidR="003F01DA" w:rsidRPr="00E973CC">
        <w:t>of the simulations in the model (</w:t>
      </w:r>
      <w:r w:rsidR="003F01DA" w:rsidRPr="00E973CC">
        <w:rPr>
          <w:b/>
          <w:bCs/>
        </w:rPr>
        <w:t xml:space="preserve">Figure </w:t>
      </w:r>
      <w:r w:rsidR="00A1027A">
        <w:rPr>
          <w:b/>
          <w:bCs/>
        </w:rPr>
        <w:t>2</w:t>
      </w:r>
      <w:r w:rsidR="003F01DA" w:rsidRPr="00E973CC">
        <w:t xml:space="preserve">). </w:t>
      </w:r>
      <w:r w:rsidR="0026298B">
        <w:t xml:space="preserve">The deterministic results can be found in </w:t>
      </w:r>
      <w:r w:rsidR="0026298B" w:rsidRPr="00BC007B">
        <w:rPr>
          <w:rFonts w:ascii="Calibri" w:hAnsi="Calibri" w:cs="Calibri"/>
          <w:b/>
          <w:bCs/>
        </w:rPr>
        <w:t>Supplementary Table S5</w:t>
      </w:r>
      <w:r w:rsidR="0026298B">
        <w:t xml:space="preserve">. </w:t>
      </w:r>
      <w:r w:rsidR="0086002B" w:rsidRPr="00B35AFE">
        <w:t>Detailed</w:t>
      </w:r>
      <w:r w:rsidRPr="00B35AFE">
        <w:t xml:space="preserve"> examination of the breakdown of costs for TAVI versus SAVR </w:t>
      </w:r>
      <w:r w:rsidR="0086002B" w:rsidRPr="00B35AFE">
        <w:t>found</w:t>
      </w:r>
      <w:r w:rsidRPr="00B35AFE">
        <w:t xml:space="preserve"> that </w:t>
      </w:r>
      <w:r w:rsidR="0086002B" w:rsidRPr="00B35AFE">
        <w:t>the</w:t>
      </w:r>
      <w:r w:rsidRPr="00B35AFE">
        <w:t xml:space="preserve"> initial procedural costs </w:t>
      </w:r>
      <w:r w:rsidR="005B2479">
        <w:t xml:space="preserve">for TAVI are higher, but the </w:t>
      </w:r>
      <w:r w:rsidR="0086002B" w:rsidRPr="00B35AFE">
        <w:t xml:space="preserve">additional lifetime costs were </w:t>
      </w:r>
      <w:proofErr w:type="gramStart"/>
      <w:r w:rsidR="0086002B" w:rsidRPr="00B35AFE">
        <w:t>similar</w:t>
      </w:r>
      <w:proofErr w:type="gramEnd"/>
      <w:r w:rsidR="0086002B" w:rsidRPr="00B35AFE">
        <w:t xml:space="preserve"> and </w:t>
      </w:r>
      <w:r w:rsidRPr="00B35AFE">
        <w:t>costs related to ‘treated AF</w:t>
      </w:r>
      <w:r w:rsidR="0086002B" w:rsidRPr="00B35AFE">
        <w:t xml:space="preserve"> health state</w:t>
      </w:r>
      <w:r w:rsidRPr="00B35AFE">
        <w:t xml:space="preserve">’ </w:t>
      </w:r>
      <w:r w:rsidR="0086002B" w:rsidRPr="00B35AFE">
        <w:t xml:space="preserve">and ‘disabling stroke’ </w:t>
      </w:r>
      <w:r w:rsidR="005B2479">
        <w:t>are</w:t>
      </w:r>
      <w:r w:rsidR="005B2479" w:rsidRPr="00B35AFE">
        <w:t xml:space="preserve"> </w:t>
      </w:r>
      <w:r w:rsidRPr="00B35AFE">
        <w:t>lower</w:t>
      </w:r>
      <w:r w:rsidRPr="00B75DCF">
        <w:t xml:space="preserve"> (</w:t>
      </w:r>
      <w:r w:rsidRPr="00B75DCF">
        <w:rPr>
          <w:b/>
          <w:bCs/>
        </w:rPr>
        <w:t xml:space="preserve">Table </w:t>
      </w:r>
      <w:r w:rsidR="0086002B" w:rsidRPr="00B75DCF">
        <w:rPr>
          <w:b/>
          <w:bCs/>
        </w:rPr>
        <w:t>3</w:t>
      </w:r>
      <w:r w:rsidRPr="00B75DCF">
        <w:rPr>
          <w:b/>
          <w:bCs/>
        </w:rPr>
        <w:t xml:space="preserve"> </w:t>
      </w:r>
      <w:r w:rsidRPr="00B75DCF">
        <w:t>and</w:t>
      </w:r>
      <w:r w:rsidRPr="00B75DCF">
        <w:rPr>
          <w:b/>
          <w:bCs/>
        </w:rPr>
        <w:t xml:space="preserve"> </w:t>
      </w:r>
      <w:r w:rsidR="00666BB5">
        <w:rPr>
          <w:b/>
          <w:bCs/>
        </w:rPr>
        <w:t>Figure 3</w:t>
      </w:r>
      <w:r w:rsidRPr="00B75DCF">
        <w:t>).</w:t>
      </w:r>
      <w:r w:rsidR="0026298B">
        <w:t xml:space="preserve"> </w:t>
      </w:r>
    </w:p>
    <w:p w14:paraId="1F05DE34" w14:textId="62DA24CC" w:rsidR="00B43A98" w:rsidRPr="0037080A" w:rsidRDefault="0037080A" w:rsidP="0096625C">
      <w:pPr>
        <w:spacing w:line="480" w:lineRule="auto"/>
        <w:rPr>
          <w:b/>
          <w:bCs/>
          <w:i/>
        </w:rPr>
      </w:pPr>
      <w:r w:rsidRPr="0037080A">
        <w:rPr>
          <w:b/>
          <w:bCs/>
          <w:i/>
        </w:rPr>
        <w:t>3.</w:t>
      </w:r>
      <w:r w:rsidR="003F01DA">
        <w:rPr>
          <w:b/>
          <w:bCs/>
          <w:i/>
        </w:rPr>
        <w:t>2</w:t>
      </w:r>
      <w:r w:rsidRPr="0037080A">
        <w:rPr>
          <w:b/>
          <w:bCs/>
          <w:i/>
        </w:rPr>
        <w:t xml:space="preserve"> </w:t>
      </w:r>
      <w:r w:rsidR="003A34DE" w:rsidRPr="0037080A">
        <w:rPr>
          <w:b/>
          <w:bCs/>
          <w:i/>
        </w:rPr>
        <w:t>Deterministic sensitivity analyses</w:t>
      </w:r>
    </w:p>
    <w:p w14:paraId="77BB5E74" w14:textId="7497C669" w:rsidR="00B335EF" w:rsidRPr="00B75DCF" w:rsidRDefault="003A34DE" w:rsidP="00B335EF">
      <w:pPr>
        <w:spacing w:line="480" w:lineRule="auto"/>
      </w:pPr>
      <w:r w:rsidRPr="00B75DCF">
        <w:t xml:space="preserve">Univariate </w:t>
      </w:r>
      <w:r w:rsidR="00066B09" w:rsidRPr="00B75DCF">
        <w:t xml:space="preserve">deterministic </w:t>
      </w:r>
      <w:r w:rsidRPr="00B75DCF">
        <w:t>sensitivity analyses demonstrate</w:t>
      </w:r>
      <w:r w:rsidR="00066B09" w:rsidRPr="00B75DCF">
        <w:t>d</w:t>
      </w:r>
      <w:r w:rsidRPr="00B75DCF">
        <w:t xml:space="preserve"> that TAVI with SAPIEN 3 </w:t>
      </w:r>
      <w:r w:rsidR="00B35AFE">
        <w:t>was</w:t>
      </w:r>
      <w:r w:rsidR="00B35AFE" w:rsidRPr="00B75DCF">
        <w:t xml:space="preserve"> </w:t>
      </w:r>
      <w:r w:rsidRPr="00B75DCF">
        <w:t>cost-effective regardless of plausible changes in</w:t>
      </w:r>
      <w:r w:rsidR="00B35AFE">
        <w:t xml:space="preserve"> many of the</w:t>
      </w:r>
      <w:r w:rsidRPr="00B75DCF">
        <w:t xml:space="preserve"> individual model parameters (</w:t>
      </w:r>
      <w:r w:rsidRPr="00B75DCF">
        <w:rPr>
          <w:b/>
          <w:bCs/>
        </w:rPr>
        <w:t>Fig</w:t>
      </w:r>
      <w:r w:rsidR="00066B09" w:rsidRPr="00B75DCF">
        <w:rPr>
          <w:b/>
          <w:bCs/>
        </w:rPr>
        <w:t>ure</w:t>
      </w:r>
      <w:r w:rsidR="00A1027A">
        <w:rPr>
          <w:b/>
          <w:bCs/>
        </w:rPr>
        <w:t xml:space="preserve"> </w:t>
      </w:r>
      <w:r w:rsidR="00666BB5">
        <w:rPr>
          <w:b/>
          <w:bCs/>
        </w:rPr>
        <w:t>4</w:t>
      </w:r>
      <w:r w:rsidRPr="00B35AFE">
        <w:t xml:space="preserve">). </w:t>
      </w:r>
      <w:r w:rsidR="00B35AFE" w:rsidRPr="00B35AFE">
        <w:t>However, t</w:t>
      </w:r>
      <w:r w:rsidRPr="00B35AFE">
        <w:t xml:space="preserve">he model was most sensitive to </w:t>
      </w:r>
      <w:r w:rsidR="004D0B4C">
        <w:t xml:space="preserve">the </w:t>
      </w:r>
      <w:r w:rsidRPr="00B35AFE">
        <w:t>procedur</w:t>
      </w:r>
      <w:r w:rsidR="005B2479">
        <w:t>al</w:t>
      </w:r>
      <w:r w:rsidRPr="00B35AFE">
        <w:t xml:space="preserve"> costs </w:t>
      </w:r>
      <w:r w:rsidR="00066B09" w:rsidRPr="00B35AFE">
        <w:t>of TAVI with SAPIEN 3, procedur</w:t>
      </w:r>
      <w:r w:rsidR="005B2479">
        <w:t>al</w:t>
      </w:r>
      <w:r w:rsidR="00066B09" w:rsidRPr="00B35AFE">
        <w:t xml:space="preserve"> costs of SAVR, risk of new onset AF at 30 days with SAVR</w:t>
      </w:r>
      <w:r w:rsidR="003C6524" w:rsidRPr="00B35AFE">
        <w:t>,</w:t>
      </w:r>
      <w:r w:rsidR="00066B09" w:rsidRPr="00B35AFE">
        <w:t xml:space="preserve"> and </w:t>
      </w:r>
      <w:r w:rsidRPr="00B35AFE">
        <w:t>age of patients entering the model</w:t>
      </w:r>
      <w:r w:rsidR="00066B09" w:rsidRPr="00B35AFE">
        <w:t xml:space="preserve"> (</w:t>
      </w:r>
      <w:r w:rsidR="00066B09" w:rsidRPr="00B75DCF">
        <w:rPr>
          <w:b/>
          <w:bCs/>
        </w:rPr>
        <w:t xml:space="preserve">Figure </w:t>
      </w:r>
      <w:r w:rsidR="00666BB5">
        <w:rPr>
          <w:b/>
          <w:bCs/>
        </w:rPr>
        <w:t>4</w:t>
      </w:r>
      <w:r w:rsidR="00066B09" w:rsidRPr="00B75DCF">
        <w:t>)</w:t>
      </w:r>
      <w:r w:rsidRPr="00B75DCF">
        <w:t>.</w:t>
      </w:r>
      <w:r w:rsidR="00B35AFE">
        <w:t xml:space="preserve"> A change in these parameters can lead to the NMB falling below zero, at a WTP threshold of £20,000/QALY.</w:t>
      </w:r>
    </w:p>
    <w:p w14:paraId="4D4451EC" w14:textId="14C931E9" w:rsidR="00251CB2" w:rsidRPr="0037080A" w:rsidRDefault="0037080A" w:rsidP="00DA4F74">
      <w:pPr>
        <w:spacing w:line="480" w:lineRule="auto"/>
        <w:rPr>
          <w:b/>
          <w:bCs/>
          <w:i/>
          <w:iCs/>
        </w:rPr>
      </w:pPr>
      <w:r w:rsidRPr="0037080A">
        <w:rPr>
          <w:b/>
          <w:bCs/>
          <w:i/>
          <w:iCs/>
        </w:rPr>
        <w:t>3.</w:t>
      </w:r>
      <w:r w:rsidR="003F01DA">
        <w:rPr>
          <w:b/>
          <w:bCs/>
          <w:i/>
          <w:iCs/>
        </w:rPr>
        <w:t>3</w:t>
      </w:r>
      <w:r w:rsidRPr="0037080A">
        <w:rPr>
          <w:b/>
          <w:bCs/>
          <w:i/>
          <w:iCs/>
        </w:rPr>
        <w:t xml:space="preserve"> </w:t>
      </w:r>
      <w:r w:rsidR="003A34DE" w:rsidRPr="0037080A">
        <w:rPr>
          <w:b/>
          <w:bCs/>
          <w:i/>
          <w:iCs/>
        </w:rPr>
        <w:t>Scenarios</w:t>
      </w:r>
      <w:r w:rsidR="007C29AE">
        <w:rPr>
          <w:b/>
          <w:bCs/>
          <w:i/>
          <w:iCs/>
        </w:rPr>
        <w:t xml:space="preserve"> </w:t>
      </w:r>
    </w:p>
    <w:p w14:paraId="14FACB8A" w14:textId="0BBE093A" w:rsidR="00254EA8" w:rsidRDefault="003A34DE" w:rsidP="00843DD6">
      <w:pPr>
        <w:spacing w:line="480" w:lineRule="auto"/>
      </w:pPr>
      <w:r w:rsidRPr="00B75DCF">
        <w:t xml:space="preserve">The results from the </w:t>
      </w:r>
      <w:r w:rsidR="00254EA8">
        <w:t xml:space="preserve">deterministic </w:t>
      </w:r>
      <w:r w:rsidRPr="00B75DCF">
        <w:t xml:space="preserve">scenario analyses demonstrated the comparative robustness of the model </w:t>
      </w:r>
      <w:r w:rsidR="00B61588">
        <w:t>(</w:t>
      </w:r>
      <w:r w:rsidRPr="002D03F5">
        <w:rPr>
          <w:b/>
          <w:bCs/>
        </w:rPr>
        <w:t>Table 4</w:t>
      </w:r>
      <w:r w:rsidR="00B61588">
        <w:t>)</w:t>
      </w:r>
      <w:r w:rsidRPr="002D03F5">
        <w:t>.</w:t>
      </w:r>
      <w:r w:rsidR="00843DD6" w:rsidRPr="002D03F5">
        <w:t xml:space="preserve"> </w:t>
      </w:r>
      <w:r w:rsidRPr="002D03F5">
        <w:t xml:space="preserve">TAVI remained cost-effective </w:t>
      </w:r>
      <w:r w:rsidR="000F05CA" w:rsidRPr="002D03F5">
        <w:t xml:space="preserve">compared with </w:t>
      </w:r>
      <w:r w:rsidR="00843DD6" w:rsidRPr="002D03F5">
        <w:t xml:space="preserve">SAVR in the model when </w:t>
      </w:r>
      <w:r w:rsidRPr="002D03F5">
        <w:t>including</w:t>
      </w:r>
      <w:r w:rsidR="00843DD6" w:rsidRPr="002D03F5">
        <w:t xml:space="preserve"> a more aggressive re</w:t>
      </w:r>
      <w:r w:rsidR="003C6524" w:rsidRPr="002D03F5">
        <w:t>-</w:t>
      </w:r>
      <w:r w:rsidR="00843DD6" w:rsidRPr="002D03F5">
        <w:t xml:space="preserve">intervention rate for TAVI, </w:t>
      </w:r>
      <w:r w:rsidRPr="002D03F5">
        <w:t xml:space="preserve">an increased risk of stroke, AE costs occurring within 30 days, alternative hospitalisation costs, and over </w:t>
      </w:r>
      <w:r w:rsidR="00BA170B" w:rsidRPr="002D03F5">
        <w:t xml:space="preserve">various </w:t>
      </w:r>
      <w:r w:rsidRPr="002D03F5">
        <w:t>time horizons (</w:t>
      </w:r>
      <w:r w:rsidRPr="002D03F5">
        <w:rPr>
          <w:b/>
          <w:bCs/>
        </w:rPr>
        <w:t>Table 4</w:t>
      </w:r>
      <w:r w:rsidRPr="002D03F5">
        <w:t xml:space="preserve">). </w:t>
      </w:r>
    </w:p>
    <w:p w14:paraId="762C00FA" w14:textId="50740DA4" w:rsidR="00E76B80" w:rsidRPr="00B75DCF" w:rsidRDefault="00F16DC3" w:rsidP="00843DD6">
      <w:pPr>
        <w:spacing w:line="480" w:lineRule="auto"/>
      </w:pPr>
      <w:r w:rsidRPr="002D03F5">
        <w:lastRenderedPageBreak/>
        <w:t>T</w:t>
      </w:r>
      <w:r w:rsidR="00D82CA2" w:rsidRPr="002D03F5">
        <w:t>he threshold</w:t>
      </w:r>
      <w:r w:rsidR="00D82CA2" w:rsidRPr="00B75DCF">
        <w:t xml:space="preserve"> analysis </w:t>
      </w:r>
      <w:r w:rsidRPr="00B75DCF">
        <w:t xml:space="preserve">of the SAPIEN 3 valve cost </w:t>
      </w:r>
      <w:r w:rsidR="00D82CA2" w:rsidRPr="00B75DCF">
        <w:t>(</w:t>
      </w:r>
      <w:r w:rsidR="00D82CA2" w:rsidRPr="00B75DCF">
        <w:rPr>
          <w:b/>
          <w:bCs/>
        </w:rPr>
        <w:t>Supplement</w:t>
      </w:r>
      <w:r w:rsidR="00254EA8">
        <w:rPr>
          <w:b/>
          <w:bCs/>
        </w:rPr>
        <w:t>ary</w:t>
      </w:r>
      <w:r w:rsidR="00D82CA2" w:rsidRPr="00B75DCF">
        <w:rPr>
          <w:b/>
          <w:bCs/>
        </w:rPr>
        <w:t xml:space="preserve"> Figure S1</w:t>
      </w:r>
      <w:r w:rsidR="00D82CA2" w:rsidRPr="00B75DCF">
        <w:t>)</w:t>
      </w:r>
      <w:r w:rsidR="0068356D" w:rsidRPr="00B75DCF">
        <w:t xml:space="preserve"> </w:t>
      </w:r>
      <w:r w:rsidRPr="00B75DCF">
        <w:t xml:space="preserve">demonstrated that the </w:t>
      </w:r>
      <w:r w:rsidR="00B61588">
        <w:t xml:space="preserve">cost of SAPIEN 3 </w:t>
      </w:r>
      <w:r w:rsidRPr="00B75DCF">
        <w:t xml:space="preserve">valve would </w:t>
      </w:r>
      <w:r w:rsidR="00B61588">
        <w:t>need</w:t>
      </w:r>
      <w:r w:rsidR="00B61588" w:rsidRPr="00B75DCF">
        <w:t xml:space="preserve"> </w:t>
      </w:r>
      <w:r w:rsidRPr="00B75DCF">
        <w:t xml:space="preserve">to </w:t>
      </w:r>
      <w:r w:rsidR="00B61588">
        <w:t>be &gt;</w:t>
      </w:r>
      <w:r w:rsidR="007606EF" w:rsidRPr="001C2C98">
        <w:t>£23,</w:t>
      </w:r>
      <w:r w:rsidR="002D03F5" w:rsidRPr="00E973CC">
        <w:t>8</w:t>
      </w:r>
      <w:r w:rsidR="007606EF" w:rsidRPr="001C2C98">
        <w:t>00 to</w:t>
      </w:r>
      <w:r w:rsidR="00B61588">
        <w:t xml:space="preserve"> not</w:t>
      </w:r>
      <w:r w:rsidR="007606EF" w:rsidRPr="001C2C98">
        <w:t xml:space="preserve"> be cost-effective at the £20,000</w:t>
      </w:r>
      <w:r w:rsidR="00B61588">
        <w:t>/</w:t>
      </w:r>
      <w:r w:rsidR="007606EF" w:rsidRPr="001C2C98">
        <w:t>QALY threshold</w:t>
      </w:r>
      <w:r w:rsidR="00B61588">
        <w:t xml:space="preserve"> or &gt;</w:t>
      </w:r>
      <w:r w:rsidR="007606EF" w:rsidRPr="001C2C98">
        <w:t>£28,</w:t>
      </w:r>
      <w:r w:rsidR="002D03F5" w:rsidRPr="00E973CC">
        <w:t>5</w:t>
      </w:r>
      <w:r w:rsidR="002D03F5" w:rsidRPr="001C2C98">
        <w:t xml:space="preserve">00 </w:t>
      </w:r>
      <w:r w:rsidR="007606EF" w:rsidRPr="001C2C98">
        <w:t>to not be cost-effective at the £30,000</w:t>
      </w:r>
      <w:r w:rsidR="00B61588">
        <w:t>/</w:t>
      </w:r>
      <w:r w:rsidR="007606EF" w:rsidRPr="001C2C98">
        <w:t>QALY threshold. Varying the valve cost from £15,000 to £30,000 (</w:t>
      </w:r>
      <w:r w:rsidR="00B61588">
        <w:t>from a</w:t>
      </w:r>
      <w:r w:rsidR="00922AFB" w:rsidRPr="001C2C98">
        <w:t xml:space="preserve"> </w:t>
      </w:r>
      <w:r w:rsidR="007606EF" w:rsidRPr="001C2C98">
        <w:t>base case</w:t>
      </w:r>
      <w:r w:rsidR="00922AFB" w:rsidRPr="001C2C98">
        <w:t xml:space="preserve"> value</w:t>
      </w:r>
      <w:r w:rsidR="007606EF" w:rsidRPr="001C2C98">
        <w:t xml:space="preserve"> </w:t>
      </w:r>
      <w:r w:rsidR="00B61588">
        <w:t xml:space="preserve">of </w:t>
      </w:r>
      <w:r w:rsidR="007606EF" w:rsidRPr="001C2C98">
        <w:t>£22,500) moved the ICER from £</w:t>
      </w:r>
      <w:r w:rsidR="001C2C98" w:rsidRPr="001C2C98">
        <w:t>9</w:t>
      </w:r>
      <w:r w:rsidR="001C2C98" w:rsidRPr="00E973CC">
        <w:t>11</w:t>
      </w:r>
      <w:r w:rsidR="001C2C98" w:rsidRPr="001C2C98">
        <w:t xml:space="preserve"> </w:t>
      </w:r>
      <w:r w:rsidR="007606EF" w:rsidRPr="001C2C98">
        <w:t>to £33,</w:t>
      </w:r>
      <w:r w:rsidR="001C2C98" w:rsidRPr="001C2C98">
        <w:t xml:space="preserve">219 </w:t>
      </w:r>
      <w:r w:rsidR="007606EF" w:rsidRPr="001C2C98">
        <w:t>per</w:t>
      </w:r>
      <w:r w:rsidR="007606EF" w:rsidRPr="00B75DCF">
        <w:t xml:space="preserve"> QALY gained.</w:t>
      </w:r>
      <w:r w:rsidR="00254EA8">
        <w:t xml:space="preserve"> Probabilistic scenarios were also run on the cost of the SAPIEN valve to assess the robustness of the results. </w:t>
      </w:r>
      <w:proofErr w:type="gramStart"/>
      <w:r w:rsidR="00254EA8">
        <w:t>Similar to</w:t>
      </w:r>
      <w:proofErr w:type="gramEnd"/>
      <w:r w:rsidR="00254EA8">
        <w:t xml:space="preserve"> the deterministic results, t</w:t>
      </w:r>
      <w:r w:rsidR="00254EA8" w:rsidRPr="00254EA8">
        <w:t xml:space="preserve">he cost of the SAPIEN 3 valve could increase </w:t>
      </w:r>
      <w:r w:rsidR="00254EA8">
        <w:t xml:space="preserve">to </w:t>
      </w:r>
      <w:r w:rsidR="00254EA8" w:rsidRPr="00254EA8">
        <w:t>£2</w:t>
      </w:r>
      <w:r w:rsidR="009443CD">
        <w:t>3</w:t>
      </w:r>
      <w:r w:rsidR="00254EA8" w:rsidRPr="00254EA8">
        <w:t>,900 before the probabilistic ICER rose above the £20,000 per QALY threshold (with a 50.1% probability of being cost-effective). Similarly, the SAPIEN 3 valve could increase to £28,400 before the probabilistic ICER rose above the £30,000 per QALY threshold (with a 50.1% probability of being cost-effective).</w:t>
      </w:r>
    </w:p>
    <w:p w14:paraId="5726FAB6" w14:textId="77777777" w:rsidR="000933AA" w:rsidRPr="00B75DCF" w:rsidRDefault="000933AA" w:rsidP="00DA4F74">
      <w:pPr>
        <w:spacing w:line="480" w:lineRule="auto"/>
      </w:pPr>
    </w:p>
    <w:p w14:paraId="1CDE6795" w14:textId="77777777" w:rsidR="00537BF8" w:rsidRPr="00B75DCF" w:rsidRDefault="003A34DE">
      <w:pPr>
        <w:rPr>
          <w:b/>
          <w:bCs/>
        </w:rPr>
      </w:pPr>
      <w:r w:rsidRPr="00B75DCF">
        <w:rPr>
          <w:b/>
          <w:bCs/>
        </w:rPr>
        <w:br w:type="page"/>
      </w:r>
    </w:p>
    <w:p w14:paraId="24C00AE0" w14:textId="7014433E" w:rsidR="00C028FF" w:rsidRPr="00B75DCF" w:rsidRDefault="0037080A" w:rsidP="004463A0">
      <w:pPr>
        <w:spacing w:line="480" w:lineRule="auto"/>
        <w:rPr>
          <w:b/>
          <w:bCs/>
        </w:rPr>
      </w:pPr>
      <w:r>
        <w:rPr>
          <w:b/>
          <w:bCs/>
        </w:rPr>
        <w:lastRenderedPageBreak/>
        <w:t xml:space="preserve">4 </w:t>
      </w:r>
      <w:r w:rsidR="003A34DE" w:rsidRPr="00B75DCF">
        <w:rPr>
          <w:b/>
          <w:bCs/>
        </w:rPr>
        <w:t>Discussion</w:t>
      </w:r>
      <w:r w:rsidR="003C3099" w:rsidRPr="00B75DCF">
        <w:rPr>
          <w:b/>
          <w:bCs/>
        </w:rPr>
        <w:t xml:space="preserve"> </w:t>
      </w:r>
    </w:p>
    <w:p w14:paraId="392BE58B" w14:textId="62EE33E4" w:rsidR="00690D28" w:rsidRPr="00B75DCF" w:rsidRDefault="00D349F9" w:rsidP="00091D4F">
      <w:pPr>
        <w:spacing w:line="480" w:lineRule="auto"/>
      </w:pPr>
      <w:r w:rsidRPr="00B75DCF">
        <w:t xml:space="preserve">This analysis suggests that TAVI with SAPIEN 3 </w:t>
      </w:r>
      <w:r>
        <w:t xml:space="preserve">has an </w:t>
      </w:r>
      <w:r w:rsidR="00CA691C">
        <w:t>63</w:t>
      </w:r>
      <w:r w:rsidR="001C2C98">
        <w:t xml:space="preserve">% to </w:t>
      </w:r>
      <w:r w:rsidR="00CA691C">
        <w:t>9</w:t>
      </w:r>
      <w:r w:rsidR="00EF6260">
        <w:t>0</w:t>
      </w:r>
      <w:r>
        <w:t xml:space="preserve">% probability of being </w:t>
      </w:r>
      <w:r w:rsidR="009611D7">
        <w:t xml:space="preserve">a </w:t>
      </w:r>
      <w:r w:rsidRPr="00B75DCF">
        <w:t xml:space="preserve">cost-effective choice for </w:t>
      </w:r>
      <w:r w:rsidR="009611D7">
        <w:t xml:space="preserve">valve replacement in UK </w:t>
      </w:r>
      <w:r w:rsidRPr="00B75DCF">
        <w:t>patients with aortic stenosis and a low risk of surgical mortality</w:t>
      </w:r>
      <w:r w:rsidR="00091D4F" w:rsidRPr="00B75DCF">
        <w:t xml:space="preserve">. TAVI with </w:t>
      </w:r>
      <w:r w:rsidR="00110CAA" w:rsidRPr="00B75DCF">
        <w:t xml:space="preserve">SAPIEN </w:t>
      </w:r>
      <w:r w:rsidR="00110CAA" w:rsidRPr="001C2C98">
        <w:t>3 improves QALYs and</w:t>
      </w:r>
      <w:commentRangeStart w:id="37"/>
      <w:commentRangeStart w:id="38"/>
      <w:r w:rsidR="00110CAA" w:rsidRPr="001C2C98">
        <w:t xml:space="preserve"> </w:t>
      </w:r>
      <w:commentRangeEnd w:id="37"/>
      <w:r w:rsidR="00F327F9">
        <w:rPr>
          <w:rStyle w:val="CommentReference"/>
        </w:rPr>
        <w:commentReference w:id="37"/>
      </w:r>
      <w:commentRangeEnd w:id="38"/>
      <w:r w:rsidR="000E3AED">
        <w:rPr>
          <w:rStyle w:val="CommentReference"/>
        </w:rPr>
        <w:commentReference w:id="38"/>
      </w:r>
      <w:r w:rsidR="00110CAA" w:rsidRPr="001C2C98">
        <w:t xml:space="preserve">increases costs </w:t>
      </w:r>
      <w:r w:rsidR="00091D4F" w:rsidRPr="001C2C98">
        <w:t>compared with</w:t>
      </w:r>
      <w:r w:rsidR="00110CAA" w:rsidRPr="001C2C98">
        <w:t xml:space="preserve"> SAVR</w:t>
      </w:r>
      <w:r w:rsidR="005005EF" w:rsidRPr="001C2C98">
        <w:t>, leading to a</w:t>
      </w:r>
      <w:r w:rsidR="00922AFB" w:rsidRPr="001C2C98">
        <w:t xml:space="preserve"> probabilistic</w:t>
      </w:r>
      <w:r w:rsidR="005005EF" w:rsidRPr="001C2C98">
        <w:t xml:space="preserve"> </w:t>
      </w:r>
      <w:r w:rsidR="003A34DE" w:rsidRPr="001C2C98">
        <w:t xml:space="preserve">ICER </w:t>
      </w:r>
      <w:r w:rsidR="005005EF" w:rsidRPr="001C2C98">
        <w:t xml:space="preserve">of </w:t>
      </w:r>
      <w:r w:rsidR="00091D4F" w:rsidRPr="001C2C98">
        <w:t>£</w:t>
      </w:r>
      <w:r w:rsidR="00CA691C">
        <w:t>1</w:t>
      </w:r>
      <w:r w:rsidR="001A7E17">
        <w:t>6</w:t>
      </w:r>
      <w:r w:rsidR="00CA691C">
        <w:t>,</w:t>
      </w:r>
      <w:r w:rsidR="0023582F">
        <w:t>9</w:t>
      </w:r>
      <w:r w:rsidR="001A7E17">
        <w:t>7</w:t>
      </w:r>
      <w:r w:rsidR="0023582F">
        <w:t xml:space="preserve">9 per </w:t>
      </w:r>
      <w:r w:rsidR="00091D4F" w:rsidRPr="001C2C98">
        <w:t>QALY.</w:t>
      </w:r>
      <w:r w:rsidR="00894327" w:rsidRPr="001C2C98">
        <w:t xml:space="preserve"> </w:t>
      </w:r>
    </w:p>
    <w:p w14:paraId="20E5D323" w14:textId="6FF3CF74" w:rsidR="001C2C98" w:rsidRDefault="00475AB2" w:rsidP="00E14BAC">
      <w:pPr>
        <w:spacing w:line="480" w:lineRule="auto"/>
      </w:pPr>
      <w:r>
        <w:t xml:space="preserve">The cost-effectiveness results </w:t>
      </w:r>
      <w:r w:rsidRPr="00E60C98">
        <w:t>remained robust</w:t>
      </w:r>
      <w:commentRangeStart w:id="39"/>
      <w:commentRangeStart w:id="40"/>
      <w:r>
        <w:t xml:space="preserve"> </w:t>
      </w:r>
      <w:commentRangeEnd w:id="39"/>
      <w:r w:rsidR="009B42ED">
        <w:rPr>
          <w:rStyle w:val="CommentReference"/>
        </w:rPr>
        <w:commentReference w:id="39"/>
      </w:r>
      <w:commentRangeEnd w:id="40"/>
      <w:r w:rsidR="000E3AED">
        <w:rPr>
          <w:rStyle w:val="CommentReference"/>
        </w:rPr>
        <w:commentReference w:id="40"/>
      </w:r>
      <w:r w:rsidR="000E3AED">
        <w:t xml:space="preserve">in most sensitivity analyses </w:t>
      </w:r>
      <w:r>
        <w:t>at a WTP threshold of £20,000 to £30,000</w:t>
      </w:r>
      <w:r w:rsidR="004D0B4C">
        <w:t xml:space="preserve"> per </w:t>
      </w:r>
      <w:r>
        <w:t>QALY</w:t>
      </w:r>
      <w:r w:rsidR="004D0B4C">
        <w:t xml:space="preserve"> gained</w:t>
      </w:r>
      <w:r>
        <w:t xml:space="preserve">. </w:t>
      </w:r>
      <w:r w:rsidR="00765737" w:rsidRPr="00765737">
        <w:t xml:space="preserve">The </w:t>
      </w:r>
      <w:r w:rsidR="00765737">
        <w:t xml:space="preserve">unit </w:t>
      </w:r>
      <w:r w:rsidR="00765737" w:rsidRPr="00765737">
        <w:t>cost of the SAPIEN 3 valve c</w:t>
      </w:r>
      <w:r w:rsidR="00765737">
        <w:t>ould</w:t>
      </w:r>
      <w:r w:rsidR="00765737" w:rsidRPr="00765737">
        <w:t xml:space="preserve"> increase from £22,500 to £22,900 before the probabilistic ICER rose above the £20,000 per QALY threshold (with a 50.1% probability of being cost-effective). Similarly, the SAPIEN 3 valve could increase to £28,400 before the probabilistic ICER rose above the £30,000 per QALY threshold (with a 50.1% probability of being cost-effective). The deterministic threshold analysis led to similar results, where SAPIEN 3 could increase to £22,800 and £28,500 before no longer being cost effective at the £20,000 and £30,000 WTP thresholds, respectively.</w:t>
      </w:r>
      <w:r w:rsidR="00765737">
        <w:t xml:space="preserve"> </w:t>
      </w:r>
    </w:p>
    <w:p w14:paraId="2B73B749" w14:textId="7A05D131" w:rsidR="001C2C98" w:rsidRDefault="00E14BAC" w:rsidP="006324B0">
      <w:pPr>
        <w:spacing w:line="480" w:lineRule="auto"/>
        <w:rPr>
          <w:lang w:val="en-US"/>
        </w:rPr>
      </w:pPr>
      <w:r>
        <w:rPr>
          <w:lang w:val="en-US"/>
        </w:rPr>
        <w:t>D</w:t>
      </w:r>
      <w:r w:rsidR="00E8428F">
        <w:rPr>
          <w:lang w:val="en-US"/>
        </w:rPr>
        <w:t>eterministic sens</w:t>
      </w:r>
      <w:r w:rsidR="00B92F60">
        <w:rPr>
          <w:lang w:val="en-US"/>
        </w:rPr>
        <w:t>itivity</w:t>
      </w:r>
      <w:r w:rsidR="00E8428F" w:rsidRPr="00E04946">
        <w:rPr>
          <w:lang w:val="en-US"/>
        </w:rPr>
        <w:t xml:space="preserve"> analysis showed that procedur</w:t>
      </w:r>
      <w:r>
        <w:rPr>
          <w:lang w:val="en-US"/>
        </w:rPr>
        <w:t>al</w:t>
      </w:r>
      <w:r w:rsidR="00E8428F" w:rsidRPr="00E04946">
        <w:rPr>
          <w:lang w:val="en-US"/>
        </w:rPr>
        <w:t xml:space="preserve"> costs </w:t>
      </w:r>
      <w:r w:rsidR="00E8428F">
        <w:rPr>
          <w:lang w:val="en-US"/>
        </w:rPr>
        <w:t>(TAVI and SAVR)</w:t>
      </w:r>
      <w:r w:rsidR="00E8428F" w:rsidRPr="00E04946">
        <w:rPr>
          <w:lang w:val="en-US"/>
        </w:rPr>
        <w:t xml:space="preserve"> </w:t>
      </w:r>
      <w:r w:rsidR="00E8428F">
        <w:rPr>
          <w:lang w:val="en-US"/>
        </w:rPr>
        <w:t>had the greatest influence on model’s results</w:t>
      </w:r>
      <w:r w:rsidR="00E8428F" w:rsidRPr="00E04946">
        <w:rPr>
          <w:lang w:val="en-US"/>
        </w:rPr>
        <w:t xml:space="preserve">, followed by SAVR-associated AF risk. In contrast, variations in reintervention rates and costs had a more limited impact, with AF utility decrement having minimal influence. </w:t>
      </w:r>
      <w:r w:rsidR="00A80961">
        <w:rPr>
          <w:lang w:val="en-US"/>
        </w:rPr>
        <w:t xml:space="preserve">For example, when applying a scenario </w:t>
      </w:r>
      <w:r w:rsidR="00907739">
        <w:rPr>
          <w:lang w:val="en-US"/>
        </w:rPr>
        <w:t xml:space="preserve">with an increased </w:t>
      </w:r>
      <w:r w:rsidR="00A80961">
        <w:rPr>
          <w:lang w:val="en-US"/>
        </w:rPr>
        <w:t>TAVI reintervention rate (a RR of 1.08), the resulting</w:t>
      </w:r>
      <w:r w:rsidR="00765737">
        <w:rPr>
          <w:lang w:val="en-US"/>
        </w:rPr>
        <w:t xml:space="preserve"> deterministic</w:t>
      </w:r>
      <w:r w:rsidR="00A80961">
        <w:rPr>
          <w:lang w:val="en-US"/>
        </w:rPr>
        <w:t xml:space="preserve"> ICER remains below the £20,000</w:t>
      </w:r>
      <w:r w:rsidR="004D0B4C">
        <w:rPr>
          <w:lang w:val="en-US"/>
        </w:rPr>
        <w:t xml:space="preserve"> per </w:t>
      </w:r>
      <w:r w:rsidR="00A80961">
        <w:rPr>
          <w:lang w:val="en-US"/>
        </w:rPr>
        <w:t xml:space="preserve">QALY </w:t>
      </w:r>
      <w:r w:rsidR="004D0B4C">
        <w:rPr>
          <w:lang w:val="en-US"/>
        </w:rPr>
        <w:t xml:space="preserve">gained </w:t>
      </w:r>
      <w:r w:rsidR="00A80961">
        <w:rPr>
          <w:lang w:val="en-US"/>
        </w:rPr>
        <w:t xml:space="preserve">threshold. </w:t>
      </w:r>
      <w:r w:rsidR="00E8428F" w:rsidRPr="00E04946">
        <w:rPr>
          <w:lang w:val="en-US"/>
        </w:rPr>
        <w:t xml:space="preserve">These findings highlight that procedural costs and clinical complications drive the most </w:t>
      </w:r>
      <w:r w:rsidR="00E8428F">
        <w:rPr>
          <w:lang w:val="en-US"/>
        </w:rPr>
        <w:t>substantial</w:t>
      </w:r>
      <w:r w:rsidR="00E8428F" w:rsidRPr="00E04946">
        <w:rPr>
          <w:lang w:val="en-US"/>
        </w:rPr>
        <w:t xml:space="preserve"> changes</w:t>
      </w:r>
      <w:r w:rsidR="00E8428F">
        <w:rPr>
          <w:lang w:val="en-US"/>
        </w:rPr>
        <w:t xml:space="preserve"> when adjusting for </w:t>
      </w:r>
      <w:r w:rsidR="00E8428F" w:rsidRPr="00E04946">
        <w:rPr>
          <w:lang w:val="en-US"/>
        </w:rPr>
        <w:t>lower and upper limits.</w:t>
      </w:r>
      <w:r w:rsidR="00E8428F">
        <w:rPr>
          <w:lang w:val="en-US"/>
        </w:rPr>
        <w:t xml:space="preserve"> </w:t>
      </w:r>
    </w:p>
    <w:p w14:paraId="27E82902" w14:textId="589D6AC2" w:rsidR="006E07D2" w:rsidRDefault="00D420B2" w:rsidP="006324B0">
      <w:pPr>
        <w:spacing w:line="480" w:lineRule="auto"/>
      </w:pPr>
      <w:r>
        <w:t xml:space="preserve">The </w:t>
      </w:r>
      <w:r w:rsidRPr="001C2C98">
        <w:t xml:space="preserve">results </w:t>
      </w:r>
      <w:r>
        <w:t xml:space="preserve">of this study </w:t>
      </w:r>
      <w:r w:rsidRPr="001C2C98">
        <w:t>are</w:t>
      </w:r>
      <w:r w:rsidRPr="00B75DCF">
        <w:t xml:space="preserve"> aligned with a </w:t>
      </w:r>
      <w:r>
        <w:t>2024</w:t>
      </w:r>
      <w:r w:rsidRPr="00B75DCF">
        <w:t xml:space="preserve"> analysis based on 4-year follow-up data from the </w:t>
      </w:r>
      <w:proofErr w:type="spellStart"/>
      <w:r w:rsidRPr="00B75DCF">
        <w:t>Evolut</w:t>
      </w:r>
      <w:proofErr w:type="spellEnd"/>
      <w:r w:rsidRPr="00B75DCF">
        <w:t xml:space="preserve"> Low Risk trial</w:t>
      </w:r>
      <w:r>
        <w:t>, which found that TAVI is likely to be cost-effective in a UK setting [9]</w:t>
      </w:r>
      <w:r w:rsidRPr="00B75DCF">
        <w:t>.</w:t>
      </w:r>
      <w:r>
        <w:t xml:space="preserve"> </w:t>
      </w:r>
      <w:r w:rsidR="00CA691C">
        <w:t xml:space="preserve">The </w:t>
      </w:r>
      <w:proofErr w:type="spellStart"/>
      <w:r w:rsidR="00CA691C">
        <w:t>Evolut</w:t>
      </w:r>
      <w:proofErr w:type="spellEnd"/>
      <w:r w:rsidR="00CA691C">
        <w:t xml:space="preserve"> analysis showed that o</w:t>
      </w:r>
      <w:r w:rsidR="00CA691C" w:rsidRPr="00B75DCF">
        <w:t xml:space="preserve">ver </w:t>
      </w:r>
      <w:r w:rsidR="00CA691C">
        <w:t xml:space="preserve">a </w:t>
      </w:r>
      <w:r w:rsidR="00CA691C" w:rsidRPr="00B75DCF">
        <w:t xml:space="preserve">lifetime, TAVI was projected to add 0.28 incremental QALYs at </w:t>
      </w:r>
      <w:r w:rsidR="00CA691C">
        <w:t xml:space="preserve">an </w:t>
      </w:r>
      <w:r w:rsidR="00CA691C" w:rsidRPr="00B75DCF">
        <w:t xml:space="preserve">incremental cost of £5,021, resulting in an ICER of £17,883 per QALY gained. </w:t>
      </w:r>
      <w:r w:rsidR="00E14BAC">
        <w:t xml:space="preserve">The results </w:t>
      </w:r>
      <w:r w:rsidR="00A9030A" w:rsidRPr="00B75DCF">
        <w:t xml:space="preserve">are </w:t>
      </w:r>
      <w:r w:rsidR="00CA691C">
        <w:t xml:space="preserve">also </w:t>
      </w:r>
      <w:r w:rsidR="00A9030A" w:rsidRPr="00B75DCF">
        <w:t xml:space="preserve">consistent with </w:t>
      </w:r>
      <w:r w:rsidR="00AC5B40" w:rsidRPr="00B75DCF">
        <w:t>o</w:t>
      </w:r>
      <w:r w:rsidR="003A34DE" w:rsidRPr="00B75DCF">
        <w:t xml:space="preserve">ther analyses </w:t>
      </w:r>
      <w:r w:rsidR="003E0BAD">
        <w:t xml:space="preserve">that use the same two-stage model structure for </w:t>
      </w:r>
      <w:r w:rsidR="0063488E" w:rsidRPr="00B75DCF">
        <w:t xml:space="preserve">patients at </w:t>
      </w:r>
      <w:r w:rsidR="003A34DE" w:rsidRPr="00B75DCF">
        <w:t>low</w:t>
      </w:r>
      <w:r w:rsidR="0063488E" w:rsidRPr="00B75DCF">
        <w:t xml:space="preserve"> </w:t>
      </w:r>
      <w:r w:rsidR="0063488E" w:rsidRPr="00B75DCF">
        <w:lastRenderedPageBreak/>
        <w:t xml:space="preserve">surgical </w:t>
      </w:r>
      <w:r w:rsidR="003A34DE" w:rsidRPr="00B75DCF">
        <w:t xml:space="preserve">risk </w:t>
      </w:r>
      <w:r w:rsidR="00A01689" w:rsidRPr="00B75DCF">
        <w:t>in France</w:t>
      </w:r>
      <w:r w:rsidR="00B30BD1">
        <w:t xml:space="preserve"> [10]</w:t>
      </w:r>
      <w:r w:rsidR="00A01689" w:rsidRPr="00B75DCF">
        <w:t>, Italy</w:t>
      </w:r>
      <w:r w:rsidR="00B30BD1">
        <w:t xml:space="preserve"> [11]</w:t>
      </w:r>
      <w:r w:rsidR="00A01689" w:rsidRPr="00B75DCF">
        <w:t>, Spain</w:t>
      </w:r>
      <w:r w:rsidR="00B30BD1">
        <w:t xml:space="preserve"> [12]</w:t>
      </w:r>
      <w:r w:rsidR="00A01689" w:rsidRPr="00B75DCF">
        <w:t>, Germany</w:t>
      </w:r>
      <w:r w:rsidR="00B30BD1">
        <w:t xml:space="preserve"> [13]</w:t>
      </w:r>
      <w:r w:rsidR="00A01689" w:rsidRPr="00B75DCF">
        <w:t>, Belgium</w:t>
      </w:r>
      <w:r w:rsidR="00B30BD1">
        <w:t xml:space="preserve"> [14]</w:t>
      </w:r>
      <w:r w:rsidR="00A11351" w:rsidRPr="00B75DCF">
        <w:t xml:space="preserve">, </w:t>
      </w:r>
      <w:r w:rsidR="00A01689" w:rsidRPr="00B75DCF">
        <w:t>Netherlands</w:t>
      </w:r>
      <w:r w:rsidR="00B30BD1">
        <w:t xml:space="preserve"> [15]</w:t>
      </w:r>
      <w:r w:rsidR="00A11351" w:rsidRPr="00B75DCF">
        <w:t>, Sweden</w:t>
      </w:r>
      <w:r w:rsidR="00B30BD1">
        <w:t xml:space="preserve"> [16]</w:t>
      </w:r>
      <w:r w:rsidR="00A11351" w:rsidRPr="00B75DCF">
        <w:rPr>
          <w:rFonts w:cstheme="minorHAnsi"/>
        </w:rPr>
        <w:t xml:space="preserve"> and Switzerland</w:t>
      </w:r>
      <w:r w:rsidR="00B30BD1">
        <w:rPr>
          <w:rFonts w:cstheme="minorHAnsi"/>
        </w:rPr>
        <w:t xml:space="preserve"> [17]</w:t>
      </w:r>
      <w:r w:rsidR="00A01689" w:rsidRPr="00B75DCF">
        <w:t xml:space="preserve">. </w:t>
      </w:r>
      <w:r w:rsidR="003E0BAD">
        <w:t xml:space="preserve">Other cost-effectiveness analyses </w:t>
      </w:r>
      <w:r>
        <w:t xml:space="preserve">using PARTNER 3 data </w:t>
      </w:r>
      <w:r w:rsidR="003E0BAD">
        <w:t xml:space="preserve">report that SAPIEN 3 is cost effective: the Canadian ICER for SAPIEN 3 is CAN $27,196/QALY, the Australian ICER is AUS $3,521 [35, 36], and there is a 95% probability that the US ICER would be USD &lt;$50,000 [41]. </w:t>
      </w:r>
      <w:r w:rsidR="00A01689" w:rsidRPr="00B75DCF">
        <w:t xml:space="preserve">TAVI dominance has </w:t>
      </w:r>
      <w:r w:rsidR="003E0BAD">
        <w:t xml:space="preserve">also </w:t>
      </w:r>
      <w:r w:rsidR="00A01689" w:rsidRPr="00B75DCF">
        <w:t>been reported in Norway</w:t>
      </w:r>
      <w:r w:rsidR="00BC36AB">
        <w:t xml:space="preserve"> [39]</w:t>
      </w:r>
      <w:r w:rsidR="00A01689" w:rsidRPr="00B75DCF">
        <w:t xml:space="preserve"> and Ireland</w:t>
      </w:r>
      <w:r w:rsidR="00BC36AB">
        <w:t xml:space="preserve"> [40]</w:t>
      </w:r>
      <w:r w:rsidR="00A01689" w:rsidRPr="00B75DCF">
        <w:t>.</w:t>
      </w:r>
      <w:r w:rsidR="003C6110" w:rsidRPr="00B75DCF">
        <w:t xml:space="preserve"> </w:t>
      </w:r>
      <w:r w:rsidR="006324B0" w:rsidRPr="00B75DCF">
        <w:t>In a cost-effectiveness analysis of TAVI using SAPIEN 3 versus SAVR from a Japanese public healthcare payer perspective, in low-risk patients, the ICER for TAVI was ¥750,417/QALY, which was below the cost-effectiveness threshold of ¥5 million/QALY</w:t>
      </w:r>
      <w:r w:rsidR="00BC36AB">
        <w:t xml:space="preserve"> [42]</w:t>
      </w:r>
      <w:r w:rsidR="006324B0" w:rsidRPr="00B75DCF">
        <w:t xml:space="preserve">. </w:t>
      </w:r>
    </w:p>
    <w:p w14:paraId="7054C6F2" w14:textId="632BBF48" w:rsidR="00475AB2" w:rsidRPr="00B75DCF" w:rsidRDefault="00D420B2" w:rsidP="00BE0C2F">
      <w:pPr>
        <w:spacing w:line="480" w:lineRule="auto"/>
      </w:pPr>
      <w:r>
        <w:t xml:space="preserve">In comparison, the findings of this study are discrepant with those reported in the 2021 NICE HVD guidelines [5], which reported that TAVI was not a cost-effective option compared with SAVR in patients at low surgical risk of mortality. </w:t>
      </w:r>
      <w:r w:rsidR="00922AFB" w:rsidRPr="00B75DCF">
        <w:t xml:space="preserve">The NICE findings were </w:t>
      </w:r>
      <w:r>
        <w:t>primarily</w:t>
      </w:r>
      <w:r w:rsidR="00922AFB" w:rsidRPr="00B75DCF">
        <w:t xml:space="preserve"> driven by incremental QALY gains for TAVI (+0.024 QALYs) that appear to be very small compared with other published economic evaluations </w:t>
      </w:r>
      <w:r>
        <w:t xml:space="preserve">that use </w:t>
      </w:r>
      <w:r w:rsidRPr="00B75DCF">
        <w:t xml:space="preserve">1-year data </w:t>
      </w:r>
      <w:r>
        <w:t xml:space="preserve">from </w:t>
      </w:r>
      <w:r w:rsidRPr="00B75DCF">
        <w:t xml:space="preserve">the PARTNER 3 trial </w:t>
      </w:r>
      <w:r w:rsidR="00922AFB" w:rsidRPr="00B75DCF">
        <w:t>(+0.1 and +0.2 for the studies by Tam et al</w:t>
      </w:r>
      <w:r w:rsidR="00922AFB">
        <w:t xml:space="preserve"> [35]</w:t>
      </w:r>
      <w:r w:rsidR="00922AFB" w:rsidRPr="00B75DCF">
        <w:t xml:space="preserve"> and Zhou et al</w:t>
      </w:r>
      <w:r w:rsidR="00922AFB">
        <w:t xml:space="preserve"> [36]</w:t>
      </w:r>
      <w:r>
        <w:t>, respectively</w:t>
      </w:r>
      <w:r w:rsidR="00922AFB" w:rsidRPr="00B75DCF">
        <w:t>).</w:t>
      </w:r>
    </w:p>
    <w:p w14:paraId="6ED5EF38" w14:textId="7461A04B" w:rsidR="00BE0C2F" w:rsidRDefault="00922AFB" w:rsidP="00BE0C2F">
      <w:pPr>
        <w:spacing w:line="480" w:lineRule="auto"/>
      </w:pPr>
      <w:r w:rsidRPr="00B75DCF">
        <w:t>Concerns regarding these NICE results focus on several issues, namely</w:t>
      </w:r>
      <w:r w:rsidR="00BE0C2F">
        <w:t>:</w:t>
      </w:r>
      <w:r w:rsidRPr="00B75DCF">
        <w:t xml:space="preserve"> (</w:t>
      </w:r>
      <w:r w:rsidR="00BE0C2F">
        <w:t>1</w:t>
      </w:r>
      <w:r w:rsidRPr="00B75DCF">
        <w:t>) outdated assumptions not based on current TAVI practice, (</w:t>
      </w:r>
      <w:r w:rsidR="00BE0C2F">
        <w:t>2</w:t>
      </w:r>
      <w:r w:rsidRPr="00B75DCF">
        <w:t>) combining different valve generations (e.g. second and third), (</w:t>
      </w:r>
      <w:r w:rsidR="00BE0C2F">
        <w:t>3</w:t>
      </w:r>
      <w:r w:rsidRPr="00B75DCF">
        <w:t>) types of TAVI valves (balloon and self-expandable), (</w:t>
      </w:r>
      <w:r w:rsidR="00BE0C2F">
        <w:t>4</w:t>
      </w:r>
      <w:r w:rsidRPr="00B75DCF">
        <w:t>) indications (intermediate</w:t>
      </w:r>
      <w:r w:rsidR="00BE0C2F">
        <w:t>-</w:t>
      </w:r>
      <w:r w:rsidRPr="00B75DCF">
        <w:t xml:space="preserve"> and low-risk patients), and (</w:t>
      </w:r>
      <w:r w:rsidR="00BE0C2F">
        <w:t>5</w:t>
      </w:r>
      <w:r w:rsidRPr="00B75DCF">
        <w:t>) TAVI approaches (transfemoral and transapical). These concerns have been described elsewhere</w:t>
      </w:r>
      <w:r>
        <w:t xml:space="preserve"> [37]</w:t>
      </w:r>
      <w:r w:rsidRPr="00B75DCF">
        <w:t xml:space="preserve"> and raise uncertainty as to whether the results of the NICE methodology accurately reflect the QALY gains expected with the latest balloon-expandable technology (SAPIEN 3 and SAPIEN 3 Ultra). </w:t>
      </w:r>
    </w:p>
    <w:p w14:paraId="41002B36" w14:textId="77777777" w:rsidR="001C2C98" w:rsidRPr="00E04946" w:rsidRDefault="001C2C98" w:rsidP="00BE0C2F">
      <w:pPr>
        <w:spacing w:line="480" w:lineRule="auto"/>
        <w:rPr>
          <w:lang w:val="en-US"/>
        </w:rPr>
      </w:pPr>
      <w:r w:rsidRPr="00E04946">
        <w:rPr>
          <w:lang w:val="en-US"/>
        </w:rPr>
        <w:t>Given the continuous evolution of TAVI technology, policy decisions must be guided by the latest evidence on device iterations and procedural advancements. A recent review</w:t>
      </w:r>
      <w:r>
        <w:rPr>
          <w:lang w:val="en-US"/>
        </w:rPr>
        <w:t xml:space="preserve"> [38]</w:t>
      </w:r>
      <w:r w:rsidRPr="00E04946">
        <w:rPr>
          <w:lang w:val="en-US"/>
        </w:rPr>
        <w:t xml:space="preserve"> found that economic evaluations of TAVI often overlook learning effects, technological progress, and context-specific factors, leading to outdated or incomplete assessments. Incorporating these factors into </w:t>
      </w:r>
      <w:r w:rsidRPr="00E04946">
        <w:rPr>
          <w:lang w:val="en-US"/>
        </w:rPr>
        <w:lastRenderedPageBreak/>
        <w:t xml:space="preserve">policy frameworks is essential for accurate cost-effectiveness evaluations and </w:t>
      </w:r>
      <w:proofErr w:type="spellStart"/>
      <w:r w:rsidRPr="00E04946">
        <w:rPr>
          <w:lang w:val="en-US"/>
        </w:rPr>
        <w:t>optimi</w:t>
      </w:r>
      <w:r>
        <w:rPr>
          <w:lang w:val="en-US"/>
        </w:rPr>
        <w:t>s</w:t>
      </w:r>
      <w:r w:rsidRPr="00E04946">
        <w:rPr>
          <w:lang w:val="en-US"/>
        </w:rPr>
        <w:t>ed</w:t>
      </w:r>
      <w:proofErr w:type="spellEnd"/>
      <w:r w:rsidRPr="00E04946">
        <w:rPr>
          <w:lang w:val="en-US"/>
        </w:rPr>
        <w:t xml:space="preserve"> patient outcomes. As TAVI advances, economic models and reimbursement decisions must be regularly updated to reflect current clinical practice and innovation.</w:t>
      </w:r>
    </w:p>
    <w:p w14:paraId="36D8A4FE" w14:textId="7C22DE50" w:rsidR="00F168F3" w:rsidRDefault="003A34DE" w:rsidP="00F168F3">
      <w:pPr>
        <w:spacing w:line="480" w:lineRule="auto"/>
      </w:pPr>
      <w:bookmarkStart w:id="41" w:name="_Hlk193362969"/>
      <w:r w:rsidRPr="00B75DCF">
        <w:t xml:space="preserve">The results of this cost-effectiveness study in the UK support the use of TAVI as a minimally invasive treatment option in patients with </w:t>
      </w:r>
      <w:proofErr w:type="spellStart"/>
      <w:r w:rsidRPr="00B75DCF">
        <w:t>sSAS</w:t>
      </w:r>
      <w:proofErr w:type="spellEnd"/>
      <w:r w:rsidRPr="00B75DCF">
        <w:t xml:space="preserve"> at low risk of surgical mortality</w:t>
      </w:r>
      <w:r w:rsidR="00FC4A6A" w:rsidRPr="00B75DCF">
        <w:t xml:space="preserve">, especially when coupled with the </w:t>
      </w:r>
      <w:r w:rsidR="00BE0C2F">
        <w:t xml:space="preserve">substantial </w:t>
      </w:r>
      <w:r w:rsidR="009156ED" w:rsidRPr="00B75DCF">
        <w:t xml:space="preserve">clinical </w:t>
      </w:r>
      <w:r w:rsidR="00BE0C2F">
        <w:t>benefits</w:t>
      </w:r>
      <w:r w:rsidR="009156ED" w:rsidRPr="00B75DCF">
        <w:t xml:space="preserve"> </w:t>
      </w:r>
      <w:r w:rsidR="007F4927" w:rsidRPr="00B75DCF">
        <w:t>previously</w:t>
      </w:r>
      <w:r w:rsidR="009156ED" w:rsidRPr="00B75DCF">
        <w:t xml:space="preserve"> </w:t>
      </w:r>
      <w:r w:rsidR="00584982">
        <w:t>noted [21]</w:t>
      </w:r>
      <w:r w:rsidR="00DC56D0" w:rsidRPr="00B75DCF">
        <w:rPr>
          <w:rFonts w:cs="TimesNewRomanPSMT"/>
        </w:rPr>
        <w:t xml:space="preserve">. </w:t>
      </w:r>
      <w:r w:rsidR="00CC2142" w:rsidRPr="00B75DCF">
        <w:rPr>
          <w:rFonts w:cs="TimesNewRomanPSMT"/>
        </w:rPr>
        <w:t xml:space="preserve">From </w:t>
      </w:r>
      <w:r w:rsidR="00BE0C2F">
        <w:rPr>
          <w:rFonts w:cs="TimesNewRomanPSMT"/>
        </w:rPr>
        <w:t>a healthcare provider</w:t>
      </w:r>
      <w:r w:rsidR="00BE0C2F" w:rsidRPr="00B75DCF">
        <w:rPr>
          <w:rFonts w:cs="TimesNewRomanPSMT"/>
        </w:rPr>
        <w:t xml:space="preserve"> </w:t>
      </w:r>
      <w:r w:rsidR="00CC2142" w:rsidRPr="00B75DCF">
        <w:rPr>
          <w:rFonts w:cs="TimesNewRomanPSMT"/>
        </w:rPr>
        <w:t>perspective</w:t>
      </w:r>
      <w:r w:rsidR="00DC56D0" w:rsidRPr="00B75DCF">
        <w:rPr>
          <w:rFonts w:cs="TimesNewRomanPSMT"/>
        </w:rPr>
        <w:t xml:space="preserve">, </w:t>
      </w:r>
      <w:r w:rsidR="00BE0C2F">
        <w:rPr>
          <w:rFonts w:cs="TimesNewRomanPSMT"/>
        </w:rPr>
        <w:t xml:space="preserve">TAVIs </w:t>
      </w:r>
      <w:r w:rsidR="00DC56D0" w:rsidRPr="00B75DCF">
        <w:rPr>
          <w:rFonts w:cs="TimesNewRomanPSMT"/>
        </w:rPr>
        <w:t>improved</w:t>
      </w:r>
      <w:r w:rsidRPr="00B75DCF">
        <w:rPr>
          <w:rFonts w:cs="TimesNewRomanPSMT"/>
        </w:rPr>
        <w:t xml:space="preserve"> outcomes </w:t>
      </w:r>
      <w:r w:rsidR="00BE0C2F">
        <w:rPr>
          <w:rFonts w:cs="TimesNewRomanPSMT"/>
        </w:rPr>
        <w:t xml:space="preserve">and </w:t>
      </w:r>
      <w:r w:rsidRPr="00B75DCF">
        <w:rPr>
          <w:rFonts w:cs="TimesNewRomanPSMT"/>
        </w:rPr>
        <w:t>fewer complications</w:t>
      </w:r>
      <w:r w:rsidR="00DC56D0" w:rsidRPr="00B75DCF">
        <w:rPr>
          <w:rFonts w:cs="TimesNewRomanPSMT"/>
        </w:rPr>
        <w:t xml:space="preserve"> lead to</w:t>
      </w:r>
      <w:r w:rsidRPr="00B75DCF">
        <w:rPr>
          <w:rFonts w:cs="TimesNewRomanPSMT"/>
        </w:rPr>
        <w:t xml:space="preserve"> shorter hospital stays</w:t>
      </w:r>
      <w:r w:rsidR="00515CE1" w:rsidRPr="00B75DCF">
        <w:rPr>
          <w:rFonts w:cs="TimesNewRomanPSMT"/>
        </w:rPr>
        <w:t xml:space="preserve"> </w:t>
      </w:r>
      <w:r w:rsidR="00BE0C2F">
        <w:rPr>
          <w:rFonts w:cs="TimesNewRomanPSMT"/>
        </w:rPr>
        <w:t xml:space="preserve">and </w:t>
      </w:r>
      <w:r w:rsidR="001704C5" w:rsidRPr="00B75DCF">
        <w:rPr>
          <w:rFonts w:cs="TimesNewRomanPSMT"/>
        </w:rPr>
        <w:t>improved capacity,</w:t>
      </w:r>
      <w:r w:rsidR="00391A9B" w:rsidRPr="00B75DCF">
        <w:rPr>
          <w:rFonts w:cs="TimesNewRomanPSMT"/>
        </w:rPr>
        <w:t xml:space="preserve"> </w:t>
      </w:r>
      <w:r w:rsidR="00DC56D0" w:rsidRPr="00B75DCF">
        <w:rPr>
          <w:rFonts w:cs="TimesNewRomanPSMT"/>
        </w:rPr>
        <w:t>which will</w:t>
      </w:r>
      <w:r w:rsidR="00391A9B" w:rsidRPr="00B75DCF">
        <w:rPr>
          <w:rFonts w:cs="TimesNewRomanPSMT"/>
        </w:rPr>
        <w:t xml:space="preserve"> positive</w:t>
      </w:r>
      <w:r w:rsidR="00DC56D0" w:rsidRPr="00B75DCF">
        <w:rPr>
          <w:rFonts w:cs="TimesNewRomanPSMT"/>
        </w:rPr>
        <w:t>ly</w:t>
      </w:r>
      <w:r w:rsidR="00391A9B" w:rsidRPr="00B75DCF">
        <w:rPr>
          <w:rFonts w:cs="TimesNewRomanPSMT"/>
        </w:rPr>
        <w:t xml:space="preserve"> impact health</w:t>
      </w:r>
      <w:r w:rsidR="00D9383E" w:rsidRPr="00B75DCF">
        <w:rPr>
          <w:rFonts w:cs="TimesNewRomanPSMT"/>
        </w:rPr>
        <w:t>care</w:t>
      </w:r>
      <w:r w:rsidR="00391A9B" w:rsidRPr="00B75DCF">
        <w:rPr>
          <w:rFonts w:cs="TimesNewRomanPSMT"/>
        </w:rPr>
        <w:t xml:space="preserve"> systems</w:t>
      </w:r>
      <w:r w:rsidR="00BE0C2F">
        <w:rPr>
          <w:rFonts w:cs="TimesNewRomanPSMT"/>
        </w:rPr>
        <w:t xml:space="preserve"> – particularly </w:t>
      </w:r>
      <w:r w:rsidR="00DC56D0" w:rsidRPr="00B75DCF">
        <w:rPr>
          <w:rFonts w:cs="TimesNewRomanPSMT"/>
        </w:rPr>
        <w:t>those</w:t>
      </w:r>
      <w:r w:rsidR="00391A9B" w:rsidRPr="00B75DCF">
        <w:rPr>
          <w:rFonts w:cs="TimesNewRomanPSMT"/>
        </w:rPr>
        <w:t xml:space="preserve"> </w:t>
      </w:r>
      <w:r w:rsidR="000C14EF" w:rsidRPr="00B75DCF">
        <w:rPr>
          <w:rFonts w:cs="TimesNewRomanPSMT"/>
        </w:rPr>
        <w:t>with long waiting lists</w:t>
      </w:r>
      <w:r w:rsidR="00BE0C2F">
        <w:rPr>
          <w:rFonts w:cs="TimesNewRomanPSMT"/>
        </w:rPr>
        <w:t>.</w:t>
      </w:r>
      <w:r w:rsidR="00DC56D0" w:rsidRPr="00B75DCF">
        <w:rPr>
          <w:rFonts w:cs="TimesNewRomanPSMT"/>
        </w:rPr>
        <w:t xml:space="preserve"> </w:t>
      </w:r>
      <w:r w:rsidR="00BE0C2F">
        <w:rPr>
          <w:rFonts w:cs="TimesNewRomanPSMT"/>
        </w:rPr>
        <w:t>F</w:t>
      </w:r>
      <w:r w:rsidR="00DC56D0" w:rsidRPr="00B75DCF">
        <w:rPr>
          <w:rFonts w:cs="TimesNewRomanPSMT"/>
        </w:rPr>
        <w:t xml:space="preserve">or </w:t>
      </w:r>
      <w:r w:rsidRPr="00B75DCF">
        <w:t>policy makers</w:t>
      </w:r>
      <w:r w:rsidR="00BE0C2F">
        <w:t>,</w:t>
      </w:r>
      <w:r w:rsidR="00DC56D0" w:rsidRPr="00B75DCF">
        <w:t xml:space="preserve"> </w:t>
      </w:r>
      <w:r w:rsidR="00BE0C2F">
        <w:t xml:space="preserve">TAVI’s </w:t>
      </w:r>
      <w:r w:rsidRPr="00B75DCF">
        <w:t>cost-effectiveness</w:t>
      </w:r>
      <w:r w:rsidR="00DC56D0" w:rsidRPr="00B75DCF">
        <w:t xml:space="preserve"> represents</w:t>
      </w:r>
      <w:r w:rsidR="00DE2CAD" w:rsidRPr="00B75DCF">
        <w:t xml:space="preserve"> </w:t>
      </w:r>
      <w:r w:rsidR="00D92C3C" w:rsidRPr="00B75DCF">
        <w:t xml:space="preserve">good </w:t>
      </w:r>
      <w:r w:rsidR="00DE2CAD" w:rsidRPr="00B75DCF">
        <w:t>value for money</w:t>
      </w:r>
      <w:r w:rsidR="00DC56D0" w:rsidRPr="00B75DCF">
        <w:t>.</w:t>
      </w:r>
      <w:r w:rsidR="00F168F3">
        <w:t xml:space="preserve"> </w:t>
      </w:r>
    </w:p>
    <w:bookmarkEnd w:id="41"/>
    <w:p w14:paraId="36EBC05C" w14:textId="71C197A5" w:rsidR="00C13437" w:rsidRPr="0037080A" w:rsidRDefault="0037080A" w:rsidP="0081494F">
      <w:pPr>
        <w:keepNext/>
        <w:spacing w:line="480" w:lineRule="auto"/>
        <w:rPr>
          <w:b/>
          <w:bCs/>
          <w:i/>
          <w:iCs/>
        </w:rPr>
      </w:pPr>
      <w:r w:rsidRPr="0037080A">
        <w:rPr>
          <w:b/>
          <w:bCs/>
          <w:i/>
          <w:iCs/>
        </w:rPr>
        <w:t xml:space="preserve">4.1 </w:t>
      </w:r>
      <w:r w:rsidR="003A34DE" w:rsidRPr="0037080A">
        <w:rPr>
          <w:b/>
          <w:bCs/>
          <w:i/>
          <w:iCs/>
        </w:rPr>
        <w:t>Limitations</w:t>
      </w:r>
    </w:p>
    <w:p w14:paraId="7A3BA932" w14:textId="319F9E03" w:rsidR="00673F00" w:rsidRPr="00B75DCF" w:rsidRDefault="003A34DE" w:rsidP="00673F00">
      <w:pPr>
        <w:spacing w:line="480" w:lineRule="auto"/>
        <w:rPr>
          <w:rFonts w:cstheme="minorHAnsi"/>
        </w:rPr>
      </w:pPr>
      <w:r w:rsidRPr="00B75DCF">
        <w:rPr>
          <w:rFonts w:cstheme="minorHAnsi"/>
        </w:rPr>
        <w:t>There are some i</w:t>
      </w:r>
      <w:r w:rsidR="00BA1C8F" w:rsidRPr="00B75DCF">
        <w:rPr>
          <w:rFonts w:cstheme="minorHAnsi"/>
        </w:rPr>
        <w:t>nherent limitations of a cost-effectiveness model</w:t>
      </w:r>
      <w:r w:rsidR="00D9383E" w:rsidRPr="00B75DCF">
        <w:rPr>
          <w:rFonts w:cstheme="minorHAnsi"/>
        </w:rPr>
        <w:t>, which</w:t>
      </w:r>
      <w:r w:rsidR="00986ADA" w:rsidRPr="00B75DCF">
        <w:rPr>
          <w:rFonts w:cstheme="minorHAnsi"/>
        </w:rPr>
        <w:t xml:space="preserve"> include a</w:t>
      </w:r>
      <w:r w:rsidR="00BA1C8F" w:rsidRPr="00B75DCF">
        <w:rPr>
          <w:rFonts w:cstheme="minorHAnsi"/>
        </w:rPr>
        <w:t>ssumptions made in the presence of ‘best fit’ data or paucity of data</w:t>
      </w:r>
      <w:r w:rsidR="00986ADA" w:rsidRPr="00B75DCF">
        <w:rPr>
          <w:rFonts w:cstheme="minorHAnsi"/>
        </w:rPr>
        <w:t>, e</w:t>
      </w:r>
      <w:r w:rsidR="00BA1C8F" w:rsidRPr="00B75DCF">
        <w:rPr>
          <w:rFonts w:cstheme="minorHAnsi"/>
        </w:rPr>
        <w:t>xtrapolations into time horizons that are modelled beyond the scope of existing input data</w:t>
      </w:r>
      <w:r w:rsidR="00986ADA" w:rsidRPr="00B75DCF">
        <w:rPr>
          <w:rFonts w:cstheme="minorHAnsi"/>
        </w:rPr>
        <w:t>, and u</w:t>
      </w:r>
      <w:r w:rsidR="00BA1C8F" w:rsidRPr="00B75DCF">
        <w:rPr>
          <w:rFonts w:cstheme="minorHAnsi"/>
        </w:rPr>
        <w:t>nder- and over</w:t>
      </w:r>
      <w:r w:rsidR="00986ADA" w:rsidRPr="00B75DCF">
        <w:rPr>
          <w:rFonts w:cstheme="minorHAnsi"/>
        </w:rPr>
        <w:t>-</w:t>
      </w:r>
      <w:r w:rsidR="00BA1C8F" w:rsidRPr="00B75DCF">
        <w:rPr>
          <w:rFonts w:cstheme="minorHAnsi"/>
        </w:rPr>
        <w:t xml:space="preserve">estimations potentially caused by differences in healthcare systems or by the criteria for intervention and treatment selection within </w:t>
      </w:r>
      <w:r w:rsidR="0001624D" w:rsidRPr="00B75DCF">
        <w:rPr>
          <w:rFonts w:cstheme="minorHAnsi"/>
        </w:rPr>
        <w:t xml:space="preserve">a </w:t>
      </w:r>
      <w:r w:rsidR="00BA1C8F" w:rsidRPr="00B75DCF">
        <w:rPr>
          <w:rFonts w:cstheme="minorHAnsi"/>
        </w:rPr>
        <w:t>specific system</w:t>
      </w:r>
      <w:r w:rsidR="00986ADA" w:rsidRPr="00B75DCF">
        <w:rPr>
          <w:rFonts w:cstheme="minorHAnsi"/>
        </w:rPr>
        <w:t>.</w:t>
      </w:r>
      <w:r w:rsidR="00B96064" w:rsidRPr="00B75DCF">
        <w:rPr>
          <w:rFonts w:cstheme="minorHAnsi"/>
        </w:rPr>
        <w:t xml:space="preserve"> In addition to this, there is the trade-off between capturing the full real-world </w:t>
      </w:r>
      <w:r w:rsidR="00BA01F8" w:rsidRPr="00B75DCF">
        <w:rPr>
          <w:rFonts w:cstheme="minorHAnsi"/>
        </w:rPr>
        <w:t xml:space="preserve">patient </w:t>
      </w:r>
      <w:r w:rsidR="00B96064" w:rsidRPr="00B75DCF">
        <w:rPr>
          <w:rFonts w:cstheme="minorHAnsi"/>
        </w:rPr>
        <w:t>pathway and ensuring the model does not become overly complex. For example, the number of Markov health states was limited to three (excluding death) to reduce the required number of assumptions around transition probabilities. This means</w:t>
      </w:r>
      <w:r w:rsidR="00BA01F8" w:rsidRPr="00B75DCF">
        <w:rPr>
          <w:rFonts w:cstheme="minorHAnsi"/>
        </w:rPr>
        <w:t xml:space="preserve"> that</w:t>
      </w:r>
      <w:r w:rsidR="00B96064" w:rsidRPr="00B75DCF">
        <w:rPr>
          <w:rFonts w:cstheme="minorHAnsi"/>
        </w:rPr>
        <w:t xml:space="preserve"> potential health states that did not </w:t>
      </w:r>
      <w:r w:rsidR="00BA01F8" w:rsidRPr="00B75DCF">
        <w:rPr>
          <w:rFonts w:cstheme="minorHAnsi"/>
        </w:rPr>
        <w:t>report</w:t>
      </w:r>
      <w:r w:rsidR="00B96064" w:rsidRPr="00B75DCF">
        <w:rPr>
          <w:rFonts w:cstheme="minorHAnsi"/>
        </w:rPr>
        <w:t xml:space="preserve"> statistically significant differences between arms of the PARTNER 3 trial</w:t>
      </w:r>
      <w:r w:rsidR="00BA01F8" w:rsidRPr="00B75DCF">
        <w:rPr>
          <w:rFonts w:cstheme="minorHAnsi"/>
        </w:rPr>
        <w:t>,</w:t>
      </w:r>
      <w:r w:rsidR="00B96064" w:rsidRPr="00B75DCF">
        <w:rPr>
          <w:rFonts w:cstheme="minorHAnsi"/>
        </w:rPr>
        <w:t xml:space="preserve"> such as permanent pacemaker (which was instead included as a short-term event) and</w:t>
      </w:r>
      <w:r w:rsidR="00BA01F8" w:rsidRPr="00B75DCF">
        <w:rPr>
          <w:rFonts w:cstheme="minorHAnsi"/>
        </w:rPr>
        <w:t xml:space="preserve"> moderate/severe</w:t>
      </w:r>
      <w:r w:rsidR="00B96064" w:rsidRPr="00B75DCF">
        <w:rPr>
          <w:rFonts w:cstheme="minorHAnsi"/>
        </w:rPr>
        <w:t xml:space="preserve"> paravalvular leak</w:t>
      </w:r>
      <w:r w:rsidR="00BA01F8" w:rsidRPr="00B75DCF">
        <w:rPr>
          <w:rFonts w:cstheme="minorHAnsi"/>
        </w:rPr>
        <w:t xml:space="preserve">, were not included in the Markov model. </w:t>
      </w:r>
    </w:p>
    <w:p w14:paraId="1FD38FBC" w14:textId="6A1A20F4" w:rsidR="008847C9" w:rsidRDefault="003A34DE" w:rsidP="00573DF8">
      <w:pPr>
        <w:spacing w:line="480" w:lineRule="auto"/>
        <w:rPr>
          <w:rFonts w:cstheme="minorHAnsi"/>
        </w:rPr>
      </w:pPr>
      <w:r w:rsidRPr="00B75DCF">
        <w:rPr>
          <w:rFonts w:cstheme="minorHAnsi"/>
        </w:rPr>
        <w:t xml:space="preserve">The </w:t>
      </w:r>
      <w:r w:rsidR="00D9383E" w:rsidRPr="00B75DCF">
        <w:rPr>
          <w:rFonts w:cstheme="minorHAnsi"/>
        </w:rPr>
        <w:t>findings</w:t>
      </w:r>
      <w:r w:rsidR="00BA1C8F" w:rsidRPr="00B75DCF">
        <w:rPr>
          <w:rFonts w:cstheme="minorHAnsi"/>
        </w:rPr>
        <w:t xml:space="preserve"> </w:t>
      </w:r>
      <w:r w:rsidRPr="00B75DCF">
        <w:rPr>
          <w:rFonts w:cstheme="minorHAnsi"/>
        </w:rPr>
        <w:t xml:space="preserve">of this analysis </w:t>
      </w:r>
      <w:r w:rsidR="00BA1C8F" w:rsidRPr="00B75DCF">
        <w:rPr>
          <w:rFonts w:cstheme="minorHAnsi"/>
        </w:rPr>
        <w:t>cannot be generalised to the overall aortic stenosis population because patients with some high-risk features</w:t>
      </w:r>
      <w:r w:rsidR="00110CAA" w:rsidRPr="00B75DCF">
        <w:rPr>
          <w:rFonts w:cstheme="minorHAnsi"/>
        </w:rPr>
        <w:t>,</w:t>
      </w:r>
      <w:r w:rsidR="00BA1C8F" w:rsidRPr="00B75DCF">
        <w:rPr>
          <w:rFonts w:cstheme="minorHAnsi"/>
        </w:rPr>
        <w:t xml:space="preserve"> such as annular calcification and unfavourable coronary anatomy</w:t>
      </w:r>
      <w:r w:rsidR="00110CAA" w:rsidRPr="00B75DCF">
        <w:rPr>
          <w:rFonts w:cstheme="minorHAnsi"/>
        </w:rPr>
        <w:t>,</w:t>
      </w:r>
      <w:r w:rsidR="00BA1C8F" w:rsidRPr="00B75DCF">
        <w:rPr>
          <w:rFonts w:cstheme="minorHAnsi"/>
        </w:rPr>
        <w:t xml:space="preserve"> were excluded from </w:t>
      </w:r>
      <w:r w:rsidRPr="00B75DCF">
        <w:rPr>
          <w:rFonts w:cstheme="minorHAnsi"/>
        </w:rPr>
        <w:t xml:space="preserve">the </w:t>
      </w:r>
      <w:r w:rsidR="00BA1C8F" w:rsidRPr="00B75DCF">
        <w:rPr>
          <w:rFonts w:cstheme="minorHAnsi"/>
        </w:rPr>
        <w:t>PARTNER 3</w:t>
      </w:r>
      <w:r w:rsidRPr="00B75DCF">
        <w:rPr>
          <w:rFonts w:cstheme="minorHAnsi"/>
        </w:rPr>
        <w:t xml:space="preserve"> trial. </w:t>
      </w:r>
      <w:r w:rsidR="008847C9">
        <w:rPr>
          <w:rFonts w:cstheme="minorHAnsi"/>
        </w:rPr>
        <w:t xml:space="preserve">This can also be said for people with bicuspid AS due to them being excluded from the PARTNER 3 trial. There is currently mixed evidence of the </w:t>
      </w:r>
      <w:r w:rsidR="008847C9">
        <w:rPr>
          <w:rFonts w:cstheme="minorHAnsi"/>
        </w:rPr>
        <w:lastRenderedPageBreak/>
        <w:t xml:space="preserve">safety of TAVI for bicuspid patients, with </w:t>
      </w:r>
      <w:r w:rsidR="008002EF">
        <w:rPr>
          <w:rFonts w:cstheme="minorHAnsi"/>
        </w:rPr>
        <w:t>promising</w:t>
      </w:r>
      <w:r w:rsidR="008847C9">
        <w:rPr>
          <w:rFonts w:cstheme="minorHAnsi"/>
        </w:rPr>
        <w:t xml:space="preserve"> results for SAPI</w:t>
      </w:r>
      <w:r w:rsidR="00B3424A">
        <w:rPr>
          <w:rFonts w:cstheme="minorHAnsi"/>
        </w:rPr>
        <w:t>E</w:t>
      </w:r>
      <w:r w:rsidR="008847C9">
        <w:rPr>
          <w:rFonts w:cstheme="minorHAnsi"/>
        </w:rPr>
        <w:t xml:space="preserve">N 3 </w:t>
      </w:r>
      <w:r w:rsidR="008002EF">
        <w:rPr>
          <w:rFonts w:cstheme="minorHAnsi"/>
        </w:rPr>
        <w:t>[46],</w:t>
      </w:r>
      <w:r w:rsidR="008847C9">
        <w:rPr>
          <w:rFonts w:cstheme="minorHAnsi"/>
        </w:rPr>
        <w:t xml:space="preserve"> but pessimistic results when studied </w:t>
      </w:r>
      <w:r w:rsidR="006A41D3">
        <w:rPr>
          <w:rFonts w:cstheme="minorHAnsi"/>
        </w:rPr>
        <w:t>across multiple valve types</w:t>
      </w:r>
      <w:r w:rsidR="008002EF">
        <w:rPr>
          <w:rFonts w:cstheme="minorHAnsi"/>
        </w:rPr>
        <w:t xml:space="preserve"> [47]</w:t>
      </w:r>
      <w:r w:rsidR="008847C9">
        <w:rPr>
          <w:rFonts w:cstheme="minorHAnsi"/>
        </w:rPr>
        <w:t>. Further research needs to be undertaken before concluding whether SAPIEN 3 can be used in this subgroup.</w:t>
      </w:r>
    </w:p>
    <w:p w14:paraId="3D12280B" w14:textId="0BA35615" w:rsidR="00D7077F" w:rsidRDefault="00D7077F" w:rsidP="00573DF8">
      <w:pPr>
        <w:spacing w:line="480" w:lineRule="auto"/>
        <w:rPr>
          <w:rFonts w:cstheme="minorHAnsi"/>
        </w:rPr>
      </w:pPr>
      <w:r>
        <w:rPr>
          <w:rFonts w:cstheme="minorHAnsi"/>
        </w:rPr>
        <w:t>Similarly, the</w:t>
      </w:r>
      <w:r w:rsidR="00601B31">
        <w:rPr>
          <w:rFonts w:cstheme="minorHAnsi"/>
        </w:rPr>
        <w:t xml:space="preserve"> results</w:t>
      </w:r>
      <w:r>
        <w:rPr>
          <w:rFonts w:cstheme="minorHAnsi"/>
        </w:rPr>
        <w:t xml:space="preserve"> cannot be generalised to different age groups (such as those under 65) due to the mean age in the PARTNER 3 study being 73 </w:t>
      </w:r>
      <w:r w:rsidR="00322AF8">
        <w:rPr>
          <w:rFonts w:cstheme="minorHAnsi"/>
        </w:rPr>
        <w:t>±</w:t>
      </w:r>
      <w:r>
        <w:rPr>
          <w:rFonts w:cstheme="minorHAnsi"/>
        </w:rPr>
        <w:t xml:space="preserve"> 5.95. </w:t>
      </w:r>
      <w:r w:rsidR="002C4D39" w:rsidRPr="00B75DCF">
        <w:t>Uncertainty about the longer-term durability of the TAVI device and consequent re-intervention rates in younger patients cannot be disregarded. Finally, c</w:t>
      </w:r>
      <w:r w:rsidR="002C4D39" w:rsidRPr="00B75DCF">
        <w:rPr>
          <w:rFonts w:cstheme="minorHAnsi"/>
        </w:rPr>
        <w:t xml:space="preserve">are needs to be taken when attempting to generalise any findings to populations outside the UK </w:t>
      </w:r>
      <w:proofErr w:type="gramStart"/>
      <w:r w:rsidR="002C4D39" w:rsidRPr="00B75DCF">
        <w:rPr>
          <w:rFonts w:cstheme="minorHAnsi"/>
        </w:rPr>
        <w:t>and also</w:t>
      </w:r>
      <w:proofErr w:type="gramEnd"/>
      <w:r w:rsidR="002C4D39" w:rsidRPr="00B75DCF">
        <w:rPr>
          <w:rFonts w:cstheme="minorHAnsi"/>
        </w:rPr>
        <w:t xml:space="preserve"> outside of TAVI using the SAPIEN 3 valve as other TAVI devices have not demonstrated such clinical and economic benefits.</w:t>
      </w:r>
    </w:p>
    <w:p w14:paraId="66B9AA1A" w14:textId="4C1FD42D" w:rsidR="009B137E" w:rsidRDefault="002C4D39" w:rsidP="00573DF8">
      <w:pPr>
        <w:spacing w:line="480" w:lineRule="auto"/>
      </w:pPr>
      <w:r>
        <w:rPr>
          <w:rFonts w:cstheme="minorHAnsi"/>
        </w:rPr>
        <w:t>One</w:t>
      </w:r>
      <w:r w:rsidR="00D7077F">
        <w:rPr>
          <w:rFonts w:cstheme="minorHAnsi"/>
        </w:rPr>
        <w:t xml:space="preserve"> further limitation is that t</w:t>
      </w:r>
      <w:r w:rsidR="003A34DE" w:rsidRPr="00B75DCF">
        <w:rPr>
          <w:rFonts w:cstheme="minorHAnsi"/>
        </w:rPr>
        <w:t>he s</w:t>
      </w:r>
      <w:r w:rsidR="00050640" w:rsidRPr="00B75DCF">
        <w:t>urvival analysis</w:t>
      </w:r>
      <w:r w:rsidR="009B137E">
        <w:t xml:space="preserve"> scenario</w:t>
      </w:r>
      <w:r w:rsidR="00050640" w:rsidRPr="00B75DCF">
        <w:t xml:space="preserve"> </w:t>
      </w:r>
      <w:r w:rsidR="009B137E">
        <w:t>(</w:t>
      </w:r>
      <w:r>
        <w:t xml:space="preserve">mortality option 2, </w:t>
      </w:r>
      <w:r w:rsidR="00050640" w:rsidRPr="00B75DCF">
        <w:t>based on K</w:t>
      </w:r>
      <w:r w:rsidR="003A34DE" w:rsidRPr="00B75DCF">
        <w:t>aplan-</w:t>
      </w:r>
      <w:r w:rsidR="00050640" w:rsidRPr="00B75DCF">
        <w:t>M</w:t>
      </w:r>
      <w:r w:rsidR="003A34DE" w:rsidRPr="00B75DCF">
        <w:t>eier</w:t>
      </w:r>
      <w:r w:rsidR="00050640" w:rsidRPr="00B75DCF">
        <w:t xml:space="preserve"> estimates at 5</w:t>
      </w:r>
      <w:r w:rsidR="003A34DE" w:rsidRPr="00B75DCF">
        <w:t>-</w:t>
      </w:r>
      <w:r w:rsidR="00050640" w:rsidRPr="00B75DCF">
        <w:t>y</w:t>
      </w:r>
      <w:r w:rsidR="003A34DE" w:rsidRPr="00B75DCF">
        <w:t>ears</w:t>
      </w:r>
      <w:r w:rsidR="00050640" w:rsidRPr="00B75DCF">
        <w:t xml:space="preserve"> from the PARTNER 3 </w:t>
      </w:r>
      <w:r w:rsidR="003A34DE" w:rsidRPr="00B75DCF">
        <w:t>trial</w:t>
      </w:r>
      <w:r w:rsidR="009B137E">
        <w:t>)</w:t>
      </w:r>
      <w:r w:rsidR="00050640" w:rsidRPr="00B75DCF">
        <w:t xml:space="preserve"> </w:t>
      </w:r>
      <w:r w:rsidR="009B137E">
        <w:t>was required to be</w:t>
      </w:r>
      <w:r w:rsidR="009B137E" w:rsidRPr="00B75DCF">
        <w:t xml:space="preserve"> </w:t>
      </w:r>
      <w:r w:rsidR="00D349F9">
        <w:t xml:space="preserve">adjusted by </w:t>
      </w:r>
      <w:r w:rsidR="00050640" w:rsidRPr="00B75DCF">
        <w:t>the general population mortality</w:t>
      </w:r>
      <w:r w:rsidR="009B137E">
        <w:t xml:space="preserve"> due to the trial having few events in both arms</w:t>
      </w:r>
      <w:r w:rsidR="00050640" w:rsidRPr="00B75DCF">
        <w:t xml:space="preserve">. When </w:t>
      </w:r>
      <w:r w:rsidR="009B137E">
        <w:t>this</w:t>
      </w:r>
      <w:r w:rsidR="00050640" w:rsidRPr="00B75DCF">
        <w:t xml:space="preserve"> approach is selected, the </w:t>
      </w:r>
      <w:r w:rsidR="003723E9" w:rsidRPr="00B75DCF">
        <w:t>relative risks of death associated to</w:t>
      </w:r>
      <w:r w:rsidR="00050640" w:rsidRPr="00B75DCF">
        <w:t xml:space="preserve"> </w:t>
      </w:r>
      <w:r w:rsidR="00E862C4" w:rsidRPr="00B75DCF">
        <w:t>treated</w:t>
      </w:r>
      <w:r w:rsidR="00050640" w:rsidRPr="00B75DCF">
        <w:t xml:space="preserve"> AF </w:t>
      </w:r>
      <w:r w:rsidR="00E862C4" w:rsidRPr="00B75DCF">
        <w:t xml:space="preserve">and disabling stroke </w:t>
      </w:r>
      <w:r w:rsidR="00050640" w:rsidRPr="00B75DCF">
        <w:t xml:space="preserve">are not included, so people live very slightly longer, reducing the difference in incremental outcomes between TAVI and SAVR </w:t>
      </w:r>
      <w:r w:rsidR="00F1676C" w:rsidRPr="00B75DCF">
        <w:t>moderately</w:t>
      </w:r>
      <w:r w:rsidR="00050640" w:rsidRPr="00B75DCF">
        <w:t xml:space="preserve">. </w:t>
      </w:r>
      <w:r w:rsidR="000A3911">
        <w:t xml:space="preserve">However, both </w:t>
      </w:r>
      <w:r>
        <w:t xml:space="preserve">mortality </w:t>
      </w:r>
      <w:r w:rsidR="000A3911">
        <w:t>approaches led to similar survival outcomes at both five and ten years (</w:t>
      </w:r>
      <w:r>
        <w:t xml:space="preserve">Supplementary </w:t>
      </w:r>
      <w:r w:rsidR="000A3911">
        <w:t>Figure S2). This aligns with a meta-analysis conducted by Lerman et al.</w:t>
      </w:r>
      <w:r w:rsidR="009B137E">
        <w:t xml:space="preserve"> </w:t>
      </w:r>
      <w:r w:rsidR="008002EF">
        <w:t>[48]</w:t>
      </w:r>
      <w:r w:rsidR="009B137E">
        <w:t xml:space="preserve">. </w:t>
      </w:r>
      <w:r>
        <w:t>Further, whilst the use of this option increases the ICER, it is still within the £20,000 to £30,000/QALY WTP range.</w:t>
      </w:r>
    </w:p>
    <w:p w14:paraId="71BF721E" w14:textId="62AB5E2F" w:rsidR="00634956" w:rsidRDefault="00634956" w:rsidP="00573DF8">
      <w:pPr>
        <w:spacing w:line="480" w:lineRule="auto"/>
      </w:pPr>
      <w:r>
        <w:t xml:space="preserve">It should also be noted that the PARTNER 3 trial Kaplan-Meier curves cross (by year 5 SAVR survival is </w:t>
      </w:r>
      <w:r w:rsidR="004262B2">
        <w:t xml:space="preserve">1.8% </w:t>
      </w:r>
      <w:r>
        <w:t>higher than TAVI), which sugges</w:t>
      </w:r>
      <w:r w:rsidR="00C80E0D">
        <w:t>ts</w:t>
      </w:r>
      <w:r>
        <w:t xml:space="preserve"> that it </w:t>
      </w:r>
      <w:r w:rsidR="004262B2">
        <w:t>could be</w:t>
      </w:r>
      <w:r>
        <w:t xml:space="preserve"> a strong assumption to have a lifetime survival benefit for TAVI</w:t>
      </w:r>
      <w:r w:rsidR="004262B2">
        <w:t xml:space="preserve"> [21]</w:t>
      </w:r>
      <w:r>
        <w:t xml:space="preserve">. However, </w:t>
      </w:r>
      <w:r w:rsidR="004262B2">
        <w:t>the</w:t>
      </w:r>
      <w:r>
        <w:t xml:space="preserve"> event numbers in each arm</w:t>
      </w:r>
      <w:r w:rsidR="004262B2">
        <w:t xml:space="preserve"> are not </w:t>
      </w:r>
      <w:r w:rsidR="00254EA8">
        <w:t>high</w:t>
      </w:r>
      <w:r w:rsidR="004262B2">
        <w:t xml:space="preserve"> enough to draw a strong conclusion from the trial data alone</w:t>
      </w:r>
      <w:r>
        <w:t xml:space="preserve">, and </w:t>
      </w:r>
      <w:r w:rsidR="004262B2">
        <w:t xml:space="preserve">the deaths included non-cardiovascular related deaths, including </w:t>
      </w:r>
      <w:r w:rsidR="00254EA8">
        <w:t>those</w:t>
      </w:r>
      <w:r w:rsidR="004262B2">
        <w:t xml:space="preserve"> caused by COVID-19 [21].</w:t>
      </w:r>
      <w:r w:rsidR="00C75DDA">
        <w:t xml:space="preserve"> </w:t>
      </w:r>
      <w:r w:rsidR="00254EA8">
        <w:t>This further justifies the use of literature values over the PARTNER 3 trial data for modelling mortality.</w:t>
      </w:r>
    </w:p>
    <w:p w14:paraId="2F96932D" w14:textId="3394D74C" w:rsidR="00882C6C" w:rsidRPr="0037080A" w:rsidRDefault="0037080A" w:rsidP="004463A0">
      <w:pPr>
        <w:spacing w:line="480" w:lineRule="auto"/>
        <w:rPr>
          <w:b/>
          <w:bCs/>
        </w:rPr>
      </w:pPr>
      <w:r w:rsidRPr="0037080A">
        <w:rPr>
          <w:b/>
          <w:bCs/>
        </w:rPr>
        <w:t xml:space="preserve">5 </w:t>
      </w:r>
      <w:r w:rsidR="003A34DE" w:rsidRPr="0037080A">
        <w:rPr>
          <w:b/>
          <w:bCs/>
        </w:rPr>
        <w:t>Conclusions</w:t>
      </w:r>
    </w:p>
    <w:p w14:paraId="319AEEF1" w14:textId="776A8A8D" w:rsidR="00992427" w:rsidRDefault="003A34DE" w:rsidP="00573DF8">
      <w:pPr>
        <w:spacing w:line="480" w:lineRule="auto"/>
      </w:pPr>
      <w:r w:rsidRPr="00B75DCF">
        <w:lastRenderedPageBreak/>
        <w:t xml:space="preserve">Using 5-year data from the PARTNER 3 trial, </w:t>
      </w:r>
      <w:r w:rsidR="00573DF8" w:rsidRPr="00B75DCF">
        <w:t>this</w:t>
      </w:r>
      <w:r w:rsidRPr="00B75DCF">
        <w:t xml:space="preserve"> </w:t>
      </w:r>
      <w:r w:rsidRPr="00BF62D1">
        <w:t xml:space="preserve">model estimates </w:t>
      </w:r>
      <w:r w:rsidR="006B6727" w:rsidRPr="00BF62D1">
        <w:t xml:space="preserve">that TAVI with SAPIEN 3 </w:t>
      </w:r>
      <w:r w:rsidR="00D349F9" w:rsidRPr="00BF62D1">
        <w:t>has a</w:t>
      </w:r>
      <w:r w:rsidR="00BF62D1" w:rsidRPr="00E973CC">
        <w:t xml:space="preserve"> </w:t>
      </w:r>
      <w:r w:rsidR="004C0E9E">
        <w:t>63</w:t>
      </w:r>
      <w:r w:rsidR="00BF62D1" w:rsidRPr="00E973CC">
        <w:t xml:space="preserve">% to </w:t>
      </w:r>
      <w:r w:rsidR="004C0E9E">
        <w:t>9</w:t>
      </w:r>
      <w:r w:rsidR="00EF6260">
        <w:t>0</w:t>
      </w:r>
      <w:r w:rsidR="00BF62D1" w:rsidRPr="00E973CC">
        <w:t>%</w:t>
      </w:r>
      <w:r w:rsidR="00D349F9" w:rsidRPr="00BF62D1">
        <w:t xml:space="preserve"> probability of being cost</w:t>
      </w:r>
      <w:r w:rsidR="00D517D1">
        <w:t xml:space="preserve"> </w:t>
      </w:r>
      <w:r w:rsidR="00D349F9" w:rsidRPr="00BF62D1">
        <w:t>effective</w:t>
      </w:r>
      <w:r w:rsidR="006B6727" w:rsidRPr="00BF62D1">
        <w:t xml:space="preserve"> versus SAVR in low-risk patients with </w:t>
      </w:r>
      <w:proofErr w:type="spellStart"/>
      <w:r w:rsidR="006B6727" w:rsidRPr="00BF62D1">
        <w:t>sSAS</w:t>
      </w:r>
      <w:proofErr w:type="spellEnd"/>
      <w:r w:rsidR="006B6727" w:rsidRPr="00BF62D1">
        <w:t xml:space="preserve"> </w:t>
      </w:r>
      <w:r w:rsidR="00D349F9" w:rsidRPr="00BF62D1">
        <w:rPr>
          <w:rFonts w:cstheme="minorHAnsi"/>
        </w:rPr>
        <w:t>when using the £20,000</w:t>
      </w:r>
      <w:r w:rsidR="00BF62D1" w:rsidRPr="00BF62D1">
        <w:rPr>
          <w:rFonts w:cstheme="minorHAnsi"/>
        </w:rPr>
        <w:t xml:space="preserve"> </w:t>
      </w:r>
      <w:r w:rsidR="004C0E9E">
        <w:rPr>
          <w:rFonts w:cstheme="minorHAnsi"/>
        </w:rPr>
        <w:t>to</w:t>
      </w:r>
      <w:r w:rsidR="00BF62D1" w:rsidRPr="00BF62D1">
        <w:rPr>
          <w:rFonts w:cstheme="minorHAnsi"/>
        </w:rPr>
        <w:t xml:space="preserve"> £30,000</w:t>
      </w:r>
      <w:r w:rsidR="00D349F9" w:rsidRPr="00BF62D1">
        <w:rPr>
          <w:rFonts w:cstheme="minorHAnsi"/>
        </w:rPr>
        <w:t xml:space="preserve"> per QALY</w:t>
      </w:r>
      <w:r w:rsidR="00A17905" w:rsidRPr="00BF62D1">
        <w:rPr>
          <w:rFonts w:cstheme="minorHAnsi"/>
        </w:rPr>
        <w:t xml:space="preserve"> </w:t>
      </w:r>
      <w:r w:rsidR="00573DF8" w:rsidRPr="00BF62D1">
        <w:rPr>
          <w:rFonts w:cstheme="minorHAnsi"/>
        </w:rPr>
        <w:t xml:space="preserve">WTP </w:t>
      </w:r>
      <w:r w:rsidR="00A17905" w:rsidRPr="00BF62D1">
        <w:rPr>
          <w:rFonts w:cstheme="minorHAnsi"/>
        </w:rPr>
        <w:t xml:space="preserve">threshold of the </w:t>
      </w:r>
      <w:r w:rsidR="00110CAA" w:rsidRPr="00BF62D1">
        <w:rPr>
          <w:rFonts w:cstheme="minorHAnsi"/>
        </w:rPr>
        <w:t xml:space="preserve">UK </w:t>
      </w:r>
      <w:r w:rsidR="00A17905" w:rsidRPr="00BF62D1">
        <w:rPr>
          <w:rFonts w:cstheme="minorHAnsi"/>
        </w:rPr>
        <w:t>healthcare system</w:t>
      </w:r>
      <w:r w:rsidR="00D349F9" w:rsidRPr="00BF62D1">
        <w:rPr>
          <w:rFonts w:cstheme="minorHAnsi"/>
        </w:rPr>
        <w:t>. S</w:t>
      </w:r>
      <w:r w:rsidR="00A17905" w:rsidRPr="00BF62D1">
        <w:t>everal additional</w:t>
      </w:r>
      <w:r w:rsidR="00C549E3" w:rsidRPr="00BF62D1">
        <w:t xml:space="preserve"> </w:t>
      </w:r>
      <w:r w:rsidR="00A17905" w:rsidRPr="00BF62D1">
        <w:t xml:space="preserve">cost scenarios support </w:t>
      </w:r>
      <w:r w:rsidR="00A17905" w:rsidRPr="000E3AED">
        <w:t xml:space="preserve">the </w:t>
      </w:r>
      <w:commentRangeStart w:id="42"/>
      <w:commentRangeStart w:id="43"/>
      <w:r w:rsidR="00A17905" w:rsidRPr="00890292">
        <w:t>cost</w:t>
      </w:r>
      <w:r w:rsidR="000E3AED" w:rsidRPr="00890292">
        <w:t>-effectiveness</w:t>
      </w:r>
      <w:r w:rsidR="00A17905" w:rsidRPr="00890292">
        <w:t xml:space="preserve"> benefits</w:t>
      </w:r>
      <w:r w:rsidR="00A17905" w:rsidRPr="000E3AED">
        <w:t xml:space="preserve"> </w:t>
      </w:r>
      <w:commentRangeEnd w:id="42"/>
      <w:r w:rsidR="009E7403" w:rsidRPr="000E3AED">
        <w:rPr>
          <w:rStyle w:val="CommentReference"/>
        </w:rPr>
        <w:commentReference w:id="42"/>
      </w:r>
      <w:commentRangeEnd w:id="43"/>
      <w:r w:rsidR="000E3AED" w:rsidRPr="000E3AED">
        <w:rPr>
          <w:rStyle w:val="CommentReference"/>
        </w:rPr>
        <w:commentReference w:id="43"/>
      </w:r>
      <w:r w:rsidR="00A17905" w:rsidRPr="000E3AED">
        <w:t>of TAVI over SAVR in this model</w:t>
      </w:r>
      <w:r w:rsidR="00573DF8" w:rsidRPr="000E3AED">
        <w:t xml:space="preserve">. </w:t>
      </w:r>
      <w:r w:rsidR="003C0C31" w:rsidRPr="000E3AED">
        <w:t>The model appeared to be</w:t>
      </w:r>
      <w:r w:rsidR="000E3AED" w:rsidRPr="000E3AED">
        <w:t xml:space="preserve"> relatively</w:t>
      </w:r>
      <w:r w:rsidR="003C0C31" w:rsidRPr="000E3AED">
        <w:t xml:space="preserve"> </w:t>
      </w:r>
      <w:commentRangeStart w:id="44"/>
      <w:commentRangeStart w:id="45"/>
      <w:r w:rsidR="003C0C31" w:rsidRPr="00890292">
        <w:t>robust</w:t>
      </w:r>
      <w:r w:rsidR="003C0C31" w:rsidRPr="000E3AED">
        <w:t xml:space="preserve"> </w:t>
      </w:r>
      <w:commentRangeEnd w:id="44"/>
      <w:r w:rsidR="00F9401F" w:rsidRPr="000E3AED">
        <w:rPr>
          <w:rStyle w:val="CommentReference"/>
        </w:rPr>
        <w:commentReference w:id="44"/>
      </w:r>
      <w:commentRangeEnd w:id="45"/>
      <w:r w:rsidR="000E3AED" w:rsidRPr="000E3AED">
        <w:rPr>
          <w:rStyle w:val="CommentReference"/>
        </w:rPr>
        <w:commentReference w:id="45"/>
      </w:r>
      <w:r w:rsidR="003C0C31" w:rsidRPr="00B75DCF">
        <w:t>and handled uncertainty introduced via a range of scenarios and sensitivity variables</w:t>
      </w:r>
      <w:r w:rsidR="00573DF8" w:rsidRPr="00B75DCF">
        <w:t>. This analysis using d</w:t>
      </w:r>
      <w:r w:rsidRPr="00B75DCF">
        <w:t xml:space="preserve">ata from </w:t>
      </w:r>
      <w:r w:rsidR="00573DF8" w:rsidRPr="00B75DCF">
        <w:t xml:space="preserve">the </w:t>
      </w:r>
      <w:r w:rsidRPr="00B75DCF">
        <w:t xml:space="preserve">PARTNER 3 </w:t>
      </w:r>
      <w:r w:rsidR="00573DF8" w:rsidRPr="00B75DCF">
        <w:t xml:space="preserve">trial </w:t>
      </w:r>
      <w:r w:rsidRPr="00B75DCF">
        <w:t xml:space="preserve">in conjunction with data from </w:t>
      </w:r>
      <w:r w:rsidR="00A17905" w:rsidRPr="00B75DCF">
        <w:t>t</w:t>
      </w:r>
      <w:r w:rsidRPr="00B75DCF">
        <w:t xml:space="preserve">he </w:t>
      </w:r>
      <w:r w:rsidR="00110CAA" w:rsidRPr="00B75DCF">
        <w:t xml:space="preserve">UK </w:t>
      </w:r>
      <w:r w:rsidR="003C6524" w:rsidRPr="00B75DCF">
        <w:t>is</w:t>
      </w:r>
      <w:r w:rsidRPr="00B75DCF">
        <w:t xml:space="preserve"> informative for policy makers and healthcare budget holders</w:t>
      </w:r>
      <w:r w:rsidR="00573DF8" w:rsidRPr="00B75DCF">
        <w:t>.</w:t>
      </w:r>
    </w:p>
    <w:p w14:paraId="5415FF47" w14:textId="77777777" w:rsidR="00992427" w:rsidRDefault="00992427" w:rsidP="00573DF8">
      <w:pPr>
        <w:spacing w:line="480" w:lineRule="auto"/>
        <w:sectPr w:rsidR="00992427" w:rsidSect="006D21C6">
          <w:footerReference w:type="default" r:id="rId12"/>
          <w:pgSz w:w="11906" w:h="16838"/>
          <w:pgMar w:top="1440" w:right="1440" w:bottom="1440" w:left="1440" w:header="709" w:footer="709" w:gutter="0"/>
          <w:cols w:space="708"/>
          <w:docGrid w:linePitch="360"/>
        </w:sectPr>
      </w:pPr>
    </w:p>
    <w:p w14:paraId="7BC092F4" w14:textId="4C6D0F21" w:rsidR="00992427" w:rsidRDefault="00992427" w:rsidP="00992427">
      <w:pPr>
        <w:spacing w:line="480" w:lineRule="auto"/>
        <w:rPr>
          <w:b/>
          <w:bCs/>
        </w:rPr>
      </w:pPr>
      <w:r>
        <w:rPr>
          <w:b/>
          <w:bCs/>
        </w:rPr>
        <w:lastRenderedPageBreak/>
        <w:t>Declarations</w:t>
      </w:r>
    </w:p>
    <w:p w14:paraId="29380386" w14:textId="77777777" w:rsidR="00D006A3" w:rsidRPr="00B75DCF" w:rsidRDefault="00D006A3" w:rsidP="00D006A3">
      <w:pPr>
        <w:spacing w:line="480" w:lineRule="auto"/>
        <w:rPr>
          <w:b/>
          <w:bCs/>
        </w:rPr>
      </w:pPr>
      <w:r w:rsidRPr="00B75DCF">
        <w:rPr>
          <w:b/>
          <w:bCs/>
        </w:rPr>
        <w:t>Funding</w:t>
      </w:r>
    </w:p>
    <w:p w14:paraId="64EC0597" w14:textId="77777777" w:rsidR="00D006A3" w:rsidRDefault="00D006A3" w:rsidP="00D006A3">
      <w:pPr>
        <w:spacing w:line="480" w:lineRule="auto"/>
      </w:pPr>
      <w:r w:rsidRPr="00B75DCF">
        <w:t xml:space="preserve">This study was funded by Edwards Lifesciences Corporation. </w:t>
      </w:r>
    </w:p>
    <w:p w14:paraId="36DED5C2" w14:textId="0807A3EA" w:rsidR="00992427" w:rsidRPr="00B75DCF" w:rsidRDefault="00992427" w:rsidP="00992427">
      <w:pPr>
        <w:spacing w:line="480" w:lineRule="auto"/>
        <w:rPr>
          <w:b/>
          <w:bCs/>
        </w:rPr>
      </w:pPr>
      <w:r>
        <w:rPr>
          <w:b/>
          <w:bCs/>
        </w:rPr>
        <w:t xml:space="preserve">Conflict of </w:t>
      </w:r>
      <w:r w:rsidRPr="00B75DCF">
        <w:rPr>
          <w:b/>
          <w:bCs/>
        </w:rPr>
        <w:t>interest</w:t>
      </w:r>
    </w:p>
    <w:p w14:paraId="58E808DF" w14:textId="77777777" w:rsidR="00992427" w:rsidRDefault="00992427" w:rsidP="00992427">
      <w:pPr>
        <w:spacing w:line="480" w:lineRule="auto"/>
      </w:pPr>
      <w:r w:rsidRPr="00B75DCF">
        <w:t>Nick Curzen:</w:t>
      </w:r>
      <w:r w:rsidRPr="00522C17">
        <w:t xml:space="preserve"> </w:t>
      </w:r>
      <w:r>
        <w:t xml:space="preserve">Research grants from Boston, </w:t>
      </w:r>
      <w:proofErr w:type="spellStart"/>
      <w:r>
        <w:t>HeartFlow</w:t>
      </w:r>
      <w:proofErr w:type="spellEnd"/>
      <w:r>
        <w:t xml:space="preserve">, </w:t>
      </w:r>
      <w:proofErr w:type="spellStart"/>
      <w:r>
        <w:t>Haemonetics</w:t>
      </w:r>
      <w:proofErr w:type="spellEnd"/>
      <w:r>
        <w:t xml:space="preserve"> and Beckman Coulter. Speaker fees/consultancy from Abbott, </w:t>
      </w:r>
      <w:proofErr w:type="spellStart"/>
      <w:r>
        <w:t>HeartFlow</w:t>
      </w:r>
      <w:proofErr w:type="spellEnd"/>
      <w:r>
        <w:t xml:space="preserve">, Shockwave and Boston. Travel sponsorship from </w:t>
      </w:r>
      <w:proofErr w:type="spellStart"/>
      <w:r>
        <w:t>HeartFlow</w:t>
      </w:r>
      <w:proofErr w:type="spellEnd"/>
      <w:r>
        <w:t>, Biosensors and Shockwave.</w:t>
      </w:r>
    </w:p>
    <w:p w14:paraId="1DBB53B0" w14:textId="77777777" w:rsidR="00992427" w:rsidRPr="00B75DCF" w:rsidRDefault="00992427" w:rsidP="00992427">
      <w:pPr>
        <w:spacing w:line="480" w:lineRule="auto"/>
      </w:pPr>
      <w:r w:rsidRPr="00B75DCF">
        <w:t>Pascal Candolfi: Employee at Edwards Lifesciences, Nyon, Switzerland.</w:t>
      </w:r>
    </w:p>
    <w:p w14:paraId="3686431B" w14:textId="77777777" w:rsidR="00992427" w:rsidRPr="00B75DCF" w:rsidRDefault="00992427" w:rsidP="00992427">
      <w:pPr>
        <w:spacing w:line="480" w:lineRule="auto"/>
      </w:pPr>
      <w:r w:rsidRPr="00B75DCF">
        <w:t xml:space="preserve">Philip </w:t>
      </w:r>
      <w:proofErr w:type="spellStart"/>
      <w:r w:rsidRPr="00B75DCF">
        <w:t>MacCarthy</w:t>
      </w:r>
      <w:proofErr w:type="spellEnd"/>
      <w:r w:rsidRPr="00B75DCF">
        <w:t>: No conflicts of interest.</w:t>
      </w:r>
    </w:p>
    <w:p w14:paraId="75CB600B" w14:textId="77777777" w:rsidR="00992427" w:rsidRPr="00B75DCF" w:rsidRDefault="00992427" w:rsidP="00992427">
      <w:pPr>
        <w:spacing w:line="480" w:lineRule="auto"/>
      </w:pPr>
      <w:r w:rsidRPr="00B75DCF">
        <w:t>Clinton T Lloyd: Speaker for Edwards Lifesciences.</w:t>
      </w:r>
    </w:p>
    <w:p w14:paraId="401E8E62" w14:textId="77777777" w:rsidR="00992427" w:rsidRPr="00B75DCF" w:rsidRDefault="00992427" w:rsidP="00992427">
      <w:pPr>
        <w:spacing w:line="480" w:lineRule="auto"/>
      </w:pPr>
      <w:r w:rsidRPr="00B75DCF">
        <w:t xml:space="preserve">Muhammad </w:t>
      </w:r>
      <w:proofErr w:type="spellStart"/>
      <w:r w:rsidRPr="00B75DCF">
        <w:t>Aetesam-Ur-Rahman</w:t>
      </w:r>
      <w:proofErr w:type="spellEnd"/>
      <w:r>
        <w:t>: Consultant and s</w:t>
      </w:r>
      <w:r w:rsidRPr="00CC7EC8">
        <w:t>peaker fee</w:t>
      </w:r>
      <w:r>
        <w:t>s</w:t>
      </w:r>
      <w:r w:rsidRPr="00CC7EC8">
        <w:t xml:space="preserve"> from Medtronic and SMT.</w:t>
      </w:r>
    </w:p>
    <w:p w14:paraId="21739DD7" w14:textId="77777777" w:rsidR="00992427" w:rsidRPr="00B75DCF" w:rsidRDefault="00992427" w:rsidP="00992427">
      <w:pPr>
        <w:spacing w:line="480" w:lineRule="auto"/>
      </w:pPr>
      <w:r w:rsidRPr="00B75DCF">
        <w:t xml:space="preserve">Tom Bromilow: </w:t>
      </w:r>
      <w:r>
        <w:t>Consultant for Edwards Lifesciences.</w:t>
      </w:r>
    </w:p>
    <w:p w14:paraId="6B7AF507" w14:textId="77777777" w:rsidR="00992427" w:rsidRDefault="00992427" w:rsidP="00992427">
      <w:pPr>
        <w:spacing w:line="480" w:lineRule="auto"/>
      </w:pPr>
      <w:r w:rsidRPr="00B75DCF">
        <w:t>Valentina Sellitto: Employee at Edwards Lifesciences, Milan, Italy.</w:t>
      </w:r>
    </w:p>
    <w:p w14:paraId="57C9372D" w14:textId="77777777" w:rsidR="00992427" w:rsidRPr="00B75DCF" w:rsidRDefault="00992427" w:rsidP="00992427">
      <w:pPr>
        <w:spacing w:line="480" w:lineRule="auto"/>
      </w:pPr>
      <w:r w:rsidRPr="00B75DCF">
        <w:t xml:space="preserve">Daniel J Blackman: Institutional research grant from Medtronic. Consultant and speaker for Medtronic, Abbott Vascular, </w:t>
      </w:r>
      <w:proofErr w:type="spellStart"/>
      <w:r w:rsidRPr="00B75DCF">
        <w:t>JenaValve</w:t>
      </w:r>
      <w:proofErr w:type="spellEnd"/>
      <w:r w:rsidRPr="00B75DCF">
        <w:t xml:space="preserve"> and Edwards Lifesciences.</w:t>
      </w:r>
    </w:p>
    <w:p w14:paraId="417DEDBC" w14:textId="5519C67B" w:rsidR="00126079" w:rsidRPr="00B75DCF" w:rsidRDefault="00D006A3" w:rsidP="00992427">
      <w:pPr>
        <w:spacing w:line="480" w:lineRule="auto"/>
        <w:rPr>
          <w:b/>
          <w:bCs/>
        </w:rPr>
      </w:pPr>
      <w:r>
        <w:rPr>
          <w:b/>
          <w:bCs/>
        </w:rPr>
        <w:t>Availability of data and material</w:t>
      </w:r>
    </w:p>
    <w:p w14:paraId="01D833F2" w14:textId="77777777" w:rsidR="008A37A1" w:rsidRDefault="00126079" w:rsidP="00126079">
      <w:pPr>
        <w:spacing w:line="480" w:lineRule="auto"/>
      </w:pPr>
      <w:r w:rsidRPr="00B75DCF">
        <w:t xml:space="preserve">Input parameters values </w:t>
      </w:r>
      <w:proofErr w:type="gramStart"/>
      <w:r w:rsidRPr="00B75DCF">
        <w:t>used</w:t>
      </w:r>
      <w:proofErr w:type="gramEnd"/>
      <w:r w:rsidRPr="00B75DCF">
        <w:t xml:space="preserve"> and data generated during this cost-utility study are wholly included within this article and the associated Supplementary Material.</w:t>
      </w:r>
    </w:p>
    <w:p w14:paraId="2B722BDD" w14:textId="31EB042C" w:rsidR="00D006A3" w:rsidRPr="00F1689A" w:rsidRDefault="00D006A3" w:rsidP="00D006A3">
      <w:pPr>
        <w:spacing w:line="480" w:lineRule="auto"/>
        <w:rPr>
          <w:b/>
          <w:bCs/>
          <w:lang w:val="en-US"/>
        </w:rPr>
      </w:pPr>
      <w:r w:rsidRPr="00F1689A">
        <w:rPr>
          <w:b/>
          <w:bCs/>
        </w:rPr>
        <w:t>Ethic</w:t>
      </w:r>
      <w:r>
        <w:rPr>
          <w:b/>
          <w:bCs/>
        </w:rPr>
        <w:t>s</w:t>
      </w:r>
      <w:r w:rsidRPr="00F1689A">
        <w:rPr>
          <w:b/>
          <w:bCs/>
        </w:rPr>
        <w:t xml:space="preserve"> approval</w:t>
      </w:r>
    </w:p>
    <w:p w14:paraId="560982AB" w14:textId="5242A9BB" w:rsidR="00D006A3" w:rsidRDefault="00D006A3" w:rsidP="00D006A3">
      <w:pPr>
        <w:spacing w:line="480" w:lineRule="auto"/>
        <w:rPr>
          <w:lang w:val="en-US"/>
        </w:rPr>
      </w:pPr>
      <w:r>
        <w:rPr>
          <w:lang w:val="en-US"/>
        </w:rPr>
        <w:t>N</w:t>
      </w:r>
      <w:r w:rsidRPr="00F1689A">
        <w:rPr>
          <w:lang w:val="en-US"/>
        </w:rPr>
        <w:t>ot applicable.</w:t>
      </w:r>
    </w:p>
    <w:p w14:paraId="6EF12952" w14:textId="06A05E87" w:rsidR="00D006A3" w:rsidRPr="00D006A3" w:rsidRDefault="00D006A3" w:rsidP="00D006A3">
      <w:pPr>
        <w:keepNext/>
        <w:spacing w:line="480" w:lineRule="auto"/>
        <w:rPr>
          <w:b/>
          <w:bCs/>
          <w:lang w:val="en-US"/>
        </w:rPr>
      </w:pPr>
      <w:r w:rsidRPr="00D006A3">
        <w:rPr>
          <w:b/>
          <w:bCs/>
          <w:lang w:val="en-US"/>
        </w:rPr>
        <w:lastRenderedPageBreak/>
        <w:t>Consent to participate</w:t>
      </w:r>
    </w:p>
    <w:p w14:paraId="50B835EC" w14:textId="77777777" w:rsidR="00D006A3" w:rsidRDefault="00D006A3" w:rsidP="00D006A3">
      <w:pPr>
        <w:spacing w:line="480" w:lineRule="auto"/>
        <w:rPr>
          <w:lang w:val="en-US"/>
        </w:rPr>
      </w:pPr>
      <w:r>
        <w:rPr>
          <w:lang w:val="en-US"/>
        </w:rPr>
        <w:t>N</w:t>
      </w:r>
      <w:r w:rsidRPr="00F1689A">
        <w:rPr>
          <w:lang w:val="en-US"/>
        </w:rPr>
        <w:t>ot applicable.</w:t>
      </w:r>
    </w:p>
    <w:p w14:paraId="7E6413E8" w14:textId="15445ED4" w:rsidR="00D006A3" w:rsidRPr="00D006A3" w:rsidRDefault="00D006A3" w:rsidP="00D006A3">
      <w:pPr>
        <w:spacing w:line="480" w:lineRule="auto"/>
        <w:rPr>
          <w:b/>
          <w:bCs/>
          <w:lang w:val="en-US"/>
        </w:rPr>
      </w:pPr>
      <w:r w:rsidRPr="00D006A3">
        <w:rPr>
          <w:b/>
          <w:bCs/>
          <w:lang w:val="en-US"/>
        </w:rPr>
        <w:t>Code availability</w:t>
      </w:r>
    </w:p>
    <w:p w14:paraId="21431BBD" w14:textId="5467A1CC" w:rsidR="00D33236" w:rsidRDefault="00D33236" w:rsidP="00D33236">
      <w:pPr>
        <w:spacing w:line="480" w:lineRule="auto"/>
      </w:pPr>
      <w:r w:rsidRPr="00B75DCF">
        <w:t xml:space="preserve">Input parameters values </w:t>
      </w:r>
      <w:proofErr w:type="gramStart"/>
      <w:r w:rsidRPr="00B75DCF">
        <w:t>used</w:t>
      </w:r>
      <w:proofErr w:type="gramEnd"/>
      <w:r w:rsidRPr="00B75DCF">
        <w:t xml:space="preserve"> and data generated during this cost-utility study are wholly included within this article and the associated Supplementary Material.</w:t>
      </w:r>
      <w:r>
        <w:t xml:space="preserve"> Cod</w:t>
      </w:r>
      <w:r w:rsidR="00E15F9F">
        <w:t>e</w:t>
      </w:r>
      <w:r>
        <w:t xml:space="preserve"> was only used in the model to run probabilistic and deterministic sensitivity analysis and so will not be made available.</w:t>
      </w:r>
    </w:p>
    <w:p w14:paraId="08D5A61F" w14:textId="4F977E61" w:rsidR="00126079" w:rsidRPr="00F1689A" w:rsidRDefault="00126079" w:rsidP="00126079">
      <w:pPr>
        <w:spacing w:line="480" w:lineRule="auto"/>
        <w:rPr>
          <w:b/>
          <w:bCs/>
        </w:rPr>
      </w:pPr>
      <w:r w:rsidRPr="00F1689A">
        <w:rPr>
          <w:b/>
          <w:bCs/>
        </w:rPr>
        <w:t>Author Contributions</w:t>
      </w:r>
    </w:p>
    <w:p w14:paraId="0752A41E" w14:textId="77777777" w:rsidR="00126079" w:rsidRDefault="00126079" w:rsidP="00126079">
      <w:pPr>
        <w:spacing w:line="480" w:lineRule="auto"/>
        <w:rPr>
          <w:lang w:val="en-US"/>
        </w:rPr>
      </w:pPr>
      <w:r w:rsidRPr="001153C0">
        <w:rPr>
          <w:lang w:val="en-US"/>
        </w:rPr>
        <w:t>PC led the project and contributed to methodology, data analysis, and manuscript drafting</w:t>
      </w:r>
      <w:r>
        <w:rPr>
          <w:lang w:val="en-US"/>
        </w:rPr>
        <w:t>, and serves as the guarantor, ensuring the integrity and accuracy of the work</w:t>
      </w:r>
      <w:r w:rsidRPr="001153C0">
        <w:rPr>
          <w:lang w:val="en-US"/>
        </w:rPr>
        <w:t xml:space="preserve">. VS assisted with model adaptation and manuscript drafting. TB adapted the model, ensured the use of the best methodology, and provided health economic opinion. PMC, DB, CL, MAR, and NC provided expert clinical opinion and economic guidance, contributing to the interpretation of results and critical review of the manuscript. </w:t>
      </w:r>
      <w:r w:rsidRPr="00F1689A">
        <w:rPr>
          <w:lang w:val="en-US"/>
        </w:rPr>
        <w:t>All authors reviewed and approved the final version.</w:t>
      </w:r>
    </w:p>
    <w:p w14:paraId="5916BD59" w14:textId="77777777" w:rsidR="00D006A3" w:rsidRDefault="00D006A3" w:rsidP="00126079">
      <w:pPr>
        <w:spacing w:line="480" w:lineRule="auto"/>
        <w:rPr>
          <w:lang w:val="en-US"/>
        </w:rPr>
      </w:pPr>
    </w:p>
    <w:p w14:paraId="3369C98B" w14:textId="77777777" w:rsidR="00D006A3" w:rsidRPr="00B75DCF" w:rsidRDefault="00D006A3" w:rsidP="00D006A3">
      <w:pPr>
        <w:spacing w:line="480" w:lineRule="auto"/>
        <w:rPr>
          <w:b/>
          <w:bCs/>
        </w:rPr>
      </w:pPr>
      <w:r w:rsidRPr="00B75DCF">
        <w:rPr>
          <w:b/>
          <w:bCs/>
        </w:rPr>
        <w:t>Acknowledgements</w:t>
      </w:r>
    </w:p>
    <w:p w14:paraId="7C65A120" w14:textId="77777777" w:rsidR="00D006A3" w:rsidRPr="00B75DCF" w:rsidRDefault="00D006A3" w:rsidP="00D006A3">
      <w:pPr>
        <w:spacing w:line="480" w:lineRule="auto"/>
      </w:pPr>
      <w:r w:rsidRPr="00B75DCF">
        <w:t xml:space="preserve">The UK Steering Committee comprised: DJ Blackman (Leeds Teaching Hospital NHS Trust, Leeds), RK Kharbanda (NIHR Oxford Biomedical Research Centre, Oxford University Hospitals NHS Foundation Trust, Oxford), CT Lloyd (University Hospitals Plymouth NHS Trust, Plymouth), P </w:t>
      </w:r>
      <w:proofErr w:type="spellStart"/>
      <w:r w:rsidRPr="00B75DCF">
        <w:t>MacCarthy</w:t>
      </w:r>
      <w:proofErr w:type="spellEnd"/>
      <w:r w:rsidRPr="00B75DCF">
        <w:t xml:space="preserve"> (King’s College Hospital, London), N Curzen (University Hospital Southampton NHS Foundation Trust, Southampton), B Prendergast (Guy’s and St Thomas’ NHS Foundation Trust, London). </w:t>
      </w:r>
    </w:p>
    <w:p w14:paraId="61E33B57" w14:textId="630FCC67" w:rsidR="00D006A3" w:rsidRDefault="00D006A3" w:rsidP="00D006A3">
      <w:pPr>
        <w:spacing w:line="480" w:lineRule="auto"/>
      </w:pPr>
      <w:r w:rsidRPr="00B75DCF">
        <w:t>We would also like to acknowledge the writing support provided by Zenith Healthcare Communications Ltd (Chester, UK</w:t>
      </w:r>
      <w:r w:rsidR="00D517D1">
        <w:t xml:space="preserve">; </w:t>
      </w:r>
      <w:r w:rsidRPr="00B75DCF">
        <w:t>funded by Edwards Lifesciences</w:t>
      </w:r>
      <w:r w:rsidR="00D517D1">
        <w:t>) and Charlotte Graham (York Health Economics Consortium</w:t>
      </w:r>
      <w:r w:rsidR="00134152">
        <w:t>; funded by Edwards Lifesciences</w:t>
      </w:r>
      <w:r w:rsidR="00D517D1">
        <w:t>)</w:t>
      </w:r>
      <w:r w:rsidRPr="00B75DCF">
        <w:t xml:space="preserve">. </w:t>
      </w:r>
      <w:proofErr w:type="gramStart"/>
      <w:r w:rsidR="009953AD">
        <w:t>Also</w:t>
      </w:r>
      <w:proofErr w:type="gramEnd"/>
      <w:r w:rsidR="009953AD">
        <w:t xml:space="preserve"> the support with model and </w:t>
      </w:r>
      <w:r w:rsidR="009953AD">
        <w:lastRenderedPageBreak/>
        <w:t>manuscript updates by Heather Davies and Lucy Hillcoat (York Health Economics Consortium; funded by Edwards Lifesciences).</w:t>
      </w:r>
    </w:p>
    <w:p w14:paraId="7F40DD3F" w14:textId="77777777" w:rsidR="002E4729" w:rsidRDefault="002E4729">
      <w:pPr>
        <w:rPr>
          <w:rFonts w:cstheme="minorHAnsi"/>
          <w:b/>
          <w:bCs/>
          <w:color w:val="000000"/>
        </w:rPr>
      </w:pPr>
      <w:r>
        <w:rPr>
          <w:rFonts w:cstheme="minorHAnsi"/>
          <w:b/>
          <w:bCs/>
          <w:color w:val="000000"/>
        </w:rPr>
        <w:br w:type="page"/>
      </w:r>
    </w:p>
    <w:p w14:paraId="735128CE" w14:textId="31B81D18" w:rsidR="003641B9" w:rsidRPr="00B75DCF" w:rsidRDefault="003A34DE" w:rsidP="00504943">
      <w:pPr>
        <w:autoSpaceDE w:val="0"/>
        <w:autoSpaceDN w:val="0"/>
        <w:adjustRightInd w:val="0"/>
        <w:spacing w:after="120" w:line="480" w:lineRule="auto"/>
        <w:rPr>
          <w:rFonts w:cstheme="minorHAnsi"/>
          <w:b/>
          <w:bCs/>
          <w:color w:val="000000"/>
        </w:rPr>
      </w:pPr>
      <w:r w:rsidRPr="00B75DCF">
        <w:rPr>
          <w:rFonts w:cstheme="minorHAnsi"/>
          <w:b/>
          <w:bCs/>
          <w:color w:val="000000"/>
        </w:rPr>
        <w:lastRenderedPageBreak/>
        <w:t>References</w:t>
      </w:r>
    </w:p>
    <w:p w14:paraId="13B75965" w14:textId="188E7254" w:rsidR="00227BE5" w:rsidRPr="00B75DCF" w:rsidRDefault="00227BE5" w:rsidP="00504943">
      <w:pPr>
        <w:spacing w:after="120" w:line="480" w:lineRule="auto"/>
        <w:ind w:left="284" w:hanging="284"/>
        <w:rPr>
          <w:rFonts w:cstheme="minorHAnsi"/>
        </w:rPr>
      </w:pPr>
      <w:r>
        <w:rPr>
          <w:rFonts w:cstheme="minorHAnsi"/>
        </w:rPr>
        <w:t xml:space="preserve">1. </w:t>
      </w:r>
      <w:proofErr w:type="spellStart"/>
      <w:r w:rsidRPr="00B75DCF">
        <w:rPr>
          <w:rFonts w:cstheme="minorHAnsi"/>
        </w:rPr>
        <w:t>Boskovski</w:t>
      </w:r>
      <w:proofErr w:type="spellEnd"/>
      <w:r w:rsidRPr="00B75DCF">
        <w:rPr>
          <w:rFonts w:cstheme="minorHAnsi"/>
        </w:rPr>
        <w:t xml:space="preserve"> MT, Gleason TG. Current therapeutic options in aortic stenosis. </w:t>
      </w:r>
      <w:r w:rsidRPr="002E4729">
        <w:rPr>
          <w:rFonts w:cstheme="minorHAnsi"/>
        </w:rPr>
        <w:t>Circulation Res</w:t>
      </w:r>
      <w:r w:rsidR="00157276">
        <w:rPr>
          <w:rFonts w:cstheme="minorHAnsi"/>
        </w:rPr>
        <w:t>.</w:t>
      </w:r>
      <w:r w:rsidRPr="00B75DCF">
        <w:rPr>
          <w:rFonts w:cstheme="minorHAnsi"/>
        </w:rPr>
        <w:t xml:space="preserve"> </w:t>
      </w:r>
      <w:proofErr w:type="gramStart"/>
      <w:r w:rsidRPr="00B75DCF">
        <w:rPr>
          <w:rFonts w:cstheme="minorHAnsi"/>
        </w:rPr>
        <w:t>2021;128:1398</w:t>
      </w:r>
      <w:proofErr w:type="gramEnd"/>
      <w:r w:rsidRPr="00B75DCF">
        <w:rPr>
          <w:rFonts w:cstheme="minorHAnsi"/>
        </w:rPr>
        <w:t>–417.</w:t>
      </w:r>
    </w:p>
    <w:p w14:paraId="53585C2E" w14:textId="2BC4D171" w:rsidR="00227BE5" w:rsidRPr="00B75DCF" w:rsidRDefault="00227BE5" w:rsidP="00504943">
      <w:pPr>
        <w:spacing w:after="120" w:line="480" w:lineRule="auto"/>
        <w:ind w:left="284" w:hanging="284"/>
        <w:rPr>
          <w:rFonts w:cstheme="minorHAnsi"/>
        </w:rPr>
      </w:pPr>
      <w:r>
        <w:rPr>
          <w:rFonts w:cstheme="minorHAnsi"/>
        </w:rPr>
        <w:t xml:space="preserve">2. </w:t>
      </w:r>
      <w:proofErr w:type="spellStart"/>
      <w:r w:rsidRPr="00B75DCF">
        <w:rPr>
          <w:rFonts w:cstheme="minorHAnsi"/>
        </w:rPr>
        <w:t>Cribier</w:t>
      </w:r>
      <w:proofErr w:type="spellEnd"/>
      <w:r w:rsidRPr="00B75DCF">
        <w:rPr>
          <w:rFonts w:cstheme="minorHAnsi"/>
        </w:rPr>
        <w:t xml:space="preserve"> A. Development of Transcatheter Aortic Valve Implantation (TAVI): A 20-year Odyssey. </w:t>
      </w:r>
      <w:r w:rsidRPr="002E4729">
        <w:rPr>
          <w:rFonts w:cstheme="minorHAnsi"/>
        </w:rPr>
        <w:t>Arch Cardiovasc Dis</w:t>
      </w:r>
      <w:r w:rsidR="00157276">
        <w:rPr>
          <w:rFonts w:cstheme="minorHAnsi"/>
        </w:rPr>
        <w:t>.</w:t>
      </w:r>
      <w:r w:rsidRPr="00B75DCF">
        <w:rPr>
          <w:rFonts w:cstheme="minorHAnsi"/>
          <w:i/>
          <w:iCs/>
        </w:rPr>
        <w:t xml:space="preserve"> </w:t>
      </w:r>
      <w:proofErr w:type="gramStart"/>
      <w:r w:rsidRPr="00640586">
        <w:rPr>
          <w:rFonts w:cstheme="minorHAnsi"/>
        </w:rPr>
        <w:t>2012</w:t>
      </w:r>
      <w:r w:rsidRPr="00B75DCF">
        <w:rPr>
          <w:rFonts w:cstheme="minorHAnsi"/>
          <w:i/>
          <w:iCs/>
        </w:rPr>
        <w:t>;</w:t>
      </w:r>
      <w:r w:rsidRPr="00B75DCF">
        <w:rPr>
          <w:rFonts w:cstheme="minorHAnsi"/>
        </w:rPr>
        <w:t>105:146</w:t>
      </w:r>
      <w:proofErr w:type="gramEnd"/>
      <w:r w:rsidRPr="00B75DCF">
        <w:rPr>
          <w:rFonts w:cstheme="minorHAnsi"/>
        </w:rPr>
        <w:t>–52.</w:t>
      </w:r>
    </w:p>
    <w:p w14:paraId="75905F4B" w14:textId="6B93825A" w:rsidR="00227BE5" w:rsidRPr="00B75DCF" w:rsidRDefault="00227BE5" w:rsidP="00504943">
      <w:pPr>
        <w:spacing w:after="120" w:line="480" w:lineRule="auto"/>
        <w:ind w:left="284" w:hanging="284"/>
        <w:rPr>
          <w:rFonts w:cstheme="minorHAnsi"/>
        </w:rPr>
      </w:pPr>
      <w:r>
        <w:rPr>
          <w:rFonts w:cstheme="minorHAnsi"/>
        </w:rPr>
        <w:t xml:space="preserve">3. </w:t>
      </w:r>
      <w:r w:rsidRPr="00B75DCF">
        <w:rPr>
          <w:rFonts w:cstheme="minorHAnsi"/>
        </w:rPr>
        <w:t xml:space="preserve">Vahanian A, Beyersdorf F, </w:t>
      </w:r>
      <w:proofErr w:type="spellStart"/>
      <w:r w:rsidRPr="00B75DCF">
        <w:rPr>
          <w:rFonts w:cstheme="minorHAnsi"/>
        </w:rPr>
        <w:t>Praz</w:t>
      </w:r>
      <w:proofErr w:type="spellEnd"/>
      <w:r w:rsidRPr="00B75DCF">
        <w:rPr>
          <w:rFonts w:cstheme="minorHAnsi"/>
        </w:rPr>
        <w:t xml:space="preserve"> F, </w:t>
      </w:r>
      <w:r w:rsidR="00157276" w:rsidRPr="00157276">
        <w:rPr>
          <w:rFonts w:cstheme="minorHAnsi"/>
        </w:rPr>
        <w:t xml:space="preserve">Milojevic M, Baldus S, Bauersachs J, </w:t>
      </w:r>
      <w:r w:rsidRPr="00157276">
        <w:rPr>
          <w:rFonts w:cstheme="minorHAnsi"/>
        </w:rPr>
        <w:t>et al.</w:t>
      </w:r>
      <w:r w:rsidRPr="00B75DCF">
        <w:rPr>
          <w:rFonts w:cstheme="minorHAnsi"/>
        </w:rPr>
        <w:t xml:space="preserve"> 2021 ESC/EACTS Guidelines for the management of valvular heart disease. </w:t>
      </w:r>
      <w:proofErr w:type="spellStart"/>
      <w:r w:rsidRPr="002E4729">
        <w:rPr>
          <w:rFonts w:cstheme="minorHAnsi"/>
        </w:rPr>
        <w:t>Eur</w:t>
      </w:r>
      <w:proofErr w:type="spellEnd"/>
      <w:r w:rsidRPr="002E4729">
        <w:rPr>
          <w:rFonts w:cstheme="minorHAnsi"/>
        </w:rPr>
        <w:t xml:space="preserve"> J Cardio-Thor Surg</w:t>
      </w:r>
      <w:r w:rsidR="00157276">
        <w:rPr>
          <w:rFonts w:cstheme="minorHAnsi"/>
        </w:rPr>
        <w:t>.</w:t>
      </w:r>
      <w:r w:rsidRPr="002E4729">
        <w:rPr>
          <w:rFonts w:cstheme="minorHAnsi"/>
        </w:rPr>
        <w:t xml:space="preserve"> </w:t>
      </w:r>
      <w:proofErr w:type="gramStart"/>
      <w:r w:rsidRPr="00B75DCF">
        <w:rPr>
          <w:rFonts w:cstheme="minorHAnsi"/>
        </w:rPr>
        <w:t>2021;60:727</w:t>
      </w:r>
      <w:proofErr w:type="gramEnd"/>
      <w:r w:rsidRPr="00B75DCF">
        <w:rPr>
          <w:rFonts w:cstheme="minorHAnsi"/>
        </w:rPr>
        <w:t>–800.</w:t>
      </w:r>
    </w:p>
    <w:p w14:paraId="475BBE79" w14:textId="0B2FE007" w:rsidR="00227BE5" w:rsidRPr="00B75DCF" w:rsidRDefault="00227BE5" w:rsidP="00504943">
      <w:pPr>
        <w:spacing w:after="120" w:line="480" w:lineRule="auto"/>
        <w:ind w:left="284" w:hanging="284"/>
        <w:rPr>
          <w:rFonts w:cstheme="minorHAnsi"/>
        </w:rPr>
      </w:pPr>
      <w:r>
        <w:rPr>
          <w:rFonts w:cstheme="minorHAnsi"/>
        </w:rPr>
        <w:t xml:space="preserve">4. </w:t>
      </w:r>
      <w:r w:rsidRPr="00B75DCF">
        <w:rPr>
          <w:rFonts w:cstheme="minorHAnsi"/>
        </w:rPr>
        <w:t>Otto CM, Nishimura RA, Bonow RO,</w:t>
      </w:r>
      <w:r w:rsidR="00157276" w:rsidRPr="00157276">
        <w:t xml:space="preserve"> </w:t>
      </w:r>
      <w:r w:rsidR="00157276" w:rsidRPr="00157276">
        <w:rPr>
          <w:rFonts w:cstheme="minorHAnsi"/>
        </w:rPr>
        <w:t>Carabello BA, Erwin JP 3rd, Gentile F,</w:t>
      </w:r>
      <w:r w:rsidRPr="00B75DCF">
        <w:rPr>
          <w:rFonts w:cstheme="minorHAnsi"/>
        </w:rPr>
        <w:t xml:space="preserve"> </w:t>
      </w:r>
      <w:r w:rsidRPr="00157276">
        <w:rPr>
          <w:rFonts w:cstheme="minorHAnsi"/>
        </w:rPr>
        <w:t>et al.</w:t>
      </w:r>
      <w:r w:rsidRPr="00B75DCF">
        <w:rPr>
          <w:rFonts w:cstheme="minorHAnsi"/>
        </w:rPr>
        <w:t xml:space="preserve"> 2020 ACC/AHA Guideline for the Management of Patients </w:t>
      </w:r>
      <w:proofErr w:type="gramStart"/>
      <w:r w:rsidRPr="00B75DCF">
        <w:rPr>
          <w:rFonts w:cstheme="minorHAnsi"/>
        </w:rPr>
        <w:t>With</w:t>
      </w:r>
      <w:proofErr w:type="gramEnd"/>
      <w:r w:rsidRPr="00B75DCF">
        <w:rPr>
          <w:rFonts w:cstheme="minorHAnsi"/>
        </w:rPr>
        <w:t xml:space="preserve"> Valvular Heart Disease: Executive Summary: A Report of the American College of Cardiology/American Heart Association Joint Committee on Clinical Practice Guidelines. </w:t>
      </w:r>
      <w:r w:rsidRPr="002E4729">
        <w:rPr>
          <w:rFonts w:cstheme="minorHAnsi"/>
        </w:rPr>
        <w:t>Circulation</w:t>
      </w:r>
      <w:r w:rsidRPr="00B75DCF">
        <w:rPr>
          <w:rFonts w:cstheme="minorHAnsi"/>
        </w:rPr>
        <w:t xml:space="preserve"> 2021;</w:t>
      </w:r>
      <w:proofErr w:type="gramStart"/>
      <w:r w:rsidRPr="00B75DCF">
        <w:rPr>
          <w:rFonts w:cstheme="minorHAnsi"/>
        </w:rPr>
        <w:t>143:e</w:t>
      </w:r>
      <w:proofErr w:type="gramEnd"/>
      <w:r w:rsidRPr="00B75DCF">
        <w:rPr>
          <w:rFonts w:cstheme="minorHAnsi"/>
        </w:rPr>
        <w:t xml:space="preserve">35–71. Erratum in: </w:t>
      </w:r>
      <w:r w:rsidRPr="002E4729">
        <w:rPr>
          <w:rFonts w:cstheme="minorHAnsi"/>
        </w:rPr>
        <w:t>Circulation</w:t>
      </w:r>
      <w:r w:rsidRPr="00B75DCF">
        <w:rPr>
          <w:rFonts w:cstheme="minorHAnsi"/>
        </w:rPr>
        <w:t xml:space="preserve"> 2021;</w:t>
      </w:r>
      <w:proofErr w:type="gramStart"/>
      <w:r w:rsidRPr="00B75DCF">
        <w:rPr>
          <w:rFonts w:cstheme="minorHAnsi"/>
        </w:rPr>
        <w:t>143:e</w:t>
      </w:r>
      <w:proofErr w:type="gramEnd"/>
      <w:r w:rsidRPr="00B75DCF">
        <w:rPr>
          <w:rFonts w:cstheme="minorHAnsi"/>
        </w:rPr>
        <w:t xml:space="preserve">228. Erratum in: </w:t>
      </w:r>
      <w:r w:rsidRPr="002E4729">
        <w:rPr>
          <w:rFonts w:cstheme="minorHAnsi"/>
        </w:rPr>
        <w:t>Circulation</w:t>
      </w:r>
      <w:r w:rsidRPr="00B75DCF">
        <w:rPr>
          <w:rFonts w:cstheme="minorHAnsi"/>
        </w:rPr>
        <w:t xml:space="preserve"> 2021;</w:t>
      </w:r>
      <w:proofErr w:type="gramStart"/>
      <w:r w:rsidRPr="00B75DCF">
        <w:rPr>
          <w:rFonts w:cstheme="minorHAnsi"/>
        </w:rPr>
        <w:t>143:e</w:t>
      </w:r>
      <w:proofErr w:type="gramEnd"/>
      <w:r w:rsidRPr="00B75DCF">
        <w:rPr>
          <w:rFonts w:cstheme="minorHAnsi"/>
        </w:rPr>
        <w:t>784.</w:t>
      </w:r>
    </w:p>
    <w:p w14:paraId="3ADC2C51" w14:textId="77777777" w:rsidR="00227BE5" w:rsidRPr="00B75DCF" w:rsidRDefault="00227BE5" w:rsidP="00504943">
      <w:pPr>
        <w:spacing w:after="120" w:line="480" w:lineRule="auto"/>
        <w:ind w:left="284" w:hanging="284"/>
      </w:pPr>
      <w:r>
        <w:t xml:space="preserve">5. </w:t>
      </w:r>
      <w:r w:rsidRPr="00B75DCF">
        <w:t xml:space="preserve">National Institute of Healthcare Excellence (NICE). Heart valve disease presenting in adults: investigation and management. NICE guideline 2021 [NG208]. Available at: </w:t>
      </w:r>
      <w:hyperlink r:id="rId13" w:history="1">
        <w:r w:rsidRPr="00B75DCF">
          <w:rPr>
            <w:rStyle w:val="Hyperlink"/>
          </w:rPr>
          <w:t>https://www.nice.org.uk/guidance/ng208/documents/html-content-2</w:t>
        </w:r>
      </w:hyperlink>
      <w:r w:rsidRPr="00B75DCF">
        <w:t>.</w:t>
      </w:r>
    </w:p>
    <w:p w14:paraId="3FB327D4" w14:textId="103FCA48" w:rsidR="00B2540B" w:rsidRDefault="00227BE5" w:rsidP="00504943">
      <w:pPr>
        <w:spacing w:after="120" w:line="480" w:lineRule="auto"/>
        <w:ind w:left="284" w:hanging="284"/>
      </w:pPr>
      <w:r w:rsidRPr="006350DF">
        <w:rPr>
          <w:lang w:val="fr-CH"/>
        </w:rPr>
        <w:t xml:space="preserve">6. </w:t>
      </w:r>
      <w:r w:rsidR="00B2540B" w:rsidRPr="00A42E3A">
        <w:rPr>
          <w:lang w:val="fr-CH"/>
        </w:rPr>
        <w:t xml:space="preserve">Ali N, </w:t>
      </w:r>
      <w:proofErr w:type="spellStart"/>
      <w:r w:rsidR="00B2540B" w:rsidRPr="00A42E3A">
        <w:rPr>
          <w:lang w:val="fr-CH"/>
        </w:rPr>
        <w:t>Faour</w:t>
      </w:r>
      <w:proofErr w:type="spellEnd"/>
      <w:r w:rsidR="00B2540B" w:rsidRPr="00A42E3A">
        <w:rPr>
          <w:lang w:val="fr-CH"/>
        </w:rPr>
        <w:t xml:space="preserve"> A, Rawlins J, </w:t>
      </w:r>
      <w:r w:rsidR="00157276" w:rsidRPr="00157276">
        <w:rPr>
          <w:lang w:val="fr-CH"/>
        </w:rPr>
        <w:t xml:space="preserve">Dawkins </w:t>
      </w:r>
      <w:r w:rsidR="00157276">
        <w:rPr>
          <w:lang w:val="fr-CH"/>
        </w:rPr>
        <w:t>S</w:t>
      </w:r>
      <w:r w:rsidR="00157276" w:rsidRPr="00157276">
        <w:rPr>
          <w:lang w:val="fr-CH"/>
        </w:rPr>
        <w:t xml:space="preserve">, Appleby </w:t>
      </w:r>
      <w:r w:rsidR="00157276">
        <w:rPr>
          <w:lang w:val="fr-CH"/>
        </w:rPr>
        <w:t>CE</w:t>
      </w:r>
      <w:r w:rsidR="00157276" w:rsidRPr="00157276">
        <w:rPr>
          <w:lang w:val="fr-CH"/>
        </w:rPr>
        <w:t xml:space="preserve">, </w:t>
      </w:r>
      <w:proofErr w:type="spellStart"/>
      <w:r w:rsidR="00157276" w:rsidRPr="00157276">
        <w:rPr>
          <w:lang w:val="fr-CH"/>
        </w:rPr>
        <w:t>MacCarthy</w:t>
      </w:r>
      <w:proofErr w:type="spellEnd"/>
      <w:r w:rsidR="00157276" w:rsidRPr="00157276">
        <w:rPr>
          <w:lang w:val="fr-CH"/>
        </w:rPr>
        <w:t xml:space="preserve"> </w:t>
      </w:r>
      <w:r w:rsidR="00157276">
        <w:rPr>
          <w:lang w:val="fr-CH"/>
        </w:rPr>
        <w:t>P</w:t>
      </w:r>
      <w:r w:rsidR="00157276" w:rsidRPr="00157276">
        <w:rPr>
          <w:lang w:val="fr-CH"/>
        </w:rPr>
        <w:t xml:space="preserve">, </w:t>
      </w:r>
      <w:r w:rsidR="00B2540B" w:rsidRPr="00157276">
        <w:rPr>
          <w:lang w:val="fr-CH"/>
        </w:rPr>
        <w:t>et al.</w:t>
      </w:r>
      <w:r w:rsidR="00B2540B" w:rsidRPr="00A42E3A">
        <w:rPr>
          <w:lang w:val="fr-CH"/>
        </w:rPr>
        <w:t xml:space="preserve"> </w:t>
      </w:r>
      <w:r w:rsidR="00B2540B" w:rsidRPr="00B75DCF">
        <w:t xml:space="preserve">‘Valve for Life’: tackling the deficit in transcatheter treatment of heart valve disease in the UK. </w:t>
      </w:r>
      <w:r w:rsidR="00B2540B" w:rsidRPr="002E4729">
        <w:t>Open Heart</w:t>
      </w:r>
      <w:r w:rsidR="00157276">
        <w:t>.</w:t>
      </w:r>
      <w:r w:rsidR="00B2540B" w:rsidRPr="002E4729">
        <w:t xml:space="preserve"> </w:t>
      </w:r>
      <w:r w:rsidR="00B2540B" w:rsidRPr="00B75DCF">
        <w:t>2021;</w:t>
      </w:r>
      <w:proofErr w:type="gramStart"/>
      <w:r w:rsidR="00B2540B" w:rsidRPr="00B75DCF">
        <w:t>8:e</w:t>
      </w:r>
      <w:proofErr w:type="gramEnd"/>
      <w:r w:rsidR="00B2540B" w:rsidRPr="00B75DCF">
        <w:t>001547.</w:t>
      </w:r>
    </w:p>
    <w:p w14:paraId="512F0DB6" w14:textId="3DE5BC5B" w:rsidR="00157276" w:rsidRDefault="00157276" w:rsidP="00504943">
      <w:pPr>
        <w:spacing w:after="120" w:line="480" w:lineRule="auto"/>
        <w:ind w:left="284" w:hanging="284"/>
      </w:pPr>
      <w:r w:rsidRPr="00504943">
        <w:t xml:space="preserve">7. Strange GA, Stewart S, Curzen N, Ray S, Kendall S, </w:t>
      </w:r>
      <w:proofErr w:type="spellStart"/>
      <w:r w:rsidRPr="00504943">
        <w:t>Braidley</w:t>
      </w:r>
      <w:proofErr w:type="spellEnd"/>
      <w:r w:rsidRPr="00504943">
        <w:t xml:space="preserve"> P, et al. </w:t>
      </w:r>
      <w:r w:rsidRPr="00157276">
        <w:t>Uncovering the treatable burden of severe aortic stenosis in the UK. Open Heart. 2022;</w:t>
      </w:r>
      <w:proofErr w:type="gramStart"/>
      <w:r w:rsidRPr="00157276">
        <w:t>9:e</w:t>
      </w:r>
      <w:proofErr w:type="gramEnd"/>
      <w:r w:rsidRPr="00157276">
        <w:t>001783.</w:t>
      </w:r>
    </w:p>
    <w:p w14:paraId="45DC8422" w14:textId="682DF612" w:rsidR="00227BE5" w:rsidRDefault="00DC620C" w:rsidP="00504943">
      <w:pPr>
        <w:spacing w:after="120" w:line="480" w:lineRule="auto"/>
        <w:ind w:left="284" w:hanging="284"/>
      </w:pPr>
      <w:r>
        <w:t xml:space="preserve">8. </w:t>
      </w:r>
      <w:r w:rsidR="00227BE5" w:rsidRPr="00B75DCF">
        <w:t xml:space="preserve">NHS England. Transcatheter Aortic Valve Implantation (TAVI) and Surgical Aortic Valve Replacement (SAVR) for symptomatic, severe aortic stenosis (adults) to support elective performance. Available at: </w:t>
      </w:r>
      <w:hyperlink r:id="rId14" w:history="1">
        <w:r w:rsidR="00227BE5" w:rsidRPr="00BB5AE3">
          <w:rPr>
            <w:rStyle w:val="Hyperlink"/>
          </w:rPr>
          <w:t>http://www.england.nhs.uk/publication/tavi-and-savr-position-statement/</w:t>
        </w:r>
      </w:hyperlink>
    </w:p>
    <w:p w14:paraId="7C2F0D00" w14:textId="2A6928DA" w:rsidR="00F80977" w:rsidRPr="00B75DCF" w:rsidRDefault="00052775" w:rsidP="00504943">
      <w:pPr>
        <w:spacing w:after="120" w:line="480" w:lineRule="auto"/>
        <w:ind w:left="284" w:hanging="284"/>
        <w:rPr>
          <w:rFonts w:cstheme="minorHAnsi"/>
        </w:rPr>
      </w:pPr>
      <w:r>
        <w:rPr>
          <w:rFonts w:cstheme="minorHAnsi"/>
        </w:rPr>
        <w:lastRenderedPageBreak/>
        <w:t>9</w:t>
      </w:r>
      <w:r w:rsidR="003422C8">
        <w:rPr>
          <w:rFonts w:cstheme="minorHAnsi"/>
        </w:rPr>
        <w:t xml:space="preserve">. </w:t>
      </w:r>
      <w:r w:rsidR="00F80977" w:rsidRPr="00B75DCF">
        <w:rPr>
          <w:rFonts w:cstheme="minorHAnsi"/>
        </w:rPr>
        <w:t xml:space="preserve">Blackman DJ, </w:t>
      </w:r>
      <w:proofErr w:type="spellStart"/>
      <w:r w:rsidR="00F80977" w:rsidRPr="00B75DCF">
        <w:rPr>
          <w:rFonts w:cstheme="minorHAnsi"/>
        </w:rPr>
        <w:t>Ryschon</w:t>
      </w:r>
      <w:proofErr w:type="spellEnd"/>
      <w:r w:rsidR="00F80977" w:rsidRPr="00B75DCF">
        <w:rPr>
          <w:rFonts w:cstheme="minorHAnsi"/>
        </w:rPr>
        <w:t xml:space="preserve"> AM, Barnett S</w:t>
      </w:r>
      <w:r w:rsidR="006B544E" w:rsidRPr="00B75DCF">
        <w:rPr>
          <w:rFonts w:cstheme="minorHAnsi"/>
        </w:rPr>
        <w:t xml:space="preserve">, </w:t>
      </w:r>
      <w:r w:rsidR="00157276" w:rsidRPr="00157276">
        <w:rPr>
          <w:rFonts w:cstheme="minorHAnsi"/>
        </w:rPr>
        <w:t xml:space="preserve">Garner AM, Forrest JK, Reardon MR, </w:t>
      </w:r>
      <w:r w:rsidR="00F80977" w:rsidRPr="00157276">
        <w:rPr>
          <w:rFonts w:cstheme="minorHAnsi"/>
          <w:iCs/>
        </w:rPr>
        <w:t>et al.</w:t>
      </w:r>
      <w:r w:rsidR="006B544E" w:rsidRPr="00B75DCF">
        <w:rPr>
          <w:rFonts w:cstheme="minorHAnsi"/>
          <w:i/>
          <w:iCs/>
        </w:rPr>
        <w:t xml:space="preserve"> </w:t>
      </w:r>
      <w:r w:rsidR="00F80977" w:rsidRPr="00B75DCF">
        <w:rPr>
          <w:rFonts w:cstheme="minorHAnsi"/>
        </w:rPr>
        <w:t xml:space="preserve">Cost-effectiveness of TAVI in the United Kingdom: a long-term analysis based on 4-year data from the </w:t>
      </w:r>
      <w:proofErr w:type="spellStart"/>
      <w:r w:rsidR="00F80977" w:rsidRPr="00B75DCF">
        <w:rPr>
          <w:rFonts w:cstheme="minorHAnsi"/>
        </w:rPr>
        <w:t>Evolut</w:t>
      </w:r>
      <w:proofErr w:type="spellEnd"/>
      <w:r w:rsidR="00F80977" w:rsidRPr="00B75DCF">
        <w:rPr>
          <w:rFonts w:cstheme="minorHAnsi"/>
        </w:rPr>
        <w:t xml:space="preserve"> Low Risk Trial.</w:t>
      </w:r>
      <w:r w:rsidR="006B544E" w:rsidRPr="00B75DCF">
        <w:rPr>
          <w:rFonts w:cstheme="minorHAnsi"/>
        </w:rPr>
        <w:t xml:space="preserve"> </w:t>
      </w:r>
      <w:proofErr w:type="spellStart"/>
      <w:r w:rsidR="00F80977" w:rsidRPr="002E4729">
        <w:rPr>
          <w:rFonts w:cstheme="minorHAnsi"/>
        </w:rPr>
        <w:t>Eur</w:t>
      </w:r>
      <w:proofErr w:type="spellEnd"/>
      <w:r w:rsidR="00F80977" w:rsidRPr="002E4729">
        <w:rPr>
          <w:rFonts w:cstheme="minorHAnsi"/>
        </w:rPr>
        <w:t xml:space="preserve"> J Health Econ</w:t>
      </w:r>
      <w:r w:rsidR="00157276">
        <w:rPr>
          <w:rFonts w:cstheme="minorHAnsi"/>
        </w:rPr>
        <w:t>.</w:t>
      </w:r>
      <w:r w:rsidR="006B544E" w:rsidRPr="00B75DCF">
        <w:rPr>
          <w:rFonts w:cstheme="minorHAnsi"/>
        </w:rPr>
        <w:t xml:space="preserve"> </w:t>
      </w:r>
      <w:r w:rsidR="00F80977" w:rsidRPr="00B75DCF">
        <w:rPr>
          <w:rFonts w:cstheme="minorHAnsi"/>
        </w:rPr>
        <w:t>2024</w:t>
      </w:r>
      <w:r w:rsidR="00640586">
        <w:rPr>
          <w:rFonts w:cstheme="minorHAnsi"/>
        </w:rPr>
        <w:t>.</w:t>
      </w:r>
      <w:r w:rsidR="00F80977" w:rsidRPr="00B75DCF">
        <w:rPr>
          <w:rFonts w:cstheme="minorHAnsi"/>
        </w:rPr>
        <w:t xml:space="preserve"> doi.org/10.1007/s10198-024-01739-2.</w:t>
      </w:r>
    </w:p>
    <w:p w14:paraId="048B8CA5" w14:textId="2C1573FE" w:rsidR="00227BE5" w:rsidRPr="006A255F" w:rsidRDefault="001162AA" w:rsidP="00504943">
      <w:pPr>
        <w:spacing w:after="120" w:line="480" w:lineRule="auto"/>
        <w:ind w:left="284" w:hanging="284"/>
        <w:rPr>
          <w:rFonts w:cstheme="minorHAnsi"/>
          <w:lang w:val="it-IT"/>
        </w:rPr>
      </w:pPr>
      <w:r>
        <w:rPr>
          <w:rFonts w:cstheme="minorHAnsi"/>
        </w:rPr>
        <w:t>10</w:t>
      </w:r>
      <w:r w:rsidR="00227BE5">
        <w:rPr>
          <w:rFonts w:cstheme="minorHAnsi"/>
        </w:rPr>
        <w:t xml:space="preserve">. </w:t>
      </w:r>
      <w:r w:rsidR="00227BE5" w:rsidRPr="00B75DCF">
        <w:rPr>
          <w:rFonts w:cstheme="minorHAnsi"/>
        </w:rPr>
        <w:t xml:space="preserve">Gilard M, </w:t>
      </w:r>
      <w:proofErr w:type="spellStart"/>
      <w:r w:rsidR="00227BE5" w:rsidRPr="00B75DCF">
        <w:rPr>
          <w:rFonts w:cstheme="minorHAnsi"/>
        </w:rPr>
        <w:t>Eltchaninoff</w:t>
      </w:r>
      <w:proofErr w:type="spellEnd"/>
      <w:r w:rsidR="00227BE5" w:rsidRPr="00B75DCF">
        <w:rPr>
          <w:rFonts w:cstheme="minorHAnsi"/>
        </w:rPr>
        <w:t xml:space="preserve"> H, </w:t>
      </w:r>
      <w:proofErr w:type="spellStart"/>
      <w:r w:rsidR="00227BE5" w:rsidRPr="00B75DCF">
        <w:rPr>
          <w:rFonts w:cstheme="minorHAnsi"/>
        </w:rPr>
        <w:t>Iung</w:t>
      </w:r>
      <w:proofErr w:type="spellEnd"/>
      <w:r w:rsidR="00227BE5" w:rsidRPr="00B75DCF">
        <w:rPr>
          <w:rFonts w:cstheme="minorHAnsi"/>
        </w:rPr>
        <w:t xml:space="preserve"> B, </w:t>
      </w:r>
      <w:r w:rsidR="00157276" w:rsidRPr="00157276">
        <w:rPr>
          <w:rFonts w:cstheme="minorHAnsi"/>
        </w:rPr>
        <w:t xml:space="preserve">Lefèvre T, Spaulding C, </w:t>
      </w:r>
      <w:proofErr w:type="spellStart"/>
      <w:r w:rsidR="00157276" w:rsidRPr="00157276">
        <w:rPr>
          <w:rFonts w:cstheme="minorHAnsi"/>
        </w:rPr>
        <w:t>Dumonteil</w:t>
      </w:r>
      <w:proofErr w:type="spellEnd"/>
      <w:r w:rsidR="00157276" w:rsidRPr="00157276">
        <w:rPr>
          <w:rFonts w:cstheme="minorHAnsi"/>
        </w:rPr>
        <w:t xml:space="preserve"> N, </w:t>
      </w:r>
      <w:r w:rsidR="00227BE5" w:rsidRPr="00157276">
        <w:rPr>
          <w:rFonts w:cstheme="minorHAnsi"/>
        </w:rPr>
        <w:t>et al.</w:t>
      </w:r>
      <w:r w:rsidR="00227BE5" w:rsidRPr="00B75DCF">
        <w:rPr>
          <w:rFonts w:cstheme="minorHAnsi"/>
        </w:rPr>
        <w:t xml:space="preserve"> Cost-effectiveness analysis of SAPIEN 3 TAVI procedure compared with surgery in patients with severe aortic stenosis at low risk of surgical mortality in France. </w:t>
      </w:r>
      <w:r w:rsidR="00227BE5" w:rsidRPr="006A255F">
        <w:rPr>
          <w:rFonts w:cstheme="minorHAnsi"/>
          <w:lang w:val="it-IT"/>
        </w:rPr>
        <w:t>Value Health</w:t>
      </w:r>
      <w:r w:rsidR="00157276" w:rsidRPr="006A255F">
        <w:rPr>
          <w:rFonts w:cstheme="minorHAnsi"/>
          <w:lang w:val="it-IT"/>
        </w:rPr>
        <w:t>.</w:t>
      </w:r>
      <w:r w:rsidR="00227BE5" w:rsidRPr="006A255F">
        <w:rPr>
          <w:rFonts w:cstheme="minorHAnsi"/>
          <w:lang w:val="it-IT"/>
        </w:rPr>
        <w:t xml:space="preserve"> 2022;25:605–13.</w:t>
      </w:r>
    </w:p>
    <w:p w14:paraId="69E165C5" w14:textId="7F7FA05A" w:rsidR="00227BE5" w:rsidRPr="000E4D27" w:rsidRDefault="00227BE5" w:rsidP="00504943">
      <w:pPr>
        <w:spacing w:after="120" w:line="480" w:lineRule="auto"/>
        <w:ind w:left="284" w:hanging="284"/>
        <w:rPr>
          <w:rFonts w:cstheme="minorHAnsi"/>
        </w:rPr>
      </w:pPr>
      <w:r w:rsidRPr="006A255F">
        <w:rPr>
          <w:rFonts w:cstheme="minorHAnsi"/>
          <w:lang w:val="it-IT"/>
        </w:rPr>
        <w:t>1</w:t>
      </w:r>
      <w:r w:rsidR="0037449D" w:rsidRPr="006A255F">
        <w:rPr>
          <w:rFonts w:cstheme="minorHAnsi"/>
          <w:lang w:val="it-IT"/>
        </w:rPr>
        <w:t>1</w:t>
      </w:r>
      <w:r w:rsidRPr="006A255F">
        <w:rPr>
          <w:rFonts w:cstheme="minorHAnsi"/>
          <w:lang w:val="it-IT"/>
        </w:rPr>
        <w:t>. Mennini FS, Meucci F, Pesarini G,</w:t>
      </w:r>
      <w:r w:rsidR="00847755" w:rsidRPr="006A255F">
        <w:rPr>
          <w:lang w:val="it-IT"/>
        </w:rPr>
        <w:t xml:space="preserve"> </w:t>
      </w:r>
      <w:r w:rsidR="00847755" w:rsidRPr="006A255F">
        <w:rPr>
          <w:rFonts w:cstheme="minorHAnsi"/>
          <w:lang w:val="it-IT"/>
        </w:rPr>
        <w:t>Vandoni P, Lettino M, Sarmah A,</w:t>
      </w:r>
      <w:r w:rsidRPr="006A255F">
        <w:rPr>
          <w:rFonts w:cstheme="minorHAnsi"/>
          <w:lang w:val="it-IT"/>
        </w:rPr>
        <w:t xml:space="preserve"> et al. </w:t>
      </w:r>
      <w:r w:rsidRPr="00B75DCF">
        <w:rPr>
          <w:rFonts w:cstheme="minorHAnsi"/>
        </w:rPr>
        <w:t xml:space="preserve">Cost-effectiveness of transcatheter aortic valve implantation versus surgical aortic valve replacement in low surgical risk aortic stenosis patients. </w:t>
      </w:r>
      <w:r w:rsidRPr="002E4729">
        <w:rPr>
          <w:rFonts w:cstheme="minorHAnsi"/>
        </w:rPr>
        <w:t xml:space="preserve">Int J </w:t>
      </w:r>
      <w:proofErr w:type="spellStart"/>
      <w:r w:rsidRPr="002E4729">
        <w:rPr>
          <w:rFonts w:cstheme="minorHAnsi"/>
        </w:rPr>
        <w:t>Cardiol</w:t>
      </w:r>
      <w:proofErr w:type="spellEnd"/>
      <w:r w:rsidR="00847755">
        <w:rPr>
          <w:rFonts w:cstheme="minorHAnsi"/>
        </w:rPr>
        <w:t>.</w:t>
      </w:r>
      <w:r w:rsidRPr="000E4D27">
        <w:rPr>
          <w:rFonts w:cstheme="minorHAnsi"/>
        </w:rPr>
        <w:t xml:space="preserve"> </w:t>
      </w:r>
      <w:proofErr w:type="gramStart"/>
      <w:r w:rsidRPr="000E4D27">
        <w:rPr>
          <w:rFonts w:cstheme="minorHAnsi"/>
        </w:rPr>
        <w:t>2022;357:26</w:t>
      </w:r>
      <w:proofErr w:type="gramEnd"/>
      <w:r w:rsidRPr="000E4D27">
        <w:rPr>
          <w:rFonts w:cstheme="minorHAnsi"/>
        </w:rPr>
        <w:t>–32.</w:t>
      </w:r>
    </w:p>
    <w:p w14:paraId="50A8D6D6" w14:textId="0FD31AD2" w:rsidR="00227BE5" w:rsidRPr="00242435" w:rsidRDefault="00227BE5" w:rsidP="00504943">
      <w:pPr>
        <w:spacing w:after="120" w:line="480" w:lineRule="auto"/>
        <w:ind w:left="284" w:hanging="284"/>
        <w:rPr>
          <w:rFonts w:cstheme="minorHAnsi"/>
          <w:lang w:val="de-CH"/>
        </w:rPr>
      </w:pPr>
      <w:r w:rsidRPr="000E4D27">
        <w:rPr>
          <w:rFonts w:cstheme="minorHAnsi"/>
        </w:rPr>
        <w:t>1</w:t>
      </w:r>
      <w:r w:rsidR="0037449D">
        <w:rPr>
          <w:rFonts w:cstheme="minorHAnsi"/>
        </w:rPr>
        <w:t>2</w:t>
      </w:r>
      <w:r w:rsidRPr="000E4D27">
        <w:rPr>
          <w:rFonts w:cstheme="minorHAnsi"/>
        </w:rPr>
        <w:t xml:space="preserve">. Vázquez Rodríguez JM, Bermúdez EP, Zamorano JL, </w:t>
      </w:r>
      <w:r w:rsidR="00A01CEF" w:rsidRPr="00A01CEF">
        <w:rPr>
          <w:rFonts w:cstheme="minorHAnsi"/>
        </w:rPr>
        <w:t>Burgos</w:t>
      </w:r>
      <w:r w:rsidR="00A01CEF">
        <w:rPr>
          <w:rFonts w:cstheme="minorHAnsi"/>
        </w:rPr>
        <w:t xml:space="preserve"> JM</w:t>
      </w:r>
      <w:r w:rsidR="00A01CEF" w:rsidRPr="00A01CEF">
        <w:rPr>
          <w:rFonts w:cstheme="minorHAnsi"/>
        </w:rPr>
        <w:t>, Díaz-Fernández</w:t>
      </w:r>
      <w:r w:rsidR="00A01CEF">
        <w:rPr>
          <w:rFonts w:cstheme="minorHAnsi"/>
        </w:rPr>
        <w:t xml:space="preserve"> JF</w:t>
      </w:r>
      <w:r w:rsidR="00A01CEF" w:rsidRPr="00A01CEF">
        <w:rPr>
          <w:rFonts w:cstheme="minorHAnsi"/>
        </w:rPr>
        <w:t>, del Blanco</w:t>
      </w:r>
      <w:r w:rsidR="00A01CEF">
        <w:rPr>
          <w:rFonts w:cstheme="minorHAnsi"/>
        </w:rPr>
        <w:t xml:space="preserve"> BG, </w:t>
      </w:r>
      <w:r w:rsidRPr="00A01CEF">
        <w:rPr>
          <w:rFonts w:cstheme="minorHAnsi"/>
        </w:rPr>
        <w:t>et al.</w:t>
      </w:r>
      <w:r w:rsidRPr="000E4D27">
        <w:rPr>
          <w:rFonts w:cstheme="minorHAnsi"/>
        </w:rPr>
        <w:t xml:space="preserve"> </w:t>
      </w:r>
      <w:r w:rsidRPr="00B75DCF">
        <w:rPr>
          <w:rFonts w:cstheme="minorHAnsi"/>
        </w:rPr>
        <w:t xml:space="preserve">Cost-effectiveness of SAPIEN 3 transcatheter aortic valve implantation in low surgical mortality risk patients in Spain. </w:t>
      </w:r>
      <w:r w:rsidRPr="00242435">
        <w:rPr>
          <w:rFonts w:cstheme="minorHAnsi"/>
          <w:lang w:val="de-CH"/>
        </w:rPr>
        <w:t>REC Interv Cardiol</w:t>
      </w:r>
      <w:r w:rsidR="00A01CEF" w:rsidRPr="00242435">
        <w:rPr>
          <w:rFonts w:cstheme="minorHAnsi"/>
          <w:lang w:val="de-CH"/>
        </w:rPr>
        <w:t>.</w:t>
      </w:r>
      <w:r w:rsidRPr="00242435">
        <w:rPr>
          <w:rFonts w:cstheme="minorHAnsi"/>
          <w:lang w:val="de-CH"/>
        </w:rPr>
        <w:t xml:space="preserve"> 2023:38–45.</w:t>
      </w:r>
    </w:p>
    <w:p w14:paraId="54F5105C" w14:textId="5D926AD5" w:rsidR="00227BE5" w:rsidRPr="009020DD" w:rsidRDefault="00227BE5" w:rsidP="00504943">
      <w:pPr>
        <w:spacing w:after="120" w:line="480" w:lineRule="auto"/>
        <w:ind w:left="284" w:hanging="284"/>
        <w:rPr>
          <w:rFonts w:cstheme="minorHAnsi"/>
          <w:lang w:val="fr-CH"/>
        </w:rPr>
      </w:pPr>
      <w:r w:rsidRPr="00242435">
        <w:rPr>
          <w:rFonts w:cstheme="minorHAnsi"/>
          <w:lang w:val="de-CH"/>
        </w:rPr>
        <w:t>1</w:t>
      </w:r>
      <w:r w:rsidR="0037449D" w:rsidRPr="00242435">
        <w:rPr>
          <w:rFonts w:cstheme="minorHAnsi"/>
          <w:lang w:val="de-CH"/>
        </w:rPr>
        <w:t>3</w:t>
      </w:r>
      <w:r w:rsidRPr="00242435">
        <w:rPr>
          <w:rFonts w:cstheme="minorHAnsi"/>
          <w:lang w:val="de-CH"/>
        </w:rPr>
        <w:t xml:space="preserve">. Kuck KH, Leidl R, Frankenstein L, </w:t>
      </w:r>
      <w:r w:rsidR="00A01CEF" w:rsidRPr="00242435">
        <w:rPr>
          <w:rFonts w:cstheme="minorHAnsi"/>
          <w:lang w:val="de-CH"/>
        </w:rPr>
        <w:t xml:space="preserve">Wahlers T, Sarmah A, Candolfi P, </w:t>
      </w:r>
      <w:r w:rsidRPr="00242435">
        <w:rPr>
          <w:rFonts w:cstheme="minorHAnsi"/>
          <w:lang w:val="de-CH"/>
        </w:rPr>
        <w:t xml:space="preserve">et al. </w:t>
      </w:r>
      <w:r w:rsidRPr="00B75DCF">
        <w:rPr>
          <w:rFonts w:cstheme="minorHAnsi"/>
        </w:rPr>
        <w:t xml:space="preserve">Cost-Effectiveness of SAPIEN 3 Transcatheter Aortic Valve Implantation Versus Surgical Aortic Valve Replacement in German Severe Aortic Stenosis Patients at Low Surgical Mortality Risk. </w:t>
      </w:r>
      <w:r w:rsidRPr="002E4729">
        <w:rPr>
          <w:rFonts w:cstheme="minorHAnsi"/>
          <w:lang w:val="fr-CH"/>
        </w:rPr>
        <w:t xml:space="preserve">Adv </w:t>
      </w:r>
      <w:proofErr w:type="spellStart"/>
      <w:r w:rsidRPr="002E4729">
        <w:rPr>
          <w:rFonts w:cstheme="minorHAnsi"/>
          <w:lang w:val="fr-CH"/>
        </w:rPr>
        <w:t>Ther</w:t>
      </w:r>
      <w:proofErr w:type="spellEnd"/>
      <w:r w:rsidR="00A01CEF">
        <w:rPr>
          <w:rFonts w:cstheme="minorHAnsi"/>
          <w:lang w:val="fr-CH"/>
        </w:rPr>
        <w:t>.</w:t>
      </w:r>
      <w:r w:rsidRPr="009020DD">
        <w:rPr>
          <w:rFonts w:cstheme="minorHAnsi"/>
          <w:lang w:val="fr-CH"/>
        </w:rPr>
        <w:t xml:space="preserve"> </w:t>
      </w:r>
      <w:proofErr w:type="gramStart"/>
      <w:r w:rsidRPr="009020DD">
        <w:rPr>
          <w:rFonts w:cstheme="minorHAnsi"/>
          <w:lang w:val="fr-CH"/>
        </w:rPr>
        <w:t>2023;40:</w:t>
      </w:r>
      <w:proofErr w:type="gramEnd"/>
      <w:r w:rsidRPr="009020DD">
        <w:rPr>
          <w:rFonts w:cstheme="minorHAnsi"/>
          <w:lang w:val="fr-CH"/>
        </w:rPr>
        <w:t>1031–46.</w:t>
      </w:r>
    </w:p>
    <w:p w14:paraId="24ADBCE7" w14:textId="47915965" w:rsidR="003641B9" w:rsidRPr="004D180C" w:rsidRDefault="003422C8" w:rsidP="00504943">
      <w:pPr>
        <w:spacing w:after="120" w:line="480" w:lineRule="auto"/>
        <w:ind w:left="284" w:hanging="284"/>
        <w:rPr>
          <w:rFonts w:cstheme="minorHAnsi"/>
          <w:lang w:val="nl-NL"/>
        </w:rPr>
      </w:pPr>
      <w:r w:rsidRPr="009020DD">
        <w:rPr>
          <w:rFonts w:cstheme="minorHAnsi"/>
          <w:lang w:val="fr-CH"/>
        </w:rPr>
        <w:t>1</w:t>
      </w:r>
      <w:r w:rsidR="0037449D">
        <w:rPr>
          <w:rFonts w:cstheme="minorHAnsi"/>
          <w:lang w:val="fr-CH"/>
        </w:rPr>
        <w:t>4</w:t>
      </w:r>
      <w:r w:rsidRPr="009020DD">
        <w:rPr>
          <w:rFonts w:cstheme="minorHAnsi"/>
          <w:lang w:val="fr-CH"/>
        </w:rPr>
        <w:t xml:space="preserve">. </w:t>
      </w:r>
      <w:r w:rsidR="003A34DE" w:rsidRPr="009020DD">
        <w:rPr>
          <w:rFonts w:cstheme="minorHAnsi"/>
          <w:lang w:val="fr-CH"/>
        </w:rPr>
        <w:t>Dubois C, Adriaenssens T, Annemans L,</w:t>
      </w:r>
      <w:r w:rsidR="00A01CEF" w:rsidRPr="00242435">
        <w:rPr>
          <w:lang w:val="fr-CH"/>
        </w:rPr>
        <w:t xml:space="preserve"> </w:t>
      </w:r>
      <w:r w:rsidR="00A01CEF" w:rsidRPr="00A01CEF">
        <w:rPr>
          <w:rFonts w:cstheme="minorHAnsi"/>
          <w:lang w:val="fr-CH"/>
        </w:rPr>
        <w:t>Bosmans J, Callebaut B, Candolfi P,</w:t>
      </w:r>
      <w:r w:rsidR="003A34DE" w:rsidRPr="00A01CEF">
        <w:rPr>
          <w:rFonts w:cstheme="minorHAnsi"/>
          <w:lang w:val="fr-CH"/>
        </w:rPr>
        <w:t xml:space="preserve"> </w:t>
      </w:r>
      <w:r w:rsidR="00D93C72" w:rsidRPr="00A01CEF">
        <w:rPr>
          <w:rFonts w:cstheme="minorHAnsi"/>
          <w:lang w:val="fr-CH"/>
        </w:rPr>
        <w:t>et al</w:t>
      </w:r>
      <w:r w:rsidR="003A34DE" w:rsidRPr="00A01CEF">
        <w:rPr>
          <w:rFonts w:cstheme="minorHAnsi"/>
          <w:lang w:val="fr-CH"/>
        </w:rPr>
        <w:t>.</w:t>
      </w:r>
      <w:r w:rsidR="003A34DE" w:rsidRPr="009020DD">
        <w:rPr>
          <w:rFonts w:cstheme="minorHAnsi"/>
          <w:lang w:val="fr-CH"/>
        </w:rPr>
        <w:t xml:space="preserve"> </w:t>
      </w:r>
      <w:r w:rsidR="003A34DE" w:rsidRPr="00B75DCF">
        <w:rPr>
          <w:rFonts w:cstheme="minorHAnsi"/>
        </w:rPr>
        <w:t xml:space="preserve">Transcatheter aortic valve implantation versus surgical aortic valve replacement in severe aortic stenosis patients at low surgical mortality risk: a cost-effectiveness analysis in Belgium. </w:t>
      </w:r>
      <w:r w:rsidR="003A34DE" w:rsidRPr="002E4729">
        <w:rPr>
          <w:rFonts w:cstheme="minorHAnsi"/>
          <w:lang w:val="nl-NL"/>
        </w:rPr>
        <w:t>Acta Cardiol</w:t>
      </w:r>
      <w:r w:rsidR="00A01CEF">
        <w:rPr>
          <w:rFonts w:cstheme="minorHAnsi"/>
          <w:lang w:val="nl-NL"/>
        </w:rPr>
        <w:t>.</w:t>
      </w:r>
      <w:r w:rsidR="003A34DE" w:rsidRPr="004D180C">
        <w:rPr>
          <w:rFonts w:cstheme="minorHAnsi"/>
          <w:lang w:val="nl-NL"/>
        </w:rPr>
        <w:t xml:space="preserve"> 2024;79:46</w:t>
      </w:r>
      <w:r w:rsidR="00D93C72" w:rsidRPr="004D180C">
        <w:rPr>
          <w:rFonts w:cstheme="minorHAnsi"/>
          <w:lang w:val="nl-NL"/>
        </w:rPr>
        <w:t>–</w:t>
      </w:r>
      <w:r w:rsidR="003A34DE" w:rsidRPr="004D180C">
        <w:rPr>
          <w:rFonts w:cstheme="minorHAnsi"/>
          <w:lang w:val="nl-NL"/>
        </w:rPr>
        <w:t xml:space="preserve">57. </w:t>
      </w:r>
    </w:p>
    <w:p w14:paraId="3834A2CA" w14:textId="5390EAFA" w:rsidR="003641B9" w:rsidRPr="00B75DCF" w:rsidRDefault="003422C8" w:rsidP="00504943">
      <w:pPr>
        <w:spacing w:after="120" w:line="480" w:lineRule="auto"/>
        <w:ind w:left="284" w:hanging="284"/>
        <w:rPr>
          <w:rFonts w:cstheme="minorHAnsi"/>
        </w:rPr>
      </w:pPr>
      <w:r w:rsidRPr="003422C8">
        <w:rPr>
          <w:rFonts w:cstheme="minorHAnsi"/>
          <w:lang w:val="nl-NL"/>
        </w:rPr>
        <w:t>1</w:t>
      </w:r>
      <w:r w:rsidR="0037449D">
        <w:rPr>
          <w:rFonts w:cstheme="minorHAnsi"/>
          <w:lang w:val="nl-NL"/>
        </w:rPr>
        <w:t>5</w:t>
      </w:r>
      <w:r w:rsidRPr="003422C8">
        <w:rPr>
          <w:rFonts w:cstheme="minorHAnsi"/>
          <w:lang w:val="nl-NL"/>
        </w:rPr>
        <w:t xml:space="preserve">. </w:t>
      </w:r>
      <w:r w:rsidR="003A34DE" w:rsidRPr="003422C8">
        <w:rPr>
          <w:rFonts w:cstheme="minorHAnsi"/>
          <w:lang w:val="nl-NL"/>
        </w:rPr>
        <w:t xml:space="preserve">Eerdekens R, Kats S, Grutters JP, </w:t>
      </w:r>
      <w:r w:rsidR="00A01CEF" w:rsidRPr="00A01CEF">
        <w:rPr>
          <w:rFonts w:cstheme="minorHAnsi"/>
          <w:lang w:val="nl-NL"/>
        </w:rPr>
        <w:t xml:space="preserve">Green M, Shore J, Candolfi P, </w:t>
      </w:r>
      <w:r w:rsidR="00D93C72" w:rsidRPr="00A01CEF">
        <w:rPr>
          <w:rFonts w:cstheme="minorHAnsi"/>
          <w:lang w:val="nl-NL"/>
        </w:rPr>
        <w:t>et al</w:t>
      </w:r>
      <w:r w:rsidR="003A34DE" w:rsidRPr="00A01CEF">
        <w:rPr>
          <w:rFonts w:cstheme="minorHAnsi"/>
          <w:lang w:val="nl-NL"/>
        </w:rPr>
        <w:t>.</w:t>
      </w:r>
      <w:r w:rsidR="003A34DE" w:rsidRPr="003422C8">
        <w:rPr>
          <w:rFonts w:cstheme="minorHAnsi"/>
          <w:lang w:val="nl-NL"/>
        </w:rPr>
        <w:t xml:space="preserve"> </w:t>
      </w:r>
      <w:r w:rsidR="003A34DE" w:rsidRPr="00B75DCF">
        <w:rPr>
          <w:rFonts w:cstheme="minorHAnsi"/>
        </w:rPr>
        <w:t xml:space="preserve">Cost-utility analysis of TAVI compared with surgery in patients with severe aortic stenosis at low risk of surgical mortality in the Netherlands. </w:t>
      </w:r>
      <w:r w:rsidR="003A34DE" w:rsidRPr="002E4729">
        <w:rPr>
          <w:rFonts w:cstheme="minorHAnsi"/>
        </w:rPr>
        <w:t xml:space="preserve">Cost Eff </w:t>
      </w:r>
      <w:proofErr w:type="spellStart"/>
      <w:r w:rsidR="003A34DE" w:rsidRPr="002E4729">
        <w:rPr>
          <w:rFonts w:cstheme="minorHAnsi"/>
        </w:rPr>
        <w:t>Resour</w:t>
      </w:r>
      <w:proofErr w:type="spellEnd"/>
      <w:r w:rsidR="003A34DE" w:rsidRPr="002E4729">
        <w:rPr>
          <w:rFonts w:cstheme="minorHAnsi"/>
        </w:rPr>
        <w:t xml:space="preserve"> </w:t>
      </w:r>
      <w:proofErr w:type="spellStart"/>
      <w:r w:rsidR="003A34DE" w:rsidRPr="002E4729">
        <w:rPr>
          <w:rFonts w:cstheme="minorHAnsi"/>
        </w:rPr>
        <w:t>Alloc</w:t>
      </w:r>
      <w:proofErr w:type="spellEnd"/>
      <w:r w:rsidR="00A01CEF">
        <w:rPr>
          <w:rFonts w:cstheme="minorHAnsi"/>
        </w:rPr>
        <w:t>.</w:t>
      </w:r>
      <w:r w:rsidR="003A34DE" w:rsidRPr="00B75DCF">
        <w:rPr>
          <w:rFonts w:cstheme="minorHAnsi"/>
        </w:rPr>
        <w:t xml:space="preserve"> </w:t>
      </w:r>
      <w:proofErr w:type="gramStart"/>
      <w:r w:rsidR="003A34DE" w:rsidRPr="00B75DCF">
        <w:rPr>
          <w:rFonts w:cstheme="minorHAnsi"/>
        </w:rPr>
        <w:t>2024;22:24</w:t>
      </w:r>
      <w:proofErr w:type="gramEnd"/>
      <w:r w:rsidR="003A34DE" w:rsidRPr="00B75DCF">
        <w:rPr>
          <w:rFonts w:cstheme="minorHAnsi"/>
        </w:rPr>
        <w:t xml:space="preserve">. </w:t>
      </w:r>
    </w:p>
    <w:p w14:paraId="3C0EAF24" w14:textId="5D815D8E" w:rsidR="00227BE5" w:rsidRPr="006A255F" w:rsidRDefault="00227BE5" w:rsidP="00504943">
      <w:pPr>
        <w:spacing w:after="120" w:line="480" w:lineRule="auto"/>
        <w:ind w:left="284" w:hanging="284"/>
        <w:rPr>
          <w:lang w:val="it-IT"/>
        </w:rPr>
      </w:pPr>
      <w:r>
        <w:lastRenderedPageBreak/>
        <w:t>1</w:t>
      </w:r>
      <w:r w:rsidR="0037449D">
        <w:t>6</w:t>
      </w:r>
      <w:r>
        <w:t xml:space="preserve">. </w:t>
      </w:r>
      <w:r w:rsidRPr="00B75DCF">
        <w:t xml:space="preserve">Nilsson K, James S, Angerås </w:t>
      </w:r>
      <w:r w:rsidR="00A01CEF">
        <w:t>O</w:t>
      </w:r>
      <w:r w:rsidRPr="00B75DCF">
        <w:t>,</w:t>
      </w:r>
      <w:r w:rsidR="00A01CEF" w:rsidRPr="00A01CEF">
        <w:t xml:space="preserve"> Backes J, Bjursten H, Candolfi P,</w:t>
      </w:r>
      <w:r w:rsidRPr="00B75DCF">
        <w:t xml:space="preserve"> </w:t>
      </w:r>
      <w:r w:rsidRPr="00A01CEF">
        <w:t>et al.</w:t>
      </w:r>
      <w:r w:rsidRPr="00B75DCF">
        <w:t xml:space="preserve"> Cost-effectiveness analysis of transcatheter aortic valve implantation versus surgical aortic valve replacement in patients with severe aortic stenosis at low risk of surgical mortality in Sweden. </w:t>
      </w:r>
      <w:r w:rsidRPr="006A255F">
        <w:rPr>
          <w:lang w:val="it-IT"/>
        </w:rPr>
        <w:t>Upsala J Med Sci</w:t>
      </w:r>
      <w:r w:rsidR="00A01CEF" w:rsidRPr="006A255F">
        <w:rPr>
          <w:lang w:val="it-IT"/>
        </w:rPr>
        <w:t>.</w:t>
      </w:r>
      <w:r w:rsidRPr="006A255F">
        <w:rPr>
          <w:i/>
          <w:iCs/>
          <w:lang w:val="it-IT"/>
        </w:rPr>
        <w:t xml:space="preserve"> </w:t>
      </w:r>
      <w:r w:rsidRPr="006A255F">
        <w:rPr>
          <w:lang w:val="it-IT"/>
        </w:rPr>
        <w:t xml:space="preserve">2024;129:e10741. </w:t>
      </w:r>
    </w:p>
    <w:p w14:paraId="4957B123" w14:textId="353F6E90" w:rsidR="00227BE5" w:rsidRPr="00B75DCF" w:rsidRDefault="00227BE5" w:rsidP="00504943">
      <w:pPr>
        <w:spacing w:after="120" w:line="480" w:lineRule="auto"/>
        <w:ind w:left="284" w:hanging="284"/>
      </w:pPr>
      <w:r w:rsidRPr="00F01336">
        <w:rPr>
          <w:lang w:val="it-IT"/>
        </w:rPr>
        <w:t>1</w:t>
      </w:r>
      <w:r w:rsidR="0037449D">
        <w:rPr>
          <w:lang w:val="it-IT"/>
        </w:rPr>
        <w:t>7</w:t>
      </w:r>
      <w:r w:rsidRPr="00F01336">
        <w:rPr>
          <w:lang w:val="it-IT"/>
        </w:rPr>
        <w:t>. Wyss CA, Corti R, Nestelberger T,</w:t>
      </w:r>
      <w:r w:rsidR="00A01CEF" w:rsidRPr="006A255F">
        <w:rPr>
          <w:lang w:val="it-IT"/>
        </w:rPr>
        <w:t xml:space="preserve"> </w:t>
      </w:r>
      <w:r w:rsidR="00A01CEF" w:rsidRPr="00A01CEF">
        <w:rPr>
          <w:lang w:val="it-IT"/>
        </w:rPr>
        <w:t>Candolfi P, Delbaere A, Fischer B,</w:t>
      </w:r>
      <w:r w:rsidRPr="00F01336">
        <w:rPr>
          <w:lang w:val="it-IT"/>
        </w:rPr>
        <w:t xml:space="preserve"> </w:t>
      </w:r>
      <w:r w:rsidRPr="00A01CEF">
        <w:rPr>
          <w:lang w:val="it-IT"/>
        </w:rPr>
        <w:t>et al.</w:t>
      </w:r>
      <w:r w:rsidRPr="00F01336">
        <w:rPr>
          <w:lang w:val="it-IT"/>
        </w:rPr>
        <w:t xml:space="preserve"> </w:t>
      </w:r>
      <w:r w:rsidRPr="00B75DCF">
        <w:t xml:space="preserve">Transcatheter aortic valve implantation with SAPIEN 3 versus surgical aortic valve replacement in patients with symptomatic severe aortic stenosis at low risk of surgical mortality: a cost-utility analysis for Switzerland. Swiss Med </w:t>
      </w:r>
      <w:proofErr w:type="spellStart"/>
      <w:r w:rsidRPr="00B75DCF">
        <w:t>Wkly</w:t>
      </w:r>
      <w:proofErr w:type="spellEnd"/>
      <w:r w:rsidRPr="00B75DCF">
        <w:t xml:space="preserve"> [Internet]</w:t>
      </w:r>
      <w:r w:rsidR="00A01CEF">
        <w:t>.</w:t>
      </w:r>
      <w:r w:rsidRPr="00B75DCF">
        <w:t xml:space="preserve"> </w:t>
      </w:r>
      <w:proofErr w:type="gramStart"/>
      <w:r w:rsidRPr="00B75DCF">
        <w:t>2024;154:3558</w:t>
      </w:r>
      <w:proofErr w:type="gramEnd"/>
      <w:r w:rsidRPr="00B75DCF">
        <w:t xml:space="preserve">. </w:t>
      </w:r>
    </w:p>
    <w:p w14:paraId="787BFCF5" w14:textId="1E9A824F" w:rsidR="00227BE5" w:rsidRPr="00B75DCF" w:rsidRDefault="00227BE5" w:rsidP="00504943">
      <w:pPr>
        <w:spacing w:after="120" w:line="480" w:lineRule="auto"/>
        <w:ind w:left="284" w:hanging="284"/>
      </w:pPr>
      <w:r w:rsidRPr="006A255F">
        <w:rPr>
          <w:lang w:val="en-US"/>
        </w:rPr>
        <w:t>1</w:t>
      </w:r>
      <w:r w:rsidR="0024680C" w:rsidRPr="006A255F">
        <w:rPr>
          <w:lang w:val="en-US"/>
        </w:rPr>
        <w:t>8</w:t>
      </w:r>
      <w:r w:rsidRPr="006A255F">
        <w:rPr>
          <w:lang w:val="en-US"/>
        </w:rPr>
        <w:t xml:space="preserve">. Heathcote L, Srivastava T, Sarmah A, </w:t>
      </w:r>
      <w:r w:rsidR="00A01CEF" w:rsidRPr="006A255F">
        <w:rPr>
          <w:lang w:val="en-US"/>
        </w:rPr>
        <w:t xml:space="preserve">Kearns B, Sutton A, Candolfi P. </w:t>
      </w:r>
      <w:proofErr w:type="gramStart"/>
      <w:r w:rsidRPr="00B75DCF">
        <w:t>A</w:t>
      </w:r>
      <w:proofErr w:type="gramEnd"/>
      <w:r w:rsidRPr="00B75DCF">
        <w:t xml:space="preserve"> Systematic Review and Statistical Analysis of Factors Influencing the Cost-Effectiveness of Transcatheter Aortic Valve Implantation for Symptomatic Severe Aortic Stenosis. </w:t>
      </w:r>
      <w:proofErr w:type="spellStart"/>
      <w:r w:rsidRPr="002E4729">
        <w:t>Clinicoecon</w:t>
      </w:r>
      <w:proofErr w:type="spellEnd"/>
      <w:r w:rsidRPr="002E4729">
        <w:t xml:space="preserve"> Outcomes Res</w:t>
      </w:r>
      <w:r w:rsidR="00A01CEF">
        <w:t>.</w:t>
      </w:r>
      <w:r w:rsidRPr="00B75DCF">
        <w:t xml:space="preserve"> </w:t>
      </w:r>
      <w:proofErr w:type="gramStart"/>
      <w:r w:rsidRPr="00B75DCF">
        <w:t>2023;15:459</w:t>
      </w:r>
      <w:proofErr w:type="gramEnd"/>
      <w:r w:rsidRPr="00B75DCF">
        <w:t>–75.</w:t>
      </w:r>
    </w:p>
    <w:p w14:paraId="6BDB80F5" w14:textId="77C6DB8E" w:rsidR="00227BE5" w:rsidRPr="00B75DCF" w:rsidRDefault="00227BE5" w:rsidP="00504943">
      <w:pPr>
        <w:spacing w:after="120" w:line="480" w:lineRule="auto"/>
        <w:ind w:left="284" w:hanging="284"/>
      </w:pPr>
      <w:r>
        <w:t>1</w:t>
      </w:r>
      <w:r w:rsidR="0024680C">
        <w:t>9</w:t>
      </w:r>
      <w:r>
        <w:t xml:space="preserve">. </w:t>
      </w:r>
      <w:r w:rsidRPr="00B75DCF">
        <w:t xml:space="preserve">Mack MJ, Leon MB, </w:t>
      </w:r>
      <w:proofErr w:type="spellStart"/>
      <w:r w:rsidRPr="00B75DCF">
        <w:t>Thourani</w:t>
      </w:r>
      <w:proofErr w:type="spellEnd"/>
      <w:r w:rsidRPr="00B75DCF">
        <w:t xml:space="preserve"> VH, </w:t>
      </w:r>
      <w:r w:rsidR="00A01CEF" w:rsidRPr="00A01CEF">
        <w:t xml:space="preserve">Makkar R, Kodali SK, Russo M, </w:t>
      </w:r>
      <w:r w:rsidRPr="00A01CEF">
        <w:t>et al.</w:t>
      </w:r>
      <w:r w:rsidRPr="00B75DCF">
        <w:t xml:space="preserve"> Transcatheter Aortic-Valve Replacement with a Balloon-Expandable Valve in Low-Risk Patients. </w:t>
      </w:r>
      <w:r w:rsidRPr="002E4729">
        <w:t>New Engl J Med</w:t>
      </w:r>
      <w:r w:rsidR="00A01CEF">
        <w:t>.</w:t>
      </w:r>
      <w:r w:rsidRPr="00B75DCF">
        <w:t xml:space="preserve"> </w:t>
      </w:r>
      <w:proofErr w:type="gramStart"/>
      <w:r w:rsidRPr="00B75DCF">
        <w:t>2019;380:1695</w:t>
      </w:r>
      <w:proofErr w:type="gramEnd"/>
      <w:r w:rsidRPr="00B75DCF">
        <w:t>–705.</w:t>
      </w:r>
    </w:p>
    <w:p w14:paraId="1FDBE8D7" w14:textId="61D736C5" w:rsidR="00227BE5" w:rsidRPr="00B75DCF" w:rsidRDefault="0024680C" w:rsidP="00504943">
      <w:pPr>
        <w:spacing w:after="120" w:line="480" w:lineRule="auto"/>
        <w:ind w:left="284" w:hanging="284"/>
      </w:pPr>
      <w:r>
        <w:t>20</w:t>
      </w:r>
      <w:r w:rsidR="00227BE5">
        <w:t xml:space="preserve">. </w:t>
      </w:r>
      <w:r w:rsidR="00227BE5" w:rsidRPr="00B75DCF">
        <w:t xml:space="preserve">Leon MB, Mack MJ, Hahn RT, </w:t>
      </w:r>
      <w:proofErr w:type="spellStart"/>
      <w:r w:rsidR="00A01CEF" w:rsidRPr="00A01CEF">
        <w:t>Thourani</w:t>
      </w:r>
      <w:proofErr w:type="spellEnd"/>
      <w:r w:rsidR="00A01CEF" w:rsidRPr="00A01CEF">
        <w:t xml:space="preserve"> VH, Makkar R, Kodali SK, </w:t>
      </w:r>
      <w:r w:rsidR="00227BE5" w:rsidRPr="00A01CEF">
        <w:t>et al.</w:t>
      </w:r>
      <w:r w:rsidR="00227BE5" w:rsidRPr="00B75DCF">
        <w:t xml:space="preserve"> Outcomes 2 Years After Transcatheter Aortic Valve Replacement in Patients at Low Surgical Risk. </w:t>
      </w:r>
      <w:r w:rsidR="00227BE5" w:rsidRPr="002E4729">
        <w:t xml:space="preserve">J Am Coll </w:t>
      </w:r>
      <w:proofErr w:type="spellStart"/>
      <w:r w:rsidR="00227BE5" w:rsidRPr="002E4729">
        <w:t>Cardiol</w:t>
      </w:r>
      <w:proofErr w:type="spellEnd"/>
      <w:r w:rsidR="00A01CEF">
        <w:t>.</w:t>
      </w:r>
      <w:r w:rsidR="00227BE5" w:rsidRPr="00B75DCF">
        <w:t xml:space="preserve"> </w:t>
      </w:r>
      <w:proofErr w:type="gramStart"/>
      <w:r w:rsidR="00227BE5" w:rsidRPr="00B75DCF">
        <w:t>2021;77:1149</w:t>
      </w:r>
      <w:proofErr w:type="gramEnd"/>
      <w:r w:rsidR="00227BE5" w:rsidRPr="00B75DCF">
        <w:t>–61.</w:t>
      </w:r>
    </w:p>
    <w:p w14:paraId="5EEF2AB1" w14:textId="7D040948" w:rsidR="00227BE5" w:rsidRPr="00B75DCF" w:rsidRDefault="00227BE5" w:rsidP="00504943">
      <w:pPr>
        <w:spacing w:after="120" w:line="480" w:lineRule="auto"/>
        <w:ind w:left="284" w:hanging="284"/>
      </w:pPr>
      <w:r>
        <w:t>2</w:t>
      </w:r>
      <w:r w:rsidR="0024680C">
        <w:t>1</w:t>
      </w:r>
      <w:r>
        <w:t xml:space="preserve">. </w:t>
      </w:r>
      <w:r w:rsidRPr="00B75DCF">
        <w:t xml:space="preserve">Mack MJ, Leon MB, </w:t>
      </w:r>
      <w:proofErr w:type="spellStart"/>
      <w:r w:rsidRPr="00B75DCF">
        <w:t>Thourani</w:t>
      </w:r>
      <w:proofErr w:type="spellEnd"/>
      <w:r w:rsidRPr="00B75DCF">
        <w:t xml:space="preserve"> VH, </w:t>
      </w:r>
      <w:proofErr w:type="spellStart"/>
      <w:r w:rsidR="0038148A" w:rsidRPr="0038148A">
        <w:t>Pibarot</w:t>
      </w:r>
      <w:proofErr w:type="spellEnd"/>
      <w:r w:rsidR="0038148A" w:rsidRPr="0038148A">
        <w:t xml:space="preserve"> P, Hahn RT, Genereux P, </w:t>
      </w:r>
      <w:r w:rsidRPr="0038148A">
        <w:t>et al.</w:t>
      </w:r>
      <w:r w:rsidRPr="00B75DCF">
        <w:t xml:space="preserve"> Transcatheter Aortic-Valve Replacement in Low-Risk Patients at Five Years. </w:t>
      </w:r>
      <w:r w:rsidRPr="002E4729">
        <w:t>N Engl J Med</w:t>
      </w:r>
      <w:r w:rsidR="0038148A">
        <w:t>.</w:t>
      </w:r>
      <w:r w:rsidRPr="00B75DCF">
        <w:t xml:space="preserve"> </w:t>
      </w:r>
      <w:proofErr w:type="gramStart"/>
      <w:r w:rsidRPr="00B75DCF">
        <w:t>2023;389:1949</w:t>
      </w:r>
      <w:proofErr w:type="gramEnd"/>
      <w:r w:rsidRPr="00B75DCF">
        <w:t xml:space="preserve">–60. </w:t>
      </w:r>
    </w:p>
    <w:p w14:paraId="3091D926" w14:textId="38A621E0" w:rsidR="00227BE5" w:rsidRPr="00B75DCF" w:rsidRDefault="00227BE5" w:rsidP="00504943">
      <w:pPr>
        <w:autoSpaceDE w:val="0"/>
        <w:autoSpaceDN w:val="0"/>
        <w:adjustRightInd w:val="0"/>
        <w:spacing w:after="120" w:line="480" w:lineRule="auto"/>
        <w:ind w:left="284" w:hanging="284"/>
        <w:rPr>
          <w:rFonts w:cstheme="minorHAnsi"/>
          <w:color w:val="000000"/>
        </w:rPr>
      </w:pPr>
      <w:r>
        <w:rPr>
          <w:rFonts w:cstheme="minorHAnsi"/>
          <w:color w:val="000000"/>
        </w:rPr>
        <w:t>2</w:t>
      </w:r>
      <w:r w:rsidR="001D40A6">
        <w:rPr>
          <w:rFonts w:cstheme="minorHAnsi"/>
          <w:color w:val="000000"/>
        </w:rPr>
        <w:t>2</w:t>
      </w:r>
      <w:r>
        <w:rPr>
          <w:rFonts w:cstheme="minorHAnsi"/>
          <w:color w:val="000000"/>
        </w:rPr>
        <w:t xml:space="preserve">. </w:t>
      </w:r>
      <w:r w:rsidR="0078459F" w:rsidRPr="0078459F">
        <w:rPr>
          <w:rFonts w:cstheme="minorHAnsi"/>
          <w:color w:val="000000"/>
        </w:rPr>
        <w:t xml:space="preserve">Hernández Alava M, Pudney S. and </w:t>
      </w:r>
      <w:proofErr w:type="spellStart"/>
      <w:r w:rsidR="0078459F" w:rsidRPr="0078459F">
        <w:rPr>
          <w:rFonts w:cstheme="minorHAnsi"/>
          <w:color w:val="000000"/>
        </w:rPr>
        <w:t>Wailoo</w:t>
      </w:r>
      <w:proofErr w:type="spellEnd"/>
      <w:r w:rsidR="0078459F" w:rsidRPr="0078459F">
        <w:rPr>
          <w:rFonts w:cstheme="minorHAnsi"/>
          <w:color w:val="000000"/>
        </w:rPr>
        <w:t xml:space="preserve"> A.</w:t>
      </w:r>
      <w:r w:rsidR="0078459F">
        <w:rPr>
          <w:rFonts w:cstheme="minorHAnsi"/>
          <w:color w:val="000000"/>
        </w:rPr>
        <w:t xml:space="preserve"> </w:t>
      </w:r>
      <w:r w:rsidR="0078459F" w:rsidRPr="0078459F">
        <w:rPr>
          <w:rFonts w:cstheme="minorHAnsi"/>
          <w:color w:val="000000"/>
        </w:rPr>
        <w:t xml:space="preserve">Estimating </w:t>
      </w:r>
      <w:r w:rsidR="0078459F">
        <w:rPr>
          <w:rFonts w:cstheme="minorHAnsi"/>
          <w:color w:val="000000"/>
        </w:rPr>
        <w:t>EQ</w:t>
      </w:r>
      <w:r w:rsidR="0078459F" w:rsidRPr="0078459F">
        <w:rPr>
          <w:rFonts w:cstheme="minorHAnsi"/>
          <w:color w:val="000000"/>
        </w:rPr>
        <w:t>-5</w:t>
      </w:r>
      <w:r w:rsidR="0078459F">
        <w:rPr>
          <w:rFonts w:cstheme="minorHAnsi"/>
          <w:color w:val="000000"/>
        </w:rPr>
        <w:t>D</w:t>
      </w:r>
      <w:r w:rsidR="0078459F" w:rsidRPr="0078459F">
        <w:rPr>
          <w:rFonts w:cstheme="minorHAnsi"/>
          <w:color w:val="000000"/>
        </w:rPr>
        <w:t xml:space="preserve"> by age and sex for the </w:t>
      </w:r>
      <w:r w:rsidR="0078459F">
        <w:rPr>
          <w:rFonts w:cstheme="minorHAnsi"/>
          <w:color w:val="000000"/>
        </w:rPr>
        <w:t xml:space="preserve">UK. Report by the Decision Support Unit. </w:t>
      </w:r>
      <w:commentRangeStart w:id="46"/>
      <w:commentRangeStart w:id="47"/>
      <w:r w:rsidR="0078459F">
        <w:rPr>
          <w:rFonts w:cstheme="minorHAnsi"/>
          <w:color w:val="000000"/>
        </w:rPr>
        <w:t>20</w:t>
      </w:r>
      <w:r w:rsidR="00D33236">
        <w:rPr>
          <w:rFonts w:cstheme="minorHAnsi"/>
          <w:color w:val="000000"/>
        </w:rPr>
        <w:t>2</w:t>
      </w:r>
      <w:r w:rsidR="0078459F">
        <w:rPr>
          <w:rFonts w:cstheme="minorHAnsi"/>
          <w:color w:val="000000"/>
        </w:rPr>
        <w:t>2</w:t>
      </w:r>
      <w:commentRangeEnd w:id="46"/>
      <w:r w:rsidR="0030581F">
        <w:rPr>
          <w:rStyle w:val="CommentReference"/>
        </w:rPr>
        <w:commentReference w:id="46"/>
      </w:r>
      <w:commentRangeEnd w:id="47"/>
      <w:r w:rsidR="00D33236">
        <w:rPr>
          <w:rStyle w:val="CommentReference"/>
        </w:rPr>
        <w:commentReference w:id="47"/>
      </w:r>
      <w:r w:rsidR="0078459F">
        <w:rPr>
          <w:rFonts w:cstheme="minorHAnsi"/>
          <w:color w:val="000000"/>
        </w:rPr>
        <w:t xml:space="preserve">. Available at: </w:t>
      </w:r>
      <w:r w:rsidR="0078459F" w:rsidRPr="0078459F">
        <w:rPr>
          <w:rFonts w:cstheme="minorHAnsi"/>
          <w:color w:val="000000"/>
        </w:rPr>
        <w:t>https://sheffield.ac.uk/nice-dsu/methods-development/estimating-eq-5d</w:t>
      </w:r>
    </w:p>
    <w:p w14:paraId="41D3265F" w14:textId="4DCA23D8" w:rsidR="00227BE5" w:rsidRDefault="00227BE5" w:rsidP="00504943">
      <w:pPr>
        <w:spacing w:after="120" w:line="480" w:lineRule="auto"/>
        <w:ind w:left="284" w:hanging="284"/>
        <w:rPr>
          <w:rStyle w:val="Hyperlink"/>
          <w:rFonts w:cstheme="minorHAnsi"/>
        </w:rPr>
      </w:pPr>
      <w:r>
        <w:rPr>
          <w:rFonts w:cstheme="minorHAnsi"/>
          <w:color w:val="000000"/>
        </w:rPr>
        <w:lastRenderedPageBreak/>
        <w:t>2</w:t>
      </w:r>
      <w:r w:rsidR="001D40A6">
        <w:rPr>
          <w:rFonts w:cstheme="minorHAnsi"/>
          <w:color w:val="000000"/>
        </w:rPr>
        <w:t>3</w:t>
      </w:r>
      <w:r>
        <w:rPr>
          <w:rFonts w:cstheme="minorHAnsi"/>
          <w:color w:val="000000"/>
        </w:rPr>
        <w:t xml:space="preserve">. </w:t>
      </w:r>
      <w:r w:rsidRPr="00B75DCF">
        <w:rPr>
          <w:rFonts w:cstheme="minorHAnsi"/>
          <w:color w:val="000000"/>
        </w:rPr>
        <w:t xml:space="preserve">Public Health England. Briefing document: First incidence of stroke. Estimates for England 2007 to 2016. February 2018. </w:t>
      </w:r>
      <w:r w:rsidRPr="00B75DCF">
        <w:t xml:space="preserve">Available </w:t>
      </w:r>
      <w:r>
        <w:t>at</w:t>
      </w:r>
      <w:r w:rsidRPr="00B75DCF">
        <w:t xml:space="preserve">: </w:t>
      </w:r>
      <w:hyperlink r:id="rId15" w:history="1">
        <w:r w:rsidRPr="00B75DCF">
          <w:rPr>
            <w:rStyle w:val="Hyperlink"/>
            <w:rFonts w:cstheme="minorHAnsi"/>
          </w:rPr>
          <w:t>https://assets.publishing.service.gov.uk/government/uploads/system/uploads/attachment_data/file/678444/Stroke_incidence_briefing_document_2018.pdf</w:t>
        </w:r>
      </w:hyperlink>
    </w:p>
    <w:p w14:paraId="1AC1FA57" w14:textId="036D3C8B" w:rsidR="00227BE5" w:rsidRPr="00B75DCF" w:rsidRDefault="00227BE5" w:rsidP="00504943">
      <w:pPr>
        <w:spacing w:after="120" w:line="480" w:lineRule="auto"/>
        <w:ind w:left="284" w:hanging="284"/>
        <w:rPr>
          <w:rFonts w:cstheme="minorHAnsi"/>
          <w:color w:val="000000"/>
        </w:rPr>
      </w:pPr>
      <w:r>
        <w:rPr>
          <w:rFonts w:cstheme="minorHAnsi"/>
          <w:color w:val="000000"/>
        </w:rPr>
        <w:t>2</w:t>
      </w:r>
      <w:r w:rsidR="001D40A6">
        <w:rPr>
          <w:rFonts w:cstheme="minorHAnsi"/>
          <w:color w:val="000000"/>
        </w:rPr>
        <w:t>4</w:t>
      </w:r>
      <w:r>
        <w:rPr>
          <w:rFonts w:cstheme="minorHAnsi"/>
          <w:color w:val="000000"/>
        </w:rPr>
        <w:t xml:space="preserve">. </w:t>
      </w:r>
      <w:r w:rsidRPr="00B75DCF">
        <w:rPr>
          <w:rFonts w:cstheme="minorHAnsi"/>
          <w:color w:val="000000"/>
        </w:rPr>
        <w:t>Hewitt J, Pennington A, Smith A,</w:t>
      </w:r>
      <w:r w:rsidR="0038148A" w:rsidRPr="0038148A">
        <w:t xml:space="preserve"> </w:t>
      </w:r>
      <w:r w:rsidR="0038148A" w:rsidRPr="0038148A">
        <w:rPr>
          <w:rFonts w:cstheme="minorHAnsi"/>
          <w:color w:val="000000"/>
        </w:rPr>
        <w:t>Gething S, Price M, White J,</w:t>
      </w:r>
      <w:r w:rsidRPr="0038148A">
        <w:rPr>
          <w:rFonts w:cstheme="minorHAnsi"/>
          <w:color w:val="000000"/>
        </w:rPr>
        <w:t xml:space="preserve"> et al.</w:t>
      </w:r>
      <w:r w:rsidRPr="00B75DCF">
        <w:rPr>
          <w:rFonts w:cstheme="minorHAnsi"/>
          <w:color w:val="000000"/>
        </w:rPr>
        <w:t xml:space="preserve"> A multi-centre, UK-based, non-inferiority randomised controlled trial of 4 follow-up assessment methods in stroke survivors. </w:t>
      </w:r>
      <w:r w:rsidRPr="002E4729">
        <w:rPr>
          <w:rFonts w:cstheme="minorHAnsi"/>
          <w:color w:val="000000"/>
        </w:rPr>
        <w:t>BMC Med</w:t>
      </w:r>
      <w:r w:rsidR="0038148A">
        <w:rPr>
          <w:rFonts w:cstheme="minorHAnsi"/>
          <w:color w:val="000000"/>
        </w:rPr>
        <w:t>.</w:t>
      </w:r>
      <w:r w:rsidRPr="00B75DCF">
        <w:rPr>
          <w:rFonts w:cstheme="minorHAnsi"/>
          <w:color w:val="000000"/>
        </w:rPr>
        <w:t xml:space="preserve"> </w:t>
      </w:r>
      <w:proofErr w:type="gramStart"/>
      <w:r w:rsidRPr="00B75DCF">
        <w:rPr>
          <w:rFonts w:cstheme="minorHAnsi"/>
          <w:color w:val="000000"/>
        </w:rPr>
        <w:t>2019;17:111</w:t>
      </w:r>
      <w:proofErr w:type="gramEnd"/>
      <w:r w:rsidRPr="00B75DCF">
        <w:rPr>
          <w:rFonts w:cstheme="minorHAnsi"/>
          <w:color w:val="000000"/>
        </w:rPr>
        <w:t>.</w:t>
      </w:r>
    </w:p>
    <w:p w14:paraId="504596E4" w14:textId="7C2477C3" w:rsidR="00227BE5" w:rsidRPr="00F01336" w:rsidRDefault="00227BE5" w:rsidP="00504943">
      <w:pPr>
        <w:autoSpaceDE w:val="0"/>
        <w:autoSpaceDN w:val="0"/>
        <w:adjustRightInd w:val="0"/>
        <w:spacing w:after="120" w:line="480" w:lineRule="auto"/>
        <w:ind w:left="284" w:hanging="284"/>
        <w:rPr>
          <w:rFonts w:cstheme="minorHAnsi"/>
          <w:color w:val="000000"/>
          <w:lang w:val="it-IT"/>
        </w:rPr>
      </w:pPr>
      <w:r>
        <w:rPr>
          <w:rFonts w:cstheme="minorHAnsi"/>
          <w:color w:val="000000"/>
        </w:rPr>
        <w:t>2</w:t>
      </w:r>
      <w:r w:rsidR="001D40A6">
        <w:rPr>
          <w:rFonts w:cstheme="minorHAnsi"/>
          <w:color w:val="000000"/>
        </w:rPr>
        <w:t>5</w:t>
      </w:r>
      <w:r>
        <w:rPr>
          <w:rFonts w:cstheme="minorHAnsi"/>
          <w:color w:val="000000"/>
        </w:rPr>
        <w:t xml:space="preserve">. </w:t>
      </w:r>
      <w:proofErr w:type="spellStart"/>
      <w:r w:rsidRPr="00B75DCF">
        <w:rPr>
          <w:rFonts w:cstheme="minorHAnsi"/>
          <w:color w:val="000000"/>
        </w:rPr>
        <w:t>Odutayo</w:t>
      </w:r>
      <w:proofErr w:type="spellEnd"/>
      <w:r w:rsidRPr="00B75DCF">
        <w:rPr>
          <w:rFonts w:cstheme="minorHAnsi"/>
          <w:color w:val="000000"/>
        </w:rPr>
        <w:t xml:space="preserve"> A, Wong CX, Hsiao AJ,</w:t>
      </w:r>
      <w:r w:rsidR="0038148A" w:rsidRPr="0038148A">
        <w:t xml:space="preserve"> </w:t>
      </w:r>
      <w:r w:rsidR="0038148A" w:rsidRPr="0038148A">
        <w:rPr>
          <w:rFonts w:cstheme="minorHAnsi"/>
          <w:color w:val="000000"/>
        </w:rPr>
        <w:t xml:space="preserve">Hopewell S, Altman DG, </w:t>
      </w:r>
      <w:proofErr w:type="spellStart"/>
      <w:r w:rsidR="0038148A" w:rsidRPr="0038148A">
        <w:rPr>
          <w:rFonts w:cstheme="minorHAnsi"/>
          <w:color w:val="000000"/>
        </w:rPr>
        <w:t>Emdin</w:t>
      </w:r>
      <w:proofErr w:type="spellEnd"/>
      <w:r w:rsidR="0038148A" w:rsidRPr="0038148A">
        <w:rPr>
          <w:rFonts w:cstheme="minorHAnsi"/>
          <w:color w:val="000000"/>
        </w:rPr>
        <w:t xml:space="preserve"> CA</w:t>
      </w:r>
      <w:r w:rsidRPr="00B75DCF">
        <w:rPr>
          <w:rFonts w:cstheme="minorHAnsi"/>
          <w:color w:val="000000"/>
        </w:rPr>
        <w:t xml:space="preserve">. Atrial fibrillation and risks of cardiovascular disease, renal disease, and death: systematic review and meta-analysis. </w:t>
      </w:r>
      <w:r w:rsidRPr="002E4729">
        <w:rPr>
          <w:rFonts w:cstheme="minorHAnsi"/>
          <w:color w:val="000000"/>
          <w:lang w:val="it-IT"/>
        </w:rPr>
        <w:t>BMJ</w:t>
      </w:r>
      <w:r w:rsidR="0038148A">
        <w:rPr>
          <w:rFonts w:cstheme="minorHAnsi"/>
          <w:color w:val="000000"/>
          <w:lang w:val="it-IT"/>
        </w:rPr>
        <w:t>.</w:t>
      </w:r>
      <w:r w:rsidRPr="00F01336">
        <w:rPr>
          <w:rFonts w:cstheme="minorHAnsi"/>
          <w:color w:val="000000"/>
          <w:lang w:val="it-IT"/>
        </w:rPr>
        <w:t xml:space="preserve"> 2016;354:</w:t>
      </w:r>
      <w:r w:rsidRPr="00F01336">
        <w:rPr>
          <w:lang w:val="it-IT"/>
        </w:rPr>
        <w:t>i4482</w:t>
      </w:r>
      <w:r w:rsidRPr="00F01336">
        <w:rPr>
          <w:rFonts w:cstheme="minorHAnsi"/>
          <w:color w:val="000000"/>
          <w:lang w:val="it-IT"/>
        </w:rPr>
        <w:t>.</w:t>
      </w:r>
    </w:p>
    <w:p w14:paraId="0277D943" w14:textId="2F20A2DA" w:rsidR="00227BE5" w:rsidRPr="00B75DCF" w:rsidRDefault="00227BE5" w:rsidP="00504943">
      <w:pPr>
        <w:spacing w:after="120" w:line="480" w:lineRule="auto"/>
        <w:ind w:left="284" w:hanging="284"/>
        <w:rPr>
          <w:rFonts w:cstheme="minorHAnsi"/>
          <w:color w:val="000000"/>
        </w:rPr>
      </w:pPr>
      <w:r w:rsidRPr="00F01336">
        <w:rPr>
          <w:rFonts w:cstheme="minorHAnsi"/>
          <w:color w:val="000000"/>
          <w:lang w:val="it-IT"/>
        </w:rPr>
        <w:t>2</w:t>
      </w:r>
      <w:r w:rsidR="001D40A6">
        <w:rPr>
          <w:rFonts w:cstheme="minorHAnsi"/>
          <w:color w:val="000000"/>
          <w:lang w:val="it-IT"/>
        </w:rPr>
        <w:t>6</w:t>
      </w:r>
      <w:r w:rsidRPr="00F01336">
        <w:rPr>
          <w:rFonts w:cstheme="minorHAnsi"/>
          <w:color w:val="000000"/>
          <w:lang w:val="it-IT"/>
        </w:rPr>
        <w:t>. Bourguignon T, Bouquiaux-Stablo AL, Candolfi P</w:t>
      </w:r>
      <w:r w:rsidR="00520068">
        <w:rPr>
          <w:rFonts w:cstheme="minorHAnsi"/>
          <w:color w:val="000000"/>
          <w:lang w:val="it-IT"/>
        </w:rPr>
        <w:t>,</w:t>
      </w:r>
      <w:r w:rsidR="00520068" w:rsidRPr="006A255F">
        <w:rPr>
          <w:lang w:val="it-IT"/>
        </w:rPr>
        <w:t xml:space="preserve"> </w:t>
      </w:r>
      <w:r w:rsidR="00520068" w:rsidRPr="00520068">
        <w:rPr>
          <w:rFonts w:cstheme="minorHAnsi"/>
          <w:color w:val="000000"/>
          <w:lang w:val="it-IT"/>
        </w:rPr>
        <w:t>Mirza A, Loardi C, May MA,</w:t>
      </w:r>
      <w:r w:rsidRPr="00F01336">
        <w:rPr>
          <w:rFonts w:cstheme="minorHAnsi"/>
          <w:color w:val="000000"/>
          <w:lang w:val="it-IT"/>
        </w:rPr>
        <w:t xml:space="preserve"> </w:t>
      </w:r>
      <w:r w:rsidRPr="00520068">
        <w:rPr>
          <w:rFonts w:cstheme="minorHAnsi"/>
          <w:color w:val="000000"/>
          <w:lang w:val="it-IT"/>
        </w:rPr>
        <w:t>et al.</w:t>
      </w:r>
      <w:r w:rsidRPr="00F01336">
        <w:rPr>
          <w:rFonts w:cstheme="minorHAnsi"/>
          <w:color w:val="000000"/>
          <w:lang w:val="it-IT"/>
        </w:rPr>
        <w:t xml:space="preserve"> </w:t>
      </w:r>
      <w:r w:rsidRPr="00B75DCF">
        <w:rPr>
          <w:rFonts w:cstheme="minorHAnsi"/>
          <w:color w:val="000000"/>
        </w:rPr>
        <w:t xml:space="preserve">Very Long-Term Outcomes of the Carpentier-Edwards </w:t>
      </w:r>
      <w:proofErr w:type="spellStart"/>
      <w:r w:rsidRPr="00B75DCF">
        <w:rPr>
          <w:rFonts w:cstheme="minorHAnsi"/>
          <w:color w:val="000000"/>
        </w:rPr>
        <w:t>Perimount</w:t>
      </w:r>
      <w:proofErr w:type="spellEnd"/>
      <w:r w:rsidRPr="00B75DCF">
        <w:rPr>
          <w:rFonts w:cstheme="minorHAnsi"/>
          <w:color w:val="000000"/>
        </w:rPr>
        <w:t xml:space="preserve"> Valve in Aortic Position. </w:t>
      </w:r>
      <w:r w:rsidRPr="002E4729">
        <w:rPr>
          <w:rFonts w:cstheme="minorHAnsi"/>
          <w:color w:val="000000"/>
        </w:rPr>
        <w:t>Ann Thorac Surg</w:t>
      </w:r>
      <w:r w:rsidR="00520068">
        <w:rPr>
          <w:rFonts w:cstheme="minorHAnsi"/>
          <w:color w:val="000000"/>
        </w:rPr>
        <w:t>.</w:t>
      </w:r>
      <w:r w:rsidRPr="00B75DCF">
        <w:rPr>
          <w:rFonts w:cstheme="minorHAnsi"/>
          <w:color w:val="000000"/>
        </w:rPr>
        <w:t xml:space="preserve"> </w:t>
      </w:r>
      <w:proofErr w:type="gramStart"/>
      <w:r w:rsidRPr="00B75DCF">
        <w:rPr>
          <w:rFonts w:cstheme="minorHAnsi"/>
          <w:color w:val="000000"/>
        </w:rPr>
        <w:t>2015;99:831</w:t>
      </w:r>
      <w:proofErr w:type="gramEnd"/>
      <w:r w:rsidRPr="00B75DCF">
        <w:rPr>
          <w:rFonts w:cstheme="minorHAnsi"/>
          <w:color w:val="000000"/>
        </w:rPr>
        <w:t>–7.</w:t>
      </w:r>
    </w:p>
    <w:p w14:paraId="093A55D1" w14:textId="61D4B4ED" w:rsidR="00227BE5" w:rsidRPr="00B75DCF" w:rsidRDefault="00227BE5" w:rsidP="00504943">
      <w:pPr>
        <w:spacing w:after="120" w:line="480" w:lineRule="auto"/>
        <w:ind w:left="284" w:hanging="284"/>
      </w:pPr>
      <w:r>
        <w:t>2</w:t>
      </w:r>
      <w:r w:rsidR="00C91BDD">
        <w:t>7</w:t>
      </w:r>
      <w:r>
        <w:t xml:space="preserve">. </w:t>
      </w:r>
      <w:r w:rsidRPr="00B75DCF">
        <w:t xml:space="preserve">Myat A, Buckner L, </w:t>
      </w:r>
      <w:proofErr w:type="spellStart"/>
      <w:r w:rsidRPr="00B75DCF">
        <w:t>Mouy</w:t>
      </w:r>
      <w:proofErr w:type="spellEnd"/>
      <w:r w:rsidRPr="00B75DCF">
        <w:t xml:space="preserve"> F, </w:t>
      </w:r>
      <w:r w:rsidR="00520068" w:rsidRPr="00520068">
        <w:t xml:space="preserve">Cockburn J, Baumbach A, Banning AP, </w:t>
      </w:r>
      <w:r w:rsidRPr="00520068">
        <w:t>et al. I</w:t>
      </w:r>
      <w:r w:rsidRPr="00B75DCF">
        <w:t xml:space="preserve">n-hospital stroke after transcatheter aortic valve implantation: A UK observational cohort analysis. </w:t>
      </w:r>
      <w:r w:rsidRPr="002E4729">
        <w:t xml:space="preserve">Catheter Cardiovasc </w:t>
      </w:r>
      <w:proofErr w:type="spellStart"/>
      <w:r w:rsidRPr="002E4729">
        <w:t>Interv</w:t>
      </w:r>
      <w:proofErr w:type="spellEnd"/>
      <w:r w:rsidR="00520068">
        <w:t>.</w:t>
      </w:r>
      <w:r w:rsidRPr="00B75DCF">
        <w:t xml:space="preserve"> 2021;</w:t>
      </w:r>
      <w:proofErr w:type="gramStart"/>
      <w:r w:rsidRPr="00B75DCF">
        <w:t>97:E</w:t>
      </w:r>
      <w:proofErr w:type="gramEnd"/>
      <w:r w:rsidRPr="00B75DCF">
        <w:t>552–9.</w:t>
      </w:r>
    </w:p>
    <w:p w14:paraId="68E0443D" w14:textId="1979FD3C" w:rsidR="00227BE5" w:rsidRPr="00B75DCF" w:rsidRDefault="00227BE5" w:rsidP="00504943">
      <w:pPr>
        <w:spacing w:after="120" w:line="480" w:lineRule="auto"/>
        <w:ind w:left="284" w:hanging="284"/>
        <w:rPr>
          <w:rFonts w:cstheme="minorHAnsi"/>
          <w:color w:val="000000"/>
        </w:rPr>
      </w:pPr>
      <w:r w:rsidRPr="000E4D27">
        <w:rPr>
          <w:rFonts w:cstheme="minorHAnsi"/>
          <w:color w:val="000000"/>
        </w:rPr>
        <w:t>2</w:t>
      </w:r>
      <w:r w:rsidR="00C91BDD">
        <w:rPr>
          <w:rFonts w:cstheme="minorHAnsi"/>
          <w:color w:val="000000"/>
        </w:rPr>
        <w:t>8</w:t>
      </w:r>
      <w:r w:rsidRPr="000E4D27">
        <w:rPr>
          <w:rFonts w:cstheme="minorHAnsi"/>
          <w:color w:val="000000"/>
        </w:rPr>
        <w:t xml:space="preserve">. Sullivan PW, </w:t>
      </w:r>
      <w:proofErr w:type="spellStart"/>
      <w:r w:rsidRPr="000E4D27">
        <w:rPr>
          <w:rFonts w:cstheme="minorHAnsi"/>
          <w:color w:val="000000"/>
        </w:rPr>
        <w:t>Slejko</w:t>
      </w:r>
      <w:proofErr w:type="spellEnd"/>
      <w:r w:rsidRPr="000E4D27">
        <w:rPr>
          <w:rFonts w:cstheme="minorHAnsi"/>
          <w:color w:val="000000"/>
        </w:rPr>
        <w:t xml:space="preserve"> JF, </w:t>
      </w:r>
      <w:proofErr w:type="spellStart"/>
      <w:r w:rsidRPr="000E4D27">
        <w:rPr>
          <w:rFonts w:cstheme="minorHAnsi"/>
          <w:color w:val="000000"/>
        </w:rPr>
        <w:t>Sculpher</w:t>
      </w:r>
      <w:proofErr w:type="spellEnd"/>
      <w:r w:rsidRPr="000E4D27">
        <w:rPr>
          <w:rFonts w:cstheme="minorHAnsi"/>
          <w:color w:val="000000"/>
        </w:rPr>
        <w:t xml:space="preserve"> MJ,</w:t>
      </w:r>
      <w:r w:rsidR="00520068" w:rsidRPr="00520068">
        <w:t xml:space="preserve"> </w:t>
      </w:r>
      <w:proofErr w:type="spellStart"/>
      <w:r w:rsidR="00520068" w:rsidRPr="00520068">
        <w:rPr>
          <w:rFonts w:cstheme="minorHAnsi"/>
          <w:color w:val="000000"/>
        </w:rPr>
        <w:t>Ghushchyan</w:t>
      </w:r>
      <w:proofErr w:type="spellEnd"/>
      <w:r w:rsidR="00520068" w:rsidRPr="00520068">
        <w:rPr>
          <w:rFonts w:cstheme="minorHAnsi"/>
          <w:color w:val="000000"/>
        </w:rPr>
        <w:t xml:space="preserve"> V</w:t>
      </w:r>
      <w:r w:rsidRPr="000E4D27">
        <w:rPr>
          <w:rFonts w:cstheme="minorHAnsi"/>
          <w:color w:val="000000"/>
        </w:rPr>
        <w:t xml:space="preserve">. </w:t>
      </w:r>
      <w:r w:rsidRPr="00B75DCF">
        <w:rPr>
          <w:rFonts w:cstheme="minorHAnsi"/>
          <w:color w:val="000000"/>
        </w:rPr>
        <w:t xml:space="preserve">Catalogue of EQ-5D scores for the United Kingdom. </w:t>
      </w:r>
      <w:r w:rsidRPr="002E4729">
        <w:rPr>
          <w:rFonts w:cstheme="minorHAnsi"/>
          <w:color w:val="000000"/>
        </w:rPr>
        <w:t xml:space="preserve">Med </w:t>
      </w:r>
      <w:proofErr w:type="spellStart"/>
      <w:r w:rsidRPr="002E4729">
        <w:rPr>
          <w:rFonts w:cstheme="minorHAnsi"/>
          <w:color w:val="000000"/>
        </w:rPr>
        <w:t>Decis</w:t>
      </w:r>
      <w:proofErr w:type="spellEnd"/>
      <w:r w:rsidRPr="002E4729">
        <w:rPr>
          <w:rFonts w:cstheme="minorHAnsi"/>
          <w:color w:val="000000"/>
        </w:rPr>
        <w:t xml:space="preserve"> Making</w:t>
      </w:r>
      <w:r w:rsidR="00520068">
        <w:rPr>
          <w:rFonts w:cstheme="minorHAnsi"/>
          <w:color w:val="000000"/>
        </w:rPr>
        <w:t>.</w:t>
      </w:r>
      <w:r w:rsidRPr="00B75DCF">
        <w:rPr>
          <w:rFonts w:cstheme="minorHAnsi"/>
          <w:color w:val="000000"/>
        </w:rPr>
        <w:t xml:space="preserve"> </w:t>
      </w:r>
      <w:proofErr w:type="gramStart"/>
      <w:r w:rsidRPr="00B75DCF">
        <w:rPr>
          <w:rFonts w:cstheme="minorHAnsi"/>
          <w:color w:val="000000"/>
        </w:rPr>
        <w:t>2011;31:800</w:t>
      </w:r>
      <w:proofErr w:type="gramEnd"/>
      <w:r w:rsidRPr="00B75DCF">
        <w:rPr>
          <w:rFonts w:cstheme="minorHAnsi"/>
          <w:color w:val="000000"/>
        </w:rPr>
        <w:t>–4.</w:t>
      </w:r>
    </w:p>
    <w:p w14:paraId="38ABCECB" w14:textId="2D905DAB" w:rsidR="00227BE5" w:rsidRPr="00B75DCF" w:rsidRDefault="00227BE5" w:rsidP="00504943">
      <w:pPr>
        <w:spacing w:after="120" w:line="480" w:lineRule="auto"/>
        <w:ind w:left="284" w:hanging="284"/>
      </w:pPr>
      <w:r>
        <w:t>2</w:t>
      </w:r>
      <w:r w:rsidR="00C91BDD">
        <w:t>9</w:t>
      </w:r>
      <w:r>
        <w:t xml:space="preserve">. </w:t>
      </w:r>
      <w:r w:rsidRPr="00B75DCF">
        <w:t xml:space="preserve">Luengo-Fernandez R, Gray AM, Bull L, </w:t>
      </w:r>
      <w:r w:rsidR="00B255AF" w:rsidRPr="00B255AF">
        <w:t>Welch S, Cuthbertson F, Rothwell PM</w:t>
      </w:r>
      <w:r w:rsidRPr="00B75DCF">
        <w:t xml:space="preserve">. Quality of life after TIA and stroke: ten-year results of the Oxford Vascular Study. </w:t>
      </w:r>
      <w:r w:rsidRPr="002E4729">
        <w:t>Neurology</w:t>
      </w:r>
      <w:r w:rsidR="00B255AF">
        <w:t>.</w:t>
      </w:r>
      <w:r w:rsidRPr="00B75DCF">
        <w:t xml:space="preserve"> </w:t>
      </w:r>
      <w:proofErr w:type="gramStart"/>
      <w:r w:rsidRPr="00B75DCF">
        <w:t>2013;81:1588</w:t>
      </w:r>
      <w:proofErr w:type="gramEnd"/>
      <w:r w:rsidRPr="00B75DCF">
        <w:t>–95.</w:t>
      </w:r>
    </w:p>
    <w:p w14:paraId="0B853D44" w14:textId="56797C65" w:rsidR="00227BE5" w:rsidRDefault="001B13F3" w:rsidP="00504943">
      <w:pPr>
        <w:spacing w:after="120" w:line="480" w:lineRule="auto"/>
        <w:ind w:left="284" w:hanging="284"/>
      </w:pPr>
      <w:r>
        <w:t>30</w:t>
      </w:r>
      <w:r w:rsidR="00227BE5">
        <w:t xml:space="preserve">. </w:t>
      </w:r>
      <w:r w:rsidR="00227BE5" w:rsidRPr="00B75DCF">
        <w:t xml:space="preserve">NHS England. 2021/22 National Cost Collection Data Publication. Available at: </w:t>
      </w:r>
      <w:hyperlink r:id="rId16" w:history="1">
        <w:r w:rsidR="00227BE5" w:rsidRPr="00BB5AE3">
          <w:rPr>
            <w:rStyle w:val="Hyperlink"/>
          </w:rPr>
          <w:t>https://www.england.nhs.uk/publication/2021-22-national-cost-collection-data-publication/</w:t>
        </w:r>
      </w:hyperlink>
    </w:p>
    <w:p w14:paraId="37893643" w14:textId="03CD2602" w:rsidR="00227BE5" w:rsidRPr="00B75DCF" w:rsidRDefault="00227BE5" w:rsidP="00504943">
      <w:pPr>
        <w:spacing w:after="120" w:line="480" w:lineRule="auto"/>
        <w:ind w:left="284" w:hanging="284"/>
        <w:rPr>
          <w:rFonts w:cstheme="minorHAnsi"/>
          <w:color w:val="000000"/>
        </w:rPr>
      </w:pPr>
      <w:r>
        <w:rPr>
          <w:rFonts w:cstheme="minorHAnsi"/>
          <w:color w:val="000000"/>
        </w:rPr>
        <w:t>3</w:t>
      </w:r>
      <w:r w:rsidR="001B13F3">
        <w:rPr>
          <w:rFonts w:cstheme="minorHAnsi"/>
          <w:color w:val="000000"/>
        </w:rPr>
        <w:t>1</w:t>
      </w:r>
      <w:r>
        <w:rPr>
          <w:rFonts w:cstheme="minorHAnsi"/>
          <w:color w:val="000000"/>
        </w:rPr>
        <w:t xml:space="preserve">. </w:t>
      </w:r>
      <w:r w:rsidRPr="00B75DCF">
        <w:rPr>
          <w:rFonts w:cstheme="minorHAnsi"/>
          <w:color w:val="000000"/>
        </w:rPr>
        <w:t xml:space="preserve">Jones K, Weatherly H, Birch S, </w:t>
      </w:r>
      <w:r w:rsidR="00B255AF" w:rsidRPr="00B255AF">
        <w:rPr>
          <w:rFonts w:cstheme="minorHAnsi"/>
          <w:color w:val="000000"/>
        </w:rPr>
        <w:t>Castelli A, Chalkley M, Dargan A</w:t>
      </w:r>
      <w:r w:rsidR="00B255AF">
        <w:rPr>
          <w:rFonts w:cstheme="minorHAnsi"/>
          <w:color w:val="000000"/>
        </w:rPr>
        <w:t>,</w:t>
      </w:r>
      <w:r w:rsidR="00B255AF" w:rsidRPr="00B255AF">
        <w:rPr>
          <w:rFonts w:cstheme="minorHAnsi"/>
          <w:color w:val="000000"/>
        </w:rPr>
        <w:t xml:space="preserve"> </w:t>
      </w:r>
      <w:r w:rsidRPr="00B255AF">
        <w:rPr>
          <w:rFonts w:cstheme="minorHAnsi"/>
          <w:color w:val="000000"/>
        </w:rPr>
        <w:t>et al.</w:t>
      </w:r>
      <w:r w:rsidRPr="00B75DCF">
        <w:rPr>
          <w:rFonts w:cstheme="minorHAnsi"/>
          <w:color w:val="000000"/>
        </w:rPr>
        <w:t xml:space="preserve"> Unit Costs of Health and Social Care 2022. Available at: </w:t>
      </w:r>
      <w:hyperlink r:id="rId17" w:history="1">
        <w:r w:rsidRPr="00B75DCF">
          <w:rPr>
            <w:rStyle w:val="Hyperlink"/>
            <w:rFonts w:cstheme="minorHAnsi"/>
          </w:rPr>
          <w:t>https://kar.kent.ac.uk/100519/1/Unit%20Costs%20of%20health%20and%20Social%20Care%202022%20%28amended%2013%20July%202023%29.pdf</w:t>
        </w:r>
      </w:hyperlink>
    </w:p>
    <w:p w14:paraId="25F36E2D" w14:textId="2374B26B" w:rsidR="00227BE5" w:rsidRPr="00B75DCF" w:rsidRDefault="00227BE5" w:rsidP="00504943">
      <w:pPr>
        <w:spacing w:after="120" w:line="480" w:lineRule="auto"/>
        <w:ind w:left="284" w:hanging="284"/>
        <w:rPr>
          <w:rFonts w:cstheme="minorHAnsi"/>
          <w:color w:val="000000"/>
        </w:rPr>
      </w:pPr>
      <w:r w:rsidRPr="00504943">
        <w:rPr>
          <w:rFonts w:cstheme="minorHAnsi"/>
          <w:color w:val="000000"/>
        </w:rPr>
        <w:t>3</w:t>
      </w:r>
      <w:r w:rsidR="001B13F3" w:rsidRPr="00504943">
        <w:rPr>
          <w:rFonts w:cstheme="minorHAnsi"/>
          <w:color w:val="000000"/>
        </w:rPr>
        <w:t>2</w:t>
      </w:r>
      <w:r w:rsidRPr="00504943">
        <w:rPr>
          <w:rFonts w:cstheme="minorHAnsi"/>
          <w:color w:val="000000"/>
        </w:rPr>
        <w:t>. Kansal AR, Sorensen SV, Gani R,</w:t>
      </w:r>
      <w:r w:rsidR="00B255AF" w:rsidRPr="00B255AF">
        <w:t xml:space="preserve"> </w:t>
      </w:r>
      <w:proofErr w:type="spellStart"/>
      <w:r w:rsidR="00B255AF" w:rsidRPr="00504943">
        <w:rPr>
          <w:rFonts w:cstheme="minorHAnsi"/>
          <w:color w:val="000000"/>
        </w:rPr>
        <w:t>obinson</w:t>
      </w:r>
      <w:proofErr w:type="spellEnd"/>
      <w:r w:rsidR="00B255AF" w:rsidRPr="00504943">
        <w:rPr>
          <w:rFonts w:cstheme="minorHAnsi"/>
          <w:color w:val="000000"/>
        </w:rPr>
        <w:t xml:space="preserve"> P, Pan F, Plumb JM,</w:t>
      </w:r>
      <w:r w:rsidRPr="00504943">
        <w:rPr>
          <w:rFonts w:cstheme="minorHAnsi"/>
          <w:color w:val="000000"/>
        </w:rPr>
        <w:t xml:space="preserve"> et al. </w:t>
      </w:r>
      <w:r w:rsidRPr="00B75DCF">
        <w:rPr>
          <w:rFonts w:cstheme="minorHAnsi"/>
          <w:color w:val="000000"/>
        </w:rPr>
        <w:t xml:space="preserve">Cost-effectiveness of dabigatran </w:t>
      </w:r>
      <w:proofErr w:type="spellStart"/>
      <w:r w:rsidRPr="00B75DCF">
        <w:rPr>
          <w:rFonts w:cstheme="minorHAnsi"/>
          <w:color w:val="000000"/>
        </w:rPr>
        <w:t>etexilate</w:t>
      </w:r>
      <w:proofErr w:type="spellEnd"/>
      <w:r w:rsidRPr="00B75DCF">
        <w:rPr>
          <w:rFonts w:cstheme="minorHAnsi"/>
          <w:color w:val="000000"/>
        </w:rPr>
        <w:t xml:space="preserve"> for the prevention of stroke and systemic embolism in UK patients with atrial fibrillation. </w:t>
      </w:r>
      <w:r w:rsidRPr="002E4729">
        <w:rPr>
          <w:rFonts w:cstheme="minorHAnsi"/>
          <w:color w:val="000000"/>
        </w:rPr>
        <w:t>Heart</w:t>
      </w:r>
      <w:r w:rsidR="00B255AF">
        <w:rPr>
          <w:rFonts w:cstheme="minorHAnsi"/>
          <w:color w:val="000000"/>
        </w:rPr>
        <w:t>.</w:t>
      </w:r>
      <w:r w:rsidRPr="00B75DCF">
        <w:rPr>
          <w:rFonts w:cstheme="minorHAnsi"/>
          <w:color w:val="000000"/>
        </w:rPr>
        <w:t xml:space="preserve"> </w:t>
      </w:r>
      <w:proofErr w:type="gramStart"/>
      <w:r w:rsidRPr="00B75DCF">
        <w:rPr>
          <w:rFonts w:cstheme="minorHAnsi"/>
          <w:color w:val="000000"/>
        </w:rPr>
        <w:t>2012;98:573</w:t>
      </w:r>
      <w:proofErr w:type="gramEnd"/>
      <w:r w:rsidRPr="00B75DCF">
        <w:rPr>
          <w:rFonts w:cstheme="minorHAnsi"/>
          <w:color w:val="000000"/>
        </w:rPr>
        <w:t>–8.</w:t>
      </w:r>
    </w:p>
    <w:p w14:paraId="04417973" w14:textId="5FEFDA69" w:rsidR="00227BE5" w:rsidRPr="002253A8" w:rsidRDefault="00227BE5" w:rsidP="00504943">
      <w:pPr>
        <w:spacing w:after="120" w:line="480" w:lineRule="auto"/>
        <w:ind w:left="284" w:hanging="284"/>
        <w:rPr>
          <w:rFonts w:cstheme="minorHAnsi"/>
          <w:color w:val="000000"/>
        </w:rPr>
      </w:pPr>
      <w:r w:rsidRPr="00614A10">
        <w:rPr>
          <w:rFonts w:cstheme="minorHAnsi"/>
          <w:color w:val="000000"/>
          <w:lang w:val="en-US"/>
        </w:rPr>
        <w:t>3</w:t>
      </w:r>
      <w:r w:rsidR="001B13F3" w:rsidRPr="00614A10">
        <w:rPr>
          <w:rFonts w:cstheme="minorHAnsi"/>
          <w:color w:val="000000"/>
          <w:lang w:val="en-US"/>
        </w:rPr>
        <w:t>3</w:t>
      </w:r>
      <w:r w:rsidRPr="00614A10">
        <w:rPr>
          <w:rFonts w:cstheme="minorHAnsi"/>
          <w:color w:val="000000"/>
          <w:lang w:val="en-US"/>
        </w:rPr>
        <w:t xml:space="preserve">. Xu XM, </w:t>
      </w:r>
      <w:proofErr w:type="spellStart"/>
      <w:r w:rsidRPr="00614A10">
        <w:rPr>
          <w:rFonts w:cstheme="minorHAnsi"/>
          <w:color w:val="000000"/>
          <w:lang w:val="en-US"/>
        </w:rPr>
        <w:t>Vestesson</w:t>
      </w:r>
      <w:proofErr w:type="spellEnd"/>
      <w:r w:rsidRPr="00614A10">
        <w:rPr>
          <w:rFonts w:cstheme="minorHAnsi"/>
          <w:color w:val="000000"/>
          <w:lang w:val="en-US"/>
        </w:rPr>
        <w:t xml:space="preserve"> E, Paley L,</w:t>
      </w:r>
      <w:r w:rsidR="002253A8" w:rsidRPr="002253A8">
        <w:t xml:space="preserve"> </w:t>
      </w:r>
      <w:r w:rsidR="002253A8" w:rsidRPr="002253A8">
        <w:rPr>
          <w:rFonts w:cstheme="minorHAnsi"/>
          <w:color w:val="000000"/>
          <w:lang w:val="en-US"/>
        </w:rPr>
        <w:t>Desikan A, Wonderling D, Hoffman A,</w:t>
      </w:r>
      <w:r w:rsidRPr="002253A8">
        <w:rPr>
          <w:rFonts w:cstheme="minorHAnsi"/>
          <w:color w:val="000000"/>
          <w:lang w:val="en-US"/>
        </w:rPr>
        <w:t xml:space="preserve"> et al.</w:t>
      </w:r>
      <w:r w:rsidRPr="00614A10">
        <w:rPr>
          <w:rFonts w:cstheme="minorHAnsi"/>
          <w:color w:val="000000"/>
          <w:lang w:val="en-US"/>
        </w:rPr>
        <w:t xml:space="preserve"> </w:t>
      </w:r>
      <w:r w:rsidRPr="00B75DCF">
        <w:rPr>
          <w:rFonts w:cstheme="minorHAnsi"/>
          <w:color w:val="000000"/>
        </w:rPr>
        <w:t xml:space="preserve">The economic burden of stroke care in England, Wales and Northern Ireland: Using a national stroke register to estimate and report patient-level health economic outcomes in stroke. </w:t>
      </w:r>
      <w:proofErr w:type="spellStart"/>
      <w:r w:rsidRPr="002253A8">
        <w:rPr>
          <w:rFonts w:cstheme="minorHAnsi"/>
          <w:color w:val="000000"/>
        </w:rPr>
        <w:t>Eur</w:t>
      </w:r>
      <w:proofErr w:type="spellEnd"/>
      <w:r w:rsidRPr="002253A8">
        <w:rPr>
          <w:rFonts w:cstheme="minorHAnsi"/>
          <w:color w:val="000000"/>
        </w:rPr>
        <w:t xml:space="preserve"> Stroke J</w:t>
      </w:r>
      <w:r w:rsidR="002253A8" w:rsidRPr="002253A8">
        <w:rPr>
          <w:rFonts w:cstheme="minorHAnsi"/>
          <w:color w:val="000000"/>
        </w:rPr>
        <w:t>.</w:t>
      </w:r>
      <w:r w:rsidRPr="002253A8">
        <w:rPr>
          <w:rFonts w:cstheme="minorHAnsi"/>
          <w:color w:val="000000"/>
        </w:rPr>
        <w:t xml:space="preserve"> </w:t>
      </w:r>
      <w:proofErr w:type="gramStart"/>
      <w:r w:rsidRPr="002253A8">
        <w:rPr>
          <w:rFonts w:cstheme="minorHAnsi"/>
          <w:color w:val="000000"/>
        </w:rPr>
        <w:t>2018;3:82</w:t>
      </w:r>
      <w:proofErr w:type="gramEnd"/>
      <w:r w:rsidRPr="002253A8">
        <w:rPr>
          <w:rFonts w:cstheme="minorHAnsi"/>
          <w:color w:val="000000"/>
        </w:rPr>
        <w:t>–91.</w:t>
      </w:r>
    </w:p>
    <w:p w14:paraId="4156BB00" w14:textId="225E9BCF" w:rsidR="00227BE5" w:rsidRPr="00227BE5" w:rsidRDefault="00227BE5" w:rsidP="00504943">
      <w:pPr>
        <w:spacing w:after="120" w:line="480" w:lineRule="auto"/>
        <w:ind w:left="284" w:hanging="284"/>
        <w:rPr>
          <w:rFonts w:cstheme="minorHAnsi"/>
          <w:color w:val="000000"/>
        </w:rPr>
      </w:pPr>
      <w:r w:rsidRPr="002253A8">
        <w:rPr>
          <w:rFonts w:cstheme="minorHAnsi"/>
          <w:color w:val="000000"/>
        </w:rPr>
        <w:t>3</w:t>
      </w:r>
      <w:r w:rsidR="001B13F3" w:rsidRPr="002253A8">
        <w:rPr>
          <w:rFonts w:cstheme="minorHAnsi"/>
          <w:color w:val="000000"/>
        </w:rPr>
        <w:t>4</w:t>
      </w:r>
      <w:r w:rsidRPr="002253A8">
        <w:rPr>
          <w:rFonts w:cstheme="minorHAnsi"/>
          <w:color w:val="000000"/>
        </w:rPr>
        <w:t>. Shore J, Russell J, Frankenstein L,</w:t>
      </w:r>
      <w:r w:rsidR="002253A8" w:rsidRPr="002253A8">
        <w:t xml:space="preserve"> </w:t>
      </w:r>
      <w:r w:rsidR="002253A8" w:rsidRPr="002253A8">
        <w:rPr>
          <w:rFonts w:cstheme="minorHAnsi"/>
          <w:color w:val="000000"/>
        </w:rPr>
        <w:t>Candolfi P, Green M</w:t>
      </w:r>
      <w:r w:rsidRPr="002253A8">
        <w:rPr>
          <w:rFonts w:cstheme="minorHAnsi"/>
          <w:color w:val="000000"/>
        </w:rPr>
        <w:t xml:space="preserve">. </w:t>
      </w:r>
      <w:r w:rsidRPr="00B75DCF">
        <w:rPr>
          <w:rFonts w:cstheme="minorHAnsi"/>
          <w:color w:val="000000"/>
        </w:rPr>
        <w:t xml:space="preserve">An analysis of the cost-effectiveness of transcatheter mitral valve repair for people with secondary mitral valve regurgitation in the UK. </w:t>
      </w:r>
      <w:r w:rsidRPr="002E4729">
        <w:rPr>
          <w:rFonts w:cstheme="minorHAnsi"/>
          <w:color w:val="000000"/>
        </w:rPr>
        <w:t>J Med Econ</w:t>
      </w:r>
      <w:r w:rsidR="002253A8">
        <w:rPr>
          <w:rFonts w:cstheme="minorHAnsi"/>
          <w:color w:val="000000"/>
        </w:rPr>
        <w:t>.</w:t>
      </w:r>
      <w:r w:rsidRPr="00227BE5">
        <w:rPr>
          <w:rFonts w:cstheme="minorHAnsi"/>
          <w:color w:val="000000"/>
        </w:rPr>
        <w:t xml:space="preserve"> </w:t>
      </w:r>
      <w:proofErr w:type="gramStart"/>
      <w:r w:rsidRPr="00227BE5">
        <w:rPr>
          <w:rFonts w:cstheme="minorHAnsi"/>
          <w:color w:val="000000"/>
        </w:rPr>
        <w:t>2020;23:1425</w:t>
      </w:r>
      <w:proofErr w:type="gramEnd"/>
      <w:r w:rsidRPr="00227BE5">
        <w:rPr>
          <w:rFonts w:cstheme="minorHAnsi"/>
          <w:color w:val="000000"/>
        </w:rPr>
        <w:t>–34.</w:t>
      </w:r>
    </w:p>
    <w:p w14:paraId="6100E261" w14:textId="29BDD8B7" w:rsidR="00227BE5" w:rsidRPr="00B75DCF" w:rsidRDefault="00227BE5" w:rsidP="00504943">
      <w:pPr>
        <w:spacing w:after="120" w:line="480" w:lineRule="auto"/>
        <w:ind w:left="284" w:hanging="284"/>
      </w:pPr>
      <w:r w:rsidRPr="00614A10">
        <w:rPr>
          <w:lang w:val="en-US"/>
        </w:rPr>
        <w:t>3</w:t>
      </w:r>
      <w:r w:rsidR="00095A86" w:rsidRPr="00614A10">
        <w:rPr>
          <w:lang w:val="en-US"/>
        </w:rPr>
        <w:t>5</w:t>
      </w:r>
      <w:r w:rsidRPr="00614A10">
        <w:rPr>
          <w:lang w:val="en-US"/>
        </w:rPr>
        <w:t xml:space="preserve">. Tam DY, Azizi PM, </w:t>
      </w:r>
      <w:proofErr w:type="spellStart"/>
      <w:r w:rsidRPr="00614A10">
        <w:rPr>
          <w:lang w:val="en-US"/>
        </w:rPr>
        <w:t>Fremes</w:t>
      </w:r>
      <w:proofErr w:type="spellEnd"/>
      <w:r w:rsidRPr="00614A10">
        <w:rPr>
          <w:lang w:val="en-US"/>
        </w:rPr>
        <w:t xml:space="preserve"> SE, </w:t>
      </w:r>
      <w:r w:rsidR="00A56B53" w:rsidRPr="00A56B53">
        <w:rPr>
          <w:lang w:val="en-US"/>
        </w:rPr>
        <w:t xml:space="preserve">Chikwe J, Gaudino M, </w:t>
      </w:r>
      <w:proofErr w:type="spellStart"/>
      <w:r w:rsidR="00A56B53" w:rsidRPr="00A56B53">
        <w:rPr>
          <w:lang w:val="en-US"/>
        </w:rPr>
        <w:t>Wijeysundera</w:t>
      </w:r>
      <w:proofErr w:type="spellEnd"/>
      <w:r w:rsidR="00A56B53" w:rsidRPr="00A56B53">
        <w:rPr>
          <w:lang w:val="en-US"/>
        </w:rPr>
        <w:t xml:space="preserve"> HC. </w:t>
      </w:r>
      <w:r w:rsidRPr="00B75DCF">
        <w:t xml:space="preserve">The cost-effectiveness of transcatheter aortic valve replacement in low surgical risk patients with severe aortic stenosis. </w:t>
      </w:r>
      <w:proofErr w:type="spellStart"/>
      <w:r w:rsidRPr="002E4729">
        <w:t>Eur</w:t>
      </w:r>
      <w:proofErr w:type="spellEnd"/>
      <w:r w:rsidRPr="002E4729">
        <w:t xml:space="preserve"> Heart J Qual Care Clin Outcomes</w:t>
      </w:r>
      <w:r w:rsidR="00A56B53">
        <w:t>.</w:t>
      </w:r>
      <w:r w:rsidRPr="00B75DCF">
        <w:t xml:space="preserve"> </w:t>
      </w:r>
      <w:proofErr w:type="gramStart"/>
      <w:r w:rsidRPr="00B75DCF">
        <w:t>2021;7:556</w:t>
      </w:r>
      <w:proofErr w:type="gramEnd"/>
      <w:r w:rsidRPr="00B75DCF">
        <w:t>–63.</w:t>
      </w:r>
    </w:p>
    <w:p w14:paraId="6CFF3E85" w14:textId="70ED5AE7" w:rsidR="00227BE5" w:rsidRPr="00F01336" w:rsidRDefault="00227BE5" w:rsidP="00504943">
      <w:pPr>
        <w:spacing w:after="120" w:line="480" w:lineRule="auto"/>
        <w:ind w:left="284" w:hanging="284"/>
        <w:rPr>
          <w:lang w:val="it-IT"/>
        </w:rPr>
      </w:pPr>
      <w:r w:rsidRPr="00D31734">
        <w:t>3</w:t>
      </w:r>
      <w:r w:rsidR="00095A86">
        <w:t>6</w:t>
      </w:r>
      <w:r w:rsidRPr="00D31734">
        <w:t xml:space="preserve">. Zhou JY, Liew D, Duffy SJ, </w:t>
      </w:r>
      <w:r w:rsidR="00A56B53" w:rsidRPr="00A56B53">
        <w:t>Walton A, Htun N, Stub D</w:t>
      </w:r>
      <w:r w:rsidRPr="00D31734">
        <w:t xml:space="preserve">. </w:t>
      </w:r>
      <w:r w:rsidRPr="00B75DCF">
        <w:t xml:space="preserve">Cost-Effectiveness of Transcatheter Versus Surgical Aortic Valve Replacement in Low-Risk Patients </w:t>
      </w:r>
      <w:proofErr w:type="gramStart"/>
      <w:r w:rsidRPr="00B75DCF">
        <w:t>With</w:t>
      </w:r>
      <w:proofErr w:type="gramEnd"/>
      <w:r w:rsidRPr="00B75DCF">
        <w:t xml:space="preserve"> Severe Aortic Stenosis. </w:t>
      </w:r>
      <w:r w:rsidRPr="002E4729">
        <w:rPr>
          <w:lang w:val="it-IT"/>
        </w:rPr>
        <w:t>Heart Lung Circ</w:t>
      </w:r>
      <w:r w:rsidR="00A56B53">
        <w:rPr>
          <w:lang w:val="it-IT"/>
        </w:rPr>
        <w:t>.</w:t>
      </w:r>
      <w:r w:rsidRPr="00F01336">
        <w:rPr>
          <w:lang w:val="it-IT"/>
        </w:rPr>
        <w:t xml:space="preserve"> 2021;30:547–54. </w:t>
      </w:r>
    </w:p>
    <w:p w14:paraId="6C8ECA7D" w14:textId="41AFDCE2" w:rsidR="00227BE5" w:rsidRPr="00B75DCF" w:rsidRDefault="00227BE5" w:rsidP="00504943">
      <w:pPr>
        <w:spacing w:after="120" w:line="480" w:lineRule="auto"/>
        <w:ind w:left="284" w:hanging="284"/>
      </w:pPr>
      <w:r w:rsidRPr="006A255F">
        <w:rPr>
          <w:lang w:val="en-US"/>
        </w:rPr>
        <w:t>3</w:t>
      </w:r>
      <w:r w:rsidR="00095A86" w:rsidRPr="006A255F">
        <w:rPr>
          <w:lang w:val="en-US"/>
        </w:rPr>
        <w:t>7</w:t>
      </w:r>
      <w:r w:rsidRPr="006A255F">
        <w:rPr>
          <w:lang w:val="en-US"/>
        </w:rPr>
        <w:t xml:space="preserve">. Rumi F, Fortunato A, Antonini D, </w:t>
      </w:r>
      <w:proofErr w:type="spellStart"/>
      <w:r w:rsidR="003A5649" w:rsidRPr="003A5649">
        <w:t>Siviero</w:t>
      </w:r>
      <w:proofErr w:type="spellEnd"/>
      <w:r w:rsidR="003A5649" w:rsidRPr="003A5649">
        <w:t xml:space="preserve"> L, Cicchetti A</w:t>
      </w:r>
      <w:r w:rsidRPr="006A255F">
        <w:rPr>
          <w:lang w:val="en-US"/>
        </w:rPr>
        <w:t xml:space="preserve">. </w:t>
      </w:r>
      <w:r w:rsidRPr="00B75DCF">
        <w:t xml:space="preserve">Analysis of heterogeneity of the different health technology assessment reports produced on the transcatheter aortic valve implantation in patients with severe aortic valve stenosis at low surgical risk. </w:t>
      </w:r>
      <w:r w:rsidRPr="002E4729">
        <w:t>Front Cardiovasc Med</w:t>
      </w:r>
      <w:r w:rsidR="003A5649">
        <w:t>.</w:t>
      </w:r>
      <w:r w:rsidRPr="00B75DCF">
        <w:t xml:space="preserve"> </w:t>
      </w:r>
      <w:proofErr w:type="gramStart"/>
      <w:r w:rsidRPr="00B75DCF">
        <w:t>2023;10:1204520</w:t>
      </w:r>
      <w:proofErr w:type="gramEnd"/>
      <w:r w:rsidRPr="00B75DCF">
        <w:t>.</w:t>
      </w:r>
    </w:p>
    <w:p w14:paraId="6740B651" w14:textId="12148D5C" w:rsidR="00095A86" w:rsidRPr="00E04946" w:rsidRDefault="00227BE5" w:rsidP="00504943">
      <w:pPr>
        <w:spacing w:after="120" w:line="480" w:lineRule="auto"/>
        <w:ind w:left="284" w:hanging="284"/>
        <w:rPr>
          <w:lang w:val="en-US"/>
        </w:rPr>
      </w:pPr>
      <w:r>
        <w:t>3</w:t>
      </w:r>
      <w:r w:rsidR="00095A86">
        <w:t>8</w:t>
      </w:r>
      <w:r>
        <w:t xml:space="preserve">. </w:t>
      </w:r>
      <w:proofErr w:type="spellStart"/>
      <w:r w:rsidR="00095A86" w:rsidRPr="00E04946">
        <w:rPr>
          <w:lang w:val="en-US"/>
        </w:rPr>
        <w:t>Enzing</w:t>
      </w:r>
      <w:proofErr w:type="spellEnd"/>
      <w:r w:rsidR="00095A86" w:rsidRPr="00E04946">
        <w:rPr>
          <w:lang w:val="en-US"/>
        </w:rPr>
        <w:t xml:space="preserve"> J, </w:t>
      </w:r>
      <w:proofErr w:type="spellStart"/>
      <w:r w:rsidR="00095A86" w:rsidRPr="00E04946">
        <w:rPr>
          <w:lang w:val="en-US"/>
        </w:rPr>
        <w:t>Vijgen</w:t>
      </w:r>
      <w:proofErr w:type="spellEnd"/>
      <w:r w:rsidR="00095A86" w:rsidRPr="00E04946">
        <w:rPr>
          <w:lang w:val="en-US"/>
        </w:rPr>
        <w:t xml:space="preserve"> S, Knies S, Boer B, Brouwer W.</w:t>
      </w:r>
      <w:r w:rsidR="003A5649">
        <w:rPr>
          <w:lang w:val="en-US"/>
        </w:rPr>
        <w:t xml:space="preserve"> </w:t>
      </w:r>
      <w:r w:rsidR="00095A86" w:rsidRPr="00E04946">
        <w:rPr>
          <w:lang w:val="en-US"/>
        </w:rPr>
        <w:t>Do economic evaluations of TAVI deal with learning effects, innovation, and context dependency? A review.</w:t>
      </w:r>
      <w:r w:rsidR="002E4729">
        <w:rPr>
          <w:lang w:val="en-US"/>
        </w:rPr>
        <w:t xml:space="preserve"> </w:t>
      </w:r>
      <w:r w:rsidR="00095A86" w:rsidRPr="00E04946">
        <w:rPr>
          <w:lang w:val="en-US"/>
        </w:rPr>
        <w:t xml:space="preserve">Health Policy Technol. </w:t>
      </w:r>
      <w:proofErr w:type="gramStart"/>
      <w:r w:rsidR="00095A86" w:rsidRPr="00E04946">
        <w:rPr>
          <w:lang w:val="en-US"/>
        </w:rPr>
        <w:t>2021;10:111</w:t>
      </w:r>
      <w:proofErr w:type="gramEnd"/>
      <w:r w:rsidR="002E4729">
        <w:rPr>
          <w:lang w:val="en-US"/>
        </w:rPr>
        <w:t>–</w:t>
      </w:r>
      <w:r w:rsidR="00095A86" w:rsidRPr="00E04946">
        <w:rPr>
          <w:lang w:val="en-US"/>
        </w:rPr>
        <w:t xml:space="preserve">9. </w:t>
      </w:r>
    </w:p>
    <w:p w14:paraId="65C4DE91" w14:textId="57F8D378" w:rsidR="00227BE5" w:rsidRDefault="007B311A" w:rsidP="00504943">
      <w:pPr>
        <w:spacing w:after="120" w:line="480" w:lineRule="auto"/>
        <w:ind w:left="284" w:hanging="284"/>
        <w:rPr>
          <w:rStyle w:val="Hyperlink"/>
        </w:rPr>
      </w:pPr>
      <w:r>
        <w:lastRenderedPageBreak/>
        <w:t xml:space="preserve">39. </w:t>
      </w:r>
      <w:r w:rsidR="00227BE5" w:rsidRPr="00B75DCF">
        <w:t>Norwegian Institute of Public Health (NIPH). Transcatheter aortic valve implantation (TAVI) versus surgical aortic valve replacement (SAVR) for patients with severe aortic stenosis and low surgical risk and across surgical risk groups: a health technology assessment 2021</w:t>
      </w:r>
      <w:r w:rsidR="00227BE5">
        <w:t>.</w:t>
      </w:r>
      <w:r w:rsidR="00227BE5" w:rsidRPr="00B75DCF">
        <w:t xml:space="preserve"> Available </w:t>
      </w:r>
      <w:r w:rsidR="00227BE5">
        <w:t>at</w:t>
      </w:r>
      <w:r w:rsidR="00227BE5" w:rsidRPr="00B75DCF">
        <w:t xml:space="preserve">: </w:t>
      </w:r>
      <w:hyperlink r:id="rId18" w:history="1">
        <w:r w:rsidR="00227BE5" w:rsidRPr="00B75DCF">
          <w:rPr>
            <w:rStyle w:val="Hyperlink"/>
          </w:rPr>
          <w:t>https://www.fhi.no/en/publ/2021/TAVI-vs-SAVR-for-patients-with-severe-aortic-stenosis-and-low-surgical-risk-and-across-surgical-risk-groups/</w:t>
        </w:r>
      </w:hyperlink>
    </w:p>
    <w:p w14:paraId="66FDF777" w14:textId="46EEE8C9" w:rsidR="00227BE5" w:rsidRPr="00B75DCF" w:rsidRDefault="005028A1" w:rsidP="00504943">
      <w:pPr>
        <w:spacing w:after="120" w:line="480" w:lineRule="auto"/>
        <w:ind w:left="284" w:hanging="284"/>
      </w:pPr>
      <w:r>
        <w:t>40</w:t>
      </w:r>
      <w:r w:rsidR="00227BE5">
        <w:t xml:space="preserve">. </w:t>
      </w:r>
      <w:r w:rsidR="00227BE5" w:rsidRPr="00B75DCF">
        <w:t>Health Information and Quality Authority (HIQA). Health Technology Assessment of transcatheter aortic valve implantation (TAVI) in patients with severe symptomatic aortic stenosis at low and intermediate risk of surgical complications 2019</w:t>
      </w:r>
      <w:r w:rsidR="00227BE5">
        <w:t>.</w:t>
      </w:r>
      <w:r w:rsidR="00227BE5" w:rsidRPr="00B75DCF">
        <w:t xml:space="preserve"> Available </w:t>
      </w:r>
      <w:r w:rsidR="00227BE5">
        <w:t>at</w:t>
      </w:r>
      <w:r w:rsidR="00227BE5" w:rsidRPr="00B75DCF">
        <w:t xml:space="preserve">: </w:t>
      </w:r>
      <w:hyperlink r:id="rId19" w:history="1">
        <w:r w:rsidR="00227BE5" w:rsidRPr="00B75DCF">
          <w:rPr>
            <w:rStyle w:val="Hyperlink"/>
          </w:rPr>
          <w:t>https://www.hiqa.ie/sites/default/files/2019-12/TAVI_HTA.pdf</w:t>
        </w:r>
      </w:hyperlink>
    </w:p>
    <w:p w14:paraId="7A9677C4" w14:textId="38EC9BAA" w:rsidR="003C6110" w:rsidRPr="00B75DCF" w:rsidRDefault="00253945" w:rsidP="00504943">
      <w:pPr>
        <w:spacing w:after="120" w:line="480" w:lineRule="auto"/>
        <w:ind w:left="284" w:hanging="284"/>
        <w:rPr>
          <w:rFonts w:cstheme="minorHAnsi"/>
        </w:rPr>
      </w:pPr>
      <w:r w:rsidRPr="00504943">
        <w:rPr>
          <w:rFonts w:cstheme="minorHAnsi"/>
        </w:rPr>
        <w:t>41</w:t>
      </w:r>
      <w:r w:rsidR="008633F7" w:rsidRPr="00504943">
        <w:rPr>
          <w:rFonts w:cstheme="minorHAnsi"/>
        </w:rPr>
        <w:t xml:space="preserve">. </w:t>
      </w:r>
      <w:r w:rsidR="003A34DE" w:rsidRPr="00504943">
        <w:rPr>
          <w:rFonts w:cstheme="minorHAnsi"/>
        </w:rPr>
        <w:t xml:space="preserve">Galper BZ, Chinnakondepalli KM, Wang K, </w:t>
      </w:r>
      <w:r w:rsidR="003A5649" w:rsidRPr="00504943">
        <w:rPr>
          <w:rFonts w:cstheme="minorHAnsi"/>
        </w:rPr>
        <w:t xml:space="preserve">Magnuson EA, Lu M, </w:t>
      </w:r>
      <w:proofErr w:type="spellStart"/>
      <w:r w:rsidR="003A5649" w:rsidRPr="00504943">
        <w:rPr>
          <w:rFonts w:cstheme="minorHAnsi"/>
        </w:rPr>
        <w:t>Thourani</w:t>
      </w:r>
      <w:proofErr w:type="spellEnd"/>
      <w:r w:rsidR="003A5649" w:rsidRPr="00504943">
        <w:rPr>
          <w:rFonts w:cstheme="minorHAnsi"/>
        </w:rPr>
        <w:t xml:space="preserve"> VH, </w:t>
      </w:r>
      <w:r w:rsidR="003A34DE" w:rsidRPr="00504943">
        <w:rPr>
          <w:rFonts w:cstheme="minorHAnsi"/>
        </w:rPr>
        <w:t xml:space="preserve">et al. </w:t>
      </w:r>
      <w:r w:rsidR="003A34DE" w:rsidRPr="00B75DCF">
        <w:rPr>
          <w:rFonts w:cstheme="minorHAnsi"/>
        </w:rPr>
        <w:t xml:space="preserve">Economic Outcomes of Transcatheter Versus Surgical Aortic Valve Replacement in Patients with Severe Aortic Stenosis and Low Surgical Risk: Results from the PARTNER 3 Trial. </w:t>
      </w:r>
      <w:r w:rsidR="003A34DE" w:rsidRPr="002E4729">
        <w:rPr>
          <w:rFonts w:cstheme="minorHAnsi"/>
        </w:rPr>
        <w:t>Circulation</w:t>
      </w:r>
      <w:r w:rsidR="003A5649">
        <w:rPr>
          <w:rFonts w:cstheme="minorHAnsi"/>
        </w:rPr>
        <w:t>.</w:t>
      </w:r>
      <w:r w:rsidR="003A34DE" w:rsidRPr="00B75DCF">
        <w:rPr>
          <w:rFonts w:cstheme="minorHAnsi"/>
        </w:rPr>
        <w:t xml:space="preserve"> </w:t>
      </w:r>
      <w:proofErr w:type="gramStart"/>
      <w:r w:rsidR="003A34DE" w:rsidRPr="00B75DCF">
        <w:rPr>
          <w:rFonts w:cstheme="minorHAnsi"/>
        </w:rPr>
        <w:t>2023;147:1594</w:t>
      </w:r>
      <w:proofErr w:type="gramEnd"/>
      <w:r w:rsidR="003A34DE" w:rsidRPr="00B75DCF">
        <w:rPr>
          <w:rFonts w:cstheme="minorHAnsi"/>
        </w:rPr>
        <w:t>–605.</w:t>
      </w:r>
    </w:p>
    <w:p w14:paraId="02ABBAC9" w14:textId="07239A0D" w:rsidR="003641B9" w:rsidRDefault="008633F7" w:rsidP="00504943">
      <w:pPr>
        <w:spacing w:after="120" w:line="480" w:lineRule="auto"/>
        <w:ind w:left="284" w:hanging="284"/>
        <w:rPr>
          <w:rFonts w:cstheme="minorHAnsi"/>
        </w:rPr>
      </w:pPr>
      <w:r w:rsidRPr="003A5649">
        <w:rPr>
          <w:rFonts w:cstheme="minorHAnsi"/>
        </w:rPr>
        <w:t>4</w:t>
      </w:r>
      <w:r w:rsidR="00253945" w:rsidRPr="003A5649">
        <w:rPr>
          <w:rFonts w:cstheme="minorHAnsi"/>
        </w:rPr>
        <w:t>2</w:t>
      </w:r>
      <w:r w:rsidR="003266BE" w:rsidRPr="003A5649">
        <w:rPr>
          <w:rFonts w:cstheme="minorHAnsi"/>
        </w:rPr>
        <w:t xml:space="preserve">. </w:t>
      </w:r>
      <w:r w:rsidR="003A34DE" w:rsidRPr="003A5649">
        <w:rPr>
          <w:rFonts w:cstheme="minorHAnsi"/>
        </w:rPr>
        <w:t>Kobayashi J, Baron SJ, Takagi K,</w:t>
      </w:r>
      <w:r w:rsidR="003A5649" w:rsidRPr="003A5649">
        <w:t xml:space="preserve"> </w:t>
      </w:r>
      <w:r w:rsidR="003A5649" w:rsidRPr="003A5649">
        <w:rPr>
          <w:rFonts w:cstheme="minorHAnsi"/>
        </w:rPr>
        <w:t>Thompson CA, Jiao X, Yamabe K</w:t>
      </w:r>
      <w:r w:rsidR="003A34DE" w:rsidRPr="003A5649">
        <w:rPr>
          <w:rFonts w:cstheme="minorHAnsi"/>
        </w:rPr>
        <w:t xml:space="preserve">. </w:t>
      </w:r>
      <w:r w:rsidR="003A34DE" w:rsidRPr="00B75DCF">
        <w:rPr>
          <w:rFonts w:cstheme="minorHAnsi"/>
        </w:rPr>
        <w:t xml:space="preserve">Cost-effectiveness analysis of transcatheter aortic valve implantation in aortic stenosis patients at low- and intermediate-surgical risk in Japan. </w:t>
      </w:r>
      <w:r w:rsidR="003A34DE" w:rsidRPr="002E4729">
        <w:rPr>
          <w:rFonts w:cstheme="minorHAnsi"/>
        </w:rPr>
        <w:t>J Med Econ</w:t>
      </w:r>
      <w:r w:rsidR="003A5649">
        <w:rPr>
          <w:rFonts w:cstheme="minorHAnsi"/>
        </w:rPr>
        <w:t>.</w:t>
      </w:r>
      <w:r w:rsidR="003A34DE" w:rsidRPr="00227BE5">
        <w:rPr>
          <w:rFonts w:cstheme="minorHAnsi"/>
        </w:rPr>
        <w:t xml:space="preserve"> </w:t>
      </w:r>
      <w:proofErr w:type="gramStart"/>
      <w:r w:rsidR="003A34DE" w:rsidRPr="00227BE5">
        <w:rPr>
          <w:rFonts w:cstheme="minorHAnsi"/>
        </w:rPr>
        <w:t>2024;27:697</w:t>
      </w:r>
      <w:proofErr w:type="gramEnd"/>
      <w:r w:rsidR="003A34DE" w:rsidRPr="00227BE5">
        <w:rPr>
          <w:rFonts w:cstheme="minorHAnsi"/>
        </w:rPr>
        <w:t>–707.</w:t>
      </w:r>
    </w:p>
    <w:p w14:paraId="7044FE9B" w14:textId="6DC473D5" w:rsidR="00D00592" w:rsidRDefault="00253945" w:rsidP="00504943">
      <w:pPr>
        <w:spacing w:after="120" w:line="480" w:lineRule="auto"/>
        <w:ind w:left="284" w:hanging="284"/>
        <w:rPr>
          <w:rFonts w:cstheme="minorHAnsi"/>
        </w:rPr>
      </w:pPr>
      <w:r>
        <w:rPr>
          <w:rFonts w:cstheme="minorHAnsi"/>
        </w:rPr>
        <w:t xml:space="preserve">43. </w:t>
      </w:r>
      <w:r w:rsidR="001A7B75" w:rsidRPr="001A7B75">
        <w:rPr>
          <w:rFonts w:cstheme="minorHAnsi"/>
        </w:rPr>
        <w:t>Lindman BR,</w:t>
      </w:r>
      <w:r w:rsidR="003A5649">
        <w:rPr>
          <w:rFonts w:cstheme="minorHAnsi"/>
        </w:rPr>
        <w:t xml:space="preserve"> </w:t>
      </w:r>
      <w:proofErr w:type="spellStart"/>
      <w:r w:rsidR="001A7B75" w:rsidRPr="001A7B75">
        <w:rPr>
          <w:rFonts w:cstheme="minorHAnsi"/>
        </w:rPr>
        <w:t>Braunwald</w:t>
      </w:r>
      <w:proofErr w:type="spellEnd"/>
      <w:r w:rsidR="001A7B75" w:rsidRPr="001A7B75">
        <w:rPr>
          <w:rFonts w:cstheme="minorHAnsi"/>
        </w:rPr>
        <w:t xml:space="preserve"> E,</w:t>
      </w:r>
      <w:r w:rsidR="003A5649">
        <w:rPr>
          <w:rFonts w:cstheme="minorHAnsi"/>
        </w:rPr>
        <w:t xml:space="preserve"> </w:t>
      </w:r>
      <w:r w:rsidR="001A7B75" w:rsidRPr="001A7B75">
        <w:rPr>
          <w:rFonts w:cstheme="minorHAnsi"/>
        </w:rPr>
        <w:t>Pellikka PA. Aortic Valve Replacement for Asymptomatic Severe Aortic Stenosis—The Time Has Come.</w:t>
      </w:r>
      <w:r w:rsidR="002E4729">
        <w:rPr>
          <w:rFonts w:cstheme="minorHAnsi"/>
        </w:rPr>
        <w:t xml:space="preserve"> </w:t>
      </w:r>
      <w:r w:rsidR="001A7B75" w:rsidRPr="002E4729">
        <w:rPr>
          <w:rFonts w:cstheme="minorHAnsi"/>
        </w:rPr>
        <w:t xml:space="preserve">JAMA </w:t>
      </w:r>
      <w:proofErr w:type="spellStart"/>
      <w:r w:rsidR="001A7B75" w:rsidRPr="002E4729">
        <w:rPr>
          <w:rFonts w:cstheme="minorHAnsi"/>
        </w:rPr>
        <w:t>Cardiol</w:t>
      </w:r>
      <w:proofErr w:type="spellEnd"/>
      <w:r w:rsidR="003A5649">
        <w:rPr>
          <w:rFonts w:cstheme="minorHAnsi"/>
        </w:rPr>
        <w:t xml:space="preserve">. </w:t>
      </w:r>
      <w:proofErr w:type="gramStart"/>
      <w:r w:rsidR="001A7B75" w:rsidRPr="001A7B75">
        <w:rPr>
          <w:rFonts w:cstheme="minorHAnsi"/>
        </w:rPr>
        <w:t>2025</w:t>
      </w:r>
      <w:r w:rsidR="003A5649" w:rsidRPr="003A5649">
        <w:rPr>
          <w:rFonts w:cstheme="minorHAnsi"/>
        </w:rPr>
        <w:t>;10:305</w:t>
      </w:r>
      <w:proofErr w:type="gramEnd"/>
      <w:r w:rsidR="003A5649">
        <w:rPr>
          <w:rFonts w:cstheme="minorHAnsi"/>
        </w:rPr>
        <w:t>–</w:t>
      </w:r>
      <w:r w:rsidR="003A5649" w:rsidRPr="003A5649">
        <w:rPr>
          <w:rFonts w:cstheme="minorHAnsi"/>
        </w:rPr>
        <w:t>6.</w:t>
      </w:r>
    </w:p>
    <w:p w14:paraId="00019211" w14:textId="574D3E56" w:rsidR="003A5649" w:rsidRDefault="00D00592" w:rsidP="00504943">
      <w:pPr>
        <w:spacing w:after="120" w:line="480" w:lineRule="auto"/>
        <w:ind w:left="284" w:hanging="284"/>
        <w:rPr>
          <w:rFonts w:cstheme="minorHAnsi"/>
        </w:rPr>
      </w:pPr>
      <w:r w:rsidRPr="00E04946">
        <w:rPr>
          <w:rFonts w:cstheme="minorHAnsi"/>
          <w:lang w:val="en-US"/>
        </w:rPr>
        <w:t xml:space="preserve">44. Généreux P, Schwartz A, </w:t>
      </w:r>
      <w:proofErr w:type="spellStart"/>
      <w:r w:rsidRPr="00E04946">
        <w:rPr>
          <w:rFonts w:cstheme="minorHAnsi"/>
          <w:lang w:val="en-US"/>
        </w:rPr>
        <w:t>Oldemeyer</w:t>
      </w:r>
      <w:proofErr w:type="spellEnd"/>
      <w:r w:rsidRPr="00E04946">
        <w:rPr>
          <w:rFonts w:cstheme="minorHAnsi"/>
          <w:lang w:val="en-US"/>
        </w:rPr>
        <w:t xml:space="preserve"> JB,</w:t>
      </w:r>
      <w:r w:rsidR="003A5649" w:rsidRPr="003A5649">
        <w:t xml:space="preserve"> </w:t>
      </w:r>
      <w:proofErr w:type="spellStart"/>
      <w:r w:rsidR="003A5649" w:rsidRPr="003A5649">
        <w:rPr>
          <w:rFonts w:cstheme="minorHAnsi"/>
          <w:lang w:val="en-US"/>
        </w:rPr>
        <w:t>Pibarot</w:t>
      </w:r>
      <w:proofErr w:type="spellEnd"/>
      <w:r w:rsidR="003A5649" w:rsidRPr="003A5649">
        <w:rPr>
          <w:rFonts w:cstheme="minorHAnsi"/>
          <w:lang w:val="en-US"/>
        </w:rPr>
        <w:t xml:space="preserve"> P, Cohen DJ, Blanke P,</w:t>
      </w:r>
      <w:r w:rsidRPr="00E04946">
        <w:rPr>
          <w:rFonts w:cstheme="minorHAnsi"/>
          <w:lang w:val="en-US"/>
        </w:rPr>
        <w:t xml:space="preserve"> </w:t>
      </w:r>
      <w:r w:rsidRPr="003A5649">
        <w:rPr>
          <w:rFonts w:cstheme="minorHAnsi"/>
          <w:lang w:val="en-US"/>
        </w:rPr>
        <w:t>et al.</w:t>
      </w:r>
      <w:r w:rsidRPr="00E04946">
        <w:rPr>
          <w:rFonts w:cstheme="minorHAnsi"/>
          <w:lang w:val="en-US"/>
        </w:rPr>
        <w:t xml:space="preserve"> </w:t>
      </w:r>
      <w:r w:rsidRPr="00216E85">
        <w:rPr>
          <w:rFonts w:cstheme="minorHAnsi"/>
        </w:rPr>
        <w:t>EARLY TAVR Trial Investigators. Transcatheter Aortic-Valve Replacement for Asymptomatic Severe Aortic Stenosis. N Engl J Med</w:t>
      </w:r>
      <w:r w:rsidR="003A5649">
        <w:rPr>
          <w:rFonts w:cstheme="minorHAnsi"/>
        </w:rPr>
        <w:t>.</w:t>
      </w:r>
      <w:r w:rsidRPr="00216E85">
        <w:rPr>
          <w:rFonts w:cstheme="minorHAnsi"/>
        </w:rPr>
        <w:t xml:space="preserve"> </w:t>
      </w:r>
      <w:proofErr w:type="gramStart"/>
      <w:r w:rsidRPr="00216E85">
        <w:rPr>
          <w:rFonts w:cstheme="minorHAnsi"/>
        </w:rPr>
        <w:t>2025;392:217</w:t>
      </w:r>
      <w:proofErr w:type="gramEnd"/>
      <w:r w:rsidR="002E4729">
        <w:rPr>
          <w:rFonts w:cstheme="minorHAnsi"/>
        </w:rPr>
        <w:t>–</w:t>
      </w:r>
      <w:r w:rsidRPr="00216E85">
        <w:rPr>
          <w:rFonts w:cstheme="minorHAnsi"/>
        </w:rPr>
        <w:t>27.</w:t>
      </w:r>
    </w:p>
    <w:p w14:paraId="6AD7A5E0" w14:textId="25D8D2AF" w:rsidR="000206AC" w:rsidRDefault="000206AC" w:rsidP="00504943">
      <w:pPr>
        <w:spacing w:after="120" w:line="480" w:lineRule="auto"/>
        <w:ind w:left="284" w:hanging="284"/>
        <w:rPr>
          <w:rFonts w:cstheme="minorHAnsi"/>
        </w:rPr>
      </w:pPr>
      <w:r>
        <w:rPr>
          <w:rFonts w:cstheme="minorHAnsi"/>
        </w:rPr>
        <w:t xml:space="preserve">45. </w:t>
      </w:r>
      <w:r w:rsidRPr="000206AC">
        <w:rPr>
          <w:rFonts w:cstheme="minorHAnsi"/>
        </w:rPr>
        <w:t xml:space="preserve">Briggs A, </w:t>
      </w:r>
      <w:proofErr w:type="spellStart"/>
      <w:r w:rsidRPr="000206AC">
        <w:rPr>
          <w:rFonts w:cstheme="minorHAnsi"/>
        </w:rPr>
        <w:t>Sculpher</w:t>
      </w:r>
      <w:proofErr w:type="spellEnd"/>
      <w:r w:rsidRPr="000206AC">
        <w:rPr>
          <w:rFonts w:cstheme="minorHAnsi"/>
        </w:rPr>
        <w:t xml:space="preserve"> M, Claxton K. Decision modelling for health economic evaluation. </w:t>
      </w:r>
      <w:proofErr w:type="spellStart"/>
      <w:r w:rsidRPr="000206AC">
        <w:rPr>
          <w:rFonts w:cstheme="minorHAnsi"/>
        </w:rPr>
        <w:t>Oup</w:t>
      </w:r>
      <w:proofErr w:type="spellEnd"/>
      <w:r w:rsidRPr="000206AC">
        <w:rPr>
          <w:rFonts w:cstheme="minorHAnsi"/>
        </w:rPr>
        <w:t xml:space="preserve"> Oxford; 2006 Aug 18.</w:t>
      </w:r>
    </w:p>
    <w:p w14:paraId="75E4D383" w14:textId="0F7E0979" w:rsidR="008002EF" w:rsidRDefault="008002EF" w:rsidP="00504943">
      <w:pPr>
        <w:spacing w:after="120" w:line="480" w:lineRule="auto"/>
        <w:ind w:left="284" w:hanging="284"/>
        <w:rPr>
          <w:rFonts w:cstheme="minorHAnsi"/>
        </w:rPr>
      </w:pPr>
      <w:r>
        <w:rPr>
          <w:rFonts w:cstheme="minorHAnsi"/>
        </w:rPr>
        <w:lastRenderedPageBreak/>
        <w:t xml:space="preserve">46. </w:t>
      </w:r>
      <w:r w:rsidRPr="008002EF">
        <w:rPr>
          <w:rFonts w:cstheme="minorHAnsi"/>
        </w:rPr>
        <w:t xml:space="preserve">Williams MR, </w:t>
      </w:r>
      <w:proofErr w:type="spellStart"/>
      <w:r w:rsidRPr="008002EF">
        <w:rPr>
          <w:rFonts w:cstheme="minorHAnsi"/>
        </w:rPr>
        <w:t>Jilaihawi</w:t>
      </w:r>
      <w:proofErr w:type="spellEnd"/>
      <w:r w:rsidRPr="008002EF">
        <w:rPr>
          <w:rFonts w:cstheme="minorHAnsi"/>
        </w:rPr>
        <w:t xml:space="preserve"> H, Makkar R, O'Neill WW, Guyton R, </w:t>
      </w:r>
      <w:proofErr w:type="spellStart"/>
      <w:r w:rsidRPr="008002EF">
        <w:rPr>
          <w:rFonts w:cstheme="minorHAnsi"/>
        </w:rPr>
        <w:t>Malaisrie</w:t>
      </w:r>
      <w:proofErr w:type="spellEnd"/>
      <w:r w:rsidRPr="008002EF">
        <w:rPr>
          <w:rFonts w:cstheme="minorHAnsi"/>
        </w:rPr>
        <w:t xml:space="preserve"> SC, Brown DL, Blanke P, Leipsic JA, </w:t>
      </w:r>
      <w:proofErr w:type="spellStart"/>
      <w:r w:rsidRPr="008002EF">
        <w:rPr>
          <w:rFonts w:cstheme="minorHAnsi"/>
        </w:rPr>
        <w:t>Pibarot</w:t>
      </w:r>
      <w:proofErr w:type="spellEnd"/>
      <w:r w:rsidRPr="008002EF">
        <w:rPr>
          <w:rFonts w:cstheme="minorHAnsi"/>
        </w:rPr>
        <w:t xml:space="preserve"> P, Hahn RT, Leon MB, Cohen DJ, Bax JJ, Kodali SK, Mack MJ, Lu M, Webb JG. The PARTNER 3 Bicuspid Registry for Transcatheter Aortic Valve Replacement in Low-Surgical-Risk Patients. JACC Cardiovasc </w:t>
      </w:r>
      <w:proofErr w:type="spellStart"/>
      <w:r w:rsidRPr="008002EF">
        <w:rPr>
          <w:rFonts w:cstheme="minorHAnsi"/>
        </w:rPr>
        <w:t>Interv</w:t>
      </w:r>
      <w:proofErr w:type="spellEnd"/>
      <w:r w:rsidRPr="008002EF">
        <w:rPr>
          <w:rFonts w:cstheme="minorHAnsi"/>
        </w:rPr>
        <w:t xml:space="preserve">. 2022;15(5):523-532. </w:t>
      </w:r>
    </w:p>
    <w:p w14:paraId="7637FA55" w14:textId="214F0A2F" w:rsidR="008002EF" w:rsidRDefault="008002EF" w:rsidP="00504943">
      <w:pPr>
        <w:spacing w:after="120" w:line="480" w:lineRule="auto"/>
        <w:ind w:left="284" w:hanging="284"/>
        <w:rPr>
          <w:rFonts w:cstheme="minorHAnsi"/>
        </w:rPr>
      </w:pPr>
      <w:r>
        <w:rPr>
          <w:rFonts w:cstheme="minorHAnsi"/>
        </w:rPr>
        <w:t xml:space="preserve">47. </w:t>
      </w:r>
      <w:r w:rsidRPr="008002EF">
        <w:rPr>
          <w:rFonts w:cstheme="minorHAnsi"/>
        </w:rPr>
        <w:t xml:space="preserve">Jørgensen TH, Thyregod HGH, </w:t>
      </w:r>
      <w:proofErr w:type="spellStart"/>
      <w:r w:rsidRPr="008002EF">
        <w:rPr>
          <w:rFonts w:cstheme="minorHAnsi"/>
        </w:rPr>
        <w:t>Savontaus</w:t>
      </w:r>
      <w:proofErr w:type="spellEnd"/>
      <w:r w:rsidRPr="008002EF">
        <w:rPr>
          <w:rFonts w:cstheme="minorHAnsi"/>
        </w:rPr>
        <w:t xml:space="preserve"> M, </w:t>
      </w:r>
      <w:proofErr w:type="spellStart"/>
      <w:r w:rsidRPr="008002EF">
        <w:rPr>
          <w:rFonts w:cstheme="minorHAnsi"/>
        </w:rPr>
        <w:t>Willemen</w:t>
      </w:r>
      <w:proofErr w:type="spellEnd"/>
      <w:r w:rsidRPr="008002EF">
        <w:rPr>
          <w:rFonts w:cstheme="minorHAnsi"/>
        </w:rPr>
        <w:t xml:space="preserve"> Y, Bleie Ø, Tang M, Niemela M, Angerås O, </w:t>
      </w:r>
      <w:proofErr w:type="spellStart"/>
      <w:r w:rsidRPr="008002EF">
        <w:rPr>
          <w:rFonts w:cstheme="minorHAnsi"/>
        </w:rPr>
        <w:t>Gudmundsdóttir</w:t>
      </w:r>
      <w:proofErr w:type="spellEnd"/>
      <w:r w:rsidRPr="008002EF">
        <w:rPr>
          <w:rFonts w:cstheme="minorHAnsi"/>
        </w:rPr>
        <w:t xml:space="preserve"> IJ, </w:t>
      </w:r>
      <w:proofErr w:type="spellStart"/>
      <w:r w:rsidRPr="008002EF">
        <w:rPr>
          <w:rFonts w:cstheme="minorHAnsi"/>
        </w:rPr>
        <w:t>Sartipy</w:t>
      </w:r>
      <w:proofErr w:type="spellEnd"/>
      <w:r w:rsidRPr="008002EF">
        <w:rPr>
          <w:rFonts w:cstheme="minorHAnsi"/>
        </w:rPr>
        <w:t xml:space="preserve"> U, </w:t>
      </w:r>
      <w:proofErr w:type="spellStart"/>
      <w:r w:rsidRPr="008002EF">
        <w:rPr>
          <w:rFonts w:cstheme="minorHAnsi"/>
        </w:rPr>
        <w:t>Dagnegaard</w:t>
      </w:r>
      <w:proofErr w:type="spellEnd"/>
      <w:r w:rsidRPr="008002EF">
        <w:rPr>
          <w:rFonts w:cstheme="minorHAnsi"/>
        </w:rPr>
        <w:t xml:space="preserve"> H, Laine M, </w:t>
      </w:r>
      <w:proofErr w:type="spellStart"/>
      <w:r w:rsidRPr="008002EF">
        <w:rPr>
          <w:rFonts w:cstheme="minorHAnsi"/>
        </w:rPr>
        <w:t>Rück</w:t>
      </w:r>
      <w:proofErr w:type="spellEnd"/>
      <w:r w:rsidRPr="008002EF">
        <w:rPr>
          <w:rFonts w:cstheme="minorHAnsi"/>
        </w:rPr>
        <w:t xml:space="preserve"> A, </w:t>
      </w:r>
      <w:proofErr w:type="spellStart"/>
      <w:r w:rsidRPr="008002EF">
        <w:rPr>
          <w:rFonts w:cstheme="minorHAnsi"/>
        </w:rPr>
        <w:t>Piuhola</w:t>
      </w:r>
      <w:proofErr w:type="spellEnd"/>
      <w:r w:rsidRPr="008002EF">
        <w:rPr>
          <w:rFonts w:cstheme="minorHAnsi"/>
        </w:rPr>
        <w:t xml:space="preserve"> J, Petursson P, Christiansen EH, Malmberg M, Olsen PS, </w:t>
      </w:r>
      <w:proofErr w:type="spellStart"/>
      <w:r w:rsidRPr="008002EF">
        <w:rPr>
          <w:rFonts w:cstheme="minorHAnsi"/>
        </w:rPr>
        <w:t>Haaverstad</w:t>
      </w:r>
      <w:proofErr w:type="spellEnd"/>
      <w:r w:rsidRPr="008002EF">
        <w:rPr>
          <w:rFonts w:cstheme="minorHAnsi"/>
        </w:rPr>
        <w:t xml:space="preserve"> R, Sondergaard L, De Backer O; NOTION-2 investigators. Transcatheter aortic valve implantation in low-risk tricuspid or bicuspid aortic stenosis: the NOTION-2 trial. </w:t>
      </w:r>
      <w:proofErr w:type="spellStart"/>
      <w:r w:rsidRPr="008002EF">
        <w:rPr>
          <w:rFonts w:cstheme="minorHAnsi"/>
        </w:rPr>
        <w:t>Eur</w:t>
      </w:r>
      <w:proofErr w:type="spellEnd"/>
      <w:r w:rsidRPr="008002EF">
        <w:rPr>
          <w:rFonts w:cstheme="minorHAnsi"/>
        </w:rPr>
        <w:t xml:space="preserve"> Heart J. 2024</w:t>
      </w:r>
      <w:r>
        <w:rPr>
          <w:rFonts w:cstheme="minorHAnsi"/>
        </w:rPr>
        <w:t xml:space="preserve">; </w:t>
      </w:r>
      <w:r w:rsidRPr="008002EF">
        <w:rPr>
          <w:rFonts w:cstheme="minorHAnsi"/>
        </w:rPr>
        <w:t>45(37):3804-3814.</w:t>
      </w:r>
    </w:p>
    <w:p w14:paraId="19B1E195" w14:textId="7E92B28D" w:rsidR="008002EF" w:rsidRDefault="008002EF" w:rsidP="008002EF">
      <w:pPr>
        <w:spacing w:after="120" w:line="480" w:lineRule="auto"/>
        <w:ind w:left="284" w:hanging="284"/>
        <w:rPr>
          <w:rFonts w:cstheme="minorHAnsi"/>
        </w:rPr>
      </w:pPr>
      <w:r>
        <w:rPr>
          <w:rFonts w:cstheme="minorHAnsi"/>
        </w:rPr>
        <w:t xml:space="preserve">48. </w:t>
      </w:r>
      <w:r w:rsidRPr="008002EF">
        <w:rPr>
          <w:rFonts w:cstheme="minorHAnsi"/>
        </w:rPr>
        <w:t xml:space="preserve">Lerman TT, Greenberg N, </w:t>
      </w:r>
      <w:proofErr w:type="spellStart"/>
      <w:r w:rsidRPr="008002EF">
        <w:rPr>
          <w:rFonts w:cstheme="minorHAnsi"/>
        </w:rPr>
        <w:t>Kheifets</w:t>
      </w:r>
      <w:proofErr w:type="spellEnd"/>
      <w:r w:rsidRPr="008002EF">
        <w:rPr>
          <w:rFonts w:cstheme="minorHAnsi"/>
        </w:rPr>
        <w:t xml:space="preserve"> M, Talmor-Barkan Y, Codner P, Perl L, </w:t>
      </w:r>
      <w:proofErr w:type="spellStart"/>
      <w:r w:rsidRPr="008002EF">
        <w:rPr>
          <w:rFonts w:cstheme="minorHAnsi"/>
        </w:rPr>
        <w:t>Witberg</w:t>
      </w:r>
      <w:proofErr w:type="spellEnd"/>
      <w:r w:rsidRPr="008002EF">
        <w:rPr>
          <w:rFonts w:cstheme="minorHAnsi"/>
        </w:rPr>
        <w:t xml:space="preserve"> G, Orvin K, Eisen A, Grinberg T, Skalsky K, Shapira Y, Belkin D, Jørgensen TH, Hørsted Thyregod HG, De Backer O, Fishman B, Kornowski R, Levi A. Transcatheter Aortic Valve Implantation vs Surgical Aortic Valve Replacement in Patients at Lower Surgical Risk: Meta-analysis of Randomized Trials. Can J Cardiol. 2025</w:t>
      </w:r>
      <w:r>
        <w:rPr>
          <w:rFonts w:cstheme="minorHAnsi"/>
        </w:rPr>
        <w:t xml:space="preserve">; </w:t>
      </w:r>
      <w:r w:rsidRPr="008002EF">
        <w:rPr>
          <w:rFonts w:cstheme="minorHAnsi"/>
        </w:rPr>
        <w:t>41(7):1258-1269.</w:t>
      </w:r>
    </w:p>
    <w:p w14:paraId="4C9A9003" w14:textId="5A451815" w:rsidR="00093AF3" w:rsidRDefault="00093AF3" w:rsidP="008002EF">
      <w:pPr>
        <w:spacing w:after="120" w:line="480" w:lineRule="auto"/>
        <w:ind w:left="284" w:hanging="284"/>
        <w:rPr>
          <w:rFonts w:cstheme="minorHAnsi"/>
        </w:rPr>
      </w:pPr>
      <w:r>
        <w:rPr>
          <w:rFonts w:cstheme="minorHAnsi"/>
        </w:rPr>
        <w:t xml:space="preserve">49. NHS England. </w:t>
      </w:r>
      <w:r w:rsidRPr="00093AF3">
        <w:rPr>
          <w:rFonts w:cstheme="minorHAnsi"/>
        </w:rPr>
        <w:t>Transcatheter Aortic Valve Implantation (TAVI) and Surgical Aortic Valve Replacement (SAVR) for symptomatic, severe aortic stenosis (adults) to support elective performance</w:t>
      </w:r>
      <w:r>
        <w:rPr>
          <w:rFonts w:cstheme="minorHAnsi"/>
        </w:rPr>
        <w:t xml:space="preserve">. 2023; Available at: </w:t>
      </w:r>
      <w:r w:rsidRPr="00093AF3">
        <w:rPr>
          <w:rFonts w:cstheme="minorHAnsi"/>
        </w:rPr>
        <w:t>https://www.england.nhs.uk/long-read/tavi-and-savr-position-statement/#:~:text=ii)%20Risk%20scores%20such%20as,approach%20determined%20by%20MDM%20assessment.</w:t>
      </w:r>
    </w:p>
    <w:p w14:paraId="78DB2FBD" w14:textId="5827E041" w:rsidR="008002EF" w:rsidRDefault="008002EF" w:rsidP="00504943">
      <w:pPr>
        <w:spacing w:after="120" w:line="480" w:lineRule="auto"/>
        <w:ind w:left="284" w:hanging="284"/>
        <w:rPr>
          <w:rFonts w:cstheme="minorHAnsi"/>
        </w:rPr>
      </w:pPr>
    </w:p>
    <w:p w14:paraId="64D0DC01" w14:textId="0174FC59" w:rsidR="00995BB4" w:rsidRDefault="00995BB4" w:rsidP="003A5649">
      <w:pPr>
        <w:spacing w:after="120" w:line="360" w:lineRule="auto"/>
        <w:ind w:left="284" w:hanging="284"/>
        <w:rPr>
          <w:rFonts w:cstheme="minorHAnsi"/>
        </w:rPr>
      </w:pPr>
      <w:r>
        <w:rPr>
          <w:rFonts w:cstheme="minorHAnsi"/>
        </w:rPr>
        <w:br w:type="page"/>
      </w:r>
    </w:p>
    <w:p w14:paraId="0E9A53EA" w14:textId="77777777" w:rsidR="00303474" w:rsidRPr="00B75DCF" w:rsidRDefault="003A34DE" w:rsidP="00382A99">
      <w:pPr>
        <w:rPr>
          <w:rFonts w:cstheme="minorHAnsi"/>
          <w:shd w:val="clear" w:color="auto" w:fill="FFFFFF"/>
        </w:rPr>
      </w:pPr>
      <w:bookmarkStart w:id="48" w:name="_Ref27483991"/>
      <w:r w:rsidRPr="00B75DCF">
        <w:rPr>
          <w:rFonts w:cstheme="minorHAnsi"/>
          <w:b/>
          <w:bCs/>
        </w:rPr>
        <w:lastRenderedPageBreak/>
        <w:t>Table 1</w:t>
      </w:r>
      <w:bookmarkEnd w:id="48"/>
      <w:r w:rsidRPr="00B75DCF">
        <w:rPr>
          <w:rFonts w:cstheme="minorHAnsi"/>
          <w:b/>
          <w:bCs/>
          <w:shd w:val="clear" w:color="auto" w:fill="FFFFFF"/>
        </w:rPr>
        <w:t xml:space="preserve">. </w:t>
      </w:r>
      <w:r w:rsidRPr="00B75DCF">
        <w:rPr>
          <w:rFonts w:cstheme="minorHAnsi"/>
          <w:shd w:val="clear" w:color="auto" w:fill="FFFFFF"/>
        </w:rPr>
        <w:t>Probabilities of clinical events used in the model.</w:t>
      </w:r>
    </w:p>
    <w:tbl>
      <w:tblPr>
        <w:tblStyle w:val="TableGrid"/>
        <w:tblW w:w="0" w:type="auto"/>
        <w:tblLook w:val="04A0" w:firstRow="1" w:lastRow="0" w:firstColumn="1" w:lastColumn="0" w:noHBand="0" w:noVBand="1"/>
      </w:tblPr>
      <w:tblGrid>
        <w:gridCol w:w="2399"/>
        <w:gridCol w:w="2752"/>
        <w:gridCol w:w="1803"/>
        <w:gridCol w:w="2062"/>
      </w:tblGrid>
      <w:tr w:rsidR="007F67FD" w:rsidRPr="00B75DCF" w14:paraId="4ED95741" w14:textId="77777777">
        <w:tc>
          <w:tcPr>
            <w:tcW w:w="2399" w:type="dxa"/>
          </w:tcPr>
          <w:p w14:paraId="5191FA2B" w14:textId="77777777" w:rsidR="00303474" w:rsidRPr="00B75DCF" w:rsidRDefault="003A34DE" w:rsidP="00382A99">
            <w:pPr>
              <w:spacing w:line="259" w:lineRule="auto"/>
              <w:rPr>
                <w:rFonts w:cstheme="minorHAnsi"/>
                <w:b/>
                <w:shd w:val="clear" w:color="auto" w:fill="FFFFFF"/>
              </w:rPr>
            </w:pPr>
            <w:r w:rsidRPr="00B75DCF">
              <w:rPr>
                <w:rFonts w:cstheme="minorHAnsi"/>
                <w:b/>
                <w:shd w:val="clear" w:color="auto" w:fill="FFFFFF"/>
              </w:rPr>
              <w:t xml:space="preserve">Clinical events </w:t>
            </w:r>
          </w:p>
        </w:tc>
        <w:tc>
          <w:tcPr>
            <w:tcW w:w="2752" w:type="dxa"/>
            <w:vAlign w:val="center"/>
          </w:tcPr>
          <w:p w14:paraId="68372C5E" w14:textId="77777777" w:rsidR="00303474" w:rsidRPr="00B75DCF" w:rsidRDefault="003A34DE" w:rsidP="00382A99">
            <w:pPr>
              <w:spacing w:line="259" w:lineRule="auto"/>
              <w:jc w:val="center"/>
              <w:rPr>
                <w:rFonts w:cstheme="minorHAnsi"/>
                <w:b/>
                <w:shd w:val="clear" w:color="auto" w:fill="FFFFFF"/>
              </w:rPr>
            </w:pPr>
            <w:r w:rsidRPr="00B75DCF">
              <w:rPr>
                <w:rFonts w:cstheme="minorHAnsi"/>
                <w:b/>
                <w:shd w:val="clear" w:color="auto" w:fill="FFFFFF"/>
              </w:rPr>
              <w:t>SAPIEN 3</w:t>
            </w:r>
          </w:p>
        </w:tc>
        <w:tc>
          <w:tcPr>
            <w:tcW w:w="1803" w:type="dxa"/>
            <w:vAlign w:val="center"/>
          </w:tcPr>
          <w:p w14:paraId="27AE0FCE" w14:textId="77777777" w:rsidR="00303474" w:rsidRPr="00B75DCF" w:rsidRDefault="003A34DE" w:rsidP="00382A99">
            <w:pPr>
              <w:spacing w:line="259" w:lineRule="auto"/>
              <w:jc w:val="center"/>
              <w:rPr>
                <w:rFonts w:cstheme="minorHAnsi"/>
                <w:b/>
                <w:shd w:val="clear" w:color="auto" w:fill="FFFFFF"/>
              </w:rPr>
            </w:pPr>
            <w:r w:rsidRPr="00B75DCF">
              <w:rPr>
                <w:rFonts w:cstheme="minorHAnsi"/>
                <w:b/>
                <w:shd w:val="clear" w:color="auto" w:fill="FFFFFF"/>
              </w:rPr>
              <w:t>SAVR</w:t>
            </w:r>
          </w:p>
        </w:tc>
        <w:tc>
          <w:tcPr>
            <w:tcW w:w="2062" w:type="dxa"/>
          </w:tcPr>
          <w:p w14:paraId="5BA11CC3" w14:textId="77777777" w:rsidR="00303474" w:rsidRPr="00B75DCF" w:rsidRDefault="003A34DE" w:rsidP="00382A99">
            <w:pPr>
              <w:spacing w:line="259" w:lineRule="auto"/>
              <w:rPr>
                <w:rFonts w:cstheme="minorHAnsi"/>
                <w:b/>
                <w:shd w:val="clear" w:color="auto" w:fill="FFFFFF"/>
              </w:rPr>
            </w:pPr>
            <w:r w:rsidRPr="00B75DCF">
              <w:rPr>
                <w:rFonts w:cstheme="minorHAnsi"/>
                <w:b/>
                <w:shd w:val="clear" w:color="auto" w:fill="FFFFFF"/>
              </w:rPr>
              <w:t>Source</w:t>
            </w:r>
          </w:p>
        </w:tc>
      </w:tr>
      <w:tr w:rsidR="007F67FD" w:rsidRPr="00B75DCF" w14:paraId="15B6E5A2" w14:textId="77777777">
        <w:tc>
          <w:tcPr>
            <w:tcW w:w="9016" w:type="dxa"/>
            <w:gridSpan w:val="4"/>
          </w:tcPr>
          <w:p w14:paraId="02F54078" w14:textId="77777777" w:rsidR="00303474" w:rsidRPr="00B75DCF" w:rsidRDefault="003A34DE" w:rsidP="00382A99">
            <w:pPr>
              <w:spacing w:line="259" w:lineRule="auto"/>
              <w:rPr>
                <w:rFonts w:cstheme="minorHAnsi"/>
                <w:shd w:val="clear" w:color="auto" w:fill="FFFFFF"/>
              </w:rPr>
            </w:pPr>
            <w:r w:rsidRPr="00B75DCF">
              <w:rPr>
                <w:rFonts w:cstheme="minorHAnsi"/>
                <w:b/>
                <w:shd w:val="clear" w:color="auto" w:fill="FFFFFF"/>
              </w:rPr>
              <w:t>At 30 days</w:t>
            </w:r>
          </w:p>
        </w:tc>
      </w:tr>
      <w:tr w:rsidR="007F67FD" w:rsidRPr="00B75DCF" w14:paraId="31B3C0B5" w14:textId="77777777">
        <w:tc>
          <w:tcPr>
            <w:tcW w:w="2399" w:type="dxa"/>
          </w:tcPr>
          <w:p w14:paraId="24942783" w14:textId="77777777" w:rsidR="00303474" w:rsidRPr="00B75DCF" w:rsidRDefault="003A34DE" w:rsidP="00382A99">
            <w:pPr>
              <w:spacing w:line="259" w:lineRule="auto"/>
              <w:jc w:val="right"/>
              <w:rPr>
                <w:rFonts w:cstheme="minorHAnsi"/>
                <w:shd w:val="clear" w:color="auto" w:fill="FFFFFF"/>
              </w:rPr>
            </w:pPr>
            <w:r w:rsidRPr="00B75DCF">
              <w:rPr>
                <w:rFonts w:cstheme="minorHAnsi"/>
                <w:shd w:val="clear" w:color="auto" w:fill="FFFFFF"/>
              </w:rPr>
              <w:t>Treated AF</w:t>
            </w:r>
          </w:p>
        </w:tc>
        <w:tc>
          <w:tcPr>
            <w:tcW w:w="2752" w:type="dxa"/>
            <w:vAlign w:val="center"/>
          </w:tcPr>
          <w:p w14:paraId="62BC84C9"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4.1%</w:t>
            </w:r>
          </w:p>
        </w:tc>
        <w:tc>
          <w:tcPr>
            <w:tcW w:w="1803" w:type="dxa"/>
            <w:vAlign w:val="center"/>
          </w:tcPr>
          <w:p w14:paraId="753EF5B2"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35.8%</w:t>
            </w:r>
          </w:p>
        </w:tc>
        <w:tc>
          <w:tcPr>
            <w:tcW w:w="2062" w:type="dxa"/>
          </w:tcPr>
          <w:p w14:paraId="0B64B656" w14:textId="3C1DE028" w:rsidR="00303474" w:rsidRPr="00B75DCF" w:rsidRDefault="003A34DE" w:rsidP="00382A99">
            <w:pPr>
              <w:spacing w:line="259" w:lineRule="auto"/>
              <w:rPr>
                <w:rFonts w:cstheme="minorHAnsi"/>
                <w:shd w:val="clear" w:color="auto" w:fill="FFFFFF"/>
              </w:rPr>
            </w:pPr>
            <w:r w:rsidRPr="00B75DCF">
              <w:rPr>
                <w:rFonts w:cstheme="minorHAnsi"/>
                <w:shd w:val="clear" w:color="auto" w:fill="FFFFFF"/>
              </w:rPr>
              <w:t>PARTNER 3 trial</w:t>
            </w:r>
            <w:r w:rsidR="00F07CC5">
              <w:rPr>
                <w:rFonts w:cstheme="minorHAnsi"/>
                <w:shd w:val="clear" w:color="auto" w:fill="FFFFFF"/>
              </w:rPr>
              <w:t xml:space="preserve"> [</w:t>
            </w:r>
            <w:r w:rsidR="003D0369" w:rsidRPr="00F07CC5">
              <w:rPr>
                <w:rFonts w:cstheme="minorHAnsi"/>
                <w:shd w:val="clear" w:color="auto" w:fill="FFFFFF"/>
              </w:rPr>
              <w:t>1</w:t>
            </w:r>
            <w:r w:rsidR="00F22655" w:rsidRPr="00F07CC5">
              <w:rPr>
                <w:rFonts w:cstheme="minorHAnsi"/>
                <w:shd w:val="clear" w:color="auto" w:fill="FFFFFF"/>
              </w:rPr>
              <w:t>9</w:t>
            </w:r>
            <w:r w:rsidR="00F07CC5">
              <w:rPr>
                <w:rFonts w:cstheme="minorHAnsi"/>
                <w:shd w:val="clear" w:color="auto" w:fill="FFFFFF"/>
              </w:rPr>
              <w:t>]</w:t>
            </w:r>
          </w:p>
        </w:tc>
      </w:tr>
      <w:tr w:rsidR="007F67FD" w:rsidRPr="00B75DCF" w14:paraId="266B3461" w14:textId="77777777">
        <w:tc>
          <w:tcPr>
            <w:tcW w:w="2399" w:type="dxa"/>
          </w:tcPr>
          <w:p w14:paraId="57F4B3D3" w14:textId="77777777" w:rsidR="00303474" w:rsidRPr="00B75DCF" w:rsidRDefault="003A34DE" w:rsidP="00382A99">
            <w:pPr>
              <w:spacing w:line="259" w:lineRule="auto"/>
              <w:jc w:val="right"/>
              <w:rPr>
                <w:rFonts w:cstheme="minorHAnsi"/>
                <w:shd w:val="clear" w:color="auto" w:fill="FFFFFF"/>
              </w:rPr>
            </w:pPr>
            <w:r w:rsidRPr="00B75DCF">
              <w:rPr>
                <w:rFonts w:cstheme="minorHAnsi"/>
                <w:shd w:val="clear" w:color="auto" w:fill="FFFFFF"/>
              </w:rPr>
              <w:t xml:space="preserve">New permanent pacemaker </w:t>
            </w:r>
          </w:p>
        </w:tc>
        <w:tc>
          <w:tcPr>
            <w:tcW w:w="2752" w:type="dxa"/>
            <w:vAlign w:val="center"/>
          </w:tcPr>
          <w:p w14:paraId="61A377D9"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6.5%</w:t>
            </w:r>
          </w:p>
        </w:tc>
        <w:tc>
          <w:tcPr>
            <w:tcW w:w="1803" w:type="dxa"/>
            <w:vAlign w:val="center"/>
          </w:tcPr>
          <w:p w14:paraId="5739A3A3"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4.0%</w:t>
            </w:r>
          </w:p>
        </w:tc>
        <w:tc>
          <w:tcPr>
            <w:tcW w:w="2062" w:type="dxa"/>
          </w:tcPr>
          <w:p w14:paraId="59477BF4" w14:textId="57A4EA60" w:rsidR="00303474" w:rsidRPr="00B75DCF" w:rsidRDefault="003A34DE" w:rsidP="00382A99">
            <w:pPr>
              <w:spacing w:line="259" w:lineRule="auto"/>
              <w:rPr>
                <w:rFonts w:cstheme="minorHAnsi"/>
                <w:shd w:val="clear" w:color="auto" w:fill="FFFFFF"/>
              </w:rPr>
            </w:pPr>
            <w:r w:rsidRPr="00B75DCF">
              <w:rPr>
                <w:rFonts w:cstheme="minorHAnsi"/>
                <w:shd w:val="clear" w:color="auto" w:fill="FFFFFF"/>
              </w:rPr>
              <w:t>PARTNER 3 trial</w:t>
            </w:r>
            <w:r w:rsidR="00F07CC5">
              <w:rPr>
                <w:rFonts w:cstheme="minorHAnsi"/>
                <w:shd w:val="clear" w:color="auto" w:fill="FFFFFF"/>
              </w:rPr>
              <w:t xml:space="preserve"> [</w:t>
            </w:r>
            <w:r w:rsidR="00F07CC5" w:rsidRPr="00F07CC5">
              <w:rPr>
                <w:rFonts w:cstheme="minorHAnsi"/>
                <w:shd w:val="clear" w:color="auto" w:fill="FFFFFF"/>
              </w:rPr>
              <w:t>19</w:t>
            </w:r>
            <w:r w:rsidR="00F07CC5">
              <w:rPr>
                <w:rFonts w:cstheme="minorHAnsi"/>
                <w:shd w:val="clear" w:color="auto" w:fill="FFFFFF"/>
              </w:rPr>
              <w:t>]</w:t>
            </w:r>
          </w:p>
        </w:tc>
      </w:tr>
      <w:tr w:rsidR="007F67FD" w:rsidRPr="00B75DCF" w14:paraId="293AB34A" w14:textId="77777777">
        <w:tc>
          <w:tcPr>
            <w:tcW w:w="2399" w:type="dxa"/>
          </w:tcPr>
          <w:p w14:paraId="79C546ED" w14:textId="77777777" w:rsidR="00303474" w:rsidRPr="00B75DCF" w:rsidRDefault="003A34DE" w:rsidP="00382A99">
            <w:pPr>
              <w:spacing w:line="259" w:lineRule="auto"/>
              <w:jc w:val="right"/>
              <w:rPr>
                <w:rFonts w:cstheme="minorHAnsi"/>
                <w:shd w:val="clear" w:color="auto" w:fill="FFFFFF"/>
              </w:rPr>
            </w:pPr>
            <w:r w:rsidRPr="00B75DCF">
              <w:rPr>
                <w:rFonts w:cstheme="minorHAnsi"/>
                <w:shd w:val="clear" w:color="auto" w:fill="FFFFFF"/>
              </w:rPr>
              <w:t xml:space="preserve">Rehospitalization </w:t>
            </w:r>
          </w:p>
        </w:tc>
        <w:tc>
          <w:tcPr>
            <w:tcW w:w="2752" w:type="dxa"/>
            <w:vAlign w:val="center"/>
          </w:tcPr>
          <w:p w14:paraId="203EDC33"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3.4%</w:t>
            </w:r>
          </w:p>
        </w:tc>
        <w:tc>
          <w:tcPr>
            <w:tcW w:w="1803" w:type="dxa"/>
            <w:vAlign w:val="center"/>
          </w:tcPr>
          <w:p w14:paraId="26924BCC"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6.4%</w:t>
            </w:r>
          </w:p>
        </w:tc>
        <w:tc>
          <w:tcPr>
            <w:tcW w:w="2062" w:type="dxa"/>
          </w:tcPr>
          <w:p w14:paraId="55729E96" w14:textId="28662ACE" w:rsidR="00303474" w:rsidRPr="00B75DCF" w:rsidRDefault="003A34DE" w:rsidP="00382A99">
            <w:pPr>
              <w:spacing w:line="259" w:lineRule="auto"/>
              <w:rPr>
                <w:rFonts w:cstheme="minorHAnsi"/>
                <w:shd w:val="clear" w:color="auto" w:fill="FFFFFF"/>
              </w:rPr>
            </w:pPr>
            <w:r w:rsidRPr="00B75DCF">
              <w:rPr>
                <w:rFonts w:cstheme="minorHAnsi"/>
                <w:shd w:val="clear" w:color="auto" w:fill="FFFFFF"/>
              </w:rPr>
              <w:t>PARTNER 3 trial</w:t>
            </w:r>
            <w:r w:rsidR="00F07CC5">
              <w:rPr>
                <w:rFonts w:cstheme="minorHAnsi"/>
                <w:shd w:val="clear" w:color="auto" w:fill="FFFFFF"/>
              </w:rPr>
              <w:t xml:space="preserve"> [</w:t>
            </w:r>
            <w:r w:rsidR="00F07CC5" w:rsidRPr="00F07CC5">
              <w:rPr>
                <w:rFonts w:cstheme="minorHAnsi"/>
                <w:shd w:val="clear" w:color="auto" w:fill="FFFFFF"/>
              </w:rPr>
              <w:t>19</w:t>
            </w:r>
            <w:r w:rsidR="00F07CC5">
              <w:rPr>
                <w:rFonts w:cstheme="minorHAnsi"/>
                <w:shd w:val="clear" w:color="auto" w:fill="FFFFFF"/>
              </w:rPr>
              <w:t>]</w:t>
            </w:r>
          </w:p>
        </w:tc>
      </w:tr>
      <w:tr w:rsidR="007F67FD" w:rsidRPr="00B75DCF" w14:paraId="4ECA507D" w14:textId="77777777">
        <w:tc>
          <w:tcPr>
            <w:tcW w:w="2399" w:type="dxa"/>
          </w:tcPr>
          <w:p w14:paraId="4BFCECB5" w14:textId="77777777" w:rsidR="00303474" w:rsidRPr="00B75DCF" w:rsidRDefault="003A34DE" w:rsidP="00382A99">
            <w:pPr>
              <w:spacing w:line="259" w:lineRule="auto"/>
              <w:jc w:val="right"/>
              <w:rPr>
                <w:rFonts w:cstheme="minorHAnsi"/>
                <w:shd w:val="clear" w:color="auto" w:fill="FFFFFF"/>
              </w:rPr>
            </w:pPr>
            <w:r w:rsidRPr="00B75DCF">
              <w:rPr>
                <w:rFonts w:cstheme="minorHAnsi"/>
                <w:shd w:val="clear" w:color="auto" w:fill="FFFFFF"/>
              </w:rPr>
              <w:t xml:space="preserve">Disabling stroke </w:t>
            </w:r>
          </w:p>
        </w:tc>
        <w:tc>
          <w:tcPr>
            <w:tcW w:w="2752" w:type="dxa"/>
            <w:vAlign w:val="center"/>
          </w:tcPr>
          <w:p w14:paraId="4111B8E4"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0.0%</w:t>
            </w:r>
          </w:p>
        </w:tc>
        <w:tc>
          <w:tcPr>
            <w:tcW w:w="1803" w:type="dxa"/>
            <w:vAlign w:val="center"/>
          </w:tcPr>
          <w:p w14:paraId="5FEED433"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0.4%</w:t>
            </w:r>
          </w:p>
        </w:tc>
        <w:tc>
          <w:tcPr>
            <w:tcW w:w="2062" w:type="dxa"/>
          </w:tcPr>
          <w:p w14:paraId="684F8C68" w14:textId="723594A8" w:rsidR="00303474" w:rsidRPr="00B75DCF" w:rsidRDefault="003A34DE" w:rsidP="00382A99">
            <w:pPr>
              <w:spacing w:line="259" w:lineRule="auto"/>
              <w:rPr>
                <w:rFonts w:cstheme="minorHAnsi"/>
                <w:shd w:val="clear" w:color="auto" w:fill="FFFFFF"/>
              </w:rPr>
            </w:pPr>
            <w:r w:rsidRPr="00B75DCF">
              <w:rPr>
                <w:rFonts w:cstheme="minorHAnsi"/>
                <w:shd w:val="clear" w:color="auto" w:fill="FFFFFF"/>
              </w:rPr>
              <w:t>PARTNER 3 trial</w:t>
            </w:r>
            <w:r w:rsidR="00F07CC5">
              <w:rPr>
                <w:rFonts w:cstheme="minorHAnsi"/>
                <w:shd w:val="clear" w:color="auto" w:fill="FFFFFF"/>
              </w:rPr>
              <w:t xml:space="preserve"> [</w:t>
            </w:r>
            <w:r w:rsidR="00F07CC5" w:rsidRPr="00F07CC5">
              <w:rPr>
                <w:rFonts w:cstheme="minorHAnsi"/>
                <w:shd w:val="clear" w:color="auto" w:fill="FFFFFF"/>
              </w:rPr>
              <w:t>19</w:t>
            </w:r>
            <w:r w:rsidR="00F07CC5">
              <w:rPr>
                <w:rFonts w:cstheme="minorHAnsi"/>
                <w:shd w:val="clear" w:color="auto" w:fill="FFFFFF"/>
              </w:rPr>
              <w:t>]</w:t>
            </w:r>
          </w:p>
        </w:tc>
      </w:tr>
      <w:tr w:rsidR="007F67FD" w:rsidRPr="00B75DCF" w14:paraId="0535B820" w14:textId="77777777">
        <w:tc>
          <w:tcPr>
            <w:tcW w:w="2399" w:type="dxa"/>
          </w:tcPr>
          <w:p w14:paraId="427EBC07" w14:textId="77777777" w:rsidR="00303474" w:rsidRPr="00B75DCF" w:rsidRDefault="003A34DE" w:rsidP="00382A99">
            <w:pPr>
              <w:spacing w:line="259" w:lineRule="auto"/>
              <w:jc w:val="right"/>
              <w:rPr>
                <w:rFonts w:cstheme="minorHAnsi"/>
                <w:shd w:val="clear" w:color="auto" w:fill="FFFFFF"/>
              </w:rPr>
            </w:pPr>
            <w:r w:rsidRPr="00B75DCF">
              <w:rPr>
                <w:rFonts w:cstheme="minorHAnsi"/>
                <w:shd w:val="clear" w:color="auto" w:fill="FFFFFF"/>
              </w:rPr>
              <w:t xml:space="preserve">Aortic reintervention </w:t>
            </w:r>
          </w:p>
        </w:tc>
        <w:tc>
          <w:tcPr>
            <w:tcW w:w="2752" w:type="dxa"/>
            <w:vAlign w:val="center"/>
          </w:tcPr>
          <w:p w14:paraId="1300329C"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0.0%</w:t>
            </w:r>
          </w:p>
        </w:tc>
        <w:tc>
          <w:tcPr>
            <w:tcW w:w="1803" w:type="dxa"/>
            <w:vAlign w:val="center"/>
          </w:tcPr>
          <w:p w14:paraId="09A24AE4"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0.0%</w:t>
            </w:r>
          </w:p>
        </w:tc>
        <w:tc>
          <w:tcPr>
            <w:tcW w:w="2062" w:type="dxa"/>
          </w:tcPr>
          <w:p w14:paraId="321FB37E" w14:textId="45B0024F" w:rsidR="00303474" w:rsidRPr="00B75DCF" w:rsidRDefault="003A34DE" w:rsidP="00382A99">
            <w:pPr>
              <w:spacing w:line="259" w:lineRule="auto"/>
              <w:rPr>
                <w:rFonts w:cstheme="minorHAnsi"/>
                <w:shd w:val="clear" w:color="auto" w:fill="FFFFFF"/>
              </w:rPr>
            </w:pPr>
            <w:r w:rsidRPr="00B75DCF">
              <w:rPr>
                <w:rFonts w:cstheme="minorHAnsi"/>
                <w:shd w:val="clear" w:color="auto" w:fill="FFFFFF"/>
              </w:rPr>
              <w:t>PARTNER 3 trial</w:t>
            </w:r>
            <w:r w:rsidR="00F07CC5">
              <w:rPr>
                <w:rFonts w:cstheme="minorHAnsi"/>
                <w:shd w:val="clear" w:color="auto" w:fill="FFFFFF"/>
              </w:rPr>
              <w:t xml:space="preserve"> [</w:t>
            </w:r>
            <w:r w:rsidR="00F07CC5" w:rsidRPr="00F07CC5">
              <w:rPr>
                <w:rFonts w:cstheme="minorHAnsi"/>
                <w:shd w:val="clear" w:color="auto" w:fill="FFFFFF"/>
              </w:rPr>
              <w:t>19</w:t>
            </w:r>
            <w:r w:rsidR="00F07CC5">
              <w:rPr>
                <w:rFonts w:cstheme="minorHAnsi"/>
                <w:shd w:val="clear" w:color="auto" w:fill="FFFFFF"/>
              </w:rPr>
              <w:t>]</w:t>
            </w:r>
          </w:p>
        </w:tc>
      </w:tr>
      <w:tr w:rsidR="007F67FD" w:rsidRPr="00B75DCF" w14:paraId="251C3F58" w14:textId="77777777">
        <w:tc>
          <w:tcPr>
            <w:tcW w:w="2399" w:type="dxa"/>
          </w:tcPr>
          <w:p w14:paraId="78E564CF" w14:textId="77777777" w:rsidR="00303474" w:rsidRPr="00B75DCF" w:rsidRDefault="003A34DE" w:rsidP="00382A99">
            <w:pPr>
              <w:spacing w:line="259" w:lineRule="auto"/>
              <w:jc w:val="right"/>
              <w:rPr>
                <w:rFonts w:cstheme="minorHAnsi"/>
                <w:shd w:val="clear" w:color="auto" w:fill="FFFFFF"/>
              </w:rPr>
            </w:pPr>
            <w:r w:rsidRPr="00B75DCF">
              <w:rPr>
                <w:rFonts w:cstheme="minorHAnsi"/>
                <w:shd w:val="clear" w:color="auto" w:fill="FFFFFF"/>
              </w:rPr>
              <w:t xml:space="preserve">Mortality </w:t>
            </w:r>
          </w:p>
        </w:tc>
        <w:tc>
          <w:tcPr>
            <w:tcW w:w="2752" w:type="dxa"/>
            <w:vAlign w:val="center"/>
          </w:tcPr>
          <w:p w14:paraId="13595A74"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0.4%</w:t>
            </w:r>
          </w:p>
        </w:tc>
        <w:tc>
          <w:tcPr>
            <w:tcW w:w="1803" w:type="dxa"/>
            <w:vAlign w:val="center"/>
          </w:tcPr>
          <w:p w14:paraId="65EFD45A"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1.1%</w:t>
            </w:r>
          </w:p>
        </w:tc>
        <w:tc>
          <w:tcPr>
            <w:tcW w:w="2062" w:type="dxa"/>
          </w:tcPr>
          <w:p w14:paraId="3CB27416" w14:textId="413BC075" w:rsidR="00303474" w:rsidRPr="00B75DCF" w:rsidRDefault="003A34DE" w:rsidP="00382A99">
            <w:pPr>
              <w:spacing w:line="259" w:lineRule="auto"/>
              <w:rPr>
                <w:rFonts w:cstheme="minorHAnsi"/>
                <w:shd w:val="clear" w:color="auto" w:fill="FFFFFF"/>
              </w:rPr>
            </w:pPr>
            <w:r w:rsidRPr="00B75DCF">
              <w:rPr>
                <w:rFonts w:cstheme="minorHAnsi"/>
                <w:shd w:val="clear" w:color="auto" w:fill="FFFFFF"/>
              </w:rPr>
              <w:t>PARTNER 3 trial</w:t>
            </w:r>
            <w:r w:rsidR="00F07CC5">
              <w:rPr>
                <w:rFonts w:cstheme="minorHAnsi"/>
                <w:shd w:val="clear" w:color="auto" w:fill="FFFFFF"/>
              </w:rPr>
              <w:t xml:space="preserve"> [</w:t>
            </w:r>
            <w:r w:rsidR="00F07CC5" w:rsidRPr="00F07CC5">
              <w:rPr>
                <w:rFonts w:cstheme="minorHAnsi"/>
                <w:shd w:val="clear" w:color="auto" w:fill="FFFFFF"/>
              </w:rPr>
              <w:t>19</w:t>
            </w:r>
            <w:r w:rsidR="00F07CC5">
              <w:rPr>
                <w:rFonts w:cstheme="minorHAnsi"/>
                <w:shd w:val="clear" w:color="auto" w:fill="FFFFFF"/>
              </w:rPr>
              <w:t>]</w:t>
            </w:r>
          </w:p>
        </w:tc>
      </w:tr>
      <w:tr w:rsidR="007F67FD" w:rsidRPr="00B75DCF" w14:paraId="4BF5DD6B" w14:textId="77777777">
        <w:tc>
          <w:tcPr>
            <w:tcW w:w="9016" w:type="dxa"/>
            <w:gridSpan w:val="4"/>
          </w:tcPr>
          <w:p w14:paraId="47B6D428" w14:textId="0F6751D2" w:rsidR="00303474" w:rsidRPr="00B75DCF" w:rsidRDefault="003A34DE" w:rsidP="00382A99">
            <w:pPr>
              <w:spacing w:line="259" w:lineRule="auto"/>
              <w:rPr>
                <w:rFonts w:cstheme="minorHAnsi"/>
                <w:b/>
                <w:shd w:val="clear" w:color="auto" w:fill="FFFFFF"/>
              </w:rPr>
            </w:pPr>
            <w:r w:rsidRPr="00B75DCF">
              <w:rPr>
                <w:rFonts w:cstheme="minorHAnsi"/>
                <w:b/>
                <w:shd w:val="clear" w:color="auto" w:fill="FFFFFF"/>
              </w:rPr>
              <w:t>Monthly health states transition probabilities and intercurrent events between 30 days and 1</w:t>
            </w:r>
            <w:r w:rsidR="00382A99" w:rsidRPr="00B75DCF">
              <w:rPr>
                <w:rFonts w:cstheme="minorHAnsi"/>
                <w:b/>
                <w:shd w:val="clear" w:color="auto" w:fill="FFFFFF"/>
              </w:rPr>
              <w:t> </w:t>
            </w:r>
            <w:r w:rsidRPr="00B75DCF">
              <w:rPr>
                <w:rFonts w:cstheme="minorHAnsi"/>
                <w:b/>
                <w:shd w:val="clear" w:color="auto" w:fill="FFFFFF"/>
              </w:rPr>
              <w:t>year</w:t>
            </w:r>
          </w:p>
        </w:tc>
      </w:tr>
      <w:tr w:rsidR="007F67FD" w:rsidRPr="00B75DCF" w14:paraId="1AF865A6" w14:textId="77777777">
        <w:tc>
          <w:tcPr>
            <w:tcW w:w="2399" w:type="dxa"/>
          </w:tcPr>
          <w:p w14:paraId="323C3860" w14:textId="77777777" w:rsidR="00303474" w:rsidRPr="00B75DCF" w:rsidRDefault="003A34DE" w:rsidP="00382A99">
            <w:pPr>
              <w:spacing w:line="259" w:lineRule="auto"/>
              <w:jc w:val="right"/>
              <w:rPr>
                <w:rFonts w:cstheme="minorHAnsi"/>
                <w:shd w:val="clear" w:color="auto" w:fill="FFFFFF"/>
              </w:rPr>
            </w:pPr>
            <w:r w:rsidRPr="00B75DCF">
              <w:rPr>
                <w:rFonts w:cstheme="minorHAnsi"/>
                <w:shd w:val="clear" w:color="auto" w:fill="FFFFFF"/>
              </w:rPr>
              <w:t xml:space="preserve">Alive and well </w:t>
            </w:r>
            <w:r w:rsidRPr="00B75DCF">
              <w:rPr>
                <w:rFonts w:ascii="Wingdings" w:eastAsia="Wingdings" w:hAnsi="Wingdings" w:cstheme="minorHAnsi"/>
                <w:shd w:val="clear" w:color="auto" w:fill="FFFFFF"/>
              </w:rPr>
              <w:sym w:font="Wingdings" w:char="F0E0"/>
            </w:r>
            <w:r w:rsidRPr="00B75DCF">
              <w:rPr>
                <w:rFonts w:cstheme="minorHAnsi"/>
                <w:shd w:val="clear" w:color="auto" w:fill="FFFFFF"/>
              </w:rPr>
              <w:t xml:space="preserve"> </w:t>
            </w:r>
            <w:r w:rsidRPr="00B75DCF">
              <w:rPr>
                <w:rFonts w:cstheme="minorHAnsi"/>
                <w:shd w:val="clear" w:color="auto" w:fill="FFFFFF"/>
              </w:rPr>
              <w:br/>
              <w:t>Treated AF</w:t>
            </w:r>
          </w:p>
        </w:tc>
        <w:tc>
          <w:tcPr>
            <w:tcW w:w="2752" w:type="dxa"/>
          </w:tcPr>
          <w:p w14:paraId="4B4B80EF"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0.11%</w:t>
            </w:r>
          </w:p>
        </w:tc>
        <w:tc>
          <w:tcPr>
            <w:tcW w:w="1803" w:type="dxa"/>
          </w:tcPr>
          <w:p w14:paraId="2A9E244C"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0.15%</w:t>
            </w:r>
          </w:p>
        </w:tc>
        <w:tc>
          <w:tcPr>
            <w:tcW w:w="2062" w:type="dxa"/>
          </w:tcPr>
          <w:p w14:paraId="0FE3386D" w14:textId="092BE03E" w:rsidR="00303474" w:rsidRPr="00B75DCF" w:rsidRDefault="003A34DE" w:rsidP="00382A99">
            <w:pPr>
              <w:spacing w:line="259" w:lineRule="auto"/>
              <w:rPr>
                <w:rFonts w:cstheme="minorHAnsi"/>
                <w:shd w:val="clear" w:color="auto" w:fill="FFFFFF"/>
              </w:rPr>
            </w:pPr>
            <w:r w:rsidRPr="00B75DCF">
              <w:rPr>
                <w:rFonts w:cstheme="minorHAnsi"/>
                <w:shd w:val="clear" w:color="auto" w:fill="FFFFFF"/>
              </w:rPr>
              <w:t>PARTNER 3 trial</w:t>
            </w:r>
            <w:r w:rsidR="00F07CC5">
              <w:rPr>
                <w:rFonts w:cstheme="minorHAnsi"/>
                <w:shd w:val="clear" w:color="auto" w:fill="FFFFFF"/>
              </w:rPr>
              <w:t xml:space="preserve"> [</w:t>
            </w:r>
            <w:r w:rsidR="00F07CC5" w:rsidRPr="00F07CC5">
              <w:rPr>
                <w:rFonts w:cstheme="minorHAnsi"/>
                <w:shd w:val="clear" w:color="auto" w:fill="FFFFFF"/>
              </w:rPr>
              <w:t>19</w:t>
            </w:r>
            <w:r w:rsidR="00F07CC5">
              <w:rPr>
                <w:rFonts w:cstheme="minorHAnsi"/>
                <w:shd w:val="clear" w:color="auto" w:fill="FFFFFF"/>
              </w:rPr>
              <w:t>]</w:t>
            </w:r>
          </w:p>
        </w:tc>
      </w:tr>
      <w:tr w:rsidR="007F67FD" w:rsidRPr="00B75DCF" w14:paraId="4AE298C2" w14:textId="77777777">
        <w:tc>
          <w:tcPr>
            <w:tcW w:w="2399" w:type="dxa"/>
          </w:tcPr>
          <w:p w14:paraId="46603FAF" w14:textId="77777777" w:rsidR="00303474" w:rsidRPr="00B75DCF" w:rsidRDefault="003A34DE" w:rsidP="00382A99">
            <w:pPr>
              <w:spacing w:line="259" w:lineRule="auto"/>
              <w:jc w:val="right"/>
              <w:rPr>
                <w:rFonts w:cstheme="minorHAnsi"/>
                <w:shd w:val="clear" w:color="auto" w:fill="FFFFFF"/>
              </w:rPr>
            </w:pPr>
            <w:bookmarkStart w:id="49" w:name="_Hlk75169206"/>
            <w:r w:rsidRPr="00B75DCF">
              <w:rPr>
                <w:rFonts w:cstheme="minorHAnsi"/>
                <w:shd w:val="clear" w:color="auto" w:fill="FFFFFF"/>
              </w:rPr>
              <w:t xml:space="preserve">Alive and well </w:t>
            </w:r>
            <w:r w:rsidRPr="00B75DCF">
              <w:rPr>
                <w:rFonts w:ascii="Wingdings" w:eastAsia="Wingdings" w:hAnsi="Wingdings" w:cstheme="minorHAnsi"/>
                <w:shd w:val="clear" w:color="auto" w:fill="FFFFFF"/>
              </w:rPr>
              <w:sym w:font="Wingdings" w:char="F0E0"/>
            </w:r>
            <w:r w:rsidRPr="00B75DCF">
              <w:rPr>
                <w:rFonts w:cstheme="minorHAnsi"/>
                <w:shd w:val="clear" w:color="auto" w:fill="FFFFFF"/>
              </w:rPr>
              <w:t xml:space="preserve"> Disabling stroke</w:t>
            </w:r>
          </w:p>
        </w:tc>
        <w:tc>
          <w:tcPr>
            <w:tcW w:w="2752" w:type="dxa"/>
          </w:tcPr>
          <w:p w14:paraId="7578071F"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0.02%</w:t>
            </w:r>
          </w:p>
        </w:tc>
        <w:tc>
          <w:tcPr>
            <w:tcW w:w="1803" w:type="dxa"/>
          </w:tcPr>
          <w:p w14:paraId="18B61558"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0.02%</w:t>
            </w:r>
          </w:p>
        </w:tc>
        <w:tc>
          <w:tcPr>
            <w:tcW w:w="2062" w:type="dxa"/>
          </w:tcPr>
          <w:p w14:paraId="1C5D85CC" w14:textId="1C109BC8" w:rsidR="00303474" w:rsidRPr="00B75DCF" w:rsidRDefault="003A34DE" w:rsidP="00382A99">
            <w:pPr>
              <w:spacing w:line="259" w:lineRule="auto"/>
              <w:rPr>
                <w:rFonts w:cstheme="minorHAnsi"/>
                <w:shd w:val="clear" w:color="auto" w:fill="FFFFFF"/>
              </w:rPr>
            </w:pPr>
            <w:r w:rsidRPr="00B75DCF">
              <w:rPr>
                <w:rFonts w:cstheme="minorHAnsi"/>
                <w:shd w:val="clear" w:color="auto" w:fill="FFFFFF"/>
              </w:rPr>
              <w:t xml:space="preserve">Public Health England </w:t>
            </w:r>
            <w:r w:rsidR="003D0369">
              <w:rPr>
                <w:rFonts w:cstheme="minorHAnsi"/>
                <w:shd w:val="clear" w:color="auto" w:fill="FFFFFF"/>
              </w:rPr>
              <w:t>[</w:t>
            </w:r>
            <w:r w:rsidRPr="00B75DCF">
              <w:rPr>
                <w:rFonts w:cstheme="minorHAnsi"/>
                <w:shd w:val="clear" w:color="auto" w:fill="FFFFFF"/>
              </w:rPr>
              <w:t>2</w:t>
            </w:r>
            <w:r w:rsidR="00F07CC5">
              <w:rPr>
                <w:rFonts w:cstheme="minorHAnsi"/>
                <w:shd w:val="clear" w:color="auto" w:fill="FFFFFF"/>
              </w:rPr>
              <w:t>3</w:t>
            </w:r>
            <w:r w:rsidR="003D0369">
              <w:rPr>
                <w:rFonts w:cstheme="minorHAnsi"/>
                <w:shd w:val="clear" w:color="auto" w:fill="FFFFFF"/>
              </w:rPr>
              <w:t>]</w:t>
            </w:r>
            <w:r w:rsidR="00E62D21" w:rsidRPr="00B75DCF">
              <w:rPr>
                <w:rFonts w:cstheme="minorHAnsi"/>
                <w:shd w:val="clear" w:color="auto" w:fill="FFFFFF"/>
              </w:rPr>
              <w:t xml:space="preserve">; </w:t>
            </w:r>
            <w:r w:rsidR="00F07CC5">
              <w:rPr>
                <w:rFonts w:cstheme="minorHAnsi"/>
                <w:shd w:val="clear" w:color="auto" w:fill="FFFFFF"/>
              </w:rPr>
              <w:br/>
            </w:r>
            <w:r w:rsidRPr="00B75DCF">
              <w:rPr>
                <w:rFonts w:cstheme="minorHAnsi"/>
                <w:shd w:val="clear" w:color="auto" w:fill="FFFFFF"/>
              </w:rPr>
              <w:t xml:space="preserve">Hewitt </w:t>
            </w:r>
            <w:r w:rsidRPr="00B75DCF">
              <w:rPr>
                <w:rFonts w:cstheme="minorHAnsi"/>
                <w:iCs/>
                <w:shd w:val="clear" w:color="auto" w:fill="FFFFFF"/>
              </w:rPr>
              <w:t>et al</w:t>
            </w:r>
            <w:r w:rsidRPr="00B75DCF">
              <w:rPr>
                <w:rFonts w:cstheme="minorHAnsi"/>
                <w:shd w:val="clear" w:color="auto" w:fill="FFFFFF"/>
              </w:rPr>
              <w:t xml:space="preserve"> </w:t>
            </w:r>
            <w:r w:rsidR="003D0369">
              <w:rPr>
                <w:rFonts w:cstheme="minorHAnsi"/>
                <w:shd w:val="clear" w:color="auto" w:fill="FFFFFF"/>
              </w:rPr>
              <w:t>[</w:t>
            </w:r>
            <w:r w:rsidRPr="00B75DCF">
              <w:rPr>
                <w:rFonts w:cstheme="minorHAnsi"/>
                <w:shd w:val="clear" w:color="auto" w:fill="FFFFFF"/>
              </w:rPr>
              <w:t>2</w:t>
            </w:r>
            <w:r w:rsidR="00F07CC5">
              <w:rPr>
                <w:rFonts w:cstheme="minorHAnsi"/>
                <w:shd w:val="clear" w:color="auto" w:fill="FFFFFF"/>
              </w:rPr>
              <w:t>4</w:t>
            </w:r>
            <w:r w:rsidR="003D0369">
              <w:rPr>
                <w:rFonts w:cstheme="minorHAnsi"/>
                <w:shd w:val="clear" w:color="auto" w:fill="FFFFFF"/>
              </w:rPr>
              <w:t>]</w:t>
            </w:r>
          </w:p>
        </w:tc>
      </w:tr>
      <w:tr w:rsidR="007F67FD" w:rsidRPr="00B75DCF" w14:paraId="17CDEDF1" w14:textId="77777777">
        <w:tc>
          <w:tcPr>
            <w:tcW w:w="2399" w:type="dxa"/>
          </w:tcPr>
          <w:p w14:paraId="720B2669" w14:textId="77777777" w:rsidR="00303474" w:rsidRPr="00B75DCF" w:rsidRDefault="003A34DE" w:rsidP="00382A99">
            <w:pPr>
              <w:spacing w:line="259" w:lineRule="auto"/>
              <w:jc w:val="right"/>
              <w:rPr>
                <w:rFonts w:cstheme="minorHAnsi"/>
                <w:shd w:val="clear" w:color="auto" w:fill="FFFFFF"/>
              </w:rPr>
            </w:pPr>
            <w:r w:rsidRPr="00B75DCF">
              <w:rPr>
                <w:rFonts w:cstheme="minorHAnsi"/>
                <w:shd w:val="clear" w:color="auto" w:fill="FFFFFF"/>
              </w:rPr>
              <w:t xml:space="preserve">Treated AF </w:t>
            </w:r>
            <w:r w:rsidRPr="00B75DCF">
              <w:rPr>
                <w:rFonts w:ascii="Wingdings" w:eastAsia="Wingdings" w:hAnsi="Wingdings" w:cstheme="minorHAnsi"/>
                <w:shd w:val="clear" w:color="auto" w:fill="FFFFFF"/>
              </w:rPr>
              <w:sym w:font="Wingdings" w:char="F0E0"/>
            </w:r>
            <w:r w:rsidRPr="00B75DCF">
              <w:rPr>
                <w:rFonts w:cstheme="minorHAnsi"/>
                <w:shd w:val="clear" w:color="auto" w:fill="FFFFFF"/>
              </w:rPr>
              <w:t xml:space="preserve"> </w:t>
            </w:r>
            <w:r w:rsidRPr="00B75DCF">
              <w:rPr>
                <w:rFonts w:cstheme="minorHAnsi"/>
                <w:shd w:val="clear" w:color="auto" w:fill="FFFFFF"/>
              </w:rPr>
              <w:br/>
              <w:t>Disabling stroke</w:t>
            </w:r>
          </w:p>
        </w:tc>
        <w:tc>
          <w:tcPr>
            <w:tcW w:w="2752" w:type="dxa"/>
          </w:tcPr>
          <w:p w14:paraId="30CD857A"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0.04%</w:t>
            </w:r>
          </w:p>
        </w:tc>
        <w:tc>
          <w:tcPr>
            <w:tcW w:w="1803" w:type="dxa"/>
          </w:tcPr>
          <w:p w14:paraId="5786728F"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0.04%</w:t>
            </w:r>
          </w:p>
        </w:tc>
        <w:tc>
          <w:tcPr>
            <w:tcW w:w="2062" w:type="dxa"/>
          </w:tcPr>
          <w:p w14:paraId="5BE5BE99" w14:textId="3760DF0A" w:rsidR="00303474" w:rsidRPr="00B75DCF" w:rsidRDefault="003A34DE" w:rsidP="00382A99">
            <w:pPr>
              <w:spacing w:line="259" w:lineRule="auto"/>
              <w:rPr>
                <w:rFonts w:cstheme="minorHAnsi"/>
                <w:shd w:val="clear" w:color="auto" w:fill="FFFFFF"/>
              </w:rPr>
            </w:pPr>
            <w:proofErr w:type="spellStart"/>
            <w:r w:rsidRPr="00B75DCF">
              <w:rPr>
                <w:rFonts w:cstheme="minorHAnsi"/>
                <w:shd w:val="clear" w:color="auto" w:fill="FFFFFF"/>
              </w:rPr>
              <w:t>Odutayo</w:t>
            </w:r>
            <w:proofErr w:type="spellEnd"/>
            <w:r w:rsidRPr="00B75DCF">
              <w:rPr>
                <w:rFonts w:cstheme="minorHAnsi"/>
                <w:shd w:val="clear" w:color="auto" w:fill="FFFFFF"/>
              </w:rPr>
              <w:t xml:space="preserve"> et al </w:t>
            </w:r>
            <w:r w:rsidR="003D0369">
              <w:rPr>
                <w:rFonts w:cstheme="minorHAnsi"/>
                <w:shd w:val="clear" w:color="auto" w:fill="FFFFFF"/>
              </w:rPr>
              <w:t>[</w:t>
            </w:r>
            <w:r w:rsidRPr="00B75DCF">
              <w:rPr>
                <w:rFonts w:cstheme="minorHAnsi"/>
                <w:shd w:val="clear" w:color="auto" w:fill="FFFFFF"/>
              </w:rPr>
              <w:t>2</w:t>
            </w:r>
            <w:r w:rsidR="00F07CC5">
              <w:rPr>
                <w:rFonts w:cstheme="minorHAnsi"/>
                <w:shd w:val="clear" w:color="auto" w:fill="FFFFFF"/>
              </w:rPr>
              <w:t>5</w:t>
            </w:r>
            <w:r w:rsidR="003D0369">
              <w:rPr>
                <w:rFonts w:cstheme="minorHAnsi"/>
                <w:shd w:val="clear" w:color="auto" w:fill="FFFFFF"/>
              </w:rPr>
              <w:t>]</w:t>
            </w:r>
          </w:p>
        </w:tc>
      </w:tr>
      <w:bookmarkEnd w:id="49"/>
      <w:tr w:rsidR="007F67FD" w:rsidRPr="00B75DCF" w14:paraId="5283DF62" w14:textId="77777777">
        <w:tc>
          <w:tcPr>
            <w:tcW w:w="2399" w:type="dxa"/>
          </w:tcPr>
          <w:p w14:paraId="522E01C7" w14:textId="77777777" w:rsidR="00303474" w:rsidRPr="00B75DCF" w:rsidRDefault="003A34DE" w:rsidP="00382A99">
            <w:pPr>
              <w:spacing w:line="259" w:lineRule="auto"/>
              <w:jc w:val="right"/>
              <w:rPr>
                <w:rFonts w:cstheme="minorHAnsi"/>
                <w:shd w:val="clear" w:color="auto" w:fill="FFFFFF"/>
              </w:rPr>
            </w:pPr>
            <w:r w:rsidRPr="00B75DCF">
              <w:rPr>
                <w:rFonts w:cstheme="minorHAnsi"/>
                <w:shd w:val="clear" w:color="auto" w:fill="FFFFFF"/>
              </w:rPr>
              <w:t xml:space="preserve">TIA </w:t>
            </w:r>
          </w:p>
        </w:tc>
        <w:tc>
          <w:tcPr>
            <w:tcW w:w="2752" w:type="dxa"/>
          </w:tcPr>
          <w:p w14:paraId="4A071738"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0.09%</w:t>
            </w:r>
          </w:p>
        </w:tc>
        <w:tc>
          <w:tcPr>
            <w:tcW w:w="1803" w:type="dxa"/>
          </w:tcPr>
          <w:p w14:paraId="0D1296B7"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0.04%</w:t>
            </w:r>
          </w:p>
        </w:tc>
        <w:tc>
          <w:tcPr>
            <w:tcW w:w="2062" w:type="dxa"/>
          </w:tcPr>
          <w:p w14:paraId="1D2C9604" w14:textId="71659DD1" w:rsidR="00303474" w:rsidRPr="00B75DCF" w:rsidRDefault="003A34DE" w:rsidP="00382A99">
            <w:pPr>
              <w:spacing w:line="259" w:lineRule="auto"/>
              <w:rPr>
                <w:rFonts w:cstheme="minorHAnsi"/>
                <w:shd w:val="clear" w:color="auto" w:fill="FFFFFF"/>
              </w:rPr>
            </w:pPr>
            <w:r w:rsidRPr="00B75DCF">
              <w:rPr>
                <w:rFonts w:cstheme="minorHAnsi"/>
                <w:shd w:val="clear" w:color="auto" w:fill="FFFFFF"/>
              </w:rPr>
              <w:t>PARTNER 3 trial</w:t>
            </w:r>
            <w:r w:rsidR="00F07CC5">
              <w:rPr>
                <w:rFonts w:cstheme="minorHAnsi"/>
                <w:shd w:val="clear" w:color="auto" w:fill="FFFFFF"/>
              </w:rPr>
              <w:t xml:space="preserve"> [</w:t>
            </w:r>
            <w:r w:rsidR="00F07CC5" w:rsidRPr="00F07CC5">
              <w:rPr>
                <w:rFonts w:cstheme="minorHAnsi"/>
                <w:shd w:val="clear" w:color="auto" w:fill="FFFFFF"/>
              </w:rPr>
              <w:t>19</w:t>
            </w:r>
            <w:r w:rsidR="00F07CC5">
              <w:rPr>
                <w:rFonts w:cstheme="minorHAnsi"/>
                <w:shd w:val="clear" w:color="auto" w:fill="FFFFFF"/>
              </w:rPr>
              <w:t>]</w:t>
            </w:r>
          </w:p>
        </w:tc>
      </w:tr>
      <w:tr w:rsidR="007F67FD" w:rsidRPr="00B75DCF" w14:paraId="1B36F4CD" w14:textId="77777777">
        <w:tc>
          <w:tcPr>
            <w:tcW w:w="2399" w:type="dxa"/>
          </w:tcPr>
          <w:p w14:paraId="281D9AD4" w14:textId="77777777" w:rsidR="00303474" w:rsidRPr="00B75DCF" w:rsidRDefault="003A34DE" w:rsidP="00382A99">
            <w:pPr>
              <w:spacing w:line="259" w:lineRule="auto"/>
              <w:jc w:val="right"/>
              <w:rPr>
                <w:rFonts w:cstheme="minorHAnsi"/>
                <w:shd w:val="clear" w:color="auto" w:fill="FFFFFF"/>
              </w:rPr>
            </w:pPr>
            <w:r w:rsidRPr="00B75DCF">
              <w:rPr>
                <w:rFonts w:cstheme="minorHAnsi"/>
                <w:shd w:val="clear" w:color="auto" w:fill="FFFFFF"/>
              </w:rPr>
              <w:t>MI</w:t>
            </w:r>
          </w:p>
        </w:tc>
        <w:tc>
          <w:tcPr>
            <w:tcW w:w="2752" w:type="dxa"/>
          </w:tcPr>
          <w:p w14:paraId="12C983E5"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0.02%</w:t>
            </w:r>
          </w:p>
        </w:tc>
        <w:tc>
          <w:tcPr>
            <w:tcW w:w="1803" w:type="dxa"/>
          </w:tcPr>
          <w:p w14:paraId="57D5A99A"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0.08%</w:t>
            </w:r>
          </w:p>
        </w:tc>
        <w:tc>
          <w:tcPr>
            <w:tcW w:w="2062" w:type="dxa"/>
          </w:tcPr>
          <w:p w14:paraId="3AD868BD" w14:textId="3C11F4E1" w:rsidR="00303474" w:rsidRPr="00B75DCF" w:rsidRDefault="003A34DE" w:rsidP="00382A99">
            <w:pPr>
              <w:spacing w:line="259" w:lineRule="auto"/>
              <w:rPr>
                <w:rFonts w:cstheme="minorHAnsi"/>
                <w:shd w:val="clear" w:color="auto" w:fill="FFFFFF"/>
              </w:rPr>
            </w:pPr>
            <w:r w:rsidRPr="00B75DCF">
              <w:rPr>
                <w:rFonts w:cstheme="minorHAnsi"/>
                <w:shd w:val="clear" w:color="auto" w:fill="FFFFFF"/>
              </w:rPr>
              <w:t>PARTNER 3 trial</w:t>
            </w:r>
            <w:r w:rsidR="00F07CC5">
              <w:rPr>
                <w:rFonts w:cstheme="minorHAnsi"/>
                <w:shd w:val="clear" w:color="auto" w:fill="FFFFFF"/>
              </w:rPr>
              <w:t xml:space="preserve"> [</w:t>
            </w:r>
            <w:r w:rsidR="00F07CC5" w:rsidRPr="00F07CC5">
              <w:rPr>
                <w:rFonts w:cstheme="minorHAnsi"/>
                <w:shd w:val="clear" w:color="auto" w:fill="FFFFFF"/>
              </w:rPr>
              <w:t>19</w:t>
            </w:r>
            <w:r w:rsidR="00F07CC5">
              <w:rPr>
                <w:rFonts w:cstheme="minorHAnsi"/>
                <w:shd w:val="clear" w:color="auto" w:fill="FFFFFF"/>
              </w:rPr>
              <w:t>]</w:t>
            </w:r>
          </w:p>
        </w:tc>
      </w:tr>
      <w:tr w:rsidR="007F67FD" w:rsidRPr="00B75DCF" w14:paraId="3B635B22" w14:textId="77777777">
        <w:tc>
          <w:tcPr>
            <w:tcW w:w="2399" w:type="dxa"/>
          </w:tcPr>
          <w:p w14:paraId="265A23A8" w14:textId="77777777" w:rsidR="00303474" w:rsidRPr="00B75DCF" w:rsidRDefault="003A34DE" w:rsidP="00382A99">
            <w:pPr>
              <w:spacing w:line="259" w:lineRule="auto"/>
              <w:jc w:val="right"/>
              <w:rPr>
                <w:rFonts w:cstheme="minorHAnsi"/>
                <w:shd w:val="clear" w:color="auto" w:fill="FFFFFF"/>
              </w:rPr>
            </w:pPr>
            <w:r w:rsidRPr="00B75DCF">
              <w:rPr>
                <w:rFonts w:cstheme="minorHAnsi"/>
                <w:shd w:val="clear" w:color="auto" w:fill="FFFFFF"/>
              </w:rPr>
              <w:t xml:space="preserve">Severe or Life-threatening bleeding </w:t>
            </w:r>
          </w:p>
        </w:tc>
        <w:tc>
          <w:tcPr>
            <w:tcW w:w="2752" w:type="dxa"/>
          </w:tcPr>
          <w:p w14:paraId="6B16ACEF"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0.4%</w:t>
            </w:r>
          </w:p>
        </w:tc>
        <w:tc>
          <w:tcPr>
            <w:tcW w:w="1803" w:type="dxa"/>
          </w:tcPr>
          <w:p w14:paraId="5FF542E9"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0.1%</w:t>
            </w:r>
          </w:p>
        </w:tc>
        <w:tc>
          <w:tcPr>
            <w:tcW w:w="2062" w:type="dxa"/>
          </w:tcPr>
          <w:p w14:paraId="5F14C8AC" w14:textId="591B7F9B" w:rsidR="00303474" w:rsidRPr="00B75DCF" w:rsidRDefault="003A34DE" w:rsidP="00382A99">
            <w:pPr>
              <w:spacing w:line="259" w:lineRule="auto"/>
              <w:rPr>
                <w:rFonts w:cstheme="minorHAnsi"/>
                <w:shd w:val="clear" w:color="auto" w:fill="FFFFFF"/>
              </w:rPr>
            </w:pPr>
            <w:r w:rsidRPr="00B75DCF">
              <w:rPr>
                <w:rFonts w:cstheme="minorHAnsi"/>
                <w:shd w:val="clear" w:color="auto" w:fill="FFFFFF"/>
              </w:rPr>
              <w:t>PARTNER 3 trial</w:t>
            </w:r>
            <w:r w:rsidR="00F07CC5">
              <w:rPr>
                <w:rFonts w:cstheme="minorHAnsi"/>
                <w:shd w:val="clear" w:color="auto" w:fill="FFFFFF"/>
              </w:rPr>
              <w:t xml:space="preserve"> [</w:t>
            </w:r>
            <w:r w:rsidR="00F07CC5" w:rsidRPr="00F07CC5">
              <w:rPr>
                <w:rFonts w:cstheme="minorHAnsi"/>
                <w:shd w:val="clear" w:color="auto" w:fill="FFFFFF"/>
              </w:rPr>
              <w:t>19</w:t>
            </w:r>
            <w:r w:rsidR="00F07CC5">
              <w:rPr>
                <w:rFonts w:cstheme="minorHAnsi"/>
                <w:shd w:val="clear" w:color="auto" w:fill="FFFFFF"/>
              </w:rPr>
              <w:t>]</w:t>
            </w:r>
          </w:p>
        </w:tc>
      </w:tr>
      <w:tr w:rsidR="007F67FD" w:rsidRPr="00B75DCF" w14:paraId="77246F98" w14:textId="77777777">
        <w:tc>
          <w:tcPr>
            <w:tcW w:w="9016" w:type="dxa"/>
            <w:gridSpan w:val="4"/>
          </w:tcPr>
          <w:p w14:paraId="6DABE95C" w14:textId="77777777" w:rsidR="00303474" w:rsidRPr="00B75DCF" w:rsidRDefault="003A34DE" w:rsidP="00382A99">
            <w:pPr>
              <w:spacing w:line="259" w:lineRule="auto"/>
              <w:rPr>
                <w:rFonts w:cstheme="minorHAnsi"/>
                <w:shd w:val="clear" w:color="auto" w:fill="FFFFFF"/>
              </w:rPr>
            </w:pPr>
            <w:r w:rsidRPr="00B75DCF">
              <w:rPr>
                <w:rFonts w:cstheme="minorHAnsi"/>
                <w:b/>
                <w:shd w:val="clear" w:color="auto" w:fill="FFFFFF"/>
              </w:rPr>
              <w:t>Monthly health states transition probabilities between 1 and 2 years</w:t>
            </w:r>
          </w:p>
        </w:tc>
      </w:tr>
      <w:tr w:rsidR="007F67FD" w:rsidRPr="00B75DCF" w14:paraId="6C919530" w14:textId="77777777">
        <w:tc>
          <w:tcPr>
            <w:tcW w:w="2399" w:type="dxa"/>
          </w:tcPr>
          <w:p w14:paraId="4BDA201D" w14:textId="77777777" w:rsidR="00303474" w:rsidRPr="00B75DCF" w:rsidRDefault="003A34DE" w:rsidP="00382A99">
            <w:pPr>
              <w:spacing w:line="259" w:lineRule="auto"/>
              <w:jc w:val="right"/>
              <w:rPr>
                <w:rFonts w:cstheme="minorHAnsi"/>
                <w:shd w:val="clear" w:color="auto" w:fill="FFFFFF"/>
              </w:rPr>
            </w:pPr>
            <w:r w:rsidRPr="00B75DCF">
              <w:rPr>
                <w:rFonts w:cstheme="minorHAnsi"/>
                <w:shd w:val="clear" w:color="auto" w:fill="FFFFFF"/>
              </w:rPr>
              <w:t xml:space="preserve">Alive and well </w:t>
            </w:r>
            <w:r w:rsidRPr="00B75DCF">
              <w:rPr>
                <w:rFonts w:ascii="Wingdings" w:eastAsia="Wingdings" w:hAnsi="Wingdings" w:cstheme="minorHAnsi"/>
                <w:shd w:val="clear" w:color="auto" w:fill="FFFFFF"/>
              </w:rPr>
              <w:sym w:font="Wingdings" w:char="F0E0"/>
            </w:r>
            <w:r w:rsidRPr="00B75DCF">
              <w:rPr>
                <w:rFonts w:cstheme="minorHAnsi"/>
                <w:shd w:val="clear" w:color="auto" w:fill="FFFFFF"/>
              </w:rPr>
              <w:t xml:space="preserve"> </w:t>
            </w:r>
            <w:r w:rsidRPr="00B75DCF">
              <w:rPr>
                <w:rFonts w:cstheme="minorHAnsi"/>
                <w:shd w:val="clear" w:color="auto" w:fill="FFFFFF"/>
              </w:rPr>
              <w:br/>
              <w:t>Treated AF</w:t>
            </w:r>
          </w:p>
        </w:tc>
        <w:tc>
          <w:tcPr>
            <w:tcW w:w="2752" w:type="dxa"/>
          </w:tcPr>
          <w:p w14:paraId="0A0EE928"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0.06%</w:t>
            </w:r>
          </w:p>
        </w:tc>
        <w:tc>
          <w:tcPr>
            <w:tcW w:w="1803" w:type="dxa"/>
          </w:tcPr>
          <w:p w14:paraId="7913573B"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0.11%</w:t>
            </w:r>
          </w:p>
        </w:tc>
        <w:tc>
          <w:tcPr>
            <w:tcW w:w="2062" w:type="dxa"/>
          </w:tcPr>
          <w:p w14:paraId="76065902" w14:textId="09177415" w:rsidR="00303474" w:rsidRPr="00B75DCF" w:rsidRDefault="003A34DE" w:rsidP="00382A99">
            <w:pPr>
              <w:spacing w:line="259" w:lineRule="auto"/>
              <w:rPr>
                <w:rFonts w:cstheme="minorHAnsi"/>
                <w:shd w:val="clear" w:color="auto" w:fill="FFFFFF"/>
              </w:rPr>
            </w:pPr>
            <w:r w:rsidRPr="00B75DCF">
              <w:rPr>
                <w:rFonts w:cstheme="minorHAnsi"/>
                <w:shd w:val="clear" w:color="auto" w:fill="FFFFFF"/>
              </w:rPr>
              <w:t>PARTNER 3 trial 2-year outcomes</w:t>
            </w:r>
            <w:r w:rsidR="00F07CC5">
              <w:rPr>
                <w:rFonts w:cstheme="minorHAnsi"/>
                <w:shd w:val="clear" w:color="auto" w:fill="FFFFFF"/>
              </w:rPr>
              <w:t xml:space="preserve"> [20]</w:t>
            </w:r>
          </w:p>
        </w:tc>
      </w:tr>
      <w:tr w:rsidR="007F67FD" w:rsidRPr="00B75DCF" w14:paraId="46E25FD1" w14:textId="77777777">
        <w:tc>
          <w:tcPr>
            <w:tcW w:w="2399" w:type="dxa"/>
          </w:tcPr>
          <w:p w14:paraId="28154F32" w14:textId="77777777" w:rsidR="00303474" w:rsidRPr="00B75DCF" w:rsidRDefault="003A34DE" w:rsidP="00382A99">
            <w:pPr>
              <w:spacing w:line="259" w:lineRule="auto"/>
              <w:jc w:val="right"/>
              <w:rPr>
                <w:rFonts w:cstheme="minorHAnsi"/>
                <w:shd w:val="clear" w:color="auto" w:fill="FFFFFF"/>
              </w:rPr>
            </w:pPr>
            <w:r w:rsidRPr="00B75DCF">
              <w:rPr>
                <w:rFonts w:cstheme="minorHAnsi"/>
                <w:shd w:val="clear" w:color="auto" w:fill="FFFFFF"/>
              </w:rPr>
              <w:t xml:space="preserve">Alive and well </w:t>
            </w:r>
            <w:r w:rsidRPr="00B75DCF">
              <w:rPr>
                <w:rFonts w:ascii="Wingdings" w:eastAsia="Wingdings" w:hAnsi="Wingdings" w:cstheme="minorHAnsi"/>
                <w:shd w:val="clear" w:color="auto" w:fill="FFFFFF"/>
              </w:rPr>
              <w:sym w:font="Wingdings" w:char="F0E0"/>
            </w:r>
            <w:r w:rsidRPr="00B75DCF">
              <w:rPr>
                <w:rFonts w:cstheme="minorHAnsi"/>
                <w:shd w:val="clear" w:color="auto" w:fill="FFFFFF"/>
              </w:rPr>
              <w:t xml:space="preserve"> </w:t>
            </w:r>
            <w:r w:rsidRPr="00B75DCF">
              <w:rPr>
                <w:rFonts w:cstheme="minorHAnsi"/>
                <w:shd w:val="clear" w:color="auto" w:fill="FFFFFF"/>
              </w:rPr>
              <w:br/>
              <w:t>Disabling stroke</w:t>
            </w:r>
          </w:p>
        </w:tc>
        <w:tc>
          <w:tcPr>
            <w:tcW w:w="2752" w:type="dxa"/>
          </w:tcPr>
          <w:p w14:paraId="548BF546"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0.02%</w:t>
            </w:r>
          </w:p>
        </w:tc>
        <w:tc>
          <w:tcPr>
            <w:tcW w:w="1803" w:type="dxa"/>
          </w:tcPr>
          <w:p w14:paraId="184D5C8B"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0.02%</w:t>
            </w:r>
          </w:p>
        </w:tc>
        <w:tc>
          <w:tcPr>
            <w:tcW w:w="2062" w:type="dxa"/>
          </w:tcPr>
          <w:p w14:paraId="6AE3F95D" w14:textId="2C50343A" w:rsidR="00303474" w:rsidRPr="00B75DCF" w:rsidRDefault="003A34DE" w:rsidP="00382A99">
            <w:pPr>
              <w:spacing w:line="259" w:lineRule="auto"/>
              <w:rPr>
                <w:rFonts w:cstheme="minorHAnsi"/>
                <w:shd w:val="clear" w:color="auto" w:fill="FFFFFF"/>
              </w:rPr>
            </w:pPr>
            <w:r w:rsidRPr="00B75DCF">
              <w:rPr>
                <w:rFonts w:cstheme="minorHAnsi"/>
                <w:shd w:val="clear" w:color="auto" w:fill="FFFFFF"/>
              </w:rPr>
              <w:t xml:space="preserve">Public Health England </w:t>
            </w:r>
            <w:r w:rsidR="003D0369">
              <w:rPr>
                <w:rFonts w:cstheme="minorHAnsi"/>
                <w:shd w:val="clear" w:color="auto" w:fill="FFFFFF"/>
              </w:rPr>
              <w:t>[</w:t>
            </w:r>
            <w:r w:rsidRPr="00B75DCF">
              <w:rPr>
                <w:rFonts w:cstheme="minorHAnsi"/>
                <w:shd w:val="clear" w:color="auto" w:fill="FFFFFF"/>
              </w:rPr>
              <w:t>2</w:t>
            </w:r>
            <w:r w:rsidR="00F07CC5">
              <w:rPr>
                <w:rFonts w:cstheme="minorHAnsi"/>
                <w:shd w:val="clear" w:color="auto" w:fill="FFFFFF"/>
              </w:rPr>
              <w:t>3</w:t>
            </w:r>
            <w:r w:rsidR="003D0369">
              <w:rPr>
                <w:rFonts w:cstheme="minorHAnsi"/>
                <w:shd w:val="clear" w:color="auto" w:fill="FFFFFF"/>
              </w:rPr>
              <w:t>]</w:t>
            </w:r>
            <w:r w:rsidR="00E62D21" w:rsidRPr="00B75DCF">
              <w:rPr>
                <w:rFonts w:cstheme="minorHAnsi"/>
                <w:shd w:val="clear" w:color="auto" w:fill="FFFFFF"/>
              </w:rPr>
              <w:t>;</w:t>
            </w:r>
            <w:r w:rsidR="00F07CC5">
              <w:rPr>
                <w:rFonts w:cstheme="minorHAnsi"/>
                <w:shd w:val="clear" w:color="auto" w:fill="FFFFFF"/>
              </w:rPr>
              <w:br/>
            </w:r>
            <w:r w:rsidRPr="00B75DCF">
              <w:rPr>
                <w:rFonts w:cstheme="minorHAnsi"/>
                <w:shd w:val="clear" w:color="auto" w:fill="FFFFFF"/>
              </w:rPr>
              <w:t xml:space="preserve">Hewitt </w:t>
            </w:r>
            <w:r w:rsidRPr="00B75DCF">
              <w:rPr>
                <w:rFonts w:cstheme="minorHAnsi"/>
                <w:iCs/>
                <w:shd w:val="clear" w:color="auto" w:fill="FFFFFF"/>
              </w:rPr>
              <w:t>et al</w:t>
            </w:r>
            <w:r w:rsidRPr="00B75DCF">
              <w:rPr>
                <w:rFonts w:cstheme="minorHAnsi"/>
                <w:shd w:val="clear" w:color="auto" w:fill="FFFFFF"/>
              </w:rPr>
              <w:t xml:space="preserve"> </w:t>
            </w:r>
            <w:r w:rsidR="003D0369">
              <w:rPr>
                <w:rFonts w:cstheme="minorHAnsi"/>
                <w:shd w:val="clear" w:color="auto" w:fill="FFFFFF"/>
              </w:rPr>
              <w:t>[</w:t>
            </w:r>
            <w:r w:rsidRPr="00B75DCF">
              <w:rPr>
                <w:rFonts w:cstheme="minorHAnsi"/>
                <w:shd w:val="clear" w:color="auto" w:fill="FFFFFF"/>
              </w:rPr>
              <w:t>2</w:t>
            </w:r>
            <w:r w:rsidR="00F07CC5">
              <w:rPr>
                <w:rFonts w:cstheme="minorHAnsi"/>
                <w:shd w:val="clear" w:color="auto" w:fill="FFFFFF"/>
              </w:rPr>
              <w:t>4</w:t>
            </w:r>
            <w:r w:rsidR="003D0369">
              <w:rPr>
                <w:rFonts w:cstheme="minorHAnsi"/>
                <w:shd w:val="clear" w:color="auto" w:fill="FFFFFF"/>
              </w:rPr>
              <w:t>]</w:t>
            </w:r>
          </w:p>
        </w:tc>
      </w:tr>
      <w:tr w:rsidR="007F67FD" w:rsidRPr="00B75DCF" w14:paraId="0651B935" w14:textId="77777777">
        <w:tc>
          <w:tcPr>
            <w:tcW w:w="2399" w:type="dxa"/>
          </w:tcPr>
          <w:p w14:paraId="7582B8A7" w14:textId="77777777" w:rsidR="00303474" w:rsidRPr="00B75DCF" w:rsidRDefault="003A34DE" w:rsidP="00382A99">
            <w:pPr>
              <w:spacing w:line="259" w:lineRule="auto"/>
              <w:jc w:val="right"/>
              <w:rPr>
                <w:rFonts w:cstheme="minorHAnsi"/>
                <w:shd w:val="clear" w:color="auto" w:fill="FFFFFF"/>
              </w:rPr>
            </w:pPr>
            <w:r w:rsidRPr="00B75DCF">
              <w:rPr>
                <w:rFonts w:cstheme="minorHAnsi"/>
                <w:shd w:val="clear" w:color="auto" w:fill="FFFFFF"/>
              </w:rPr>
              <w:t xml:space="preserve">Treated AF </w:t>
            </w:r>
            <w:r w:rsidRPr="00B75DCF">
              <w:rPr>
                <w:rFonts w:ascii="Wingdings" w:eastAsia="Wingdings" w:hAnsi="Wingdings" w:cstheme="minorHAnsi"/>
                <w:shd w:val="clear" w:color="auto" w:fill="FFFFFF"/>
              </w:rPr>
              <w:sym w:font="Wingdings" w:char="F0E0"/>
            </w:r>
            <w:r w:rsidRPr="00B75DCF">
              <w:rPr>
                <w:rFonts w:cstheme="minorHAnsi"/>
                <w:shd w:val="clear" w:color="auto" w:fill="FFFFFF"/>
              </w:rPr>
              <w:t xml:space="preserve"> </w:t>
            </w:r>
            <w:r w:rsidRPr="00B75DCF">
              <w:rPr>
                <w:rFonts w:cstheme="minorHAnsi"/>
                <w:shd w:val="clear" w:color="auto" w:fill="FFFFFF"/>
              </w:rPr>
              <w:br/>
              <w:t>Disabling stroke</w:t>
            </w:r>
          </w:p>
        </w:tc>
        <w:tc>
          <w:tcPr>
            <w:tcW w:w="2752" w:type="dxa"/>
          </w:tcPr>
          <w:p w14:paraId="32F2D5CE"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0.04%</w:t>
            </w:r>
          </w:p>
        </w:tc>
        <w:tc>
          <w:tcPr>
            <w:tcW w:w="1803" w:type="dxa"/>
          </w:tcPr>
          <w:p w14:paraId="2901127C"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0.04%</w:t>
            </w:r>
          </w:p>
        </w:tc>
        <w:tc>
          <w:tcPr>
            <w:tcW w:w="2062" w:type="dxa"/>
          </w:tcPr>
          <w:p w14:paraId="292EDFF0" w14:textId="5F57F010" w:rsidR="00303474" w:rsidRPr="00B75DCF" w:rsidRDefault="003A34DE" w:rsidP="00382A99">
            <w:pPr>
              <w:spacing w:line="259" w:lineRule="auto"/>
              <w:rPr>
                <w:rFonts w:cstheme="minorHAnsi"/>
                <w:shd w:val="clear" w:color="auto" w:fill="FFFFFF"/>
              </w:rPr>
            </w:pPr>
            <w:proofErr w:type="spellStart"/>
            <w:r w:rsidRPr="00B75DCF">
              <w:rPr>
                <w:rFonts w:cstheme="minorHAnsi"/>
                <w:shd w:val="clear" w:color="auto" w:fill="FFFFFF"/>
              </w:rPr>
              <w:t>Odutayo</w:t>
            </w:r>
            <w:proofErr w:type="spellEnd"/>
            <w:r w:rsidRPr="00B75DCF">
              <w:rPr>
                <w:rFonts w:cstheme="minorHAnsi"/>
                <w:shd w:val="clear" w:color="auto" w:fill="FFFFFF"/>
              </w:rPr>
              <w:t xml:space="preserve"> et al </w:t>
            </w:r>
            <w:r w:rsidR="003D0369">
              <w:rPr>
                <w:rFonts w:cstheme="minorHAnsi"/>
                <w:shd w:val="clear" w:color="auto" w:fill="FFFFFF"/>
              </w:rPr>
              <w:t>[</w:t>
            </w:r>
            <w:r w:rsidRPr="00B75DCF">
              <w:rPr>
                <w:rFonts w:cstheme="minorHAnsi"/>
                <w:shd w:val="clear" w:color="auto" w:fill="FFFFFF"/>
              </w:rPr>
              <w:t>2</w:t>
            </w:r>
            <w:r w:rsidR="00F07CC5">
              <w:rPr>
                <w:rFonts w:cstheme="minorHAnsi"/>
                <w:shd w:val="clear" w:color="auto" w:fill="FFFFFF"/>
              </w:rPr>
              <w:t>5</w:t>
            </w:r>
            <w:r w:rsidR="003D0369">
              <w:rPr>
                <w:rFonts w:cstheme="minorHAnsi"/>
                <w:shd w:val="clear" w:color="auto" w:fill="FFFFFF"/>
              </w:rPr>
              <w:t>]</w:t>
            </w:r>
          </w:p>
        </w:tc>
      </w:tr>
      <w:tr w:rsidR="007F67FD" w:rsidRPr="00B75DCF" w14:paraId="535E1C83" w14:textId="77777777">
        <w:tc>
          <w:tcPr>
            <w:tcW w:w="9016" w:type="dxa"/>
            <w:gridSpan w:val="4"/>
          </w:tcPr>
          <w:p w14:paraId="083AD084" w14:textId="77777777" w:rsidR="00303474" w:rsidRPr="00B75DCF" w:rsidRDefault="003A34DE" w:rsidP="00382A99">
            <w:pPr>
              <w:spacing w:line="259" w:lineRule="auto"/>
              <w:rPr>
                <w:rFonts w:cstheme="minorHAnsi"/>
                <w:b/>
                <w:bCs/>
                <w:shd w:val="clear" w:color="auto" w:fill="FFFFFF"/>
              </w:rPr>
            </w:pPr>
            <w:r w:rsidRPr="00B75DCF">
              <w:rPr>
                <w:rFonts w:cstheme="minorHAnsi"/>
                <w:b/>
                <w:bCs/>
                <w:shd w:val="clear" w:color="auto" w:fill="FFFFFF"/>
              </w:rPr>
              <w:t>Monthly health states transition probabilities between 2 and 5 years</w:t>
            </w:r>
          </w:p>
        </w:tc>
      </w:tr>
      <w:tr w:rsidR="007F67FD" w:rsidRPr="00B75DCF" w14:paraId="49A8E895" w14:textId="77777777">
        <w:tc>
          <w:tcPr>
            <w:tcW w:w="2399" w:type="dxa"/>
          </w:tcPr>
          <w:p w14:paraId="5C78AF25" w14:textId="77777777" w:rsidR="00303474" w:rsidRPr="00B75DCF" w:rsidRDefault="003A34DE" w:rsidP="00382A99">
            <w:pPr>
              <w:spacing w:line="259" w:lineRule="auto"/>
              <w:jc w:val="right"/>
              <w:rPr>
                <w:rFonts w:cstheme="minorHAnsi"/>
                <w:b/>
                <w:bCs/>
                <w:shd w:val="clear" w:color="auto" w:fill="FFFFFF"/>
              </w:rPr>
            </w:pPr>
            <w:r w:rsidRPr="00B75DCF">
              <w:rPr>
                <w:rFonts w:cstheme="minorHAnsi"/>
                <w:shd w:val="clear" w:color="auto" w:fill="FFFFFF"/>
              </w:rPr>
              <w:t xml:space="preserve">Alive and well </w:t>
            </w:r>
            <w:r w:rsidRPr="00B75DCF">
              <w:rPr>
                <w:rFonts w:ascii="Wingdings" w:eastAsia="Wingdings" w:hAnsi="Wingdings" w:cstheme="minorHAnsi"/>
                <w:shd w:val="clear" w:color="auto" w:fill="FFFFFF"/>
              </w:rPr>
              <w:sym w:font="Wingdings" w:char="F0E0"/>
            </w:r>
            <w:r w:rsidRPr="00B75DCF">
              <w:rPr>
                <w:rFonts w:cstheme="minorHAnsi"/>
                <w:shd w:val="clear" w:color="auto" w:fill="FFFFFF"/>
              </w:rPr>
              <w:t xml:space="preserve"> </w:t>
            </w:r>
            <w:r w:rsidRPr="00B75DCF">
              <w:rPr>
                <w:rFonts w:cstheme="minorHAnsi"/>
                <w:shd w:val="clear" w:color="auto" w:fill="FFFFFF"/>
              </w:rPr>
              <w:br/>
              <w:t>Treated AF</w:t>
            </w:r>
          </w:p>
        </w:tc>
        <w:tc>
          <w:tcPr>
            <w:tcW w:w="2752" w:type="dxa"/>
          </w:tcPr>
          <w:p w14:paraId="1CE40B51"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0.16%</w:t>
            </w:r>
          </w:p>
        </w:tc>
        <w:tc>
          <w:tcPr>
            <w:tcW w:w="1803" w:type="dxa"/>
          </w:tcPr>
          <w:p w14:paraId="7392D2FA"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0.024%</w:t>
            </w:r>
          </w:p>
        </w:tc>
        <w:tc>
          <w:tcPr>
            <w:tcW w:w="2062" w:type="dxa"/>
          </w:tcPr>
          <w:p w14:paraId="62B4B5A2" w14:textId="744AB966" w:rsidR="00303474" w:rsidRPr="00B75DCF" w:rsidRDefault="003A34DE" w:rsidP="00382A99">
            <w:pPr>
              <w:spacing w:line="259" w:lineRule="auto"/>
              <w:rPr>
                <w:rFonts w:cstheme="minorHAnsi"/>
                <w:shd w:val="clear" w:color="auto" w:fill="FFFFFF"/>
              </w:rPr>
            </w:pPr>
            <w:r w:rsidRPr="00B75DCF">
              <w:rPr>
                <w:rFonts w:cstheme="minorHAnsi"/>
                <w:shd w:val="clear" w:color="auto" w:fill="FFFFFF"/>
              </w:rPr>
              <w:t>PARTNER 3 trial 5-year outcomes</w:t>
            </w:r>
            <w:r w:rsidR="00F07CC5">
              <w:rPr>
                <w:rFonts w:cstheme="minorHAnsi"/>
                <w:shd w:val="clear" w:color="auto" w:fill="FFFFFF"/>
              </w:rPr>
              <w:t xml:space="preserve"> [21]</w:t>
            </w:r>
          </w:p>
        </w:tc>
      </w:tr>
      <w:tr w:rsidR="007F67FD" w:rsidRPr="00B75DCF" w14:paraId="5EC75726" w14:textId="77777777">
        <w:tc>
          <w:tcPr>
            <w:tcW w:w="2399" w:type="dxa"/>
          </w:tcPr>
          <w:p w14:paraId="6FEF8912" w14:textId="77777777" w:rsidR="00303474" w:rsidRPr="00B75DCF" w:rsidRDefault="003A34DE" w:rsidP="00382A99">
            <w:pPr>
              <w:spacing w:line="259" w:lineRule="auto"/>
              <w:jc w:val="right"/>
              <w:rPr>
                <w:rFonts w:cstheme="minorHAnsi"/>
                <w:b/>
                <w:bCs/>
                <w:shd w:val="clear" w:color="auto" w:fill="FFFFFF"/>
              </w:rPr>
            </w:pPr>
            <w:r w:rsidRPr="00B75DCF">
              <w:rPr>
                <w:rFonts w:cstheme="minorHAnsi"/>
                <w:shd w:val="clear" w:color="auto" w:fill="FFFFFF"/>
              </w:rPr>
              <w:t xml:space="preserve">Alive and well </w:t>
            </w:r>
            <w:r w:rsidRPr="00B75DCF">
              <w:rPr>
                <w:rFonts w:ascii="Wingdings" w:eastAsia="Wingdings" w:hAnsi="Wingdings" w:cstheme="minorHAnsi"/>
                <w:shd w:val="clear" w:color="auto" w:fill="FFFFFF"/>
              </w:rPr>
              <w:sym w:font="Wingdings" w:char="F0E0"/>
            </w:r>
            <w:r w:rsidRPr="00B75DCF">
              <w:rPr>
                <w:rFonts w:cstheme="minorHAnsi"/>
                <w:shd w:val="clear" w:color="auto" w:fill="FFFFFF"/>
              </w:rPr>
              <w:t xml:space="preserve"> </w:t>
            </w:r>
            <w:r w:rsidRPr="00B75DCF">
              <w:rPr>
                <w:rFonts w:cstheme="minorHAnsi"/>
                <w:shd w:val="clear" w:color="auto" w:fill="FFFFFF"/>
              </w:rPr>
              <w:br/>
              <w:t>Disabling stroke</w:t>
            </w:r>
          </w:p>
        </w:tc>
        <w:tc>
          <w:tcPr>
            <w:tcW w:w="2752" w:type="dxa"/>
          </w:tcPr>
          <w:p w14:paraId="536A7BC9" w14:textId="77777777" w:rsidR="00303474" w:rsidRPr="00B75DCF" w:rsidRDefault="003A34DE" w:rsidP="00382A99">
            <w:pPr>
              <w:spacing w:line="259" w:lineRule="auto"/>
              <w:jc w:val="center"/>
              <w:rPr>
                <w:rFonts w:cstheme="minorHAnsi"/>
                <w:b/>
                <w:bCs/>
                <w:shd w:val="clear" w:color="auto" w:fill="FFFFFF"/>
              </w:rPr>
            </w:pPr>
            <w:r w:rsidRPr="00B75DCF">
              <w:rPr>
                <w:rFonts w:cstheme="minorHAnsi"/>
                <w:shd w:val="clear" w:color="auto" w:fill="FFFFFF"/>
              </w:rPr>
              <w:t>0.02%</w:t>
            </w:r>
          </w:p>
        </w:tc>
        <w:tc>
          <w:tcPr>
            <w:tcW w:w="1803" w:type="dxa"/>
          </w:tcPr>
          <w:p w14:paraId="371BBECA" w14:textId="77777777" w:rsidR="00303474" w:rsidRPr="00B75DCF" w:rsidRDefault="003A34DE" w:rsidP="00382A99">
            <w:pPr>
              <w:spacing w:line="259" w:lineRule="auto"/>
              <w:jc w:val="center"/>
              <w:rPr>
                <w:rFonts w:cstheme="minorHAnsi"/>
                <w:b/>
                <w:bCs/>
                <w:shd w:val="clear" w:color="auto" w:fill="FFFFFF"/>
              </w:rPr>
            </w:pPr>
            <w:r w:rsidRPr="00B75DCF">
              <w:rPr>
                <w:rFonts w:cstheme="minorHAnsi"/>
                <w:shd w:val="clear" w:color="auto" w:fill="FFFFFF"/>
              </w:rPr>
              <w:t>0.02%</w:t>
            </w:r>
          </w:p>
        </w:tc>
        <w:tc>
          <w:tcPr>
            <w:tcW w:w="2062" w:type="dxa"/>
          </w:tcPr>
          <w:p w14:paraId="3E730D05" w14:textId="1EED6711" w:rsidR="00303474" w:rsidRPr="00B75DCF" w:rsidRDefault="00E348B9" w:rsidP="00382A99">
            <w:pPr>
              <w:spacing w:line="259" w:lineRule="auto"/>
              <w:rPr>
                <w:rFonts w:cstheme="minorHAnsi"/>
                <w:b/>
                <w:bCs/>
                <w:shd w:val="clear" w:color="auto" w:fill="FFFFFF"/>
              </w:rPr>
            </w:pPr>
            <w:r w:rsidRPr="00B75DCF">
              <w:rPr>
                <w:rFonts w:cstheme="minorHAnsi"/>
                <w:shd w:val="clear" w:color="auto" w:fill="FFFFFF"/>
              </w:rPr>
              <w:t xml:space="preserve">Public Health England </w:t>
            </w:r>
            <w:r>
              <w:rPr>
                <w:rFonts w:cstheme="minorHAnsi"/>
                <w:shd w:val="clear" w:color="auto" w:fill="FFFFFF"/>
              </w:rPr>
              <w:t>[</w:t>
            </w:r>
            <w:r w:rsidRPr="00B75DCF">
              <w:rPr>
                <w:rFonts w:cstheme="minorHAnsi"/>
                <w:shd w:val="clear" w:color="auto" w:fill="FFFFFF"/>
              </w:rPr>
              <w:t>2</w:t>
            </w:r>
            <w:r w:rsidR="00F07CC5">
              <w:rPr>
                <w:rFonts w:cstheme="minorHAnsi"/>
                <w:shd w:val="clear" w:color="auto" w:fill="FFFFFF"/>
              </w:rPr>
              <w:t>3</w:t>
            </w:r>
            <w:r>
              <w:rPr>
                <w:rFonts w:cstheme="minorHAnsi"/>
                <w:shd w:val="clear" w:color="auto" w:fill="FFFFFF"/>
              </w:rPr>
              <w:t>]</w:t>
            </w:r>
            <w:r w:rsidRPr="00B75DCF">
              <w:rPr>
                <w:rFonts w:cstheme="minorHAnsi"/>
                <w:shd w:val="clear" w:color="auto" w:fill="FFFFFF"/>
              </w:rPr>
              <w:t>;</w:t>
            </w:r>
            <w:r w:rsidR="00F07CC5">
              <w:rPr>
                <w:rFonts w:cstheme="minorHAnsi"/>
                <w:shd w:val="clear" w:color="auto" w:fill="FFFFFF"/>
              </w:rPr>
              <w:br/>
            </w:r>
            <w:r w:rsidRPr="00B75DCF">
              <w:rPr>
                <w:rFonts w:cstheme="minorHAnsi"/>
                <w:shd w:val="clear" w:color="auto" w:fill="FFFFFF"/>
              </w:rPr>
              <w:t xml:space="preserve">Hewitt </w:t>
            </w:r>
            <w:r w:rsidRPr="00B75DCF">
              <w:rPr>
                <w:rFonts w:cstheme="minorHAnsi"/>
                <w:iCs/>
                <w:shd w:val="clear" w:color="auto" w:fill="FFFFFF"/>
              </w:rPr>
              <w:t>et al</w:t>
            </w:r>
            <w:r w:rsidRPr="00B75DCF">
              <w:rPr>
                <w:rFonts w:cstheme="minorHAnsi"/>
                <w:shd w:val="clear" w:color="auto" w:fill="FFFFFF"/>
              </w:rPr>
              <w:t xml:space="preserve"> </w:t>
            </w:r>
            <w:r>
              <w:rPr>
                <w:rFonts w:cstheme="minorHAnsi"/>
                <w:shd w:val="clear" w:color="auto" w:fill="FFFFFF"/>
              </w:rPr>
              <w:t>[</w:t>
            </w:r>
            <w:r w:rsidRPr="00B75DCF">
              <w:rPr>
                <w:rFonts w:cstheme="minorHAnsi"/>
                <w:shd w:val="clear" w:color="auto" w:fill="FFFFFF"/>
              </w:rPr>
              <w:t>2</w:t>
            </w:r>
            <w:r w:rsidR="00F07CC5">
              <w:rPr>
                <w:rFonts w:cstheme="minorHAnsi"/>
                <w:shd w:val="clear" w:color="auto" w:fill="FFFFFF"/>
              </w:rPr>
              <w:t>4</w:t>
            </w:r>
            <w:r>
              <w:rPr>
                <w:rFonts w:cstheme="minorHAnsi"/>
                <w:shd w:val="clear" w:color="auto" w:fill="FFFFFF"/>
              </w:rPr>
              <w:t>]</w:t>
            </w:r>
          </w:p>
        </w:tc>
      </w:tr>
      <w:tr w:rsidR="007F67FD" w:rsidRPr="00B75DCF" w14:paraId="4ABE88EC" w14:textId="77777777">
        <w:tc>
          <w:tcPr>
            <w:tcW w:w="2399" w:type="dxa"/>
          </w:tcPr>
          <w:p w14:paraId="206740F2" w14:textId="77777777" w:rsidR="00303474" w:rsidRPr="00B75DCF" w:rsidRDefault="003A34DE" w:rsidP="00382A99">
            <w:pPr>
              <w:spacing w:line="259" w:lineRule="auto"/>
              <w:jc w:val="right"/>
              <w:rPr>
                <w:rFonts w:cstheme="minorHAnsi"/>
                <w:b/>
                <w:bCs/>
                <w:shd w:val="clear" w:color="auto" w:fill="FFFFFF"/>
              </w:rPr>
            </w:pPr>
            <w:r w:rsidRPr="00B75DCF">
              <w:rPr>
                <w:rFonts w:cstheme="minorHAnsi"/>
                <w:shd w:val="clear" w:color="auto" w:fill="FFFFFF"/>
              </w:rPr>
              <w:t xml:space="preserve">Treated AF </w:t>
            </w:r>
            <w:r w:rsidRPr="00B75DCF">
              <w:rPr>
                <w:rFonts w:ascii="Wingdings" w:eastAsia="Wingdings" w:hAnsi="Wingdings" w:cstheme="minorHAnsi"/>
                <w:shd w:val="clear" w:color="auto" w:fill="FFFFFF"/>
              </w:rPr>
              <w:sym w:font="Wingdings" w:char="F0E0"/>
            </w:r>
            <w:r w:rsidRPr="00B75DCF">
              <w:rPr>
                <w:rFonts w:cstheme="minorHAnsi"/>
                <w:shd w:val="clear" w:color="auto" w:fill="FFFFFF"/>
              </w:rPr>
              <w:t xml:space="preserve"> </w:t>
            </w:r>
            <w:r w:rsidRPr="00B75DCF">
              <w:rPr>
                <w:rFonts w:cstheme="minorHAnsi"/>
                <w:shd w:val="clear" w:color="auto" w:fill="FFFFFF"/>
              </w:rPr>
              <w:br/>
              <w:t>Disabling stroke</w:t>
            </w:r>
          </w:p>
        </w:tc>
        <w:tc>
          <w:tcPr>
            <w:tcW w:w="2752" w:type="dxa"/>
          </w:tcPr>
          <w:p w14:paraId="34334C39" w14:textId="77777777" w:rsidR="00303474" w:rsidRPr="00B75DCF" w:rsidRDefault="003A34DE" w:rsidP="00382A99">
            <w:pPr>
              <w:spacing w:line="259" w:lineRule="auto"/>
              <w:jc w:val="center"/>
              <w:rPr>
                <w:rFonts w:cstheme="minorHAnsi"/>
                <w:b/>
                <w:bCs/>
                <w:shd w:val="clear" w:color="auto" w:fill="FFFFFF"/>
              </w:rPr>
            </w:pPr>
            <w:r w:rsidRPr="00B75DCF">
              <w:rPr>
                <w:rFonts w:cstheme="minorHAnsi"/>
                <w:shd w:val="clear" w:color="auto" w:fill="FFFFFF"/>
              </w:rPr>
              <w:t>0.04%</w:t>
            </w:r>
          </w:p>
        </w:tc>
        <w:tc>
          <w:tcPr>
            <w:tcW w:w="1803" w:type="dxa"/>
          </w:tcPr>
          <w:p w14:paraId="2EFFE50C" w14:textId="77777777" w:rsidR="00303474" w:rsidRPr="00B75DCF" w:rsidRDefault="003A34DE" w:rsidP="00382A99">
            <w:pPr>
              <w:spacing w:line="259" w:lineRule="auto"/>
              <w:jc w:val="center"/>
              <w:rPr>
                <w:rFonts w:cstheme="minorHAnsi"/>
                <w:b/>
                <w:bCs/>
                <w:shd w:val="clear" w:color="auto" w:fill="FFFFFF"/>
              </w:rPr>
            </w:pPr>
            <w:r w:rsidRPr="00B75DCF">
              <w:rPr>
                <w:rFonts w:cstheme="minorHAnsi"/>
                <w:shd w:val="clear" w:color="auto" w:fill="FFFFFF"/>
              </w:rPr>
              <w:t>0.04%</w:t>
            </w:r>
          </w:p>
        </w:tc>
        <w:tc>
          <w:tcPr>
            <w:tcW w:w="2062" w:type="dxa"/>
          </w:tcPr>
          <w:p w14:paraId="2A02DBFF" w14:textId="69D6F1EA" w:rsidR="00303474" w:rsidRPr="00B75DCF" w:rsidRDefault="00E348B9" w:rsidP="00382A99">
            <w:pPr>
              <w:spacing w:line="259" w:lineRule="auto"/>
              <w:rPr>
                <w:rFonts w:cstheme="minorHAnsi"/>
                <w:b/>
                <w:bCs/>
                <w:shd w:val="clear" w:color="auto" w:fill="FFFFFF"/>
              </w:rPr>
            </w:pPr>
            <w:proofErr w:type="spellStart"/>
            <w:r w:rsidRPr="00B75DCF">
              <w:rPr>
                <w:rFonts w:cstheme="minorHAnsi"/>
                <w:shd w:val="clear" w:color="auto" w:fill="FFFFFF"/>
              </w:rPr>
              <w:t>Odutayo</w:t>
            </w:r>
            <w:proofErr w:type="spellEnd"/>
            <w:r w:rsidRPr="00B75DCF">
              <w:rPr>
                <w:rFonts w:cstheme="minorHAnsi"/>
                <w:shd w:val="clear" w:color="auto" w:fill="FFFFFF"/>
              </w:rPr>
              <w:t xml:space="preserve"> et al </w:t>
            </w:r>
            <w:r>
              <w:rPr>
                <w:rFonts w:cstheme="minorHAnsi"/>
                <w:shd w:val="clear" w:color="auto" w:fill="FFFFFF"/>
              </w:rPr>
              <w:t>[</w:t>
            </w:r>
            <w:r w:rsidRPr="00B75DCF">
              <w:rPr>
                <w:rFonts w:cstheme="minorHAnsi"/>
                <w:shd w:val="clear" w:color="auto" w:fill="FFFFFF"/>
              </w:rPr>
              <w:t>2</w:t>
            </w:r>
            <w:r w:rsidR="00F07CC5">
              <w:rPr>
                <w:rFonts w:cstheme="minorHAnsi"/>
                <w:shd w:val="clear" w:color="auto" w:fill="FFFFFF"/>
              </w:rPr>
              <w:t>5</w:t>
            </w:r>
            <w:r>
              <w:rPr>
                <w:rFonts w:cstheme="minorHAnsi"/>
                <w:shd w:val="clear" w:color="auto" w:fill="FFFFFF"/>
              </w:rPr>
              <w:t>]</w:t>
            </w:r>
          </w:p>
        </w:tc>
      </w:tr>
      <w:tr w:rsidR="007F67FD" w:rsidRPr="00B75DCF" w14:paraId="76785492" w14:textId="77777777">
        <w:tc>
          <w:tcPr>
            <w:tcW w:w="9016" w:type="dxa"/>
            <w:gridSpan w:val="4"/>
          </w:tcPr>
          <w:p w14:paraId="0A97A3EC" w14:textId="77777777" w:rsidR="00303474" w:rsidRPr="00B75DCF" w:rsidRDefault="003A34DE" w:rsidP="00382A99">
            <w:pPr>
              <w:spacing w:line="259" w:lineRule="auto"/>
              <w:rPr>
                <w:rFonts w:cstheme="minorHAnsi"/>
                <w:b/>
                <w:bCs/>
                <w:shd w:val="clear" w:color="auto" w:fill="FFFFFF"/>
              </w:rPr>
            </w:pPr>
            <w:r w:rsidRPr="00B75DCF">
              <w:rPr>
                <w:rFonts w:cstheme="minorHAnsi"/>
                <w:b/>
                <w:bCs/>
                <w:shd w:val="clear" w:color="auto" w:fill="FFFFFF"/>
              </w:rPr>
              <w:t>Monthly health states transition probabilities after 5 years and beyond</w:t>
            </w:r>
          </w:p>
        </w:tc>
      </w:tr>
      <w:tr w:rsidR="007F67FD" w:rsidRPr="00B75DCF" w14:paraId="596122F2" w14:textId="77777777">
        <w:tc>
          <w:tcPr>
            <w:tcW w:w="2399" w:type="dxa"/>
          </w:tcPr>
          <w:p w14:paraId="01515BF4" w14:textId="77777777" w:rsidR="00303474" w:rsidRPr="00B75DCF" w:rsidRDefault="003A34DE" w:rsidP="00382A99">
            <w:pPr>
              <w:spacing w:line="259" w:lineRule="auto"/>
              <w:jc w:val="right"/>
              <w:rPr>
                <w:rFonts w:cstheme="minorHAnsi"/>
                <w:b/>
                <w:bCs/>
                <w:shd w:val="clear" w:color="auto" w:fill="FFFFFF"/>
              </w:rPr>
            </w:pPr>
            <w:r w:rsidRPr="00B75DCF">
              <w:rPr>
                <w:rFonts w:cstheme="minorHAnsi"/>
                <w:shd w:val="clear" w:color="auto" w:fill="FFFFFF"/>
              </w:rPr>
              <w:t xml:space="preserve">Alive and well </w:t>
            </w:r>
            <w:r w:rsidRPr="00B75DCF">
              <w:rPr>
                <w:rFonts w:ascii="Wingdings" w:eastAsia="Wingdings" w:hAnsi="Wingdings" w:cstheme="minorHAnsi"/>
                <w:shd w:val="clear" w:color="auto" w:fill="FFFFFF"/>
              </w:rPr>
              <w:sym w:font="Wingdings" w:char="F0E0"/>
            </w:r>
            <w:r w:rsidRPr="00B75DCF">
              <w:rPr>
                <w:rFonts w:cstheme="minorHAnsi"/>
                <w:shd w:val="clear" w:color="auto" w:fill="FFFFFF"/>
              </w:rPr>
              <w:t xml:space="preserve"> </w:t>
            </w:r>
            <w:r w:rsidRPr="00B75DCF">
              <w:rPr>
                <w:rFonts w:cstheme="minorHAnsi"/>
                <w:shd w:val="clear" w:color="auto" w:fill="FFFFFF"/>
              </w:rPr>
              <w:br/>
              <w:t>Treated AF</w:t>
            </w:r>
          </w:p>
        </w:tc>
        <w:tc>
          <w:tcPr>
            <w:tcW w:w="2752" w:type="dxa"/>
          </w:tcPr>
          <w:p w14:paraId="29415D4F" w14:textId="77777777" w:rsidR="00303474" w:rsidRPr="00B75DCF" w:rsidRDefault="003A34DE" w:rsidP="00382A99">
            <w:pPr>
              <w:spacing w:line="259" w:lineRule="auto"/>
              <w:jc w:val="center"/>
              <w:rPr>
                <w:rFonts w:cstheme="minorHAnsi"/>
                <w:b/>
                <w:bCs/>
                <w:shd w:val="clear" w:color="auto" w:fill="FFFFFF"/>
              </w:rPr>
            </w:pPr>
            <w:r w:rsidRPr="00B75DCF">
              <w:rPr>
                <w:rFonts w:cstheme="minorHAnsi"/>
                <w:shd w:val="clear" w:color="auto" w:fill="FFFFFF"/>
              </w:rPr>
              <w:t>0.16%</w:t>
            </w:r>
          </w:p>
        </w:tc>
        <w:tc>
          <w:tcPr>
            <w:tcW w:w="1803" w:type="dxa"/>
          </w:tcPr>
          <w:p w14:paraId="4BA565FC" w14:textId="77777777" w:rsidR="00303474" w:rsidRPr="00B75DCF" w:rsidRDefault="003A34DE" w:rsidP="00382A99">
            <w:pPr>
              <w:spacing w:line="259" w:lineRule="auto"/>
              <w:jc w:val="center"/>
              <w:rPr>
                <w:rFonts w:cstheme="minorHAnsi"/>
                <w:b/>
                <w:bCs/>
                <w:shd w:val="clear" w:color="auto" w:fill="FFFFFF"/>
              </w:rPr>
            </w:pPr>
            <w:r w:rsidRPr="00B75DCF">
              <w:rPr>
                <w:rFonts w:cstheme="minorHAnsi"/>
                <w:shd w:val="clear" w:color="auto" w:fill="FFFFFF"/>
              </w:rPr>
              <w:t>0.024%</w:t>
            </w:r>
          </w:p>
        </w:tc>
        <w:tc>
          <w:tcPr>
            <w:tcW w:w="2062" w:type="dxa"/>
          </w:tcPr>
          <w:p w14:paraId="23464210" w14:textId="5073C19E" w:rsidR="00303474" w:rsidRPr="00B75DCF" w:rsidRDefault="003A34DE" w:rsidP="00382A99">
            <w:pPr>
              <w:spacing w:line="259" w:lineRule="auto"/>
              <w:rPr>
                <w:rFonts w:cstheme="minorHAnsi"/>
                <w:b/>
                <w:bCs/>
                <w:shd w:val="clear" w:color="auto" w:fill="FFFFFF"/>
              </w:rPr>
            </w:pPr>
            <w:r w:rsidRPr="00B75DCF">
              <w:rPr>
                <w:rFonts w:cstheme="minorHAnsi"/>
                <w:shd w:val="clear" w:color="auto" w:fill="FFFFFF"/>
              </w:rPr>
              <w:t>PARTNER 3 trial 5-year outcomes</w:t>
            </w:r>
            <w:r w:rsidR="00F07CC5">
              <w:rPr>
                <w:rFonts w:cstheme="minorHAnsi"/>
                <w:shd w:val="clear" w:color="auto" w:fill="FFFFFF"/>
              </w:rPr>
              <w:t xml:space="preserve"> [21]</w:t>
            </w:r>
          </w:p>
        </w:tc>
      </w:tr>
      <w:tr w:rsidR="007F67FD" w:rsidRPr="00B75DCF" w14:paraId="44BA9BE4" w14:textId="77777777">
        <w:tc>
          <w:tcPr>
            <w:tcW w:w="2399" w:type="dxa"/>
          </w:tcPr>
          <w:p w14:paraId="7E869486" w14:textId="77777777" w:rsidR="00303474" w:rsidRPr="00B75DCF" w:rsidRDefault="003A34DE" w:rsidP="00382A99">
            <w:pPr>
              <w:spacing w:line="259" w:lineRule="auto"/>
              <w:jc w:val="right"/>
              <w:rPr>
                <w:rFonts w:cstheme="minorHAnsi"/>
                <w:b/>
                <w:bCs/>
                <w:shd w:val="clear" w:color="auto" w:fill="FFFFFF"/>
              </w:rPr>
            </w:pPr>
            <w:r w:rsidRPr="00B75DCF">
              <w:rPr>
                <w:rFonts w:cstheme="minorHAnsi"/>
                <w:shd w:val="clear" w:color="auto" w:fill="FFFFFF"/>
              </w:rPr>
              <w:t xml:space="preserve">Alive and well </w:t>
            </w:r>
            <w:r w:rsidRPr="00B75DCF">
              <w:rPr>
                <w:rFonts w:ascii="Wingdings" w:eastAsia="Wingdings" w:hAnsi="Wingdings" w:cstheme="minorHAnsi"/>
                <w:shd w:val="clear" w:color="auto" w:fill="FFFFFF"/>
              </w:rPr>
              <w:sym w:font="Wingdings" w:char="F0E0"/>
            </w:r>
            <w:r w:rsidRPr="00B75DCF">
              <w:rPr>
                <w:rFonts w:cstheme="minorHAnsi"/>
                <w:shd w:val="clear" w:color="auto" w:fill="FFFFFF"/>
              </w:rPr>
              <w:t xml:space="preserve"> </w:t>
            </w:r>
            <w:r w:rsidRPr="00B75DCF">
              <w:rPr>
                <w:rFonts w:cstheme="minorHAnsi"/>
                <w:shd w:val="clear" w:color="auto" w:fill="FFFFFF"/>
              </w:rPr>
              <w:br/>
              <w:t>Disabling stroke</w:t>
            </w:r>
          </w:p>
        </w:tc>
        <w:tc>
          <w:tcPr>
            <w:tcW w:w="2752" w:type="dxa"/>
          </w:tcPr>
          <w:p w14:paraId="0BFCC721" w14:textId="77777777" w:rsidR="00303474" w:rsidRPr="00B75DCF" w:rsidRDefault="003A34DE" w:rsidP="00382A99">
            <w:pPr>
              <w:spacing w:line="259" w:lineRule="auto"/>
              <w:jc w:val="center"/>
              <w:rPr>
                <w:rFonts w:cstheme="minorHAnsi"/>
                <w:b/>
                <w:bCs/>
                <w:shd w:val="clear" w:color="auto" w:fill="FFFFFF"/>
              </w:rPr>
            </w:pPr>
            <w:r w:rsidRPr="00B75DCF">
              <w:rPr>
                <w:rFonts w:cstheme="minorHAnsi"/>
                <w:shd w:val="clear" w:color="auto" w:fill="FFFFFF"/>
              </w:rPr>
              <w:t>0.02%</w:t>
            </w:r>
          </w:p>
        </w:tc>
        <w:tc>
          <w:tcPr>
            <w:tcW w:w="1803" w:type="dxa"/>
          </w:tcPr>
          <w:p w14:paraId="7B6FE692" w14:textId="77777777" w:rsidR="00303474" w:rsidRPr="00B75DCF" w:rsidRDefault="003A34DE" w:rsidP="00382A99">
            <w:pPr>
              <w:spacing w:line="259" w:lineRule="auto"/>
              <w:jc w:val="center"/>
              <w:rPr>
                <w:rFonts w:cstheme="minorHAnsi"/>
                <w:b/>
                <w:bCs/>
                <w:shd w:val="clear" w:color="auto" w:fill="FFFFFF"/>
              </w:rPr>
            </w:pPr>
            <w:r w:rsidRPr="00B75DCF">
              <w:rPr>
                <w:rFonts w:cstheme="minorHAnsi"/>
                <w:shd w:val="clear" w:color="auto" w:fill="FFFFFF"/>
              </w:rPr>
              <w:t>0.02%</w:t>
            </w:r>
          </w:p>
        </w:tc>
        <w:tc>
          <w:tcPr>
            <w:tcW w:w="2062" w:type="dxa"/>
          </w:tcPr>
          <w:p w14:paraId="0EED67FA" w14:textId="7D5E6E97" w:rsidR="00303474" w:rsidRPr="00B75DCF" w:rsidRDefault="003D0369" w:rsidP="00382A99">
            <w:pPr>
              <w:spacing w:line="259" w:lineRule="auto"/>
              <w:rPr>
                <w:rFonts w:cstheme="minorHAnsi"/>
                <w:b/>
                <w:bCs/>
                <w:shd w:val="clear" w:color="auto" w:fill="FFFFFF"/>
              </w:rPr>
            </w:pPr>
            <w:r w:rsidRPr="00B75DCF">
              <w:rPr>
                <w:rFonts w:cstheme="minorHAnsi"/>
                <w:shd w:val="clear" w:color="auto" w:fill="FFFFFF"/>
              </w:rPr>
              <w:t xml:space="preserve">Public Health England </w:t>
            </w:r>
            <w:r>
              <w:rPr>
                <w:rFonts w:cstheme="minorHAnsi"/>
                <w:shd w:val="clear" w:color="auto" w:fill="FFFFFF"/>
              </w:rPr>
              <w:t>[</w:t>
            </w:r>
            <w:r w:rsidRPr="00B75DCF">
              <w:rPr>
                <w:rFonts w:cstheme="minorHAnsi"/>
                <w:shd w:val="clear" w:color="auto" w:fill="FFFFFF"/>
              </w:rPr>
              <w:t>2</w:t>
            </w:r>
            <w:r w:rsidR="00F07CC5">
              <w:rPr>
                <w:rFonts w:cstheme="minorHAnsi"/>
                <w:shd w:val="clear" w:color="auto" w:fill="FFFFFF"/>
              </w:rPr>
              <w:t>3</w:t>
            </w:r>
            <w:r>
              <w:rPr>
                <w:rFonts w:cstheme="minorHAnsi"/>
                <w:shd w:val="clear" w:color="auto" w:fill="FFFFFF"/>
              </w:rPr>
              <w:t>]</w:t>
            </w:r>
            <w:r w:rsidRPr="00B75DCF">
              <w:rPr>
                <w:rFonts w:cstheme="minorHAnsi"/>
                <w:shd w:val="clear" w:color="auto" w:fill="FFFFFF"/>
              </w:rPr>
              <w:t>;</w:t>
            </w:r>
            <w:r w:rsidR="00F07CC5">
              <w:rPr>
                <w:rFonts w:cstheme="minorHAnsi"/>
                <w:shd w:val="clear" w:color="auto" w:fill="FFFFFF"/>
              </w:rPr>
              <w:br/>
            </w:r>
            <w:r w:rsidRPr="00B75DCF">
              <w:rPr>
                <w:rFonts w:cstheme="minorHAnsi"/>
                <w:shd w:val="clear" w:color="auto" w:fill="FFFFFF"/>
              </w:rPr>
              <w:t xml:space="preserve">Hewitt </w:t>
            </w:r>
            <w:r w:rsidRPr="00B75DCF">
              <w:rPr>
                <w:rFonts w:cstheme="minorHAnsi"/>
                <w:iCs/>
                <w:shd w:val="clear" w:color="auto" w:fill="FFFFFF"/>
              </w:rPr>
              <w:t>et al</w:t>
            </w:r>
            <w:r w:rsidRPr="00B75DCF">
              <w:rPr>
                <w:rFonts w:cstheme="minorHAnsi"/>
                <w:shd w:val="clear" w:color="auto" w:fill="FFFFFF"/>
              </w:rPr>
              <w:t xml:space="preserve"> </w:t>
            </w:r>
            <w:r>
              <w:rPr>
                <w:rFonts w:cstheme="minorHAnsi"/>
                <w:shd w:val="clear" w:color="auto" w:fill="FFFFFF"/>
              </w:rPr>
              <w:t>[</w:t>
            </w:r>
            <w:r w:rsidRPr="00B75DCF">
              <w:rPr>
                <w:rFonts w:cstheme="minorHAnsi"/>
                <w:shd w:val="clear" w:color="auto" w:fill="FFFFFF"/>
              </w:rPr>
              <w:t>2</w:t>
            </w:r>
            <w:r w:rsidR="00F07CC5">
              <w:rPr>
                <w:rFonts w:cstheme="minorHAnsi"/>
                <w:shd w:val="clear" w:color="auto" w:fill="FFFFFF"/>
              </w:rPr>
              <w:t>4</w:t>
            </w:r>
            <w:r>
              <w:rPr>
                <w:rFonts w:cstheme="minorHAnsi"/>
                <w:shd w:val="clear" w:color="auto" w:fill="FFFFFF"/>
              </w:rPr>
              <w:t>]</w:t>
            </w:r>
          </w:p>
        </w:tc>
      </w:tr>
      <w:tr w:rsidR="007F67FD" w:rsidRPr="00B75DCF" w14:paraId="2C8AFC22" w14:textId="77777777">
        <w:tc>
          <w:tcPr>
            <w:tcW w:w="2399" w:type="dxa"/>
          </w:tcPr>
          <w:p w14:paraId="45FB4AE7" w14:textId="77777777" w:rsidR="00303474" w:rsidRPr="00B75DCF" w:rsidRDefault="003A34DE" w:rsidP="00382A99">
            <w:pPr>
              <w:spacing w:line="259" w:lineRule="auto"/>
              <w:jc w:val="right"/>
              <w:rPr>
                <w:rFonts w:cstheme="minorHAnsi"/>
                <w:b/>
                <w:bCs/>
                <w:shd w:val="clear" w:color="auto" w:fill="FFFFFF"/>
              </w:rPr>
            </w:pPr>
            <w:r w:rsidRPr="00B75DCF">
              <w:rPr>
                <w:rFonts w:cstheme="minorHAnsi"/>
                <w:shd w:val="clear" w:color="auto" w:fill="FFFFFF"/>
              </w:rPr>
              <w:lastRenderedPageBreak/>
              <w:t xml:space="preserve">Treated AF </w:t>
            </w:r>
            <w:r w:rsidRPr="00B75DCF">
              <w:rPr>
                <w:rFonts w:ascii="Wingdings" w:eastAsia="Wingdings" w:hAnsi="Wingdings" w:cstheme="minorHAnsi"/>
                <w:shd w:val="clear" w:color="auto" w:fill="FFFFFF"/>
              </w:rPr>
              <w:sym w:font="Wingdings" w:char="F0E0"/>
            </w:r>
            <w:r w:rsidRPr="00B75DCF">
              <w:rPr>
                <w:rFonts w:cstheme="minorHAnsi"/>
                <w:shd w:val="clear" w:color="auto" w:fill="FFFFFF"/>
              </w:rPr>
              <w:t xml:space="preserve"> </w:t>
            </w:r>
            <w:r w:rsidRPr="00B75DCF">
              <w:rPr>
                <w:rFonts w:cstheme="minorHAnsi"/>
                <w:shd w:val="clear" w:color="auto" w:fill="FFFFFF"/>
              </w:rPr>
              <w:br/>
              <w:t>Disabling stroke</w:t>
            </w:r>
          </w:p>
        </w:tc>
        <w:tc>
          <w:tcPr>
            <w:tcW w:w="2752" w:type="dxa"/>
          </w:tcPr>
          <w:p w14:paraId="547547EC" w14:textId="77777777" w:rsidR="00303474" w:rsidRPr="00B75DCF" w:rsidRDefault="003A34DE" w:rsidP="00382A99">
            <w:pPr>
              <w:spacing w:line="259" w:lineRule="auto"/>
              <w:jc w:val="center"/>
              <w:rPr>
                <w:rFonts w:cstheme="minorHAnsi"/>
                <w:b/>
                <w:bCs/>
                <w:shd w:val="clear" w:color="auto" w:fill="FFFFFF"/>
              </w:rPr>
            </w:pPr>
            <w:r w:rsidRPr="00B75DCF">
              <w:rPr>
                <w:rFonts w:cstheme="minorHAnsi"/>
                <w:shd w:val="clear" w:color="auto" w:fill="FFFFFF"/>
              </w:rPr>
              <w:t>0.04%</w:t>
            </w:r>
          </w:p>
        </w:tc>
        <w:tc>
          <w:tcPr>
            <w:tcW w:w="1803" w:type="dxa"/>
          </w:tcPr>
          <w:p w14:paraId="325517EE" w14:textId="77777777" w:rsidR="00303474" w:rsidRPr="00B75DCF" w:rsidRDefault="003A34DE" w:rsidP="00382A99">
            <w:pPr>
              <w:spacing w:line="259" w:lineRule="auto"/>
              <w:jc w:val="center"/>
              <w:rPr>
                <w:rFonts w:cstheme="minorHAnsi"/>
                <w:b/>
                <w:bCs/>
                <w:shd w:val="clear" w:color="auto" w:fill="FFFFFF"/>
              </w:rPr>
            </w:pPr>
            <w:r w:rsidRPr="00B75DCF">
              <w:rPr>
                <w:rFonts w:cstheme="minorHAnsi"/>
                <w:shd w:val="clear" w:color="auto" w:fill="FFFFFF"/>
              </w:rPr>
              <w:t>0.04%</w:t>
            </w:r>
          </w:p>
        </w:tc>
        <w:tc>
          <w:tcPr>
            <w:tcW w:w="2062" w:type="dxa"/>
          </w:tcPr>
          <w:p w14:paraId="0583CE38" w14:textId="7E03FD28" w:rsidR="00303474" w:rsidRPr="00B75DCF" w:rsidRDefault="003A34DE" w:rsidP="00382A99">
            <w:pPr>
              <w:spacing w:line="259" w:lineRule="auto"/>
              <w:rPr>
                <w:rFonts w:cstheme="minorHAnsi"/>
                <w:b/>
                <w:bCs/>
                <w:shd w:val="clear" w:color="auto" w:fill="FFFFFF"/>
              </w:rPr>
            </w:pPr>
            <w:proofErr w:type="spellStart"/>
            <w:r w:rsidRPr="00B75DCF">
              <w:rPr>
                <w:rFonts w:cstheme="minorHAnsi"/>
                <w:shd w:val="clear" w:color="auto" w:fill="FFFFFF"/>
              </w:rPr>
              <w:t>Odutayo</w:t>
            </w:r>
            <w:proofErr w:type="spellEnd"/>
            <w:r w:rsidRPr="00B75DCF">
              <w:rPr>
                <w:rFonts w:cstheme="minorHAnsi"/>
                <w:shd w:val="clear" w:color="auto" w:fill="FFFFFF"/>
              </w:rPr>
              <w:t xml:space="preserve"> et al </w:t>
            </w:r>
            <w:r w:rsidR="003D0369">
              <w:rPr>
                <w:rFonts w:cstheme="minorHAnsi"/>
                <w:shd w:val="clear" w:color="auto" w:fill="FFFFFF"/>
              </w:rPr>
              <w:t>[</w:t>
            </w:r>
            <w:r w:rsidRPr="00B75DCF">
              <w:rPr>
                <w:rFonts w:cstheme="minorHAnsi"/>
                <w:shd w:val="clear" w:color="auto" w:fill="FFFFFF"/>
              </w:rPr>
              <w:t>2</w:t>
            </w:r>
            <w:r w:rsidR="00F07CC5">
              <w:rPr>
                <w:rFonts w:cstheme="minorHAnsi"/>
                <w:shd w:val="clear" w:color="auto" w:fill="FFFFFF"/>
              </w:rPr>
              <w:t>5</w:t>
            </w:r>
            <w:r w:rsidR="003D0369">
              <w:rPr>
                <w:rFonts w:cstheme="minorHAnsi"/>
                <w:shd w:val="clear" w:color="auto" w:fill="FFFFFF"/>
              </w:rPr>
              <w:t>]</w:t>
            </w:r>
          </w:p>
        </w:tc>
      </w:tr>
      <w:tr w:rsidR="007F67FD" w:rsidRPr="00B75DCF" w14:paraId="30B451E0" w14:textId="77777777">
        <w:tc>
          <w:tcPr>
            <w:tcW w:w="9016" w:type="dxa"/>
            <w:gridSpan w:val="4"/>
          </w:tcPr>
          <w:p w14:paraId="6AF76A42" w14:textId="77777777" w:rsidR="00303474" w:rsidRPr="00B75DCF" w:rsidRDefault="003A34DE" w:rsidP="00382A99">
            <w:pPr>
              <w:spacing w:line="259" w:lineRule="auto"/>
              <w:rPr>
                <w:rFonts w:cstheme="minorHAnsi"/>
                <w:b/>
                <w:bCs/>
                <w:shd w:val="clear" w:color="auto" w:fill="FFFFFF"/>
              </w:rPr>
            </w:pPr>
            <w:r w:rsidRPr="00B75DCF">
              <w:rPr>
                <w:rFonts w:cstheme="minorHAnsi"/>
                <w:b/>
                <w:bCs/>
                <w:shd w:val="clear" w:color="auto" w:fill="FFFFFF"/>
              </w:rPr>
              <w:t xml:space="preserve">Events beyond 30 days </w:t>
            </w:r>
          </w:p>
        </w:tc>
      </w:tr>
      <w:tr w:rsidR="007F67FD" w:rsidRPr="00B75DCF" w14:paraId="6C6B81F1" w14:textId="77777777">
        <w:tc>
          <w:tcPr>
            <w:tcW w:w="2399" w:type="dxa"/>
          </w:tcPr>
          <w:p w14:paraId="10B5C76F" w14:textId="77777777" w:rsidR="00303474" w:rsidRPr="00B75DCF" w:rsidRDefault="003A34DE" w:rsidP="00382A99">
            <w:pPr>
              <w:spacing w:line="259" w:lineRule="auto"/>
              <w:jc w:val="right"/>
              <w:rPr>
                <w:rFonts w:cstheme="minorHAnsi"/>
                <w:shd w:val="clear" w:color="auto" w:fill="FFFFFF"/>
              </w:rPr>
            </w:pPr>
            <w:r w:rsidRPr="00B75DCF">
              <w:rPr>
                <w:rFonts w:cstheme="minorHAnsi"/>
                <w:shd w:val="clear" w:color="auto" w:fill="FFFFFF"/>
              </w:rPr>
              <w:t>Rehospitalization at 1y (converted to monthly rates in calculations)</w:t>
            </w:r>
          </w:p>
        </w:tc>
        <w:tc>
          <w:tcPr>
            <w:tcW w:w="2752" w:type="dxa"/>
          </w:tcPr>
          <w:p w14:paraId="28B0A4A0"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4.3%</w:t>
            </w:r>
          </w:p>
        </w:tc>
        <w:tc>
          <w:tcPr>
            <w:tcW w:w="1803" w:type="dxa"/>
          </w:tcPr>
          <w:p w14:paraId="1BA8438D"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5.1%</w:t>
            </w:r>
          </w:p>
        </w:tc>
        <w:tc>
          <w:tcPr>
            <w:tcW w:w="2062" w:type="dxa"/>
          </w:tcPr>
          <w:p w14:paraId="21343F42" w14:textId="65E7E8E9" w:rsidR="00303474" w:rsidRPr="00B75DCF" w:rsidRDefault="003A34DE" w:rsidP="00382A99">
            <w:pPr>
              <w:spacing w:line="259" w:lineRule="auto"/>
              <w:rPr>
                <w:rFonts w:cstheme="minorHAnsi"/>
                <w:shd w:val="clear" w:color="auto" w:fill="FFFFFF"/>
              </w:rPr>
            </w:pPr>
            <w:r w:rsidRPr="00B75DCF">
              <w:rPr>
                <w:rFonts w:cstheme="minorHAnsi"/>
                <w:shd w:val="clear" w:color="auto" w:fill="FFFFFF"/>
              </w:rPr>
              <w:t>PARTNER 3 trial</w:t>
            </w:r>
            <w:r w:rsidR="00F07CC5">
              <w:rPr>
                <w:rFonts w:cstheme="minorHAnsi"/>
                <w:shd w:val="clear" w:color="auto" w:fill="FFFFFF"/>
              </w:rPr>
              <w:t xml:space="preserve"> [</w:t>
            </w:r>
            <w:r w:rsidR="00F07CC5" w:rsidRPr="00F07CC5">
              <w:rPr>
                <w:rFonts w:cstheme="minorHAnsi"/>
                <w:shd w:val="clear" w:color="auto" w:fill="FFFFFF"/>
              </w:rPr>
              <w:t>19</w:t>
            </w:r>
            <w:r w:rsidR="00F07CC5">
              <w:rPr>
                <w:rFonts w:cstheme="minorHAnsi"/>
                <w:shd w:val="clear" w:color="auto" w:fill="FFFFFF"/>
              </w:rPr>
              <w:t>]</w:t>
            </w:r>
          </w:p>
        </w:tc>
      </w:tr>
      <w:tr w:rsidR="007F67FD" w:rsidRPr="00B75DCF" w14:paraId="1672AF57" w14:textId="77777777">
        <w:tc>
          <w:tcPr>
            <w:tcW w:w="2399" w:type="dxa"/>
          </w:tcPr>
          <w:p w14:paraId="7364F8E1" w14:textId="77777777" w:rsidR="00303474" w:rsidRPr="00B75DCF" w:rsidRDefault="003A34DE" w:rsidP="00382A99">
            <w:pPr>
              <w:spacing w:line="259" w:lineRule="auto"/>
              <w:jc w:val="right"/>
              <w:rPr>
                <w:rFonts w:cstheme="minorHAnsi"/>
                <w:shd w:val="clear" w:color="auto" w:fill="FFFFFF"/>
              </w:rPr>
            </w:pPr>
            <w:r w:rsidRPr="00B75DCF">
              <w:rPr>
                <w:rFonts w:cstheme="minorHAnsi"/>
                <w:shd w:val="clear" w:color="auto" w:fill="FFFFFF"/>
              </w:rPr>
              <w:t>Rehospitalization at 2y (converted to monthly rates in calculations)</w:t>
            </w:r>
          </w:p>
        </w:tc>
        <w:tc>
          <w:tcPr>
            <w:tcW w:w="2752" w:type="dxa"/>
          </w:tcPr>
          <w:p w14:paraId="03ACB32C"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1.3%</w:t>
            </w:r>
          </w:p>
        </w:tc>
        <w:tc>
          <w:tcPr>
            <w:tcW w:w="1803" w:type="dxa"/>
          </w:tcPr>
          <w:p w14:paraId="136253F6"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1.2%</w:t>
            </w:r>
          </w:p>
        </w:tc>
        <w:tc>
          <w:tcPr>
            <w:tcW w:w="2062" w:type="dxa"/>
          </w:tcPr>
          <w:p w14:paraId="3E3BC7F4" w14:textId="585B9EBA" w:rsidR="00303474" w:rsidRPr="00B75DCF" w:rsidRDefault="003A34DE" w:rsidP="00382A99">
            <w:pPr>
              <w:spacing w:line="259" w:lineRule="auto"/>
              <w:rPr>
                <w:rFonts w:cstheme="minorHAnsi"/>
                <w:shd w:val="clear" w:color="auto" w:fill="FFFFFF"/>
              </w:rPr>
            </w:pPr>
            <w:r w:rsidRPr="00B75DCF">
              <w:rPr>
                <w:rFonts w:cstheme="minorHAnsi"/>
                <w:shd w:val="clear" w:color="auto" w:fill="FFFFFF"/>
              </w:rPr>
              <w:t>PARTNER 3 trial 2-year outcomes</w:t>
            </w:r>
            <w:r w:rsidR="00F07CC5">
              <w:rPr>
                <w:rFonts w:cstheme="minorHAnsi"/>
                <w:shd w:val="clear" w:color="auto" w:fill="FFFFFF"/>
              </w:rPr>
              <w:t xml:space="preserve"> [20]</w:t>
            </w:r>
          </w:p>
        </w:tc>
      </w:tr>
      <w:tr w:rsidR="007F67FD" w:rsidRPr="00B75DCF" w14:paraId="46ACDD8C" w14:textId="77777777">
        <w:tc>
          <w:tcPr>
            <w:tcW w:w="2399" w:type="dxa"/>
          </w:tcPr>
          <w:p w14:paraId="48BD4BF6" w14:textId="77777777" w:rsidR="00303474" w:rsidRPr="00B75DCF" w:rsidRDefault="003A34DE" w:rsidP="00382A99">
            <w:pPr>
              <w:spacing w:line="259" w:lineRule="auto"/>
              <w:jc w:val="right"/>
              <w:rPr>
                <w:rFonts w:cstheme="minorHAnsi"/>
                <w:shd w:val="clear" w:color="auto" w:fill="FFFFFF"/>
              </w:rPr>
            </w:pPr>
            <w:r w:rsidRPr="00B75DCF">
              <w:rPr>
                <w:rFonts w:cstheme="minorHAnsi"/>
                <w:shd w:val="clear" w:color="auto" w:fill="FFFFFF"/>
              </w:rPr>
              <w:t>Rehospitalization at 5y and beyond (converted to monthly rates in calculations)</w:t>
            </w:r>
          </w:p>
        </w:tc>
        <w:tc>
          <w:tcPr>
            <w:tcW w:w="2752" w:type="dxa"/>
          </w:tcPr>
          <w:p w14:paraId="2117EE6A"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1.7%</w:t>
            </w:r>
          </w:p>
        </w:tc>
        <w:tc>
          <w:tcPr>
            <w:tcW w:w="1803" w:type="dxa"/>
          </w:tcPr>
          <w:p w14:paraId="2E222E61"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1.6%</w:t>
            </w:r>
          </w:p>
        </w:tc>
        <w:tc>
          <w:tcPr>
            <w:tcW w:w="2062" w:type="dxa"/>
          </w:tcPr>
          <w:p w14:paraId="7059F8DB" w14:textId="354FA058" w:rsidR="00303474" w:rsidRPr="00B75DCF" w:rsidRDefault="003A34DE" w:rsidP="00382A99">
            <w:pPr>
              <w:spacing w:line="259" w:lineRule="auto"/>
              <w:rPr>
                <w:rFonts w:cstheme="minorHAnsi"/>
                <w:shd w:val="clear" w:color="auto" w:fill="FFFFFF"/>
              </w:rPr>
            </w:pPr>
            <w:r w:rsidRPr="00B75DCF">
              <w:rPr>
                <w:rFonts w:cstheme="minorHAnsi"/>
                <w:shd w:val="clear" w:color="auto" w:fill="FFFFFF"/>
              </w:rPr>
              <w:t>PARTNER 3 trial 5-year outcomes</w:t>
            </w:r>
            <w:r w:rsidR="00F07CC5">
              <w:rPr>
                <w:rFonts w:cstheme="minorHAnsi"/>
                <w:shd w:val="clear" w:color="auto" w:fill="FFFFFF"/>
              </w:rPr>
              <w:t xml:space="preserve"> [21]</w:t>
            </w:r>
            <w:r w:rsidR="00E62D21" w:rsidRPr="00B75DCF">
              <w:rPr>
                <w:rFonts w:cstheme="minorHAnsi"/>
                <w:shd w:val="clear" w:color="auto" w:fill="FFFFFF"/>
              </w:rPr>
              <w:t xml:space="preserve"> </w:t>
            </w:r>
          </w:p>
        </w:tc>
      </w:tr>
      <w:tr w:rsidR="007F67FD" w:rsidRPr="00B75DCF" w14:paraId="7CD4A1CC" w14:textId="77777777">
        <w:tc>
          <w:tcPr>
            <w:tcW w:w="9016" w:type="dxa"/>
            <w:gridSpan w:val="4"/>
          </w:tcPr>
          <w:p w14:paraId="70BC2497" w14:textId="77777777" w:rsidR="00303474" w:rsidRPr="00B75DCF" w:rsidRDefault="003A34DE" w:rsidP="00382A99">
            <w:pPr>
              <w:spacing w:line="259" w:lineRule="auto"/>
              <w:rPr>
                <w:rFonts w:cstheme="minorHAnsi"/>
                <w:shd w:val="clear" w:color="auto" w:fill="FFFFFF"/>
              </w:rPr>
            </w:pPr>
            <w:r w:rsidRPr="00B75DCF">
              <w:rPr>
                <w:rFonts w:cstheme="minorHAnsi"/>
                <w:b/>
                <w:bCs/>
                <w:shd w:val="clear" w:color="auto" w:fill="FFFFFF"/>
              </w:rPr>
              <w:t>Aortic reintervention</w:t>
            </w:r>
            <w:r w:rsidRPr="00B75DCF">
              <w:rPr>
                <w:rFonts w:cstheme="minorHAnsi"/>
                <w:shd w:val="clear" w:color="auto" w:fill="FFFFFF"/>
              </w:rPr>
              <w:t xml:space="preserve"> (converted to monthly rates in calculations)</w:t>
            </w:r>
          </w:p>
        </w:tc>
      </w:tr>
      <w:tr w:rsidR="007F67FD" w:rsidRPr="00B75DCF" w14:paraId="3C1B3C25" w14:textId="77777777">
        <w:tc>
          <w:tcPr>
            <w:tcW w:w="2399" w:type="dxa"/>
          </w:tcPr>
          <w:p w14:paraId="04501383" w14:textId="77777777" w:rsidR="00303474" w:rsidRPr="00B75DCF" w:rsidRDefault="003A34DE" w:rsidP="00382A99">
            <w:pPr>
              <w:spacing w:line="259" w:lineRule="auto"/>
              <w:jc w:val="right"/>
              <w:rPr>
                <w:rFonts w:cstheme="minorHAnsi"/>
                <w:shd w:val="clear" w:color="auto" w:fill="FFFFFF"/>
              </w:rPr>
            </w:pPr>
            <w:r w:rsidRPr="00B75DCF">
              <w:rPr>
                <w:rFonts w:cstheme="minorHAnsi"/>
                <w:shd w:val="clear" w:color="auto" w:fill="FFFFFF"/>
              </w:rPr>
              <w:t>From Year 1 to Year 23 onwards</w:t>
            </w:r>
          </w:p>
        </w:tc>
        <w:tc>
          <w:tcPr>
            <w:tcW w:w="2752" w:type="dxa"/>
          </w:tcPr>
          <w:p w14:paraId="0F093A92"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From 0.5% to 8.9%</w:t>
            </w:r>
          </w:p>
        </w:tc>
        <w:tc>
          <w:tcPr>
            <w:tcW w:w="1803" w:type="dxa"/>
          </w:tcPr>
          <w:p w14:paraId="7018AC6E" w14:textId="77777777" w:rsidR="00303474" w:rsidRPr="00B75DCF" w:rsidRDefault="003A34DE" w:rsidP="00382A99">
            <w:pPr>
              <w:spacing w:line="259" w:lineRule="auto"/>
              <w:jc w:val="center"/>
              <w:rPr>
                <w:rFonts w:cstheme="minorHAnsi"/>
                <w:shd w:val="clear" w:color="auto" w:fill="FFFFFF"/>
              </w:rPr>
            </w:pPr>
            <w:r w:rsidRPr="00B75DCF">
              <w:rPr>
                <w:rFonts w:cstheme="minorHAnsi"/>
                <w:shd w:val="clear" w:color="auto" w:fill="FFFFFF"/>
              </w:rPr>
              <w:t>From 0.5% to 8.9%</w:t>
            </w:r>
          </w:p>
        </w:tc>
        <w:tc>
          <w:tcPr>
            <w:tcW w:w="2062" w:type="dxa"/>
          </w:tcPr>
          <w:p w14:paraId="64556BF3" w14:textId="5509263A" w:rsidR="00303474" w:rsidRPr="00B75DCF" w:rsidRDefault="003A34DE" w:rsidP="00382A99">
            <w:pPr>
              <w:spacing w:line="259" w:lineRule="auto"/>
              <w:rPr>
                <w:rFonts w:cstheme="minorHAnsi"/>
                <w:shd w:val="clear" w:color="auto" w:fill="FFFFFF"/>
              </w:rPr>
            </w:pPr>
            <w:r w:rsidRPr="00B75DCF">
              <w:rPr>
                <w:rFonts w:cstheme="minorHAnsi"/>
                <w:shd w:val="clear" w:color="auto" w:fill="FFFFFF"/>
              </w:rPr>
              <w:t>PARTNER 3 up to 5 years</w:t>
            </w:r>
            <w:r w:rsidR="00F07CC5">
              <w:rPr>
                <w:rFonts w:cstheme="minorHAnsi"/>
                <w:shd w:val="clear" w:color="auto" w:fill="FFFFFF"/>
              </w:rPr>
              <w:t xml:space="preserve"> [21]</w:t>
            </w:r>
            <w:r w:rsidR="00FB177D">
              <w:rPr>
                <w:rFonts w:cstheme="minorHAnsi"/>
                <w:shd w:val="clear" w:color="auto" w:fill="FFFFFF"/>
              </w:rPr>
              <w:t>,</w:t>
            </w:r>
            <w:r w:rsidR="00E62D21" w:rsidRPr="00B75DCF">
              <w:rPr>
                <w:rFonts w:cstheme="minorHAnsi"/>
                <w:shd w:val="clear" w:color="auto" w:fill="FFFFFF"/>
              </w:rPr>
              <w:t xml:space="preserve"> t</w:t>
            </w:r>
            <w:r w:rsidRPr="00B75DCF">
              <w:rPr>
                <w:rFonts w:cstheme="minorHAnsi"/>
                <w:shd w:val="clear" w:color="auto" w:fill="FFFFFF"/>
              </w:rPr>
              <w:t xml:space="preserve">hen Bourguignon et al </w:t>
            </w:r>
            <w:r w:rsidR="003D0369">
              <w:rPr>
                <w:rFonts w:cstheme="minorHAnsi"/>
                <w:shd w:val="clear" w:color="auto" w:fill="FFFFFF"/>
              </w:rPr>
              <w:t>[</w:t>
            </w:r>
            <w:r w:rsidRPr="00B75DCF">
              <w:rPr>
                <w:rFonts w:cstheme="minorHAnsi"/>
                <w:shd w:val="clear" w:color="auto" w:fill="FFFFFF"/>
              </w:rPr>
              <w:t>2</w:t>
            </w:r>
            <w:r w:rsidR="00F30456" w:rsidRPr="00B75DCF">
              <w:rPr>
                <w:rFonts w:cstheme="minorHAnsi"/>
                <w:shd w:val="clear" w:color="auto" w:fill="FFFFFF"/>
              </w:rPr>
              <w:t>6</w:t>
            </w:r>
            <w:r w:rsidR="003D0369">
              <w:rPr>
                <w:rFonts w:cstheme="minorHAnsi"/>
                <w:shd w:val="clear" w:color="auto" w:fill="FFFFFF"/>
              </w:rPr>
              <w:t>]</w:t>
            </w:r>
          </w:p>
        </w:tc>
      </w:tr>
    </w:tbl>
    <w:p w14:paraId="7BDF1C5F" w14:textId="77777777" w:rsidR="00303474" w:rsidRPr="00B75DCF" w:rsidRDefault="003A34DE" w:rsidP="00382A99">
      <w:pPr>
        <w:jc w:val="both"/>
        <w:rPr>
          <w:rFonts w:cstheme="minorHAnsi"/>
        </w:rPr>
      </w:pPr>
      <w:r w:rsidRPr="00B75DCF">
        <w:rPr>
          <w:rFonts w:cstheme="minorHAnsi"/>
        </w:rPr>
        <w:t>AF, atrial fibrillation; SAVR, surgical aortic valve replacement.</w:t>
      </w:r>
    </w:p>
    <w:p w14:paraId="52461E4F" w14:textId="77777777" w:rsidR="005C0B58" w:rsidRPr="00B75DCF" w:rsidRDefault="005C0B58" w:rsidP="00BD3202">
      <w:pPr>
        <w:rPr>
          <w:rFonts w:cstheme="minorHAnsi"/>
          <w:color w:val="000000"/>
        </w:rPr>
      </w:pPr>
    </w:p>
    <w:p w14:paraId="65EB4A6C" w14:textId="77777777" w:rsidR="00844595" w:rsidRPr="00B75DCF" w:rsidRDefault="003A34DE">
      <w:pPr>
        <w:rPr>
          <w:rFonts w:ascii="Times New Roman" w:hAnsi="Times New Roman" w:cs="Times New Roman"/>
          <w:b/>
          <w:bCs/>
          <w:sz w:val="20"/>
          <w:szCs w:val="20"/>
        </w:rPr>
      </w:pPr>
      <w:r w:rsidRPr="00B75DCF">
        <w:rPr>
          <w:rFonts w:ascii="Times New Roman" w:hAnsi="Times New Roman" w:cs="Times New Roman"/>
          <w:b/>
          <w:bCs/>
          <w:sz w:val="20"/>
          <w:szCs w:val="20"/>
        </w:rPr>
        <w:br w:type="page"/>
      </w:r>
    </w:p>
    <w:p w14:paraId="3E8EC264" w14:textId="2F1F7C2B" w:rsidR="00844595" w:rsidRPr="00B75DCF" w:rsidRDefault="003A34DE" w:rsidP="00E2783D">
      <w:pPr>
        <w:rPr>
          <w:rFonts w:cstheme="minorHAnsi"/>
        </w:rPr>
      </w:pPr>
      <w:r w:rsidRPr="00B75DCF">
        <w:rPr>
          <w:rFonts w:cstheme="minorHAnsi"/>
          <w:b/>
          <w:bCs/>
        </w:rPr>
        <w:lastRenderedPageBreak/>
        <w:t xml:space="preserve">Table 2. </w:t>
      </w:r>
      <w:r w:rsidRPr="00B75DCF">
        <w:rPr>
          <w:rFonts w:cstheme="minorHAnsi"/>
        </w:rPr>
        <w:t>Costs associated to TAVI and SAVR (procedure, complications, long-term) (2021/2022 prices)</w:t>
      </w:r>
    </w:p>
    <w:tbl>
      <w:tblPr>
        <w:tblStyle w:val="TableGrid"/>
        <w:tblW w:w="9493" w:type="dxa"/>
        <w:tblLook w:val="04A0" w:firstRow="1" w:lastRow="0" w:firstColumn="1" w:lastColumn="0" w:noHBand="0" w:noVBand="1"/>
      </w:tblPr>
      <w:tblGrid>
        <w:gridCol w:w="2764"/>
        <w:gridCol w:w="2193"/>
        <w:gridCol w:w="1842"/>
        <w:gridCol w:w="2694"/>
      </w:tblGrid>
      <w:tr w:rsidR="007F67FD" w:rsidRPr="00B75DCF" w14:paraId="61962A7A" w14:textId="77777777">
        <w:tc>
          <w:tcPr>
            <w:tcW w:w="2764" w:type="dxa"/>
          </w:tcPr>
          <w:p w14:paraId="05C4417C" w14:textId="77777777" w:rsidR="00844595" w:rsidRPr="00B75DCF" w:rsidRDefault="003A34DE" w:rsidP="00E2783D">
            <w:pPr>
              <w:spacing w:line="259" w:lineRule="auto"/>
              <w:rPr>
                <w:rFonts w:cstheme="minorHAnsi"/>
                <w:b/>
                <w:shd w:val="clear" w:color="auto" w:fill="FFFFFF"/>
              </w:rPr>
            </w:pPr>
            <w:r w:rsidRPr="00B75DCF">
              <w:rPr>
                <w:rFonts w:cstheme="minorHAnsi"/>
                <w:b/>
                <w:shd w:val="clear" w:color="auto" w:fill="FFFFFF"/>
              </w:rPr>
              <w:t xml:space="preserve">Unit cost components </w:t>
            </w:r>
          </w:p>
        </w:tc>
        <w:tc>
          <w:tcPr>
            <w:tcW w:w="2193" w:type="dxa"/>
            <w:vAlign w:val="center"/>
          </w:tcPr>
          <w:p w14:paraId="5510ECA4" w14:textId="77777777" w:rsidR="00844595" w:rsidRPr="00B75DCF" w:rsidRDefault="003A34DE" w:rsidP="00E2783D">
            <w:pPr>
              <w:spacing w:line="259" w:lineRule="auto"/>
              <w:jc w:val="center"/>
              <w:rPr>
                <w:rFonts w:cstheme="minorHAnsi"/>
                <w:b/>
                <w:shd w:val="clear" w:color="auto" w:fill="FFFFFF"/>
              </w:rPr>
            </w:pPr>
            <w:r w:rsidRPr="00B75DCF">
              <w:rPr>
                <w:rFonts w:cstheme="minorHAnsi"/>
                <w:b/>
                <w:shd w:val="clear" w:color="auto" w:fill="FFFFFF"/>
              </w:rPr>
              <w:t>TAVI with SAPIEN 3</w:t>
            </w:r>
          </w:p>
        </w:tc>
        <w:tc>
          <w:tcPr>
            <w:tcW w:w="1842" w:type="dxa"/>
            <w:vAlign w:val="center"/>
          </w:tcPr>
          <w:p w14:paraId="05532B12" w14:textId="77777777" w:rsidR="00844595" w:rsidRPr="00B75DCF" w:rsidRDefault="003A34DE" w:rsidP="00E2783D">
            <w:pPr>
              <w:spacing w:line="259" w:lineRule="auto"/>
              <w:jc w:val="center"/>
              <w:rPr>
                <w:rFonts w:cstheme="minorHAnsi"/>
                <w:b/>
                <w:shd w:val="clear" w:color="auto" w:fill="FFFFFF"/>
              </w:rPr>
            </w:pPr>
            <w:r w:rsidRPr="00B75DCF">
              <w:rPr>
                <w:rFonts w:cstheme="minorHAnsi"/>
                <w:b/>
                <w:shd w:val="clear" w:color="auto" w:fill="FFFFFF"/>
              </w:rPr>
              <w:t>SAVR</w:t>
            </w:r>
          </w:p>
        </w:tc>
        <w:tc>
          <w:tcPr>
            <w:tcW w:w="2694" w:type="dxa"/>
          </w:tcPr>
          <w:p w14:paraId="62A7FCB2" w14:textId="77777777" w:rsidR="00844595" w:rsidRPr="00B75DCF" w:rsidRDefault="003A34DE" w:rsidP="00E2783D">
            <w:pPr>
              <w:spacing w:line="259" w:lineRule="auto"/>
              <w:jc w:val="center"/>
              <w:rPr>
                <w:rFonts w:cstheme="minorHAnsi"/>
                <w:b/>
                <w:shd w:val="clear" w:color="auto" w:fill="FFFFFF"/>
              </w:rPr>
            </w:pPr>
            <w:r w:rsidRPr="00B75DCF">
              <w:rPr>
                <w:rFonts w:cstheme="minorHAnsi"/>
                <w:b/>
                <w:shd w:val="clear" w:color="auto" w:fill="FFFFFF"/>
              </w:rPr>
              <w:t>Source</w:t>
            </w:r>
          </w:p>
        </w:tc>
      </w:tr>
      <w:tr w:rsidR="007F67FD" w:rsidRPr="00B75DCF" w14:paraId="6B95AE2B" w14:textId="77777777">
        <w:tc>
          <w:tcPr>
            <w:tcW w:w="9493" w:type="dxa"/>
            <w:gridSpan w:val="4"/>
          </w:tcPr>
          <w:p w14:paraId="58E88726" w14:textId="77777777" w:rsidR="00844595" w:rsidRPr="00B75DCF" w:rsidRDefault="003A34DE" w:rsidP="00E2783D">
            <w:pPr>
              <w:spacing w:line="259" w:lineRule="auto"/>
              <w:rPr>
                <w:rFonts w:cstheme="minorHAnsi"/>
                <w:shd w:val="clear" w:color="auto" w:fill="FFFFFF"/>
              </w:rPr>
            </w:pPr>
            <w:r w:rsidRPr="00B75DCF">
              <w:rPr>
                <w:rFonts w:cstheme="minorHAnsi"/>
                <w:b/>
                <w:shd w:val="clear" w:color="auto" w:fill="FFFFFF"/>
              </w:rPr>
              <w:t>Procedure</w:t>
            </w:r>
          </w:p>
        </w:tc>
      </w:tr>
      <w:tr w:rsidR="007F67FD" w:rsidRPr="00B75DCF" w14:paraId="680DA861" w14:textId="77777777">
        <w:tc>
          <w:tcPr>
            <w:tcW w:w="2764" w:type="dxa"/>
          </w:tcPr>
          <w:p w14:paraId="6847A101" w14:textId="77777777" w:rsidR="00844595" w:rsidRPr="00B75DCF" w:rsidRDefault="003A34DE" w:rsidP="00E2783D">
            <w:pPr>
              <w:spacing w:line="259" w:lineRule="auto"/>
              <w:jc w:val="right"/>
              <w:rPr>
                <w:rFonts w:cstheme="minorHAnsi"/>
                <w:shd w:val="clear" w:color="auto" w:fill="FFFFFF"/>
              </w:rPr>
            </w:pPr>
            <w:r w:rsidRPr="00B75DCF">
              <w:rPr>
                <w:rFonts w:cstheme="minorHAnsi"/>
                <w:shd w:val="clear" w:color="auto" w:fill="FFFFFF"/>
              </w:rPr>
              <w:t>Total cost of initial procedure including rehabilitation</w:t>
            </w:r>
          </w:p>
        </w:tc>
        <w:tc>
          <w:tcPr>
            <w:tcW w:w="2193" w:type="dxa"/>
          </w:tcPr>
          <w:p w14:paraId="1EF88718" w14:textId="77777777" w:rsidR="00844595" w:rsidRPr="00B75DCF" w:rsidRDefault="003A34DE" w:rsidP="00E2783D">
            <w:pPr>
              <w:spacing w:line="259" w:lineRule="auto"/>
              <w:jc w:val="center"/>
              <w:rPr>
                <w:rFonts w:cstheme="minorHAnsi"/>
                <w:shd w:val="clear" w:color="auto" w:fill="FFFFFF"/>
              </w:rPr>
            </w:pPr>
            <w:r w:rsidRPr="00B75DCF">
              <w:rPr>
                <w:rFonts w:cstheme="minorHAnsi"/>
              </w:rPr>
              <w:t>£30,911</w:t>
            </w:r>
          </w:p>
        </w:tc>
        <w:tc>
          <w:tcPr>
            <w:tcW w:w="1842" w:type="dxa"/>
          </w:tcPr>
          <w:p w14:paraId="3F63747E" w14:textId="77777777" w:rsidR="00844595" w:rsidRPr="00B75DCF" w:rsidRDefault="003A34DE" w:rsidP="00E2783D">
            <w:pPr>
              <w:spacing w:line="259" w:lineRule="auto"/>
              <w:jc w:val="center"/>
              <w:rPr>
                <w:rFonts w:cstheme="minorHAnsi"/>
                <w:shd w:val="clear" w:color="auto" w:fill="FFFFFF"/>
              </w:rPr>
            </w:pPr>
            <w:r w:rsidRPr="00B75DCF">
              <w:rPr>
                <w:rFonts w:cstheme="minorHAnsi"/>
              </w:rPr>
              <w:t>£22,890</w:t>
            </w:r>
          </w:p>
        </w:tc>
        <w:tc>
          <w:tcPr>
            <w:tcW w:w="2694" w:type="dxa"/>
          </w:tcPr>
          <w:p w14:paraId="6578D844" w14:textId="1AD56FAB"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Based on NICE HVD guidance</w:t>
            </w:r>
            <w:r w:rsidR="00427D01">
              <w:rPr>
                <w:rFonts w:cstheme="minorHAnsi"/>
                <w:shd w:val="clear" w:color="auto" w:fill="FFFFFF"/>
              </w:rPr>
              <w:t xml:space="preserve"> [5]</w:t>
            </w:r>
            <w:r w:rsidRPr="00B75DCF">
              <w:rPr>
                <w:rFonts w:cstheme="minorHAnsi"/>
                <w:shd w:val="clear" w:color="auto" w:fill="FFFFFF"/>
              </w:rPr>
              <w:t xml:space="preserve"> LR and updated to September 2021/22 prices</w:t>
            </w:r>
          </w:p>
        </w:tc>
      </w:tr>
      <w:tr w:rsidR="007F67FD" w:rsidRPr="00B75DCF" w14:paraId="276C8DCC" w14:textId="77777777">
        <w:tc>
          <w:tcPr>
            <w:tcW w:w="9493" w:type="dxa"/>
            <w:gridSpan w:val="4"/>
          </w:tcPr>
          <w:p w14:paraId="6F017EDB" w14:textId="77777777" w:rsidR="00844595" w:rsidRPr="00B75DCF" w:rsidRDefault="003A34DE" w:rsidP="00E2783D">
            <w:pPr>
              <w:spacing w:line="259" w:lineRule="auto"/>
              <w:rPr>
                <w:rFonts w:cstheme="minorHAnsi"/>
                <w:b/>
                <w:bCs/>
                <w:shd w:val="clear" w:color="auto" w:fill="FFFFFF"/>
              </w:rPr>
            </w:pPr>
            <w:r w:rsidRPr="00B75DCF">
              <w:rPr>
                <w:rFonts w:cstheme="minorHAnsi"/>
                <w:b/>
                <w:bCs/>
                <w:shd w:val="clear" w:color="auto" w:fill="FFFFFF"/>
              </w:rPr>
              <w:t>Acute post-operative complications</w:t>
            </w:r>
          </w:p>
        </w:tc>
      </w:tr>
      <w:tr w:rsidR="007F67FD" w:rsidRPr="00B75DCF" w14:paraId="360294B7" w14:textId="77777777">
        <w:tc>
          <w:tcPr>
            <w:tcW w:w="2764" w:type="dxa"/>
          </w:tcPr>
          <w:p w14:paraId="0A8896DE" w14:textId="77777777" w:rsidR="00844595" w:rsidRPr="00B75DCF" w:rsidRDefault="003A34DE" w:rsidP="00E2783D">
            <w:pPr>
              <w:spacing w:line="259" w:lineRule="auto"/>
              <w:jc w:val="right"/>
              <w:rPr>
                <w:rFonts w:cstheme="minorHAnsi"/>
                <w:shd w:val="clear" w:color="auto" w:fill="FFFFFF"/>
              </w:rPr>
            </w:pPr>
            <w:r w:rsidRPr="00B75DCF">
              <w:rPr>
                <w:rFonts w:cstheme="minorHAnsi"/>
                <w:shd w:val="clear" w:color="auto" w:fill="FFFFFF"/>
              </w:rPr>
              <w:t>Re-intervention</w:t>
            </w:r>
          </w:p>
        </w:tc>
        <w:tc>
          <w:tcPr>
            <w:tcW w:w="2193" w:type="dxa"/>
          </w:tcPr>
          <w:p w14:paraId="35106843" w14:textId="77777777" w:rsidR="00844595" w:rsidRPr="00B75DCF" w:rsidRDefault="003A34DE" w:rsidP="00E2783D">
            <w:pPr>
              <w:spacing w:line="259" w:lineRule="auto"/>
              <w:jc w:val="center"/>
              <w:rPr>
                <w:rFonts w:cstheme="minorHAnsi"/>
              </w:rPr>
            </w:pPr>
            <w:r w:rsidRPr="00B75DCF">
              <w:rPr>
                <w:rFonts w:cstheme="minorHAnsi"/>
              </w:rPr>
              <w:t>£30,911</w:t>
            </w:r>
          </w:p>
        </w:tc>
        <w:tc>
          <w:tcPr>
            <w:tcW w:w="1842" w:type="dxa"/>
          </w:tcPr>
          <w:p w14:paraId="517CB339" w14:textId="77777777" w:rsidR="00844595" w:rsidRPr="00B75DCF" w:rsidRDefault="003A34DE" w:rsidP="00E2783D">
            <w:pPr>
              <w:spacing w:line="259" w:lineRule="auto"/>
              <w:jc w:val="center"/>
              <w:rPr>
                <w:rFonts w:cstheme="minorHAnsi"/>
              </w:rPr>
            </w:pPr>
            <w:r w:rsidRPr="00B75DCF">
              <w:rPr>
                <w:rFonts w:cstheme="minorHAnsi"/>
              </w:rPr>
              <w:t>£30,911</w:t>
            </w:r>
          </w:p>
        </w:tc>
        <w:tc>
          <w:tcPr>
            <w:tcW w:w="2694" w:type="dxa"/>
          </w:tcPr>
          <w:p w14:paraId="37F4663A" w14:textId="77777777"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 xml:space="preserve">TAVI with SAPIEN 3 as per initial procedure. SAVR arm assumes TAVI replacement (either SAPIEN 3 or </w:t>
            </w:r>
            <w:proofErr w:type="spellStart"/>
            <w:r w:rsidRPr="00B75DCF">
              <w:rPr>
                <w:rFonts w:cstheme="minorHAnsi"/>
                <w:shd w:val="clear" w:color="auto" w:fill="FFFFFF"/>
              </w:rPr>
              <w:t>Evolut</w:t>
            </w:r>
            <w:proofErr w:type="spellEnd"/>
            <w:r w:rsidRPr="00B75DCF">
              <w:rPr>
                <w:rFonts w:cstheme="minorHAnsi"/>
                <w:shd w:val="clear" w:color="auto" w:fill="FFFFFF"/>
              </w:rPr>
              <w:t>)</w:t>
            </w:r>
          </w:p>
        </w:tc>
      </w:tr>
      <w:tr w:rsidR="007F67FD" w:rsidRPr="00B75DCF" w14:paraId="2C3276F1" w14:textId="77777777">
        <w:tc>
          <w:tcPr>
            <w:tcW w:w="9493" w:type="dxa"/>
            <w:gridSpan w:val="4"/>
          </w:tcPr>
          <w:p w14:paraId="1C0FFB90" w14:textId="77777777" w:rsidR="00844595" w:rsidRPr="00B75DCF" w:rsidRDefault="003A34DE" w:rsidP="00E2783D">
            <w:pPr>
              <w:spacing w:line="259" w:lineRule="auto"/>
              <w:rPr>
                <w:rFonts w:cstheme="minorHAnsi"/>
                <w:b/>
                <w:bCs/>
                <w:shd w:val="clear" w:color="auto" w:fill="FFFFFF"/>
              </w:rPr>
            </w:pPr>
            <w:r w:rsidRPr="00B75DCF">
              <w:rPr>
                <w:rFonts w:cstheme="minorHAnsi"/>
                <w:b/>
                <w:bCs/>
                <w:shd w:val="clear" w:color="auto" w:fill="FFFFFF"/>
              </w:rPr>
              <w:t>Associated to health states</w:t>
            </w:r>
          </w:p>
        </w:tc>
      </w:tr>
      <w:tr w:rsidR="007F67FD" w:rsidRPr="00B75DCF" w14:paraId="61DB9BE5" w14:textId="77777777">
        <w:tc>
          <w:tcPr>
            <w:tcW w:w="2764" w:type="dxa"/>
          </w:tcPr>
          <w:p w14:paraId="2709B4CC" w14:textId="77777777" w:rsidR="00844595" w:rsidRPr="00B75DCF" w:rsidRDefault="003A34DE" w:rsidP="00E2783D">
            <w:pPr>
              <w:spacing w:line="259" w:lineRule="auto"/>
              <w:jc w:val="right"/>
              <w:rPr>
                <w:rFonts w:cstheme="minorHAnsi"/>
                <w:shd w:val="clear" w:color="auto" w:fill="FFFFFF"/>
              </w:rPr>
            </w:pPr>
            <w:r w:rsidRPr="00B75DCF">
              <w:rPr>
                <w:rFonts w:cstheme="minorHAnsi"/>
                <w:shd w:val="clear" w:color="auto" w:fill="FFFFFF"/>
              </w:rPr>
              <w:t>Treated AF - month 1</w:t>
            </w:r>
          </w:p>
        </w:tc>
        <w:tc>
          <w:tcPr>
            <w:tcW w:w="2193" w:type="dxa"/>
          </w:tcPr>
          <w:p w14:paraId="3A69C742" w14:textId="77777777"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£331</w:t>
            </w:r>
          </w:p>
        </w:tc>
        <w:tc>
          <w:tcPr>
            <w:tcW w:w="1842" w:type="dxa"/>
          </w:tcPr>
          <w:p w14:paraId="070DFDF4" w14:textId="77777777"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£331</w:t>
            </w:r>
          </w:p>
        </w:tc>
        <w:tc>
          <w:tcPr>
            <w:tcW w:w="2694" w:type="dxa"/>
          </w:tcPr>
          <w:p w14:paraId="3ED43E5A" w14:textId="1662FC32"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 xml:space="preserve">NICE pathways </w:t>
            </w:r>
            <w:r w:rsidR="00E348B9">
              <w:rPr>
                <w:rFonts w:cstheme="minorHAnsi"/>
                <w:shd w:val="clear" w:color="auto" w:fill="FFFFFF"/>
              </w:rPr>
              <w:t>[</w:t>
            </w:r>
            <w:r w:rsidR="00427D01">
              <w:rPr>
                <w:rFonts w:cstheme="minorHAnsi"/>
                <w:shd w:val="clear" w:color="auto" w:fill="FFFFFF"/>
              </w:rPr>
              <w:t>5</w:t>
            </w:r>
            <w:r w:rsidR="00E348B9">
              <w:rPr>
                <w:rFonts w:cstheme="minorHAnsi"/>
                <w:shd w:val="clear" w:color="auto" w:fill="FFFFFF"/>
              </w:rPr>
              <w:t>]</w:t>
            </w:r>
          </w:p>
          <w:p w14:paraId="6F68CBD3" w14:textId="43C3AA29"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 xml:space="preserve">NHS Improvement </w:t>
            </w:r>
            <w:r w:rsidR="00E348B9">
              <w:rPr>
                <w:rFonts w:cstheme="minorHAnsi"/>
                <w:shd w:val="clear" w:color="auto" w:fill="FFFFFF"/>
              </w:rPr>
              <w:t>[</w:t>
            </w:r>
            <w:r w:rsidR="00427D01">
              <w:rPr>
                <w:rFonts w:cstheme="minorHAnsi"/>
                <w:shd w:val="clear" w:color="auto" w:fill="FFFFFF"/>
              </w:rPr>
              <w:t>8</w:t>
            </w:r>
            <w:r w:rsidR="00E348B9">
              <w:rPr>
                <w:rFonts w:cstheme="minorHAnsi"/>
                <w:shd w:val="clear" w:color="auto" w:fill="FFFFFF"/>
              </w:rPr>
              <w:t>]</w:t>
            </w:r>
          </w:p>
          <w:p w14:paraId="22604248" w14:textId="360DA019"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 xml:space="preserve">Kansal et al </w:t>
            </w:r>
            <w:r w:rsidR="00E348B9">
              <w:rPr>
                <w:rFonts w:cstheme="minorHAnsi"/>
                <w:shd w:val="clear" w:color="auto" w:fill="FFFFFF"/>
              </w:rPr>
              <w:t>[</w:t>
            </w:r>
            <w:r w:rsidR="00427D01">
              <w:rPr>
                <w:rFonts w:cstheme="minorHAnsi"/>
                <w:shd w:val="clear" w:color="auto" w:fill="FFFFFF"/>
              </w:rPr>
              <w:t>32</w:t>
            </w:r>
            <w:r w:rsidR="00E348B9">
              <w:rPr>
                <w:rFonts w:cstheme="minorHAnsi"/>
                <w:shd w:val="clear" w:color="auto" w:fill="FFFFFF"/>
              </w:rPr>
              <w:t>]</w:t>
            </w:r>
          </w:p>
        </w:tc>
      </w:tr>
      <w:tr w:rsidR="007F67FD" w:rsidRPr="00B75DCF" w14:paraId="74D72CB2" w14:textId="77777777">
        <w:tc>
          <w:tcPr>
            <w:tcW w:w="2764" w:type="dxa"/>
          </w:tcPr>
          <w:p w14:paraId="40F894EE" w14:textId="77777777" w:rsidR="00844595" w:rsidRPr="00B75DCF" w:rsidRDefault="003A34DE" w:rsidP="00E2783D">
            <w:pPr>
              <w:spacing w:line="259" w:lineRule="auto"/>
              <w:jc w:val="right"/>
              <w:rPr>
                <w:rFonts w:cstheme="minorHAnsi"/>
                <w:shd w:val="clear" w:color="auto" w:fill="FFFFFF"/>
              </w:rPr>
            </w:pPr>
            <w:r w:rsidRPr="00B75DCF">
              <w:rPr>
                <w:rFonts w:cstheme="minorHAnsi"/>
                <w:shd w:val="clear" w:color="auto" w:fill="FFFFFF"/>
              </w:rPr>
              <w:t xml:space="preserve"> Treated AF ≥ month 2</w:t>
            </w:r>
          </w:p>
        </w:tc>
        <w:tc>
          <w:tcPr>
            <w:tcW w:w="2193" w:type="dxa"/>
          </w:tcPr>
          <w:p w14:paraId="1B764827" w14:textId="77777777"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£41.52</w:t>
            </w:r>
          </w:p>
        </w:tc>
        <w:tc>
          <w:tcPr>
            <w:tcW w:w="1842" w:type="dxa"/>
          </w:tcPr>
          <w:p w14:paraId="23BAC3E8" w14:textId="77777777"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£41.52</w:t>
            </w:r>
          </w:p>
        </w:tc>
        <w:tc>
          <w:tcPr>
            <w:tcW w:w="2694" w:type="dxa"/>
          </w:tcPr>
          <w:p w14:paraId="4EFA568D" w14:textId="3BD40FDE"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 xml:space="preserve">Kansal et al </w:t>
            </w:r>
            <w:r w:rsidR="00E348B9">
              <w:rPr>
                <w:rFonts w:cstheme="minorHAnsi"/>
                <w:shd w:val="clear" w:color="auto" w:fill="FFFFFF"/>
              </w:rPr>
              <w:t>[</w:t>
            </w:r>
            <w:r w:rsidR="00427D01">
              <w:rPr>
                <w:rFonts w:cstheme="minorHAnsi"/>
                <w:shd w:val="clear" w:color="auto" w:fill="FFFFFF"/>
              </w:rPr>
              <w:t>3</w:t>
            </w:r>
            <w:r w:rsidRPr="00B75DCF">
              <w:rPr>
                <w:rFonts w:cstheme="minorHAnsi"/>
                <w:shd w:val="clear" w:color="auto" w:fill="FFFFFF"/>
              </w:rPr>
              <w:t>2</w:t>
            </w:r>
            <w:r w:rsidR="00E348B9">
              <w:rPr>
                <w:rFonts w:cstheme="minorHAnsi"/>
                <w:shd w:val="clear" w:color="auto" w:fill="FFFFFF"/>
              </w:rPr>
              <w:t>]</w:t>
            </w:r>
          </w:p>
        </w:tc>
      </w:tr>
      <w:tr w:rsidR="007F67FD" w:rsidRPr="00B75DCF" w14:paraId="6023518D" w14:textId="77777777">
        <w:tc>
          <w:tcPr>
            <w:tcW w:w="2764" w:type="dxa"/>
          </w:tcPr>
          <w:p w14:paraId="7DDAA1D2" w14:textId="77777777" w:rsidR="00844595" w:rsidRPr="00B75DCF" w:rsidRDefault="003A34DE" w:rsidP="00E2783D">
            <w:pPr>
              <w:spacing w:line="259" w:lineRule="auto"/>
              <w:jc w:val="right"/>
              <w:rPr>
                <w:rFonts w:cstheme="minorHAnsi"/>
                <w:shd w:val="clear" w:color="auto" w:fill="FFFFFF"/>
              </w:rPr>
            </w:pPr>
            <w:r w:rsidRPr="00B75DCF">
              <w:rPr>
                <w:rFonts w:cstheme="minorHAnsi"/>
                <w:shd w:val="clear" w:color="auto" w:fill="FFFFFF"/>
              </w:rPr>
              <w:t>Disabling stroke - month 1</w:t>
            </w:r>
          </w:p>
        </w:tc>
        <w:tc>
          <w:tcPr>
            <w:tcW w:w="2193" w:type="dxa"/>
          </w:tcPr>
          <w:p w14:paraId="477EEA8D" w14:textId="77777777"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£20,388</w:t>
            </w:r>
          </w:p>
        </w:tc>
        <w:tc>
          <w:tcPr>
            <w:tcW w:w="1842" w:type="dxa"/>
          </w:tcPr>
          <w:p w14:paraId="6AF90766" w14:textId="77777777"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£20,388</w:t>
            </w:r>
          </w:p>
        </w:tc>
        <w:tc>
          <w:tcPr>
            <w:tcW w:w="2694" w:type="dxa"/>
            <w:vMerge w:val="restart"/>
          </w:tcPr>
          <w:p w14:paraId="6E9DCEA3" w14:textId="0E28BA3D"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 xml:space="preserve">Xu </w:t>
            </w:r>
            <w:r w:rsidRPr="00B75DCF">
              <w:rPr>
                <w:rFonts w:cstheme="minorHAnsi"/>
                <w:iCs/>
                <w:shd w:val="clear" w:color="auto" w:fill="FFFFFF"/>
              </w:rPr>
              <w:t>et al</w:t>
            </w:r>
            <w:r w:rsidRPr="00B75DCF">
              <w:rPr>
                <w:rFonts w:cstheme="minorHAnsi"/>
                <w:i/>
                <w:shd w:val="clear" w:color="auto" w:fill="FFFFFF"/>
              </w:rPr>
              <w:t xml:space="preserve"> </w:t>
            </w:r>
            <w:r w:rsidR="00E348B9" w:rsidRPr="00E348B9">
              <w:rPr>
                <w:rFonts w:cstheme="minorHAnsi"/>
                <w:iCs/>
                <w:shd w:val="clear" w:color="auto" w:fill="FFFFFF"/>
              </w:rPr>
              <w:t>[</w:t>
            </w:r>
            <w:r w:rsidR="00427D01">
              <w:rPr>
                <w:rFonts w:cstheme="minorHAnsi"/>
                <w:shd w:val="clear" w:color="auto" w:fill="FFFFFF"/>
              </w:rPr>
              <w:t>33</w:t>
            </w:r>
            <w:r w:rsidR="00E348B9">
              <w:rPr>
                <w:rFonts w:cstheme="minorHAnsi"/>
                <w:shd w:val="clear" w:color="auto" w:fill="FFFFFF"/>
              </w:rPr>
              <w:t>]</w:t>
            </w:r>
          </w:p>
          <w:p w14:paraId="0E11E8F9" w14:textId="4CD2F5A5"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50% of social care costs removed (assumed to be private) in line with method used for NICE guideline NG208</w:t>
            </w:r>
            <w:r w:rsidR="00427D01">
              <w:rPr>
                <w:rFonts w:cstheme="minorHAnsi"/>
                <w:shd w:val="clear" w:color="auto" w:fill="FFFFFF"/>
              </w:rPr>
              <w:t xml:space="preserve"> [5]</w:t>
            </w:r>
          </w:p>
        </w:tc>
      </w:tr>
      <w:tr w:rsidR="007F67FD" w:rsidRPr="00B75DCF" w14:paraId="4B346AC0" w14:textId="77777777">
        <w:tc>
          <w:tcPr>
            <w:tcW w:w="2764" w:type="dxa"/>
          </w:tcPr>
          <w:p w14:paraId="45FC77CC" w14:textId="77777777" w:rsidR="00844595" w:rsidRPr="00B75DCF" w:rsidRDefault="003A34DE" w:rsidP="00E2783D">
            <w:pPr>
              <w:spacing w:line="259" w:lineRule="auto"/>
              <w:jc w:val="right"/>
              <w:rPr>
                <w:rFonts w:cstheme="minorHAnsi"/>
                <w:shd w:val="clear" w:color="auto" w:fill="FFFFFF"/>
              </w:rPr>
            </w:pPr>
            <w:r w:rsidRPr="00B75DCF">
              <w:rPr>
                <w:rFonts w:cstheme="minorHAnsi"/>
                <w:shd w:val="clear" w:color="auto" w:fill="FFFFFF"/>
              </w:rPr>
              <w:t xml:space="preserve">Disabling stroke ≥ month 2 </w:t>
            </w:r>
          </w:p>
        </w:tc>
        <w:tc>
          <w:tcPr>
            <w:tcW w:w="2193" w:type="dxa"/>
          </w:tcPr>
          <w:p w14:paraId="018CA454" w14:textId="77777777"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£603</w:t>
            </w:r>
          </w:p>
        </w:tc>
        <w:tc>
          <w:tcPr>
            <w:tcW w:w="1842" w:type="dxa"/>
          </w:tcPr>
          <w:p w14:paraId="0B88EE7B" w14:textId="77777777"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£603</w:t>
            </w:r>
          </w:p>
        </w:tc>
        <w:tc>
          <w:tcPr>
            <w:tcW w:w="2694" w:type="dxa"/>
            <w:vMerge/>
          </w:tcPr>
          <w:p w14:paraId="1F318E7F" w14:textId="77777777" w:rsidR="00844595" w:rsidRPr="00B75DCF" w:rsidRDefault="00844595" w:rsidP="00E2783D">
            <w:pPr>
              <w:spacing w:line="259" w:lineRule="auto"/>
              <w:jc w:val="center"/>
              <w:rPr>
                <w:rFonts w:cstheme="minorHAnsi"/>
                <w:shd w:val="clear" w:color="auto" w:fill="FFFFFF"/>
              </w:rPr>
            </w:pPr>
          </w:p>
        </w:tc>
      </w:tr>
      <w:tr w:rsidR="007F67FD" w:rsidRPr="00B75DCF" w14:paraId="5ED2363B" w14:textId="77777777">
        <w:tc>
          <w:tcPr>
            <w:tcW w:w="2764" w:type="dxa"/>
          </w:tcPr>
          <w:p w14:paraId="34F02A52" w14:textId="77777777" w:rsidR="00844595" w:rsidRPr="00B75DCF" w:rsidRDefault="003A34DE" w:rsidP="00E2783D">
            <w:pPr>
              <w:spacing w:line="259" w:lineRule="auto"/>
              <w:jc w:val="right"/>
              <w:rPr>
                <w:rFonts w:cstheme="minorHAnsi"/>
                <w:shd w:val="clear" w:color="auto" w:fill="FFFFFF"/>
              </w:rPr>
            </w:pPr>
            <w:r w:rsidRPr="00B75DCF">
              <w:rPr>
                <w:rFonts w:cstheme="minorHAnsi"/>
                <w:shd w:val="clear" w:color="auto" w:fill="FFFFFF"/>
              </w:rPr>
              <w:t>Alive and well – year 1</w:t>
            </w:r>
          </w:p>
        </w:tc>
        <w:tc>
          <w:tcPr>
            <w:tcW w:w="2193" w:type="dxa"/>
          </w:tcPr>
          <w:p w14:paraId="7C94506C" w14:textId="77777777"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£83.02</w:t>
            </w:r>
          </w:p>
        </w:tc>
        <w:tc>
          <w:tcPr>
            <w:tcW w:w="1842" w:type="dxa"/>
          </w:tcPr>
          <w:p w14:paraId="60DE27C2" w14:textId="77777777"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£83.02</w:t>
            </w:r>
          </w:p>
        </w:tc>
        <w:tc>
          <w:tcPr>
            <w:tcW w:w="2694" w:type="dxa"/>
          </w:tcPr>
          <w:p w14:paraId="45A8264D" w14:textId="776CFA75"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 xml:space="preserve">Assumed follow up consultation required at months 1, 6 and 12. Cost of outpatient appointment based on NHS improvement </w:t>
            </w:r>
            <w:r w:rsidR="00E348B9">
              <w:rPr>
                <w:rFonts w:cstheme="minorHAnsi"/>
                <w:shd w:val="clear" w:color="auto" w:fill="FFFFFF"/>
              </w:rPr>
              <w:t>[</w:t>
            </w:r>
            <w:r w:rsidR="00427D01">
              <w:rPr>
                <w:rFonts w:cstheme="minorHAnsi"/>
                <w:shd w:val="clear" w:color="auto" w:fill="FFFFFF"/>
              </w:rPr>
              <w:t>8</w:t>
            </w:r>
            <w:r w:rsidR="00E348B9">
              <w:rPr>
                <w:rFonts w:cstheme="minorHAnsi"/>
                <w:shd w:val="clear" w:color="auto" w:fill="FFFFFF"/>
              </w:rPr>
              <w:t>]</w:t>
            </w:r>
          </w:p>
        </w:tc>
      </w:tr>
      <w:tr w:rsidR="007F67FD" w:rsidRPr="00B75DCF" w14:paraId="5D7A3E32" w14:textId="77777777">
        <w:tc>
          <w:tcPr>
            <w:tcW w:w="2764" w:type="dxa"/>
          </w:tcPr>
          <w:p w14:paraId="4177629B" w14:textId="77777777" w:rsidR="00844595" w:rsidRPr="00B75DCF" w:rsidRDefault="003A34DE" w:rsidP="00E2783D">
            <w:pPr>
              <w:spacing w:line="259" w:lineRule="auto"/>
              <w:jc w:val="right"/>
              <w:rPr>
                <w:rFonts w:cstheme="minorHAnsi"/>
                <w:shd w:val="clear" w:color="auto" w:fill="FFFFFF"/>
              </w:rPr>
            </w:pPr>
            <w:r w:rsidRPr="00B75DCF">
              <w:rPr>
                <w:rFonts w:cstheme="minorHAnsi"/>
                <w:shd w:val="clear" w:color="auto" w:fill="FFFFFF"/>
              </w:rPr>
              <w:t>Alive and well – year 2+</w:t>
            </w:r>
          </w:p>
        </w:tc>
        <w:tc>
          <w:tcPr>
            <w:tcW w:w="2193" w:type="dxa"/>
          </w:tcPr>
          <w:p w14:paraId="1C0EA0BD" w14:textId="77777777"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£27.67</w:t>
            </w:r>
          </w:p>
        </w:tc>
        <w:tc>
          <w:tcPr>
            <w:tcW w:w="1842" w:type="dxa"/>
          </w:tcPr>
          <w:p w14:paraId="7839309F" w14:textId="77777777"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£27.67</w:t>
            </w:r>
          </w:p>
        </w:tc>
        <w:tc>
          <w:tcPr>
            <w:tcW w:w="2694" w:type="dxa"/>
          </w:tcPr>
          <w:p w14:paraId="450B4C48" w14:textId="0F5A5567"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 xml:space="preserve">Assumed follow up consultation required at months 1, 6 and 12. Cost of outpatient appointment based on NHS improvement </w:t>
            </w:r>
            <w:r w:rsidR="00E348B9">
              <w:rPr>
                <w:rFonts w:cstheme="minorHAnsi"/>
                <w:shd w:val="clear" w:color="auto" w:fill="FFFFFF"/>
              </w:rPr>
              <w:t>[</w:t>
            </w:r>
            <w:r w:rsidR="00427D01">
              <w:rPr>
                <w:rFonts w:cstheme="minorHAnsi"/>
                <w:shd w:val="clear" w:color="auto" w:fill="FFFFFF"/>
              </w:rPr>
              <w:t>8</w:t>
            </w:r>
            <w:r w:rsidR="00E348B9">
              <w:rPr>
                <w:rFonts w:cstheme="minorHAnsi"/>
                <w:shd w:val="clear" w:color="auto" w:fill="FFFFFF"/>
              </w:rPr>
              <w:t>]</w:t>
            </w:r>
          </w:p>
        </w:tc>
      </w:tr>
      <w:tr w:rsidR="007F67FD" w:rsidRPr="00B75DCF" w14:paraId="5FB721B6" w14:textId="77777777">
        <w:tc>
          <w:tcPr>
            <w:tcW w:w="9493" w:type="dxa"/>
            <w:gridSpan w:val="4"/>
          </w:tcPr>
          <w:p w14:paraId="35B0EE6A" w14:textId="77777777" w:rsidR="00844595" w:rsidRPr="00B75DCF" w:rsidRDefault="003A34DE" w:rsidP="00E2783D">
            <w:pPr>
              <w:spacing w:line="259" w:lineRule="auto"/>
              <w:rPr>
                <w:rFonts w:cstheme="minorHAnsi"/>
                <w:b/>
                <w:bCs/>
                <w:shd w:val="clear" w:color="auto" w:fill="FFFFFF"/>
              </w:rPr>
            </w:pPr>
            <w:r w:rsidRPr="00B75DCF">
              <w:rPr>
                <w:rFonts w:cstheme="minorHAnsi"/>
                <w:b/>
                <w:bCs/>
                <w:shd w:val="clear" w:color="auto" w:fill="FFFFFF"/>
              </w:rPr>
              <w:t>Other costs considered</w:t>
            </w:r>
          </w:p>
        </w:tc>
      </w:tr>
      <w:tr w:rsidR="007F67FD" w:rsidRPr="00B75DCF" w14:paraId="0BBEE82C" w14:textId="77777777">
        <w:tc>
          <w:tcPr>
            <w:tcW w:w="2764" w:type="dxa"/>
          </w:tcPr>
          <w:p w14:paraId="0F952EB8" w14:textId="77777777" w:rsidR="00844595" w:rsidRPr="00B75DCF" w:rsidRDefault="003A34DE" w:rsidP="00E2783D">
            <w:pPr>
              <w:spacing w:line="259" w:lineRule="auto"/>
              <w:jc w:val="right"/>
              <w:rPr>
                <w:rFonts w:cstheme="minorHAnsi"/>
                <w:shd w:val="clear" w:color="auto" w:fill="FFFFFF"/>
              </w:rPr>
            </w:pPr>
            <w:r w:rsidRPr="00B75DCF">
              <w:rPr>
                <w:rFonts w:cstheme="minorHAnsi"/>
                <w:shd w:val="clear" w:color="auto" w:fill="FFFFFF"/>
              </w:rPr>
              <w:t>Pacemaker complications (monthly)</w:t>
            </w:r>
          </w:p>
        </w:tc>
        <w:tc>
          <w:tcPr>
            <w:tcW w:w="2193" w:type="dxa"/>
          </w:tcPr>
          <w:p w14:paraId="692DF606" w14:textId="77777777"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£136</w:t>
            </w:r>
          </w:p>
        </w:tc>
        <w:tc>
          <w:tcPr>
            <w:tcW w:w="1842" w:type="dxa"/>
          </w:tcPr>
          <w:p w14:paraId="23443254" w14:textId="77777777"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£136</w:t>
            </w:r>
          </w:p>
        </w:tc>
        <w:tc>
          <w:tcPr>
            <w:tcW w:w="2694" w:type="dxa"/>
          </w:tcPr>
          <w:p w14:paraId="0A4B7472" w14:textId="69B60617"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 xml:space="preserve">Shore et al </w:t>
            </w:r>
            <w:r w:rsidR="00E348B9">
              <w:rPr>
                <w:rFonts w:cstheme="minorHAnsi"/>
                <w:shd w:val="clear" w:color="auto" w:fill="FFFFFF"/>
              </w:rPr>
              <w:t>[</w:t>
            </w:r>
            <w:r w:rsidR="00427D01">
              <w:rPr>
                <w:rFonts w:cstheme="minorHAnsi"/>
                <w:shd w:val="clear" w:color="auto" w:fill="FFFFFF"/>
              </w:rPr>
              <w:t>34</w:t>
            </w:r>
            <w:r w:rsidR="00E348B9">
              <w:rPr>
                <w:rFonts w:cstheme="minorHAnsi"/>
                <w:shd w:val="clear" w:color="auto" w:fill="FFFFFF"/>
              </w:rPr>
              <w:t>]</w:t>
            </w:r>
          </w:p>
        </w:tc>
      </w:tr>
      <w:tr w:rsidR="007F67FD" w:rsidRPr="00B75DCF" w14:paraId="08E23CFB" w14:textId="77777777">
        <w:tc>
          <w:tcPr>
            <w:tcW w:w="2764" w:type="dxa"/>
          </w:tcPr>
          <w:p w14:paraId="35DDA0A6" w14:textId="77777777" w:rsidR="00844595" w:rsidRPr="00B75DCF" w:rsidRDefault="003A34DE" w:rsidP="00E2783D">
            <w:pPr>
              <w:spacing w:line="259" w:lineRule="auto"/>
              <w:jc w:val="right"/>
              <w:rPr>
                <w:rFonts w:cstheme="minorHAnsi"/>
                <w:shd w:val="clear" w:color="auto" w:fill="FFFFFF"/>
              </w:rPr>
            </w:pPr>
            <w:r w:rsidRPr="00B75DCF">
              <w:rPr>
                <w:rFonts w:cstheme="minorHAnsi"/>
                <w:shd w:val="clear" w:color="auto" w:fill="FFFFFF"/>
              </w:rPr>
              <w:t>Rehospitalization</w:t>
            </w:r>
          </w:p>
        </w:tc>
        <w:tc>
          <w:tcPr>
            <w:tcW w:w="2193" w:type="dxa"/>
          </w:tcPr>
          <w:p w14:paraId="1268D0C8" w14:textId="77777777"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£3,758</w:t>
            </w:r>
          </w:p>
        </w:tc>
        <w:tc>
          <w:tcPr>
            <w:tcW w:w="1842" w:type="dxa"/>
          </w:tcPr>
          <w:p w14:paraId="5A1E3F47" w14:textId="77777777"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£3,758</w:t>
            </w:r>
          </w:p>
        </w:tc>
        <w:tc>
          <w:tcPr>
            <w:tcW w:w="2694" w:type="dxa"/>
          </w:tcPr>
          <w:p w14:paraId="556E7097" w14:textId="69A3067D" w:rsidR="00844595" w:rsidRPr="00B75DCF" w:rsidRDefault="003A34DE" w:rsidP="00E2783D">
            <w:pPr>
              <w:spacing w:line="259" w:lineRule="auto"/>
              <w:jc w:val="center"/>
              <w:rPr>
                <w:rFonts w:cstheme="minorHAnsi"/>
                <w:shd w:val="clear" w:color="auto" w:fill="FFFFFF"/>
              </w:rPr>
            </w:pPr>
            <w:r w:rsidRPr="00B75DCF">
              <w:rPr>
                <w:rFonts w:cstheme="minorHAnsi"/>
                <w:shd w:val="clear" w:color="auto" w:fill="FFFFFF"/>
              </w:rPr>
              <w:t xml:space="preserve">NHS Improvement </w:t>
            </w:r>
            <w:r w:rsidR="00E348B9">
              <w:rPr>
                <w:rFonts w:cstheme="minorHAnsi"/>
                <w:shd w:val="clear" w:color="auto" w:fill="FFFFFF"/>
              </w:rPr>
              <w:t>[</w:t>
            </w:r>
            <w:r w:rsidR="00427D01">
              <w:rPr>
                <w:rFonts w:cstheme="minorHAnsi"/>
                <w:shd w:val="clear" w:color="auto" w:fill="FFFFFF"/>
              </w:rPr>
              <w:t>8</w:t>
            </w:r>
            <w:r w:rsidR="00E348B9">
              <w:rPr>
                <w:rFonts w:cstheme="minorHAnsi"/>
                <w:shd w:val="clear" w:color="auto" w:fill="FFFFFF"/>
              </w:rPr>
              <w:t>]</w:t>
            </w:r>
            <w:r w:rsidRPr="00B75DCF">
              <w:rPr>
                <w:rFonts w:cstheme="minorHAnsi"/>
                <w:shd w:val="clear" w:color="auto" w:fill="FFFFFF"/>
              </w:rPr>
              <w:t xml:space="preserve"> (weighted average of NEL for heart failure EB03A-E)</w:t>
            </w:r>
          </w:p>
        </w:tc>
      </w:tr>
    </w:tbl>
    <w:p w14:paraId="5CEE57FC" w14:textId="1D46CB10" w:rsidR="005C0B58" w:rsidRPr="00B75DCF" w:rsidRDefault="003A34DE" w:rsidP="00E2783D">
      <w:pPr>
        <w:jc w:val="both"/>
        <w:rPr>
          <w:rFonts w:cstheme="minorHAnsi"/>
        </w:rPr>
      </w:pPr>
      <w:r w:rsidRPr="00B75DCF">
        <w:rPr>
          <w:rFonts w:cstheme="minorHAnsi"/>
        </w:rPr>
        <w:t>AF, atrial fibrillation; SAVR, surgical aortic valve replacement; TAVI, transcatheter aortic valve implantation.</w:t>
      </w:r>
    </w:p>
    <w:p w14:paraId="68DADA52" w14:textId="77777777" w:rsidR="00AA6AFB" w:rsidRPr="00B75DCF" w:rsidRDefault="003A34DE">
      <w:pPr>
        <w:rPr>
          <w:rFonts w:ascii="Times New Roman" w:hAnsi="Times New Roman" w:cs="Times New Roman"/>
          <w:b/>
          <w:bCs/>
          <w:sz w:val="20"/>
          <w:szCs w:val="20"/>
        </w:rPr>
      </w:pPr>
      <w:r w:rsidRPr="00B75DCF">
        <w:rPr>
          <w:rFonts w:ascii="Times New Roman" w:hAnsi="Times New Roman" w:cs="Times New Roman"/>
          <w:b/>
          <w:bCs/>
          <w:sz w:val="20"/>
          <w:szCs w:val="20"/>
        </w:rPr>
        <w:br w:type="page"/>
      </w:r>
    </w:p>
    <w:p w14:paraId="7E7626D7" w14:textId="6691EB45" w:rsidR="00AA6AFB" w:rsidRPr="00B75DCF" w:rsidRDefault="003A34DE" w:rsidP="00CC1A8E">
      <w:pPr>
        <w:spacing w:before="120" w:after="120"/>
        <w:rPr>
          <w:rFonts w:cstheme="minorHAnsi"/>
        </w:rPr>
      </w:pPr>
      <w:r w:rsidRPr="00B75DCF">
        <w:rPr>
          <w:rFonts w:cstheme="minorHAnsi"/>
          <w:b/>
          <w:bCs/>
        </w:rPr>
        <w:lastRenderedPageBreak/>
        <w:t xml:space="preserve">Table 3. </w:t>
      </w:r>
      <w:r w:rsidRPr="00B75DCF">
        <w:rPr>
          <w:rFonts w:cstheme="minorHAnsi"/>
        </w:rPr>
        <w:t>Base case results with acute and lifetime costs</w:t>
      </w:r>
      <w:r w:rsidR="009B5002">
        <w:rPr>
          <w:rFonts w:cstheme="minorHAnsi"/>
        </w:rPr>
        <w:t xml:space="preserve"> (probabilistic)</w:t>
      </w:r>
    </w:p>
    <w:tbl>
      <w:tblPr>
        <w:tblW w:w="9271" w:type="dxa"/>
        <w:tblInd w:w="-5" w:type="dxa"/>
        <w:tblCellMar>
          <w:left w:w="70" w:type="dxa"/>
          <w:right w:w="70" w:type="dxa"/>
        </w:tblCellMar>
        <w:tblLook w:val="04A0" w:firstRow="1" w:lastRow="0" w:firstColumn="1" w:lastColumn="0" w:noHBand="0" w:noVBand="1"/>
      </w:tblPr>
      <w:tblGrid>
        <w:gridCol w:w="3120"/>
        <w:gridCol w:w="663"/>
        <w:gridCol w:w="1746"/>
        <w:gridCol w:w="1811"/>
        <w:gridCol w:w="31"/>
        <w:gridCol w:w="1900"/>
      </w:tblGrid>
      <w:tr w:rsidR="007F67FD" w:rsidRPr="00B75DCF" w14:paraId="659C3816" w14:textId="77777777" w:rsidTr="000E6E98">
        <w:trPr>
          <w:trHeight w:val="315"/>
        </w:trPr>
        <w:tc>
          <w:tcPr>
            <w:tcW w:w="3120" w:type="dxa"/>
            <w:tcBorders>
              <w:top w:val="single" w:sz="4" w:space="0" w:color="auto"/>
              <w:left w:val="single" w:sz="4" w:space="0" w:color="auto"/>
              <w:bottom w:val="single" w:sz="4" w:space="0" w:color="auto"/>
              <w:right w:val="single" w:sz="4" w:space="0" w:color="auto"/>
            </w:tcBorders>
            <w:noWrap/>
            <w:vAlign w:val="center"/>
            <w:hideMark/>
          </w:tcPr>
          <w:p w14:paraId="15BD0809" w14:textId="77777777" w:rsidR="00AA6AFB" w:rsidRPr="00B75DCF" w:rsidRDefault="003A34DE" w:rsidP="00CC1A8E">
            <w:pPr>
              <w:spacing w:before="120" w:after="120"/>
              <w:rPr>
                <w:rFonts w:eastAsia="Times New Roman" w:cstheme="minorHAnsi"/>
                <w:b/>
                <w:bCs/>
                <w:lang w:eastAsia="fr-CH"/>
              </w:rPr>
            </w:pPr>
            <w:r w:rsidRPr="00B75DCF">
              <w:rPr>
                <w:rFonts w:eastAsia="Times New Roman" w:cstheme="minorHAnsi"/>
                <w:b/>
                <w:bCs/>
                <w:lang w:eastAsia="fr-CH"/>
              </w:rPr>
              <w:t>Summary results</w:t>
            </w:r>
          </w:p>
        </w:tc>
        <w:tc>
          <w:tcPr>
            <w:tcW w:w="2409" w:type="dxa"/>
            <w:gridSpan w:val="2"/>
            <w:tcBorders>
              <w:top w:val="single" w:sz="4" w:space="0" w:color="auto"/>
              <w:left w:val="nil"/>
              <w:bottom w:val="single" w:sz="4" w:space="0" w:color="auto"/>
              <w:right w:val="single" w:sz="4" w:space="0" w:color="auto"/>
            </w:tcBorders>
            <w:vAlign w:val="center"/>
            <w:hideMark/>
          </w:tcPr>
          <w:p w14:paraId="0FE9F38D" w14:textId="77777777" w:rsidR="00AA6AFB" w:rsidRPr="00B75DCF" w:rsidRDefault="003A34DE" w:rsidP="00CC1A8E">
            <w:pPr>
              <w:spacing w:before="120" w:after="120"/>
              <w:jc w:val="center"/>
              <w:rPr>
                <w:rFonts w:eastAsia="Times New Roman" w:cstheme="minorHAnsi"/>
                <w:b/>
                <w:bCs/>
                <w:lang w:eastAsia="fr-CH"/>
              </w:rPr>
            </w:pPr>
            <w:r w:rsidRPr="00B75DCF">
              <w:rPr>
                <w:rFonts w:eastAsia="Times New Roman" w:cstheme="minorHAnsi"/>
                <w:b/>
                <w:bCs/>
                <w:lang w:eastAsia="fr-CH"/>
              </w:rPr>
              <w:t>TAVI with SAPIEN 3</w:t>
            </w:r>
          </w:p>
        </w:tc>
        <w:tc>
          <w:tcPr>
            <w:tcW w:w="1811" w:type="dxa"/>
            <w:tcBorders>
              <w:top w:val="single" w:sz="4" w:space="0" w:color="auto"/>
              <w:left w:val="nil"/>
              <w:bottom w:val="single" w:sz="4" w:space="0" w:color="auto"/>
              <w:right w:val="single" w:sz="4" w:space="0" w:color="auto"/>
            </w:tcBorders>
            <w:vAlign w:val="center"/>
            <w:hideMark/>
          </w:tcPr>
          <w:p w14:paraId="1D311721" w14:textId="77777777" w:rsidR="00AA6AFB" w:rsidRPr="00B75DCF" w:rsidRDefault="003A34DE" w:rsidP="00CC1A8E">
            <w:pPr>
              <w:spacing w:before="120" w:after="120"/>
              <w:jc w:val="center"/>
              <w:rPr>
                <w:rFonts w:eastAsia="Times New Roman" w:cstheme="minorHAnsi"/>
                <w:b/>
                <w:bCs/>
                <w:lang w:eastAsia="fr-CH"/>
              </w:rPr>
            </w:pPr>
            <w:r w:rsidRPr="00B75DCF">
              <w:rPr>
                <w:rFonts w:eastAsia="Times New Roman" w:cstheme="minorHAnsi"/>
                <w:b/>
                <w:bCs/>
                <w:lang w:eastAsia="fr-CH"/>
              </w:rPr>
              <w:t>SAVR</w:t>
            </w:r>
          </w:p>
        </w:tc>
        <w:tc>
          <w:tcPr>
            <w:tcW w:w="1931" w:type="dxa"/>
            <w:gridSpan w:val="2"/>
            <w:tcBorders>
              <w:top w:val="single" w:sz="4" w:space="0" w:color="auto"/>
              <w:left w:val="nil"/>
              <w:bottom w:val="single" w:sz="4" w:space="0" w:color="auto"/>
              <w:right w:val="single" w:sz="4" w:space="0" w:color="auto"/>
            </w:tcBorders>
            <w:vAlign w:val="center"/>
            <w:hideMark/>
          </w:tcPr>
          <w:p w14:paraId="7F511B96" w14:textId="77777777" w:rsidR="00AA6AFB" w:rsidRPr="00B75DCF" w:rsidRDefault="003A34DE" w:rsidP="00CC1A8E">
            <w:pPr>
              <w:spacing w:before="120" w:after="120"/>
              <w:jc w:val="center"/>
              <w:rPr>
                <w:rFonts w:eastAsia="Times New Roman" w:cstheme="minorHAnsi"/>
                <w:b/>
                <w:bCs/>
                <w:lang w:eastAsia="fr-CH"/>
              </w:rPr>
            </w:pPr>
            <w:r w:rsidRPr="00B75DCF">
              <w:rPr>
                <w:rFonts w:eastAsia="Times New Roman" w:cstheme="minorHAnsi"/>
                <w:b/>
                <w:bCs/>
                <w:lang w:eastAsia="fr-CH"/>
              </w:rPr>
              <w:t>Incremental</w:t>
            </w:r>
          </w:p>
        </w:tc>
      </w:tr>
      <w:tr w:rsidR="0023582F" w:rsidRPr="00B75DCF" w14:paraId="08477BC9" w14:textId="77777777" w:rsidTr="000E6E98">
        <w:trPr>
          <w:trHeight w:val="315"/>
        </w:trPr>
        <w:tc>
          <w:tcPr>
            <w:tcW w:w="3120" w:type="dxa"/>
            <w:tcBorders>
              <w:top w:val="nil"/>
              <w:left w:val="single" w:sz="4" w:space="0" w:color="auto"/>
              <w:bottom w:val="nil"/>
              <w:right w:val="nil"/>
            </w:tcBorders>
            <w:noWrap/>
            <w:vAlign w:val="center"/>
            <w:hideMark/>
          </w:tcPr>
          <w:p w14:paraId="352081BA" w14:textId="77777777" w:rsidR="0023582F" w:rsidRPr="00B75DCF" w:rsidRDefault="0023582F" w:rsidP="0023582F">
            <w:pPr>
              <w:spacing w:before="120" w:after="120"/>
              <w:rPr>
                <w:rFonts w:eastAsia="Times New Roman" w:cstheme="minorHAnsi"/>
                <w:lang w:eastAsia="fr-CH"/>
              </w:rPr>
            </w:pPr>
            <w:r w:rsidRPr="00B75DCF">
              <w:rPr>
                <w:rFonts w:eastAsia="Times New Roman" w:cstheme="minorHAnsi"/>
                <w:lang w:eastAsia="fr-CH"/>
              </w:rPr>
              <w:t>Cost per patient</w:t>
            </w:r>
          </w:p>
        </w:tc>
        <w:tc>
          <w:tcPr>
            <w:tcW w:w="2409" w:type="dxa"/>
            <w:gridSpan w:val="2"/>
            <w:tcBorders>
              <w:top w:val="single" w:sz="8" w:space="0" w:color="auto"/>
              <w:left w:val="single" w:sz="8" w:space="0" w:color="auto"/>
              <w:bottom w:val="nil"/>
              <w:right w:val="single" w:sz="8" w:space="0" w:color="000000"/>
            </w:tcBorders>
            <w:noWrap/>
            <w:vAlign w:val="center"/>
          </w:tcPr>
          <w:p w14:paraId="3B1D9F54" w14:textId="702163D5" w:rsidR="0023582F" w:rsidRPr="00B75DCF" w:rsidRDefault="0023582F" w:rsidP="0023582F">
            <w:pPr>
              <w:spacing w:before="120" w:after="120"/>
              <w:jc w:val="center"/>
              <w:rPr>
                <w:rFonts w:cstheme="minorHAnsi"/>
                <w:b/>
              </w:rPr>
            </w:pPr>
            <w:r>
              <w:rPr>
                <w:b/>
                <w:bCs/>
              </w:rPr>
              <w:t>£42,640</w:t>
            </w:r>
          </w:p>
        </w:tc>
        <w:tc>
          <w:tcPr>
            <w:tcW w:w="1811" w:type="dxa"/>
            <w:tcBorders>
              <w:top w:val="nil"/>
              <w:left w:val="nil"/>
              <w:bottom w:val="nil"/>
              <w:right w:val="single" w:sz="8" w:space="0" w:color="auto"/>
            </w:tcBorders>
            <w:noWrap/>
            <w:vAlign w:val="center"/>
          </w:tcPr>
          <w:p w14:paraId="7A761C6C" w14:textId="4BFFC91B" w:rsidR="0023582F" w:rsidRPr="00B75DCF" w:rsidRDefault="0023582F" w:rsidP="0023582F">
            <w:pPr>
              <w:spacing w:before="120" w:after="120"/>
              <w:jc w:val="center"/>
              <w:rPr>
                <w:rFonts w:cstheme="minorHAnsi"/>
                <w:b/>
              </w:rPr>
            </w:pPr>
            <w:r>
              <w:rPr>
                <w:b/>
                <w:bCs/>
              </w:rPr>
              <w:t>£34,641</w:t>
            </w:r>
          </w:p>
        </w:tc>
        <w:tc>
          <w:tcPr>
            <w:tcW w:w="1931" w:type="dxa"/>
            <w:gridSpan w:val="2"/>
            <w:tcBorders>
              <w:top w:val="single" w:sz="8" w:space="0" w:color="auto"/>
              <w:left w:val="single" w:sz="8" w:space="0" w:color="auto"/>
              <w:bottom w:val="nil"/>
              <w:right w:val="single" w:sz="8" w:space="0" w:color="000000"/>
            </w:tcBorders>
            <w:noWrap/>
            <w:vAlign w:val="center"/>
          </w:tcPr>
          <w:p w14:paraId="202D634E" w14:textId="2ED2EBD9" w:rsidR="0023582F" w:rsidRPr="00B75DCF" w:rsidRDefault="0023582F" w:rsidP="0023582F">
            <w:pPr>
              <w:spacing w:before="120" w:after="120"/>
              <w:jc w:val="center"/>
              <w:rPr>
                <w:rFonts w:cstheme="minorHAnsi"/>
                <w:b/>
              </w:rPr>
            </w:pPr>
            <w:r>
              <w:rPr>
                <w:b/>
                <w:bCs/>
              </w:rPr>
              <w:t>£7,999</w:t>
            </w:r>
          </w:p>
        </w:tc>
      </w:tr>
      <w:tr w:rsidR="007F67FD" w:rsidRPr="00B75DCF" w14:paraId="673EC667" w14:textId="77777777" w:rsidTr="000E6E98">
        <w:trPr>
          <w:trHeight w:val="315"/>
        </w:trPr>
        <w:tc>
          <w:tcPr>
            <w:tcW w:w="3120" w:type="dxa"/>
            <w:tcBorders>
              <w:top w:val="nil"/>
              <w:left w:val="single" w:sz="4" w:space="0" w:color="auto"/>
              <w:bottom w:val="nil"/>
              <w:right w:val="nil"/>
            </w:tcBorders>
            <w:noWrap/>
            <w:vAlign w:val="center"/>
          </w:tcPr>
          <w:p w14:paraId="39647655" w14:textId="77777777" w:rsidR="00AA6AFB" w:rsidRPr="00B75DCF" w:rsidRDefault="003A34DE" w:rsidP="00CC1A8E">
            <w:pPr>
              <w:spacing w:before="120" w:after="120"/>
              <w:rPr>
                <w:rFonts w:eastAsia="Times New Roman" w:cstheme="minorHAnsi"/>
                <w:lang w:eastAsia="fr-CH"/>
              </w:rPr>
            </w:pPr>
            <w:r w:rsidRPr="00B75DCF">
              <w:rPr>
                <w:rFonts w:eastAsia="Times New Roman" w:cstheme="minorHAnsi"/>
                <w:lang w:eastAsia="fr-CH"/>
              </w:rPr>
              <w:t>Life year gained (undiscounted)</w:t>
            </w:r>
          </w:p>
        </w:tc>
        <w:tc>
          <w:tcPr>
            <w:tcW w:w="2409" w:type="dxa"/>
            <w:gridSpan w:val="2"/>
            <w:tcBorders>
              <w:top w:val="nil"/>
              <w:left w:val="single" w:sz="8" w:space="0" w:color="auto"/>
              <w:bottom w:val="nil"/>
              <w:right w:val="single" w:sz="8" w:space="0" w:color="000000"/>
            </w:tcBorders>
            <w:noWrap/>
            <w:vAlign w:val="center"/>
          </w:tcPr>
          <w:p w14:paraId="5E1C6A14" w14:textId="77777777" w:rsidR="00AA6AFB" w:rsidRPr="00B75DCF" w:rsidRDefault="003A34DE" w:rsidP="00CC1A8E">
            <w:pPr>
              <w:spacing w:before="120" w:after="120"/>
              <w:jc w:val="center"/>
              <w:rPr>
                <w:rFonts w:eastAsia="Times New Roman" w:cstheme="minorHAnsi"/>
                <w:lang w:eastAsia="fr-CH"/>
              </w:rPr>
            </w:pPr>
            <w:r w:rsidRPr="00B75DCF">
              <w:rPr>
                <w:rFonts w:cstheme="minorHAnsi"/>
              </w:rPr>
              <w:t>12.58</w:t>
            </w:r>
          </w:p>
        </w:tc>
        <w:tc>
          <w:tcPr>
            <w:tcW w:w="1811" w:type="dxa"/>
            <w:tcBorders>
              <w:top w:val="nil"/>
              <w:left w:val="nil"/>
              <w:bottom w:val="nil"/>
              <w:right w:val="single" w:sz="8" w:space="0" w:color="auto"/>
            </w:tcBorders>
            <w:noWrap/>
            <w:vAlign w:val="center"/>
          </w:tcPr>
          <w:p w14:paraId="031E5AE2" w14:textId="77777777" w:rsidR="00AA6AFB" w:rsidRPr="00B75DCF" w:rsidRDefault="003A34DE" w:rsidP="00CC1A8E">
            <w:pPr>
              <w:spacing w:before="120" w:after="120"/>
              <w:jc w:val="center"/>
              <w:rPr>
                <w:rFonts w:eastAsia="Times New Roman" w:cstheme="minorHAnsi"/>
                <w:lang w:eastAsia="fr-CH"/>
              </w:rPr>
            </w:pPr>
            <w:r w:rsidRPr="00B75DCF">
              <w:rPr>
                <w:rFonts w:cstheme="minorHAnsi"/>
              </w:rPr>
              <w:t>12.04</w:t>
            </w:r>
          </w:p>
        </w:tc>
        <w:tc>
          <w:tcPr>
            <w:tcW w:w="1931" w:type="dxa"/>
            <w:gridSpan w:val="2"/>
            <w:tcBorders>
              <w:top w:val="nil"/>
              <w:left w:val="single" w:sz="8" w:space="0" w:color="auto"/>
              <w:bottom w:val="nil"/>
              <w:right w:val="single" w:sz="8" w:space="0" w:color="000000"/>
            </w:tcBorders>
            <w:noWrap/>
            <w:vAlign w:val="center"/>
          </w:tcPr>
          <w:p w14:paraId="3E914CDE" w14:textId="77777777" w:rsidR="00AA6AFB" w:rsidRPr="00B75DCF" w:rsidRDefault="003A34DE" w:rsidP="00CC1A8E">
            <w:pPr>
              <w:spacing w:before="120" w:after="120"/>
              <w:jc w:val="center"/>
              <w:rPr>
                <w:rFonts w:eastAsia="Times New Roman" w:cstheme="minorHAnsi"/>
                <w:lang w:eastAsia="fr-CH"/>
              </w:rPr>
            </w:pPr>
            <w:r w:rsidRPr="00B75DCF">
              <w:rPr>
                <w:rFonts w:cstheme="minorHAnsi"/>
              </w:rPr>
              <w:t>0.54</w:t>
            </w:r>
          </w:p>
        </w:tc>
      </w:tr>
      <w:tr w:rsidR="007F67FD" w:rsidRPr="00B75DCF" w14:paraId="5A04A506" w14:textId="77777777" w:rsidTr="000E6E98">
        <w:trPr>
          <w:trHeight w:val="315"/>
        </w:trPr>
        <w:tc>
          <w:tcPr>
            <w:tcW w:w="3120" w:type="dxa"/>
            <w:tcBorders>
              <w:top w:val="nil"/>
              <w:left w:val="single" w:sz="4" w:space="0" w:color="auto"/>
              <w:bottom w:val="nil"/>
              <w:right w:val="nil"/>
            </w:tcBorders>
            <w:noWrap/>
            <w:vAlign w:val="center"/>
            <w:hideMark/>
          </w:tcPr>
          <w:p w14:paraId="6E4E4185" w14:textId="77777777" w:rsidR="00AA6AFB" w:rsidRPr="00B75DCF" w:rsidRDefault="003A34DE" w:rsidP="00CC1A8E">
            <w:pPr>
              <w:spacing w:before="120" w:after="120"/>
              <w:rPr>
                <w:rFonts w:eastAsia="Times New Roman" w:cstheme="minorHAnsi"/>
                <w:lang w:eastAsia="fr-CH"/>
              </w:rPr>
            </w:pPr>
            <w:r w:rsidRPr="00B75DCF">
              <w:rPr>
                <w:rFonts w:eastAsia="Times New Roman" w:cstheme="minorHAnsi"/>
                <w:lang w:eastAsia="fr-CH"/>
              </w:rPr>
              <w:t>QALYs per patient</w:t>
            </w:r>
          </w:p>
        </w:tc>
        <w:tc>
          <w:tcPr>
            <w:tcW w:w="2409" w:type="dxa"/>
            <w:gridSpan w:val="2"/>
            <w:tcBorders>
              <w:top w:val="nil"/>
              <w:left w:val="single" w:sz="8" w:space="0" w:color="auto"/>
              <w:bottom w:val="single" w:sz="8" w:space="0" w:color="auto"/>
              <w:right w:val="single" w:sz="8" w:space="0" w:color="000000"/>
            </w:tcBorders>
            <w:noWrap/>
            <w:vAlign w:val="center"/>
          </w:tcPr>
          <w:p w14:paraId="4B347EEE" w14:textId="6CAEB1E8" w:rsidR="00AA6AFB" w:rsidRPr="00B75DCF" w:rsidRDefault="002A3825" w:rsidP="00CC1A8E">
            <w:pPr>
              <w:spacing w:before="120" w:after="120"/>
              <w:jc w:val="center"/>
              <w:rPr>
                <w:rFonts w:eastAsia="Times New Roman" w:cstheme="minorHAnsi"/>
                <w:b/>
                <w:bCs/>
                <w:lang w:eastAsia="fr-CH"/>
              </w:rPr>
            </w:pPr>
            <w:r>
              <w:rPr>
                <w:rFonts w:cstheme="minorHAnsi"/>
                <w:b/>
                <w:bCs/>
              </w:rPr>
              <w:t>7.34</w:t>
            </w:r>
          </w:p>
        </w:tc>
        <w:tc>
          <w:tcPr>
            <w:tcW w:w="1811" w:type="dxa"/>
            <w:tcBorders>
              <w:top w:val="nil"/>
              <w:left w:val="nil"/>
              <w:bottom w:val="single" w:sz="8" w:space="0" w:color="auto"/>
              <w:right w:val="single" w:sz="8" w:space="0" w:color="auto"/>
            </w:tcBorders>
            <w:noWrap/>
            <w:vAlign w:val="center"/>
          </w:tcPr>
          <w:p w14:paraId="37F654CA" w14:textId="04EBF577" w:rsidR="00AA6AFB" w:rsidRPr="00B75DCF" w:rsidRDefault="003A34DE" w:rsidP="00CC1A8E">
            <w:pPr>
              <w:spacing w:before="120" w:after="120"/>
              <w:jc w:val="center"/>
              <w:rPr>
                <w:rFonts w:eastAsia="Times New Roman" w:cstheme="minorHAnsi"/>
                <w:b/>
                <w:bCs/>
                <w:lang w:eastAsia="fr-CH"/>
              </w:rPr>
            </w:pPr>
            <w:r w:rsidRPr="00B75DCF">
              <w:rPr>
                <w:rFonts w:cstheme="minorHAnsi"/>
                <w:b/>
                <w:bCs/>
              </w:rPr>
              <w:t>6.</w:t>
            </w:r>
            <w:r w:rsidR="002A3825">
              <w:rPr>
                <w:rFonts w:cstheme="minorHAnsi"/>
                <w:b/>
                <w:bCs/>
              </w:rPr>
              <w:t>87</w:t>
            </w:r>
          </w:p>
        </w:tc>
        <w:tc>
          <w:tcPr>
            <w:tcW w:w="1931" w:type="dxa"/>
            <w:gridSpan w:val="2"/>
            <w:tcBorders>
              <w:top w:val="nil"/>
              <w:left w:val="single" w:sz="8" w:space="0" w:color="auto"/>
              <w:bottom w:val="single" w:sz="8" w:space="0" w:color="auto"/>
              <w:right w:val="single" w:sz="8" w:space="0" w:color="000000"/>
            </w:tcBorders>
            <w:noWrap/>
            <w:vAlign w:val="center"/>
          </w:tcPr>
          <w:p w14:paraId="001FAB8B" w14:textId="6B348429" w:rsidR="00AA6AFB" w:rsidRPr="00B75DCF" w:rsidRDefault="003A34DE" w:rsidP="00CC1A8E">
            <w:pPr>
              <w:spacing w:before="120" w:after="120"/>
              <w:jc w:val="center"/>
              <w:rPr>
                <w:rFonts w:eastAsia="Times New Roman" w:cstheme="minorHAnsi"/>
                <w:b/>
                <w:bCs/>
                <w:lang w:eastAsia="fr-CH"/>
              </w:rPr>
            </w:pPr>
            <w:r w:rsidRPr="00B75DCF">
              <w:rPr>
                <w:rFonts w:cstheme="minorHAnsi"/>
                <w:b/>
                <w:bCs/>
              </w:rPr>
              <w:t>0.4</w:t>
            </w:r>
            <w:r w:rsidR="002A3825">
              <w:rPr>
                <w:rFonts w:cstheme="minorHAnsi"/>
                <w:b/>
                <w:bCs/>
              </w:rPr>
              <w:t>7</w:t>
            </w:r>
          </w:p>
        </w:tc>
      </w:tr>
      <w:tr w:rsidR="009B5002" w:rsidRPr="00B75DCF" w14:paraId="3259C870" w14:textId="77777777" w:rsidTr="00276A2D">
        <w:trPr>
          <w:trHeight w:val="315"/>
        </w:trPr>
        <w:tc>
          <w:tcPr>
            <w:tcW w:w="7340" w:type="dxa"/>
            <w:gridSpan w:val="4"/>
            <w:tcBorders>
              <w:top w:val="single" w:sz="4" w:space="0" w:color="auto"/>
              <w:left w:val="single" w:sz="4" w:space="0" w:color="auto"/>
              <w:bottom w:val="nil"/>
              <w:right w:val="single" w:sz="4" w:space="0" w:color="000000"/>
            </w:tcBorders>
            <w:noWrap/>
            <w:vAlign w:val="center"/>
            <w:hideMark/>
          </w:tcPr>
          <w:p w14:paraId="7F3BB37D" w14:textId="77777777" w:rsidR="009B5002" w:rsidRPr="00B75DCF" w:rsidRDefault="009B5002" w:rsidP="009B5002">
            <w:pPr>
              <w:spacing w:before="120" w:after="120"/>
              <w:rPr>
                <w:rFonts w:eastAsia="Times New Roman" w:cstheme="minorHAnsi"/>
                <w:b/>
                <w:bCs/>
                <w:lang w:eastAsia="fr-CH"/>
              </w:rPr>
            </w:pPr>
            <w:r w:rsidRPr="00B75DCF">
              <w:rPr>
                <w:rFonts w:eastAsia="Times New Roman" w:cstheme="minorHAnsi"/>
                <w:b/>
                <w:bCs/>
                <w:lang w:eastAsia="fr-CH"/>
              </w:rPr>
              <w:t>Incremental cost effectiveness ratio (ICER)</w:t>
            </w:r>
          </w:p>
        </w:tc>
        <w:tc>
          <w:tcPr>
            <w:tcW w:w="1931" w:type="dxa"/>
            <w:gridSpan w:val="2"/>
            <w:tcBorders>
              <w:top w:val="single" w:sz="8" w:space="0" w:color="auto"/>
              <w:left w:val="single" w:sz="8" w:space="0" w:color="000000"/>
              <w:bottom w:val="nil"/>
              <w:right w:val="single" w:sz="8" w:space="0" w:color="000000"/>
            </w:tcBorders>
            <w:noWrap/>
          </w:tcPr>
          <w:p w14:paraId="3061C89C" w14:textId="326FB114" w:rsidR="009B5002" w:rsidRPr="009B5002" w:rsidRDefault="009B5002" w:rsidP="009B5002">
            <w:pPr>
              <w:spacing w:before="120" w:after="120"/>
              <w:jc w:val="center"/>
              <w:rPr>
                <w:rFonts w:eastAsia="Times New Roman" w:cstheme="minorHAnsi"/>
                <w:b/>
                <w:bCs/>
                <w:lang w:eastAsia="fr-CH"/>
              </w:rPr>
            </w:pPr>
            <w:r w:rsidRPr="00276A2D">
              <w:rPr>
                <w:b/>
                <w:bCs/>
              </w:rPr>
              <w:t>£16,979</w:t>
            </w:r>
          </w:p>
        </w:tc>
      </w:tr>
      <w:tr w:rsidR="009B5002" w:rsidRPr="00B75DCF" w14:paraId="6520F998" w14:textId="77777777" w:rsidTr="00276A2D">
        <w:trPr>
          <w:trHeight w:val="315"/>
        </w:trPr>
        <w:tc>
          <w:tcPr>
            <w:tcW w:w="7340" w:type="dxa"/>
            <w:gridSpan w:val="4"/>
            <w:tcBorders>
              <w:top w:val="nil"/>
              <w:left w:val="single" w:sz="4" w:space="0" w:color="auto"/>
              <w:bottom w:val="nil"/>
              <w:right w:val="single" w:sz="4" w:space="0" w:color="000000"/>
            </w:tcBorders>
            <w:noWrap/>
            <w:vAlign w:val="center"/>
            <w:hideMark/>
          </w:tcPr>
          <w:p w14:paraId="396B3A45" w14:textId="633280B5" w:rsidR="009B5002" w:rsidRPr="00B75DCF" w:rsidRDefault="009B5002" w:rsidP="009B5002">
            <w:pPr>
              <w:spacing w:before="120" w:after="120"/>
              <w:rPr>
                <w:rFonts w:eastAsia="Times New Roman" w:cstheme="minorHAnsi"/>
                <w:b/>
                <w:bCs/>
                <w:lang w:eastAsia="fr-CH"/>
              </w:rPr>
            </w:pPr>
            <w:r w:rsidRPr="00B75DCF">
              <w:rPr>
                <w:rFonts w:eastAsia="Times New Roman" w:cstheme="minorHAnsi"/>
                <w:b/>
                <w:bCs/>
                <w:lang w:eastAsia="fr-CH"/>
              </w:rPr>
              <w:t>Incremental net monetary benefit (NMB)</w:t>
            </w:r>
            <w:r w:rsidR="00EF6260">
              <w:rPr>
                <w:rFonts w:eastAsia="Times New Roman" w:cstheme="minorHAnsi"/>
                <w:b/>
                <w:bCs/>
                <w:lang w:eastAsia="fr-CH"/>
              </w:rPr>
              <w:t xml:space="preserve"> (£20,000 per QALY threshold)</w:t>
            </w:r>
          </w:p>
        </w:tc>
        <w:tc>
          <w:tcPr>
            <w:tcW w:w="1931" w:type="dxa"/>
            <w:gridSpan w:val="2"/>
            <w:tcBorders>
              <w:top w:val="nil"/>
              <w:left w:val="single" w:sz="8" w:space="0" w:color="000000"/>
              <w:bottom w:val="nil"/>
              <w:right w:val="single" w:sz="8" w:space="0" w:color="000000"/>
            </w:tcBorders>
            <w:noWrap/>
          </w:tcPr>
          <w:p w14:paraId="61A72AC7" w14:textId="68424D29" w:rsidR="009B5002" w:rsidRPr="00B75DCF" w:rsidRDefault="009B5002" w:rsidP="009B5002">
            <w:pPr>
              <w:spacing w:before="120" w:after="120"/>
              <w:jc w:val="center"/>
              <w:rPr>
                <w:rFonts w:eastAsia="Times New Roman" w:cstheme="minorHAnsi"/>
                <w:lang w:eastAsia="fr-CH"/>
              </w:rPr>
            </w:pPr>
            <w:r w:rsidRPr="001C4022">
              <w:t>£1,423</w:t>
            </w:r>
          </w:p>
        </w:tc>
      </w:tr>
      <w:tr w:rsidR="007F67FD" w:rsidRPr="00B75DCF" w14:paraId="607E6149" w14:textId="77777777" w:rsidTr="000E6E98">
        <w:trPr>
          <w:trHeight w:val="315"/>
        </w:trPr>
        <w:tc>
          <w:tcPr>
            <w:tcW w:w="7340" w:type="dxa"/>
            <w:gridSpan w:val="4"/>
            <w:tcBorders>
              <w:top w:val="nil"/>
              <w:left w:val="single" w:sz="4" w:space="0" w:color="auto"/>
              <w:bottom w:val="single" w:sz="4" w:space="0" w:color="auto"/>
              <w:right w:val="single" w:sz="4" w:space="0" w:color="000000"/>
            </w:tcBorders>
            <w:noWrap/>
            <w:vAlign w:val="center"/>
            <w:hideMark/>
          </w:tcPr>
          <w:p w14:paraId="3D142C3D" w14:textId="0B8461FB" w:rsidR="00AA6AFB" w:rsidRPr="00B75DCF" w:rsidRDefault="003A34DE" w:rsidP="00CC1A8E">
            <w:pPr>
              <w:spacing w:before="120" w:after="120"/>
              <w:rPr>
                <w:rFonts w:eastAsia="Times New Roman" w:cstheme="minorHAnsi"/>
                <w:b/>
                <w:bCs/>
                <w:lang w:eastAsia="fr-CH"/>
              </w:rPr>
            </w:pPr>
            <w:r w:rsidRPr="00B75DCF">
              <w:rPr>
                <w:rFonts w:eastAsia="Times New Roman" w:cstheme="minorHAnsi"/>
                <w:b/>
                <w:bCs/>
                <w:lang w:eastAsia="fr-CH"/>
              </w:rPr>
              <w:t>Incremental net health benefit (NHB)</w:t>
            </w:r>
            <w:r w:rsidR="00EF6260">
              <w:rPr>
                <w:rFonts w:eastAsia="Times New Roman" w:cstheme="minorHAnsi"/>
                <w:b/>
                <w:bCs/>
                <w:lang w:eastAsia="fr-CH"/>
              </w:rPr>
              <w:t xml:space="preserve"> (£20,000 per QALY threshold)</w:t>
            </w:r>
          </w:p>
        </w:tc>
        <w:tc>
          <w:tcPr>
            <w:tcW w:w="1931" w:type="dxa"/>
            <w:gridSpan w:val="2"/>
            <w:tcBorders>
              <w:top w:val="nil"/>
              <w:left w:val="single" w:sz="8" w:space="0" w:color="000000"/>
              <w:bottom w:val="single" w:sz="8" w:space="0" w:color="auto"/>
              <w:right w:val="single" w:sz="8" w:space="0" w:color="000000"/>
            </w:tcBorders>
            <w:noWrap/>
            <w:vAlign w:val="center"/>
          </w:tcPr>
          <w:p w14:paraId="49F1E8D7" w14:textId="5297067F" w:rsidR="00AA6AFB" w:rsidRPr="00B75DCF" w:rsidRDefault="003A34DE" w:rsidP="00CC1A8E">
            <w:pPr>
              <w:spacing w:before="120" w:after="120"/>
              <w:jc w:val="center"/>
              <w:rPr>
                <w:rFonts w:eastAsia="Times New Roman" w:cstheme="minorHAnsi"/>
                <w:lang w:eastAsia="fr-CH"/>
              </w:rPr>
            </w:pPr>
            <w:r w:rsidRPr="00B75DCF">
              <w:rPr>
                <w:rFonts w:cstheme="minorHAnsi"/>
              </w:rPr>
              <w:t>0.0</w:t>
            </w:r>
            <w:r w:rsidR="00077625">
              <w:rPr>
                <w:rFonts w:cstheme="minorHAnsi"/>
              </w:rPr>
              <w:t>7</w:t>
            </w:r>
          </w:p>
        </w:tc>
      </w:tr>
      <w:tr w:rsidR="007F67FD" w:rsidRPr="00B75DCF" w14:paraId="2E816D60" w14:textId="77777777" w:rsidTr="000E6E98">
        <w:trPr>
          <w:trHeight w:val="285"/>
        </w:trPr>
        <w:tc>
          <w:tcPr>
            <w:tcW w:w="9271" w:type="dxa"/>
            <w:gridSpan w:val="6"/>
            <w:tcBorders>
              <w:top w:val="single" w:sz="4" w:space="0" w:color="auto"/>
              <w:left w:val="single" w:sz="4" w:space="0" w:color="auto"/>
              <w:bottom w:val="single" w:sz="4" w:space="0" w:color="auto"/>
              <w:right w:val="single" w:sz="4" w:space="0" w:color="auto"/>
            </w:tcBorders>
            <w:noWrap/>
          </w:tcPr>
          <w:p w14:paraId="2C96C146" w14:textId="77777777" w:rsidR="00AA6AFB" w:rsidRPr="00B75DCF" w:rsidRDefault="003A34DE" w:rsidP="00CC1A8E">
            <w:pPr>
              <w:spacing w:before="120" w:after="120"/>
              <w:rPr>
                <w:rFonts w:eastAsia="Times New Roman" w:cstheme="minorHAnsi"/>
                <w:b/>
                <w:bCs/>
                <w:color w:val="000000"/>
                <w:lang w:eastAsia="fr-CH"/>
              </w:rPr>
            </w:pPr>
            <w:r w:rsidRPr="00B75DCF">
              <w:rPr>
                <w:rFonts w:eastAsia="Times New Roman" w:cstheme="minorHAnsi"/>
                <w:b/>
                <w:bCs/>
                <w:color w:val="000000"/>
                <w:lang w:eastAsia="fr-CH"/>
              </w:rPr>
              <w:t>Acute phase cost (initial procedure)</w:t>
            </w:r>
          </w:p>
        </w:tc>
      </w:tr>
      <w:tr w:rsidR="009B5002" w:rsidRPr="00B75DCF" w14:paraId="03BD397F" w14:textId="77777777" w:rsidTr="000E6E98">
        <w:trPr>
          <w:trHeight w:val="285"/>
        </w:trPr>
        <w:tc>
          <w:tcPr>
            <w:tcW w:w="3783" w:type="dxa"/>
            <w:gridSpan w:val="2"/>
            <w:tcBorders>
              <w:top w:val="single" w:sz="4" w:space="0" w:color="auto"/>
              <w:left w:val="single" w:sz="4" w:space="0" w:color="auto"/>
              <w:bottom w:val="nil"/>
              <w:right w:val="single" w:sz="4" w:space="0" w:color="auto"/>
            </w:tcBorders>
            <w:noWrap/>
            <w:vAlign w:val="bottom"/>
            <w:hideMark/>
          </w:tcPr>
          <w:p w14:paraId="364DD8A3" w14:textId="0D988FDF" w:rsidR="009B5002" w:rsidRPr="00B75DCF" w:rsidRDefault="009B5002" w:rsidP="009B5002">
            <w:pPr>
              <w:spacing w:before="120" w:after="120"/>
              <w:jc w:val="right"/>
              <w:rPr>
                <w:rFonts w:eastAsia="Times New Roman" w:cstheme="minorHAnsi"/>
                <w:b/>
                <w:bCs/>
                <w:color w:val="000000"/>
                <w:lang w:eastAsia="fr-CH"/>
              </w:rPr>
            </w:pPr>
            <w:r w:rsidRPr="00B75DCF">
              <w:rPr>
                <w:rFonts w:eastAsia="Times New Roman" w:cstheme="minorHAnsi"/>
                <w:b/>
                <w:bCs/>
                <w:color w:val="000000"/>
                <w:lang w:eastAsia="fr-CH"/>
              </w:rPr>
              <w:t>Index hospitalization (without pacemaker) – including rehabilitation</w:t>
            </w:r>
          </w:p>
        </w:tc>
        <w:tc>
          <w:tcPr>
            <w:tcW w:w="1746" w:type="dxa"/>
            <w:tcBorders>
              <w:top w:val="nil"/>
              <w:left w:val="nil"/>
              <w:bottom w:val="single" w:sz="4" w:space="0" w:color="auto"/>
              <w:right w:val="single" w:sz="8" w:space="0" w:color="auto"/>
            </w:tcBorders>
            <w:noWrap/>
            <w:vAlign w:val="center"/>
          </w:tcPr>
          <w:p w14:paraId="637CBA1B" w14:textId="06E11680" w:rsidR="009B5002" w:rsidRPr="00B75DCF" w:rsidRDefault="009B5002" w:rsidP="009B5002">
            <w:pPr>
              <w:spacing w:before="120" w:after="120"/>
              <w:jc w:val="center"/>
              <w:rPr>
                <w:rFonts w:cstheme="minorHAnsi"/>
              </w:rPr>
            </w:pPr>
            <w:r>
              <w:t>£30,881</w:t>
            </w:r>
          </w:p>
        </w:tc>
        <w:tc>
          <w:tcPr>
            <w:tcW w:w="1842" w:type="dxa"/>
            <w:gridSpan w:val="2"/>
            <w:tcBorders>
              <w:top w:val="nil"/>
              <w:left w:val="nil"/>
              <w:bottom w:val="single" w:sz="4" w:space="0" w:color="auto"/>
              <w:right w:val="single" w:sz="8" w:space="0" w:color="000000"/>
            </w:tcBorders>
            <w:noWrap/>
            <w:vAlign w:val="center"/>
          </w:tcPr>
          <w:p w14:paraId="42FC964B" w14:textId="0428D03F" w:rsidR="009B5002" w:rsidRPr="00B75DCF" w:rsidRDefault="009B5002" w:rsidP="009B5002">
            <w:pPr>
              <w:spacing w:before="120" w:after="120"/>
              <w:jc w:val="center"/>
              <w:rPr>
                <w:rFonts w:cstheme="minorHAnsi"/>
              </w:rPr>
            </w:pPr>
            <w:r>
              <w:t>£22,863</w:t>
            </w:r>
          </w:p>
        </w:tc>
        <w:tc>
          <w:tcPr>
            <w:tcW w:w="1900" w:type="dxa"/>
            <w:tcBorders>
              <w:top w:val="single" w:sz="8" w:space="0" w:color="auto"/>
              <w:left w:val="nil"/>
              <w:bottom w:val="single" w:sz="4" w:space="0" w:color="auto"/>
              <w:right w:val="single" w:sz="8" w:space="0" w:color="auto"/>
            </w:tcBorders>
            <w:noWrap/>
            <w:vAlign w:val="center"/>
          </w:tcPr>
          <w:p w14:paraId="6F1E9814" w14:textId="2CC9A6A7" w:rsidR="009B5002" w:rsidRPr="00B75DCF" w:rsidRDefault="009B5002" w:rsidP="009B5002">
            <w:pPr>
              <w:spacing w:before="120" w:after="120"/>
              <w:jc w:val="center"/>
              <w:rPr>
                <w:rFonts w:cstheme="minorHAnsi"/>
              </w:rPr>
            </w:pPr>
            <w:r>
              <w:t>£8,017</w:t>
            </w:r>
          </w:p>
        </w:tc>
      </w:tr>
      <w:tr w:rsidR="009B5002" w:rsidRPr="00B75DCF" w14:paraId="23DF2C50" w14:textId="77777777" w:rsidTr="000E6E98">
        <w:trPr>
          <w:trHeight w:val="293"/>
        </w:trPr>
        <w:tc>
          <w:tcPr>
            <w:tcW w:w="378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noWrap/>
            <w:vAlign w:val="bottom"/>
            <w:hideMark/>
          </w:tcPr>
          <w:p w14:paraId="0D5364ED" w14:textId="77777777" w:rsidR="009B5002" w:rsidRPr="00B75DCF" w:rsidRDefault="009B5002" w:rsidP="009B5002">
            <w:pPr>
              <w:spacing w:before="120" w:after="120"/>
              <w:jc w:val="right"/>
              <w:rPr>
                <w:rFonts w:eastAsia="Times New Roman" w:cstheme="minorHAnsi"/>
                <w:b/>
                <w:bCs/>
                <w:color w:val="000000"/>
                <w:lang w:eastAsia="fr-CH"/>
              </w:rPr>
            </w:pPr>
            <w:r w:rsidRPr="00B75DCF">
              <w:rPr>
                <w:rFonts w:eastAsia="Times New Roman" w:cstheme="minorHAnsi"/>
                <w:b/>
                <w:bCs/>
                <w:color w:val="000000"/>
                <w:lang w:eastAsia="fr-CH"/>
              </w:rPr>
              <w:t>Acute phase costs</w:t>
            </w:r>
          </w:p>
        </w:tc>
        <w:tc>
          <w:tcPr>
            <w:tcW w:w="1746" w:type="dxa"/>
            <w:tcBorders>
              <w:top w:val="single" w:sz="4" w:space="0" w:color="auto"/>
              <w:left w:val="nil"/>
              <w:bottom w:val="single" w:sz="8" w:space="0" w:color="auto"/>
              <w:right w:val="single" w:sz="8" w:space="0" w:color="auto"/>
            </w:tcBorders>
            <w:shd w:val="clear" w:color="000000" w:fill="D9D9D9"/>
            <w:noWrap/>
            <w:vAlign w:val="center"/>
          </w:tcPr>
          <w:p w14:paraId="53539CE2" w14:textId="4F0B1D1F" w:rsidR="009B5002" w:rsidRPr="00B75DCF" w:rsidRDefault="009B5002" w:rsidP="009B5002">
            <w:pPr>
              <w:spacing w:before="120" w:after="120"/>
              <w:jc w:val="center"/>
              <w:rPr>
                <w:rFonts w:eastAsia="Times New Roman" w:cstheme="minorHAnsi"/>
                <w:b/>
                <w:bCs/>
                <w:color w:val="000000"/>
                <w:lang w:eastAsia="fr-CH"/>
              </w:rPr>
            </w:pPr>
            <w:r>
              <w:rPr>
                <w:b/>
                <w:bCs/>
              </w:rPr>
              <w:t>£30,881</w:t>
            </w:r>
          </w:p>
        </w:tc>
        <w:tc>
          <w:tcPr>
            <w:tcW w:w="1842" w:type="dxa"/>
            <w:gridSpan w:val="2"/>
            <w:tcBorders>
              <w:top w:val="single" w:sz="4" w:space="0" w:color="auto"/>
              <w:left w:val="nil"/>
              <w:bottom w:val="single" w:sz="8" w:space="0" w:color="auto"/>
              <w:right w:val="single" w:sz="8" w:space="0" w:color="000000"/>
            </w:tcBorders>
            <w:shd w:val="clear" w:color="000000" w:fill="D9D9D9"/>
            <w:noWrap/>
            <w:vAlign w:val="center"/>
          </w:tcPr>
          <w:p w14:paraId="49B65A33" w14:textId="786920E6" w:rsidR="009B5002" w:rsidRPr="00B75DCF" w:rsidRDefault="009B5002" w:rsidP="009B5002">
            <w:pPr>
              <w:spacing w:before="120" w:after="120"/>
              <w:jc w:val="center"/>
              <w:rPr>
                <w:rFonts w:eastAsia="Times New Roman" w:cstheme="minorHAnsi"/>
                <w:b/>
                <w:bCs/>
                <w:color w:val="000000"/>
                <w:lang w:eastAsia="fr-CH"/>
              </w:rPr>
            </w:pPr>
            <w:r>
              <w:rPr>
                <w:b/>
                <w:bCs/>
              </w:rPr>
              <w:t>£22,863</w:t>
            </w:r>
          </w:p>
        </w:tc>
        <w:tc>
          <w:tcPr>
            <w:tcW w:w="1900" w:type="dxa"/>
            <w:tcBorders>
              <w:top w:val="single" w:sz="4" w:space="0" w:color="auto"/>
              <w:left w:val="nil"/>
              <w:bottom w:val="single" w:sz="8" w:space="0" w:color="auto"/>
              <w:right w:val="single" w:sz="8" w:space="0" w:color="auto"/>
            </w:tcBorders>
            <w:shd w:val="clear" w:color="000000" w:fill="D9D9D9"/>
            <w:noWrap/>
            <w:vAlign w:val="center"/>
          </w:tcPr>
          <w:p w14:paraId="73AF3708" w14:textId="7420144F" w:rsidR="009B5002" w:rsidRPr="009B5002" w:rsidRDefault="009B5002" w:rsidP="009B5002">
            <w:pPr>
              <w:spacing w:before="120" w:after="120"/>
              <w:jc w:val="center"/>
              <w:rPr>
                <w:rFonts w:eastAsia="Times New Roman" w:cstheme="minorHAnsi"/>
                <w:b/>
                <w:bCs/>
                <w:color w:val="000000"/>
                <w:lang w:eastAsia="fr-CH"/>
              </w:rPr>
            </w:pPr>
            <w:r w:rsidRPr="00276A2D">
              <w:rPr>
                <w:b/>
                <w:bCs/>
              </w:rPr>
              <w:t>£8,017</w:t>
            </w:r>
          </w:p>
        </w:tc>
      </w:tr>
      <w:tr w:rsidR="007F67FD" w:rsidRPr="00B75DCF" w14:paraId="61675F5A" w14:textId="77777777" w:rsidTr="000E6E98">
        <w:trPr>
          <w:trHeight w:val="293"/>
        </w:trPr>
        <w:tc>
          <w:tcPr>
            <w:tcW w:w="9271" w:type="dxa"/>
            <w:gridSpan w:val="6"/>
            <w:tcBorders>
              <w:top w:val="single" w:sz="4" w:space="0" w:color="auto"/>
              <w:left w:val="single" w:sz="4" w:space="0" w:color="auto"/>
              <w:bottom w:val="single" w:sz="4" w:space="0" w:color="auto"/>
              <w:right w:val="single" w:sz="4" w:space="0" w:color="auto"/>
            </w:tcBorders>
            <w:noWrap/>
          </w:tcPr>
          <w:p w14:paraId="43B3BD06" w14:textId="77777777" w:rsidR="00AA6AFB" w:rsidRPr="00B75DCF" w:rsidRDefault="003A34DE" w:rsidP="00CC1A8E">
            <w:pPr>
              <w:spacing w:before="120" w:after="120"/>
              <w:rPr>
                <w:rFonts w:eastAsia="Times New Roman" w:cstheme="minorHAnsi"/>
                <w:b/>
                <w:bCs/>
                <w:color w:val="000000"/>
                <w:lang w:eastAsia="fr-CH"/>
              </w:rPr>
            </w:pPr>
            <w:r w:rsidRPr="00B75DCF">
              <w:rPr>
                <w:rFonts w:cstheme="minorHAnsi"/>
                <w:b/>
                <w:bCs/>
              </w:rPr>
              <w:t>Additional costs at 1 year</w:t>
            </w:r>
          </w:p>
        </w:tc>
      </w:tr>
      <w:tr w:rsidR="009B5002" w:rsidRPr="00B75DCF" w14:paraId="261623B4" w14:textId="77777777" w:rsidTr="00276A2D">
        <w:trPr>
          <w:trHeight w:val="293"/>
        </w:trPr>
        <w:tc>
          <w:tcPr>
            <w:tcW w:w="3783" w:type="dxa"/>
            <w:gridSpan w:val="2"/>
            <w:tcBorders>
              <w:top w:val="single" w:sz="4" w:space="0" w:color="auto"/>
              <w:left w:val="single" w:sz="4" w:space="0" w:color="auto"/>
              <w:right w:val="single" w:sz="4" w:space="0" w:color="auto"/>
            </w:tcBorders>
            <w:noWrap/>
          </w:tcPr>
          <w:p w14:paraId="55C1E72C" w14:textId="60BA68F2" w:rsidR="009B5002" w:rsidRPr="00B75DCF" w:rsidRDefault="003B37B3" w:rsidP="009B5002">
            <w:pPr>
              <w:spacing w:before="120" w:after="120"/>
              <w:jc w:val="right"/>
              <w:rPr>
                <w:rFonts w:eastAsia="Times New Roman" w:cstheme="minorHAnsi"/>
                <w:b/>
                <w:bCs/>
                <w:color w:val="000000"/>
                <w:lang w:eastAsia="fr-CH"/>
              </w:rPr>
            </w:pPr>
            <w:r>
              <w:rPr>
                <w:rFonts w:cstheme="minorHAnsi"/>
              </w:rPr>
              <w:t xml:space="preserve">Bleeding, </w:t>
            </w:r>
            <w:r w:rsidR="009B5002" w:rsidRPr="00B75DCF">
              <w:rPr>
                <w:rFonts w:cstheme="minorHAnsi"/>
              </w:rPr>
              <w:t>MI</w:t>
            </w:r>
            <w:r>
              <w:rPr>
                <w:rFonts w:cstheme="minorHAnsi"/>
              </w:rPr>
              <w:t xml:space="preserve"> and TIA </w:t>
            </w:r>
          </w:p>
        </w:tc>
        <w:tc>
          <w:tcPr>
            <w:tcW w:w="1746" w:type="dxa"/>
            <w:tcBorders>
              <w:top w:val="nil"/>
              <w:left w:val="nil"/>
              <w:bottom w:val="nil"/>
              <w:right w:val="single" w:sz="8" w:space="0" w:color="auto"/>
            </w:tcBorders>
            <w:noWrap/>
            <w:vAlign w:val="center"/>
          </w:tcPr>
          <w:p w14:paraId="0ACE56E8" w14:textId="0DB8052D" w:rsidR="009B5002" w:rsidRPr="00B75DCF" w:rsidRDefault="009B5002" w:rsidP="009B5002">
            <w:pPr>
              <w:spacing w:before="120" w:after="120"/>
              <w:jc w:val="center"/>
              <w:rPr>
                <w:rFonts w:eastAsia="Times New Roman" w:cstheme="minorHAnsi"/>
                <w:b/>
                <w:bCs/>
                <w:lang w:eastAsia="fr-CH"/>
              </w:rPr>
            </w:pPr>
            <w:r>
              <w:t>£162</w:t>
            </w:r>
          </w:p>
        </w:tc>
        <w:tc>
          <w:tcPr>
            <w:tcW w:w="1842" w:type="dxa"/>
            <w:gridSpan w:val="2"/>
            <w:tcBorders>
              <w:top w:val="single" w:sz="8" w:space="0" w:color="auto"/>
              <w:left w:val="nil"/>
              <w:bottom w:val="nil"/>
              <w:right w:val="single" w:sz="8" w:space="0" w:color="000000"/>
            </w:tcBorders>
            <w:noWrap/>
            <w:vAlign w:val="center"/>
          </w:tcPr>
          <w:p w14:paraId="28E8C68B" w14:textId="67AB472B" w:rsidR="009B5002" w:rsidRPr="00B75DCF" w:rsidRDefault="009B5002" w:rsidP="009B5002">
            <w:pPr>
              <w:spacing w:before="120" w:after="120"/>
              <w:jc w:val="center"/>
              <w:rPr>
                <w:rFonts w:eastAsia="Times New Roman" w:cstheme="minorHAnsi"/>
                <w:b/>
                <w:bCs/>
                <w:lang w:eastAsia="fr-CH"/>
              </w:rPr>
            </w:pPr>
            <w:r>
              <w:t>£70</w:t>
            </w:r>
          </w:p>
        </w:tc>
        <w:tc>
          <w:tcPr>
            <w:tcW w:w="1900" w:type="dxa"/>
            <w:tcBorders>
              <w:top w:val="nil"/>
              <w:left w:val="nil"/>
              <w:bottom w:val="nil"/>
              <w:right w:val="single" w:sz="8" w:space="0" w:color="auto"/>
            </w:tcBorders>
            <w:noWrap/>
            <w:vAlign w:val="center"/>
          </w:tcPr>
          <w:p w14:paraId="0515882F" w14:textId="30D622D3" w:rsidR="009B5002" w:rsidRPr="00B75DCF" w:rsidRDefault="009B5002" w:rsidP="009B5002">
            <w:pPr>
              <w:spacing w:before="120" w:after="120"/>
              <w:jc w:val="center"/>
              <w:rPr>
                <w:rFonts w:eastAsia="Times New Roman" w:cstheme="minorHAnsi"/>
                <w:b/>
                <w:bCs/>
                <w:lang w:eastAsia="fr-CH"/>
              </w:rPr>
            </w:pPr>
            <w:r>
              <w:t>£92</w:t>
            </w:r>
          </w:p>
        </w:tc>
      </w:tr>
      <w:tr w:rsidR="009B5002" w:rsidRPr="00B75DCF" w14:paraId="25D54319" w14:textId="77777777" w:rsidTr="00276A2D">
        <w:trPr>
          <w:trHeight w:val="293"/>
        </w:trPr>
        <w:tc>
          <w:tcPr>
            <w:tcW w:w="3783" w:type="dxa"/>
            <w:gridSpan w:val="2"/>
            <w:tcBorders>
              <w:left w:val="single" w:sz="4" w:space="0" w:color="auto"/>
              <w:right w:val="single" w:sz="4" w:space="0" w:color="auto"/>
            </w:tcBorders>
            <w:noWrap/>
          </w:tcPr>
          <w:p w14:paraId="3A6485CF" w14:textId="77777777" w:rsidR="009B5002" w:rsidRPr="00B75DCF" w:rsidRDefault="009B5002" w:rsidP="009B5002">
            <w:pPr>
              <w:spacing w:before="120" w:after="120"/>
              <w:jc w:val="right"/>
              <w:rPr>
                <w:rFonts w:eastAsia="Times New Roman" w:cstheme="minorHAnsi"/>
                <w:b/>
                <w:bCs/>
                <w:color w:val="000000"/>
                <w:lang w:eastAsia="fr-CH"/>
              </w:rPr>
            </w:pPr>
            <w:r w:rsidRPr="00B75DCF">
              <w:rPr>
                <w:rFonts w:cstheme="minorHAnsi"/>
              </w:rPr>
              <w:t>Costs of pacemaker complications</w:t>
            </w:r>
          </w:p>
        </w:tc>
        <w:tc>
          <w:tcPr>
            <w:tcW w:w="1746" w:type="dxa"/>
            <w:tcBorders>
              <w:top w:val="nil"/>
              <w:left w:val="nil"/>
              <w:bottom w:val="nil"/>
              <w:right w:val="single" w:sz="8" w:space="0" w:color="auto"/>
            </w:tcBorders>
            <w:noWrap/>
            <w:vAlign w:val="center"/>
          </w:tcPr>
          <w:p w14:paraId="3D6E32BC" w14:textId="2202C934" w:rsidR="009B5002" w:rsidRPr="00B75DCF" w:rsidRDefault="009B5002" w:rsidP="009B5002">
            <w:pPr>
              <w:spacing w:before="120" w:after="120"/>
              <w:jc w:val="center"/>
              <w:rPr>
                <w:rFonts w:eastAsia="Times New Roman" w:cstheme="minorHAnsi"/>
                <w:b/>
                <w:bCs/>
                <w:lang w:eastAsia="fr-CH"/>
              </w:rPr>
            </w:pPr>
            <w:r>
              <w:t>£94</w:t>
            </w:r>
          </w:p>
        </w:tc>
        <w:tc>
          <w:tcPr>
            <w:tcW w:w="1842" w:type="dxa"/>
            <w:gridSpan w:val="2"/>
            <w:tcBorders>
              <w:top w:val="nil"/>
              <w:left w:val="nil"/>
              <w:bottom w:val="nil"/>
              <w:right w:val="single" w:sz="8" w:space="0" w:color="000000"/>
            </w:tcBorders>
            <w:noWrap/>
            <w:vAlign w:val="center"/>
          </w:tcPr>
          <w:p w14:paraId="479D3CA6" w14:textId="5FED8D7B" w:rsidR="009B5002" w:rsidRPr="00B75DCF" w:rsidRDefault="009B5002" w:rsidP="009B5002">
            <w:pPr>
              <w:spacing w:before="120" w:after="120"/>
              <w:jc w:val="center"/>
              <w:rPr>
                <w:rFonts w:eastAsia="Times New Roman" w:cstheme="minorHAnsi"/>
                <w:b/>
                <w:bCs/>
                <w:lang w:eastAsia="fr-CH"/>
              </w:rPr>
            </w:pPr>
            <w:r>
              <w:t>£56</w:t>
            </w:r>
          </w:p>
        </w:tc>
        <w:tc>
          <w:tcPr>
            <w:tcW w:w="1900" w:type="dxa"/>
            <w:tcBorders>
              <w:top w:val="nil"/>
              <w:left w:val="nil"/>
              <w:bottom w:val="nil"/>
              <w:right w:val="single" w:sz="8" w:space="0" w:color="auto"/>
            </w:tcBorders>
            <w:noWrap/>
            <w:vAlign w:val="center"/>
          </w:tcPr>
          <w:p w14:paraId="762C8AC9" w14:textId="37598D5D" w:rsidR="009B5002" w:rsidRPr="00B75DCF" w:rsidRDefault="009B5002" w:rsidP="009B5002">
            <w:pPr>
              <w:spacing w:before="120" w:after="120"/>
              <w:jc w:val="center"/>
              <w:rPr>
                <w:rFonts w:eastAsia="Times New Roman" w:cstheme="minorHAnsi"/>
                <w:b/>
                <w:bCs/>
                <w:lang w:eastAsia="fr-CH"/>
              </w:rPr>
            </w:pPr>
            <w:r>
              <w:t>£37</w:t>
            </w:r>
          </w:p>
        </w:tc>
      </w:tr>
      <w:tr w:rsidR="009B5002" w:rsidRPr="00B75DCF" w14:paraId="6122F79F" w14:textId="77777777" w:rsidTr="00276A2D">
        <w:trPr>
          <w:trHeight w:val="293"/>
        </w:trPr>
        <w:tc>
          <w:tcPr>
            <w:tcW w:w="3783" w:type="dxa"/>
            <w:gridSpan w:val="2"/>
            <w:tcBorders>
              <w:left w:val="single" w:sz="4" w:space="0" w:color="auto"/>
              <w:right w:val="single" w:sz="4" w:space="0" w:color="auto"/>
            </w:tcBorders>
            <w:noWrap/>
          </w:tcPr>
          <w:p w14:paraId="017BD626" w14:textId="77777777" w:rsidR="009B5002" w:rsidRPr="00B75DCF" w:rsidRDefault="009B5002" w:rsidP="009B5002">
            <w:pPr>
              <w:spacing w:before="120" w:after="120"/>
              <w:jc w:val="right"/>
              <w:rPr>
                <w:rFonts w:eastAsia="Times New Roman" w:cstheme="minorHAnsi"/>
                <w:b/>
                <w:bCs/>
                <w:color w:val="000000"/>
                <w:lang w:eastAsia="fr-CH"/>
              </w:rPr>
            </w:pPr>
            <w:r w:rsidRPr="00B75DCF">
              <w:rPr>
                <w:rFonts w:cstheme="minorHAnsi"/>
              </w:rPr>
              <w:t>Costs of hospitalizations</w:t>
            </w:r>
          </w:p>
        </w:tc>
        <w:tc>
          <w:tcPr>
            <w:tcW w:w="1746" w:type="dxa"/>
            <w:tcBorders>
              <w:top w:val="nil"/>
              <w:left w:val="nil"/>
              <w:bottom w:val="nil"/>
              <w:right w:val="single" w:sz="8" w:space="0" w:color="auto"/>
            </w:tcBorders>
            <w:noWrap/>
            <w:vAlign w:val="center"/>
          </w:tcPr>
          <w:p w14:paraId="06D32EE6" w14:textId="0190EEEC" w:rsidR="009B5002" w:rsidRPr="00B75DCF" w:rsidRDefault="009B5002" w:rsidP="009B5002">
            <w:pPr>
              <w:spacing w:before="120" w:after="120"/>
              <w:jc w:val="center"/>
              <w:rPr>
                <w:rFonts w:eastAsia="Times New Roman" w:cstheme="minorHAnsi"/>
                <w:b/>
                <w:bCs/>
                <w:lang w:eastAsia="fr-CH"/>
              </w:rPr>
            </w:pPr>
            <w:r>
              <w:t>£259</w:t>
            </w:r>
          </w:p>
        </w:tc>
        <w:tc>
          <w:tcPr>
            <w:tcW w:w="1842" w:type="dxa"/>
            <w:gridSpan w:val="2"/>
            <w:tcBorders>
              <w:top w:val="nil"/>
              <w:left w:val="nil"/>
              <w:bottom w:val="nil"/>
              <w:right w:val="single" w:sz="8" w:space="0" w:color="000000"/>
            </w:tcBorders>
            <w:noWrap/>
            <w:vAlign w:val="center"/>
          </w:tcPr>
          <w:p w14:paraId="6EBADEC8" w14:textId="302A87D0" w:rsidR="009B5002" w:rsidRPr="00B75DCF" w:rsidRDefault="009B5002" w:rsidP="009B5002">
            <w:pPr>
              <w:spacing w:before="120" w:after="120"/>
              <w:jc w:val="center"/>
              <w:rPr>
                <w:rFonts w:eastAsia="Times New Roman" w:cstheme="minorHAnsi"/>
                <w:b/>
                <w:bCs/>
                <w:lang w:eastAsia="fr-CH"/>
              </w:rPr>
            </w:pPr>
            <w:r>
              <w:t>£391</w:t>
            </w:r>
          </w:p>
        </w:tc>
        <w:tc>
          <w:tcPr>
            <w:tcW w:w="1900" w:type="dxa"/>
            <w:tcBorders>
              <w:top w:val="nil"/>
              <w:left w:val="nil"/>
              <w:bottom w:val="nil"/>
              <w:right w:val="single" w:sz="8" w:space="0" w:color="auto"/>
            </w:tcBorders>
            <w:noWrap/>
            <w:vAlign w:val="center"/>
          </w:tcPr>
          <w:p w14:paraId="120190F6" w14:textId="6AA8F341" w:rsidR="009B5002" w:rsidRPr="009B5002" w:rsidRDefault="009B5002" w:rsidP="009B5002">
            <w:pPr>
              <w:spacing w:before="120" w:after="120"/>
              <w:jc w:val="center"/>
              <w:rPr>
                <w:rFonts w:eastAsia="Times New Roman" w:cstheme="minorHAnsi"/>
                <w:b/>
                <w:bCs/>
                <w:lang w:eastAsia="fr-CH"/>
              </w:rPr>
            </w:pPr>
            <w:r w:rsidRPr="00276A2D">
              <w:t>-£132</w:t>
            </w:r>
          </w:p>
        </w:tc>
      </w:tr>
      <w:tr w:rsidR="009B5002" w:rsidRPr="00B75DCF" w14:paraId="0C043089" w14:textId="77777777" w:rsidTr="00276A2D">
        <w:trPr>
          <w:trHeight w:val="293"/>
        </w:trPr>
        <w:tc>
          <w:tcPr>
            <w:tcW w:w="3783" w:type="dxa"/>
            <w:gridSpan w:val="2"/>
            <w:tcBorders>
              <w:left w:val="single" w:sz="4" w:space="0" w:color="auto"/>
              <w:bottom w:val="single" w:sz="4" w:space="0" w:color="auto"/>
              <w:right w:val="single" w:sz="4" w:space="0" w:color="auto"/>
            </w:tcBorders>
            <w:noWrap/>
          </w:tcPr>
          <w:p w14:paraId="158268D4" w14:textId="77777777" w:rsidR="009B5002" w:rsidRPr="00B75DCF" w:rsidRDefault="009B5002" w:rsidP="009B5002">
            <w:pPr>
              <w:spacing w:before="120" w:after="120"/>
              <w:jc w:val="right"/>
              <w:rPr>
                <w:rFonts w:eastAsia="Times New Roman" w:cstheme="minorHAnsi"/>
                <w:b/>
                <w:bCs/>
                <w:color w:val="000000"/>
                <w:lang w:eastAsia="fr-CH"/>
              </w:rPr>
            </w:pPr>
            <w:r w:rsidRPr="00B75DCF">
              <w:rPr>
                <w:rFonts w:cstheme="minorHAnsi"/>
              </w:rPr>
              <w:t>Re-intervention costs</w:t>
            </w:r>
          </w:p>
        </w:tc>
        <w:tc>
          <w:tcPr>
            <w:tcW w:w="1746" w:type="dxa"/>
            <w:tcBorders>
              <w:top w:val="nil"/>
              <w:left w:val="nil"/>
              <w:bottom w:val="single" w:sz="8" w:space="0" w:color="auto"/>
              <w:right w:val="single" w:sz="8" w:space="0" w:color="auto"/>
            </w:tcBorders>
            <w:noWrap/>
            <w:vAlign w:val="center"/>
          </w:tcPr>
          <w:p w14:paraId="46FC4D3B" w14:textId="6E88EEE6" w:rsidR="009B5002" w:rsidRPr="00B75DCF" w:rsidRDefault="009B5002" w:rsidP="009B5002">
            <w:pPr>
              <w:spacing w:before="120" w:after="120"/>
              <w:jc w:val="center"/>
              <w:rPr>
                <w:rFonts w:eastAsia="Times New Roman" w:cstheme="minorHAnsi"/>
                <w:b/>
                <w:bCs/>
                <w:lang w:eastAsia="fr-CH"/>
              </w:rPr>
            </w:pPr>
            <w:r>
              <w:t>£137</w:t>
            </w:r>
          </w:p>
        </w:tc>
        <w:tc>
          <w:tcPr>
            <w:tcW w:w="1842" w:type="dxa"/>
            <w:gridSpan w:val="2"/>
            <w:tcBorders>
              <w:top w:val="nil"/>
              <w:left w:val="nil"/>
              <w:bottom w:val="single" w:sz="8" w:space="0" w:color="auto"/>
              <w:right w:val="single" w:sz="8" w:space="0" w:color="000000"/>
            </w:tcBorders>
            <w:noWrap/>
            <w:vAlign w:val="center"/>
          </w:tcPr>
          <w:p w14:paraId="582B9D75" w14:textId="1641CD77" w:rsidR="009B5002" w:rsidRPr="00B75DCF" w:rsidRDefault="009B5002" w:rsidP="009B5002">
            <w:pPr>
              <w:spacing w:before="120" w:after="120"/>
              <w:jc w:val="center"/>
              <w:rPr>
                <w:rFonts w:eastAsia="Times New Roman" w:cstheme="minorHAnsi"/>
                <w:b/>
                <w:bCs/>
                <w:lang w:eastAsia="fr-CH"/>
              </w:rPr>
            </w:pPr>
            <w:r>
              <w:t>£136</w:t>
            </w:r>
          </w:p>
        </w:tc>
        <w:tc>
          <w:tcPr>
            <w:tcW w:w="1900" w:type="dxa"/>
            <w:tcBorders>
              <w:top w:val="nil"/>
              <w:left w:val="nil"/>
              <w:bottom w:val="nil"/>
              <w:right w:val="single" w:sz="8" w:space="0" w:color="auto"/>
            </w:tcBorders>
            <w:noWrap/>
            <w:vAlign w:val="center"/>
          </w:tcPr>
          <w:p w14:paraId="1C448738" w14:textId="757414E3" w:rsidR="009B5002" w:rsidRPr="009B5002" w:rsidRDefault="009B5002" w:rsidP="009B5002">
            <w:pPr>
              <w:spacing w:before="120" w:after="120"/>
              <w:jc w:val="center"/>
              <w:rPr>
                <w:rFonts w:eastAsia="Times New Roman" w:cstheme="minorHAnsi"/>
                <w:b/>
                <w:bCs/>
                <w:lang w:eastAsia="fr-CH"/>
              </w:rPr>
            </w:pPr>
            <w:r w:rsidRPr="009B5002">
              <w:t>£1</w:t>
            </w:r>
          </w:p>
        </w:tc>
      </w:tr>
      <w:tr w:rsidR="009B5002" w:rsidRPr="00B75DCF" w14:paraId="44983D4C" w14:textId="77777777" w:rsidTr="00276A2D">
        <w:trPr>
          <w:trHeight w:val="293"/>
        </w:trPr>
        <w:tc>
          <w:tcPr>
            <w:tcW w:w="3783" w:type="dxa"/>
            <w:gridSpan w:val="2"/>
            <w:tcBorders>
              <w:top w:val="single" w:sz="4" w:space="0" w:color="auto"/>
              <w:left w:val="single" w:sz="4" w:space="0" w:color="auto"/>
              <w:right w:val="single" w:sz="4" w:space="0" w:color="auto"/>
            </w:tcBorders>
            <w:noWrap/>
          </w:tcPr>
          <w:p w14:paraId="17C6AC4C" w14:textId="77777777" w:rsidR="009B5002" w:rsidRPr="00B75DCF" w:rsidRDefault="009B5002" w:rsidP="009B5002">
            <w:pPr>
              <w:spacing w:before="120" w:after="120"/>
              <w:jc w:val="right"/>
              <w:rPr>
                <w:rFonts w:eastAsia="Times New Roman" w:cstheme="minorHAnsi"/>
                <w:b/>
                <w:bCs/>
                <w:color w:val="000000"/>
                <w:lang w:eastAsia="fr-CH"/>
              </w:rPr>
            </w:pPr>
            <w:r w:rsidRPr="00B75DCF">
              <w:rPr>
                <w:rFonts w:cstheme="minorHAnsi"/>
              </w:rPr>
              <w:t>Alive and well health state costs</w:t>
            </w:r>
          </w:p>
        </w:tc>
        <w:tc>
          <w:tcPr>
            <w:tcW w:w="1746" w:type="dxa"/>
            <w:tcBorders>
              <w:top w:val="nil"/>
              <w:left w:val="nil"/>
              <w:bottom w:val="nil"/>
              <w:right w:val="single" w:sz="8" w:space="0" w:color="auto"/>
            </w:tcBorders>
            <w:noWrap/>
            <w:vAlign w:val="center"/>
          </w:tcPr>
          <w:p w14:paraId="3BCC9FC0" w14:textId="01522D53" w:rsidR="009B5002" w:rsidRPr="00B75DCF" w:rsidRDefault="009B5002" w:rsidP="009B5002">
            <w:pPr>
              <w:spacing w:before="120" w:after="120"/>
              <w:jc w:val="center"/>
              <w:rPr>
                <w:rFonts w:eastAsia="Times New Roman" w:cstheme="minorHAnsi"/>
                <w:b/>
                <w:bCs/>
                <w:lang w:eastAsia="fr-CH"/>
              </w:rPr>
            </w:pPr>
            <w:r>
              <w:t>£921</w:t>
            </w:r>
          </w:p>
        </w:tc>
        <w:tc>
          <w:tcPr>
            <w:tcW w:w="1842" w:type="dxa"/>
            <w:gridSpan w:val="2"/>
            <w:tcBorders>
              <w:top w:val="single" w:sz="8" w:space="0" w:color="auto"/>
              <w:left w:val="nil"/>
              <w:bottom w:val="nil"/>
              <w:right w:val="single" w:sz="8" w:space="0" w:color="000000"/>
            </w:tcBorders>
            <w:noWrap/>
            <w:vAlign w:val="center"/>
          </w:tcPr>
          <w:p w14:paraId="34194ECF" w14:textId="48A16926" w:rsidR="009B5002" w:rsidRPr="00B75DCF" w:rsidRDefault="009B5002" w:rsidP="009B5002">
            <w:pPr>
              <w:spacing w:before="120" w:after="120"/>
              <w:jc w:val="center"/>
              <w:rPr>
                <w:rFonts w:eastAsia="Times New Roman" w:cstheme="minorHAnsi"/>
                <w:b/>
                <w:bCs/>
                <w:lang w:eastAsia="fr-CH"/>
              </w:rPr>
            </w:pPr>
            <w:r>
              <w:t>£617</w:t>
            </w:r>
          </w:p>
        </w:tc>
        <w:tc>
          <w:tcPr>
            <w:tcW w:w="1900" w:type="dxa"/>
            <w:tcBorders>
              <w:top w:val="single" w:sz="4" w:space="0" w:color="auto"/>
              <w:left w:val="nil"/>
              <w:bottom w:val="nil"/>
              <w:right w:val="single" w:sz="8" w:space="0" w:color="auto"/>
            </w:tcBorders>
            <w:noWrap/>
            <w:vAlign w:val="center"/>
          </w:tcPr>
          <w:p w14:paraId="49F12EAB" w14:textId="734B9FC9" w:rsidR="009B5002" w:rsidRPr="009B5002" w:rsidRDefault="009B5002" w:rsidP="009B5002">
            <w:pPr>
              <w:spacing w:before="120" w:after="120"/>
              <w:jc w:val="center"/>
              <w:rPr>
                <w:rFonts w:eastAsia="Times New Roman" w:cstheme="minorHAnsi"/>
                <w:b/>
                <w:bCs/>
                <w:lang w:eastAsia="fr-CH"/>
              </w:rPr>
            </w:pPr>
            <w:r w:rsidRPr="009B5002">
              <w:t>£304</w:t>
            </w:r>
          </w:p>
        </w:tc>
      </w:tr>
      <w:tr w:rsidR="009B5002" w:rsidRPr="00B75DCF" w14:paraId="07C7892C" w14:textId="77777777" w:rsidTr="00276A2D">
        <w:trPr>
          <w:trHeight w:val="293"/>
        </w:trPr>
        <w:tc>
          <w:tcPr>
            <w:tcW w:w="3783" w:type="dxa"/>
            <w:gridSpan w:val="2"/>
            <w:tcBorders>
              <w:left w:val="single" w:sz="4" w:space="0" w:color="auto"/>
              <w:right w:val="single" w:sz="4" w:space="0" w:color="auto"/>
            </w:tcBorders>
            <w:noWrap/>
          </w:tcPr>
          <w:p w14:paraId="1F746B05" w14:textId="77777777" w:rsidR="009B5002" w:rsidRPr="00B75DCF" w:rsidRDefault="009B5002" w:rsidP="009B5002">
            <w:pPr>
              <w:spacing w:before="120" w:after="120"/>
              <w:jc w:val="right"/>
              <w:rPr>
                <w:rFonts w:eastAsia="Times New Roman" w:cstheme="minorHAnsi"/>
                <w:b/>
                <w:bCs/>
                <w:color w:val="000000"/>
                <w:lang w:eastAsia="fr-CH"/>
              </w:rPr>
            </w:pPr>
            <w:r w:rsidRPr="00B75DCF">
              <w:rPr>
                <w:rFonts w:cstheme="minorHAnsi"/>
              </w:rPr>
              <w:t xml:space="preserve"> Treated AF health state costs</w:t>
            </w:r>
          </w:p>
        </w:tc>
        <w:tc>
          <w:tcPr>
            <w:tcW w:w="1746" w:type="dxa"/>
            <w:tcBorders>
              <w:top w:val="nil"/>
              <w:left w:val="nil"/>
              <w:bottom w:val="nil"/>
              <w:right w:val="single" w:sz="8" w:space="0" w:color="auto"/>
            </w:tcBorders>
            <w:noWrap/>
            <w:vAlign w:val="center"/>
          </w:tcPr>
          <w:p w14:paraId="503A738F" w14:textId="373DC42D" w:rsidR="009B5002" w:rsidRPr="00B75DCF" w:rsidRDefault="009B5002" w:rsidP="009B5002">
            <w:pPr>
              <w:spacing w:before="120" w:after="120"/>
              <w:jc w:val="center"/>
              <w:rPr>
                <w:rFonts w:eastAsia="Times New Roman" w:cstheme="minorHAnsi"/>
                <w:b/>
                <w:bCs/>
                <w:lang w:eastAsia="fr-CH"/>
              </w:rPr>
            </w:pPr>
            <w:r>
              <w:t>£36</w:t>
            </w:r>
          </w:p>
        </w:tc>
        <w:tc>
          <w:tcPr>
            <w:tcW w:w="1842" w:type="dxa"/>
            <w:gridSpan w:val="2"/>
            <w:tcBorders>
              <w:top w:val="nil"/>
              <w:left w:val="nil"/>
              <w:bottom w:val="nil"/>
              <w:right w:val="single" w:sz="8" w:space="0" w:color="000000"/>
            </w:tcBorders>
            <w:noWrap/>
            <w:vAlign w:val="center"/>
          </w:tcPr>
          <w:p w14:paraId="6D701F7F" w14:textId="579BCA63" w:rsidR="009B5002" w:rsidRPr="00B75DCF" w:rsidRDefault="009B5002" w:rsidP="009B5002">
            <w:pPr>
              <w:spacing w:before="120" w:after="120"/>
              <w:jc w:val="center"/>
              <w:rPr>
                <w:rFonts w:eastAsia="Times New Roman" w:cstheme="minorHAnsi"/>
                <w:b/>
                <w:bCs/>
                <w:lang w:eastAsia="fr-CH"/>
              </w:rPr>
            </w:pPr>
            <w:r>
              <w:t>£274</w:t>
            </w:r>
          </w:p>
        </w:tc>
        <w:tc>
          <w:tcPr>
            <w:tcW w:w="1900" w:type="dxa"/>
            <w:tcBorders>
              <w:top w:val="nil"/>
              <w:left w:val="nil"/>
              <w:bottom w:val="nil"/>
              <w:right w:val="single" w:sz="8" w:space="0" w:color="auto"/>
            </w:tcBorders>
            <w:noWrap/>
            <w:vAlign w:val="center"/>
          </w:tcPr>
          <w:p w14:paraId="01753038" w14:textId="0EB02237" w:rsidR="009B5002" w:rsidRPr="009B5002" w:rsidRDefault="009B5002" w:rsidP="009B5002">
            <w:pPr>
              <w:spacing w:before="120" w:after="120"/>
              <w:jc w:val="center"/>
              <w:rPr>
                <w:rFonts w:eastAsia="Times New Roman" w:cstheme="minorHAnsi"/>
                <w:b/>
                <w:bCs/>
                <w:lang w:eastAsia="fr-CH"/>
              </w:rPr>
            </w:pPr>
            <w:r w:rsidRPr="00276A2D">
              <w:t>-£237</w:t>
            </w:r>
          </w:p>
        </w:tc>
      </w:tr>
      <w:tr w:rsidR="009B5002" w:rsidRPr="00B75DCF" w14:paraId="0D0325CC" w14:textId="77777777" w:rsidTr="00276A2D">
        <w:trPr>
          <w:trHeight w:val="293"/>
        </w:trPr>
        <w:tc>
          <w:tcPr>
            <w:tcW w:w="3783" w:type="dxa"/>
            <w:gridSpan w:val="2"/>
            <w:tcBorders>
              <w:left w:val="single" w:sz="4" w:space="0" w:color="auto"/>
              <w:right w:val="single" w:sz="4" w:space="0" w:color="auto"/>
            </w:tcBorders>
            <w:noWrap/>
          </w:tcPr>
          <w:p w14:paraId="0CE612A3" w14:textId="77777777" w:rsidR="009B5002" w:rsidRPr="00B75DCF" w:rsidRDefault="009B5002" w:rsidP="009B5002">
            <w:pPr>
              <w:spacing w:before="120" w:after="120"/>
              <w:jc w:val="right"/>
              <w:rPr>
                <w:rFonts w:eastAsia="Times New Roman" w:cstheme="minorHAnsi"/>
                <w:b/>
                <w:bCs/>
                <w:color w:val="000000"/>
                <w:lang w:eastAsia="fr-CH"/>
              </w:rPr>
            </w:pPr>
            <w:r w:rsidRPr="00B75DCF">
              <w:rPr>
                <w:rFonts w:cstheme="minorHAnsi"/>
              </w:rPr>
              <w:t>Disabling stroke costs</w:t>
            </w:r>
          </w:p>
        </w:tc>
        <w:tc>
          <w:tcPr>
            <w:tcW w:w="1746" w:type="dxa"/>
            <w:tcBorders>
              <w:top w:val="nil"/>
              <w:left w:val="nil"/>
              <w:bottom w:val="nil"/>
              <w:right w:val="single" w:sz="8" w:space="0" w:color="auto"/>
            </w:tcBorders>
            <w:noWrap/>
            <w:vAlign w:val="center"/>
          </w:tcPr>
          <w:p w14:paraId="7165B84A" w14:textId="161D6130" w:rsidR="009B5002" w:rsidRPr="00B75DCF" w:rsidRDefault="009B5002" w:rsidP="009B5002">
            <w:pPr>
              <w:spacing w:before="120" w:after="120"/>
              <w:jc w:val="center"/>
              <w:rPr>
                <w:rFonts w:eastAsia="Times New Roman" w:cstheme="minorHAnsi"/>
                <w:b/>
                <w:bCs/>
                <w:lang w:eastAsia="fr-CH"/>
              </w:rPr>
            </w:pPr>
            <w:r>
              <w:t>£39</w:t>
            </w:r>
          </w:p>
        </w:tc>
        <w:tc>
          <w:tcPr>
            <w:tcW w:w="1842" w:type="dxa"/>
            <w:gridSpan w:val="2"/>
            <w:tcBorders>
              <w:top w:val="nil"/>
              <w:left w:val="nil"/>
              <w:bottom w:val="nil"/>
              <w:right w:val="single" w:sz="8" w:space="0" w:color="000000"/>
            </w:tcBorders>
            <w:noWrap/>
            <w:vAlign w:val="center"/>
          </w:tcPr>
          <w:p w14:paraId="665BD27F" w14:textId="002633AD" w:rsidR="009B5002" w:rsidRPr="00B75DCF" w:rsidRDefault="009B5002" w:rsidP="009B5002">
            <w:pPr>
              <w:spacing w:before="120" w:after="120"/>
              <w:jc w:val="center"/>
              <w:rPr>
                <w:rFonts w:eastAsia="Times New Roman" w:cstheme="minorHAnsi"/>
                <w:b/>
                <w:bCs/>
                <w:lang w:eastAsia="fr-CH"/>
              </w:rPr>
            </w:pPr>
            <w:r>
              <w:t>£169</w:t>
            </w:r>
          </w:p>
        </w:tc>
        <w:tc>
          <w:tcPr>
            <w:tcW w:w="1900" w:type="dxa"/>
            <w:tcBorders>
              <w:top w:val="nil"/>
              <w:left w:val="nil"/>
              <w:bottom w:val="nil"/>
              <w:right w:val="single" w:sz="8" w:space="0" w:color="auto"/>
            </w:tcBorders>
            <w:noWrap/>
            <w:vAlign w:val="center"/>
          </w:tcPr>
          <w:p w14:paraId="6BA75209" w14:textId="54992107" w:rsidR="009B5002" w:rsidRPr="009B5002" w:rsidRDefault="009B5002" w:rsidP="009B5002">
            <w:pPr>
              <w:spacing w:before="120" w:after="120"/>
              <w:jc w:val="center"/>
              <w:rPr>
                <w:rFonts w:eastAsia="Times New Roman" w:cstheme="minorHAnsi"/>
                <w:b/>
                <w:bCs/>
                <w:lang w:eastAsia="fr-CH"/>
              </w:rPr>
            </w:pPr>
            <w:r w:rsidRPr="00276A2D">
              <w:t>-£131</w:t>
            </w:r>
          </w:p>
        </w:tc>
      </w:tr>
      <w:tr w:rsidR="009B5002" w:rsidRPr="00B75DCF" w14:paraId="5E3270DC" w14:textId="77777777" w:rsidTr="00890292">
        <w:trPr>
          <w:trHeight w:val="293"/>
        </w:trPr>
        <w:tc>
          <w:tcPr>
            <w:tcW w:w="3783" w:type="dxa"/>
            <w:gridSpan w:val="2"/>
            <w:tcBorders>
              <w:left w:val="single" w:sz="4" w:space="0" w:color="auto"/>
              <w:bottom w:val="single" w:sz="4" w:space="0" w:color="auto"/>
              <w:right w:val="single" w:sz="4" w:space="0" w:color="auto"/>
            </w:tcBorders>
            <w:noWrap/>
          </w:tcPr>
          <w:p w14:paraId="4CCDC6C5" w14:textId="77777777" w:rsidR="009B5002" w:rsidRPr="00B75DCF" w:rsidRDefault="009B5002" w:rsidP="009B5002">
            <w:pPr>
              <w:spacing w:before="120" w:after="120"/>
              <w:jc w:val="right"/>
              <w:rPr>
                <w:rFonts w:eastAsia="Times New Roman" w:cstheme="minorHAnsi"/>
                <w:b/>
                <w:bCs/>
                <w:color w:val="000000"/>
                <w:lang w:eastAsia="fr-CH"/>
              </w:rPr>
            </w:pPr>
            <w:r w:rsidRPr="00B75DCF">
              <w:rPr>
                <w:rFonts w:cstheme="minorHAnsi"/>
              </w:rPr>
              <w:t>Death costs</w:t>
            </w:r>
          </w:p>
        </w:tc>
        <w:tc>
          <w:tcPr>
            <w:tcW w:w="1746" w:type="dxa"/>
            <w:tcBorders>
              <w:top w:val="nil"/>
              <w:left w:val="nil"/>
              <w:bottom w:val="single" w:sz="8" w:space="0" w:color="auto"/>
              <w:right w:val="single" w:sz="8" w:space="0" w:color="auto"/>
            </w:tcBorders>
            <w:noWrap/>
            <w:vAlign w:val="center"/>
          </w:tcPr>
          <w:p w14:paraId="0D4F4E3C" w14:textId="1194F7B1" w:rsidR="009B5002" w:rsidRPr="00B75DCF" w:rsidRDefault="009B5002" w:rsidP="009B5002">
            <w:pPr>
              <w:spacing w:before="120" w:after="120"/>
              <w:jc w:val="center"/>
              <w:rPr>
                <w:rFonts w:eastAsia="Times New Roman" w:cstheme="minorHAnsi"/>
                <w:b/>
                <w:bCs/>
                <w:lang w:eastAsia="fr-CH"/>
              </w:rPr>
            </w:pPr>
            <w:r>
              <w:t>£0</w:t>
            </w:r>
          </w:p>
        </w:tc>
        <w:tc>
          <w:tcPr>
            <w:tcW w:w="1842" w:type="dxa"/>
            <w:gridSpan w:val="2"/>
            <w:tcBorders>
              <w:top w:val="nil"/>
              <w:left w:val="nil"/>
              <w:bottom w:val="single" w:sz="8" w:space="0" w:color="auto"/>
              <w:right w:val="single" w:sz="8" w:space="0" w:color="000000"/>
            </w:tcBorders>
            <w:noWrap/>
            <w:vAlign w:val="center"/>
          </w:tcPr>
          <w:p w14:paraId="3678FF08" w14:textId="1AEF039D" w:rsidR="009B5002" w:rsidRPr="00B75DCF" w:rsidRDefault="009B5002" w:rsidP="009B5002">
            <w:pPr>
              <w:spacing w:before="120" w:after="120"/>
              <w:jc w:val="center"/>
              <w:rPr>
                <w:rFonts w:eastAsia="Times New Roman" w:cstheme="minorHAnsi"/>
                <w:b/>
                <w:bCs/>
                <w:lang w:eastAsia="fr-CH"/>
              </w:rPr>
            </w:pPr>
            <w:r>
              <w:t>£0</w:t>
            </w:r>
          </w:p>
        </w:tc>
        <w:tc>
          <w:tcPr>
            <w:tcW w:w="1900" w:type="dxa"/>
            <w:tcBorders>
              <w:top w:val="nil"/>
              <w:left w:val="nil"/>
              <w:bottom w:val="single" w:sz="4" w:space="0" w:color="auto"/>
              <w:right w:val="single" w:sz="8" w:space="0" w:color="auto"/>
            </w:tcBorders>
            <w:noWrap/>
            <w:vAlign w:val="center"/>
          </w:tcPr>
          <w:p w14:paraId="5ADCA853" w14:textId="5E6A6E5B" w:rsidR="009B5002" w:rsidRPr="00B75DCF" w:rsidRDefault="009B5002" w:rsidP="009B5002">
            <w:pPr>
              <w:spacing w:before="120" w:after="120"/>
              <w:jc w:val="center"/>
              <w:rPr>
                <w:rFonts w:eastAsia="Times New Roman" w:cstheme="minorHAnsi"/>
                <w:b/>
                <w:bCs/>
                <w:lang w:eastAsia="fr-CH"/>
              </w:rPr>
            </w:pPr>
            <w:r>
              <w:t>£0</w:t>
            </w:r>
          </w:p>
        </w:tc>
      </w:tr>
      <w:tr w:rsidR="009B5002" w:rsidRPr="00B75DCF" w14:paraId="4360129B" w14:textId="77777777" w:rsidTr="00890292">
        <w:trPr>
          <w:trHeight w:val="293"/>
        </w:trPr>
        <w:tc>
          <w:tcPr>
            <w:tcW w:w="37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02099AA" w14:textId="77777777" w:rsidR="009B5002" w:rsidRPr="00B75DCF" w:rsidRDefault="009B5002" w:rsidP="009B5002">
            <w:pPr>
              <w:spacing w:before="120" w:after="120"/>
              <w:jc w:val="right"/>
              <w:rPr>
                <w:rFonts w:eastAsia="Times New Roman" w:cstheme="minorHAnsi"/>
                <w:b/>
                <w:bCs/>
                <w:color w:val="000000"/>
                <w:lang w:eastAsia="fr-CH"/>
              </w:rPr>
            </w:pPr>
            <w:r w:rsidRPr="00B75DCF">
              <w:rPr>
                <w:rFonts w:cstheme="minorHAnsi"/>
                <w:b/>
                <w:bCs/>
              </w:rPr>
              <w:t>Total costs at 1 year</w:t>
            </w:r>
          </w:p>
        </w:tc>
        <w:tc>
          <w:tcPr>
            <w:tcW w:w="1746" w:type="dxa"/>
            <w:tcBorders>
              <w:top w:val="nil"/>
              <w:left w:val="nil"/>
              <w:bottom w:val="single" w:sz="8" w:space="0" w:color="auto"/>
              <w:right w:val="single" w:sz="8" w:space="0" w:color="auto"/>
            </w:tcBorders>
            <w:shd w:val="clear" w:color="000000" w:fill="D9D9D9"/>
            <w:noWrap/>
            <w:vAlign w:val="center"/>
          </w:tcPr>
          <w:p w14:paraId="0DB3DE43" w14:textId="34188E79" w:rsidR="009B5002" w:rsidRPr="00B75DCF" w:rsidRDefault="009B5002" w:rsidP="009B5002">
            <w:pPr>
              <w:spacing w:before="120" w:after="120"/>
              <w:jc w:val="center"/>
              <w:rPr>
                <w:rFonts w:eastAsia="Times New Roman" w:cstheme="minorHAnsi"/>
                <w:b/>
                <w:bCs/>
                <w:lang w:eastAsia="fr-CH"/>
              </w:rPr>
            </w:pPr>
            <w:r>
              <w:rPr>
                <w:b/>
                <w:bCs/>
              </w:rPr>
              <w:t>£32,529</w:t>
            </w:r>
          </w:p>
        </w:tc>
        <w:tc>
          <w:tcPr>
            <w:tcW w:w="1842" w:type="dxa"/>
            <w:gridSpan w:val="2"/>
            <w:tcBorders>
              <w:top w:val="single" w:sz="8" w:space="0" w:color="auto"/>
              <w:left w:val="nil"/>
              <w:bottom w:val="single" w:sz="8" w:space="0" w:color="auto"/>
              <w:right w:val="single" w:sz="8" w:space="0" w:color="000000"/>
            </w:tcBorders>
            <w:shd w:val="clear" w:color="000000" w:fill="D9D9D9"/>
            <w:noWrap/>
            <w:vAlign w:val="center"/>
          </w:tcPr>
          <w:p w14:paraId="4862591A" w14:textId="2D1E83A3" w:rsidR="009B5002" w:rsidRPr="00B75DCF" w:rsidRDefault="009B5002" w:rsidP="009B5002">
            <w:pPr>
              <w:spacing w:before="120" w:after="120"/>
              <w:jc w:val="center"/>
              <w:rPr>
                <w:rFonts w:eastAsia="Times New Roman" w:cstheme="minorHAnsi"/>
                <w:b/>
                <w:bCs/>
                <w:lang w:eastAsia="fr-CH"/>
              </w:rPr>
            </w:pPr>
            <w:r>
              <w:rPr>
                <w:b/>
                <w:bCs/>
              </w:rPr>
              <w:t>£24,577</w:t>
            </w:r>
          </w:p>
        </w:tc>
        <w:tc>
          <w:tcPr>
            <w:tcW w:w="1900" w:type="dxa"/>
            <w:tcBorders>
              <w:top w:val="single" w:sz="4" w:space="0" w:color="auto"/>
              <w:left w:val="nil"/>
              <w:bottom w:val="single" w:sz="8" w:space="0" w:color="auto"/>
              <w:right w:val="single" w:sz="8" w:space="0" w:color="auto"/>
            </w:tcBorders>
            <w:shd w:val="clear" w:color="000000" w:fill="D9D9D9"/>
            <w:noWrap/>
            <w:vAlign w:val="center"/>
          </w:tcPr>
          <w:p w14:paraId="00010D18" w14:textId="06ACC93A" w:rsidR="009B5002" w:rsidRPr="00EF6260" w:rsidRDefault="009B5002" w:rsidP="009B5002">
            <w:pPr>
              <w:spacing w:before="120" w:after="120"/>
              <w:jc w:val="center"/>
              <w:rPr>
                <w:rFonts w:eastAsia="Times New Roman" w:cstheme="minorHAnsi"/>
                <w:b/>
                <w:bCs/>
                <w:lang w:eastAsia="fr-CH"/>
              </w:rPr>
            </w:pPr>
            <w:r w:rsidRPr="00890292">
              <w:rPr>
                <w:b/>
                <w:bCs/>
              </w:rPr>
              <w:t>£7,952</w:t>
            </w:r>
          </w:p>
        </w:tc>
      </w:tr>
      <w:tr w:rsidR="007F67FD" w:rsidRPr="00B75DCF" w14:paraId="1598A36D" w14:textId="77777777" w:rsidTr="000E6E98">
        <w:trPr>
          <w:trHeight w:val="293"/>
        </w:trPr>
        <w:tc>
          <w:tcPr>
            <w:tcW w:w="9271" w:type="dxa"/>
            <w:gridSpan w:val="6"/>
            <w:tcBorders>
              <w:top w:val="single" w:sz="4" w:space="0" w:color="auto"/>
              <w:left w:val="single" w:sz="4" w:space="0" w:color="auto"/>
              <w:bottom w:val="single" w:sz="4" w:space="0" w:color="auto"/>
              <w:right w:val="single" w:sz="4" w:space="0" w:color="auto"/>
            </w:tcBorders>
            <w:noWrap/>
          </w:tcPr>
          <w:p w14:paraId="57B6A9B0" w14:textId="77777777" w:rsidR="00AA6AFB" w:rsidRPr="00B75DCF" w:rsidRDefault="003A34DE" w:rsidP="00CC1A8E">
            <w:pPr>
              <w:spacing w:before="120" w:after="120"/>
              <w:rPr>
                <w:rFonts w:eastAsia="Times New Roman" w:cstheme="minorHAnsi"/>
                <w:b/>
                <w:bCs/>
                <w:color w:val="000000"/>
                <w:lang w:eastAsia="fr-CH"/>
              </w:rPr>
            </w:pPr>
            <w:r w:rsidRPr="00B75DCF">
              <w:rPr>
                <w:rFonts w:cstheme="minorHAnsi"/>
                <w:b/>
                <w:bCs/>
              </w:rPr>
              <w:t>Additional lifetime costs</w:t>
            </w:r>
          </w:p>
        </w:tc>
      </w:tr>
      <w:tr w:rsidR="009B5002" w:rsidRPr="00B75DCF" w14:paraId="6B474B82" w14:textId="77777777" w:rsidTr="00276A2D">
        <w:trPr>
          <w:trHeight w:val="293"/>
        </w:trPr>
        <w:tc>
          <w:tcPr>
            <w:tcW w:w="3783" w:type="dxa"/>
            <w:gridSpan w:val="2"/>
            <w:tcBorders>
              <w:top w:val="single" w:sz="4" w:space="0" w:color="auto"/>
              <w:left w:val="single" w:sz="4" w:space="0" w:color="auto"/>
              <w:right w:val="single" w:sz="4" w:space="0" w:color="auto"/>
            </w:tcBorders>
            <w:noWrap/>
          </w:tcPr>
          <w:p w14:paraId="1BC241F3" w14:textId="77777777" w:rsidR="009B5002" w:rsidRPr="00B75DCF" w:rsidRDefault="009B5002" w:rsidP="009B5002">
            <w:pPr>
              <w:spacing w:before="120" w:after="120"/>
              <w:jc w:val="right"/>
              <w:rPr>
                <w:rFonts w:eastAsia="Times New Roman" w:cstheme="minorHAnsi"/>
                <w:b/>
                <w:bCs/>
                <w:color w:val="000000"/>
                <w:lang w:eastAsia="fr-CH"/>
              </w:rPr>
            </w:pPr>
            <w:r w:rsidRPr="00B75DCF">
              <w:rPr>
                <w:rFonts w:cstheme="minorHAnsi"/>
              </w:rPr>
              <w:t>Costs of pacemaker complications</w:t>
            </w:r>
          </w:p>
        </w:tc>
        <w:tc>
          <w:tcPr>
            <w:tcW w:w="1746" w:type="dxa"/>
            <w:tcBorders>
              <w:top w:val="nil"/>
              <w:left w:val="nil"/>
              <w:bottom w:val="nil"/>
              <w:right w:val="single" w:sz="8" w:space="0" w:color="auto"/>
            </w:tcBorders>
            <w:noWrap/>
            <w:vAlign w:val="center"/>
          </w:tcPr>
          <w:p w14:paraId="0668C758" w14:textId="2DB074B6" w:rsidR="009B5002" w:rsidRPr="00B75DCF" w:rsidRDefault="009B5002" w:rsidP="009B5002">
            <w:pPr>
              <w:spacing w:before="120" w:after="120"/>
              <w:jc w:val="center"/>
              <w:rPr>
                <w:rFonts w:eastAsia="Times New Roman" w:cstheme="minorHAnsi"/>
                <w:b/>
                <w:bCs/>
                <w:color w:val="000000"/>
                <w:lang w:eastAsia="fr-CH"/>
              </w:rPr>
            </w:pPr>
            <w:r>
              <w:t>£929</w:t>
            </w:r>
          </w:p>
        </w:tc>
        <w:tc>
          <w:tcPr>
            <w:tcW w:w="1842" w:type="dxa"/>
            <w:gridSpan w:val="2"/>
            <w:tcBorders>
              <w:top w:val="single" w:sz="8" w:space="0" w:color="auto"/>
              <w:left w:val="nil"/>
              <w:bottom w:val="nil"/>
              <w:right w:val="single" w:sz="8" w:space="0" w:color="000000"/>
            </w:tcBorders>
            <w:noWrap/>
            <w:vAlign w:val="center"/>
          </w:tcPr>
          <w:p w14:paraId="7CB43A0E" w14:textId="657A3E42" w:rsidR="009B5002" w:rsidRPr="00B75DCF" w:rsidRDefault="009B5002" w:rsidP="009B5002">
            <w:pPr>
              <w:spacing w:before="120" w:after="120"/>
              <w:jc w:val="center"/>
              <w:rPr>
                <w:rFonts w:eastAsia="Times New Roman" w:cstheme="minorHAnsi"/>
                <w:b/>
                <w:bCs/>
                <w:color w:val="000000"/>
                <w:lang w:eastAsia="fr-CH"/>
              </w:rPr>
            </w:pPr>
            <w:r>
              <w:t>£541</w:t>
            </w:r>
          </w:p>
        </w:tc>
        <w:tc>
          <w:tcPr>
            <w:tcW w:w="1900" w:type="dxa"/>
            <w:tcBorders>
              <w:top w:val="nil"/>
              <w:left w:val="nil"/>
              <w:bottom w:val="nil"/>
              <w:right w:val="single" w:sz="8" w:space="0" w:color="auto"/>
            </w:tcBorders>
            <w:noWrap/>
            <w:vAlign w:val="center"/>
          </w:tcPr>
          <w:p w14:paraId="2924290B" w14:textId="1DB36982" w:rsidR="009B5002" w:rsidRPr="00B75DCF" w:rsidRDefault="009B5002" w:rsidP="009B5002">
            <w:pPr>
              <w:spacing w:before="120" w:after="120"/>
              <w:jc w:val="center"/>
              <w:rPr>
                <w:rFonts w:eastAsia="Times New Roman" w:cstheme="minorHAnsi"/>
                <w:b/>
                <w:bCs/>
                <w:color w:val="000000"/>
                <w:lang w:eastAsia="fr-CH"/>
              </w:rPr>
            </w:pPr>
            <w:r>
              <w:t>£388</w:t>
            </w:r>
          </w:p>
        </w:tc>
      </w:tr>
      <w:tr w:rsidR="009B5002" w:rsidRPr="00B75DCF" w14:paraId="64F120D1" w14:textId="77777777" w:rsidTr="00276A2D">
        <w:trPr>
          <w:trHeight w:val="293"/>
        </w:trPr>
        <w:tc>
          <w:tcPr>
            <w:tcW w:w="3783" w:type="dxa"/>
            <w:gridSpan w:val="2"/>
            <w:tcBorders>
              <w:left w:val="single" w:sz="4" w:space="0" w:color="auto"/>
              <w:right w:val="single" w:sz="4" w:space="0" w:color="auto"/>
            </w:tcBorders>
            <w:noWrap/>
          </w:tcPr>
          <w:p w14:paraId="2928A321" w14:textId="77777777" w:rsidR="009B5002" w:rsidRPr="00B75DCF" w:rsidRDefault="009B5002" w:rsidP="009B5002">
            <w:pPr>
              <w:spacing w:before="120" w:after="120"/>
              <w:jc w:val="right"/>
              <w:rPr>
                <w:rFonts w:eastAsia="Times New Roman" w:cstheme="minorHAnsi"/>
                <w:b/>
                <w:bCs/>
                <w:color w:val="000000"/>
                <w:lang w:eastAsia="fr-CH"/>
              </w:rPr>
            </w:pPr>
            <w:r w:rsidRPr="00B75DCF">
              <w:rPr>
                <w:rFonts w:cstheme="minorHAnsi"/>
              </w:rPr>
              <w:t>Costs of hospitalizations</w:t>
            </w:r>
          </w:p>
        </w:tc>
        <w:tc>
          <w:tcPr>
            <w:tcW w:w="1746" w:type="dxa"/>
            <w:tcBorders>
              <w:top w:val="nil"/>
              <w:left w:val="nil"/>
              <w:bottom w:val="nil"/>
              <w:right w:val="single" w:sz="8" w:space="0" w:color="auto"/>
            </w:tcBorders>
            <w:noWrap/>
            <w:vAlign w:val="center"/>
          </w:tcPr>
          <w:p w14:paraId="1706E7DB" w14:textId="06E3598D" w:rsidR="009B5002" w:rsidRPr="00B75DCF" w:rsidRDefault="009B5002" w:rsidP="009B5002">
            <w:pPr>
              <w:spacing w:before="120" w:after="120"/>
              <w:jc w:val="center"/>
              <w:rPr>
                <w:rFonts w:eastAsia="Times New Roman" w:cstheme="minorHAnsi"/>
                <w:b/>
                <w:bCs/>
                <w:color w:val="000000"/>
                <w:lang w:eastAsia="fr-CH"/>
              </w:rPr>
            </w:pPr>
            <w:r>
              <w:t>£540</w:t>
            </w:r>
          </w:p>
        </w:tc>
        <w:tc>
          <w:tcPr>
            <w:tcW w:w="1842" w:type="dxa"/>
            <w:gridSpan w:val="2"/>
            <w:tcBorders>
              <w:top w:val="nil"/>
              <w:left w:val="nil"/>
              <w:bottom w:val="nil"/>
              <w:right w:val="single" w:sz="8" w:space="0" w:color="000000"/>
            </w:tcBorders>
            <w:noWrap/>
            <w:vAlign w:val="center"/>
          </w:tcPr>
          <w:p w14:paraId="7EF97F3E" w14:textId="5AEF27F9" w:rsidR="009B5002" w:rsidRPr="00B75DCF" w:rsidRDefault="009B5002" w:rsidP="009B5002">
            <w:pPr>
              <w:spacing w:before="120" w:after="120"/>
              <w:jc w:val="center"/>
              <w:rPr>
                <w:rFonts w:eastAsia="Times New Roman" w:cstheme="minorHAnsi"/>
                <w:b/>
                <w:bCs/>
                <w:color w:val="000000"/>
                <w:lang w:eastAsia="fr-CH"/>
              </w:rPr>
            </w:pPr>
            <w:r>
              <w:t>£487</w:t>
            </w:r>
          </w:p>
        </w:tc>
        <w:tc>
          <w:tcPr>
            <w:tcW w:w="1900" w:type="dxa"/>
            <w:tcBorders>
              <w:top w:val="nil"/>
              <w:left w:val="nil"/>
              <w:bottom w:val="nil"/>
              <w:right w:val="single" w:sz="8" w:space="0" w:color="auto"/>
            </w:tcBorders>
            <w:noWrap/>
            <w:vAlign w:val="center"/>
          </w:tcPr>
          <w:p w14:paraId="449360B0" w14:textId="23DD6CAD" w:rsidR="009B5002" w:rsidRPr="00B75DCF" w:rsidRDefault="009B5002" w:rsidP="009B5002">
            <w:pPr>
              <w:spacing w:before="120" w:after="120"/>
              <w:jc w:val="center"/>
              <w:rPr>
                <w:rFonts w:eastAsia="Times New Roman" w:cstheme="minorHAnsi"/>
                <w:b/>
                <w:bCs/>
                <w:color w:val="000000"/>
                <w:lang w:eastAsia="fr-CH"/>
              </w:rPr>
            </w:pPr>
            <w:r>
              <w:t>£53</w:t>
            </w:r>
          </w:p>
        </w:tc>
      </w:tr>
      <w:tr w:rsidR="009B5002" w:rsidRPr="00B75DCF" w14:paraId="014D8785" w14:textId="77777777" w:rsidTr="00276A2D">
        <w:trPr>
          <w:trHeight w:val="293"/>
        </w:trPr>
        <w:tc>
          <w:tcPr>
            <w:tcW w:w="3783" w:type="dxa"/>
            <w:gridSpan w:val="2"/>
            <w:tcBorders>
              <w:left w:val="single" w:sz="4" w:space="0" w:color="auto"/>
              <w:bottom w:val="single" w:sz="4" w:space="0" w:color="auto"/>
              <w:right w:val="single" w:sz="4" w:space="0" w:color="auto"/>
            </w:tcBorders>
            <w:noWrap/>
          </w:tcPr>
          <w:p w14:paraId="1184ECD0" w14:textId="77777777" w:rsidR="009B5002" w:rsidRPr="00B75DCF" w:rsidRDefault="009B5002" w:rsidP="009B5002">
            <w:pPr>
              <w:spacing w:before="120" w:after="120"/>
              <w:jc w:val="right"/>
              <w:rPr>
                <w:rFonts w:eastAsia="Times New Roman" w:cstheme="minorHAnsi"/>
                <w:b/>
                <w:bCs/>
                <w:color w:val="000000"/>
                <w:lang w:eastAsia="fr-CH"/>
              </w:rPr>
            </w:pPr>
            <w:r w:rsidRPr="00B75DCF">
              <w:rPr>
                <w:rFonts w:cstheme="minorHAnsi"/>
              </w:rPr>
              <w:t>Re-intervention costs</w:t>
            </w:r>
          </w:p>
        </w:tc>
        <w:tc>
          <w:tcPr>
            <w:tcW w:w="1746" w:type="dxa"/>
            <w:tcBorders>
              <w:top w:val="nil"/>
              <w:left w:val="nil"/>
              <w:bottom w:val="single" w:sz="8" w:space="0" w:color="auto"/>
              <w:right w:val="single" w:sz="8" w:space="0" w:color="auto"/>
            </w:tcBorders>
            <w:noWrap/>
            <w:vAlign w:val="center"/>
          </w:tcPr>
          <w:p w14:paraId="337D96D8" w14:textId="009EEDF0" w:rsidR="009B5002" w:rsidRPr="00B75DCF" w:rsidRDefault="009B5002" w:rsidP="009B5002">
            <w:pPr>
              <w:spacing w:before="120" w:after="120"/>
              <w:jc w:val="center"/>
              <w:rPr>
                <w:rFonts w:eastAsia="Times New Roman" w:cstheme="minorHAnsi"/>
                <w:b/>
                <w:bCs/>
                <w:color w:val="000000"/>
                <w:lang w:eastAsia="fr-CH"/>
              </w:rPr>
            </w:pPr>
            <w:r>
              <w:t>£4,356</w:t>
            </w:r>
          </w:p>
        </w:tc>
        <w:tc>
          <w:tcPr>
            <w:tcW w:w="1842" w:type="dxa"/>
            <w:gridSpan w:val="2"/>
            <w:tcBorders>
              <w:top w:val="nil"/>
              <w:left w:val="nil"/>
              <w:bottom w:val="single" w:sz="8" w:space="0" w:color="auto"/>
              <w:right w:val="single" w:sz="8" w:space="0" w:color="000000"/>
            </w:tcBorders>
            <w:noWrap/>
            <w:vAlign w:val="center"/>
          </w:tcPr>
          <w:p w14:paraId="7410A78B" w14:textId="6C1AAF6E" w:rsidR="009B5002" w:rsidRPr="00B75DCF" w:rsidRDefault="009B5002" w:rsidP="009B5002">
            <w:pPr>
              <w:spacing w:before="120" w:after="120"/>
              <w:jc w:val="center"/>
              <w:rPr>
                <w:rFonts w:eastAsia="Times New Roman" w:cstheme="minorHAnsi"/>
                <w:b/>
                <w:bCs/>
                <w:color w:val="000000"/>
                <w:lang w:eastAsia="fr-CH"/>
              </w:rPr>
            </w:pPr>
            <w:r>
              <w:t>£4,058</w:t>
            </w:r>
          </w:p>
        </w:tc>
        <w:tc>
          <w:tcPr>
            <w:tcW w:w="1900" w:type="dxa"/>
            <w:tcBorders>
              <w:top w:val="nil"/>
              <w:left w:val="nil"/>
              <w:bottom w:val="single" w:sz="8" w:space="0" w:color="auto"/>
              <w:right w:val="single" w:sz="8" w:space="0" w:color="auto"/>
            </w:tcBorders>
            <w:noWrap/>
            <w:vAlign w:val="center"/>
          </w:tcPr>
          <w:p w14:paraId="3DF87FD9" w14:textId="56C90559" w:rsidR="009B5002" w:rsidRPr="00B75DCF" w:rsidRDefault="009B5002" w:rsidP="009B5002">
            <w:pPr>
              <w:spacing w:before="120" w:after="120"/>
              <w:jc w:val="center"/>
              <w:rPr>
                <w:rFonts w:eastAsia="Times New Roman" w:cstheme="minorHAnsi"/>
                <w:b/>
                <w:bCs/>
                <w:color w:val="000000"/>
                <w:lang w:eastAsia="fr-CH"/>
              </w:rPr>
            </w:pPr>
            <w:r>
              <w:t>£298</w:t>
            </w:r>
          </w:p>
        </w:tc>
      </w:tr>
      <w:tr w:rsidR="009B5002" w:rsidRPr="00B75DCF" w14:paraId="7A9EC238" w14:textId="77777777" w:rsidTr="00276A2D">
        <w:trPr>
          <w:trHeight w:val="293"/>
        </w:trPr>
        <w:tc>
          <w:tcPr>
            <w:tcW w:w="3783" w:type="dxa"/>
            <w:gridSpan w:val="2"/>
            <w:tcBorders>
              <w:top w:val="single" w:sz="4" w:space="0" w:color="auto"/>
              <w:left w:val="single" w:sz="4" w:space="0" w:color="auto"/>
              <w:right w:val="single" w:sz="4" w:space="0" w:color="auto"/>
            </w:tcBorders>
            <w:noWrap/>
          </w:tcPr>
          <w:p w14:paraId="1654AB12" w14:textId="77777777" w:rsidR="009B5002" w:rsidRPr="00B75DCF" w:rsidRDefault="009B5002" w:rsidP="009B5002">
            <w:pPr>
              <w:spacing w:before="120" w:after="120"/>
              <w:jc w:val="right"/>
              <w:rPr>
                <w:rFonts w:eastAsia="Times New Roman" w:cstheme="minorHAnsi"/>
                <w:b/>
                <w:bCs/>
                <w:color w:val="000000"/>
                <w:lang w:eastAsia="fr-CH"/>
              </w:rPr>
            </w:pPr>
            <w:r w:rsidRPr="00B75DCF">
              <w:rPr>
                <w:rFonts w:cstheme="minorHAnsi"/>
              </w:rPr>
              <w:lastRenderedPageBreak/>
              <w:t>Alive and well health state costs</w:t>
            </w:r>
          </w:p>
        </w:tc>
        <w:tc>
          <w:tcPr>
            <w:tcW w:w="1746" w:type="dxa"/>
            <w:tcBorders>
              <w:top w:val="nil"/>
              <w:left w:val="nil"/>
              <w:bottom w:val="nil"/>
              <w:right w:val="single" w:sz="8" w:space="0" w:color="auto"/>
            </w:tcBorders>
            <w:noWrap/>
            <w:vAlign w:val="center"/>
          </w:tcPr>
          <w:p w14:paraId="49339C65" w14:textId="78DF0C68" w:rsidR="009B5002" w:rsidRPr="00B75DCF" w:rsidRDefault="009B5002" w:rsidP="009B5002">
            <w:pPr>
              <w:spacing w:before="120" w:after="120"/>
              <w:jc w:val="center"/>
              <w:rPr>
                <w:rFonts w:eastAsia="Times New Roman" w:cstheme="minorHAnsi"/>
                <w:b/>
                <w:bCs/>
                <w:color w:val="000000"/>
                <w:lang w:eastAsia="fr-CH"/>
              </w:rPr>
            </w:pPr>
            <w:r>
              <w:t>£2,495</w:t>
            </w:r>
          </w:p>
        </w:tc>
        <w:tc>
          <w:tcPr>
            <w:tcW w:w="1842" w:type="dxa"/>
            <w:gridSpan w:val="2"/>
            <w:tcBorders>
              <w:top w:val="single" w:sz="8" w:space="0" w:color="auto"/>
              <w:left w:val="nil"/>
              <w:bottom w:val="nil"/>
              <w:right w:val="single" w:sz="8" w:space="0" w:color="000000"/>
            </w:tcBorders>
            <w:noWrap/>
            <w:vAlign w:val="center"/>
          </w:tcPr>
          <w:p w14:paraId="5C039F47" w14:textId="1FEBF342" w:rsidR="009B5002" w:rsidRPr="00B75DCF" w:rsidRDefault="009B5002" w:rsidP="009B5002">
            <w:pPr>
              <w:spacing w:before="120" w:after="120"/>
              <w:jc w:val="center"/>
              <w:rPr>
                <w:rFonts w:eastAsia="Times New Roman" w:cstheme="minorHAnsi"/>
                <w:b/>
                <w:bCs/>
                <w:color w:val="000000"/>
                <w:lang w:eastAsia="fr-CH"/>
              </w:rPr>
            </w:pPr>
            <w:r>
              <w:t>£1,790</w:t>
            </w:r>
          </w:p>
        </w:tc>
        <w:tc>
          <w:tcPr>
            <w:tcW w:w="1900" w:type="dxa"/>
            <w:tcBorders>
              <w:top w:val="nil"/>
              <w:left w:val="nil"/>
              <w:bottom w:val="nil"/>
              <w:right w:val="single" w:sz="8" w:space="0" w:color="auto"/>
            </w:tcBorders>
            <w:noWrap/>
            <w:vAlign w:val="center"/>
          </w:tcPr>
          <w:p w14:paraId="12023B04" w14:textId="39E00005" w:rsidR="009B5002" w:rsidRPr="00B75DCF" w:rsidRDefault="009B5002" w:rsidP="009B5002">
            <w:pPr>
              <w:spacing w:before="120" w:after="120"/>
              <w:jc w:val="center"/>
              <w:rPr>
                <w:rFonts w:eastAsia="Times New Roman" w:cstheme="minorHAnsi"/>
                <w:b/>
                <w:bCs/>
                <w:color w:val="000000"/>
                <w:lang w:eastAsia="fr-CH"/>
              </w:rPr>
            </w:pPr>
            <w:r>
              <w:t>£705</w:t>
            </w:r>
          </w:p>
        </w:tc>
      </w:tr>
      <w:tr w:rsidR="009B5002" w:rsidRPr="00B75DCF" w14:paraId="663D4CE3" w14:textId="77777777" w:rsidTr="00276A2D">
        <w:trPr>
          <w:trHeight w:val="293"/>
        </w:trPr>
        <w:tc>
          <w:tcPr>
            <w:tcW w:w="3783" w:type="dxa"/>
            <w:gridSpan w:val="2"/>
            <w:tcBorders>
              <w:left w:val="single" w:sz="4" w:space="0" w:color="auto"/>
              <w:right w:val="single" w:sz="4" w:space="0" w:color="auto"/>
            </w:tcBorders>
            <w:noWrap/>
          </w:tcPr>
          <w:p w14:paraId="378DE045" w14:textId="77777777" w:rsidR="009B5002" w:rsidRPr="00B75DCF" w:rsidRDefault="009B5002" w:rsidP="009B5002">
            <w:pPr>
              <w:spacing w:before="120" w:after="120"/>
              <w:jc w:val="right"/>
              <w:rPr>
                <w:rFonts w:eastAsia="Times New Roman" w:cstheme="minorHAnsi"/>
                <w:b/>
                <w:bCs/>
                <w:color w:val="000000"/>
                <w:lang w:eastAsia="fr-CH"/>
              </w:rPr>
            </w:pPr>
            <w:r w:rsidRPr="00B75DCF">
              <w:rPr>
                <w:rFonts w:cstheme="minorHAnsi"/>
              </w:rPr>
              <w:t>Treated AF health state costs</w:t>
            </w:r>
          </w:p>
        </w:tc>
        <w:tc>
          <w:tcPr>
            <w:tcW w:w="1746" w:type="dxa"/>
            <w:tcBorders>
              <w:top w:val="nil"/>
              <w:left w:val="nil"/>
              <w:bottom w:val="nil"/>
              <w:right w:val="single" w:sz="8" w:space="0" w:color="auto"/>
            </w:tcBorders>
            <w:noWrap/>
            <w:vAlign w:val="center"/>
          </w:tcPr>
          <w:p w14:paraId="58E18FB5" w14:textId="616D9FDF" w:rsidR="009B5002" w:rsidRPr="00B75DCF" w:rsidRDefault="009B5002" w:rsidP="009B5002">
            <w:pPr>
              <w:spacing w:before="120" w:after="120"/>
              <w:jc w:val="center"/>
              <w:rPr>
                <w:rFonts w:eastAsia="Times New Roman" w:cstheme="minorHAnsi"/>
                <w:b/>
                <w:bCs/>
                <w:color w:val="000000"/>
                <w:lang w:eastAsia="fr-CH"/>
              </w:rPr>
            </w:pPr>
            <w:r>
              <w:t>£590</w:t>
            </w:r>
          </w:p>
        </w:tc>
        <w:tc>
          <w:tcPr>
            <w:tcW w:w="1842" w:type="dxa"/>
            <w:gridSpan w:val="2"/>
            <w:tcBorders>
              <w:top w:val="nil"/>
              <w:left w:val="nil"/>
              <w:bottom w:val="nil"/>
              <w:right w:val="single" w:sz="8" w:space="0" w:color="000000"/>
            </w:tcBorders>
            <w:noWrap/>
            <w:vAlign w:val="center"/>
          </w:tcPr>
          <w:p w14:paraId="6052E805" w14:textId="459B28F8" w:rsidR="009B5002" w:rsidRPr="00B75DCF" w:rsidRDefault="009B5002" w:rsidP="009B5002">
            <w:pPr>
              <w:spacing w:before="120" w:after="120"/>
              <w:jc w:val="center"/>
              <w:rPr>
                <w:rFonts w:eastAsia="Times New Roman" w:cstheme="minorHAnsi"/>
                <w:b/>
                <w:bCs/>
                <w:color w:val="000000"/>
                <w:lang w:eastAsia="fr-CH"/>
              </w:rPr>
            </w:pPr>
            <w:r>
              <w:t>£1,466</w:t>
            </w:r>
          </w:p>
        </w:tc>
        <w:tc>
          <w:tcPr>
            <w:tcW w:w="1900" w:type="dxa"/>
            <w:tcBorders>
              <w:top w:val="nil"/>
              <w:left w:val="nil"/>
              <w:bottom w:val="nil"/>
              <w:right w:val="single" w:sz="8" w:space="0" w:color="auto"/>
            </w:tcBorders>
            <w:noWrap/>
            <w:vAlign w:val="center"/>
          </w:tcPr>
          <w:p w14:paraId="679BFCC7" w14:textId="6C7F8EB4" w:rsidR="009B5002" w:rsidRPr="00B75DCF" w:rsidRDefault="009B5002" w:rsidP="009B5002">
            <w:pPr>
              <w:spacing w:before="120" w:after="120"/>
              <w:jc w:val="center"/>
              <w:rPr>
                <w:rFonts w:eastAsia="Times New Roman" w:cstheme="minorHAnsi"/>
                <w:b/>
                <w:bCs/>
                <w:lang w:eastAsia="fr-CH"/>
              </w:rPr>
            </w:pPr>
            <w:r>
              <w:t>-£876</w:t>
            </w:r>
          </w:p>
        </w:tc>
      </w:tr>
      <w:tr w:rsidR="009B5002" w:rsidRPr="00B75DCF" w14:paraId="19044991" w14:textId="77777777" w:rsidTr="00276A2D">
        <w:trPr>
          <w:trHeight w:val="293"/>
        </w:trPr>
        <w:tc>
          <w:tcPr>
            <w:tcW w:w="3783" w:type="dxa"/>
            <w:gridSpan w:val="2"/>
            <w:tcBorders>
              <w:left w:val="single" w:sz="4" w:space="0" w:color="auto"/>
              <w:right w:val="single" w:sz="4" w:space="0" w:color="auto"/>
            </w:tcBorders>
            <w:noWrap/>
          </w:tcPr>
          <w:p w14:paraId="58BB7E33" w14:textId="77777777" w:rsidR="009B5002" w:rsidRPr="00B75DCF" w:rsidRDefault="009B5002" w:rsidP="009B5002">
            <w:pPr>
              <w:spacing w:before="120" w:after="120"/>
              <w:jc w:val="right"/>
              <w:rPr>
                <w:rFonts w:eastAsia="Times New Roman" w:cstheme="minorHAnsi"/>
                <w:b/>
                <w:bCs/>
                <w:color w:val="000000"/>
                <w:lang w:eastAsia="fr-CH"/>
              </w:rPr>
            </w:pPr>
            <w:r w:rsidRPr="00B75DCF">
              <w:rPr>
                <w:rFonts w:cstheme="minorHAnsi"/>
              </w:rPr>
              <w:t>Disabling stroke costs</w:t>
            </w:r>
          </w:p>
        </w:tc>
        <w:tc>
          <w:tcPr>
            <w:tcW w:w="1746" w:type="dxa"/>
            <w:tcBorders>
              <w:top w:val="nil"/>
              <w:left w:val="nil"/>
              <w:bottom w:val="nil"/>
              <w:right w:val="single" w:sz="8" w:space="0" w:color="auto"/>
            </w:tcBorders>
            <w:noWrap/>
            <w:vAlign w:val="center"/>
          </w:tcPr>
          <w:p w14:paraId="2BE54D49" w14:textId="74927CB5" w:rsidR="009B5002" w:rsidRPr="00B75DCF" w:rsidRDefault="009B5002" w:rsidP="009B5002">
            <w:pPr>
              <w:spacing w:before="120" w:after="120"/>
              <w:jc w:val="center"/>
              <w:rPr>
                <w:rFonts w:eastAsia="Times New Roman" w:cstheme="minorHAnsi"/>
                <w:b/>
                <w:bCs/>
                <w:color w:val="000000"/>
                <w:lang w:eastAsia="fr-CH"/>
              </w:rPr>
            </w:pPr>
            <w:r>
              <w:t>£1,201</w:t>
            </w:r>
          </w:p>
        </w:tc>
        <w:tc>
          <w:tcPr>
            <w:tcW w:w="1842" w:type="dxa"/>
            <w:gridSpan w:val="2"/>
            <w:tcBorders>
              <w:top w:val="nil"/>
              <w:left w:val="nil"/>
              <w:bottom w:val="nil"/>
              <w:right w:val="single" w:sz="8" w:space="0" w:color="000000"/>
            </w:tcBorders>
            <w:noWrap/>
            <w:vAlign w:val="center"/>
          </w:tcPr>
          <w:p w14:paraId="16D2AC6F" w14:textId="32C72C8F" w:rsidR="009B5002" w:rsidRPr="00B75DCF" w:rsidRDefault="009B5002" w:rsidP="009B5002">
            <w:pPr>
              <w:spacing w:before="120" w:after="120"/>
              <w:jc w:val="center"/>
              <w:rPr>
                <w:rFonts w:eastAsia="Times New Roman" w:cstheme="minorHAnsi"/>
                <w:b/>
                <w:bCs/>
                <w:color w:val="000000"/>
                <w:lang w:eastAsia="fr-CH"/>
              </w:rPr>
            </w:pPr>
            <w:r>
              <w:t>£1,722</w:t>
            </w:r>
          </w:p>
        </w:tc>
        <w:tc>
          <w:tcPr>
            <w:tcW w:w="1900" w:type="dxa"/>
            <w:tcBorders>
              <w:top w:val="nil"/>
              <w:left w:val="nil"/>
              <w:bottom w:val="nil"/>
              <w:right w:val="single" w:sz="8" w:space="0" w:color="auto"/>
            </w:tcBorders>
            <w:noWrap/>
            <w:vAlign w:val="center"/>
          </w:tcPr>
          <w:p w14:paraId="2B2DD9AB" w14:textId="1E0526B8" w:rsidR="009B5002" w:rsidRPr="00B75DCF" w:rsidRDefault="009B5002" w:rsidP="009B5002">
            <w:pPr>
              <w:spacing w:before="120" w:after="120"/>
              <w:jc w:val="center"/>
              <w:rPr>
                <w:rFonts w:eastAsia="Times New Roman" w:cstheme="minorHAnsi"/>
                <w:b/>
                <w:bCs/>
                <w:lang w:eastAsia="fr-CH"/>
              </w:rPr>
            </w:pPr>
            <w:r>
              <w:t>-£521</w:t>
            </w:r>
          </w:p>
        </w:tc>
      </w:tr>
      <w:tr w:rsidR="009B5002" w:rsidRPr="00B75DCF" w14:paraId="74C6E57B" w14:textId="77777777" w:rsidTr="00276A2D">
        <w:trPr>
          <w:trHeight w:val="293"/>
        </w:trPr>
        <w:tc>
          <w:tcPr>
            <w:tcW w:w="3783" w:type="dxa"/>
            <w:gridSpan w:val="2"/>
            <w:tcBorders>
              <w:left w:val="single" w:sz="4" w:space="0" w:color="auto"/>
              <w:bottom w:val="single" w:sz="4" w:space="0" w:color="auto"/>
              <w:right w:val="single" w:sz="4" w:space="0" w:color="auto"/>
            </w:tcBorders>
            <w:noWrap/>
          </w:tcPr>
          <w:p w14:paraId="54870E59" w14:textId="77777777" w:rsidR="009B5002" w:rsidRPr="00B75DCF" w:rsidRDefault="009B5002" w:rsidP="009B5002">
            <w:pPr>
              <w:spacing w:before="120" w:after="120"/>
              <w:jc w:val="right"/>
              <w:rPr>
                <w:rFonts w:eastAsia="Times New Roman" w:cstheme="minorHAnsi"/>
                <w:b/>
                <w:bCs/>
                <w:color w:val="000000"/>
                <w:lang w:eastAsia="fr-CH"/>
              </w:rPr>
            </w:pPr>
            <w:r w:rsidRPr="00B75DCF">
              <w:rPr>
                <w:rFonts w:cstheme="minorHAnsi"/>
              </w:rPr>
              <w:t>Death costs</w:t>
            </w:r>
          </w:p>
        </w:tc>
        <w:tc>
          <w:tcPr>
            <w:tcW w:w="1746" w:type="dxa"/>
            <w:tcBorders>
              <w:top w:val="nil"/>
              <w:left w:val="nil"/>
              <w:bottom w:val="single" w:sz="8" w:space="0" w:color="auto"/>
              <w:right w:val="single" w:sz="8" w:space="0" w:color="auto"/>
            </w:tcBorders>
            <w:noWrap/>
            <w:vAlign w:val="center"/>
          </w:tcPr>
          <w:p w14:paraId="5C3E61E5" w14:textId="46AB203C" w:rsidR="009B5002" w:rsidRPr="00B75DCF" w:rsidRDefault="009B5002" w:rsidP="009B5002">
            <w:pPr>
              <w:spacing w:before="120" w:after="120"/>
              <w:jc w:val="center"/>
              <w:rPr>
                <w:rFonts w:eastAsia="Times New Roman" w:cstheme="minorHAnsi"/>
                <w:b/>
                <w:bCs/>
                <w:color w:val="000000"/>
                <w:lang w:eastAsia="fr-CH"/>
              </w:rPr>
            </w:pPr>
            <w:r>
              <w:t>£0</w:t>
            </w:r>
          </w:p>
        </w:tc>
        <w:tc>
          <w:tcPr>
            <w:tcW w:w="1842" w:type="dxa"/>
            <w:gridSpan w:val="2"/>
            <w:tcBorders>
              <w:top w:val="nil"/>
              <w:left w:val="nil"/>
              <w:bottom w:val="single" w:sz="8" w:space="0" w:color="auto"/>
              <w:right w:val="single" w:sz="8" w:space="0" w:color="000000"/>
            </w:tcBorders>
            <w:noWrap/>
            <w:vAlign w:val="center"/>
          </w:tcPr>
          <w:p w14:paraId="603E67CE" w14:textId="2E006AE6" w:rsidR="009B5002" w:rsidRPr="00B75DCF" w:rsidRDefault="009B5002" w:rsidP="009B5002">
            <w:pPr>
              <w:spacing w:before="120" w:after="120"/>
              <w:jc w:val="center"/>
              <w:rPr>
                <w:rFonts w:eastAsia="Times New Roman" w:cstheme="minorHAnsi"/>
                <w:b/>
                <w:bCs/>
                <w:color w:val="000000"/>
                <w:lang w:eastAsia="fr-CH"/>
              </w:rPr>
            </w:pPr>
            <w:r>
              <w:t>£0</w:t>
            </w:r>
          </w:p>
        </w:tc>
        <w:tc>
          <w:tcPr>
            <w:tcW w:w="1900" w:type="dxa"/>
            <w:tcBorders>
              <w:top w:val="nil"/>
              <w:left w:val="nil"/>
              <w:bottom w:val="single" w:sz="8" w:space="0" w:color="auto"/>
              <w:right w:val="single" w:sz="8" w:space="0" w:color="auto"/>
            </w:tcBorders>
            <w:noWrap/>
            <w:vAlign w:val="center"/>
          </w:tcPr>
          <w:p w14:paraId="55212CF7" w14:textId="6111CFDF" w:rsidR="009B5002" w:rsidRPr="00B75DCF" w:rsidRDefault="009B5002" w:rsidP="009B5002">
            <w:pPr>
              <w:spacing w:before="120" w:after="120"/>
              <w:jc w:val="center"/>
              <w:rPr>
                <w:rFonts w:eastAsia="Times New Roman" w:cstheme="minorHAnsi"/>
                <w:b/>
                <w:bCs/>
                <w:color w:val="000000"/>
                <w:lang w:eastAsia="fr-CH"/>
              </w:rPr>
            </w:pPr>
            <w:r>
              <w:t>£0</w:t>
            </w:r>
          </w:p>
        </w:tc>
      </w:tr>
      <w:tr w:rsidR="009B5002" w:rsidRPr="00B75DCF" w14:paraId="6F4685E1" w14:textId="77777777" w:rsidTr="00276A2D">
        <w:trPr>
          <w:trHeight w:val="293"/>
        </w:trPr>
        <w:tc>
          <w:tcPr>
            <w:tcW w:w="378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noWrap/>
          </w:tcPr>
          <w:p w14:paraId="0D5E9327" w14:textId="77777777" w:rsidR="009B5002" w:rsidRPr="00B75DCF" w:rsidRDefault="009B5002" w:rsidP="009B5002">
            <w:pPr>
              <w:spacing w:before="120" w:after="120"/>
              <w:jc w:val="right"/>
              <w:rPr>
                <w:rFonts w:eastAsia="Times New Roman" w:cstheme="minorHAnsi"/>
                <w:b/>
                <w:bCs/>
                <w:color w:val="000000"/>
                <w:lang w:eastAsia="fr-CH"/>
              </w:rPr>
            </w:pPr>
            <w:r w:rsidRPr="00B75DCF">
              <w:rPr>
                <w:rFonts w:cstheme="minorHAnsi"/>
                <w:b/>
                <w:bCs/>
              </w:rPr>
              <w:t>Additional lifetime costs</w:t>
            </w:r>
          </w:p>
        </w:tc>
        <w:tc>
          <w:tcPr>
            <w:tcW w:w="1746" w:type="dxa"/>
            <w:tcBorders>
              <w:top w:val="nil"/>
              <w:left w:val="nil"/>
              <w:bottom w:val="single" w:sz="8" w:space="0" w:color="auto"/>
              <w:right w:val="single" w:sz="8" w:space="0" w:color="auto"/>
            </w:tcBorders>
            <w:shd w:val="clear" w:color="000000" w:fill="D9D9D9"/>
            <w:noWrap/>
            <w:vAlign w:val="center"/>
          </w:tcPr>
          <w:p w14:paraId="003FEF34" w14:textId="03608172" w:rsidR="009B5002" w:rsidRPr="00B75DCF" w:rsidRDefault="009B5002" w:rsidP="009B5002">
            <w:pPr>
              <w:spacing w:before="120" w:after="120"/>
              <w:jc w:val="center"/>
              <w:rPr>
                <w:rFonts w:eastAsia="Times New Roman" w:cstheme="minorHAnsi"/>
                <w:b/>
                <w:bCs/>
                <w:lang w:eastAsia="fr-CH"/>
              </w:rPr>
            </w:pPr>
            <w:r>
              <w:rPr>
                <w:rFonts w:ascii="Arial" w:hAnsi="Arial" w:cs="Arial"/>
                <w:sz w:val="20"/>
                <w:szCs w:val="20"/>
              </w:rPr>
              <w:t>£10,111</w:t>
            </w:r>
          </w:p>
        </w:tc>
        <w:tc>
          <w:tcPr>
            <w:tcW w:w="1842" w:type="dxa"/>
            <w:gridSpan w:val="2"/>
            <w:tcBorders>
              <w:top w:val="single" w:sz="8" w:space="0" w:color="auto"/>
              <w:left w:val="nil"/>
              <w:bottom w:val="single" w:sz="8" w:space="0" w:color="auto"/>
              <w:right w:val="single" w:sz="8" w:space="0" w:color="000000"/>
            </w:tcBorders>
            <w:shd w:val="clear" w:color="000000" w:fill="D9D9D9"/>
            <w:noWrap/>
            <w:vAlign w:val="center"/>
          </w:tcPr>
          <w:p w14:paraId="2FC83B90" w14:textId="2852A751" w:rsidR="009B5002" w:rsidRPr="00B75DCF" w:rsidRDefault="009B5002" w:rsidP="009B5002">
            <w:pPr>
              <w:spacing w:before="120" w:after="120"/>
              <w:jc w:val="center"/>
              <w:rPr>
                <w:rFonts w:eastAsia="Times New Roman" w:cstheme="minorHAnsi"/>
                <w:b/>
                <w:bCs/>
                <w:lang w:eastAsia="fr-CH"/>
              </w:rPr>
            </w:pPr>
            <w:r>
              <w:rPr>
                <w:rFonts w:ascii="Arial" w:hAnsi="Arial" w:cs="Arial"/>
                <w:sz w:val="20"/>
                <w:szCs w:val="20"/>
              </w:rPr>
              <w:t>£10,064</w:t>
            </w:r>
          </w:p>
        </w:tc>
        <w:tc>
          <w:tcPr>
            <w:tcW w:w="1900" w:type="dxa"/>
            <w:tcBorders>
              <w:top w:val="nil"/>
              <w:left w:val="nil"/>
              <w:bottom w:val="single" w:sz="8" w:space="0" w:color="auto"/>
              <w:right w:val="single" w:sz="8" w:space="0" w:color="auto"/>
            </w:tcBorders>
            <w:shd w:val="clear" w:color="000000" w:fill="D9D9D9"/>
            <w:noWrap/>
            <w:vAlign w:val="center"/>
          </w:tcPr>
          <w:p w14:paraId="2FA1DA75" w14:textId="05E98B0C" w:rsidR="009B5002" w:rsidRPr="00B75DCF" w:rsidRDefault="009B5002" w:rsidP="009B5002">
            <w:pPr>
              <w:spacing w:before="120" w:after="120"/>
              <w:jc w:val="center"/>
              <w:rPr>
                <w:rFonts w:eastAsia="Times New Roman" w:cstheme="minorHAnsi"/>
                <w:b/>
                <w:bCs/>
                <w:lang w:eastAsia="fr-CH"/>
              </w:rPr>
            </w:pPr>
            <w:r>
              <w:rPr>
                <w:rFonts w:ascii="Arial" w:hAnsi="Arial" w:cs="Arial"/>
                <w:sz w:val="20"/>
                <w:szCs w:val="20"/>
              </w:rPr>
              <w:t>£47</w:t>
            </w:r>
          </w:p>
        </w:tc>
      </w:tr>
      <w:tr w:rsidR="009B5002" w:rsidRPr="00B75DCF" w14:paraId="3EEE33A0" w14:textId="77777777" w:rsidTr="00276A2D">
        <w:trPr>
          <w:trHeight w:val="293"/>
        </w:trPr>
        <w:tc>
          <w:tcPr>
            <w:tcW w:w="3783" w:type="dxa"/>
            <w:gridSpan w:val="2"/>
            <w:tcBorders>
              <w:top w:val="single" w:sz="4" w:space="0" w:color="auto"/>
              <w:left w:val="single" w:sz="4" w:space="0" w:color="auto"/>
              <w:bottom w:val="single" w:sz="4" w:space="0" w:color="auto"/>
              <w:right w:val="single" w:sz="8" w:space="0" w:color="auto"/>
            </w:tcBorders>
            <w:shd w:val="clear" w:color="auto" w:fill="808080" w:themeFill="background1" w:themeFillShade="80"/>
            <w:noWrap/>
          </w:tcPr>
          <w:p w14:paraId="7F8AFE99" w14:textId="77777777" w:rsidR="009B5002" w:rsidRPr="00B75DCF" w:rsidRDefault="009B5002" w:rsidP="009B5002">
            <w:pPr>
              <w:spacing w:before="120" w:after="120"/>
              <w:jc w:val="right"/>
              <w:rPr>
                <w:rFonts w:eastAsia="Times New Roman" w:cstheme="minorHAnsi"/>
                <w:b/>
                <w:bCs/>
                <w:color w:val="000000"/>
                <w:lang w:eastAsia="fr-CH"/>
              </w:rPr>
            </w:pPr>
            <w:r w:rsidRPr="00B75DCF">
              <w:rPr>
                <w:rFonts w:cstheme="minorHAnsi"/>
                <w:b/>
                <w:bCs/>
                <w:color w:val="FFFFFF" w:themeColor="background1"/>
              </w:rPr>
              <w:t>Total lifetime costs</w:t>
            </w:r>
          </w:p>
        </w:tc>
        <w:tc>
          <w:tcPr>
            <w:tcW w:w="1746" w:type="dxa"/>
            <w:tcBorders>
              <w:top w:val="nil"/>
              <w:left w:val="nil"/>
              <w:bottom w:val="single" w:sz="8" w:space="0" w:color="auto"/>
              <w:right w:val="single" w:sz="8" w:space="0" w:color="auto"/>
            </w:tcBorders>
            <w:shd w:val="clear" w:color="000000" w:fill="808080"/>
            <w:noWrap/>
            <w:vAlign w:val="center"/>
          </w:tcPr>
          <w:p w14:paraId="12562926" w14:textId="6B87FCCF" w:rsidR="009B5002" w:rsidRPr="00B75DCF" w:rsidRDefault="009B5002" w:rsidP="009B5002">
            <w:pPr>
              <w:spacing w:before="120" w:after="120"/>
              <w:jc w:val="center"/>
              <w:rPr>
                <w:rFonts w:eastAsia="Times New Roman" w:cstheme="minorHAnsi"/>
                <w:b/>
                <w:bCs/>
                <w:lang w:eastAsia="fr-CH"/>
              </w:rPr>
            </w:pPr>
            <w:r>
              <w:rPr>
                <w:rFonts w:ascii="Arial" w:hAnsi="Arial" w:cs="Arial"/>
                <w:color w:val="FFFFFF"/>
                <w:sz w:val="20"/>
                <w:szCs w:val="20"/>
              </w:rPr>
              <w:t>£73,520</w:t>
            </w:r>
          </w:p>
        </w:tc>
        <w:tc>
          <w:tcPr>
            <w:tcW w:w="1842" w:type="dxa"/>
            <w:gridSpan w:val="2"/>
            <w:tcBorders>
              <w:top w:val="single" w:sz="8" w:space="0" w:color="auto"/>
              <w:left w:val="nil"/>
              <w:bottom w:val="single" w:sz="8" w:space="0" w:color="auto"/>
              <w:right w:val="single" w:sz="8" w:space="0" w:color="000000"/>
            </w:tcBorders>
            <w:shd w:val="clear" w:color="000000" w:fill="808080"/>
            <w:noWrap/>
            <w:vAlign w:val="center"/>
          </w:tcPr>
          <w:p w14:paraId="0E754A22" w14:textId="5AFA8CE8" w:rsidR="009B5002" w:rsidRPr="00B75DCF" w:rsidRDefault="009B5002" w:rsidP="009B5002">
            <w:pPr>
              <w:spacing w:before="120" w:after="120"/>
              <w:jc w:val="center"/>
              <w:rPr>
                <w:rFonts w:eastAsia="Times New Roman" w:cstheme="minorHAnsi"/>
                <w:b/>
                <w:bCs/>
                <w:lang w:eastAsia="fr-CH"/>
              </w:rPr>
            </w:pPr>
            <w:r>
              <w:rPr>
                <w:rFonts w:ascii="Arial" w:hAnsi="Arial" w:cs="Arial"/>
                <w:color w:val="FFFFFF"/>
                <w:sz w:val="20"/>
                <w:szCs w:val="20"/>
              </w:rPr>
              <w:t>£57,504</w:t>
            </w:r>
          </w:p>
        </w:tc>
        <w:tc>
          <w:tcPr>
            <w:tcW w:w="1900" w:type="dxa"/>
            <w:tcBorders>
              <w:top w:val="nil"/>
              <w:left w:val="nil"/>
              <w:bottom w:val="single" w:sz="8" w:space="0" w:color="auto"/>
              <w:right w:val="single" w:sz="8" w:space="0" w:color="auto"/>
            </w:tcBorders>
            <w:shd w:val="clear" w:color="000000" w:fill="808080"/>
            <w:noWrap/>
            <w:vAlign w:val="center"/>
          </w:tcPr>
          <w:p w14:paraId="44A9BE16" w14:textId="58FC75EC" w:rsidR="009B5002" w:rsidRPr="00B75DCF" w:rsidRDefault="009B5002" w:rsidP="009B5002">
            <w:pPr>
              <w:spacing w:before="120" w:after="120"/>
              <w:jc w:val="center"/>
              <w:rPr>
                <w:rFonts w:eastAsia="Times New Roman" w:cstheme="minorHAnsi"/>
                <w:b/>
                <w:bCs/>
                <w:lang w:eastAsia="fr-CH"/>
              </w:rPr>
            </w:pPr>
            <w:r>
              <w:rPr>
                <w:rFonts w:ascii="Arial" w:hAnsi="Arial" w:cs="Arial"/>
                <w:color w:val="FFFFFF"/>
                <w:sz w:val="20"/>
                <w:szCs w:val="20"/>
              </w:rPr>
              <w:t>£16,016</w:t>
            </w:r>
          </w:p>
        </w:tc>
      </w:tr>
    </w:tbl>
    <w:p w14:paraId="533F4E9A" w14:textId="5FD55B20" w:rsidR="00AA6AFB" w:rsidRPr="00B75DCF" w:rsidRDefault="003A34DE" w:rsidP="00CC1A8E">
      <w:pPr>
        <w:spacing w:before="120" w:after="120"/>
        <w:jc w:val="both"/>
        <w:rPr>
          <w:rFonts w:cstheme="minorHAnsi"/>
        </w:rPr>
      </w:pPr>
      <w:r w:rsidRPr="00B75DCF">
        <w:rPr>
          <w:rFonts w:cstheme="minorHAnsi"/>
        </w:rPr>
        <w:t>AF, atrial fibrillation; ICER, incremental cost effectiveness ratio; MI, myocardial infarction; NHB, Net health benefit; NMB, net monetary benefit; QALY, quality of life adjusted year; SAVR, surgical aortic valve replacement; TAVI, transcatheter aortic valve implantation</w:t>
      </w:r>
      <w:bookmarkStart w:id="50" w:name="_Hlk206668688"/>
      <w:r w:rsidR="003B37B3">
        <w:rPr>
          <w:rFonts w:cstheme="minorHAnsi"/>
        </w:rPr>
        <w:t xml:space="preserve">; TIA, </w:t>
      </w:r>
      <w:r w:rsidR="003B37B3" w:rsidRPr="003B37B3">
        <w:rPr>
          <w:rFonts w:cstheme="minorHAnsi"/>
        </w:rPr>
        <w:t>transient ischemic attack</w:t>
      </w:r>
      <w:r w:rsidRPr="00B75DCF">
        <w:rPr>
          <w:rFonts w:cstheme="minorHAnsi"/>
        </w:rPr>
        <w:t>.</w:t>
      </w:r>
      <w:bookmarkEnd w:id="50"/>
    </w:p>
    <w:p w14:paraId="3EB73CBE" w14:textId="77777777" w:rsidR="00AA6AFB" w:rsidRPr="00B75DCF" w:rsidRDefault="00AA6AFB" w:rsidP="00CC1A8E">
      <w:pPr>
        <w:spacing w:before="120" w:after="120"/>
        <w:rPr>
          <w:rFonts w:cstheme="minorHAnsi"/>
          <w:shd w:val="clear" w:color="auto" w:fill="FFFFFF"/>
        </w:rPr>
      </w:pPr>
    </w:p>
    <w:p w14:paraId="2DC1CA2F" w14:textId="70020E2E" w:rsidR="00B51DBC" w:rsidRPr="00B75DCF" w:rsidRDefault="003A34DE">
      <w:pPr>
        <w:rPr>
          <w:rFonts w:cstheme="minorHAnsi"/>
          <w:color w:val="000000"/>
        </w:rPr>
      </w:pPr>
      <w:r w:rsidRPr="00B75DCF">
        <w:rPr>
          <w:rFonts w:cstheme="minorHAnsi"/>
          <w:color w:val="000000"/>
        </w:rPr>
        <w:br w:type="page"/>
      </w:r>
    </w:p>
    <w:p w14:paraId="204EA241" w14:textId="3D4F5E54" w:rsidR="00B51DBC" w:rsidRPr="00B75DCF" w:rsidRDefault="003A34DE" w:rsidP="00CC1A8E">
      <w:pPr>
        <w:spacing w:line="360" w:lineRule="auto"/>
        <w:rPr>
          <w:rFonts w:cstheme="minorHAnsi"/>
          <w:b/>
          <w:bCs/>
        </w:rPr>
      </w:pPr>
      <w:r w:rsidRPr="00B75DCF">
        <w:rPr>
          <w:rFonts w:cstheme="minorHAnsi"/>
          <w:b/>
          <w:bCs/>
        </w:rPr>
        <w:lastRenderedPageBreak/>
        <w:t xml:space="preserve">Table 4. </w:t>
      </w:r>
      <w:r w:rsidRPr="00B75DCF">
        <w:rPr>
          <w:rFonts w:cstheme="minorHAnsi"/>
        </w:rPr>
        <w:t>Scenario analyses results</w:t>
      </w:r>
      <w:r w:rsidRPr="00B75DCF">
        <w:rPr>
          <w:rFonts w:cstheme="minorHAnsi"/>
          <w:b/>
          <w:bCs/>
        </w:rPr>
        <w:t xml:space="preserve"> </w:t>
      </w:r>
      <w:r w:rsidR="00C27C4C">
        <w:rPr>
          <w:rFonts w:cstheme="minorHAnsi"/>
          <w:b/>
          <w:bCs/>
        </w:rPr>
        <w:t>(based on deterministic results)</w:t>
      </w:r>
    </w:p>
    <w:tbl>
      <w:tblPr>
        <w:tblStyle w:val="TableGrid"/>
        <w:tblW w:w="9124" w:type="dxa"/>
        <w:tblLook w:val="04A0" w:firstRow="1" w:lastRow="0" w:firstColumn="1" w:lastColumn="0" w:noHBand="0" w:noVBand="1"/>
      </w:tblPr>
      <w:tblGrid>
        <w:gridCol w:w="3256"/>
        <w:gridCol w:w="1842"/>
        <w:gridCol w:w="1928"/>
        <w:gridCol w:w="2098"/>
      </w:tblGrid>
      <w:tr w:rsidR="007F67FD" w:rsidRPr="00B75DCF" w14:paraId="5F4ADD79" w14:textId="77777777">
        <w:trPr>
          <w:trHeight w:val="315"/>
        </w:trPr>
        <w:tc>
          <w:tcPr>
            <w:tcW w:w="3256" w:type="dxa"/>
            <w:shd w:val="clear" w:color="auto" w:fill="D9D9D9" w:themeFill="background1" w:themeFillShade="D9"/>
            <w:noWrap/>
            <w:vAlign w:val="center"/>
            <w:hideMark/>
          </w:tcPr>
          <w:p w14:paraId="03B34B18" w14:textId="77777777" w:rsidR="00B51DBC" w:rsidRPr="00B75DCF" w:rsidRDefault="003A34DE" w:rsidP="00CC1A8E">
            <w:pPr>
              <w:spacing w:line="360" w:lineRule="auto"/>
              <w:jc w:val="right"/>
              <w:rPr>
                <w:rFonts w:cstheme="minorHAnsi"/>
                <w:b/>
                <w:bCs/>
              </w:rPr>
            </w:pPr>
            <w:r w:rsidRPr="00B75DCF">
              <w:rPr>
                <w:rFonts w:cstheme="minorHAnsi"/>
                <w:b/>
                <w:bCs/>
              </w:rPr>
              <w:t>Scenario</w:t>
            </w:r>
          </w:p>
        </w:tc>
        <w:tc>
          <w:tcPr>
            <w:tcW w:w="1842" w:type="dxa"/>
            <w:shd w:val="clear" w:color="auto" w:fill="D9D9D9" w:themeFill="background1" w:themeFillShade="D9"/>
            <w:noWrap/>
            <w:vAlign w:val="center"/>
            <w:hideMark/>
          </w:tcPr>
          <w:p w14:paraId="10548308" w14:textId="77777777" w:rsidR="00B51DBC" w:rsidRPr="00B75DCF" w:rsidRDefault="003A34DE" w:rsidP="00CC1A8E">
            <w:pPr>
              <w:spacing w:line="360" w:lineRule="auto"/>
              <w:jc w:val="center"/>
              <w:rPr>
                <w:rFonts w:cstheme="minorHAnsi"/>
                <w:b/>
                <w:bCs/>
              </w:rPr>
            </w:pPr>
            <w:r w:rsidRPr="00B75DCF">
              <w:rPr>
                <w:rFonts w:cstheme="minorHAnsi"/>
                <w:b/>
                <w:bCs/>
              </w:rPr>
              <w:t>Cost difference (TAVI vs SAVR)</w:t>
            </w:r>
          </w:p>
        </w:tc>
        <w:tc>
          <w:tcPr>
            <w:tcW w:w="1928" w:type="dxa"/>
            <w:shd w:val="clear" w:color="auto" w:fill="D9D9D9" w:themeFill="background1" w:themeFillShade="D9"/>
            <w:noWrap/>
            <w:vAlign w:val="center"/>
          </w:tcPr>
          <w:p w14:paraId="15337CEF" w14:textId="77777777" w:rsidR="00B51DBC" w:rsidRPr="00B75DCF" w:rsidRDefault="003A34DE" w:rsidP="00CC1A8E">
            <w:pPr>
              <w:spacing w:line="360" w:lineRule="auto"/>
              <w:jc w:val="center"/>
              <w:rPr>
                <w:rFonts w:cstheme="minorHAnsi"/>
                <w:b/>
                <w:bCs/>
              </w:rPr>
            </w:pPr>
            <w:r w:rsidRPr="00B75DCF">
              <w:rPr>
                <w:rFonts w:cstheme="minorHAnsi"/>
                <w:b/>
                <w:bCs/>
              </w:rPr>
              <w:t>QALY difference (TAVI vs SAVR)</w:t>
            </w:r>
          </w:p>
        </w:tc>
        <w:tc>
          <w:tcPr>
            <w:tcW w:w="2098" w:type="dxa"/>
            <w:shd w:val="clear" w:color="auto" w:fill="D9D9D9" w:themeFill="background1" w:themeFillShade="D9"/>
            <w:noWrap/>
            <w:vAlign w:val="center"/>
          </w:tcPr>
          <w:p w14:paraId="734CAB0C" w14:textId="77777777" w:rsidR="00B51DBC" w:rsidRPr="00B75DCF" w:rsidRDefault="003A34DE" w:rsidP="00CC1A8E">
            <w:pPr>
              <w:spacing w:line="360" w:lineRule="auto"/>
              <w:jc w:val="center"/>
              <w:rPr>
                <w:rFonts w:cstheme="minorHAnsi"/>
                <w:b/>
                <w:bCs/>
              </w:rPr>
            </w:pPr>
            <w:r w:rsidRPr="00B75DCF">
              <w:rPr>
                <w:rFonts w:cstheme="minorHAnsi"/>
                <w:b/>
                <w:bCs/>
              </w:rPr>
              <w:t>ICER</w:t>
            </w:r>
          </w:p>
        </w:tc>
      </w:tr>
      <w:tr w:rsidR="007F67FD" w:rsidRPr="00B75DCF" w14:paraId="221D7E47" w14:textId="77777777">
        <w:trPr>
          <w:trHeight w:val="315"/>
        </w:trPr>
        <w:tc>
          <w:tcPr>
            <w:tcW w:w="3256" w:type="dxa"/>
            <w:noWrap/>
            <w:vAlign w:val="center"/>
          </w:tcPr>
          <w:p w14:paraId="561F5D5F" w14:textId="77777777" w:rsidR="00B51DBC" w:rsidRPr="00B75DCF" w:rsidRDefault="003A34DE" w:rsidP="00CC1A8E">
            <w:pPr>
              <w:spacing w:line="360" w:lineRule="auto"/>
              <w:jc w:val="right"/>
              <w:rPr>
                <w:rFonts w:cstheme="minorHAnsi"/>
                <w:b/>
                <w:bCs/>
              </w:rPr>
            </w:pPr>
            <w:r w:rsidRPr="00B75DCF">
              <w:rPr>
                <w:rFonts w:cstheme="minorHAnsi"/>
                <w:b/>
                <w:bCs/>
              </w:rPr>
              <w:t>Base case</w:t>
            </w:r>
          </w:p>
        </w:tc>
        <w:tc>
          <w:tcPr>
            <w:tcW w:w="1842" w:type="dxa"/>
            <w:noWrap/>
            <w:vAlign w:val="center"/>
          </w:tcPr>
          <w:p w14:paraId="0C4DED5E" w14:textId="77777777" w:rsidR="00B51DBC" w:rsidRPr="00B75DCF" w:rsidRDefault="003A34DE" w:rsidP="00CC1A8E">
            <w:pPr>
              <w:spacing w:line="360" w:lineRule="auto"/>
              <w:jc w:val="center"/>
              <w:rPr>
                <w:rFonts w:cstheme="minorHAnsi"/>
                <w:b/>
                <w:bCs/>
              </w:rPr>
            </w:pPr>
            <w:r w:rsidRPr="00B75DCF">
              <w:rPr>
                <w:rFonts w:cstheme="minorHAnsi"/>
                <w:b/>
                <w:bCs/>
              </w:rPr>
              <w:t>£7,998</w:t>
            </w:r>
          </w:p>
        </w:tc>
        <w:tc>
          <w:tcPr>
            <w:tcW w:w="1928" w:type="dxa"/>
            <w:noWrap/>
            <w:vAlign w:val="center"/>
          </w:tcPr>
          <w:p w14:paraId="2497D92F" w14:textId="6844D02C" w:rsidR="00B51DBC" w:rsidRPr="00B75DCF" w:rsidRDefault="003A34DE" w:rsidP="00CC1A8E">
            <w:pPr>
              <w:spacing w:line="360" w:lineRule="auto"/>
              <w:jc w:val="center"/>
              <w:rPr>
                <w:rFonts w:cstheme="minorHAnsi"/>
                <w:b/>
                <w:bCs/>
              </w:rPr>
            </w:pPr>
            <w:r w:rsidRPr="00B75DCF">
              <w:rPr>
                <w:rFonts w:cstheme="minorHAnsi"/>
                <w:b/>
                <w:bCs/>
              </w:rPr>
              <w:t>0.4</w:t>
            </w:r>
            <w:r w:rsidR="00C27C4C">
              <w:rPr>
                <w:rFonts w:cstheme="minorHAnsi"/>
                <w:b/>
                <w:bCs/>
              </w:rPr>
              <w:t>7</w:t>
            </w:r>
          </w:p>
        </w:tc>
        <w:tc>
          <w:tcPr>
            <w:tcW w:w="2098" w:type="dxa"/>
            <w:noWrap/>
            <w:vAlign w:val="center"/>
          </w:tcPr>
          <w:p w14:paraId="7073B617" w14:textId="32F32856" w:rsidR="00B51DBC" w:rsidRPr="00B75DCF" w:rsidRDefault="003A34DE" w:rsidP="00CC1A8E">
            <w:pPr>
              <w:spacing w:line="360" w:lineRule="auto"/>
              <w:jc w:val="center"/>
              <w:rPr>
                <w:rFonts w:cstheme="minorHAnsi"/>
                <w:b/>
                <w:bCs/>
              </w:rPr>
            </w:pPr>
            <w:r w:rsidRPr="00B75DCF">
              <w:rPr>
                <w:rFonts w:cstheme="minorHAnsi"/>
                <w:b/>
                <w:bCs/>
              </w:rPr>
              <w:t>£17,</w:t>
            </w:r>
            <w:r w:rsidR="00C27C4C">
              <w:rPr>
                <w:rFonts w:cstheme="minorHAnsi"/>
                <w:b/>
                <w:bCs/>
              </w:rPr>
              <w:t>065</w:t>
            </w:r>
          </w:p>
        </w:tc>
      </w:tr>
      <w:tr w:rsidR="007F67FD" w:rsidRPr="00B75DCF" w14:paraId="3E41BF76" w14:textId="77777777">
        <w:trPr>
          <w:trHeight w:val="315"/>
        </w:trPr>
        <w:tc>
          <w:tcPr>
            <w:tcW w:w="3256" w:type="dxa"/>
            <w:noWrap/>
            <w:vAlign w:val="center"/>
          </w:tcPr>
          <w:p w14:paraId="60822F40" w14:textId="77777777" w:rsidR="00B51DBC" w:rsidRPr="00B75DCF" w:rsidRDefault="003A34DE" w:rsidP="00CC1A8E">
            <w:pPr>
              <w:spacing w:line="360" w:lineRule="auto"/>
              <w:jc w:val="right"/>
              <w:rPr>
                <w:rFonts w:cstheme="minorHAnsi"/>
              </w:rPr>
            </w:pPr>
            <w:r w:rsidRPr="00B75DCF">
              <w:rPr>
                <w:rFonts w:cstheme="minorHAnsi"/>
              </w:rPr>
              <w:t>Patient starting age 70</w:t>
            </w:r>
          </w:p>
        </w:tc>
        <w:tc>
          <w:tcPr>
            <w:tcW w:w="1842" w:type="dxa"/>
            <w:noWrap/>
            <w:vAlign w:val="center"/>
          </w:tcPr>
          <w:p w14:paraId="7D5B92B2" w14:textId="77777777" w:rsidR="00B51DBC" w:rsidRPr="00B75DCF" w:rsidRDefault="003A34DE" w:rsidP="00CC1A8E">
            <w:pPr>
              <w:spacing w:line="360" w:lineRule="auto"/>
              <w:jc w:val="center"/>
              <w:rPr>
                <w:rFonts w:cstheme="minorHAnsi"/>
              </w:rPr>
            </w:pPr>
            <w:r w:rsidRPr="00B75DCF">
              <w:rPr>
                <w:rFonts w:cstheme="minorHAnsi"/>
              </w:rPr>
              <w:t>£7,961</w:t>
            </w:r>
          </w:p>
        </w:tc>
        <w:tc>
          <w:tcPr>
            <w:tcW w:w="1928" w:type="dxa"/>
            <w:noWrap/>
            <w:vAlign w:val="center"/>
          </w:tcPr>
          <w:p w14:paraId="3D17BECF" w14:textId="77777777" w:rsidR="00B51DBC" w:rsidRPr="00B75DCF" w:rsidRDefault="003A34DE" w:rsidP="00CC1A8E">
            <w:pPr>
              <w:spacing w:line="360" w:lineRule="auto"/>
              <w:jc w:val="center"/>
              <w:rPr>
                <w:rFonts w:cstheme="minorHAnsi"/>
              </w:rPr>
            </w:pPr>
            <w:r w:rsidRPr="00B75DCF">
              <w:rPr>
                <w:rFonts w:cstheme="minorHAnsi"/>
              </w:rPr>
              <w:t>0.48</w:t>
            </w:r>
          </w:p>
        </w:tc>
        <w:tc>
          <w:tcPr>
            <w:tcW w:w="2098" w:type="dxa"/>
            <w:noWrap/>
          </w:tcPr>
          <w:p w14:paraId="52FFE6B0" w14:textId="355F4ADA" w:rsidR="00B51DBC" w:rsidRPr="00B75DCF" w:rsidRDefault="003A34DE" w:rsidP="00CC1A8E">
            <w:pPr>
              <w:spacing w:line="360" w:lineRule="auto"/>
              <w:jc w:val="center"/>
              <w:rPr>
                <w:rFonts w:cstheme="minorHAnsi"/>
              </w:rPr>
            </w:pPr>
            <w:r w:rsidRPr="00B75DCF">
              <w:rPr>
                <w:rFonts w:cstheme="minorHAnsi"/>
              </w:rPr>
              <w:t>£16,</w:t>
            </w:r>
            <w:r w:rsidR="00C27C4C">
              <w:rPr>
                <w:rFonts w:cstheme="minorHAnsi"/>
              </w:rPr>
              <w:t>424</w:t>
            </w:r>
          </w:p>
        </w:tc>
      </w:tr>
      <w:tr w:rsidR="007F67FD" w:rsidRPr="00B75DCF" w14:paraId="176FDD68" w14:textId="77777777">
        <w:trPr>
          <w:trHeight w:val="315"/>
        </w:trPr>
        <w:tc>
          <w:tcPr>
            <w:tcW w:w="3256" w:type="dxa"/>
            <w:noWrap/>
            <w:vAlign w:val="center"/>
          </w:tcPr>
          <w:p w14:paraId="7B5ADD51" w14:textId="77777777" w:rsidR="00B51DBC" w:rsidRPr="00B75DCF" w:rsidRDefault="003A34DE" w:rsidP="00CC1A8E">
            <w:pPr>
              <w:spacing w:line="360" w:lineRule="auto"/>
              <w:jc w:val="right"/>
              <w:rPr>
                <w:rFonts w:cstheme="minorHAnsi"/>
              </w:rPr>
            </w:pPr>
            <w:r w:rsidRPr="00B75DCF">
              <w:rPr>
                <w:rFonts w:cstheme="minorHAnsi"/>
              </w:rPr>
              <w:t>Proportion male 54.4%</w:t>
            </w:r>
          </w:p>
        </w:tc>
        <w:tc>
          <w:tcPr>
            <w:tcW w:w="1842" w:type="dxa"/>
            <w:noWrap/>
            <w:vAlign w:val="center"/>
          </w:tcPr>
          <w:p w14:paraId="67E96941" w14:textId="77777777" w:rsidR="00B51DBC" w:rsidRPr="00B75DCF" w:rsidRDefault="003A34DE" w:rsidP="00CC1A8E">
            <w:pPr>
              <w:spacing w:line="360" w:lineRule="auto"/>
              <w:jc w:val="center"/>
              <w:rPr>
                <w:rFonts w:cstheme="minorHAnsi"/>
              </w:rPr>
            </w:pPr>
            <w:r w:rsidRPr="00B75DCF">
              <w:rPr>
                <w:rFonts w:cstheme="minorHAnsi"/>
              </w:rPr>
              <w:t>£7,990</w:t>
            </w:r>
          </w:p>
        </w:tc>
        <w:tc>
          <w:tcPr>
            <w:tcW w:w="1928" w:type="dxa"/>
            <w:noWrap/>
            <w:vAlign w:val="center"/>
          </w:tcPr>
          <w:p w14:paraId="0077D422" w14:textId="23C75E58" w:rsidR="00B51DBC" w:rsidRPr="00B75DCF" w:rsidRDefault="003A34DE" w:rsidP="00CC1A8E">
            <w:pPr>
              <w:spacing w:line="360" w:lineRule="auto"/>
              <w:jc w:val="center"/>
              <w:rPr>
                <w:rFonts w:cstheme="minorHAnsi"/>
              </w:rPr>
            </w:pPr>
            <w:r w:rsidRPr="00B75DCF">
              <w:rPr>
                <w:rFonts w:cstheme="minorHAnsi"/>
              </w:rPr>
              <w:t>0.4</w:t>
            </w:r>
            <w:r w:rsidR="00C27C4C">
              <w:rPr>
                <w:rFonts w:cstheme="minorHAnsi"/>
              </w:rPr>
              <w:t>7</w:t>
            </w:r>
          </w:p>
        </w:tc>
        <w:tc>
          <w:tcPr>
            <w:tcW w:w="2098" w:type="dxa"/>
            <w:noWrap/>
          </w:tcPr>
          <w:p w14:paraId="1011D6F3" w14:textId="327B24F2" w:rsidR="00B51DBC" w:rsidRPr="00B75DCF" w:rsidRDefault="003A34DE" w:rsidP="00CC1A8E">
            <w:pPr>
              <w:spacing w:line="360" w:lineRule="auto"/>
              <w:jc w:val="center"/>
              <w:rPr>
                <w:rFonts w:cstheme="minorHAnsi"/>
              </w:rPr>
            </w:pPr>
            <w:r w:rsidRPr="00B75DCF">
              <w:rPr>
                <w:rFonts w:cstheme="minorHAnsi"/>
              </w:rPr>
              <w:t>£17,</w:t>
            </w:r>
            <w:r w:rsidR="00C27C4C">
              <w:rPr>
                <w:rFonts w:cstheme="minorHAnsi"/>
              </w:rPr>
              <w:t>134</w:t>
            </w:r>
          </w:p>
        </w:tc>
      </w:tr>
      <w:tr w:rsidR="007F67FD" w:rsidRPr="00B75DCF" w14:paraId="7CD83AB4" w14:textId="77777777">
        <w:trPr>
          <w:trHeight w:val="315"/>
        </w:trPr>
        <w:tc>
          <w:tcPr>
            <w:tcW w:w="3256" w:type="dxa"/>
            <w:shd w:val="clear" w:color="auto" w:fill="FFFFFF" w:themeFill="background1"/>
            <w:noWrap/>
            <w:vAlign w:val="center"/>
          </w:tcPr>
          <w:p w14:paraId="398D9571" w14:textId="77777777" w:rsidR="00B51DBC" w:rsidRPr="00B75DCF" w:rsidRDefault="003A34DE" w:rsidP="00CC1A8E">
            <w:pPr>
              <w:spacing w:line="360" w:lineRule="auto"/>
              <w:jc w:val="right"/>
              <w:rPr>
                <w:rFonts w:cstheme="minorHAnsi"/>
              </w:rPr>
            </w:pPr>
            <w:r w:rsidRPr="00B75DCF">
              <w:rPr>
                <w:rFonts w:cstheme="minorHAnsi"/>
              </w:rPr>
              <w:t>Increase in risk of reintervention with TAVI (RR 1.08 from NICE NG208)</w:t>
            </w:r>
          </w:p>
        </w:tc>
        <w:tc>
          <w:tcPr>
            <w:tcW w:w="1842" w:type="dxa"/>
            <w:shd w:val="clear" w:color="auto" w:fill="FFFFFF" w:themeFill="background1"/>
            <w:noWrap/>
            <w:vAlign w:val="center"/>
          </w:tcPr>
          <w:p w14:paraId="07AAEA28" w14:textId="77777777" w:rsidR="00B51DBC" w:rsidRPr="00B75DCF" w:rsidRDefault="003A34DE" w:rsidP="00CC1A8E">
            <w:pPr>
              <w:spacing w:line="360" w:lineRule="auto"/>
              <w:jc w:val="center"/>
              <w:rPr>
                <w:rFonts w:cstheme="minorHAnsi"/>
              </w:rPr>
            </w:pPr>
            <w:r w:rsidRPr="00B75DCF">
              <w:rPr>
                <w:rFonts w:cstheme="minorHAnsi"/>
              </w:rPr>
              <w:t>£8,357</w:t>
            </w:r>
          </w:p>
        </w:tc>
        <w:tc>
          <w:tcPr>
            <w:tcW w:w="1928" w:type="dxa"/>
            <w:shd w:val="clear" w:color="auto" w:fill="FFFFFF" w:themeFill="background1"/>
            <w:noWrap/>
            <w:vAlign w:val="center"/>
          </w:tcPr>
          <w:p w14:paraId="42E5B116" w14:textId="39451CA0" w:rsidR="00B51DBC" w:rsidRPr="00B75DCF" w:rsidRDefault="003A34DE" w:rsidP="00CC1A8E">
            <w:pPr>
              <w:spacing w:line="360" w:lineRule="auto"/>
              <w:jc w:val="center"/>
              <w:rPr>
                <w:rFonts w:cstheme="minorHAnsi"/>
              </w:rPr>
            </w:pPr>
            <w:r w:rsidRPr="00B75DCF">
              <w:rPr>
                <w:rFonts w:cstheme="minorHAnsi"/>
              </w:rPr>
              <w:t>0.4</w:t>
            </w:r>
            <w:r w:rsidR="00C27C4C">
              <w:rPr>
                <w:rFonts w:cstheme="minorHAnsi"/>
              </w:rPr>
              <w:t>7</w:t>
            </w:r>
          </w:p>
        </w:tc>
        <w:tc>
          <w:tcPr>
            <w:tcW w:w="2098" w:type="dxa"/>
            <w:shd w:val="clear" w:color="auto" w:fill="FFFFFF" w:themeFill="background1"/>
            <w:noWrap/>
            <w:vAlign w:val="center"/>
          </w:tcPr>
          <w:p w14:paraId="00C76772" w14:textId="2B67EF42" w:rsidR="00B51DBC" w:rsidRPr="00B75DCF" w:rsidRDefault="003A34DE" w:rsidP="00CC1A8E">
            <w:pPr>
              <w:spacing w:line="360" w:lineRule="auto"/>
              <w:jc w:val="center"/>
              <w:rPr>
                <w:rFonts w:cstheme="minorHAnsi"/>
              </w:rPr>
            </w:pPr>
            <w:r w:rsidRPr="00B75DCF">
              <w:rPr>
                <w:rFonts w:cstheme="minorHAnsi"/>
              </w:rPr>
              <w:t>£1</w:t>
            </w:r>
            <w:r w:rsidR="00C27C4C">
              <w:rPr>
                <w:rFonts w:cstheme="minorHAnsi"/>
              </w:rPr>
              <w:t>7,844</w:t>
            </w:r>
          </w:p>
        </w:tc>
      </w:tr>
      <w:tr w:rsidR="007F67FD" w:rsidRPr="00B75DCF" w14:paraId="70500DC2" w14:textId="77777777">
        <w:trPr>
          <w:trHeight w:val="315"/>
        </w:trPr>
        <w:tc>
          <w:tcPr>
            <w:tcW w:w="3256" w:type="dxa"/>
            <w:noWrap/>
            <w:vAlign w:val="center"/>
          </w:tcPr>
          <w:p w14:paraId="0E5117BC" w14:textId="77777777" w:rsidR="00B51DBC" w:rsidRPr="00B75DCF" w:rsidRDefault="003A34DE" w:rsidP="00CC1A8E">
            <w:pPr>
              <w:spacing w:line="360" w:lineRule="auto"/>
              <w:jc w:val="right"/>
              <w:rPr>
                <w:rFonts w:cstheme="minorHAnsi"/>
              </w:rPr>
            </w:pPr>
            <w:r w:rsidRPr="00B75DCF">
              <w:rPr>
                <w:rFonts w:cstheme="minorHAnsi"/>
              </w:rPr>
              <w:t>Survival data from PARTNER 3,</w:t>
            </w:r>
          </w:p>
          <w:p w14:paraId="58084E8D" w14:textId="7FF8639A" w:rsidR="00B51DBC" w:rsidRPr="00B75DCF" w:rsidRDefault="003A34DE" w:rsidP="00CC1A8E">
            <w:pPr>
              <w:spacing w:line="360" w:lineRule="auto"/>
              <w:jc w:val="right"/>
              <w:rPr>
                <w:rFonts w:cstheme="minorHAnsi"/>
              </w:rPr>
            </w:pPr>
            <w:r w:rsidRPr="00B75DCF">
              <w:rPr>
                <w:rFonts w:cstheme="minorHAnsi"/>
              </w:rPr>
              <w:t>5-year KM estimates</w:t>
            </w:r>
            <w:r w:rsidR="009563A1">
              <w:rPr>
                <w:rFonts w:cstheme="minorHAnsi"/>
              </w:rPr>
              <w:t xml:space="preserve"> (gamma distribution – best statistical fit)</w:t>
            </w:r>
          </w:p>
        </w:tc>
        <w:tc>
          <w:tcPr>
            <w:tcW w:w="1842" w:type="dxa"/>
            <w:noWrap/>
            <w:vAlign w:val="center"/>
          </w:tcPr>
          <w:p w14:paraId="51BA6D75" w14:textId="4D52753E" w:rsidR="00B51DBC" w:rsidRPr="00B75DCF" w:rsidRDefault="003A34DE" w:rsidP="00CC1A8E">
            <w:pPr>
              <w:spacing w:line="360" w:lineRule="auto"/>
              <w:jc w:val="center"/>
              <w:rPr>
                <w:rFonts w:cstheme="minorHAnsi"/>
              </w:rPr>
            </w:pPr>
            <w:r w:rsidRPr="00B75DCF">
              <w:rPr>
                <w:rFonts w:cstheme="minorHAnsi"/>
              </w:rPr>
              <w:t>£7,</w:t>
            </w:r>
            <w:r w:rsidR="00C27C4C">
              <w:rPr>
                <w:rFonts w:cstheme="minorHAnsi"/>
              </w:rPr>
              <w:t>457</w:t>
            </w:r>
          </w:p>
        </w:tc>
        <w:tc>
          <w:tcPr>
            <w:tcW w:w="1928" w:type="dxa"/>
            <w:noWrap/>
            <w:vAlign w:val="center"/>
          </w:tcPr>
          <w:p w14:paraId="78061377" w14:textId="6F68A330" w:rsidR="00B51DBC" w:rsidRPr="00B75DCF" w:rsidRDefault="003A34DE" w:rsidP="00CC1A8E">
            <w:pPr>
              <w:spacing w:line="360" w:lineRule="auto"/>
              <w:jc w:val="center"/>
              <w:rPr>
                <w:rFonts w:cstheme="minorHAnsi"/>
              </w:rPr>
            </w:pPr>
            <w:r w:rsidRPr="00B75DCF">
              <w:rPr>
                <w:rFonts w:cstheme="minorHAnsi"/>
              </w:rPr>
              <w:t>0.</w:t>
            </w:r>
            <w:r w:rsidR="00C27C4C">
              <w:rPr>
                <w:rFonts w:cstheme="minorHAnsi"/>
              </w:rPr>
              <w:t>31</w:t>
            </w:r>
          </w:p>
        </w:tc>
        <w:tc>
          <w:tcPr>
            <w:tcW w:w="2098" w:type="dxa"/>
            <w:noWrap/>
            <w:vAlign w:val="center"/>
          </w:tcPr>
          <w:p w14:paraId="1C25C700" w14:textId="1C495636" w:rsidR="00B51DBC" w:rsidRPr="00B75DCF" w:rsidRDefault="003A34DE" w:rsidP="00CC1A8E">
            <w:pPr>
              <w:spacing w:line="360" w:lineRule="auto"/>
              <w:jc w:val="center"/>
              <w:rPr>
                <w:rFonts w:cstheme="minorHAnsi"/>
              </w:rPr>
            </w:pPr>
            <w:r w:rsidRPr="00B75DCF">
              <w:rPr>
                <w:rFonts w:cstheme="minorHAnsi"/>
              </w:rPr>
              <w:t>£</w:t>
            </w:r>
            <w:r w:rsidR="00C27C4C">
              <w:rPr>
                <w:rFonts w:cstheme="minorHAnsi"/>
              </w:rPr>
              <w:t>23,935</w:t>
            </w:r>
          </w:p>
        </w:tc>
      </w:tr>
      <w:tr w:rsidR="00E22238" w:rsidRPr="00B75DCF" w14:paraId="0347BA46" w14:textId="77777777">
        <w:trPr>
          <w:trHeight w:val="315"/>
        </w:trPr>
        <w:tc>
          <w:tcPr>
            <w:tcW w:w="3256" w:type="dxa"/>
            <w:noWrap/>
            <w:vAlign w:val="center"/>
          </w:tcPr>
          <w:p w14:paraId="75AC469D" w14:textId="77777777" w:rsidR="00E22238" w:rsidRPr="00B75DCF" w:rsidRDefault="00E22238" w:rsidP="00E22238">
            <w:pPr>
              <w:spacing w:line="360" w:lineRule="auto"/>
              <w:jc w:val="right"/>
              <w:rPr>
                <w:rFonts w:cstheme="minorHAnsi"/>
              </w:rPr>
            </w:pPr>
            <w:r w:rsidRPr="00B75DCF">
              <w:rPr>
                <w:rFonts w:cstheme="minorHAnsi"/>
              </w:rPr>
              <w:t>Survival data from PARTNER 3,</w:t>
            </w:r>
          </w:p>
          <w:p w14:paraId="50192238" w14:textId="7C9606D0" w:rsidR="00E22238" w:rsidRPr="00B75DCF" w:rsidRDefault="00E22238" w:rsidP="00E22238">
            <w:pPr>
              <w:spacing w:line="360" w:lineRule="auto"/>
              <w:jc w:val="right"/>
              <w:rPr>
                <w:rFonts w:cstheme="minorHAnsi"/>
              </w:rPr>
            </w:pPr>
            <w:r w:rsidRPr="00B75DCF">
              <w:rPr>
                <w:rFonts w:cstheme="minorHAnsi"/>
              </w:rPr>
              <w:t>5-year KM estimates</w:t>
            </w:r>
            <w:r>
              <w:rPr>
                <w:rFonts w:cstheme="minorHAnsi"/>
              </w:rPr>
              <w:t xml:space="preserve"> (</w:t>
            </w:r>
            <w:proofErr w:type="spellStart"/>
            <w:r>
              <w:rPr>
                <w:rFonts w:cstheme="minorHAnsi"/>
              </w:rPr>
              <w:t>weibull</w:t>
            </w:r>
            <w:proofErr w:type="spellEnd"/>
            <w:r>
              <w:rPr>
                <w:rFonts w:cstheme="minorHAnsi"/>
              </w:rPr>
              <w:t xml:space="preserve"> distribution)</w:t>
            </w:r>
          </w:p>
        </w:tc>
        <w:tc>
          <w:tcPr>
            <w:tcW w:w="1842" w:type="dxa"/>
            <w:noWrap/>
            <w:vAlign w:val="center"/>
          </w:tcPr>
          <w:p w14:paraId="6F429170" w14:textId="3D2F038A" w:rsidR="00E22238" w:rsidRPr="00B75DCF" w:rsidRDefault="00E22238" w:rsidP="00E22238">
            <w:pPr>
              <w:spacing w:line="360" w:lineRule="auto"/>
              <w:jc w:val="center"/>
              <w:rPr>
                <w:rFonts w:cstheme="minorHAnsi"/>
              </w:rPr>
            </w:pPr>
            <w:r w:rsidRPr="00E22238">
              <w:rPr>
                <w:rFonts w:cstheme="minorHAnsi"/>
              </w:rPr>
              <w:t>£7</w:t>
            </w:r>
            <w:r>
              <w:rPr>
                <w:rFonts w:cstheme="minorHAnsi"/>
              </w:rPr>
              <w:t>,</w:t>
            </w:r>
            <w:r w:rsidRPr="00E22238">
              <w:rPr>
                <w:rFonts w:cstheme="minorHAnsi"/>
              </w:rPr>
              <w:t>459</w:t>
            </w:r>
          </w:p>
        </w:tc>
        <w:tc>
          <w:tcPr>
            <w:tcW w:w="1928" w:type="dxa"/>
            <w:noWrap/>
            <w:vAlign w:val="center"/>
          </w:tcPr>
          <w:p w14:paraId="67D26062" w14:textId="00DE5AE6" w:rsidR="00E22238" w:rsidRPr="00B75DCF" w:rsidRDefault="00E22238" w:rsidP="00E22238">
            <w:pPr>
              <w:spacing w:line="360" w:lineRule="auto"/>
              <w:jc w:val="center"/>
              <w:rPr>
                <w:rFonts w:cstheme="minorHAnsi"/>
              </w:rPr>
            </w:pPr>
            <w:r w:rsidRPr="00E22238">
              <w:rPr>
                <w:rFonts w:cstheme="minorHAnsi"/>
              </w:rPr>
              <w:t>0.31</w:t>
            </w:r>
          </w:p>
        </w:tc>
        <w:tc>
          <w:tcPr>
            <w:tcW w:w="2098" w:type="dxa"/>
            <w:noWrap/>
            <w:vAlign w:val="center"/>
          </w:tcPr>
          <w:p w14:paraId="0CC8829F" w14:textId="0E64B80E" w:rsidR="00E22238" w:rsidRPr="00B75DCF" w:rsidRDefault="00E22238" w:rsidP="00E22238">
            <w:pPr>
              <w:spacing w:line="360" w:lineRule="auto"/>
              <w:jc w:val="center"/>
              <w:rPr>
                <w:rFonts w:cstheme="minorHAnsi"/>
              </w:rPr>
            </w:pPr>
            <w:r w:rsidRPr="00E22238">
              <w:rPr>
                <w:rFonts w:cstheme="minorHAnsi"/>
              </w:rPr>
              <w:t>£23,83</w:t>
            </w:r>
            <w:r>
              <w:rPr>
                <w:rFonts w:cstheme="minorHAnsi"/>
              </w:rPr>
              <w:t>9</w:t>
            </w:r>
          </w:p>
        </w:tc>
      </w:tr>
      <w:tr w:rsidR="009563A1" w:rsidRPr="00B75DCF" w14:paraId="0DCE2765" w14:textId="77777777">
        <w:trPr>
          <w:trHeight w:val="315"/>
        </w:trPr>
        <w:tc>
          <w:tcPr>
            <w:tcW w:w="3256" w:type="dxa"/>
            <w:noWrap/>
            <w:vAlign w:val="center"/>
          </w:tcPr>
          <w:p w14:paraId="0D7A608A" w14:textId="77777777" w:rsidR="009563A1" w:rsidRPr="00B75DCF" w:rsidRDefault="009563A1" w:rsidP="009563A1">
            <w:pPr>
              <w:spacing w:line="360" w:lineRule="auto"/>
              <w:jc w:val="right"/>
              <w:rPr>
                <w:rFonts w:cstheme="minorHAnsi"/>
              </w:rPr>
            </w:pPr>
            <w:r w:rsidRPr="00B75DCF">
              <w:rPr>
                <w:rFonts w:cstheme="minorHAnsi"/>
              </w:rPr>
              <w:t>Survival data from PARTNER 3,</w:t>
            </w:r>
          </w:p>
          <w:p w14:paraId="5BC62636" w14:textId="30BD0B79" w:rsidR="009563A1" w:rsidRPr="00B75DCF" w:rsidRDefault="009563A1" w:rsidP="009563A1">
            <w:pPr>
              <w:spacing w:line="360" w:lineRule="auto"/>
              <w:jc w:val="right"/>
              <w:rPr>
                <w:rFonts w:cstheme="minorHAnsi"/>
              </w:rPr>
            </w:pPr>
            <w:r w:rsidRPr="00B75DCF">
              <w:rPr>
                <w:rFonts w:cstheme="minorHAnsi"/>
              </w:rPr>
              <w:t>5-year KM estimates</w:t>
            </w:r>
            <w:r>
              <w:rPr>
                <w:rFonts w:cstheme="minorHAnsi"/>
              </w:rPr>
              <w:t xml:space="preserve"> (log-logistic distribution)</w:t>
            </w:r>
          </w:p>
        </w:tc>
        <w:tc>
          <w:tcPr>
            <w:tcW w:w="1842" w:type="dxa"/>
            <w:noWrap/>
            <w:vAlign w:val="center"/>
          </w:tcPr>
          <w:p w14:paraId="5BB4C7C6" w14:textId="2D5FC5E2" w:rsidR="009563A1" w:rsidRPr="00B75DCF" w:rsidRDefault="00E22238" w:rsidP="00E22238">
            <w:pPr>
              <w:spacing w:line="360" w:lineRule="auto"/>
              <w:jc w:val="center"/>
              <w:rPr>
                <w:rFonts w:cstheme="minorHAnsi"/>
              </w:rPr>
            </w:pPr>
            <w:r w:rsidRPr="00E22238">
              <w:rPr>
                <w:rFonts w:cstheme="minorHAnsi"/>
              </w:rPr>
              <w:t>£7,463</w:t>
            </w:r>
          </w:p>
        </w:tc>
        <w:tc>
          <w:tcPr>
            <w:tcW w:w="1928" w:type="dxa"/>
            <w:noWrap/>
            <w:vAlign w:val="center"/>
          </w:tcPr>
          <w:p w14:paraId="4160CED2" w14:textId="120A0975" w:rsidR="009563A1" w:rsidRPr="00B75DCF" w:rsidRDefault="00E22238" w:rsidP="00E22238">
            <w:pPr>
              <w:spacing w:line="360" w:lineRule="auto"/>
              <w:jc w:val="center"/>
              <w:rPr>
                <w:rFonts w:cstheme="minorHAnsi"/>
              </w:rPr>
            </w:pPr>
            <w:r w:rsidRPr="00E22238">
              <w:rPr>
                <w:rFonts w:cstheme="minorHAnsi"/>
              </w:rPr>
              <w:t>0.31</w:t>
            </w:r>
          </w:p>
        </w:tc>
        <w:tc>
          <w:tcPr>
            <w:tcW w:w="2098" w:type="dxa"/>
            <w:noWrap/>
            <w:vAlign w:val="center"/>
          </w:tcPr>
          <w:p w14:paraId="39EB2A9A" w14:textId="3AD8326D" w:rsidR="009563A1" w:rsidRPr="00B75DCF" w:rsidRDefault="00E22238" w:rsidP="00E22238">
            <w:pPr>
              <w:spacing w:line="360" w:lineRule="auto"/>
              <w:jc w:val="center"/>
              <w:rPr>
                <w:rFonts w:cstheme="minorHAnsi"/>
              </w:rPr>
            </w:pPr>
            <w:r w:rsidRPr="00E22238">
              <w:rPr>
                <w:rFonts w:cstheme="minorHAnsi"/>
              </w:rPr>
              <w:t>£23,705</w:t>
            </w:r>
          </w:p>
        </w:tc>
      </w:tr>
      <w:tr w:rsidR="007F67FD" w:rsidRPr="00B75DCF" w14:paraId="3F4E1545" w14:textId="77777777">
        <w:trPr>
          <w:trHeight w:val="315"/>
        </w:trPr>
        <w:tc>
          <w:tcPr>
            <w:tcW w:w="3256" w:type="dxa"/>
            <w:noWrap/>
            <w:vAlign w:val="center"/>
          </w:tcPr>
          <w:p w14:paraId="4A2CC59C" w14:textId="5EB62C4B" w:rsidR="00B51DBC" w:rsidRPr="00B75DCF" w:rsidRDefault="003A34DE" w:rsidP="00CC1A8E">
            <w:pPr>
              <w:spacing w:line="360" w:lineRule="auto"/>
              <w:jc w:val="right"/>
              <w:rPr>
                <w:rFonts w:cstheme="minorHAnsi"/>
                <w:highlight w:val="yellow"/>
              </w:rPr>
            </w:pPr>
            <w:r w:rsidRPr="00B75DCF">
              <w:rPr>
                <w:rFonts w:cstheme="minorHAnsi"/>
              </w:rPr>
              <w:t>Increase in risk of stroke to align with PARTNER 3 outcomes</w:t>
            </w:r>
            <w:r w:rsidR="009563A1">
              <w:rPr>
                <w:rFonts w:cstheme="minorHAnsi"/>
              </w:rPr>
              <w:t xml:space="preserve"> (for first five years)</w:t>
            </w:r>
          </w:p>
        </w:tc>
        <w:tc>
          <w:tcPr>
            <w:tcW w:w="1842" w:type="dxa"/>
            <w:noWrap/>
            <w:vAlign w:val="center"/>
          </w:tcPr>
          <w:p w14:paraId="32A5CE82" w14:textId="77777777" w:rsidR="00B51DBC" w:rsidRPr="00B75DCF" w:rsidRDefault="003A34DE" w:rsidP="00CC1A8E">
            <w:pPr>
              <w:spacing w:line="360" w:lineRule="auto"/>
              <w:jc w:val="center"/>
              <w:rPr>
                <w:rFonts w:cstheme="minorHAnsi"/>
              </w:rPr>
            </w:pPr>
            <w:r w:rsidRPr="00B75DCF">
              <w:rPr>
                <w:rFonts w:cstheme="minorHAnsi"/>
              </w:rPr>
              <w:t>£8,195</w:t>
            </w:r>
          </w:p>
        </w:tc>
        <w:tc>
          <w:tcPr>
            <w:tcW w:w="1928" w:type="dxa"/>
            <w:noWrap/>
            <w:vAlign w:val="center"/>
          </w:tcPr>
          <w:p w14:paraId="1DF02D17" w14:textId="447D0D24" w:rsidR="00B51DBC" w:rsidRPr="00B75DCF" w:rsidRDefault="003A34DE" w:rsidP="00CC1A8E">
            <w:pPr>
              <w:spacing w:line="360" w:lineRule="auto"/>
              <w:jc w:val="center"/>
              <w:rPr>
                <w:rFonts w:cstheme="minorHAnsi"/>
              </w:rPr>
            </w:pPr>
            <w:r w:rsidRPr="00B75DCF">
              <w:rPr>
                <w:rFonts w:cstheme="minorHAnsi"/>
              </w:rPr>
              <w:t>0.4</w:t>
            </w:r>
            <w:r w:rsidR="009563A1">
              <w:rPr>
                <w:rFonts w:cstheme="minorHAnsi"/>
              </w:rPr>
              <w:t>4</w:t>
            </w:r>
          </w:p>
        </w:tc>
        <w:tc>
          <w:tcPr>
            <w:tcW w:w="2098" w:type="dxa"/>
            <w:noWrap/>
            <w:vAlign w:val="center"/>
          </w:tcPr>
          <w:p w14:paraId="21FE995C" w14:textId="0C6DE869" w:rsidR="00B51DBC" w:rsidRPr="00B75DCF" w:rsidRDefault="003A34DE" w:rsidP="00CC1A8E">
            <w:pPr>
              <w:spacing w:line="360" w:lineRule="auto"/>
              <w:jc w:val="center"/>
              <w:rPr>
                <w:rFonts w:cstheme="minorHAnsi"/>
              </w:rPr>
            </w:pPr>
            <w:r w:rsidRPr="00B75DCF">
              <w:rPr>
                <w:rFonts w:cstheme="minorHAnsi"/>
              </w:rPr>
              <w:t>£</w:t>
            </w:r>
            <w:r w:rsidR="009563A1">
              <w:rPr>
                <w:rFonts w:cstheme="minorHAnsi"/>
              </w:rPr>
              <w:t>18,807</w:t>
            </w:r>
          </w:p>
        </w:tc>
      </w:tr>
      <w:tr w:rsidR="007F67FD" w:rsidRPr="00B75DCF" w14:paraId="181531BA" w14:textId="77777777">
        <w:trPr>
          <w:trHeight w:val="315"/>
        </w:trPr>
        <w:tc>
          <w:tcPr>
            <w:tcW w:w="3256" w:type="dxa"/>
            <w:noWrap/>
            <w:vAlign w:val="center"/>
          </w:tcPr>
          <w:p w14:paraId="3192D068" w14:textId="77777777" w:rsidR="00B51DBC" w:rsidRPr="00B75DCF" w:rsidRDefault="003A34DE" w:rsidP="00CC1A8E">
            <w:pPr>
              <w:spacing w:line="360" w:lineRule="auto"/>
              <w:jc w:val="right"/>
              <w:rPr>
                <w:rFonts w:cstheme="minorHAnsi"/>
              </w:rPr>
            </w:pPr>
            <w:r w:rsidRPr="00B75DCF">
              <w:rPr>
                <w:rFonts w:cstheme="minorHAnsi"/>
              </w:rPr>
              <w:t>Including adverse event costs within 30 days</w:t>
            </w:r>
          </w:p>
        </w:tc>
        <w:tc>
          <w:tcPr>
            <w:tcW w:w="1842" w:type="dxa"/>
            <w:noWrap/>
            <w:vAlign w:val="center"/>
          </w:tcPr>
          <w:p w14:paraId="6852058A" w14:textId="77777777" w:rsidR="00B51DBC" w:rsidRPr="00B75DCF" w:rsidRDefault="003A34DE" w:rsidP="00CC1A8E">
            <w:pPr>
              <w:spacing w:line="360" w:lineRule="auto"/>
              <w:jc w:val="center"/>
              <w:rPr>
                <w:rFonts w:cstheme="minorHAnsi"/>
              </w:rPr>
            </w:pPr>
            <w:r w:rsidRPr="00B75DCF">
              <w:rPr>
                <w:rFonts w:cstheme="minorHAnsi"/>
              </w:rPr>
              <w:t>£7,157</w:t>
            </w:r>
          </w:p>
        </w:tc>
        <w:tc>
          <w:tcPr>
            <w:tcW w:w="1928" w:type="dxa"/>
            <w:noWrap/>
            <w:vAlign w:val="center"/>
          </w:tcPr>
          <w:p w14:paraId="2DAB5E38" w14:textId="6F79BED0" w:rsidR="00B51DBC" w:rsidRPr="00B75DCF" w:rsidRDefault="003A34DE" w:rsidP="00CC1A8E">
            <w:pPr>
              <w:spacing w:line="360" w:lineRule="auto"/>
              <w:jc w:val="center"/>
              <w:rPr>
                <w:rFonts w:cstheme="minorHAnsi"/>
              </w:rPr>
            </w:pPr>
            <w:r w:rsidRPr="00B75DCF">
              <w:rPr>
                <w:rFonts w:cstheme="minorHAnsi"/>
              </w:rPr>
              <w:t>0.4</w:t>
            </w:r>
            <w:r w:rsidR="00C27C4C">
              <w:rPr>
                <w:rFonts w:cstheme="minorHAnsi"/>
              </w:rPr>
              <w:t>7</w:t>
            </w:r>
          </w:p>
        </w:tc>
        <w:tc>
          <w:tcPr>
            <w:tcW w:w="2098" w:type="dxa"/>
            <w:noWrap/>
            <w:vAlign w:val="center"/>
          </w:tcPr>
          <w:p w14:paraId="224A5114" w14:textId="2C9A1405" w:rsidR="00B51DBC" w:rsidRPr="00B75DCF" w:rsidRDefault="003A34DE" w:rsidP="00CC1A8E">
            <w:pPr>
              <w:spacing w:line="360" w:lineRule="auto"/>
              <w:jc w:val="center"/>
              <w:rPr>
                <w:rFonts w:cstheme="minorHAnsi"/>
              </w:rPr>
            </w:pPr>
            <w:r w:rsidRPr="00B75DCF">
              <w:rPr>
                <w:rFonts w:cstheme="minorHAnsi"/>
              </w:rPr>
              <w:t>£15,</w:t>
            </w:r>
            <w:r w:rsidR="00C27C4C">
              <w:rPr>
                <w:rFonts w:cstheme="minorHAnsi"/>
              </w:rPr>
              <w:t>269</w:t>
            </w:r>
          </w:p>
        </w:tc>
      </w:tr>
      <w:tr w:rsidR="007F67FD" w:rsidRPr="00B75DCF" w14:paraId="5F6480B1" w14:textId="77777777">
        <w:trPr>
          <w:trHeight w:val="315"/>
        </w:trPr>
        <w:tc>
          <w:tcPr>
            <w:tcW w:w="3256" w:type="dxa"/>
            <w:noWrap/>
            <w:vAlign w:val="center"/>
          </w:tcPr>
          <w:p w14:paraId="00216EA9" w14:textId="77777777" w:rsidR="00B51DBC" w:rsidRPr="00B75DCF" w:rsidRDefault="003A34DE" w:rsidP="00CC1A8E">
            <w:pPr>
              <w:spacing w:line="360" w:lineRule="auto"/>
              <w:jc w:val="right"/>
              <w:rPr>
                <w:rFonts w:cstheme="minorHAnsi"/>
              </w:rPr>
            </w:pPr>
            <w:r w:rsidRPr="00B75DCF">
              <w:rPr>
                <w:rFonts w:cstheme="minorHAnsi"/>
              </w:rPr>
              <w:t>Alternative cost estimates of procedure cost (EY21B for TAVI, elective: £30,911; ED25C for SAVR, elective: £21,638)</w:t>
            </w:r>
          </w:p>
        </w:tc>
        <w:tc>
          <w:tcPr>
            <w:tcW w:w="1842" w:type="dxa"/>
            <w:noWrap/>
            <w:vAlign w:val="center"/>
          </w:tcPr>
          <w:p w14:paraId="1D9F04D1" w14:textId="77777777" w:rsidR="00B51DBC" w:rsidRPr="00B75DCF" w:rsidRDefault="003A34DE" w:rsidP="00CC1A8E">
            <w:pPr>
              <w:spacing w:line="360" w:lineRule="auto"/>
              <w:jc w:val="center"/>
              <w:rPr>
                <w:rFonts w:cstheme="minorHAnsi"/>
              </w:rPr>
            </w:pPr>
            <w:r w:rsidRPr="00B75DCF">
              <w:rPr>
                <w:rFonts w:cstheme="minorHAnsi"/>
              </w:rPr>
              <w:t>£9,251</w:t>
            </w:r>
          </w:p>
        </w:tc>
        <w:tc>
          <w:tcPr>
            <w:tcW w:w="1928" w:type="dxa"/>
            <w:noWrap/>
            <w:vAlign w:val="center"/>
          </w:tcPr>
          <w:p w14:paraId="78887AF9" w14:textId="2DFED15E" w:rsidR="00B51DBC" w:rsidRPr="00B75DCF" w:rsidRDefault="003A34DE" w:rsidP="00CC1A8E">
            <w:pPr>
              <w:spacing w:line="360" w:lineRule="auto"/>
              <w:jc w:val="center"/>
              <w:rPr>
                <w:rFonts w:cstheme="minorHAnsi"/>
              </w:rPr>
            </w:pPr>
            <w:r w:rsidRPr="00B75DCF">
              <w:rPr>
                <w:rFonts w:cstheme="minorHAnsi"/>
              </w:rPr>
              <w:t>0.4</w:t>
            </w:r>
            <w:r w:rsidR="005C0555">
              <w:rPr>
                <w:rFonts w:cstheme="minorHAnsi"/>
              </w:rPr>
              <w:t>7</w:t>
            </w:r>
          </w:p>
        </w:tc>
        <w:tc>
          <w:tcPr>
            <w:tcW w:w="2098" w:type="dxa"/>
            <w:noWrap/>
            <w:vAlign w:val="center"/>
          </w:tcPr>
          <w:p w14:paraId="26E2A1C3" w14:textId="23B2DCEA" w:rsidR="00B51DBC" w:rsidRPr="00B75DCF" w:rsidRDefault="003A34DE" w:rsidP="00CC1A8E">
            <w:pPr>
              <w:spacing w:line="360" w:lineRule="auto"/>
              <w:jc w:val="center"/>
              <w:rPr>
                <w:rFonts w:cstheme="minorHAnsi"/>
              </w:rPr>
            </w:pPr>
            <w:r w:rsidRPr="00B75DCF">
              <w:rPr>
                <w:rFonts w:cstheme="minorHAnsi"/>
              </w:rPr>
              <w:t>£</w:t>
            </w:r>
            <w:r w:rsidR="005C0555">
              <w:rPr>
                <w:rFonts w:cstheme="minorHAnsi"/>
              </w:rPr>
              <w:t>19,736</w:t>
            </w:r>
          </w:p>
        </w:tc>
      </w:tr>
      <w:tr w:rsidR="007F67FD" w:rsidRPr="00B75DCF" w14:paraId="4D587BCD" w14:textId="77777777">
        <w:trPr>
          <w:trHeight w:val="315"/>
        </w:trPr>
        <w:tc>
          <w:tcPr>
            <w:tcW w:w="3256" w:type="dxa"/>
            <w:noWrap/>
            <w:vAlign w:val="center"/>
          </w:tcPr>
          <w:p w14:paraId="2DA9F1C0" w14:textId="77777777" w:rsidR="00B51DBC" w:rsidRPr="00B75DCF" w:rsidRDefault="003A34DE" w:rsidP="00CC1A8E">
            <w:pPr>
              <w:spacing w:line="360" w:lineRule="auto"/>
              <w:jc w:val="right"/>
              <w:rPr>
                <w:rFonts w:cstheme="minorHAnsi"/>
              </w:rPr>
            </w:pPr>
            <w:r w:rsidRPr="00B75DCF">
              <w:rPr>
                <w:rFonts w:cstheme="minorHAnsi"/>
              </w:rPr>
              <w:t>Alternative cost estimates of procedure cost (EY21B for TAVI, non-elective short stay: £27,513; ED25C for SAVR, elective: £21,638)</w:t>
            </w:r>
          </w:p>
        </w:tc>
        <w:tc>
          <w:tcPr>
            <w:tcW w:w="1842" w:type="dxa"/>
            <w:noWrap/>
            <w:vAlign w:val="center"/>
          </w:tcPr>
          <w:p w14:paraId="6BAC185B" w14:textId="1FD1C7B7" w:rsidR="00B51DBC" w:rsidRPr="00B75DCF" w:rsidRDefault="003A34DE" w:rsidP="00CC1A8E">
            <w:pPr>
              <w:spacing w:line="360" w:lineRule="auto"/>
              <w:jc w:val="center"/>
              <w:rPr>
                <w:rFonts w:cstheme="minorHAnsi"/>
              </w:rPr>
            </w:pPr>
            <w:r w:rsidRPr="00B75DCF">
              <w:rPr>
                <w:rFonts w:cstheme="minorHAnsi"/>
              </w:rPr>
              <w:t>£5,</w:t>
            </w:r>
            <w:r w:rsidR="005C0555">
              <w:rPr>
                <w:rFonts w:cstheme="minorHAnsi"/>
              </w:rPr>
              <w:t>589</w:t>
            </w:r>
          </w:p>
        </w:tc>
        <w:tc>
          <w:tcPr>
            <w:tcW w:w="1928" w:type="dxa"/>
            <w:noWrap/>
            <w:vAlign w:val="center"/>
          </w:tcPr>
          <w:p w14:paraId="442F5172" w14:textId="4DE76EA1" w:rsidR="00B51DBC" w:rsidRPr="00B75DCF" w:rsidRDefault="003A34DE" w:rsidP="00CC1A8E">
            <w:pPr>
              <w:spacing w:line="360" w:lineRule="auto"/>
              <w:jc w:val="center"/>
              <w:rPr>
                <w:rFonts w:cstheme="minorHAnsi"/>
              </w:rPr>
            </w:pPr>
            <w:r w:rsidRPr="00B75DCF">
              <w:rPr>
                <w:rFonts w:cstheme="minorHAnsi"/>
              </w:rPr>
              <w:t>0.4</w:t>
            </w:r>
            <w:r w:rsidR="005C0555">
              <w:rPr>
                <w:rFonts w:cstheme="minorHAnsi"/>
              </w:rPr>
              <w:t>7</w:t>
            </w:r>
          </w:p>
        </w:tc>
        <w:tc>
          <w:tcPr>
            <w:tcW w:w="2098" w:type="dxa"/>
            <w:noWrap/>
            <w:vAlign w:val="center"/>
          </w:tcPr>
          <w:p w14:paraId="66545BF4" w14:textId="428BE457" w:rsidR="00B51DBC" w:rsidRPr="00B75DCF" w:rsidRDefault="003A34DE" w:rsidP="00CC1A8E">
            <w:pPr>
              <w:spacing w:line="360" w:lineRule="auto"/>
              <w:jc w:val="center"/>
              <w:rPr>
                <w:rFonts w:cstheme="minorHAnsi"/>
              </w:rPr>
            </w:pPr>
            <w:r w:rsidRPr="00B75DCF">
              <w:rPr>
                <w:rFonts w:cstheme="minorHAnsi"/>
              </w:rPr>
              <w:t>£</w:t>
            </w:r>
            <w:r w:rsidR="00632472">
              <w:rPr>
                <w:rFonts w:cstheme="minorHAnsi"/>
              </w:rPr>
              <w:t>11,924</w:t>
            </w:r>
          </w:p>
        </w:tc>
      </w:tr>
      <w:tr w:rsidR="007F67FD" w:rsidRPr="00B75DCF" w14:paraId="0276D9FB" w14:textId="77777777">
        <w:trPr>
          <w:trHeight w:val="315"/>
        </w:trPr>
        <w:tc>
          <w:tcPr>
            <w:tcW w:w="3256" w:type="dxa"/>
            <w:noWrap/>
            <w:vAlign w:val="center"/>
          </w:tcPr>
          <w:p w14:paraId="56925158" w14:textId="77777777" w:rsidR="00B51DBC" w:rsidRPr="00B75DCF" w:rsidRDefault="003A34DE" w:rsidP="00CC1A8E">
            <w:pPr>
              <w:spacing w:line="360" w:lineRule="auto"/>
              <w:jc w:val="right"/>
              <w:rPr>
                <w:rFonts w:cstheme="minorHAnsi"/>
              </w:rPr>
            </w:pPr>
            <w:r w:rsidRPr="00B75DCF">
              <w:rPr>
                <w:rFonts w:cstheme="minorHAnsi"/>
              </w:rPr>
              <w:lastRenderedPageBreak/>
              <w:t>Alternative cost estimates of procedure cost (EY21B for TAVI, non-elective long stay: £34,368; ED25C for SAVR, elective: £21,638)</w:t>
            </w:r>
          </w:p>
        </w:tc>
        <w:tc>
          <w:tcPr>
            <w:tcW w:w="1842" w:type="dxa"/>
            <w:noWrap/>
            <w:vAlign w:val="center"/>
          </w:tcPr>
          <w:p w14:paraId="4647900F" w14:textId="0BC3ACE2" w:rsidR="00B51DBC" w:rsidRPr="00B75DCF" w:rsidRDefault="003A34DE" w:rsidP="00CC1A8E">
            <w:pPr>
              <w:spacing w:line="360" w:lineRule="auto"/>
              <w:jc w:val="center"/>
              <w:rPr>
                <w:rFonts w:cstheme="minorHAnsi"/>
              </w:rPr>
            </w:pPr>
            <w:r w:rsidRPr="00B75DCF">
              <w:rPr>
                <w:rFonts w:cstheme="minorHAnsi"/>
              </w:rPr>
              <w:t>£12,</w:t>
            </w:r>
            <w:r w:rsidR="00632472">
              <w:rPr>
                <w:rFonts w:cstheme="minorHAnsi"/>
              </w:rPr>
              <w:t>975</w:t>
            </w:r>
          </w:p>
        </w:tc>
        <w:tc>
          <w:tcPr>
            <w:tcW w:w="1928" w:type="dxa"/>
            <w:noWrap/>
            <w:vAlign w:val="center"/>
          </w:tcPr>
          <w:p w14:paraId="426E694A" w14:textId="6CCC1452" w:rsidR="00B51DBC" w:rsidRPr="00B75DCF" w:rsidRDefault="003A34DE" w:rsidP="00CC1A8E">
            <w:pPr>
              <w:spacing w:line="360" w:lineRule="auto"/>
              <w:jc w:val="center"/>
              <w:rPr>
                <w:rFonts w:cstheme="minorHAnsi"/>
              </w:rPr>
            </w:pPr>
            <w:r w:rsidRPr="00B75DCF">
              <w:rPr>
                <w:rFonts w:cstheme="minorHAnsi"/>
              </w:rPr>
              <w:t>0.4</w:t>
            </w:r>
            <w:r w:rsidR="00632472">
              <w:rPr>
                <w:rFonts w:cstheme="minorHAnsi"/>
              </w:rPr>
              <w:t>7</w:t>
            </w:r>
          </w:p>
        </w:tc>
        <w:tc>
          <w:tcPr>
            <w:tcW w:w="2098" w:type="dxa"/>
            <w:noWrap/>
            <w:vAlign w:val="center"/>
          </w:tcPr>
          <w:p w14:paraId="20CA0D8F" w14:textId="6C346CCC" w:rsidR="00B51DBC" w:rsidRPr="00B75DCF" w:rsidRDefault="003A34DE" w:rsidP="00CC1A8E">
            <w:pPr>
              <w:spacing w:line="360" w:lineRule="auto"/>
              <w:jc w:val="center"/>
              <w:rPr>
                <w:rFonts w:cstheme="minorHAnsi"/>
              </w:rPr>
            </w:pPr>
            <w:r w:rsidRPr="00B75DCF">
              <w:rPr>
                <w:rFonts w:cstheme="minorHAnsi"/>
              </w:rPr>
              <w:t>£27,6</w:t>
            </w:r>
            <w:r w:rsidR="00632472">
              <w:rPr>
                <w:rFonts w:cstheme="minorHAnsi"/>
              </w:rPr>
              <w:t>83</w:t>
            </w:r>
          </w:p>
        </w:tc>
      </w:tr>
      <w:tr w:rsidR="007F67FD" w:rsidRPr="00B75DCF" w14:paraId="1CEDA2EA" w14:textId="77777777">
        <w:trPr>
          <w:trHeight w:val="315"/>
        </w:trPr>
        <w:tc>
          <w:tcPr>
            <w:tcW w:w="3256" w:type="dxa"/>
            <w:noWrap/>
            <w:vAlign w:val="center"/>
          </w:tcPr>
          <w:p w14:paraId="24951A0C" w14:textId="77777777" w:rsidR="00B51DBC" w:rsidRPr="00B75DCF" w:rsidRDefault="003A34DE" w:rsidP="00CC1A8E">
            <w:pPr>
              <w:spacing w:line="360" w:lineRule="auto"/>
              <w:jc w:val="right"/>
              <w:rPr>
                <w:rFonts w:cstheme="minorHAnsi"/>
              </w:rPr>
            </w:pPr>
            <w:r w:rsidRPr="00B75DCF">
              <w:rPr>
                <w:rFonts w:cstheme="minorHAnsi"/>
              </w:rPr>
              <w:t>Alternative cost estimates of procedure cost (EY21B for TAVI, elective: £30,911; ED24C for SAVR, elective: £24,142)</w:t>
            </w:r>
          </w:p>
        </w:tc>
        <w:tc>
          <w:tcPr>
            <w:tcW w:w="1842" w:type="dxa"/>
            <w:noWrap/>
            <w:vAlign w:val="center"/>
          </w:tcPr>
          <w:p w14:paraId="07150A1E" w14:textId="77777777" w:rsidR="00B51DBC" w:rsidRPr="00B75DCF" w:rsidRDefault="003A34DE" w:rsidP="00CC1A8E">
            <w:pPr>
              <w:spacing w:line="360" w:lineRule="auto"/>
              <w:jc w:val="center"/>
              <w:rPr>
                <w:rFonts w:cstheme="minorHAnsi"/>
              </w:rPr>
            </w:pPr>
            <w:r w:rsidRPr="00B75DCF">
              <w:rPr>
                <w:rFonts w:cstheme="minorHAnsi"/>
              </w:rPr>
              <w:t>£6,746</w:t>
            </w:r>
          </w:p>
        </w:tc>
        <w:tc>
          <w:tcPr>
            <w:tcW w:w="1928" w:type="dxa"/>
            <w:noWrap/>
            <w:vAlign w:val="center"/>
          </w:tcPr>
          <w:p w14:paraId="4D31DD84" w14:textId="323EB43D" w:rsidR="00B51DBC" w:rsidRPr="00B75DCF" w:rsidRDefault="003A34DE" w:rsidP="00CC1A8E">
            <w:pPr>
              <w:spacing w:line="360" w:lineRule="auto"/>
              <w:jc w:val="center"/>
              <w:rPr>
                <w:rFonts w:cstheme="minorHAnsi"/>
              </w:rPr>
            </w:pPr>
            <w:r w:rsidRPr="00B75DCF">
              <w:rPr>
                <w:rFonts w:cstheme="minorHAnsi"/>
              </w:rPr>
              <w:t>0.4</w:t>
            </w:r>
            <w:r w:rsidR="00632472">
              <w:rPr>
                <w:rFonts w:cstheme="minorHAnsi"/>
              </w:rPr>
              <w:t>7</w:t>
            </w:r>
          </w:p>
        </w:tc>
        <w:tc>
          <w:tcPr>
            <w:tcW w:w="2098" w:type="dxa"/>
            <w:noWrap/>
            <w:vAlign w:val="center"/>
          </w:tcPr>
          <w:p w14:paraId="0D0BE8C6" w14:textId="2A9551D1" w:rsidR="00B51DBC" w:rsidRPr="00B75DCF" w:rsidRDefault="003A34DE" w:rsidP="00CC1A8E">
            <w:pPr>
              <w:spacing w:line="360" w:lineRule="auto"/>
              <w:jc w:val="center"/>
              <w:rPr>
                <w:rFonts w:cstheme="minorHAnsi"/>
              </w:rPr>
            </w:pPr>
            <w:r w:rsidRPr="00B75DCF">
              <w:rPr>
                <w:rFonts w:cstheme="minorHAnsi"/>
              </w:rPr>
              <w:t>£14,</w:t>
            </w:r>
            <w:r w:rsidR="00632472">
              <w:rPr>
                <w:rFonts w:cstheme="minorHAnsi"/>
              </w:rPr>
              <w:t>393</w:t>
            </w:r>
          </w:p>
        </w:tc>
      </w:tr>
      <w:tr w:rsidR="007F67FD" w:rsidRPr="00B75DCF" w14:paraId="6508A1E6" w14:textId="77777777">
        <w:trPr>
          <w:trHeight w:val="315"/>
        </w:trPr>
        <w:tc>
          <w:tcPr>
            <w:tcW w:w="3256" w:type="dxa"/>
            <w:noWrap/>
            <w:vAlign w:val="center"/>
          </w:tcPr>
          <w:p w14:paraId="638F9A36" w14:textId="77777777" w:rsidR="00B51DBC" w:rsidRPr="00B75DCF" w:rsidRDefault="003A34DE" w:rsidP="00CC1A8E">
            <w:pPr>
              <w:spacing w:line="360" w:lineRule="auto"/>
              <w:jc w:val="right"/>
              <w:rPr>
                <w:rFonts w:cstheme="minorHAnsi"/>
              </w:rPr>
            </w:pPr>
            <w:r w:rsidRPr="00B75DCF">
              <w:rPr>
                <w:rFonts w:cstheme="minorHAnsi"/>
              </w:rPr>
              <w:t>Alternative cost estimates of procedure cost (EY21B for TAVI, non-elective short stay: £27,513; ED24C for SAVR, elective: £24,142)</w:t>
            </w:r>
          </w:p>
        </w:tc>
        <w:tc>
          <w:tcPr>
            <w:tcW w:w="1842" w:type="dxa"/>
            <w:noWrap/>
            <w:vAlign w:val="center"/>
          </w:tcPr>
          <w:p w14:paraId="171BF418" w14:textId="3D70879B" w:rsidR="00B51DBC" w:rsidRPr="00B75DCF" w:rsidRDefault="003A34DE" w:rsidP="00CC1A8E">
            <w:pPr>
              <w:spacing w:line="360" w:lineRule="auto"/>
              <w:jc w:val="center"/>
              <w:rPr>
                <w:rFonts w:cstheme="minorHAnsi"/>
              </w:rPr>
            </w:pPr>
            <w:r w:rsidRPr="00B75DCF">
              <w:rPr>
                <w:rFonts w:cstheme="minorHAnsi"/>
              </w:rPr>
              <w:t>£3,</w:t>
            </w:r>
            <w:r w:rsidR="00632472">
              <w:rPr>
                <w:rFonts w:cstheme="minorHAnsi"/>
              </w:rPr>
              <w:t>085</w:t>
            </w:r>
          </w:p>
        </w:tc>
        <w:tc>
          <w:tcPr>
            <w:tcW w:w="1928" w:type="dxa"/>
            <w:noWrap/>
            <w:vAlign w:val="center"/>
          </w:tcPr>
          <w:p w14:paraId="266FF478" w14:textId="210F267E" w:rsidR="00B51DBC" w:rsidRPr="00B75DCF" w:rsidRDefault="003A34DE" w:rsidP="00CC1A8E">
            <w:pPr>
              <w:spacing w:line="360" w:lineRule="auto"/>
              <w:jc w:val="center"/>
              <w:rPr>
                <w:rFonts w:cstheme="minorHAnsi"/>
              </w:rPr>
            </w:pPr>
            <w:r w:rsidRPr="00B75DCF">
              <w:rPr>
                <w:rFonts w:cstheme="minorHAnsi"/>
              </w:rPr>
              <w:t>0.4</w:t>
            </w:r>
            <w:r w:rsidR="00632472">
              <w:rPr>
                <w:rFonts w:cstheme="minorHAnsi"/>
              </w:rPr>
              <w:t>7</w:t>
            </w:r>
          </w:p>
        </w:tc>
        <w:tc>
          <w:tcPr>
            <w:tcW w:w="2098" w:type="dxa"/>
            <w:noWrap/>
            <w:vAlign w:val="center"/>
          </w:tcPr>
          <w:p w14:paraId="30025877" w14:textId="5D4479CD" w:rsidR="00B51DBC" w:rsidRPr="00B75DCF" w:rsidRDefault="003A34DE" w:rsidP="00CC1A8E">
            <w:pPr>
              <w:spacing w:line="360" w:lineRule="auto"/>
              <w:jc w:val="center"/>
              <w:rPr>
                <w:rFonts w:cstheme="minorHAnsi"/>
              </w:rPr>
            </w:pPr>
            <w:r w:rsidRPr="00B75DCF">
              <w:rPr>
                <w:rFonts w:cstheme="minorHAnsi"/>
              </w:rPr>
              <w:t>£</w:t>
            </w:r>
            <w:r w:rsidR="00632472">
              <w:rPr>
                <w:rFonts w:cstheme="minorHAnsi"/>
              </w:rPr>
              <w:t>6,581</w:t>
            </w:r>
          </w:p>
        </w:tc>
      </w:tr>
      <w:tr w:rsidR="007F67FD" w:rsidRPr="00B75DCF" w14:paraId="5DBBD01F" w14:textId="77777777">
        <w:trPr>
          <w:trHeight w:val="315"/>
        </w:trPr>
        <w:tc>
          <w:tcPr>
            <w:tcW w:w="3256" w:type="dxa"/>
            <w:noWrap/>
            <w:vAlign w:val="center"/>
          </w:tcPr>
          <w:p w14:paraId="1737D823" w14:textId="77777777" w:rsidR="00B51DBC" w:rsidRPr="00B75DCF" w:rsidRDefault="003A34DE" w:rsidP="00CC1A8E">
            <w:pPr>
              <w:spacing w:line="360" w:lineRule="auto"/>
              <w:jc w:val="right"/>
              <w:rPr>
                <w:rFonts w:cstheme="minorHAnsi"/>
              </w:rPr>
            </w:pPr>
            <w:r w:rsidRPr="00B75DCF">
              <w:rPr>
                <w:rFonts w:cstheme="minorHAnsi"/>
              </w:rPr>
              <w:t>Alternative cost estimates of procedure cost (EY21B for TAVI, non-elective long stay: £34,368; ED24C for SAVR, elective: £24,142)</w:t>
            </w:r>
          </w:p>
        </w:tc>
        <w:tc>
          <w:tcPr>
            <w:tcW w:w="1842" w:type="dxa"/>
            <w:noWrap/>
            <w:vAlign w:val="center"/>
          </w:tcPr>
          <w:p w14:paraId="546B798D" w14:textId="270198FF" w:rsidR="00B51DBC" w:rsidRPr="00B75DCF" w:rsidRDefault="003A34DE" w:rsidP="00CC1A8E">
            <w:pPr>
              <w:spacing w:line="360" w:lineRule="auto"/>
              <w:jc w:val="center"/>
              <w:rPr>
                <w:rFonts w:cstheme="minorHAnsi"/>
              </w:rPr>
            </w:pPr>
            <w:r w:rsidRPr="00B75DCF">
              <w:rPr>
                <w:rFonts w:cstheme="minorHAnsi"/>
              </w:rPr>
              <w:t>£10,</w:t>
            </w:r>
            <w:r w:rsidR="00632472">
              <w:rPr>
                <w:rFonts w:cstheme="minorHAnsi"/>
              </w:rPr>
              <w:t>471</w:t>
            </w:r>
          </w:p>
        </w:tc>
        <w:tc>
          <w:tcPr>
            <w:tcW w:w="1928" w:type="dxa"/>
            <w:noWrap/>
            <w:vAlign w:val="center"/>
          </w:tcPr>
          <w:p w14:paraId="3A22F0F6" w14:textId="03573B38" w:rsidR="00B51DBC" w:rsidRPr="00B75DCF" w:rsidRDefault="003A34DE" w:rsidP="00CC1A8E">
            <w:pPr>
              <w:spacing w:line="360" w:lineRule="auto"/>
              <w:jc w:val="center"/>
              <w:rPr>
                <w:rFonts w:cstheme="minorHAnsi"/>
              </w:rPr>
            </w:pPr>
            <w:r w:rsidRPr="00B75DCF">
              <w:rPr>
                <w:rFonts w:cstheme="minorHAnsi"/>
              </w:rPr>
              <w:t>0.4</w:t>
            </w:r>
            <w:r w:rsidR="00632472">
              <w:rPr>
                <w:rFonts w:cstheme="minorHAnsi"/>
              </w:rPr>
              <w:t>7</w:t>
            </w:r>
          </w:p>
        </w:tc>
        <w:tc>
          <w:tcPr>
            <w:tcW w:w="2098" w:type="dxa"/>
            <w:noWrap/>
            <w:vAlign w:val="center"/>
          </w:tcPr>
          <w:p w14:paraId="6982E5EE" w14:textId="448778E2" w:rsidR="00B51DBC" w:rsidRPr="00B75DCF" w:rsidRDefault="003A34DE" w:rsidP="00CC1A8E">
            <w:pPr>
              <w:spacing w:line="360" w:lineRule="auto"/>
              <w:jc w:val="center"/>
              <w:rPr>
                <w:rFonts w:cstheme="minorHAnsi"/>
              </w:rPr>
            </w:pPr>
            <w:r w:rsidRPr="00B75DCF">
              <w:rPr>
                <w:rFonts w:cstheme="minorHAnsi"/>
              </w:rPr>
              <w:t>£22,</w:t>
            </w:r>
            <w:r w:rsidR="00632472">
              <w:rPr>
                <w:rFonts w:cstheme="minorHAnsi"/>
              </w:rPr>
              <w:t>341</w:t>
            </w:r>
          </w:p>
        </w:tc>
      </w:tr>
      <w:tr w:rsidR="007F67FD" w:rsidRPr="00B75DCF" w14:paraId="03A4A99E" w14:textId="77777777">
        <w:trPr>
          <w:trHeight w:val="315"/>
        </w:trPr>
        <w:tc>
          <w:tcPr>
            <w:tcW w:w="3256" w:type="dxa"/>
            <w:noWrap/>
            <w:vAlign w:val="center"/>
          </w:tcPr>
          <w:p w14:paraId="092C2E59" w14:textId="77777777" w:rsidR="00B51DBC" w:rsidRPr="00B75DCF" w:rsidRDefault="003A34DE" w:rsidP="00CC1A8E">
            <w:pPr>
              <w:spacing w:line="360" w:lineRule="auto"/>
              <w:jc w:val="right"/>
              <w:rPr>
                <w:rFonts w:cstheme="minorHAnsi"/>
              </w:rPr>
            </w:pPr>
            <w:r w:rsidRPr="00B75DCF">
              <w:rPr>
                <w:rFonts w:cstheme="minorHAnsi"/>
              </w:rPr>
              <w:t>Alternative cost estimates of procedure cost (EY21B for TAVI, non-elective short stay: £27,513; ED25C for SAVR, non-elective short stay: £15,836)</w:t>
            </w:r>
          </w:p>
        </w:tc>
        <w:tc>
          <w:tcPr>
            <w:tcW w:w="1842" w:type="dxa"/>
            <w:noWrap/>
            <w:vAlign w:val="center"/>
          </w:tcPr>
          <w:p w14:paraId="7EFAD42F" w14:textId="1C355005" w:rsidR="00B51DBC" w:rsidRPr="00B75DCF" w:rsidRDefault="003A34DE" w:rsidP="00CC1A8E">
            <w:pPr>
              <w:spacing w:line="360" w:lineRule="auto"/>
              <w:jc w:val="center"/>
              <w:rPr>
                <w:rFonts w:cstheme="minorHAnsi"/>
              </w:rPr>
            </w:pPr>
            <w:r w:rsidRPr="00B75DCF">
              <w:rPr>
                <w:rFonts w:cstheme="minorHAnsi"/>
              </w:rPr>
              <w:t>£11,</w:t>
            </w:r>
            <w:r w:rsidR="00632472">
              <w:rPr>
                <w:rFonts w:cstheme="minorHAnsi"/>
              </w:rPr>
              <w:t>391</w:t>
            </w:r>
          </w:p>
        </w:tc>
        <w:tc>
          <w:tcPr>
            <w:tcW w:w="1928" w:type="dxa"/>
            <w:noWrap/>
            <w:vAlign w:val="center"/>
          </w:tcPr>
          <w:p w14:paraId="77AB16B1" w14:textId="444B8218" w:rsidR="00B51DBC" w:rsidRPr="00B75DCF" w:rsidRDefault="003A34DE" w:rsidP="00CC1A8E">
            <w:pPr>
              <w:spacing w:line="360" w:lineRule="auto"/>
              <w:jc w:val="center"/>
              <w:rPr>
                <w:rFonts w:cstheme="minorHAnsi"/>
              </w:rPr>
            </w:pPr>
            <w:r w:rsidRPr="00B75DCF">
              <w:rPr>
                <w:rFonts w:cstheme="minorHAnsi"/>
              </w:rPr>
              <w:t>0.4</w:t>
            </w:r>
            <w:r w:rsidR="00632472">
              <w:rPr>
                <w:rFonts w:cstheme="minorHAnsi"/>
              </w:rPr>
              <w:t>7</w:t>
            </w:r>
          </w:p>
        </w:tc>
        <w:tc>
          <w:tcPr>
            <w:tcW w:w="2098" w:type="dxa"/>
            <w:noWrap/>
            <w:vAlign w:val="center"/>
          </w:tcPr>
          <w:p w14:paraId="79927BCF" w14:textId="1FCAA7FD" w:rsidR="00B51DBC" w:rsidRPr="00B75DCF" w:rsidRDefault="003A34DE" w:rsidP="00CC1A8E">
            <w:pPr>
              <w:spacing w:line="360" w:lineRule="auto"/>
              <w:jc w:val="center"/>
              <w:rPr>
                <w:rFonts w:cstheme="minorHAnsi"/>
              </w:rPr>
            </w:pPr>
            <w:r w:rsidRPr="00B75DCF">
              <w:rPr>
                <w:rFonts w:cstheme="minorHAnsi"/>
              </w:rPr>
              <w:t>£</w:t>
            </w:r>
            <w:r w:rsidR="00632472">
              <w:rPr>
                <w:rFonts w:cstheme="minorHAnsi"/>
              </w:rPr>
              <w:t>24,302</w:t>
            </w:r>
          </w:p>
        </w:tc>
      </w:tr>
      <w:tr w:rsidR="007F67FD" w:rsidRPr="00B75DCF" w14:paraId="436FD134" w14:textId="77777777">
        <w:trPr>
          <w:trHeight w:val="315"/>
        </w:trPr>
        <w:tc>
          <w:tcPr>
            <w:tcW w:w="3256" w:type="dxa"/>
            <w:noWrap/>
            <w:vAlign w:val="center"/>
          </w:tcPr>
          <w:p w14:paraId="5F0BB7C9" w14:textId="77777777" w:rsidR="00B51DBC" w:rsidRPr="00B75DCF" w:rsidRDefault="003A34DE" w:rsidP="00CC1A8E">
            <w:pPr>
              <w:spacing w:line="360" w:lineRule="auto"/>
              <w:jc w:val="right"/>
              <w:rPr>
                <w:rFonts w:cstheme="minorHAnsi"/>
              </w:rPr>
            </w:pPr>
            <w:r w:rsidRPr="00B75DCF">
              <w:rPr>
                <w:rFonts w:cstheme="minorHAnsi"/>
              </w:rPr>
              <w:t>Alternative cost estimates of procedure cost (EY21B for TAVI, non-elective long stay: £34,368; ED25C for SAVR, non-elective long stay: £26,486)</w:t>
            </w:r>
          </w:p>
        </w:tc>
        <w:tc>
          <w:tcPr>
            <w:tcW w:w="1842" w:type="dxa"/>
            <w:noWrap/>
            <w:vAlign w:val="center"/>
          </w:tcPr>
          <w:p w14:paraId="5F968C5C" w14:textId="3C9B6383" w:rsidR="00B51DBC" w:rsidRPr="00B75DCF" w:rsidRDefault="003A34DE" w:rsidP="00CC1A8E">
            <w:pPr>
              <w:spacing w:line="360" w:lineRule="auto"/>
              <w:jc w:val="center"/>
              <w:rPr>
                <w:rFonts w:cstheme="minorHAnsi"/>
              </w:rPr>
            </w:pPr>
            <w:r w:rsidRPr="00B75DCF">
              <w:rPr>
                <w:rFonts w:cstheme="minorHAnsi"/>
              </w:rPr>
              <w:t>£</w:t>
            </w:r>
            <w:r w:rsidR="00632472">
              <w:rPr>
                <w:rFonts w:cstheme="minorHAnsi"/>
              </w:rPr>
              <w:t>8,127</w:t>
            </w:r>
          </w:p>
        </w:tc>
        <w:tc>
          <w:tcPr>
            <w:tcW w:w="1928" w:type="dxa"/>
            <w:noWrap/>
            <w:vAlign w:val="center"/>
          </w:tcPr>
          <w:p w14:paraId="2D93864E" w14:textId="304560D2" w:rsidR="00B51DBC" w:rsidRPr="00B75DCF" w:rsidRDefault="003A34DE" w:rsidP="00CC1A8E">
            <w:pPr>
              <w:spacing w:line="360" w:lineRule="auto"/>
              <w:jc w:val="center"/>
              <w:rPr>
                <w:rFonts w:cstheme="minorHAnsi"/>
              </w:rPr>
            </w:pPr>
            <w:r w:rsidRPr="00B75DCF">
              <w:rPr>
                <w:rFonts w:cstheme="minorHAnsi"/>
              </w:rPr>
              <w:t>0.4</w:t>
            </w:r>
            <w:r w:rsidR="00632472">
              <w:rPr>
                <w:rFonts w:cstheme="minorHAnsi"/>
              </w:rPr>
              <w:t>7</w:t>
            </w:r>
          </w:p>
        </w:tc>
        <w:tc>
          <w:tcPr>
            <w:tcW w:w="2098" w:type="dxa"/>
            <w:noWrap/>
            <w:vAlign w:val="center"/>
          </w:tcPr>
          <w:p w14:paraId="0F9432DC" w14:textId="70A03606" w:rsidR="00B51DBC" w:rsidRPr="00B75DCF" w:rsidRDefault="003A34DE" w:rsidP="00CC1A8E">
            <w:pPr>
              <w:spacing w:line="360" w:lineRule="auto"/>
              <w:jc w:val="center"/>
              <w:rPr>
                <w:rFonts w:cstheme="minorHAnsi"/>
              </w:rPr>
            </w:pPr>
            <w:r w:rsidRPr="00B75DCF">
              <w:rPr>
                <w:rFonts w:cstheme="minorHAnsi"/>
              </w:rPr>
              <w:t>£17,</w:t>
            </w:r>
            <w:r w:rsidR="00632472">
              <w:rPr>
                <w:rFonts w:cstheme="minorHAnsi"/>
              </w:rPr>
              <w:t>340</w:t>
            </w:r>
          </w:p>
        </w:tc>
      </w:tr>
      <w:tr w:rsidR="007F67FD" w:rsidRPr="00B75DCF" w14:paraId="0790C9C1" w14:textId="77777777">
        <w:trPr>
          <w:trHeight w:val="315"/>
        </w:trPr>
        <w:tc>
          <w:tcPr>
            <w:tcW w:w="3256" w:type="dxa"/>
            <w:noWrap/>
            <w:vAlign w:val="center"/>
          </w:tcPr>
          <w:p w14:paraId="33B982F8" w14:textId="77777777" w:rsidR="00B51DBC" w:rsidRPr="00B75DCF" w:rsidRDefault="003A34DE" w:rsidP="00CC1A8E">
            <w:pPr>
              <w:spacing w:line="360" w:lineRule="auto"/>
              <w:jc w:val="right"/>
              <w:rPr>
                <w:rFonts w:cstheme="minorHAnsi"/>
              </w:rPr>
            </w:pPr>
            <w:r w:rsidRPr="00B75DCF">
              <w:rPr>
                <w:rFonts w:cstheme="minorHAnsi"/>
              </w:rPr>
              <w:t>Alternative cost estimates of procedure cost (EY21B for TAVI, non-elective long stay: £34,368; ED24C and ED25C for SAVR, non-elective long stay: £26,621)</w:t>
            </w:r>
          </w:p>
        </w:tc>
        <w:tc>
          <w:tcPr>
            <w:tcW w:w="1842" w:type="dxa"/>
            <w:noWrap/>
            <w:vAlign w:val="center"/>
          </w:tcPr>
          <w:p w14:paraId="6EE23E15" w14:textId="4D4566EF" w:rsidR="00B51DBC" w:rsidRPr="00B75DCF" w:rsidRDefault="003A34DE" w:rsidP="00CC1A8E">
            <w:pPr>
              <w:spacing w:line="360" w:lineRule="auto"/>
              <w:jc w:val="center"/>
              <w:rPr>
                <w:rFonts w:cstheme="minorHAnsi"/>
              </w:rPr>
            </w:pPr>
            <w:r w:rsidRPr="00B75DCF">
              <w:rPr>
                <w:rFonts w:cstheme="minorHAnsi"/>
              </w:rPr>
              <w:t>£7,</w:t>
            </w:r>
            <w:r w:rsidR="00632472">
              <w:rPr>
                <w:rFonts w:cstheme="minorHAnsi"/>
              </w:rPr>
              <w:t>992</w:t>
            </w:r>
          </w:p>
        </w:tc>
        <w:tc>
          <w:tcPr>
            <w:tcW w:w="1928" w:type="dxa"/>
            <w:noWrap/>
            <w:vAlign w:val="center"/>
          </w:tcPr>
          <w:p w14:paraId="78748B3C" w14:textId="7A8AC83F" w:rsidR="00B51DBC" w:rsidRPr="00B75DCF" w:rsidRDefault="003A34DE" w:rsidP="00CC1A8E">
            <w:pPr>
              <w:spacing w:line="360" w:lineRule="auto"/>
              <w:jc w:val="center"/>
              <w:rPr>
                <w:rFonts w:cstheme="minorHAnsi"/>
              </w:rPr>
            </w:pPr>
            <w:r w:rsidRPr="00B75DCF">
              <w:rPr>
                <w:rFonts w:cstheme="minorHAnsi"/>
              </w:rPr>
              <w:t>0.4</w:t>
            </w:r>
            <w:r w:rsidR="00632472">
              <w:rPr>
                <w:rFonts w:cstheme="minorHAnsi"/>
              </w:rPr>
              <w:t>7</w:t>
            </w:r>
          </w:p>
        </w:tc>
        <w:tc>
          <w:tcPr>
            <w:tcW w:w="2098" w:type="dxa"/>
            <w:noWrap/>
            <w:vAlign w:val="center"/>
          </w:tcPr>
          <w:p w14:paraId="2A0E744F" w14:textId="39310888" w:rsidR="00B51DBC" w:rsidRPr="00B75DCF" w:rsidRDefault="003A34DE" w:rsidP="00CC1A8E">
            <w:pPr>
              <w:spacing w:line="360" w:lineRule="auto"/>
              <w:jc w:val="center"/>
              <w:rPr>
                <w:rFonts w:cstheme="minorHAnsi"/>
              </w:rPr>
            </w:pPr>
            <w:r w:rsidRPr="00B75DCF">
              <w:rPr>
                <w:rFonts w:cstheme="minorHAnsi"/>
              </w:rPr>
              <w:t>£</w:t>
            </w:r>
            <w:r w:rsidR="00632472">
              <w:rPr>
                <w:rFonts w:cstheme="minorHAnsi"/>
              </w:rPr>
              <w:t>17,052</w:t>
            </w:r>
          </w:p>
        </w:tc>
      </w:tr>
      <w:tr w:rsidR="007F67FD" w:rsidRPr="00B75DCF" w14:paraId="00CC6E50" w14:textId="77777777">
        <w:trPr>
          <w:trHeight w:val="315"/>
        </w:trPr>
        <w:tc>
          <w:tcPr>
            <w:tcW w:w="3256" w:type="dxa"/>
            <w:noWrap/>
            <w:vAlign w:val="center"/>
          </w:tcPr>
          <w:p w14:paraId="5898966D" w14:textId="5584494B" w:rsidR="00B51DBC" w:rsidRPr="00B75DCF" w:rsidRDefault="003A34DE" w:rsidP="00CC1A8E">
            <w:pPr>
              <w:spacing w:line="360" w:lineRule="auto"/>
              <w:jc w:val="right"/>
              <w:rPr>
                <w:rFonts w:cstheme="minorHAnsi"/>
              </w:rPr>
            </w:pPr>
            <w:r w:rsidRPr="00B75DCF">
              <w:rPr>
                <w:rFonts w:cstheme="minorHAnsi"/>
              </w:rPr>
              <w:lastRenderedPageBreak/>
              <w:t>Lower price for SAPIEN 3 device based on NICE NG208 (£</w:t>
            </w:r>
            <w:proofErr w:type="gramStart"/>
            <w:r w:rsidRPr="00B75DCF">
              <w:rPr>
                <w:rFonts w:cstheme="minorHAnsi"/>
              </w:rPr>
              <w:t>17,973)</w:t>
            </w:r>
            <w:r w:rsidR="00F30456" w:rsidRPr="00B75DCF">
              <w:rPr>
                <w:rFonts w:cstheme="minorHAnsi"/>
                <w:vertAlign w:val="superscript"/>
              </w:rPr>
              <w:t>a</w:t>
            </w:r>
            <w:proofErr w:type="gramEnd"/>
          </w:p>
        </w:tc>
        <w:tc>
          <w:tcPr>
            <w:tcW w:w="1842" w:type="dxa"/>
            <w:noWrap/>
            <w:vAlign w:val="center"/>
          </w:tcPr>
          <w:p w14:paraId="70CFBEF8" w14:textId="77777777" w:rsidR="00B51DBC" w:rsidRPr="00B75DCF" w:rsidRDefault="003A34DE" w:rsidP="00CC1A8E">
            <w:pPr>
              <w:spacing w:line="360" w:lineRule="auto"/>
              <w:jc w:val="center"/>
              <w:rPr>
                <w:rFonts w:cstheme="minorHAnsi"/>
              </w:rPr>
            </w:pPr>
            <w:r w:rsidRPr="00B75DCF">
              <w:rPr>
                <w:rFonts w:cstheme="minorHAnsi"/>
              </w:rPr>
              <w:t>£3,428</w:t>
            </w:r>
          </w:p>
        </w:tc>
        <w:tc>
          <w:tcPr>
            <w:tcW w:w="1928" w:type="dxa"/>
            <w:noWrap/>
            <w:vAlign w:val="center"/>
          </w:tcPr>
          <w:p w14:paraId="6CDE1518" w14:textId="292115C3" w:rsidR="00B51DBC" w:rsidRPr="00B75DCF" w:rsidRDefault="003A34DE" w:rsidP="00CC1A8E">
            <w:pPr>
              <w:spacing w:line="360" w:lineRule="auto"/>
              <w:jc w:val="center"/>
              <w:rPr>
                <w:rFonts w:cstheme="minorHAnsi"/>
              </w:rPr>
            </w:pPr>
            <w:r w:rsidRPr="00B75DCF">
              <w:rPr>
                <w:rFonts w:cstheme="minorHAnsi"/>
              </w:rPr>
              <w:t>0.4</w:t>
            </w:r>
            <w:r w:rsidR="00B7739C">
              <w:rPr>
                <w:rFonts w:cstheme="minorHAnsi"/>
              </w:rPr>
              <w:t>7</w:t>
            </w:r>
          </w:p>
        </w:tc>
        <w:tc>
          <w:tcPr>
            <w:tcW w:w="2098" w:type="dxa"/>
            <w:noWrap/>
            <w:vAlign w:val="center"/>
          </w:tcPr>
          <w:p w14:paraId="1EDC343B" w14:textId="754C90D6" w:rsidR="00B51DBC" w:rsidRPr="00B75DCF" w:rsidRDefault="003A34DE" w:rsidP="00CC1A8E">
            <w:pPr>
              <w:spacing w:line="360" w:lineRule="auto"/>
              <w:jc w:val="center"/>
              <w:rPr>
                <w:rFonts w:cstheme="minorHAnsi"/>
              </w:rPr>
            </w:pPr>
            <w:r w:rsidRPr="00B75DCF">
              <w:rPr>
                <w:rFonts w:cstheme="minorHAnsi"/>
              </w:rPr>
              <w:t>£7,</w:t>
            </w:r>
            <w:r w:rsidR="00B7739C">
              <w:rPr>
                <w:rFonts w:cstheme="minorHAnsi"/>
              </w:rPr>
              <w:t>314</w:t>
            </w:r>
          </w:p>
        </w:tc>
      </w:tr>
      <w:tr w:rsidR="007F67FD" w:rsidRPr="00B75DCF" w14:paraId="6C52F0BB" w14:textId="77777777">
        <w:trPr>
          <w:trHeight w:val="315"/>
        </w:trPr>
        <w:tc>
          <w:tcPr>
            <w:tcW w:w="3256" w:type="dxa"/>
            <w:noWrap/>
            <w:vAlign w:val="center"/>
          </w:tcPr>
          <w:p w14:paraId="3DB0B35A" w14:textId="77777777" w:rsidR="00B51DBC" w:rsidRPr="00B75DCF" w:rsidRDefault="003A34DE" w:rsidP="00CC1A8E">
            <w:pPr>
              <w:spacing w:line="360" w:lineRule="auto"/>
              <w:jc w:val="right"/>
              <w:rPr>
                <w:rFonts w:cstheme="minorHAnsi"/>
              </w:rPr>
            </w:pPr>
            <w:r w:rsidRPr="00B75DCF">
              <w:rPr>
                <w:rFonts w:cstheme="minorHAnsi"/>
              </w:rPr>
              <w:t>Alternative disabling stroke cost for month 1 (not excluding 50% of social care costs): £25,322</w:t>
            </w:r>
          </w:p>
        </w:tc>
        <w:tc>
          <w:tcPr>
            <w:tcW w:w="1842" w:type="dxa"/>
            <w:noWrap/>
            <w:vAlign w:val="center"/>
          </w:tcPr>
          <w:p w14:paraId="3EDD57B1" w14:textId="77777777" w:rsidR="00B51DBC" w:rsidRPr="00B75DCF" w:rsidRDefault="003A34DE" w:rsidP="00CC1A8E">
            <w:pPr>
              <w:spacing w:line="360" w:lineRule="auto"/>
              <w:jc w:val="center"/>
              <w:rPr>
                <w:rFonts w:cstheme="minorHAnsi"/>
              </w:rPr>
            </w:pPr>
            <w:r w:rsidRPr="00B75DCF">
              <w:rPr>
                <w:rFonts w:cstheme="minorHAnsi"/>
              </w:rPr>
              <w:t>£7,955</w:t>
            </w:r>
          </w:p>
        </w:tc>
        <w:tc>
          <w:tcPr>
            <w:tcW w:w="1928" w:type="dxa"/>
            <w:noWrap/>
            <w:vAlign w:val="center"/>
          </w:tcPr>
          <w:p w14:paraId="4C79F7FE" w14:textId="155D4806" w:rsidR="00B51DBC" w:rsidRPr="00B75DCF" w:rsidRDefault="003A34DE" w:rsidP="00CC1A8E">
            <w:pPr>
              <w:spacing w:line="360" w:lineRule="auto"/>
              <w:jc w:val="center"/>
              <w:rPr>
                <w:rFonts w:cstheme="minorHAnsi"/>
              </w:rPr>
            </w:pPr>
            <w:r w:rsidRPr="00B75DCF">
              <w:rPr>
                <w:rFonts w:cstheme="minorHAnsi"/>
              </w:rPr>
              <w:t>0.4</w:t>
            </w:r>
            <w:r w:rsidR="00B7739C">
              <w:rPr>
                <w:rFonts w:cstheme="minorHAnsi"/>
              </w:rPr>
              <w:t>7</w:t>
            </w:r>
          </w:p>
        </w:tc>
        <w:tc>
          <w:tcPr>
            <w:tcW w:w="2098" w:type="dxa"/>
            <w:noWrap/>
            <w:vAlign w:val="center"/>
          </w:tcPr>
          <w:p w14:paraId="7E2BAB2E" w14:textId="4FDBDF95" w:rsidR="00B51DBC" w:rsidRPr="00B75DCF" w:rsidRDefault="003A34DE" w:rsidP="00CC1A8E">
            <w:pPr>
              <w:spacing w:line="360" w:lineRule="auto"/>
              <w:jc w:val="center"/>
              <w:rPr>
                <w:rFonts w:cstheme="minorHAnsi"/>
              </w:rPr>
            </w:pPr>
            <w:r w:rsidRPr="00B75DCF">
              <w:rPr>
                <w:rFonts w:cstheme="minorHAnsi"/>
              </w:rPr>
              <w:t>£1</w:t>
            </w:r>
            <w:r w:rsidR="00B7739C">
              <w:rPr>
                <w:rFonts w:cstheme="minorHAnsi"/>
              </w:rPr>
              <w:t>6,972</w:t>
            </w:r>
          </w:p>
        </w:tc>
      </w:tr>
      <w:tr w:rsidR="007F67FD" w:rsidRPr="00B75DCF" w14:paraId="53CCAC29" w14:textId="77777777">
        <w:trPr>
          <w:trHeight w:val="315"/>
        </w:trPr>
        <w:tc>
          <w:tcPr>
            <w:tcW w:w="3256" w:type="dxa"/>
            <w:noWrap/>
            <w:vAlign w:val="center"/>
          </w:tcPr>
          <w:p w14:paraId="44EA1ADD" w14:textId="1C33318F" w:rsidR="00B51DBC" w:rsidRPr="00B75DCF" w:rsidRDefault="003A34DE" w:rsidP="00CC1A8E">
            <w:pPr>
              <w:spacing w:line="360" w:lineRule="auto"/>
              <w:jc w:val="right"/>
              <w:rPr>
                <w:rFonts w:cstheme="minorHAnsi"/>
              </w:rPr>
            </w:pPr>
            <w:r w:rsidRPr="00B75DCF">
              <w:rPr>
                <w:rFonts w:cstheme="minorHAnsi"/>
              </w:rPr>
              <w:t>Alternative cost of hospitalization based on NICE NG208 (£</w:t>
            </w:r>
            <w:proofErr w:type="gramStart"/>
            <w:r w:rsidRPr="00B75DCF">
              <w:rPr>
                <w:rFonts w:cstheme="minorHAnsi"/>
              </w:rPr>
              <w:t>2,448)</w:t>
            </w:r>
            <w:r w:rsidR="00F30456" w:rsidRPr="00B75DCF">
              <w:rPr>
                <w:rFonts w:cstheme="minorHAnsi"/>
                <w:vertAlign w:val="superscript"/>
              </w:rPr>
              <w:t>b</w:t>
            </w:r>
            <w:proofErr w:type="gramEnd"/>
          </w:p>
        </w:tc>
        <w:tc>
          <w:tcPr>
            <w:tcW w:w="1842" w:type="dxa"/>
            <w:noWrap/>
            <w:vAlign w:val="center"/>
          </w:tcPr>
          <w:p w14:paraId="64155D89" w14:textId="77777777" w:rsidR="00B51DBC" w:rsidRPr="00B75DCF" w:rsidRDefault="003A34DE" w:rsidP="00CC1A8E">
            <w:pPr>
              <w:spacing w:line="360" w:lineRule="auto"/>
              <w:jc w:val="center"/>
              <w:rPr>
                <w:rFonts w:cstheme="minorHAnsi"/>
              </w:rPr>
            </w:pPr>
            <w:r w:rsidRPr="00B75DCF">
              <w:rPr>
                <w:rFonts w:cstheme="minorHAnsi"/>
              </w:rPr>
              <w:t>£8,026</w:t>
            </w:r>
          </w:p>
        </w:tc>
        <w:tc>
          <w:tcPr>
            <w:tcW w:w="1928" w:type="dxa"/>
            <w:noWrap/>
            <w:vAlign w:val="center"/>
          </w:tcPr>
          <w:p w14:paraId="22B23507" w14:textId="411D390F" w:rsidR="00B51DBC" w:rsidRPr="00B75DCF" w:rsidRDefault="003A34DE" w:rsidP="00CC1A8E">
            <w:pPr>
              <w:spacing w:line="360" w:lineRule="auto"/>
              <w:jc w:val="center"/>
              <w:rPr>
                <w:rFonts w:cstheme="minorHAnsi"/>
              </w:rPr>
            </w:pPr>
            <w:r w:rsidRPr="00B75DCF">
              <w:rPr>
                <w:rFonts w:cstheme="minorHAnsi"/>
              </w:rPr>
              <w:t>0.4</w:t>
            </w:r>
            <w:r w:rsidR="00B7739C">
              <w:rPr>
                <w:rFonts w:cstheme="minorHAnsi"/>
              </w:rPr>
              <w:t>7</w:t>
            </w:r>
          </w:p>
        </w:tc>
        <w:tc>
          <w:tcPr>
            <w:tcW w:w="2098" w:type="dxa"/>
            <w:noWrap/>
            <w:vAlign w:val="center"/>
          </w:tcPr>
          <w:p w14:paraId="29A9025E" w14:textId="1922DDCD" w:rsidR="00B51DBC" w:rsidRPr="00B75DCF" w:rsidRDefault="003A34DE" w:rsidP="00CC1A8E">
            <w:pPr>
              <w:spacing w:line="360" w:lineRule="auto"/>
              <w:jc w:val="center"/>
              <w:rPr>
                <w:rFonts w:cstheme="minorHAnsi"/>
              </w:rPr>
            </w:pPr>
            <w:r w:rsidRPr="00B75DCF">
              <w:rPr>
                <w:rFonts w:cstheme="minorHAnsi"/>
              </w:rPr>
              <w:t>£17,</w:t>
            </w:r>
            <w:r w:rsidR="00B7739C">
              <w:rPr>
                <w:rFonts w:cstheme="minorHAnsi"/>
              </w:rPr>
              <w:t>123</w:t>
            </w:r>
          </w:p>
        </w:tc>
      </w:tr>
      <w:tr w:rsidR="007F67FD" w:rsidRPr="00B75DCF" w14:paraId="15C6682B" w14:textId="77777777">
        <w:trPr>
          <w:trHeight w:val="315"/>
        </w:trPr>
        <w:tc>
          <w:tcPr>
            <w:tcW w:w="3256" w:type="dxa"/>
            <w:noWrap/>
            <w:vAlign w:val="center"/>
          </w:tcPr>
          <w:p w14:paraId="6DF57CD4" w14:textId="77777777" w:rsidR="00B51DBC" w:rsidRPr="00B75DCF" w:rsidRDefault="003A34DE" w:rsidP="00CC1A8E">
            <w:pPr>
              <w:spacing w:line="360" w:lineRule="auto"/>
              <w:jc w:val="right"/>
              <w:rPr>
                <w:rFonts w:cstheme="minorHAnsi"/>
              </w:rPr>
            </w:pPr>
            <w:r w:rsidRPr="00B75DCF">
              <w:rPr>
                <w:rFonts w:cstheme="minorHAnsi"/>
              </w:rPr>
              <w:t>5-year time horizon</w:t>
            </w:r>
          </w:p>
        </w:tc>
        <w:tc>
          <w:tcPr>
            <w:tcW w:w="1842" w:type="dxa"/>
            <w:noWrap/>
            <w:vAlign w:val="center"/>
          </w:tcPr>
          <w:p w14:paraId="7DC2CC58" w14:textId="77777777" w:rsidR="00B51DBC" w:rsidRPr="00B75DCF" w:rsidRDefault="003A34DE" w:rsidP="00CC1A8E">
            <w:pPr>
              <w:spacing w:line="360" w:lineRule="auto"/>
              <w:jc w:val="center"/>
              <w:rPr>
                <w:rFonts w:cstheme="minorHAnsi"/>
              </w:rPr>
            </w:pPr>
            <w:r w:rsidRPr="00B75DCF">
              <w:rPr>
                <w:rFonts w:cstheme="minorHAnsi"/>
              </w:rPr>
              <w:t>£7,788</w:t>
            </w:r>
          </w:p>
        </w:tc>
        <w:tc>
          <w:tcPr>
            <w:tcW w:w="1928" w:type="dxa"/>
            <w:noWrap/>
            <w:vAlign w:val="center"/>
          </w:tcPr>
          <w:p w14:paraId="35264B93" w14:textId="77777777" w:rsidR="00B51DBC" w:rsidRPr="00B75DCF" w:rsidRDefault="003A34DE" w:rsidP="00CC1A8E">
            <w:pPr>
              <w:spacing w:line="360" w:lineRule="auto"/>
              <w:jc w:val="center"/>
              <w:rPr>
                <w:rFonts w:cstheme="minorHAnsi"/>
              </w:rPr>
            </w:pPr>
            <w:r w:rsidRPr="00B75DCF">
              <w:rPr>
                <w:rFonts w:cstheme="minorHAnsi"/>
              </w:rPr>
              <w:t>0.16</w:t>
            </w:r>
          </w:p>
        </w:tc>
        <w:tc>
          <w:tcPr>
            <w:tcW w:w="2098" w:type="dxa"/>
            <w:noWrap/>
            <w:vAlign w:val="center"/>
          </w:tcPr>
          <w:p w14:paraId="192E06C5" w14:textId="69A3C3C8" w:rsidR="00B51DBC" w:rsidRPr="00B75DCF" w:rsidRDefault="003A34DE" w:rsidP="00CC1A8E">
            <w:pPr>
              <w:spacing w:line="360" w:lineRule="auto"/>
              <w:jc w:val="center"/>
              <w:rPr>
                <w:rFonts w:cstheme="minorHAnsi"/>
              </w:rPr>
            </w:pPr>
            <w:r w:rsidRPr="00B75DCF">
              <w:rPr>
                <w:rFonts w:cstheme="minorHAnsi"/>
              </w:rPr>
              <w:t>£</w:t>
            </w:r>
            <w:r w:rsidR="00B7739C">
              <w:rPr>
                <w:rFonts w:cstheme="minorHAnsi"/>
              </w:rPr>
              <w:t>47,458</w:t>
            </w:r>
          </w:p>
        </w:tc>
      </w:tr>
      <w:tr w:rsidR="007F67FD" w:rsidRPr="00B75DCF" w14:paraId="4C3039A8" w14:textId="77777777">
        <w:trPr>
          <w:trHeight w:val="315"/>
        </w:trPr>
        <w:tc>
          <w:tcPr>
            <w:tcW w:w="3256" w:type="dxa"/>
            <w:noWrap/>
            <w:vAlign w:val="center"/>
          </w:tcPr>
          <w:p w14:paraId="779700BA" w14:textId="77777777" w:rsidR="00B51DBC" w:rsidRPr="00B75DCF" w:rsidRDefault="003A34DE" w:rsidP="00CC1A8E">
            <w:pPr>
              <w:spacing w:line="360" w:lineRule="auto"/>
              <w:jc w:val="right"/>
              <w:rPr>
                <w:rFonts w:cstheme="minorHAnsi"/>
              </w:rPr>
            </w:pPr>
            <w:r w:rsidRPr="00B75DCF">
              <w:rPr>
                <w:rFonts w:cstheme="minorHAnsi"/>
              </w:rPr>
              <w:t>10-year time horizon</w:t>
            </w:r>
          </w:p>
        </w:tc>
        <w:tc>
          <w:tcPr>
            <w:tcW w:w="1842" w:type="dxa"/>
            <w:noWrap/>
            <w:vAlign w:val="center"/>
          </w:tcPr>
          <w:p w14:paraId="7703C7DE" w14:textId="77777777" w:rsidR="00B51DBC" w:rsidRPr="00B75DCF" w:rsidRDefault="003A34DE" w:rsidP="00CC1A8E">
            <w:pPr>
              <w:spacing w:line="360" w:lineRule="auto"/>
              <w:jc w:val="center"/>
              <w:rPr>
                <w:rFonts w:cstheme="minorHAnsi"/>
              </w:rPr>
            </w:pPr>
            <w:r w:rsidRPr="00B75DCF">
              <w:rPr>
                <w:rFonts w:cstheme="minorHAnsi"/>
              </w:rPr>
              <w:t>£7,711</w:t>
            </w:r>
          </w:p>
        </w:tc>
        <w:tc>
          <w:tcPr>
            <w:tcW w:w="1928" w:type="dxa"/>
            <w:noWrap/>
            <w:vAlign w:val="center"/>
          </w:tcPr>
          <w:p w14:paraId="671789DB" w14:textId="4A9AC658" w:rsidR="00B51DBC" w:rsidRPr="00B75DCF" w:rsidRDefault="003A34DE" w:rsidP="00CC1A8E">
            <w:pPr>
              <w:spacing w:line="360" w:lineRule="auto"/>
              <w:jc w:val="center"/>
              <w:rPr>
                <w:rFonts w:cstheme="minorHAnsi"/>
              </w:rPr>
            </w:pPr>
            <w:r w:rsidRPr="00B75DCF">
              <w:rPr>
                <w:rFonts w:cstheme="minorHAnsi"/>
              </w:rPr>
              <w:t>0.3</w:t>
            </w:r>
            <w:r w:rsidR="00B7739C">
              <w:rPr>
                <w:rFonts w:cstheme="minorHAnsi"/>
              </w:rPr>
              <w:t>1</w:t>
            </w:r>
          </w:p>
        </w:tc>
        <w:tc>
          <w:tcPr>
            <w:tcW w:w="2098" w:type="dxa"/>
            <w:noWrap/>
            <w:vAlign w:val="center"/>
          </w:tcPr>
          <w:p w14:paraId="0D107A4B" w14:textId="2EB7ED05" w:rsidR="00B51DBC" w:rsidRPr="00B75DCF" w:rsidRDefault="003A34DE" w:rsidP="00CC1A8E">
            <w:pPr>
              <w:spacing w:line="360" w:lineRule="auto"/>
              <w:jc w:val="center"/>
              <w:rPr>
                <w:rFonts w:cstheme="minorHAnsi"/>
              </w:rPr>
            </w:pPr>
            <w:r w:rsidRPr="00B75DCF">
              <w:rPr>
                <w:rFonts w:cstheme="minorHAnsi"/>
              </w:rPr>
              <w:t>£25,</w:t>
            </w:r>
            <w:r w:rsidR="00B7739C">
              <w:rPr>
                <w:rFonts w:cstheme="minorHAnsi"/>
              </w:rPr>
              <w:t>067</w:t>
            </w:r>
          </w:p>
        </w:tc>
      </w:tr>
      <w:tr w:rsidR="007F67FD" w:rsidRPr="00B75DCF" w14:paraId="7171F698" w14:textId="77777777">
        <w:trPr>
          <w:trHeight w:val="315"/>
        </w:trPr>
        <w:tc>
          <w:tcPr>
            <w:tcW w:w="3256" w:type="dxa"/>
            <w:noWrap/>
            <w:vAlign w:val="center"/>
          </w:tcPr>
          <w:p w14:paraId="7120B486" w14:textId="77777777" w:rsidR="00B51DBC" w:rsidRPr="00B75DCF" w:rsidRDefault="003A34DE" w:rsidP="00CC1A8E">
            <w:pPr>
              <w:spacing w:line="360" w:lineRule="auto"/>
              <w:jc w:val="right"/>
              <w:rPr>
                <w:rFonts w:cstheme="minorHAnsi"/>
              </w:rPr>
            </w:pPr>
            <w:r w:rsidRPr="00B75DCF">
              <w:rPr>
                <w:rFonts w:cstheme="minorHAnsi"/>
              </w:rPr>
              <w:t>15-year time horizon</w:t>
            </w:r>
          </w:p>
        </w:tc>
        <w:tc>
          <w:tcPr>
            <w:tcW w:w="1842" w:type="dxa"/>
            <w:noWrap/>
            <w:vAlign w:val="center"/>
          </w:tcPr>
          <w:p w14:paraId="0EBA785C" w14:textId="77777777" w:rsidR="00B51DBC" w:rsidRPr="00B75DCF" w:rsidRDefault="003A34DE" w:rsidP="00CC1A8E">
            <w:pPr>
              <w:spacing w:line="360" w:lineRule="auto"/>
              <w:jc w:val="center"/>
              <w:rPr>
                <w:rFonts w:cstheme="minorHAnsi"/>
              </w:rPr>
            </w:pPr>
            <w:r w:rsidRPr="00B75DCF">
              <w:rPr>
                <w:rFonts w:cstheme="minorHAnsi"/>
              </w:rPr>
              <w:t>£7,799</w:t>
            </w:r>
          </w:p>
        </w:tc>
        <w:tc>
          <w:tcPr>
            <w:tcW w:w="1928" w:type="dxa"/>
            <w:noWrap/>
            <w:vAlign w:val="center"/>
          </w:tcPr>
          <w:p w14:paraId="22A828AE" w14:textId="610CA47E" w:rsidR="00B51DBC" w:rsidRPr="00B75DCF" w:rsidRDefault="003A34DE" w:rsidP="00CC1A8E">
            <w:pPr>
              <w:spacing w:line="360" w:lineRule="auto"/>
              <w:jc w:val="center"/>
              <w:rPr>
                <w:rFonts w:cstheme="minorHAnsi"/>
              </w:rPr>
            </w:pPr>
            <w:r w:rsidRPr="00B75DCF">
              <w:rPr>
                <w:rFonts w:cstheme="minorHAnsi"/>
              </w:rPr>
              <w:t>0.4</w:t>
            </w:r>
            <w:r w:rsidR="00B7739C">
              <w:rPr>
                <w:rFonts w:cstheme="minorHAnsi"/>
              </w:rPr>
              <w:t>1</w:t>
            </w:r>
          </w:p>
        </w:tc>
        <w:tc>
          <w:tcPr>
            <w:tcW w:w="2098" w:type="dxa"/>
            <w:noWrap/>
            <w:vAlign w:val="center"/>
          </w:tcPr>
          <w:p w14:paraId="282D6B16" w14:textId="3D0F6125" w:rsidR="00B51DBC" w:rsidRPr="00B75DCF" w:rsidRDefault="003A34DE" w:rsidP="00CC1A8E">
            <w:pPr>
              <w:spacing w:line="360" w:lineRule="auto"/>
              <w:jc w:val="center"/>
              <w:rPr>
                <w:rFonts w:cstheme="minorHAnsi"/>
              </w:rPr>
            </w:pPr>
            <w:r w:rsidRPr="00B75DCF">
              <w:rPr>
                <w:rFonts w:cstheme="minorHAnsi"/>
              </w:rPr>
              <w:t>£19,</w:t>
            </w:r>
            <w:r w:rsidR="00B7739C">
              <w:rPr>
                <w:rFonts w:cstheme="minorHAnsi"/>
              </w:rPr>
              <w:t>061</w:t>
            </w:r>
          </w:p>
        </w:tc>
      </w:tr>
      <w:tr w:rsidR="007F67FD" w:rsidRPr="00B75DCF" w14:paraId="41573D79" w14:textId="77777777">
        <w:trPr>
          <w:trHeight w:val="315"/>
        </w:trPr>
        <w:tc>
          <w:tcPr>
            <w:tcW w:w="3256" w:type="dxa"/>
            <w:noWrap/>
            <w:vAlign w:val="center"/>
          </w:tcPr>
          <w:p w14:paraId="3C0E09A0" w14:textId="77777777" w:rsidR="00B51DBC" w:rsidRPr="00B75DCF" w:rsidRDefault="003A34DE" w:rsidP="00CC1A8E">
            <w:pPr>
              <w:spacing w:line="360" w:lineRule="auto"/>
              <w:jc w:val="right"/>
              <w:rPr>
                <w:rFonts w:cstheme="minorHAnsi"/>
              </w:rPr>
            </w:pPr>
            <w:r w:rsidRPr="00B75DCF">
              <w:rPr>
                <w:rFonts w:cstheme="minorHAnsi"/>
              </w:rPr>
              <w:t>20-year time horizon</w:t>
            </w:r>
          </w:p>
        </w:tc>
        <w:tc>
          <w:tcPr>
            <w:tcW w:w="1842" w:type="dxa"/>
            <w:noWrap/>
            <w:vAlign w:val="center"/>
          </w:tcPr>
          <w:p w14:paraId="019401E4" w14:textId="77777777" w:rsidR="00B51DBC" w:rsidRPr="00B75DCF" w:rsidRDefault="003A34DE" w:rsidP="00CC1A8E">
            <w:pPr>
              <w:spacing w:line="360" w:lineRule="auto"/>
              <w:jc w:val="center"/>
              <w:rPr>
                <w:rFonts w:cstheme="minorHAnsi"/>
              </w:rPr>
            </w:pPr>
            <w:r w:rsidRPr="00B75DCF">
              <w:rPr>
                <w:rFonts w:cstheme="minorHAnsi"/>
              </w:rPr>
              <w:t>£7,940</w:t>
            </w:r>
          </w:p>
        </w:tc>
        <w:tc>
          <w:tcPr>
            <w:tcW w:w="1928" w:type="dxa"/>
            <w:noWrap/>
            <w:vAlign w:val="center"/>
          </w:tcPr>
          <w:p w14:paraId="2619353D" w14:textId="120EAD73" w:rsidR="00B51DBC" w:rsidRPr="00B75DCF" w:rsidRDefault="003A34DE" w:rsidP="00CC1A8E">
            <w:pPr>
              <w:spacing w:line="360" w:lineRule="auto"/>
              <w:jc w:val="center"/>
              <w:rPr>
                <w:rFonts w:cstheme="minorHAnsi"/>
              </w:rPr>
            </w:pPr>
            <w:r w:rsidRPr="00B75DCF">
              <w:rPr>
                <w:rFonts w:cstheme="minorHAnsi"/>
              </w:rPr>
              <w:t>0.4</w:t>
            </w:r>
            <w:r w:rsidR="00B7739C">
              <w:rPr>
                <w:rFonts w:cstheme="minorHAnsi"/>
              </w:rPr>
              <w:t>6</w:t>
            </w:r>
          </w:p>
        </w:tc>
        <w:tc>
          <w:tcPr>
            <w:tcW w:w="2098" w:type="dxa"/>
            <w:noWrap/>
            <w:vAlign w:val="center"/>
          </w:tcPr>
          <w:p w14:paraId="301C1B7C" w14:textId="5820C28F" w:rsidR="00B51DBC" w:rsidRPr="00B75DCF" w:rsidRDefault="003A34DE" w:rsidP="00CC1A8E">
            <w:pPr>
              <w:spacing w:line="360" w:lineRule="auto"/>
              <w:jc w:val="center"/>
              <w:rPr>
                <w:rFonts w:cstheme="minorHAnsi"/>
              </w:rPr>
            </w:pPr>
            <w:r w:rsidRPr="00B75DCF">
              <w:rPr>
                <w:rFonts w:cstheme="minorHAnsi"/>
              </w:rPr>
              <w:t>£17,</w:t>
            </w:r>
            <w:r w:rsidR="00B7739C">
              <w:rPr>
                <w:rFonts w:cstheme="minorHAnsi"/>
              </w:rPr>
              <w:t>367</w:t>
            </w:r>
          </w:p>
        </w:tc>
      </w:tr>
    </w:tbl>
    <w:p w14:paraId="4FF38CBA" w14:textId="63EE96A4" w:rsidR="00F30456" w:rsidRPr="00B75DCF" w:rsidRDefault="003A34DE" w:rsidP="00F30456">
      <w:pPr>
        <w:spacing w:line="360" w:lineRule="auto"/>
        <w:rPr>
          <w:rFonts w:cstheme="minorHAnsi"/>
          <w:color w:val="000000"/>
        </w:rPr>
      </w:pPr>
      <w:r w:rsidRPr="00B75DCF">
        <w:rPr>
          <w:rFonts w:cstheme="minorHAnsi"/>
          <w:color w:val="000000"/>
          <w:vertAlign w:val="superscript"/>
        </w:rPr>
        <w:t>a</w:t>
      </w:r>
      <w:r w:rsidRPr="00B75DCF">
        <w:rPr>
          <w:rFonts w:cstheme="minorHAnsi"/>
          <w:color w:val="000000"/>
        </w:rPr>
        <w:t>£17,500 taken from NICE NG208</w:t>
      </w:r>
      <w:r w:rsidR="00427D01">
        <w:rPr>
          <w:rFonts w:cstheme="minorHAnsi"/>
          <w:color w:val="000000"/>
        </w:rPr>
        <w:t xml:space="preserve"> [5]</w:t>
      </w:r>
      <w:r w:rsidRPr="00B75DCF">
        <w:rPr>
          <w:rFonts w:cstheme="minorHAnsi"/>
          <w:color w:val="000000"/>
        </w:rPr>
        <w:t xml:space="preserve"> and inflated to 2021/22 prices; </w:t>
      </w:r>
      <w:r w:rsidRPr="00B75DCF">
        <w:rPr>
          <w:rFonts w:cstheme="minorHAnsi"/>
          <w:color w:val="000000"/>
          <w:vertAlign w:val="superscript"/>
        </w:rPr>
        <w:t>b</w:t>
      </w:r>
      <w:r w:rsidRPr="00B75DCF">
        <w:rPr>
          <w:rFonts w:cstheme="minorHAnsi"/>
          <w:color w:val="000000"/>
        </w:rPr>
        <w:t>£2,275 taken from NICE NG208</w:t>
      </w:r>
      <w:r w:rsidR="00427D01">
        <w:rPr>
          <w:rFonts w:cstheme="minorHAnsi"/>
          <w:color w:val="000000"/>
        </w:rPr>
        <w:t xml:space="preserve"> [5]</w:t>
      </w:r>
      <w:r w:rsidRPr="00B75DCF">
        <w:rPr>
          <w:rFonts w:cstheme="minorHAnsi"/>
          <w:color w:val="000000"/>
        </w:rPr>
        <w:t xml:space="preserve"> and inflated to 2021/22 prices.</w:t>
      </w:r>
    </w:p>
    <w:p w14:paraId="19E6FA2B" w14:textId="4ADE2FD9" w:rsidR="00AA6AFB" w:rsidRPr="00B75DCF" w:rsidRDefault="003A34DE" w:rsidP="00CC1A8E">
      <w:pPr>
        <w:spacing w:line="360" w:lineRule="auto"/>
        <w:rPr>
          <w:rFonts w:cstheme="minorHAnsi"/>
        </w:rPr>
      </w:pPr>
      <w:r w:rsidRPr="00B75DCF">
        <w:rPr>
          <w:rFonts w:cstheme="minorHAnsi"/>
        </w:rPr>
        <w:t>AF: atrial fibrillation; ED24C: Complex, Single Heart Valve Replacement/Repair, with CC Score 0-5; ED25C: Standard, Single Heart Valve Replacement/Repair, with CC Score 0-5; EY21B: TAVI using Transfemoral Approach, with CC Score 0-7; HR: hazard ratio; RR: relative risk; TAVI: transcatheter aortic valve implantation; SAVR: surgical aortic valve replacement.</w:t>
      </w:r>
    </w:p>
    <w:p w14:paraId="7C414BB3" w14:textId="1B26FA85" w:rsidR="00683F35" w:rsidRDefault="00683F35">
      <w:pPr>
        <w:rPr>
          <w:rFonts w:cstheme="minorHAnsi"/>
          <w:color w:val="000000"/>
        </w:rPr>
      </w:pPr>
      <w:r>
        <w:rPr>
          <w:rFonts w:cstheme="minorHAnsi"/>
          <w:color w:val="000000"/>
        </w:rPr>
        <w:br w:type="page"/>
      </w:r>
    </w:p>
    <w:p w14:paraId="10E313D6" w14:textId="77777777" w:rsidR="00FB177D" w:rsidRPr="000110BD" w:rsidRDefault="00FB177D" w:rsidP="00683F35">
      <w:pPr>
        <w:pStyle w:val="Heading1"/>
        <w:spacing w:after="120" w:line="480" w:lineRule="auto"/>
      </w:pPr>
      <w:r w:rsidRPr="000110BD">
        <w:lastRenderedPageBreak/>
        <w:t>Figure legends</w:t>
      </w:r>
    </w:p>
    <w:p w14:paraId="727CB00A" w14:textId="77777777" w:rsidR="00FB177D" w:rsidRPr="00B75DCF" w:rsidRDefault="00FB177D" w:rsidP="00683F35">
      <w:pPr>
        <w:autoSpaceDE w:val="0"/>
        <w:autoSpaceDN w:val="0"/>
        <w:adjustRightInd w:val="0"/>
        <w:spacing w:after="120" w:line="480" w:lineRule="auto"/>
        <w:rPr>
          <w:rFonts w:cstheme="minorHAnsi"/>
        </w:rPr>
      </w:pPr>
      <w:r w:rsidRPr="00B75DCF">
        <w:rPr>
          <w:rFonts w:cstheme="minorHAnsi"/>
          <w:b/>
          <w:bCs/>
        </w:rPr>
        <w:t>Figure 1.</w:t>
      </w:r>
      <w:r w:rsidRPr="00B75DCF">
        <w:rPr>
          <w:rFonts w:cstheme="minorHAnsi"/>
        </w:rPr>
        <w:t xml:space="preserve"> </w:t>
      </w:r>
      <w:r w:rsidRPr="00B75DCF">
        <w:rPr>
          <w:rFonts w:cstheme="minorHAnsi"/>
          <w:b/>
          <w:bCs/>
        </w:rPr>
        <w:t>The cost-effectiveness model had two stages: (a) early AEs from the PARTNER 3 trial were captured in a decision tree, which fed into (b) a Markov model that capture longer-term outcomes of patients.</w:t>
      </w:r>
    </w:p>
    <w:p w14:paraId="347A626D" w14:textId="77777777" w:rsidR="00FB177D" w:rsidRPr="00B75DCF" w:rsidRDefault="00FB177D" w:rsidP="00683F35">
      <w:pPr>
        <w:autoSpaceDE w:val="0"/>
        <w:autoSpaceDN w:val="0"/>
        <w:adjustRightInd w:val="0"/>
        <w:spacing w:after="120" w:line="480" w:lineRule="auto"/>
        <w:rPr>
          <w:rFonts w:cstheme="minorHAnsi"/>
        </w:rPr>
      </w:pPr>
      <w:r w:rsidRPr="00B75DCF">
        <w:rPr>
          <w:rFonts w:cstheme="minorHAnsi"/>
        </w:rPr>
        <w:t>Short term AEs include new permanent pacemaker, hospitalization, non-disabling stroke, transient ischemic attacks, myocardial infarction, bleeding, acute kidney injury with renal replacement therapy and aortic reinterventions.</w:t>
      </w:r>
    </w:p>
    <w:p w14:paraId="561EAD90" w14:textId="77777777" w:rsidR="00FB177D" w:rsidRPr="00B75DCF" w:rsidRDefault="00FB177D" w:rsidP="00683F35">
      <w:pPr>
        <w:spacing w:after="120" w:line="480" w:lineRule="auto"/>
      </w:pPr>
      <w:r w:rsidRPr="00B75DCF">
        <w:rPr>
          <w:vertAlign w:val="superscript"/>
        </w:rPr>
        <w:t xml:space="preserve">a </w:t>
      </w:r>
      <w:r w:rsidRPr="00B75DCF">
        <w:t>‘Alive and well’: patients have undergone the procedure and survived with only short-term or no AEs; patients in this health state can transition to ‘disabling stroke’, ‘AF’ or ‘dead’ at any point during the model time horizon. ‘Treated AF’: patients have undergone the procedure and survived but developed AF requiring specific treatment; this can either occur within the first 30 days or during the rest of the time horizon of the model, and patients in this health state can transition to ‘disabling stroke’ or ‘dead’ at any point during the model time horizon. ‘Disabling stroke’: patients have undergone the procedure and survived but had a disabling stroke; this can either occur within the first 30 days or during the rest of the time horizon of the model, and patients in this health state can only transition into the ‘dead’ state at any point during the model time horizon. ‘Dead’: this is the absorbing state in the model: all patients in the model are at risk of dying due to general all-cause mortality; patients with treated AF and stroke are at an increased risk of dying.</w:t>
      </w:r>
    </w:p>
    <w:p w14:paraId="71F54F77" w14:textId="77777777" w:rsidR="00FB177D" w:rsidRPr="00B75DCF" w:rsidRDefault="00FB177D" w:rsidP="00683F35">
      <w:pPr>
        <w:autoSpaceDE w:val="0"/>
        <w:autoSpaceDN w:val="0"/>
        <w:adjustRightInd w:val="0"/>
        <w:spacing w:after="120" w:line="480" w:lineRule="auto"/>
        <w:rPr>
          <w:rFonts w:cstheme="minorHAnsi"/>
        </w:rPr>
      </w:pPr>
      <w:r w:rsidRPr="00B75DCF">
        <w:rPr>
          <w:rFonts w:cstheme="minorHAnsi"/>
        </w:rPr>
        <w:t>AE, adverse event; AF, atrial fibrillation; HR, hazard ratio; SAVR, surgical aortic valve replacement; TAVI, transcatheter aortic valve implantation.</w:t>
      </w:r>
    </w:p>
    <w:p w14:paraId="6AF6867B" w14:textId="365FC04A" w:rsidR="00FB177D" w:rsidRPr="00B75DCF" w:rsidRDefault="00FB177D" w:rsidP="00683F35">
      <w:pPr>
        <w:spacing w:after="120" w:line="480" w:lineRule="auto"/>
      </w:pPr>
      <w:r w:rsidRPr="00B75DCF">
        <w:t xml:space="preserve">Reproduced from Gilard M, </w:t>
      </w:r>
      <w:r w:rsidRPr="00427D01">
        <w:t>et al</w:t>
      </w:r>
      <w:r>
        <w:t xml:space="preserve"> [10</w:t>
      </w:r>
      <w:r w:rsidR="006A255F">
        <w:t>]</w:t>
      </w:r>
      <w:r>
        <w:t>.</w:t>
      </w:r>
      <w:r w:rsidRPr="00B75DCF">
        <w:t xml:space="preserve"> </w:t>
      </w:r>
      <w:hyperlink r:id="rId20" w:history="1">
        <w:r w:rsidRPr="00B75DCF">
          <w:rPr>
            <w:rStyle w:val="Hyperlink"/>
          </w:rPr>
          <w:t>https://doi.org/10.1016/j.jval.2021.10.003</w:t>
        </w:r>
      </w:hyperlink>
      <w:r w:rsidRPr="00B75DCF">
        <w:t xml:space="preserve"> under the terms of the creative commons licence (</w:t>
      </w:r>
      <w:hyperlink r:id="rId21" w:tgtFrame="_new" w:tooltip="Click to follow link http://creativecommons.org/licenses/by/4.0/" w:history="1">
        <w:r w:rsidRPr="00B75DCF">
          <w:rPr>
            <w:rStyle w:val="Hyperlink"/>
            <w:color w:val="0563C1"/>
          </w:rPr>
          <w:t>Creative Commons Attribution License (CC BY)</w:t>
        </w:r>
      </w:hyperlink>
      <w:r w:rsidRPr="00B75DCF">
        <w:t>).</w:t>
      </w:r>
    </w:p>
    <w:p w14:paraId="0E921F70" w14:textId="77777777" w:rsidR="00FB177D" w:rsidRDefault="00FB177D" w:rsidP="00683F35">
      <w:pPr>
        <w:spacing w:after="120" w:line="480" w:lineRule="auto"/>
        <w:rPr>
          <w:rFonts w:ascii="Times New Roman" w:hAnsi="Times New Roman" w:cs="Times New Roman"/>
          <w:b/>
        </w:rPr>
      </w:pPr>
    </w:p>
    <w:p w14:paraId="171B34D2" w14:textId="77777777" w:rsidR="00FB177D" w:rsidRDefault="00FB177D" w:rsidP="00683F35">
      <w:pPr>
        <w:spacing w:after="120" w:line="480" w:lineRule="auto"/>
        <w:rPr>
          <w:rFonts w:ascii="Times New Roman" w:hAnsi="Times New Roman" w:cs="Times New Roman"/>
          <w:b/>
        </w:rPr>
      </w:pPr>
    </w:p>
    <w:p w14:paraId="09C623C6" w14:textId="4A2F1D89" w:rsidR="00FB177D" w:rsidRDefault="00FB177D" w:rsidP="00683F35">
      <w:pPr>
        <w:spacing w:after="120" w:line="480" w:lineRule="auto"/>
        <w:rPr>
          <w:b/>
          <w:bCs/>
        </w:rPr>
      </w:pPr>
      <w:r w:rsidRPr="00B75DCF">
        <w:rPr>
          <w:b/>
          <w:bCs/>
        </w:rPr>
        <w:lastRenderedPageBreak/>
        <w:t xml:space="preserve">Figure </w:t>
      </w:r>
      <w:r w:rsidR="00A1027A">
        <w:rPr>
          <w:b/>
          <w:bCs/>
        </w:rPr>
        <w:t>2</w:t>
      </w:r>
      <w:r w:rsidRPr="00B75DCF">
        <w:rPr>
          <w:b/>
          <w:bCs/>
        </w:rPr>
        <w:t>. Probabilistic sensitivity analysis: (a) cost-effectiveness scatter plot; and (b) cost-effectiveness acceptability curve.</w:t>
      </w:r>
    </w:p>
    <w:p w14:paraId="32A1CB8D" w14:textId="77777777" w:rsidR="00A1027A" w:rsidRPr="00B75DCF" w:rsidRDefault="00A1027A" w:rsidP="00683F35">
      <w:pPr>
        <w:spacing w:after="120" w:line="480" w:lineRule="auto"/>
        <w:rPr>
          <w:b/>
          <w:bCs/>
        </w:rPr>
      </w:pPr>
    </w:p>
    <w:p w14:paraId="3016988D" w14:textId="1B7BDDE5" w:rsidR="00666BB5" w:rsidRDefault="00666BB5" w:rsidP="00A1027A">
      <w:pPr>
        <w:spacing w:after="120" w:line="480" w:lineRule="auto"/>
        <w:rPr>
          <w:rFonts w:cstheme="minorHAnsi"/>
          <w:b/>
        </w:rPr>
      </w:pPr>
      <w:r>
        <w:rPr>
          <w:rFonts w:cstheme="minorHAnsi"/>
          <w:b/>
        </w:rPr>
        <w:t xml:space="preserve">Figure 3: </w:t>
      </w:r>
      <w:r w:rsidR="0026298B">
        <w:rPr>
          <w:rFonts w:cstheme="minorHAnsi"/>
          <w:b/>
        </w:rPr>
        <w:t>Cost Distribution (probabilistic)</w:t>
      </w:r>
    </w:p>
    <w:p w14:paraId="04593578" w14:textId="1B723F93" w:rsidR="009B309E" w:rsidRPr="00B24DA5" w:rsidRDefault="009B309E" w:rsidP="009B309E">
      <w:pPr>
        <w:spacing w:after="0" w:line="276" w:lineRule="auto"/>
        <w:rPr>
          <w:rFonts w:cstheme="minorHAnsi"/>
          <w:bCs/>
        </w:rPr>
      </w:pPr>
      <w:r>
        <w:rPr>
          <w:rFonts w:cstheme="minorHAnsi"/>
          <w:bCs/>
        </w:rPr>
        <w:t xml:space="preserve">Nb. </w:t>
      </w:r>
      <w:r w:rsidRPr="00B24DA5">
        <w:rPr>
          <w:rFonts w:cstheme="minorHAnsi"/>
          <w:bCs/>
        </w:rPr>
        <w:t>The acute phase category includes the intervention costs and surgery</w:t>
      </w:r>
      <w:r w:rsidR="000E5DA9">
        <w:rPr>
          <w:rFonts w:cstheme="minorHAnsi"/>
          <w:bCs/>
        </w:rPr>
        <w:t xml:space="preserve"> costs</w:t>
      </w:r>
      <w:r w:rsidRPr="00B24DA5">
        <w:rPr>
          <w:rFonts w:cstheme="minorHAnsi"/>
          <w:bCs/>
        </w:rPr>
        <w:t>.</w:t>
      </w:r>
    </w:p>
    <w:p w14:paraId="6D64DDB6" w14:textId="77777777" w:rsidR="009B309E" w:rsidRPr="00B24DA5" w:rsidRDefault="009B309E" w:rsidP="009B309E">
      <w:pPr>
        <w:rPr>
          <w:rFonts w:cstheme="minorHAnsi"/>
          <w:bCs/>
        </w:rPr>
      </w:pPr>
      <w:r w:rsidRPr="00B75DCF">
        <w:rPr>
          <w:rFonts w:cstheme="minorHAnsi"/>
          <w:bCs/>
        </w:rPr>
        <w:t>SAVR, surgical aortic valve replacement; TAVI, transcatheter aortic valve implantation</w:t>
      </w:r>
    </w:p>
    <w:p w14:paraId="2D9D5575" w14:textId="77777777" w:rsidR="00666BB5" w:rsidRDefault="00666BB5" w:rsidP="00A1027A">
      <w:pPr>
        <w:spacing w:after="120" w:line="480" w:lineRule="auto"/>
        <w:rPr>
          <w:rFonts w:cstheme="minorHAnsi"/>
          <w:b/>
        </w:rPr>
      </w:pPr>
    </w:p>
    <w:p w14:paraId="76F4B463" w14:textId="3A3F689E" w:rsidR="00A1027A" w:rsidRPr="00B75DCF" w:rsidRDefault="00A1027A" w:rsidP="00A1027A">
      <w:pPr>
        <w:spacing w:after="120" w:line="480" w:lineRule="auto"/>
        <w:rPr>
          <w:rFonts w:cstheme="minorHAnsi"/>
          <w:b/>
        </w:rPr>
      </w:pPr>
      <w:r w:rsidRPr="00B75DCF">
        <w:rPr>
          <w:rFonts w:cstheme="minorHAnsi"/>
          <w:b/>
        </w:rPr>
        <w:t xml:space="preserve">Figure </w:t>
      </w:r>
      <w:r w:rsidR="00666BB5">
        <w:rPr>
          <w:rFonts w:cstheme="minorHAnsi"/>
          <w:b/>
        </w:rPr>
        <w:t>4</w:t>
      </w:r>
      <w:r w:rsidRPr="00B75DCF">
        <w:rPr>
          <w:rFonts w:cstheme="minorHAnsi"/>
          <w:b/>
        </w:rPr>
        <w:t>. Tornado diagram showing the 10 parameters with greatest influence on the model (deterministic sensitivity analysis).</w:t>
      </w:r>
    </w:p>
    <w:p w14:paraId="24B92471" w14:textId="77777777" w:rsidR="00A1027A" w:rsidRPr="00B75DCF" w:rsidRDefault="00A1027A" w:rsidP="00A1027A">
      <w:pPr>
        <w:spacing w:after="120" w:line="480" w:lineRule="auto"/>
        <w:rPr>
          <w:rFonts w:cstheme="minorHAnsi"/>
          <w:bCs/>
        </w:rPr>
      </w:pPr>
      <w:r w:rsidRPr="00B75DCF">
        <w:rPr>
          <w:rFonts w:cstheme="minorHAnsi"/>
          <w:bCs/>
        </w:rPr>
        <w:t>AF, atrial fibrillation; SAVR, surgical aortic valve replacement; TAVI, transcatheter aortic valve implantation</w:t>
      </w:r>
    </w:p>
    <w:p w14:paraId="028A5B74" w14:textId="77777777" w:rsidR="00FB177D" w:rsidRPr="00B75DCF" w:rsidRDefault="00FB177D" w:rsidP="00683F35">
      <w:pPr>
        <w:spacing w:after="120" w:line="480" w:lineRule="auto"/>
        <w:rPr>
          <w:rFonts w:cstheme="minorHAnsi"/>
          <w:color w:val="000000"/>
        </w:rPr>
      </w:pPr>
    </w:p>
    <w:p w14:paraId="611E4147" w14:textId="77777777" w:rsidR="008713BA" w:rsidRPr="00B75DCF" w:rsidRDefault="008713BA" w:rsidP="00BD3202">
      <w:pPr>
        <w:rPr>
          <w:rFonts w:cstheme="minorHAnsi"/>
          <w:color w:val="000000"/>
        </w:rPr>
      </w:pPr>
    </w:p>
    <w:p w14:paraId="7D1D9377" w14:textId="5DACAD8F" w:rsidR="008713BA" w:rsidRPr="00B75DCF" w:rsidRDefault="008713BA" w:rsidP="00BD3202">
      <w:pPr>
        <w:rPr>
          <w:b/>
          <w:bCs/>
        </w:rPr>
        <w:sectPr w:rsidR="008713BA" w:rsidRPr="00B75DCF" w:rsidSect="006D21C6">
          <w:pgSz w:w="11906" w:h="16838"/>
          <w:pgMar w:top="1440" w:right="1440" w:bottom="1440" w:left="1440" w:header="709" w:footer="709" w:gutter="0"/>
          <w:cols w:space="708"/>
          <w:docGrid w:linePitch="360"/>
        </w:sectPr>
      </w:pPr>
    </w:p>
    <w:p w14:paraId="43129D96" w14:textId="2EF80D28" w:rsidR="00DB1FB8" w:rsidRPr="00B75DCF" w:rsidRDefault="003A34DE" w:rsidP="002E27FF">
      <w:pPr>
        <w:pStyle w:val="Heading2"/>
      </w:pPr>
      <w:r w:rsidRPr="00B75DCF">
        <w:lastRenderedPageBreak/>
        <w:t>Tables and figures</w:t>
      </w:r>
    </w:p>
    <w:p w14:paraId="665449B4" w14:textId="5639CF47" w:rsidR="00537B9A" w:rsidRPr="00B75DCF" w:rsidRDefault="003A34DE" w:rsidP="00EC1DF1">
      <w:pPr>
        <w:jc w:val="center"/>
      </w:pPr>
      <w:r w:rsidRPr="00B75DCF">
        <w:rPr>
          <w:noProof/>
          <w:lang w:val="en-US"/>
        </w:rPr>
        <w:drawing>
          <wp:inline distT="0" distB="0" distL="0" distR="0" wp14:anchorId="0C531958" wp14:editId="6AFFF9F1">
            <wp:extent cx="6082960" cy="20839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51641" name="Picture 1"/>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6082960" cy="2083977"/>
                    </a:xfrm>
                    <a:prstGeom prst="rect">
                      <a:avLst/>
                    </a:prstGeom>
                    <a:noFill/>
                    <a:ln>
                      <a:noFill/>
                    </a:ln>
                  </pic:spPr>
                </pic:pic>
              </a:graphicData>
            </a:graphic>
          </wp:inline>
        </w:drawing>
      </w:r>
    </w:p>
    <w:p w14:paraId="71E30DC3" w14:textId="77777777" w:rsidR="00BA37D6" w:rsidRPr="00B75DCF" w:rsidRDefault="003A34DE" w:rsidP="00BA37D6">
      <w:pPr>
        <w:autoSpaceDE w:val="0"/>
        <w:autoSpaceDN w:val="0"/>
        <w:adjustRightInd w:val="0"/>
        <w:spacing w:after="120" w:line="240" w:lineRule="auto"/>
        <w:rPr>
          <w:rFonts w:cstheme="minorHAnsi"/>
        </w:rPr>
      </w:pPr>
      <w:r w:rsidRPr="00B75DCF">
        <w:rPr>
          <w:rFonts w:cstheme="minorHAnsi"/>
          <w:b/>
          <w:bCs/>
        </w:rPr>
        <w:t>Figure 1.</w:t>
      </w:r>
      <w:r w:rsidRPr="00B75DCF">
        <w:rPr>
          <w:rFonts w:cstheme="minorHAnsi"/>
        </w:rPr>
        <w:t xml:space="preserve"> </w:t>
      </w:r>
      <w:r w:rsidRPr="00B75DCF">
        <w:rPr>
          <w:rFonts w:cstheme="minorHAnsi"/>
          <w:b/>
          <w:bCs/>
        </w:rPr>
        <w:t>The cost-effectiveness model had two stages: (a) early AEs from the PARTNER 3 trial were captured in a decision tree, which fed into (b) a Markov model that capture longer-term outcomes of patients.</w:t>
      </w:r>
    </w:p>
    <w:p w14:paraId="3959550E" w14:textId="6665A1B1" w:rsidR="00FB45AD" w:rsidRPr="00B75DCF" w:rsidRDefault="003A34DE" w:rsidP="00BA37D6">
      <w:pPr>
        <w:autoSpaceDE w:val="0"/>
        <w:autoSpaceDN w:val="0"/>
        <w:adjustRightInd w:val="0"/>
        <w:spacing w:after="120" w:line="240" w:lineRule="auto"/>
        <w:rPr>
          <w:rFonts w:cstheme="minorHAnsi"/>
        </w:rPr>
      </w:pPr>
      <w:r w:rsidRPr="00B75DCF">
        <w:rPr>
          <w:rFonts w:cstheme="minorHAnsi"/>
        </w:rPr>
        <w:t>Short term A</w:t>
      </w:r>
      <w:r w:rsidR="00A54BE9" w:rsidRPr="00B75DCF">
        <w:rPr>
          <w:rFonts w:cstheme="minorHAnsi"/>
        </w:rPr>
        <w:t>E</w:t>
      </w:r>
      <w:r w:rsidRPr="00B75DCF">
        <w:rPr>
          <w:rFonts w:cstheme="minorHAnsi"/>
        </w:rPr>
        <w:t>s include new permanent pacemaker, hospitalization, non-disabling stroke, transient ischemic attacks, myocardial infarction, bleeding, acute kidney injury with renal replacement therapy and aortic reinterventions.</w:t>
      </w:r>
    </w:p>
    <w:p w14:paraId="311147DB" w14:textId="77777777" w:rsidR="00BA37D6" w:rsidRPr="00B75DCF" w:rsidRDefault="003A34DE" w:rsidP="00BA37D6">
      <w:pPr>
        <w:spacing w:after="120" w:line="240" w:lineRule="auto"/>
      </w:pPr>
      <w:r w:rsidRPr="00B75DCF">
        <w:rPr>
          <w:vertAlign w:val="superscript"/>
        </w:rPr>
        <w:t xml:space="preserve">a </w:t>
      </w:r>
      <w:r w:rsidRPr="00B75DCF">
        <w:t>‘Alive and well’: patients have undergone the procedure and survived with only short-term or no AEs; patients in this health state can transition to ‘disabling stroke’, ‘AF’ or ‘dead’ at any point during the model time horizon. ‘Treated AF’: patients have undergone the procedure and survived but developed AF requiring specific treatment; this can either occur within the first 30 days or during the rest of the time horizon of the model, and patients in this health state can transition to ‘disabling stroke’ or ‘dead’ at any point during the model time horizon. ‘Disabling stroke’: patients have undergone the procedure and survived but had a disabling stroke; this can either occur within the first 30 days or during the rest of the time horizon of the model, and patients in this health state can only transition into the ‘dead’ state at any point during the model time horizon. ‘Dead’: this is the absorbing state in the model: all patients in the model are at risk of dying due to general all-cause mortality; patients with treated AF and stroke are at an increased risk of dying.</w:t>
      </w:r>
    </w:p>
    <w:p w14:paraId="162D6418" w14:textId="3EB8068B" w:rsidR="00BA37D6" w:rsidRPr="00B75DCF" w:rsidRDefault="003A34DE" w:rsidP="00BA37D6">
      <w:pPr>
        <w:autoSpaceDE w:val="0"/>
        <w:autoSpaceDN w:val="0"/>
        <w:adjustRightInd w:val="0"/>
        <w:spacing w:after="120" w:line="240" w:lineRule="auto"/>
        <w:rPr>
          <w:rFonts w:cstheme="minorHAnsi"/>
        </w:rPr>
      </w:pPr>
      <w:r w:rsidRPr="00B75DCF">
        <w:rPr>
          <w:rFonts w:cstheme="minorHAnsi"/>
        </w:rPr>
        <w:t xml:space="preserve">AE, adverse event; AF, atrial fibrillation; </w:t>
      </w:r>
      <w:r w:rsidR="005A7D01" w:rsidRPr="00B75DCF">
        <w:rPr>
          <w:rFonts w:cstheme="minorHAnsi"/>
        </w:rPr>
        <w:t xml:space="preserve">HR, hazard ratio; </w:t>
      </w:r>
      <w:r w:rsidRPr="00B75DCF">
        <w:rPr>
          <w:rFonts w:cstheme="minorHAnsi"/>
        </w:rPr>
        <w:t>SAVR, surgical aortic valve replacement; TAVI, transcatheter aortic valve implantation.</w:t>
      </w:r>
    </w:p>
    <w:p w14:paraId="7517A565" w14:textId="55AF9D93" w:rsidR="005C0B58" w:rsidRPr="00B75DCF" w:rsidRDefault="003A34DE" w:rsidP="00BA37D6">
      <w:pPr>
        <w:spacing w:after="120" w:line="240" w:lineRule="auto"/>
      </w:pPr>
      <w:r w:rsidRPr="00B75DCF">
        <w:t xml:space="preserve">Reproduced from Gilard M, </w:t>
      </w:r>
      <w:r w:rsidRPr="00427D01">
        <w:t>et al</w:t>
      </w:r>
      <w:r w:rsidR="00427D01">
        <w:t xml:space="preserve"> [10</w:t>
      </w:r>
      <w:r w:rsidR="001B0222">
        <w:t>]</w:t>
      </w:r>
      <w:r w:rsidRPr="00427D01">
        <w:t>.</w:t>
      </w:r>
      <w:r w:rsidRPr="00B75DCF">
        <w:t xml:space="preserve"> </w:t>
      </w:r>
      <w:hyperlink r:id="rId23" w:history="1">
        <w:r w:rsidR="005C0B58" w:rsidRPr="00B75DCF">
          <w:rPr>
            <w:rStyle w:val="Hyperlink"/>
          </w:rPr>
          <w:t>https://doi.org/10.1016/j.jval.2021.10.003</w:t>
        </w:r>
      </w:hyperlink>
      <w:r w:rsidRPr="00B75DCF">
        <w:t xml:space="preserve"> under the terms of the creative commons licence (</w:t>
      </w:r>
      <w:hyperlink r:id="rId24" w:tgtFrame="_new" w:tooltip="Click to follow link http://creativecommons.org/licenses/by/4.0/" w:history="1">
        <w:r w:rsidRPr="00B75DCF">
          <w:rPr>
            <w:rStyle w:val="Hyperlink"/>
            <w:color w:val="0563C1"/>
          </w:rPr>
          <w:t>Creative Commons Attribution License (CC BY)</w:t>
        </w:r>
      </w:hyperlink>
      <w:r w:rsidRPr="00B75DCF">
        <w:t>).</w:t>
      </w:r>
    </w:p>
    <w:p w14:paraId="234A46AA" w14:textId="77777777" w:rsidR="007927E9" w:rsidRPr="00B75DCF" w:rsidRDefault="007927E9">
      <w:pPr>
        <w:rPr>
          <w:rFonts w:cstheme="minorHAnsi"/>
        </w:rPr>
      </w:pPr>
    </w:p>
    <w:p w14:paraId="0E6CF817" w14:textId="77777777" w:rsidR="007927E9" w:rsidRPr="00B75DCF" w:rsidRDefault="007927E9">
      <w:pPr>
        <w:rPr>
          <w:rFonts w:cstheme="minorHAnsi"/>
        </w:rPr>
        <w:sectPr w:rsidR="007927E9" w:rsidRPr="00B75DCF" w:rsidSect="00696F69">
          <w:pgSz w:w="16838" w:h="11906" w:orient="landscape"/>
          <w:pgMar w:top="1440" w:right="1440" w:bottom="1440" w:left="1440" w:header="708" w:footer="708" w:gutter="0"/>
          <w:cols w:space="708"/>
          <w:docGrid w:linePitch="360"/>
        </w:sectPr>
      </w:pPr>
    </w:p>
    <w:p w14:paraId="2CCB33A1" w14:textId="0113FE15" w:rsidR="00355424" w:rsidRPr="00B75DCF" w:rsidRDefault="003A34DE" w:rsidP="00355424">
      <w:pPr>
        <w:spacing w:after="0"/>
        <w:rPr>
          <w:b/>
          <w:bCs/>
        </w:rPr>
      </w:pPr>
      <w:commentRangeStart w:id="51"/>
      <w:commentRangeStart w:id="52"/>
      <w:r w:rsidRPr="00B75DCF">
        <w:rPr>
          <w:b/>
          <w:bCs/>
        </w:rPr>
        <w:lastRenderedPageBreak/>
        <w:t xml:space="preserve">Figure </w:t>
      </w:r>
      <w:commentRangeEnd w:id="51"/>
      <w:r w:rsidR="00EA37F4">
        <w:rPr>
          <w:rStyle w:val="CommentReference"/>
        </w:rPr>
        <w:commentReference w:id="51"/>
      </w:r>
      <w:commentRangeEnd w:id="52"/>
      <w:r w:rsidR="003027F9">
        <w:rPr>
          <w:rStyle w:val="CommentReference"/>
        </w:rPr>
        <w:commentReference w:id="52"/>
      </w:r>
      <w:r w:rsidR="00A1027A">
        <w:rPr>
          <w:b/>
          <w:bCs/>
        </w:rPr>
        <w:t>2</w:t>
      </w:r>
      <w:r w:rsidRPr="00B75DCF">
        <w:rPr>
          <w:b/>
          <w:bCs/>
        </w:rPr>
        <w:t>. Probabilistic sensitivity analysis: (a) cost-effectiveness scatter plot; and (b) cost-effectiveness acceptability curve.</w:t>
      </w:r>
    </w:p>
    <w:p w14:paraId="30A15706" w14:textId="505F1831" w:rsidR="00066B09" w:rsidRDefault="003A34DE" w:rsidP="00066B09">
      <w:pPr>
        <w:rPr>
          <w:b/>
          <w:bCs/>
        </w:rPr>
      </w:pPr>
      <w:r w:rsidRPr="00B75DCF">
        <w:rPr>
          <w:b/>
          <w:bCs/>
        </w:rPr>
        <w:t>(a)</w:t>
      </w:r>
    </w:p>
    <w:p w14:paraId="75905151" w14:textId="586E53C2" w:rsidR="00F21412" w:rsidRPr="00F21412" w:rsidRDefault="003027F9" w:rsidP="00F21412">
      <w:pPr>
        <w:rPr>
          <w:b/>
          <w:bCs/>
        </w:rPr>
      </w:pPr>
      <w:r w:rsidRPr="003027F9">
        <w:rPr>
          <w:noProof/>
        </w:rPr>
        <w:t xml:space="preserve"> </w:t>
      </w:r>
      <w:r w:rsidRPr="003027F9">
        <w:rPr>
          <w:b/>
          <w:bCs/>
          <w:noProof/>
        </w:rPr>
        <w:drawing>
          <wp:inline distT="0" distB="0" distL="0" distR="0" wp14:anchorId="0A2F86BD" wp14:editId="6053CAB3">
            <wp:extent cx="5731510" cy="2263775"/>
            <wp:effectExtent l="0" t="0" r="2540" b="3175"/>
            <wp:docPr id="1127664552" name="Picture 1" descr="A graph with red dot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64552" name="Picture 1" descr="A graph with red dots and lines&#10;&#10;AI-generated content may be incorrect."/>
                    <pic:cNvPicPr/>
                  </pic:nvPicPr>
                  <pic:blipFill>
                    <a:blip r:embed="rId25"/>
                    <a:stretch>
                      <a:fillRect/>
                    </a:stretch>
                  </pic:blipFill>
                  <pic:spPr>
                    <a:xfrm>
                      <a:off x="0" y="0"/>
                      <a:ext cx="5731510" cy="2263775"/>
                    </a:xfrm>
                    <a:prstGeom prst="rect">
                      <a:avLst/>
                    </a:prstGeom>
                  </pic:spPr>
                </pic:pic>
              </a:graphicData>
            </a:graphic>
          </wp:inline>
        </w:drawing>
      </w:r>
    </w:p>
    <w:p w14:paraId="19DEFF6A" w14:textId="242BFDE4" w:rsidR="00A6475B" w:rsidRDefault="00A6475B" w:rsidP="00A6475B">
      <w:pPr>
        <w:spacing w:after="120"/>
      </w:pPr>
      <w:r>
        <w:t xml:space="preserve">‘Assumed Threshold’ is the </w:t>
      </w:r>
      <w:r w:rsidRPr="008D774B">
        <w:t>willingness to pay</w:t>
      </w:r>
      <w:r>
        <w:t xml:space="preserve"> threshold that </w:t>
      </w:r>
      <w:r w:rsidRPr="008D774B">
        <w:t>correspond</w:t>
      </w:r>
      <w:r>
        <w:t>s</w:t>
      </w:r>
      <w:r w:rsidRPr="008D774B">
        <w:t xml:space="preserve"> to </w:t>
      </w:r>
      <w:r>
        <w:t>£20,000</w:t>
      </w:r>
      <w:r w:rsidRPr="008D774B">
        <w:t xml:space="preserve"> per QALY</w:t>
      </w:r>
      <w:r>
        <w:t xml:space="preserve"> gained</w:t>
      </w:r>
      <w:r w:rsidRPr="008D774B">
        <w:t>)</w:t>
      </w:r>
    </w:p>
    <w:p w14:paraId="68C5CD43" w14:textId="77777777" w:rsidR="001B0222" w:rsidRDefault="00A6475B" w:rsidP="00355424">
      <w:r>
        <w:t>The scatter plot is shown on a cost-effectiveness plane. The cost-effectiveness plane plots incremental QALYs against incremental costs for each probabilistic simulation. As an example, simulations in the top right quadrant represent simulations in which TAVI is more costly and more effective than SAVR.</w:t>
      </w:r>
    </w:p>
    <w:p w14:paraId="22BBD2B7" w14:textId="39C934E1" w:rsidR="00355424" w:rsidRDefault="003A34DE" w:rsidP="00355424">
      <w:pPr>
        <w:rPr>
          <w:rFonts w:cstheme="minorHAnsi"/>
          <w:b/>
          <w:bCs/>
        </w:rPr>
      </w:pPr>
      <w:r w:rsidRPr="00B75DCF">
        <w:rPr>
          <w:rFonts w:cstheme="minorHAnsi"/>
          <w:b/>
          <w:bCs/>
        </w:rPr>
        <w:t>(b)</w:t>
      </w:r>
    </w:p>
    <w:p w14:paraId="5DBE9905" w14:textId="73668603" w:rsidR="003027F9" w:rsidRDefault="003027F9" w:rsidP="00355424">
      <w:pPr>
        <w:rPr>
          <w:rFonts w:cstheme="minorHAnsi"/>
          <w:b/>
          <w:bCs/>
        </w:rPr>
      </w:pPr>
      <w:r>
        <w:rPr>
          <w:rFonts w:cstheme="minorHAnsi"/>
          <w:b/>
          <w:bCs/>
          <w:noProof/>
        </w:rPr>
        <w:drawing>
          <wp:inline distT="0" distB="0" distL="0" distR="0" wp14:anchorId="2BAF47AA" wp14:editId="52EC1D3F">
            <wp:extent cx="6234955" cy="2681165"/>
            <wp:effectExtent l="0" t="0" r="0" b="5080"/>
            <wp:docPr id="1992625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58779" cy="2691410"/>
                    </a:xfrm>
                    <a:prstGeom prst="rect">
                      <a:avLst/>
                    </a:prstGeom>
                    <a:noFill/>
                  </pic:spPr>
                </pic:pic>
              </a:graphicData>
            </a:graphic>
          </wp:inline>
        </w:drawing>
      </w:r>
    </w:p>
    <w:p w14:paraId="3F84E7AF" w14:textId="4D6F863A" w:rsidR="003027F9" w:rsidRPr="00B75DCF" w:rsidRDefault="003027F9" w:rsidP="00355424">
      <w:pPr>
        <w:rPr>
          <w:rFonts w:cstheme="minorHAnsi"/>
          <w:b/>
          <w:bCs/>
        </w:rPr>
      </w:pPr>
    </w:p>
    <w:p w14:paraId="1A8F7F50" w14:textId="19E3D79F" w:rsidR="00355424" w:rsidRPr="00B75DCF" w:rsidRDefault="00355424" w:rsidP="00355424">
      <w:pPr>
        <w:jc w:val="both"/>
        <w:rPr>
          <w:rFonts w:ascii="Times New Roman" w:hAnsi="Times New Roman" w:cs="Times New Roman"/>
          <w:b/>
        </w:rPr>
      </w:pPr>
    </w:p>
    <w:p w14:paraId="01FB279E" w14:textId="1391106B" w:rsidR="00427D01" w:rsidRDefault="00427D01">
      <w:pPr>
        <w:rPr>
          <w:b/>
          <w:bCs/>
          <w:sz w:val="24"/>
          <w:szCs w:val="24"/>
        </w:rPr>
      </w:pPr>
    </w:p>
    <w:p w14:paraId="6D439AC5" w14:textId="77777777" w:rsidR="00666BB5" w:rsidRDefault="00666BB5" w:rsidP="00666BB5">
      <w:pPr>
        <w:rPr>
          <w:rFonts w:cstheme="minorHAnsi"/>
          <w:b/>
        </w:rPr>
      </w:pPr>
    </w:p>
    <w:p w14:paraId="6E220DF8" w14:textId="77777777" w:rsidR="00666BB5" w:rsidRDefault="00666BB5" w:rsidP="00666BB5">
      <w:pPr>
        <w:rPr>
          <w:rFonts w:cstheme="minorHAnsi"/>
          <w:b/>
        </w:rPr>
      </w:pPr>
    </w:p>
    <w:p w14:paraId="26B9FAC3" w14:textId="25B33DF4" w:rsidR="00666BB5" w:rsidRDefault="00666BB5" w:rsidP="00666BB5">
      <w:pPr>
        <w:rPr>
          <w:rFonts w:cstheme="minorHAnsi"/>
          <w:b/>
        </w:rPr>
      </w:pPr>
      <w:r>
        <w:rPr>
          <w:rFonts w:cstheme="minorHAnsi"/>
          <w:b/>
        </w:rPr>
        <w:t>Figure 3: Cost Distribution</w:t>
      </w:r>
      <w:r w:rsidR="009B5002">
        <w:rPr>
          <w:rFonts w:cstheme="minorHAnsi"/>
          <w:b/>
        </w:rPr>
        <w:t xml:space="preserve"> (probabilistic)</w:t>
      </w:r>
    </w:p>
    <w:p w14:paraId="3B806AA8" w14:textId="77777777" w:rsidR="009B309E" w:rsidRPr="00B24DA5" w:rsidRDefault="009B309E" w:rsidP="00276A2D">
      <w:pPr>
        <w:spacing w:after="0" w:line="276" w:lineRule="auto"/>
        <w:rPr>
          <w:rFonts w:cstheme="minorHAnsi"/>
          <w:bCs/>
        </w:rPr>
      </w:pPr>
      <w:r>
        <w:rPr>
          <w:rFonts w:cstheme="minorHAnsi"/>
          <w:bCs/>
        </w:rPr>
        <w:t xml:space="preserve">Nb. </w:t>
      </w:r>
      <w:r w:rsidRPr="00B24DA5">
        <w:rPr>
          <w:rFonts w:cstheme="minorHAnsi"/>
          <w:bCs/>
        </w:rPr>
        <w:t>The acute phase category includes the intervention costs and surgery.</w:t>
      </w:r>
    </w:p>
    <w:p w14:paraId="4C2F7614" w14:textId="7D87CA32" w:rsidR="00666BB5" w:rsidRPr="00276A2D" w:rsidRDefault="00666BB5" w:rsidP="00666BB5">
      <w:pPr>
        <w:rPr>
          <w:rFonts w:cstheme="minorHAnsi"/>
          <w:bCs/>
        </w:rPr>
      </w:pPr>
      <w:r w:rsidRPr="00B75DCF">
        <w:rPr>
          <w:rFonts w:cstheme="minorHAnsi"/>
          <w:bCs/>
        </w:rPr>
        <w:t>SAVR, surgical aortic valve replacement; TAVI, transcatheter aortic valve implantation</w:t>
      </w:r>
    </w:p>
    <w:p w14:paraId="5CD8D665" w14:textId="4B2E4931" w:rsidR="00666BB5" w:rsidRDefault="009B5002" w:rsidP="00666BB5">
      <w:pPr>
        <w:rPr>
          <w:rFonts w:cstheme="minorHAnsi"/>
          <w:b/>
        </w:rPr>
      </w:pPr>
      <w:r>
        <w:rPr>
          <w:rFonts w:cstheme="minorHAnsi"/>
          <w:b/>
          <w:noProof/>
          <w:lang w:val="en-US"/>
        </w:rPr>
        <w:drawing>
          <wp:inline distT="0" distB="0" distL="0" distR="0" wp14:anchorId="2932799C" wp14:editId="3F659511">
            <wp:extent cx="5715472" cy="3003578"/>
            <wp:effectExtent l="0" t="0" r="0" b="6350"/>
            <wp:docPr id="1497373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42101" cy="3017572"/>
                    </a:xfrm>
                    <a:prstGeom prst="rect">
                      <a:avLst/>
                    </a:prstGeom>
                    <a:noFill/>
                  </pic:spPr>
                </pic:pic>
              </a:graphicData>
            </a:graphic>
          </wp:inline>
        </w:drawing>
      </w:r>
    </w:p>
    <w:p w14:paraId="518958DD" w14:textId="77777777" w:rsidR="00666BB5" w:rsidRDefault="00666BB5">
      <w:pPr>
        <w:rPr>
          <w:rFonts w:cstheme="minorHAnsi"/>
          <w:b/>
        </w:rPr>
      </w:pPr>
      <w:r>
        <w:rPr>
          <w:rFonts w:cstheme="minorHAnsi"/>
          <w:b/>
        </w:rPr>
        <w:br w:type="page"/>
      </w:r>
    </w:p>
    <w:p w14:paraId="79DA22DE" w14:textId="79C68FD8" w:rsidR="00666BB5" w:rsidRPr="00B75DCF" w:rsidRDefault="00666BB5" w:rsidP="00666BB5">
      <w:pPr>
        <w:rPr>
          <w:rFonts w:cstheme="minorHAnsi"/>
          <w:b/>
        </w:rPr>
      </w:pPr>
      <w:r w:rsidRPr="00B75DCF">
        <w:rPr>
          <w:rFonts w:cstheme="minorHAnsi"/>
          <w:b/>
        </w:rPr>
        <w:lastRenderedPageBreak/>
        <w:t xml:space="preserve">Figure </w:t>
      </w:r>
      <w:r>
        <w:rPr>
          <w:rFonts w:cstheme="minorHAnsi"/>
          <w:b/>
        </w:rPr>
        <w:t>4</w:t>
      </w:r>
      <w:r w:rsidRPr="00B75DCF">
        <w:rPr>
          <w:rFonts w:cstheme="minorHAnsi"/>
          <w:b/>
        </w:rPr>
        <w:t>. Tornado diagram showing the 10 parameters with greatest influence on the model (deterministic sensitivity analysis).</w:t>
      </w:r>
    </w:p>
    <w:p w14:paraId="40789410" w14:textId="77777777" w:rsidR="00666BB5" w:rsidRPr="00B75DCF" w:rsidRDefault="00666BB5" w:rsidP="00666BB5">
      <w:pPr>
        <w:rPr>
          <w:rFonts w:cstheme="minorHAnsi"/>
          <w:bCs/>
        </w:rPr>
      </w:pPr>
      <w:r w:rsidRPr="00B75DCF">
        <w:rPr>
          <w:rFonts w:cstheme="minorHAnsi"/>
          <w:bCs/>
        </w:rPr>
        <w:t>AF, atrial fibrillation; SAVR, surgical aortic valve replacement; TAVI, transcatheter aortic valve implantation</w:t>
      </w:r>
    </w:p>
    <w:p w14:paraId="32543C2C" w14:textId="77777777" w:rsidR="00301CB2" w:rsidRDefault="00301CB2" w:rsidP="00301CB2">
      <w:pPr>
        <w:pStyle w:val="NormalWeb"/>
      </w:pPr>
      <w:r>
        <w:rPr>
          <w:noProof/>
          <w:lang w:val="en-US" w:eastAsia="en-US"/>
        </w:rPr>
        <w:drawing>
          <wp:inline distT="0" distB="0" distL="0" distR="0" wp14:anchorId="64953D39" wp14:editId="6EFEC567">
            <wp:extent cx="6217826" cy="3353452"/>
            <wp:effectExtent l="0" t="0" r="0" b="0"/>
            <wp:docPr id="247630506" name="Picture 247630506" descr="A graph showing a graph of a number of red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30506" name="Picture 247630506" descr="A graph showing a graph of a number of red and green squares&#10;&#10;AI-generated content may b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43971" cy="3367553"/>
                    </a:xfrm>
                    <a:prstGeom prst="rect">
                      <a:avLst/>
                    </a:prstGeom>
                    <a:noFill/>
                    <a:ln>
                      <a:noFill/>
                    </a:ln>
                  </pic:spPr>
                </pic:pic>
              </a:graphicData>
            </a:graphic>
          </wp:inline>
        </w:drawing>
      </w:r>
    </w:p>
    <w:p w14:paraId="6CD4F590" w14:textId="79C73788" w:rsidR="00666BB5" w:rsidRPr="00B75DCF" w:rsidRDefault="00666BB5" w:rsidP="00666BB5">
      <w:pPr>
        <w:rPr>
          <w:rFonts w:ascii="Times New Roman" w:hAnsi="Times New Roman" w:cs="Times New Roman"/>
          <w:b/>
        </w:rPr>
      </w:pPr>
    </w:p>
    <w:p w14:paraId="40DD87A7" w14:textId="77777777" w:rsidR="00666BB5" w:rsidRPr="00B75DCF" w:rsidRDefault="00666BB5" w:rsidP="00666BB5">
      <w:pPr>
        <w:autoSpaceDE w:val="0"/>
        <w:autoSpaceDN w:val="0"/>
        <w:adjustRightInd w:val="0"/>
        <w:spacing w:after="120" w:line="240" w:lineRule="auto"/>
        <w:rPr>
          <w:rFonts w:cstheme="minorHAnsi"/>
          <w:b/>
          <w:bCs/>
        </w:rPr>
      </w:pPr>
    </w:p>
    <w:p w14:paraId="0DA9F2B4" w14:textId="77777777" w:rsidR="00666BB5" w:rsidRPr="00B75DCF" w:rsidRDefault="00666BB5" w:rsidP="00666BB5">
      <w:pPr>
        <w:pStyle w:val="Caption"/>
        <w:spacing w:line="480" w:lineRule="auto"/>
        <w:jc w:val="both"/>
        <w:rPr>
          <w:rFonts w:ascii="Times New Roman" w:hAnsi="Times New Roman" w:cs="Times New Roman"/>
          <w:color w:val="auto"/>
          <w:sz w:val="20"/>
        </w:rPr>
      </w:pPr>
    </w:p>
    <w:p w14:paraId="0AE292B2" w14:textId="77777777" w:rsidR="00666BB5" w:rsidRDefault="00666BB5">
      <w:pPr>
        <w:rPr>
          <w:b/>
          <w:bCs/>
          <w:sz w:val="24"/>
          <w:szCs w:val="24"/>
        </w:rPr>
      </w:pPr>
    </w:p>
    <w:sectPr w:rsidR="00666BB5" w:rsidSect="00696F6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date="2025-09-26T11:10:00Z" w:initials="A">
    <w:p w14:paraId="194CB52A" w14:textId="77777777" w:rsidR="0048155F" w:rsidRDefault="0048155F" w:rsidP="0048155F">
      <w:pPr>
        <w:pStyle w:val="CommentText"/>
      </w:pPr>
      <w:r>
        <w:rPr>
          <w:rStyle w:val="CommentReference"/>
        </w:rPr>
        <w:annotationRef/>
      </w:r>
      <w:r>
        <w:t xml:space="preserve">Please add a short running title. </w:t>
      </w:r>
    </w:p>
  </w:comment>
  <w:comment w:id="2" w:author="Author" w:date="2025-10-03T07:56:00Z" w:initials="A">
    <w:p w14:paraId="4AAA5EAB" w14:textId="77777777" w:rsidR="00115E8B" w:rsidRDefault="00115E8B" w:rsidP="00115E8B">
      <w:pPr>
        <w:pStyle w:val="CommentText"/>
      </w:pPr>
      <w:r>
        <w:rPr>
          <w:rStyle w:val="CommentReference"/>
        </w:rPr>
        <w:annotationRef/>
      </w:r>
      <w:r>
        <w:t>This has been actioned</w:t>
      </w:r>
    </w:p>
  </w:comment>
  <w:comment w:id="4" w:author="Author" w:date="2025-09-26T13:31:00Z" w:initials="A">
    <w:p w14:paraId="22AF8AE8" w14:textId="3421FCE8" w:rsidR="00CC4AC6" w:rsidRDefault="00CC4AC6" w:rsidP="00CC4AC6">
      <w:pPr>
        <w:pStyle w:val="CommentText"/>
      </w:pPr>
      <w:r>
        <w:rPr>
          <w:rStyle w:val="CommentReference"/>
        </w:rPr>
        <w:annotationRef/>
      </w:r>
      <w:r>
        <w:t xml:space="preserve">“Background and Objective” </w:t>
      </w:r>
    </w:p>
  </w:comment>
  <w:comment w:id="5" w:author="Author" w:date="2025-10-03T07:56:00Z" w:initials="A">
    <w:p w14:paraId="5ABC4D95" w14:textId="77777777" w:rsidR="00115E8B" w:rsidRDefault="00115E8B" w:rsidP="00115E8B">
      <w:pPr>
        <w:pStyle w:val="CommentText"/>
      </w:pPr>
      <w:r>
        <w:rPr>
          <w:rStyle w:val="CommentReference"/>
        </w:rPr>
        <w:annotationRef/>
      </w:r>
      <w:r>
        <w:t>This has been actioned</w:t>
      </w:r>
    </w:p>
  </w:comment>
  <w:comment w:id="8" w:author="Author" w:date="2025-09-26T13:33:00Z" w:initials="A">
    <w:p w14:paraId="2ADDF544" w14:textId="281855A3" w:rsidR="00F3522F" w:rsidRDefault="00F3522F" w:rsidP="00F3522F">
      <w:pPr>
        <w:pStyle w:val="CommentText"/>
      </w:pPr>
      <w:r>
        <w:rPr>
          <w:rStyle w:val="CommentReference"/>
        </w:rPr>
        <w:annotationRef/>
      </w:r>
      <w:r>
        <w:t>Please change to “most” to make it clear what it was not cost-effective in some</w:t>
      </w:r>
    </w:p>
  </w:comment>
  <w:comment w:id="9" w:author="Author" w:date="2025-10-03T07:57:00Z" w:initials="A">
    <w:p w14:paraId="4E0EA5B3" w14:textId="77777777" w:rsidR="00115E8B" w:rsidRDefault="00115E8B" w:rsidP="00115E8B">
      <w:pPr>
        <w:pStyle w:val="CommentText"/>
      </w:pPr>
      <w:r>
        <w:rPr>
          <w:rStyle w:val="CommentReference"/>
        </w:rPr>
        <w:annotationRef/>
      </w:r>
      <w:r>
        <w:t>This has been actioned</w:t>
      </w:r>
    </w:p>
  </w:comment>
  <w:comment w:id="10" w:author="Author" w:date="2025-09-26T13:34:00Z" w:initials="A">
    <w:p w14:paraId="4B618EAB" w14:textId="63599F89" w:rsidR="006913B9" w:rsidRDefault="006913B9" w:rsidP="006913B9">
      <w:pPr>
        <w:pStyle w:val="CommentText"/>
      </w:pPr>
      <w:r>
        <w:rPr>
          <w:rStyle w:val="CommentReference"/>
        </w:rPr>
        <w:annotationRef/>
      </w:r>
      <w:r>
        <w:t>“relative robustness” (see previous comment)</w:t>
      </w:r>
    </w:p>
  </w:comment>
  <w:comment w:id="11" w:author="Author" w:date="2025-10-03T07:57:00Z" w:initials="A">
    <w:p w14:paraId="5AD7FE26" w14:textId="77777777" w:rsidR="00115E8B" w:rsidRDefault="00115E8B" w:rsidP="00115E8B">
      <w:pPr>
        <w:pStyle w:val="CommentText"/>
      </w:pPr>
      <w:r>
        <w:rPr>
          <w:rStyle w:val="CommentReference"/>
        </w:rPr>
        <w:annotationRef/>
      </w:r>
      <w:r>
        <w:t>This has been actioned</w:t>
      </w:r>
    </w:p>
  </w:comment>
  <w:comment w:id="12" w:author="Author" w:date="2025-09-26T13:35:00Z" w:initials="A">
    <w:p w14:paraId="08436BED" w14:textId="0352B642" w:rsidR="00845BBF" w:rsidRDefault="00845BBF" w:rsidP="00845BBF">
      <w:pPr>
        <w:pStyle w:val="CommentText"/>
      </w:pPr>
      <w:r>
        <w:rPr>
          <w:rStyle w:val="CommentReference"/>
        </w:rPr>
        <w:annotationRef/>
      </w:r>
      <w:r>
        <w:t xml:space="preserve">This needs to be reported in the abstract results first. </w:t>
      </w:r>
    </w:p>
  </w:comment>
  <w:comment w:id="13" w:author="Author" w:date="2025-10-03T08:08:00Z" w:initials="A">
    <w:p w14:paraId="348B8B03" w14:textId="77777777" w:rsidR="003D6C38" w:rsidRDefault="003D6C38" w:rsidP="003D6C38">
      <w:pPr>
        <w:pStyle w:val="CommentText"/>
      </w:pPr>
      <w:r>
        <w:rPr>
          <w:rStyle w:val="CommentReference"/>
        </w:rPr>
        <w:annotationRef/>
      </w:r>
      <w:r>
        <w:t>This is now reported in the results section and shortened here</w:t>
      </w:r>
    </w:p>
  </w:comment>
  <w:comment w:id="15" w:author="Author" w:date="2025-09-26T13:42:00Z" w:initials="A">
    <w:p w14:paraId="4BF7EFBE" w14:textId="2861A6BB" w:rsidR="00E93D6D" w:rsidRDefault="00E93D6D" w:rsidP="00E93D6D">
      <w:pPr>
        <w:pStyle w:val="CommentText"/>
      </w:pPr>
      <w:r>
        <w:rPr>
          <w:rStyle w:val="CommentReference"/>
        </w:rPr>
        <w:annotationRef/>
      </w:r>
      <w:r>
        <w:t>National Institute for Health and Care Excellence</w:t>
      </w:r>
    </w:p>
  </w:comment>
  <w:comment w:id="16" w:author="Author" w:date="2025-10-03T08:09:00Z" w:initials="A">
    <w:p w14:paraId="06B87447" w14:textId="77777777" w:rsidR="003D6C38" w:rsidRDefault="003D6C38" w:rsidP="003D6C38">
      <w:pPr>
        <w:pStyle w:val="CommentText"/>
      </w:pPr>
      <w:r>
        <w:rPr>
          <w:rStyle w:val="CommentReference"/>
        </w:rPr>
        <w:annotationRef/>
      </w:r>
      <w:r>
        <w:t>This has been actioned</w:t>
      </w:r>
    </w:p>
  </w:comment>
  <w:comment w:id="17" w:author="Author" w:date="2025-09-26T11:34:00Z" w:initials="A">
    <w:p w14:paraId="5975FB1A" w14:textId="702E1CD6" w:rsidR="00DB1431" w:rsidRDefault="00DB1431" w:rsidP="00DB1431">
      <w:pPr>
        <w:pStyle w:val="CommentText"/>
      </w:pPr>
      <w:r>
        <w:rPr>
          <w:rStyle w:val="CommentReference"/>
        </w:rPr>
        <w:annotationRef/>
      </w:r>
      <w:r>
        <w:t>Reference?</w:t>
      </w:r>
    </w:p>
  </w:comment>
  <w:comment w:id="18" w:author="Author" w:date="2025-10-03T09:11:00Z" w:initials="A">
    <w:p w14:paraId="70AC2048" w14:textId="77777777" w:rsidR="00093AF3" w:rsidRDefault="00093AF3" w:rsidP="00093AF3">
      <w:pPr>
        <w:pStyle w:val="CommentText"/>
      </w:pPr>
      <w:r>
        <w:rPr>
          <w:rStyle w:val="CommentReference"/>
        </w:rPr>
        <w:annotationRef/>
      </w:r>
      <w:r>
        <w:t>This has been actioned</w:t>
      </w:r>
    </w:p>
  </w:comment>
  <w:comment w:id="19" w:author="Author" w:date="2025-09-26T13:49:00Z" w:initials="A">
    <w:p w14:paraId="5BFEC58F" w14:textId="77777777" w:rsidR="006C7092" w:rsidRDefault="006C7092" w:rsidP="006C7092">
      <w:pPr>
        <w:pStyle w:val="CommentText"/>
      </w:pPr>
      <w:r>
        <w:rPr>
          <w:rStyle w:val="CommentReference"/>
        </w:rPr>
        <w:annotationRef/>
      </w:r>
      <w:r>
        <w:t xml:space="preserve">Tables should be numbered in the order they’re cited so I suggest deleting this citation, which isn’t really needed. </w:t>
      </w:r>
    </w:p>
  </w:comment>
  <w:comment w:id="22" w:author="Author" w:date="2025-09-26T13:49:00Z" w:initials="A">
    <w:p w14:paraId="48D740EE" w14:textId="77777777" w:rsidR="00751194" w:rsidRDefault="00751194" w:rsidP="00751194">
      <w:pPr>
        <w:pStyle w:val="CommentText"/>
      </w:pPr>
      <w:r>
        <w:rPr>
          <w:rStyle w:val="CommentReference"/>
        </w:rPr>
        <w:annotationRef/>
      </w:r>
      <w:r>
        <w:rPr>
          <w:lang w:val="en-AU"/>
        </w:rPr>
        <w:t xml:space="preserve">Please include the following information at the beginning of the supplementary material file: </w:t>
      </w:r>
    </w:p>
    <w:p w14:paraId="04E2C5BA" w14:textId="77777777" w:rsidR="00751194" w:rsidRDefault="00751194" w:rsidP="00751194">
      <w:pPr>
        <w:pStyle w:val="CommentText"/>
      </w:pPr>
      <w:r>
        <w:rPr>
          <w:lang w:val="en-AU"/>
        </w:rPr>
        <w:t>- Journal name</w:t>
      </w:r>
    </w:p>
    <w:p w14:paraId="0AC82D31" w14:textId="77777777" w:rsidR="00751194" w:rsidRDefault="00751194" w:rsidP="00751194">
      <w:pPr>
        <w:pStyle w:val="CommentText"/>
      </w:pPr>
      <w:r>
        <w:rPr>
          <w:lang w:val="en-AU"/>
        </w:rPr>
        <w:t>- Article title</w:t>
      </w:r>
    </w:p>
    <w:p w14:paraId="3C7A6241" w14:textId="77777777" w:rsidR="00751194" w:rsidRDefault="00751194" w:rsidP="00751194">
      <w:pPr>
        <w:pStyle w:val="CommentText"/>
      </w:pPr>
      <w:r>
        <w:rPr>
          <w:lang w:val="en-AU"/>
        </w:rPr>
        <w:t>- Author names</w:t>
      </w:r>
    </w:p>
    <w:p w14:paraId="1B0B755B" w14:textId="77777777" w:rsidR="00751194" w:rsidRDefault="00751194" w:rsidP="00751194">
      <w:pPr>
        <w:pStyle w:val="CommentText"/>
      </w:pPr>
      <w:r>
        <w:rPr>
          <w:lang w:val="en-AU"/>
        </w:rPr>
        <w:t>- Affiliation and e-mail address of the corresponding author</w:t>
      </w:r>
    </w:p>
  </w:comment>
  <w:comment w:id="23" w:author="Author" w:date="2025-10-03T09:11:00Z" w:initials="A">
    <w:p w14:paraId="23959FE4" w14:textId="77777777" w:rsidR="00093AF3" w:rsidRDefault="00093AF3" w:rsidP="00093AF3">
      <w:pPr>
        <w:pStyle w:val="CommentText"/>
      </w:pPr>
      <w:r>
        <w:rPr>
          <w:rStyle w:val="CommentReference"/>
        </w:rPr>
        <w:annotationRef/>
      </w:r>
      <w:r>
        <w:t>This has been actioned</w:t>
      </w:r>
    </w:p>
  </w:comment>
  <w:comment w:id="24" w:author="Author" w:date="2025-09-26T13:50:00Z" w:initials="A">
    <w:p w14:paraId="1C268F62" w14:textId="73F336CD" w:rsidR="00383DC6" w:rsidRDefault="00383DC6" w:rsidP="00383DC6">
      <w:pPr>
        <w:pStyle w:val="CommentText"/>
      </w:pPr>
      <w:r>
        <w:rPr>
          <w:rStyle w:val="CommentReference"/>
        </w:rPr>
        <w:annotationRef/>
      </w:r>
      <w:r>
        <w:t xml:space="preserve">Cost should ideally be updated to a more recent year. </w:t>
      </w:r>
    </w:p>
  </w:comment>
  <w:comment w:id="25" w:author="Author" w:date="2025-10-03T08:17:00Z" w:initials="A">
    <w:p w14:paraId="33260212" w14:textId="77777777" w:rsidR="00A12F9E" w:rsidRDefault="00A12F9E" w:rsidP="00A12F9E">
      <w:pPr>
        <w:pStyle w:val="CommentText"/>
      </w:pPr>
      <w:r>
        <w:rPr>
          <w:rStyle w:val="CommentReference"/>
        </w:rPr>
        <w:annotationRef/>
      </w:r>
      <w:r>
        <w:t>Whilst we agree this would be ideal, unfortunately, due to time restraints and limited resources we are unable to source updated costs and subsequently update the manuscript</w:t>
      </w:r>
    </w:p>
  </w:comment>
  <w:comment w:id="26" w:author="Author" w:date="2025-09-26T13:51:00Z" w:initials="A">
    <w:p w14:paraId="01294FDC" w14:textId="7689E7B8" w:rsidR="00A12F9E" w:rsidRDefault="00A12F9E" w:rsidP="00A12F9E">
      <w:pPr>
        <w:pStyle w:val="CommentText"/>
      </w:pPr>
      <w:r>
        <w:rPr>
          <w:rStyle w:val="CommentReference"/>
        </w:rPr>
        <w:annotationRef/>
      </w:r>
      <w:r>
        <w:t>It doesn’t make sense to have this in the Sensitivity analyses section. Maybe this whole paragraph should be moved to the previous section?</w:t>
      </w:r>
    </w:p>
  </w:comment>
  <w:comment w:id="27" w:author="Author" w:date="2025-10-03T08:19:00Z" w:initials="A">
    <w:p w14:paraId="3E700964" w14:textId="77777777" w:rsidR="00A12F9E" w:rsidRDefault="00A12F9E" w:rsidP="00A12F9E">
      <w:pPr>
        <w:pStyle w:val="CommentText"/>
      </w:pPr>
      <w:r>
        <w:rPr>
          <w:rStyle w:val="CommentReference"/>
        </w:rPr>
        <w:annotationRef/>
      </w:r>
      <w:r>
        <w:t>This has now been moved</w:t>
      </w:r>
    </w:p>
  </w:comment>
  <w:comment w:id="28" w:author="Author" w:date="2025-09-26T11:47:00Z" w:initials="A">
    <w:p w14:paraId="28E95209" w14:textId="14E9776B" w:rsidR="00A12F9E" w:rsidRDefault="00A12F9E" w:rsidP="00A12F9E">
      <w:pPr>
        <w:pStyle w:val="CommentText"/>
      </w:pPr>
      <w:r>
        <w:rPr>
          <w:rStyle w:val="CommentReference"/>
        </w:rPr>
        <w:annotationRef/>
      </w:r>
      <w:r>
        <w:t>Please add reference number</w:t>
      </w:r>
    </w:p>
  </w:comment>
  <w:comment w:id="29" w:author="Author" w:date="2025-10-03T08:21:00Z" w:initials="A">
    <w:p w14:paraId="035CA557" w14:textId="77777777" w:rsidR="00A12F9E" w:rsidRDefault="00A12F9E" w:rsidP="00A12F9E">
      <w:pPr>
        <w:pStyle w:val="CommentText"/>
      </w:pPr>
      <w:r>
        <w:rPr>
          <w:rStyle w:val="CommentReference"/>
        </w:rPr>
        <w:annotationRef/>
      </w:r>
      <w:r>
        <w:t>This has been actioned</w:t>
      </w:r>
    </w:p>
  </w:comment>
  <w:comment w:id="30" w:author="Author" w:date="2025-09-26T13:52:00Z" w:initials="A">
    <w:p w14:paraId="3F9CE8B8" w14:textId="77777777" w:rsidR="00063F90" w:rsidRDefault="00063F90" w:rsidP="00063F90">
      <w:pPr>
        <w:pStyle w:val="CommentText"/>
      </w:pPr>
      <w:r>
        <w:rPr>
          <w:rStyle w:val="CommentReference"/>
        </w:rPr>
        <w:annotationRef/>
      </w:r>
      <w:r>
        <w:t xml:space="preserve">Please specify the threshold used for this calculation. </w:t>
      </w:r>
    </w:p>
  </w:comment>
  <w:comment w:id="31" w:author="Author" w:date="2025-10-03T08:25:00Z" w:initials="A">
    <w:p w14:paraId="63A25410" w14:textId="77777777" w:rsidR="00A12F9E" w:rsidRDefault="00A12F9E" w:rsidP="00A12F9E">
      <w:pPr>
        <w:pStyle w:val="CommentText"/>
      </w:pPr>
      <w:r>
        <w:rPr>
          <w:rStyle w:val="CommentReference"/>
        </w:rPr>
        <w:annotationRef/>
      </w:r>
      <w:r>
        <w:t>This has been added</w:t>
      </w:r>
    </w:p>
  </w:comment>
  <w:comment w:id="32" w:author="Author" w:date="2025-09-26T13:53:00Z" w:initials="A">
    <w:p w14:paraId="5CEC2C7C" w14:textId="3B700691" w:rsidR="006C76FF" w:rsidRDefault="006C76FF" w:rsidP="006C76FF">
      <w:pPr>
        <w:pStyle w:val="CommentText"/>
      </w:pPr>
      <w:r>
        <w:rPr>
          <w:rStyle w:val="CommentReference"/>
        </w:rPr>
        <w:annotationRef/>
      </w:r>
      <w:r>
        <w:t xml:space="preserve">Please specify the results of this comparison. </w:t>
      </w:r>
    </w:p>
  </w:comment>
  <w:comment w:id="33" w:author="Author" w:date="2025-10-03T08:38:00Z" w:initials="A">
    <w:p w14:paraId="00316A55" w14:textId="77777777" w:rsidR="000E3AED" w:rsidRDefault="000E3AED" w:rsidP="000E3AED">
      <w:pPr>
        <w:pStyle w:val="CommentText"/>
      </w:pPr>
      <w:r>
        <w:rPr>
          <w:rStyle w:val="CommentReference"/>
        </w:rPr>
        <w:annotationRef/>
      </w:r>
      <w:r>
        <w:t>The survival results are in Figure S2 of the supplementary material. The results for AF have been added to the end of the supplementary material (text only)</w:t>
      </w:r>
    </w:p>
  </w:comment>
  <w:comment w:id="35" w:author="Author" w:date="2025-09-26T13:21:00Z" w:initials="A">
    <w:p w14:paraId="7A6E12D8" w14:textId="657DA824" w:rsidR="00941082" w:rsidRDefault="00941082" w:rsidP="00941082">
      <w:pPr>
        <w:pStyle w:val="CommentText"/>
      </w:pPr>
      <w:r>
        <w:rPr>
          <w:rStyle w:val="CommentReference"/>
        </w:rPr>
        <w:annotationRef/>
      </w:r>
      <w:r>
        <w:t xml:space="preserve">Appears to be below 60% and below 90% in figure 2. Please make consistent throughout the manuscript. </w:t>
      </w:r>
    </w:p>
  </w:comment>
  <w:comment w:id="36" w:author="Author" w:date="2025-10-03T08:44:00Z" w:initials="A">
    <w:p w14:paraId="7C605E90" w14:textId="77777777" w:rsidR="000E3AED" w:rsidRDefault="000E3AED" w:rsidP="000E3AED">
      <w:pPr>
        <w:pStyle w:val="CommentText"/>
      </w:pPr>
      <w:r>
        <w:rPr>
          <w:rStyle w:val="CommentReference"/>
        </w:rPr>
        <w:annotationRef/>
      </w:r>
      <w:r>
        <w:t>Apologies - Figure 2 was not up-to-date. It has now been updated</w:t>
      </w:r>
    </w:p>
  </w:comment>
  <w:comment w:id="37" w:author="Author" w:date="2025-09-26T13:54:00Z" w:initials="A">
    <w:p w14:paraId="2081CA9E" w14:textId="2ABBEC5A" w:rsidR="00F327F9" w:rsidRDefault="00F327F9" w:rsidP="00F327F9">
      <w:pPr>
        <w:pStyle w:val="CommentText"/>
      </w:pPr>
      <w:r>
        <w:rPr>
          <w:rStyle w:val="CommentReference"/>
        </w:rPr>
        <w:annotationRef/>
      </w:r>
      <w:r>
        <w:t>delete</w:t>
      </w:r>
    </w:p>
  </w:comment>
  <w:comment w:id="38" w:author="Author" w:date="2025-10-03T08:42:00Z" w:initials="A">
    <w:p w14:paraId="3F4AA6B9" w14:textId="77777777" w:rsidR="000E3AED" w:rsidRDefault="000E3AED" w:rsidP="000E3AED">
      <w:pPr>
        <w:pStyle w:val="CommentText"/>
      </w:pPr>
      <w:r>
        <w:rPr>
          <w:rStyle w:val="CommentReference"/>
        </w:rPr>
        <w:annotationRef/>
      </w:r>
      <w:r>
        <w:t>This has been actioned</w:t>
      </w:r>
    </w:p>
  </w:comment>
  <w:comment w:id="39" w:author="Author" w:date="2025-09-26T13:55:00Z" w:initials="A">
    <w:p w14:paraId="536683AC" w14:textId="49FF09E7" w:rsidR="009B42ED" w:rsidRDefault="009B42ED" w:rsidP="009B42ED">
      <w:pPr>
        <w:pStyle w:val="CommentText"/>
      </w:pPr>
      <w:r>
        <w:rPr>
          <w:rStyle w:val="CommentReference"/>
        </w:rPr>
        <w:annotationRef/>
      </w:r>
      <w:r>
        <w:t xml:space="preserve">“in most sensitivity analyses” </w:t>
      </w:r>
    </w:p>
  </w:comment>
  <w:comment w:id="40" w:author="Author" w:date="2025-10-03T08:43:00Z" w:initials="A">
    <w:p w14:paraId="795AF567" w14:textId="77777777" w:rsidR="000E3AED" w:rsidRDefault="000E3AED" w:rsidP="000E3AED">
      <w:pPr>
        <w:pStyle w:val="CommentText"/>
      </w:pPr>
      <w:r>
        <w:rPr>
          <w:rStyle w:val="CommentReference"/>
        </w:rPr>
        <w:annotationRef/>
      </w:r>
      <w:r>
        <w:t>This has been actioned</w:t>
      </w:r>
    </w:p>
  </w:comment>
  <w:comment w:id="42" w:author="Author" w:date="2025-09-26T13:56:00Z" w:initials="A">
    <w:p w14:paraId="57890CC8" w14:textId="71B23B95" w:rsidR="009E7403" w:rsidRDefault="009E7403" w:rsidP="009E7403">
      <w:pPr>
        <w:pStyle w:val="CommentText"/>
      </w:pPr>
      <w:r>
        <w:rPr>
          <w:rStyle w:val="CommentReference"/>
        </w:rPr>
        <w:annotationRef/>
      </w:r>
      <w:r>
        <w:t>This is misleading because TAVI was more costly. Do you mean “cost effectiveness”?</w:t>
      </w:r>
    </w:p>
  </w:comment>
  <w:comment w:id="43" w:author="Author" w:date="2025-10-03T08:41:00Z" w:initials="A">
    <w:p w14:paraId="72F1B6D1" w14:textId="77777777" w:rsidR="000E3AED" w:rsidRDefault="000E3AED" w:rsidP="000E3AED">
      <w:pPr>
        <w:pStyle w:val="CommentText"/>
      </w:pPr>
      <w:r>
        <w:rPr>
          <w:rStyle w:val="CommentReference"/>
        </w:rPr>
        <w:annotationRef/>
      </w:r>
      <w:r>
        <w:t>This has been updated</w:t>
      </w:r>
    </w:p>
  </w:comment>
  <w:comment w:id="44" w:author="Author" w:date="2025-09-26T13:57:00Z" w:initials="A">
    <w:p w14:paraId="214C80E8" w14:textId="2695E3B1" w:rsidR="00F9401F" w:rsidRDefault="00F9401F" w:rsidP="00F9401F">
      <w:pPr>
        <w:pStyle w:val="CommentText"/>
      </w:pPr>
      <w:r>
        <w:rPr>
          <w:rStyle w:val="CommentReference"/>
        </w:rPr>
        <w:annotationRef/>
      </w:r>
      <w:r>
        <w:t>“relatively robust”</w:t>
      </w:r>
    </w:p>
  </w:comment>
  <w:comment w:id="45" w:author="Author" w:date="2025-10-03T08:41:00Z" w:initials="A">
    <w:p w14:paraId="52CD54B8" w14:textId="77777777" w:rsidR="000E3AED" w:rsidRDefault="000E3AED" w:rsidP="000E3AED">
      <w:pPr>
        <w:pStyle w:val="CommentText"/>
      </w:pPr>
      <w:r>
        <w:rPr>
          <w:rStyle w:val="CommentReference"/>
        </w:rPr>
        <w:annotationRef/>
      </w:r>
      <w:r>
        <w:t>This has been actioned</w:t>
      </w:r>
    </w:p>
  </w:comment>
  <w:comment w:id="46" w:author="Author" w:date="2025-09-26T11:09:00Z" w:initials="A">
    <w:p w14:paraId="01AA5225" w14:textId="604DB22F" w:rsidR="0030581F" w:rsidRDefault="0030581F" w:rsidP="0030581F">
      <w:pPr>
        <w:pStyle w:val="CommentText"/>
      </w:pPr>
      <w:r>
        <w:rPr>
          <w:rStyle w:val="CommentReference"/>
        </w:rPr>
        <w:annotationRef/>
      </w:r>
      <w:r>
        <w:t>2022</w:t>
      </w:r>
    </w:p>
  </w:comment>
  <w:comment w:id="47" w:author="Author" w:date="2025-10-03T08:57:00Z" w:initials="A">
    <w:p w14:paraId="00DFB96F" w14:textId="77777777" w:rsidR="00D33236" w:rsidRDefault="00D33236" w:rsidP="00D33236">
      <w:pPr>
        <w:pStyle w:val="CommentText"/>
      </w:pPr>
      <w:r>
        <w:rPr>
          <w:rStyle w:val="CommentReference"/>
        </w:rPr>
        <w:annotationRef/>
      </w:r>
      <w:r>
        <w:t>This has been actioned</w:t>
      </w:r>
    </w:p>
  </w:comment>
  <w:comment w:id="51" w:author="Author" w:date="2025-09-26T13:26:00Z" w:initials="A">
    <w:p w14:paraId="66E7DDA0" w14:textId="649A7D2F" w:rsidR="00EA37F4" w:rsidRDefault="00EA37F4" w:rsidP="00EA37F4">
      <w:pPr>
        <w:pStyle w:val="CommentText"/>
      </w:pPr>
      <w:r>
        <w:rPr>
          <w:rStyle w:val="CommentReference"/>
        </w:rPr>
        <w:annotationRef/>
      </w:r>
      <w:r>
        <w:t xml:space="preserve">Please enlarge the text in this figure. </w:t>
      </w:r>
    </w:p>
  </w:comment>
  <w:comment w:id="52" w:author="Author" w:date="2025-10-03T08:53:00Z" w:initials="A">
    <w:p w14:paraId="1EBE2F5B" w14:textId="77777777" w:rsidR="003027F9" w:rsidRDefault="003027F9" w:rsidP="003027F9">
      <w:pPr>
        <w:pStyle w:val="CommentText"/>
      </w:pPr>
      <w:r>
        <w:rPr>
          <w:rStyle w:val="CommentReference"/>
        </w:rPr>
        <w:annotationRef/>
      </w:r>
      <w:r>
        <w:t>This has been actioned, and a separate line for the £30,000 threshold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4CB52A" w15:done="1"/>
  <w15:commentEx w15:paraId="4AAA5EAB" w15:paraIdParent="194CB52A" w15:done="1"/>
  <w15:commentEx w15:paraId="22AF8AE8" w15:done="1"/>
  <w15:commentEx w15:paraId="5ABC4D95" w15:paraIdParent="22AF8AE8" w15:done="1"/>
  <w15:commentEx w15:paraId="2ADDF544" w15:done="1"/>
  <w15:commentEx w15:paraId="4E0EA5B3" w15:paraIdParent="2ADDF544" w15:done="1"/>
  <w15:commentEx w15:paraId="4B618EAB" w15:done="1"/>
  <w15:commentEx w15:paraId="5AD7FE26" w15:paraIdParent="4B618EAB" w15:done="1"/>
  <w15:commentEx w15:paraId="08436BED" w15:done="1"/>
  <w15:commentEx w15:paraId="348B8B03" w15:paraIdParent="08436BED" w15:done="1"/>
  <w15:commentEx w15:paraId="4BF7EFBE" w15:done="1"/>
  <w15:commentEx w15:paraId="06B87447" w15:paraIdParent="4BF7EFBE" w15:done="1"/>
  <w15:commentEx w15:paraId="5975FB1A" w15:done="1"/>
  <w15:commentEx w15:paraId="70AC2048" w15:paraIdParent="5975FB1A" w15:done="1"/>
  <w15:commentEx w15:paraId="5BFEC58F" w15:done="1"/>
  <w15:commentEx w15:paraId="1B0B755B" w15:done="1"/>
  <w15:commentEx w15:paraId="23959FE4" w15:paraIdParent="1B0B755B" w15:done="1"/>
  <w15:commentEx w15:paraId="1C268F62" w15:done="1"/>
  <w15:commentEx w15:paraId="33260212" w15:paraIdParent="1C268F62" w15:done="1"/>
  <w15:commentEx w15:paraId="01294FDC" w15:done="1"/>
  <w15:commentEx w15:paraId="3E700964" w15:paraIdParent="01294FDC" w15:done="1"/>
  <w15:commentEx w15:paraId="28E95209" w15:done="1"/>
  <w15:commentEx w15:paraId="035CA557" w15:paraIdParent="28E95209" w15:done="1"/>
  <w15:commentEx w15:paraId="3F9CE8B8" w15:done="1"/>
  <w15:commentEx w15:paraId="63A25410" w15:paraIdParent="3F9CE8B8" w15:done="1"/>
  <w15:commentEx w15:paraId="5CEC2C7C" w15:done="1"/>
  <w15:commentEx w15:paraId="00316A55" w15:paraIdParent="5CEC2C7C" w15:done="1"/>
  <w15:commentEx w15:paraId="7A6E12D8" w15:done="1"/>
  <w15:commentEx w15:paraId="7C605E90" w15:paraIdParent="7A6E12D8" w15:done="1"/>
  <w15:commentEx w15:paraId="2081CA9E" w15:done="1"/>
  <w15:commentEx w15:paraId="3F4AA6B9" w15:paraIdParent="2081CA9E" w15:done="1"/>
  <w15:commentEx w15:paraId="536683AC" w15:done="1"/>
  <w15:commentEx w15:paraId="795AF567" w15:paraIdParent="536683AC" w15:done="1"/>
  <w15:commentEx w15:paraId="57890CC8" w15:done="1"/>
  <w15:commentEx w15:paraId="72F1B6D1" w15:paraIdParent="57890CC8" w15:done="1"/>
  <w15:commentEx w15:paraId="214C80E8" w15:done="1"/>
  <w15:commentEx w15:paraId="52CD54B8" w15:paraIdParent="214C80E8" w15:done="1"/>
  <w15:commentEx w15:paraId="01AA5225" w15:done="1"/>
  <w15:commentEx w15:paraId="00DFB96F" w15:paraIdParent="01AA5225" w15:done="1"/>
  <w15:commentEx w15:paraId="66E7DDA0" w15:done="1"/>
  <w15:commentEx w15:paraId="1EBE2F5B" w15:paraIdParent="66E7DDA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998A0F" w16cex:dateUtc="2025-09-25T23:10:00Z"/>
  <w16cex:commentExtensible w16cex:durableId="31A0D570" w16cex:dateUtc="2025-10-03T06:56:00Z"/>
  <w16cex:commentExtensible w16cex:durableId="413CFEFA" w16cex:dateUtc="2025-09-26T01:31:00Z"/>
  <w16cex:commentExtensible w16cex:durableId="1699CF64" w16cex:dateUtc="2025-10-03T06:56:00Z"/>
  <w16cex:commentExtensible w16cex:durableId="094A9031" w16cex:dateUtc="2025-09-26T01:33:00Z"/>
  <w16cex:commentExtensible w16cex:durableId="159FB180" w16cex:dateUtc="2025-10-03T06:57:00Z"/>
  <w16cex:commentExtensible w16cex:durableId="47E89F49" w16cex:dateUtc="2025-09-26T01:34:00Z"/>
  <w16cex:commentExtensible w16cex:durableId="0E633916" w16cex:dateUtc="2025-10-03T06:57:00Z"/>
  <w16cex:commentExtensible w16cex:durableId="7AD2FE4C" w16cex:dateUtc="2025-09-26T01:35:00Z"/>
  <w16cex:commentExtensible w16cex:durableId="79E75B47" w16cex:dateUtc="2025-10-03T07:08:00Z"/>
  <w16cex:commentExtensible w16cex:durableId="2206EDB4" w16cex:dateUtc="2025-09-26T01:42:00Z"/>
  <w16cex:commentExtensible w16cex:durableId="4E95F74F" w16cex:dateUtc="2025-10-03T07:09:00Z"/>
  <w16cex:commentExtensible w16cex:durableId="2E5A1413" w16cex:dateUtc="2025-09-25T23:34:00Z"/>
  <w16cex:commentExtensible w16cex:durableId="2FB8E355" w16cex:dateUtc="2025-10-03T08:11:00Z"/>
  <w16cex:commentExtensible w16cex:durableId="165DD95C" w16cex:dateUtc="2025-09-26T01:49:00Z"/>
  <w16cex:commentExtensible w16cex:durableId="55EDE607" w16cex:dateUtc="2025-09-26T01:49:00Z"/>
  <w16cex:commentExtensible w16cex:durableId="22324360" w16cex:dateUtc="2025-10-03T08:11:00Z"/>
  <w16cex:commentExtensible w16cex:durableId="4622457A" w16cex:dateUtc="2025-09-26T01:50:00Z"/>
  <w16cex:commentExtensible w16cex:durableId="408A1A6B" w16cex:dateUtc="2025-10-03T07:17:00Z"/>
  <w16cex:commentExtensible w16cex:durableId="4E4E8064" w16cex:dateUtc="2025-09-26T01:51:00Z"/>
  <w16cex:commentExtensible w16cex:durableId="24FC257D" w16cex:dateUtc="2025-10-03T07:19:00Z"/>
  <w16cex:commentExtensible w16cex:durableId="08B9CDA3" w16cex:dateUtc="2025-09-25T23:47:00Z"/>
  <w16cex:commentExtensible w16cex:durableId="357A1E0F" w16cex:dateUtc="2025-10-03T07:21:00Z"/>
  <w16cex:commentExtensible w16cex:durableId="6A31A0E7" w16cex:dateUtc="2025-09-26T01:52:00Z"/>
  <w16cex:commentExtensible w16cex:durableId="6D57413F" w16cex:dateUtc="2025-10-03T07:25:00Z"/>
  <w16cex:commentExtensible w16cex:durableId="71D81075" w16cex:dateUtc="2025-09-26T01:53:00Z"/>
  <w16cex:commentExtensible w16cex:durableId="18F84397" w16cex:dateUtc="2025-10-03T07:38:00Z"/>
  <w16cex:commentExtensible w16cex:durableId="62D151C9" w16cex:dateUtc="2025-09-26T01:21:00Z"/>
  <w16cex:commentExtensible w16cex:durableId="4ACDA8A8" w16cex:dateUtc="2025-10-03T07:44:00Z"/>
  <w16cex:commentExtensible w16cex:durableId="342A42AB" w16cex:dateUtc="2025-09-26T01:54:00Z"/>
  <w16cex:commentExtensible w16cex:durableId="2E6025FF" w16cex:dateUtc="2025-10-03T07:42:00Z"/>
  <w16cex:commentExtensible w16cex:durableId="0DD0F493" w16cex:dateUtc="2025-09-26T01:55:00Z"/>
  <w16cex:commentExtensible w16cex:durableId="750BF5BF" w16cex:dateUtc="2025-10-03T07:43:00Z"/>
  <w16cex:commentExtensible w16cex:durableId="6AB62E94" w16cex:dateUtc="2025-09-26T01:56:00Z"/>
  <w16cex:commentExtensible w16cex:durableId="1BAC277A" w16cex:dateUtc="2025-10-03T07:41:00Z"/>
  <w16cex:commentExtensible w16cex:durableId="315E67DC" w16cex:dateUtc="2025-09-26T01:57:00Z"/>
  <w16cex:commentExtensible w16cex:durableId="0A50397F" w16cex:dateUtc="2025-10-03T07:41:00Z"/>
  <w16cex:commentExtensible w16cex:durableId="4FD68FD8" w16cex:dateUtc="2025-09-25T23:09:00Z"/>
  <w16cex:commentExtensible w16cex:durableId="545B54A2" w16cex:dateUtc="2025-10-03T07:57:00Z"/>
  <w16cex:commentExtensible w16cex:durableId="3D8F8BD9" w16cex:dateUtc="2025-09-26T01:26:00Z"/>
  <w16cex:commentExtensible w16cex:durableId="0139599A" w16cex:dateUtc="2025-10-03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4CB52A" w16cid:durableId="6E998A0F"/>
  <w16cid:commentId w16cid:paraId="4AAA5EAB" w16cid:durableId="31A0D570"/>
  <w16cid:commentId w16cid:paraId="22AF8AE8" w16cid:durableId="413CFEFA"/>
  <w16cid:commentId w16cid:paraId="5ABC4D95" w16cid:durableId="1699CF64"/>
  <w16cid:commentId w16cid:paraId="2ADDF544" w16cid:durableId="094A9031"/>
  <w16cid:commentId w16cid:paraId="4E0EA5B3" w16cid:durableId="159FB180"/>
  <w16cid:commentId w16cid:paraId="4B618EAB" w16cid:durableId="47E89F49"/>
  <w16cid:commentId w16cid:paraId="5AD7FE26" w16cid:durableId="0E633916"/>
  <w16cid:commentId w16cid:paraId="08436BED" w16cid:durableId="7AD2FE4C"/>
  <w16cid:commentId w16cid:paraId="348B8B03" w16cid:durableId="79E75B47"/>
  <w16cid:commentId w16cid:paraId="4BF7EFBE" w16cid:durableId="2206EDB4"/>
  <w16cid:commentId w16cid:paraId="06B87447" w16cid:durableId="4E95F74F"/>
  <w16cid:commentId w16cid:paraId="5975FB1A" w16cid:durableId="2E5A1413"/>
  <w16cid:commentId w16cid:paraId="70AC2048" w16cid:durableId="2FB8E355"/>
  <w16cid:commentId w16cid:paraId="5BFEC58F" w16cid:durableId="165DD95C"/>
  <w16cid:commentId w16cid:paraId="1B0B755B" w16cid:durableId="55EDE607"/>
  <w16cid:commentId w16cid:paraId="23959FE4" w16cid:durableId="22324360"/>
  <w16cid:commentId w16cid:paraId="1C268F62" w16cid:durableId="4622457A"/>
  <w16cid:commentId w16cid:paraId="33260212" w16cid:durableId="408A1A6B"/>
  <w16cid:commentId w16cid:paraId="01294FDC" w16cid:durableId="4E4E8064"/>
  <w16cid:commentId w16cid:paraId="3E700964" w16cid:durableId="24FC257D"/>
  <w16cid:commentId w16cid:paraId="28E95209" w16cid:durableId="08B9CDA3"/>
  <w16cid:commentId w16cid:paraId="035CA557" w16cid:durableId="357A1E0F"/>
  <w16cid:commentId w16cid:paraId="3F9CE8B8" w16cid:durableId="6A31A0E7"/>
  <w16cid:commentId w16cid:paraId="63A25410" w16cid:durableId="6D57413F"/>
  <w16cid:commentId w16cid:paraId="5CEC2C7C" w16cid:durableId="71D81075"/>
  <w16cid:commentId w16cid:paraId="00316A55" w16cid:durableId="18F84397"/>
  <w16cid:commentId w16cid:paraId="7A6E12D8" w16cid:durableId="62D151C9"/>
  <w16cid:commentId w16cid:paraId="7C605E90" w16cid:durableId="4ACDA8A8"/>
  <w16cid:commentId w16cid:paraId="2081CA9E" w16cid:durableId="342A42AB"/>
  <w16cid:commentId w16cid:paraId="3F4AA6B9" w16cid:durableId="2E6025FF"/>
  <w16cid:commentId w16cid:paraId="536683AC" w16cid:durableId="0DD0F493"/>
  <w16cid:commentId w16cid:paraId="795AF567" w16cid:durableId="750BF5BF"/>
  <w16cid:commentId w16cid:paraId="57890CC8" w16cid:durableId="6AB62E94"/>
  <w16cid:commentId w16cid:paraId="72F1B6D1" w16cid:durableId="1BAC277A"/>
  <w16cid:commentId w16cid:paraId="214C80E8" w16cid:durableId="315E67DC"/>
  <w16cid:commentId w16cid:paraId="52CD54B8" w16cid:durableId="0A50397F"/>
  <w16cid:commentId w16cid:paraId="01AA5225" w16cid:durableId="4FD68FD8"/>
  <w16cid:commentId w16cid:paraId="00DFB96F" w16cid:durableId="545B54A2"/>
  <w16cid:commentId w16cid:paraId="66E7DDA0" w16cid:durableId="3D8F8BD9"/>
  <w16cid:commentId w16cid:paraId="1EBE2F5B" w16cid:durableId="013959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2475A" w14:textId="77777777" w:rsidR="0074621E" w:rsidRPr="00B75DCF" w:rsidRDefault="0074621E">
      <w:pPr>
        <w:spacing w:after="0" w:line="240" w:lineRule="auto"/>
      </w:pPr>
      <w:r w:rsidRPr="00B75DCF">
        <w:separator/>
      </w:r>
    </w:p>
  </w:endnote>
  <w:endnote w:type="continuationSeparator" w:id="0">
    <w:p w14:paraId="4EF145F2" w14:textId="77777777" w:rsidR="0074621E" w:rsidRPr="00B75DCF" w:rsidRDefault="0074621E">
      <w:pPr>
        <w:spacing w:after="0" w:line="240" w:lineRule="auto"/>
      </w:pPr>
      <w:r w:rsidRPr="00B75DCF">
        <w:continuationSeparator/>
      </w:r>
    </w:p>
  </w:endnote>
  <w:endnote w:type="continuationNotice" w:id="1">
    <w:p w14:paraId="5AFD6750" w14:textId="77777777" w:rsidR="0074621E" w:rsidRPr="00B75DCF" w:rsidRDefault="00746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229451"/>
      <w:docPartObj>
        <w:docPartGallery w:val="Page Numbers (Bottom of Page)"/>
        <w:docPartUnique/>
      </w:docPartObj>
    </w:sdtPr>
    <w:sdtEndPr>
      <w:rPr>
        <w:noProof/>
      </w:rPr>
    </w:sdtEndPr>
    <w:sdtContent>
      <w:p w14:paraId="28EB77C6" w14:textId="3D2A4927" w:rsidR="0026460E" w:rsidRPr="00B75DCF" w:rsidRDefault="00503E8E" w:rsidP="00503E8E">
        <w:pPr>
          <w:pStyle w:val="Footer"/>
          <w:jc w:val="center"/>
        </w:pPr>
        <w:r>
          <w:fldChar w:fldCharType="begin"/>
        </w:r>
        <w:r>
          <w:instrText xml:space="preserve"> PAGE   \* MERGEFORMAT </w:instrText>
        </w:r>
        <w:r>
          <w:fldChar w:fldCharType="separate"/>
        </w:r>
        <w:r w:rsidR="004C659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E847B" w14:textId="77777777" w:rsidR="0074621E" w:rsidRPr="00B75DCF" w:rsidRDefault="0074621E">
      <w:pPr>
        <w:spacing w:after="0" w:line="240" w:lineRule="auto"/>
      </w:pPr>
      <w:r w:rsidRPr="00B75DCF">
        <w:separator/>
      </w:r>
    </w:p>
  </w:footnote>
  <w:footnote w:type="continuationSeparator" w:id="0">
    <w:p w14:paraId="159A0FC5" w14:textId="77777777" w:rsidR="0074621E" w:rsidRPr="00B75DCF" w:rsidRDefault="0074621E">
      <w:pPr>
        <w:spacing w:after="0" w:line="240" w:lineRule="auto"/>
      </w:pPr>
      <w:r w:rsidRPr="00B75DCF">
        <w:continuationSeparator/>
      </w:r>
    </w:p>
  </w:footnote>
  <w:footnote w:type="continuationNotice" w:id="1">
    <w:p w14:paraId="24147A74" w14:textId="77777777" w:rsidR="0074621E" w:rsidRPr="00B75DCF" w:rsidRDefault="007462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3B6"/>
    <w:multiLevelType w:val="hybridMultilevel"/>
    <w:tmpl w:val="1D1ABEBC"/>
    <w:lvl w:ilvl="0" w:tplc="E3CC9964">
      <w:start w:val="1"/>
      <w:numFmt w:val="decimal"/>
      <w:lvlText w:val="%1)"/>
      <w:lvlJc w:val="left"/>
      <w:pPr>
        <w:ind w:left="1020" w:hanging="360"/>
      </w:pPr>
    </w:lvl>
    <w:lvl w:ilvl="1" w:tplc="3998D928">
      <w:start w:val="1"/>
      <w:numFmt w:val="decimal"/>
      <w:lvlText w:val="%2)"/>
      <w:lvlJc w:val="left"/>
      <w:pPr>
        <w:ind w:left="1020" w:hanging="360"/>
      </w:pPr>
    </w:lvl>
    <w:lvl w:ilvl="2" w:tplc="6B0877E2">
      <w:start w:val="1"/>
      <w:numFmt w:val="decimal"/>
      <w:lvlText w:val="%3)"/>
      <w:lvlJc w:val="left"/>
      <w:pPr>
        <w:ind w:left="1020" w:hanging="360"/>
      </w:pPr>
    </w:lvl>
    <w:lvl w:ilvl="3" w:tplc="8CC4C40C">
      <w:start w:val="1"/>
      <w:numFmt w:val="decimal"/>
      <w:lvlText w:val="%4)"/>
      <w:lvlJc w:val="left"/>
      <w:pPr>
        <w:ind w:left="1020" w:hanging="360"/>
      </w:pPr>
    </w:lvl>
    <w:lvl w:ilvl="4" w:tplc="98EAC2BE">
      <w:start w:val="1"/>
      <w:numFmt w:val="decimal"/>
      <w:lvlText w:val="%5)"/>
      <w:lvlJc w:val="left"/>
      <w:pPr>
        <w:ind w:left="1020" w:hanging="360"/>
      </w:pPr>
    </w:lvl>
    <w:lvl w:ilvl="5" w:tplc="86FA9912">
      <w:start w:val="1"/>
      <w:numFmt w:val="decimal"/>
      <w:lvlText w:val="%6)"/>
      <w:lvlJc w:val="left"/>
      <w:pPr>
        <w:ind w:left="1020" w:hanging="360"/>
      </w:pPr>
    </w:lvl>
    <w:lvl w:ilvl="6" w:tplc="B3F42200">
      <w:start w:val="1"/>
      <w:numFmt w:val="decimal"/>
      <w:lvlText w:val="%7)"/>
      <w:lvlJc w:val="left"/>
      <w:pPr>
        <w:ind w:left="1020" w:hanging="360"/>
      </w:pPr>
    </w:lvl>
    <w:lvl w:ilvl="7" w:tplc="A134D3CE">
      <w:start w:val="1"/>
      <w:numFmt w:val="decimal"/>
      <w:lvlText w:val="%8)"/>
      <w:lvlJc w:val="left"/>
      <w:pPr>
        <w:ind w:left="1020" w:hanging="360"/>
      </w:pPr>
    </w:lvl>
    <w:lvl w:ilvl="8" w:tplc="FD6CB29C">
      <w:start w:val="1"/>
      <w:numFmt w:val="decimal"/>
      <w:lvlText w:val="%9)"/>
      <w:lvlJc w:val="left"/>
      <w:pPr>
        <w:ind w:left="1020" w:hanging="360"/>
      </w:pPr>
    </w:lvl>
  </w:abstractNum>
  <w:abstractNum w:abstractNumId="1" w15:restartNumberingAfterBreak="0">
    <w:nsid w:val="02855686"/>
    <w:multiLevelType w:val="hybridMultilevel"/>
    <w:tmpl w:val="3524FDE2"/>
    <w:lvl w:ilvl="0" w:tplc="7264CD78">
      <w:start w:val="1"/>
      <w:numFmt w:val="bullet"/>
      <w:lvlText w:val=""/>
      <w:lvlJc w:val="left"/>
      <w:pPr>
        <w:ind w:left="720" w:hanging="360"/>
      </w:pPr>
      <w:rPr>
        <w:rFonts w:ascii="Symbol" w:hAnsi="Symbol" w:hint="default"/>
      </w:rPr>
    </w:lvl>
    <w:lvl w:ilvl="1" w:tplc="327E83E0">
      <w:start w:val="1"/>
      <w:numFmt w:val="bullet"/>
      <w:lvlText w:val="o"/>
      <w:lvlJc w:val="left"/>
      <w:pPr>
        <w:ind w:left="1440" w:hanging="360"/>
      </w:pPr>
      <w:rPr>
        <w:rFonts w:ascii="Courier New" w:hAnsi="Courier New" w:cs="Courier New" w:hint="default"/>
      </w:rPr>
    </w:lvl>
    <w:lvl w:ilvl="2" w:tplc="C826E84C" w:tentative="1">
      <w:start w:val="1"/>
      <w:numFmt w:val="bullet"/>
      <w:lvlText w:val=""/>
      <w:lvlJc w:val="left"/>
      <w:pPr>
        <w:ind w:left="2160" w:hanging="360"/>
      </w:pPr>
      <w:rPr>
        <w:rFonts w:ascii="Wingdings" w:hAnsi="Wingdings" w:hint="default"/>
      </w:rPr>
    </w:lvl>
    <w:lvl w:ilvl="3" w:tplc="332A4178" w:tentative="1">
      <w:start w:val="1"/>
      <w:numFmt w:val="bullet"/>
      <w:lvlText w:val=""/>
      <w:lvlJc w:val="left"/>
      <w:pPr>
        <w:ind w:left="2880" w:hanging="360"/>
      </w:pPr>
      <w:rPr>
        <w:rFonts w:ascii="Symbol" w:hAnsi="Symbol" w:hint="default"/>
      </w:rPr>
    </w:lvl>
    <w:lvl w:ilvl="4" w:tplc="232EE01E" w:tentative="1">
      <w:start w:val="1"/>
      <w:numFmt w:val="bullet"/>
      <w:lvlText w:val="o"/>
      <w:lvlJc w:val="left"/>
      <w:pPr>
        <w:ind w:left="3600" w:hanging="360"/>
      </w:pPr>
      <w:rPr>
        <w:rFonts w:ascii="Courier New" w:hAnsi="Courier New" w:cs="Courier New" w:hint="default"/>
      </w:rPr>
    </w:lvl>
    <w:lvl w:ilvl="5" w:tplc="8846661E" w:tentative="1">
      <w:start w:val="1"/>
      <w:numFmt w:val="bullet"/>
      <w:lvlText w:val=""/>
      <w:lvlJc w:val="left"/>
      <w:pPr>
        <w:ind w:left="4320" w:hanging="360"/>
      </w:pPr>
      <w:rPr>
        <w:rFonts w:ascii="Wingdings" w:hAnsi="Wingdings" w:hint="default"/>
      </w:rPr>
    </w:lvl>
    <w:lvl w:ilvl="6" w:tplc="FC76D050" w:tentative="1">
      <w:start w:val="1"/>
      <w:numFmt w:val="bullet"/>
      <w:lvlText w:val=""/>
      <w:lvlJc w:val="left"/>
      <w:pPr>
        <w:ind w:left="5040" w:hanging="360"/>
      </w:pPr>
      <w:rPr>
        <w:rFonts w:ascii="Symbol" w:hAnsi="Symbol" w:hint="default"/>
      </w:rPr>
    </w:lvl>
    <w:lvl w:ilvl="7" w:tplc="2E5E47A6" w:tentative="1">
      <w:start w:val="1"/>
      <w:numFmt w:val="bullet"/>
      <w:lvlText w:val="o"/>
      <w:lvlJc w:val="left"/>
      <w:pPr>
        <w:ind w:left="5760" w:hanging="360"/>
      </w:pPr>
      <w:rPr>
        <w:rFonts w:ascii="Courier New" w:hAnsi="Courier New" w:cs="Courier New" w:hint="default"/>
      </w:rPr>
    </w:lvl>
    <w:lvl w:ilvl="8" w:tplc="3D007EA0" w:tentative="1">
      <w:start w:val="1"/>
      <w:numFmt w:val="bullet"/>
      <w:lvlText w:val=""/>
      <w:lvlJc w:val="left"/>
      <w:pPr>
        <w:ind w:left="6480" w:hanging="360"/>
      </w:pPr>
      <w:rPr>
        <w:rFonts w:ascii="Wingdings" w:hAnsi="Wingdings" w:hint="default"/>
      </w:rPr>
    </w:lvl>
  </w:abstractNum>
  <w:abstractNum w:abstractNumId="2" w15:restartNumberingAfterBreak="0">
    <w:nsid w:val="069E0614"/>
    <w:multiLevelType w:val="hybridMultilevel"/>
    <w:tmpl w:val="A47EF56C"/>
    <w:lvl w:ilvl="0" w:tplc="D25EE234">
      <w:start w:val="1"/>
      <w:numFmt w:val="bullet"/>
      <w:lvlText w:val=""/>
      <w:lvlJc w:val="left"/>
      <w:pPr>
        <w:ind w:left="720" w:hanging="360"/>
      </w:pPr>
      <w:rPr>
        <w:rFonts w:ascii="Symbol" w:hAnsi="Symbol" w:hint="default"/>
      </w:rPr>
    </w:lvl>
    <w:lvl w:ilvl="1" w:tplc="6B46BD22" w:tentative="1">
      <w:start w:val="1"/>
      <w:numFmt w:val="bullet"/>
      <w:lvlText w:val="o"/>
      <w:lvlJc w:val="left"/>
      <w:pPr>
        <w:ind w:left="1440" w:hanging="360"/>
      </w:pPr>
      <w:rPr>
        <w:rFonts w:ascii="Courier New" w:hAnsi="Courier New" w:cs="Courier New" w:hint="default"/>
      </w:rPr>
    </w:lvl>
    <w:lvl w:ilvl="2" w:tplc="5D3E9414" w:tentative="1">
      <w:start w:val="1"/>
      <w:numFmt w:val="bullet"/>
      <w:lvlText w:val=""/>
      <w:lvlJc w:val="left"/>
      <w:pPr>
        <w:ind w:left="2160" w:hanging="360"/>
      </w:pPr>
      <w:rPr>
        <w:rFonts w:ascii="Wingdings" w:hAnsi="Wingdings" w:hint="default"/>
      </w:rPr>
    </w:lvl>
    <w:lvl w:ilvl="3" w:tplc="4B72ECCA" w:tentative="1">
      <w:start w:val="1"/>
      <w:numFmt w:val="bullet"/>
      <w:lvlText w:val=""/>
      <w:lvlJc w:val="left"/>
      <w:pPr>
        <w:ind w:left="2880" w:hanging="360"/>
      </w:pPr>
      <w:rPr>
        <w:rFonts w:ascii="Symbol" w:hAnsi="Symbol" w:hint="default"/>
      </w:rPr>
    </w:lvl>
    <w:lvl w:ilvl="4" w:tplc="81ECA22E" w:tentative="1">
      <w:start w:val="1"/>
      <w:numFmt w:val="bullet"/>
      <w:lvlText w:val="o"/>
      <w:lvlJc w:val="left"/>
      <w:pPr>
        <w:ind w:left="3600" w:hanging="360"/>
      </w:pPr>
      <w:rPr>
        <w:rFonts w:ascii="Courier New" w:hAnsi="Courier New" w:cs="Courier New" w:hint="default"/>
      </w:rPr>
    </w:lvl>
    <w:lvl w:ilvl="5" w:tplc="35A41F3E" w:tentative="1">
      <w:start w:val="1"/>
      <w:numFmt w:val="bullet"/>
      <w:lvlText w:val=""/>
      <w:lvlJc w:val="left"/>
      <w:pPr>
        <w:ind w:left="4320" w:hanging="360"/>
      </w:pPr>
      <w:rPr>
        <w:rFonts w:ascii="Wingdings" w:hAnsi="Wingdings" w:hint="default"/>
      </w:rPr>
    </w:lvl>
    <w:lvl w:ilvl="6" w:tplc="0DBE84F4" w:tentative="1">
      <w:start w:val="1"/>
      <w:numFmt w:val="bullet"/>
      <w:lvlText w:val=""/>
      <w:lvlJc w:val="left"/>
      <w:pPr>
        <w:ind w:left="5040" w:hanging="360"/>
      </w:pPr>
      <w:rPr>
        <w:rFonts w:ascii="Symbol" w:hAnsi="Symbol" w:hint="default"/>
      </w:rPr>
    </w:lvl>
    <w:lvl w:ilvl="7" w:tplc="20245A90" w:tentative="1">
      <w:start w:val="1"/>
      <w:numFmt w:val="bullet"/>
      <w:lvlText w:val="o"/>
      <w:lvlJc w:val="left"/>
      <w:pPr>
        <w:ind w:left="5760" w:hanging="360"/>
      </w:pPr>
      <w:rPr>
        <w:rFonts w:ascii="Courier New" w:hAnsi="Courier New" w:cs="Courier New" w:hint="default"/>
      </w:rPr>
    </w:lvl>
    <w:lvl w:ilvl="8" w:tplc="BCBE754A" w:tentative="1">
      <w:start w:val="1"/>
      <w:numFmt w:val="bullet"/>
      <w:lvlText w:val=""/>
      <w:lvlJc w:val="left"/>
      <w:pPr>
        <w:ind w:left="6480" w:hanging="360"/>
      </w:pPr>
      <w:rPr>
        <w:rFonts w:ascii="Wingdings" w:hAnsi="Wingdings" w:hint="default"/>
      </w:rPr>
    </w:lvl>
  </w:abstractNum>
  <w:abstractNum w:abstractNumId="3" w15:restartNumberingAfterBreak="0">
    <w:nsid w:val="084C7B31"/>
    <w:multiLevelType w:val="hybridMultilevel"/>
    <w:tmpl w:val="CF34821C"/>
    <w:lvl w:ilvl="0" w:tplc="44002E9A">
      <w:start w:val="1"/>
      <w:numFmt w:val="bullet"/>
      <w:lvlText w:val=""/>
      <w:lvlJc w:val="left"/>
      <w:pPr>
        <w:ind w:left="360" w:hanging="360"/>
      </w:pPr>
      <w:rPr>
        <w:rFonts w:ascii="Symbol" w:hAnsi="Symbol" w:hint="default"/>
      </w:rPr>
    </w:lvl>
    <w:lvl w:ilvl="1" w:tplc="57EEDA38">
      <w:start w:val="1"/>
      <w:numFmt w:val="bullet"/>
      <w:lvlText w:val="o"/>
      <w:lvlJc w:val="left"/>
      <w:pPr>
        <w:ind w:left="1080" w:hanging="360"/>
      </w:pPr>
      <w:rPr>
        <w:rFonts w:ascii="Courier New" w:hAnsi="Courier New" w:cs="Courier New" w:hint="default"/>
      </w:rPr>
    </w:lvl>
    <w:lvl w:ilvl="2" w:tplc="1A186D74" w:tentative="1">
      <w:start w:val="1"/>
      <w:numFmt w:val="bullet"/>
      <w:lvlText w:val=""/>
      <w:lvlJc w:val="left"/>
      <w:pPr>
        <w:ind w:left="1800" w:hanging="360"/>
      </w:pPr>
      <w:rPr>
        <w:rFonts w:ascii="Wingdings" w:hAnsi="Wingdings" w:hint="default"/>
      </w:rPr>
    </w:lvl>
    <w:lvl w:ilvl="3" w:tplc="797AB6AA" w:tentative="1">
      <w:start w:val="1"/>
      <w:numFmt w:val="bullet"/>
      <w:lvlText w:val=""/>
      <w:lvlJc w:val="left"/>
      <w:pPr>
        <w:ind w:left="2520" w:hanging="360"/>
      </w:pPr>
      <w:rPr>
        <w:rFonts w:ascii="Symbol" w:hAnsi="Symbol" w:hint="default"/>
      </w:rPr>
    </w:lvl>
    <w:lvl w:ilvl="4" w:tplc="4E2AF10A" w:tentative="1">
      <w:start w:val="1"/>
      <w:numFmt w:val="bullet"/>
      <w:lvlText w:val="o"/>
      <w:lvlJc w:val="left"/>
      <w:pPr>
        <w:ind w:left="3240" w:hanging="360"/>
      </w:pPr>
      <w:rPr>
        <w:rFonts w:ascii="Courier New" w:hAnsi="Courier New" w:cs="Courier New" w:hint="default"/>
      </w:rPr>
    </w:lvl>
    <w:lvl w:ilvl="5" w:tplc="D3A60A9A" w:tentative="1">
      <w:start w:val="1"/>
      <w:numFmt w:val="bullet"/>
      <w:lvlText w:val=""/>
      <w:lvlJc w:val="left"/>
      <w:pPr>
        <w:ind w:left="3960" w:hanging="360"/>
      </w:pPr>
      <w:rPr>
        <w:rFonts w:ascii="Wingdings" w:hAnsi="Wingdings" w:hint="default"/>
      </w:rPr>
    </w:lvl>
    <w:lvl w:ilvl="6" w:tplc="39E45374" w:tentative="1">
      <w:start w:val="1"/>
      <w:numFmt w:val="bullet"/>
      <w:lvlText w:val=""/>
      <w:lvlJc w:val="left"/>
      <w:pPr>
        <w:ind w:left="4680" w:hanging="360"/>
      </w:pPr>
      <w:rPr>
        <w:rFonts w:ascii="Symbol" w:hAnsi="Symbol" w:hint="default"/>
      </w:rPr>
    </w:lvl>
    <w:lvl w:ilvl="7" w:tplc="E864FEAE" w:tentative="1">
      <w:start w:val="1"/>
      <w:numFmt w:val="bullet"/>
      <w:lvlText w:val="o"/>
      <w:lvlJc w:val="left"/>
      <w:pPr>
        <w:ind w:left="5400" w:hanging="360"/>
      </w:pPr>
      <w:rPr>
        <w:rFonts w:ascii="Courier New" w:hAnsi="Courier New" w:cs="Courier New" w:hint="default"/>
      </w:rPr>
    </w:lvl>
    <w:lvl w:ilvl="8" w:tplc="116015A6" w:tentative="1">
      <w:start w:val="1"/>
      <w:numFmt w:val="bullet"/>
      <w:lvlText w:val=""/>
      <w:lvlJc w:val="left"/>
      <w:pPr>
        <w:ind w:left="6120" w:hanging="360"/>
      </w:pPr>
      <w:rPr>
        <w:rFonts w:ascii="Wingdings" w:hAnsi="Wingdings" w:hint="default"/>
      </w:rPr>
    </w:lvl>
  </w:abstractNum>
  <w:abstractNum w:abstractNumId="4" w15:restartNumberingAfterBreak="0">
    <w:nsid w:val="0DDB3732"/>
    <w:multiLevelType w:val="hybridMultilevel"/>
    <w:tmpl w:val="91AE2B00"/>
    <w:lvl w:ilvl="0" w:tplc="4B2415C6">
      <w:start w:val="1"/>
      <w:numFmt w:val="decimal"/>
      <w:lvlText w:val="%1)"/>
      <w:lvlJc w:val="left"/>
      <w:pPr>
        <w:ind w:left="720" w:hanging="360"/>
      </w:pPr>
    </w:lvl>
    <w:lvl w:ilvl="1" w:tplc="C260898A">
      <w:start w:val="1"/>
      <w:numFmt w:val="lowerLetter"/>
      <w:lvlText w:val="%2."/>
      <w:lvlJc w:val="left"/>
      <w:pPr>
        <w:ind w:left="1440" w:hanging="360"/>
      </w:pPr>
    </w:lvl>
    <w:lvl w:ilvl="2" w:tplc="188621CE">
      <w:start w:val="1"/>
      <w:numFmt w:val="lowerRoman"/>
      <w:lvlText w:val="%3."/>
      <w:lvlJc w:val="right"/>
      <w:pPr>
        <w:ind w:left="2160" w:hanging="180"/>
      </w:pPr>
    </w:lvl>
    <w:lvl w:ilvl="3" w:tplc="4A7286D4">
      <w:start w:val="1"/>
      <w:numFmt w:val="decimal"/>
      <w:lvlText w:val="%4."/>
      <w:lvlJc w:val="left"/>
      <w:pPr>
        <w:ind w:left="2880" w:hanging="360"/>
      </w:pPr>
    </w:lvl>
    <w:lvl w:ilvl="4" w:tplc="EAAC4FE0">
      <w:start w:val="1"/>
      <w:numFmt w:val="lowerLetter"/>
      <w:lvlText w:val="%5."/>
      <w:lvlJc w:val="left"/>
      <w:pPr>
        <w:ind w:left="3600" w:hanging="360"/>
      </w:pPr>
    </w:lvl>
    <w:lvl w:ilvl="5" w:tplc="CD84C4D4">
      <w:start w:val="1"/>
      <w:numFmt w:val="lowerRoman"/>
      <w:lvlText w:val="%6."/>
      <w:lvlJc w:val="right"/>
      <w:pPr>
        <w:ind w:left="4320" w:hanging="180"/>
      </w:pPr>
    </w:lvl>
    <w:lvl w:ilvl="6" w:tplc="7C86A0AA">
      <w:start w:val="1"/>
      <w:numFmt w:val="decimal"/>
      <w:lvlText w:val="%7."/>
      <w:lvlJc w:val="left"/>
      <w:pPr>
        <w:ind w:left="5040" w:hanging="360"/>
      </w:pPr>
    </w:lvl>
    <w:lvl w:ilvl="7" w:tplc="32C2AE0E">
      <w:start w:val="1"/>
      <w:numFmt w:val="lowerLetter"/>
      <w:lvlText w:val="%8."/>
      <w:lvlJc w:val="left"/>
      <w:pPr>
        <w:ind w:left="5760" w:hanging="360"/>
      </w:pPr>
    </w:lvl>
    <w:lvl w:ilvl="8" w:tplc="DD6AD4BC">
      <w:start w:val="1"/>
      <w:numFmt w:val="lowerRoman"/>
      <w:lvlText w:val="%9."/>
      <w:lvlJc w:val="right"/>
      <w:pPr>
        <w:ind w:left="6480" w:hanging="180"/>
      </w:pPr>
    </w:lvl>
  </w:abstractNum>
  <w:abstractNum w:abstractNumId="5" w15:restartNumberingAfterBreak="0">
    <w:nsid w:val="103C02B4"/>
    <w:multiLevelType w:val="hybridMultilevel"/>
    <w:tmpl w:val="BE7E6A1C"/>
    <w:lvl w:ilvl="0" w:tplc="850CC324">
      <w:start w:val="1"/>
      <w:numFmt w:val="bullet"/>
      <w:lvlText w:val=""/>
      <w:lvlJc w:val="left"/>
      <w:pPr>
        <w:ind w:left="720" w:hanging="360"/>
      </w:pPr>
      <w:rPr>
        <w:rFonts w:ascii="Symbol" w:hAnsi="Symbol" w:hint="default"/>
      </w:rPr>
    </w:lvl>
    <w:lvl w:ilvl="1" w:tplc="F0A45CA4">
      <w:start w:val="1"/>
      <w:numFmt w:val="bullet"/>
      <w:lvlText w:val="o"/>
      <w:lvlJc w:val="left"/>
      <w:pPr>
        <w:ind w:left="1440" w:hanging="360"/>
      </w:pPr>
      <w:rPr>
        <w:rFonts w:ascii="Courier New" w:hAnsi="Courier New" w:cs="Courier New" w:hint="default"/>
      </w:rPr>
    </w:lvl>
    <w:lvl w:ilvl="2" w:tplc="583C7ABE">
      <w:start w:val="1"/>
      <w:numFmt w:val="bullet"/>
      <w:lvlText w:val=""/>
      <w:lvlJc w:val="left"/>
      <w:pPr>
        <w:ind w:left="2160" w:hanging="360"/>
      </w:pPr>
      <w:rPr>
        <w:rFonts w:ascii="Wingdings" w:hAnsi="Wingdings" w:hint="default"/>
      </w:rPr>
    </w:lvl>
    <w:lvl w:ilvl="3" w:tplc="61EE5C1E">
      <w:start w:val="1"/>
      <w:numFmt w:val="bullet"/>
      <w:lvlText w:val=""/>
      <w:lvlJc w:val="left"/>
      <w:pPr>
        <w:ind w:left="2880" w:hanging="360"/>
      </w:pPr>
      <w:rPr>
        <w:rFonts w:ascii="Symbol" w:hAnsi="Symbol" w:hint="default"/>
      </w:rPr>
    </w:lvl>
    <w:lvl w:ilvl="4" w:tplc="52B07904" w:tentative="1">
      <w:start w:val="1"/>
      <w:numFmt w:val="bullet"/>
      <w:lvlText w:val="o"/>
      <w:lvlJc w:val="left"/>
      <w:pPr>
        <w:ind w:left="3600" w:hanging="360"/>
      </w:pPr>
      <w:rPr>
        <w:rFonts w:ascii="Courier New" w:hAnsi="Courier New" w:cs="Courier New" w:hint="default"/>
      </w:rPr>
    </w:lvl>
    <w:lvl w:ilvl="5" w:tplc="FBD80F4A" w:tentative="1">
      <w:start w:val="1"/>
      <w:numFmt w:val="bullet"/>
      <w:lvlText w:val=""/>
      <w:lvlJc w:val="left"/>
      <w:pPr>
        <w:ind w:left="4320" w:hanging="360"/>
      </w:pPr>
      <w:rPr>
        <w:rFonts w:ascii="Wingdings" w:hAnsi="Wingdings" w:hint="default"/>
      </w:rPr>
    </w:lvl>
    <w:lvl w:ilvl="6" w:tplc="FCA26AE8" w:tentative="1">
      <w:start w:val="1"/>
      <w:numFmt w:val="bullet"/>
      <w:lvlText w:val=""/>
      <w:lvlJc w:val="left"/>
      <w:pPr>
        <w:ind w:left="5040" w:hanging="360"/>
      </w:pPr>
      <w:rPr>
        <w:rFonts w:ascii="Symbol" w:hAnsi="Symbol" w:hint="default"/>
      </w:rPr>
    </w:lvl>
    <w:lvl w:ilvl="7" w:tplc="C9AEBF1A" w:tentative="1">
      <w:start w:val="1"/>
      <w:numFmt w:val="bullet"/>
      <w:lvlText w:val="o"/>
      <w:lvlJc w:val="left"/>
      <w:pPr>
        <w:ind w:left="5760" w:hanging="360"/>
      </w:pPr>
      <w:rPr>
        <w:rFonts w:ascii="Courier New" w:hAnsi="Courier New" w:cs="Courier New" w:hint="default"/>
      </w:rPr>
    </w:lvl>
    <w:lvl w:ilvl="8" w:tplc="D13C7BAC" w:tentative="1">
      <w:start w:val="1"/>
      <w:numFmt w:val="bullet"/>
      <w:lvlText w:val=""/>
      <w:lvlJc w:val="left"/>
      <w:pPr>
        <w:ind w:left="6480" w:hanging="360"/>
      </w:pPr>
      <w:rPr>
        <w:rFonts w:ascii="Wingdings" w:hAnsi="Wingdings" w:hint="default"/>
      </w:rPr>
    </w:lvl>
  </w:abstractNum>
  <w:abstractNum w:abstractNumId="6" w15:restartNumberingAfterBreak="0">
    <w:nsid w:val="10FC3FA2"/>
    <w:multiLevelType w:val="hybridMultilevel"/>
    <w:tmpl w:val="D2A8192E"/>
    <w:lvl w:ilvl="0" w:tplc="047E928A">
      <w:start w:val="1"/>
      <w:numFmt w:val="bullet"/>
      <w:lvlText w:val=""/>
      <w:lvlJc w:val="left"/>
      <w:pPr>
        <w:ind w:left="720" w:hanging="360"/>
      </w:pPr>
      <w:rPr>
        <w:rFonts w:ascii="Symbol" w:hAnsi="Symbol" w:hint="default"/>
      </w:rPr>
    </w:lvl>
    <w:lvl w:ilvl="1" w:tplc="523E8168" w:tentative="1">
      <w:start w:val="1"/>
      <w:numFmt w:val="bullet"/>
      <w:lvlText w:val="o"/>
      <w:lvlJc w:val="left"/>
      <w:pPr>
        <w:ind w:left="1440" w:hanging="360"/>
      </w:pPr>
      <w:rPr>
        <w:rFonts w:ascii="Courier New" w:hAnsi="Courier New" w:cs="Courier New" w:hint="default"/>
      </w:rPr>
    </w:lvl>
    <w:lvl w:ilvl="2" w:tplc="E2BE4654" w:tentative="1">
      <w:start w:val="1"/>
      <w:numFmt w:val="bullet"/>
      <w:lvlText w:val=""/>
      <w:lvlJc w:val="left"/>
      <w:pPr>
        <w:ind w:left="2160" w:hanging="360"/>
      </w:pPr>
      <w:rPr>
        <w:rFonts w:ascii="Wingdings" w:hAnsi="Wingdings" w:hint="default"/>
      </w:rPr>
    </w:lvl>
    <w:lvl w:ilvl="3" w:tplc="70504B0E" w:tentative="1">
      <w:start w:val="1"/>
      <w:numFmt w:val="bullet"/>
      <w:lvlText w:val=""/>
      <w:lvlJc w:val="left"/>
      <w:pPr>
        <w:ind w:left="2880" w:hanging="360"/>
      </w:pPr>
      <w:rPr>
        <w:rFonts w:ascii="Symbol" w:hAnsi="Symbol" w:hint="default"/>
      </w:rPr>
    </w:lvl>
    <w:lvl w:ilvl="4" w:tplc="C87CB778" w:tentative="1">
      <w:start w:val="1"/>
      <w:numFmt w:val="bullet"/>
      <w:lvlText w:val="o"/>
      <w:lvlJc w:val="left"/>
      <w:pPr>
        <w:ind w:left="3600" w:hanging="360"/>
      </w:pPr>
      <w:rPr>
        <w:rFonts w:ascii="Courier New" w:hAnsi="Courier New" w:cs="Courier New" w:hint="default"/>
      </w:rPr>
    </w:lvl>
    <w:lvl w:ilvl="5" w:tplc="2F0653E0" w:tentative="1">
      <w:start w:val="1"/>
      <w:numFmt w:val="bullet"/>
      <w:lvlText w:val=""/>
      <w:lvlJc w:val="left"/>
      <w:pPr>
        <w:ind w:left="4320" w:hanging="360"/>
      </w:pPr>
      <w:rPr>
        <w:rFonts w:ascii="Wingdings" w:hAnsi="Wingdings" w:hint="default"/>
      </w:rPr>
    </w:lvl>
    <w:lvl w:ilvl="6" w:tplc="13BEC330" w:tentative="1">
      <w:start w:val="1"/>
      <w:numFmt w:val="bullet"/>
      <w:lvlText w:val=""/>
      <w:lvlJc w:val="left"/>
      <w:pPr>
        <w:ind w:left="5040" w:hanging="360"/>
      </w:pPr>
      <w:rPr>
        <w:rFonts w:ascii="Symbol" w:hAnsi="Symbol" w:hint="default"/>
      </w:rPr>
    </w:lvl>
    <w:lvl w:ilvl="7" w:tplc="93083370" w:tentative="1">
      <w:start w:val="1"/>
      <w:numFmt w:val="bullet"/>
      <w:lvlText w:val="o"/>
      <w:lvlJc w:val="left"/>
      <w:pPr>
        <w:ind w:left="5760" w:hanging="360"/>
      </w:pPr>
      <w:rPr>
        <w:rFonts w:ascii="Courier New" w:hAnsi="Courier New" w:cs="Courier New" w:hint="default"/>
      </w:rPr>
    </w:lvl>
    <w:lvl w:ilvl="8" w:tplc="D17C0822" w:tentative="1">
      <w:start w:val="1"/>
      <w:numFmt w:val="bullet"/>
      <w:lvlText w:val=""/>
      <w:lvlJc w:val="left"/>
      <w:pPr>
        <w:ind w:left="6480" w:hanging="360"/>
      </w:pPr>
      <w:rPr>
        <w:rFonts w:ascii="Wingdings" w:hAnsi="Wingdings" w:hint="default"/>
      </w:rPr>
    </w:lvl>
  </w:abstractNum>
  <w:abstractNum w:abstractNumId="7" w15:restartNumberingAfterBreak="0">
    <w:nsid w:val="12157665"/>
    <w:multiLevelType w:val="hybridMultilevel"/>
    <w:tmpl w:val="C5362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0B2257"/>
    <w:multiLevelType w:val="hybridMultilevel"/>
    <w:tmpl w:val="1BFAA6D0"/>
    <w:lvl w:ilvl="0" w:tplc="B5DC5634">
      <w:start w:val="1"/>
      <w:numFmt w:val="bullet"/>
      <w:lvlText w:val=""/>
      <w:lvlJc w:val="left"/>
      <w:pPr>
        <w:ind w:left="720" w:hanging="360"/>
      </w:pPr>
      <w:rPr>
        <w:rFonts w:ascii="Symbol" w:hAnsi="Symbol" w:hint="default"/>
      </w:rPr>
    </w:lvl>
    <w:lvl w:ilvl="1" w:tplc="64101130" w:tentative="1">
      <w:start w:val="1"/>
      <w:numFmt w:val="bullet"/>
      <w:lvlText w:val="o"/>
      <w:lvlJc w:val="left"/>
      <w:pPr>
        <w:ind w:left="1440" w:hanging="360"/>
      </w:pPr>
      <w:rPr>
        <w:rFonts w:ascii="Courier New" w:hAnsi="Courier New" w:cs="Courier New" w:hint="default"/>
      </w:rPr>
    </w:lvl>
    <w:lvl w:ilvl="2" w:tplc="E28488CC" w:tentative="1">
      <w:start w:val="1"/>
      <w:numFmt w:val="bullet"/>
      <w:lvlText w:val=""/>
      <w:lvlJc w:val="left"/>
      <w:pPr>
        <w:ind w:left="2160" w:hanging="360"/>
      </w:pPr>
      <w:rPr>
        <w:rFonts w:ascii="Wingdings" w:hAnsi="Wingdings" w:hint="default"/>
      </w:rPr>
    </w:lvl>
    <w:lvl w:ilvl="3" w:tplc="63680F6C" w:tentative="1">
      <w:start w:val="1"/>
      <w:numFmt w:val="bullet"/>
      <w:lvlText w:val=""/>
      <w:lvlJc w:val="left"/>
      <w:pPr>
        <w:ind w:left="2880" w:hanging="360"/>
      </w:pPr>
      <w:rPr>
        <w:rFonts w:ascii="Symbol" w:hAnsi="Symbol" w:hint="default"/>
      </w:rPr>
    </w:lvl>
    <w:lvl w:ilvl="4" w:tplc="20BC2B4A" w:tentative="1">
      <w:start w:val="1"/>
      <w:numFmt w:val="bullet"/>
      <w:lvlText w:val="o"/>
      <w:lvlJc w:val="left"/>
      <w:pPr>
        <w:ind w:left="3600" w:hanging="360"/>
      </w:pPr>
      <w:rPr>
        <w:rFonts w:ascii="Courier New" w:hAnsi="Courier New" w:cs="Courier New" w:hint="default"/>
      </w:rPr>
    </w:lvl>
    <w:lvl w:ilvl="5" w:tplc="43C66B2A" w:tentative="1">
      <w:start w:val="1"/>
      <w:numFmt w:val="bullet"/>
      <w:lvlText w:val=""/>
      <w:lvlJc w:val="left"/>
      <w:pPr>
        <w:ind w:left="4320" w:hanging="360"/>
      </w:pPr>
      <w:rPr>
        <w:rFonts w:ascii="Wingdings" w:hAnsi="Wingdings" w:hint="default"/>
      </w:rPr>
    </w:lvl>
    <w:lvl w:ilvl="6" w:tplc="84DA0B60" w:tentative="1">
      <w:start w:val="1"/>
      <w:numFmt w:val="bullet"/>
      <w:lvlText w:val=""/>
      <w:lvlJc w:val="left"/>
      <w:pPr>
        <w:ind w:left="5040" w:hanging="360"/>
      </w:pPr>
      <w:rPr>
        <w:rFonts w:ascii="Symbol" w:hAnsi="Symbol" w:hint="default"/>
      </w:rPr>
    </w:lvl>
    <w:lvl w:ilvl="7" w:tplc="E6620444" w:tentative="1">
      <w:start w:val="1"/>
      <w:numFmt w:val="bullet"/>
      <w:lvlText w:val="o"/>
      <w:lvlJc w:val="left"/>
      <w:pPr>
        <w:ind w:left="5760" w:hanging="360"/>
      </w:pPr>
      <w:rPr>
        <w:rFonts w:ascii="Courier New" w:hAnsi="Courier New" w:cs="Courier New" w:hint="default"/>
      </w:rPr>
    </w:lvl>
    <w:lvl w:ilvl="8" w:tplc="1604FABE" w:tentative="1">
      <w:start w:val="1"/>
      <w:numFmt w:val="bullet"/>
      <w:lvlText w:val=""/>
      <w:lvlJc w:val="left"/>
      <w:pPr>
        <w:ind w:left="6480" w:hanging="360"/>
      </w:pPr>
      <w:rPr>
        <w:rFonts w:ascii="Wingdings" w:hAnsi="Wingdings" w:hint="default"/>
      </w:rPr>
    </w:lvl>
  </w:abstractNum>
  <w:abstractNum w:abstractNumId="9" w15:restartNumberingAfterBreak="0">
    <w:nsid w:val="17F7095B"/>
    <w:multiLevelType w:val="hybridMultilevel"/>
    <w:tmpl w:val="1A50E7B4"/>
    <w:lvl w:ilvl="0" w:tplc="66AE79D8">
      <w:start w:val="1"/>
      <w:numFmt w:val="bullet"/>
      <w:lvlText w:val=""/>
      <w:lvlJc w:val="left"/>
      <w:pPr>
        <w:ind w:left="720" w:hanging="360"/>
      </w:pPr>
      <w:rPr>
        <w:rFonts w:ascii="Symbol" w:hAnsi="Symbol" w:hint="default"/>
      </w:rPr>
    </w:lvl>
    <w:lvl w:ilvl="1" w:tplc="F8C43A3C" w:tentative="1">
      <w:start w:val="1"/>
      <w:numFmt w:val="bullet"/>
      <w:lvlText w:val="o"/>
      <w:lvlJc w:val="left"/>
      <w:pPr>
        <w:ind w:left="1440" w:hanging="360"/>
      </w:pPr>
      <w:rPr>
        <w:rFonts w:ascii="Courier New" w:hAnsi="Courier New" w:cs="Courier New" w:hint="default"/>
      </w:rPr>
    </w:lvl>
    <w:lvl w:ilvl="2" w:tplc="9A60CCCA" w:tentative="1">
      <w:start w:val="1"/>
      <w:numFmt w:val="bullet"/>
      <w:lvlText w:val=""/>
      <w:lvlJc w:val="left"/>
      <w:pPr>
        <w:ind w:left="2160" w:hanging="360"/>
      </w:pPr>
      <w:rPr>
        <w:rFonts w:ascii="Wingdings" w:hAnsi="Wingdings" w:hint="default"/>
      </w:rPr>
    </w:lvl>
    <w:lvl w:ilvl="3" w:tplc="06566A9A" w:tentative="1">
      <w:start w:val="1"/>
      <w:numFmt w:val="bullet"/>
      <w:lvlText w:val=""/>
      <w:lvlJc w:val="left"/>
      <w:pPr>
        <w:ind w:left="2880" w:hanging="360"/>
      </w:pPr>
      <w:rPr>
        <w:rFonts w:ascii="Symbol" w:hAnsi="Symbol" w:hint="default"/>
      </w:rPr>
    </w:lvl>
    <w:lvl w:ilvl="4" w:tplc="12CA2A46" w:tentative="1">
      <w:start w:val="1"/>
      <w:numFmt w:val="bullet"/>
      <w:lvlText w:val="o"/>
      <w:lvlJc w:val="left"/>
      <w:pPr>
        <w:ind w:left="3600" w:hanging="360"/>
      </w:pPr>
      <w:rPr>
        <w:rFonts w:ascii="Courier New" w:hAnsi="Courier New" w:cs="Courier New" w:hint="default"/>
      </w:rPr>
    </w:lvl>
    <w:lvl w:ilvl="5" w:tplc="414A0C40" w:tentative="1">
      <w:start w:val="1"/>
      <w:numFmt w:val="bullet"/>
      <w:lvlText w:val=""/>
      <w:lvlJc w:val="left"/>
      <w:pPr>
        <w:ind w:left="4320" w:hanging="360"/>
      </w:pPr>
      <w:rPr>
        <w:rFonts w:ascii="Wingdings" w:hAnsi="Wingdings" w:hint="default"/>
      </w:rPr>
    </w:lvl>
    <w:lvl w:ilvl="6" w:tplc="6226D7CC" w:tentative="1">
      <w:start w:val="1"/>
      <w:numFmt w:val="bullet"/>
      <w:lvlText w:val=""/>
      <w:lvlJc w:val="left"/>
      <w:pPr>
        <w:ind w:left="5040" w:hanging="360"/>
      </w:pPr>
      <w:rPr>
        <w:rFonts w:ascii="Symbol" w:hAnsi="Symbol" w:hint="default"/>
      </w:rPr>
    </w:lvl>
    <w:lvl w:ilvl="7" w:tplc="4874E60C" w:tentative="1">
      <w:start w:val="1"/>
      <w:numFmt w:val="bullet"/>
      <w:lvlText w:val="o"/>
      <w:lvlJc w:val="left"/>
      <w:pPr>
        <w:ind w:left="5760" w:hanging="360"/>
      </w:pPr>
      <w:rPr>
        <w:rFonts w:ascii="Courier New" w:hAnsi="Courier New" w:cs="Courier New" w:hint="default"/>
      </w:rPr>
    </w:lvl>
    <w:lvl w:ilvl="8" w:tplc="DA6AB2C6" w:tentative="1">
      <w:start w:val="1"/>
      <w:numFmt w:val="bullet"/>
      <w:lvlText w:val=""/>
      <w:lvlJc w:val="left"/>
      <w:pPr>
        <w:ind w:left="6480" w:hanging="360"/>
      </w:pPr>
      <w:rPr>
        <w:rFonts w:ascii="Wingdings" w:hAnsi="Wingdings" w:hint="default"/>
      </w:rPr>
    </w:lvl>
  </w:abstractNum>
  <w:abstractNum w:abstractNumId="10" w15:restartNumberingAfterBreak="0">
    <w:nsid w:val="19E05C5C"/>
    <w:multiLevelType w:val="hybridMultilevel"/>
    <w:tmpl w:val="15B4E38E"/>
    <w:lvl w:ilvl="0" w:tplc="5630D4F8">
      <w:start w:val="1"/>
      <w:numFmt w:val="bullet"/>
      <w:lvlText w:val=""/>
      <w:lvlJc w:val="left"/>
      <w:pPr>
        <w:ind w:left="360" w:hanging="360"/>
      </w:pPr>
      <w:rPr>
        <w:rFonts w:ascii="Symbol" w:hAnsi="Symbol" w:hint="default"/>
      </w:rPr>
    </w:lvl>
    <w:lvl w:ilvl="1" w:tplc="DB340FF6">
      <w:start w:val="1"/>
      <w:numFmt w:val="bullet"/>
      <w:lvlText w:val="o"/>
      <w:lvlJc w:val="left"/>
      <w:pPr>
        <w:ind w:left="1080" w:hanging="360"/>
      </w:pPr>
      <w:rPr>
        <w:rFonts w:ascii="Courier New" w:hAnsi="Courier New" w:cs="Courier New" w:hint="default"/>
      </w:rPr>
    </w:lvl>
    <w:lvl w:ilvl="2" w:tplc="AE8CACA2">
      <w:start w:val="1"/>
      <w:numFmt w:val="bullet"/>
      <w:lvlText w:val=""/>
      <w:lvlJc w:val="left"/>
      <w:pPr>
        <w:ind w:left="1800" w:hanging="360"/>
      </w:pPr>
      <w:rPr>
        <w:rFonts w:ascii="Wingdings" w:hAnsi="Wingdings" w:hint="default"/>
      </w:rPr>
    </w:lvl>
    <w:lvl w:ilvl="3" w:tplc="5434E590">
      <w:start w:val="1"/>
      <w:numFmt w:val="bullet"/>
      <w:lvlText w:val=""/>
      <w:lvlJc w:val="left"/>
      <w:pPr>
        <w:ind w:left="2520" w:hanging="360"/>
      </w:pPr>
      <w:rPr>
        <w:rFonts w:ascii="Symbol" w:hAnsi="Symbol" w:hint="default"/>
      </w:rPr>
    </w:lvl>
    <w:lvl w:ilvl="4" w:tplc="4D202A6A" w:tentative="1">
      <w:start w:val="1"/>
      <w:numFmt w:val="bullet"/>
      <w:lvlText w:val="o"/>
      <w:lvlJc w:val="left"/>
      <w:pPr>
        <w:ind w:left="3240" w:hanging="360"/>
      </w:pPr>
      <w:rPr>
        <w:rFonts w:ascii="Courier New" w:hAnsi="Courier New" w:cs="Courier New" w:hint="default"/>
      </w:rPr>
    </w:lvl>
    <w:lvl w:ilvl="5" w:tplc="75DE4A52" w:tentative="1">
      <w:start w:val="1"/>
      <w:numFmt w:val="bullet"/>
      <w:lvlText w:val=""/>
      <w:lvlJc w:val="left"/>
      <w:pPr>
        <w:ind w:left="3960" w:hanging="360"/>
      </w:pPr>
      <w:rPr>
        <w:rFonts w:ascii="Wingdings" w:hAnsi="Wingdings" w:hint="default"/>
      </w:rPr>
    </w:lvl>
    <w:lvl w:ilvl="6" w:tplc="AC826E7C" w:tentative="1">
      <w:start w:val="1"/>
      <w:numFmt w:val="bullet"/>
      <w:lvlText w:val=""/>
      <w:lvlJc w:val="left"/>
      <w:pPr>
        <w:ind w:left="4680" w:hanging="360"/>
      </w:pPr>
      <w:rPr>
        <w:rFonts w:ascii="Symbol" w:hAnsi="Symbol" w:hint="default"/>
      </w:rPr>
    </w:lvl>
    <w:lvl w:ilvl="7" w:tplc="10FE644C" w:tentative="1">
      <w:start w:val="1"/>
      <w:numFmt w:val="bullet"/>
      <w:lvlText w:val="o"/>
      <w:lvlJc w:val="left"/>
      <w:pPr>
        <w:ind w:left="5400" w:hanging="360"/>
      </w:pPr>
      <w:rPr>
        <w:rFonts w:ascii="Courier New" w:hAnsi="Courier New" w:cs="Courier New" w:hint="default"/>
      </w:rPr>
    </w:lvl>
    <w:lvl w:ilvl="8" w:tplc="2C10DBA4" w:tentative="1">
      <w:start w:val="1"/>
      <w:numFmt w:val="bullet"/>
      <w:lvlText w:val=""/>
      <w:lvlJc w:val="left"/>
      <w:pPr>
        <w:ind w:left="6120" w:hanging="360"/>
      </w:pPr>
      <w:rPr>
        <w:rFonts w:ascii="Wingdings" w:hAnsi="Wingdings" w:hint="default"/>
      </w:rPr>
    </w:lvl>
  </w:abstractNum>
  <w:abstractNum w:abstractNumId="11" w15:restartNumberingAfterBreak="0">
    <w:nsid w:val="1AC3722E"/>
    <w:multiLevelType w:val="hybridMultilevel"/>
    <w:tmpl w:val="2018AC9A"/>
    <w:lvl w:ilvl="0" w:tplc="853CAD04">
      <w:start w:val="1"/>
      <w:numFmt w:val="bullet"/>
      <w:lvlText w:val=""/>
      <w:lvlJc w:val="left"/>
      <w:pPr>
        <w:ind w:left="720" w:hanging="360"/>
      </w:pPr>
      <w:rPr>
        <w:rFonts w:ascii="Symbol" w:hAnsi="Symbol" w:hint="default"/>
      </w:rPr>
    </w:lvl>
    <w:lvl w:ilvl="1" w:tplc="E5AC7A74">
      <w:start w:val="1"/>
      <w:numFmt w:val="bullet"/>
      <w:lvlText w:val="o"/>
      <w:lvlJc w:val="left"/>
      <w:pPr>
        <w:ind w:left="1440" w:hanging="360"/>
      </w:pPr>
      <w:rPr>
        <w:rFonts w:ascii="Courier New" w:hAnsi="Courier New" w:cs="Courier New" w:hint="default"/>
      </w:rPr>
    </w:lvl>
    <w:lvl w:ilvl="2" w:tplc="27682A3A">
      <w:start w:val="1"/>
      <w:numFmt w:val="bullet"/>
      <w:lvlText w:val=""/>
      <w:lvlJc w:val="left"/>
      <w:pPr>
        <w:ind w:left="2160" w:hanging="360"/>
      </w:pPr>
      <w:rPr>
        <w:rFonts w:ascii="Wingdings" w:hAnsi="Wingdings" w:hint="default"/>
      </w:rPr>
    </w:lvl>
    <w:lvl w:ilvl="3" w:tplc="5A4EDCD0" w:tentative="1">
      <w:start w:val="1"/>
      <w:numFmt w:val="bullet"/>
      <w:lvlText w:val=""/>
      <w:lvlJc w:val="left"/>
      <w:pPr>
        <w:ind w:left="2880" w:hanging="360"/>
      </w:pPr>
      <w:rPr>
        <w:rFonts w:ascii="Symbol" w:hAnsi="Symbol" w:hint="default"/>
      </w:rPr>
    </w:lvl>
    <w:lvl w:ilvl="4" w:tplc="9D740396" w:tentative="1">
      <w:start w:val="1"/>
      <w:numFmt w:val="bullet"/>
      <w:lvlText w:val="o"/>
      <w:lvlJc w:val="left"/>
      <w:pPr>
        <w:ind w:left="3600" w:hanging="360"/>
      </w:pPr>
      <w:rPr>
        <w:rFonts w:ascii="Courier New" w:hAnsi="Courier New" w:cs="Courier New" w:hint="default"/>
      </w:rPr>
    </w:lvl>
    <w:lvl w:ilvl="5" w:tplc="DF6CC80E" w:tentative="1">
      <w:start w:val="1"/>
      <w:numFmt w:val="bullet"/>
      <w:lvlText w:val=""/>
      <w:lvlJc w:val="left"/>
      <w:pPr>
        <w:ind w:left="4320" w:hanging="360"/>
      </w:pPr>
      <w:rPr>
        <w:rFonts w:ascii="Wingdings" w:hAnsi="Wingdings" w:hint="default"/>
      </w:rPr>
    </w:lvl>
    <w:lvl w:ilvl="6" w:tplc="3478702E" w:tentative="1">
      <w:start w:val="1"/>
      <w:numFmt w:val="bullet"/>
      <w:lvlText w:val=""/>
      <w:lvlJc w:val="left"/>
      <w:pPr>
        <w:ind w:left="5040" w:hanging="360"/>
      </w:pPr>
      <w:rPr>
        <w:rFonts w:ascii="Symbol" w:hAnsi="Symbol" w:hint="default"/>
      </w:rPr>
    </w:lvl>
    <w:lvl w:ilvl="7" w:tplc="0D90973E" w:tentative="1">
      <w:start w:val="1"/>
      <w:numFmt w:val="bullet"/>
      <w:lvlText w:val="o"/>
      <w:lvlJc w:val="left"/>
      <w:pPr>
        <w:ind w:left="5760" w:hanging="360"/>
      </w:pPr>
      <w:rPr>
        <w:rFonts w:ascii="Courier New" w:hAnsi="Courier New" w:cs="Courier New" w:hint="default"/>
      </w:rPr>
    </w:lvl>
    <w:lvl w:ilvl="8" w:tplc="A95217D2" w:tentative="1">
      <w:start w:val="1"/>
      <w:numFmt w:val="bullet"/>
      <w:lvlText w:val=""/>
      <w:lvlJc w:val="left"/>
      <w:pPr>
        <w:ind w:left="6480" w:hanging="360"/>
      </w:pPr>
      <w:rPr>
        <w:rFonts w:ascii="Wingdings" w:hAnsi="Wingdings" w:hint="default"/>
      </w:rPr>
    </w:lvl>
  </w:abstractNum>
  <w:abstractNum w:abstractNumId="12" w15:restartNumberingAfterBreak="0">
    <w:nsid w:val="1B19474B"/>
    <w:multiLevelType w:val="hybridMultilevel"/>
    <w:tmpl w:val="AE0C72E0"/>
    <w:lvl w:ilvl="0" w:tplc="0F14C176">
      <w:start w:val="1"/>
      <w:numFmt w:val="bullet"/>
      <w:lvlText w:val=""/>
      <w:lvlJc w:val="left"/>
      <w:pPr>
        <w:ind w:left="360" w:hanging="360"/>
      </w:pPr>
      <w:rPr>
        <w:rFonts w:ascii="Symbol" w:hAnsi="Symbol" w:hint="default"/>
      </w:rPr>
    </w:lvl>
    <w:lvl w:ilvl="1" w:tplc="792CFF40">
      <w:start w:val="1"/>
      <w:numFmt w:val="bullet"/>
      <w:lvlText w:val="o"/>
      <w:lvlJc w:val="left"/>
      <w:pPr>
        <w:ind w:left="1080" w:hanging="360"/>
      </w:pPr>
      <w:rPr>
        <w:rFonts w:ascii="Courier New" w:hAnsi="Courier New" w:cs="Courier New" w:hint="default"/>
      </w:rPr>
    </w:lvl>
    <w:lvl w:ilvl="2" w:tplc="DB947DC6">
      <w:start w:val="1"/>
      <w:numFmt w:val="bullet"/>
      <w:lvlText w:val=""/>
      <w:lvlJc w:val="left"/>
      <w:pPr>
        <w:ind w:left="1800" w:hanging="360"/>
      </w:pPr>
      <w:rPr>
        <w:rFonts w:ascii="Wingdings" w:hAnsi="Wingdings" w:hint="default"/>
      </w:rPr>
    </w:lvl>
    <w:lvl w:ilvl="3" w:tplc="B0E6F3F0">
      <w:start w:val="1"/>
      <w:numFmt w:val="bullet"/>
      <w:lvlText w:val=""/>
      <w:lvlJc w:val="left"/>
      <w:pPr>
        <w:ind w:left="2520" w:hanging="360"/>
      </w:pPr>
      <w:rPr>
        <w:rFonts w:ascii="Symbol" w:hAnsi="Symbol" w:hint="default"/>
      </w:rPr>
    </w:lvl>
    <w:lvl w:ilvl="4" w:tplc="07801890" w:tentative="1">
      <w:start w:val="1"/>
      <w:numFmt w:val="bullet"/>
      <w:lvlText w:val="o"/>
      <w:lvlJc w:val="left"/>
      <w:pPr>
        <w:ind w:left="3240" w:hanging="360"/>
      </w:pPr>
      <w:rPr>
        <w:rFonts w:ascii="Courier New" w:hAnsi="Courier New" w:cs="Courier New" w:hint="default"/>
      </w:rPr>
    </w:lvl>
    <w:lvl w:ilvl="5" w:tplc="D00AA390" w:tentative="1">
      <w:start w:val="1"/>
      <w:numFmt w:val="bullet"/>
      <w:lvlText w:val=""/>
      <w:lvlJc w:val="left"/>
      <w:pPr>
        <w:ind w:left="3960" w:hanging="360"/>
      </w:pPr>
      <w:rPr>
        <w:rFonts w:ascii="Wingdings" w:hAnsi="Wingdings" w:hint="default"/>
      </w:rPr>
    </w:lvl>
    <w:lvl w:ilvl="6" w:tplc="6BDE8134" w:tentative="1">
      <w:start w:val="1"/>
      <w:numFmt w:val="bullet"/>
      <w:lvlText w:val=""/>
      <w:lvlJc w:val="left"/>
      <w:pPr>
        <w:ind w:left="4680" w:hanging="360"/>
      </w:pPr>
      <w:rPr>
        <w:rFonts w:ascii="Symbol" w:hAnsi="Symbol" w:hint="default"/>
      </w:rPr>
    </w:lvl>
    <w:lvl w:ilvl="7" w:tplc="4C5023EA" w:tentative="1">
      <w:start w:val="1"/>
      <w:numFmt w:val="bullet"/>
      <w:lvlText w:val="o"/>
      <w:lvlJc w:val="left"/>
      <w:pPr>
        <w:ind w:left="5400" w:hanging="360"/>
      </w:pPr>
      <w:rPr>
        <w:rFonts w:ascii="Courier New" w:hAnsi="Courier New" w:cs="Courier New" w:hint="default"/>
      </w:rPr>
    </w:lvl>
    <w:lvl w:ilvl="8" w:tplc="3B989CD6" w:tentative="1">
      <w:start w:val="1"/>
      <w:numFmt w:val="bullet"/>
      <w:lvlText w:val=""/>
      <w:lvlJc w:val="left"/>
      <w:pPr>
        <w:ind w:left="6120" w:hanging="360"/>
      </w:pPr>
      <w:rPr>
        <w:rFonts w:ascii="Wingdings" w:hAnsi="Wingdings" w:hint="default"/>
      </w:rPr>
    </w:lvl>
  </w:abstractNum>
  <w:abstractNum w:abstractNumId="13" w15:restartNumberingAfterBreak="0">
    <w:nsid w:val="219221FD"/>
    <w:multiLevelType w:val="hybridMultilevel"/>
    <w:tmpl w:val="2938AD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6E05E3"/>
    <w:multiLevelType w:val="hybridMultilevel"/>
    <w:tmpl w:val="F6DCE474"/>
    <w:lvl w:ilvl="0" w:tplc="D2C2E442">
      <w:start w:val="1"/>
      <w:numFmt w:val="bullet"/>
      <w:lvlText w:val=""/>
      <w:lvlJc w:val="left"/>
      <w:pPr>
        <w:ind w:left="720" w:hanging="360"/>
      </w:pPr>
      <w:rPr>
        <w:rFonts w:ascii="Symbol" w:hAnsi="Symbol" w:hint="default"/>
      </w:rPr>
    </w:lvl>
    <w:lvl w:ilvl="1" w:tplc="52A29904">
      <w:start w:val="1"/>
      <w:numFmt w:val="bullet"/>
      <w:lvlText w:val="o"/>
      <w:lvlJc w:val="left"/>
      <w:pPr>
        <w:ind w:left="1440" w:hanging="360"/>
      </w:pPr>
      <w:rPr>
        <w:rFonts w:ascii="Courier New" w:hAnsi="Courier New" w:cs="Courier New" w:hint="default"/>
      </w:rPr>
    </w:lvl>
    <w:lvl w:ilvl="2" w:tplc="B972E7F2">
      <w:start w:val="1"/>
      <w:numFmt w:val="bullet"/>
      <w:lvlText w:val=""/>
      <w:lvlJc w:val="left"/>
      <w:pPr>
        <w:ind w:left="2160" w:hanging="360"/>
      </w:pPr>
      <w:rPr>
        <w:rFonts w:ascii="Wingdings" w:hAnsi="Wingdings" w:hint="default"/>
      </w:rPr>
    </w:lvl>
    <w:lvl w:ilvl="3" w:tplc="EAF433FA" w:tentative="1">
      <w:start w:val="1"/>
      <w:numFmt w:val="bullet"/>
      <w:lvlText w:val=""/>
      <w:lvlJc w:val="left"/>
      <w:pPr>
        <w:ind w:left="2880" w:hanging="360"/>
      </w:pPr>
      <w:rPr>
        <w:rFonts w:ascii="Symbol" w:hAnsi="Symbol" w:hint="default"/>
      </w:rPr>
    </w:lvl>
    <w:lvl w:ilvl="4" w:tplc="62DCF1DE" w:tentative="1">
      <w:start w:val="1"/>
      <w:numFmt w:val="bullet"/>
      <w:lvlText w:val="o"/>
      <w:lvlJc w:val="left"/>
      <w:pPr>
        <w:ind w:left="3600" w:hanging="360"/>
      </w:pPr>
      <w:rPr>
        <w:rFonts w:ascii="Courier New" w:hAnsi="Courier New" w:cs="Courier New" w:hint="default"/>
      </w:rPr>
    </w:lvl>
    <w:lvl w:ilvl="5" w:tplc="728260C8" w:tentative="1">
      <w:start w:val="1"/>
      <w:numFmt w:val="bullet"/>
      <w:lvlText w:val=""/>
      <w:lvlJc w:val="left"/>
      <w:pPr>
        <w:ind w:left="4320" w:hanging="360"/>
      </w:pPr>
      <w:rPr>
        <w:rFonts w:ascii="Wingdings" w:hAnsi="Wingdings" w:hint="default"/>
      </w:rPr>
    </w:lvl>
    <w:lvl w:ilvl="6" w:tplc="3ADA0834" w:tentative="1">
      <w:start w:val="1"/>
      <w:numFmt w:val="bullet"/>
      <w:lvlText w:val=""/>
      <w:lvlJc w:val="left"/>
      <w:pPr>
        <w:ind w:left="5040" w:hanging="360"/>
      </w:pPr>
      <w:rPr>
        <w:rFonts w:ascii="Symbol" w:hAnsi="Symbol" w:hint="default"/>
      </w:rPr>
    </w:lvl>
    <w:lvl w:ilvl="7" w:tplc="35B4A056" w:tentative="1">
      <w:start w:val="1"/>
      <w:numFmt w:val="bullet"/>
      <w:lvlText w:val="o"/>
      <w:lvlJc w:val="left"/>
      <w:pPr>
        <w:ind w:left="5760" w:hanging="360"/>
      </w:pPr>
      <w:rPr>
        <w:rFonts w:ascii="Courier New" w:hAnsi="Courier New" w:cs="Courier New" w:hint="default"/>
      </w:rPr>
    </w:lvl>
    <w:lvl w:ilvl="8" w:tplc="8EC473DE" w:tentative="1">
      <w:start w:val="1"/>
      <w:numFmt w:val="bullet"/>
      <w:lvlText w:val=""/>
      <w:lvlJc w:val="left"/>
      <w:pPr>
        <w:ind w:left="6480" w:hanging="360"/>
      </w:pPr>
      <w:rPr>
        <w:rFonts w:ascii="Wingdings" w:hAnsi="Wingdings" w:hint="default"/>
      </w:rPr>
    </w:lvl>
  </w:abstractNum>
  <w:abstractNum w:abstractNumId="15" w15:restartNumberingAfterBreak="0">
    <w:nsid w:val="265E0FD1"/>
    <w:multiLevelType w:val="hybridMultilevel"/>
    <w:tmpl w:val="EAB24F92"/>
    <w:lvl w:ilvl="0" w:tplc="1A96435C">
      <w:start w:val="1"/>
      <w:numFmt w:val="bullet"/>
      <w:lvlText w:val=""/>
      <w:lvlJc w:val="left"/>
      <w:pPr>
        <w:ind w:left="1440" w:hanging="360"/>
      </w:pPr>
      <w:rPr>
        <w:rFonts w:ascii="Symbol" w:hAnsi="Symbol" w:hint="default"/>
      </w:rPr>
    </w:lvl>
    <w:lvl w:ilvl="1" w:tplc="8F54038E" w:tentative="1">
      <w:start w:val="1"/>
      <w:numFmt w:val="bullet"/>
      <w:lvlText w:val="o"/>
      <w:lvlJc w:val="left"/>
      <w:pPr>
        <w:ind w:left="2160" w:hanging="360"/>
      </w:pPr>
      <w:rPr>
        <w:rFonts w:ascii="Courier New" w:hAnsi="Courier New" w:cs="Courier New" w:hint="default"/>
      </w:rPr>
    </w:lvl>
    <w:lvl w:ilvl="2" w:tplc="D7A09628" w:tentative="1">
      <w:start w:val="1"/>
      <w:numFmt w:val="bullet"/>
      <w:lvlText w:val=""/>
      <w:lvlJc w:val="left"/>
      <w:pPr>
        <w:ind w:left="2880" w:hanging="360"/>
      </w:pPr>
      <w:rPr>
        <w:rFonts w:ascii="Wingdings" w:hAnsi="Wingdings" w:hint="default"/>
      </w:rPr>
    </w:lvl>
    <w:lvl w:ilvl="3" w:tplc="F3CA1632" w:tentative="1">
      <w:start w:val="1"/>
      <w:numFmt w:val="bullet"/>
      <w:lvlText w:val=""/>
      <w:lvlJc w:val="left"/>
      <w:pPr>
        <w:ind w:left="3600" w:hanging="360"/>
      </w:pPr>
      <w:rPr>
        <w:rFonts w:ascii="Symbol" w:hAnsi="Symbol" w:hint="default"/>
      </w:rPr>
    </w:lvl>
    <w:lvl w:ilvl="4" w:tplc="D328252E" w:tentative="1">
      <w:start w:val="1"/>
      <w:numFmt w:val="bullet"/>
      <w:lvlText w:val="o"/>
      <w:lvlJc w:val="left"/>
      <w:pPr>
        <w:ind w:left="4320" w:hanging="360"/>
      </w:pPr>
      <w:rPr>
        <w:rFonts w:ascii="Courier New" w:hAnsi="Courier New" w:cs="Courier New" w:hint="default"/>
      </w:rPr>
    </w:lvl>
    <w:lvl w:ilvl="5" w:tplc="B38EC3E4" w:tentative="1">
      <w:start w:val="1"/>
      <w:numFmt w:val="bullet"/>
      <w:lvlText w:val=""/>
      <w:lvlJc w:val="left"/>
      <w:pPr>
        <w:ind w:left="5040" w:hanging="360"/>
      </w:pPr>
      <w:rPr>
        <w:rFonts w:ascii="Wingdings" w:hAnsi="Wingdings" w:hint="default"/>
      </w:rPr>
    </w:lvl>
    <w:lvl w:ilvl="6" w:tplc="7584E2CC" w:tentative="1">
      <w:start w:val="1"/>
      <w:numFmt w:val="bullet"/>
      <w:lvlText w:val=""/>
      <w:lvlJc w:val="left"/>
      <w:pPr>
        <w:ind w:left="5760" w:hanging="360"/>
      </w:pPr>
      <w:rPr>
        <w:rFonts w:ascii="Symbol" w:hAnsi="Symbol" w:hint="default"/>
      </w:rPr>
    </w:lvl>
    <w:lvl w:ilvl="7" w:tplc="6FFA3ABA" w:tentative="1">
      <w:start w:val="1"/>
      <w:numFmt w:val="bullet"/>
      <w:lvlText w:val="o"/>
      <w:lvlJc w:val="left"/>
      <w:pPr>
        <w:ind w:left="6480" w:hanging="360"/>
      </w:pPr>
      <w:rPr>
        <w:rFonts w:ascii="Courier New" w:hAnsi="Courier New" w:cs="Courier New" w:hint="default"/>
      </w:rPr>
    </w:lvl>
    <w:lvl w:ilvl="8" w:tplc="57F24B7E" w:tentative="1">
      <w:start w:val="1"/>
      <w:numFmt w:val="bullet"/>
      <w:lvlText w:val=""/>
      <w:lvlJc w:val="left"/>
      <w:pPr>
        <w:ind w:left="7200" w:hanging="360"/>
      </w:pPr>
      <w:rPr>
        <w:rFonts w:ascii="Wingdings" w:hAnsi="Wingdings" w:hint="default"/>
      </w:rPr>
    </w:lvl>
  </w:abstractNum>
  <w:abstractNum w:abstractNumId="16" w15:restartNumberingAfterBreak="0">
    <w:nsid w:val="28130D3F"/>
    <w:multiLevelType w:val="hybridMultilevel"/>
    <w:tmpl w:val="9EDC0028"/>
    <w:lvl w:ilvl="0" w:tplc="8756694E">
      <w:start w:val="1"/>
      <w:numFmt w:val="bullet"/>
      <w:lvlText w:val=""/>
      <w:lvlJc w:val="left"/>
      <w:pPr>
        <w:ind w:left="720" w:hanging="360"/>
      </w:pPr>
      <w:rPr>
        <w:rFonts w:ascii="Symbol" w:hAnsi="Symbol" w:hint="default"/>
      </w:rPr>
    </w:lvl>
    <w:lvl w:ilvl="1" w:tplc="6492B7A0">
      <w:start w:val="1"/>
      <w:numFmt w:val="bullet"/>
      <w:lvlText w:val="o"/>
      <w:lvlJc w:val="left"/>
      <w:pPr>
        <w:ind w:left="1440" w:hanging="360"/>
      </w:pPr>
      <w:rPr>
        <w:rFonts w:ascii="Courier New" w:hAnsi="Courier New" w:cs="Courier New" w:hint="default"/>
      </w:rPr>
    </w:lvl>
    <w:lvl w:ilvl="2" w:tplc="159C4914">
      <w:start w:val="1"/>
      <w:numFmt w:val="bullet"/>
      <w:lvlText w:val=""/>
      <w:lvlJc w:val="left"/>
      <w:pPr>
        <w:ind w:left="2160" w:hanging="360"/>
      </w:pPr>
      <w:rPr>
        <w:rFonts w:ascii="Wingdings" w:hAnsi="Wingdings" w:hint="default"/>
      </w:rPr>
    </w:lvl>
    <w:lvl w:ilvl="3" w:tplc="DE723C0C">
      <w:start w:val="1"/>
      <w:numFmt w:val="bullet"/>
      <w:lvlText w:val=""/>
      <w:lvlJc w:val="left"/>
      <w:pPr>
        <w:ind w:left="2880" w:hanging="360"/>
      </w:pPr>
      <w:rPr>
        <w:rFonts w:ascii="Symbol" w:hAnsi="Symbol" w:hint="default"/>
      </w:rPr>
    </w:lvl>
    <w:lvl w:ilvl="4" w:tplc="27D20802" w:tentative="1">
      <w:start w:val="1"/>
      <w:numFmt w:val="bullet"/>
      <w:lvlText w:val="o"/>
      <w:lvlJc w:val="left"/>
      <w:pPr>
        <w:ind w:left="3600" w:hanging="360"/>
      </w:pPr>
      <w:rPr>
        <w:rFonts w:ascii="Courier New" w:hAnsi="Courier New" w:cs="Courier New" w:hint="default"/>
      </w:rPr>
    </w:lvl>
    <w:lvl w:ilvl="5" w:tplc="74C8791A" w:tentative="1">
      <w:start w:val="1"/>
      <w:numFmt w:val="bullet"/>
      <w:lvlText w:val=""/>
      <w:lvlJc w:val="left"/>
      <w:pPr>
        <w:ind w:left="4320" w:hanging="360"/>
      </w:pPr>
      <w:rPr>
        <w:rFonts w:ascii="Wingdings" w:hAnsi="Wingdings" w:hint="default"/>
      </w:rPr>
    </w:lvl>
    <w:lvl w:ilvl="6" w:tplc="63922F86" w:tentative="1">
      <w:start w:val="1"/>
      <w:numFmt w:val="bullet"/>
      <w:lvlText w:val=""/>
      <w:lvlJc w:val="left"/>
      <w:pPr>
        <w:ind w:left="5040" w:hanging="360"/>
      </w:pPr>
      <w:rPr>
        <w:rFonts w:ascii="Symbol" w:hAnsi="Symbol" w:hint="default"/>
      </w:rPr>
    </w:lvl>
    <w:lvl w:ilvl="7" w:tplc="94389E84" w:tentative="1">
      <w:start w:val="1"/>
      <w:numFmt w:val="bullet"/>
      <w:lvlText w:val="o"/>
      <w:lvlJc w:val="left"/>
      <w:pPr>
        <w:ind w:left="5760" w:hanging="360"/>
      </w:pPr>
      <w:rPr>
        <w:rFonts w:ascii="Courier New" w:hAnsi="Courier New" w:cs="Courier New" w:hint="default"/>
      </w:rPr>
    </w:lvl>
    <w:lvl w:ilvl="8" w:tplc="BF0CB642" w:tentative="1">
      <w:start w:val="1"/>
      <w:numFmt w:val="bullet"/>
      <w:lvlText w:val=""/>
      <w:lvlJc w:val="left"/>
      <w:pPr>
        <w:ind w:left="6480" w:hanging="360"/>
      </w:pPr>
      <w:rPr>
        <w:rFonts w:ascii="Wingdings" w:hAnsi="Wingdings" w:hint="default"/>
      </w:rPr>
    </w:lvl>
  </w:abstractNum>
  <w:abstractNum w:abstractNumId="17" w15:restartNumberingAfterBreak="0">
    <w:nsid w:val="2DB23695"/>
    <w:multiLevelType w:val="hybridMultilevel"/>
    <w:tmpl w:val="9D9E4DB0"/>
    <w:lvl w:ilvl="0" w:tplc="079C4EBE">
      <w:start w:val="1"/>
      <w:numFmt w:val="bullet"/>
      <w:lvlText w:val=""/>
      <w:lvlJc w:val="left"/>
      <w:pPr>
        <w:ind w:left="360" w:hanging="360"/>
      </w:pPr>
      <w:rPr>
        <w:rFonts w:ascii="Symbol" w:hAnsi="Symbol" w:hint="default"/>
      </w:rPr>
    </w:lvl>
    <w:lvl w:ilvl="1" w:tplc="49C68C94">
      <w:start w:val="1"/>
      <w:numFmt w:val="bullet"/>
      <w:lvlText w:val="o"/>
      <w:lvlJc w:val="left"/>
      <w:pPr>
        <w:ind w:left="1080" w:hanging="360"/>
      </w:pPr>
      <w:rPr>
        <w:rFonts w:ascii="Courier New" w:hAnsi="Courier New" w:cs="Courier New" w:hint="default"/>
      </w:rPr>
    </w:lvl>
    <w:lvl w:ilvl="2" w:tplc="A54E334C">
      <w:start w:val="1"/>
      <w:numFmt w:val="bullet"/>
      <w:lvlText w:val=""/>
      <w:lvlJc w:val="left"/>
      <w:pPr>
        <w:ind w:left="1800" w:hanging="360"/>
      </w:pPr>
      <w:rPr>
        <w:rFonts w:ascii="Wingdings" w:hAnsi="Wingdings" w:hint="default"/>
      </w:rPr>
    </w:lvl>
    <w:lvl w:ilvl="3" w:tplc="61C89D52" w:tentative="1">
      <w:start w:val="1"/>
      <w:numFmt w:val="bullet"/>
      <w:lvlText w:val=""/>
      <w:lvlJc w:val="left"/>
      <w:pPr>
        <w:ind w:left="2520" w:hanging="360"/>
      </w:pPr>
      <w:rPr>
        <w:rFonts w:ascii="Symbol" w:hAnsi="Symbol" w:hint="default"/>
      </w:rPr>
    </w:lvl>
    <w:lvl w:ilvl="4" w:tplc="DA0A6068" w:tentative="1">
      <w:start w:val="1"/>
      <w:numFmt w:val="bullet"/>
      <w:lvlText w:val="o"/>
      <w:lvlJc w:val="left"/>
      <w:pPr>
        <w:ind w:left="3240" w:hanging="360"/>
      </w:pPr>
      <w:rPr>
        <w:rFonts w:ascii="Courier New" w:hAnsi="Courier New" w:cs="Courier New" w:hint="default"/>
      </w:rPr>
    </w:lvl>
    <w:lvl w:ilvl="5" w:tplc="0108D730" w:tentative="1">
      <w:start w:val="1"/>
      <w:numFmt w:val="bullet"/>
      <w:lvlText w:val=""/>
      <w:lvlJc w:val="left"/>
      <w:pPr>
        <w:ind w:left="3960" w:hanging="360"/>
      </w:pPr>
      <w:rPr>
        <w:rFonts w:ascii="Wingdings" w:hAnsi="Wingdings" w:hint="default"/>
      </w:rPr>
    </w:lvl>
    <w:lvl w:ilvl="6" w:tplc="EA5C5CB4" w:tentative="1">
      <w:start w:val="1"/>
      <w:numFmt w:val="bullet"/>
      <w:lvlText w:val=""/>
      <w:lvlJc w:val="left"/>
      <w:pPr>
        <w:ind w:left="4680" w:hanging="360"/>
      </w:pPr>
      <w:rPr>
        <w:rFonts w:ascii="Symbol" w:hAnsi="Symbol" w:hint="default"/>
      </w:rPr>
    </w:lvl>
    <w:lvl w:ilvl="7" w:tplc="0376438A" w:tentative="1">
      <w:start w:val="1"/>
      <w:numFmt w:val="bullet"/>
      <w:lvlText w:val="o"/>
      <w:lvlJc w:val="left"/>
      <w:pPr>
        <w:ind w:left="5400" w:hanging="360"/>
      </w:pPr>
      <w:rPr>
        <w:rFonts w:ascii="Courier New" w:hAnsi="Courier New" w:cs="Courier New" w:hint="default"/>
      </w:rPr>
    </w:lvl>
    <w:lvl w:ilvl="8" w:tplc="717AF8B2" w:tentative="1">
      <w:start w:val="1"/>
      <w:numFmt w:val="bullet"/>
      <w:lvlText w:val=""/>
      <w:lvlJc w:val="left"/>
      <w:pPr>
        <w:ind w:left="6120" w:hanging="360"/>
      </w:pPr>
      <w:rPr>
        <w:rFonts w:ascii="Wingdings" w:hAnsi="Wingdings" w:hint="default"/>
      </w:rPr>
    </w:lvl>
  </w:abstractNum>
  <w:abstractNum w:abstractNumId="18" w15:restartNumberingAfterBreak="0">
    <w:nsid w:val="32E4171B"/>
    <w:multiLevelType w:val="hybridMultilevel"/>
    <w:tmpl w:val="1B90E8E2"/>
    <w:lvl w:ilvl="0" w:tplc="0410000F">
      <w:start w:val="7"/>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54A1BBD"/>
    <w:multiLevelType w:val="hybridMultilevel"/>
    <w:tmpl w:val="D0FE3CA8"/>
    <w:lvl w:ilvl="0" w:tplc="7778B4FA">
      <w:start w:val="1"/>
      <w:numFmt w:val="decimal"/>
      <w:lvlText w:val="%1."/>
      <w:lvlJc w:val="left"/>
      <w:pPr>
        <w:ind w:left="1020" w:hanging="360"/>
      </w:pPr>
    </w:lvl>
    <w:lvl w:ilvl="1" w:tplc="66EE3CC4">
      <w:start w:val="1"/>
      <w:numFmt w:val="decimal"/>
      <w:lvlText w:val="%2."/>
      <w:lvlJc w:val="left"/>
      <w:pPr>
        <w:ind w:left="1020" w:hanging="360"/>
      </w:pPr>
    </w:lvl>
    <w:lvl w:ilvl="2" w:tplc="7430D652">
      <w:start w:val="1"/>
      <w:numFmt w:val="decimal"/>
      <w:lvlText w:val="%3."/>
      <w:lvlJc w:val="left"/>
      <w:pPr>
        <w:ind w:left="1020" w:hanging="360"/>
      </w:pPr>
    </w:lvl>
    <w:lvl w:ilvl="3" w:tplc="C9E264E0">
      <w:start w:val="1"/>
      <w:numFmt w:val="decimal"/>
      <w:lvlText w:val="%4."/>
      <w:lvlJc w:val="left"/>
      <w:pPr>
        <w:ind w:left="1020" w:hanging="360"/>
      </w:pPr>
    </w:lvl>
    <w:lvl w:ilvl="4" w:tplc="75A6EB4E">
      <w:start w:val="1"/>
      <w:numFmt w:val="decimal"/>
      <w:lvlText w:val="%5."/>
      <w:lvlJc w:val="left"/>
      <w:pPr>
        <w:ind w:left="1020" w:hanging="360"/>
      </w:pPr>
    </w:lvl>
    <w:lvl w:ilvl="5" w:tplc="B1CC5EF8">
      <w:start w:val="1"/>
      <w:numFmt w:val="decimal"/>
      <w:lvlText w:val="%6."/>
      <w:lvlJc w:val="left"/>
      <w:pPr>
        <w:ind w:left="1020" w:hanging="360"/>
      </w:pPr>
    </w:lvl>
    <w:lvl w:ilvl="6" w:tplc="E7E4AF24">
      <w:start w:val="1"/>
      <w:numFmt w:val="decimal"/>
      <w:lvlText w:val="%7."/>
      <w:lvlJc w:val="left"/>
      <w:pPr>
        <w:ind w:left="1020" w:hanging="360"/>
      </w:pPr>
    </w:lvl>
    <w:lvl w:ilvl="7" w:tplc="9C3A042C">
      <w:start w:val="1"/>
      <w:numFmt w:val="decimal"/>
      <w:lvlText w:val="%8."/>
      <w:lvlJc w:val="left"/>
      <w:pPr>
        <w:ind w:left="1020" w:hanging="360"/>
      </w:pPr>
    </w:lvl>
    <w:lvl w:ilvl="8" w:tplc="8B06EBE2">
      <w:start w:val="1"/>
      <w:numFmt w:val="decimal"/>
      <w:lvlText w:val="%9."/>
      <w:lvlJc w:val="left"/>
      <w:pPr>
        <w:ind w:left="1020" w:hanging="360"/>
      </w:pPr>
    </w:lvl>
  </w:abstractNum>
  <w:abstractNum w:abstractNumId="20" w15:restartNumberingAfterBreak="0">
    <w:nsid w:val="357766B5"/>
    <w:multiLevelType w:val="hybridMultilevel"/>
    <w:tmpl w:val="0FB855E0"/>
    <w:lvl w:ilvl="0" w:tplc="1EE0E836">
      <w:start w:val="1"/>
      <w:numFmt w:val="bullet"/>
      <w:lvlText w:val=""/>
      <w:lvlJc w:val="left"/>
      <w:pPr>
        <w:ind w:left="720" w:hanging="360"/>
      </w:pPr>
      <w:rPr>
        <w:rFonts w:ascii="Symbol" w:hAnsi="Symbol" w:hint="default"/>
      </w:rPr>
    </w:lvl>
    <w:lvl w:ilvl="1" w:tplc="E3141326" w:tentative="1">
      <w:start w:val="1"/>
      <w:numFmt w:val="bullet"/>
      <w:lvlText w:val="o"/>
      <w:lvlJc w:val="left"/>
      <w:pPr>
        <w:ind w:left="1440" w:hanging="360"/>
      </w:pPr>
      <w:rPr>
        <w:rFonts w:ascii="Courier New" w:hAnsi="Courier New" w:cs="Courier New" w:hint="default"/>
      </w:rPr>
    </w:lvl>
    <w:lvl w:ilvl="2" w:tplc="FE84AB70" w:tentative="1">
      <w:start w:val="1"/>
      <w:numFmt w:val="bullet"/>
      <w:lvlText w:val=""/>
      <w:lvlJc w:val="left"/>
      <w:pPr>
        <w:ind w:left="2160" w:hanging="360"/>
      </w:pPr>
      <w:rPr>
        <w:rFonts w:ascii="Wingdings" w:hAnsi="Wingdings" w:hint="default"/>
      </w:rPr>
    </w:lvl>
    <w:lvl w:ilvl="3" w:tplc="965CC4DE" w:tentative="1">
      <w:start w:val="1"/>
      <w:numFmt w:val="bullet"/>
      <w:lvlText w:val=""/>
      <w:lvlJc w:val="left"/>
      <w:pPr>
        <w:ind w:left="2880" w:hanging="360"/>
      </w:pPr>
      <w:rPr>
        <w:rFonts w:ascii="Symbol" w:hAnsi="Symbol" w:hint="default"/>
      </w:rPr>
    </w:lvl>
    <w:lvl w:ilvl="4" w:tplc="32DEC94E" w:tentative="1">
      <w:start w:val="1"/>
      <w:numFmt w:val="bullet"/>
      <w:lvlText w:val="o"/>
      <w:lvlJc w:val="left"/>
      <w:pPr>
        <w:ind w:left="3600" w:hanging="360"/>
      </w:pPr>
      <w:rPr>
        <w:rFonts w:ascii="Courier New" w:hAnsi="Courier New" w:cs="Courier New" w:hint="default"/>
      </w:rPr>
    </w:lvl>
    <w:lvl w:ilvl="5" w:tplc="4A145E76" w:tentative="1">
      <w:start w:val="1"/>
      <w:numFmt w:val="bullet"/>
      <w:lvlText w:val=""/>
      <w:lvlJc w:val="left"/>
      <w:pPr>
        <w:ind w:left="4320" w:hanging="360"/>
      </w:pPr>
      <w:rPr>
        <w:rFonts w:ascii="Wingdings" w:hAnsi="Wingdings" w:hint="default"/>
      </w:rPr>
    </w:lvl>
    <w:lvl w:ilvl="6" w:tplc="48D212EC" w:tentative="1">
      <w:start w:val="1"/>
      <w:numFmt w:val="bullet"/>
      <w:lvlText w:val=""/>
      <w:lvlJc w:val="left"/>
      <w:pPr>
        <w:ind w:left="5040" w:hanging="360"/>
      </w:pPr>
      <w:rPr>
        <w:rFonts w:ascii="Symbol" w:hAnsi="Symbol" w:hint="default"/>
      </w:rPr>
    </w:lvl>
    <w:lvl w:ilvl="7" w:tplc="5AEA4DA8" w:tentative="1">
      <w:start w:val="1"/>
      <w:numFmt w:val="bullet"/>
      <w:lvlText w:val="o"/>
      <w:lvlJc w:val="left"/>
      <w:pPr>
        <w:ind w:left="5760" w:hanging="360"/>
      </w:pPr>
      <w:rPr>
        <w:rFonts w:ascii="Courier New" w:hAnsi="Courier New" w:cs="Courier New" w:hint="default"/>
      </w:rPr>
    </w:lvl>
    <w:lvl w:ilvl="8" w:tplc="9F9A59AA" w:tentative="1">
      <w:start w:val="1"/>
      <w:numFmt w:val="bullet"/>
      <w:lvlText w:val=""/>
      <w:lvlJc w:val="left"/>
      <w:pPr>
        <w:ind w:left="6480" w:hanging="360"/>
      </w:pPr>
      <w:rPr>
        <w:rFonts w:ascii="Wingdings" w:hAnsi="Wingdings" w:hint="default"/>
      </w:rPr>
    </w:lvl>
  </w:abstractNum>
  <w:abstractNum w:abstractNumId="21" w15:restartNumberingAfterBreak="0">
    <w:nsid w:val="3955410D"/>
    <w:multiLevelType w:val="hybridMultilevel"/>
    <w:tmpl w:val="A23C5F00"/>
    <w:lvl w:ilvl="0" w:tplc="05887044">
      <w:start w:val="1"/>
      <w:numFmt w:val="bullet"/>
      <w:lvlText w:val=""/>
      <w:lvlJc w:val="left"/>
      <w:pPr>
        <w:ind w:left="360" w:hanging="360"/>
      </w:pPr>
      <w:rPr>
        <w:rFonts w:ascii="Symbol" w:hAnsi="Symbol" w:hint="default"/>
      </w:rPr>
    </w:lvl>
    <w:lvl w:ilvl="1" w:tplc="6DF61518">
      <w:start w:val="1"/>
      <w:numFmt w:val="bullet"/>
      <w:lvlText w:val="o"/>
      <w:lvlJc w:val="left"/>
      <w:pPr>
        <w:ind w:left="1080" w:hanging="360"/>
      </w:pPr>
      <w:rPr>
        <w:rFonts w:ascii="Courier New" w:hAnsi="Courier New" w:cs="Courier New" w:hint="default"/>
      </w:rPr>
    </w:lvl>
    <w:lvl w:ilvl="2" w:tplc="B4803EA2">
      <w:start w:val="1"/>
      <w:numFmt w:val="bullet"/>
      <w:lvlText w:val=""/>
      <w:lvlJc w:val="left"/>
      <w:pPr>
        <w:ind w:left="1800" w:hanging="360"/>
      </w:pPr>
      <w:rPr>
        <w:rFonts w:ascii="Wingdings" w:hAnsi="Wingdings" w:hint="default"/>
      </w:rPr>
    </w:lvl>
    <w:lvl w:ilvl="3" w:tplc="1E68D12E" w:tentative="1">
      <w:start w:val="1"/>
      <w:numFmt w:val="bullet"/>
      <w:lvlText w:val=""/>
      <w:lvlJc w:val="left"/>
      <w:pPr>
        <w:ind w:left="2520" w:hanging="360"/>
      </w:pPr>
      <w:rPr>
        <w:rFonts w:ascii="Symbol" w:hAnsi="Symbol" w:hint="default"/>
      </w:rPr>
    </w:lvl>
    <w:lvl w:ilvl="4" w:tplc="5EFA116E" w:tentative="1">
      <w:start w:val="1"/>
      <w:numFmt w:val="bullet"/>
      <w:lvlText w:val="o"/>
      <w:lvlJc w:val="left"/>
      <w:pPr>
        <w:ind w:left="3240" w:hanging="360"/>
      </w:pPr>
      <w:rPr>
        <w:rFonts w:ascii="Courier New" w:hAnsi="Courier New" w:cs="Courier New" w:hint="default"/>
      </w:rPr>
    </w:lvl>
    <w:lvl w:ilvl="5" w:tplc="FDE4BB86" w:tentative="1">
      <w:start w:val="1"/>
      <w:numFmt w:val="bullet"/>
      <w:lvlText w:val=""/>
      <w:lvlJc w:val="left"/>
      <w:pPr>
        <w:ind w:left="3960" w:hanging="360"/>
      </w:pPr>
      <w:rPr>
        <w:rFonts w:ascii="Wingdings" w:hAnsi="Wingdings" w:hint="default"/>
      </w:rPr>
    </w:lvl>
    <w:lvl w:ilvl="6" w:tplc="9262216C" w:tentative="1">
      <w:start w:val="1"/>
      <w:numFmt w:val="bullet"/>
      <w:lvlText w:val=""/>
      <w:lvlJc w:val="left"/>
      <w:pPr>
        <w:ind w:left="4680" w:hanging="360"/>
      </w:pPr>
      <w:rPr>
        <w:rFonts w:ascii="Symbol" w:hAnsi="Symbol" w:hint="default"/>
      </w:rPr>
    </w:lvl>
    <w:lvl w:ilvl="7" w:tplc="8746F222" w:tentative="1">
      <w:start w:val="1"/>
      <w:numFmt w:val="bullet"/>
      <w:lvlText w:val="o"/>
      <w:lvlJc w:val="left"/>
      <w:pPr>
        <w:ind w:left="5400" w:hanging="360"/>
      </w:pPr>
      <w:rPr>
        <w:rFonts w:ascii="Courier New" w:hAnsi="Courier New" w:cs="Courier New" w:hint="default"/>
      </w:rPr>
    </w:lvl>
    <w:lvl w:ilvl="8" w:tplc="94366FAA" w:tentative="1">
      <w:start w:val="1"/>
      <w:numFmt w:val="bullet"/>
      <w:lvlText w:val=""/>
      <w:lvlJc w:val="left"/>
      <w:pPr>
        <w:ind w:left="6120" w:hanging="360"/>
      </w:pPr>
      <w:rPr>
        <w:rFonts w:ascii="Wingdings" w:hAnsi="Wingdings" w:hint="default"/>
      </w:rPr>
    </w:lvl>
  </w:abstractNum>
  <w:abstractNum w:abstractNumId="22" w15:restartNumberingAfterBreak="0">
    <w:nsid w:val="39EA7D14"/>
    <w:multiLevelType w:val="hybridMultilevel"/>
    <w:tmpl w:val="B62C6582"/>
    <w:lvl w:ilvl="0" w:tplc="95601766">
      <w:start w:val="1"/>
      <w:numFmt w:val="bullet"/>
      <w:lvlText w:val=""/>
      <w:lvlJc w:val="left"/>
      <w:pPr>
        <w:ind w:left="720" w:hanging="360"/>
      </w:pPr>
      <w:rPr>
        <w:rFonts w:ascii="Symbol" w:hAnsi="Symbol" w:hint="default"/>
      </w:rPr>
    </w:lvl>
    <w:lvl w:ilvl="1" w:tplc="29983888" w:tentative="1">
      <w:start w:val="1"/>
      <w:numFmt w:val="bullet"/>
      <w:lvlText w:val="o"/>
      <w:lvlJc w:val="left"/>
      <w:pPr>
        <w:ind w:left="1440" w:hanging="360"/>
      </w:pPr>
      <w:rPr>
        <w:rFonts w:ascii="Courier New" w:hAnsi="Courier New" w:cs="Courier New" w:hint="default"/>
      </w:rPr>
    </w:lvl>
    <w:lvl w:ilvl="2" w:tplc="460CAE6C" w:tentative="1">
      <w:start w:val="1"/>
      <w:numFmt w:val="bullet"/>
      <w:lvlText w:val=""/>
      <w:lvlJc w:val="left"/>
      <w:pPr>
        <w:ind w:left="2160" w:hanging="360"/>
      </w:pPr>
      <w:rPr>
        <w:rFonts w:ascii="Wingdings" w:hAnsi="Wingdings" w:hint="default"/>
      </w:rPr>
    </w:lvl>
    <w:lvl w:ilvl="3" w:tplc="0DF00634" w:tentative="1">
      <w:start w:val="1"/>
      <w:numFmt w:val="bullet"/>
      <w:lvlText w:val=""/>
      <w:lvlJc w:val="left"/>
      <w:pPr>
        <w:ind w:left="2880" w:hanging="360"/>
      </w:pPr>
      <w:rPr>
        <w:rFonts w:ascii="Symbol" w:hAnsi="Symbol" w:hint="default"/>
      </w:rPr>
    </w:lvl>
    <w:lvl w:ilvl="4" w:tplc="3A16C7AC" w:tentative="1">
      <w:start w:val="1"/>
      <w:numFmt w:val="bullet"/>
      <w:lvlText w:val="o"/>
      <w:lvlJc w:val="left"/>
      <w:pPr>
        <w:ind w:left="3600" w:hanging="360"/>
      </w:pPr>
      <w:rPr>
        <w:rFonts w:ascii="Courier New" w:hAnsi="Courier New" w:cs="Courier New" w:hint="default"/>
      </w:rPr>
    </w:lvl>
    <w:lvl w:ilvl="5" w:tplc="A0E4EE10" w:tentative="1">
      <w:start w:val="1"/>
      <w:numFmt w:val="bullet"/>
      <w:lvlText w:val=""/>
      <w:lvlJc w:val="left"/>
      <w:pPr>
        <w:ind w:left="4320" w:hanging="360"/>
      </w:pPr>
      <w:rPr>
        <w:rFonts w:ascii="Wingdings" w:hAnsi="Wingdings" w:hint="default"/>
      </w:rPr>
    </w:lvl>
    <w:lvl w:ilvl="6" w:tplc="760E57E2" w:tentative="1">
      <w:start w:val="1"/>
      <w:numFmt w:val="bullet"/>
      <w:lvlText w:val=""/>
      <w:lvlJc w:val="left"/>
      <w:pPr>
        <w:ind w:left="5040" w:hanging="360"/>
      </w:pPr>
      <w:rPr>
        <w:rFonts w:ascii="Symbol" w:hAnsi="Symbol" w:hint="default"/>
      </w:rPr>
    </w:lvl>
    <w:lvl w:ilvl="7" w:tplc="DCD2FBFC" w:tentative="1">
      <w:start w:val="1"/>
      <w:numFmt w:val="bullet"/>
      <w:lvlText w:val="o"/>
      <w:lvlJc w:val="left"/>
      <w:pPr>
        <w:ind w:left="5760" w:hanging="360"/>
      </w:pPr>
      <w:rPr>
        <w:rFonts w:ascii="Courier New" w:hAnsi="Courier New" w:cs="Courier New" w:hint="default"/>
      </w:rPr>
    </w:lvl>
    <w:lvl w:ilvl="8" w:tplc="85245780" w:tentative="1">
      <w:start w:val="1"/>
      <w:numFmt w:val="bullet"/>
      <w:lvlText w:val=""/>
      <w:lvlJc w:val="left"/>
      <w:pPr>
        <w:ind w:left="6480" w:hanging="360"/>
      </w:pPr>
      <w:rPr>
        <w:rFonts w:ascii="Wingdings" w:hAnsi="Wingdings" w:hint="default"/>
      </w:rPr>
    </w:lvl>
  </w:abstractNum>
  <w:abstractNum w:abstractNumId="23" w15:restartNumberingAfterBreak="0">
    <w:nsid w:val="3A6A3076"/>
    <w:multiLevelType w:val="hybridMultilevel"/>
    <w:tmpl w:val="BB8EB4DE"/>
    <w:lvl w:ilvl="0" w:tplc="D3700D42">
      <w:start w:val="1"/>
      <w:numFmt w:val="bullet"/>
      <w:lvlText w:val="•"/>
      <w:lvlJc w:val="left"/>
      <w:pPr>
        <w:tabs>
          <w:tab w:val="num" w:pos="720"/>
        </w:tabs>
        <w:ind w:left="720" w:hanging="360"/>
      </w:pPr>
      <w:rPr>
        <w:rFonts w:ascii="Arial" w:hAnsi="Arial" w:hint="default"/>
      </w:rPr>
    </w:lvl>
    <w:lvl w:ilvl="1" w:tplc="D7989924" w:tentative="1">
      <w:start w:val="1"/>
      <w:numFmt w:val="bullet"/>
      <w:lvlText w:val="•"/>
      <w:lvlJc w:val="left"/>
      <w:pPr>
        <w:tabs>
          <w:tab w:val="num" w:pos="1440"/>
        </w:tabs>
        <w:ind w:left="1440" w:hanging="360"/>
      </w:pPr>
      <w:rPr>
        <w:rFonts w:ascii="Arial" w:hAnsi="Arial" w:hint="default"/>
      </w:rPr>
    </w:lvl>
    <w:lvl w:ilvl="2" w:tplc="7A2EBA6C" w:tentative="1">
      <w:start w:val="1"/>
      <w:numFmt w:val="bullet"/>
      <w:lvlText w:val="•"/>
      <w:lvlJc w:val="left"/>
      <w:pPr>
        <w:tabs>
          <w:tab w:val="num" w:pos="2160"/>
        </w:tabs>
        <w:ind w:left="2160" w:hanging="360"/>
      </w:pPr>
      <w:rPr>
        <w:rFonts w:ascii="Arial" w:hAnsi="Arial" w:hint="default"/>
      </w:rPr>
    </w:lvl>
    <w:lvl w:ilvl="3" w:tplc="300EDFBE" w:tentative="1">
      <w:start w:val="1"/>
      <w:numFmt w:val="bullet"/>
      <w:lvlText w:val="•"/>
      <w:lvlJc w:val="left"/>
      <w:pPr>
        <w:tabs>
          <w:tab w:val="num" w:pos="2880"/>
        </w:tabs>
        <w:ind w:left="2880" w:hanging="360"/>
      </w:pPr>
      <w:rPr>
        <w:rFonts w:ascii="Arial" w:hAnsi="Arial" w:hint="default"/>
      </w:rPr>
    </w:lvl>
    <w:lvl w:ilvl="4" w:tplc="1DDE4450" w:tentative="1">
      <w:start w:val="1"/>
      <w:numFmt w:val="bullet"/>
      <w:lvlText w:val="•"/>
      <w:lvlJc w:val="left"/>
      <w:pPr>
        <w:tabs>
          <w:tab w:val="num" w:pos="3600"/>
        </w:tabs>
        <w:ind w:left="3600" w:hanging="360"/>
      </w:pPr>
      <w:rPr>
        <w:rFonts w:ascii="Arial" w:hAnsi="Arial" w:hint="default"/>
      </w:rPr>
    </w:lvl>
    <w:lvl w:ilvl="5" w:tplc="30C2F866" w:tentative="1">
      <w:start w:val="1"/>
      <w:numFmt w:val="bullet"/>
      <w:lvlText w:val="•"/>
      <w:lvlJc w:val="left"/>
      <w:pPr>
        <w:tabs>
          <w:tab w:val="num" w:pos="4320"/>
        </w:tabs>
        <w:ind w:left="4320" w:hanging="360"/>
      </w:pPr>
      <w:rPr>
        <w:rFonts w:ascii="Arial" w:hAnsi="Arial" w:hint="default"/>
      </w:rPr>
    </w:lvl>
    <w:lvl w:ilvl="6" w:tplc="0492C458" w:tentative="1">
      <w:start w:val="1"/>
      <w:numFmt w:val="bullet"/>
      <w:lvlText w:val="•"/>
      <w:lvlJc w:val="left"/>
      <w:pPr>
        <w:tabs>
          <w:tab w:val="num" w:pos="5040"/>
        </w:tabs>
        <w:ind w:left="5040" w:hanging="360"/>
      </w:pPr>
      <w:rPr>
        <w:rFonts w:ascii="Arial" w:hAnsi="Arial" w:hint="default"/>
      </w:rPr>
    </w:lvl>
    <w:lvl w:ilvl="7" w:tplc="179E8F1E" w:tentative="1">
      <w:start w:val="1"/>
      <w:numFmt w:val="bullet"/>
      <w:lvlText w:val="•"/>
      <w:lvlJc w:val="left"/>
      <w:pPr>
        <w:tabs>
          <w:tab w:val="num" w:pos="5760"/>
        </w:tabs>
        <w:ind w:left="5760" w:hanging="360"/>
      </w:pPr>
      <w:rPr>
        <w:rFonts w:ascii="Arial" w:hAnsi="Arial" w:hint="default"/>
      </w:rPr>
    </w:lvl>
    <w:lvl w:ilvl="8" w:tplc="E306E8C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E95088D"/>
    <w:multiLevelType w:val="hybridMultilevel"/>
    <w:tmpl w:val="88661E10"/>
    <w:lvl w:ilvl="0" w:tplc="3418D656">
      <w:start w:val="1"/>
      <w:numFmt w:val="bullet"/>
      <w:lvlText w:val="o"/>
      <w:lvlJc w:val="left"/>
      <w:pPr>
        <w:ind w:left="720" w:hanging="360"/>
      </w:pPr>
      <w:rPr>
        <w:rFonts w:ascii="Courier New" w:hAnsi="Courier New" w:cs="Courier New" w:hint="default"/>
      </w:rPr>
    </w:lvl>
    <w:lvl w:ilvl="1" w:tplc="4A982538" w:tentative="1">
      <w:start w:val="1"/>
      <w:numFmt w:val="bullet"/>
      <w:lvlText w:val="o"/>
      <w:lvlJc w:val="left"/>
      <w:pPr>
        <w:ind w:left="1440" w:hanging="360"/>
      </w:pPr>
      <w:rPr>
        <w:rFonts w:ascii="Courier New" w:hAnsi="Courier New" w:cs="Courier New" w:hint="default"/>
      </w:rPr>
    </w:lvl>
    <w:lvl w:ilvl="2" w:tplc="4C48CFFA" w:tentative="1">
      <w:start w:val="1"/>
      <w:numFmt w:val="bullet"/>
      <w:lvlText w:val=""/>
      <w:lvlJc w:val="left"/>
      <w:pPr>
        <w:ind w:left="2160" w:hanging="360"/>
      </w:pPr>
      <w:rPr>
        <w:rFonts w:ascii="Wingdings" w:hAnsi="Wingdings" w:hint="default"/>
      </w:rPr>
    </w:lvl>
    <w:lvl w:ilvl="3" w:tplc="2FA64E42" w:tentative="1">
      <w:start w:val="1"/>
      <w:numFmt w:val="bullet"/>
      <w:lvlText w:val=""/>
      <w:lvlJc w:val="left"/>
      <w:pPr>
        <w:ind w:left="2880" w:hanging="360"/>
      </w:pPr>
      <w:rPr>
        <w:rFonts w:ascii="Symbol" w:hAnsi="Symbol" w:hint="default"/>
      </w:rPr>
    </w:lvl>
    <w:lvl w:ilvl="4" w:tplc="8CF88488" w:tentative="1">
      <w:start w:val="1"/>
      <w:numFmt w:val="bullet"/>
      <w:lvlText w:val="o"/>
      <w:lvlJc w:val="left"/>
      <w:pPr>
        <w:ind w:left="3600" w:hanging="360"/>
      </w:pPr>
      <w:rPr>
        <w:rFonts w:ascii="Courier New" w:hAnsi="Courier New" w:cs="Courier New" w:hint="default"/>
      </w:rPr>
    </w:lvl>
    <w:lvl w:ilvl="5" w:tplc="F55C72E6" w:tentative="1">
      <w:start w:val="1"/>
      <w:numFmt w:val="bullet"/>
      <w:lvlText w:val=""/>
      <w:lvlJc w:val="left"/>
      <w:pPr>
        <w:ind w:left="4320" w:hanging="360"/>
      </w:pPr>
      <w:rPr>
        <w:rFonts w:ascii="Wingdings" w:hAnsi="Wingdings" w:hint="default"/>
      </w:rPr>
    </w:lvl>
    <w:lvl w:ilvl="6" w:tplc="8364F8D8" w:tentative="1">
      <w:start w:val="1"/>
      <w:numFmt w:val="bullet"/>
      <w:lvlText w:val=""/>
      <w:lvlJc w:val="left"/>
      <w:pPr>
        <w:ind w:left="5040" w:hanging="360"/>
      </w:pPr>
      <w:rPr>
        <w:rFonts w:ascii="Symbol" w:hAnsi="Symbol" w:hint="default"/>
      </w:rPr>
    </w:lvl>
    <w:lvl w:ilvl="7" w:tplc="2512A366" w:tentative="1">
      <w:start w:val="1"/>
      <w:numFmt w:val="bullet"/>
      <w:lvlText w:val="o"/>
      <w:lvlJc w:val="left"/>
      <w:pPr>
        <w:ind w:left="5760" w:hanging="360"/>
      </w:pPr>
      <w:rPr>
        <w:rFonts w:ascii="Courier New" w:hAnsi="Courier New" w:cs="Courier New" w:hint="default"/>
      </w:rPr>
    </w:lvl>
    <w:lvl w:ilvl="8" w:tplc="258E2714" w:tentative="1">
      <w:start w:val="1"/>
      <w:numFmt w:val="bullet"/>
      <w:lvlText w:val=""/>
      <w:lvlJc w:val="left"/>
      <w:pPr>
        <w:ind w:left="6480" w:hanging="360"/>
      </w:pPr>
      <w:rPr>
        <w:rFonts w:ascii="Wingdings" w:hAnsi="Wingdings" w:hint="default"/>
      </w:rPr>
    </w:lvl>
  </w:abstractNum>
  <w:abstractNum w:abstractNumId="25" w15:restartNumberingAfterBreak="0">
    <w:nsid w:val="3E981BA5"/>
    <w:multiLevelType w:val="hybridMultilevel"/>
    <w:tmpl w:val="7D50CBF0"/>
    <w:lvl w:ilvl="0" w:tplc="3DFEC04E">
      <w:start w:val="1"/>
      <w:numFmt w:val="bullet"/>
      <w:lvlText w:val="•"/>
      <w:lvlJc w:val="left"/>
      <w:pPr>
        <w:tabs>
          <w:tab w:val="num" w:pos="720"/>
        </w:tabs>
        <w:ind w:left="720" w:hanging="360"/>
      </w:pPr>
      <w:rPr>
        <w:rFonts w:ascii="Arial" w:hAnsi="Arial" w:hint="default"/>
      </w:rPr>
    </w:lvl>
    <w:lvl w:ilvl="1" w:tplc="EBBE885A" w:tentative="1">
      <w:start w:val="1"/>
      <w:numFmt w:val="bullet"/>
      <w:lvlText w:val="•"/>
      <w:lvlJc w:val="left"/>
      <w:pPr>
        <w:tabs>
          <w:tab w:val="num" w:pos="1440"/>
        </w:tabs>
        <w:ind w:left="1440" w:hanging="360"/>
      </w:pPr>
      <w:rPr>
        <w:rFonts w:ascii="Arial" w:hAnsi="Arial" w:hint="default"/>
      </w:rPr>
    </w:lvl>
    <w:lvl w:ilvl="2" w:tplc="58D8D140" w:tentative="1">
      <w:start w:val="1"/>
      <w:numFmt w:val="bullet"/>
      <w:lvlText w:val="•"/>
      <w:lvlJc w:val="left"/>
      <w:pPr>
        <w:tabs>
          <w:tab w:val="num" w:pos="2160"/>
        </w:tabs>
        <w:ind w:left="2160" w:hanging="360"/>
      </w:pPr>
      <w:rPr>
        <w:rFonts w:ascii="Arial" w:hAnsi="Arial" w:hint="default"/>
      </w:rPr>
    </w:lvl>
    <w:lvl w:ilvl="3" w:tplc="17686D70" w:tentative="1">
      <w:start w:val="1"/>
      <w:numFmt w:val="bullet"/>
      <w:lvlText w:val="•"/>
      <w:lvlJc w:val="left"/>
      <w:pPr>
        <w:tabs>
          <w:tab w:val="num" w:pos="2880"/>
        </w:tabs>
        <w:ind w:left="2880" w:hanging="360"/>
      </w:pPr>
      <w:rPr>
        <w:rFonts w:ascii="Arial" w:hAnsi="Arial" w:hint="default"/>
      </w:rPr>
    </w:lvl>
    <w:lvl w:ilvl="4" w:tplc="B9F6826A" w:tentative="1">
      <w:start w:val="1"/>
      <w:numFmt w:val="bullet"/>
      <w:lvlText w:val="•"/>
      <w:lvlJc w:val="left"/>
      <w:pPr>
        <w:tabs>
          <w:tab w:val="num" w:pos="3600"/>
        </w:tabs>
        <w:ind w:left="3600" w:hanging="360"/>
      </w:pPr>
      <w:rPr>
        <w:rFonts w:ascii="Arial" w:hAnsi="Arial" w:hint="default"/>
      </w:rPr>
    </w:lvl>
    <w:lvl w:ilvl="5" w:tplc="B6C88860" w:tentative="1">
      <w:start w:val="1"/>
      <w:numFmt w:val="bullet"/>
      <w:lvlText w:val="•"/>
      <w:lvlJc w:val="left"/>
      <w:pPr>
        <w:tabs>
          <w:tab w:val="num" w:pos="4320"/>
        </w:tabs>
        <w:ind w:left="4320" w:hanging="360"/>
      </w:pPr>
      <w:rPr>
        <w:rFonts w:ascii="Arial" w:hAnsi="Arial" w:hint="default"/>
      </w:rPr>
    </w:lvl>
    <w:lvl w:ilvl="6" w:tplc="3F180016" w:tentative="1">
      <w:start w:val="1"/>
      <w:numFmt w:val="bullet"/>
      <w:lvlText w:val="•"/>
      <w:lvlJc w:val="left"/>
      <w:pPr>
        <w:tabs>
          <w:tab w:val="num" w:pos="5040"/>
        </w:tabs>
        <w:ind w:left="5040" w:hanging="360"/>
      </w:pPr>
      <w:rPr>
        <w:rFonts w:ascii="Arial" w:hAnsi="Arial" w:hint="default"/>
      </w:rPr>
    </w:lvl>
    <w:lvl w:ilvl="7" w:tplc="A5A42764" w:tentative="1">
      <w:start w:val="1"/>
      <w:numFmt w:val="bullet"/>
      <w:lvlText w:val="•"/>
      <w:lvlJc w:val="left"/>
      <w:pPr>
        <w:tabs>
          <w:tab w:val="num" w:pos="5760"/>
        </w:tabs>
        <w:ind w:left="5760" w:hanging="360"/>
      </w:pPr>
      <w:rPr>
        <w:rFonts w:ascii="Arial" w:hAnsi="Arial" w:hint="default"/>
      </w:rPr>
    </w:lvl>
    <w:lvl w:ilvl="8" w:tplc="8E6C322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46F0B24"/>
    <w:multiLevelType w:val="hybridMultilevel"/>
    <w:tmpl w:val="13BEA692"/>
    <w:lvl w:ilvl="0" w:tplc="84623DE6">
      <w:start w:val="1"/>
      <w:numFmt w:val="bullet"/>
      <w:lvlText w:val=""/>
      <w:lvlJc w:val="left"/>
      <w:pPr>
        <w:ind w:left="720" w:hanging="360"/>
      </w:pPr>
      <w:rPr>
        <w:rFonts w:ascii="Symbol" w:hAnsi="Symbol" w:hint="default"/>
      </w:rPr>
    </w:lvl>
    <w:lvl w:ilvl="1" w:tplc="FC9A48AE">
      <w:start w:val="1"/>
      <w:numFmt w:val="bullet"/>
      <w:lvlText w:val="o"/>
      <w:lvlJc w:val="left"/>
      <w:pPr>
        <w:ind w:left="1440" w:hanging="360"/>
      </w:pPr>
      <w:rPr>
        <w:rFonts w:ascii="Courier New" w:hAnsi="Courier New" w:cs="Courier New" w:hint="default"/>
      </w:rPr>
    </w:lvl>
    <w:lvl w:ilvl="2" w:tplc="A13E6784">
      <w:start w:val="1"/>
      <w:numFmt w:val="bullet"/>
      <w:lvlText w:val=""/>
      <w:lvlJc w:val="left"/>
      <w:pPr>
        <w:ind w:left="2160" w:hanging="360"/>
      </w:pPr>
      <w:rPr>
        <w:rFonts w:ascii="Wingdings" w:hAnsi="Wingdings" w:hint="default"/>
      </w:rPr>
    </w:lvl>
    <w:lvl w:ilvl="3" w:tplc="A28C6EFE">
      <w:start w:val="1"/>
      <w:numFmt w:val="bullet"/>
      <w:lvlText w:val=""/>
      <w:lvlJc w:val="left"/>
      <w:pPr>
        <w:ind w:left="2880" w:hanging="360"/>
      </w:pPr>
      <w:rPr>
        <w:rFonts w:ascii="Symbol" w:hAnsi="Symbol" w:hint="default"/>
      </w:rPr>
    </w:lvl>
    <w:lvl w:ilvl="4" w:tplc="8A16F824" w:tentative="1">
      <w:start w:val="1"/>
      <w:numFmt w:val="bullet"/>
      <w:lvlText w:val="o"/>
      <w:lvlJc w:val="left"/>
      <w:pPr>
        <w:ind w:left="3600" w:hanging="360"/>
      </w:pPr>
      <w:rPr>
        <w:rFonts w:ascii="Courier New" w:hAnsi="Courier New" w:cs="Courier New" w:hint="default"/>
      </w:rPr>
    </w:lvl>
    <w:lvl w:ilvl="5" w:tplc="12D277F6" w:tentative="1">
      <w:start w:val="1"/>
      <w:numFmt w:val="bullet"/>
      <w:lvlText w:val=""/>
      <w:lvlJc w:val="left"/>
      <w:pPr>
        <w:ind w:left="4320" w:hanging="360"/>
      </w:pPr>
      <w:rPr>
        <w:rFonts w:ascii="Wingdings" w:hAnsi="Wingdings" w:hint="default"/>
      </w:rPr>
    </w:lvl>
    <w:lvl w:ilvl="6" w:tplc="B212EE90" w:tentative="1">
      <w:start w:val="1"/>
      <w:numFmt w:val="bullet"/>
      <w:lvlText w:val=""/>
      <w:lvlJc w:val="left"/>
      <w:pPr>
        <w:ind w:left="5040" w:hanging="360"/>
      </w:pPr>
      <w:rPr>
        <w:rFonts w:ascii="Symbol" w:hAnsi="Symbol" w:hint="default"/>
      </w:rPr>
    </w:lvl>
    <w:lvl w:ilvl="7" w:tplc="C3426C7A" w:tentative="1">
      <w:start w:val="1"/>
      <w:numFmt w:val="bullet"/>
      <w:lvlText w:val="o"/>
      <w:lvlJc w:val="left"/>
      <w:pPr>
        <w:ind w:left="5760" w:hanging="360"/>
      </w:pPr>
      <w:rPr>
        <w:rFonts w:ascii="Courier New" w:hAnsi="Courier New" w:cs="Courier New" w:hint="default"/>
      </w:rPr>
    </w:lvl>
    <w:lvl w:ilvl="8" w:tplc="E03CED5A" w:tentative="1">
      <w:start w:val="1"/>
      <w:numFmt w:val="bullet"/>
      <w:lvlText w:val=""/>
      <w:lvlJc w:val="left"/>
      <w:pPr>
        <w:ind w:left="6480" w:hanging="360"/>
      </w:pPr>
      <w:rPr>
        <w:rFonts w:ascii="Wingdings" w:hAnsi="Wingdings" w:hint="default"/>
      </w:rPr>
    </w:lvl>
  </w:abstractNum>
  <w:abstractNum w:abstractNumId="27" w15:restartNumberingAfterBreak="0">
    <w:nsid w:val="458D664E"/>
    <w:multiLevelType w:val="hybridMultilevel"/>
    <w:tmpl w:val="2A9C2E3C"/>
    <w:lvl w:ilvl="0" w:tplc="41FA9DD2">
      <w:start w:val="1"/>
      <w:numFmt w:val="decimal"/>
      <w:lvlText w:val="%1."/>
      <w:lvlJc w:val="left"/>
      <w:pPr>
        <w:ind w:left="1020" w:hanging="360"/>
      </w:pPr>
    </w:lvl>
    <w:lvl w:ilvl="1" w:tplc="0C1CCD58">
      <w:start w:val="1"/>
      <w:numFmt w:val="decimal"/>
      <w:lvlText w:val="%2."/>
      <w:lvlJc w:val="left"/>
      <w:pPr>
        <w:ind w:left="1020" w:hanging="360"/>
      </w:pPr>
    </w:lvl>
    <w:lvl w:ilvl="2" w:tplc="62AE01BE">
      <w:start w:val="1"/>
      <w:numFmt w:val="decimal"/>
      <w:lvlText w:val="%3."/>
      <w:lvlJc w:val="left"/>
      <w:pPr>
        <w:ind w:left="1020" w:hanging="360"/>
      </w:pPr>
    </w:lvl>
    <w:lvl w:ilvl="3" w:tplc="372E2A56">
      <w:start w:val="1"/>
      <w:numFmt w:val="decimal"/>
      <w:lvlText w:val="%4."/>
      <w:lvlJc w:val="left"/>
      <w:pPr>
        <w:ind w:left="1020" w:hanging="360"/>
      </w:pPr>
    </w:lvl>
    <w:lvl w:ilvl="4" w:tplc="90582188">
      <w:start w:val="1"/>
      <w:numFmt w:val="decimal"/>
      <w:lvlText w:val="%5."/>
      <w:lvlJc w:val="left"/>
      <w:pPr>
        <w:ind w:left="1020" w:hanging="360"/>
      </w:pPr>
    </w:lvl>
    <w:lvl w:ilvl="5" w:tplc="C2F8489E">
      <w:start w:val="1"/>
      <w:numFmt w:val="decimal"/>
      <w:lvlText w:val="%6."/>
      <w:lvlJc w:val="left"/>
      <w:pPr>
        <w:ind w:left="1020" w:hanging="360"/>
      </w:pPr>
    </w:lvl>
    <w:lvl w:ilvl="6" w:tplc="58F4172C">
      <w:start w:val="1"/>
      <w:numFmt w:val="decimal"/>
      <w:lvlText w:val="%7."/>
      <w:lvlJc w:val="left"/>
      <w:pPr>
        <w:ind w:left="1020" w:hanging="360"/>
      </w:pPr>
    </w:lvl>
    <w:lvl w:ilvl="7" w:tplc="3ACE6DC2">
      <w:start w:val="1"/>
      <w:numFmt w:val="decimal"/>
      <w:lvlText w:val="%8."/>
      <w:lvlJc w:val="left"/>
      <w:pPr>
        <w:ind w:left="1020" w:hanging="360"/>
      </w:pPr>
    </w:lvl>
    <w:lvl w:ilvl="8" w:tplc="482A022A">
      <w:start w:val="1"/>
      <w:numFmt w:val="decimal"/>
      <w:lvlText w:val="%9."/>
      <w:lvlJc w:val="left"/>
      <w:pPr>
        <w:ind w:left="1020" w:hanging="360"/>
      </w:pPr>
    </w:lvl>
  </w:abstractNum>
  <w:abstractNum w:abstractNumId="28" w15:restartNumberingAfterBreak="0">
    <w:nsid w:val="47A30556"/>
    <w:multiLevelType w:val="hybridMultilevel"/>
    <w:tmpl w:val="BCBE77E6"/>
    <w:lvl w:ilvl="0" w:tplc="3C722D00">
      <w:start w:val="1"/>
      <w:numFmt w:val="bullet"/>
      <w:lvlText w:val=""/>
      <w:lvlJc w:val="left"/>
      <w:pPr>
        <w:ind w:left="720" w:hanging="360"/>
      </w:pPr>
      <w:rPr>
        <w:rFonts w:ascii="Symbol" w:hAnsi="Symbol" w:hint="default"/>
      </w:rPr>
    </w:lvl>
    <w:lvl w:ilvl="1" w:tplc="D0B42AE4">
      <w:start w:val="1"/>
      <w:numFmt w:val="bullet"/>
      <w:lvlText w:val="o"/>
      <w:lvlJc w:val="left"/>
      <w:pPr>
        <w:ind w:left="1440" w:hanging="360"/>
      </w:pPr>
      <w:rPr>
        <w:rFonts w:ascii="Courier New" w:hAnsi="Courier New" w:cs="Courier New" w:hint="default"/>
      </w:rPr>
    </w:lvl>
    <w:lvl w:ilvl="2" w:tplc="C0C84990" w:tentative="1">
      <w:start w:val="1"/>
      <w:numFmt w:val="bullet"/>
      <w:lvlText w:val=""/>
      <w:lvlJc w:val="left"/>
      <w:pPr>
        <w:ind w:left="2160" w:hanging="360"/>
      </w:pPr>
      <w:rPr>
        <w:rFonts w:ascii="Wingdings" w:hAnsi="Wingdings" w:hint="default"/>
      </w:rPr>
    </w:lvl>
    <w:lvl w:ilvl="3" w:tplc="82940E82" w:tentative="1">
      <w:start w:val="1"/>
      <w:numFmt w:val="bullet"/>
      <w:lvlText w:val=""/>
      <w:lvlJc w:val="left"/>
      <w:pPr>
        <w:ind w:left="2880" w:hanging="360"/>
      </w:pPr>
      <w:rPr>
        <w:rFonts w:ascii="Symbol" w:hAnsi="Symbol" w:hint="default"/>
      </w:rPr>
    </w:lvl>
    <w:lvl w:ilvl="4" w:tplc="E6D2AFC2" w:tentative="1">
      <w:start w:val="1"/>
      <w:numFmt w:val="bullet"/>
      <w:lvlText w:val="o"/>
      <w:lvlJc w:val="left"/>
      <w:pPr>
        <w:ind w:left="3600" w:hanging="360"/>
      </w:pPr>
      <w:rPr>
        <w:rFonts w:ascii="Courier New" w:hAnsi="Courier New" w:cs="Courier New" w:hint="default"/>
      </w:rPr>
    </w:lvl>
    <w:lvl w:ilvl="5" w:tplc="3438AC30" w:tentative="1">
      <w:start w:val="1"/>
      <w:numFmt w:val="bullet"/>
      <w:lvlText w:val=""/>
      <w:lvlJc w:val="left"/>
      <w:pPr>
        <w:ind w:left="4320" w:hanging="360"/>
      </w:pPr>
      <w:rPr>
        <w:rFonts w:ascii="Wingdings" w:hAnsi="Wingdings" w:hint="default"/>
      </w:rPr>
    </w:lvl>
    <w:lvl w:ilvl="6" w:tplc="188C1670" w:tentative="1">
      <w:start w:val="1"/>
      <w:numFmt w:val="bullet"/>
      <w:lvlText w:val=""/>
      <w:lvlJc w:val="left"/>
      <w:pPr>
        <w:ind w:left="5040" w:hanging="360"/>
      </w:pPr>
      <w:rPr>
        <w:rFonts w:ascii="Symbol" w:hAnsi="Symbol" w:hint="default"/>
      </w:rPr>
    </w:lvl>
    <w:lvl w:ilvl="7" w:tplc="33606C02" w:tentative="1">
      <w:start w:val="1"/>
      <w:numFmt w:val="bullet"/>
      <w:lvlText w:val="o"/>
      <w:lvlJc w:val="left"/>
      <w:pPr>
        <w:ind w:left="5760" w:hanging="360"/>
      </w:pPr>
      <w:rPr>
        <w:rFonts w:ascii="Courier New" w:hAnsi="Courier New" w:cs="Courier New" w:hint="default"/>
      </w:rPr>
    </w:lvl>
    <w:lvl w:ilvl="8" w:tplc="14FEBD3E" w:tentative="1">
      <w:start w:val="1"/>
      <w:numFmt w:val="bullet"/>
      <w:lvlText w:val=""/>
      <w:lvlJc w:val="left"/>
      <w:pPr>
        <w:ind w:left="6480" w:hanging="360"/>
      </w:pPr>
      <w:rPr>
        <w:rFonts w:ascii="Wingdings" w:hAnsi="Wingdings" w:hint="default"/>
      </w:rPr>
    </w:lvl>
  </w:abstractNum>
  <w:abstractNum w:abstractNumId="29" w15:restartNumberingAfterBreak="0">
    <w:nsid w:val="48A05769"/>
    <w:multiLevelType w:val="hybridMultilevel"/>
    <w:tmpl w:val="48D461F0"/>
    <w:lvl w:ilvl="0" w:tplc="9E5EE8F0">
      <w:start w:val="1"/>
      <w:numFmt w:val="decimal"/>
      <w:lvlText w:val="%1)"/>
      <w:lvlJc w:val="left"/>
      <w:pPr>
        <w:ind w:left="720" w:hanging="360"/>
      </w:pPr>
    </w:lvl>
    <w:lvl w:ilvl="1" w:tplc="EA1AA52A">
      <w:start w:val="1"/>
      <w:numFmt w:val="decimal"/>
      <w:lvlText w:val="%2)"/>
      <w:lvlJc w:val="left"/>
      <w:pPr>
        <w:ind w:left="720" w:hanging="360"/>
      </w:pPr>
    </w:lvl>
    <w:lvl w:ilvl="2" w:tplc="B3F420F8">
      <w:start w:val="1"/>
      <w:numFmt w:val="decimal"/>
      <w:lvlText w:val="%3)"/>
      <w:lvlJc w:val="left"/>
      <w:pPr>
        <w:ind w:left="720" w:hanging="360"/>
      </w:pPr>
    </w:lvl>
    <w:lvl w:ilvl="3" w:tplc="15FA8522">
      <w:start w:val="1"/>
      <w:numFmt w:val="decimal"/>
      <w:lvlText w:val="%4)"/>
      <w:lvlJc w:val="left"/>
      <w:pPr>
        <w:ind w:left="720" w:hanging="360"/>
      </w:pPr>
    </w:lvl>
    <w:lvl w:ilvl="4" w:tplc="EFAE9512">
      <w:start w:val="1"/>
      <w:numFmt w:val="decimal"/>
      <w:lvlText w:val="%5)"/>
      <w:lvlJc w:val="left"/>
      <w:pPr>
        <w:ind w:left="720" w:hanging="360"/>
      </w:pPr>
    </w:lvl>
    <w:lvl w:ilvl="5" w:tplc="61E4EDFC">
      <w:start w:val="1"/>
      <w:numFmt w:val="decimal"/>
      <w:lvlText w:val="%6)"/>
      <w:lvlJc w:val="left"/>
      <w:pPr>
        <w:ind w:left="720" w:hanging="360"/>
      </w:pPr>
    </w:lvl>
    <w:lvl w:ilvl="6" w:tplc="5CF82F4E">
      <w:start w:val="1"/>
      <w:numFmt w:val="decimal"/>
      <w:lvlText w:val="%7)"/>
      <w:lvlJc w:val="left"/>
      <w:pPr>
        <w:ind w:left="720" w:hanging="360"/>
      </w:pPr>
    </w:lvl>
    <w:lvl w:ilvl="7" w:tplc="3238F326">
      <w:start w:val="1"/>
      <w:numFmt w:val="decimal"/>
      <w:lvlText w:val="%8)"/>
      <w:lvlJc w:val="left"/>
      <w:pPr>
        <w:ind w:left="720" w:hanging="360"/>
      </w:pPr>
    </w:lvl>
    <w:lvl w:ilvl="8" w:tplc="C0E8204C">
      <w:start w:val="1"/>
      <w:numFmt w:val="decimal"/>
      <w:lvlText w:val="%9)"/>
      <w:lvlJc w:val="left"/>
      <w:pPr>
        <w:ind w:left="720" w:hanging="360"/>
      </w:pPr>
    </w:lvl>
  </w:abstractNum>
  <w:abstractNum w:abstractNumId="30" w15:restartNumberingAfterBreak="0">
    <w:nsid w:val="4DD8218F"/>
    <w:multiLevelType w:val="multilevel"/>
    <w:tmpl w:val="40B4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5615C3"/>
    <w:multiLevelType w:val="hybridMultilevel"/>
    <w:tmpl w:val="33F22B16"/>
    <w:lvl w:ilvl="0" w:tplc="C3981490">
      <w:start w:val="1"/>
      <w:numFmt w:val="bullet"/>
      <w:lvlText w:val=""/>
      <w:lvlJc w:val="left"/>
      <w:pPr>
        <w:ind w:left="720" w:hanging="360"/>
      </w:pPr>
      <w:rPr>
        <w:rFonts w:ascii="Symbol" w:hAnsi="Symbol"/>
      </w:rPr>
    </w:lvl>
    <w:lvl w:ilvl="1" w:tplc="2648FBA0">
      <w:start w:val="1"/>
      <w:numFmt w:val="bullet"/>
      <w:lvlText w:val=""/>
      <w:lvlJc w:val="left"/>
      <w:pPr>
        <w:ind w:left="720" w:hanging="360"/>
      </w:pPr>
      <w:rPr>
        <w:rFonts w:ascii="Symbol" w:hAnsi="Symbol"/>
      </w:rPr>
    </w:lvl>
    <w:lvl w:ilvl="2" w:tplc="B97C418E">
      <w:start w:val="1"/>
      <w:numFmt w:val="bullet"/>
      <w:lvlText w:val=""/>
      <w:lvlJc w:val="left"/>
      <w:pPr>
        <w:ind w:left="720" w:hanging="360"/>
      </w:pPr>
      <w:rPr>
        <w:rFonts w:ascii="Symbol" w:hAnsi="Symbol"/>
      </w:rPr>
    </w:lvl>
    <w:lvl w:ilvl="3" w:tplc="64F0B3E6">
      <w:start w:val="1"/>
      <w:numFmt w:val="bullet"/>
      <w:lvlText w:val=""/>
      <w:lvlJc w:val="left"/>
      <w:pPr>
        <w:ind w:left="720" w:hanging="360"/>
      </w:pPr>
      <w:rPr>
        <w:rFonts w:ascii="Symbol" w:hAnsi="Symbol"/>
      </w:rPr>
    </w:lvl>
    <w:lvl w:ilvl="4" w:tplc="00981C8A">
      <w:start w:val="1"/>
      <w:numFmt w:val="bullet"/>
      <w:lvlText w:val=""/>
      <w:lvlJc w:val="left"/>
      <w:pPr>
        <w:ind w:left="720" w:hanging="360"/>
      </w:pPr>
      <w:rPr>
        <w:rFonts w:ascii="Symbol" w:hAnsi="Symbol"/>
      </w:rPr>
    </w:lvl>
    <w:lvl w:ilvl="5" w:tplc="2BEED8BE">
      <w:start w:val="1"/>
      <w:numFmt w:val="bullet"/>
      <w:lvlText w:val=""/>
      <w:lvlJc w:val="left"/>
      <w:pPr>
        <w:ind w:left="720" w:hanging="360"/>
      </w:pPr>
      <w:rPr>
        <w:rFonts w:ascii="Symbol" w:hAnsi="Symbol"/>
      </w:rPr>
    </w:lvl>
    <w:lvl w:ilvl="6" w:tplc="6AF838FC">
      <w:start w:val="1"/>
      <w:numFmt w:val="bullet"/>
      <w:lvlText w:val=""/>
      <w:lvlJc w:val="left"/>
      <w:pPr>
        <w:ind w:left="720" w:hanging="360"/>
      </w:pPr>
      <w:rPr>
        <w:rFonts w:ascii="Symbol" w:hAnsi="Symbol"/>
      </w:rPr>
    </w:lvl>
    <w:lvl w:ilvl="7" w:tplc="9692E058">
      <w:start w:val="1"/>
      <w:numFmt w:val="bullet"/>
      <w:lvlText w:val=""/>
      <w:lvlJc w:val="left"/>
      <w:pPr>
        <w:ind w:left="720" w:hanging="360"/>
      </w:pPr>
      <w:rPr>
        <w:rFonts w:ascii="Symbol" w:hAnsi="Symbol"/>
      </w:rPr>
    </w:lvl>
    <w:lvl w:ilvl="8" w:tplc="5156C3A4">
      <w:start w:val="1"/>
      <w:numFmt w:val="bullet"/>
      <w:lvlText w:val=""/>
      <w:lvlJc w:val="left"/>
      <w:pPr>
        <w:ind w:left="720" w:hanging="360"/>
      </w:pPr>
      <w:rPr>
        <w:rFonts w:ascii="Symbol" w:hAnsi="Symbol"/>
      </w:rPr>
    </w:lvl>
  </w:abstractNum>
  <w:abstractNum w:abstractNumId="32" w15:restartNumberingAfterBreak="0">
    <w:nsid w:val="52D46633"/>
    <w:multiLevelType w:val="hybridMultilevel"/>
    <w:tmpl w:val="E6A4E322"/>
    <w:lvl w:ilvl="0" w:tplc="B26C8144">
      <w:start w:val="1"/>
      <w:numFmt w:val="bullet"/>
      <w:lvlText w:val=""/>
      <w:lvlJc w:val="left"/>
      <w:pPr>
        <w:ind w:left="720" w:hanging="360"/>
      </w:pPr>
      <w:rPr>
        <w:rFonts w:ascii="Symbol" w:hAnsi="Symbol" w:hint="default"/>
      </w:rPr>
    </w:lvl>
    <w:lvl w:ilvl="1" w:tplc="85BAAECA" w:tentative="1">
      <w:start w:val="1"/>
      <w:numFmt w:val="bullet"/>
      <w:lvlText w:val="o"/>
      <w:lvlJc w:val="left"/>
      <w:pPr>
        <w:ind w:left="1440" w:hanging="360"/>
      </w:pPr>
      <w:rPr>
        <w:rFonts w:ascii="Courier New" w:hAnsi="Courier New" w:cs="Courier New" w:hint="default"/>
      </w:rPr>
    </w:lvl>
    <w:lvl w:ilvl="2" w:tplc="315E5868" w:tentative="1">
      <w:start w:val="1"/>
      <w:numFmt w:val="bullet"/>
      <w:lvlText w:val=""/>
      <w:lvlJc w:val="left"/>
      <w:pPr>
        <w:ind w:left="2160" w:hanging="360"/>
      </w:pPr>
      <w:rPr>
        <w:rFonts w:ascii="Wingdings" w:hAnsi="Wingdings" w:hint="default"/>
      </w:rPr>
    </w:lvl>
    <w:lvl w:ilvl="3" w:tplc="FD64AB1C" w:tentative="1">
      <w:start w:val="1"/>
      <w:numFmt w:val="bullet"/>
      <w:lvlText w:val=""/>
      <w:lvlJc w:val="left"/>
      <w:pPr>
        <w:ind w:left="2880" w:hanging="360"/>
      </w:pPr>
      <w:rPr>
        <w:rFonts w:ascii="Symbol" w:hAnsi="Symbol" w:hint="default"/>
      </w:rPr>
    </w:lvl>
    <w:lvl w:ilvl="4" w:tplc="F6D28522" w:tentative="1">
      <w:start w:val="1"/>
      <w:numFmt w:val="bullet"/>
      <w:lvlText w:val="o"/>
      <w:lvlJc w:val="left"/>
      <w:pPr>
        <w:ind w:left="3600" w:hanging="360"/>
      </w:pPr>
      <w:rPr>
        <w:rFonts w:ascii="Courier New" w:hAnsi="Courier New" w:cs="Courier New" w:hint="default"/>
      </w:rPr>
    </w:lvl>
    <w:lvl w:ilvl="5" w:tplc="E362B8EA" w:tentative="1">
      <w:start w:val="1"/>
      <w:numFmt w:val="bullet"/>
      <w:lvlText w:val=""/>
      <w:lvlJc w:val="left"/>
      <w:pPr>
        <w:ind w:left="4320" w:hanging="360"/>
      </w:pPr>
      <w:rPr>
        <w:rFonts w:ascii="Wingdings" w:hAnsi="Wingdings" w:hint="default"/>
      </w:rPr>
    </w:lvl>
    <w:lvl w:ilvl="6" w:tplc="92E27B20" w:tentative="1">
      <w:start w:val="1"/>
      <w:numFmt w:val="bullet"/>
      <w:lvlText w:val=""/>
      <w:lvlJc w:val="left"/>
      <w:pPr>
        <w:ind w:left="5040" w:hanging="360"/>
      </w:pPr>
      <w:rPr>
        <w:rFonts w:ascii="Symbol" w:hAnsi="Symbol" w:hint="default"/>
      </w:rPr>
    </w:lvl>
    <w:lvl w:ilvl="7" w:tplc="FD4611B8" w:tentative="1">
      <w:start w:val="1"/>
      <w:numFmt w:val="bullet"/>
      <w:lvlText w:val="o"/>
      <w:lvlJc w:val="left"/>
      <w:pPr>
        <w:ind w:left="5760" w:hanging="360"/>
      </w:pPr>
      <w:rPr>
        <w:rFonts w:ascii="Courier New" w:hAnsi="Courier New" w:cs="Courier New" w:hint="default"/>
      </w:rPr>
    </w:lvl>
    <w:lvl w:ilvl="8" w:tplc="16841504" w:tentative="1">
      <w:start w:val="1"/>
      <w:numFmt w:val="bullet"/>
      <w:lvlText w:val=""/>
      <w:lvlJc w:val="left"/>
      <w:pPr>
        <w:ind w:left="6480" w:hanging="360"/>
      </w:pPr>
      <w:rPr>
        <w:rFonts w:ascii="Wingdings" w:hAnsi="Wingdings" w:hint="default"/>
      </w:rPr>
    </w:lvl>
  </w:abstractNum>
  <w:abstractNum w:abstractNumId="33" w15:restartNumberingAfterBreak="0">
    <w:nsid w:val="55141E09"/>
    <w:multiLevelType w:val="hybridMultilevel"/>
    <w:tmpl w:val="F04053B2"/>
    <w:lvl w:ilvl="0" w:tplc="C03C32AE">
      <w:start w:val="1"/>
      <w:numFmt w:val="bullet"/>
      <w:lvlText w:val="•"/>
      <w:lvlJc w:val="left"/>
      <w:pPr>
        <w:tabs>
          <w:tab w:val="num" w:pos="720"/>
        </w:tabs>
        <w:ind w:left="720" w:hanging="360"/>
      </w:pPr>
      <w:rPr>
        <w:rFonts w:ascii="Arial" w:hAnsi="Arial" w:hint="default"/>
      </w:rPr>
    </w:lvl>
    <w:lvl w:ilvl="1" w:tplc="BB88DDF2" w:tentative="1">
      <w:start w:val="1"/>
      <w:numFmt w:val="bullet"/>
      <w:lvlText w:val="•"/>
      <w:lvlJc w:val="left"/>
      <w:pPr>
        <w:tabs>
          <w:tab w:val="num" w:pos="1440"/>
        </w:tabs>
        <w:ind w:left="1440" w:hanging="360"/>
      </w:pPr>
      <w:rPr>
        <w:rFonts w:ascii="Arial" w:hAnsi="Arial" w:hint="default"/>
      </w:rPr>
    </w:lvl>
    <w:lvl w:ilvl="2" w:tplc="2FF66590" w:tentative="1">
      <w:start w:val="1"/>
      <w:numFmt w:val="bullet"/>
      <w:lvlText w:val="•"/>
      <w:lvlJc w:val="left"/>
      <w:pPr>
        <w:tabs>
          <w:tab w:val="num" w:pos="2160"/>
        </w:tabs>
        <w:ind w:left="2160" w:hanging="360"/>
      </w:pPr>
      <w:rPr>
        <w:rFonts w:ascii="Arial" w:hAnsi="Arial" w:hint="default"/>
      </w:rPr>
    </w:lvl>
    <w:lvl w:ilvl="3" w:tplc="B9E2C198" w:tentative="1">
      <w:start w:val="1"/>
      <w:numFmt w:val="bullet"/>
      <w:lvlText w:val="•"/>
      <w:lvlJc w:val="left"/>
      <w:pPr>
        <w:tabs>
          <w:tab w:val="num" w:pos="2880"/>
        </w:tabs>
        <w:ind w:left="2880" w:hanging="360"/>
      </w:pPr>
      <w:rPr>
        <w:rFonts w:ascii="Arial" w:hAnsi="Arial" w:hint="default"/>
      </w:rPr>
    </w:lvl>
    <w:lvl w:ilvl="4" w:tplc="64D0E3A2" w:tentative="1">
      <w:start w:val="1"/>
      <w:numFmt w:val="bullet"/>
      <w:lvlText w:val="•"/>
      <w:lvlJc w:val="left"/>
      <w:pPr>
        <w:tabs>
          <w:tab w:val="num" w:pos="3600"/>
        </w:tabs>
        <w:ind w:left="3600" w:hanging="360"/>
      </w:pPr>
      <w:rPr>
        <w:rFonts w:ascii="Arial" w:hAnsi="Arial" w:hint="default"/>
      </w:rPr>
    </w:lvl>
    <w:lvl w:ilvl="5" w:tplc="4772618E" w:tentative="1">
      <w:start w:val="1"/>
      <w:numFmt w:val="bullet"/>
      <w:lvlText w:val="•"/>
      <w:lvlJc w:val="left"/>
      <w:pPr>
        <w:tabs>
          <w:tab w:val="num" w:pos="4320"/>
        </w:tabs>
        <w:ind w:left="4320" w:hanging="360"/>
      </w:pPr>
      <w:rPr>
        <w:rFonts w:ascii="Arial" w:hAnsi="Arial" w:hint="default"/>
      </w:rPr>
    </w:lvl>
    <w:lvl w:ilvl="6" w:tplc="FB00D6B6" w:tentative="1">
      <w:start w:val="1"/>
      <w:numFmt w:val="bullet"/>
      <w:lvlText w:val="•"/>
      <w:lvlJc w:val="left"/>
      <w:pPr>
        <w:tabs>
          <w:tab w:val="num" w:pos="5040"/>
        </w:tabs>
        <w:ind w:left="5040" w:hanging="360"/>
      </w:pPr>
      <w:rPr>
        <w:rFonts w:ascii="Arial" w:hAnsi="Arial" w:hint="default"/>
      </w:rPr>
    </w:lvl>
    <w:lvl w:ilvl="7" w:tplc="C36EF0D2" w:tentative="1">
      <w:start w:val="1"/>
      <w:numFmt w:val="bullet"/>
      <w:lvlText w:val="•"/>
      <w:lvlJc w:val="left"/>
      <w:pPr>
        <w:tabs>
          <w:tab w:val="num" w:pos="5760"/>
        </w:tabs>
        <w:ind w:left="5760" w:hanging="360"/>
      </w:pPr>
      <w:rPr>
        <w:rFonts w:ascii="Arial" w:hAnsi="Arial" w:hint="default"/>
      </w:rPr>
    </w:lvl>
    <w:lvl w:ilvl="8" w:tplc="47BEA43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6B05BCF"/>
    <w:multiLevelType w:val="hybridMultilevel"/>
    <w:tmpl w:val="C4CAEC0C"/>
    <w:lvl w:ilvl="0" w:tplc="7E784FCE">
      <w:start w:val="1"/>
      <w:numFmt w:val="bullet"/>
      <w:lvlText w:val="•"/>
      <w:lvlJc w:val="left"/>
      <w:pPr>
        <w:tabs>
          <w:tab w:val="num" w:pos="720"/>
        </w:tabs>
        <w:ind w:left="720" w:hanging="360"/>
      </w:pPr>
      <w:rPr>
        <w:rFonts w:ascii="Arial" w:hAnsi="Arial" w:hint="default"/>
      </w:rPr>
    </w:lvl>
    <w:lvl w:ilvl="1" w:tplc="E52A2012" w:tentative="1">
      <w:start w:val="1"/>
      <w:numFmt w:val="bullet"/>
      <w:lvlText w:val="•"/>
      <w:lvlJc w:val="left"/>
      <w:pPr>
        <w:tabs>
          <w:tab w:val="num" w:pos="1440"/>
        </w:tabs>
        <w:ind w:left="1440" w:hanging="360"/>
      </w:pPr>
      <w:rPr>
        <w:rFonts w:ascii="Arial" w:hAnsi="Arial" w:hint="default"/>
      </w:rPr>
    </w:lvl>
    <w:lvl w:ilvl="2" w:tplc="DAD25C12" w:tentative="1">
      <w:start w:val="1"/>
      <w:numFmt w:val="bullet"/>
      <w:lvlText w:val="•"/>
      <w:lvlJc w:val="left"/>
      <w:pPr>
        <w:tabs>
          <w:tab w:val="num" w:pos="2160"/>
        </w:tabs>
        <w:ind w:left="2160" w:hanging="360"/>
      </w:pPr>
      <w:rPr>
        <w:rFonts w:ascii="Arial" w:hAnsi="Arial" w:hint="default"/>
      </w:rPr>
    </w:lvl>
    <w:lvl w:ilvl="3" w:tplc="8194B39A" w:tentative="1">
      <w:start w:val="1"/>
      <w:numFmt w:val="bullet"/>
      <w:lvlText w:val="•"/>
      <w:lvlJc w:val="left"/>
      <w:pPr>
        <w:tabs>
          <w:tab w:val="num" w:pos="2880"/>
        </w:tabs>
        <w:ind w:left="2880" w:hanging="360"/>
      </w:pPr>
      <w:rPr>
        <w:rFonts w:ascii="Arial" w:hAnsi="Arial" w:hint="default"/>
      </w:rPr>
    </w:lvl>
    <w:lvl w:ilvl="4" w:tplc="A5F2D366" w:tentative="1">
      <w:start w:val="1"/>
      <w:numFmt w:val="bullet"/>
      <w:lvlText w:val="•"/>
      <w:lvlJc w:val="left"/>
      <w:pPr>
        <w:tabs>
          <w:tab w:val="num" w:pos="3600"/>
        </w:tabs>
        <w:ind w:left="3600" w:hanging="360"/>
      </w:pPr>
      <w:rPr>
        <w:rFonts w:ascii="Arial" w:hAnsi="Arial" w:hint="default"/>
      </w:rPr>
    </w:lvl>
    <w:lvl w:ilvl="5" w:tplc="A2B462AE" w:tentative="1">
      <w:start w:val="1"/>
      <w:numFmt w:val="bullet"/>
      <w:lvlText w:val="•"/>
      <w:lvlJc w:val="left"/>
      <w:pPr>
        <w:tabs>
          <w:tab w:val="num" w:pos="4320"/>
        </w:tabs>
        <w:ind w:left="4320" w:hanging="360"/>
      </w:pPr>
      <w:rPr>
        <w:rFonts w:ascii="Arial" w:hAnsi="Arial" w:hint="default"/>
      </w:rPr>
    </w:lvl>
    <w:lvl w:ilvl="6" w:tplc="4636E5F2" w:tentative="1">
      <w:start w:val="1"/>
      <w:numFmt w:val="bullet"/>
      <w:lvlText w:val="•"/>
      <w:lvlJc w:val="left"/>
      <w:pPr>
        <w:tabs>
          <w:tab w:val="num" w:pos="5040"/>
        </w:tabs>
        <w:ind w:left="5040" w:hanging="360"/>
      </w:pPr>
      <w:rPr>
        <w:rFonts w:ascii="Arial" w:hAnsi="Arial" w:hint="default"/>
      </w:rPr>
    </w:lvl>
    <w:lvl w:ilvl="7" w:tplc="21040C20" w:tentative="1">
      <w:start w:val="1"/>
      <w:numFmt w:val="bullet"/>
      <w:lvlText w:val="•"/>
      <w:lvlJc w:val="left"/>
      <w:pPr>
        <w:tabs>
          <w:tab w:val="num" w:pos="5760"/>
        </w:tabs>
        <w:ind w:left="5760" w:hanging="360"/>
      </w:pPr>
      <w:rPr>
        <w:rFonts w:ascii="Arial" w:hAnsi="Arial" w:hint="default"/>
      </w:rPr>
    </w:lvl>
    <w:lvl w:ilvl="8" w:tplc="973EC6A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D5F48E9"/>
    <w:multiLevelType w:val="hybridMultilevel"/>
    <w:tmpl w:val="A0684C22"/>
    <w:lvl w:ilvl="0" w:tplc="7CEE5B80">
      <w:start w:val="1"/>
      <w:numFmt w:val="bullet"/>
      <w:lvlText w:val=""/>
      <w:lvlJc w:val="left"/>
      <w:pPr>
        <w:ind w:left="720" w:hanging="360"/>
      </w:pPr>
      <w:rPr>
        <w:rFonts w:ascii="Symbol" w:hAnsi="Symbol" w:hint="default"/>
      </w:rPr>
    </w:lvl>
    <w:lvl w:ilvl="1" w:tplc="BA2C9AE8" w:tentative="1">
      <w:start w:val="1"/>
      <w:numFmt w:val="bullet"/>
      <w:lvlText w:val="o"/>
      <w:lvlJc w:val="left"/>
      <w:pPr>
        <w:ind w:left="1440" w:hanging="360"/>
      </w:pPr>
      <w:rPr>
        <w:rFonts w:ascii="Courier New" w:hAnsi="Courier New" w:cs="Courier New" w:hint="default"/>
      </w:rPr>
    </w:lvl>
    <w:lvl w:ilvl="2" w:tplc="55C850D2" w:tentative="1">
      <w:start w:val="1"/>
      <w:numFmt w:val="bullet"/>
      <w:lvlText w:val=""/>
      <w:lvlJc w:val="left"/>
      <w:pPr>
        <w:ind w:left="2160" w:hanging="360"/>
      </w:pPr>
      <w:rPr>
        <w:rFonts w:ascii="Wingdings" w:hAnsi="Wingdings" w:hint="default"/>
      </w:rPr>
    </w:lvl>
    <w:lvl w:ilvl="3" w:tplc="E47855A6" w:tentative="1">
      <w:start w:val="1"/>
      <w:numFmt w:val="bullet"/>
      <w:lvlText w:val=""/>
      <w:lvlJc w:val="left"/>
      <w:pPr>
        <w:ind w:left="2880" w:hanging="360"/>
      </w:pPr>
      <w:rPr>
        <w:rFonts w:ascii="Symbol" w:hAnsi="Symbol" w:hint="default"/>
      </w:rPr>
    </w:lvl>
    <w:lvl w:ilvl="4" w:tplc="35C8960C" w:tentative="1">
      <w:start w:val="1"/>
      <w:numFmt w:val="bullet"/>
      <w:lvlText w:val="o"/>
      <w:lvlJc w:val="left"/>
      <w:pPr>
        <w:ind w:left="3600" w:hanging="360"/>
      </w:pPr>
      <w:rPr>
        <w:rFonts w:ascii="Courier New" w:hAnsi="Courier New" w:cs="Courier New" w:hint="default"/>
      </w:rPr>
    </w:lvl>
    <w:lvl w:ilvl="5" w:tplc="EC3A2664" w:tentative="1">
      <w:start w:val="1"/>
      <w:numFmt w:val="bullet"/>
      <w:lvlText w:val=""/>
      <w:lvlJc w:val="left"/>
      <w:pPr>
        <w:ind w:left="4320" w:hanging="360"/>
      </w:pPr>
      <w:rPr>
        <w:rFonts w:ascii="Wingdings" w:hAnsi="Wingdings" w:hint="default"/>
      </w:rPr>
    </w:lvl>
    <w:lvl w:ilvl="6" w:tplc="4F92E812" w:tentative="1">
      <w:start w:val="1"/>
      <w:numFmt w:val="bullet"/>
      <w:lvlText w:val=""/>
      <w:lvlJc w:val="left"/>
      <w:pPr>
        <w:ind w:left="5040" w:hanging="360"/>
      </w:pPr>
      <w:rPr>
        <w:rFonts w:ascii="Symbol" w:hAnsi="Symbol" w:hint="default"/>
      </w:rPr>
    </w:lvl>
    <w:lvl w:ilvl="7" w:tplc="859044CC" w:tentative="1">
      <w:start w:val="1"/>
      <w:numFmt w:val="bullet"/>
      <w:lvlText w:val="o"/>
      <w:lvlJc w:val="left"/>
      <w:pPr>
        <w:ind w:left="5760" w:hanging="360"/>
      </w:pPr>
      <w:rPr>
        <w:rFonts w:ascii="Courier New" w:hAnsi="Courier New" w:cs="Courier New" w:hint="default"/>
      </w:rPr>
    </w:lvl>
    <w:lvl w:ilvl="8" w:tplc="98102B4C" w:tentative="1">
      <w:start w:val="1"/>
      <w:numFmt w:val="bullet"/>
      <w:lvlText w:val=""/>
      <w:lvlJc w:val="left"/>
      <w:pPr>
        <w:ind w:left="6480" w:hanging="360"/>
      </w:pPr>
      <w:rPr>
        <w:rFonts w:ascii="Wingdings" w:hAnsi="Wingdings" w:hint="default"/>
      </w:rPr>
    </w:lvl>
  </w:abstractNum>
  <w:abstractNum w:abstractNumId="36" w15:restartNumberingAfterBreak="0">
    <w:nsid w:val="67CB23D5"/>
    <w:multiLevelType w:val="hybridMultilevel"/>
    <w:tmpl w:val="C71C130E"/>
    <w:lvl w:ilvl="0" w:tplc="E684EEBA">
      <w:start w:val="1"/>
      <w:numFmt w:val="decimal"/>
      <w:lvlText w:val="%1)"/>
      <w:lvlJc w:val="left"/>
      <w:pPr>
        <w:ind w:left="1020" w:hanging="360"/>
      </w:pPr>
    </w:lvl>
    <w:lvl w:ilvl="1" w:tplc="0C04543E">
      <w:start w:val="1"/>
      <w:numFmt w:val="decimal"/>
      <w:lvlText w:val="%2)"/>
      <w:lvlJc w:val="left"/>
      <w:pPr>
        <w:ind w:left="1020" w:hanging="360"/>
      </w:pPr>
    </w:lvl>
    <w:lvl w:ilvl="2" w:tplc="54EC7D52">
      <w:start w:val="1"/>
      <w:numFmt w:val="decimal"/>
      <w:lvlText w:val="%3)"/>
      <w:lvlJc w:val="left"/>
      <w:pPr>
        <w:ind w:left="1020" w:hanging="360"/>
      </w:pPr>
    </w:lvl>
    <w:lvl w:ilvl="3" w:tplc="1CAC76BE">
      <w:start w:val="1"/>
      <w:numFmt w:val="decimal"/>
      <w:lvlText w:val="%4)"/>
      <w:lvlJc w:val="left"/>
      <w:pPr>
        <w:ind w:left="1020" w:hanging="360"/>
      </w:pPr>
    </w:lvl>
    <w:lvl w:ilvl="4" w:tplc="CD001446">
      <w:start w:val="1"/>
      <w:numFmt w:val="decimal"/>
      <w:lvlText w:val="%5)"/>
      <w:lvlJc w:val="left"/>
      <w:pPr>
        <w:ind w:left="1020" w:hanging="360"/>
      </w:pPr>
    </w:lvl>
    <w:lvl w:ilvl="5" w:tplc="08BC6436">
      <w:start w:val="1"/>
      <w:numFmt w:val="decimal"/>
      <w:lvlText w:val="%6)"/>
      <w:lvlJc w:val="left"/>
      <w:pPr>
        <w:ind w:left="1020" w:hanging="360"/>
      </w:pPr>
    </w:lvl>
    <w:lvl w:ilvl="6" w:tplc="DC703F70">
      <w:start w:val="1"/>
      <w:numFmt w:val="decimal"/>
      <w:lvlText w:val="%7)"/>
      <w:lvlJc w:val="left"/>
      <w:pPr>
        <w:ind w:left="1020" w:hanging="360"/>
      </w:pPr>
    </w:lvl>
    <w:lvl w:ilvl="7" w:tplc="F52E7D0E">
      <w:start w:val="1"/>
      <w:numFmt w:val="decimal"/>
      <w:lvlText w:val="%8)"/>
      <w:lvlJc w:val="left"/>
      <w:pPr>
        <w:ind w:left="1020" w:hanging="360"/>
      </w:pPr>
    </w:lvl>
    <w:lvl w:ilvl="8" w:tplc="1876B876">
      <w:start w:val="1"/>
      <w:numFmt w:val="decimal"/>
      <w:lvlText w:val="%9)"/>
      <w:lvlJc w:val="left"/>
      <w:pPr>
        <w:ind w:left="1020" w:hanging="360"/>
      </w:pPr>
    </w:lvl>
  </w:abstractNum>
  <w:abstractNum w:abstractNumId="37" w15:restartNumberingAfterBreak="0">
    <w:nsid w:val="69314AB5"/>
    <w:multiLevelType w:val="hybridMultilevel"/>
    <w:tmpl w:val="75CEC87C"/>
    <w:lvl w:ilvl="0" w:tplc="14568FF4">
      <w:start w:val="1"/>
      <w:numFmt w:val="bullet"/>
      <w:lvlText w:val=""/>
      <w:lvlJc w:val="left"/>
      <w:pPr>
        <w:ind w:left="360" w:hanging="360"/>
      </w:pPr>
      <w:rPr>
        <w:rFonts w:ascii="Symbol" w:hAnsi="Symbol" w:hint="default"/>
      </w:rPr>
    </w:lvl>
    <w:lvl w:ilvl="1" w:tplc="F6107734">
      <w:start w:val="1"/>
      <w:numFmt w:val="bullet"/>
      <w:lvlText w:val="o"/>
      <w:lvlJc w:val="left"/>
      <w:pPr>
        <w:ind w:left="1080" w:hanging="360"/>
      </w:pPr>
      <w:rPr>
        <w:rFonts w:ascii="Courier New" w:hAnsi="Courier New" w:cs="Courier New" w:hint="default"/>
      </w:rPr>
    </w:lvl>
    <w:lvl w:ilvl="2" w:tplc="7FD824E6">
      <w:start w:val="1"/>
      <w:numFmt w:val="bullet"/>
      <w:lvlText w:val=""/>
      <w:lvlJc w:val="left"/>
      <w:pPr>
        <w:ind w:left="1800" w:hanging="360"/>
      </w:pPr>
      <w:rPr>
        <w:rFonts w:ascii="Wingdings" w:hAnsi="Wingdings" w:hint="default"/>
      </w:rPr>
    </w:lvl>
    <w:lvl w:ilvl="3" w:tplc="057CA664" w:tentative="1">
      <w:start w:val="1"/>
      <w:numFmt w:val="bullet"/>
      <w:lvlText w:val=""/>
      <w:lvlJc w:val="left"/>
      <w:pPr>
        <w:ind w:left="2520" w:hanging="360"/>
      </w:pPr>
      <w:rPr>
        <w:rFonts w:ascii="Symbol" w:hAnsi="Symbol" w:hint="default"/>
      </w:rPr>
    </w:lvl>
    <w:lvl w:ilvl="4" w:tplc="D04A4944" w:tentative="1">
      <w:start w:val="1"/>
      <w:numFmt w:val="bullet"/>
      <w:lvlText w:val="o"/>
      <w:lvlJc w:val="left"/>
      <w:pPr>
        <w:ind w:left="3240" w:hanging="360"/>
      </w:pPr>
      <w:rPr>
        <w:rFonts w:ascii="Courier New" w:hAnsi="Courier New" w:cs="Courier New" w:hint="default"/>
      </w:rPr>
    </w:lvl>
    <w:lvl w:ilvl="5" w:tplc="1D1C3AD0" w:tentative="1">
      <w:start w:val="1"/>
      <w:numFmt w:val="bullet"/>
      <w:lvlText w:val=""/>
      <w:lvlJc w:val="left"/>
      <w:pPr>
        <w:ind w:left="3960" w:hanging="360"/>
      </w:pPr>
      <w:rPr>
        <w:rFonts w:ascii="Wingdings" w:hAnsi="Wingdings" w:hint="default"/>
      </w:rPr>
    </w:lvl>
    <w:lvl w:ilvl="6" w:tplc="9FEE0910" w:tentative="1">
      <w:start w:val="1"/>
      <w:numFmt w:val="bullet"/>
      <w:lvlText w:val=""/>
      <w:lvlJc w:val="left"/>
      <w:pPr>
        <w:ind w:left="4680" w:hanging="360"/>
      </w:pPr>
      <w:rPr>
        <w:rFonts w:ascii="Symbol" w:hAnsi="Symbol" w:hint="default"/>
      </w:rPr>
    </w:lvl>
    <w:lvl w:ilvl="7" w:tplc="2AF20DD2" w:tentative="1">
      <w:start w:val="1"/>
      <w:numFmt w:val="bullet"/>
      <w:lvlText w:val="o"/>
      <w:lvlJc w:val="left"/>
      <w:pPr>
        <w:ind w:left="5400" w:hanging="360"/>
      </w:pPr>
      <w:rPr>
        <w:rFonts w:ascii="Courier New" w:hAnsi="Courier New" w:cs="Courier New" w:hint="default"/>
      </w:rPr>
    </w:lvl>
    <w:lvl w:ilvl="8" w:tplc="704A248C" w:tentative="1">
      <w:start w:val="1"/>
      <w:numFmt w:val="bullet"/>
      <w:lvlText w:val=""/>
      <w:lvlJc w:val="left"/>
      <w:pPr>
        <w:ind w:left="6120" w:hanging="360"/>
      </w:pPr>
      <w:rPr>
        <w:rFonts w:ascii="Wingdings" w:hAnsi="Wingdings" w:hint="default"/>
      </w:rPr>
    </w:lvl>
  </w:abstractNum>
  <w:abstractNum w:abstractNumId="38" w15:restartNumberingAfterBreak="0">
    <w:nsid w:val="6DAA69D0"/>
    <w:multiLevelType w:val="hybridMultilevel"/>
    <w:tmpl w:val="40847618"/>
    <w:lvl w:ilvl="0" w:tplc="7A347CFA">
      <w:start w:val="1"/>
      <w:numFmt w:val="bullet"/>
      <w:lvlText w:val=""/>
      <w:lvlJc w:val="left"/>
      <w:pPr>
        <w:ind w:left="720" w:hanging="360"/>
      </w:pPr>
      <w:rPr>
        <w:rFonts w:ascii="Symbol" w:hAnsi="Symbol" w:hint="default"/>
      </w:rPr>
    </w:lvl>
    <w:lvl w:ilvl="1" w:tplc="DFA8E238" w:tentative="1">
      <w:start w:val="1"/>
      <w:numFmt w:val="bullet"/>
      <w:lvlText w:val="o"/>
      <w:lvlJc w:val="left"/>
      <w:pPr>
        <w:ind w:left="1440" w:hanging="360"/>
      </w:pPr>
      <w:rPr>
        <w:rFonts w:ascii="Courier New" w:hAnsi="Courier New" w:cs="Courier New" w:hint="default"/>
      </w:rPr>
    </w:lvl>
    <w:lvl w:ilvl="2" w:tplc="41582FF8" w:tentative="1">
      <w:start w:val="1"/>
      <w:numFmt w:val="bullet"/>
      <w:lvlText w:val=""/>
      <w:lvlJc w:val="left"/>
      <w:pPr>
        <w:ind w:left="2160" w:hanging="360"/>
      </w:pPr>
      <w:rPr>
        <w:rFonts w:ascii="Wingdings" w:hAnsi="Wingdings" w:hint="default"/>
      </w:rPr>
    </w:lvl>
    <w:lvl w:ilvl="3" w:tplc="887C99DA" w:tentative="1">
      <w:start w:val="1"/>
      <w:numFmt w:val="bullet"/>
      <w:lvlText w:val=""/>
      <w:lvlJc w:val="left"/>
      <w:pPr>
        <w:ind w:left="2880" w:hanging="360"/>
      </w:pPr>
      <w:rPr>
        <w:rFonts w:ascii="Symbol" w:hAnsi="Symbol" w:hint="default"/>
      </w:rPr>
    </w:lvl>
    <w:lvl w:ilvl="4" w:tplc="C9EE35E2" w:tentative="1">
      <w:start w:val="1"/>
      <w:numFmt w:val="bullet"/>
      <w:lvlText w:val="o"/>
      <w:lvlJc w:val="left"/>
      <w:pPr>
        <w:ind w:left="3600" w:hanging="360"/>
      </w:pPr>
      <w:rPr>
        <w:rFonts w:ascii="Courier New" w:hAnsi="Courier New" w:cs="Courier New" w:hint="default"/>
      </w:rPr>
    </w:lvl>
    <w:lvl w:ilvl="5" w:tplc="9A541300" w:tentative="1">
      <w:start w:val="1"/>
      <w:numFmt w:val="bullet"/>
      <w:lvlText w:val=""/>
      <w:lvlJc w:val="left"/>
      <w:pPr>
        <w:ind w:left="4320" w:hanging="360"/>
      </w:pPr>
      <w:rPr>
        <w:rFonts w:ascii="Wingdings" w:hAnsi="Wingdings" w:hint="default"/>
      </w:rPr>
    </w:lvl>
    <w:lvl w:ilvl="6" w:tplc="55562A18" w:tentative="1">
      <w:start w:val="1"/>
      <w:numFmt w:val="bullet"/>
      <w:lvlText w:val=""/>
      <w:lvlJc w:val="left"/>
      <w:pPr>
        <w:ind w:left="5040" w:hanging="360"/>
      </w:pPr>
      <w:rPr>
        <w:rFonts w:ascii="Symbol" w:hAnsi="Symbol" w:hint="default"/>
      </w:rPr>
    </w:lvl>
    <w:lvl w:ilvl="7" w:tplc="201E7A3A" w:tentative="1">
      <w:start w:val="1"/>
      <w:numFmt w:val="bullet"/>
      <w:lvlText w:val="o"/>
      <w:lvlJc w:val="left"/>
      <w:pPr>
        <w:ind w:left="5760" w:hanging="360"/>
      </w:pPr>
      <w:rPr>
        <w:rFonts w:ascii="Courier New" w:hAnsi="Courier New" w:cs="Courier New" w:hint="default"/>
      </w:rPr>
    </w:lvl>
    <w:lvl w:ilvl="8" w:tplc="A4B07C9E" w:tentative="1">
      <w:start w:val="1"/>
      <w:numFmt w:val="bullet"/>
      <w:lvlText w:val=""/>
      <w:lvlJc w:val="left"/>
      <w:pPr>
        <w:ind w:left="6480" w:hanging="360"/>
      </w:pPr>
      <w:rPr>
        <w:rFonts w:ascii="Wingdings" w:hAnsi="Wingdings" w:hint="default"/>
      </w:rPr>
    </w:lvl>
  </w:abstractNum>
  <w:abstractNum w:abstractNumId="39" w15:restartNumberingAfterBreak="0">
    <w:nsid w:val="6E5D232D"/>
    <w:multiLevelType w:val="hybridMultilevel"/>
    <w:tmpl w:val="6B7CD6DC"/>
    <w:lvl w:ilvl="0" w:tplc="40940342">
      <w:start w:val="1"/>
      <w:numFmt w:val="bullet"/>
      <w:lvlText w:val=""/>
      <w:lvlJc w:val="left"/>
      <w:pPr>
        <w:ind w:left="720" w:hanging="360"/>
      </w:pPr>
      <w:rPr>
        <w:rFonts w:ascii="Symbol" w:hAnsi="Symbol" w:hint="default"/>
      </w:rPr>
    </w:lvl>
    <w:lvl w:ilvl="1" w:tplc="41E2CAAA">
      <w:start w:val="1"/>
      <w:numFmt w:val="bullet"/>
      <w:lvlText w:val="o"/>
      <w:lvlJc w:val="left"/>
      <w:pPr>
        <w:ind w:left="1440" w:hanging="360"/>
      </w:pPr>
      <w:rPr>
        <w:rFonts w:ascii="Courier New" w:hAnsi="Courier New" w:cs="Courier New" w:hint="default"/>
      </w:rPr>
    </w:lvl>
    <w:lvl w:ilvl="2" w:tplc="88B2A806">
      <w:start w:val="1"/>
      <w:numFmt w:val="bullet"/>
      <w:lvlText w:val=""/>
      <w:lvlJc w:val="left"/>
      <w:pPr>
        <w:ind w:left="2160" w:hanging="360"/>
      </w:pPr>
      <w:rPr>
        <w:rFonts w:ascii="Wingdings" w:hAnsi="Wingdings" w:hint="default"/>
      </w:rPr>
    </w:lvl>
    <w:lvl w:ilvl="3" w:tplc="9E10650A">
      <w:start w:val="1"/>
      <w:numFmt w:val="bullet"/>
      <w:lvlText w:val=""/>
      <w:lvlJc w:val="left"/>
      <w:pPr>
        <w:ind w:left="2880" w:hanging="360"/>
      </w:pPr>
      <w:rPr>
        <w:rFonts w:ascii="Symbol" w:hAnsi="Symbol" w:hint="default"/>
      </w:rPr>
    </w:lvl>
    <w:lvl w:ilvl="4" w:tplc="CBD6696A" w:tentative="1">
      <w:start w:val="1"/>
      <w:numFmt w:val="bullet"/>
      <w:lvlText w:val="o"/>
      <w:lvlJc w:val="left"/>
      <w:pPr>
        <w:ind w:left="3600" w:hanging="360"/>
      </w:pPr>
      <w:rPr>
        <w:rFonts w:ascii="Courier New" w:hAnsi="Courier New" w:cs="Courier New" w:hint="default"/>
      </w:rPr>
    </w:lvl>
    <w:lvl w:ilvl="5" w:tplc="7A381226" w:tentative="1">
      <w:start w:val="1"/>
      <w:numFmt w:val="bullet"/>
      <w:lvlText w:val=""/>
      <w:lvlJc w:val="left"/>
      <w:pPr>
        <w:ind w:left="4320" w:hanging="360"/>
      </w:pPr>
      <w:rPr>
        <w:rFonts w:ascii="Wingdings" w:hAnsi="Wingdings" w:hint="default"/>
      </w:rPr>
    </w:lvl>
    <w:lvl w:ilvl="6" w:tplc="AAE6E6BC" w:tentative="1">
      <w:start w:val="1"/>
      <w:numFmt w:val="bullet"/>
      <w:lvlText w:val=""/>
      <w:lvlJc w:val="left"/>
      <w:pPr>
        <w:ind w:left="5040" w:hanging="360"/>
      </w:pPr>
      <w:rPr>
        <w:rFonts w:ascii="Symbol" w:hAnsi="Symbol" w:hint="default"/>
      </w:rPr>
    </w:lvl>
    <w:lvl w:ilvl="7" w:tplc="7A5A2C38" w:tentative="1">
      <w:start w:val="1"/>
      <w:numFmt w:val="bullet"/>
      <w:lvlText w:val="o"/>
      <w:lvlJc w:val="left"/>
      <w:pPr>
        <w:ind w:left="5760" w:hanging="360"/>
      </w:pPr>
      <w:rPr>
        <w:rFonts w:ascii="Courier New" w:hAnsi="Courier New" w:cs="Courier New" w:hint="default"/>
      </w:rPr>
    </w:lvl>
    <w:lvl w:ilvl="8" w:tplc="D7BA7F10" w:tentative="1">
      <w:start w:val="1"/>
      <w:numFmt w:val="bullet"/>
      <w:lvlText w:val=""/>
      <w:lvlJc w:val="left"/>
      <w:pPr>
        <w:ind w:left="6480" w:hanging="360"/>
      </w:pPr>
      <w:rPr>
        <w:rFonts w:ascii="Wingdings" w:hAnsi="Wingdings" w:hint="default"/>
      </w:rPr>
    </w:lvl>
  </w:abstractNum>
  <w:abstractNum w:abstractNumId="40" w15:restartNumberingAfterBreak="0">
    <w:nsid w:val="72127E0F"/>
    <w:multiLevelType w:val="hybridMultilevel"/>
    <w:tmpl w:val="2F22795A"/>
    <w:lvl w:ilvl="0" w:tplc="FD4839B4">
      <w:start w:val="1"/>
      <w:numFmt w:val="bullet"/>
      <w:lvlText w:val=""/>
      <w:lvlJc w:val="left"/>
      <w:pPr>
        <w:ind w:left="720" w:hanging="360"/>
      </w:pPr>
      <w:rPr>
        <w:rFonts w:ascii="Symbol" w:hAnsi="Symbol" w:hint="default"/>
      </w:rPr>
    </w:lvl>
    <w:lvl w:ilvl="1" w:tplc="FE2C6778" w:tentative="1">
      <w:start w:val="1"/>
      <w:numFmt w:val="bullet"/>
      <w:lvlText w:val="o"/>
      <w:lvlJc w:val="left"/>
      <w:pPr>
        <w:ind w:left="1440" w:hanging="360"/>
      </w:pPr>
      <w:rPr>
        <w:rFonts w:ascii="Courier New" w:hAnsi="Courier New" w:cs="Courier New" w:hint="default"/>
      </w:rPr>
    </w:lvl>
    <w:lvl w:ilvl="2" w:tplc="E10071F8" w:tentative="1">
      <w:start w:val="1"/>
      <w:numFmt w:val="bullet"/>
      <w:lvlText w:val=""/>
      <w:lvlJc w:val="left"/>
      <w:pPr>
        <w:ind w:left="2160" w:hanging="360"/>
      </w:pPr>
      <w:rPr>
        <w:rFonts w:ascii="Wingdings" w:hAnsi="Wingdings" w:hint="default"/>
      </w:rPr>
    </w:lvl>
    <w:lvl w:ilvl="3" w:tplc="D7323BE4" w:tentative="1">
      <w:start w:val="1"/>
      <w:numFmt w:val="bullet"/>
      <w:lvlText w:val=""/>
      <w:lvlJc w:val="left"/>
      <w:pPr>
        <w:ind w:left="2880" w:hanging="360"/>
      </w:pPr>
      <w:rPr>
        <w:rFonts w:ascii="Symbol" w:hAnsi="Symbol" w:hint="default"/>
      </w:rPr>
    </w:lvl>
    <w:lvl w:ilvl="4" w:tplc="EBE8E8D8" w:tentative="1">
      <w:start w:val="1"/>
      <w:numFmt w:val="bullet"/>
      <w:lvlText w:val="o"/>
      <w:lvlJc w:val="left"/>
      <w:pPr>
        <w:ind w:left="3600" w:hanging="360"/>
      </w:pPr>
      <w:rPr>
        <w:rFonts w:ascii="Courier New" w:hAnsi="Courier New" w:cs="Courier New" w:hint="default"/>
      </w:rPr>
    </w:lvl>
    <w:lvl w:ilvl="5" w:tplc="57085326" w:tentative="1">
      <w:start w:val="1"/>
      <w:numFmt w:val="bullet"/>
      <w:lvlText w:val=""/>
      <w:lvlJc w:val="left"/>
      <w:pPr>
        <w:ind w:left="4320" w:hanging="360"/>
      </w:pPr>
      <w:rPr>
        <w:rFonts w:ascii="Wingdings" w:hAnsi="Wingdings" w:hint="default"/>
      </w:rPr>
    </w:lvl>
    <w:lvl w:ilvl="6" w:tplc="2A3CA8F2" w:tentative="1">
      <w:start w:val="1"/>
      <w:numFmt w:val="bullet"/>
      <w:lvlText w:val=""/>
      <w:lvlJc w:val="left"/>
      <w:pPr>
        <w:ind w:left="5040" w:hanging="360"/>
      </w:pPr>
      <w:rPr>
        <w:rFonts w:ascii="Symbol" w:hAnsi="Symbol" w:hint="default"/>
      </w:rPr>
    </w:lvl>
    <w:lvl w:ilvl="7" w:tplc="F9860E1C" w:tentative="1">
      <w:start w:val="1"/>
      <w:numFmt w:val="bullet"/>
      <w:lvlText w:val="o"/>
      <w:lvlJc w:val="left"/>
      <w:pPr>
        <w:ind w:left="5760" w:hanging="360"/>
      </w:pPr>
      <w:rPr>
        <w:rFonts w:ascii="Courier New" w:hAnsi="Courier New" w:cs="Courier New" w:hint="default"/>
      </w:rPr>
    </w:lvl>
    <w:lvl w:ilvl="8" w:tplc="B21681E6" w:tentative="1">
      <w:start w:val="1"/>
      <w:numFmt w:val="bullet"/>
      <w:lvlText w:val=""/>
      <w:lvlJc w:val="left"/>
      <w:pPr>
        <w:ind w:left="6480" w:hanging="360"/>
      </w:pPr>
      <w:rPr>
        <w:rFonts w:ascii="Wingdings" w:hAnsi="Wingdings" w:hint="default"/>
      </w:rPr>
    </w:lvl>
  </w:abstractNum>
  <w:abstractNum w:abstractNumId="41" w15:restartNumberingAfterBreak="0">
    <w:nsid w:val="724925CB"/>
    <w:multiLevelType w:val="hybridMultilevel"/>
    <w:tmpl w:val="29DAEDDA"/>
    <w:lvl w:ilvl="0" w:tplc="6B864E54">
      <w:start w:val="1"/>
      <w:numFmt w:val="decimal"/>
      <w:lvlText w:val="%1."/>
      <w:lvlJc w:val="left"/>
      <w:pPr>
        <w:ind w:left="1020" w:hanging="360"/>
      </w:pPr>
    </w:lvl>
    <w:lvl w:ilvl="1" w:tplc="7DF81DB6">
      <w:start w:val="1"/>
      <w:numFmt w:val="decimal"/>
      <w:lvlText w:val="%2."/>
      <w:lvlJc w:val="left"/>
      <w:pPr>
        <w:ind w:left="1020" w:hanging="360"/>
      </w:pPr>
    </w:lvl>
    <w:lvl w:ilvl="2" w:tplc="53BA6548">
      <w:start w:val="1"/>
      <w:numFmt w:val="decimal"/>
      <w:lvlText w:val="%3."/>
      <w:lvlJc w:val="left"/>
      <w:pPr>
        <w:ind w:left="1020" w:hanging="360"/>
      </w:pPr>
    </w:lvl>
    <w:lvl w:ilvl="3" w:tplc="14C8B7D2">
      <w:start w:val="1"/>
      <w:numFmt w:val="decimal"/>
      <w:lvlText w:val="%4."/>
      <w:lvlJc w:val="left"/>
      <w:pPr>
        <w:ind w:left="1020" w:hanging="360"/>
      </w:pPr>
    </w:lvl>
    <w:lvl w:ilvl="4" w:tplc="9AEA99CE">
      <w:start w:val="1"/>
      <w:numFmt w:val="decimal"/>
      <w:lvlText w:val="%5."/>
      <w:lvlJc w:val="left"/>
      <w:pPr>
        <w:ind w:left="1020" w:hanging="360"/>
      </w:pPr>
    </w:lvl>
    <w:lvl w:ilvl="5" w:tplc="D9DA342E">
      <w:start w:val="1"/>
      <w:numFmt w:val="decimal"/>
      <w:lvlText w:val="%6."/>
      <w:lvlJc w:val="left"/>
      <w:pPr>
        <w:ind w:left="1020" w:hanging="360"/>
      </w:pPr>
    </w:lvl>
    <w:lvl w:ilvl="6" w:tplc="2EE468F0">
      <w:start w:val="1"/>
      <w:numFmt w:val="decimal"/>
      <w:lvlText w:val="%7."/>
      <w:lvlJc w:val="left"/>
      <w:pPr>
        <w:ind w:left="1020" w:hanging="360"/>
      </w:pPr>
    </w:lvl>
    <w:lvl w:ilvl="7" w:tplc="41746EE6">
      <w:start w:val="1"/>
      <w:numFmt w:val="decimal"/>
      <w:lvlText w:val="%8."/>
      <w:lvlJc w:val="left"/>
      <w:pPr>
        <w:ind w:left="1020" w:hanging="360"/>
      </w:pPr>
    </w:lvl>
    <w:lvl w:ilvl="8" w:tplc="0A42FC14">
      <w:start w:val="1"/>
      <w:numFmt w:val="decimal"/>
      <w:lvlText w:val="%9."/>
      <w:lvlJc w:val="left"/>
      <w:pPr>
        <w:ind w:left="1020" w:hanging="360"/>
      </w:pPr>
    </w:lvl>
  </w:abstractNum>
  <w:abstractNum w:abstractNumId="42" w15:restartNumberingAfterBreak="0">
    <w:nsid w:val="76D23443"/>
    <w:multiLevelType w:val="hybridMultilevel"/>
    <w:tmpl w:val="C1707004"/>
    <w:lvl w:ilvl="0" w:tplc="CBBEABD6">
      <w:start w:val="1"/>
      <w:numFmt w:val="decimal"/>
      <w:lvlText w:val="%1."/>
      <w:lvlJc w:val="left"/>
      <w:pPr>
        <w:ind w:left="360" w:hanging="360"/>
      </w:pPr>
      <w:rPr>
        <w:rFonts w:hint="default"/>
      </w:rPr>
    </w:lvl>
    <w:lvl w:ilvl="1" w:tplc="9D949C64" w:tentative="1">
      <w:start w:val="1"/>
      <w:numFmt w:val="lowerLetter"/>
      <w:lvlText w:val="%2."/>
      <w:lvlJc w:val="left"/>
      <w:pPr>
        <w:ind w:left="1080" w:hanging="360"/>
      </w:pPr>
    </w:lvl>
    <w:lvl w:ilvl="2" w:tplc="3C10AD1C" w:tentative="1">
      <w:start w:val="1"/>
      <w:numFmt w:val="lowerRoman"/>
      <w:lvlText w:val="%3."/>
      <w:lvlJc w:val="right"/>
      <w:pPr>
        <w:ind w:left="1800" w:hanging="180"/>
      </w:pPr>
    </w:lvl>
    <w:lvl w:ilvl="3" w:tplc="7AFEC27A" w:tentative="1">
      <w:start w:val="1"/>
      <w:numFmt w:val="decimal"/>
      <w:lvlText w:val="%4."/>
      <w:lvlJc w:val="left"/>
      <w:pPr>
        <w:ind w:left="2520" w:hanging="360"/>
      </w:pPr>
    </w:lvl>
    <w:lvl w:ilvl="4" w:tplc="6C707380" w:tentative="1">
      <w:start w:val="1"/>
      <w:numFmt w:val="lowerLetter"/>
      <w:lvlText w:val="%5."/>
      <w:lvlJc w:val="left"/>
      <w:pPr>
        <w:ind w:left="3240" w:hanging="360"/>
      </w:pPr>
    </w:lvl>
    <w:lvl w:ilvl="5" w:tplc="564E4CE2" w:tentative="1">
      <w:start w:val="1"/>
      <w:numFmt w:val="lowerRoman"/>
      <w:lvlText w:val="%6."/>
      <w:lvlJc w:val="right"/>
      <w:pPr>
        <w:ind w:left="3960" w:hanging="180"/>
      </w:pPr>
    </w:lvl>
    <w:lvl w:ilvl="6" w:tplc="CFDA64B4" w:tentative="1">
      <w:start w:val="1"/>
      <w:numFmt w:val="decimal"/>
      <w:lvlText w:val="%7."/>
      <w:lvlJc w:val="left"/>
      <w:pPr>
        <w:ind w:left="4680" w:hanging="360"/>
      </w:pPr>
    </w:lvl>
    <w:lvl w:ilvl="7" w:tplc="AD74C5A2" w:tentative="1">
      <w:start w:val="1"/>
      <w:numFmt w:val="lowerLetter"/>
      <w:lvlText w:val="%8."/>
      <w:lvlJc w:val="left"/>
      <w:pPr>
        <w:ind w:left="5400" w:hanging="360"/>
      </w:pPr>
    </w:lvl>
    <w:lvl w:ilvl="8" w:tplc="52807AE2" w:tentative="1">
      <w:start w:val="1"/>
      <w:numFmt w:val="lowerRoman"/>
      <w:lvlText w:val="%9."/>
      <w:lvlJc w:val="right"/>
      <w:pPr>
        <w:ind w:left="6120" w:hanging="180"/>
      </w:pPr>
    </w:lvl>
  </w:abstractNum>
  <w:abstractNum w:abstractNumId="43" w15:restartNumberingAfterBreak="0">
    <w:nsid w:val="782324F4"/>
    <w:multiLevelType w:val="hybridMultilevel"/>
    <w:tmpl w:val="527E140A"/>
    <w:lvl w:ilvl="0" w:tplc="8BF0DB1A">
      <w:start w:val="1"/>
      <w:numFmt w:val="bullet"/>
      <w:lvlText w:val=""/>
      <w:lvlJc w:val="left"/>
      <w:pPr>
        <w:ind w:left="720" w:hanging="360"/>
      </w:pPr>
      <w:rPr>
        <w:rFonts w:ascii="Symbol" w:hAnsi="Symbol" w:hint="default"/>
      </w:rPr>
    </w:lvl>
    <w:lvl w:ilvl="1" w:tplc="15443B72">
      <w:start w:val="1"/>
      <w:numFmt w:val="bullet"/>
      <w:lvlText w:val="o"/>
      <w:lvlJc w:val="left"/>
      <w:pPr>
        <w:ind w:left="1440" w:hanging="360"/>
      </w:pPr>
      <w:rPr>
        <w:rFonts w:ascii="Courier New" w:hAnsi="Courier New" w:cs="Courier New" w:hint="default"/>
      </w:rPr>
    </w:lvl>
    <w:lvl w:ilvl="2" w:tplc="0F52FC8E">
      <w:start w:val="1"/>
      <w:numFmt w:val="bullet"/>
      <w:lvlText w:val=""/>
      <w:lvlJc w:val="left"/>
      <w:pPr>
        <w:ind w:left="2160" w:hanging="360"/>
      </w:pPr>
      <w:rPr>
        <w:rFonts w:ascii="Wingdings" w:hAnsi="Wingdings" w:hint="default"/>
      </w:rPr>
    </w:lvl>
    <w:lvl w:ilvl="3" w:tplc="83C21DC4" w:tentative="1">
      <w:start w:val="1"/>
      <w:numFmt w:val="bullet"/>
      <w:lvlText w:val=""/>
      <w:lvlJc w:val="left"/>
      <w:pPr>
        <w:ind w:left="2880" w:hanging="360"/>
      </w:pPr>
      <w:rPr>
        <w:rFonts w:ascii="Symbol" w:hAnsi="Symbol" w:hint="default"/>
      </w:rPr>
    </w:lvl>
    <w:lvl w:ilvl="4" w:tplc="2AC8B686" w:tentative="1">
      <w:start w:val="1"/>
      <w:numFmt w:val="bullet"/>
      <w:lvlText w:val="o"/>
      <w:lvlJc w:val="left"/>
      <w:pPr>
        <w:ind w:left="3600" w:hanging="360"/>
      </w:pPr>
      <w:rPr>
        <w:rFonts w:ascii="Courier New" w:hAnsi="Courier New" w:cs="Courier New" w:hint="default"/>
      </w:rPr>
    </w:lvl>
    <w:lvl w:ilvl="5" w:tplc="A29CDDFE" w:tentative="1">
      <w:start w:val="1"/>
      <w:numFmt w:val="bullet"/>
      <w:lvlText w:val=""/>
      <w:lvlJc w:val="left"/>
      <w:pPr>
        <w:ind w:left="4320" w:hanging="360"/>
      </w:pPr>
      <w:rPr>
        <w:rFonts w:ascii="Wingdings" w:hAnsi="Wingdings" w:hint="default"/>
      </w:rPr>
    </w:lvl>
    <w:lvl w:ilvl="6" w:tplc="EC784266" w:tentative="1">
      <w:start w:val="1"/>
      <w:numFmt w:val="bullet"/>
      <w:lvlText w:val=""/>
      <w:lvlJc w:val="left"/>
      <w:pPr>
        <w:ind w:left="5040" w:hanging="360"/>
      </w:pPr>
      <w:rPr>
        <w:rFonts w:ascii="Symbol" w:hAnsi="Symbol" w:hint="default"/>
      </w:rPr>
    </w:lvl>
    <w:lvl w:ilvl="7" w:tplc="95C07B1A" w:tentative="1">
      <w:start w:val="1"/>
      <w:numFmt w:val="bullet"/>
      <w:lvlText w:val="o"/>
      <w:lvlJc w:val="left"/>
      <w:pPr>
        <w:ind w:left="5760" w:hanging="360"/>
      </w:pPr>
      <w:rPr>
        <w:rFonts w:ascii="Courier New" w:hAnsi="Courier New" w:cs="Courier New" w:hint="default"/>
      </w:rPr>
    </w:lvl>
    <w:lvl w:ilvl="8" w:tplc="32181F42" w:tentative="1">
      <w:start w:val="1"/>
      <w:numFmt w:val="bullet"/>
      <w:lvlText w:val=""/>
      <w:lvlJc w:val="left"/>
      <w:pPr>
        <w:ind w:left="6480" w:hanging="360"/>
      </w:pPr>
      <w:rPr>
        <w:rFonts w:ascii="Wingdings" w:hAnsi="Wingdings" w:hint="default"/>
      </w:rPr>
    </w:lvl>
  </w:abstractNum>
  <w:abstractNum w:abstractNumId="44" w15:restartNumberingAfterBreak="0">
    <w:nsid w:val="7BF23F92"/>
    <w:multiLevelType w:val="hybridMultilevel"/>
    <w:tmpl w:val="E4961156"/>
    <w:lvl w:ilvl="0" w:tplc="0FB4C820">
      <w:start w:val="1"/>
      <w:numFmt w:val="bullet"/>
      <w:lvlText w:val=""/>
      <w:lvlJc w:val="left"/>
      <w:pPr>
        <w:ind w:left="360" w:hanging="360"/>
      </w:pPr>
      <w:rPr>
        <w:rFonts w:ascii="Symbol" w:hAnsi="Symbol" w:hint="default"/>
      </w:rPr>
    </w:lvl>
    <w:lvl w:ilvl="1" w:tplc="EC6EE094">
      <w:start w:val="1"/>
      <w:numFmt w:val="bullet"/>
      <w:lvlText w:val="o"/>
      <w:lvlJc w:val="left"/>
      <w:pPr>
        <w:ind w:left="1080" w:hanging="360"/>
      </w:pPr>
      <w:rPr>
        <w:rFonts w:ascii="Courier New" w:hAnsi="Courier New" w:cs="Courier New" w:hint="default"/>
      </w:rPr>
    </w:lvl>
    <w:lvl w:ilvl="2" w:tplc="3FAAB486" w:tentative="1">
      <w:start w:val="1"/>
      <w:numFmt w:val="bullet"/>
      <w:lvlText w:val=""/>
      <w:lvlJc w:val="left"/>
      <w:pPr>
        <w:ind w:left="1800" w:hanging="360"/>
      </w:pPr>
      <w:rPr>
        <w:rFonts w:ascii="Wingdings" w:hAnsi="Wingdings" w:hint="default"/>
      </w:rPr>
    </w:lvl>
    <w:lvl w:ilvl="3" w:tplc="20A01C06" w:tentative="1">
      <w:start w:val="1"/>
      <w:numFmt w:val="bullet"/>
      <w:lvlText w:val=""/>
      <w:lvlJc w:val="left"/>
      <w:pPr>
        <w:ind w:left="2520" w:hanging="360"/>
      </w:pPr>
      <w:rPr>
        <w:rFonts w:ascii="Symbol" w:hAnsi="Symbol" w:hint="default"/>
      </w:rPr>
    </w:lvl>
    <w:lvl w:ilvl="4" w:tplc="74B25406" w:tentative="1">
      <w:start w:val="1"/>
      <w:numFmt w:val="bullet"/>
      <w:lvlText w:val="o"/>
      <w:lvlJc w:val="left"/>
      <w:pPr>
        <w:ind w:left="3240" w:hanging="360"/>
      </w:pPr>
      <w:rPr>
        <w:rFonts w:ascii="Courier New" w:hAnsi="Courier New" w:cs="Courier New" w:hint="default"/>
      </w:rPr>
    </w:lvl>
    <w:lvl w:ilvl="5" w:tplc="FD9877C4" w:tentative="1">
      <w:start w:val="1"/>
      <w:numFmt w:val="bullet"/>
      <w:lvlText w:val=""/>
      <w:lvlJc w:val="left"/>
      <w:pPr>
        <w:ind w:left="3960" w:hanging="360"/>
      </w:pPr>
      <w:rPr>
        <w:rFonts w:ascii="Wingdings" w:hAnsi="Wingdings" w:hint="default"/>
      </w:rPr>
    </w:lvl>
    <w:lvl w:ilvl="6" w:tplc="3DD8FA7E" w:tentative="1">
      <w:start w:val="1"/>
      <w:numFmt w:val="bullet"/>
      <w:lvlText w:val=""/>
      <w:lvlJc w:val="left"/>
      <w:pPr>
        <w:ind w:left="4680" w:hanging="360"/>
      </w:pPr>
      <w:rPr>
        <w:rFonts w:ascii="Symbol" w:hAnsi="Symbol" w:hint="default"/>
      </w:rPr>
    </w:lvl>
    <w:lvl w:ilvl="7" w:tplc="3B5828F8" w:tentative="1">
      <w:start w:val="1"/>
      <w:numFmt w:val="bullet"/>
      <w:lvlText w:val="o"/>
      <w:lvlJc w:val="left"/>
      <w:pPr>
        <w:ind w:left="5400" w:hanging="360"/>
      </w:pPr>
      <w:rPr>
        <w:rFonts w:ascii="Courier New" w:hAnsi="Courier New" w:cs="Courier New" w:hint="default"/>
      </w:rPr>
    </w:lvl>
    <w:lvl w:ilvl="8" w:tplc="254EA606" w:tentative="1">
      <w:start w:val="1"/>
      <w:numFmt w:val="bullet"/>
      <w:lvlText w:val=""/>
      <w:lvlJc w:val="left"/>
      <w:pPr>
        <w:ind w:left="6120" w:hanging="360"/>
      </w:pPr>
      <w:rPr>
        <w:rFonts w:ascii="Wingdings" w:hAnsi="Wingdings" w:hint="default"/>
      </w:rPr>
    </w:lvl>
  </w:abstractNum>
  <w:abstractNum w:abstractNumId="45" w15:restartNumberingAfterBreak="0">
    <w:nsid w:val="7C3127BE"/>
    <w:multiLevelType w:val="hybridMultilevel"/>
    <w:tmpl w:val="9D74D62A"/>
    <w:lvl w:ilvl="0" w:tplc="61C2A634">
      <w:start w:val="1"/>
      <w:numFmt w:val="bullet"/>
      <w:lvlText w:val=""/>
      <w:lvlJc w:val="left"/>
      <w:pPr>
        <w:ind w:left="1080" w:hanging="360"/>
      </w:pPr>
      <w:rPr>
        <w:rFonts w:ascii="Symbol" w:hAnsi="Symbol" w:hint="default"/>
      </w:rPr>
    </w:lvl>
    <w:lvl w:ilvl="1" w:tplc="97541FFC" w:tentative="1">
      <w:start w:val="1"/>
      <w:numFmt w:val="bullet"/>
      <w:lvlText w:val="o"/>
      <w:lvlJc w:val="left"/>
      <w:pPr>
        <w:ind w:left="1800" w:hanging="360"/>
      </w:pPr>
      <w:rPr>
        <w:rFonts w:ascii="Courier New" w:hAnsi="Courier New" w:cs="Courier New" w:hint="default"/>
      </w:rPr>
    </w:lvl>
    <w:lvl w:ilvl="2" w:tplc="5C72E684" w:tentative="1">
      <w:start w:val="1"/>
      <w:numFmt w:val="bullet"/>
      <w:lvlText w:val=""/>
      <w:lvlJc w:val="left"/>
      <w:pPr>
        <w:ind w:left="2520" w:hanging="360"/>
      </w:pPr>
      <w:rPr>
        <w:rFonts w:ascii="Wingdings" w:hAnsi="Wingdings" w:hint="default"/>
      </w:rPr>
    </w:lvl>
    <w:lvl w:ilvl="3" w:tplc="D91EE37A" w:tentative="1">
      <w:start w:val="1"/>
      <w:numFmt w:val="bullet"/>
      <w:lvlText w:val=""/>
      <w:lvlJc w:val="left"/>
      <w:pPr>
        <w:ind w:left="3240" w:hanging="360"/>
      </w:pPr>
      <w:rPr>
        <w:rFonts w:ascii="Symbol" w:hAnsi="Symbol" w:hint="default"/>
      </w:rPr>
    </w:lvl>
    <w:lvl w:ilvl="4" w:tplc="5F7A46B2" w:tentative="1">
      <w:start w:val="1"/>
      <w:numFmt w:val="bullet"/>
      <w:lvlText w:val="o"/>
      <w:lvlJc w:val="left"/>
      <w:pPr>
        <w:ind w:left="3960" w:hanging="360"/>
      </w:pPr>
      <w:rPr>
        <w:rFonts w:ascii="Courier New" w:hAnsi="Courier New" w:cs="Courier New" w:hint="default"/>
      </w:rPr>
    </w:lvl>
    <w:lvl w:ilvl="5" w:tplc="840AD49C" w:tentative="1">
      <w:start w:val="1"/>
      <w:numFmt w:val="bullet"/>
      <w:lvlText w:val=""/>
      <w:lvlJc w:val="left"/>
      <w:pPr>
        <w:ind w:left="4680" w:hanging="360"/>
      </w:pPr>
      <w:rPr>
        <w:rFonts w:ascii="Wingdings" w:hAnsi="Wingdings" w:hint="default"/>
      </w:rPr>
    </w:lvl>
    <w:lvl w:ilvl="6" w:tplc="EC8C740E" w:tentative="1">
      <w:start w:val="1"/>
      <w:numFmt w:val="bullet"/>
      <w:lvlText w:val=""/>
      <w:lvlJc w:val="left"/>
      <w:pPr>
        <w:ind w:left="5400" w:hanging="360"/>
      </w:pPr>
      <w:rPr>
        <w:rFonts w:ascii="Symbol" w:hAnsi="Symbol" w:hint="default"/>
      </w:rPr>
    </w:lvl>
    <w:lvl w:ilvl="7" w:tplc="9628F8DC" w:tentative="1">
      <w:start w:val="1"/>
      <w:numFmt w:val="bullet"/>
      <w:lvlText w:val="o"/>
      <w:lvlJc w:val="left"/>
      <w:pPr>
        <w:ind w:left="6120" w:hanging="360"/>
      </w:pPr>
      <w:rPr>
        <w:rFonts w:ascii="Courier New" w:hAnsi="Courier New" w:cs="Courier New" w:hint="default"/>
      </w:rPr>
    </w:lvl>
    <w:lvl w:ilvl="8" w:tplc="910C022E" w:tentative="1">
      <w:start w:val="1"/>
      <w:numFmt w:val="bullet"/>
      <w:lvlText w:val=""/>
      <w:lvlJc w:val="left"/>
      <w:pPr>
        <w:ind w:left="6840" w:hanging="360"/>
      </w:pPr>
      <w:rPr>
        <w:rFonts w:ascii="Wingdings" w:hAnsi="Wingdings" w:hint="default"/>
      </w:rPr>
    </w:lvl>
  </w:abstractNum>
  <w:abstractNum w:abstractNumId="46" w15:restartNumberingAfterBreak="0">
    <w:nsid w:val="7D7B29C1"/>
    <w:multiLevelType w:val="hybridMultilevel"/>
    <w:tmpl w:val="B008AF4C"/>
    <w:lvl w:ilvl="0" w:tplc="3BE8B714">
      <w:start w:val="1"/>
      <w:numFmt w:val="decimal"/>
      <w:lvlText w:val="%1."/>
      <w:lvlJc w:val="left"/>
      <w:pPr>
        <w:ind w:left="360" w:hanging="360"/>
      </w:pPr>
    </w:lvl>
    <w:lvl w:ilvl="1" w:tplc="FDC415AE">
      <w:start w:val="1"/>
      <w:numFmt w:val="lowerLetter"/>
      <w:lvlText w:val="%2."/>
      <w:lvlJc w:val="left"/>
      <w:pPr>
        <w:ind w:left="1080" w:hanging="360"/>
      </w:pPr>
    </w:lvl>
    <w:lvl w:ilvl="2" w:tplc="38B61494">
      <w:start w:val="1"/>
      <w:numFmt w:val="lowerRoman"/>
      <w:lvlText w:val="%3."/>
      <w:lvlJc w:val="right"/>
      <w:pPr>
        <w:ind w:left="1800" w:hanging="180"/>
      </w:pPr>
    </w:lvl>
    <w:lvl w:ilvl="3" w:tplc="E564B826">
      <w:start w:val="1"/>
      <w:numFmt w:val="decimal"/>
      <w:lvlText w:val="%4."/>
      <w:lvlJc w:val="left"/>
      <w:pPr>
        <w:ind w:left="2520" w:hanging="360"/>
      </w:pPr>
    </w:lvl>
    <w:lvl w:ilvl="4" w:tplc="1F5667B0">
      <w:start w:val="1"/>
      <w:numFmt w:val="lowerLetter"/>
      <w:lvlText w:val="%5."/>
      <w:lvlJc w:val="left"/>
      <w:pPr>
        <w:ind w:left="3240" w:hanging="360"/>
      </w:pPr>
    </w:lvl>
    <w:lvl w:ilvl="5" w:tplc="4050CCDC">
      <w:start w:val="1"/>
      <w:numFmt w:val="lowerRoman"/>
      <w:lvlText w:val="%6."/>
      <w:lvlJc w:val="right"/>
      <w:pPr>
        <w:ind w:left="3960" w:hanging="180"/>
      </w:pPr>
    </w:lvl>
    <w:lvl w:ilvl="6" w:tplc="976EBAA6">
      <w:start w:val="1"/>
      <w:numFmt w:val="decimal"/>
      <w:lvlText w:val="%7."/>
      <w:lvlJc w:val="left"/>
      <w:pPr>
        <w:ind w:left="4680" w:hanging="360"/>
      </w:pPr>
    </w:lvl>
    <w:lvl w:ilvl="7" w:tplc="15C8FD60">
      <w:start w:val="1"/>
      <w:numFmt w:val="lowerLetter"/>
      <w:lvlText w:val="%8."/>
      <w:lvlJc w:val="left"/>
      <w:pPr>
        <w:ind w:left="5400" w:hanging="360"/>
      </w:pPr>
    </w:lvl>
    <w:lvl w:ilvl="8" w:tplc="ED8A6EE2">
      <w:start w:val="1"/>
      <w:numFmt w:val="lowerRoman"/>
      <w:lvlText w:val="%9."/>
      <w:lvlJc w:val="right"/>
      <w:pPr>
        <w:ind w:left="6120" w:hanging="180"/>
      </w:pPr>
    </w:lvl>
  </w:abstractNum>
  <w:abstractNum w:abstractNumId="47" w15:restartNumberingAfterBreak="0">
    <w:nsid w:val="7EC65799"/>
    <w:multiLevelType w:val="hybridMultilevel"/>
    <w:tmpl w:val="BC8CCA9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419865442">
    <w:abstractNumId w:val="17"/>
  </w:num>
  <w:num w:numId="2" w16cid:durableId="1089228001">
    <w:abstractNumId w:val="10"/>
  </w:num>
  <w:num w:numId="3" w16cid:durableId="1656296016">
    <w:abstractNumId w:val="1"/>
  </w:num>
  <w:num w:numId="4" w16cid:durableId="639383943">
    <w:abstractNumId w:val="6"/>
  </w:num>
  <w:num w:numId="5" w16cid:durableId="2111584083">
    <w:abstractNumId w:val="26"/>
  </w:num>
  <w:num w:numId="6" w16cid:durableId="131943632">
    <w:abstractNumId w:val="42"/>
  </w:num>
  <w:num w:numId="7" w16cid:durableId="1256403005">
    <w:abstractNumId w:val="43"/>
  </w:num>
  <w:num w:numId="8" w16cid:durableId="343094977">
    <w:abstractNumId w:val="22"/>
  </w:num>
  <w:num w:numId="9" w16cid:durableId="951086115">
    <w:abstractNumId w:val="9"/>
  </w:num>
  <w:num w:numId="10" w16cid:durableId="1555769795">
    <w:abstractNumId w:val="11"/>
  </w:num>
  <w:num w:numId="11" w16cid:durableId="1292589568">
    <w:abstractNumId w:val="32"/>
  </w:num>
  <w:num w:numId="12" w16cid:durableId="1388912964">
    <w:abstractNumId w:val="39"/>
  </w:num>
  <w:num w:numId="13" w16cid:durableId="2044859280">
    <w:abstractNumId w:val="16"/>
  </w:num>
  <w:num w:numId="14" w16cid:durableId="728845659">
    <w:abstractNumId w:val="38"/>
  </w:num>
  <w:num w:numId="15" w16cid:durableId="1175343109">
    <w:abstractNumId w:val="28"/>
  </w:num>
  <w:num w:numId="16" w16cid:durableId="1642535184">
    <w:abstractNumId w:val="45"/>
  </w:num>
  <w:num w:numId="17" w16cid:durableId="1978874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8095486">
    <w:abstractNumId w:val="8"/>
  </w:num>
  <w:num w:numId="19" w16cid:durableId="1017467138">
    <w:abstractNumId w:val="5"/>
  </w:num>
  <w:num w:numId="20" w16cid:durableId="17796365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4896006">
    <w:abstractNumId w:val="24"/>
  </w:num>
  <w:num w:numId="22" w16cid:durableId="1334337395">
    <w:abstractNumId w:val="33"/>
  </w:num>
  <w:num w:numId="23" w16cid:durableId="505098040">
    <w:abstractNumId w:val="34"/>
  </w:num>
  <w:num w:numId="24" w16cid:durableId="1008363673">
    <w:abstractNumId w:val="21"/>
  </w:num>
  <w:num w:numId="25" w16cid:durableId="1496266396">
    <w:abstractNumId w:val="23"/>
  </w:num>
  <w:num w:numId="26" w16cid:durableId="961039792">
    <w:abstractNumId w:val="25"/>
  </w:num>
  <w:num w:numId="27" w16cid:durableId="2038698667">
    <w:abstractNumId w:val="44"/>
  </w:num>
  <w:num w:numId="28" w16cid:durableId="1403912491">
    <w:abstractNumId w:val="35"/>
  </w:num>
  <w:num w:numId="29" w16cid:durableId="315377237">
    <w:abstractNumId w:val="14"/>
  </w:num>
  <w:num w:numId="30" w16cid:durableId="695884204">
    <w:abstractNumId w:val="40"/>
  </w:num>
  <w:num w:numId="31" w16cid:durableId="2069837605">
    <w:abstractNumId w:val="12"/>
  </w:num>
  <w:num w:numId="32" w16cid:durableId="127362743">
    <w:abstractNumId w:val="37"/>
  </w:num>
  <w:num w:numId="33" w16cid:durableId="1940597575">
    <w:abstractNumId w:val="3"/>
  </w:num>
  <w:num w:numId="34" w16cid:durableId="1740597028">
    <w:abstractNumId w:val="2"/>
  </w:num>
  <w:num w:numId="35" w16cid:durableId="975648153">
    <w:abstractNumId w:val="20"/>
  </w:num>
  <w:num w:numId="36" w16cid:durableId="1358046039">
    <w:abstractNumId w:val="15"/>
  </w:num>
  <w:num w:numId="37" w16cid:durableId="2100251747">
    <w:abstractNumId w:val="36"/>
  </w:num>
  <w:num w:numId="38" w16cid:durableId="1873423245">
    <w:abstractNumId w:val="31"/>
  </w:num>
  <w:num w:numId="39" w16cid:durableId="1801145479">
    <w:abstractNumId w:val="30"/>
  </w:num>
  <w:num w:numId="40" w16cid:durableId="274485534">
    <w:abstractNumId w:val="41"/>
  </w:num>
  <w:num w:numId="41" w16cid:durableId="1061909183">
    <w:abstractNumId w:val="19"/>
  </w:num>
  <w:num w:numId="42" w16cid:durableId="607808310">
    <w:abstractNumId w:val="27"/>
  </w:num>
  <w:num w:numId="43" w16cid:durableId="2048721698">
    <w:abstractNumId w:val="13"/>
  </w:num>
  <w:num w:numId="44" w16cid:durableId="1533179409">
    <w:abstractNumId w:val="47"/>
  </w:num>
  <w:num w:numId="45" w16cid:durableId="987593142">
    <w:abstractNumId w:val="18"/>
  </w:num>
  <w:num w:numId="46" w16cid:durableId="1926840087">
    <w:abstractNumId w:val="7"/>
  </w:num>
  <w:num w:numId="47" w16cid:durableId="1190265818">
    <w:abstractNumId w:val="0"/>
  </w:num>
  <w:num w:numId="48" w16cid:durableId="522425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yNLEwMjY2MDC1MDFR0lEKTi0uzszPAykwrAUAArmn4SwAAAA="/>
  </w:docVars>
  <w:rsids>
    <w:rsidRoot w:val="00C8410C"/>
    <w:rsid w:val="000001F0"/>
    <w:rsid w:val="000012DB"/>
    <w:rsid w:val="00001851"/>
    <w:rsid w:val="00001CFD"/>
    <w:rsid w:val="00002F87"/>
    <w:rsid w:val="000041A2"/>
    <w:rsid w:val="00006C8A"/>
    <w:rsid w:val="000070DB"/>
    <w:rsid w:val="000070E1"/>
    <w:rsid w:val="0001179D"/>
    <w:rsid w:val="00013398"/>
    <w:rsid w:val="0001393A"/>
    <w:rsid w:val="00013AC2"/>
    <w:rsid w:val="00015987"/>
    <w:rsid w:val="00015AFE"/>
    <w:rsid w:val="0001624D"/>
    <w:rsid w:val="00017599"/>
    <w:rsid w:val="0002045E"/>
    <w:rsid w:val="000206AC"/>
    <w:rsid w:val="00021E5B"/>
    <w:rsid w:val="00022FDD"/>
    <w:rsid w:val="00023DF6"/>
    <w:rsid w:val="00026E51"/>
    <w:rsid w:val="00026EE3"/>
    <w:rsid w:val="00027005"/>
    <w:rsid w:val="0002752B"/>
    <w:rsid w:val="000279D9"/>
    <w:rsid w:val="000303F8"/>
    <w:rsid w:val="00031461"/>
    <w:rsid w:val="00031A52"/>
    <w:rsid w:val="00032997"/>
    <w:rsid w:val="00033510"/>
    <w:rsid w:val="00033832"/>
    <w:rsid w:val="000351DA"/>
    <w:rsid w:val="00035F4B"/>
    <w:rsid w:val="0003633C"/>
    <w:rsid w:val="00037C6E"/>
    <w:rsid w:val="000415F5"/>
    <w:rsid w:val="00041BD3"/>
    <w:rsid w:val="00042698"/>
    <w:rsid w:val="00043781"/>
    <w:rsid w:val="00045939"/>
    <w:rsid w:val="00045BB5"/>
    <w:rsid w:val="00045F54"/>
    <w:rsid w:val="0004712B"/>
    <w:rsid w:val="00047191"/>
    <w:rsid w:val="00050640"/>
    <w:rsid w:val="00051DFD"/>
    <w:rsid w:val="00052674"/>
    <w:rsid w:val="00052775"/>
    <w:rsid w:val="0005319B"/>
    <w:rsid w:val="000533E6"/>
    <w:rsid w:val="00053A8F"/>
    <w:rsid w:val="00054E6B"/>
    <w:rsid w:val="00056B0A"/>
    <w:rsid w:val="000576B7"/>
    <w:rsid w:val="00057FBE"/>
    <w:rsid w:val="00063F90"/>
    <w:rsid w:val="00064400"/>
    <w:rsid w:val="00065103"/>
    <w:rsid w:val="0006590B"/>
    <w:rsid w:val="00065F74"/>
    <w:rsid w:val="00066B09"/>
    <w:rsid w:val="0006724B"/>
    <w:rsid w:val="0006792B"/>
    <w:rsid w:val="00071299"/>
    <w:rsid w:val="0007173B"/>
    <w:rsid w:val="00074FA4"/>
    <w:rsid w:val="00075AE7"/>
    <w:rsid w:val="00076B25"/>
    <w:rsid w:val="00076E23"/>
    <w:rsid w:val="000774BC"/>
    <w:rsid w:val="00077625"/>
    <w:rsid w:val="00077813"/>
    <w:rsid w:val="0008070E"/>
    <w:rsid w:val="000814D9"/>
    <w:rsid w:val="00082038"/>
    <w:rsid w:val="000866E1"/>
    <w:rsid w:val="000877CC"/>
    <w:rsid w:val="0009020D"/>
    <w:rsid w:val="00091D4F"/>
    <w:rsid w:val="000933AA"/>
    <w:rsid w:val="00093AF3"/>
    <w:rsid w:val="00094892"/>
    <w:rsid w:val="000957BE"/>
    <w:rsid w:val="00095A86"/>
    <w:rsid w:val="000A07A4"/>
    <w:rsid w:val="000A098A"/>
    <w:rsid w:val="000A123B"/>
    <w:rsid w:val="000A261B"/>
    <w:rsid w:val="000A309B"/>
    <w:rsid w:val="000A3911"/>
    <w:rsid w:val="000A3FCD"/>
    <w:rsid w:val="000A4FB0"/>
    <w:rsid w:val="000A70AD"/>
    <w:rsid w:val="000A7176"/>
    <w:rsid w:val="000A7616"/>
    <w:rsid w:val="000B1548"/>
    <w:rsid w:val="000B1C21"/>
    <w:rsid w:val="000B2620"/>
    <w:rsid w:val="000B45AA"/>
    <w:rsid w:val="000B47D1"/>
    <w:rsid w:val="000B61BF"/>
    <w:rsid w:val="000B61D1"/>
    <w:rsid w:val="000B62B9"/>
    <w:rsid w:val="000B62F1"/>
    <w:rsid w:val="000B685B"/>
    <w:rsid w:val="000B771B"/>
    <w:rsid w:val="000B7A99"/>
    <w:rsid w:val="000C0813"/>
    <w:rsid w:val="000C0B3B"/>
    <w:rsid w:val="000C14EF"/>
    <w:rsid w:val="000C360A"/>
    <w:rsid w:val="000C51B5"/>
    <w:rsid w:val="000C690F"/>
    <w:rsid w:val="000D0389"/>
    <w:rsid w:val="000D1C5D"/>
    <w:rsid w:val="000D2526"/>
    <w:rsid w:val="000D33B9"/>
    <w:rsid w:val="000D36FE"/>
    <w:rsid w:val="000D3CE2"/>
    <w:rsid w:val="000D3F96"/>
    <w:rsid w:val="000D7686"/>
    <w:rsid w:val="000E0C26"/>
    <w:rsid w:val="000E13C7"/>
    <w:rsid w:val="000E36A0"/>
    <w:rsid w:val="000E3AED"/>
    <w:rsid w:val="000E4D27"/>
    <w:rsid w:val="000E53C9"/>
    <w:rsid w:val="000E5DA9"/>
    <w:rsid w:val="000E6E98"/>
    <w:rsid w:val="000E709D"/>
    <w:rsid w:val="000E70FD"/>
    <w:rsid w:val="000E72C9"/>
    <w:rsid w:val="000E76D8"/>
    <w:rsid w:val="000E7F29"/>
    <w:rsid w:val="000F0307"/>
    <w:rsid w:val="000F0395"/>
    <w:rsid w:val="000F05CA"/>
    <w:rsid w:val="000F17B2"/>
    <w:rsid w:val="000F1EF8"/>
    <w:rsid w:val="000F2FC9"/>
    <w:rsid w:val="000F66B0"/>
    <w:rsid w:val="0010043F"/>
    <w:rsid w:val="0010076D"/>
    <w:rsid w:val="00100828"/>
    <w:rsid w:val="00100FF5"/>
    <w:rsid w:val="001013D0"/>
    <w:rsid w:val="00101C8F"/>
    <w:rsid w:val="001022C7"/>
    <w:rsid w:val="0010283A"/>
    <w:rsid w:val="00102DCA"/>
    <w:rsid w:val="00103654"/>
    <w:rsid w:val="00103F08"/>
    <w:rsid w:val="001062E9"/>
    <w:rsid w:val="0010687A"/>
    <w:rsid w:val="00106C1B"/>
    <w:rsid w:val="00107C52"/>
    <w:rsid w:val="001106E5"/>
    <w:rsid w:val="001107DD"/>
    <w:rsid w:val="00110CAA"/>
    <w:rsid w:val="0011240B"/>
    <w:rsid w:val="00115DA3"/>
    <w:rsid w:val="00115E8B"/>
    <w:rsid w:val="0011604E"/>
    <w:rsid w:val="001162AA"/>
    <w:rsid w:val="001203B7"/>
    <w:rsid w:val="001212BC"/>
    <w:rsid w:val="00122A50"/>
    <w:rsid w:val="001231E8"/>
    <w:rsid w:val="00124FB0"/>
    <w:rsid w:val="00125AF3"/>
    <w:rsid w:val="00126079"/>
    <w:rsid w:val="001301DD"/>
    <w:rsid w:val="0013295F"/>
    <w:rsid w:val="001332C1"/>
    <w:rsid w:val="00134152"/>
    <w:rsid w:val="00135312"/>
    <w:rsid w:val="001366EF"/>
    <w:rsid w:val="00136F08"/>
    <w:rsid w:val="00141E2B"/>
    <w:rsid w:val="00142694"/>
    <w:rsid w:val="0014301A"/>
    <w:rsid w:val="001436E8"/>
    <w:rsid w:val="0014376D"/>
    <w:rsid w:val="001437B9"/>
    <w:rsid w:val="00143F2B"/>
    <w:rsid w:val="00143FF2"/>
    <w:rsid w:val="00144320"/>
    <w:rsid w:val="001448C0"/>
    <w:rsid w:val="001449DD"/>
    <w:rsid w:val="00144D55"/>
    <w:rsid w:val="00145CD2"/>
    <w:rsid w:val="00145ECE"/>
    <w:rsid w:val="0014685A"/>
    <w:rsid w:val="00147760"/>
    <w:rsid w:val="00147AA8"/>
    <w:rsid w:val="0015118D"/>
    <w:rsid w:val="00153AD3"/>
    <w:rsid w:val="00154BDA"/>
    <w:rsid w:val="0015580C"/>
    <w:rsid w:val="0015584A"/>
    <w:rsid w:val="00157276"/>
    <w:rsid w:val="00157924"/>
    <w:rsid w:val="001609D8"/>
    <w:rsid w:val="001610F6"/>
    <w:rsid w:val="00161ACB"/>
    <w:rsid w:val="00163FA2"/>
    <w:rsid w:val="001653B6"/>
    <w:rsid w:val="00165C75"/>
    <w:rsid w:val="00166538"/>
    <w:rsid w:val="001704C5"/>
    <w:rsid w:val="00172A8F"/>
    <w:rsid w:val="00177757"/>
    <w:rsid w:val="00180EB9"/>
    <w:rsid w:val="001818A8"/>
    <w:rsid w:val="001821FD"/>
    <w:rsid w:val="00183063"/>
    <w:rsid w:val="001830C5"/>
    <w:rsid w:val="00183958"/>
    <w:rsid w:val="00184F1A"/>
    <w:rsid w:val="0018529B"/>
    <w:rsid w:val="00185DEA"/>
    <w:rsid w:val="0019008D"/>
    <w:rsid w:val="0019115B"/>
    <w:rsid w:val="001922E7"/>
    <w:rsid w:val="001956B1"/>
    <w:rsid w:val="00195E2E"/>
    <w:rsid w:val="001967F7"/>
    <w:rsid w:val="00196DA6"/>
    <w:rsid w:val="001A0619"/>
    <w:rsid w:val="001A0716"/>
    <w:rsid w:val="001A2F70"/>
    <w:rsid w:val="001A3728"/>
    <w:rsid w:val="001A3A30"/>
    <w:rsid w:val="001A4CB0"/>
    <w:rsid w:val="001A7B75"/>
    <w:rsid w:val="001A7E17"/>
    <w:rsid w:val="001B0222"/>
    <w:rsid w:val="001B13F3"/>
    <w:rsid w:val="001B290C"/>
    <w:rsid w:val="001B3086"/>
    <w:rsid w:val="001B3BE7"/>
    <w:rsid w:val="001B4EE7"/>
    <w:rsid w:val="001B51F7"/>
    <w:rsid w:val="001B65B8"/>
    <w:rsid w:val="001B70EB"/>
    <w:rsid w:val="001B7410"/>
    <w:rsid w:val="001B7D07"/>
    <w:rsid w:val="001C01D5"/>
    <w:rsid w:val="001C07CA"/>
    <w:rsid w:val="001C0DCC"/>
    <w:rsid w:val="001C1197"/>
    <w:rsid w:val="001C1582"/>
    <w:rsid w:val="001C248F"/>
    <w:rsid w:val="001C28F5"/>
    <w:rsid w:val="001C2C98"/>
    <w:rsid w:val="001C3B80"/>
    <w:rsid w:val="001C4CE0"/>
    <w:rsid w:val="001C4D03"/>
    <w:rsid w:val="001C63B5"/>
    <w:rsid w:val="001C7722"/>
    <w:rsid w:val="001D0216"/>
    <w:rsid w:val="001D0438"/>
    <w:rsid w:val="001D05EE"/>
    <w:rsid w:val="001D0CF4"/>
    <w:rsid w:val="001D1038"/>
    <w:rsid w:val="001D3823"/>
    <w:rsid w:val="001D40A6"/>
    <w:rsid w:val="001D446F"/>
    <w:rsid w:val="001D4625"/>
    <w:rsid w:val="001D5245"/>
    <w:rsid w:val="001D5495"/>
    <w:rsid w:val="001D631F"/>
    <w:rsid w:val="001E1565"/>
    <w:rsid w:val="001E2595"/>
    <w:rsid w:val="001E3901"/>
    <w:rsid w:val="001E39F7"/>
    <w:rsid w:val="001E413C"/>
    <w:rsid w:val="001E5E69"/>
    <w:rsid w:val="001E5ED5"/>
    <w:rsid w:val="001E66FC"/>
    <w:rsid w:val="001E71A8"/>
    <w:rsid w:val="001E7282"/>
    <w:rsid w:val="001F001E"/>
    <w:rsid w:val="001F0C84"/>
    <w:rsid w:val="001F2D48"/>
    <w:rsid w:val="001F35AF"/>
    <w:rsid w:val="001F366F"/>
    <w:rsid w:val="001F3840"/>
    <w:rsid w:val="001F558C"/>
    <w:rsid w:val="001F620A"/>
    <w:rsid w:val="001F6758"/>
    <w:rsid w:val="00200699"/>
    <w:rsid w:val="002013D2"/>
    <w:rsid w:val="002020C4"/>
    <w:rsid w:val="0020273F"/>
    <w:rsid w:val="00203638"/>
    <w:rsid w:val="002038F9"/>
    <w:rsid w:val="0020394A"/>
    <w:rsid w:val="00203D0C"/>
    <w:rsid w:val="002041DF"/>
    <w:rsid w:val="002074E2"/>
    <w:rsid w:val="002106F3"/>
    <w:rsid w:val="0021187D"/>
    <w:rsid w:val="00211DC0"/>
    <w:rsid w:val="00211DEC"/>
    <w:rsid w:val="00212AC6"/>
    <w:rsid w:val="0021420D"/>
    <w:rsid w:val="00214D7C"/>
    <w:rsid w:val="00216E85"/>
    <w:rsid w:val="002174F9"/>
    <w:rsid w:val="00220222"/>
    <w:rsid w:val="00220879"/>
    <w:rsid w:val="00221C19"/>
    <w:rsid w:val="0022341D"/>
    <w:rsid w:val="002253A8"/>
    <w:rsid w:val="002256DF"/>
    <w:rsid w:val="00225794"/>
    <w:rsid w:val="002262C5"/>
    <w:rsid w:val="00227A69"/>
    <w:rsid w:val="00227BE5"/>
    <w:rsid w:val="00227D4B"/>
    <w:rsid w:val="00230785"/>
    <w:rsid w:val="00230B55"/>
    <w:rsid w:val="00232897"/>
    <w:rsid w:val="002328EF"/>
    <w:rsid w:val="00232AE8"/>
    <w:rsid w:val="00233BED"/>
    <w:rsid w:val="00235018"/>
    <w:rsid w:val="0023582F"/>
    <w:rsid w:val="00235955"/>
    <w:rsid w:val="00235ABE"/>
    <w:rsid w:val="002361FB"/>
    <w:rsid w:val="002370E0"/>
    <w:rsid w:val="0023750D"/>
    <w:rsid w:val="00237DEF"/>
    <w:rsid w:val="00240E45"/>
    <w:rsid w:val="00241247"/>
    <w:rsid w:val="00242435"/>
    <w:rsid w:val="0024283B"/>
    <w:rsid w:val="00243F73"/>
    <w:rsid w:val="002442F6"/>
    <w:rsid w:val="0024442E"/>
    <w:rsid w:val="00244A12"/>
    <w:rsid w:val="0024680C"/>
    <w:rsid w:val="00246AE2"/>
    <w:rsid w:val="00247566"/>
    <w:rsid w:val="00247B24"/>
    <w:rsid w:val="0025077C"/>
    <w:rsid w:val="00251393"/>
    <w:rsid w:val="00251CB2"/>
    <w:rsid w:val="00251D8D"/>
    <w:rsid w:val="0025260F"/>
    <w:rsid w:val="00253945"/>
    <w:rsid w:val="00254EA8"/>
    <w:rsid w:val="00256C6D"/>
    <w:rsid w:val="00256CCC"/>
    <w:rsid w:val="002571A4"/>
    <w:rsid w:val="00257E38"/>
    <w:rsid w:val="0026298B"/>
    <w:rsid w:val="0026460E"/>
    <w:rsid w:val="002653C2"/>
    <w:rsid w:val="00266930"/>
    <w:rsid w:val="00267155"/>
    <w:rsid w:val="00267670"/>
    <w:rsid w:val="002678EC"/>
    <w:rsid w:val="002725BC"/>
    <w:rsid w:val="00274F98"/>
    <w:rsid w:val="002752F0"/>
    <w:rsid w:val="00275682"/>
    <w:rsid w:val="0027581E"/>
    <w:rsid w:val="00275CE5"/>
    <w:rsid w:val="00276264"/>
    <w:rsid w:val="0027639E"/>
    <w:rsid w:val="00276A2D"/>
    <w:rsid w:val="00283C69"/>
    <w:rsid w:val="00283DBA"/>
    <w:rsid w:val="00284BD5"/>
    <w:rsid w:val="00284FE6"/>
    <w:rsid w:val="002867F3"/>
    <w:rsid w:val="00290F6A"/>
    <w:rsid w:val="002921B0"/>
    <w:rsid w:val="00292A02"/>
    <w:rsid w:val="0029392D"/>
    <w:rsid w:val="00293CED"/>
    <w:rsid w:val="00294BC4"/>
    <w:rsid w:val="00294D80"/>
    <w:rsid w:val="002974F2"/>
    <w:rsid w:val="00297A55"/>
    <w:rsid w:val="002A021C"/>
    <w:rsid w:val="002A1FBF"/>
    <w:rsid w:val="002A21BA"/>
    <w:rsid w:val="002A2673"/>
    <w:rsid w:val="002A3825"/>
    <w:rsid w:val="002A4609"/>
    <w:rsid w:val="002A58E7"/>
    <w:rsid w:val="002A619F"/>
    <w:rsid w:val="002A6C02"/>
    <w:rsid w:val="002A7012"/>
    <w:rsid w:val="002B1937"/>
    <w:rsid w:val="002B1CDF"/>
    <w:rsid w:val="002B3939"/>
    <w:rsid w:val="002B429A"/>
    <w:rsid w:val="002B4686"/>
    <w:rsid w:val="002B664B"/>
    <w:rsid w:val="002B7DA2"/>
    <w:rsid w:val="002C0374"/>
    <w:rsid w:val="002C19AB"/>
    <w:rsid w:val="002C1F5B"/>
    <w:rsid w:val="002C2D72"/>
    <w:rsid w:val="002C3122"/>
    <w:rsid w:val="002C3FB1"/>
    <w:rsid w:val="002C4D39"/>
    <w:rsid w:val="002C5871"/>
    <w:rsid w:val="002C658D"/>
    <w:rsid w:val="002D03F5"/>
    <w:rsid w:val="002D0C48"/>
    <w:rsid w:val="002D0C94"/>
    <w:rsid w:val="002D0F00"/>
    <w:rsid w:val="002D1F8E"/>
    <w:rsid w:val="002D2387"/>
    <w:rsid w:val="002D2465"/>
    <w:rsid w:val="002D2B99"/>
    <w:rsid w:val="002D316C"/>
    <w:rsid w:val="002D344D"/>
    <w:rsid w:val="002D4530"/>
    <w:rsid w:val="002D4AD4"/>
    <w:rsid w:val="002D631B"/>
    <w:rsid w:val="002D6607"/>
    <w:rsid w:val="002E27FF"/>
    <w:rsid w:val="002E2992"/>
    <w:rsid w:val="002E2D9C"/>
    <w:rsid w:val="002E3064"/>
    <w:rsid w:val="002E30A7"/>
    <w:rsid w:val="002E3662"/>
    <w:rsid w:val="002E4642"/>
    <w:rsid w:val="002E4729"/>
    <w:rsid w:val="002E49E3"/>
    <w:rsid w:val="002E7397"/>
    <w:rsid w:val="002F00CA"/>
    <w:rsid w:val="002F1BD4"/>
    <w:rsid w:val="002F247E"/>
    <w:rsid w:val="002F2D0B"/>
    <w:rsid w:val="002F31D5"/>
    <w:rsid w:val="002F3E2C"/>
    <w:rsid w:val="002F604C"/>
    <w:rsid w:val="002F63D8"/>
    <w:rsid w:val="00301432"/>
    <w:rsid w:val="00301572"/>
    <w:rsid w:val="00301CB2"/>
    <w:rsid w:val="00302399"/>
    <w:rsid w:val="003027F9"/>
    <w:rsid w:val="00303474"/>
    <w:rsid w:val="0030380C"/>
    <w:rsid w:val="003050F1"/>
    <w:rsid w:val="0030581F"/>
    <w:rsid w:val="00305E0F"/>
    <w:rsid w:val="00306D6A"/>
    <w:rsid w:val="003076E0"/>
    <w:rsid w:val="0030784B"/>
    <w:rsid w:val="003104A2"/>
    <w:rsid w:val="00311A0F"/>
    <w:rsid w:val="00311F3B"/>
    <w:rsid w:val="003123EF"/>
    <w:rsid w:val="00312C05"/>
    <w:rsid w:val="00312F16"/>
    <w:rsid w:val="003139B4"/>
    <w:rsid w:val="003151B8"/>
    <w:rsid w:val="003157DD"/>
    <w:rsid w:val="003158BF"/>
    <w:rsid w:val="003213C3"/>
    <w:rsid w:val="00321EB8"/>
    <w:rsid w:val="00322AF8"/>
    <w:rsid w:val="003260DC"/>
    <w:rsid w:val="003260E5"/>
    <w:rsid w:val="003265AD"/>
    <w:rsid w:val="003266BE"/>
    <w:rsid w:val="00327071"/>
    <w:rsid w:val="00327B3C"/>
    <w:rsid w:val="00330550"/>
    <w:rsid w:val="0033164A"/>
    <w:rsid w:val="00332E10"/>
    <w:rsid w:val="0034028E"/>
    <w:rsid w:val="00340F4D"/>
    <w:rsid w:val="0034201C"/>
    <w:rsid w:val="003422C8"/>
    <w:rsid w:val="003434F3"/>
    <w:rsid w:val="0034360D"/>
    <w:rsid w:val="00343F5F"/>
    <w:rsid w:val="0034446A"/>
    <w:rsid w:val="003447CA"/>
    <w:rsid w:val="00344CF6"/>
    <w:rsid w:val="00345AD8"/>
    <w:rsid w:val="00345C1F"/>
    <w:rsid w:val="00346910"/>
    <w:rsid w:val="00347CE7"/>
    <w:rsid w:val="00350360"/>
    <w:rsid w:val="003517F0"/>
    <w:rsid w:val="00351858"/>
    <w:rsid w:val="00353511"/>
    <w:rsid w:val="00353977"/>
    <w:rsid w:val="003548DD"/>
    <w:rsid w:val="00355424"/>
    <w:rsid w:val="00355DC5"/>
    <w:rsid w:val="00357EDC"/>
    <w:rsid w:val="0036104C"/>
    <w:rsid w:val="0036271A"/>
    <w:rsid w:val="003638BF"/>
    <w:rsid w:val="003641B9"/>
    <w:rsid w:val="00364311"/>
    <w:rsid w:val="003677D0"/>
    <w:rsid w:val="0036798A"/>
    <w:rsid w:val="0037080A"/>
    <w:rsid w:val="00370A1A"/>
    <w:rsid w:val="003723E9"/>
    <w:rsid w:val="0037273F"/>
    <w:rsid w:val="0037449D"/>
    <w:rsid w:val="00375864"/>
    <w:rsid w:val="003765C7"/>
    <w:rsid w:val="003765FB"/>
    <w:rsid w:val="003776B9"/>
    <w:rsid w:val="0038148A"/>
    <w:rsid w:val="00381A0F"/>
    <w:rsid w:val="003825C9"/>
    <w:rsid w:val="0038277F"/>
    <w:rsid w:val="003828D1"/>
    <w:rsid w:val="00382A99"/>
    <w:rsid w:val="00382AF6"/>
    <w:rsid w:val="00383DC6"/>
    <w:rsid w:val="00383F16"/>
    <w:rsid w:val="003843BD"/>
    <w:rsid w:val="003866A2"/>
    <w:rsid w:val="00386B59"/>
    <w:rsid w:val="00391A9B"/>
    <w:rsid w:val="00391CB2"/>
    <w:rsid w:val="00392203"/>
    <w:rsid w:val="00392335"/>
    <w:rsid w:val="003931CE"/>
    <w:rsid w:val="003955A2"/>
    <w:rsid w:val="00395917"/>
    <w:rsid w:val="003959F7"/>
    <w:rsid w:val="003960FC"/>
    <w:rsid w:val="0039660E"/>
    <w:rsid w:val="003969B0"/>
    <w:rsid w:val="003A0394"/>
    <w:rsid w:val="003A0AD7"/>
    <w:rsid w:val="003A1540"/>
    <w:rsid w:val="003A239A"/>
    <w:rsid w:val="003A34DE"/>
    <w:rsid w:val="003A413A"/>
    <w:rsid w:val="003A43B4"/>
    <w:rsid w:val="003A48E6"/>
    <w:rsid w:val="003A5649"/>
    <w:rsid w:val="003A58C8"/>
    <w:rsid w:val="003A62C9"/>
    <w:rsid w:val="003A6BE3"/>
    <w:rsid w:val="003A6D22"/>
    <w:rsid w:val="003A74A3"/>
    <w:rsid w:val="003B0C21"/>
    <w:rsid w:val="003B16AF"/>
    <w:rsid w:val="003B37B3"/>
    <w:rsid w:val="003B75CD"/>
    <w:rsid w:val="003C065B"/>
    <w:rsid w:val="003C0C31"/>
    <w:rsid w:val="003C1213"/>
    <w:rsid w:val="003C14FE"/>
    <w:rsid w:val="003C1F59"/>
    <w:rsid w:val="003C3099"/>
    <w:rsid w:val="003C3D34"/>
    <w:rsid w:val="003C4983"/>
    <w:rsid w:val="003C4C77"/>
    <w:rsid w:val="003C4F15"/>
    <w:rsid w:val="003C6110"/>
    <w:rsid w:val="003C6524"/>
    <w:rsid w:val="003C6DAF"/>
    <w:rsid w:val="003D0369"/>
    <w:rsid w:val="003D08CD"/>
    <w:rsid w:val="003D201B"/>
    <w:rsid w:val="003D2330"/>
    <w:rsid w:val="003D234C"/>
    <w:rsid w:val="003D3304"/>
    <w:rsid w:val="003D3A1E"/>
    <w:rsid w:val="003D6C38"/>
    <w:rsid w:val="003D73B0"/>
    <w:rsid w:val="003D7709"/>
    <w:rsid w:val="003D7799"/>
    <w:rsid w:val="003D7E6D"/>
    <w:rsid w:val="003E0864"/>
    <w:rsid w:val="003E0BAD"/>
    <w:rsid w:val="003E11FD"/>
    <w:rsid w:val="003E2271"/>
    <w:rsid w:val="003E267C"/>
    <w:rsid w:val="003E417B"/>
    <w:rsid w:val="003E4FAD"/>
    <w:rsid w:val="003E5984"/>
    <w:rsid w:val="003E5E32"/>
    <w:rsid w:val="003E6EB6"/>
    <w:rsid w:val="003F01DA"/>
    <w:rsid w:val="003F0249"/>
    <w:rsid w:val="003F0346"/>
    <w:rsid w:val="003F12F9"/>
    <w:rsid w:val="003F18BA"/>
    <w:rsid w:val="003F1B63"/>
    <w:rsid w:val="003F2C54"/>
    <w:rsid w:val="003F3001"/>
    <w:rsid w:val="003F372B"/>
    <w:rsid w:val="003F3A4A"/>
    <w:rsid w:val="003F3B7B"/>
    <w:rsid w:val="003F3D14"/>
    <w:rsid w:val="003F49DB"/>
    <w:rsid w:val="003F53E4"/>
    <w:rsid w:val="003F547D"/>
    <w:rsid w:val="003F62C1"/>
    <w:rsid w:val="003F6721"/>
    <w:rsid w:val="00400AAC"/>
    <w:rsid w:val="00400C0B"/>
    <w:rsid w:val="004018CF"/>
    <w:rsid w:val="004029DC"/>
    <w:rsid w:val="0040366C"/>
    <w:rsid w:val="004036E9"/>
    <w:rsid w:val="004043B7"/>
    <w:rsid w:val="0040486F"/>
    <w:rsid w:val="00404A64"/>
    <w:rsid w:val="00404B69"/>
    <w:rsid w:val="00405EA1"/>
    <w:rsid w:val="0040785E"/>
    <w:rsid w:val="00410C19"/>
    <w:rsid w:val="00410E41"/>
    <w:rsid w:val="00411380"/>
    <w:rsid w:val="00411F77"/>
    <w:rsid w:val="00412635"/>
    <w:rsid w:val="00412856"/>
    <w:rsid w:val="00414185"/>
    <w:rsid w:val="00414A74"/>
    <w:rsid w:val="00414B0D"/>
    <w:rsid w:val="00415511"/>
    <w:rsid w:val="00416179"/>
    <w:rsid w:val="004175B0"/>
    <w:rsid w:val="004178EE"/>
    <w:rsid w:val="00421862"/>
    <w:rsid w:val="00421D41"/>
    <w:rsid w:val="00421D67"/>
    <w:rsid w:val="00422243"/>
    <w:rsid w:val="00422DDF"/>
    <w:rsid w:val="00422E15"/>
    <w:rsid w:val="00423B85"/>
    <w:rsid w:val="00423F64"/>
    <w:rsid w:val="00425D7F"/>
    <w:rsid w:val="004262B2"/>
    <w:rsid w:val="00427D01"/>
    <w:rsid w:val="0043084C"/>
    <w:rsid w:val="00430B01"/>
    <w:rsid w:val="00431303"/>
    <w:rsid w:val="00431CD5"/>
    <w:rsid w:val="00432374"/>
    <w:rsid w:val="00432E23"/>
    <w:rsid w:val="004331CF"/>
    <w:rsid w:val="00433764"/>
    <w:rsid w:val="00434187"/>
    <w:rsid w:val="00435013"/>
    <w:rsid w:val="00435FCF"/>
    <w:rsid w:val="00436EA9"/>
    <w:rsid w:val="004379F8"/>
    <w:rsid w:val="0044021F"/>
    <w:rsid w:val="00442164"/>
    <w:rsid w:val="00442A7C"/>
    <w:rsid w:val="00442FBA"/>
    <w:rsid w:val="0044342B"/>
    <w:rsid w:val="0044395C"/>
    <w:rsid w:val="00443BFF"/>
    <w:rsid w:val="004463A0"/>
    <w:rsid w:val="004465D1"/>
    <w:rsid w:val="00446D57"/>
    <w:rsid w:val="004510C4"/>
    <w:rsid w:val="00452AE8"/>
    <w:rsid w:val="00453C5D"/>
    <w:rsid w:val="00453D69"/>
    <w:rsid w:val="00454265"/>
    <w:rsid w:val="0045639E"/>
    <w:rsid w:val="00463861"/>
    <w:rsid w:val="004652C8"/>
    <w:rsid w:val="004657BC"/>
    <w:rsid w:val="00465A5A"/>
    <w:rsid w:val="00466431"/>
    <w:rsid w:val="004710C1"/>
    <w:rsid w:val="00473879"/>
    <w:rsid w:val="00473886"/>
    <w:rsid w:val="00474A48"/>
    <w:rsid w:val="00475677"/>
    <w:rsid w:val="00475AB2"/>
    <w:rsid w:val="004812DF"/>
    <w:rsid w:val="0048155F"/>
    <w:rsid w:val="004868CF"/>
    <w:rsid w:val="00490583"/>
    <w:rsid w:val="00490909"/>
    <w:rsid w:val="00492432"/>
    <w:rsid w:val="004931AC"/>
    <w:rsid w:val="00493614"/>
    <w:rsid w:val="00493897"/>
    <w:rsid w:val="004945A6"/>
    <w:rsid w:val="0049720A"/>
    <w:rsid w:val="00497A55"/>
    <w:rsid w:val="004A0D7A"/>
    <w:rsid w:val="004A3415"/>
    <w:rsid w:val="004A5FEC"/>
    <w:rsid w:val="004A74BB"/>
    <w:rsid w:val="004B1F16"/>
    <w:rsid w:val="004B3BF3"/>
    <w:rsid w:val="004B46F8"/>
    <w:rsid w:val="004B4A12"/>
    <w:rsid w:val="004B54ED"/>
    <w:rsid w:val="004B70E3"/>
    <w:rsid w:val="004B7661"/>
    <w:rsid w:val="004B79C6"/>
    <w:rsid w:val="004C0E9E"/>
    <w:rsid w:val="004C1CB3"/>
    <w:rsid w:val="004C2719"/>
    <w:rsid w:val="004C317C"/>
    <w:rsid w:val="004C6599"/>
    <w:rsid w:val="004C6E01"/>
    <w:rsid w:val="004C78D3"/>
    <w:rsid w:val="004D0B4C"/>
    <w:rsid w:val="004D1577"/>
    <w:rsid w:val="004D180C"/>
    <w:rsid w:val="004D24D7"/>
    <w:rsid w:val="004D2DA7"/>
    <w:rsid w:val="004D499A"/>
    <w:rsid w:val="004D7213"/>
    <w:rsid w:val="004E1C71"/>
    <w:rsid w:val="004E2639"/>
    <w:rsid w:val="004E2843"/>
    <w:rsid w:val="004E2E66"/>
    <w:rsid w:val="004E52B8"/>
    <w:rsid w:val="004E65B0"/>
    <w:rsid w:val="004E6E5C"/>
    <w:rsid w:val="004F198E"/>
    <w:rsid w:val="004F2D7D"/>
    <w:rsid w:val="004F3BF9"/>
    <w:rsid w:val="004F46AC"/>
    <w:rsid w:val="004F49C5"/>
    <w:rsid w:val="004F50CC"/>
    <w:rsid w:val="004F5572"/>
    <w:rsid w:val="004F59DD"/>
    <w:rsid w:val="004F7677"/>
    <w:rsid w:val="004F7893"/>
    <w:rsid w:val="005002EF"/>
    <w:rsid w:val="005005EF"/>
    <w:rsid w:val="00500964"/>
    <w:rsid w:val="00500A8D"/>
    <w:rsid w:val="00502782"/>
    <w:rsid w:val="005028A1"/>
    <w:rsid w:val="005031B1"/>
    <w:rsid w:val="00503E8E"/>
    <w:rsid w:val="005044BF"/>
    <w:rsid w:val="00504943"/>
    <w:rsid w:val="00505703"/>
    <w:rsid w:val="00505ECD"/>
    <w:rsid w:val="005063C0"/>
    <w:rsid w:val="005068CD"/>
    <w:rsid w:val="005110CC"/>
    <w:rsid w:val="00511BAF"/>
    <w:rsid w:val="00513947"/>
    <w:rsid w:val="00513CC2"/>
    <w:rsid w:val="00514431"/>
    <w:rsid w:val="00515CE1"/>
    <w:rsid w:val="00516FA3"/>
    <w:rsid w:val="00516FF6"/>
    <w:rsid w:val="00520068"/>
    <w:rsid w:val="00520691"/>
    <w:rsid w:val="0052148F"/>
    <w:rsid w:val="00521F7E"/>
    <w:rsid w:val="00522AEA"/>
    <w:rsid w:val="00522C17"/>
    <w:rsid w:val="00524287"/>
    <w:rsid w:val="00526F14"/>
    <w:rsid w:val="00530E16"/>
    <w:rsid w:val="0053132E"/>
    <w:rsid w:val="00535AD5"/>
    <w:rsid w:val="00535D24"/>
    <w:rsid w:val="00535F12"/>
    <w:rsid w:val="0053726E"/>
    <w:rsid w:val="00537B9A"/>
    <w:rsid w:val="00537BF8"/>
    <w:rsid w:val="005417FB"/>
    <w:rsid w:val="0054483F"/>
    <w:rsid w:val="00545DAA"/>
    <w:rsid w:val="00546C9F"/>
    <w:rsid w:val="00547B55"/>
    <w:rsid w:val="00550E97"/>
    <w:rsid w:val="005535CA"/>
    <w:rsid w:val="005558CE"/>
    <w:rsid w:val="00556684"/>
    <w:rsid w:val="00557F56"/>
    <w:rsid w:val="005609D7"/>
    <w:rsid w:val="005610AF"/>
    <w:rsid w:val="00565456"/>
    <w:rsid w:val="00565894"/>
    <w:rsid w:val="00565E9A"/>
    <w:rsid w:val="00567622"/>
    <w:rsid w:val="00567DA5"/>
    <w:rsid w:val="00570145"/>
    <w:rsid w:val="0057017F"/>
    <w:rsid w:val="00570875"/>
    <w:rsid w:val="00570A14"/>
    <w:rsid w:val="0057178E"/>
    <w:rsid w:val="00571898"/>
    <w:rsid w:val="00573DF8"/>
    <w:rsid w:val="00573F08"/>
    <w:rsid w:val="00573FFC"/>
    <w:rsid w:val="005743B1"/>
    <w:rsid w:val="00574D02"/>
    <w:rsid w:val="00574D81"/>
    <w:rsid w:val="005754C7"/>
    <w:rsid w:val="00576016"/>
    <w:rsid w:val="00576B37"/>
    <w:rsid w:val="00576BA7"/>
    <w:rsid w:val="00576C1F"/>
    <w:rsid w:val="00577A47"/>
    <w:rsid w:val="00577D89"/>
    <w:rsid w:val="00584982"/>
    <w:rsid w:val="005849EE"/>
    <w:rsid w:val="00584D2C"/>
    <w:rsid w:val="00585BEE"/>
    <w:rsid w:val="005860B7"/>
    <w:rsid w:val="00587762"/>
    <w:rsid w:val="0058782D"/>
    <w:rsid w:val="00587CE5"/>
    <w:rsid w:val="00587F07"/>
    <w:rsid w:val="0059039A"/>
    <w:rsid w:val="0059130F"/>
    <w:rsid w:val="00591979"/>
    <w:rsid w:val="0059219D"/>
    <w:rsid w:val="00592286"/>
    <w:rsid w:val="00593EF8"/>
    <w:rsid w:val="00594CC8"/>
    <w:rsid w:val="00594F0C"/>
    <w:rsid w:val="0059589F"/>
    <w:rsid w:val="005975A3"/>
    <w:rsid w:val="005A07B4"/>
    <w:rsid w:val="005A1F9B"/>
    <w:rsid w:val="005A24CC"/>
    <w:rsid w:val="005A2970"/>
    <w:rsid w:val="005A41BE"/>
    <w:rsid w:val="005A593F"/>
    <w:rsid w:val="005A7BE1"/>
    <w:rsid w:val="005A7D01"/>
    <w:rsid w:val="005B0A9C"/>
    <w:rsid w:val="005B15F1"/>
    <w:rsid w:val="005B1FE1"/>
    <w:rsid w:val="005B2026"/>
    <w:rsid w:val="005B2172"/>
    <w:rsid w:val="005B2479"/>
    <w:rsid w:val="005B2BCB"/>
    <w:rsid w:val="005B4364"/>
    <w:rsid w:val="005B4401"/>
    <w:rsid w:val="005B4433"/>
    <w:rsid w:val="005B6AA3"/>
    <w:rsid w:val="005B6B32"/>
    <w:rsid w:val="005B76B7"/>
    <w:rsid w:val="005B77C0"/>
    <w:rsid w:val="005C00B2"/>
    <w:rsid w:val="005C0555"/>
    <w:rsid w:val="005C06F5"/>
    <w:rsid w:val="005C0B58"/>
    <w:rsid w:val="005C0CD6"/>
    <w:rsid w:val="005C0EFA"/>
    <w:rsid w:val="005C2AF5"/>
    <w:rsid w:val="005C2B50"/>
    <w:rsid w:val="005C2CFF"/>
    <w:rsid w:val="005C3E6A"/>
    <w:rsid w:val="005C4D69"/>
    <w:rsid w:val="005C56A5"/>
    <w:rsid w:val="005D01DA"/>
    <w:rsid w:val="005D1133"/>
    <w:rsid w:val="005D1136"/>
    <w:rsid w:val="005D24CC"/>
    <w:rsid w:val="005D2DB4"/>
    <w:rsid w:val="005D59EF"/>
    <w:rsid w:val="005D6632"/>
    <w:rsid w:val="005D6E71"/>
    <w:rsid w:val="005E00CB"/>
    <w:rsid w:val="005E24A8"/>
    <w:rsid w:val="005E3FE5"/>
    <w:rsid w:val="005E4455"/>
    <w:rsid w:val="005E7CB8"/>
    <w:rsid w:val="005F019C"/>
    <w:rsid w:val="005F10C4"/>
    <w:rsid w:val="005F1171"/>
    <w:rsid w:val="005F1B05"/>
    <w:rsid w:val="005F1D11"/>
    <w:rsid w:val="005F1EA4"/>
    <w:rsid w:val="005F2736"/>
    <w:rsid w:val="005F2887"/>
    <w:rsid w:val="005F3161"/>
    <w:rsid w:val="005F3A51"/>
    <w:rsid w:val="005F4538"/>
    <w:rsid w:val="005F534A"/>
    <w:rsid w:val="005F567B"/>
    <w:rsid w:val="005F6D51"/>
    <w:rsid w:val="00601B31"/>
    <w:rsid w:val="00603191"/>
    <w:rsid w:val="00604732"/>
    <w:rsid w:val="00604794"/>
    <w:rsid w:val="00604C8F"/>
    <w:rsid w:val="0060591A"/>
    <w:rsid w:val="00605A77"/>
    <w:rsid w:val="0060703C"/>
    <w:rsid w:val="0061122C"/>
    <w:rsid w:val="0061211C"/>
    <w:rsid w:val="00612F3F"/>
    <w:rsid w:val="00613051"/>
    <w:rsid w:val="00614A10"/>
    <w:rsid w:val="00617719"/>
    <w:rsid w:val="00617D0D"/>
    <w:rsid w:val="0062018F"/>
    <w:rsid w:val="006209EA"/>
    <w:rsid w:val="0062115A"/>
    <w:rsid w:val="00622C9F"/>
    <w:rsid w:val="00626BCB"/>
    <w:rsid w:val="00630C47"/>
    <w:rsid w:val="006314D6"/>
    <w:rsid w:val="00632472"/>
    <w:rsid w:val="006324B0"/>
    <w:rsid w:val="006324B1"/>
    <w:rsid w:val="006329D0"/>
    <w:rsid w:val="0063488E"/>
    <w:rsid w:val="00634956"/>
    <w:rsid w:val="006350DF"/>
    <w:rsid w:val="006368F6"/>
    <w:rsid w:val="00636944"/>
    <w:rsid w:val="006377DA"/>
    <w:rsid w:val="00640586"/>
    <w:rsid w:val="006421C2"/>
    <w:rsid w:val="006427AF"/>
    <w:rsid w:val="0064413B"/>
    <w:rsid w:val="006441DE"/>
    <w:rsid w:val="0064595C"/>
    <w:rsid w:val="00645BB9"/>
    <w:rsid w:val="006460D8"/>
    <w:rsid w:val="006461A0"/>
    <w:rsid w:val="00652686"/>
    <w:rsid w:val="00653EE2"/>
    <w:rsid w:val="00655CE2"/>
    <w:rsid w:val="006574F2"/>
    <w:rsid w:val="00662855"/>
    <w:rsid w:val="00662B09"/>
    <w:rsid w:val="0066422A"/>
    <w:rsid w:val="0066433C"/>
    <w:rsid w:val="0066589E"/>
    <w:rsid w:val="00666BB5"/>
    <w:rsid w:val="00666F0F"/>
    <w:rsid w:val="006673D9"/>
    <w:rsid w:val="00667F7A"/>
    <w:rsid w:val="00670549"/>
    <w:rsid w:val="006711A6"/>
    <w:rsid w:val="00673963"/>
    <w:rsid w:val="00673E31"/>
    <w:rsid w:val="00673F00"/>
    <w:rsid w:val="00675FE7"/>
    <w:rsid w:val="00676A7D"/>
    <w:rsid w:val="006778F6"/>
    <w:rsid w:val="00680411"/>
    <w:rsid w:val="006817F6"/>
    <w:rsid w:val="0068205C"/>
    <w:rsid w:val="0068330A"/>
    <w:rsid w:val="0068356D"/>
    <w:rsid w:val="00683F35"/>
    <w:rsid w:val="00685AD2"/>
    <w:rsid w:val="00685B45"/>
    <w:rsid w:val="00687428"/>
    <w:rsid w:val="00687E8C"/>
    <w:rsid w:val="00690BFE"/>
    <w:rsid w:val="00690D28"/>
    <w:rsid w:val="006912BB"/>
    <w:rsid w:val="006913B9"/>
    <w:rsid w:val="006925AB"/>
    <w:rsid w:val="0069429E"/>
    <w:rsid w:val="00695431"/>
    <w:rsid w:val="00696F69"/>
    <w:rsid w:val="00697829"/>
    <w:rsid w:val="006A0710"/>
    <w:rsid w:val="006A073C"/>
    <w:rsid w:val="006A255F"/>
    <w:rsid w:val="006A41D3"/>
    <w:rsid w:val="006A59F2"/>
    <w:rsid w:val="006A700F"/>
    <w:rsid w:val="006A7122"/>
    <w:rsid w:val="006A725E"/>
    <w:rsid w:val="006B140F"/>
    <w:rsid w:val="006B1AD2"/>
    <w:rsid w:val="006B2DE4"/>
    <w:rsid w:val="006B30B3"/>
    <w:rsid w:val="006B40DC"/>
    <w:rsid w:val="006B544E"/>
    <w:rsid w:val="006B547F"/>
    <w:rsid w:val="006B625D"/>
    <w:rsid w:val="006B6727"/>
    <w:rsid w:val="006B6938"/>
    <w:rsid w:val="006B78DD"/>
    <w:rsid w:val="006B7E9D"/>
    <w:rsid w:val="006C13C3"/>
    <w:rsid w:val="006C1617"/>
    <w:rsid w:val="006C35B6"/>
    <w:rsid w:val="006C5294"/>
    <w:rsid w:val="006C5EBC"/>
    <w:rsid w:val="006C68D5"/>
    <w:rsid w:val="006C6938"/>
    <w:rsid w:val="006C7092"/>
    <w:rsid w:val="006C76DC"/>
    <w:rsid w:val="006C76FF"/>
    <w:rsid w:val="006D009C"/>
    <w:rsid w:val="006D0451"/>
    <w:rsid w:val="006D143C"/>
    <w:rsid w:val="006D1BE8"/>
    <w:rsid w:val="006D216E"/>
    <w:rsid w:val="006D21C6"/>
    <w:rsid w:val="006D2429"/>
    <w:rsid w:val="006D308C"/>
    <w:rsid w:val="006D365D"/>
    <w:rsid w:val="006D3EAA"/>
    <w:rsid w:val="006D61F6"/>
    <w:rsid w:val="006D6ABA"/>
    <w:rsid w:val="006D762F"/>
    <w:rsid w:val="006E071B"/>
    <w:rsid w:val="006E07D2"/>
    <w:rsid w:val="006E30AD"/>
    <w:rsid w:val="006E386E"/>
    <w:rsid w:val="006E3F01"/>
    <w:rsid w:val="006E4506"/>
    <w:rsid w:val="006E5592"/>
    <w:rsid w:val="006E68F9"/>
    <w:rsid w:val="006F176A"/>
    <w:rsid w:val="006F1B45"/>
    <w:rsid w:val="006F1F9F"/>
    <w:rsid w:val="006F3864"/>
    <w:rsid w:val="006F44AA"/>
    <w:rsid w:val="006F57BB"/>
    <w:rsid w:val="006F7319"/>
    <w:rsid w:val="006F76B4"/>
    <w:rsid w:val="00700D07"/>
    <w:rsid w:val="007010E7"/>
    <w:rsid w:val="007020F2"/>
    <w:rsid w:val="00704713"/>
    <w:rsid w:val="00706D92"/>
    <w:rsid w:val="007119D9"/>
    <w:rsid w:val="0071242F"/>
    <w:rsid w:val="0071371C"/>
    <w:rsid w:val="00713C74"/>
    <w:rsid w:val="00714AF9"/>
    <w:rsid w:val="0071508B"/>
    <w:rsid w:val="00715A7E"/>
    <w:rsid w:val="00717297"/>
    <w:rsid w:val="00717704"/>
    <w:rsid w:val="007217A3"/>
    <w:rsid w:val="00726449"/>
    <w:rsid w:val="007275E6"/>
    <w:rsid w:val="00727755"/>
    <w:rsid w:val="00727DF4"/>
    <w:rsid w:val="00730031"/>
    <w:rsid w:val="00731822"/>
    <w:rsid w:val="00731BD4"/>
    <w:rsid w:val="00732D6F"/>
    <w:rsid w:val="00733683"/>
    <w:rsid w:val="00733A20"/>
    <w:rsid w:val="007373D2"/>
    <w:rsid w:val="0073745A"/>
    <w:rsid w:val="00740ABB"/>
    <w:rsid w:val="00741915"/>
    <w:rsid w:val="007421EA"/>
    <w:rsid w:val="00742648"/>
    <w:rsid w:val="00742ABF"/>
    <w:rsid w:val="0074434A"/>
    <w:rsid w:val="0074551F"/>
    <w:rsid w:val="00745646"/>
    <w:rsid w:val="00745C36"/>
    <w:rsid w:val="0074621E"/>
    <w:rsid w:val="007471C5"/>
    <w:rsid w:val="00747F5C"/>
    <w:rsid w:val="007506A1"/>
    <w:rsid w:val="00751194"/>
    <w:rsid w:val="007517BD"/>
    <w:rsid w:val="00751DEC"/>
    <w:rsid w:val="0075219E"/>
    <w:rsid w:val="007522EC"/>
    <w:rsid w:val="00753356"/>
    <w:rsid w:val="00753954"/>
    <w:rsid w:val="00753BC5"/>
    <w:rsid w:val="00756543"/>
    <w:rsid w:val="00756A95"/>
    <w:rsid w:val="00757C4C"/>
    <w:rsid w:val="007601E5"/>
    <w:rsid w:val="0076040E"/>
    <w:rsid w:val="007606EF"/>
    <w:rsid w:val="007609B4"/>
    <w:rsid w:val="00762892"/>
    <w:rsid w:val="0076479C"/>
    <w:rsid w:val="00765737"/>
    <w:rsid w:val="0076653C"/>
    <w:rsid w:val="00766FCD"/>
    <w:rsid w:val="007670C7"/>
    <w:rsid w:val="0076737D"/>
    <w:rsid w:val="00767588"/>
    <w:rsid w:val="007679F4"/>
    <w:rsid w:val="007700C6"/>
    <w:rsid w:val="00770990"/>
    <w:rsid w:val="007711B7"/>
    <w:rsid w:val="00771A66"/>
    <w:rsid w:val="007739CE"/>
    <w:rsid w:val="00773FF3"/>
    <w:rsid w:val="007765F3"/>
    <w:rsid w:val="00776BE2"/>
    <w:rsid w:val="007773E5"/>
    <w:rsid w:val="00777DC3"/>
    <w:rsid w:val="00777FCC"/>
    <w:rsid w:val="0078007F"/>
    <w:rsid w:val="00780686"/>
    <w:rsid w:val="007818FC"/>
    <w:rsid w:val="00781A17"/>
    <w:rsid w:val="007835AA"/>
    <w:rsid w:val="007842E5"/>
    <w:rsid w:val="0078459F"/>
    <w:rsid w:val="00784A9A"/>
    <w:rsid w:val="00784D21"/>
    <w:rsid w:val="00785278"/>
    <w:rsid w:val="007852B6"/>
    <w:rsid w:val="00790A15"/>
    <w:rsid w:val="00790BBB"/>
    <w:rsid w:val="0079115A"/>
    <w:rsid w:val="00791997"/>
    <w:rsid w:val="007925E3"/>
    <w:rsid w:val="007926E0"/>
    <w:rsid w:val="007927E9"/>
    <w:rsid w:val="00793DEE"/>
    <w:rsid w:val="0079413B"/>
    <w:rsid w:val="00794166"/>
    <w:rsid w:val="00794CFA"/>
    <w:rsid w:val="00795D21"/>
    <w:rsid w:val="00796283"/>
    <w:rsid w:val="00796570"/>
    <w:rsid w:val="0079700F"/>
    <w:rsid w:val="00797B20"/>
    <w:rsid w:val="00797E77"/>
    <w:rsid w:val="007A0912"/>
    <w:rsid w:val="007A19A8"/>
    <w:rsid w:val="007A2093"/>
    <w:rsid w:val="007A2552"/>
    <w:rsid w:val="007A36C5"/>
    <w:rsid w:val="007A38CE"/>
    <w:rsid w:val="007A38F3"/>
    <w:rsid w:val="007A3A66"/>
    <w:rsid w:val="007A4FEC"/>
    <w:rsid w:val="007A7DCC"/>
    <w:rsid w:val="007B0865"/>
    <w:rsid w:val="007B285E"/>
    <w:rsid w:val="007B2AB1"/>
    <w:rsid w:val="007B311A"/>
    <w:rsid w:val="007B54B3"/>
    <w:rsid w:val="007B5969"/>
    <w:rsid w:val="007C2558"/>
    <w:rsid w:val="007C29AE"/>
    <w:rsid w:val="007C3703"/>
    <w:rsid w:val="007C3EA2"/>
    <w:rsid w:val="007C4840"/>
    <w:rsid w:val="007C63C1"/>
    <w:rsid w:val="007C7BD5"/>
    <w:rsid w:val="007D14ED"/>
    <w:rsid w:val="007D1CB4"/>
    <w:rsid w:val="007D1D8C"/>
    <w:rsid w:val="007D22CE"/>
    <w:rsid w:val="007D4201"/>
    <w:rsid w:val="007D471E"/>
    <w:rsid w:val="007D545B"/>
    <w:rsid w:val="007D6A0B"/>
    <w:rsid w:val="007E0F39"/>
    <w:rsid w:val="007E0F97"/>
    <w:rsid w:val="007E18F0"/>
    <w:rsid w:val="007E198A"/>
    <w:rsid w:val="007E1A21"/>
    <w:rsid w:val="007E20D2"/>
    <w:rsid w:val="007E4557"/>
    <w:rsid w:val="007E6B90"/>
    <w:rsid w:val="007E6E14"/>
    <w:rsid w:val="007E6E9A"/>
    <w:rsid w:val="007E7E69"/>
    <w:rsid w:val="007F031E"/>
    <w:rsid w:val="007F0C39"/>
    <w:rsid w:val="007F2243"/>
    <w:rsid w:val="007F30ED"/>
    <w:rsid w:val="007F3552"/>
    <w:rsid w:val="007F3AD2"/>
    <w:rsid w:val="007F4927"/>
    <w:rsid w:val="007F4BD7"/>
    <w:rsid w:val="007F50F5"/>
    <w:rsid w:val="007F67FD"/>
    <w:rsid w:val="007F723A"/>
    <w:rsid w:val="007F765D"/>
    <w:rsid w:val="007F7F96"/>
    <w:rsid w:val="008002EF"/>
    <w:rsid w:val="00800AF3"/>
    <w:rsid w:val="008020F9"/>
    <w:rsid w:val="0080226F"/>
    <w:rsid w:val="008024B7"/>
    <w:rsid w:val="0080271F"/>
    <w:rsid w:val="00802864"/>
    <w:rsid w:val="00803CF6"/>
    <w:rsid w:val="008044C1"/>
    <w:rsid w:val="0080479B"/>
    <w:rsid w:val="00805B15"/>
    <w:rsid w:val="008063DA"/>
    <w:rsid w:val="008101B9"/>
    <w:rsid w:val="00810E7B"/>
    <w:rsid w:val="00810FE5"/>
    <w:rsid w:val="0081130D"/>
    <w:rsid w:val="00811BCB"/>
    <w:rsid w:val="0081494F"/>
    <w:rsid w:val="00815614"/>
    <w:rsid w:val="00816733"/>
    <w:rsid w:val="00816C35"/>
    <w:rsid w:val="00821331"/>
    <w:rsid w:val="0082176C"/>
    <w:rsid w:val="0082270B"/>
    <w:rsid w:val="00822848"/>
    <w:rsid w:val="00822E9F"/>
    <w:rsid w:val="008234D8"/>
    <w:rsid w:val="008243AD"/>
    <w:rsid w:val="00824B41"/>
    <w:rsid w:val="00824E0B"/>
    <w:rsid w:val="0082523B"/>
    <w:rsid w:val="008252CA"/>
    <w:rsid w:val="008258B3"/>
    <w:rsid w:val="00826179"/>
    <w:rsid w:val="00827470"/>
    <w:rsid w:val="00830A20"/>
    <w:rsid w:val="00832D70"/>
    <w:rsid w:val="008333AE"/>
    <w:rsid w:val="00834167"/>
    <w:rsid w:val="00834827"/>
    <w:rsid w:val="00834942"/>
    <w:rsid w:val="00834EDA"/>
    <w:rsid w:val="0083695E"/>
    <w:rsid w:val="00836C9A"/>
    <w:rsid w:val="0084325E"/>
    <w:rsid w:val="008432CD"/>
    <w:rsid w:val="00843DD6"/>
    <w:rsid w:val="00844595"/>
    <w:rsid w:val="0084492C"/>
    <w:rsid w:val="008458CC"/>
    <w:rsid w:val="00845AB7"/>
    <w:rsid w:val="00845BBF"/>
    <w:rsid w:val="00845EE3"/>
    <w:rsid w:val="008471D8"/>
    <w:rsid w:val="008475B4"/>
    <w:rsid w:val="00847755"/>
    <w:rsid w:val="00847A88"/>
    <w:rsid w:val="00851E13"/>
    <w:rsid w:val="00851F51"/>
    <w:rsid w:val="00852E31"/>
    <w:rsid w:val="0085481E"/>
    <w:rsid w:val="0085693B"/>
    <w:rsid w:val="00857471"/>
    <w:rsid w:val="00857D9D"/>
    <w:rsid w:val="00857F80"/>
    <w:rsid w:val="0086002B"/>
    <w:rsid w:val="008606F3"/>
    <w:rsid w:val="0086124A"/>
    <w:rsid w:val="00861449"/>
    <w:rsid w:val="00861C0F"/>
    <w:rsid w:val="008633F7"/>
    <w:rsid w:val="00863E78"/>
    <w:rsid w:val="00867BB6"/>
    <w:rsid w:val="00871242"/>
    <w:rsid w:val="008713BA"/>
    <w:rsid w:val="00871BBD"/>
    <w:rsid w:val="00871D2F"/>
    <w:rsid w:val="00871D5A"/>
    <w:rsid w:val="008730C9"/>
    <w:rsid w:val="00873D42"/>
    <w:rsid w:val="00873DC5"/>
    <w:rsid w:val="008748A2"/>
    <w:rsid w:val="00874A8E"/>
    <w:rsid w:val="00874E99"/>
    <w:rsid w:val="008758CD"/>
    <w:rsid w:val="008759A2"/>
    <w:rsid w:val="008805FD"/>
    <w:rsid w:val="0088123D"/>
    <w:rsid w:val="00882C6C"/>
    <w:rsid w:val="00882FE7"/>
    <w:rsid w:val="008830C8"/>
    <w:rsid w:val="0088338E"/>
    <w:rsid w:val="00883886"/>
    <w:rsid w:val="00883BE0"/>
    <w:rsid w:val="008847C9"/>
    <w:rsid w:val="00884E59"/>
    <w:rsid w:val="00884F71"/>
    <w:rsid w:val="008858BB"/>
    <w:rsid w:val="0088655F"/>
    <w:rsid w:val="008872F0"/>
    <w:rsid w:val="00887A51"/>
    <w:rsid w:val="00890125"/>
    <w:rsid w:val="00890253"/>
    <w:rsid w:val="00890292"/>
    <w:rsid w:val="00890D71"/>
    <w:rsid w:val="00890FCC"/>
    <w:rsid w:val="00892DF7"/>
    <w:rsid w:val="00893A54"/>
    <w:rsid w:val="00894327"/>
    <w:rsid w:val="0089525C"/>
    <w:rsid w:val="00896F1F"/>
    <w:rsid w:val="008A0AAE"/>
    <w:rsid w:val="008A172E"/>
    <w:rsid w:val="008A21C8"/>
    <w:rsid w:val="008A33DB"/>
    <w:rsid w:val="008A35BC"/>
    <w:rsid w:val="008A37A1"/>
    <w:rsid w:val="008A3927"/>
    <w:rsid w:val="008A437C"/>
    <w:rsid w:val="008A4FDD"/>
    <w:rsid w:val="008A5D39"/>
    <w:rsid w:val="008A68C8"/>
    <w:rsid w:val="008A6BA6"/>
    <w:rsid w:val="008A7F47"/>
    <w:rsid w:val="008B03BF"/>
    <w:rsid w:val="008B0E1D"/>
    <w:rsid w:val="008B1833"/>
    <w:rsid w:val="008B4095"/>
    <w:rsid w:val="008B4823"/>
    <w:rsid w:val="008B48C2"/>
    <w:rsid w:val="008B50FF"/>
    <w:rsid w:val="008B512E"/>
    <w:rsid w:val="008B58FE"/>
    <w:rsid w:val="008B60D4"/>
    <w:rsid w:val="008B65A6"/>
    <w:rsid w:val="008B68F3"/>
    <w:rsid w:val="008C0864"/>
    <w:rsid w:val="008C1A55"/>
    <w:rsid w:val="008C1EA2"/>
    <w:rsid w:val="008C5EDF"/>
    <w:rsid w:val="008C6083"/>
    <w:rsid w:val="008C65F5"/>
    <w:rsid w:val="008D0A79"/>
    <w:rsid w:val="008D31A3"/>
    <w:rsid w:val="008D4CD3"/>
    <w:rsid w:val="008D5336"/>
    <w:rsid w:val="008D647C"/>
    <w:rsid w:val="008D64DA"/>
    <w:rsid w:val="008D7B34"/>
    <w:rsid w:val="008E065A"/>
    <w:rsid w:val="008E0D11"/>
    <w:rsid w:val="008E0E89"/>
    <w:rsid w:val="008E32ED"/>
    <w:rsid w:val="008E3E79"/>
    <w:rsid w:val="008E45C6"/>
    <w:rsid w:val="008E5817"/>
    <w:rsid w:val="008E70BB"/>
    <w:rsid w:val="008E70CB"/>
    <w:rsid w:val="008F0B98"/>
    <w:rsid w:val="008F2130"/>
    <w:rsid w:val="008F2C9E"/>
    <w:rsid w:val="008F2CF3"/>
    <w:rsid w:val="008F3628"/>
    <w:rsid w:val="008F5BA0"/>
    <w:rsid w:val="008F6BF3"/>
    <w:rsid w:val="008F71F3"/>
    <w:rsid w:val="008F788A"/>
    <w:rsid w:val="00901147"/>
    <w:rsid w:val="009020DD"/>
    <w:rsid w:val="0090291A"/>
    <w:rsid w:val="00902EC2"/>
    <w:rsid w:val="009038B1"/>
    <w:rsid w:val="00904796"/>
    <w:rsid w:val="00904A60"/>
    <w:rsid w:val="009057EE"/>
    <w:rsid w:val="00907739"/>
    <w:rsid w:val="00907C01"/>
    <w:rsid w:val="00910EB2"/>
    <w:rsid w:val="0091138D"/>
    <w:rsid w:val="00912487"/>
    <w:rsid w:val="009127C3"/>
    <w:rsid w:val="0091460F"/>
    <w:rsid w:val="00914B7D"/>
    <w:rsid w:val="009156ED"/>
    <w:rsid w:val="00916DAA"/>
    <w:rsid w:val="00917A4D"/>
    <w:rsid w:val="00922194"/>
    <w:rsid w:val="0092225C"/>
    <w:rsid w:val="00922AFB"/>
    <w:rsid w:val="00924125"/>
    <w:rsid w:val="00924441"/>
    <w:rsid w:val="00924669"/>
    <w:rsid w:val="00924E73"/>
    <w:rsid w:val="00925FF5"/>
    <w:rsid w:val="00926808"/>
    <w:rsid w:val="0092723B"/>
    <w:rsid w:val="009274BA"/>
    <w:rsid w:val="0092753F"/>
    <w:rsid w:val="009278A3"/>
    <w:rsid w:val="00927BA7"/>
    <w:rsid w:val="00931597"/>
    <w:rsid w:val="00932036"/>
    <w:rsid w:val="009328FC"/>
    <w:rsid w:val="00932C55"/>
    <w:rsid w:val="00933468"/>
    <w:rsid w:val="00933AA3"/>
    <w:rsid w:val="0093531C"/>
    <w:rsid w:val="00937F68"/>
    <w:rsid w:val="00940162"/>
    <w:rsid w:val="0094024B"/>
    <w:rsid w:val="00941082"/>
    <w:rsid w:val="0094158B"/>
    <w:rsid w:val="00941F4A"/>
    <w:rsid w:val="00942B15"/>
    <w:rsid w:val="00942DBA"/>
    <w:rsid w:val="00942F08"/>
    <w:rsid w:val="00943E0B"/>
    <w:rsid w:val="00943F1F"/>
    <w:rsid w:val="009443CD"/>
    <w:rsid w:val="00944CB6"/>
    <w:rsid w:val="00945133"/>
    <w:rsid w:val="00947E37"/>
    <w:rsid w:val="009513AD"/>
    <w:rsid w:val="009533D0"/>
    <w:rsid w:val="00953C4E"/>
    <w:rsid w:val="009543D2"/>
    <w:rsid w:val="009563A1"/>
    <w:rsid w:val="00957899"/>
    <w:rsid w:val="00960523"/>
    <w:rsid w:val="00960BD5"/>
    <w:rsid w:val="009611D7"/>
    <w:rsid w:val="00961406"/>
    <w:rsid w:val="00961A51"/>
    <w:rsid w:val="00961CE5"/>
    <w:rsid w:val="0096224E"/>
    <w:rsid w:val="00962CB6"/>
    <w:rsid w:val="00964700"/>
    <w:rsid w:val="00964BCE"/>
    <w:rsid w:val="00964C47"/>
    <w:rsid w:val="009652EA"/>
    <w:rsid w:val="00965770"/>
    <w:rsid w:val="0096625C"/>
    <w:rsid w:val="00966833"/>
    <w:rsid w:val="00966CF5"/>
    <w:rsid w:val="00966E7C"/>
    <w:rsid w:val="009672C8"/>
    <w:rsid w:val="00974058"/>
    <w:rsid w:val="00975B4E"/>
    <w:rsid w:val="0097626F"/>
    <w:rsid w:val="00976F10"/>
    <w:rsid w:val="00977906"/>
    <w:rsid w:val="0098241F"/>
    <w:rsid w:val="00982BA4"/>
    <w:rsid w:val="00983367"/>
    <w:rsid w:val="00984465"/>
    <w:rsid w:val="00984B52"/>
    <w:rsid w:val="0098599C"/>
    <w:rsid w:val="0098621C"/>
    <w:rsid w:val="00986ADA"/>
    <w:rsid w:val="00986B9F"/>
    <w:rsid w:val="00987553"/>
    <w:rsid w:val="0098791A"/>
    <w:rsid w:val="0099109D"/>
    <w:rsid w:val="0099113E"/>
    <w:rsid w:val="00992427"/>
    <w:rsid w:val="00992B9D"/>
    <w:rsid w:val="00992E27"/>
    <w:rsid w:val="00994269"/>
    <w:rsid w:val="009953AD"/>
    <w:rsid w:val="009956FF"/>
    <w:rsid w:val="00995BB4"/>
    <w:rsid w:val="009973DB"/>
    <w:rsid w:val="0099754B"/>
    <w:rsid w:val="009A00AB"/>
    <w:rsid w:val="009A1B2A"/>
    <w:rsid w:val="009A1BB8"/>
    <w:rsid w:val="009A2B7D"/>
    <w:rsid w:val="009A31D5"/>
    <w:rsid w:val="009A33FF"/>
    <w:rsid w:val="009A3870"/>
    <w:rsid w:val="009A39B1"/>
    <w:rsid w:val="009A40ED"/>
    <w:rsid w:val="009A437F"/>
    <w:rsid w:val="009A4C49"/>
    <w:rsid w:val="009A764A"/>
    <w:rsid w:val="009A7922"/>
    <w:rsid w:val="009A79A9"/>
    <w:rsid w:val="009B03E8"/>
    <w:rsid w:val="009B066A"/>
    <w:rsid w:val="009B10EA"/>
    <w:rsid w:val="009B137E"/>
    <w:rsid w:val="009B1914"/>
    <w:rsid w:val="009B262F"/>
    <w:rsid w:val="009B309E"/>
    <w:rsid w:val="009B42ED"/>
    <w:rsid w:val="009B5002"/>
    <w:rsid w:val="009B5354"/>
    <w:rsid w:val="009B639C"/>
    <w:rsid w:val="009B661F"/>
    <w:rsid w:val="009B6DB6"/>
    <w:rsid w:val="009B7931"/>
    <w:rsid w:val="009C06C4"/>
    <w:rsid w:val="009C2963"/>
    <w:rsid w:val="009C2C6C"/>
    <w:rsid w:val="009C36BF"/>
    <w:rsid w:val="009C3C36"/>
    <w:rsid w:val="009C5118"/>
    <w:rsid w:val="009C58A5"/>
    <w:rsid w:val="009C6C9D"/>
    <w:rsid w:val="009C7309"/>
    <w:rsid w:val="009C7AE7"/>
    <w:rsid w:val="009D0CCF"/>
    <w:rsid w:val="009D0CFD"/>
    <w:rsid w:val="009D0E53"/>
    <w:rsid w:val="009D12AD"/>
    <w:rsid w:val="009D3803"/>
    <w:rsid w:val="009D425A"/>
    <w:rsid w:val="009D435C"/>
    <w:rsid w:val="009D43C5"/>
    <w:rsid w:val="009D4F40"/>
    <w:rsid w:val="009D79DA"/>
    <w:rsid w:val="009E06C6"/>
    <w:rsid w:val="009E286E"/>
    <w:rsid w:val="009E3413"/>
    <w:rsid w:val="009E3776"/>
    <w:rsid w:val="009E4157"/>
    <w:rsid w:val="009E49FF"/>
    <w:rsid w:val="009E4D14"/>
    <w:rsid w:val="009E5526"/>
    <w:rsid w:val="009E57C0"/>
    <w:rsid w:val="009E62D7"/>
    <w:rsid w:val="009E7403"/>
    <w:rsid w:val="009E7EA4"/>
    <w:rsid w:val="009E7FEE"/>
    <w:rsid w:val="009F0035"/>
    <w:rsid w:val="009F009F"/>
    <w:rsid w:val="009F04E1"/>
    <w:rsid w:val="009F0679"/>
    <w:rsid w:val="009F0EE4"/>
    <w:rsid w:val="009F209D"/>
    <w:rsid w:val="009F2DD5"/>
    <w:rsid w:val="009F31E7"/>
    <w:rsid w:val="009F4A9D"/>
    <w:rsid w:val="009F5087"/>
    <w:rsid w:val="009F6975"/>
    <w:rsid w:val="009F7E39"/>
    <w:rsid w:val="00A004B1"/>
    <w:rsid w:val="00A01689"/>
    <w:rsid w:val="00A01A2F"/>
    <w:rsid w:val="00A01CEF"/>
    <w:rsid w:val="00A01EA5"/>
    <w:rsid w:val="00A03AF8"/>
    <w:rsid w:val="00A047D6"/>
    <w:rsid w:val="00A04D01"/>
    <w:rsid w:val="00A0552D"/>
    <w:rsid w:val="00A1027A"/>
    <w:rsid w:val="00A11351"/>
    <w:rsid w:val="00A12159"/>
    <w:rsid w:val="00A12F9E"/>
    <w:rsid w:val="00A1395F"/>
    <w:rsid w:val="00A13D98"/>
    <w:rsid w:val="00A141C9"/>
    <w:rsid w:val="00A143D9"/>
    <w:rsid w:val="00A14EE7"/>
    <w:rsid w:val="00A15016"/>
    <w:rsid w:val="00A15343"/>
    <w:rsid w:val="00A15485"/>
    <w:rsid w:val="00A15F81"/>
    <w:rsid w:val="00A1611D"/>
    <w:rsid w:val="00A17616"/>
    <w:rsid w:val="00A17905"/>
    <w:rsid w:val="00A17DB6"/>
    <w:rsid w:val="00A20A26"/>
    <w:rsid w:val="00A213B7"/>
    <w:rsid w:val="00A2330D"/>
    <w:rsid w:val="00A23E20"/>
    <w:rsid w:val="00A26A51"/>
    <w:rsid w:val="00A27B09"/>
    <w:rsid w:val="00A3074E"/>
    <w:rsid w:val="00A3093D"/>
    <w:rsid w:val="00A309A3"/>
    <w:rsid w:val="00A32408"/>
    <w:rsid w:val="00A326DC"/>
    <w:rsid w:val="00A3273D"/>
    <w:rsid w:val="00A36DE6"/>
    <w:rsid w:val="00A40003"/>
    <w:rsid w:val="00A418ED"/>
    <w:rsid w:val="00A42E3A"/>
    <w:rsid w:val="00A4305D"/>
    <w:rsid w:val="00A43556"/>
    <w:rsid w:val="00A44202"/>
    <w:rsid w:val="00A44450"/>
    <w:rsid w:val="00A44E15"/>
    <w:rsid w:val="00A46C30"/>
    <w:rsid w:val="00A479FE"/>
    <w:rsid w:val="00A504CF"/>
    <w:rsid w:val="00A539C6"/>
    <w:rsid w:val="00A5469B"/>
    <w:rsid w:val="00A54BE9"/>
    <w:rsid w:val="00A54C82"/>
    <w:rsid w:val="00A5538E"/>
    <w:rsid w:val="00A556C5"/>
    <w:rsid w:val="00A56B53"/>
    <w:rsid w:val="00A6020A"/>
    <w:rsid w:val="00A63079"/>
    <w:rsid w:val="00A6342B"/>
    <w:rsid w:val="00A63991"/>
    <w:rsid w:val="00A63D15"/>
    <w:rsid w:val="00A6475B"/>
    <w:rsid w:val="00A65BBC"/>
    <w:rsid w:val="00A665DC"/>
    <w:rsid w:val="00A668C5"/>
    <w:rsid w:val="00A7119F"/>
    <w:rsid w:val="00A726CF"/>
    <w:rsid w:val="00A73C0F"/>
    <w:rsid w:val="00A76A43"/>
    <w:rsid w:val="00A777C8"/>
    <w:rsid w:val="00A80961"/>
    <w:rsid w:val="00A809C1"/>
    <w:rsid w:val="00A81E26"/>
    <w:rsid w:val="00A82DC9"/>
    <w:rsid w:val="00A849E8"/>
    <w:rsid w:val="00A84B3D"/>
    <w:rsid w:val="00A8522E"/>
    <w:rsid w:val="00A85596"/>
    <w:rsid w:val="00A85C30"/>
    <w:rsid w:val="00A86CBF"/>
    <w:rsid w:val="00A9030A"/>
    <w:rsid w:val="00A90862"/>
    <w:rsid w:val="00A910F8"/>
    <w:rsid w:val="00A9155A"/>
    <w:rsid w:val="00A91DA8"/>
    <w:rsid w:val="00A93252"/>
    <w:rsid w:val="00A94EC7"/>
    <w:rsid w:val="00A9608C"/>
    <w:rsid w:val="00A9626E"/>
    <w:rsid w:val="00A97338"/>
    <w:rsid w:val="00A976C9"/>
    <w:rsid w:val="00AA0639"/>
    <w:rsid w:val="00AA1F75"/>
    <w:rsid w:val="00AA40A8"/>
    <w:rsid w:val="00AA4439"/>
    <w:rsid w:val="00AA463A"/>
    <w:rsid w:val="00AA46D9"/>
    <w:rsid w:val="00AA5634"/>
    <w:rsid w:val="00AA6416"/>
    <w:rsid w:val="00AA66A9"/>
    <w:rsid w:val="00AA6AFB"/>
    <w:rsid w:val="00AA6EA8"/>
    <w:rsid w:val="00AA771F"/>
    <w:rsid w:val="00AA7D4D"/>
    <w:rsid w:val="00AB13E3"/>
    <w:rsid w:val="00AB1710"/>
    <w:rsid w:val="00AB2E23"/>
    <w:rsid w:val="00AB386A"/>
    <w:rsid w:val="00AB4B73"/>
    <w:rsid w:val="00AB6992"/>
    <w:rsid w:val="00AB75B3"/>
    <w:rsid w:val="00AB7C4E"/>
    <w:rsid w:val="00AC0B6E"/>
    <w:rsid w:val="00AC117C"/>
    <w:rsid w:val="00AC161B"/>
    <w:rsid w:val="00AC1870"/>
    <w:rsid w:val="00AC2F8E"/>
    <w:rsid w:val="00AC5B40"/>
    <w:rsid w:val="00AC6185"/>
    <w:rsid w:val="00AC6850"/>
    <w:rsid w:val="00AC68D0"/>
    <w:rsid w:val="00AC7DBA"/>
    <w:rsid w:val="00AD0441"/>
    <w:rsid w:val="00AD0634"/>
    <w:rsid w:val="00AD14B3"/>
    <w:rsid w:val="00AD1FBF"/>
    <w:rsid w:val="00AD3923"/>
    <w:rsid w:val="00AD465C"/>
    <w:rsid w:val="00AD7A17"/>
    <w:rsid w:val="00AE0F6B"/>
    <w:rsid w:val="00AE173B"/>
    <w:rsid w:val="00AE2608"/>
    <w:rsid w:val="00AE365E"/>
    <w:rsid w:val="00AE37C2"/>
    <w:rsid w:val="00AE3D78"/>
    <w:rsid w:val="00AE3DDE"/>
    <w:rsid w:val="00AE4759"/>
    <w:rsid w:val="00AE4A01"/>
    <w:rsid w:val="00AE73A3"/>
    <w:rsid w:val="00AE79BB"/>
    <w:rsid w:val="00AF065F"/>
    <w:rsid w:val="00AF25D5"/>
    <w:rsid w:val="00AF2C46"/>
    <w:rsid w:val="00AF3336"/>
    <w:rsid w:val="00AF35BB"/>
    <w:rsid w:val="00AF3A32"/>
    <w:rsid w:val="00AF3FCE"/>
    <w:rsid w:val="00AF554E"/>
    <w:rsid w:val="00AF5794"/>
    <w:rsid w:val="00AF614A"/>
    <w:rsid w:val="00AF63E3"/>
    <w:rsid w:val="00AF6B46"/>
    <w:rsid w:val="00AF7BA3"/>
    <w:rsid w:val="00B0086B"/>
    <w:rsid w:val="00B00BB6"/>
    <w:rsid w:val="00B00C86"/>
    <w:rsid w:val="00B0205D"/>
    <w:rsid w:val="00B03626"/>
    <w:rsid w:val="00B03E0A"/>
    <w:rsid w:val="00B041C7"/>
    <w:rsid w:val="00B044B7"/>
    <w:rsid w:val="00B04623"/>
    <w:rsid w:val="00B04993"/>
    <w:rsid w:val="00B04C75"/>
    <w:rsid w:val="00B062A6"/>
    <w:rsid w:val="00B06DCB"/>
    <w:rsid w:val="00B1020F"/>
    <w:rsid w:val="00B10BB8"/>
    <w:rsid w:val="00B1289F"/>
    <w:rsid w:val="00B12FF1"/>
    <w:rsid w:val="00B130F8"/>
    <w:rsid w:val="00B136BE"/>
    <w:rsid w:val="00B13B7D"/>
    <w:rsid w:val="00B140F6"/>
    <w:rsid w:val="00B14102"/>
    <w:rsid w:val="00B1489E"/>
    <w:rsid w:val="00B15818"/>
    <w:rsid w:val="00B20053"/>
    <w:rsid w:val="00B20A9E"/>
    <w:rsid w:val="00B22D75"/>
    <w:rsid w:val="00B242C0"/>
    <w:rsid w:val="00B243FB"/>
    <w:rsid w:val="00B2540B"/>
    <w:rsid w:val="00B255AF"/>
    <w:rsid w:val="00B26556"/>
    <w:rsid w:val="00B27819"/>
    <w:rsid w:val="00B27E0D"/>
    <w:rsid w:val="00B30BD1"/>
    <w:rsid w:val="00B31C10"/>
    <w:rsid w:val="00B32D0C"/>
    <w:rsid w:val="00B335EF"/>
    <w:rsid w:val="00B3424A"/>
    <w:rsid w:val="00B3535F"/>
    <w:rsid w:val="00B35AFE"/>
    <w:rsid w:val="00B35B62"/>
    <w:rsid w:val="00B37D2F"/>
    <w:rsid w:val="00B405F4"/>
    <w:rsid w:val="00B415E6"/>
    <w:rsid w:val="00B41903"/>
    <w:rsid w:val="00B42C5D"/>
    <w:rsid w:val="00B43A98"/>
    <w:rsid w:val="00B44198"/>
    <w:rsid w:val="00B442E1"/>
    <w:rsid w:val="00B46F9A"/>
    <w:rsid w:val="00B47627"/>
    <w:rsid w:val="00B47AA8"/>
    <w:rsid w:val="00B501E0"/>
    <w:rsid w:val="00B50407"/>
    <w:rsid w:val="00B50928"/>
    <w:rsid w:val="00B50EAF"/>
    <w:rsid w:val="00B51BC9"/>
    <w:rsid w:val="00B51DBC"/>
    <w:rsid w:val="00B52041"/>
    <w:rsid w:val="00B524D3"/>
    <w:rsid w:val="00B5536B"/>
    <w:rsid w:val="00B5774F"/>
    <w:rsid w:val="00B61588"/>
    <w:rsid w:val="00B6185D"/>
    <w:rsid w:val="00B61B07"/>
    <w:rsid w:val="00B625B1"/>
    <w:rsid w:val="00B63272"/>
    <w:rsid w:val="00B63B86"/>
    <w:rsid w:val="00B64191"/>
    <w:rsid w:val="00B65D54"/>
    <w:rsid w:val="00B6707A"/>
    <w:rsid w:val="00B70AE4"/>
    <w:rsid w:val="00B70BFF"/>
    <w:rsid w:val="00B710D9"/>
    <w:rsid w:val="00B7127E"/>
    <w:rsid w:val="00B71E2B"/>
    <w:rsid w:val="00B72ED2"/>
    <w:rsid w:val="00B744AD"/>
    <w:rsid w:val="00B74626"/>
    <w:rsid w:val="00B75DCF"/>
    <w:rsid w:val="00B7739C"/>
    <w:rsid w:val="00B81F1B"/>
    <w:rsid w:val="00B8223F"/>
    <w:rsid w:val="00B83795"/>
    <w:rsid w:val="00B83A0C"/>
    <w:rsid w:val="00B84F8C"/>
    <w:rsid w:val="00B872EE"/>
    <w:rsid w:val="00B87BA7"/>
    <w:rsid w:val="00B9085A"/>
    <w:rsid w:val="00B91E30"/>
    <w:rsid w:val="00B92F60"/>
    <w:rsid w:val="00B94462"/>
    <w:rsid w:val="00B947C8"/>
    <w:rsid w:val="00B96064"/>
    <w:rsid w:val="00B975E0"/>
    <w:rsid w:val="00BA01F8"/>
    <w:rsid w:val="00BA0331"/>
    <w:rsid w:val="00BA170B"/>
    <w:rsid w:val="00BA1C8F"/>
    <w:rsid w:val="00BA37D6"/>
    <w:rsid w:val="00BA4C1C"/>
    <w:rsid w:val="00BA4CD0"/>
    <w:rsid w:val="00BA561B"/>
    <w:rsid w:val="00BA5E47"/>
    <w:rsid w:val="00BB32FA"/>
    <w:rsid w:val="00BB3D64"/>
    <w:rsid w:val="00BB4A32"/>
    <w:rsid w:val="00BB4D20"/>
    <w:rsid w:val="00BB59E5"/>
    <w:rsid w:val="00BB5E92"/>
    <w:rsid w:val="00BB6B61"/>
    <w:rsid w:val="00BB6F92"/>
    <w:rsid w:val="00BC097F"/>
    <w:rsid w:val="00BC24A6"/>
    <w:rsid w:val="00BC3184"/>
    <w:rsid w:val="00BC36AB"/>
    <w:rsid w:val="00BC3B25"/>
    <w:rsid w:val="00BC3F59"/>
    <w:rsid w:val="00BC42F5"/>
    <w:rsid w:val="00BC5E93"/>
    <w:rsid w:val="00BC651D"/>
    <w:rsid w:val="00BC67B0"/>
    <w:rsid w:val="00BC6E5B"/>
    <w:rsid w:val="00BC790B"/>
    <w:rsid w:val="00BC7F2C"/>
    <w:rsid w:val="00BD15B8"/>
    <w:rsid w:val="00BD1B13"/>
    <w:rsid w:val="00BD2AD1"/>
    <w:rsid w:val="00BD2FCC"/>
    <w:rsid w:val="00BD3202"/>
    <w:rsid w:val="00BD3555"/>
    <w:rsid w:val="00BD7136"/>
    <w:rsid w:val="00BD7ADC"/>
    <w:rsid w:val="00BD7E8D"/>
    <w:rsid w:val="00BE03BB"/>
    <w:rsid w:val="00BE064F"/>
    <w:rsid w:val="00BE0C2F"/>
    <w:rsid w:val="00BE1892"/>
    <w:rsid w:val="00BE239A"/>
    <w:rsid w:val="00BE257B"/>
    <w:rsid w:val="00BE35ED"/>
    <w:rsid w:val="00BE66E4"/>
    <w:rsid w:val="00BF12F1"/>
    <w:rsid w:val="00BF1EDD"/>
    <w:rsid w:val="00BF3A9A"/>
    <w:rsid w:val="00BF3B5D"/>
    <w:rsid w:val="00BF46DB"/>
    <w:rsid w:val="00BF4D84"/>
    <w:rsid w:val="00BF54BD"/>
    <w:rsid w:val="00BF56A9"/>
    <w:rsid w:val="00BF5871"/>
    <w:rsid w:val="00BF5A57"/>
    <w:rsid w:val="00BF5B74"/>
    <w:rsid w:val="00BF5BAA"/>
    <w:rsid w:val="00BF5F0C"/>
    <w:rsid w:val="00BF62D1"/>
    <w:rsid w:val="00BF6559"/>
    <w:rsid w:val="00BF6898"/>
    <w:rsid w:val="00C0041A"/>
    <w:rsid w:val="00C0050D"/>
    <w:rsid w:val="00C00DD7"/>
    <w:rsid w:val="00C028FF"/>
    <w:rsid w:val="00C0486E"/>
    <w:rsid w:val="00C078D0"/>
    <w:rsid w:val="00C07E7F"/>
    <w:rsid w:val="00C106D2"/>
    <w:rsid w:val="00C10C3F"/>
    <w:rsid w:val="00C118B2"/>
    <w:rsid w:val="00C12029"/>
    <w:rsid w:val="00C13437"/>
    <w:rsid w:val="00C13BA2"/>
    <w:rsid w:val="00C14441"/>
    <w:rsid w:val="00C15611"/>
    <w:rsid w:val="00C15E6C"/>
    <w:rsid w:val="00C17536"/>
    <w:rsid w:val="00C203A5"/>
    <w:rsid w:val="00C21229"/>
    <w:rsid w:val="00C22E3E"/>
    <w:rsid w:val="00C26962"/>
    <w:rsid w:val="00C27C4C"/>
    <w:rsid w:val="00C27D10"/>
    <w:rsid w:val="00C30D3F"/>
    <w:rsid w:val="00C31247"/>
    <w:rsid w:val="00C31AF5"/>
    <w:rsid w:val="00C33222"/>
    <w:rsid w:val="00C34266"/>
    <w:rsid w:val="00C34D32"/>
    <w:rsid w:val="00C3505F"/>
    <w:rsid w:val="00C35B2C"/>
    <w:rsid w:val="00C36B8B"/>
    <w:rsid w:val="00C36F91"/>
    <w:rsid w:val="00C408D8"/>
    <w:rsid w:val="00C40BE5"/>
    <w:rsid w:val="00C40D07"/>
    <w:rsid w:val="00C4155F"/>
    <w:rsid w:val="00C4416C"/>
    <w:rsid w:val="00C470D5"/>
    <w:rsid w:val="00C47B47"/>
    <w:rsid w:val="00C47DBC"/>
    <w:rsid w:val="00C50811"/>
    <w:rsid w:val="00C50B07"/>
    <w:rsid w:val="00C511F5"/>
    <w:rsid w:val="00C515D3"/>
    <w:rsid w:val="00C51702"/>
    <w:rsid w:val="00C520BB"/>
    <w:rsid w:val="00C52409"/>
    <w:rsid w:val="00C52C87"/>
    <w:rsid w:val="00C531D9"/>
    <w:rsid w:val="00C53970"/>
    <w:rsid w:val="00C549E3"/>
    <w:rsid w:val="00C553D8"/>
    <w:rsid w:val="00C5630E"/>
    <w:rsid w:val="00C56E3D"/>
    <w:rsid w:val="00C56E6D"/>
    <w:rsid w:val="00C56F53"/>
    <w:rsid w:val="00C578A1"/>
    <w:rsid w:val="00C604EC"/>
    <w:rsid w:val="00C6078E"/>
    <w:rsid w:val="00C60B68"/>
    <w:rsid w:val="00C61589"/>
    <w:rsid w:val="00C62D67"/>
    <w:rsid w:val="00C6364E"/>
    <w:rsid w:val="00C63BF5"/>
    <w:rsid w:val="00C64D01"/>
    <w:rsid w:val="00C6525F"/>
    <w:rsid w:val="00C652A7"/>
    <w:rsid w:val="00C65D2B"/>
    <w:rsid w:val="00C66C44"/>
    <w:rsid w:val="00C67559"/>
    <w:rsid w:val="00C67609"/>
    <w:rsid w:val="00C676C8"/>
    <w:rsid w:val="00C71E13"/>
    <w:rsid w:val="00C72806"/>
    <w:rsid w:val="00C72B3B"/>
    <w:rsid w:val="00C72E16"/>
    <w:rsid w:val="00C739C5"/>
    <w:rsid w:val="00C741E6"/>
    <w:rsid w:val="00C74B4D"/>
    <w:rsid w:val="00C7505A"/>
    <w:rsid w:val="00C75B73"/>
    <w:rsid w:val="00C75DDA"/>
    <w:rsid w:val="00C762F6"/>
    <w:rsid w:val="00C80E0D"/>
    <w:rsid w:val="00C8174F"/>
    <w:rsid w:val="00C83B26"/>
    <w:rsid w:val="00C83D98"/>
    <w:rsid w:val="00C8410C"/>
    <w:rsid w:val="00C862FD"/>
    <w:rsid w:val="00C86C0D"/>
    <w:rsid w:val="00C91BDD"/>
    <w:rsid w:val="00C91C1B"/>
    <w:rsid w:val="00C928D4"/>
    <w:rsid w:val="00C93A58"/>
    <w:rsid w:val="00C96414"/>
    <w:rsid w:val="00C965E5"/>
    <w:rsid w:val="00C97B27"/>
    <w:rsid w:val="00CA2534"/>
    <w:rsid w:val="00CA50B7"/>
    <w:rsid w:val="00CA691C"/>
    <w:rsid w:val="00CA6EA8"/>
    <w:rsid w:val="00CA76F1"/>
    <w:rsid w:val="00CB054B"/>
    <w:rsid w:val="00CB0841"/>
    <w:rsid w:val="00CB0CD8"/>
    <w:rsid w:val="00CB0EBF"/>
    <w:rsid w:val="00CB2173"/>
    <w:rsid w:val="00CB23D7"/>
    <w:rsid w:val="00CB27F7"/>
    <w:rsid w:val="00CB2FC7"/>
    <w:rsid w:val="00CB3BB5"/>
    <w:rsid w:val="00CB4896"/>
    <w:rsid w:val="00CB48B5"/>
    <w:rsid w:val="00CB4A39"/>
    <w:rsid w:val="00CB55A3"/>
    <w:rsid w:val="00CB5A6D"/>
    <w:rsid w:val="00CB6A6A"/>
    <w:rsid w:val="00CB72C9"/>
    <w:rsid w:val="00CB7F12"/>
    <w:rsid w:val="00CC0544"/>
    <w:rsid w:val="00CC0EF9"/>
    <w:rsid w:val="00CC1A8E"/>
    <w:rsid w:val="00CC2142"/>
    <w:rsid w:val="00CC22C9"/>
    <w:rsid w:val="00CC354D"/>
    <w:rsid w:val="00CC4AC6"/>
    <w:rsid w:val="00CC697C"/>
    <w:rsid w:val="00CC7E6D"/>
    <w:rsid w:val="00CC7EC8"/>
    <w:rsid w:val="00CD019D"/>
    <w:rsid w:val="00CD1EB9"/>
    <w:rsid w:val="00CD226C"/>
    <w:rsid w:val="00CD48B3"/>
    <w:rsid w:val="00CD50D2"/>
    <w:rsid w:val="00CD599B"/>
    <w:rsid w:val="00CD5DE1"/>
    <w:rsid w:val="00CE2EF0"/>
    <w:rsid w:val="00CE3DCE"/>
    <w:rsid w:val="00CE5AF8"/>
    <w:rsid w:val="00CE5BB5"/>
    <w:rsid w:val="00CE5E33"/>
    <w:rsid w:val="00CE6BF4"/>
    <w:rsid w:val="00CE6F0D"/>
    <w:rsid w:val="00CE6F40"/>
    <w:rsid w:val="00CF24D9"/>
    <w:rsid w:val="00CF3D45"/>
    <w:rsid w:val="00CF44BE"/>
    <w:rsid w:val="00CF50A3"/>
    <w:rsid w:val="00CF7B69"/>
    <w:rsid w:val="00D00592"/>
    <w:rsid w:val="00D006A3"/>
    <w:rsid w:val="00D01AE6"/>
    <w:rsid w:val="00D066EE"/>
    <w:rsid w:val="00D06D96"/>
    <w:rsid w:val="00D108FF"/>
    <w:rsid w:val="00D10F10"/>
    <w:rsid w:val="00D10FE4"/>
    <w:rsid w:val="00D1244B"/>
    <w:rsid w:val="00D1300D"/>
    <w:rsid w:val="00D13F52"/>
    <w:rsid w:val="00D14C2E"/>
    <w:rsid w:val="00D15110"/>
    <w:rsid w:val="00D15984"/>
    <w:rsid w:val="00D165B2"/>
    <w:rsid w:val="00D169BD"/>
    <w:rsid w:val="00D215D3"/>
    <w:rsid w:val="00D2392B"/>
    <w:rsid w:val="00D2450C"/>
    <w:rsid w:val="00D252B5"/>
    <w:rsid w:val="00D30422"/>
    <w:rsid w:val="00D307E5"/>
    <w:rsid w:val="00D31144"/>
    <w:rsid w:val="00D31734"/>
    <w:rsid w:val="00D32CE3"/>
    <w:rsid w:val="00D33236"/>
    <w:rsid w:val="00D34160"/>
    <w:rsid w:val="00D349F9"/>
    <w:rsid w:val="00D354A1"/>
    <w:rsid w:val="00D360A9"/>
    <w:rsid w:val="00D3622A"/>
    <w:rsid w:val="00D365CD"/>
    <w:rsid w:val="00D375A4"/>
    <w:rsid w:val="00D37A38"/>
    <w:rsid w:val="00D37C77"/>
    <w:rsid w:val="00D405EB"/>
    <w:rsid w:val="00D406C3"/>
    <w:rsid w:val="00D41BBD"/>
    <w:rsid w:val="00D420B2"/>
    <w:rsid w:val="00D426B8"/>
    <w:rsid w:val="00D427B9"/>
    <w:rsid w:val="00D42BE6"/>
    <w:rsid w:val="00D432C3"/>
    <w:rsid w:val="00D43859"/>
    <w:rsid w:val="00D457E7"/>
    <w:rsid w:val="00D466FD"/>
    <w:rsid w:val="00D4672A"/>
    <w:rsid w:val="00D47ECC"/>
    <w:rsid w:val="00D50322"/>
    <w:rsid w:val="00D5051C"/>
    <w:rsid w:val="00D517D1"/>
    <w:rsid w:val="00D535EA"/>
    <w:rsid w:val="00D557F1"/>
    <w:rsid w:val="00D55DEE"/>
    <w:rsid w:val="00D56C78"/>
    <w:rsid w:val="00D5763E"/>
    <w:rsid w:val="00D6014B"/>
    <w:rsid w:val="00D60B63"/>
    <w:rsid w:val="00D6265F"/>
    <w:rsid w:val="00D62BCA"/>
    <w:rsid w:val="00D62EC5"/>
    <w:rsid w:val="00D63007"/>
    <w:rsid w:val="00D642C8"/>
    <w:rsid w:val="00D645C7"/>
    <w:rsid w:val="00D64E4B"/>
    <w:rsid w:val="00D64E5E"/>
    <w:rsid w:val="00D65A8F"/>
    <w:rsid w:val="00D668C9"/>
    <w:rsid w:val="00D67036"/>
    <w:rsid w:val="00D7077F"/>
    <w:rsid w:val="00D70860"/>
    <w:rsid w:val="00D70B8F"/>
    <w:rsid w:val="00D71C60"/>
    <w:rsid w:val="00D72517"/>
    <w:rsid w:val="00D74511"/>
    <w:rsid w:val="00D74530"/>
    <w:rsid w:val="00D75BD4"/>
    <w:rsid w:val="00D760E7"/>
    <w:rsid w:val="00D765A9"/>
    <w:rsid w:val="00D76DB7"/>
    <w:rsid w:val="00D77193"/>
    <w:rsid w:val="00D80799"/>
    <w:rsid w:val="00D80B88"/>
    <w:rsid w:val="00D817D6"/>
    <w:rsid w:val="00D82753"/>
    <w:rsid w:val="00D82922"/>
    <w:rsid w:val="00D82CA2"/>
    <w:rsid w:val="00D82D16"/>
    <w:rsid w:val="00D83EB0"/>
    <w:rsid w:val="00D84897"/>
    <w:rsid w:val="00D86019"/>
    <w:rsid w:val="00D8620F"/>
    <w:rsid w:val="00D86679"/>
    <w:rsid w:val="00D86808"/>
    <w:rsid w:val="00D902F3"/>
    <w:rsid w:val="00D90E85"/>
    <w:rsid w:val="00D90EB5"/>
    <w:rsid w:val="00D920ED"/>
    <w:rsid w:val="00D92C3C"/>
    <w:rsid w:val="00D92D58"/>
    <w:rsid w:val="00D9383E"/>
    <w:rsid w:val="00D93C72"/>
    <w:rsid w:val="00D942C2"/>
    <w:rsid w:val="00D942ED"/>
    <w:rsid w:val="00D972CE"/>
    <w:rsid w:val="00D979DD"/>
    <w:rsid w:val="00D97D57"/>
    <w:rsid w:val="00DA062D"/>
    <w:rsid w:val="00DA0F88"/>
    <w:rsid w:val="00DA111B"/>
    <w:rsid w:val="00DA2A16"/>
    <w:rsid w:val="00DA36C7"/>
    <w:rsid w:val="00DA4F74"/>
    <w:rsid w:val="00DA6527"/>
    <w:rsid w:val="00DA7FDF"/>
    <w:rsid w:val="00DB10F1"/>
    <w:rsid w:val="00DB1431"/>
    <w:rsid w:val="00DB1E05"/>
    <w:rsid w:val="00DB1FB8"/>
    <w:rsid w:val="00DB24F7"/>
    <w:rsid w:val="00DB285C"/>
    <w:rsid w:val="00DB6283"/>
    <w:rsid w:val="00DB640A"/>
    <w:rsid w:val="00DB6645"/>
    <w:rsid w:val="00DB6C24"/>
    <w:rsid w:val="00DB7F57"/>
    <w:rsid w:val="00DC1BE1"/>
    <w:rsid w:val="00DC2349"/>
    <w:rsid w:val="00DC2CF6"/>
    <w:rsid w:val="00DC2EEA"/>
    <w:rsid w:val="00DC3029"/>
    <w:rsid w:val="00DC4D3D"/>
    <w:rsid w:val="00DC53F2"/>
    <w:rsid w:val="00DC56D0"/>
    <w:rsid w:val="00DC620C"/>
    <w:rsid w:val="00DC68A7"/>
    <w:rsid w:val="00DC723C"/>
    <w:rsid w:val="00DC7749"/>
    <w:rsid w:val="00DC7C41"/>
    <w:rsid w:val="00DD1B16"/>
    <w:rsid w:val="00DD32E0"/>
    <w:rsid w:val="00DD32E3"/>
    <w:rsid w:val="00DD3A50"/>
    <w:rsid w:val="00DD550E"/>
    <w:rsid w:val="00DD58C0"/>
    <w:rsid w:val="00DD5A0F"/>
    <w:rsid w:val="00DD7990"/>
    <w:rsid w:val="00DD7F4F"/>
    <w:rsid w:val="00DE1F3D"/>
    <w:rsid w:val="00DE2CAD"/>
    <w:rsid w:val="00DE4821"/>
    <w:rsid w:val="00DE6BAB"/>
    <w:rsid w:val="00DE73AB"/>
    <w:rsid w:val="00DF02A2"/>
    <w:rsid w:val="00DF04B5"/>
    <w:rsid w:val="00DF0926"/>
    <w:rsid w:val="00DF148E"/>
    <w:rsid w:val="00DF3D52"/>
    <w:rsid w:val="00DF4610"/>
    <w:rsid w:val="00DF4D49"/>
    <w:rsid w:val="00DF694D"/>
    <w:rsid w:val="00DF69C6"/>
    <w:rsid w:val="00DF7228"/>
    <w:rsid w:val="00DF7AE2"/>
    <w:rsid w:val="00E005ED"/>
    <w:rsid w:val="00E01011"/>
    <w:rsid w:val="00E01966"/>
    <w:rsid w:val="00E043B8"/>
    <w:rsid w:val="00E04691"/>
    <w:rsid w:val="00E046CF"/>
    <w:rsid w:val="00E04946"/>
    <w:rsid w:val="00E06770"/>
    <w:rsid w:val="00E06860"/>
    <w:rsid w:val="00E07D12"/>
    <w:rsid w:val="00E103D4"/>
    <w:rsid w:val="00E10555"/>
    <w:rsid w:val="00E10A24"/>
    <w:rsid w:val="00E12D75"/>
    <w:rsid w:val="00E14222"/>
    <w:rsid w:val="00E1448B"/>
    <w:rsid w:val="00E1493D"/>
    <w:rsid w:val="00E14BAC"/>
    <w:rsid w:val="00E15F9F"/>
    <w:rsid w:val="00E15FEF"/>
    <w:rsid w:val="00E163D9"/>
    <w:rsid w:val="00E20599"/>
    <w:rsid w:val="00E22238"/>
    <w:rsid w:val="00E23D23"/>
    <w:rsid w:val="00E24FA5"/>
    <w:rsid w:val="00E2525F"/>
    <w:rsid w:val="00E26F8C"/>
    <w:rsid w:val="00E2783D"/>
    <w:rsid w:val="00E310FC"/>
    <w:rsid w:val="00E31AFA"/>
    <w:rsid w:val="00E33425"/>
    <w:rsid w:val="00E34409"/>
    <w:rsid w:val="00E348B9"/>
    <w:rsid w:val="00E34BCD"/>
    <w:rsid w:val="00E35560"/>
    <w:rsid w:val="00E369A7"/>
    <w:rsid w:val="00E415D6"/>
    <w:rsid w:val="00E4194A"/>
    <w:rsid w:val="00E427AF"/>
    <w:rsid w:val="00E429D0"/>
    <w:rsid w:val="00E42CA0"/>
    <w:rsid w:val="00E42D68"/>
    <w:rsid w:val="00E43B46"/>
    <w:rsid w:val="00E43EAB"/>
    <w:rsid w:val="00E44625"/>
    <w:rsid w:val="00E4494A"/>
    <w:rsid w:val="00E4780E"/>
    <w:rsid w:val="00E47E20"/>
    <w:rsid w:val="00E5070F"/>
    <w:rsid w:val="00E507F1"/>
    <w:rsid w:val="00E50F92"/>
    <w:rsid w:val="00E50FC4"/>
    <w:rsid w:val="00E512BD"/>
    <w:rsid w:val="00E5336D"/>
    <w:rsid w:val="00E54EBA"/>
    <w:rsid w:val="00E5647E"/>
    <w:rsid w:val="00E5658D"/>
    <w:rsid w:val="00E60C98"/>
    <w:rsid w:val="00E61329"/>
    <w:rsid w:val="00E62D21"/>
    <w:rsid w:val="00E645B0"/>
    <w:rsid w:val="00E65126"/>
    <w:rsid w:val="00E66ED5"/>
    <w:rsid w:val="00E67E32"/>
    <w:rsid w:val="00E70961"/>
    <w:rsid w:val="00E71D49"/>
    <w:rsid w:val="00E74FB3"/>
    <w:rsid w:val="00E752BE"/>
    <w:rsid w:val="00E76779"/>
    <w:rsid w:val="00E76B80"/>
    <w:rsid w:val="00E76F45"/>
    <w:rsid w:val="00E7783C"/>
    <w:rsid w:val="00E80E7C"/>
    <w:rsid w:val="00E81D90"/>
    <w:rsid w:val="00E834F1"/>
    <w:rsid w:val="00E83899"/>
    <w:rsid w:val="00E83C22"/>
    <w:rsid w:val="00E8428F"/>
    <w:rsid w:val="00E85FF2"/>
    <w:rsid w:val="00E862C4"/>
    <w:rsid w:val="00E86910"/>
    <w:rsid w:val="00E906F4"/>
    <w:rsid w:val="00E936D0"/>
    <w:rsid w:val="00E93D6D"/>
    <w:rsid w:val="00E96106"/>
    <w:rsid w:val="00E96B0F"/>
    <w:rsid w:val="00E96F22"/>
    <w:rsid w:val="00E97385"/>
    <w:rsid w:val="00E973CC"/>
    <w:rsid w:val="00E97DE5"/>
    <w:rsid w:val="00EA0313"/>
    <w:rsid w:val="00EA09E1"/>
    <w:rsid w:val="00EA19BF"/>
    <w:rsid w:val="00EA37F4"/>
    <w:rsid w:val="00EA48C6"/>
    <w:rsid w:val="00EA4D45"/>
    <w:rsid w:val="00EA50E5"/>
    <w:rsid w:val="00EA5922"/>
    <w:rsid w:val="00EA6472"/>
    <w:rsid w:val="00EA6F7A"/>
    <w:rsid w:val="00EA7EC3"/>
    <w:rsid w:val="00EB10C1"/>
    <w:rsid w:val="00EB28D1"/>
    <w:rsid w:val="00EB2ED3"/>
    <w:rsid w:val="00EB337E"/>
    <w:rsid w:val="00EB3BEB"/>
    <w:rsid w:val="00EB499B"/>
    <w:rsid w:val="00EB5128"/>
    <w:rsid w:val="00EB6BAC"/>
    <w:rsid w:val="00EC055F"/>
    <w:rsid w:val="00EC1DF1"/>
    <w:rsid w:val="00EC255A"/>
    <w:rsid w:val="00EC2987"/>
    <w:rsid w:val="00EC4B17"/>
    <w:rsid w:val="00EC4D41"/>
    <w:rsid w:val="00EC51B3"/>
    <w:rsid w:val="00EC56F8"/>
    <w:rsid w:val="00EC62D1"/>
    <w:rsid w:val="00EC69A1"/>
    <w:rsid w:val="00EC6BEE"/>
    <w:rsid w:val="00EC70D5"/>
    <w:rsid w:val="00EC7482"/>
    <w:rsid w:val="00EC76E5"/>
    <w:rsid w:val="00ED180A"/>
    <w:rsid w:val="00ED4436"/>
    <w:rsid w:val="00ED4A23"/>
    <w:rsid w:val="00ED4B67"/>
    <w:rsid w:val="00ED55CB"/>
    <w:rsid w:val="00ED75B4"/>
    <w:rsid w:val="00ED7DC7"/>
    <w:rsid w:val="00EE066A"/>
    <w:rsid w:val="00EE1CB4"/>
    <w:rsid w:val="00EE28B3"/>
    <w:rsid w:val="00EE2C9D"/>
    <w:rsid w:val="00EE3129"/>
    <w:rsid w:val="00EE3301"/>
    <w:rsid w:val="00EE3A2A"/>
    <w:rsid w:val="00EE3B49"/>
    <w:rsid w:val="00EE4364"/>
    <w:rsid w:val="00EE48B0"/>
    <w:rsid w:val="00EE4E7C"/>
    <w:rsid w:val="00EE5AA7"/>
    <w:rsid w:val="00EE60F4"/>
    <w:rsid w:val="00EE6625"/>
    <w:rsid w:val="00EF0482"/>
    <w:rsid w:val="00EF0AF7"/>
    <w:rsid w:val="00EF107C"/>
    <w:rsid w:val="00EF1294"/>
    <w:rsid w:val="00EF1E94"/>
    <w:rsid w:val="00EF309C"/>
    <w:rsid w:val="00EF30AA"/>
    <w:rsid w:val="00EF33D1"/>
    <w:rsid w:val="00EF46A4"/>
    <w:rsid w:val="00EF6260"/>
    <w:rsid w:val="00EF637F"/>
    <w:rsid w:val="00F01336"/>
    <w:rsid w:val="00F01806"/>
    <w:rsid w:val="00F024C9"/>
    <w:rsid w:val="00F02D61"/>
    <w:rsid w:val="00F04ED7"/>
    <w:rsid w:val="00F05E61"/>
    <w:rsid w:val="00F060F1"/>
    <w:rsid w:val="00F0672C"/>
    <w:rsid w:val="00F06E2D"/>
    <w:rsid w:val="00F07CC5"/>
    <w:rsid w:val="00F07EE5"/>
    <w:rsid w:val="00F10C33"/>
    <w:rsid w:val="00F111FF"/>
    <w:rsid w:val="00F12A7A"/>
    <w:rsid w:val="00F13112"/>
    <w:rsid w:val="00F140C0"/>
    <w:rsid w:val="00F1414D"/>
    <w:rsid w:val="00F14A28"/>
    <w:rsid w:val="00F14CBA"/>
    <w:rsid w:val="00F162D2"/>
    <w:rsid w:val="00F1676C"/>
    <w:rsid w:val="00F168F3"/>
    <w:rsid w:val="00F16D39"/>
    <w:rsid w:val="00F16DC3"/>
    <w:rsid w:val="00F1738C"/>
    <w:rsid w:val="00F17A47"/>
    <w:rsid w:val="00F21412"/>
    <w:rsid w:val="00F216F6"/>
    <w:rsid w:val="00F21914"/>
    <w:rsid w:val="00F21980"/>
    <w:rsid w:val="00F22655"/>
    <w:rsid w:val="00F227BF"/>
    <w:rsid w:val="00F228CC"/>
    <w:rsid w:val="00F22BCC"/>
    <w:rsid w:val="00F22CBD"/>
    <w:rsid w:val="00F26C87"/>
    <w:rsid w:val="00F271AD"/>
    <w:rsid w:val="00F30456"/>
    <w:rsid w:val="00F31097"/>
    <w:rsid w:val="00F3169E"/>
    <w:rsid w:val="00F318A8"/>
    <w:rsid w:val="00F3232C"/>
    <w:rsid w:val="00F327F9"/>
    <w:rsid w:val="00F33077"/>
    <w:rsid w:val="00F3373A"/>
    <w:rsid w:val="00F33C7D"/>
    <w:rsid w:val="00F3481C"/>
    <w:rsid w:val="00F348D8"/>
    <w:rsid w:val="00F34F62"/>
    <w:rsid w:val="00F3522F"/>
    <w:rsid w:val="00F35F35"/>
    <w:rsid w:val="00F37762"/>
    <w:rsid w:val="00F41E8C"/>
    <w:rsid w:val="00F41F25"/>
    <w:rsid w:val="00F42C78"/>
    <w:rsid w:val="00F42CF7"/>
    <w:rsid w:val="00F445F3"/>
    <w:rsid w:val="00F45368"/>
    <w:rsid w:val="00F45703"/>
    <w:rsid w:val="00F478FA"/>
    <w:rsid w:val="00F5284B"/>
    <w:rsid w:val="00F53771"/>
    <w:rsid w:val="00F541FD"/>
    <w:rsid w:val="00F543F1"/>
    <w:rsid w:val="00F56490"/>
    <w:rsid w:val="00F567D2"/>
    <w:rsid w:val="00F56965"/>
    <w:rsid w:val="00F56BD1"/>
    <w:rsid w:val="00F56CEA"/>
    <w:rsid w:val="00F57749"/>
    <w:rsid w:val="00F57FD7"/>
    <w:rsid w:val="00F60640"/>
    <w:rsid w:val="00F613FB"/>
    <w:rsid w:val="00F62CDC"/>
    <w:rsid w:val="00F62D46"/>
    <w:rsid w:val="00F63622"/>
    <w:rsid w:val="00F63787"/>
    <w:rsid w:val="00F6454D"/>
    <w:rsid w:val="00F64D9B"/>
    <w:rsid w:val="00F64FFD"/>
    <w:rsid w:val="00F6512E"/>
    <w:rsid w:val="00F6756D"/>
    <w:rsid w:val="00F678F9"/>
    <w:rsid w:val="00F67C9F"/>
    <w:rsid w:val="00F703E4"/>
    <w:rsid w:val="00F705E9"/>
    <w:rsid w:val="00F71A62"/>
    <w:rsid w:val="00F72B27"/>
    <w:rsid w:val="00F7383D"/>
    <w:rsid w:val="00F73CFC"/>
    <w:rsid w:val="00F73EBD"/>
    <w:rsid w:val="00F757EC"/>
    <w:rsid w:val="00F7594A"/>
    <w:rsid w:val="00F7668C"/>
    <w:rsid w:val="00F77129"/>
    <w:rsid w:val="00F77D6C"/>
    <w:rsid w:val="00F80281"/>
    <w:rsid w:val="00F80977"/>
    <w:rsid w:val="00F80ADB"/>
    <w:rsid w:val="00F830C1"/>
    <w:rsid w:val="00F84AD1"/>
    <w:rsid w:val="00F87712"/>
    <w:rsid w:val="00F87FE3"/>
    <w:rsid w:val="00F90843"/>
    <w:rsid w:val="00F90995"/>
    <w:rsid w:val="00F90C60"/>
    <w:rsid w:val="00F93A78"/>
    <w:rsid w:val="00F93B65"/>
    <w:rsid w:val="00F93F98"/>
    <w:rsid w:val="00F9401F"/>
    <w:rsid w:val="00F96838"/>
    <w:rsid w:val="00F971B7"/>
    <w:rsid w:val="00F97B4B"/>
    <w:rsid w:val="00F97EC0"/>
    <w:rsid w:val="00FA1F33"/>
    <w:rsid w:val="00FA36DD"/>
    <w:rsid w:val="00FA3E19"/>
    <w:rsid w:val="00FA73C0"/>
    <w:rsid w:val="00FB0A3A"/>
    <w:rsid w:val="00FB0EA7"/>
    <w:rsid w:val="00FB162A"/>
    <w:rsid w:val="00FB177D"/>
    <w:rsid w:val="00FB2576"/>
    <w:rsid w:val="00FB2E23"/>
    <w:rsid w:val="00FB422B"/>
    <w:rsid w:val="00FB45AD"/>
    <w:rsid w:val="00FB4645"/>
    <w:rsid w:val="00FB66A4"/>
    <w:rsid w:val="00FB7F6C"/>
    <w:rsid w:val="00FC31D5"/>
    <w:rsid w:val="00FC4564"/>
    <w:rsid w:val="00FC493A"/>
    <w:rsid w:val="00FC4A6A"/>
    <w:rsid w:val="00FC78B6"/>
    <w:rsid w:val="00FC7FAC"/>
    <w:rsid w:val="00FD0C36"/>
    <w:rsid w:val="00FD351D"/>
    <w:rsid w:val="00FD3EC2"/>
    <w:rsid w:val="00FD604F"/>
    <w:rsid w:val="00FD60B2"/>
    <w:rsid w:val="00FD6523"/>
    <w:rsid w:val="00FD6F26"/>
    <w:rsid w:val="00FD711B"/>
    <w:rsid w:val="00FE0DB4"/>
    <w:rsid w:val="00FE27D6"/>
    <w:rsid w:val="00FE2BEA"/>
    <w:rsid w:val="00FE5642"/>
    <w:rsid w:val="00FE6391"/>
    <w:rsid w:val="00FE664E"/>
    <w:rsid w:val="00FE7451"/>
    <w:rsid w:val="00FE74C2"/>
    <w:rsid w:val="00FE7B0C"/>
    <w:rsid w:val="00FE7CF5"/>
    <w:rsid w:val="00FE7E02"/>
    <w:rsid w:val="00FF0245"/>
    <w:rsid w:val="00FF0B79"/>
    <w:rsid w:val="00FF1226"/>
    <w:rsid w:val="00FF1CE6"/>
    <w:rsid w:val="00FF243F"/>
    <w:rsid w:val="00FF530C"/>
    <w:rsid w:val="00FF7380"/>
    <w:rsid w:val="00FF75ED"/>
    <w:rsid w:val="58B39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AEAEC"/>
  <w15:chartTrackingRefBased/>
  <w15:docId w15:val="{D2AEC406-7165-4C03-BC5F-E3E4374E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35C"/>
  </w:style>
  <w:style w:type="paragraph" w:styleId="Heading1">
    <w:name w:val="heading 1"/>
    <w:basedOn w:val="Normal"/>
    <w:next w:val="Normal"/>
    <w:link w:val="Heading1Char"/>
    <w:uiPriority w:val="9"/>
    <w:qFormat/>
    <w:rsid w:val="0083695E"/>
    <w:pPr>
      <w:outlineLvl w:val="0"/>
    </w:pPr>
    <w:rPr>
      <w:b/>
      <w:bCs/>
      <w:sz w:val="24"/>
      <w:szCs w:val="24"/>
    </w:rPr>
  </w:style>
  <w:style w:type="paragraph" w:styleId="Heading2">
    <w:name w:val="heading 2"/>
    <w:basedOn w:val="Normal"/>
    <w:next w:val="Normal"/>
    <w:link w:val="Heading2Char"/>
    <w:uiPriority w:val="9"/>
    <w:unhideWhenUsed/>
    <w:qFormat/>
    <w:rsid w:val="0038277F"/>
    <w:pPr>
      <w:outlineLvl w:val="1"/>
    </w:pPr>
    <w:rPr>
      <w:b/>
      <w:bCs/>
    </w:rPr>
  </w:style>
  <w:style w:type="paragraph" w:styleId="Heading3">
    <w:name w:val="heading 3"/>
    <w:basedOn w:val="Heading2"/>
    <w:next w:val="Normal"/>
    <w:link w:val="Heading3Char"/>
    <w:uiPriority w:val="9"/>
    <w:unhideWhenUsed/>
    <w:qFormat/>
    <w:rsid w:val="0038277F"/>
    <w:pPr>
      <w:outlineLvl w:val="2"/>
    </w:pPr>
    <w:rPr>
      <w:b w:val="0"/>
      <w:bCs w:val="0"/>
      <w:i/>
      <w:iCs/>
    </w:rPr>
  </w:style>
  <w:style w:type="paragraph" w:styleId="Heading4">
    <w:name w:val="heading 4"/>
    <w:basedOn w:val="Normal"/>
    <w:next w:val="Normal"/>
    <w:link w:val="Heading4Char"/>
    <w:uiPriority w:val="9"/>
    <w:unhideWhenUsed/>
    <w:qFormat/>
    <w:rsid w:val="00D5763E"/>
    <w:pPr>
      <w:keepNext/>
      <w:keepLines/>
      <w:spacing w:before="40" w:after="0"/>
      <w:outlineLvl w:val="3"/>
    </w:pPr>
    <w:rPr>
      <w:rFonts w:eastAsiaTheme="majorEastAsia"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95E"/>
    <w:rPr>
      <w:b/>
      <w:bCs/>
      <w:sz w:val="24"/>
      <w:szCs w:val="24"/>
    </w:rPr>
  </w:style>
  <w:style w:type="paragraph" w:styleId="ListParagraph">
    <w:name w:val="List Paragraph"/>
    <w:basedOn w:val="Normal"/>
    <w:uiPriority w:val="34"/>
    <w:qFormat/>
    <w:rsid w:val="000866E1"/>
    <w:pPr>
      <w:ind w:left="720"/>
      <w:contextualSpacing/>
    </w:pPr>
  </w:style>
  <w:style w:type="character" w:customStyle="1" w:styleId="Heading3Char">
    <w:name w:val="Heading 3 Char"/>
    <w:basedOn w:val="DefaultParagraphFont"/>
    <w:link w:val="Heading3"/>
    <w:uiPriority w:val="9"/>
    <w:rsid w:val="0038277F"/>
    <w:rPr>
      <w:i/>
      <w:iCs/>
    </w:rPr>
  </w:style>
  <w:style w:type="character" w:customStyle="1" w:styleId="Heading2Char">
    <w:name w:val="Heading 2 Char"/>
    <w:basedOn w:val="DefaultParagraphFont"/>
    <w:link w:val="Heading2"/>
    <w:uiPriority w:val="9"/>
    <w:rsid w:val="0038277F"/>
    <w:rPr>
      <w:b/>
      <w:bCs/>
    </w:rPr>
  </w:style>
  <w:style w:type="table" w:styleId="TableGrid">
    <w:name w:val="Table Grid"/>
    <w:basedOn w:val="TableNormal"/>
    <w:uiPriority w:val="59"/>
    <w:rsid w:val="00A41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H18"/>
    <w:basedOn w:val="DefaultParagraphFont"/>
    <w:uiPriority w:val="99"/>
    <w:unhideWhenUsed/>
    <w:qFormat/>
    <w:rsid w:val="000B62F1"/>
    <w:rPr>
      <w:sz w:val="16"/>
      <w:szCs w:val="16"/>
    </w:rPr>
  </w:style>
  <w:style w:type="paragraph" w:styleId="CommentText">
    <w:name w:val="annotation text"/>
    <w:basedOn w:val="Normal"/>
    <w:link w:val="CommentTextChar"/>
    <w:uiPriority w:val="99"/>
    <w:unhideWhenUsed/>
    <w:rsid w:val="000B62F1"/>
    <w:pPr>
      <w:spacing w:line="240" w:lineRule="auto"/>
    </w:pPr>
    <w:rPr>
      <w:sz w:val="20"/>
      <w:szCs w:val="20"/>
    </w:rPr>
  </w:style>
  <w:style w:type="character" w:customStyle="1" w:styleId="CommentTextChar">
    <w:name w:val="Comment Text Char"/>
    <w:basedOn w:val="DefaultParagraphFont"/>
    <w:link w:val="CommentText"/>
    <w:uiPriority w:val="99"/>
    <w:rsid w:val="000B62F1"/>
    <w:rPr>
      <w:sz w:val="20"/>
      <w:szCs w:val="20"/>
    </w:rPr>
  </w:style>
  <w:style w:type="paragraph" w:styleId="CommentSubject">
    <w:name w:val="annotation subject"/>
    <w:basedOn w:val="CommentText"/>
    <w:next w:val="CommentText"/>
    <w:link w:val="CommentSubjectChar"/>
    <w:uiPriority w:val="99"/>
    <w:semiHidden/>
    <w:unhideWhenUsed/>
    <w:rsid w:val="000B62F1"/>
    <w:rPr>
      <w:b/>
      <w:bCs/>
    </w:rPr>
  </w:style>
  <w:style w:type="character" w:customStyle="1" w:styleId="CommentSubjectChar">
    <w:name w:val="Comment Subject Char"/>
    <w:basedOn w:val="CommentTextChar"/>
    <w:link w:val="CommentSubject"/>
    <w:uiPriority w:val="99"/>
    <w:semiHidden/>
    <w:rsid w:val="000B62F1"/>
    <w:rPr>
      <w:b/>
      <w:bCs/>
      <w:sz w:val="20"/>
      <w:szCs w:val="20"/>
    </w:rPr>
  </w:style>
  <w:style w:type="paragraph" w:styleId="BalloonText">
    <w:name w:val="Balloon Text"/>
    <w:basedOn w:val="Normal"/>
    <w:link w:val="BalloonTextChar"/>
    <w:uiPriority w:val="99"/>
    <w:semiHidden/>
    <w:unhideWhenUsed/>
    <w:rsid w:val="000B6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2F1"/>
    <w:rPr>
      <w:rFonts w:ascii="Segoe UI" w:hAnsi="Segoe UI" w:cs="Segoe UI"/>
      <w:sz w:val="18"/>
      <w:szCs w:val="18"/>
    </w:rPr>
  </w:style>
  <w:style w:type="character" w:styleId="Hyperlink">
    <w:name w:val="Hyperlink"/>
    <w:basedOn w:val="DefaultParagraphFont"/>
    <w:uiPriority w:val="99"/>
    <w:unhideWhenUsed/>
    <w:rsid w:val="00C862FD"/>
    <w:rPr>
      <w:color w:val="0563C1" w:themeColor="hyperlink"/>
      <w:u w:val="single"/>
    </w:rPr>
  </w:style>
  <w:style w:type="character" w:customStyle="1" w:styleId="UnresolvedMention1">
    <w:name w:val="Unresolved Mention1"/>
    <w:basedOn w:val="DefaultParagraphFont"/>
    <w:uiPriority w:val="99"/>
    <w:semiHidden/>
    <w:unhideWhenUsed/>
    <w:rsid w:val="00C862FD"/>
    <w:rPr>
      <w:color w:val="605E5C"/>
      <w:shd w:val="clear" w:color="auto" w:fill="E1DFDD"/>
    </w:rPr>
  </w:style>
  <w:style w:type="character" w:customStyle="1" w:styleId="Heading4Char">
    <w:name w:val="Heading 4 Char"/>
    <w:basedOn w:val="DefaultParagraphFont"/>
    <w:link w:val="Heading4"/>
    <w:uiPriority w:val="9"/>
    <w:rsid w:val="00D5763E"/>
    <w:rPr>
      <w:rFonts w:eastAsiaTheme="majorEastAsia" w:cstheme="minorHAnsi"/>
    </w:rPr>
  </w:style>
  <w:style w:type="character" w:customStyle="1" w:styleId="EndNoteBibliographyChar">
    <w:name w:val="EndNote Bibliography Char"/>
    <w:basedOn w:val="DefaultParagraphFont"/>
    <w:link w:val="EndNoteBibliography"/>
    <w:locked/>
    <w:rsid w:val="00A01EA5"/>
    <w:rPr>
      <w:rFonts w:ascii="Calibri" w:hAnsi="Calibri" w:cs="Calibri"/>
      <w:noProof/>
      <w:lang w:val="en-US"/>
    </w:rPr>
  </w:style>
  <w:style w:type="paragraph" w:customStyle="1" w:styleId="EndNoteBibliography">
    <w:name w:val="EndNote Bibliography"/>
    <w:basedOn w:val="Normal"/>
    <w:link w:val="EndNoteBibliographyChar"/>
    <w:rsid w:val="00A01EA5"/>
    <w:pPr>
      <w:spacing w:after="200" w:line="240" w:lineRule="auto"/>
    </w:pPr>
    <w:rPr>
      <w:rFonts w:ascii="Calibri" w:hAnsi="Calibri" w:cs="Calibri"/>
      <w:noProof/>
      <w:lang w:val="en-US"/>
    </w:rPr>
  </w:style>
  <w:style w:type="paragraph" w:styleId="NormalWeb">
    <w:name w:val="Normal (Web)"/>
    <w:basedOn w:val="Normal"/>
    <w:uiPriority w:val="99"/>
    <w:semiHidden/>
    <w:unhideWhenUsed/>
    <w:rsid w:val="00690D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F1E94"/>
    <w:pPr>
      <w:spacing w:after="0" w:line="240" w:lineRule="auto"/>
    </w:pPr>
  </w:style>
  <w:style w:type="character" w:styleId="FollowedHyperlink">
    <w:name w:val="FollowedHyperlink"/>
    <w:basedOn w:val="DefaultParagraphFont"/>
    <w:uiPriority w:val="99"/>
    <w:semiHidden/>
    <w:unhideWhenUsed/>
    <w:rsid w:val="00EA6F7A"/>
    <w:rPr>
      <w:color w:val="954F72" w:themeColor="followedHyperlink"/>
      <w:u w:val="single"/>
    </w:rPr>
  </w:style>
  <w:style w:type="paragraph" w:styleId="Header">
    <w:name w:val="header"/>
    <w:basedOn w:val="Normal"/>
    <w:link w:val="HeaderChar"/>
    <w:uiPriority w:val="99"/>
    <w:unhideWhenUsed/>
    <w:rsid w:val="002646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460E"/>
  </w:style>
  <w:style w:type="paragraph" w:styleId="Footer">
    <w:name w:val="footer"/>
    <w:basedOn w:val="Normal"/>
    <w:link w:val="FooterChar"/>
    <w:uiPriority w:val="99"/>
    <w:unhideWhenUsed/>
    <w:rsid w:val="002646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460E"/>
  </w:style>
  <w:style w:type="character" w:customStyle="1" w:styleId="cf01">
    <w:name w:val="cf01"/>
    <w:basedOn w:val="DefaultParagraphFont"/>
    <w:rsid w:val="00A97338"/>
    <w:rPr>
      <w:rFonts w:ascii="Segoe UI" w:hAnsi="Segoe UI" w:cs="Segoe UI" w:hint="default"/>
      <w:sz w:val="18"/>
      <w:szCs w:val="18"/>
    </w:rPr>
  </w:style>
  <w:style w:type="character" w:customStyle="1" w:styleId="cf11">
    <w:name w:val="cf11"/>
    <w:basedOn w:val="DefaultParagraphFont"/>
    <w:rsid w:val="00A97338"/>
    <w:rPr>
      <w:rFonts w:ascii="Segoe UI" w:hAnsi="Segoe UI" w:cs="Segoe UI" w:hint="default"/>
      <w:sz w:val="18"/>
      <w:szCs w:val="18"/>
    </w:rPr>
  </w:style>
  <w:style w:type="paragraph" w:styleId="Caption">
    <w:name w:val="caption"/>
    <w:aliases w:val="- H17,.,Bayer Caption,Caption Char Char Char,Caption Char1,Caption Char1 Char,Company Caption,Figure Source,Figure caption,Figure caption1 Char Char,IB Caption,IB Caption + ...,Medical Caption,Table Caption 1,Table caption,Vion Caption,appendix"/>
    <w:basedOn w:val="Normal"/>
    <w:next w:val="Normal"/>
    <w:link w:val="CaptionChar"/>
    <w:uiPriority w:val="35"/>
    <w:unhideWhenUsed/>
    <w:qFormat/>
    <w:rsid w:val="007927E9"/>
    <w:pPr>
      <w:keepNext/>
      <w:suppressAutoHyphens/>
      <w:spacing w:before="120" w:after="0" w:line="360" w:lineRule="auto"/>
      <w:jc w:val="center"/>
    </w:pPr>
    <w:rPr>
      <w:rFonts w:ascii="Segoe UI" w:hAnsi="Segoe UI" w:cs="Segoe UI"/>
      <w:b/>
      <w:bCs/>
      <w:color w:val="000000" w:themeColor="text1"/>
      <w:sz w:val="18"/>
      <w:szCs w:val="20"/>
    </w:rPr>
  </w:style>
  <w:style w:type="character" w:customStyle="1" w:styleId="CaptionChar">
    <w:name w:val="Caption Char"/>
    <w:aliases w:val="- H17 Char,. Char,Bayer Caption Char,Caption Char Char Char Char,Caption Char1 Char1,Caption Char1 Char Char,Company Caption Char,Figure Source Char,Figure caption Char,Figure caption1 Char Char Char,IB Caption Char,IB Caption + ... Char"/>
    <w:link w:val="Caption"/>
    <w:uiPriority w:val="35"/>
    <w:rsid w:val="007927E9"/>
    <w:rPr>
      <w:rFonts w:ascii="Segoe UI" w:hAnsi="Segoe UI" w:cs="Segoe UI"/>
      <w:b/>
      <w:bCs/>
      <w:color w:val="000000" w:themeColor="text1"/>
      <w:sz w:val="18"/>
      <w:szCs w:val="20"/>
    </w:rPr>
  </w:style>
  <w:style w:type="paragraph" w:customStyle="1" w:styleId="pf0">
    <w:name w:val="pf0"/>
    <w:basedOn w:val="Normal"/>
    <w:rsid w:val="00DC53F2"/>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Mention1">
    <w:name w:val="Mention1"/>
    <w:basedOn w:val="DefaultParagraphFont"/>
    <w:uiPriority w:val="99"/>
    <w:unhideWhenUsed/>
    <w:rsid w:val="00F445F3"/>
    <w:rPr>
      <w:color w:val="2B579A"/>
      <w:shd w:val="clear" w:color="auto" w:fill="E1DFDD"/>
    </w:rPr>
  </w:style>
  <w:style w:type="character" w:customStyle="1" w:styleId="UnresolvedMention2">
    <w:name w:val="Unresolved Mention2"/>
    <w:basedOn w:val="DefaultParagraphFont"/>
    <w:uiPriority w:val="99"/>
    <w:unhideWhenUsed/>
    <w:rsid w:val="003A34DE"/>
    <w:rPr>
      <w:color w:val="605E5C"/>
      <w:shd w:val="clear" w:color="auto" w:fill="E1DFDD"/>
    </w:rPr>
  </w:style>
  <w:style w:type="character" w:customStyle="1" w:styleId="Mention2">
    <w:name w:val="Mention2"/>
    <w:basedOn w:val="DefaultParagraphFont"/>
    <w:uiPriority w:val="99"/>
    <w:unhideWhenUsed/>
    <w:rsid w:val="003A34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7884">
      <w:bodyDiv w:val="1"/>
      <w:marLeft w:val="0"/>
      <w:marRight w:val="0"/>
      <w:marTop w:val="0"/>
      <w:marBottom w:val="0"/>
      <w:divBdr>
        <w:top w:val="none" w:sz="0" w:space="0" w:color="auto"/>
        <w:left w:val="none" w:sz="0" w:space="0" w:color="auto"/>
        <w:bottom w:val="none" w:sz="0" w:space="0" w:color="auto"/>
        <w:right w:val="none" w:sz="0" w:space="0" w:color="auto"/>
      </w:divBdr>
    </w:div>
    <w:div w:id="72745912">
      <w:bodyDiv w:val="1"/>
      <w:marLeft w:val="0"/>
      <w:marRight w:val="0"/>
      <w:marTop w:val="0"/>
      <w:marBottom w:val="0"/>
      <w:divBdr>
        <w:top w:val="none" w:sz="0" w:space="0" w:color="auto"/>
        <w:left w:val="none" w:sz="0" w:space="0" w:color="auto"/>
        <w:bottom w:val="none" w:sz="0" w:space="0" w:color="auto"/>
        <w:right w:val="none" w:sz="0" w:space="0" w:color="auto"/>
      </w:divBdr>
    </w:div>
    <w:div w:id="74475828">
      <w:bodyDiv w:val="1"/>
      <w:marLeft w:val="0"/>
      <w:marRight w:val="0"/>
      <w:marTop w:val="0"/>
      <w:marBottom w:val="0"/>
      <w:divBdr>
        <w:top w:val="none" w:sz="0" w:space="0" w:color="auto"/>
        <w:left w:val="none" w:sz="0" w:space="0" w:color="auto"/>
        <w:bottom w:val="none" w:sz="0" w:space="0" w:color="auto"/>
        <w:right w:val="none" w:sz="0" w:space="0" w:color="auto"/>
      </w:divBdr>
    </w:div>
    <w:div w:id="97723797">
      <w:bodyDiv w:val="1"/>
      <w:marLeft w:val="0"/>
      <w:marRight w:val="0"/>
      <w:marTop w:val="0"/>
      <w:marBottom w:val="0"/>
      <w:divBdr>
        <w:top w:val="none" w:sz="0" w:space="0" w:color="auto"/>
        <w:left w:val="none" w:sz="0" w:space="0" w:color="auto"/>
        <w:bottom w:val="none" w:sz="0" w:space="0" w:color="auto"/>
        <w:right w:val="none" w:sz="0" w:space="0" w:color="auto"/>
      </w:divBdr>
    </w:div>
    <w:div w:id="109279835">
      <w:bodyDiv w:val="1"/>
      <w:marLeft w:val="0"/>
      <w:marRight w:val="0"/>
      <w:marTop w:val="0"/>
      <w:marBottom w:val="0"/>
      <w:divBdr>
        <w:top w:val="none" w:sz="0" w:space="0" w:color="auto"/>
        <w:left w:val="none" w:sz="0" w:space="0" w:color="auto"/>
        <w:bottom w:val="none" w:sz="0" w:space="0" w:color="auto"/>
        <w:right w:val="none" w:sz="0" w:space="0" w:color="auto"/>
      </w:divBdr>
    </w:div>
    <w:div w:id="247543551">
      <w:bodyDiv w:val="1"/>
      <w:marLeft w:val="0"/>
      <w:marRight w:val="0"/>
      <w:marTop w:val="0"/>
      <w:marBottom w:val="0"/>
      <w:divBdr>
        <w:top w:val="none" w:sz="0" w:space="0" w:color="auto"/>
        <w:left w:val="none" w:sz="0" w:space="0" w:color="auto"/>
        <w:bottom w:val="none" w:sz="0" w:space="0" w:color="auto"/>
        <w:right w:val="none" w:sz="0" w:space="0" w:color="auto"/>
      </w:divBdr>
    </w:div>
    <w:div w:id="269631968">
      <w:bodyDiv w:val="1"/>
      <w:marLeft w:val="0"/>
      <w:marRight w:val="0"/>
      <w:marTop w:val="0"/>
      <w:marBottom w:val="0"/>
      <w:divBdr>
        <w:top w:val="none" w:sz="0" w:space="0" w:color="auto"/>
        <w:left w:val="none" w:sz="0" w:space="0" w:color="auto"/>
        <w:bottom w:val="none" w:sz="0" w:space="0" w:color="auto"/>
        <w:right w:val="none" w:sz="0" w:space="0" w:color="auto"/>
      </w:divBdr>
    </w:div>
    <w:div w:id="283387954">
      <w:bodyDiv w:val="1"/>
      <w:marLeft w:val="0"/>
      <w:marRight w:val="0"/>
      <w:marTop w:val="0"/>
      <w:marBottom w:val="0"/>
      <w:divBdr>
        <w:top w:val="none" w:sz="0" w:space="0" w:color="auto"/>
        <w:left w:val="none" w:sz="0" w:space="0" w:color="auto"/>
        <w:bottom w:val="none" w:sz="0" w:space="0" w:color="auto"/>
        <w:right w:val="none" w:sz="0" w:space="0" w:color="auto"/>
      </w:divBdr>
    </w:div>
    <w:div w:id="350956338">
      <w:bodyDiv w:val="1"/>
      <w:marLeft w:val="0"/>
      <w:marRight w:val="0"/>
      <w:marTop w:val="0"/>
      <w:marBottom w:val="0"/>
      <w:divBdr>
        <w:top w:val="none" w:sz="0" w:space="0" w:color="auto"/>
        <w:left w:val="none" w:sz="0" w:space="0" w:color="auto"/>
        <w:bottom w:val="none" w:sz="0" w:space="0" w:color="auto"/>
        <w:right w:val="none" w:sz="0" w:space="0" w:color="auto"/>
      </w:divBdr>
    </w:div>
    <w:div w:id="353119595">
      <w:bodyDiv w:val="1"/>
      <w:marLeft w:val="0"/>
      <w:marRight w:val="0"/>
      <w:marTop w:val="0"/>
      <w:marBottom w:val="0"/>
      <w:divBdr>
        <w:top w:val="none" w:sz="0" w:space="0" w:color="auto"/>
        <w:left w:val="none" w:sz="0" w:space="0" w:color="auto"/>
        <w:bottom w:val="none" w:sz="0" w:space="0" w:color="auto"/>
        <w:right w:val="none" w:sz="0" w:space="0" w:color="auto"/>
      </w:divBdr>
    </w:div>
    <w:div w:id="458107310">
      <w:bodyDiv w:val="1"/>
      <w:marLeft w:val="0"/>
      <w:marRight w:val="0"/>
      <w:marTop w:val="0"/>
      <w:marBottom w:val="0"/>
      <w:divBdr>
        <w:top w:val="none" w:sz="0" w:space="0" w:color="auto"/>
        <w:left w:val="none" w:sz="0" w:space="0" w:color="auto"/>
        <w:bottom w:val="none" w:sz="0" w:space="0" w:color="auto"/>
        <w:right w:val="none" w:sz="0" w:space="0" w:color="auto"/>
      </w:divBdr>
    </w:div>
    <w:div w:id="487551683">
      <w:bodyDiv w:val="1"/>
      <w:marLeft w:val="0"/>
      <w:marRight w:val="0"/>
      <w:marTop w:val="0"/>
      <w:marBottom w:val="0"/>
      <w:divBdr>
        <w:top w:val="none" w:sz="0" w:space="0" w:color="auto"/>
        <w:left w:val="none" w:sz="0" w:space="0" w:color="auto"/>
        <w:bottom w:val="none" w:sz="0" w:space="0" w:color="auto"/>
        <w:right w:val="none" w:sz="0" w:space="0" w:color="auto"/>
      </w:divBdr>
    </w:div>
    <w:div w:id="488139658">
      <w:bodyDiv w:val="1"/>
      <w:marLeft w:val="0"/>
      <w:marRight w:val="0"/>
      <w:marTop w:val="0"/>
      <w:marBottom w:val="0"/>
      <w:divBdr>
        <w:top w:val="none" w:sz="0" w:space="0" w:color="auto"/>
        <w:left w:val="none" w:sz="0" w:space="0" w:color="auto"/>
        <w:bottom w:val="none" w:sz="0" w:space="0" w:color="auto"/>
        <w:right w:val="none" w:sz="0" w:space="0" w:color="auto"/>
      </w:divBdr>
    </w:div>
    <w:div w:id="504054074">
      <w:bodyDiv w:val="1"/>
      <w:marLeft w:val="0"/>
      <w:marRight w:val="0"/>
      <w:marTop w:val="0"/>
      <w:marBottom w:val="0"/>
      <w:divBdr>
        <w:top w:val="none" w:sz="0" w:space="0" w:color="auto"/>
        <w:left w:val="none" w:sz="0" w:space="0" w:color="auto"/>
        <w:bottom w:val="none" w:sz="0" w:space="0" w:color="auto"/>
        <w:right w:val="none" w:sz="0" w:space="0" w:color="auto"/>
      </w:divBdr>
    </w:div>
    <w:div w:id="506215464">
      <w:bodyDiv w:val="1"/>
      <w:marLeft w:val="0"/>
      <w:marRight w:val="0"/>
      <w:marTop w:val="0"/>
      <w:marBottom w:val="0"/>
      <w:divBdr>
        <w:top w:val="none" w:sz="0" w:space="0" w:color="auto"/>
        <w:left w:val="none" w:sz="0" w:space="0" w:color="auto"/>
        <w:bottom w:val="none" w:sz="0" w:space="0" w:color="auto"/>
        <w:right w:val="none" w:sz="0" w:space="0" w:color="auto"/>
      </w:divBdr>
      <w:divsChild>
        <w:div w:id="854227616">
          <w:marLeft w:val="0"/>
          <w:marRight w:val="0"/>
          <w:marTop w:val="0"/>
          <w:marBottom w:val="0"/>
          <w:divBdr>
            <w:top w:val="none" w:sz="0" w:space="0" w:color="auto"/>
            <w:left w:val="none" w:sz="0" w:space="0" w:color="auto"/>
            <w:bottom w:val="none" w:sz="0" w:space="0" w:color="auto"/>
            <w:right w:val="none" w:sz="0" w:space="0" w:color="auto"/>
          </w:divBdr>
          <w:divsChild>
            <w:div w:id="816921916">
              <w:marLeft w:val="0"/>
              <w:marRight w:val="0"/>
              <w:marTop w:val="0"/>
              <w:marBottom w:val="0"/>
              <w:divBdr>
                <w:top w:val="none" w:sz="0" w:space="0" w:color="auto"/>
                <w:left w:val="none" w:sz="0" w:space="0" w:color="auto"/>
                <w:bottom w:val="none" w:sz="0" w:space="0" w:color="auto"/>
                <w:right w:val="none" w:sz="0" w:space="0" w:color="auto"/>
              </w:divBdr>
              <w:divsChild>
                <w:div w:id="1825732821">
                  <w:marLeft w:val="0"/>
                  <w:marRight w:val="0"/>
                  <w:marTop w:val="0"/>
                  <w:marBottom w:val="0"/>
                  <w:divBdr>
                    <w:top w:val="none" w:sz="0" w:space="0" w:color="auto"/>
                    <w:left w:val="none" w:sz="0" w:space="0" w:color="auto"/>
                    <w:bottom w:val="none" w:sz="0" w:space="0" w:color="auto"/>
                    <w:right w:val="none" w:sz="0" w:space="0" w:color="auto"/>
                  </w:divBdr>
                  <w:divsChild>
                    <w:div w:id="12728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90641">
          <w:marLeft w:val="0"/>
          <w:marRight w:val="0"/>
          <w:marTop w:val="0"/>
          <w:marBottom w:val="0"/>
          <w:divBdr>
            <w:top w:val="none" w:sz="0" w:space="0" w:color="auto"/>
            <w:left w:val="none" w:sz="0" w:space="0" w:color="auto"/>
            <w:bottom w:val="none" w:sz="0" w:space="0" w:color="auto"/>
            <w:right w:val="none" w:sz="0" w:space="0" w:color="auto"/>
          </w:divBdr>
          <w:divsChild>
            <w:div w:id="956062578">
              <w:marLeft w:val="0"/>
              <w:marRight w:val="0"/>
              <w:marTop w:val="0"/>
              <w:marBottom w:val="0"/>
              <w:divBdr>
                <w:top w:val="none" w:sz="0" w:space="0" w:color="auto"/>
                <w:left w:val="none" w:sz="0" w:space="0" w:color="auto"/>
                <w:bottom w:val="none" w:sz="0" w:space="0" w:color="auto"/>
                <w:right w:val="none" w:sz="0" w:space="0" w:color="auto"/>
              </w:divBdr>
              <w:divsChild>
                <w:div w:id="209952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08637">
      <w:bodyDiv w:val="1"/>
      <w:marLeft w:val="0"/>
      <w:marRight w:val="0"/>
      <w:marTop w:val="0"/>
      <w:marBottom w:val="0"/>
      <w:divBdr>
        <w:top w:val="none" w:sz="0" w:space="0" w:color="auto"/>
        <w:left w:val="none" w:sz="0" w:space="0" w:color="auto"/>
        <w:bottom w:val="none" w:sz="0" w:space="0" w:color="auto"/>
        <w:right w:val="none" w:sz="0" w:space="0" w:color="auto"/>
      </w:divBdr>
    </w:div>
    <w:div w:id="630599837">
      <w:bodyDiv w:val="1"/>
      <w:marLeft w:val="0"/>
      <w:marRight w:val="0"/>
      <w:marTop w:val="0"/>
      <w:marBottom w:val="0"/>
      <w:divBdr>
        <w:top w:val="none" w:sz="0" w:space="0" w:color="auto"/>
        <w:left w:val="none" w:sz="0" w:space="0" w:color="auto"/>
        <w:bottom w:val="none" w:sz="0" w:space="0" w:color="auto"/>
        <w:right w:val="none" w:sz="0" w:space="0" w:color="auto"/>
      </w:divBdr>
    </w:div>
    <w:div w:id="668293283">
      <w:bodyDiv w:val="1"/>
      <w:marLeft w:val="0"/>
      <w:marRight w:val="0"/>
      <w:marTop w:val="0"/>
      <w:marBottom w:val="0"/>
      <w:divBdr>
        <w:top w:val="none" w:sz="0" w:space="0" w:color="auto"/>
        <w:left w:val="none" w:sz="0" w:space="0" w:color="auto"/>
        <w:bottom w:val="none" w:sz="0" w:space="0" w:color="auto"/>
        <w:right w:val="none" w:sz="0" w:space="0" w:color="auto"/>
      </w:divBdr>
      <w:divsChild>
        <w:div w:id="2134981694">
          <w:marLeft w:val="0"/>
          <w:marRight w:val="0"/>
          <w:marTop w:val="0"/>
          <w:marBottom w:val="0"/>
          <w:divBdr>
            <w:top w:val="none" w:sz="0" w:space="0" w:color="auto"/>
            <w:left w:val="none" w:sz="0" w:space="0" w:color="auto"/>
            <w:bottom w:val="none" w:sz="0" w:space="0" w:color="auto"/>
            <w:right w:val="none" w:sz="0" w:space="0" w:color="auto"/>
          </w:divBdr>
        </w:div>
      </w:divsChild>
    </w:div>
    <w:div w:id="720832312">
      <w:bodyDiv w:val="1"/>
      <w:marLeft w:val="0"/>
      <w:marRight w:val="0"/>
      <w:marTop w:val="0"/>
      <w:marBottom w:val="0"/>
      <w:divBdr>
        <w:top w:val="none" w:sz="0" w:space="0" w:color="auto"/>
        <w:left w:val="none" w:sz="0" w:space="0" w:color="auto"/>
        <w:bottom w:val="none" w:sz="0" w:space="0" w:color="auto"/>
        <w:right w:val="none" w:sz="0" w:space="0" w:color="auto"/>
      </w:divBdr>
      <w:divsChild>
        <w:div w:id="824707471">
          <w:marLeft w:val="446"/>
          <w:marRight w:val="0"/>
          <w:marTop w:val="0"/>
          <w:marBottom w:val="60"/>
          <w:divBdr>
            <w:top w:val="none" w:sz="0" w:space="0" w:color="auto"/>
            <w:left w:val="none" w:sz="0" w:space="0" w:color="auto"/>
            <w:bottom w:val="none" w:sz="0" w:space="0" w:color="auto"/>
            <w:right w:val="none" w:sz="0" w:space="0" w:color="auto"/>
          </w:divBdr>
        </w:div>
      </w:divsChild>
    </w:div>
    <w:div w:id="732964728">
      <w:bodyDiv w:val="1"/>
      <w:marLeft w:val="0"/>
      <w:marRight w:val="0"/>
      <w:marTop w:val="0"/>
      <w:marBottom w:val="0"/>
      <w:divBdr>
        <w:top w:val="none" w:sz="0" w:space="0" w:color="auto"/>
        <w:left w:val="none" w:sz="0" w:space="0" w:color="auto"/>
        <w:bottom w:val="none" w:sz="0" w:space="0" w:color="auto"/>
        <w:right w:val="none" w:sz="0" w:space="0" w:color="auto"/>
      </w:divBdr>
      <w:divsChild>
        <w:div w:id="2095398290">
          <w:marLeft w:val="446"/>
          <w:marRight w:val="0"/>
          <w:marTop w:val="0"/>
          <w:marBottom w:val="60"/>
          <w:divBdr>
            <w:top w:val="none" w:sz="0" w:space="0" w:color="auto"/>
            <w:left w:val="none" w:sz="0" w:space="0" w:color="auto"/>
            <w:bottom w:val="none" w:sz="0" w:space="0" w:color="auto"/>
            <w:right w:val="none" w:sz="0" w:space="0" w:color="auto"/>
          </w:divBdr>
        </w:div>
      </w:divsChild>
    </w:div>
    <w:div w:id="749699023">
      <w:bodyDiv w:val="1"/>
      <w:marLeft w:val="0"/>
      <w:marRight w:val="0"/>
      <w:marTop w:val="0"/>
      <w:marBottom w:val="0"/>
      <w:divBdr>
        <w:top w:val="none" w:sz="0" w:space="0" w:color="auto"/>
        <w:left w:val="none" w:sz="0" w:space="0" w:color="auto"/>
        <w:bottom w:val="none" w:sz="0" w:space="0" w:color="auto"/>
        <w:right w:val="none" w:sz="0" w:space="0" w:color="auto"/>
      </w:divBdr>
    </w:div>
    <w:div w:id="856624911">
      <w:bodyDiv w:val="1"/>
      <w:marLeft w:val="0"/>
      <w:marRight w:val="0"/>
      <w:marTop w:val="0"/>
      <w:marBottom w:val="0"/>
      <w:divBdr>
        <w:top w:val="none" w:sz="0" w:space="0" w:color="auto"/>
        <w:left w:val="none" w:sz="0" w:space="0" w:color="auto"/>
        <w:bottom w:val="none" w:sz="0" w:space="0" w:color="auto"/>
        <w:right w:val="none" w:sz="0" w:space="0" w:color="auto"/>
      </w:divBdr>
    </w:div>
    <w:div w:id="861477999">
      <w:bodyDiv w:val="1"/>
      <w:marLeft w:val="0"/>
      <w:marRight w:val="0"/>
      <w:marTop w:val="0"/>
      <w:marBottom w:val="0"/>
      <w:divBdr>
        <w:top w:val="none" w:sz="0" w:space="0" w:color="auto"/>
        <w:left w:val="none" w:sz="0" w:space="0" w:color="auto"/>
        <w:bottom w:val="none" w:sz="0" w:space="0" w:color="auto"/>
        <w:right w:val="none" w:sz="0" w:space="0" w:color="auto"/>
      </w:divBdr>
    </w:div>
    <w:div w:id="905453643">
      <w:bodyDiv w:val="1"/>
      <w:marLeft w:val="0"/>
      <w:marRight w:val="0"/>
      <w:marTop w:val="0"/>
      <w:marBottom w:val="0"/>
      <w:divBdr>
        <w:top w:val="none" w:sz="0" w:space="0" w:color="auto"/>
        <w:left w:val="none" w:sz="0" w:space="0" w:color="auto"/>
        <w:bottom w:val="none" w:sz="0" w:space="0" w:color="auto"/>
        <w:right w:val="none" w:sz="0" w:space="0" w:color="auto"/>
      </w:divBdr>
    </w:div>
    <w:div w:id="906304859">
      <w:bodyDiv w:val="1"/>
      <w:marLeft w:val="0"/>
      <w:marRight w:val="0"/>
      <w:marTop w:val="0"/>
      <w:marBottom w:val="0"/>
      <w:divBdr>
        <w:top w:val="none" w:sz="0" w:space="0" w:color="auto"/>
        <w:left w:val="none" w:sz="0" w:space="0" w:color="auto"/>
        <w:bottom w:val="none" w:sz="0" w:space="0" w:color="auto"/>
        <w:right w:val="none" w:sz="0" w:space="0" w:color="auto"/>
      </w:divBdr>
    </w:div>
    <w:div w:id="920875075">
      <w:bodyDiv w:val="1"/>
      <w:marLeft w:val="0"/>
      <w:marRight w:val="0"/>
      <w:marTop w:val="0"/>
      <w:marBottom w:val="0"/>
      <w:divBdr>
        <w:top w:val="none" w:sz="0" w:space="0" w:color="auto"/>
        <w:left w:val="none" w:sz="0" w:space="0" w:color="auto"/>
        <w:bottom w:val="none" w:sz="0" w:space="0" w:color="auto"/>
        <w:right w:val="none" w:sz="0" w:space="0" w:color="auto"/>
      </w:divBdr>
    </w:div>
    <w:div w:id="936719501">
      <w:bodyDiv w:val="1"/>
      <w:marLeft w:val="0"/>
      <w:marRight w:val="0"/>
      <w:marTop w:val="0"/>
      <w:marBottom w:val="0"/>
      <w:divBdr>
        <w:top w:val="none" w:sz="0" w:space="0" w:color="auto"/>
        <w:left w:val="none" w:sz="0" w:space="0" w:color="auto"/>
        <w:bottom w:val="none" w:sz="0" w:space="0" w:color="auto"/>
        <w:right w:val="none" w:sz="0" w:space="0" w:color="auto"/>
      </w:divBdr>
      <w:divsChild>
        <w:div w:id="1847743022">
          <w:marLeft w:val="0"/>
          <w:marRight w:val="0"/>
          <w:marTop w:val="0"/>
          <w:marBottom w:val="0"/>
          <w:divBdr>
            <w:top w:val="none" w:sz="0" w:space="0" w:color="auto"/>
            <w:left w:val="none" w:sz="0" w:space="0" w:color="auto"/>
            <w:bottom w:val="none" w:sz="0" w:space="0" w:color="auto"/>
            <w:right w:val="none" w:sz="0" w:space="0" w:color="auto"/>
          </w:divBdr>
          <w:divsChild>
            <w:div w:id="1434280172">
              <w:marLeft w:val="0"/>
              <w:marRight w:val="0"/>
              <w:marTop w:val="0"/>
              <w:marBottom w:val="0"/>
              <w:divBdr>
                <w:top w:val="none" w:sz="0" w:space="0" w:color="auto"/>
                <w:left w:val="none" w:sz="0" w:space="0" w:color="auto"/>
                <w:bottom w:val="none" w:sz="0" w:space="0" w:color="auto"/>
                <w:right w:val="none" w:sz="0" w:space="0" w:color="auto"/>
              </w:divBdr>
              <w:divsChild>
                <w:div w:id="2068339784">
                  <w:marLeft w:val="0"/>
                  <w:marRight w:val="0"/>
                  <w:marTop w:val="0"/>
                  <w:marBottom w:val="0"/>
                  <w:divBdr>
                    <w:top w:val="none" w:sz="0" w:space="0" w:color="auto"/>
                    <w:left w:val="none" w:sz="0" w:space="0" w:color="auto"/>
                    <w:bottom w:val="none" w:sz="0" w:space="0" w:color="auto"/>
                    <w:right w:val="none" w:sz="0" w:space="0" w:color="auto"/>
                  </w:divBdr>
                  <w:divsChild>
                    <w:div w:id="57851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85863">
          <w:marLeft w:val="0"/>
          <w:marRight w:val="0"/>
          <w:marTop w:val="0"/>
          <w:marBottom w:val="0"/>
          <w:divBdr>
            <w:top w:val="none" w:sz="0" w:space="0" w:color="auto"/>
            <w:left w:val="none" w:sz="0" w:space="0" w:color="auto"/>
            <w:bottom w:val="none" w:sz="0" w:space="0" w:color="auto"/>
            <w:right w:val="none" w:sz="0" w:space="0" w:color="auto"/>
          </w:divBdr>
          <w:divsChild>
            <w:div w:id="1509977235">
              <w:marLeft w:val="0"/>
              <w:marRight w:val="0"/>
              <w:marTop w:val="0"/>
              <w:marBottom w:val="0"/>
              <w:divBdr>
                <w:top w:val="none" w:sz="0" w:space="0" w:color="auto"/>
                <w:left w:val="none" w:sz="0" w:space="0" w:color="auto"/>
                <w:bottom w:val="none" w:sz="0" w:space="0" w:color="auto"/>
                <w:right w:val="none" w:sz="0" w:space="0" w:color="auto"/>
              </w:divBdr>
              <w:divsChild>
                <w:div w:id="15359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14435">
      <w:bodyDiv w:val="1"/>
      <w:marLeft w:val="0"/>
      <w:marRight w:val="0"/>
      <w:marTop w:val="0"/>
      <w:marBottom w:val="0"/>
      <w:divBdr>
        <w:top w:val="none" w:sz="0" w:space="0" w:color="auto"/>
        <w:left w:val="none" w:sz="0" w:space="0" w:color="auto"/>
        <w:bottom w:val="none" w:sz="0" w:space="0" w:color="auto"/>
        <w:right w:val="none" w:sz="0" w:space="0" w:color="auto"/>
      </w:divBdr>
    </w:div>
    <w:div w:id="1061095833">
      <w:bodyDiv w:val="1"/>
      <w:marLeft w:val="0"/>
      <w:marRight w:val="0"/>
      <w:marTop w:val="0"/>
      <w:marBottom w:val="0"/>
      <w:divBdr>
        <w:top w:val="none" w:sz="0" w:space="0" w:color="auto"/>
        <w:left w:val="none" w:sz="0" w:space="0" w:color="auto"/>
        <w:bottom w:val="none" w:sz="0" w:space="0" w:color="auto"/>
        <w:right w:val="none" w:sz="0" w:space="0" w:color="auto"/>
      </w:divBdr>
    </w:div>
    <w:div w:id="1077674551">
      <w:bodyDiv w:val="1"/>
      <w:marLeft w:val="0"/>
      <w:marRight w:val="0"/>
      <w:marTop w:val="0"/>
      <w:marBottom w:val="0"/>
      <w:divBdr>
        <w:top w:val="none" w:sz="0" w:space="0" w:color="auto"/>
        <w:left w:val="none" w:sz="0" w:space="0" w:color="auto"/>
        <w:bottom w:val="none" w:sz="0" w:space="0" w:color="auto"/>
        <w:right w:val="none" w:sz="0" w:space="0" w:color="auto"/>
      </w:divBdr>
    </w:div>
    <w:div w:id="1091320136">
      <w:bodyDiv w:val="1"/>
      <w:marLeft w:val="0"/>
      <w:marRight w:val="0"/>
      <w:marTop w:val="0"/>
      <w:marBottom w:val="0"/>
      <w:divBdr>
        <w:top w:val="none" w:sz="0" w:space="0" w:color="auto"/>
        <w:left w:val="none" w:sz="0" w:space="0" w:color="auto"/>
        <w:bottom w:val="none" w:sz="0" w:space="0" w:color="auto"/>
        <w:right w:val="none" w:sz="0" w:space="0" w:color="auto"/>
      </w:divBdr>
    </w:div>
    <w:div w:id="1165897388">
      <w:bodyDiv w:val="1"/>
      <w:marLeft w:val="0"/>
      <w:marRight w:val="0"/>
      <w:marTop w:val="0"/>
      <w:marBottom w:val="0"/>
      <w:divBdr>
        <w:top w:val="none" w:sz="0" w:space="0" w:color="auto"/>
        <w:left w:val="none" w:sz="0" w:space="0" w:color="auto"/>
        <w:bottom w:val="none" w:sz="0" w:space="0" w:color="auto"/>
        <w:right w:val="none" w:sz="0" w:space="0" w:color="auto"/>
      </w:divBdr>
      <w:divsChild>
        <w:div w:id="499854377">
          <w:marLeft w:val="446"/>
          <w:marRight w:val="0"/>
          <w:marTop w:val="0"/>
          <w:marBottom w:val="120"/>
          <w:divBdr>
            <w:top w:val="none" w:sz="0" w:space="0" w:color="auto"/>
            <w:left w:val="none" w:sz="0" w:space="0" w:color="auto"/>
            <w:bottom w:val="none" w:sz="0" w:space="0" w:color="auto"/>
            <w:right w:val="none" w:sz="0" w:space="0" w:color="auto"/>
          </w:divBdr>
        </w:div>
      </w:divsChild>
    </w:div>
    <w:div w:id="1251964647">
      <w:bodyDiv w:val="1"/>
      <w:marLeft w:val="0"/>
      <w:marRight w:val="0"/>
      <w:marTop w:val="0"/>
      <w:marBottom w:val="0"/>
      <w:divBdr>
        <w:top w:val="none" w:sz="0" w:space="0" w:color="auto"/>
        <w:left w:val="none" w:sz="0" w:space="0" w:color="auto"/>
        <w:bottom w:val="none" w:sz="0" w:space="0" w:color="auto"/>
        <w:right w:val="none" w:sz="0" w:space="0" w:color="auto"/>
      </w:divBdr>
    </w:div>
    <w:div w:id="1275214198">
      <w:bodyDiv w:val="1"/>
      <w:marLeft w:val="0"/>
      <w:marRight w:val="0"/>
      <w:marTop w:val="0"/>
      <w:marBottom w:val="0"/>
      <w:divBdr>
        <w:top w:val="none" w:sz="0" w:space="0" w:color="auto"/>
        <w:left w:val="none" w:sz="0" w:space="0" w:color="auto"/>
        <w:bottom w:val="none" w:sz="0" w:space="0" w:color="auto"/>
        <w:right w:val="none" w:sz="0" w:space="0" w:color="auto"/>
      </w:divBdr>
    </w:div>
    <w:div w:id="1338845685">
      <w:bodyDiv w:val="1"/>
      <w:marLeft w:val="0"/>
      <w:marRight w:val="0"/>
      <w:marTop w:val="0"/>
      <w:marBottom w:val="0"/>
      <w:divBdr>
        <w:top w:val="none" w:sz="0" w:space="0" w:color="auto"/>
        <w:left w:val="none" w:sz="0" w:space="0" w:color="auto"/>
        <w:bottom w:val="none" w:sz="0" w:space="0" w:color="auto"/>
        <w:right w:val="none" w:sz="0" w:space="0" w:color="auto"/>
      </w:divBdr>
      <w:divsChild>
        <w:div w:id="1720663600">
          <w:marLeft w:val="0"/>
          <w:marRight w:val="0"/>
          <w:marTop w:val="0"/>
          <w:marBottom w:val="0"/>
          <w:divBdr>
            <w:top w:val="none" w:sz="0" w:space="0" w:color="auto"/>
            <w:left w:val="none" w:sz="0" w:space="0" w:color="auto"/>
            <w:bottom w:val="none" w:sz="0" w:space="0" w:color="auto"/>
            <w:right w:val="none" w:sz="0" w:space="0" w:color="auto"/>
          </w:divBdr>
        </w:div>
      </w:divsChild>
    </w:div>
    <w:div w:id="1406104058">
      <w:bodyDiv w:val="1"/>
      <w:marLeft w:val="0"/>
      <w:marRight w:val="0"/>
      <w:marTop w:val="0"/>
      <w:marBottom w:val="0"/>
      <w:divBdr>
        <w:top w:val="none" w:sz="0" w:space="0" w:color="auto"/>
        <w:left w:val="none" w:sz="0" w:space="0" w:color="auto"/>
        <w:bottom w:val="none" w:sz="0" w:space="0" w:color="auto"/>
        <w:right w:val="none" w:sz="0" w:space="0" w:color="auto"/>
      </w:divBdr>
    </w:div>
    <w:div w:id="1416632349">
      <w:bodyDiv w:val="1"/>
      <w:marLeft w:val="0"/>
      <w:marRight w:val="0"/>
      <w:marTop w:val="0"/>
      <w:marBottom w:val="0"/>
      <w:divBdr>
        <w:top w:val="none" w:sz="0" w:space="0" w:color="auto"/>
        <w:left w:val="none" w:sz="0" w:space="0" w:color="auto"/>
        <w:bottom w:val="none" w:sz="0" w:space="0" w:color="auto"/>
        <w:right w:val="none" w:sz="0" w:space="0" w:color="auto"/>
      </w:divBdr>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531890922">
          <w:marLeft w:val="0"/>
          <w:marRight w:val="0"/>
          <w:marTop w:val="0"/>
          <w:marBottom w:val="0"/>
          <w:divBdr>
            <w:top w:val="none" w:sz="0" w:space="0" w:color="auto"/>
            <w:left w:val="none" w:sz="0" w:space="0" w:color="auto"/>
            <w:bottom w:val="none" w:sz="0" w:space="0" w:color="auto"/>
            <w:right w:val="none" w:sz="0" w:space="0" w:color="auto"/>
          </w:divBdr>
        </w:div>
      </w:divsChild>
    </w:div>
    <w:div w:id="1474446884">
      <w:bodyDiv w:val="1"/>
      <w:marLeft w:val="0"/>
      <w:marRight w:val="0"/>
      <w:marTop w:val="0"/>
      <w:marBottom w:val="0"/>
      <w:divBdr>
        <w:top w:val="none" w:sz="0" w:space="0" w:color="auto"/>
        <w:left w:val="none" w:sz="0" w:space="0" w:color="auto"/>
        <w:bottom w:val="none" w:sz="0" w:space="0" w:color="auto"/>
        <w:right w:val="none" w:sz="0" w:space="0" w:color="auto"/>
      </w:divBdr>
    </w:div>
    <w:div w:id="1545826341">
      <w:bodyDiv w:val="1"/>
      <w:marLeft w:val="0"/>
      <w:marRight w:val="0"/>
      <w:marTop w:val="0"/>
      <w:marBottom w:val="0"/>
      <w:divBdr>
        <w:top w:val="none" w:sz="0" w:space="0" w:color="auto"/>
        <w:left w:val="none" w:sz="0" w:space="0" w:color="auto"/>
        <w:bottom w:val="none" w:sz="0" w:space="0" w:color="auto"/>
        <w:right w:val="none" w:sz="0" w:space="0" w:color="auto"/>
      </w:divBdr>
    </w:div>
    <w:div w:id="1607692339">
      <w:bodyDiv w:val="1"/>
      <w:marLeft w:val="0"/>
      <w:marRight w:val="0"/>
      <w:marTop w:val="0"/>
      <w:marBottom w:val="0"/>
      <w:divBdr>
        <w:top w:val="none" w:sz="0" w:space="0" w:color="auto"/>
        <w:left w:val="none" w:sz="0" w:space="0" w:color="auto"/>
        <w:bottom w:val="none" w:sz="0" w:space="0" w:color="auto"/>
        <w:right w:val="none" w:sz="0" w:space="0" w:color="auto"/>
      </w:divBdr>
    </w:div>
    <w:div w:id="1655527757">
      <w:bodyDiv w:val="1"/>
      <w:marLeft w:val="0"/>
      <w:marRight w:val="0"/>
      <w:marTop w:val="0"/>
      <w:marBottom w:val="0"/>
      <w:divBdr>
        <w:top w:val="none" w:sz="0" w:space="0" w:color="auto"/>
        <w:left w:val="none" w:sz="0" w:space="0" w:color="auto"/>
        <w:bottom w:val="none" w:sz="0" w:space="0" w:color="auto"/>
        <w:right w:val="none" w:sz="0" w:space="0" w:color="auto"/>
      </w:divBdr>
    </w:div>
    <w:div w:id="1706100255">
      <w:bodyDiv w:val="1"/>
      <w:marLeft w:val="0"/>
      <w:marRight w:val="0"/>
      <w:marTop w:val="0"/>
      <w:marBottom w:val="0"/>
      <w:divBdr>
        <w:top w:val="none" w:sz="0" w:space="0" w:color="auto"/>
        <w:left w:val="none" w:sz="0" w:space="0" w:color="auto"/>
        <w:bottom w:val="none" w:sz="0" w:space="0" w:color="auto"/>
        <w:right w:val="none" w:sz="0" w:space="0" w:color="auto"/>
      </w:divBdr>
    </w:div>
    <w:div w:id="1738283293">
      <w:bodyDiv w:val="1"/>
      <w:marLeft w:val="0"/>
      <w:marRight w:val="0"/>
      <w:marTop w:val="0"/>
      <w:marBottom w:val="0"/>
      <w:divBdr>
        <w:top w:val="none" w:sz="0" w:space="0" w:color="auto"/>
        <w:left w:val="none" w:sz="0" w:space="0" w:color="auto"/>
        <w:bottom w:val="none" w:sz="0" w:space="0" w:color="auto"/>
        <w:right w:val="none" w:sz="0" w:space="0" w:color="auto"/>
      </w:divBdr>
    </w:div>
    <w:div w:id="1751148666">
      <w:bodyDiv w:val="1"/>
      <w:marLeft w:val="0"/>
      <w:marRight w:val="0"/>
      <w:marTop w:val="0"/>
      <w:marBottom w:val="0"/>
      <w:divBdr>
        <w:top w:val="none" w:sz="0" w:space="0" w:color="auto"/>
        <w:left w:val="none" w:sz="0" w:space="0" w:color="auto"/>
        <w:bottom w:val="none" w:sz="0" w:space="0" w:color="auto"/>
        <w:right w:val="none" w:sz="0" w:space="0" w:color="auto"/>
      </w:divBdr>
    </w:div>
    <w:div w:id="1833376346">
      <w:bodyDiv w:val="1"/>
      <w:marLeft w:val="0"/>
      <w:marRight w:val="0"/>
      <w:marTop w:val="0"/>
      <w:marBottom w:val="0"/>
      <w:divBdr>
        <w:top w:val="none" w:sz="0" w:space="0" w:color="auto"/>
        <w:left w:val="none" w:sz="0" w:space="0" w:color="auto"/>
        <w:bottom w:val="none" w:sz="0" w:space="0" w:color="auto"/>
        <w:right w:val="none" w:sz="0" w:space="0" w:color="auto"/>
      </w:divBdr>
    </w:div>
    <w:div w:id="1919636705">
      <w:bodyDiv w:val="1"/>
      <w:marLeft w:val="0"/>
      <w:marRight w:val="0"/>
      <w:marTop w:val="0"/>
      <w:marBottom w:val="0"/>
      <w:divBdr>
        <w:top w:val="none" w:sz="0" w:space="0" w:color="auto"/>
        <w:left w:val="none" w:sz="0" w:space="0" w:color="auto"/>
        <w:bottom w:val="none" w:sz="0" w:space="0" w:color="auto"/>
        <w:right w:val="none" w:sz="0" w:space="0" w:color="auto"/>
      </w:divBdr>
      <w:divsChild>
        <w:div w:id="128788665">
          <w:marLeft w:val="446"/>
          <w:marRight w:val="0"/>
          <w:marTop w:val="0"/>
          <w:marBottom w:val="60"/>
          <w:divBdr>
            <w:top w:val="none" w:sz="0" w:space="0" w:color="auto"/>
            <w:left w:val="none" w:sz="0" w:space="0" w:color="auto"/>
            <w:bottom w:val="none" w:sz="0" w:space="0" w:color="auto"/>
            <w:right w:val="none" w:sz="0" w:space="0" w:color="auto"/>
          </w:divBdr>
        </w:div>
        <w:div w:id="1333215022">
          <w:marLeft w:val="446"/>
          <w:marRight w:val="0"/>
          <w:marTop w:val="0"/>
          <w:marBottom w:val="60"/>
          <w:divBdr>
            <w:top w:val="none" w:sz="0" w:space="0" w:color="auto"/>
            <w:left w:val="none" w:sz="0" w:space="0" w:color="auto"/>
            <w:bottom w:val="none" w:sz="0" w:space="0" w:color="auto"/>
            <w:right w:val="none" w:sz="0" w:space="0" w:color="auto"/>
          </w:divBdr>
        </w:div>
      </w:divsChild>
    </w:div>
    <w:div w:id="1929927494">
      <w:bodyDiv w:val="1"/>
      <w:marLeft w:val="0"/>
      <w:marRight w:val="0"/>
      <w:marTop w:val="0"/>
      <w:marBottom w:val="0"/>
      <w:divBdr>
        <w:top w:val="none" w:sz="0" w:space="0" w:color="auto"/>
        <w:left w:val="none" w:sz="0" w:space="0" w:color="auto"/>
        <w:bottom w:val="none" w:sz="0" w:space="0" w:color="auto"/>
        <w:right w:val="none" w:sz="0" w:space="0" w:color="auto"/>
      </w:divBdr>
      <w:divsChild>
        <w:div w:id="205413355">
          <w:marLeft w:val="0"/>
          <w:marRight w:val="0"/>
          <w:marTop w:val="0"/>
          <w:marBottom w:val="0"/>
          <w:divBdr>
            <w:top w:val="none" w:sz="0" w:space="0" w:color="auto"/>
            <w:left w:val="none" w:sz="0" w:space="0" w:color="auto"/>
            <w:bottom w:val="none" w:sz="0" w:space="0" w:color="auto"/>
            <w:right w:val="none" w:sz="0" w:space="0" w:color="auto"/>
          </w:divBdr>
          <w:divsChild>
            <w:div w:id="607272688">
              <w:marLeft w:val="0"/>
              <w:marRight w:val="0"/>
              <w:marTop w:val="0"/>
              <w:marBottom w:val="0"/>
              <w:divBdr>
                <w:top w:val="none" w:sz="0" w:space="0" w:color="auto"/>
                <w:left w:val="none" w:sz="0" w:space="0" w:color="auto"/>
                <w:bottom w:val="none" w:sz="0" w:space="0" w:color="auto"/>
                <w:right w:val="none" w:sz="0" w:space="0" w:color="auto"/>
              </w:divBdr>
              <w:divsChild>
                <w:div w:id="168396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04762">
          <w:marLeft w:val="0"/>
          <w:marRight w:val="0"/>
          <w:marTop w:val="0"/>
          <w:marBottom w:val="0"/>
          <w:divBdr>
            <w:top w:val="none" w:sz="0" w:space="0" w:color="auto"/>
            <w:left w:val="none" w:sz="0" w:space="0" w:color="auto"/>
            <w:bottom w:val="none" w:sz="0" w:space="0" w:color="auto"/>
            <w:right w:val="none" w:sz="0" w:space="0" w:color="auto"/>
          </w:divBdr>
          <w:divsChild>
            <w:div w:id="1609966314">
              <w:marLeft w:val="0"/>
              <w:marRight w:val="0"/>
              <w:marTop w:val="0"/>
              <w:marBottom w:val="0"/>
              <w:divBdr>
                <w:top w:val="none" w:sz="0" w:space="0" w:color="auto"/>
                <w:left w:val="none" w:sz="0" w:space="0" w:color="auto"/>
                <w:bottom w:val="none" w:sz="0" w:space="0" w:color="auto"/>
                <w:right w:val="none" w:sz="0" w:space="0" w:color="auto"/>
              </w:divBdr>
              <w:divsChild>
                <w:div w:id="974065517">
                  <w:marLeft w:val="0"/>
                  <w:marRight w:val="0"/>
                  <w:marTop w:val="0"/>
                  <w:marBottom w:val="0"/>
                  <w:divBdr>
                    <w:top w:val="none" w:sz="0" w:space="0" w:color="auto"/>
                    <w:left w:val="none" w:sz="0" w:space="0" w:color="auto"/>
                    <w:bottom w:val="none" w:sz="0" w:space="0" w:color="auto"/>
                    <w:right w:val="none" w:sz="0" w:space="0" w:color="auto"/>
                  </w:divBdr>
                  <w:divsChild>
                    <w:div w:id="183567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36340">
      <w:bodyDiv w:val="1"/>
      <w:marLeft w:val="0"/>
      <w:marRight w:val="0"/>
      <w:marTop w:val="0"/>
      <w:marBottom w:val="0"/>
      <w:divBdr>
        <w:top w:val="none" w:sz="0" w:space="0" w:color="auto"/>
        <w:left w:val="none" w:sz="0" w:space="0" w:color="auto"/>
        <w:bottom w:val="none" w:sz="0" w:space="0" w:color="auto"/>
        <w:right w:val="none" w:sz="0" w:space="0" w:color="auto"/>
      </w:divBdr>
    </w:div>
    <w:div w:id="2007709906">
      <w:bodyDiv w:val="1"/>
      <w:marLeft w:val="0"/>
      <w:marRight w:val="0"/>
      <w:marTop w:val="0"/>
      <w:marBottom w:val="0"/>
      <w:divBdr>
        <w:top w:val="none" w:sz="0" w:space="0" w:color="auto"/>
        <w:left w:val="none" w:sz="0" w:space="0" w:color="auto"/>
        <w:bottom w:val="none" w:sz="0" w:space="0" w:color="auto"/>
        <w:right w:val="none" w:sz="0" w:space="0" w:color="auto"/>
      </w:divBdr>
    </w:div>
    <w:div w:id="2009479815">
      <w:bodyDiv w:val="1"/>
      <w:marLeft w:val="0"/>
      <w:marRight w:val="0"/>
      <w:marTop w:val="0"/>
      <w:marBottom w:val="0"/>
      <w:divBdr>
        <w:top w:val="none" w:sz="0" w:space="0" w:color="auto"/>
        <w:left w:val="none" w:sz="0" w:space="0" w:color="auto"/>
        <w:bottom w:val="none" w:sz="0" w:space="0" w:color="auto"/>
        <w:right w:val="none" w:sz="0" w:space="0" w:color="auto"/>
      </w:divBdr>
    </w:div>
    <w:div w:id="2016758311">
      <w:bodyDiv w:val="1"/>
      <w:marLeft w:val="0"/>
      <w:marRight w:val="0"/>
      <w:marTop w:val="0"/>
      <w:marBottom w:val="0"/>
      <w:divBdr>
        <w:top w:val="none" w:sz="0" w:space="0" w:color="auto"/>
        <w:left w:val="none" w:sz="0" w:space="0" w:color="auto"/>
        <w:bottom w:val="none" w:sz="0" w:space="0" w:color="auto"/>
        <w:right w:val="none" w:sz="0" w:space="0" w:color="auto"/>
      </w:divBdr>
      <w:divsChild>
        <w:div w:id="992486903">
          <w:marLeft w:val="446"/>
          <w:marRight w:val="0"/>
          <w:marTop w:val="0"/>
          <w:marBottom w:val="60"/>
          <w:divBdr>
            <w:top w:val="none" w:sz="0" w:space="0" w:color="auto"/>
            <w:left w:val="none" w:sz="0" w:space="0" w:color="auto"/>
            <w:bottom w:val="none" w:sz="0" w:space="0" w:color="auto"/>
            <w:right w:val="none" w:sz="0" w:space="0" w:color="auto"/>
          </w:divBdr>
        </w:div>
      </w:divsChild>
    </w:div>
    <w:div w:id="2030177874">
      <w:bodyDiv w:val="1"/>
      <w:marLeft w:val="0"/>
      <w:marRight w:val="0"/>
      <w:marTop w:val="0"/>
      <w:marBottom w:val="0"/>
      <w:divBdr>
        <w:top w:val="none" w:sz="0" w:space="0" w:color="auto"/>
        <w:left w:val="none" w:sz="0" w:space="0" w:color="auto"/>
        <w:bottom w:val="none" w:sz="0" w:space="0" w:color="auto"/>
        <w:right w:val="none" w:sz="0" w:space="0" w:color="auto"/>
      </w:divBdr>
    </w:div>
    <w:div w:id="21381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nice.org.uk/guidance/ng208/documents/html-content-2" TargetMode="External"/><Relationship Id="rId18" Type="http://schemas.openxmlformats.org/officeDocument/2006/relationships/hyperlink" Target="https://www.fhi.no/en/publ/2021/TAVI-vs-SAVR-for-patients-with-severe-aortic-stenosis-and-low-surgical-risk-and-across-surgical-risk-groups/"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protect.checkpoint.com/v2/___http://creativecommons.org/licenses/by/4.0/"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kar.kent.ac.uk/100519/1/Unit%20Costs%20of%20health%20and%20Social%20Care%202022%20%28amended%2013%20July%202023%29.pdf"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england.nhs.uk/publication/2021-22-national-cost-collection-data-publication/" TargetMode="External"/><Relationship Id="rId20" Type="http://schemas.openxmlformats.org/officeDocument/2006/relationships/hyperlink" Target="https://doi.org/10.1016/j.jval.2021.10.00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protect.checkpoint.com/v2/___http://creativecommons.org/licenses/by/4.0/"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678444/Stroke_incidence_briefing_document_2018.pdf" TargetMode="External"/><Relationship Id="rId23" Type="http://schemas.openxmlformats.org/officeDocument/2006/relationships/hyperlink" Target="https://doi.org/10.1016/j.jval.2021.10.003" TargetMode="External"/><Relationship Id="rId28" Type="http://schemas.openxmlformats.org/officeDocument/2006/relationships/image" Target="media/image5.jpeg"/><Relationship Id="rId10" Type="http://schemas.microsoft.com/office/2016/09/relationships/commentsIds" Target="commentsIds.xml"/><Relationship Id="rId19" Type="http://schemas.openxmlformats.org/officeDocument/2006/relationships/hyperlink" Target="https://www.hiqa.ie/sites/default/files/2019-12/TAVI_HTA.pdf"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england.nhs.uk/publication/tavi-and-savr-position-statement/" TargetMode="External"/><Relationship Id="rId22" Type="http://schemas.openxmlformats.org/officeDocument/2006/relationships/image" Target="media/image1.png"/><Relationship Id="rId27" Type="http://schemas.openxmlformats.org/officeDocument/2006/relationships/image" Target="media/image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EBEEA-C16D-4C44-80B7-95E68ED09C4C}">
  <ds:schemaRefs>
    <ds:schemaRef ds:uri="http://schemas.openxmlformats.org/officeDocument/2006/bibliography"/>
  </ds:schemaRefs>
</ds:datastoreItem>
</file>

<file path=docMetadata/LabelInfo.xml><?xml version="1.0" encoding="utf-8"?>
<clbl:labelList xmlns:clbl="http://schemas.microsoft.com/office/2020/mipLabelMetadata">
  <clbl:label id="{c8fe7995-06f0-4bdf-8f2a-0c8a7986480d}" enabled="0" method="" siteId="{c8fe7995-06f0-4bdf-8f2a-0c8a7986480d}" removed="1"/>
</clbl:labelList>
</file>

<file path=docProps/app.xml><?xml version="1.0" encoding="utf-8"?>
<Properties xmlns="http://schemas.openxmlformats.org/officeDocument/2006/extended-properties" xmlns:vt="http://schemas.openxmlformats.org/officeDocument/2006/docPropsVTypes">
  <Template>Normal</Template>
  <TotalTime>10</TotalTime>
  <Pages>43</Pages>
  <Words>9344</Words>
  <Characters>53453</Characters>
  <Application>Microsoft Office Word</Application>
  <DocSecurity>0</DocSecurity>
  <Lines>1243</Lines>
  <Paragraphs>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Candolfi</dc:creator>
  <cp:lastModifiedBy>Pascal Candolfi</cp:lastModifiedBy>
  <cp:revision>15</cp:revision>
  <cp:lastPrinted>2025-11-03T14:34:00Z</cp:lastPrinted>
  <dcterms:created xsi:type="dcterms:W3CDTF">2025-10-10T14:55:00Z</dcterms:created>
  <dcterms:modified xsi:type="dcterms:W3CDTF">2025-11-03T16:43:00Z</dcterms:modified>
</cp:coreProperties>
</file>