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90A15" w14:textId="00F8B143" w:rsidR="00CF7B67" w:rsidRPr="001F2468" w:rsidRDefault="00542848">
      <w:pPr>
        <w:pStyle w:val="Heading1"/>
      </w:pPr>
      <w:r w:rsidRPr="001F2468">
        <w:t>Introduction</w:t>
      </w:r>
      <w:bookmarkStart w:id="0" w:name="_Hlk176437561"/>
      <w:r w:rsidR="00D1560B" w:rsidRPr="001F2468">
        <w:t xml:space="preserve"> </w:t>
      </w:r>
    </w:p>
    <w:bookmarkEnd w:id="0"/>
    <w:p w14:paraId="35DBD2FE" w14:textId="192045C3" w:rsidR="001F2468" w:rsidRDefault="001F2468" w:rsidP="00C42A4D">
      <w:pPr>
        <w:spacing w:line="276" w:lineRule="auto"/>
        <w:jc w:val="both"/>
      </w:pPr>
      <w:r w:rsidRPr="00792B0F">
        <w:t>Many policy buzzwords seem to catch fire then fizzle out before their value is clear in practice.</w:t>
      </w:r>
      <w:r w:rsidRPr="001F2468">
        <w:t xml:space="preserve"> </w:t>
      </w:r>
      <w:r w:rsidR="00EE0797">
        <w:t xml:space="preserve">These </w:t>
      </w:r>
      <w:r w:rsidR="00B52748">
        <w:t xml:space="preserve">words or phrases become popular partly because they are pithy and sum up concisely a valuable proposal for changes to policy </w:t>
      </w:r>
      <w:r w:rsidR="00EE0797">
        <w:t xml:space="preserve">and </w:t>
      </w:r>
      <w:r w:rsidR="00B52748">
        <w:t xml:space="preserve">policymaking. </w:t>
      </w:r>
      <w:r w:rsidRPr="001F2468">
        <w:t>For example, we hear periodically that prevention is better than cure, that wicked policy problems require systems leadership or change, that we need to focus on place-based approaches, and that policy can be improved via co-produced and collaborative policy design</w:t>
      </w:r>
      <w:r w:rsidR="00EE0797">
        <w:t xml:space="preserve"> (Cairney et al, 2024)</w:t>
      </w:r>
      <w:r w:rsidRPr="001F2468">
        <w:t>. However, we hear less about the substantive impact of these phrases on policy and practice, prompting policy actors</w:t>
      </w:r>
      <w:r w:rsidR="00873720">
        <w:rPr>
          <w:rStyle w:val="EndnoteReference"/>
        </w:rPr>
        <w:endnoteReference w:id="1"/>
      </w:r>
      <w:r w:rsidRPr="001F2468">
        <w:t xml:space="preserve"> to wonder how to make sense of them and if they will go anywhere</w:t>
      </w:r>
      <w:r w:rsidR="00CA07E5">
        <w:t>.</w:t>
      </w:r>
      <w:r w:rsidR="00045F40">
        <w:t xml:space="preserve"> </w:t>
      </w:r>
      <w:r w:rsidR="0008626A">
        <w:t xml:space="preserve">What is less clear is </w:t>
      </w:r>
      <w:r w:rsidR="00304FB7">
        <w:t xml:space="preserve">how policy actors themselves grapple with </w:t>
      </w:r>
      <w:r w:rsidR="0008626A">
        <w:t>such ‘hot-cold’ cyclical d</w:t>
      </w:r>
      <w:r w:rsidR="00304FB7">
        <w:t>ynamics. Policy actors are all too aware of the fickle and ambiguous nature of ‘buzzwords’ which they experience in everyday practice (Boswell, 2023). How do, or could, they deal with ambiguous ideas, and to what effect?</w:t>
      </w:r>
      <w:r w:rsidR="0008626A">
        <w:t xml:space="preserve"> </w:t>
      </w:r>
      <w:r w:rsidR="000532DC">
        <w:t>In that context</w:t>
      </w:r>
      <w:r w:rsidR="00EE0797">
        <w:t xml:space="preserve">, our contribution is to support </w:t>
      </w:r>
      <w:r w:rsidR="009977FA">
        <w:t xml:space="preserve">Lasswell’s (1956; 1971) call for </w:t>
      </w:r>
      <w:r w:rsidR="00EE0797">
        <w:t>mutual learning between the analysis of and for policy</w:t>
      </w:r>
      <w:r w:rsidR="00254B1B">
        <w:t xml:space="preserve">: by </w:t>
      </w:r>
      <w:r w:rsidR="000532DC">
        <w:t>examining and reflecting on</w:t>
      </w:r>
      <w:r w:rsidR="00254B1B">
        <w:t xml:space="preserve"> responses to </w:t>
      </w:r>
      <w:r w:rsidR="000532DC">
        <w:t>buzzwords,</w:t>
      </w:r>
      <w:r w:rsidR="00254B1B">
        <w:t xml:space="preserve"> we </w:t>
      </w:r>
      <w:r w:rsidR="000532DC">
        <w:t>can</w:t>
      </w:r>
      <w:r w:rsidR="00254B1B">
        <w:t xml:space="preserve"> learn from, and inform, policy and practice. </w:t>
      </w:r>
    </w:p>
    <w:p w14:paraId="72ED90AC" w14:textId="1D89F8DB" w:rsidR="00CF7B67" w:rsidRDefault="001F2468" w:rsidP="00C42A4D">
      <w:pPr>
        <w:spacing w:line="276" w:lineRule="auto"/>
        <w:jc w:val="both"/>
      </w:pPr>
      <w:r>
        <w:t>Th</w:t>
      </w:r>
      <w:r w:rsidR="000532DC">
        <w:t>e</w:t>
      </w:r>
      <w:r w:rsidR="00D1560B">
        <w:t xml:space="preserve"> </w:t>
      </w:r>
      <w:r w:rsidR="000532DC">
        <w:t xml:space="preserve">buzzword </w:t>
      </w:r>
      <w:r w:rsidR="00FE1ED2">
        <w:t>cycle of enthusiasm and confusion</w:t>
      </w:r>
      <w:r w:rsidR="00D1560B">
        <w:t xml:space="preserve"> has the same general cause: a</w:t>
      </w:r>
      <w:r w:rsidR="00CF7B67">
        <w:t>mbiguity</w:t>
      </w:r>
      <w:r w:rsidR="00D1560B">
        <w:t xml:space="preserve">. </w:t>
      </w:r>
      <w:r w:rsidR="0008626A">
        <w:t xml:space="preserve">Equally, ambiguity generates choices and dilemmas for those required to respond, or ignore, the latest policy fad or fashion. </w:t>
      </w:r>
      <w:r w:rsidR="000532DC">
        <w:t>T</w:t>
      </w:r>
      <w:r w:rsidR="005A341D">
        <w:t>he same buzzword can be interpreted in multiple ways and have a different meaning for different people</w:t>
      </w:r>
      <w:r w:rsidR="00B45167">
        <w:t xml:space="preserve">, or the same </w:t>
      </w:r>
      <w:r w:rsidR="000532DC">
        <w:t>solution</w:t>
      </w:r>
      <w:r w:rsidR="00B45167">
        <w:t xml:space="preserve"> may be implemented in different ways</w:t>
      </w:r>
      <w:r w:rsidR="005A341D">
        <w:t xml:space="preserve">. </w:t>
      </w:r>
      <w:r w:rsidR="00D1560B">
        <w:t xml:space="preserve">Initially, </w:t>
      </w:r>
      <w:r w:rsidR="00792B0F">
        <w:t xml:space="preserve">ambiguity </w:t>
      </w:r>
      <w:r w:rsidR="00D1560B">
        <w:t>serves a</w:t>
      </w:r>
      <w:r w:rsidR="00CF7B67">
        <w:t xml:space="preserve"> helpful</w:t>
      </w:r>
      <w:r w:rsidR="00D1560B">
        <w:t xml:space="preserve"> purpose,</w:t>
      </w:r>
      <w:r w:rsidR="00CF7B67">
        <w:t xml:space="preserve"> to help people coalesce around </w:t>
      </w:r>
      <w:r w:rsidR="000532DC">
        <w:t>a</w:t>
      </w:r>
      <w:r w:rsidR="00CF7B67">
        <w:t xml:space="preserve"> broad aim</w:t>
      </w:r>
      <w:r w:rsidR="000532DC">
        <w:t xml:space="preserve">. For example, </w:t>
      </w:r>
      <w:r w:rsidR="00D1560B">
        <w:t xml:space="preserve">who would </w:t>
      </w:r>
      <w:r w:rsidR="00D1560B" w:rsidRPr="00D1560B">
        <w:rPr>
          <w:i/>
          <w:iCs/>
        </w:rPr>
        <w:t>not</w:t>
      </w:r>
      <w:r w:rsidR="00D1560B">
        <w:t xml:space="preserve"> want to prevent problems, collaborate to design good solutions, or improve policymaking systems? Subsequently, it contributes to diminished enthusiasm and activity, as </w:t>
      </w:r>
      <w:r w:rsidR="000C26F5">
        <w:t xml:space="preserve">policy actors </w:t>
      </w:r>
      <w:r w:rsidR="00CF7B67">
        <w:t>struggle to</w:t>
      </w:r>
      <w:r w:rsidR="00A01F70">
        <w:t>:</w:t>
      </w:r>
      <w:r w:rsidR="00CF7B67">
        <w:t xml:space="preserve"> translate </w:t>
      </w:r>
      <w:r w:rsidR="00D1560B">
        <w:t>a vague phrase</w:t>
      </w:r>
      <w:r w:rsidR="000C26F5">
        <w:t xml:space="preserve"> or concept</w:t>
      </w:r>
      <w:r w:rsidR="00CF7B67">
        <w:t xml:space="preserve"> into </w:t>
      </w:r>
      <w:r w:rsidR="00D1560B">
        <w:t>widely</w:t>
      </w:r>
      <w:r w:rsidR="000C26F5">
        <w:t xml:space="preserve"> understood</w:t>
      </w:r>
      <w:r w:rsidR="00D1560B">
        <w:t xml:space="preserve"> </w:t>
      </w:r>
      <w:r w:rsidR="00792B0F">
        <w:t xml:space="preserve">and </w:t>
      </w:r>
      <w:r w:rsidR="00D1560B">
        <w:t xml:space="preserve">supported </w:t>
      </w:r>
      <w:r w:rsidR="00CF7B67">
        <w:t>concrete objectives</w:t>
      </w:r>
      <w:r w:rsidR="00A01F70">
        <w:t>, make new objectives</w:t>
      </w:r>
      <w:r w:rsidR="00CF7B67">
        <w:t xml:space="preserve"> </w:t>
      </w:r>
      <w:r w:rsidR="00D1560B">
        <w:t xml:space="preserve">consistent with </w:t>
      </w:r>
      <w:r w:rsidR="00F245B4">
        <w:t xml:space="preserve">the core </w:t>
      </w:r>
      <w:r w:rsidR="00D1560B">
        <w:t xml:space="preserve">business </w:t>
      </w:r>
      <w:r w:rsidR="00F245B4">
        <w:t>of their organisations</w:t>
      </w:r>
      <w:r w:rsidR="00A01F70">
        <w:t>,</w:t>
      </w:r>
      <w:r w:rsidR="00F245B4">
        <w:t xml:space="preserve"> </w:t>
      </w:r>
      <w:r w:rsidR="00D1560B">
        <w:t xml:space="preserve">and enjoy </w:t>
      </w:r>
      <w:r w:rsidR="00CF7B67">
        <w:t>sustain</w:t>
      </w:r>
      <w:r w:rsidR="00D1560B">
        <w:t>ed political</w:t>
      </w:r>
      <w:r w:rsidR="002F7A31">
        <w:t>,</w:t>
      </w:r>
      <w:r w:rsidR="00F245B4">
        <w:t xml:space="preserve"> policy</w:t>
      </w:r>
      <w:r w:rsidR="002F7A31">
        <w:t>, and public</w:t>
      </w:r>
      <w:r w:rsidR="00F245B4">
        <w:t xml:space="preserve"> </w:t>
      </w:r>
      <w:r w:rsidR="00D1560B">
        <w:t>support and systemic capacity</w:t>
      </w:r>
      <w:r w:rsidR="00CF7B67">
        <w:t xml:space="preserve">. </w:t>
      </w:r>
      <w:r w:rsidR="002F7A31">
        <w:t xml:space="preserve">While the ultimate outcomes of the </w:t>
      </w:r>
      <w:r w:rsidR="000532DC">
        <w:t>transform</w:t>
      </w:r>
      <w:r w:rsidR="002F7A31">
        <w:t>ed</w:t>
      </w:r>
      <w:r w:rsidR="000532DC">
        <w:t xml:space="preserve"> dynamic</w:t>
      </w:r>
      <w:r w:rsidR="002F7A31">
        <w:t xml:space="preserve"> are beyond the scope of our thinking</w:t>
      </w:r>
      <w:r w:rsidR="000532DC">
        <w:t xml:space="preserve">, </w:t>
      </w:r>
      <w:r w:rsidR="002F7A31">
        <w:t xml:space="preserve">we </w:t>
      </w:r>
      <w:r w:rsidR="000532DC">
        <w:t xml:space="preserve">seek </w:t>
      </w:r>
      <w:r w:rsidR="002F7A31">
        <w:t xml:space="preserve">to understand the initial impetus for the </w:t>
      </w:r>
      <w:r w:rsidR="000532DC">
        <w:t>cycle of activity</w:t>
      </w:r>
      <w:r w:rsidR="002F7A31">
        <w:t xml:space="preserve"> that either generates repetitive gains or ends in status quo ante</w:t>
      </w:r>
      <w:r w:rsidR="00576904">
        <w:t xml:space="preserve"> via inaction</w:t>
      </w:r>
      <w:r w:rsidR="000532DC">
        <w:t>.</w:t>
      </w:r>
    </w:p>
    <w:p w14:paraId="48D916B9" w14:textId="567E3D5D" w:rsidR="00CF7B67" w:rsidRDefault="00792B0F" w:rsidP="00C42A4D">
      <w:pPr>
        <w:spacing w:line="276" w:lineRule="auto"/>
        <w:jc w:val="both"/>
      </w:pPr>
      <w:r>
        <w:t>Th</w:t>
      </w:r>
      <w:r w:rsidR="002F7A31">
        <w:t>e hot-cold</w:t>
      </w:r>
      <w:r w:rsidR="00CF7B67">
        <w:t xml:space="preserve"> dynamic </w:t>
      </w:r>
      <w:r w:rsidR="00E10BB0">
        <w:t>is highly familiar to people working in policy and practice</w:t>
      </w:r>
      <w:r w:rsidR="00045F40">
        <w:t>. They recognise</w:t>
      </w:r>
      <w:r w:rsidR="001D18E1">
        <w:t xml:space="preserve"> that ‘the usual way of doing things’ is not working and that ambitious change is required</w:t>
      </w:r>
      <w:r w:rsidR="00045F40">
        <w:t>,</w:t>
      </w:r>
      <w:r w:rsidR="001D18E1">
        <w:t xml:space="preserve"> but </w:t>
      </w:r>
      <w:r w:rsidR="00045F40">
        <w:t xml:space="preserve">are often left </w:t>
      </w:r>
      <w:r w:rsidR="001D18E1">
        <w:t>waiting in vain for a sustained and tangible project</w:t>
      </w:r>
      <w:r w:rsidR="00E10BB0">
        <w:t xml:space="preserve"> </w:t>
      </w:r>
      <w:r w:rsidR="001D18E1">
        <w:t>to emerge</w:t>
      </w:r>
      <w:r w:rsidR="00503577">
        <w:t>,</w:t>
      </w:r>
      <w:r w:rsidR="001D18E1">
        <w:t xml:space="preserve"> or </w:t>
      </w:r>
      <w:r w:rsidR="00503577">
        <w:t>are</w:t>
      </w:r>
      <w:r w:rsidR="001D18E1">
        <w:t xml:space="preserve"> asked to take forward an initiative that few seem to understand. Therefore, a new agenda </w:t>
      </w:r>
      <w:r w:rsidR="00CF7B67">
        <w:t xml:space="preserve">can </w:t>
      </w:r>
      <w:r w:rsidR="001D18E1">
        <w:t xml:space="preserve">seem self-evidently valuable to their </w:t>
      </w:r>
      <w:r w:rsidR="000B5743">
        <w:t xml:space="preserve">advocates </w:t>
      </w:r>
      <w:r w:rsidR="001D18E1">
        <w:t>but</w:t>
      </w:r>
      <w:r w:rsidR="00CF7B67">
        <w:t xml:space="preserve"> dispiriting to </w:t>
      </w:r>
      <w:r w:rsidR="002B775C">
        <w:t>other</w:t>
      </w:r>
      <w:r w:rsidR="000C26F5">
        <w:t xml:space="preserve"> policy actors </w:t>
      </w:r>
      <w:r w:rsidR="001D18E1">
        <w:t>who have experienced</w:t>
      </w:r>
      <w:r w:rsidR="00CF7B67">
        <w:t xml:space="preserve"> repeated cycles of hot and cold activity and </w:t>
      </w:r>
      <w:r w:rsidR="001D18E1">
        <w:t xml:space="preserve">are </w:t>
      </w:r>
      <w:r w:rsidR="00CF7B67">
        <w:t xml:space="preserve">unsure how to </w:t>
      </w:r>
      <w:r w:rsidR="000532DC">
        <w:t>respond</w:t>
      </w:r>
      <w:r w:rsidR="00CF7B67">
        <w:t xml:space="preserve">. </w:t>
      </w:r>
      <w:r w:rsidR="001D18E1">
        <w:t>Each time, a range of responses is reasonable, from energetic enthusiasm to gut-level scepticism, stoicism, or despair. Some are enthused, some confused, and some simply want to know what to do.</w:t>
      </w:r>
      <w:r w:rsidR="00552BC2">
        <w:t xml:space="preserve"> Therefore, maintaining ambiguity </w:t>
      </w:r>
      <w:r w:rsidR="000532DC">
        <w:t xml:space="preserve">becomes </w:t>
      </w:r>
      <w:r w:rsidR="00552BC2">
        <w:t>unhelpful</w:t>
      </w:r>
      <w:r w:rsidR="003829EE">
        <w:t xml:space="preserve"> </w:t>
      </w:r>
      <w:r w:rsidR="00552BC2">
        <w:t>for good faith policy actors.</w:t>
      </w:r>
    </w:p>
    <w:p w14:paraId="78BC2F57" w14:textId="1BD9305C" w:rsidR="00591330" w:rsidRDefault="00F0116E" w:rsidP="00C42A4D">
      <w:pPr>
        <w:spacing w:line="276" w:lineRule="auto"/>
        <w:jc w:val="both"/>
      </w:pPr>
      <w:r>
        <w:t xml:space="preserve">How </w:t>
      </w:r>
      <w:r w:rsidR="005078C5">
        <w:t>c</w:t>
      </w:r>
      <w:r>
        <w:t xml:space="preserve">ould policy actors engage with </w:t>
      </w:r>
      <w:r w:rsidR="00FE1ED2">
        <w:t xml:space="preserve">buzzword </w:t>
      </w:r>
      <w:r>
        <w:t xml:space="preserve">ambiguity in policymaking? </w:t>
      </w:r>
      <w:r w:rsidR="002F7A31">
        <w:t xml:space="preserve">We posit that policy actors’ initial orientation and motivation is a good gauge of how their response will be </w:t>
      </w:r>
      <w:r w:rsidR="002F7A31">
        <w:lastRenderedPageBreak/>
        <w:t xml:space="preserve">structured, then shaping further outcomes through implementation. </w:t>
      </w:r>
      <w:r w:rsidR="003E7A07">
        <w:t xml:space="preserve">Of </w:t>
      </w:r>
      <w:r w:rsidR="00CA7F46">
        <w:t xml:space="preserve">course, </w:t>
      </w:r>
      <w:r w:rsidR="005A341D">
        <w:t>they</w:t>
      </w:r>
      <w:r w:rsidR="00CA7F46">
        <w:t xml:space="preserve"> </w:t>
      </w:r>
      <w:r w:rsidR="005078C5">
        <w:t>could</w:t>
      </w:r>
      <w:r w:rsidR="00CA7F46">
        <w:t xml:space="preserve"> </w:t>
      </w:r>
      <w:r w:rsidR="00591330">
        <w:t>try to</w:t>
      </w:r>
      <w:r w:rsidR="00CA7F46">
        <w:t xml:space="preserve"> simply ignore </w:t>
      </w:r>
      <w:r w:rsidR="00FE1ED2">
        <w:t xml:space="preserve">what they consider to be </w:t>
      </w:r>
      <w:r w:rsidR="00CA7F46">
        <w:t xml:space="preserve">the latest </w:t>
      </w:r>
      <w:r w:rsidR="00FE1ED2">
        <w:t>fad</w:t>
      </w:r>
      <w:r w:rsidR="00CA7F46">
        <w:t xml:space="preserve"> until the next one comes along.  In a context of extreme policy churn</w:t>
      </w:r>
      <w:r w:rsidR="00BB58F3">
        <w:t>,</w:t>
      </w:r>
      <w:r w:rsidR="00591330">
        <w:t xml:space="preserve"> and the ever-present competition between ideas</w:t>
      </w:r>
      <w:r w:rsidR="00CA7F46">
        <w:t xml:space="preserve">, </w:t>
      </w:r>
      <w:r w:rsidR="00BB58F3">
        <w:t xml:space="preserve">they </w:t>
      </w:r>
      <w:r w:rsidR="00CA7F46">
        <w:t>do not need to wait long</w:t>
      </w:r>
      <w:r w:rsidR="00FE1ED2">
        <w:t xml:space="preserve"> (Diamond et al</w:t>
      </w:r>
      <w:r w:rsidR="006A19D6">
        <w:t>.</w:t>
      </w:r>
      <w:r w:rsidR="00FE1ED2">
        <w:t>, 2024)</w:t>
      </w:r>
      <w:r w:rsidR="00CA7F46">
        <w:t xml:space="preserve">. </w:t>
      </w:r>
      <w:r w:rsidR="00591330">
        <w:t xml:space="preserve">However, some concepts become popular periodically, providing </w:t>
      </w:r>
      <w:r w:rsidR="005B2F76">
        <w:t>more</w:t>
      </w:r>
      <w:r w:rsidR="00591330">
        <w:t xml:space="preserve"> incentive to make sense of them </w:t>
      </w:r>
      <w:r w:rsidR="005B2F76">
        <w:t xml:space="preserve">now in anticipation of their re-emergence later. </w:t>
      </w:r>
      <w:r w:rsidR="00463F20">
        <w:t xml:space="preserve">Indeed, this recurrence and endurance of some words or phrases may reflect a more general reconsideration of policy problems and processes, such as to sum up a growing acceptance that ‘wicked’ problems and policymaking complexity require more long-term and collaborative </w:t>
      </w:r>
      <w:r w:rsidR="00AB7C96">
        <w:t xml:space="preserve">whole-of-government or integrated </w:t>
      </w:r>
      <w:r w:rsidR="00463F20">
        <w:t>approaches (Cairney and Toomey, 2024</w:t>
      </w:r>
      <w:r w:rsidR="00AB7C96">
        <w:t>; Aoki et al, 2024; Trein et al, 2023; Rayner and Howlett, 2009</w:t>
      </w:r>
      <w:r w:rsidR="00463F20">
        <w:t>).</w:t>
      </w:r>
      <w:r w:rsidR="00D51701">
        <w:t xml:space="preserve"> Or, a national central government may adopt a buzz phrase and expect subnational policy actors to take responsibility for its success</w:t>
      </w:r>
      <w:r w:rsidR="00740B60">
        <w:t xml:space="preserve">. </w:t>
      </w:r>
      <w:r w:rsidR="00BB58F3">
        <w:t>For instance, i</w:t>
      </w:r>
      <w:r w:rsidR="00BB58F3" w:rsidRPr="00BB58F3">
        <w:t xml:space="preserve">n our illustrative example of ‘prevention is better than cure’, </w:t>
      </w:r>
      <w:r w:rsidR="00D51701">
        <w:t xml:space="preserve">the UK government set up Integrated Care Systems in England to foster health and local government collaboration and make progress on </w:t>
      </w:r>
      <w:r w:rsidR="00B43FB2">
        <w:t xml:space="preserve">aims such as </w:t>
      </w:r>
      <w:r w:rsidR="00D51701">
        <w:t xml:space="preserve">‘prevention’ (NHS Confederation, 2024). </w:t>
      </w:r>
      <w:r w:rsidR="00F200FE">
        <w:t>This illustrative case is an exemplar of situations in which</w:t>
      </w:r>
      <w:r w:rsidR="00D51701">
        <w:t xml:space="preserve"> ignoring buzz phrases is not an option</w:t>
      </w:r>
      <w:r w:rsidR="00DE44D9">
        <w:t xml:space="preserve"> </w:t>
      </w:r>
      <w:r w:rsidR="00BB58F3">
        <w:t>and policy actors are seeking good ways to respond</w:t>
      </w:r>
      <w:r w:rsidR="00DE44D9">
        <w:t>.</w:t>
      </w:r>
    </w:p>
    <w:p w14:paraId="66F1FDB2" w14:textId="0D3460A4" w:rsidR="00B7083B" w:rsidRDefault="00CF7B67" w:rsidP="00C42A4D">
      <w:pPr>
        <w:spacing w:line="276" w:lineRule="auto"/>
        <w:jc w:val="both"/>
      </w:pPr>
      <w:r>
        <w:t xml:space="preserve">We </w:t>
      </w:r>
      <w:r w:rsidR="00D51701">
        <w:t xml:space="preserve">identify </w:t>
      </w:r>
      <w:r>
        <w:t>three common</w:t>
      </w:r>
      <w:r w:rsidR="00D51701">
        <w:t xml:space="preserve"> </w:t>
      </w:r>
      <w:r>
        <w:t xml:space="preserve">responses </w:t>
      </w:r>
      <w:r w:rsidR="001D18E1">
        <w:t>to th</w:t>
      </w:r>
      <w:r w:rsidR="00D51701">
        <w:t>ese</w:t>
      </w:r>
      <w:r w:rsidR="001D18E1">
        <w:t xml:space="preserve"> dilemma</w:t>
      </w:r>
      <w:r w:rsidR="00D51701">
        <w:t>s</w:t>
      </w:r>
      <w:r w:rsidR="00B7083B">
        <w:t xml:space="preserve">. </w:t>
      </w:r>
      <w:r w:rsidR="00D51701">
        <w:t>First</w:t>
      </w:r>
      <w:r w:rsidR="00B7083B">
        <w:t xml:space="preserve">, </w:t>
      </w:r>
      <w:r w:rsidR="005078C5">
        <w:t>one</w:t>
      </w:r>
      <w:r w:rsidR="00B7083B">
        <w:t xml:space="preserve"> policy</w:t>
      </w:r>
      <w:r w:rsidR="005779F6">
        <w:t xml:space="preserve"> actor</w:t>
      </w:r>
      <w:r w:rsidR="00B7083B">
        <w:t xml:space="preserve"> </w:t>
      </w:r>
      <w:r w:rsidR="00552BC2">
        <w:t xml:space="preserve">with some kind of </w:t>
      </w:r>
      <w:r w:rsidR="00B7083B">
        <w:t xml:space="preserve">authority – </w:t>
      </w:r>
      <w:r w:rsidR="005078C5">
        <w:t>such as a central government minister</w:t>
      </w:r>
      <w:r w:rsidR="00B7083B">
        <w:t xml:space="preserve"> or agency – defines the aim clearly and gives detailed instructions for others to follow. This approach</w:t>
      </w:r>
      <w:r w:rsidR="00E57E84">
        <w:t xml:space="preserve"> </w:t>
      </w:r>
      <w:r w:rsidR="005078C5">
        <w:t xml:space="preserve">may seem </w:t>
      </w:r>
      <w:r w:rsidR="00E57E84">
        <w:t>pleasingly straightforward</w:t>
      </w:r>
      <w:r w:rsidR="00B7083B">
        <w:t xml:space="preserve"> </w:t>
      </w:r>
      <w:r w:rsidR="00552BC2">
        <w:t xml:space="preserve">to its proponents, </w:t>
      </w:r>
      <w:r w:rsidR="00B7083B">
        <w:t>but</w:t>
      </w:r>
      <w:r w:rsidR="00552BC2">
        <w:t xml:space="preserve"> </w:t>
      </w:r>
      <w:r w:rsidR="00F0535B">
        <w:t>can be a crude fix</w:t>
      </w:r>
      <w:r w:rsidR="00D94545">
        <w:t xml:space="preserve"> for</w:t>
      </w:r>
      <w:r w:rsidR="00F0535B">
        <w:t xml:space="preserve"> </w:t>
      </w:r>
      <w:r w:rsidR="00B7083B">
        <w:t xml:space="preserve">complex </w:t>
      </w:r>
      <w:r w:rsidR="00D94545">
        <w:t>issues</w:t>
      </w:r>
      <w:r w:rsidR="00B7083B">
        <w:t xml:space="preserve"> </w:t>
      </w:r>
      <w:r w:rsidR="00D94545">
        <w:t>that cut</w:t>
      </w:r>
      <w:r w:rsidR="00F0535B">
        <w:t xml:space="preserve"> across </w:t>
      </w:r>
      <w:r w:rsidR="00D94545">
        <w:t xml:space="preserve">multiple </w:t>
      </w:r>
      <w:r w:rsidR="00F0535B">
        <w:t>sectors and levels</w:t>
      </w:r>
      <w:r w:rsidR="00B7083B">
        <w:t>.</w:t>
      </w:r>
      <w:r w:rsidR="0079332F">
        <w:t xml:space="preserve"> </w:t>
      </w:r>
      <w:r w:rsidR="005078C5">
        <w:t>Second, many actors</w:t>
      </w:r>
      <w:r w:rsidR="00B7083B">
        <w:t xml:space="preserve"> tease out ambiguity by </w:t>
      </w:r>
      <w:r w:rsidR="005078C5">
        <w:t xml:space="preserve">coming together to </w:t>
      </w:r>
      <w:r w:rsidR="00B7083B">
        <w:t>deliberat</w:t>
      </w:r>
      <w:r w:rsidR="005078C5">
        <w:t xml:space="preserve">e </w:t>
      </w:r>
      <w:r w:rsidR="00B7083B">
        <w:t xml:space="preserve">to </w:t>
      </w:r>
      <w:r w:rsidR="00D94545">
        <w:t xml:space="preserve">produce </w:t>
      </w:r>
      <w:r w:rsidR="00B7083B">
        <w:t>a shared vision and agre</w:t>
      </w:r>
      <w:r w:rsidR="00D94545">
        <w:t>e</w:t>
      </w:r>
      <w:r w:rsidR="00B7083B">
        <w:t xml:space="preserve"> next steps. </w:t>
      </w:r>
      <w:r w:rsidR="00F0535B">
        <w:t xml:space="preserve">This approach acknowledges </w:t>
      </w:r>
      <w:r w:rsidR="00D94545">
        <w:t>the importance of establishing widespread buy-in</w:t>
      </w:r>
      <w:r w:rsidR="00F0535B">
        <w:t xml:space="preserve">, </w:t>
      </w:r>
      <w:r w:rsidR="00E57E84">
        <w:t xml:space="preserve">but in practice often fails to achieve meaningful progress or </w:t>
      </w:r>
      <w:r w:rsidR="00D94545">
        <w:t>resolve</w:t>
      </w:r>
      <w:r w:rsidR="00E57E84">
        <w:t xml:space="preserve"> underlying political tensions. </w:t>
      </w:r>
      <w:r w:rsidR="00A429C5">
        <w:t>Third, some actors</w:t>
      </w:r>
      <w:r w:rsidR="00B7083B">
        <w:t xml:space="preserve"> </w:t>
      </w:r>
      <w:r w:rsidR="00A429C5">
        <w:t xml:space="preserve">live and </w:t>
      </w:r>
      <w:r w:rsidR="00F0535B">
        <w:t>work with ambiguity by ‘</w:t>
      </w:r>
      <w:r w:rsidR="00E57E84">
        <w:t>getting on with it</w:t>
      </w:r>
      <w:r w:rsidR="00F0535B">
        <w:t>’.</w:t>
      </w:r>
      <w:r w:rsidR="00E57E84">
        <w:t xml:space="preserve"> Here, </w:t>
      </w:r>
      <w:r w:rsidR="00D94545">
        <w:t xml:space="preserve">any policy actor </w:t>
      </w:r>
      <w:r w:rsidR="00E57E84">
        <w:t xml:space="preserve">can use a </w:t>
      </w:r>
      <w:r w:rsidR="00D94545">
        <w:t>fashionable</w:t>
      </w:r>
      <w:r w:rsidR="00E57E84">
        <w:t xml:space="preserve"> idea to inspire progress or repackage </w:t>
      </w:r>
      <w:r w:rsidR="00D94545">
        <w:t>existing</w:t>
      </w:r>
      <w:r w:rsidR="00E57E84">
        <w:t xml:space="preserve"> work. This approach can maximise ‘quick wins’, but suffers from a lack of overall cohesion and the risk of co-option.</w:t>
      </w:r>
    </w:p>
    <w:p w14:paraId="227CFA78" w14:textId="1D731ADB" w:rsidR="00CF7B67" w:rsidRDefault="00552BC2" w:rsidP="00C42A4D">
      <w:pPr>
        <w:spacing w:line="276" w:lineRule="auto"/>
        <w:jc w:val="both"/>
      </w:pPr>
      <w:r>
        <w:t>Instead of</w:t>
      </w:r>
      <w:r w:rsidR="00316A0A">
        <w:t xml:space="preserve"> presenting a </w:t>
      </w:r>
      <w:r w:rsidR="0079332F">
        <w:t>preference, hybrid</w:t>
      </w:r>
      <w:r w:rsidR="002B775C">
        <w:t xml:space="preserve"> </w:t>
      </w:r>
      <w:r w:rsidR="00316A0A">
        <w:t xml:space="preserve">or </w:t>
      </w:r>
      <w:r w:rsidR="0079332F">
        <w:t>‘</w:t>
      </w:r>
      <w:r w:rsidR="00316A0A">
        <w:t>Goldilocks</w:t>
      </w:r>
      <w:r w:rsidR="0079332F">
        <w:t>’</w:t>
      </w:r>
      <w:r w:rsidR="00316A0A">
        <w:t xml:space="preserve"> </w:t>
      </w:r>
      <w:r w:rsidR="00A50F70">
        <w:t>(</w:t>
      </w:r>
      <w:r w:rsidR="00A50F70" w:rsidRPr="00A50F70">
        <w:t xml:space="preserve">Andriani </w:t>
      </w:r>
      <w:r w:rsidR="00E21F96">
        <w:t>and</w:t>
      </w:r>
      <w:r w:rsidR="00A50F70" w:rsidRPr="00A50F70">
        <w:t xml:space="preserve"> McKelvey, 2011</w:t>
      </w:r>
      <w:r w:rsidR="00E21F96">
        <w:t xml:space="preserve">: </w:t>
      </w:r>
      <w:r w:rsidR="00A50F70" w:rsidRPr="00A50F70">
        <w:t>262</w:t>
      </w:r>
      <w:r w:rsidR="00A50F70">
        <w:t xml:space="preserve">) </w:t>
      </w:r>
      <w:r w:rsidR="00316A0A">
        <w:t xml:space="preserve">solution, </w:t>
      </w:r>
      <w:r w:rsidR="00316A0A" w:rsidRPr="00D66FC2">
        <w:t>we suggest that n</w:t>
      </w:r>
      <w:r w:rsidR="00CF7B67" w:rsidRPr="00D66FC2">
        <w:t xml:space="preserve">one of these </w:t>
      </w:r>
      <w:r w:rsidR="00316A0A" w:rsidRPr="00D66FC2">
        <w:t>responses</w:t>
      </w:r>
      <w:r w:rsidR="005143F0" w:rsidRPr="00D66FC2">
        <w:t xml:space="preserve"> </w:t>
      </w:r>
      <w:r w:rsidR="00CF7B67" w:rsidRPr="00D66FC2">
        <w:t xml:space="preserve">resolves </w:t>
      </w:r>
      <w:r w:rsidR="00D66FC2">
        <w:t>ambiguity fully. Rather, we emphasise the political science argument that</w:t>
      </w:r>
      <w:r w:rsidR="00316A0A">
        <w:t xml:space="preserve"> reducing ambiguity is about exercising power to win arguments, allocate resources, </w:t>
      </w:r>
      <w:r w:rsidR="00D66FC2">
        <w:t xml:space="preserve">and/ </w:t>
      </w:r>
      <w:r w:rsidR="00316A0A">
        <w:t xml:space="preserve">or cooperate in a meaningful way, not the result of consulting a </w:t>
      </w:r>
      <w:r w:rsidR="00E57E84">
        <w:t>dictionary</w:t>
      </w:r>
      <w:r w:rsidR="00D66FC2">
        <w:t xml:space="preserve"> (Zahariadias, 2003)</w:t>
      </w:r>
      <w:r w:rsidR="00316A0A">
        <w:t>. Further, it is likely that</w:t>
      </w:r>
      <w:r w:rsidR="00D66FC2">
        <w:t>, in large and complex policymaking systems</w:t>
      </w:r>
      <w:r w:rsidR="00B43FB2">
        <w:t>,</w:t>
      </w:r>
      <w:r w:rsidR="00D66FC2">
        <w:t xml:space="preserve"> where responsibilities are spread across many levels or centres, </w:t>
      </w:r>
      <w:r w:rsidR="00CF7B67">
        <w:t>all three approaches may be evident in practice</w:t>
      </w:r>
      <w:r w:rsidR="00D66FC2">
        <w:t>. At any one time, s</w:t>
      </w:r>
      <w:r w:rsidR="00316A0A">
        <w:t xml:space="preserve">ome provide broad direction, some </w:t>
      </w:r>
      <w:r w:rsidR="005B3008">
        <w:t>delibe</w:t>
      </w:r>
      <w:r w:rsidR="00316A0A">
        <w:t xml:space="preserve">rate to tailor policy to new contexts, and some carry on regardless. </w:t>
      </w:r>
      <w:r w:rsidR="00F200FE" w:rsidRPr="00F200FE">
        <w:t>Our contribution prompts questions about who defines buzzwords, how, and to what effect</w:t>
      </w:r>
      <w:r w:rsidR="00F200FE">
        <w:t>. For example,</w:t>
      </w:r>
      <w:r w:rsidR="00F200FE" w:rsidRPr="00F200FE">
        <w:t xml:space="preserve"> which actors would be part of any deliberative process to negotiate meaning, and to what extent actors have autonomy and resource to get on with action</w:t>
      </w:r>
      <w:r w:rsidR="00F200FE">
        <w:t>?</w:t>
      </w:r>
    </w:p>
    <w:p w14:paraId="2A270B9C" w14:textId="33B0A273" w:rsidR="00EE0797" w:rsidRPr="0097403B" w:rsidRDefault="00F200FE" w:rsidP="00C42A4D">
      <w:pPr>
        <w:spacing w:line="276" w:lineRule="auto"/>
        <w:jc w:val="both"/>
      </w:pPr>
      <w:r>
        <w:t>W</w:t>
      </w:r>
      <w:r w:rsidR="00E42399">
        <w:t>hat</w:t>
      </w:r>
      <w:r w:rsidR="0079332F">
        <w:t xml:space="preserve"> </w:t>
      </w:r>
      <w:r w:rsidR="00E42399">
        <w:t xml:space="preserve">is the </w:t>
      </w:r>
      <w:r>
        <w:t xml:space="preserve">real-world </w:t>
      </w:r>
      <w:r w:rsidR="00E42399">
        <w:t>value of comparing</w:t>
      </w:r>
      <w:r w:rsidR="00CF7B67">
        <w:t xml:space="preserve"> </w:t>
      </w:r>
      <w:r w:rsidR="00E42399">
        <w:t>these responses?</w:t>
      </w:r>
      <w:r w:rsidR="0079332F">
        <w:t xml:space="preserve"> </w:t>
      </w:r>
      <w:r w:rsidR="006B0D1E">
        <w:t>We seek to</w:t>
      </w:r>
      <w:r w:rsidR="0079332F" w:rsidRPr="00D66FC2">
        <w:t xml:space="preserve"> </w:t>
      </w:r>
      <w:r w:rsidR="006B0D1E">
        <w:t>provide practical lessons from</w:t>
      </w:r>
      <w:r w:rsidR="006B0D1E" w:rsidRPr="00D66FC2">
        <w:t xml:space="preserve"> </w:t>
      </w:r>
      <w:r w:rsidR="0079332F" w:rsidRPr="00D66FC2">
        <w:t>policy theor</w:t>
      </w:r>
      <w:r w:rsidR="006B0D1E">
        <w:t>ies</w:t>
      </w:r>
      <w:r>
        <w:t xml:space="preserve"> to foster the policy sciences</w:t>
      </w:r>
      <w:r w:rsidR="006B0D1E">
        <w:t xml:space="preserve"> (Weible and Cairney, 2021</w:t>
      </w:r>
      <w:r>
        <w:t>; Cairney and Weible, 2017</w:t>
      </w:r>
      <w:r w:rsidR="006B0D1E">
        <w:t>)</w:t>
      </w:r>
      <w:r w:rsidR="0079332F" w:rsidRPr="00D66FC2">
        <w:t>. B</w:t>
      </w:r>
      <w:r w:rsidR="00E42399" w:rsidRPr="00D66FC2">
        <w:t>y using the lens of buzzwords</w:t>
      </w:r>
      <w:r w:rsidR="0079332F" w:rsidRPr="00D66FC2">
        <w:t>, we</w:t>
      </w:r>
      <w:r w:rsidR="00E42399" w:rsidRPr="00D66FC2">
        <w:t xml:space="preserve"> explain how </w:t>
      </w:r>
      <w:r w:rsidR="006B0D1E">
        <w:t xml:space="preserve">actors in </w:t>
      </w:r>
      <w:r w:rsidR="00E42399" w:rsidRPr="00D66FC2">
        <w:t xml:space="preserve">real-world </w:t>
      </w:r>
      <w:r w:rsidR="00E42399" w:rsidRPr="00D66FC2">
        <w:lastRenderedPageBreak/>
        <w:t xml:space="preserve">policymaking </w:t>
      </w:r>
      <w:r w:rsidR="006B0D1E">
        <w:t>contexts face</w:t>
      </w:r>
      <w:r w:rsidR="00273113" w:rsidRPr="00D66FC2">
        <w:t xml:space="preserve"> ambiguity</w:t>
      </w:r>
      <w:r w:rsidR="00D66FC2" w:rsidRPr="00C42A4D">
        <w:t>,</w:t>
      </w:r>
      <w:r w:rsidR="00273113" w:rsidRPr="00D66FC2">
        <w:t xml:space="preserve"> </w:t>
      </w:r>
      <w:r w:rsidR="00D66FC2" w:rsidRPr="00C42A4D">
        <w:t>then</w:t>
      </w:r>
      <w:r w:rsidR="00D66FC2" w:rsidRPr="00D66FC2">
        <w:t xml:space="preserve"> </w:t>
      </w:r>
      <w:r w:rsidR="00E42399" w:rsidRPr="00D66FC2">
        <w:t>prompt debate on how to respond.</w:t>
      </w:r>
      <w:r w:rsidR="00E42399">
        <w:t xml:space="preserve"> </w:t>
      </w:r>
      <w:r w:rsidR="00824510">
        <w:t>Throughout, we use the example of ‘prevention’ to explain each response.</w:t>
      </w:r>
      <w:r w:rsidR="00B43FB2">
        <w:t xml:space="preserve"> </w:t>
      </w:r>
      <w:r w:rsidR="00E42399">
        <w:t xml:space="preserve">We </w:t>
      </w:r>
      <w:r w:rsidR="006B0D1E">
        <w:t>emphasise</w:t>
      </w:r>
      <w:r w:rsidR="00D66FC2">
        <w:t xml:space="preserve"> </w:t>
      </w:r>
      <w:r w:rsidR="00E42399">
        <w:t>much-needed caution about expecting any of these reasonable-looking responses</w:t>
      </w:r>
      <w:r w:rsidR="00273113">
        <w:t xml:space="preserve"> to ambiguity</w:t>
      </w:r>
      <w:r w:rsidR="00E42399">
        <w:t xml:space="preserve"> to resolve </w:t>
      </w:r>
      <w:r w:rsidR="00273113">
        <w:t>it</w:t>
      </w:r>
      <w:r w:rsidR="00E42399">
        <w:t xml:space="preserve">. It is understandable that people </w:t>
      </w:r>
      <w:r w:rsidR="00E42399" w:rsidRPr="00E42399">
        <w:rPr>
          <w:i/>
          <w:iCs/>
        </w:rPr>
        <w:t>need</w:t>
      </w:r>
      <w:r w:rsidR="00E42399">
        <w:t xml:space="preserve"> to just define </w:t>
      </w:r>
      <w:r w:rsidR="00273113">
        <w:t>an idea</w:t>
      </w:r>
      <w:r w:rsidR="00E42399">
        <w:t>, work together</w:t>
      </w:r>
      <w:r w:rsidR="00273113">
        <w:t xml:space="preserve"> to understand its meaning</w:t>
      </w:r>
      <w:r w:rsidR="00E42399">
        <w:t xml:space="preserve">, or </w:t>
      </w:r>
      <w:r w:rsidR="00273113">
        <w:t>work it out in practice</w:t>
      </w:r>
      <w:r w:rsidR="00E42399">
        <w:t xml:space="preserve">, but they also need to reflect on the gap between </w:t>
      </w:r>
      <w:r w:rsidR="006B0D1E">
        <w:t>the ambitions associated with a vague</w:t>
      </w:r>
      <w:r w:rsidR="00273113">
        <w:t xml:space="preserve"> </w:t>
      </w:r>
      <w:r w:rsidR="005143F0">
        <w:t xml:space="preserve">idea </w:t>
      </w:r>
      <w:r w:rsidR="00E42399">
        <w:t>and</w:t>
      </w:r>
      <w:r w:rsidR="005143F0">
        <w:t xml:space="preserve"> the constraints of </w:t>
      </w:r>
      <w:r w:rsidR="00D66FC2">
        <w:t>policymaking</w:t>
      </w:r>
      <w:r w:rsidR="00E42399">
        <w:t xml:space="preserve"> reality</w:t>
      </w:r>
      <w:r w:rsidR="000B5743">
        <w:t xml:space="preserve"> in political systems</w:t>
      </w:r>
      <w:r w:rsidR="00E42399">
        <w:t xml:space="preserve">. </w:t>
      </w:r>
      <w:r w:rsidR="00E42399" w:rsidRPr="00D66FC2">
        <w:t xml:space="preserve">This reflection is essential to the </w:t>
      </w:r>
      <w:r w:rsidR="006B0D1E">
        <w:t>pursuit</w:t>
      </w:r>
      <w:r w:rsidR="006B0D1E" w:rsidRPr="00D66FC2">
        <w:t xml:space="preserve"> </w:t>
      </w:r>
      <w:r w:rsidR="00E42399" w:rsidRPr="00D66FC2">
        <w:t xml:space="preserve">of </w:t>
      </w:r>
      <w:r w:rsidR="006B0D1E">
        <w:t xml:space="preserve">policymaking </w:t>
      </w:r>
      <w:r w:rsidR="00E42399" w:rsidRPr="00D66FC2">
        <w:t xml:space="preserve">change via repetition: we seek to replace the idea of a cycle of enthusiasm and despair with a </w:t>
      </w:r>
      <w:r w:rsidR="00CB5763" w:rsidRPr="00D66FC2">
        <w:t>continuous</w:t>
      </w:r>
      <w:r w:rsidR="00E42399" w:rsidRPr="00D66FC2">
        <w:t xml:space="preserve"> process with modest </w:t>
      </w:r>
      <w:r w:rsidR="00CB5763" w:rsidRPr="00D66FC2">
        <w:t xml:space="preserve">but cumulative </w:t>
      </w:r>
      <w:r w:rsidR="00E42399" w:rsidRPr="00D66FC2">
        <w:t>effects</w:t>
      </w:r>
      <w:r w:rsidR="00D66FC2" w:rsidRPr="00C42A4D">
        <w:t xml:space="preserve"> (Cianetti, 202</w:t>
      </w:r>
      <w:r w:rsidR="000A4FD5">
        <w:t>4</w:t>
      </w:r>
      <w:r w:rsidR="00D66FC2" w:rsidRPr="00C42A4D">
        <w:t>)</w:t>
      </w:r>
      <w:r w:rsidR="00E42399" w:rsidRPr="00D66FC2">
        <w:t>.</w:t>
      </w:r>
      <w:r w:rsidR="004A11F2">
        <w:t xml:space="preserve"> </w:t>
      </w:r>
      <w:r>
        <w:t>Negotiating the</w:t>
      </w:r>
      <w:r w:rsidR="00EE0797" w:rsidRPr="00EE0797">
        <w:t xml:space="preserve"> ambiguity of buzzwords </w:t>
      </w:r>
      <w:r>
        <w:t>can foster</w:t>
      </w:r>
      <w:r w:rsidR="00EE0797" w:rsidRPr="00EE0797">
        <w:t xml:space="preserve"> meaningful progress in shared policy understandings. </w:t>
      </w:r>
    </w:p>
    <w:p w14:paraId="58B66DC9" w14:textId="125C6A40" w:rsidR="003E3928" w:rsidRPr="001F2468" w:rsidRDefault="00CB5763">
      <w:pPr>
        <w:pStyle w:val="Heading1"/>
      </w:pPr>
      <w:r w:rsidRPr="001F2468">
        <w:t xml:space="preserve">Why might </w:t>
      </w:r>
      <w:r w:rsidR="00767828">
        <w:t>buzzwords</w:t>
      </w:r>
      <w:r w:rsidR="00767828" w:rsidRPr="001F2468">
        <w:t xml:space="preserve"> </w:t>
      </w:r>
      <w:r w:rsidR="003E3928" w:rsidRPr="001F2468">
        <w:t>catch fire then fizzle out</w:t>
      </w:r>
      <w:r w:rsidRPr="001F2468">
        <w:t>?</w:t>
      </w:r>
      <w:r w:rsidR="00767828">
        <w:t xml:space="preserve"> The role of ideas in policy and policymaking</w:t>
      </w:r>
    </w:p>
    <w:p w14:paraId="4D86AEBB" w14:textId="10A28A59" w:rsidR="00223BBE" w:rsidRDefault="00C84D12" w:rsidP="00C42A4D">
      <w:pPr>
        <w:spacing w:line="276" w:lineRule="auto"/>
        <w:jc w:val="both"/>
      </w:pPr>
      <w:r>
        <w:t xml:space="preserve">A great deal has been written in policy studies about the </w:t>
      </w:r>
      <w:r w:rsidR="00C42901">
        <w:t>buzzword</w:t>
      </w:r>
      <w:r w:rsidR="006E1DF1">
        <w:t xml:space="preserve"> phenomenon</w:t>
      </w:r>
      <w:r w:rsidR="002C6898">
        <w:t>. Whether</w:t>
      </w:r>
      <w:r w:rsidR="001C6569">
        <w:t xml:space="preserve"> under the rubric of ideational travel, </w:t>
      </w:r>
      <w:r w:rsidR="00B86D48">
        <w:t xml:space="preserve">the rise and fall of agendas, the layering of new paradigms, </w:t>
      </w:r>
      <w:r w:rsidR="00034E43">
        <w:t xml:space="preserve">the impacts of ambiguity, </w:t>
      </w:r>
      <w:r w:rsidR="002C6898">
        <w:t>or</w:t>
      </w:r>
      <w:r w:rsidR="00034E43">
        <w:t xml:space="preserve"> the dynamics of</w:t>
      </w:r>
      <w:r w:rsidR="00D52CA7">
        <w:t xml:space="preserve"> </w:t>
      </w:r>
      <w:r w:rsidR="00FA1217">
        <w:t>discursive institutionalism</w:t>
      </w:r>
      <w:r w:rsidR="00C200E5">
        <w:t>,</w:t>
      </w:r>
      <w:r w:rsidR="00AD1022">
        <w:t xml:space="preserve"> or many others besides</w:t>
      </w:r>
      <w:r w:rsidR="00C200E5">
        <w:t xml:space="preserve"> there is a sprawling ‘family’ of approaches that drill into</w:t>
      </w:r>
      <w:r w:rsidR="006E1DF1">
        <w:t xml:space="preserve"> the politics of</w:t>
      </w:r>
      <w:r w:rsidR="003D4B1A">
        <w:t xml:space="preserve"> </w:t>
      </w:r>
      <w:r w:rsidR="006E1DF1">
        <w:t>buzzwords</w:t>
      </w:r>
      <w:r w:rsidR="00B86D48">
        <w:t>.</w:t>
      </w:r>
      <w:r w:rsidR="00FA1217">
        <w:t xml:space="preserve"> </w:t>
      </w:r>
      <w:r w:rsidR="001C7162">
        <w:t>I</w:t>
      </w:r>
      <w:r w:rsidR="00836967">
        <w:t>n</w:t>
      </w:r>
      <w:r w:rsidR="001C7162">
        <w:t xml:space="preserve"> this</w:t>
      </w:r>
      <w:r w:rsidR="00836967">
        <w:t xml:space="preserve"> section</w:t>
      </w:r>
      <w:r w:rsidR="001C7162">
        <w:t>, our intention is not to review the full family</w:t>
      </w:r>
      <w:r w:rsidR="00836967">
        <w:t xml:space="preserve"> in nuanced depth. </w:t>
      </w:r>
      <w:r w:rsidR="00706D5D">
        <w:t xml:space="preserve">Much has also been written about the nature of the familial relations between concepts, with family resemblances based around </w:t>
      </w:r>
      <w:r w:rsidR="00706D5D" w:rsidRPr="00706D5D">
        <w:t>analytically important “evident commonalities” (Bowker and Leigh Star, 1999, p. 24)</w:t>
      </w:r>
      <w:r w:rsidR="00706D5D">
        <w:t xml:space="preserve">, but there is also much to distinguish siblings. Here, </w:t>
      </w:r>
      <w:r w:rsidR="00EB623D">
        <w:t xml:space="preserve">our intention is </w:t>
      </w:r>
      <w:r w:rsidR="00EB623D">
        <w:t xml:space="preserve">to </w:t>
      </w:r>
      <w:r w:rsidR="00EB623D">
        <w:t>explain a distinct role for the ‘buzzword’ concept among th</w:t>
      </w:r>
      <w:r w:rsidR="00EB623D">
        <w:t>e commonalities within thi</w:t>
      </w:r>
      <w:r w:rsidR="00EB623D">
        <w:t>s extended conceptual family then show how it aids new analysis of theory and practice.</w:t>
      </w:r>
    </w:p>
    <w:p w14:paraId="1624EEA2" w14:textId="6FE67ABE" w:rsidR="00931488" w:rsidRDefault="00EB623D" w:rsidP="00EB623D">
      <w:pPr>
        <w:spacing w:line="276" w:lineRule="auto"/>
        <w:jc w:val="both"/>
      </w:pPr>
      <w:r>
        <w:t>The first advantage of focusing on buzzwords relates to temporality or the cyclical nature of ideas about better policymaking. ‘Buzzword’ centres the periodic waxing and waning of ideas. The orthodox explanation for this varying attention</w:t>
      </w:r>
      <w:r w:rsidR="00503656">
        <w:t xml:space="preserve"> is that a</w:t>
      </w:r>
      <w:r w:rsidR="00A9761B" w:rsidRPr="00FF1D12">
        <w:t xml:space="preserve"> major part of the success of an idea depends not on its intrinsic value, but how it relates to the dominant beliefs, institutions, or practices of potential audiences</w:t>
      </w:r>
      <w:r w:rsidR="00A9761B">
        <w:t xml:space="preserve"> (Cairney, 2020: 189)</w:t>
      </w:r>
      <w:r w:rsidR="00A9761B" w:rsidRPr="00FF1D12">
        <w:t>. If so, the fate of that idea is uncertain in complex policymaking systems, where attention lurches and enthusiasm wanes, and many different policymaking ‘centres’ become responsible for processing</w:t>
      </w:r>
      <w:r w:rsidR="00A9761B">
        <w:t xml:space="preserve"> a rapidly churning</w:t>
      </w:r>
      <w:r w:rsidR="00A9761B" w:rsidRPr="00FF1D12">
        <w:t xml:space="preserve"> agenda</w:t>
      </w:r>
      <w:r w:rsidR="00A9761B">
        <w:t xml:space="preserve"> (Baumgartner et al., 2023; Herweg et al., 2023; Cairney et al., 2019)</w:t>
      </w:r>
      <w:r w:rsidR="00A9761B" w:rsidRPr="00FF1D12">
        <w:t xml:space="preserve">. It might look like a </w:t>
      </w:r>
      <w:r w:rsidR="00A9761B">
        <w:t xml:space="preserve">policy </w:t>
      </w:r>
      <w:r w:rsidR="00A9761B" w:rsidRPr="00FF1D12">
        <w:t>actor is plucking an idea from thin air or elsewhere and expecting it to work here</w:t>
      </w:r>
      <w:r w:rsidR="00A9761B">
        <w:t xml:space="preserve">. However, </w:t>
      </w:r>
      <w:r w:rsidR="00A9761B" w:rsidRPr="00FF1D12">
        <w:t>such acts only begin the conversation</w:t>
      </w:r>
      <w:r w:rsidR="00A9761B">
        <w:t xml:space="preserve">, </w:t>
      </w:r>
      <w:r w:rsidR="00A9761B" w:rsidRPr="00FF1D12">
        <w:t>prompt</w:t>
      </w:r>
      <w:r w:rsidR="00A9761B">
        <w:t xml:space="preserve">ing </w:t>
      </w:r>
      <w:r w:rsidR="00A9761B" w:rsidRPr="00FF1D12">
        <w:t xml:space="preserve">other </w:t>
      </w:r>
      <w:r w:rsidR="00A9761B">
        <w:t>policy actors</w:t>
      </w:r>
      <w:r w:rsidR="00A9761B" w:rsidRPr="00FF1D12">
        <w:t xml:space="preserve"> to relate the idea to current business and systemic capacity. </w:t>
      </w:r>
      <w:r w:rsidR="00A9761B" w:rsidRPr="006B0D1E">
        <w:t xml:space="preserve">The result </w:t>
      </w:r>
      <w:r w:rsidR="00503656">
        <w:t>can be</w:t>
      </w:r>
      <w:r w:rsidR="00A9761B" w:rsidRPr="006B0D1E">
        <w:t xml:space="preserve"> rhetorical traction without </w:t>
      </w:r>
      <w:r w:rsidR="00503656">
        <w:t xml:space="preserve">meaningful </w:t>
      </w:r>
      <w:r w:rsidR="00A9761B" w:rsidRPr="006B0D1E">
        <w:t>translat</w:t>
      </w:r>
      <w:r w:rsidR="00A9761B" w:rsidRPr="00C42A4D">
        <w:t>i</w:t>
      </w:r>
      <w:r w:rsidR="00752AEF">
        <w:t>on</w:t>
      </w:r>
      <w:r w:rsidR="00BB1C86">
        <w:t>, only for the idea to re-emerge anew sometime later and begin the cycle again.</w:t>
      </w:r>
      <w:r w:rsidR="00503656">
        <w:t xml:space="preserve"> </w:t>
      </w:r>
    </w:p>
    <w:p w14:paraId="1F4AE354" w14:textId="00548376" w:rsidR="004C49CD" w:rsidRDefault="00EB623D" w:rsidP="00C42A4D">
      <w:pPr>
        <w:spacing w:line="276" w:lineRule="auto"/>
        <w:jc w:val="both"/>
      </w:pPr>
      <w:r>
        <w:t>The second reason is that ‘buzzword’ highlights the ambiguity that often accompanies these cycles.</w:t>
      </w:r>
      <w:r w:rsidR="00C45EE2">
        <w:t xml:space="preserve"> The appeal of buzzwords relates partly to their ambiguity</w:t>
      </w:r>
      <w:r w:rsidR="00023616">
        <w:t xml:space="preserve">, </w:t>
      </w:r>
      <w:r w:rsidR="00C45EE2">
        <w:t>but the process of resolving ambiguity is not so simple. Vague ideas begin as appealing because they mean different things to different actors, allowing provisional buy-in across a system dealing with cross-sectoral and multi-level policy problems (Yanow 1995; Zahariadis 2016).</w:t>
      </w:r>
      <w:r w:rsidR="00C45EE2" w:rsidRPr="00D147ED">
        <w:t xml:space="preserve"> </w:t>
      </w:r>
      <w:r w:rsidR="00C45EE2">
        <w:t xml:space="preserve">This initial state does not last so </w:t>
      </w:r>
      <w:r w:rsidR="00C45EE2">
        <w:lastRenderedPageBreak/>
        <w:t>easily, as actors exercise power and act in accordance with their interests and values in turning ambiguity into action, in a complex system out of anyone’s control</w:t>
      </w:r>
      <w:r w:rsidR="00023616">
        <w:t>.</w:t>
      </w:r>
    </w:p>
    <w:p w14:paraId="0B15857E" w14:textId="73B7EC7E" w:rsidR="00D677A5" w:rsidRDefault="00EB623D" w:rsidP="00C42A4D">
      <w:pPr>
        <w:spacing w:line="276" w:lineRule="auto"/>
        <w:jc w:val="both"/>
      </w:pPr>
      <w:r>
        <w:t xml:space="preserve">The final reason is that ‘buzzword’ encapsulates what these dynamics can feel like to policy actors. In this context, ‘buzzword’ can have </w:t>
      </w:r>
      <w:r w:rsidR="009F4D43">
        <w:t>pejorative</w:t>
      </w:r>
      <w:r w:rsidR="00831D5C">
        <w:t xml:space="preserve"> connotations</w:t>
      </w:r>
      <w:r w:rsidR="009F4D43">
        <w:t xml:space="preserve"> but, we stress, not in a way that dismisses the intrinsic value of the underlying idea</w:t>
      </w:r>
      <w:r w:rsidR="00831D5C">
        <w:t xml:space="preserve"> or agenda</w:t>
      </w:r>
      <w:r w:rsidR="00D53253">
        <w:t>.</w:t>
      </w:r>
      <w:r w:rsidR="00B93754">
        <w:t xml:space="preserve"> Often </w:t>
      </w:r>
      <w:r w:rsidR="00023616">
        <w:t xml:space="preserve">the </w:t>
      </w:r>
      <w:r w:rsidR="00B93754">
        <w:t>policymakers involved can be earnestly committed to a principle like prevention, integration or inclusion.</w:t>
      </w:r>
      <w:r w:rsidR="00776378">
        <w:t xml:space="preserve"> </w:t>
      </w:r>
      <w:r w:rsidR="00023616">
        <w:t xml:space="preserve">Their cynicism is about the </w:t>
      </w:r>
      <w:r w:rsidR="00A6033C">
        <w:t>repeated cycles of enthusiasm and failure, and the difficulty in turning vague aspiration into meaningful action.</w:t>
      </w:r>
      <w:r w:rsidR="0032025E">
        <w:t xml:space="preserve"> ‘Buzzword’ captures this sense of</w:t>
      </w:r>
      <w:r w:rsidR="00776378">
        <w:t xml:space="preserve"> </w:t>
      </w:r>
      <w:r w:rsidR="0032025E">
        <w:t>being</w:t>
      </w:r>
      <w:r w:rsidR="00B81C76">
        <w:t xml:space="preserve"> jaded</w:t>
      </w:r>
      <w:r w:rsidR="0032025E">
        <w:t xml:space="preserve"> and world-weary</w:t>
      </w:r>
      <w:r w:rsidR="00474418">
        <w:t>.</w:t>
      </w:r>
    </w:p>
    <w:p w14:paraId="5E785004" w14:textId="6AEB1E90" w:rsidR="001F0C54" w:rsidRDefault="00EB623D" w:rsidP="00A64305">
      <w:pPr>
        <w:spacing w:line="276" w:lineRule="auto"/>
        <w:jc w:val="both"/>
      </w:pPr>
      <w:r>
        <w:t xml:space="preserve">Beyond describing and explaining the underlying dynamics, public policy scholars have also sought to understand the normative implications for policymaking practice. Interpretations are mixed, and we explain three prominent accounts that represent this spectrum of perspective. </w:t>
      </w:r>
      <w:r w:rsidR="00905459">
        <w:t xml:space="preserve">One is a critical account of the waxing and waning of concepts as they lose </w:t>
      </w:r>
      <w:r w:rsidR="00905459" w:rsidRPr="006273D1">
        <w:t>their ‘magic’. Pollitt</w:t>
      </w:r>
      <w:r w:rsidR="00905459">
        <w:t xml:space="preserve"> and Hupe (2011) problematize the influence of powerful but vague new ideas</w:t>
      </w:r>
      <w:r w:rsidR="005B3A30">
        <w:t xml:space="preserve"> that inflect practice</w:t>
      </w:r>
      <w:r w:rsidR="00905459">
        <w:t xml:space="preserve"> (their examples are ‘governance’ and ‘accountability’). They </w:t>
      </w:r>
      <w:r w:rsidR="005B3A30">
        <w:t xml:space="preserve">relate </w:t>
      </w:r>
      <w:r w:rsidR="00905459">
        <w:t>th</w:t>
      </w:r>
      <w:r w:rsidR="005B3A30">
        <w:t>is</w:t>
      </w:r>
      <w:r w:rsidR="00905459">
        <w:t xml:space="preserve"> ‘magical’ appeal </w:t>
      </w:r>
      <w:r w:rsidR="005B3A30">
        <w:t>of</w:t>
      </w:r>
      <w:r w:rsidR="00905459">
        <w:t xml:space="preserve"> ideas</w:t>
      </w:r>
      <w:r w:rsidR="005B3A30">
        <w:t xml:space="preserve"> to </w:t>
      </w:r>
      <w:r w:rsidR="00905459">
        <w:t>conceptual stretching</w:t>
      </w:r>
      <w:r w:rsidR="005B3A30">
        <w:t>,</w:t>
      </w:r>
      <w:r w:rsidR="00905459">
        <w:t xml:space="preserve"> </w:t>
      </w:r>
      <w:r w:rsidR="005B3A30">
        <w:t>noting that</w:t>
      </w:r>
      <w:r w:rsidR="00905459">
        <w:t xml:space="preserve"> </w:t>
      </w:r>
      <w:r w:rsidR="005B3A30">
        <w:t xml:space="preserve">attempts to reduce ambiguity </w:t>
      </w:r>
      <w:r w:rsidR="00905459">
        <w:t xml:space="preserve">may curtail </w:t>
      </w:r>
      <w:r w:rsidR="005B3A30">
        <w:t>this</w:t>
      </w:r>
      <w:r w:rsidR="00905459">
        <w:t xml:space="preserve"> appeal.</w:t>
      </w:r>
      <w:r w:rsidR="001F0C54">
        <w:t xml:space="preserve"> </w:t>
      </w:r>
      <w:r w:rsidR="006B5700">
        <w:t>Further examples</w:t>
      </w:r>
      <w:r w:rsidR="005244ED">
        <w:t xml:space="preserve"> </w:t>
      </w:r>
      <w:r w:rsidR="006B5700">
        <w:t xml:space="preserve">of buzzwords, </w:t>
      </w:r>
      <w:r w:rsidR="005244ED">
        <w:t>like ‘innovation’ (McGann et al.</w:t>
      </w:r>
      <w:r w:rsidR="008C597C">
        <w:t>,</w:t>
      </w:r>
      <w:r w:rsidR="005244ED">
        <w:t xml:space="preserve"> 2018)</w:t>
      </w:r>
      <w:r w:rsidR="00ED39B8">
        <w:t>,</w:t>
      </w:r>
      <w:r w:rsidR="005244ED">
        <w:t xml:space="preserve"> ‘sustainability’ (Frantzeskaski et al.</w:t>
      </w:r>
      <w:r w:rsidR="008C597C">
        <w:t>,</w:t>
      </w:r>
      <w:r w:rsidR="005244ED">
        <w:t xml:space="preserve"> 2016)</w:t>
      </w:r>
      <w:r w:rsidR="006B5700">
        <w:t>,</w:t>
      </w:r>
      <w:r w:rsidR="008C597C">
        <w:t xml:space="preserve"> </w:t>
      </w:r>
      <w:r w:rsidR="00ED39B8">
        <w:t xml:space="preserve">or </w:t>
      </w:r>
      <w:r w:rsidR="008C597C">
        <w:t>‘co-production’ (Durose</w:t>
      </w:r>
      <w:r w:rsidR="00ED39B8">
        <w:t xml:space="preserve"> et al</w:t>
      </w:r>
      <w:r w:rsidR="008C597C">
        <w:t>,</w:t>
      </w:r>
      <w:r w:rsidR="005B3A30">
        <w:t xml:space="preserve"> </w:t>
      </w:r>
      <w:r w:rsidR="008C597C">
        <w:t xml:space="preserve">2022) </w:t>
      </w:r>
      <w:r w:rsidR="005B3A30">
        <w:t xml:space="preserve">mask </w:t>
      </w:r>
      <w:r w:rsidR="005244ED">
        <w:t>latent conflict</w:t>
      </w:r>
      <w:r w:rsidR="005B3A30">
        <w:t xml:space="preserve"> or postpone much-needed debate, thus </w:t>
      </w:r>
      <w:r w:rsidR="005244ED">
        <w:t>contributing to inertia</w:t>
      </w:r>
      <w:r w:rsidR="000B5743">
        <w:t xml:space="preserve"> (see also Radaelli, 2023 on ‘better regulation’)</w:t>
      </w:r>
      <w:r w:rsidR="001F0C54">
        <w:t>.</w:t>
      </w:r>
      <w:r w:rsidR="005B3A30">
        <w:t xml:space="preserve"> </w:t>
      </w:r>
    </w:p>
    <w:p w14:paraId="13D9528E" w14:textId="1CC19AE3" w:rsidR="001F0C54" w:rsidRDefault="001F0C54" w:rsidP="00C42A4D">
      <w:pPr>
        <w:spacing w:line="276" w:lineRule="auto"/>
        <w:jc w:val="both"/>
      </w:pPr>
      <w:r>
        <w:t xml:space="preserve">Two is a more ambivalent account of </w:t>
      </w:r>
      <w:r w:rsidRPr="005B3A30">
        <w:t>the ‘lifecycle’ of</w:t>
      </w:r>
      <w:r>
        <w:t xml:space="preserve"> ideas. Hirsch and Levin</w:t>
      </w:r>
      <w:r w:rsidR="00D147ED">
        <w:t xml:space="preserve"> (1999)</w:t>
      </w:r>
      <w:r>
        <w:t xml:space="preserve"> </w:t>
      </w:r>
      <w:r w:rsidR="005B3A30">
        <w:t>identify</w:t>
      </w:r>
      <w:r>
        <w:t xml:space="preserve"> an initial emergence of excitement</w:t>
      </w:r>
      <w:r w:rsidR="005B3A30">
        <w:t xml:space="preserve"> </w:t>
      </w:r>
      <w:r>
        <w:t xml:space="preserve">about the possibility of an idea to re-frame a challenge or </w:t>
      </w:r>
      <w:r w:rsidR="006B5700">
        <w:t>open</w:t>
      </w:r>
      <w:r>
        <w:t xml:space="preserve"> the opportunity for change. </w:t>
      </w:r>
      <w:r w:rsidR="005B3A30">
        <w:t>T</w:t>
      </w:r>
      <w:r>
        <w:t xml:space="preserve">his </w:t>
      </w:r>
      <w:r w:rsidR="005B3A30">
        <w:t xml:space="preserve">new energy </w:t>
      </w:r>
      <w:r>
        <w:t xml:space="preserve">is quickly consumed by questions of how an idea may be defined or operationalised, prompting a proliferation of differing perspectives. </w:t>
      </w:r>
      <w:r w:rsidR="005B3A30">
        <w:t>Ideas then need to be</w:t>
      </w:r>
      <w:r>
        <w:t xml:space="preserve"> ‘tidied up’ through typologising or categorising, </w:t>
      </w:r>
      <w:r w:rsidR="005B3A30">
        <w:t xml:space="preserve">to </w:t>
      </w:r>
      <w:r>
        <w:t xml:space="preserve">draw distinctions between ways </w:t>
      </w:r>
      <w:r w:rsidR="005B3A30">
        <w:t>to</w:t>
      </w:r>
      <w:r>
        <w:t xml:space="preserve"> </w:t>
      </w:r>
      <w:r w:rsidR="005B3A30">
        <w:t>define aims</w:t>
      </w:r>
      <w:r>
        <w:t xml:space="preserve"> or realise</w:t>
      </w:r>
      <w:r w:rsidR="005B3A30">
        <w:t xml:space="preserve"> ambitions, but</w:t>
      </w:r>
      <w:r>
        <w:t xml:space="preserve"> ‘collapse’</w:t>
      </w:r>
      <w:r w:rsidR="005B3A30">
        <w:t xml:space="preserve"> during unproductive processes to prove their validity.</w:t>
      </w:r>
      <w:r>
        <w:t xml:space="preserve"> </w:t>
      </w:r>
      <w:r w:rsidR="005B3A30">
        <w:t>T</w:t>
      </w:r>
      <w:r>
        <w:t xml:space="preserve">he remnants of a collapsed idea may then be rescued or revitalised in a different form to feed a future cycle. </w:t>
      </w:r>
    </w:p>
    <w:p w14:paraId="3A5D4DEC" w14:textId="41562F12" w:rsidR="00C83C32" w:rsidRDefault="001F0C54" w:rsidP="00C42A4D">
      <w:pPr>
        <w:tabs>
          <w:tab w:val="left" w:pos="2410"/>
        </w:tabs>
        <w:spacing w:line="276" w:lineRule="auto"/>
        <w:jc w:val="both"/>
      </w:pPr>
      <w:r>
        <w:t xml:space="preserve">Three is a more optimistic account </w:t>
      </w:r>
      <w:r w:rsidR="00DE44D9">
        <w:t xml:space="preserve">of </w:t>
      </w:r>
      <w:r>
        <w:t>stoicism in the face of these cyclical dynamic</w:t>
      </w:r>
      <w:r w:rsidR="00C83C32">
        <w:t xml:space="preserve"> in which ‘buzzwords’ become fashionable through use. Cornwall (2007</w:t>
      </w:r>
      <w:r w:rsidR="00DE44D9">
        <w:t>: 47</w:t>
      </w:r>
      <w:r w:rsidR="00C83C32">
        <w:t>) describes them as:</w:t>
      </w:r>
    </w:p>
    <w:p w14:paraId="288334C5" w14:textId="69C860EB" w:rsidR="00C83C32" w:rsidRDefault="00C83C32" w:rsidP="00C42A4D">
      <w:pPr>
        <w:tabs>
          <w:tab w:val="left" w:pos="8505"/>
        </w:tabs>
        <w:spacing w:line="276" w:lineRule="auto"/>
        <w:ind w:left="567" w:right="521"/>
        <w:jc w:val="both"/>
      </w:pPr>
      <w:r>
        <w:t>the catch-words that need to be sprinkled liberally in funding proposals and emblazoned on websites and promotional material… they are not only passwords to funding and influence; and they are more than the mere specialist jargon that is characteristic of any profession… buzzwords gain their purchase and power through their vague and euphemistic qualities, their capacity to embrace a multitude of meanings, and their normative resonance</w:t>
      </w:r>
      <w:r w:rsidR="00DE44D9">
        <w:t>.</w:t>
      </w:r>
    </w:p>
    <w:p w14:paraId="3BBDA6EC" w14:textId="631E57FD" w:rsidR="00D346D5" w:rsidRDefault="00DE44D9" w:rsidP="00C42A4D">
      <w:pPr>
        <w:spacing w:line="276" w:lineRule="auto"/>
        <w:jc w:val="both"/>
      </w:pPr>
      <w:r>
        <w:t>Some i</w:t>
      </w:r>
      <w:r w:rsidR="00905459">
        <w:t xml:space="preserve">deas </w:t>
      </w:r>
      <w:r>
        <w:t xml:space="preserve">worth keeping </w:t>
      </w:r>
      <w:r w:rsidR="00905459">
        <w:t xml:space="preserve">can achieve a </w:t>
      </w:r>
      <w:r w:rsidR="00905459" w:rsidRPr="0059200E">
        <w:t>‘buzz’ before becoming a ‘fuzz’</w:t>
      </w:r>
      <w:r w:rsidR="0059200E">
        <w:t xml:space="preserve"> </w:t>
      </w:r>
      <w:r w:rsidR="00873720">
        <w:t xml:space="preserve">if co-option and wide usage rids them of their radical potency </w:t>
      </w:r>
      <w:r w:rsidR="0059200E">
        <w:t>(Cornwall, 2007: 48)</w:t>
      </w:r>
      <w:r w:rsidR="00873720">
        <w:t xml:space="preserve">. If so, </w:t>
      </w:r>
      <w:r w:rsidR="00905459">
        <w:t xml:space="preserve">replacing or rehabilitating such ideas is ‘to play the buzzword games on its own terms’, </w:t>
      </w:r>
      <w:r w:rsidR="00873720">
        <w:t>by constantly putting</w:t>
      </w:r>
      <w:r w:rsidR="00905459">
        <w:t xml:space="preserve"> forward </w:t>
      </w:r>
      <w:r w:rsidR="00905459">
        <w:lastRenderedPageBreak/>
        <w:t>ideas that ‘speak of the hopes and dreams that never went away</w:t>
      </w:r>
      <w:r w:rsidR="00D147ED">
        <w:t>’,</w:t>
      </w:r>
      <w:r w:rsidR="00905459">
        <w:t xml:space="preserve"> </w:t>
      </w:r>
      <w:r w:rsidR="00873720">
        <w:t xml:space="preserve">such as </w:t>
      </w:r>
      <w:r w:rsidR="00905459">
        <w:t xml:space="preserve">justice, solidarity, and redistribution. </w:t>
      </w:r>
    </w:p>
    <w:p w14:paraId="1AF7E9A3" w14:textId="5335B39D" w:rsidR="000C5EC4" w:rsidRDefault="007305F1" w:rsidP="00C42A4D">
      <w:pPr>
        <w:spacing w:line="276" w:lineRule="auto"/>
        <w:jc w:val="both"/>
      </w:pPr>
      <w:r>
        <w:t xml:space="preserve">Our aim here has been to offer a stylized review of the sprawling family of scholarship in policy studies. </w:t>
      </w:r>
      <w:r w:rsidR="00824510">
        <w:t>Overall, t</w:t>
      </w:r>
      <w:r w:rsidR="008C356C">
        <w:t xml:space="preserve">hese explanations help to make sense of the patterns by which </w:t>
      </w:r>
      <w:r w:rsidR="00824510">
        <w:t>buzzwords</w:t>
      </w:r>
      <w:r w:rsidR="008C356C">
        <w:t xml:space="preserve"> emerge, spread, decline</w:t>
      </w:r>
      <w:r w:rsidR="00824510">
        <w:t>, change</w:t>
      </w:r>
      <w:r w:rsidR="008C356C">
        <w:t xml:space="preserve"> or re-emerge over time</w:t>
      </w:r>
      <w:r w:rsidR="000C5EC4">
        <w:t>, and to reflect on</w:t>
      </w:r>
      <w:r w:rsidR="008C356C">
        <w:t xml:space="preserve"> </w:t>
      </w:r>
      <w:r w:rsidR="000C5EC4">
        <w:t>w</w:t>
      </w:r>
      <w:r w:rsidR="00A366CA">
        <w:t xml:space="preserve">hether </w:t>
      </w:r>
      <w:r w:rsidR="000C5EC4">
        <w:t xml:space="preserve">to </w:t>
      </w:r>
      <w:r w:rsidR="00A366CA">
        <w:t xml:space="preserve">see </w:t>
      </w:r>
      <w:r w:rsidR="00905459">
        <w:t xml:space="preserve">the hot-and-cold cycle as </w:t>
      </w:r>
      <w:r w:rsidR="006B5700">
        <w:t>part of futile, dispiriting</w:t>
      </w:r>
      <w:r w:rsidR="00905459">
        <w:t xml:space="preserve"> or generative</w:t>
      </w:r>
      <w:r w:rsidR="006B5700">
        <w:t xml:space="preserve"> action</w:t>
      </w:r>
      <w:r w:rsidR="000C5EC4">
        <w:t xml:space="preserve">. </w:t>
      </w:r>
      <w:r w:rsidR="006B5700">
        <w:t xml:space="preserve"> </w:t>
      </w:r>
      <w:r w:rsidR="00FF07E5">
        <w:t xml:space="preserve">Yet what they also show is that there has been relatively little emphasis on how policy actors </w:t>
      </w:r>
      <w:r w:rsidR="00FC7ECD">
        <w:t>themselves grapple with these famil</w:t>
      </w:r>
      <w:r w:rsidR="000D23BB">
        <w:t>iar dynamics</w:t>
      </w:r>
      <w:r w:rsidR="00534A53">
        <w:t xml:space="preserve">. </w:t>
      </w:r>
      <w:r w:rsidR="006B5700">
        <w:t xml:space="preserve">Policy actors are all too aware of the fickle and ambiguous nature of ‘buzzwords’ which they experience in everyday practice (Boswell, 2023). </w:t>
      </w:r>
      <w:r w:rsidR="00534A53">
        <w:t>The novel emphasis of this Research Note is to ask: H</w:t>
      </w:r>
      <w:r w:rsidR="000B5743">
        <w:t>ow do, or</w:t>
      </w:r>
      <w:r w:rsidR="006B5700">
        <w:t xml:space="preserve"> could</w:t>
      </w:r>
      <w:r w:rsidR="000B5743">
        <w:t>,</w:t>
      </w:r>
      <w:r w:rsidR="006B5700">
        <w:t xml:space="preserve"> they deal with ambiguous ideas, and to what effect?</w:t>
      </w:r>
    </w:p>
    <w:p w14:paraId="096D18C4" w14:textId="7FB7C63E" w:rsidR="00552BC2" w:rsidRDefault="00ED39B8" w:rsidP="009C7335">
      <w:pPr>
        <w:pStyle w:val="Heading3"/>
      </w:pPr>
      <w:r>
        <w:t>The illustrative case of prevention, to exemplify a need to engage with buzzwords</w:t>
      </w:r>
    </w:p>
    <w:p w14:paraId="1E895B80" w14:textId="783178B7" w:rsidR="006B5700" w:rsidRDefault="004C0AFF" w:rsidP="00C42A4D">
      <w:pPr>
        <w:spacing w:line="276" w:lineRule="auto"/>
        <w:jc w:val="both"/>
      </w:pPr>
      <w:r>
        <w:t>Understand</w:t>
      </w:r>
      <w:r w:rsidR="00CC197A">
        <w:t>ing</w:t>
      </w:r>
      <w:r>
        <w:t xml:space="preserve"> </w:t>
      </w:r>
      <w:r w:rsidR="006B5700">
        <w:t>practical responses is an iterative process: to use policy theory insights to guide the analysis of practice, and use insights from practice to</w:t>
      </w:r>
      <w:r>
        <w:t xml:space="preserve"> inform our</w:t>
      </w:r>
      <w:r w:rsidR="00CC197A">
        <w:t xml:space="preserve"> conceptual</w:t>
      </w:r>
      <w:r>
        <w:t xml:space="preserve"> understanding of </w:t>
      </w:r>
      <w:r w:rsidR="006B5700">
        <w:t xml:space="preserve">policy </w:t>
      </w:r>
      <w:r>
        <w:t xml:space="preserve">dynamics. </w:t>
      </w:r>
      <w:r w:rsidR="000C5EC4">
        <w:t xml:space="preserve">To that end, we </w:t>
      </w:r>
      <w:r w:rsidR="000C5EC4" w:rsidRPr="000C5EC4">
        <w:t>illuminate</w:t>
      </w:r>
      <w:r w:rsidR="00476E64" w:rsidRPr="000C5EC4">
        <w:t xml:space="preserve"> th</w:t>
      </w:r>
      <w:r w:rsidRPr="000C5EC4">
        <w:t>e</w:t>
      </w:r>
      <w:r w:rsidR="00476E64" w:rsidRPr="000C5EC4">
        <w:t xml:space="preserve"> </w:t>
      </w:r>
      <w:r w:rsidR="00ED39B8">
        <w:t xml:space="preserve">buzzword </w:t>
      </w:r>
      <w:r w:rsidRPr="000C5EC4">
        <w:t xml:space="preserve">dilemma </w:t>
      </w:r>
      <w:r w:rsidR="000B5743">
        <w:t>with</w:t>
      </w:r>
      <w:r w:rsidR="00027D29">
        <w:t xml:space="preserve"> </w:t>
      </w:r>
      <w:r w:rsidR="006B5700">
        <w:t>a</w:t>
      </w:r>
      <w:r w:rsidR="009E1D37">
        <w:t>n</w:t>
      </w:r>
      <w:r w:rsidR="000C5EC4" w:rsidRPr="00C42A4D">
        <w:t xml:space="preserve"> example of</w:t>
      </w:r>
      <w:r w:rsidR="000C5EC4" w:rsidRPr="000C5EC4">
        <w:t xml:space="preserve"> </w:t>
      </w:r>
      <w:r w:rsidR="006B5700">
        <w:t xml:space="preserve">dealing with the ambiguity of </w:t>
      </w:r>
      <w:r w:rsidR="000C5EC4" w:rsidRPr="00C42A4D">
        <w:t>‘</w:t>
      </w:r>
      <w:r w:rsidR="00476E64" w:rsidRPr="000C5EC4">
        <w:t>preventi</w:t>
      </w:r>
      <w:r w:rsidR="00B87F0F" w:rsidRPr="000C5EC4">
        <w:t>on</w:t>
      </w:r>
      <w:r w:rsidR="000C5EC4" w:rsidRPr="000C5EC4">
        <w:t>’</w:t>
      </w:r>
      <w:r w:rsidR="00456B65">
        <w:t xml:space="preserve"> in</w:t>
      </w:r>
      <w:r w:rsidR="009E1D37">
        <w:t xml:space="preserve"> </w:t>
      </w:r>
      <w:r w:rsidR="006B5700">
        <w:t>health and social care governance in England.</w:t>
      </w:r>
      <w:r>
        <w:t xml:space="preserve"> </w:t>
      </w:r>
      <w:r w:rsidR="00297862">
        <w:t xml:space="preserve">We use the word </w:t>
      </w:r>
      <w:r w:rsidR="00297862" w:rsidRPr="00B45167">
        <w:rPr>
          <w:i/>
          <w:iCs/>
        </w:rPr>
        <w:t>example</w:t>
      </w:r>
      <w:r w:rsidR="00297862">
        <w:t xml:space="preserve"> intentionally</w:t>
      </w:r>
      <w:r w:rsidR="00ED39B8">
        <w:t xml:space="preserve">: </w:t>
      </w:r>
      <w:r w:rsidR="00297862">
        <w:t xml:space="preserve">not </w:t>
      </w:r>
      <w:r w:rsidR="00ED39B8">
        <w:t xml:space="preserve">to describe </w:t>
      </w:r>
      <w:r w:rsidR="00297862">
        <w:t xml:space="preserve">a full case study, but </w:t>
      </w:r>
      <w:r w:rsidR="00ED39B8">
        <w:t xml:space="preserve">to present </w:t>
      </w:r>
      <w:r w:rsidR="00297862">
        <w:t xml:space="preserve">a short stylised account </w:t>
      </w:r>
      <w:r w:rsidR="00ED39B8">
        <w:t>to exemplify a dilemma and response</w:t>
      </w:r>
      <w:r w:rsidR="00297862">
        <w:t xml:space="preserve">. </w:t>
      </w:r>
      <w:r w:rsidR="009E1D37">
        <w:t xml:space="preserve">The purpose is to provide what Dryzek </w:t>
      </w:r>
      <w:r w:rsidR="008F52DC">
        <w:t>(202</w:t>
      </w:r>
      <w:r w:rsidR="005D27F2">
        <w:t>5</w:t>
      </w:r>
      <w:r w:rsidR="008F52DC">
        <w:t xml:space="preserve">) </w:t>
      </w:r>
      <w:r w:rsidR="009E1D37">
        <w:t>calls a ‘clarifying function’ for the analysis</w:t>
      </w:r>
      <w:r w:rsidR="00ED39B8">
        <w:t>, to provide</w:t>
      </w:r>
      <w:r w:rsidR="009E1D37">
        <w:t xml:space="preserve"> colour and context to our conceptual discussion.</w:t>
      </w:r>
      <w:r w:rsidR="008F52DC">
        <w:t xml:space="preserve"> We have therefore chosen to ‘box’ discussion of the example below to signal its illustrative purpose.</w:t>
      </w:r>
    </w:p>
    <w:p w14:paraId="3118AE93" w14:textId="03714439" w:rsidR="004449A2" w:rsidRPr="00074930" w:rsidRDefault="00392EB8" w:rsidP="00C42A4D">
      <w:pPr>
        <w:spacing w:line="276" w:lineRule="auto"/>
        <w:jc w:val="both"/>
        <w:rPr>
          <w:rFonts w:cs="Times New Roman"/>
        </w:rPr>
      </w:pPr>
      <w:r>
        <w:t>W</w:t>
      </w:r>
      <w:r w:rsidR="008F52DC">
        <w:t>hy is prevention a good clarifying example?</w:t>
      </w:r>
      <w:r>
        <w:t xml:space="preserve"> </w:t>
      </w:r>
      <w:r w:rsidR="004C0AFF">
        <w:t xml:space="preserve">Preventing problems before they occur, rather than dealing with the </w:t>
      </w:r>
      <w:r>
        <w:t xml:space="preserve">profound negative </w:t>
      </w:r>
      <w:r w:rsidR="004C0AFF">
        <w:t xml:space="preserve">consequences afterwards, </w:t>
      </w:r>
      <w:r w:rsidR="004C5966">
        <w:t xml:space="preserve">is </w:t>
      </w:r>
      <w:r w:rsidR="004C0AFF">
        <w:t xml:space="preserve">a self-evidently sensible idea that </w:t>
      </w:r>
      <w:r w:rsidR="00981476">
        <w:t xml:space="preserve">nearly </w:t>
      </w:r>
      <w:r w:rsidR="004C0AFF">
        <w:t xml:space="preserve">every policy actor can buy into. </w:t>
      </w:r>
      <w:r>
        <w:t xml:space="preserve">However, </w:t>
      </w:r>
      <w:r w:rsidR="004C0AFF">
        <w:t xml:space="preserve">the </w:t>
      </w:r>
      <w:r w:rsidR="002B7AAD">
        <w:t xml:space="preserve">compelling logic in theory </w:t>
      </w:r>
      <w:r w:rsidR="00F54B60">
        <w:t>has proven</w:t>
      </w:r>
      <w:r w:rsidR="002B7AAD">
        <w:t xml:space="preserve"> hard to </w:t>
      </w:r>
      <w:r w:rsidR="00F54B60">
        <w:t>make sense of</w:t>
      </w:r>
      <w:r w:rsidR="002B7AAD">
        <w:t xml:space="preserve"> in practice</w:t>
      </w:r>
      <w:r w:rsidR="00F54B60">
        <w:t xml:space="preserve"> over a remarkably long period of time</w:t>
      </w:r>
      <w:r w:rsidR="002B7AAD">
        <w:t xml:space="preserve">. </w:t>
      </w:r>
      <w:r w:rsidR="00ED39B8">
        <w:t>Internationally, this ambiguity has plagued global public health efforts to translate broad aims into concrete commitments and substantive policy instruments (Cairney et al, 2021</w:t>
      </w:r>
      <w:r w:rsidR="000272B1">
        <w:t>; 2022</w:t>
      </w:r>
      <w:r w:rsidR="00ED39B8">
        <w:t xml:space="preserve">). </w:t>
      </w:r>
      <w:r w:rsidR="000272B1">
        <w:t>Further, in our illustrative UK context, s</w:t>
      </w:r>
      <w:r w:rsidR="00F54B60">
        <w:t xml:space="preserve">uccessive </w:t>
      </w:r>
      <w:r w:rsidR="00A642DA">
        <w:t xml:space="preserve">pre- and </w:t>
      </w:r>
      <w:r w:rsidR="00F54B60" w:rsidRPr="000B5743">
        <w:t>post-war</w:t>
      </w:r>
      <w:r w:rsidR="002B7AAD">
        <w:t xml:space="preserve"> </w:t>
      </w:r>
      <w:r w:rsidR="000272B1">
        <w:t>central</w:t>
      </w:r>
      <w:r w:rsidR="000272B1" w:rsidRPr="00476E64">
        <w:t xml:space="preserve"> </w:t>
      </w:r>
      <w:r w:rsidR="002B7AAD">
        <w:t xml:space="preserve">governments </w:t>
      </w:r>
      <w:r w:rsidR="00F54B60">
        <w:t>have</w:t>
      </w:r>
      <w:r w:rsidR="00476E64" w:rsidRPr="00476E64">
        <w:t xml:space="preserve"> use</w:t>
      </w:r>
      <w:r w:rsidR="00F54B60">
        <w:t>d</w:t>
      </w:r>
      <w:r w:rsidR="00476E64" w:rsidRPr="00476E64">
        <w:t xml:space="preserve"> and reuse</w:t>
      </w:r>
      <w:r w:rsidR="00F54B60">
        <w:t xml:space="preserve">d </w:t>
      </w:r>
      <w:r w:rsidR="00476E64" w:rsidRPr="00476E64">
        <w:t xml:space="preserve">the idea </w:t>
      </w:r>
      <w:r w:rsidR="00F54B60">
        <w:t xml:space="preserve">that </w:t>
      </w:r>
      <w:r w:rsidR="00476E64" w:rsidRPr="00476E64">
        <w:t>‘prevention is better than cure’</w:t>
      </w:r>
      <w:r w:rsidR="000272B1">
        <w:t xml:space="preserve"> across multiple policy sectors</w:t>
      </w:r>
      <w:r w:rsidR="00F54B60">
        <w:t xml:space="preserve"> (Billis, 1981</w:t>
      </w:r>
      <w:r w:rsidR="0007029A">
        <w:t xml:space="preserve">). </w:t>
      </w:r>
      <w:r w:rsidR="00F54B60" w:rsidRPr="00476E64">
        <w:t>Cairney and St.</w:t>
      </w:r>
      <w:r w:rsidR="00EE3538">
        <w:t xml:space="preserve"> </w:t>
      </w:r>
      <w:r w:rsidR="00F54B60" w:rsidRPr="00476E64">
        <w:t>Denny</w:t>
      </w:r>
      <w:r w:rsidR="0007029A">
        <w:t xml:space="preserve"> (</w:t>
      </w:r>
      <w:r w:rsidR="00F54B60" w:rsidRPr="00476E64">
        <w:t xml:space="preserve">2020) </w:t>
      </w:r>
      <w:r w:rsidR="004C0AFF">
        <w:t>describe</w:t>
      </w:r>
      <w:r w:rsidR="00476E64" w:rsidRPr="00476E64">
        <w:t xml:space="preserve"> cycles </w:t>
      </w:r>
      <w:r w:rsidR="0007029A">
        <w:t xml:space="preserve">of enthusiasm then despair </w:t>
      </w:r>
      <w:r w:rsidR="00476E64" w:rsidRPr="00476E64">
        <w:t xml:space="preserve">in which policymakers use the idiom as the title of a new speech or strategy, generate attention for a new approach to policy and policymaking, then struggle to maintain progress. This </w:t>
      </w:r>
      <w:r w:rsidR="004C5966">
        <w:t>cycle</w:t>
      </w:r>
      <w:r w:rsidR="004C5966" w:rsidRPr="00476E64">
        <w:t xml:space="preserve"> </w:t>
      </w:r>
      <w:r w:rsidR="00476E64" w:rsidRPr="00476E64">
        <w:t>is most frequent in</w:t>
      </w:r>
      <w:r w:rsidR="008F52DC">
        <w:t xml:space="preserve"> the health sector</w:t>
      </w:r>
      <w:r w:rsidR="000272B1">
        <w:t xml:space="preserve">. </w:t>
      </w:r>
      <w:r w:rsidR="004C5966">
        <w:rPr>
          <w:rFonts w:cs="Times New Roman"/>
        </w:rPr>
        <w:t>Given</w:t>
      </w:r>
      <w:r w:rsidR="004449A2" w:rsidRPr="00E93E71">
        <w:rPr>
          <w:rFonts w:cs="Times New Roman"/>
        </w:rPr>
        <w:t xml:space="preserve"> escalating capacity pressures on </w:t>
      </w:r>
      <w:r w:rsidR="009E1D37">
        <w:rPr>
          <w:rFonts w:cs="Times New Roman"/>
        </w:rPr>
        <w:t xml:space="preserve">healthcare systems, </w:t>
      </w:r>
      <w:r w:rsidR="004449A2" w:rsidRPr="00E93E71">
        <w:rPr>
          <w:rFonts w:cs="Times New Roman"/>
        </w:rPr>
        <w:t>there is a compelling case to keep people healthy, in work, and out of acute, expensive and labour-intensive health services. Yet, concrete action and investment has continued to lag far behind</w:t>
      </w:r>
      <w:r w:rsidR="004B1BF6">
        <w:rPr>
          <w:rFonts w:cs="Times New Roman"/>
        </w:rPr>
        <w:t xml:space="preserve"> the rhetoric.</w:t>
      </w:r>
      <w:r w:rsidR="004449A2" w:rsidRPr="00E93E71">
        <w:rPr>
          <w:rFonts w:cs="Times New Roman"/>
        </w:rPr>
        <w:t xml:space="preserve"> A key reason is that preventive health </w:t>
      </w:r>
      <w:r w:rsidR="004C5966">
        <w:rPr>
          <w:rFonts w:cs="Times New Roman"/>
        </w:rPr>
        <w:t>is</w:t>
      </w:r>
      <w:r w:rsidR="004449A2" w:rsidRPr="00E93E71">
        <w:rPr>
          <w:rFonts w:cs="Times New Roman"/>
        </w:rPr>
        <w:t xml:space="preserve"> woolly, covering everything from</w:t>
      </w:r>
      <w:r w:rsidR="004449A2">
        <w:rPr>
          <w:rFonts w:cs="Times New Roman"/>
        </w:rPr>
        <w:t xml:space="preserve"> high state intervention</w:t>
      </w:r>
      <w:r w:rsidR="004449A2" w:rsidRPr="00E93E71">
        <w:rPr>
          <w:rFonts w:cs="Times New Roman"/>
        </w:rPr>
        <w:t xml:space="preserve"> </w:t>
      </w:r>
      <w:r w:rsidR="004449A2">
        <w:rPr>
          <w:rFonts w:cs="Times New Roman"/>
        </w:rPr>
        <w:t xml:space="preserve">to address </w:t>
      </w:r>
      <w:r w:rsidR="004449A2" w:rsidRPr="00E93E71">
        <w:rPr>
          <w:rFonts w:cs="Times New Roman"/>
        </w:rPr>
        <w:t xml:space="preserve">the fundamental </w:t>
      </w:r>
      <w:r w:rsidR="004449A2">
        <w:rPr>
          <w:rFonts w:cs="Times New Roman"/>
        </w:rPr>
        <w:t>‘</w:t>
      </w:r>
      <w:r w:rsidR="004449A2" w:rsidRPr="00E93E71">
        <w:rPr>
          <w:rFonts w:cs="Times New Roman"/>
        </w:rPr>
        <w:t>social determinants</w:t>
      </w:r>
      <w:r w:rsidR="004449A2">
        <w:rPr>
          <w:rFonts w:cs="Times New Roman"/>
        </w:rPr>
        <w:t>’</w:t>
      </w:r>
      <w:r w:rsidR="004449A2" w:rsidRPr="00E93E71">
        <w:rPr>
          <w:rFonts w:cs="Times New Roman"/>
        </w:rPr>
        <w:t xml:space="preserve"> of health</w:t>
      </w:r>
      <w:r w:rsidR="004449A2">
        <w:rPr>
          <w:rFonts w:cs="Times New Roman"/>
        </w:rPr>
        <w:t xml:space="preserve"> to merely exhorting</w:t>
      </w:r>
      <w:r w:rsidR="004449A2" w:rsidRPr="00E93E71">
        <w:rPr>
          <w:rFonts w:cs="Times New Roman"/>
        </w:rPr>
        <w:t xml:space="preserve"> populations to </w:t>
      </w:r>
      <w:r w:rsidR="004449A2">
        <w:rPr>
          <w:rFonts w:cs="Times New Roman"/>
        </w:rPr>
        <w:t>change their ‘lifestyles’</w:t>
      </w:r>
      <w:r w:rsidR="004449A2" w:rsidRPr="00E93E71">
        <w:rPr>
          <w:rFonts w:cs="Times New Roman"/>
        </w:rPr>
        <w:t xml:space="preserve">. </w:t>
      </w:r>
    </w:p>
    <w:p w14:paraId="6E5DFB14" w14:textId="2B52F781" w:rsidR="008F52DC" w:rsidRDefault="009E1D37" w:rsidP="00456B65">
      <w:pPr>
        <w:spacing w:line="276" w:lineRule="auto"/>
        <w:jc w:val="both"/>
        <w:rPr>
          <w:rFonts w:cs="Times New Roman"/>
        </w:rPr>
      </w:pPr>
      <w:r>
        <w:t xml:space="preserve">Our specific </w:t>
      </w:r>
      <w:r w:rsidR="0007029A">
        <w:t>focus</w:t>
      </w:r>
      <w:r w:rsidR="008F52DC">
        <w:t xml:space="preserve"> is</w:t>
      </w:r>
      <w:r w:rsidR="0007029A">
        <w:t xml:space="preserve"> on the</w:t>
      </w:r>
      <w:r w:rsidR="008F52DC">
        <w:t xml:space="preserve"> latest</w:t>
      </w:r>
      <w:r w:rsidR="002B7AAD">
        <w:t xml:space="preserve"> efforts to rekindle enthusiasm for prevention </w:t>
      </w:r>
      <w:r w:rsidR="0007029A">
        <w:t xml:space="preserve">during </w:t>
      </w:r>
      <w:r w:rsidR="002B7AAD">
        <w:t xml:space="preserve">the </w:t>
      </w:r>
      <w:r w:rsidR="008F52DC">
        <w:t xml:space="preserve">recent </w:t>
      </w:r>
      <w:r w:rsidR="002B7AAD">
        <w:t>reform of English health governance</w:t>
      </w:r>
      <w:r w:rsidR="000272B1">
        <w:t xml:space="preserve">, which we have witnessed directly during engagement </w:t>
      </w:r>
      <w:r w:rsidR="000272B1">
        <w:lastRenderedPageBreak/>
        <w:t>with policy actors.</w:t>
      </w:r>
      <w:r w:rsidR="00A642DA">
        <w:t xml:space="preserve"> </w:t>
      </w:r>
      <w:r>
        <w:t>These r</w:t>
      </w:r>
      <w:r w:rsidR="00A642DA">
        <w:t xml:space="preserve">eforms </w:t>
      </w:r>
      <w:r w:rsidR="0007029A">
        <w:t xml:space="preserve">combine formal </w:t>
      </w:r>
      <w:r w:rsidR="00A642DA">
        <w:t>ways</w:t>
      </w:r>
      <w:r w:rsidR="0007029A">
        <w:t xml:space="preserve"> to integrate health and social care organisations </w:t>
      </w:r>
      <w:r w:rsidR="009123AA">
        <w:t>–</w:t>
      </w:r>
      <w:r w:rsidR="004C5966">
        <w:t xml:space="preserve"> </w:t>
      </w:r>
      <w:r w:rsidR="009123AA">
        <w:t>known as</w:t>
      </w:r>
      <w:r w:rsidR="004C5966">
        <w:t xml:space="preserve"> </w:t>
      </w:r>
      <w:r w:rsidR="004C5966" w:rsidRPr="00E93E71">
        <w:rPr>
          <w:rFonts w:cs="Times New Roman"/>
        </w:rPr>
        <w:t>Integrated Care Systems</w:t>
      </w:r>
      <w:r w:rsidR="004C5966">
        <w:rPr>
          <w:rFonts w:cs="Times New Roman"/>
        </w:rPr>
        <w:t>,</w:t>
      </w:r>
      <w:r w:rsidR="009123AA">
        <w:rPr>
          <w:rFonts w:cs="Times New Roman"/>
        </w:rPr>
        <w:t xml:space="preserve"> or</w:t>
      </w:r>
      <w:r w:rsidR="004C5966">
        <w:rPr>
          <w:rFonts w:cs="Times New Roman"/>
        </w:rPr>
        <w:t xml:space="preserve"> ICSs - </w:t>
      </w:r>
      <w:r w:rsidR="0007029A">
        <w:t>and encourage them to prioritise prevention</w:t>
      </w:r>
      <w:r w:rsidR="004C5966">
        <w:t>, backed by reviews warning about the consequences of business as usual (e.g. see NHS England, 2014; Hewitt, 2023)</w:t>
      </w:r>
      <w:r w:rsidR="002B7AAD">
        <w:t xml:space="preserve">. </w:t>
      </w:r>
      <w:r w:rsidR="004C5966" w:rsidRPr="00E93E71">
        <w:rPr>
          <w:rFonts w:cs="Times New Roman"/>
        </w:rPr>
        <w:t xml:space="preserve">Once again, </w:t>
      </w:r>
      <w:r w:rsidR="00A642DA">
        <w:rPr>
          <w:rFonts w:cs="Times New Roman"/>
        </w:rPr>
        <w:t>many</w:t>
      </w:r>
      <w:r w:rsidR="004C5966" w:rsidRPr="00E93E71">
        <w:rPr>
          <w:rFonts w:cs="Times New Roman"/>
        </w:rPr>
        <w:t xml:space="preserve"> powerful actors and organisations are affirming their support for the idea of preventive health</w:t>
      </w:r>
      <w:r w:rsidR="009123AA">
        <w:rPr>
          <w:rFonts w:cs="Times New Roman"/>
        </w:rPr>
        <w:t xml:space="preserve"> across England</w:t>
      </w:r>
      <w:r w:rsidR="004C5966" w:rsidRPr="00E93E71">
        <w:rPr>
          <w:rFonts w:cs="Times New Roman"/>
        </w:rPr>
        <w:t>.</w:t>
      </w:r>
    </w:p>
    <w:p w14:paraId="4B2A232F" w14:textId="53FB6BD1" w:rsidR="00456B65" w:rsidRDefault="00EB623D" w:rsidP="00C42A4D">
      <w:pPr>
        <w:spacing w:line="276" w:lineRule="auto"/>
        <w:jc w:val="both"/>
      </w:pPr>
      <w:r>
        <w:rPr>
          <w:rFonts w:cs="Times New Roman"/>
        </w:rPr>
        <w:t xml:space="preserve">Our stylised account </w:t>
      </w:r>
      <w:r>
        <w:t>draws on insights from eight focus groups that Boswell and Cairney convened with 61 policy actors involved across different ICSs (in cooperation with the NHS Confederation).</w:t>
      </w:r>
      <w:r w:rsidR="00456B65">
        <w:t xml:space="preserve">. In the focus groups, we asked participants to reflect on </w:t>
      </w:r>
      <w:r w:rsidR="009123AA">
        <w:t xml:space="preserve">their experiences and perceptions of trying to promote </w:t>
      </w:r>
      <w:r w:rsidR="000272B1">
        <w:t>prevention</w:t>
      </w:r>
      <w:r w:rsidR="009123AA">
        <w:t xml:space="preserve">, with a focus on </w:t>
      </w:r>
      <w:r w:rsidR="00456B65">
        <w:t xml:space="preserve">‘whether this time feels any different’. </w:t>
      </w:r>
      <w:r w:rsidR="008F52DC">
        <w:t>We use their reflections on dealing with ambiguity to illuminate our claims</w:t>
      </w:r>
      <w:r w:rsidR="000272B1">
        <w:t xml:space="preserve"> </w:t>
      </w:r>
      <w:r w:rsidR="009E1D37">
        <w:t>(</w:t>
      </w:r>
      <w:r w:rsidR="000272B1">
        <w:t>for further background, see</w:t>
      </w:r>
      <w:r w:rsidR="009E1D37">
        <w:t xml:space="preserve"> NHS Confederation, 2024</w:t>
      </w:r>
      <w:r w:rsidR="000C285E">
        <w:t xml:space="preserve"> or Cairney et al. 2025</w:t>
      </w:r>
      <w:r w:rsidR="009E1D37">
        <w:t>).</w:t>
      </w:r>
      <w:r w:rsidR="0009667B">
        <w:t xml:space="preserve"> </w:t>
      </w:r>
    </w:p>
    <w:p w14:paraId="48BA891C" w14:textId="6F8D09D0" w:rsidR="00456B65" w:rsidRPr="00B45167" w:rsidRDefault="00456B65" w:rsidP="00C42A4D">
      <w:pPr>
        <w:spacing w:line="276" w:lineRule="auto"/>
        <w:jc w:val="both"/>
        <w:rPr>
          <w:b/>
          <w:bCs/>
          <w:sz w:val="32"/>
          <w:szCs w:val="32"/>
        </w:rPr>
      </w:pPr>
      <w:r w:rsidRPr="004C1689">
        <w:rPr>
          <w:b/>
          <w:bCs/>
          <w:sz w:val="32"/>
          <w:szCs w:val="32"/>
        </w:rPr>
        <w:t xml:space="preserve">Three </w:t>
      </w:r>
      <w:r>
        <w:rPr>
          <w:b/>
          <w:bCs/>
          <w:sz w:val="32"/>
          <w:szCs w:val="32"/>
        </w:rPr>
        <w:t xml:space="preserve">practical </w:t>
      </w:r>
      <w:r w:rsidRPr="004C1689">
        <w:rPr>
          <w:b/>
          <w:bCs/>
          <w:sz w:val="32"/>
          <w:szCs w:val="32"/>
        </w:rPr>
        <w:t>responses to buzzword</w:t>
      </w:r>
      <w:r>
        <w:rPr>
          <w:b/>
          <w:bCs/>
          <w:sz w:val="32"/>
          <w:szCs w:val="32"/>
        </w:rPr>
        <w:t xml:space="preserve"> ambiguity</w:t>
      </w:r>
    </w:p>
    <w:p w14:paraId="6565CA21" w14:textId="1AA3B1F2" w:rsidR="00B83BB2" w:rsidRDefault="000272B1" w:rsidP="00C42A4D">
      <w:pPr>
        <w:spacing w:line="276" w:lineRule="auto"/>
        <w:jc w:val="both"/>
      </w:pPr>
      <w:r>
        <w:t>B</w:t>
      </w:r>
      <w:r w:rsidR="00CF320B" w:rsidRPr="004C1689">
        <w:t>uzzword</w:t>
      </w:r>
      <w:r w:rsidR="004B1BF6">
        <w:t>s</w:t>
      </w:r>
      <w:r w:rsidR="00CF320B">
        <w:t xml:space="preserve"> </w:t>
      </w:r>
      <w:r w:rsidR="00A9430F" w:rsidRPr="004C1689">
        <w:t xml:space="preserve">generate a dilemma for policy actors who </w:t>
      </w:r>
      <w:r w:rsidR="00CF320B">
        <w:t>need to act in the face of high uncertainty and ambiguity (Zahariadis, 2003)</w:t>
      </w:r>
      <w:r w:rsidR="00A9430F">
        <w:t xml:space="preserve">. </w:t>
      </w:r>
      <w:r w:rsidR="00B83BB2">
        <w:t>Our conceptual framework</w:t>
      </w:r>
      <w:r w:rsidR="00807E9E">
        <w:t xml:space="preserve">, summarised in Table 1, </w:t>
      </w:r>
      <w:r w:rsidR="00B83BB2">
        <w:t xml:space="preserve">distinguishes between </w:t>
      </w:r>
      <w:r w:rsidR="00807E9E">
        <w:t xml:space="preserve">three </w:t>
      </w:r>
      <w:r w:rsidR="00B83BB2">
        <w:t>potential practical responses that policy actors may make to buzzword ambiguity</w:t>
      </w:r>
      <w:r w:rsidR="00807E9E">
        <w:t xml:space="preserve"> (building on work by </w:t>
      </w:r>
      <w:r w:rsidR="00B83BB2">
        <w:t>Durose</w:t>
      </w:r>
      <w:r w:rsidR="00807E9E">
        <w:t xml:space="preserve"> et al, </w:t>
      </w:r>
      <w:r w:rsidR="00B83BB2">
        <w:t>2022</w:t>
      </w:r>
      <w:r w:rsidR="00807E9E">
        <w:t xml:space="preserve">; </w:t>
      </w:r>
      <w:r w:rsidR="000F7F51">
        <w:t>Durose and Lowndes</w:t>
      </w:r>
      <w:r w:rsidR="00807E9E">
        <w:t xml:space="preserve">, </w:t>
      </w:r>
      <w:r w:rsidR="000F7F51">
        <w:t>2021)</w:t>
      </w:r>
      <w:r w:rsidR="00807E9E">
        <w:t>:</w:t>
      </w:r>
      <w:r w:rsidR="000F7F51">
        <w:t xml:space="preserve"> </w:t>
      </w:r>
    </w:p>
    <w:p w14:paraId="40E9D417" w14:textId="004605EC" w:rsidR="00D30365" w:rsidRDefault="00FE0E83" w:rsidP="00C42A4D">
      <w:pPr>
        <w:pStyle w:val="ListParagraph"/>
        <w:numPr>
          <w:ilvl w:val="0"/>
          <w:numId w:val="12"/>
        </w:numPr>
        <w:spacing w:line="276" w:lineRule="auto"/>
        <w:jc w:val="both"/>
      </w:pPr>
      <w:r w:rsidRPr="00CF320B">
        <w:rPr>
          <w:i/>
          <w:iCs/>
        </w:rPr>
        <w:t>Define</w:t>
      </w:r>
      <w:r w:rsidR="00CF320B">
        <w:t>. The main aim</w:t>
      </w:r>
      <w:r w:rsidR="00DD1538">
        <w:t xml:space="preserve"> </w:t>
      </w:r>
      <w:r w:rsidR="00CF320B">
        <w:t>is to clarify</w:t>
      </w:r>
      <w:r>
        <w:t xml:space="preserve"> </w:t>
      </w:r>
      <w:r w:rsidR="00CF320B">
        <w:t>through</w:t>
      </w:r>
      <w:r>
        <w:t xml:space="preserve"> instruction </w:t>
      </w:r>
      <w:r w:rsidR="00CF320B">
        <w:t>and</w:t>
      </w:r>
      <w:r w:rsidR="001D366E">
        <w:t xml:space="preserve"> prescription</w:t>
      </w:r>
      <w:r w:rsidR="00CF320B">
        <w:t xml:space="preserve"> by an authoritative policymaker</w:t>
      </w:r>
      <w:r w:rsidR="00D30365">
        <w:t>. Here,</w:t>
      </w:r>
      <w:r w:rsidR="009C6617">
        <w:t xml:space="preserve"> ambiguity is to be</w:t>
      </w:r>
      <w:r>
        <w:t xml:space="preserve"> ‘work</w:t>
      </w:r>
      <w:r w:rsidR="009C6617">
        <w:t>ed</w:t>
      </w:r>
      <w:r>
        <w:t xml:space="preserve"> out’ </w:t>
      </w:r>
      <w:r w:rsidR="00CF320B">
        <w:t>or</w:t>
      </w:r>
      <w:r>
        <w:t xml:space="preserve"> </w:t>
      </w:r>
      <w:r w:rsidR="00D30365">
        <w:t>minimised</w:t>
      </w:r>
      <w:r>
        <w:t xml:space="preserve">. </w:t>
      </w:r>
    </w:p>
    <w:p w14:paraId="5DD97D53" w14:textId="4C401AD5" w:rsidR="00D30365" w:rsidRPr="00C42A4D" w:rsidRDefault="00FE0E83" w:rsidP="00C42A4D">
      <w:pPr>
        <w:pStyle w:val="ListParagraph"/>
        <w:numPr>
          <w:ilvl w:val="0"/>
          <w:numId w:val="12"/>
        </w:numPr>
        <w:spacing w:line="276" w:lineRule="auto"/>
        <w:jc w:val="both"/>
        <w:rPr>
          <w:i/>
          <w:iCs/>
        </w:rPr>
      </w:pPr>
      <w:r w:rsidRPr="00CF320B">
        <w:rPr>
          <w:i/>
          <w:iCs/>
        </w:rPr>
        <w:t>Deliberate</w:t>
      </w:r>
      <w:r w:rsidR="00CF320B">
        <w:t>. The main aim is</w:t>
      </w:r>
      <w:r>
        <w:t xml:space="preserve"> </w:t>
      </w:r>
      <w:r w:rsidR="00CF320B">
        <w:t>to work together to</w:t>
      </w:r>
      <w:r>
        <w:t xml:space="preserve"> reflect </w:t>
      </w:r>
      <w:r w:rsidR="00CF320B">
        <w:t>and</w:t>
      </w:r>
      <w:r>
        <w:t xml:space="preserve"> </w:t>
      </w:r>
      <w:r w:rsidR="00D30365">
        <w:t>generate</w:t>
      </w:r>
      <w:r w:rsidR="009C6617">
        <w:t xml:space="preserve"> shared meaning</w:t>
      </w:r>
      <w:r w:rsidR="00D30365">
        <w:t>. Here,</w:t>
      </w:r>
      <w:r w:rsidR="009C6617">
        <w:t xml:space="preserve"> ambiguity is to be ‘worked through’ </w:t>
      </w:r>
      <w:r w:rsidR="00CF320B">
        <w:t>or</w:t>
      </w:r>
      <w:r w:rsidR="009C6617">
        <w:t xml:space="preserve"> navigated.</w:t>
      </w:r>
    </w:p>
    <w:p w14:paraId="36196723" w14:textId="105186DE" w:rsidR="00FE0E83" w:rsidRDefault="00FE0E83" w:rsidP="00C42A4D">
      <w:pPr>
        <w:pStyle w:val="ListParagraph"/>
        <w:numPr>
          <w:ilvl w:val="0"/>
          <w:numId w:val="12"/>
        </w:numPr>
        <w:spacing w:line="276" w:lineRule="auto"/>
        <w:jc w:val="both"/>
      </w:pPr>
      <w:r w:rsidRPr="00CF320B">
        <w:rPr>
          <w:i/>
          <w:iCs/>
        </w:rPr>
        <w:t>Do</w:t>
      </w:r>
      <w:r w:rsidR="00CF320B">
        <w:t xml:space="preserve">. The main aim is to get on with the day job </w:t>
      </w:r>
      <w:r w:rsidR="009C6617">
        <w:t xml:space="preserve">to </w:t>
      </w:r>
      <w:r w:rsidR="00D30365">
        <w:t xml:space="preserve">generate </w:t>
      </w:r>
      <w:r w:rsidR="001D366E">
        <w:t>meaning in use</w:t>
      </w:r>
      <w:r w:rsidR="00D30365">
        <w:t>. Here</w:t>
      </w:r>
      <w:r w:rsidR="00981476">
        <w:t>,</w:t>
      </w:r>
      <w:r w:rsidR="009C6617">
        <w:t xml:space="preserve"> ambiguity is to be ‘worked with’ </w:t>
      </w:r>
      <w:r w:rsidR="00CF320B">
        <w:t>or</w:t>
      </w:r>
      <w:r w:rsidR="001D366E">
        <w:t xml:space="preserve"> accommodated</w:t>
      </w:r>
      <w:r w:rsidR="00D30365">
        <w:t xml:space="preserve">. </w:t>
      </w:r>
    </w:p>
    <w:p w14:paraId="133C58CD" w14:textId="77777777" w:rsidR="009B3636" w:rsidRDefault="009B3636" w:rsidP="00C42A4D">
      <w:pPr>
        <w:spacing w:line="276" w:lineRule="auto"/>
        <w:jc w:val="both"/>
        <w:rPr>
          <w:highlight w:val="yellow"/>
        </w:rPr>
        <w:sectPr w:rsidR="009B3636" w:rsidSect="009B3636">
          <w:footerReference w:type="default" r:id="rId8"/>
          <w:pgSz w:w="11906" w:h="16838"/>
          <w:pgMar w:top="1440" w:right="1440" w:bottom="1440" w:left="1440" w:header="709" w:footer="709" w:gutter="0"/>
          <w:cols w:space="708"/>
          <w:docGrid w:linePitch="360"/>
        </w:sectPr>
      </w:pPr>
    </w:p>
    <w:p w14:paraId="4351A518" w14:textId="19E8A842" w:rsidR="003D05C1" w:rsidRPr="00C42A4D" w:rsidRDefault="004F2F91" w:rsidP="00C42A4D">
      <w:pPr>
        <w:pStyle w:val="BoxorTable"/>
      </w:pPr>
      <w:r w:rsidRPr="00C2349D">
        <w:lastRenderedPageBreak/>
        <w:t xml:space="preserve">Table </w:t>
      </w:r>
      <w:r w:rsidR="00E35BD3">
        <w:t>One</w:t>
      </w:r>
      <w:r w:rsidRPr="00C2349D">
        <w:t xml:space="preserve">: Three </w:t>
      </w:r>
      <w:r w:rsidRPr="00C42A4D">
        <w:t>responses to buzzwords</w:t>
      </w:r>
    </w:p>
    <w:tbl>
      <w:tblPr>
        <w:tblStyle w:val="TableGrid"/>
        <w:tblW w:w="14029" w:type="dxa"/>
        <w:tblLook w:val="04A0" w:firstRow="1" w:lastRow="0" w:firstColumn="1" w:lastColumn="0" w:noHBand="0" w:noVBand="1"/>
      </w:tblPr>
      <w:tblGrid>
        <w:gridCol w:w="1337"/>
        <w:gridCol w:w="1251"/>
        <w:gridCol w:w="1440"/>
        <w:gridCol w:w="1695"/>
        <w:gridCol w:w="3770"/>
        <w:gridCol w:w="4536"/>
      </w:tblGrid>
      <w:tr w:rsidR="00A41FE1" w:rsidRPr="00C42A4D" w14:paraId="0490E7D2" w14:textId="77777777" w:rsidTr="009C7335">
        <w:tc>
          <w:tcPr>
            <w:tcW w:w="1337" w:type="dxa"/>
            <w:vMerge w:val="restart"/>
          </w:tcPr>
          <w:p w14:paraId="134335C8" w14:textId="2E8A9DA3" w:rsidR="00A41FE1" w:rsidRPr="00C42A4D" w:rsidRDefault="00A41FE1" w:rsidP="004B1BF6">
            <w:pPr>
              <w:rPr>
                <w:b/>
                <w:bCs/>
                <w:sz w:val="22"/>
                <w:szCs w:val="22"/>
              </w:rPr>
            </w:pPr>
            <w:r w:rsidRPr="00C42A4D">
              <w:rPr>
                <w:b/>
                <w:bCs/>
                <w:sz w:val="22"/>
                <w:szCs w:val="22"/>
              </w:rPr>
              <w:t>Response</w:t>
            </w:r>
          </w:p>
        </w:tc>
        <w:tc>
          <w:tcPr>
            <w:tcW w:w="1251" w:type="dxa"/>
            <w:vMerge w:val="restart"/>
          </w:tcPr>
          <w:p w14:paraId="1B1F1F13" w14:textId="62C18304" w:rsidR="00A41FE1" w:rsidRPr="00C42A4D" w:rsidRDefault="00A41FE1" w:rsidP="004B1BF6">
            <w:pPr>
              <w:rPr>
                <w:b/>
                <w:bCs/>
                <w:sz w:val="22"/>
                <w:szCs w:val="22"/>
              </w:rPr>
            </w:pPr>
            <w:r w:rsidRPr="00C42A4D">
              <w:rPr>
                <w:b/>
                <w:bCs/>
                <w:sz w:val="22"/>
                <w:szCs w:val="22"/>
              </w:rPr>
              <w:t>Strategy</w:t>
            </w:r>
          </w:p>
        </w:tc>
        <w:tc>
          <w:tcPr>
            <w:tcW w:w="1440" w:type="dxa"/>
            <w:vMerge w:val="restart"/>
          </w:tcPr>
          <w:p w14:paraId="13F7D42D" w14:textId="7FE6EF5D" w:rsidR="00A41FE1" w:rsidRPr="00C42A4D" w:rsidRDefault="00A41FE1" w:rsidP="004B1BF6">
            <w:pPr>
              <w:rPr>
                <w:b/>
                <w:bCs/>
                <w:sz w:val="22"/>
                <w:szCs w:val="22"/>
              </w:rPr>
            </w:pPr>
            <w:r w:rsidRPr="00C42A4D">
              <w:rPr>
                <w:b/>
                <w:bCs/>
                <w:sz w:val="22"/>
                <w:szCs w:val="22"/>
              </w:rPr>
              <w:t>Aim</w:t>
            </w:r>
          </w:p>
        </w:tc>
        <w:tc>
          <w:tcPr>
            <w:tcW w:w="1695" w:type="dxa"/>
            <w:vMerge w:val="restart"/>
          </w:tcPr>
          <w:p w14:paraId="259385A3" w14:textId="42C4F796" w:rsidR="00A41FE1" w:rsidRPr="00C42A4D" w:rsidRDefault="00A41FE1" w:rsidP="004B1BF6">
            <w:pPr>
              <w:rPr>
                <w:b/>
                <w:bCs/>
                <w:sz w:val="22"/>
                <w:szCs w:val="22"/>
              </w:rPr>
            </w:pPr>
            <w:r w:rsidRPr="00C42A4D">
              <w:rPr>
                <w:b/>
                <w:bCs/>
                <w:sz w:val="22"/>
                <w:szCs w:val="22"/>
              </w:rPr>
              <w:t>Perspective on ambiguity</w:t>
            </w:r>
          </w:p>
        </w:tc>
        <w:tc>
          <w:tcPr>
            <w:tcW w:w="8306" w:type="dxa"/>
            <w:gridSpan w:val="2"/>
          </w:tcPr>
          <w:p w14:paraId="200F1D79" w14:textId="2DA548CB" w:rsidR="00A41FE1" w:rsidRPr="00C42A4D" w:rsidRDefault="00A41FE1" w:rsidP="004B1BF6">
            <w:pPr>
              <w:jc w:val="center"/>
              <w:rPr>
                <w:b/>
                <w:bCs/>
                <w:sz w:val="22"/>
                <w:szCs w:val="22"/>
              </w:rPr>
            </w:pPr>
            <w:r w:rsidRPr="00C42A4D">
              <w:rPr>
                <w:b/>
                <w:bCs/>
                <w:sz w:val="22"/>
                <w:szCs w:val="22"/>
              </w:rPr>
              <w:t>Implications for practice</w:t>
            </w:r>
          </w:p>
        </w:tc>
      </w:tr>
      <w:tr w:rsidR="00A41FE1" w:rsidRPr="00C42A4D" w14:paraId="6B827F03" w14:textId="2C1C6C97" w:rsidTr="009C7335">
        <w:tc>
          <w:tcPr>
            <w:tcW w:w="1337" w:type="dxa"/>
            <w:vMerge/>
          </w:tcPr>
          <w:p w14:paraId="751815DA" w14:textId="481D7E7F" w:rsidR="00A41FE1" w:rsidRPr="00C42A4D" w:rsidRDefault="00A41FE1" w:rsidP="004B1BF6">
            <w:pPr>
              <w:rPr>
                <w:b/>
                <w:bCs/>
                <w:sz w:val="22"/>
                <w:szCs w:val="22"/>
              </w:rPr>
            </w:pPr>
          </w:p>
        </w:tc>
        <w:tc>
          <w:tcPr>
            <w:tcW w:w="1251" w:type="dxa"/>
            <w:vMerge/>
          </w:tcPr>
          <w:p w14:paraId="4B54F52E" w14:textId="3E1FBDCF" w:rsidR="00A41FE1" w:rsidRPr="00C42A4D" w:rsidRDefault="00A41FE1" w:rsidP="004B1BF6">
            <w:pPr>
              <w:rPr>
                <w:b/>
                <w:bCs/>
                <w:sz w:val="22"/>
                <w:szCs w:val="22"/>
              </w:rPr>
            </w:pPr>
          </w:p>
        </w:tc>
        <w:tc>
          <w:tcPr>
            <w:tcW w:w="1440" w:type="dxa"/>
            <w:vMerge/>
          </w:tcPr>
          <w:p w14:paraId="6A544C68" w14:textId="4440AAD8" w:rsidR="00A41FE1" w:rsidRPr="00C42A4D" w:rsidRDefault="00A41FE1" w:rsidP="004B1BF6">
            <w:pPr>
              <w:rPr>
                <w:b/>
                <w:bCs/>
                <w:sz w:val="22"/>
                <w:szCs w:val="22"/>
              </w:rPr>
            </w:pPr>
          </w:p>
        </w:tc>
        <w:tc>
          <w:tcPr>
            <w:tcW w:w="1695" w:type="dxa"/>
            <w:vMerge/>
          </w:tcPr>
          <w:p w14:paraId="22D549F2" w14:textId="164DD3D9" w:rsidR="00A41FE1" w:rsidRPr="00C42A4D" w:rsidRDefault="00A41FE1" w:rsidP="004B1BF6">
            <w:pPr>
              <w:rPr>
                <w:b/>
                <w:bCs/>
                <w:sz w:val="22"/>
                <w:szCs w:val="22"/>
              </w:rPr>
            </w:pPr>
          </w:p>
        </w:tc>
        <w:tc>
          <w:tcPr>
            <w:tcW w:w="3770" w:type="dxa"/>
          </w:tcPr>
          <w:p w14:paraId="091BF424" w14:textId="512C70E0" w:rsidR="00A41FE1" w:rsidRPr="00C42A4D" w:rsidRDefault="00A41FE1" w:rsidP="004B1BF6">
            <w:pPr>
              <w:rPr>
                <w:b/>
                <w:bCs/>
                <w:sz w:val="22"/>
                <w:szCs w:val="22"/>
              </w:rPr>
            </w:pPr>
            <w:r w:rsidRPr="00C42A4D">
              <w:rPr>
                <w:b/>
                <w:bCs/>
                <w:sz w:val="22"/>
                <w:szCs w:val="22"/>
              </w:rPr>
              <w:t>Strengths/ pros</w:t>
            </w:r>
          </w:p>
        </w:tc>
        <w:tc>
          <w:tcPr>
            <w:tcW w:w="4536" w:type="dxa"/>
          </w:tcPr>
          <w:p w14:paraId="7E8DF109" w14:textId="65C4C637" w:rsidR="00A41FE1" w:rsidRPr="00C42A4D" w:rsidRDefault="00A41FE1" w:rsidP="004B1BF6">
            <w:pPr>
              <w:rPr>
                <w:b/>
                <w:bCs/>
                <w:sz w:val="22"/>
                <w:szCs w:val="22"/>
              </w:rPr>
            </w:pPr>
            <w:r w:rsidRPr="00C42A4D">
              <w:rPr>
                <w:b/>
                <w:bCs/>
                <w:sz w:val="22"/>
                <w:szCs w:val="22"/>
              </w:rPr>
              <w:t xml:space="preserve">Weaknesses/ cons </w:t>
            </w:r>
          </w:p>
        </w:tc>
      </w:tr>
      <w:tr w:rsidR="00A41FE1" w:rsidRPr="00C42A4D" w14:paraId="5AABF425" w14:textId="6C2B283B" w:rsidTr="009C7335">
        <w:tc>
          <w:tcPr>
            <w:tcW w:w="1337" w:type="dxa"/>
          </w:tcPr>
          <w:p w14:paraId="084F757A" w14:textId="25E9E86F" w:rsidR="00A41FE1" w:rsidRPr="00C42A4D" w:rsidRDefault="00A41FE1" w:rsidP="004B1BF6">
            <w:pPr>
              <w:rPr>
                <w:sz w:val="22"/>
                <w:szCs w:val="22"/>
              </w:rPr>
            </w:pPr>
            <w:r w:rsidRPr="00C42A4D">
              <w:rPr>
                <w:sz w:val="22"/>
                <w:szCs w:val="22"/>
              </w:rPr>
              <w:t>Define</w:t>
            </w:r>
          </w:p>
        </w:tc>
        <w:tc>
          <w:tcPr>
            <w:tcW w:w="1251" w:type="dxa"/>
          </w:tcPr>
          <w:p w14:paraId="7E283C77" w14:textId="783443C3" w:rsidR="00A41FE1" w:rsidRPr="00C42A4D" w:rsidRDefault="00A41FE1" w:rsidP="004B1BF6">
            <w:pPr>
              <w:rPr>
                <w:sz w:val="22"/>
                <w:szCs w:val="22"/>
              </w:rPr>
            </w:pPr>
            <w:r w:rsidRPr="00C42A4D">
              <w:rPr>
                <w:sz w:val="22"/>
                <w:szCs w:val="22"/>
              </w:rPr>
              <w:t>Instruction</w:t>
            </w:r>
          </w:p>
          <w:p w14:paraId="091755E6" w14:textId="380530DF" w:rsidR="00A41FE1" w:rsidRPr="00C42A4D" w:rsidRDefault="00A41FE1" w:rsidP="004B1BF6">
            <w:pPr>
              <w:rPr>
                <w:sz w:val="22"/>
                <w:szCs w:val="22"/>
              </w:rPr>
            </w:pPr>
          </w:p>
        </w:tc>
        <w:tc>
          <w:tcPr>
            <w:tcW w:w="1440" w:type="dxa"/>
          </w:tcPr>
          <w:p w14:paraId="1AB453A0" w14:textId="32BD00D5" w:rsidR="00A41FE1" w:rsidRPr="00C42A4D" w:rsidRDefault="00A41FE1" w:rsidP="004B1BF6">
            <w:pPr>
              <w:rPr>
                <w:sz w:val="22"/>
                <w:szCs w:val="22"/>
              </w:rPr>
            </w:pPr>
            <w:r w:rsidRPr="00C42A4D">
              <w:rPr>
                <w:sz w:val="22"/>
                <w:szCs w:val="22"/>
              </w:rPr>
              <w:t>Meaning through prescription</w:t>
            </w:r>
          </w:p>
        </w:tc>
        <w:tc>
          <w:tcPr>
            <w:tcW w:w="1695" w:type="dxa"/>
          </w:tcPr>
          <w:p w14:paraId="6E36B518" w14:textId="73E73892" w:rsidR="00A41FE1" w:rsidRPr="00C42A4D" w:rsidRDefault="00A41FE1" w:rsidP="004B1BF6">
            <w:pPr>
              <w:rPr>
                <w:sz w:val="22"/>
                <w:szCs w:val="22"/>
              </w:rPr>
            </w:pPr>
            <w:r w:rsidRPr="00C42A4D">
              <w:rPr>
                <w:sz w:val="22"/>
                <w:szCs w:val="22"/>
              </w:rPr>
              <w:t>To be ‘worked out’ (minimised)</w:t>
            </w:r>
          </w:p>
          <w:p w14:paraId="0AC5A086" w14:textId="279D31E6" w:rsidR="00A41FE1" w:rsidRPr="00C42A4D" w:rsidRDefault="00A41FE1" w:rsidP="004B1BF6">
            <w:pPr>
              <w:rPr>
                <w:sz w:val="22"/>
                <w:szCs w:val="22"/>
              </w:rPr>
            </w:pPr>
          </w:p>
        </w:tc>
        <w:tc>
          <w:tcPr>
            <w:tcW w:w="3770" w:type="dxa"/>
          </w:tcPr>
          <w:p w14:paraId="4A08BF44" w14:textId="49D1FE82" w:rsidR="00A41FE1" w:rsidRDefault="00A41FE1" w:rsidP="004B1BF6">
            <w:pPr>
              <w:rPr>
                <w:sz w:val="22"/>
                <w:szCs w:val="22"/>
              </w:rPr>
            </w:pPr>
            <w:r w:rsidRPr="00C42A4D">
              <w:rPr>
                <w:sz w:val="22"/>
                <w:szCs w:val="22"/>
              </w:rPr>
              <w:t>Offers simplicity</w:t>
            </w:r>
            <w:r>
              <w:rPr>
                <w:sz w:val="22"/>
                <w:szCs w:val="22"/>
              </w:rPr>
              <w:t>,</w:t>
            </w:r>
            <w:r w:rsidRPr="00C42A4D">
              <w:rPr>
                <w:sz w:val="22"/>
                <w:szCs w:val="22"/>
              </w:rPr>
              <w:t xml:space="preserve"> certainty</w:t>
            </w:r>
            <w:r>
              <w:rPr>
                <w:sz w:val="22"/>
                <w:szCs w:val="22"/>
              </w:rPr>
              <w:t>, lends credibility</w:t>
            </w:r>
            <w:r w:rsidRPr="00C42A4D">
              <w:rPr>
                <w:sz w:val="22"/>
                <w:szCs w:val="22"/>
              </w:rPr>
              <w:t xml:space="preserve"> </w:t>
            </w:r>
          </w:p>
          <w:p w14:paraId="685E68A4" w14:textId="77777777" w:rsidR="00CE64D2" w:rsidRPr="00C42A4D" w:rsidRDefault="00CE64D2" w:rsidP="004B1BF6">
            <w:pPr>
              <w:rPr>
                <w:sz w:val="22"/>
                <w:szCs w:val="22"/>
              </w:rPr>
            </w:pPr>
          </w:p>
          <w:p w14:paraId="06E89ABB" w14:textId="181D918D" w:rsidR="00A41FE1" w:rsidRPr="00C42A4D" w:rsidRDefault="00A41FE1" w:rsidP="004B1BF6">
            <w:pPr>
              <w:rPr>
                <w:sz w:val="22"/>
                <w:szCs w:val="22"/>
              </w:rPr>
            </w:pPr>
            <w:r w:rsidRPr="00C42A4D">
              <w:rPr>
                <w:sz w:val="22"/>
                <w:szCs w:val="22"/>
              </w:rPr>
              <w:t xml:space="preserve">Aids communication </w:t>
            </w:r>
          </w:p>
          <w:p w14:paraId="22132863" w14:textId="77777777" w:rsidR="00A41FE1" w:rsidRPr="00C42A4D" w:rsidRDefault="00A41FE1" w:rsidP="004B1BF6">
            <w:pPr>
              <w:rPr>
                <w:sz w:val="22"/>
                <w:szCs w:val="22"/>
              </w:rPr>
            </w:pPr>
          </w:p>
          <w:p w14:paraId="4CEEBE36" w14:textId="203BDA95" w:rsidR="00A41FE1" w:rsidRPr="00C42A4D" w:rsidRDefault="00A41FE1" w:rsidP="004B1BF6">
            <w:pPr>
              <w:rPr>
                <w:sz w:val="22"/>
                <w:szCs w:val="22"/>
              </w:rPr>
            </w:pPr>
            <w:r w:rsidRPr="00C42A4D">
              <w:rPr>
                <w:sz w:val="22"/>
                <w:szCs w:val="22"/>
              </w:rPr>
              <w:t>Supports transparency and replicability</w:t>
            </w:r>
          </w:p>
          <w:p w14:paraId="4316B2C6" w14:textId="77777777" w:rsidR="00A41FE1" w:rsidRPr="00C42A4D" w:rsidRDefault="00A41FE1" w:rsidP="004B1BF6">
            <w:pPr>
              <w:rPr>
                <w:sz w:val="22"/>
                <w:szCs w:val="22"/>
              </w:rPr>
            </w:pPr>
          </w:p>
          <w:p w14:paraId="6F895EE3" w14:textId="607B61BB" w:rsidR="00A41FE1" w:rsidRPr="00C42A4D" w:rsidRDefault="00A41FE1" w:rsidP="004B1BF6">
            <w:pPr>
              <w:rPr>
                <w:sz w:val="22"/>
                <w:szCs w:val="22"/>
              </w:rPr>
            </w:pPr>
            <w:r w:rsidRPr="00C42A4D">
              <w:rPr>
                <w:sz w:val="22"/>
                <w:szCs w:val="22"/>
              </w:rPr>
              <w:t xml:space="preserve">Enables measurement, which may aid take up </w:t>
            </w:r>
          </w:p>
          <w:p w14:paraId="77BFD538" w14:textId="1499C294" w:rsidR="00A41FE1" w:rsidRPr="00C42A4D" w:rsidRDefault="00A41FE1" w:rsidP="004B1BF6">
            <w:pPr>
              <w:rPr>
                <w:sz w:val="22"/>
                <w:szCs w:val="22"/>
              </w:rPr>
            </w:pPr>
          </w:p>
        </w:tc>
        <w:tc>
          <w:tcPr>
            <w:tcW w:w="4536" w:type="dxa"/>
          </w:tcPr>
          <w:p w14:paraId="7335DF70" w14:textId="77777777" w:rsidR="00A41FE1" w:rsidRPr="00C42A4D" w:rsidRDefault="00A41FE1" w:rsidP="004B1BF6">
            <w:pPr>
              <w:rPr>
                <w:sz w:val="22"/>
                <w:szCs w:val="22"/>
              </w:rPr>
            </w:pPr>
            <w:r w:rsidRPr="00C42A4D">
              <w:rPr>
                <w:sz w:val="22"/>
                <w:szCs w:val="22"/>
              </w:rPr>
              <w:t>Necessary but not sufficient condition; sometimes not even necessary for adoption</w:t>
            </w:r>
          </w:p>
          <w:p w14:paraId="7B3B4B9C" w14:textId="77777777" w:rsidR="00A41FE1" w:rsidRPr="00C42A4D" w:rsidRDefault="00A41FE1" w:rsidP="004B1BF6">
            <w:pPr>
              <w:rPr>
                <w:sz w:val="22"/>
                <w:szCs w:val="22"/>
              </w:rPr>
            </w:pPr>
          </w:p>
          <w:p w14:paraId="5BC7068A" w14:textId="36DC1A8E" w:rsidR="00A41FE1" w:rsidRPr="00C42A4D" w:rsidRDefault="00A41FE1" w:rsidP="004B1BF6">
            <w:pPr>
              <w:rPr>
                <w:sz w:val="22"/>
                <w:szCs w:val="22"/>
              </w:rPr>
            </w:pPr>
            <w:r w:rsidRPr="00C42A4D">
              <w:rPr>
                <w:sz w:val="22"/>
                <w:szCs w:val="22"/>
              </w:rPr>
              <w:t>Hastens ‘demise’ of buzzword e.g. if ossifies meaning</w:t>
            </w:r>
          </w:p>
          <w:p w14:paraId="6C495E87" w14:textId="77777777" w:rsidR="00A41FE1" w:rsidRPr="00C42A4D" w:rsidRDefault="00A41FE1" w:rsidP="004B1BF6">
            <w:pPr>
              <w:rPr>
                <w:sz w:val="22"/>
                <w:szCs w:val="22"/>
              </w:rPr>
            </w:pPr>
          </w:p>
          <w:p w14:paraId="0C7AD564" w14:textId="77777777" w:rsidR="00A41FE1" w:rsidRPr="00C42A4D" w:rsidRDefault="00A41FE1" w:rsidP="004B1BF6">
            <w:pPr>
              <w:rPr>
                <w:sz w:val="22"/>
                <w:szCs w:val="22"/>
              </w:rPr>
            </w:pPr>
            <w:r w:rsidRPr="00C42A4D">
              <w:rPr>
                <w:sz w:val="22"/>
                <w:szCs w:val="22"/>
              </w:rPr>
              <w:t>‘Top down’ centralised approach; not tailored</w:t>
            </w:r>
          </w:p>
          <w:p w14:paraId="6861F3BA" w14:textId="77777777" w:rsidR="00A41FE1" w:rsidRDefault="00A41FE1" w:rsidP="002E1AFB">
            <w:pPr>
              <w:rPr>
                <w:sz w:val="22"/>
                <w:szCs w:val="22"/>
              </w:rPr>
            </w:pPr>
          </w:p>
          <w:p w14:paraId="0480A906" w14:textId="17D7F6F5" w:rsidR="006D5AD6" w:rsidRPr="00C42A4D" w:rsidRDefault="006D5AD6" w:rsidP="002E1AFB">
            <w:pPr>
              <w:rPr>
                <w:sz w:val="22"/>
                <w:szCs w:val="22"/>
              </w:rPr>
            </w:pPr>
            <w:r>
              <w:rPr>
                <w:sz w:val="22"/>
                <w:szCs w:val="22"/>
              </w:rPr>
              <w:t>Sets an impossible bar that results in stalemate or inaction</w:t>
            </w:r>
          </w:p>
        </w:tc>
      </w:tr>
      <w:tr w:rsidR="00A41FE1" w:rsidRPr="00C42A4D" w14:paraId="4E9B8A65" w14:textId="51AB0A7F" w:rsidTr="009C7335">
        <w:tc>
          <w:tcPr>
            <w:tcW w:w="1337" w:type="dxa"/>
          </w:tcPr>
          <w:p w14:paraId="11C20384" w14:textId="553FC3F5" w:rsidR="00A41FE1" w:rsidRPr="00C42A4D" w:rsidRDefault="00A41FE1" w:rsidP="004B1BF6">
            <w:pPr>
              <w:rPr>
                <w:sz w:val="22"/>
                <w:szCs w:val="22"/>
              </w:rPr>
            </w:pPr>
            <w:r w:rsidRPr="00C42A4D">
              <w:rPr>
                <w:sz w:val="22"/>
                <w:szCs w:val="22"/>
              </w:rPr>
              <w:t>Deliberate</w:t>
            </w:r>
          </w:p>
        </w:tc>
        <w:tc>
          <w:tcPr>
            <w:tcW w:w="1251" w:type="dxa"/>
          </w:tcPr>
          <w:p w14:paraId="692C7D3A" w14:textId="1E49F798" w:rsidR="00A41FE1" w:rsidRPr="00C42A4D" w:rsidRDefault="00A41FE1" w:rsidP="004B1BF6">
            <w:pPr>
              <w:rPr>
                <w:sz w:val="22"/>
                <w:szCs w:val="22"/>
              </w:rPr>
            </w:pPr>
            <w:r w:rsidRPr="00C42A4D">
              <w:rPr>
                <w:sz w:val="22"/>
                <w:szCs w:val="22"/>
              </w:rPr>
              <w:t>Reflection</w:t>
            </w:r>
          </w:p>
          <w:p w14:paraId="4394215B" w14:textId="2859FE57" w:rsidR="00A41FE1" w:rsidRPr="00C42A4D" w:rsidRDefault="00A41FE1" w:rsidP="004B1BF6">
            <w:pPr>
              <w:rPr>
                <w:sz w:val="22"/>
                <w:szCs w:val="22"/>
              </w:rPr>
            </w:pPr>
          </w:p>
        </w:tc>
        <w:tc>
          <w:tcPr>
            <w:tcW w:w="1440" w:type="dxa"/>
          </w:tcPr>
          <w:p w14:paraId="6F236810" w14:textId="219CECC8" w:rsidR="00A41FE1" w:rsidRPr="00C42A4D" w:rsidRDefault="00A41FE1" w:rsidP="004B1BF6">
            <w:pPr>
              <w:rPr>
                <w:sz w:val="22"/>
                <w:szCs w:val="22"/>
              </w:rPr>
            </w:pPr>
            <w:r w:rsidRPr="00C42A4D">
              <w:rPr>
                <w:sz w:val="22"/>
                <w:szCs w:val="22"/>
              </w:rPr>
              <w:t xml:space="preserve">Shared meaning </w:t>
            </w:r>
          </w:p>
        </w:tc>
        <w:tc>
          <w:tcPr>
            <w:tcW w:w="1695" w:type="dxa"/>
          </w:tcPr>
          <w:p w14:paraId="780757CA" w14:textId="6B917251" w:rsidR="00A41FE1" w:rsidRPr="00C42A4D" w:rsidRDefault="00A41FE1" w:rsidP="004B1BF6">
            <w:pPr>
              <w:rPr>
                <w:sz w:val="22"/>
                <w:szCs w:val="22"/>
              </w:rPr>
            </w:pPr>
            <w:r w:rsidRPr="00C42A4D">
              <w:rPr>
                <w:sz w:val="22"/>
                <w:szCs w:val="22"/>
              </w:rPr>
              <w:t>To be ‘worked through’ (navigated)</w:t>
            </w:r>
          </w:p>
          <w:p w14:paraId="319224D3" w14:textId="3E63B1AC" w:rsidR="00A41FE1" w:rsidRPr="00C42A4D" w:rsidRDefault="00A41FE1" w:rsidP="004B1BF6">
            <w:pPr>
              <w:rPr>
                <w:sz w:val="22"/>
                <w:szCs w:val="22"/>
              </w:rPr>
            </w:pPr>
          </w:p>
        </w:tc>
        <w:tc>
          <w:tcPr>
            <w:tcW w:w="3770" w:type="dxa"/>
          </w:tcPr>
          <w:p w14:paraId="611E5540" w14:textId="72B8E6C9" w:rsidR="00A41FE1" w:rsidRPr="00C42A4D" w:rsidRDefault="00A41FE1" w:rsidP="004B1BF6">
            <w:pPr>
              <w:rPr>
                <w:sz w:val="22"/>
                <w:szCs w:val="22"/>
              </w:rPr>
            </w:pPr>
            <w:r w:rsidRPr="00C42A4D">
              <w:rPr>
                <w:sz w:val="22"/>
                <w:szCs w:val="22"/>
              </w:rPr>
              <w:t xml:space="preserve">Builds buy-in, legitimacy </w:t>
            </w:r>
          </w:p>
          <w:p w14:paraId="75D04048" w14:textId="77777777" w:rsidR="00A41FE1" w:rsidRPr="00C42A4D" w:rsidRDefault="00A41FE1" w:rsidP="004B1BF6">
            <w:pPr>
              <w:rPr>
                <w:sz w:val="22"/>
                <w:szCs w:val="22"/>
              </w:rPr>
            </w:pPr>
          </w:p>
          <w:p w14:paraId="2EB3F0E7" w14:textId="77777777" w:rsidR="00A41FE1" w:rsidRPr="00C42A4D" w:rsidRDefault="00A41FE1" w:rsidP="004B1BF6">
            <w:pPr>
              <w:rPr>
                <w:sz w:val="22"/>
                <w:szCs w:val="22"/>
              </w:rPr>
            </w:pPr>
            <w:r w:rsidRPr="00C42A4D">
              <w:rPr>
                <w:sz w:val="22"/>
                <w:szCs w:val="22"/>
              </w:rPr>
              <w:t>Aligns with well-used approaches of ‘muddling through’</w:t>
            </w:r>
          </w:p>
          <w:p w14:paraId="1185F2E1" w14:textId="77777777" w:rsidR="00A41FE1" w:rsidRPr="00C42A4D" w:rsidRDefault="00A41FE1" w:rsidP="004B1BF6">
            <w:pPr>
              <w:rPr>
                <w:sz w:val="22"/>
                <w:szCs w:val="22"/>
              </w:rPr>
            </w:pPr>
          </w:p>
          <w:p w14:paraId="64D9639D" w14:textId="77777777" w:rsidR="00A41FE1" w:rsidRDefault="00A41FE1" w:rsidP="004B1BF6">
            <w:pPr>
              <w:rPr>
                <w:sz w:val="22"/>
                <w:szCs w:val="22"/>
              </w:rPr>
            </w:pPr>
            <w:r w:rsidRPr="00C42A4D">
              <w:rPr>
                <w:sz w:val="22"/>
                <w:szCs w:val="22"/>
              </w:rPr>
              <w:t>Tailoring to local contingencies and contexts</w:t>
            </w:r>
            <w:r>
              <w:rPr>
                <w:sz w:val="22"/>
                <w:szCs w:val="22"/>
              </w:rPr>
              <w:t>, and knowledges</w:t>
            </w:r>
          </w:p>
          <w:p w14:paraId="7D9117FA" w14:textId="77777777" w:rsidR="00CB6FE2" w:rsidRDefault="00CB6FE2" w:rsidP="004B1BF6">
            <w:pPr>
              <w:rPr>
                <w:sz w:val="22"/>
                <w:szCs w:val="22"/>
              </w:rPr>
            </w:pPr>
          </w:p>
          <w:p w14:paraId="2DB5B398" w14:textId="5DAEEF1C" w:rsidR="00CB6FE2" w:rsidRPr="00C42A4D" w:rsidRDefault="00CB6FE2" w:rsidP="004B1BF6">
            <w:pPr>
              <w:rPr>
                <w:sz w:val="22"/>
                <w:szCs w:val="22"/>
              </w:rPr>
            </w:pPr>
            <w:r>
              <w:rPr>
                <w:sz w:val="22"/>
                <w:szCs w:val="22"/>
              </w:rPr>
              <w:t>Buys time in a context of uncertainty or contestation</w:t>
            </w:r>
          </w:p>
        </w:tc>
        <w:tc>
          <w:tcPr>
            <w:tcW w:w="4536" w:type="dxa"/>
          </w:tcPr>
          <w:p w14:paraId="3542C847" w14:textId="5492C7D6" w:rsidR="00A41FE1" w:rsidRPr="00C42A4D" w:rsidRDefault="00A41FE1" w:rsidP="004B1BF6">
            <w:pPr>
              <w:rPr>
                <w:sz w:val="22"/>
                <w:szCs w:val="22"/>
              </w:rPr>
            </w:pPr>
            <w:r w:rsidRPr="00C42A4D">
              <w:rPr>
                <w:sz w:val="22"/>
                <w:szCs w:val="22"/>
              </w:rPr>
              <w:t xml:space="preserve">Faces difficulties in a context of resource constraint </w:t>
            </w:r>
          </w:p>
          <w:p w14:paraId="69676C51" w14:textId="77777777" w:rsidR="00A41FE1" w:rsidRPr="00C42A4D" w:rsidRDefault="00A41FE1" w:rsidP="004B1BF6">
            <w:pPr>
              <w:rPr>
                <w:sz w:val="22"/>
                <w:szCs w:val="22"/>
              </w:rPr>
            </w:pPr>
          </w:p>
          <w:p w14:paraId="724D473B" w14:textId="66065B31" w:rsidR="00A41FE1" w:rsidRPr="00C42A4D" w:rsidRDefault="00A41FE1" w:rsidP="004B1BF6">
            <w:pPr>
              <w:rPr>
                <w:sz w:val="22"/>
                <w:szCs w:val="22"/>
              </w:rPr>
            </w:pPr>
            <w:r w:rsidRPr="00C42A4D">
              <w:rPr>
                <w:sz w:val="22"/>
                <w:szCs w:val="22"/>
              </w:rPr>
              <w:t xml:space="preserve">Fails to achieve meaningful progress or resolve underlying political tensions </w:t>
            </w:r>
          </w:p>
          <w:p w14:paraId="3A6A7020" w14:textId="77777777" w:rsidR="00A41FE1" w:rsidRPr="00C42A4D" w:rsidRDefault="00A41FE1" w:rsidP="004B1BF6">
            <w:pPr>
              <w:rPr>
                <w:sz w:val="22"/>
                <w:szCs w:val="22"/>
              </w:rPr>
            </w:pPr>
          </w:p>
          <w:p w14:paraId="303CD479" w14:textId="77777777" w:rsidR="001B185E" w:rsidRDefault="00A41FE1" w:rsidP="004B1BF6">
            <w:pPr>
              <w:rPr>
                <w:sz w:val="22"/>
                <w:szCs w:val="22"/>
              </w:rPr>
            </w:pPr>
            <w:r w:rsidRPr="00C42A4D">
              <w:rPr>
                <w:sz w:val="22"/>
                <w:szCs w:val="22"/>
              </w:rPr>
              <w:t>Exacerbates cynicism</w:t>
            </w:r>
          </w:p>
          <w:p w14:paraId="1A61C5B1" w14:textId="77777777" w:rsidR="001B185E" w:rsidRDefault="001B185E" w:rsidP="004B1BF6">
            <w:pPr>
              <w:rPr>
                <w:sz w:val="22"/>
                <w:szCs w:val="22"/>
              </w:rPr>
            </w:pPr>
          </w:p>
          <w:p w14:paraId="0F967037" w14:textId="25670A7D" w:rsidR="00A41FE1" w:rsidRPr="00C42A4D" w:rsidRDefault="001B185E" w:rsidP="004B1BF6">
            <w:pPr>
              <w:rPr>
                <w:sz w:val="22"/>
                <w:szCs w:val="22"/>
              </w:rPr>
            </w:pPr>
            <w:r>
              <w:rPr>
                <w:sz w:val="22"/>
                <w:szCs w:val="22"/>
              </w:rPr>
              <w:t>Represents a deceptive form of ‘inaction’</w:t>
            </w:r>
            <w:r w:rsidR="00A41FE1" w:rsidRPr="00C42A4D">
              <w:rPr>
                <w:sz w:val="22"/>
                <w:szCs w:val="22"/>
              </w:rPr>
              <w:t xml:space="preserve"> </w:t>
            </w:r>
          </w:p>
        </w:tc>
      </w:tr>
      <w:tr w:rsidR="00A41FE1" w:rsidRPr="00C42A4D" w14:paraId="57D5B157" w14:textId="0E582E4C" w:rsidTr="009C7335">
        <w:tc>
          <w:tcPr>
            <w:tcW w:w="1337" w:type="dxa"/>
          </w:tcPr>
          <w:p w14:paraId="1F75AD9F" w14:textId="1C496D2F" w:rsidR="00A41FE1" w:rsidRPr="00C42A4D" w:rsidRDefault="00A41FE1" w:rsidP="004B1BF6">
            <w:pPr>
              <w:jc w:val="both"/>
              <w:rPr>
                <w:sz w:val="22"/>
                <w:szCs w:val="22"/>
              </w:rPr>
            </w:pPr>
            <w:r w:rsidRPr="00C42A4D">
              <w:rPr>
                <w:sz w:val="22"/>
                <w:szCs w:val="22"/>
              </w:rPr>
              <w:t xml:space="preserve">Do </w:t>
            </w:r>
          </w:p>
        </w:tc>
        <w:tc>
          <w:tcPr>
            <w:tcW w:w="1251" w:type="dxa"/>
          </w:tcPr>
          <w:p w14:paraId="1632C6CB" w14:textId="18BD6A25" w:rsidR="00A41FE1" w:rsidRPr="00C42A4D" w:rsidRDefault="00A41FE1" w:rsidP="004B1BF6">
            <w:pPr>
              <w:jc w:val="both"/>
              <w:rPr>
                <w:sz w:val="22"/>
                <w:szCs w:val="22"/>
              </w:rPr>
            </w:pPr>
            <w:r w:rsidRPr="00C42A4D">
              <w:rPr>
                <w:sz w:val="22"/>
                <w:szCs w:val="22"/>
              </w:rPr>
              <w:t xml:space="preserve">Action </w:t>
            </w:r>
          </w:p>
          <w:p w14:paraId="6AC4D68A" w14:textId="7AE5EA61" w:rsidR="00A41FE1" w:rsidRPr="00C42A4D" w:rsidRDefault="00A41FE1" w:rsidP="004B1BF6">
            <w:pPr>
              <w:jc w:val="both"/>
              <w:rPr>
                <w:sz w:val="22"/>
                <w:szCs w:val="22"/>
              </w:rPr>
            </w:pPr>
          </w:p>
        </w:tc>
        <w:tc>
          <w:tcPr>
            <w:tcW w:w="1440" w:type="dxa"/>
          </w:tcPr>
          <w:p w14:paraId="35A3751E" w14:textId="029F6AC9" w:rsidR="00A41FE1" w:rsidRPr="00C42A4D" w:rsidRDefault="00A41FE1" w:rsidP="004B1BF6">
            <w:pPr>
              <w:jc w:val="both"/>
              <w:rPr>
                <w:sz w:val="22"/>
                <w:szCs w:val="22"/>
              </w:rPr>
            </w:pPr>
            <w:r w:rsidRPr="00C42A4D">
              <w:rPr>
                <w:sz w:val="22"/>
                <w:szCs w:val="22"/>
              </w:rPr>
              <w:t>Meaning through use</w:t>
            </w:r>
          </w:p>
        </w:tc>
        <w:tc>
          <w:tcPr>
            <w:tcW w:w="1695" w:type="dxa"/>
          </w:tcPr>
          <w:p w14:paraId="0D6E3436" w14:textId="22D37B1F" w:rsidR="00A41FE1" w:rsidRPr="00C42A4D" w:rsidRDefault="00A41FE1" w:rsidP="004B1BF6">
            <w:pPr>
              <w:jc w:val="both"/>
              <w:rPr>
                <w:sz w:val="22"/>
                <w:szCs w:val="22"/>
              </w:rPr>
            </w:pPr>
            <w:r w:rsidRPr="00C42A4D">
              <w:rPr>
                <w:sz w:val="22"/>
                <w:szCs w:val="22"/>
              </w:rPr>
              <w:t xml:space="preserve">To be ‘worked with’ (accommodated) </w:t>
            </w:r>
          </w:p>
        </w:tc>
        <w:tc>
          <w:tcPr>
            <w:tcW w:w="3770" w:type="dxa"/>
          </w:tcPr>
          <w:p w14:paraId="29882CE6" w14:textId="6C7A31C2" w:rsidR="00A41FE1" w:rsidRPr="00C42A4D" w:rsidRDefault="00A41FE1" w:rsidP="004B1BF6">
            <w:pPr>
              <w:jc w:val="both"/>
              <w:rPr>
                <w:sz w:val="22"/>
                <w:szCs w:val="22"/>
              </w:rPr>
            </w:pPr>
            <w:r w:rsidRPr="00C42A4D">
              <w:rPr>
                <w:sz w:val="22"/>
                <w:szCs w:val="22"/>
              </w:rPr>
              <w:t>Offers potential for ‘quick wins’</w:t>
            </w:r>
            <w:r>
              <w:rPr>
                <w:sz w:val="22"/>
                <w:szCs w:val="22"/>
              </w:rPr>
              <w:t xml:space="preserve"> and/or wide adoption</w:t>
            </w:r>
          </w:p>
          <w:p w14:paraId="36ED5E74" w14:textId="77777777" w:rsidR="00A41FE1" w:rsidRPr="00C42A4D" w:rsidRDefault="00A41FE1" w:rsidP="004B1BF6">
            <w:pPr>
              <w:jc w:val="both"/>
              <w:rPr>
                <w:sz w:val="22"/>
                <w:szCs w:val="22"/>
              </w:rPr>
            </w:pPr>
          </w:p>
          <w:p w14:paraId="397AAAF0" w14:textId="77777777" w:rsidR="00A41FE1" w:rsidRDefault="00A41FE1" w:rsidP="004B1BF6">
            <w:pPr>
              <w:jc w:val="both"/>
              <w:rPr>
                <w:sz w:val="22"/>
                <w:szCs w:val="22"/>
              </w:rPr>
            </w:pPr>
            <w:r w:rsidRPr="00C42A4D">
              <w:rPr>
                <w:sz w:val="22"/>
                <w:szCs w:val="22"/>
              </w:rPr>
              <w:t>Could generate more grounded definition based on practice</w:t>
            </w:r>
          </w:p>
          <w:p w14:paraId="3734683D" w14:textId="77777777" w:rsidR="00D07A12" w:rsidRDefault="00D07A12" w:rsidP="004B1BF6">
            <w:pPr>
              <w:jc w:val="both"/>
              <w:rPr>
                <w:sz w:val="22"/>
                <w:szCs w:val="22"/>
              </w:rPr>
            </w:pPr>
          </w:p>
          <w:p w14:paraId="53729EC1" w14:textId="450C8459" w:rsidR="00D07A12" w:rsidRPr="00C42A4D" w:rsidRDefault="00A96CA2" w:rsidP="004B1BF6">
            <w:pPr>
              <w:jc w:val="both"/>
              <w:rPr>
                <w:sz w:val="22"/>
                <w:szCs w:val="22"/>
              </w:rPr>
            </w:pPr>
            <w:r>
              <w:rPr>
                <w:sz w:val="22"/>
                <w:szCs w:val="22"/>
              </w:rPr>
              <w:t>Allows actors to advance related agendas</w:t>
            </w:r>
          </w:p>
        </w:tc>
        <w:tc>
          <w:tcPr>
            <w:tcW w:w="4536" w:type="dxa"/>
          </w:tcPr>
          <w:p w14:paraId="2FE01DC8" w14:textId="2369142E" w:rsidR="00A41FE1" w:rsidRPr="00C42A4D" w:rsidRDefault="00A41FE1" w:rsidP="004B1BF6">
            <w:pPr>
              <w:jc w:val="both"/>
              <w:rPr>
                <w:sz w:val="22"/>
                <w:szCs w:val="22"/>
              </w:rPr>
            </w:pPr>
            <w:r w:rsidRPr="00C42A4D">
              <w:rPr>
                <w:sz w:val="22"/>
                <w:szCs w:val="22"/>
              </w:rPr>
              <w:t>Lacks overall cohesion</w:t>
            </w:r>
          </w:p>
          <w:p w14:paraId="1BAF2465" w14:textId="77777777" w:rsidR="00A41FE1" w:rsidRPr="00C42A4D" w:rsidRDefault="00A41FE1" w:rsidP="004B1BF6">
            <w:pPr>
              <w:jc w:val="both"/>
              <w:rPr>
                <w:sz w:val="22"/>
                <w:szCs w:val="22"/>
              </w:rPr>
            </w:pPr>
          </w:p>
          <w:p w14:paraId="77C534A5" w14:textId="30EB6635" w:rsidR="00A41FE1" w:rsidRPr="00C42A4D" w:rsidRDefault="00A41FE1" w:rsidP="004B1BF6">
            <w:pPr>
              <w:jc w:val="both"/>
              <w:rPr>
                <w:sz w:val="22"/>
                <w:szCs w:val="22"/>
              </w:rPr>
            </w:pPr>
            <w:r w:rsidRPr="00C42A4D">
              <w:rPr>
                <w:sz w:val="22"/>
                <w:szCs w:val="22"/>
              </w:rPr>
              <w:t>Risks of co-optation, lack of significant change as idea used to rebrand existing activities</w:t>
            </w:r>
          </w:p>
          <w:p w14:paraId="68323CE0" w14:textId="77777777" w:rsidR="00A41FE1" w:rsidRPr="00C42A4D" w:rsidRDefault="00A41FE1" w:rsidP="004B1BF6">
            <w:pPr>
              <w:jc w:val="both"/>
              <w:rPr>
                <w:sz w:val="22"/>
                <w:szCs w:val="22"/>
              </w:rPr>
            </w:pPr>
          </w:p>
          <w:p w14:paraId="616843E3" w14:textId="77777777" w:rsidR="00A41FE1" w:rsidRDefault="00A41FE1" w:rsidP="004B1BF6">
            <w:pPr>
              <w:jc w:val="both"/>
              <w:rPr>
                <w:sz w:val="22"/>
                <w:szCs w:val="22"/>
              </w:rPr>
            </w:pPr>
            <w:r w:rsidRPr="00C42A4D">
              <w:rPr>
                <w:sz w:val="22"/>
                <w:szCs w:val="22"/>
              </w:rPr>
              <w:t xml:space="preserve"> ‘Hollows out’ or depoliticises the distinctive meaning of an idea</w:t>
            </w:r>
          </w:p>
          <w:p w14:paraId="6E7592D5" w14:textId="4D34A15D" w:rsidR="00A96CA2" w:rsidRPr="00C42A4D" w:rsidRDefault="00A96CA2" w:rsidP="004B1BF6">
            <w:pPr>
              <w:jc w:val="both"/>
              <w:rPr>
                <w:sz w:val="22"/>
                <w:szCs w:val="22"/>
              </w:rPr>
            </w:pPr>
          </w:p>
        </w:tc>
      </w:tr>
    </w:tbl>
    <w:p w14:paraId="422E9603" w14:textId="77777777" w:rsidR="004F2F91" w:rsidRDefault="004F2F91" w:rsidP="00C42A4D">
      <w:pPr>
        <w:spacing w:line="276" w:lineRule="auto"/>
        <w:rPr>
          <w:highlight w:val="yellow"/>
        </w:rPr>
        <w:sectPr w:rsidR="004F2F91" w:rsidSect="001F2468">
          <w:pgSz w:w="16838" w:h="11906" w:orient="landscape"/>
          <w:pgMar w:top="1440" w:right="1440" w:bottom="1440" w:left="1440" w:header="709" w:footer="709" w:gutter="0"/>
          <w:cols w:space="708"/>
          <w:docGrid w:linePitch="360"/>
        </w:sectPr>
      </w:pPr>
    </w:p>
    <w:p w14:paraId="04462D20" w14:textId="27B87E77" w:rsidR="0036415C" w:rsidRPr="00A9430F" w:rsidRDefault="00A9430F">
      <w:pPr>
        <w:pStyle w:val="Heading1"/>
      </w:pPr>
      <w:r>
        <w:lastRenderedPageBreak/>
        <w:t>Response</w:t>
      </w:r>
      <w:r w:rsidRPr="00A9430F">
        <w:t xml:space="preserve"> </w:t>
      </w:r>
      <w:r w:rsidR="006138E1">
        <w:t>One</w:t>
      </w:r>
      <w:r w:rsidR="0036415C" w:rsidRPr="00A9430F">
        <w:t xml:space="preserve">: </w:t>
      </w:r>
      <w:r w:rsidR="003E7774" w:rsidRPr="00A9430F">
        <w:t xml:space="preserve">Define </w:t>
      </w:r>
    </w:p>
    <w:p w14:paraId="5616639C" w14:textId="1CAF8022" w:rsidR="002E1AFB" w:rsidRDefault="0036415C" w:rsidP="00C42A4D">
      <w:pPr>
        <w:spacing w:line="276" w:lineRule="auto"/>
        <w:jc w:val="both"/>
        <w:rPr>
          <w:lang w:val="en-US"/>
        </w:rPr>
      </w:pPr>
      <w:r w:rsidRPr="0036415C">
        <w:rPr>
          <w:lang w:val="en-US"/>
        </w:rPr>
        <w:t xml:space="preserve">The first </w:t>
      </w:r>
      <w:r w:rsidR="00EC534F">
        <w:rPr>
          <w:lang w:val="en-US"/>
        </w:rPr>
        <w:t>option</w:t>
      </w:r>
      <w:r w:rsidRPr="0036415C">
        <w:rPr>
          <w:lang w:val="en-US"/>
        </w:rPr>
        <w:t xml:space="preserve"> is </w:t>
      </w:r>
      <w:r w:rsidR="00EC534F">
        <w:rPr>
          <w:lang w:val="en-US"/>
        </w:rPr>
        <w:t xml:space="preserve">for </w:t>
      </w:r>
      <w:r w:rsidR="00552BC2">
        <w:rPr>
          <w:lang w:val="en-US"/>
        </w:rPr>
        <w:t>an</w:t>
      </w:r>
      <w:r w:rsidR="00EC534F">
        <w:rPr>
          <w:lang w:val="en-US"/>
        </w:rPr>
        <w:t xml:space="preserve"> authoritative policymaker </w:t>
      </w:r>
      <w:r w:rsidRPr="0036415C">
        <w:rPr>
          <w:lang w:val="en-US"/>
        </w:rPr>
        <w:t xml:space="preserve">to reduce ambiguity through </w:t>
      </w:r>
      <w:r w:rsidR="00EC534F">
        <w:rPr>
          <w:lang w:val="en-US"/>
        </w:rPr>
        <w:t>definition</w:t>
      </w:r>
      <w:r w:rsidRPr="0036415C">
        <w:rPr>
          <w:lang w:val="en-US"/>
        </w:rPr>
        <w:t>.</w:t>
      </w:r>
      <w:r w:rsidR="00EC534F">
        <w:rPr>
          <w:lang w:val="en-US"/>
        </w:rPr>
        <w:t xml:space="preserve"> There may be multiple ways to interpret a buzzword, but </w:t>
      </w:r>
      <w:r w:rsidR="00A642DA">
        <w:rPr>
          <w:lang w:val="en-US"/>
        </w:rPr>
        <w:t>here</w:t>
      </w:r>
      <w:r w:rsidR="00EC534F">
        <w:rPr>
          <w:lang w:val="en-US"/>
        </w:rPr>
        <w:t xml:space="preserve"> only one interpretation </w:t>
      </w:r>
      <w:r w:rsidR="00A642DA">
        <w:rPr>
          <w:lang w:val="en-US"/>
        </w:rPr>
        <w:t xml:space="preserve">– such as from a </w:t>
      </w:r>
      <w:r w:rsidR="00807E9E">
        <w:rPr>
          <w:lang w:val="en-US"/>
        </w:rPr>
        <w:t>g</w:t>
      </w:r>
      <w:r w:rsidR="00A642DA">
        <w:rPr>
          <w:lang w:val="en-US"/>
        </w:rPr>
        <w:t xml:space="preserve">overnment department, regulator, or professional body - </w:t>
      </w:r>
      <w:r w:rsidR="00EC534F">
        <w:rPr>
          <w:lang w:val="en-US"/>
        </w:rPr>
        <w:t>would count.</w:t>
      </w:r>
      <w:r w:rsidRPr="0036415C">
        <w:rPr>
          <w:lang w:val="en-US"/>
        </w:rPr>
        <w:t xml:space="preserve"> </w:t>
      </w:r>
      <w:r w:rsidR="00DB6890">
        <w:rPr>
          <w:lang w:val="en-US"/>
        </w:rPr>
        <w:t>S</w:t>
      </w:r>
      <w:r w:rsidRPr="0036415C">
        <w:rPr>
          <w:lang w:val="en-US"/>
        </w:rPr>
        <w:t>trong impulse</w:t>
      </w:r>
      <w:r w:rsidR="004C0B52">
        <w:rPr>
          <w:lang w:val="en-US"/>
        </w:rPr>
        <w:t xml:space="preserve">s </w:t>
      </w:r>
      <w:r w:rsidRPr="0036415C">
        <w:rPr>
          <w:lang w:val="en-US"/>
        </w:rPr>
        <w:t xml:space="preserve">towards </w:t>
      </w:r>
      <w:r w:rsidR="00DB6890">
        <w:rPr>
          <w:lang w:val="en-US"/>
        </w:rPr>
        <w:t xml:space="preserve">this </w:t>
      </w:r>
      <w:r w:rsidRPr="0036415C">
        <w:rPr>
          <w:lang w:val="en-US"/>
        </w:rPr>
        <w:t>definition</w:t>
      </w:r>
      <w:r w:rsidR="00DB6890">
        <w:rPr>
          <w:lang w:val="en-US"/>
        </w:rPr>
        <w:t>al approach</w:t>
      </w:r>
      <w:r w:rsidRPr="0036415C">
        <w:rPr>
          <w:lang w:val="en-US"/>
        </w:rPr>
        <w:t xml:space="preserve"> </w:t>
      </w:r>
      <w:r w:rsidR="00DB6890">
        <w:rPr>
          <w:lang w:val="en-US"/>
        </w:rPr>
        <w:t>reflect the benefits of clarity, to establish a policy’s</w:t>
      </w:r>
      <w:r w:rsidRPr="0036415C">
        <w:rPr>
          <w:lang w:val="en-US"/>
        </w:rPr>
        <w:t xml:space="preserve"> rationale</w:t>
      </w:r>
      <w:r w:rsidR="00DB6890">
        <w:rPr>
          <w:lang w:val="en-US"/>
        </w:rPr>
        <w:t xml:space="preserve"> and intended benefits</w:t>
      </w:r>
      <w:r w:rsidRPr="0036415C">
        <w:rPr>
          <w:lang w:val="en-US"/>
        </w:rPr>
        <w:t xml:space="preserve"> </w:t>
      </w:r>
      <w:r w:rsidR="00DB6890">
        <w:rPr>
          <w:lang w:val="en-US"/>
        </w:rPr>
        <w:t>and to assign responsibility for its delivery</w:t>
      </w:r>
      <w:r w:rsidRPr="0036415C">
        <w:rPr>
          <w:lang w:val="en-US"/>
        </w:rPr>
        <w:t xml:space="preserve">. </w:t>
      </w:r>
      <w:r w:rsidR="00DB6890">
        <w:rPr>
          <w:lang w:val="en-US"/>
        </w:rPr>
        <w:t>I</w:t>
      </w:r>
      <w:r w:rsidRPr="0036415C">
        <w:rPr>
          <w:lang w:val="en-US"/>
        </w:rPr>
        <w:t>t can be tough for</w:t>
      </w:r>
      <w:r w:rsidR="00DB6890">
        <w:rPr>
          <w:lang w:val="en-US"/>
        </w:rPr>
        <w:t>, say, national central government policymakers</w:t>
      </w:r>
      <w:r w:rsidR="00DB6890" w:rsidRPr="0036415C">
        <w:rPr>
          <w:lang w:val="en-US"/>
        </w:rPr>
        <w:t xml:space="preserve"> </w:t>
      </w:r>
      <w:r w:rsidRPr="0036415C">
        <w:rPr>
          <w:lang w:val="en-US"/>
        </w:rPr>
        <w:t>to get on board with something if they are not clear what it is, how it could help them</w:t>
      </w:r>
      <w:r w:rsidR="00DB6890">
        <w:rPr>
          <w:lang w:val="en-US"/>
        </w:rPr>
        <w:t>, or what are the wider implications</w:t>
      </w:r>
      <w:r w:rsidRPr="0036415C">
        <w:rPr>
          <w:lang w:val="en-US"/>
        </w:rPr>
        <w:t xml:space="preserve">. </w:t>
      </w:r>
      <w:r w:rsidR="00DB6890">
        <w:rPr>
          <w:lang w:val="en-US"/>
        </w:rPr>
        <w:t xml:space="preserve">It is also difficult for subcentral organisations to act with confidence or authority without clarity and direction. </w:t>
      </w:r>
      <w:r w:rsidRPr="0036415C">
        <w:rPr>
          <w:lang w:val="en-US"/>
        </w:rPr>
        <w:t xml:space="preserve">Subsequently, clarity could aid in the transparency of decisions or priorities, replicability of a policy idea, being able to communicate it effectively after adoption, monitoring and measurement, quality assessment, and operationalising it effectively.  </w:t>
      </w:r>
    </w:p>
    <w:p w14:paraId="2B1380EA" w14:textId="2F21E0CB" w:rsidR="0036415C" w:rsidRPr="002E1AFB" w:rsidRDefault="00566C0B" w:rsidP="00C42A4D">
      <w:pPr>
        <w:spacing w:line="276" w:lineRule="auto"/>
        <w:jc w:val="both"/>
        <w:rPr>
          <w:lang w:val="en-US"/>
        </w:rPr>
      </w:pPr>
      <w:r w:rsidRPr="0036415C">
        <w:rPr>
          <w:lang w:val="en-US"/>
        </w:rPr>
        <w:t xml:space="preserve">For strategic decision-making, </w:t>
      </w:r>
      <w:r w:rsidR="00A642DA">
        <w:rPr>
          <w:lang w:val="en-US"/>
        </w:rPr>
        <w:t>defining</w:t>
      </w:r>
      <w:r w:rsidR="00A642DA" w:rsidRPr="0036415C">
        <w:rPr>
          <w:lang w:val="en-US"/>
        </w:rPr>
        <w:t xml:space="preserve"> </w:t>
      </w:r>
      <w:r w:rsidRPr="0036415C">
        <w:rPr>
          <w:lang w:val="en-US"/>
        </w:rPr>
        <w:t xml:space="preserve">concepts </w:t>
      </w:r>
      <w:r w:rsidR="00A642DA">
        <w:rPr>
          <w:lang w:val="en-US"/>
        </w:rPr>
        <w:t xml:space="preserve">is part of </w:t>
      </w:r>
      <w:r w:rsidRPr="0036415C">
        <w:rPr>
          <w:lang w:val="en-US"/>
        </w:rPr>
        <w:t>the need to provide a</w:t>
      </w:r>
      <w:r w:rsidR="00A642DA">
        <w:rPr>
          <w:lang w:val="en-US"/>
        </w:rPr>
        <w:t>n evidence-informed and normative</w:t>
      </w:r>
      <w:r w:rsidRPr="0036415C">
        <w:rPr>
          <w:lang w:val="en-US"/>
        </w:rPr>
        <w:t xml:space="preserve"> rationale for adoption</w:t>
      </w:r>
      <w:r>
        <w:rPr>
          <w:lang w:val="en-US"/>
        </w:rPr>
        <w:t xml:space="preserve">. </w:t>
      </w:r>
      <w:r w:rsidR="00552BC2" w:rsidRPr="0036415C">
        <w:rPr>
          <w:lang w:val="en-US"/>
        </w:rPr>
        <w:t>Measurement and monitoring typically work well when there are clear boundaries about what a thing is, and how we know it when we see it.</w:t>
      </w:r>
      <w:r w:rsidR="00552BC2">
        <w:rPr>
          <w:lang w:val="en-US"/>
        </w:rPr>
        <w:t xml:space="preserve"> </w:t>
      </w:r>
      <w:r>
        <w:rPr>
          <w:lang w:val="en-US"/>
        </w:rPr>
        <w:t>Likewise, achieving</w:t>
      </w:r>
      <w:r w:rsidR="005244ED">
        <w:rPr>
          <w:lang w:val="en-US"/>
        </w:rPr>
        <w:t xml:space="preserve"> </w:t>
      </w:r>
      <w:r w:rsidR="0036415C" w:rsidRPr="0036415C">
        <w:t xml:space="preserve">clarity </w:t>
      </w:r>
      <w:r>
        <w:t>can avoid</w:t>
      </w:r>
      <w:r w:rsidR="0036415C" w:rsidRPr="0036415C">
        <w:t xml:space="preserve"> storing </w:t>
      </w:r>
      <w:r w:rsidR="003E7774">
        <w:t>u</w:t>
      </w:r>
      <w:r w:rsidR="0036415C" w:rsidRPr="0036415C">
        <w:t>p trouble for later, i</w:t>
      </w:r>
      <w:r w:rsidR="005244ED">
        <w:t>n case</w:t>
      </w:r>
      <w:r w:rsidR="0036415C" w:rsidRPr="0036415C">
        <w:t xml:space="preserve"> it becomes apparent that people have ‘bought in’ to different versions of the word</w:t>
      </w:r>
      <w:r>
        <w:t>.</w:t>
      </w:r>
      <w:r w:rsidR="00E24843">
        <w:t xml:space="preserve"> </w:t>
      </w:r>
      <w:r w:rsidR="00E24843" w:rsidRPr="0036415C">
        <w:rPr>
          <w:lang w:val="en-US"/>
        </w:rPr>
        <w:t xml:space="preserve">In </w:t>
      </w:r>
      <w:r w:rsidR="00E24843">
        <w:rPr>
          <w:lang w:val="en-US"/>
        </w:rPr>
        <w:t>each case</w:t>
      </w:r>
      <w:r w:rsidR="00E24843" w:rsidRPr="0036415C">
        <w:rPr>
          <w:lang w:val="en-US"/>
        </w:rPr>
        <w:t xml:space="preserve">, </w:t>
      </w:r>
      <w:r w:rsidR="00E24843">
        <w:rPr>
          <w:lang w:val="en-US"/>
        </w:rPr>
        <w:t>clarity</w:t>
      </w:r>
      <w:r w:rsidR="00E24843" w:rsidRPr="0036415C">
        <w:rPr>
          <w:lang w:val="en-US"/>
        </w:rPr>
        <w:t xml:space="preserve"> offer</w:t>
      </w:r>
      <w:r w:rsidR="00E24843">
        <w:rPr>
          <w:lang w:val="en-US"/>
        </w:rPr>
        <w:t xml:space="preserve">s </w:t>
      </w:r>
      <w:r w:rsidR="00E24843" w:rsidRPr="0036415C">
        <w:rPr>
          <w:lang w:val="en-US"/>
        </w:rPr>
        <w:t>the comfort of certainty. </w:t>
      </w:r>
    </w:p>
    <w:p w14:paraId="09E92D54" w14:textId="6F64048B" w:rsidR="00552BC2" w:rsidRDefault="00A642DA" w:rsidP="00552BC2">
      <w:pPr>
        <w:spacing w:line="276" w:lineRule="auto"/>
        <w:jc w:val="both"/>
        <w:rPr>
          <w:lang w:val="en-US"/>
        </w:rPr>
      </w:pPr>
      <w:r>
        <w:rPr>
          <w:lang w:val="en-US"/>
        </w:rPr>
        <w:t>Yet, simple definition does not settle the matter. It</w:t>
      </w:r>
      <w:r w:rsidR="002E721B">
        <w:rPr>
          <w:lang w:val="en-US"/>
        </w:rPr>
        <w:t xml:space="preserve"> can help to spur initial action</w:t>
      </w:r>
      <w:r w:rsidR="005244ED">
        <w:rPr>
          <w:lang w:val="en-US"/>
        </w:rPr>
        <w:t xml:space="preserve"> and head off obvious misalignments</w:t>
      </w:r>
      <w:r w:rsidR="002E721B">
        <w:rPr>
          <w:lang w:val="en-US"/>
        </w:rPr>
        <w:t xml:space="preserve">, </w:t>
      </w:r>
      <w:r>
        <w:rPr>
          <w:lang w:val="en-US"/>
        </w:rPr>
        <w:t>but not ward off issues</w:t>
      </w:r>
      <w:r w:rsidR="002E721B">
        <w:rPr>
          <w:lang w:val="en-US"/>
        </w:rPr>
        <w:t xml:space="preserve"> of </w:t>
      </w:r>
      <w:r w:rsidR="0036415C" w:rsidRPr="0036415C">
        <w:rPr>
          <w:lang w:val="en-US"/>
        </w:rPr>
        <w:t xml:space="preserve">implementation.  </w:t>
      </w:r>
      <w:r>
        <w:rPr>
          <w:lang w:val="en-US"/>
        </w:rPr>
        <w:t>Rather, s</w:t>
      </w:r>
      <w:r w:rsidR="00440692">
        <w:rPr>
          <w:lang w:val="en-US"/>
        </w:rPr>
        <w:t xml:space="preserve">uch a </w:t>
      </w:r>
      <w:r w:rsidR="00D97908">
        <w:rPr>
          <w:lang w:val="en-US"/>
        </w:rPr>
        <w:t xml:space="preserve">centralized </w:t>
      </w:r>
      <w:r w:rsidR="00440692">
        <w:rPr>
          <w:lang w:val="en-US"/>
        </w:rPr>
        <w:t xml:space="preserve">process risks </w:t>
      </w:r>
      <w:r w:rsidR="00D97908">
        <w:rPr>
          <w:lang w:val="en-US"/>
        </w:rPr>
        <w:t>overly simplifying</w:t>
      </w:r>
      <w:r w:rsidR="00440692">
        <w:rPr>
          <w:lang w:val="en-US"/>
        </w:rPr>
        <w:t xml:space="preserve"> a concept</w:t>
      </w:r>
      <w:r w:rsidR="00D97908">
        <w:rPr>
          <w:lang w:val="en-US"/>
        </w:rPr>
        <w:t xml:space="preserve"> </w:t>
      </w:r>
      <w:r>
        <w:rPr>
          <w:lang w:val="en-US"/>
        </w:rPr>
        <w:t xml:space="preserve">and </w:t>
      </w:r>
      <w:r w:rsidR="00440692">
        <w:rPr>
          <w:lang w:val="en-US"/>
        </w:rPr>
        <w:t xml:space="preserve">neglecting local contexts.  </w:t>
      </w:r>
      <w:r w:rsidR="00552BC2">
        <w:rPr>
          <w:lang w:val="en-US"/>
        </w:rPr>
        <w:t>Attempts to</w:t>
      </w:r>
      <w:r w:rsidR="00552BC2" w:rsidRPr="0036415C">
        <w:rPr>
          <w:lang w:val="en-US"/>
        </w:rPr>
        <w:t xml:space="preserve"> </w:t>
      </w:r>
      <w:r w:rsidR="00552BC2">
        <w:rPr>
          <w:lang w:val="en-US"/>
        </w:rPr>
        <w:t xml:space="preserve">anticipate and </w:t>
      </w:r>
      <w:r w:rsidR="00552BC2" w:rsidRPr="0036415C">
        <w:rPr>
          <w:lang w:val="en-US"/>
        </w:rPr>
        <w:t>resolve</w:t>
      </w:r>
      <w:r w:rsidR="00552BC2">
        <w:rPr>
          <w:lang w:val="en-US"/>
        </w:rPr>
        <w:t xml:space="preserve"> </w:t>
      </w:r>
      <w:r w:rsidR="00552BC2" w:rsidRPr="0036415C">
        <w:rPr>
          <w:lang w:val="en-US"/>
        </w:rPr>
        <w:t xml:space="preserve">tensions between </w:t>
      </w:r>
      <w:r w:rsidR="00552BC2">
        <w:rPr>
          <w:lang w:val="en-US"/>
        </w:rPr>
        <w:t xml:space="preserve">centralized clarity and decentralized </w:t>
      </w:r>
      <w:r w:rsidR="00552BC2" w:rsidRPr="0036415C">
        <w:rPr>
          <w:lang w:val="en-US"/>
        </w:rPr>
        <w:t xml:space="preserve">flexibility </w:t>
      </w:r>
      <w:r w:rsidR="00552BC2">
        <w:rPr>
          <w:lang w:val="en-US"/>
        </w:rPr>
        <w:t>help to identify a classic trade-off that will not be resolved via definition alone.</w:t>
      </w:r>
      <w:r w:rsidR="00552BC2" w:rsidRPr="0036415C">
        <w:rPr>
          <w:lang w:val="en-US"/>
        </w:rPr>
        <w:t xml:space="preserve"> </w:t>
      </w:r>
      <w:r w:rsidR="00440692">
        <w:rPr>
          <w:lang w:val="en-US"/>
        </w:rPr>
        <w:t>T</w:t>
      </w:r>
      <w:r w:rsidR="0036415C" w:rsidRPr="0036415C">
        <w:rPr>
          <w:lang w:val="en-US"/>
        </w:rPr>
        <w:t xml:space="preserve">oo prescriptive a definition can </w:t>
      </w:r>
      <w:r w:rsidR="00E24843">
        <w:rPr>
          <w:lang w:val="en-US"/>
        </w:rPr>
        <w:t>prompt</w:t>
      </w:r>
      <w:r w:rsidR="0036415C" w:rsidRPr="0036415C">
        <w:rPr>
          <w:lang w:val="en-US"/>
        </w:rPr>
        <w:t xml:space="preserve"> </w:t>
      </w:r>
      <w:r w:rsidR="009E44D2">
        <w:rPr>
          <w:lang w:val="en-US"/>
        </w:rPr>
        <w:t xml:space="preserve">rigid application and </w:t>
      </w:r>
      <w:r w:rsidR="00E24843">
        <w:rPr>
          <w:lang w:val="en-US"/>
        </w:rPr>
        <w:t xml:space="preserve">- </w:t>
      </w:r>
      <w:r w:rsidR="006F3B93">
        <w:rPr>
          <w:lang w:val="en-US"/>
        </w:rPr>
        <w:t xml:space="preserve">inadvertently </w:t>
      </w:r>
      <w:r w:rsidR="00E24843">
        <w:rPr>
          <w:lang w:val="en-US"/>
        </w:rPr>
        <w:t xml:space="preserve">- </w:t>
      </w:r>
      <w:r w:rsidR="009E44D2">
        <w:rPr>
          <w:lang w:val="en-US"/>
        </w:rPr>
        <w:t>a buzzword’s</w:t>
      </w:r>
      <w:r w:rsidR="006F3B93">
        <w:rPr>
          <w:lang w:val="en-US"/>
        </w:rPr>
        <w:t xml:space="preserve"> decline </w:t>
      </w:r>
      <w:r w:rsidR="00E24843">
        <w:rPr>
          <w:lang w:val="en-US"/>
        </w:rPr>
        <w:t>when n</w:t>
      </w:r>
      <w:r w:rsidR="006138E1">
        <w:rPr>
          <w:lang w:val="en-US"/>
        </w:rPr>
        <w:t xml:space="preserve">eat and tidy conceptual boundaries fail to accommodate messy realities and complexities faced by implementers. </w:t>
      </w:r>
      <w:r w:rsidR="00552BC2" w:rsidRPr="00552BC2">
        <w:rPr>
          <w:lang w:val="en-US"/>
        </w:rPr>
        <w:t xml:space="preserve"> </w:t>
      </w:r>
      <w:r w:rsidR="00552BC2">
        <w:rPr>
          <w:lang w:val="en-US"/>
        </w:rPr>
        <w:t>T</w:t>
      </w:r>
      <w:r w:rsidR="00552BC2" w:rsidRPr="005244ED">
        <w:rPr>
          <w:lang w:val="en-US"/>
        </w:rPr>
        <w:t xml:space="preserve">oo neat a definition might work against </w:t>
      </w:r>
      <w:r w:rsidR="00552BC2">
        <w:rPr>
          <w:lang w:val="en-US"/>
        </w:rPr>
        <w:t xml:space="preserve">more </w:t>
      </w:r>
      <w:r w:rsidR="00552BC2" w:rsidRPr="005244ED">
        <w:rPr>
          <w:lang w:val="en-US"/>
        </w:rPr>
        <w:t>widespread adoption</w:t>
      </w:r>
      <w:r w:rsidR="00552BC2">
        <w:rPr>
          <w:lang w:val="en-US"/>
        </w:rPr>
        <w:t>: an initially</w:t>
      </w:r>
      <w:r w:rsidR="00552BC2" w:rsidRPr="005244ED">
        <w:rPr>
          <w:lang w:val="en-US"/>
        </w:rPr>
        <w:t xml:space="preserve"> broad idea </w:t>
      </w:r>
      <w:r w:rsidR="00552BC2">
        <w:rPr>
          <w:lang w:val="en-US"/>
        </w:rPr>
        <w:t>connects</w:t>
      </w:r>
      <w:r w:rsidR="00552BC2" w:rsidRPr="005244ED">
        <w:rPr>
          <w:lang w:val="en-US"/>
        </w:rPr>
        <w:t xml:space="preserve"> to values people hold dear, or to a vision </w:t>
      </w:r>
      <w:r w:rsidR="00552BC2">
        <w:rPr>
          <w:lang w:val="en-US"/>
        </w:rPr>
        <w:t>they</w:t>
      </w:r>
      <w:r w:rsidR="00552BC2" w:rsidRPr="005244ED">
        <w:rPr>
          <w:lang w:val="en-US"/>
        </w:rPr>
        <w:t xml:space="preserve"> already </w:t>
      </w:r>
      <w:r w:rsidR="00552BC2">
        <w:rPr>
          <w:lang w:val="en-US"/>
        </w:rPr>
        <w:t>support, suggesting that p</w:t>
      </w:r>
      <w:r w:rsidR="00552BC2" w:rsidRPr="005244ED">
        <w:rPr>
          <w:lang w:val="en-US"/>
        </w:rPr>
        <w:t>eople can see themselves in the idea if they are able to self-define it. </w:t>
      </w:r>
      <w:r w:rsidR="00552BC2">
        <w:rPr>
          <w:lang w:val="en-US"/>
        </w:rPr>
        <w:t>If so, attempts at authoritative definition may prompt the splintering of the idea into different camps rather than consolidation.</w:t>
      </w:r>
    </w:p>
    <w:p w14:paraId="12818B24" w14:textId="031D8ECB" w:rsidR="0036415C" w:rsidRDefault="00552BC2" w:rsidP="00C42A4D">
      <w:pPr>
        <w:spacing w:line="276" w:lineRule="auto"/>
        <w:jc w:val="both"/>
        <w:rPr>
          <w:lang w:val="en-US"/>
        </w:rPr>
      </w:pPr>
      <w:r>
        <w:rPr>
          <w:lang w:val="en-US"/>
        </w:rPr>
        <w:t xml:space="preserve">Claims that clarity ought to precede implementation are weakened when </w:t>
      </w:r>
      <w:r w:rsidR="00254138">
        <w:rPr>
          <w:lang w:val="en-US"/>
        </w:rPr>
        <w:t xml:space="preserve">many such attempts at definition </w:t>
      </w:r>
      <w:r w:rsidR="00E24843">
        <w:rPr>
          <w:lang w:val="en-US"/>
        </w:rPr>
        <w:t>actually</w:t>
      </w:r>
      <w:r w:rsidR="00254138">
        <w:rPr>
          <w:lang w:val="en-US"/>
        </w:rPr>
        <w:t xml:space="preserve"> come later</w:t>
      </w:r>
      <w:r w:rsidR="00E24843">
        <w:rPr>
          <w:lang w:val="en-US"/>
        </w:rPr>
        <w:t xml:space="preserve">, when a buzzword has taken off to the extent that some actors seek clarity on what they are doing in its name. This sequence </w:t>
      </w:r>
      <w:r w:rsidR="00254138">
        <w:rPr>
          <w:lang w:val="en-US"/>
        </w:rPr>
        <w:t>create</w:t>
      </w:r>
      <w:r w:rsidR="00E24843">
        <w:rPr>
          <w:lang w:val="en-US"/>
        </w:rPr>
        <w:t>s</w:t>
      </w:r>
      <w:r w:rsidR="00254138">
        <w:rPr>
          <w:lang w:val="en-US"/>
        </w:rPr>
        <w:t xml:space="preserve"> additional problems</w:t>
      </w:r>
      <w:r w:rsidR="00E24843">
        <w:rPr>
          <w:lang w:val="en-US"/>
        </w:rPr>
        <w:t xml:space="preserve"> of</w:t>
      </w:r>
      <w:r w:rsidR="00254138">
        <w:rPr>
          <w:lang w:val="en-US"/>
        </w:rPr>
        <w:t xml:space="preserve"> </w:t>
      </w:r>
      <w:r w:rsidR="0036415C" w:rsidRPr="00C364F3">
        <w:rPr>
          <w:lang w:val="en-US"/>
        </w:rPr>
        <w:t>post-hoc rationalisation, where hastily concocted rationales are produced after the event</w:t>
      </w:r>
      <w:r w:rsidR="00E24843">
        <w:rPr>
          <w:lang w:val="en-US"/>
        </w:rPr>
        <w:t xml:space="preserve"> to assist ongoing action (for example, to aid </w:t>
      </w:r>
      <w:r w:rsidR="0036415C" w:rsidRPr="0036415C">
        <w:t>civil servants when making a business case for innovative approaches</w:t>
      </w:r>
      <w:r w:rsidR="00E24843">
        <w:t xml:space="preserve"> already in good currency)</w:t>
      </w:r>
      <w:r w:rsidR="0036415C" w:rsidRPr="005244ED">
        <w:rPr>
          <w:lang w:val="en-US"/>
        </w:rPr>
        <w:t xml:space="preserve">.  </w:t>
      </w:r>
      <w:r w:rsidR="00254138">
        <w:rPr>
          <w:lang w:val="en-US"/>
        </w:rPr>
        <w:t xml:space="preserve"> </w:t>
      </w:r>
      <w:r>
        <w:rPr>
          <w:lang w:val="en-US"/>
        </w:rPr>
        <w:t xml:space="preserve">Such sequencing issues are also exacerbated by </w:t>
      </w:r>
      <w:r w:rsidRPr="00552BC2">
        <w:rPr>
          <w:lang w:val="en-US"/>
        </w:rPr>
        <w:t>competing claims over who might be the most authoritative body to adjudicate on such matters.</w:t>
      </w:r>
    </w:p>
    <w:p w14:paraId="345E371F" w14:textId="77777777" w:rsidR="009C7335" w:rsidRPr="00C42A4D" w:rsidRDefault="009C7335" w:rsidP="00C42A4D">
      <w:pPr>
        <w:spacing w:line="276" w:lineRule="auto"/>
        <w:jc w:val="both"/>
      </w:pPr>
    </w:p>
    <w:p w14:paraId="336F202F" w14:textId="059470E6" w:rsidR="008543FE" w:rsidRPr="00C42A4D" w:rsidRDefault="003516B2" w:rsidP="00C42A4D">
      <w:pPr>
        <w:pBdr>
          <w:top w:val="single" w:sz="4" w:space="1" w:color="auto"/>
          <w:left w:val="single" w:sz="4" w:space="4" w:color="auto"/>
          <w:bottom w:val="single" w:sz="4" w:space="1" w:color="auto"/>
          <w:right w:val="single" w:sz="4" w:space="4" w:color="auto"/>
        </w:pBdr>
        <w:spacing w:line="276" w:lineRule="auto"/>
        <w:jc w:val="both"/>
        <w:rPr>
          <w:b/>
          <w:bCs/>
        </w:rPr>
      </w:pPr>
      <w:r>
        <w:rPr>
          <w:b/>
          <w:bCs/>
        </w:rPr>
        <w:lastRenderedPageBreak/>
        <w:t xml:space="preserve">Box 1: </w:t>
      </w:r>
      <w:r w:rsidR="008543FE" w:rsidRPr="00C42A4D">
        <w:rPr>
          <w:b/>
          <w:bCs/>
        </w:rPr>
        <w:t xml:space="preserve">Defining prevention </w:t>
      </w:r>
    </w:p>
    <w:p w14:paraId="1735F95E" w14:textId="42BB5FEA" w:rsidR="006C3A32" w:rsidRPr="00C42A4D" w:rsidRDefault="00C641DA" w:rsidP="00C42A4D">
      <w:pPr>
        <w:pBdr>
          <w:top w:val="single" w:sz="4" w:space="1" w:color="auto"/>
          <w:left w:val="single" w:sz="4" w:space="4" w:color="auto"/>
          <w:bottom w:val="single" w:sz="4" w:space="1" w:color="auto"/>
          <w:right w:val="single" w:sz="4" w:space="4" w:color="auto"/>
        </w:pBdr>
        <w:spacing w:line="276" w:lineRule="auto"/>
        <w:jc w:val="both"/>
      </w:pPr>
      <w:r>
        <w:t>Across</w:t>
      </w:r>
      <w:r w:rsidR="00975BFC">
        <w:t xml:space="preserve"> our participants, </w:t>
      </w:r>
      <w:r w:rsidR="000D6315">
        <w:t xml:space="preserve">those engaged in operational and </w:t>
      </w:r>
      <w:r w:rsidR="0089248F">
        <w:t>administrative roles within the new ICS structures particularly</w:t>
      </w:r>
      <w:r w:rsidR="008543FE" w:rsidRPr="00C42A4D">
        <w:t xml:space="preserve"> </w:t>
      </w:r>
      <w:r w:rsidR="00396FF0">
        <w:t>welcome</w:t>
      </w:r>
      <w:r w:rsidR="006C3A32" w:rsidRPr="00C42A4D">
        <w:t xml:space="preserve"> the definition of preventive health put forward under Chris Whitty as Chief Medical Officer. This definition disaggregates prevention into three distinct levels</w:t>
      </w:r>
      <w:r w:rsidR="00396FF0">
        <w:t>:</w:t>
      </w:r>
      <w:r w:rsidR="006C3A32" w:rsidRPr="00C42A4D">
        <w:t xml:space="preserve">  primary prevention (preventing disease before it occurs), secondary prevention (preventing disease progression</w:t>
      </w:r>
      <w:r w:rsidR="00BF6463" w:rsidRPr="00C42A4D">
        <w:t xml:space="preserve"> through early detection and intervention</w:t>
      </w:r>
      <w:r w:rsidR="006C3A32" w:rsidRPr="00C42A4D">
        <w:t>), and tertiary prevention (preventing hospital readmission</w:t>
      </w:r>
      <w:r w:rsidR="00BF6463" w:rsidRPr="00C42A4D">
        <w:t xml:space="preserve"> through effective disease and disability management</w:t>
      </w:r>
      <w:r w:rsidR="006C3A32" w:rsidRPr="00C42A4D">
        <w:t>)</w:t>
      </w:r>
      <w:r w:rsidR="003D6F1A">
        <w:t xml:space="preserve"> (Whitty et al, 2023)</w:t>
      </w:r>
      <w:r w:rsidR="006C3A32" w:rsidRPr="00C42A4D">
        <w:t>. Th</w:t>
      </w:r>
      <w:r w:rsidR="00EA64A6" w:rsidRPr="00C42A4D">
        <w:t>e CMO’s</w:t>
      </w:r>
      <w:r w:rsidR="006C3A32" w:rsidRPr="00C42A4D">
        <w:t xml:space="preserve"> definition proves useful </w:t>
      </w:r>
      <w:r w:rsidR="00396FF0">
        <w:t>for</w:t>
      </w:r>
      <w:r w:rsidR="00396FF0" w:rsidRPr="00C42A4D">
        <w:t xml:space="preserve"> </w:t>
      </w:r>
      <w:r w:rsidR="006C3A32" w:rsidRPr="00C42A4D">
        <w:t xml:space="preserve">practice for two reasons. One is that it lends credibility. Against a background of evidence-based medicine, an official definition from a respected authority helps </w:t>
      </w:r>
      <w:r w:rsidR="003D6F1A">
        <w:t>to</w:t>
      </w:r>
      <w:r w:rsidR="006C3A32" w:rsidRPr="00C42A4D">
        <w:t xml:space="preserve"> explain and justify investment in </w:t>
      </w:r>
      <w:r w:rsidR="00396FF0">
        <w:t xml:space="preserve">a shift from tertiary to </w:t>
      </w:r>
      <w:r w:rsidR="003D6F1A">
        <w:t xml:space="preserve">secondary </w:t>
      </w:r>
      <w:r w:rsidR="006C3A32" w:rsidRPr="00C42A4D">
        <w:t xml:space="preserve">prevention. Two is that it offers a formal framework. </w:t>
      </w:r>
      <w:r w:rsidR="009E06C5">
        <w:t>Administrators tasked</w:t>
      </w:r>
      <w:r>
        <w:t xml:space="preserve"> wit</w:t>
      </w:r>
      <w:r w:rsidR="009E06C5">
        <w:t>h overseeing and managing ICS budgets</w:t>
      </w:r>
      <w:r w:rsidR="006C3A32" w:rsidRPr="00C42A4D">
        <w:t xml:space="preserve"> use the distinct levels </w:t>
      </w:r>
      <w:r w:rsidR="00BF6463" w:rsidRPr="00C42A4D">
        <w:t xml:space="preserve">as a heuristic </w:t>
      </w:r>
      <w:r w:rsidR="006C3A32" w:rsidRPr="00C42A4D">
        <w:t>to track spend</w:t>
      </w:r>
      <w:r w:rsidR="00396FF0">
        <w:t>ing</w:t>
      </w:r>
      <w:r w:rsidR="006C3A32" w:rsidRPr="00C42A4D">
        <w:t xml:space="preserve"> and measure effectiveness.</w:t>
      </w:r>
    </w:p>
    <w:p w14:paraId="691C8554" w14:textId="77777777" w:rsidR="00840D8E" w:rsidRDefault="006C3A32" w:rsidP="00C42A4D">
      <w:pPr>
        <w:pBdr>
          <w:top w:val="single" w:sz="4" w:space="1" w:color="auto"/>
          <w:left w:val="single" w:sz="4" w:space="4" w:color="auto"/>
          <w:bottom w:val="single" w:sz="4" w:space="1" w:color="auto"/>
          <w:right w:val="single" w:sz="4" w:space="4" w:color="auto"/>
        </w:pBdr>
        <w:spacing w:line="276" w:lineRule="auto"/>
        <w:jc w:val="both"/>
      </w:pPr>
      <w:r w:rsidRPr="00C42A4D">
        <w:t xml:space="preserve">However, others </w:t>
      </w:r>
      <w:r w:rsidR="000D6315">
        <w:t>engaged in more strategic</w:t>
      </w:r>
      <w:r w:rsidR="00C87618">
        <w:t xml:space="preserve"> leadership</w:t>
      </w:r>
      <w:r w:rsidR="000D6315">
        <w:t xml:space="preserve"> </w:t>
      </w:r>
      <w:r w:rsidR="00C87618">
        <w:t xml:space="preserve">roles </w:t>
      </w:r>
      <w:r w:rsidRPr="00C42A4D">
        <w:t xml:space="preserve">are less enamoured with the definition. </w:t>
      </w:r>
      <w:r w:rsidR="003D6F1A">
        <w:t>Some</w:t>
      </w:r>
      <w:r w:rsidRPr="00C42A4D">
        <w:t xml:space="preserve"> argue that it </w:t>
      </w:r>
      <w:r w:rsidR="003D6F1A">
        <w:t xml:space="preserve">reinforces support towards secondary prevention </w:t>
      </w:r>
      <w:r w:rsidR="00396FF0">
        <w:t xml:space="preserve">(which received the most definitional attention) </w:t>
      </w:r>
      <w:r w:rsidR="003D6F1A">
        <w:t>at the expense of</w:t>
      </w:r>
      <w:r w:rsidR="00BF6463" w:rsidRPr="00C42A4D">
        <w:t xml:space="preserve"> </w:t>
      </w:r>
      <w:r w:rsidRPr="00C42A4D">
        <w:t xml:space="preserve">the more radical potential of primary prevention </w:t>
      </w:r>
      <w:r w:rsidR="00396FF0">
        <w:t>(</w:t>
      </w:r>
      <w:r w:rsidR="003D6F1A">
        <w:t xml:space="preserve">which </w:t>
      </w:r>
      <w:r w:rsidRPr="00C42A4D">
        <w:t>remains</w:t>
      </w:r>
      <w:r w:rsidR="00BF6463" w:rsidRPr="00C42A4D">
        <w:t xml:space="preserve"> ambiguous</w:t>
      </w:r>
      <w:r w:rsidR="00396FF0">
        <w:t>)</w:t>
      </w:r>
      <w:r w:rsidR="00BF6463" w:rsidRPr="00C42A4D">
        <w:t xml:space="preserve">. </w:t>
      </w:r>
      <w:r w:rsidRPr="00C42A4D">
        <w:t xml:space="preserve"> </w:t>
      </w:r>
      <w:r w:rsidR="00396FF0">
        <w:t>T</w:t>
      </w:r>
      <w:r w:rsidR="00BF6463" w:rsidRPr="00C42A4D">
        <w:t>he worry is that the veneer provided by a formal definition disguises more business-as-usual</w:t>
      </w:r>
      <w:r w:rsidR="00C87618">
        <w:t xml:space="preserve">. One ICS leader explained: </w:t>
      </w:r>
    </w:p>
    <w:p w14:paraId="3C16680E" w14:textId="295B708C" w:rsidR="00840D8E" w:rsidRDefault="00C87618" w:rsidP="00C42A4D">
      <w:pPr>
        <w:pBdr>
          <w:top w:val="single" w:sz="4" w:space="1" w:color="auto"/>
          <w:left w:val="single" w:sz="4" w:space="4" w:color="auto"/>
          <w:bottom w:val="single" w:sz="4" w:space="1" w:color="auto"/>
          <w:right w:val="single" w:sz="4" w:space="4" w:color="auto"/>
        </w:pBdr>
        <w:spacing w:line="276" w:lineRule="auto"/>
        <w:jc w:val="both"/>
      </w:pPr>
      <w:r w:rsidRPr="00AA41E6">
        <w:rPr>
          <w:i/>
          <w:iCs/>
        </w:rPr>
        <w:t>I find NHS colleagues can over focus on the need to have an absolute definition of something before we’re allowed to move on to the next step of anything... Sometimes that can be the reason for not doing anything.</w:t>
      </w:r>
      <w:r w:rsidR="00BF6463" w:rsidRPr="00E24843">
        <w:t xml:space="preserve"> </w:t>
      </w:r>
    </w:p>
    <w:p w14:paraId="6BE88B24" w14:textId="0284E552" w:rsidR="00476A61" w:rsidRPr="00785089" w:rsidRDefault="00011FFD" w:rsidP="00C42A4D">
      <w:pPr>
        <w:pBdr>
          <w:top w:val="single" w:sz="4" w:space="1" w:color="auto"/>
          <w:left w:val="single" w:sz="4" w:space="4" w:color="auto"/>
          <w:bottom w:val="single" w:sz="4" w:space="1" w:color="auto"/>
          <w:right w:val="single" w:sz="4" w:space="4" w:color="auto"/>
        </w:pBdr>
        <w:spacing w:line="276" w:lineRule="auto"/>
        <w:jc w:val="both"/>
      </w:pPr>
      <w:r>
        <w:t xml:space="preserve">A </w:t>
      </w:r>
      <w:r w:rsidR="003B2367">
        <w:t xml:space="preserve">few </w:t>
      </w:r>
      <w:r w:rsidR="00840D8E">
        <w:t>further on the periphery of ICSs – in frontline roles in primary care of voluntary services - even</w:t>
      </w:r>
      <w:r w:rsidR="003B2367">
        <w:t xml:space="preserve"> wanted to dispense with prevention altogether, and replace it with more precise wording tha</w:t>
      </w:r>
      <w:r w:rsidR="00DC2F33">
        <w:t xml:space="preserve">t they felt better captured </w:t>
      </w:r>
      <w:r>
        <w:t>the</w:t>
      </w:r>
      <w:r w:rsidR="00840D8E">
        <w:t>ir</w:t>
      </w:r>
      <w:r>
        <w:t xml:space="preserve"> true aims and intentions</w:t>
      </w:r>
      <w:r w:rsidR="0060119B">
        <w:t>. One primary care specialist summed this up: “I just hate this word prevention.”</w:t>
      </w:r>
    </w:p>
    <w:p w14:paraId="18BE96BC" w14:textId="49115584" w:rsidR="00520141" w:rsidRPr="006138E1" w:rsidRDefault="00A9430F" w:rsidP="00C42A4D">
      <w:pPr>
        <w:spacing w:line="276" w:lineRule="auto"/>
        <w:jc w:val="both"/>
        <w:rPr>
          <w:b/>
          <w:bCs/>
          <w:sz w:val="32"/>
          <w:szCs w:val="32"/>
        </w:rPr>
      </w:pPr>
      <w:r w:rsidRPr="00C42A4D">
        <w:rPr>
          <w:b/>
          <w:bCs/>
          <w:sz w:val="32"/>
          <w:szCs w:val="32"/>
        </w:rPr>
        <w:t>Response</w:t>
      </w:r>
      <w:r w:rsidRPr="006138E1">
        <w:rPr>
          <w:b/>
          <w:bCs/>
          <w:sz w:val="32"/>
          <w:szCs w:val="32"/>
        </w:rPr>
        <w:t xml:space="preserve"> </w:t>
      </w:r>
      <w:r w:rsidR="006138E1">
        <w:rPr>
          <w:b/>
          <w:bCs/>
          <w:sz w:val="32"/>
          <w:szCs w:val="32"/>
        </w:rPr>
        <w:t>Two</w:t>
      </w:r>
      <w:r w:rsidR="0036415C" w:rsidRPr="006138E1">
        <w:rPr>
          <w:b/>
          <w:bCs/>
          <w:sz w:val="32"/>
          <w:szCs w:val="32"/>
        </w:rPr>
        <w:t xml:space="preserve">: </w:t>
      </w:r>
      <w:r w:rsidR="003E7774" w:rsidRPr="006138E1">
        <w:rPr>
          <w:b/>
          <w:bCs/>
          <w:sz w:val="32"/>
          <w:szCs w:val="32"/>
        </w:rPr>
        <w:t>Deliber</w:t>
      </w:r>
      <w:r w:rsidR="003E7774" w:rsidRPr="006F3B93">
        <w:rPr>
          <w:b/>
          <w:bCs/>
          <w:sz w:val="32"/>
          <w:szCs w:val="32"/>
        </w:rPr>
        <w:t xml:space="preserve">ate </w:t>
      </w:r>
    </w:p>
    <w:p w14:paraId="048AFBF5" w14:textId="7DFBA312" w:rsidR="00520141" w:rsidRDefault="003D6F1A" w:rsidP="00C42A4D">
      <w:pPr>
        <w:spacing w:line="276" w:lineRule="auto"/>
        <w:jc w:val="both"/>
      </w:pPr>
      <w:r>
        <w:t>The second option</w:t>
      </w:r>
      <w:r w:rsidR="00520141">
        <w:t xml:space="preserve"> is deliberati</w:t>
      </w:r>
      <w:r w:rsidR="003E7774">
        <w:t xml:space="preserve">on, </w:t>
      </w:r>
      <w:r>
        <w:t xml:space="preserve">involving </w:t>
      </w:r>
      <w:r w:rsidR="003E7774">
        <w:t>a wide range of actors committed to</w:t>
      </w:r>
      <w:r w:rsidR="00520141">
        <w:t xml:space="preserve"> work</w:t>
      </w:r>
      <w:r w:rsidR="003E7774">
        <w:t>ing</w:t>
      </w:r>
      <w:r w:rsidR="00520141">
        <w:t xml:space="preserve"> out collectively the meaning and concrete implications of a</w:t>
      </w:r>
      <w:r>
        <w:t xml:space="preserve">n </w:t>
      </w:r>
      <w:r w:rsidR="00520141">
        <w:t>idea</w:t>
      </w:r>
      <w:r w:rsidR="003E7774">
        <w:t>.</w:t>
      </w:r>
      <w:r w:rsidR="00520141">
        <w:t xml:space="preserve"> The deliberative model</w:t>
      </w:r>
      <w:r w:rsidR="00CA0685">
        <w:t xml:space="preserve"> </w:t>
      </w:r>
      <w:r w:rsidR="00520141">
        <w:t xml:space="preserve">does not privilege the interpretations of those at the centre of any policymaking system. Instead, it aims to surface the relevant beliefs and experiences of all important actors engaged across </w:t>
      </w:r>
      <w:r w:rsidR="00CA0685">
        <w:t xml:space="preserve">a </w:t>
      </w:r>
      <w:r w:rsidR="00520141">
        <w:t>system, in the hopes of reaching a shared understanding.</w:t>
      </w:r>
    </w:p>
    <w:p w14:paraId="62F0A4DE" w14:textId="7BFBA6C0" w:rsidR="00520141" w:rsidRDefault="00520141" w:rsidP="00C42A4D">
      <w:pPr>
        <w:spacing w:line="276" w:lineRule="auto"/>
        <w:jc w:val="both"/>
      </w:pPr>
      <w:r>
        <w:t>The strengths of deliberating to resolve ambiguity are well-theorised</w:t>
      </w:r>
      <w:r w:rsidR="000A4FD5">
        <w:t xml:space="preserve"> (Hajer and Wagenaar 2003)</w:t>
      </w:r>
      <w:r>
        <w:t>. This approach taps into the collective wisdom of actors across the system to help smooth the interpretation and implementation of new policy ideas into practice. New (or rehashed) ideas are pitched into a context of complex needs, historical legacies, and competing demands across levels and sectors. Processes of deliberation can</w:t>
      </w:r>
      <w:r w:rsidR="000A4FD5">
        <w:t xml:space="preserve"> work with</w:t>
      </w:r>
      <w:r>
        <w:t xml:space="preserve"> this rich tapestry of institutional memory, professional expertise and lived experience to build a shared definition </w:t>
      </w:r>
      <w:r>
        <w:lastRenderedPageBreak/>
        <w:t xml:space="preserve">that can be more robust to the contingencies of everyday practice. </w:t>
      </w:r>
      <w:r w:rsidR="00CA0685">
        <w:t>Deliberation offers the comfort of</w:t>
      </w:r>
      <w:r>
        <w:t xml:space="preserve"> buy-in.</w:t>
      </w:r>
    </w:p>
    <w:p w14:paraId="520217EF" w14:textId="03D76829" w:rsidR="007D0F4C" w:rsidRDefault="00520141" w:rsidP="00C42A4D">
      <w:pPr>
        <w:spacing w:line="276" w:lineRule="auto"/>
        <w:jc w:val="both"/>
      </w:pPr>
      <w:r>
        <w:t xml:space="preserve">This promise depends on effective support to enable </w:t>
      </w:r>
      <w:r w:rsidR="00E16933">
        <w:t xml:space="preserve">meaningful </w:t>
      </w:r>
      <w:r>
        <w:t xml:space="preserve">deliberation. Historically, </w:t>
      </w:r>
      <w:r w:rsidR="00E16933">
        <w:t>a</w:t>
      </w:r>
      <w:r w:rsidR="001C362A">
        <w:t>n</w:t>
      </w:r>
      <w:r>
        <w:t xml:space="preserve"> </w:t>
      </w:r>
      <w:r w:rsidR="001C362A">
        <w:t>ad hoc</w:t>
      </w:r>
      <w:r>
        <w:t xml:space="preserve"> discursive process has </w:t>
      </w:r>
      <w:r w:rsidR="00E16933">
        <w:t xml:space="preserve">often </w:t>
      </w:r>
      <w:r>
        <w:t xml:space="preserve">prevailed, with those at the centre convening </w:t>
      </w:r>
      <w:r w:rsidR="001C362A">
        <w:t>unsystematic</w:t>
      </w:r>
      <w:r>
        <w:t xml:space="preserve"> processes of consultation, dialogue and engagement with policymakers from other levels and sectors of government, stakeholders in the third and private sectors, and – much more occasionally – service users and affected citizens. Recent decades have seen efforts to </w:t>
      </w:r>
      <w:r w:rsidR="00E16933">
        <w:t xml:space="preserve">organise </w:t>
      </w:r>
      <w:r>
        <w:t>these moments of deliberation</w:t>
      </w:r>
      <w:r w:rsidR="003E7774">
        <w:t xml:space="preserve">, with the rise of a host of </w:t>
      </w:r>
      <w:r w:rsidR="001C362A">
        <w:t xml:space="preserve">process-based </w:t>
      </w:r>
      <w:r w:rsidR="003E7774">
        <w:t>buzzwords</w:t>
      </w:r>
      <w:r w:rsidR="001C362A">
        <w:t xml:space="preserve"> </w:t>
      </w:r>
      <w:r w:rsidR="003E7774">
        <w:t>that promise to offer the right framework and conditions to make collective work possible</w:t>
      </w:r>
      <w:r w:rsidR="001C362A">
        <w:t xml:space="preserve"> (in other words, buzzwords to describe addressing other buzzwords)</w:t>
      </w:r>
      <w:r w:rsidR="00AB00A9">
        <w:t>.  A range of ‘co’ words</w:t>
      </w:r>
      <w:r w:rsidR="006A0E4A">
        <w:rPr>
          <w:color w:val="000000"/>
        </w:rPr>
        <w:t xml:space="preserve"> has emerged</w:t>
      </w:r>
      <w:r w:rsidR="00E16933">
        <w:t xml:space="preserve"> - including</w:t>
      </w:r>
      <w:r w:rsidR="003E7774">
        <w:t xml:space="preserve"> co-production, collaboration, co-creation, </w:t>
      </w:r>
      <w:r w:rsidR="00E16933">
        <w:t xml:space="preserve">and </w:t>
      </w:r>
      <w:r w:rsidR="003E7774">
        <w:t xml:space="preserve">co-design </w:t>
      </w:r>
      <w:r w:rsidR="00E16933">
        <w:t>(</w:t>
      </w:r>
      <w:r w:rsidR="00E16933" w:rsidRPr="0019612A">
        <w:rPr>
          <w:color w:val="000000"/>
        </w:rPr>
        <w:t>Williams et al</w:t>
      </w:r>
      <w:r w:rsidR="003516B2">
        <w:rPr>
          <w:color w:val="000000"/>
        </w:rPr>
        <w:t>.</w:t>
      </w:r>
      <w:r w:rsidR="00E16933" w:rsidRPr="0019612A">
        <w:rPr>
          <w:color w:val="000000"/>
        </w:rPr>
        <w:t xml:space="preserve"> 2020</w:t>
      </w:r>
      <w:r w:rsidR="00E16933">
        <w:rPr>
          <w:color w:val="000000"/>
        </w:rPr>
        <w:t xml:space="preserve">: </w:t>
      </w:r>
      <w:r w:rsidR="00E16933" w:rsidRPr="0019612A">
        <w:rPr>
          <w:color w:val="000000"/>
        </w:rPr>
        <w:t>2-3)</w:t>
      </w:r>
      <w:r w:rsidR="00E16933">
        <w:t xml:space="preserve"> – alongside </w:t>
      </w:r>
      <w:r>
        <w:t xml:space="preserve">a cottage industry within government, think tanks and the consulting sector </w:t>
      </w:r>
      <w:r w:rsidR="00AB00A9">
        <w:t>(</w:t>
      </w:r>
      <w:r w:rsidR="006A0E4A">
        <w:t xml:space="preserve">Collier and Levitsky, 1997; </w:t>
      </w:r>
      <w:r w:rsidR="006A0E4A" w:rsidRPr="006A0E4A">
        <w:t>Vershuere et al 2012</w:t>
      </w:r>
      <w:r w:rsidR="006A0E4A">
        <w:t>)</w:t>
      </w:r>
      <w:r>
        <w:t>. There has been a rise of ‘deliberative practitioners’ armed with</w:t>
      </w:r>
      <w:r w:rsidR="001C362A">
        <w:t xml:space="preserve"> usually</w:t>
      </w:r>
      <w:r>
        <w:t xml:space="preserve"> low</w:t>
      </w:r>
      <w:r w:rsidR="001C362A">
        <w:t>-</w:t>
      </w:r>
      <w:r>
        <w:t xml:space="preserve"> and occasionally high</w:t>
      </w:r>
      <w:r w:rsidR="001C362A">
        <w:t>-</w:t>
      </w:r>
      <w:r>
        <w:t>tech tools to create an environment in which to elicit reflections from a diversity of policy actors, work through conflicts and misunderstandings, and reach consensus or compromise</w:t>
      </w:r>
      <w:r w:rsidR="000F3B97">
        <w:t xml:space="preserve"> (Forester 2013)</w:t>
      </w:r>
      <w:r>
        <w:t>.</w:t>
      </w:r>
    </w:p>
    <w:p w14:paraId="18E1F935" w14:textId="1B699526" w:rsidR="00520141" w:rsidRDefault="00520141" w:rsidP="00C42A4D">
      <w:pPr>
        <w:spacing w:line="276" w:lineRule="auto"/>
        <w:jc w:val="both"/>
      </w:pPr>
      <w:r>
        <w:t xml:space="preserve">However, experience reveals that deliberation – whether </w:t>
      </w:r>
      <w:r w:rsidR="001C362A">
        <w:t>ad hoc or</w:t>
      </w:r>
      <w:r w:rsidR="003E7774">
        <w:t xml:space="preserve"> </w:t>
      </w:r>
      <w:r w:rsidR="00E16933">
        <w:t xml:space="preserve">systematic </w:t>
      </w:r>
      <w:r>
        <w:t xml:space="preserve">– is seldom a panacea for the challenges of achieving shared buy-in to turn a vague idea into concrete initiatives. </w:t>
      </w:r>
      <w:r w:rsidR="00E16933">
        <w:t>Initially</w:t>
      </w:r>
      <w:r w:rsidR="005244ED">
        <w:t>, there is</w:t>
      </w:r>
      <w:r>
        <w:t xml:space="preserve"> </w:t>
      </w:r>
      <w:r w:rsidR="005244ED">
        <w:t>a</w:t>
      </w:r>
      <w:r>
        <w:t xml:space="preserve"> risk </w:t>
      </w:r>
      <w:r w:rsidR="00475CF7">
        <w:t xml:space="preserve">of - at least </w:t>
      </w:r>
      <w:r>
        <w:t>accusations of</w:t>
      </w:r>
      <w:r w:rsidR="00475CF7">
        <w:t xml:space="preserve"> -</w:t>
      </w:r>
      <w:r>
        <w:t xml:space="preserve"> navel-gazing. </w:t>
      </w:r>
      <w:r w:rsidR="00475CF7">
        <w:t>Many</w:t>
      </w:r>
      <w:r>
        <w:t xml:space="preserve"> processes of deliberation occur as one-offs amid busy diaries and heavy work demands. For those involved, they can be a welcome or pleasant break from the everyday grind, but often fail to ‘go anywhere’.</w:t>
      </w:r>
      <w:r w:rsidR="004A1182">
        <w:t xml:space="preserve"> </w:t>
      </w:r>
      <w:r w:rsidR="00CD5C5F">
        <w:t>At times, it is hard not to interpret</w:t>
      </w:r>
      <w:r w:rsidR="004258AC">
        <w:t xml:space="preserve"> high-level calls for</w:t>
      </w:r>
      <w:r w:rsidR="00DA4555">
        <w:t xml:space="preserve"> deliberat</w:t>
      </w:r>
      <w:r w:rsidR="004258AC">
        <w:t>ion</w:t>
      </w:r>
      <w:r w:rsidR="00CD5C5F">
        <w:t xml:space="preserve"> as a</w:t>
      </w:r>
      <w:r w:rsidR="00DA4555">
        <w:t>n intentional</w:t>
      </w:r>
      <w:r w:rsidR="00CD5C5F">
        <w:t xml:space="preserve"> form of what McConnell and t’Hart </w:t>
      </w:r>
      <w:r w:rsidR="004029F1">
        <w:t>(201</w:t>
      </w:r>
      <w:r w:rsidR="00991CCF">
        <w:t>9</w:t>
      </w:r>
      <w:r w:rsidR="004029F1">
        <w:t xml:space="preserve">) </w:t>
      </w:r>
      <w:r w:rsidR="00CD5C5F">
        <w:t>call ‘</w:t>
      </w:r>
      <w:r w:rsidR="004029F1">
        <w:t xml:space="preserve">policy </w:t>
      </w:r>
      <w:r w:rsidR="00CD5C5F">
        <w:t>inaction’</w:t>
      </w:r>
      <w:r w:rsidR="005730F9">
        <w:t xml:space="preserve"> -</w:t>
      </w:r>
      <w:r w:rsidR="00DA4555">
        <w:t xml:space="preserve"> </w:t>
      </w:r>
      <w:r w:rsidR="00A27126">
        <w:t xml:space="preserve">appearing to tackle a thorny issue without having to actually do anything difficult or controversial (see, for example, Boswell </w:t>
      </w:r>
      <w:r w:rsidR="004258AC">
        <w:t>and Corbett 2015</w:t>
      </w:r>
      <w:r w:rsidR="00A27126">
        <w:t>)</w:t>
      </w:r>
      <w:r w:rsidR="004258AC">
        <w:t>.</w:t>
      </w:r>
      <w:r>
        <w:t xml:space="preserve"> There are real-world limits </w:t>
      </w:r>
      <w:r w:rsidR="00E16933">
        <w:t xml:space="preserve">to resourcing </w:t>
      </w:r>
      <w:r>
        <w:t xml:space="preserve">deliberation </w:t>
      </w:r>
      <w:r w:rsidR="00E16933">
        <w:t>enough</w:t>
      </w:r>
      <w:r>
        <w:t xml:space="preserve"> to deliver on the promise of resolving conflicts and misunderstanding</w:t>
      </w:r>
      <w:r w:rsidR="005244ED">
        <w:t>.</w:t>
      </w:r>
      <w:r w:rsidR="00E16933">
        <w:t xml:space="preserve"> Further,</w:t>
      </w:r>
      <w:r w:rsidR="005244ED">
        <w:t xml:space="preserve"> there are</w:t>
      </w:r>
      <w:r>
        <w:t xml:space="preserve"> pervasive power dynamics</w:t>
      </w:r>
      <w:r w:rsidR="00E16933">
        <w:t xml:space="preserve"> that cannot be resolved simply by agreeing to </w:t>
      </w:r>
      <w:r w:rsidR="000F3B97">
        <w:t>delibe</w:t>
      </w:r>
      <w:r w:rsidR="00E16933">
        <w:t>rate</w:t>
      </w:r>
      <w:r w:rsidR="000F3B97">
        <w:t xml:space="preserve"> (Wolf and van Dooren 2021)</w:t>
      </w:r>
      <w:r>
        <w:t xml:space="preserve">. </w:t>
      </w:r>
      <w:r w:rsidR="00E16933">
        <w:t>For example, t</w:t>
      </w:r>
      <w:r>
        <w:t>here is a risk of a chilling effect</w:t>
      </w:r>
      <w:r w:rsidR="00E16933">
        <w:t xml:space="preserve"> when the</w:t>
      </w:r>
      <w:r>
        <w:t xml:space="preserve"> power</w:t>
      </w:r>
      <w:r w:rsidR="00E16933">
        <w:t xml:space="preserve"> relationships</w:t>
      </w:r>
      <w:r>
        <w:t xml:space="preserve"> that exist outside </w:t>
      </w:r>
      <w:r w:rsidR="00E16933">
        <w:t xml:space="preserve">of </w:t>
      </w:r>
      <w:r>
        <w:t>deliberative moment</w:t>
      </w:r>
      <w:r w:rsidR="00E16933">
        <w:t>s</w:t>
      </w:r>
      <w:r>
        <w:t xml:space="preserve"> constrain actors</w:t>
      </w:r>
      <w:r w:rsidR="00E16933">
        <w:t xml:space="preserve">, such as when </w:t>
      </w:r>
      <w:r>
        <w:t>local or third sector</w:t>
      </w:r>
      <w:r w:rsidR="00475CF7">
        <w:t>/non-profit</w:t>
      </w:r>
      <w:r>
        <w:t xml:space="preserve"> actors </w:t>
      </w:r>
      <w:r w:rsidR="00E16933">
        <w:t xml:space="preserve">- </w:t>
      </w:r>
      <w:r>
        <w:t>whose jobs are dependent on funding from centr</w:t>
      </w:r>
      <w:r w:rsidR="00475CF7">
        <w:t>al government</w:t>
      </w:r>
      <w:r w:rsidR="00E16933">
        <w:t xml:space="preserve"> - </w:t>
      </w:r>
      <w:r>
        <w:t xml:space="preserve">may not feel able to express their views frankly. </w:t>
      </w:r>
      <w:r w:rsidR="00E16933">
        <w:t>F</w:t>
      </w:r>
      <w:r w:rsidR="004A1182">
        <w:t>inally</w:t>
      </w:r>
      <w:r>
        <w:t xml:space="preserve"> there is a risk of inflaming latent conflicts. Many of the ideas that wax and wane in policymaking circles entail ‘turf wars’ across jurisdictions and sectors, and processes of deliberation can inadvertently in</w:t>
      </w:r>
      <w:r w:rsidR="003E7774">
        <w:t>flame</w:t>
      </w:r>
      <w:r>
        <w:t xml:space="preserve"> bureaucratic battles.</w:t>
      </w:r>
    </w:p>
    <w:p w14:paraId="302219BB" w14:textId="7EBBDE88" w:rsidR="00520141" w:rsidRDefault="005244ED" w:rsidP="00C42A4D">
      <w:pPr>
        <w:spacing w:line="276" w:lineRule="auto"/>
        <w:jc w:val="both"/>
      </w:pPr>
      <w:r>
        <w:t>The upshot can be cynicism</w:t>
      </w:r>
      <w:r w:rsidR="00F95FAA">
        <w:t xml:space="preserve"> rather than consensus</w:t>
      </w:r>
      <w:r>
        <w:t>.</w:t>
      </w:r>
      <w:r w:rsidR="00520141">
        <w:t xml:space="preserve"> Prior experience of cycles of enthusiasm and frustration around shiny new ideas can </w:t>
      </w:r>
      <w:r>
        <w:t>leave actors sceptical</w:t>
      </w:r>
      <w:r w:rsidR="003E7774">
        <w:t xml:space="preserve"> about the value of </w:t>
      </w:r>
      <w:r>
        <w:t xml:space="preserve">further </w:t>
      </w:r>
      <w:r w:rsidR="003E7774">
        <w:t>deliberation</w:t>
      </w:r>
      <w:r w:rsidR="00F95FAA">
        <w:t xml:space="preserve">, especially if they see them as part of ‘talking shops’ that reinforce rather than challenge the usual bureaucratic politics </w:t>
      </w:r>
      <w:r>
        <w:t>(Boswell 2016)</w:t>
      </w:r>
      <w:r w:rsidR="00520141">
        <w:t xml:space="preserve">.   </w:t>
      </w:r>
    </w:p>
    <w:p w14:paraId="0FEC24F3" w14:textId="3EBBD852" w:rsidR="00BF6463" w:rsidRPr="00C42A4D" w:rsidRDefault="00FD0342" w:rsidP="00C42A4D">
      <w:pPr>
        <w:pBdr>
          <w:top w:val="single" w:sz="4" w:space="1" w:color="auto"/>
          <w:left w:val="single" w:sz="4" w:space="4" w:color="auto"/>
          <w:bottom w:val="single" w:sz="4" w:space="1" w:color="auto"/>
          <w:right w:val="single" w:sz="4" w:space="4" w:color="auto"/>
        </w:pBdr>
        <w:spacing w:line="276" w:lineRule="auto"/>
        <w:jc w:val="both"/>
        <w:rPr>
          <w:b/>
          <w:bCs/>
        </w:rPr>
      </w:pPr>
      <w:r>
        <w:rPr>
          <w:b/>
          <w:bCs/>
        </w:rPr>
        <w:t xml:space="preserve">Box 2: </w:t>
      </w:r>
      <w:r w:rsidR="00BF6463" w:rsidRPr="00C42A4D">
        <w:rPr>
          <w:b/>
          <w:bCs/>
        </w:rPr>
        <w:t xml:space="preserve">Deliberating about prevention </w:t>
      </w:r>
    </w:p>
    <w:p w14:paraId="2A68334A" w14:textId="6F7B74DF" w:rsidR="00E6624C" w:rsidRDefault="00422F56" w:rsidP="00C42A4D">
      <w:pPr>
        <w:pBdr>
          <w:top w:val="single" w:sz="4" w:space="1" w:color="auto"/>
          <w:left w:val="single" w:sz="4" w:space="4" w:color="auto"/>
          <w:bottom w:val="single" w:sz="4" w:space="1" w:color="auto"/>
          <w:right w:val="single" w:sz="4" w:space="4" w:color="auto"/>
        </w:pBdr>
        <w:spacing w:line="276" w:lineRule="auto"/>
        <w:jc w:val="both"/>
      </w:pPr>
      <w:r>
        <w:lastRenderedPageBreak/>
        <w:t xml:space="preserve">A broad cross section of </w:t>
      </w:r>
      <w:r w:rsidR="00BF6463" w:rsidRPr="00C42A4D">
        <w:t xml:space="preserve"> policy actors</w:t>
      </w:r>
      <w:r>
        <w:t xml:space="preserve"> from our sample</w:t>
      </w:r>
      <w:r w:rsidR="00BF6463" w:rsidRPr="00C42A4D">
        <w:t xml:space="preserve"> see value in deliberating first to make sense of prevention</w:t>
      </w:r>
      <w:r w:rsidR="003A3C1C" w:rsidRPr="00C42A4D">
        <w:t xml:space="preserve"> together</w:t>
      </w:r>
      <w:r w:rsidR="00BF6463" w:rsidRPr="00C42A4D">
        <w:t xml:space="preserve">. The shift </w:t>
      </w:r>
      <w:r w:rsidR="00475CF7">
        <w:t xml:space="preserve">in England </w:t>
      </w:r>
      <w:r w:rsidR="00BF6463" w:rsidRPr="00C42A4D">
        <w:t xml:space="preserve">to </w:t>
      </w:r>
      <w:r w:rsidR="00475CF7">
        <w:t>a new</w:t>
      </w:r>
      <w:r w:rsidR="00BF6463" w:rsidRPr="00C42A4D">
        <w:t xml:space="preserve"> governance architecture has </w:t>
      </w:r>
      <w:r w:rsidR="00F50DF3" w:rsidRPr="00C42A4D">
        <w:t xml:space="preserve">invited reflection and discussion on the future of the prevention agenda. A small minority of </w:t>
      </w:r>
      <w:r w:rsidR="00475CF7">
        <w:t>‘</w:t>
      </w:r>
      <w:r w:rsidR="00F50DF3" w:rsidRPr="00C42A4D">
        <w:t>system leaders</w:t>
      </w:r>
      <w:r w:rsidR="00475CF7">
        <w:t>’</w:t>
      </w:r>
      <w:r w:rsidR="00F50DF3" w:rsidRPr="00C42A4D">
        <w:t xml:space="preserve"> </w:t>
      </w:r>
      <w:r>
        <w:t xml:space="preserve">in charge of managing ICSs </w:t>
      </w:r>
      <w:r w:rsidR="00F50DF3" w:rsidRPr="00C42A4D">
        <w:t xml:space="preserve">have </w:t>
      </w:r>
      <w:r w:rsidR="00475CF7">
        <w:t>used</w:t>
      </w:r>
      <w:r w:rsidR="00F50DF3" w:rsidRPr="00C42A4D">
        <w:t xml:space="preserve"> the transition as an opportunity</w:t>
      </w:r>
      <w:r w:rsidR="00BF6463" w:rsidRPr="00C42A4D">
        <w:t xml:space="preserve"> </w:t>
      </w:r>
      <w:r w:rsidR="00F50DF3" w:rsidRPr="00C42A4D">
        <w:t>to schedule</w:t>
      </w:r>
      <w:r w:rsidR="00BF6463" w:rsidRPr="00C42A4D">
        <w:t xml:space="preserve"> more mindful forms of dialogue and discussion</w:t>
      </w:r>
      <w:r w:rsidR="00F50DF3" w:rsidRPr="00C42A4D">
        <w:t xml:space="preserve">. </w:t>
      </w:r>
      <w:r w:rsidR="00A87485">
        <w:t>Others further on the periphery of ICSs also</w:t>
      </w:r>
      <w:r>
        <w:t xml:space="preserve"> </w:t>
      </w:r>
      <w:r w:rsidR="00F50DF3" w:rsidRPr="00C42A4D">
        <w:t>reflect positively on how deliberation can establish a sense</w:t>
      </w:r>
      <w:r w:rsidR="00BF6463" w:rsidRPr="00C42A4D">
        <w:t xml:space="preserve"> </w:t>
      </w:r>
      <w:r w:rsidR="00F50DF3" w:rsidRPr="00C42A4D">
        <w:t xml:space="preserve">of collective </w:t>
      </w:r>
      <w:r w:rsidR="00BF6463" w:rsidRPr="00C42A4D">
        <w:t>buy-in</w:t>
      </w:r>
      <w:r w:rsidR="00F50DF3" w:rsidRPr="00C42A4D">
        <w:t xml:space="preserve"> </w:t>
      </w:r>
      <w:r w:rsidR="00BF6463" w:rsidRPr="00C42A4D">
        <w:t>for shared goals and expectation</w:t>
      </w:r>
      <w:r w:rsidR="00F50DF3" w:rsidRPr="00C42A4D">
        <w:t xml:space="preserve">s. </w:t>
      </w:r>
      <w:r w:rsidR="00A87485">
        <w:t>One voluntary sector representative explained:</w:t>
      </w:r>
    </w:p>
    <w:p w14:paraId="35D29422" w14:textId="741FC4C4" w:rsidR="00F50DF3" w:rsidRPr="00AA41E6" w:rsidRDefault="00E6624C" w:rsidP="00C42A4D">
      <w:pPr>
        <w:pBdr>
          <w:top w:val="single" w:sz="4" w:space="1" w:color="auto"/>
          <w:left w:val="single" w:sz="4" w:space="4" w:color="auto"/>
          <w:bottom w:val="single" w:sz="4" w:space="1" w:color="auto"/>
          <w:right w:val="single" w:sz="4" w:space="4" w:color="auto"/>
        </w:pBdr>
        <w:spacing w:line="276" w:lineRule="auto"/>
        <w:jc w:val="both"/>
        <w:rPr>
          <w:i/>
          <w:iCs/>
        </w:rPr>
      </w:pPr>
      <w:r w:rsidRPr="00AA41E6">
        <w:rPr>
          <w:i/>
          <w:iCs/>
        </w:rPr>
        <w:t>I think if we want to overcome some of the political dimensions, we really need to have a stronger focus on how we work with our local residents and communities to work through some of this really, really challenging and difficult decision-making.</w:t>
      </w:r>
    </w:p>
    <w:p w14:paraId="63DB4FC8" w14:textId="12D9D72F" w:rsidR="00A9170B" w:rsidRDefault="00F50DF3" w:rsidP="00C42A4D">
      <w:pPr>
        <w:pBdr>
          <w:top w:val="single" w:sz="4" w:space="1" w:color="auto"/>
          <w:left w:val="single" w:sz="4" w:space="4" w:color="auto"/>
          <w:bottom w:val="single" w:sz="4" w:space="1" w:color="auto"/>
          <w:right w:val="single" w:sz="4" w:space="4" w:color="auto"/>
        </w:pBdr>
        <w:spacing w:line="276" w:lineRule="auto"/>
        <w:jc w:val="both"/>
        <w:rPr>
          <w:b/>
          <w:bCs/>
          <w:sz w:val="32"/>
          <w:szCs w:val="32"/>
        </w:rPr>
      </w:pPr>
      <w:r w:rsidRPr="00C42A4D">
        <w:t xml:space="preserve">Yet, for </w:t>
      </w:r>
      <w:r w:rsidR="00422F56">
        <w:t xml:space="preserve">ICS leaders especially </w:t>
      </w:r>
      <w:r w:rsidRPr="00C42A4D">
        <w:t xml:space="preserve">, the optimism has fallen away as formal commitments and strategies have confronted the reality of squeezed budgets and capacity pressures. With both </w:t>
      </w:r>
      <w:r w:rsidR="00475CF7">
        <w:t>healthcare</w:t>
      </w:r>
      <w:r w:rsidR="00475CF7" w:rsidRPr="00C42A4D">
        <w:t xml:space="preserve"> </w:t>
      </w:r>
      <w:r w:rsidRPr="00C42A4D">
        <w:t>bodies and local authorities under severe financial pressure, good intentions expressed in moments of deliberation have not been followed through with action</w:t>
      </w:r>
      <w:r w:rsidR="003A3C1C" w:rsidRPr="00C42A4D">
        <w:t>.</w:t>
      </w:r>
      <w:r w:rsidRPr="00C42A4D">
        <w:t xml:space="preserve"> </w:t>
      </w:r>
      <w:r w:rsidR="003A3C1C" w:rsidRPr="00C42A4D">
        <w:t>I</w:t>
      </w:r>
      <w:r w:rsidRPr="00C42A4D">
        <w:t>ndeed</w:t>
      </w:r>
      <w:r w:rsidR="00FD0342">
        <w:t>,</w:t>
      </w:r>
      <w:r w:rsidRPr="00C42A4D">
        <w:t xml:space="preserve"> th</w:t>
      </w:r>
      <w:r w:rsidR="003A3C1C" w:rsidRPr="00C42A4D">
        <w:t>e</w:t>
      </w:r>
      <w:r w:rsidRPr="00C42A4D">
        <w:t xml:space="preserve"> </w:t>
      </w:r>
      <w:r w:rsidR="003A3C1C" w:rsidRPr="00C42A4D">
        <w:t xml:space="preserve">positive </w:t>
      </w:r>
      <w:r w:rsidRPr="00C42A4D">
        <w:t xml:space="preserve">sense of collective </w:t>
      </w:r>
      <w:r w:rsidR="003A3C1C" w:rsidRPr="00C42A4D">
        <w:t>buy-in</w:t>
      </w:r>
      <w:r w:rsidRPr="00C42A4D">
        <w:t xml:space="preserve"> has</w:t>
      </w:r>
      <w:r w:rsidR="003A3C1C" w:rsidRPr="00C42A4D">
        <w:t xml:space="preserve"> given way to the reality of inertia</w:t>
      </w:r>
      <w:r w:rsidR="00475CF7">
        <w:t>,</w:t>
      </w:r>
      <w:r w:rsidR="003A3C1C" w:rsidRPr="00C42A4D">
        <w:t xml:space="preserve"> turf wars</w:t>
      </w:r>
      <w:r w:rsidR="00475CF7">
        <w:t>,</w:t>
      </w:r>
      <w:r w:rsidR="003A3C1C" w:rsidRPr="00C42A4D">
        <w:t xml:space="preserve"> and </w:t>
      </w:r>
      <w:r w:rsidR="005A2FBE" w:rsidRPr="00C42A4D">
        <w:t>grey areas over resourc</w:t>
      </w:r>
      <w:r w:rsidR="00475CF7">
        <w:t>ing</w:t>
      </w:r>
      <w:r w:rsidR="005A2FBE" w:rsidRPr="00C42A4D">
        <w:t xml:space="preserve"> and responsibility</w:t>
      </w:r>
      <w:r w:rsidR="003A3C1C" w:rsidRPr="00C42A4D">
        <w:t xml:space="preserve">. </w:t>
      </w:r>
      <w:r w:rsidR="008D7D20">
        <w:t>Away from those in strategic leadership positions, especially among those in more operational roles within ICSs and local authorities</w:t>
      </w:r>
      <w:r w:rsidR="001A1640">
        <w:t>, many</w:t>
      </w:r>
      <w:r w:rsidR="003A3C1C" w:rsidRPr="00C42A4D">
        <w:t xml:space="preserve"> confess to feeling confused and annoyed</w:t>
      </w:r>
      <w:r w:rsidR="00C85B59" w:rsidRPr="00C42A4D">
        <w:t>, seeking more certainty on what to do than deliberation on vague intentions</w:t>
      </w:r>
      <w:r w:rsidRPr="00C42A4D">
        <w:t>.</w:t>
      </w:r>
      <w:r w:rsidR="005C1B67">
        <w:t xml:space="preserve"> One confided with a sense of deep frustration: </w:t>
      </w:r>
      <w:r w:rsidRPr="00C42A4D">
        <w:t xml:space="preserve"> </w:t>
      </w:r>
      <w:r w:rsidR="005C1B67">
        <w:t>“Just tell me what to do</w:t>
      </w:r>
      <w:r w:rsidR="001A1640">
        <w:t>!</w:t>
      </w:r>
      <w:r w:rsidR="005C1B67">
        <w:t>”</w:t>
      </w:r>
    </w:p>
    <w:p w14:paraId="78235374" w14:textId="49BC4555" w:rsidR="00520141" w:rsidRPr="006A0E4A" w:rsidRDefault="0031344D" w:rsidP="00C42A4D">
      <w:pPr>
        <w:spacing w:line="276" w:lineRule="auto"/>
        <w:rPr>
          <w:b/>
          <w:bCs/>
          <w:sz w:val="32"/>
          <w:szCs w:val="32"/>
        </w:rPr>
      </w:pPr>
      <w:r w:rsidRPr="00C42A4D">
        <w:rPr>
          <w:b/>
          <w:bCs/>
          <w:sz w:val="32"/>
          <w:szCs w:val="32"/>
        </w:rPr>
        <w:t>Response</w:t>
      </w:r>
      <w:r w:rsidRPr="006A0E4A">
        <w:rPr>
          <w:b/>
          <w:bCs/>
          <w:sz w:val="32"/>
          <w:szCs w:val="32"/>
        </w:rPr>
        <w:t xml:space="preserve"> </w:t>
      </w:r>
      <w:r w:rsidR="006A0E4A" w:rsidRPr="00C42A4D">
        <w:rPr>
          <w:b/>
          <w:bCs/>
          <w:sz w:val="32"/>
          <w:szCs w:val="32"/>
        </w:rPr>
        <w:t>Three</w:t>
      </w:r>
      <w:r w:rsidR="0036415C" w:rsidRPr="006A0E4A">
        <w:rPr>
          <w:b/>
          <w:bCs/>
          <w:sz w:val="32"/>
          <w:szCs w:val="32"/>
        </w:rPr>
        <w:t xml:space="preserve">: </w:t>
      </w:r>
      <w:r w:rsidR="003E7774" w:rsidRPr="006A0E4A">
        <w:rPr>
          <w:b/>
          <w:bCs/>
          <w:sz w:val="32"/>
          <w:szCs w:val="32"/>
        </w:rPr>
        <w:t>Do</w:t>
      </w:r>
    </w:p>
    <w:p w14:paraId="742DFE77" w14:textId="6FB87758" w:rsidR="00520141" w:rsidRDefault="00C85B59" w:rsidP="00C42A4D">
      <w:pPr>
        <w:spacing w:line="276" w:lineRule="auto"/>
        <w:jc w:val="both"/>
      </w:pPr>
      <w:r>
        <w:t xml:space="preserve">The third option is to act regardless of ambiguity. </w:t>
      </w:r>
      <w:r w:rsidR="007F0539">
        <w:t>Policymakers and practitioners may feel that they need to simply ‘</w:t>
      </w:r>
      <w:r w:rsidR="00475CF7">
        <w:t>get on with it’</w:t>
      </w:r>
      <w:r w:rsidR="007F0539">
        <w:t xml:space="preserve"> and work out the relevance and meaning of a new policy idea during their own practice (described by Hill and Hupe (200</w:t>
      </w:r>
      <w:r w:rsidR="006C6B0F">
        <w:t>7</w:t>
      </w:r>
      <w:r w:rsidR="007F0539">
        <w:t xml:space="preserve">) as an ‘action imperative’ for those on the frontline).  </w:t>
      </w:r>
      <w:r w:rsidR="0051581A">
        <w:t xml:space="preserve">Many are </w:t>
      </w:r>
      <w:r w:rsidR="00520141">
        <w:t>faced with a new</w:t>
      </w:r>
      <w:r w:rsidR="0051581A">
        <w:t xml:space="preserve"> or </w:t>
      </w:r>
      <w:r w:rsidR="00206611">
        <w:t>re-discovered</w:t>
      </w:r>
      <w:r w:rsidR="0051581A">
        <w:t xml:space="preserve"> </w:t>
      </w:r>
      <w:r w:rsidR="00520141">
        <w:t xml:space="preserve">idea, </w:t>
      </w:r>
      <w:r w:rsidR="0051581A">
        <w:t>which is not defined clearly</w:t>
      </w:r>
      <w:r w:rsidR="00520141">
        <w:t xml:space="preserve"> </w:t>
      </w:r>
      <w:r w:rsidR="0051581A">
        <w:t>via an authoritative actor or collective</w:t>
      </w:r>
      <w:r w:rsidR="00520141">
        <w:t xml:space="preserve"> </w:t>
      </w:r>
      <w:r w:rsidR="00206611">
        <w:t>deliberation</w:t>
      </w:r>
      <w:r w:rsidR="0051581A">
        <w:t xml:space="preserve">, and still need to do something. </w:t>
      </w:r>
      <w:r w:rsidR="00520141">
        <w:t xml:space="preserve">There are many </w:t>
      </w:r>
      <w:r w:rsidR="007F0539">
        <w:t xml:space="preserve">connected </w:t>
      </w:r>
      <w:r w:rsidR="00520141">
        <w:t xml:space="preserve">reasons for </w:t>
      </w:r>
      <w:r w:rsidR="0051581A">
        <w:t>acting despite ambiguity</w:t>
      </w:r>
      <w:r w:rsidR="00520141">
        <w:t xml:space="preserve">, </w:t>
      </w:r>
      <w:r w:rsidR="007F0539">
        <w:t xml:space="preserve">including: </w:t>
      </w:r>
      <w:r w:rsidR="00520141">
        <w:t>a perceived lack of time or opportunity</w:t>
      </w:r>
      <w:r w:rsidR="0051581A">
        <w:t xml:space="preserve"> to clarify</w:t>
      </w:r>
      <w:r w:rsidR="00520141">
        <w:t>,</w:t>
      </w:r>
      <w:r w:rsidR="007F0539">
        <w:t xml:space="preserve"> given</w:t>
      </w:r>
      <w:r w:rsidR="00520141">
        <w:t xml:space="preserve"> </w:t>
      </w:r>
      <w:r w:rsidR="007F0539">
        <w:t>the</w:t>
      </w:r>
      <w:r w:rsidR="00520141">
        <w:t xml:space="preserve"> context of high demand</w:t>
      </w:r>
      <w:r w:rsidR="0051581A">
        <w:t xml:space="preserve"> and</w:t>
      </w:r>
      <w:r w:rsidR="00520141">
        <w:t xml:space="preserve"> resource constraint</w:t>
      </w:r>
      <w:r w:rsidR="007F0539">
        <w:t>;</w:t>
      </w:r>
      <w:r w:rsidR="0051581A">
        <w:t xml:space="preserve"> </w:t>
      </w:r>
      <w:r w:rsidR="00520141">
        <w:t xml:space="preserve">fatigue in engaging with yet another new idea </w:t>
      </w:r>
      <w:r w:rsidR="0051581A">
        <w:t>to the extent</w:t>
      </w:r>
      <w:r w:rsidR="00520141">
        <w:t xml:space="preserve"> that they don’t think such engagement is worthwhile</w:t>
      </w:r>
      <w:r w:rsidR="007F0539">
        <w:t xml:space="preserve">; and, a tendency to be fuelled by more important or </w:t>
      </w:r>
      <w:r w:rsidR="00A9170B">
        <w:t xml:space="preserve">visceral </w:t>
      </w:r>
      <w:r w:rsidR="00FB0607">
        <w:t>motivators for ac</w:t>
      </w:r>
      <w:r w:rsidR="00A9170B">
        <w:t>tio</w:t>
      </w:r>
      <w:r w:rsidR="00FB0607">
        <w:t>n</w:t>
      </w:r>
      <w:r w:rsidR="007F0539">
        <w:t xml:space="preserve">, such as to challenge social and economic inequalities or respond to crises in public services (to which new ideas </w:t>
      </w:r>
      <w:r w:rsidR="007F0539" w:rsidRPr="00C42A4D">
        <w:rPr>
          <w:i/>
          <w:iCs/>
        </w:rPr>
        <w:t>might</w:t>
      </w:r>
      <w:r w:rsidR="007F0539">
        <w:t xml:space="preserve"> contribute)</w:t>
      </w:r>
      <w:r w:rsidR="00FB0607">
        <w:t>.</w:t>
      </w:r>
    </w:p>
    <w:p w14:paraId="238800FC" w14:textId="12C76EEC" w:rsidR="00520141" w:rsidRDefault="00475CF7" w:rsidP="00C42A4D">
      <w:pPr>
        <w:spacing w:line="276" w:lineRule="auto"/>
        <w:jc w:val="both"/>
      </w:pPr>
      <w:r>
        <w:t>This response</w:t>
      </w:r>
      <w:r w:rsidR="007F0539">
        <w:t xml:space="preserve"> may be seen as</w:t>
      </w:r>
      <w:r w:rsidR="00520141">
        <w:t xml:space="preserve"> an inevitable, and indeed desirable</w:t>
      </w:r>
      <w:r w:rsidR="007F0539">
        <w:t>,</w:t>
      </w:r>
      <w:r w:rsidR="00520141">
        <w:t xml:space="preserve"> </w:t>
      </w:r>
      <w:r w:rsidR="007F0539">
        <w:t>way to make</w:t>
      </w:r>
      <w:r w:rsidR="00520141">
        <w:t xml:space="preserve"> a </w:t>
      </w:r>
      <w:r w:rsidR="007F0539">
        <w:t xml:space="preserve">new </w:t>
      </w:r>
      <w:r w:rsidR="00520141">
        <w:t xml:space="preserve">idea meaningful. Academics, activists, policymakers, practitioners may </w:t>
      </w:r>
      <w:r w:rsidR="007F0539">
        <w:t xml:space="preserve">all </w:t>
      </w:r>
      <w:r w:rsidR="00520141">
        <w:t xml:space="preserve">use or engage with an idea in different ways. </w:t>
      </w:r>
      <w:r w:rsidR="007F0539">
        <w:t>Then</w:t>
      </w:r>
      <w:r w:rsidR="00520141">
        <w:t xml:space="preserve">, the meaning of an idea unfolds in use, </w:t>
      </w:r>
      <w:r w:rsidR="007F0539">
        <w:t xml:space="preserve">as different actors imbue the buzzword with </w:t>
      </w:r>
      <w:r w:rsidR="00520141">
        <w:t xml:space="preserve">different meanings at different places and times, </w:t>
      </w:r>
      <w:r w:rsidR="007F0539">
        <w:t>and help</w:t>
      </w:r>
      <w:r w:rsidR="00520141">
        <w:t xml:space="preserve"> </w:t>
      </w:r>
      <w:r w:rsidR="007F0539">
        <w:t xml:space="preserve">it </w:t>
      </w:r>
      <w:r w:rsidR="00520141">
        <w:t>gain momentum and credibility</w:t>
      </w:r>
      <w:r w:rsidR="007F0539">
        <w:t xml:space="preserve"> via regular usage</w:t>
      </w:r>
      <w:r w:rsidR="00520141">
        <w:t xml:space="preserve">. </w:t>
      </w:r>
      <w:r w:rsidR="00A9170B">
        <w:t xml:space="preserve">The definitions that emerge via abductive iteration between theory and practice could have the advantages of being grounded in experience </w:t>
      </w:r>
      <w:r w:rsidR="007F0539">
        <w:t>and</w:t>
      </w:r>
      <w:r w:rsidR="00A9170B">
        <w:t xml:space="preserve"> structured via the concept.  </w:t>
      </w:r>
      <w:r w:rsidR="007F0539">
        <w:t xml:space="preserve">While </w:t>
      </w:r>
      <w:r w:rsidR="00FD0342">
        <w:t>a defining response to ambiguity</w:t>
      </w:r>
      <w:r w:rsidR="007F0539">
        <w:t xml:space="preserve"> serves to narrow its meaning and </w:t>
      </w:r>
      <w:r w:rsidR="007F0539">
        <w:lastRenderedPageBreak/>
        <w:t xml:space="preserve">impose an unhelpful and false universalism (Schaffer, 2016), </w:t>
      </w:r>
      <w:r w:rsidR="00520141">
        <w:t>here the approach is to expand its meaning</w:t>
      </w:r>
      <w:r w:rsidR="007F0539">
        <w:t xml:space="preserve"> through lived practice (Durose et al</w:t>
      </w:r>
      <w:r w:rsidR="00FD0342">
        <w:t>.</w:t>
      </w:r>
      <w:r w:rsidR="007F0539">
        <w:t>, 2022)</w:t>
      </w:r>
      <w:r w:rsidR="00520141">
        <w:t xml:space="preserve">. </w:t>
      </w:r>
      <w:r w:rsidR="00EF310D">
        <w:t>Further,</w:t>
      </w:r>
      <w:r w:rsidR="00520141">
        <w:t xml:space="preserve"> by paying attention to how an idea is used in practice</w:t>
      </w:r>
      <w:r w:rsidR="00EF310D">
        <w:t>, we</w:t>
      </w:r>
      <w:r w:rsidR="00520141">
        <w:t xml:space="preserve"> open up a valuable critical perspective, </w:t>
      </w:r>
      <w:r w:rsidR="00EF310D">
        <w:t>such as</w:t>
      </w:r>
      <w:r w:rsidR="00520141">
        <w:t xml:space="preserve"> on the power relations that an idea assumes or entrenches. </w:t>
      </w:r>
      <w:r w:rsidR="00FE59A1">
        <w:t xml:space="preserve">Hence, an analytically stronger definition may emerge </w:t>
      </w:r>
      <w:r w:rsidR="00EF310D">
        <w:t>organically</w:t>
      </w:r>
      <w:r w:rsidR="00FE59A1">
        <w:t>.</w:t>
      </w:r>
    </w:p>
    <w:p w14:paraId="5CF58C2E" w14:textId="69C4638F" w:rsidR="00552BC2" w:rsidRDefault="00EF310D" w:rsidP="00C42A4D">
      <w:pPr>
        <w:spacing w:line="276" w:lineRule="auto"/>
        <w:jc w:val="both"/>
      </w:pPr>
      <w:r>
        <w:t>On the other hand</w:t>
      </w:r>
      <w:r w:rsidR="00520141">
        <w:t xml:space="preserve">, </w:t>
      </w:r>
      <w:r>
        <w:t>we should not assume</w:t>
      </w:r>
      <w:r w:rsidR="00520141">
        <w:t xml:space="preserve"> that </w:t>
      </w:r>
      <w:r>
        <w:t xml:space="preserve">an idea is fully realised and worked out </w:t>
      </w:r>
      <w:r w:rsidR="00520141">
        <w:t xml:space="preserve">through practice. This </w:t>
      </w:r>
      <w:r>
        <w:t xml:space="preserve">assumption </w:t>
      </w:r>
      <w:r w:rsidR="00520141">
        <w:t xml:space="preserve">could be interpreted normatively, </w:t>
      </w:r>
      <w:r>
        <w:t xml:space="preserve">to suggest </w:t>
      </w:r>
      <w:r w:rsidR="00520141">
        <w:t xml:space="preserve">that through practice we are able to generate inspiring stories of </w:t>
      </w:r>
      <w:r>
        <w:t>bringing an</w:t>
      </w:r>
      <w:r w:rsidR="00520141">
        <w:t xml:space="preserve"> abstract policy idea to life</w:t>
      </w:r>
      <w:r>
        <w:t xml:space="preserve"> in </w:t>
      </w:r>
      <w:r w:rsidR="00520141">
        <w:t xml:space="preserve">a </w:t>
      </w:r>
      <w:r>
        <w:t>‘</w:t>
      </w:r>
      <w:r w:rsidR="00520141">
        <w:t>marketplace of ideas</w:t>
      </w:r>
      <w:r>
        <w:t>’. Yet,</w:t>
      </w:r>
      <w:r w:rsidR="00520141">
        <w:t xml:space="preserve"> </w:t>
      </w:r>
      <w:r>
        <w:t>in a</w:t>
      </w:r>
      <w:r w:rsidR="00520141">
        <w:t xml:space="preserve"> challenging policy environment characterised by complexity, urgent demand, fatigue and resource constraint, policymakers and practitioners may </w:t>
      </w:r>
      <w:r>
        <w:t xml:space="preserve">simply </w:t>
      </w:r>
      <w:r w:rsidR="00520141">
        <w:t xml:space="preserve">be </w:t>
      </w:r>
      <w:r>
        <w:t>working</w:t>
      </w:r>
      <w:r w:rsidR="00520141">
        <w:t xml:space="preserve"> pragmatically</w:t>
      </w:r>
      <w:r>
        <w:t xml:space="preserve">: </w:t>
      </w:r>
      <w:r w:rsidR="00520141">
        <w:t>adopt</w:t>
      </w:r>
      <w:r>
        <w:t>ing</w:t>
      </w:r>
      <w:r w:rsidR="00520141">
        <w:t xml:space="preserve"> a new idea because it has currency and </w:t>
      </w:r>
      <w:r>
        <w:t>using</w:t>
      </w:r>
      <w:r w:rsidR="00520141">
        <w:t xml:space="preserve"> it to legitimate or justify </w:t>
      </w:r>
      <w:r>
        <w:t xml:space="preserve">existing </w:t>
      </w:r>
      <w:r w:rsidR="00520141">
        <w:t xml:space="preserve">actions. </w:t>
      </w:r>
      <w:r>
        <w:t>Some policy actors will see the launch of a new policy proposal as an opportunity to</w:t>
      </w:r>
      <w:r w:rsidR="00552BC2">
        <w:t xml:space="preserve"> ‘</w:t>
      </w:r>
      <w:r>
        <w:t xml:space="preserve">re-brand’ their existing activity to protect fragile gains in the system for marginalised beneficiaries, or to more maintain activity for the benefit of </w:t>
      </w:r>
      <w:r w:rsidR="00082ED0">
        <w:t>its</w:t>
      </w:r>
      <w:r>
        <w:t xml:space="preserve"> providers. </w:t>
      </w:r>
    </w:p>
    <w:p w14:paraId="19FF3F99" w14:textId="5AA865D7" w:rsidR="00476E64" w:rsidRDefault="00552BC2" w:rsidP="00C42A4D">
      <w:pPr>
        <w:spacing w:line="276" w:lineRule="auto"/>
        <w:jc w:val="both"/>
      </w:pPr>
      <w:r>
        <w:t>While such approaches might protect services or resources for some groups, t</w:t>
      </w:r>
      <w:r w:rsidR="00520141">
        <w:t xml:space="preserve">his </w:t>
      </w:r>
      <w:r w:rsidR="00EF310D">
        <w:t>activity may</w:t>
      </w:r>
      <w:r>
        <w:t xml:space="preserve"> also</w:t>
      </w:r>
      <w:r w:rsidR="00EF310D">
        <w:t xml:space="preserve"> exacerbate a tendency for buzzwords to</w:t>
      </w:r>
      <w:r w:rsidR="00520141">
        <w:t xml:space="preserve"> </w:t>
      </w:r>
      <w:r w:rsidR="00EF310D">
        <w:t xml:space="preserve">becoming hollow and </w:t>
      </w:r>
      <w:r w:rsidR="00520141">
        <w:t>meaningless</w:t>
      </w:r>
      <w:r w:rsidR="00EF310D">
        <w:t>, losing their</w:t>
      </w:r>
      <w:r w:rsidR="00520141">
        <w:t xml:space="preserve"> value or potency.</w:t>
      </w:r>
      <w:r w:rsidR="003E7774">
        <w:t xml:space="preserve"> Often,</w:t>
      </w:r>
      <w:r w:rsidR="00C364F3">
        <w:t xml:space="preserve"> in practice,</w:t>
      </w:r>
      <w:r w:rsidR="00520141">
        <w:t xml:space="preserve"> the radical potential of an idea is lost, and </w:t>
      </w:r>
      <w:r w:rsidR="00EF310D">
        <w:t>it</w:t>
      </w:r>
      <w:r w:rsidR="00520141">
        <w:t xml:space="preserve"> is used to legitimate and sustain the status quo</w:t>
      </w:r>
      <w:r w:rsidR="00EF310D">
        <w:t xml:space="preserve">, leaving </w:t>
      </w:r>
      <w:r w:rsidR="00520141">
        <w:t>‘feelgood’ but ‘depoliticised’ ideas</w:t>
      </w:r>
      <w:r w:rsidR="00EF310D">
        <w:t xml:space="preserve"> (Cornwall, 2007)</w:t>
      </w:r>
      <w:r w:rsidR="00520141">
        <w:t>.</w:t>
      </w:r>
      <w:r w:rsidR="00FE59A1">
        <w:t xml:space="preserve"> </w:t>
      </w:r>
      <w:r w:rsidR="00C109AB">
        <w:t xml:space="preserve">Here again we see a pernicious form of apparent ‘action’ disguising what is really ‘policy inaction’ </w:t>
      </w:r>
      <w:r w:rsidR="00B65924">
        <w:t>(see McConnel and ‘tHart 201</w:t>
      </w:r>
      <w:r w:rsidR="00991CCF">
        <w:t>9</w:t>
      </w:r>
      <w:r w:rsidR="00B65924">
        <w:t xml:space="preserve">) </w:t>
      </w:r>
      <w:r w:rsidR="00C109AB">
        <w:t xml:space="preserve">on </w:t>
      </w:r>
      <w:r w:rsidR="00B65924">
        <w:t>the underlying and challenging issue.</w:t>
      </w:r>
      <w:r w:rsidR="00FE59A1">
        <w:t xml:space="preserve"> </w:t>
      </w:r>
      <w:r w:rsidR="00EF310D">
        <w:t>Indeed, some b</w:t>
      </w:r>
      <w:r w:rsidR="00F35CF7">
        <w:t xml:space="preserve">ad faith actors have learned that they can build their careers on worthy sounding but empty phrases, entering organisations with the promise of innovation and moving on before being held to account. </w:t>
      </w:r>
      <w:r w:rsidR="00082ED0">
        <w:t>Without clarity or deliberation, how can such bad faith practices be identified from policy and practice routines?</w:t>
      </w:r>
    </w:p>
    <w:p w14:paraId="70378A59" w14:textId="2A1EBCD4" w:rsidR="00476E64" w:rsidRPr="00C42A4D" w:rsidRDefault="00FD0342" w:rsidP="00C42A4D">
      <w:pPr>
        <w:pBdr>
          <w:top w:val="single" w:sz="4" w:space="1" w:color="auto"/>
          <w:left w:val="single" w:sz="4" w:space="4" w:color="auto"/>
          <w:bottom w:val="single" w:sz="4" w:space="1" w:color="auto"/>
          <w:right w:val="single" w:sz="4" w:space="4" w:color="auto"/>
        </w:pBdr>
        <w:spacing w:line="276" w:lineRule="auto"/>
        <w:jc w:val="both"/>
        <w:rPr>
          <w:b/>
          <w:bCs/>
        </w:rPr>
      </w:pPr>
      <w:r>
        <w:rPr>
          <w:b/>
          <w:bCs/>
        </w:rPr>
        <w:t xml:space="preserve">Box 3: </w:t>
      </w:r>
      <w:r w:rsidR="003A3C1C" w:rsidRPr="00C42A4D">
        <w:rPr>
          <w:b/>
          <w:bCs/>
        </w:rPr>
        <w:t xml:space="preserve">Doing prevention </w:t>
      </w:r>
    </w:p>
    <w:p w14:paraId="022CC841" w14:textId="6877D134" w:rsidR="00EE6381" w:rsidRPr="00082ED0" w:rsidRDefault="001A1640" w:rsidP="00C42A4D">
      <w:pPr>
        <w:pBdr>
          <w:top w:val="single" w:sz="4" w:space="1" w:color="auto"/>
          <w:left w:val="single" w:sz="4" w:space="4" w:color="auto"/>
          <w:bottom w:val="single" w:sz="4" w:space="1" w:color="auto"/>
          <w:right w:val="single" w:sz="4" w:space="4" w:color="auto"/>
        </w:pBdr>
        <w:spacing w:line="276" w:lineRule="auto"/>
        <w:jc w:val="both"/>
      </w:pPr>
      <w:r>
        <w:t xml:space="preserve">A cross-section </w:t>
      </w:r>
      <w:r w:rsidR="00E427F1">
        <w:t>among</w:t>
      </w:r>
      <w:r>
        <w:t xml:space="preserve"> those in strategic or operational roles, </w:t>
      </w:r>
      <w:r w:rsidR="004F094C">
        <w:t>as well as engaged on the frontlines of primary care and voluntary services -</w:t>
      </w:r>
      <w:r w:rsidR="003A3C1C" w:rsidRPr="00082ED0">
        <w:t xml:space="preserve"> just want to crack on with the work of prevention</w:t>
      </w:r>
      <w:r w:rsidR="00E427F1">
        <w:t xml:space="preserve"> in ICSs</w:t>
      </w:r>
      <w:r w:rsidR="003A3C1C" w:rsidRPr="00082ED0">
        <w:t xml:space="preserve">. </w:t>
      </w:r>
      <w:r w:rsidR="00476A61" w:rsidRPr="00082ED0">
        <w:t xml:space="preserve">For the most part, </w:t>
      </w:r>
      <w:r w:rsidR="00082ED0">
        <w:t>they</w:t>
      </w:r>
      <w:r w:rsidR="00476A61" w:rsidRPr="00082ED0">
        <w:t xml:space="preserve"> believe in the value of greater investment in preventive health, but are experienced actors who have been through the hot-and-cold cycle of enthusiasm several times before. As</w:t>
      </w:r>
      <w:r w:rsidR="003A3C1C" w:rsidRPr="00082ED0">
        <w:t xml:space="preserve"> savvy actors</w:t>
      </w:r>
      <w:r w:rsidR="00082ED0">
        <w:t>,</w:t>
      </w:r>
      <w:r w:rsidR="003A3C1C" w:rsidRPr="00082ED0">
        <w:t xml:space="preserve"> </w:t>
      </w:r>
      <w:r w:rsidR="00EE6381" w:rsidRPr="00082ED0">
        <w:t>keen</w:t>
      </w:r>
      <w:r w:rsidR="003A3C1C" w:rsidRPr="00082ED0">
        <w:t xml:space="preserve"> to avoid the uncertainty and inertia associated with defining and deliberating, they </w:t>
      </w:r>
      <w:r w:rsidR="00EE6381" w:rsidRPr="00082ED0">
        <w:t>set about</w:t>
      </w:r>
      <w:r w:rsidR="003A3C1C" w:rsidRPr="00082ED0">
        <w:t xml:space="preserve"> </w:t>
      </w:r>
      <w:r w:rsidR="00476A61" w:rsidRPr="00082ED0">
        <w:t xml:space="preserve">nimbly </w:t>
      </w:r>
      <w:r w:rsidR="003A3C1C" w:rsidRPr="00082ED0">
        <w:t xml:space="preserve">using the available levers </w:t>
      </w:r>
      <w:r w:rsidR="00EE6381" w:rsidRPr="00082ED0">
        <w:t>within</w:t>
      </w:r>
      <w:r w:rsidR="003A3C1C" w:rsidRPr="00082ED0">
        <w:t xml:space="preserve"> </w:t>
      </w:r>
      <w:r w:rsidR="00AB1F6B">
        <w:t>new</w:t>
      </w:r>
      <w:r w:rsidR="00AB1F6B" w:rsidRPr="00082ED0">
        <w:t xml:space="preserve"> </w:t>
      </w:r>
      <w:r w:rsidR="00EE6381" w:rsidRPr="00082ED0">
        <w:t>governance arrangements</w:t>
      </w:r>
      <w:r w:rsidR="003A3C1C" w:rsidRPr="00082ED0">
        <w:t xml:space="preserve"> to promote preventive health</w:t>
      </w:r>
      <w:r w:rsidR="00EE6381" w:rsidRPr="00082ED0">
        <w:t>. This action</w:t>
      </w:r>
      <w:r w:rsidR="003A3C1C" w:rsidRPr="00082ED0">
        <w:t xml:space="preserve"> often </w:t>
      </w:r>
      <w:r w:rsidR="00EE6381" w:rsidRPr="00082ED0">
        <w:t xml:space="preserve">happens </w:t>
      </w:r>
      <w:r w:rsidR="003A3C1C" w:rsidRPr="00082ED0">
        <w:t>in q</w:t>
      </w:r>
      <w:r w:rsidR="00476A61" w:rsidRPr="00082ED0">
        <w:t>uiet</w:t>
      </w:r>
      <w:r w:rsidR="003A3C1C" w:rsidRPr="00082ED0">
        <w:t xml:space="preserve">, piecemeal, </w:t>
      </w:r>
      <w:r w:rsidR="00AB1F6B" w:rsidRPr="00082ED0">
        <w:t>routine</w:t>
      </w:r>
      <w:r w:rsidR="003A3C1C" w:rsidRPr="00082ED0">
        <w:t xml:space="preserve"> ways that fall </w:t>
      </w:r>
      <w:r w:rsidR="00EE6381" w:rsidRPr="00082ED0">
        <w:t xml:space="preserve">well </w:t>
      </w:r>
      <w:r w:rsidR="003A3C1C" w:rsidRPr="00082ED0">
        <w:t xml:space="preserve">short of </w:t>
      </w:r>
      <w:r w:rsidR="00EE6381" w:rsidRPr="00082ED0">
        <w:t xml:space="preserve">their </w:t>
      </w:r>
      <w:r w:rsidR="003A3C1C" w:rsidRPr="00082ED0">
        <w:t>idea</w:t>
      </w:r>
      <w:r w:rsidR="00EE6381" w:rsidRPr="00082ED0">
        <w:t>l</w:t>
      </w:r>
      <w:r w:rsidR="00476A61" w:rsidRPr="00082ED0">
        <w:t xml:space="preserve"> vision of prevention</w:t>
      </w:r>
      <w:r w:rsidR="003A3C1C" w:rsidRPr="00082ED0">
        <w:t>.</w:t>
      </w:r>
    </w:p>
    <w:p w14:paraId="62A313FB" w14:textId="2F91133F" w:rsidR="00FD4414" w:rsidRDefault="00EE6381" w:rsidP="009C7335">
      <w:pPr>
        <w:pBdr>
          <w:top w:val="single" w:sz="4" w:space="1" w:color="auto"/>
          <w:left w:val="single" w:sz="4" w:space="4" w:color="auto"/>
          <w:bottom w:val="single" w:sz="4" w:space="1" w:color="auto"/>
          <w:right w:val="single" w:sz="4" w:space="4" w:color="auto"/>
        </w:pBdr>
        <w:spacing w:line="276" w:lineRule="auto"/>
        <w:jc w:val="both"/>
        <w:rPr>
          <w:b/>
          <w:sz w:val="32"/>
          <w:szCs w:val="32"/>
        </w:rPr>
      </w:pPr>
      <w:r w:rsidRPr="00082ED0">
        <w:t>Yet</w:t>
      </w:r>
      <w:r w:rsidR="002407F1">
        <w:t>, there is a rival perspective especially among the more senior leaders in strategic positions that</w:t>
      </w:r>
      <w:r w:rsidRPr="00082ED0">
        <w:t xml:space="preserve"> point</w:t>
      </w:r>
      <w:r w:rsidR="002407F1">
        <w:t>s</w:t>
      </w:r>
      <w:r w:rsidRPr="00082ED0">
        <w:t xml:space="preserve"> to risks of mission drift and co-option in </w:t>
      </w:r>
      <w:r w:rsidR="00476A61" w:rsidRPr="00082ED0">
        <w:t xml:space="preserve">eschewing open reflection and just embracing </w:t>
      </w:r>
      <w:r w:rsidRPr="00082ED0">
        <w:t>the action imperative</w:t>
      </w:r>
      <w:r w:rsidR="00082ED0">
        <w:t xml:space="preserve">. These </w:t>
      </w:r>
      <w:r w:rsidRPr="00082ED0">
        <w:t xml:space="preserve">risks have become acute since most </w:t>
      </w:r>
      <w:r w:rsidR="00AB1F6B">
        <w:t>health and local government bodies</w:t>
      </w:r>
      <w:r w:rsidR="00AB1F6B" w:rsidRPr="00082ED0">
        <w:t xml:space="preserve"> </w:t>
      </w:r>
      <w:r w:rsidRPr="00082ED0">
        <w:t xml:space="preserve">have come under increasing financial strain. The concern here is that even stealthy forms of ‘doing’ preventive health have become much harder to resource and justify. </w:t>
      </w:r>
      <w:r w:rsidR="003B787A">
        <w:t>These leaders</w:t>
      </w:r>
      <w:r w:rsidRPr="00082ED0">
        <w:t xml:space="preserve"> even complain about cynical bureaucratic exercises whereby existing activities are re-interpreted as ‘preventive’ simply to meet targets</w:t>
      </w:r>
      <w:r w:rsidR="00082ED0">
        <w:t xml:space="preserve"> (such as by using the language </w:t>
      </w:r>
      <w:r w:rsidR="00AB1F6B">
        <w:t xml:space="preserve">only </w:t>
      </w:r>
      <w:r w:rsidR="00082ED0">
        <w:t xml:space="preserve">to </w:t>
      </w:r>
      <w:r w:rsidR="00082ED0">
        <w:lastRenderedPageBreak/>
        <w:t>seek ‘cashable savings’)</w:t>
      </w:r>
      <w:r w:rsidR="003B787A">
        <w:t>. One summed up pithily</w:t>
      </w:r>
      <w:r w:rsidR="001A2906">
        <w:t xml:space="preserve"> how these external realities had the effect of greatly squeezing the interpretation of what might count as prevention</w:t>
      </w:r>
      <w:r w:rsidR="003B787A">
        <w:t>: ‘If</w:t>
      </w:r>
      <w:r w:rsidR="001A2906">
        <w:t xml:space="preserve"> it’s</w:t>
      </w:r>
      <w:r w:rsidR="003B787A">
        <w:t xml:space="preserve"> not cash-saving, it’s just not happening’.</w:t>
      </w:r>
      <w:r w:rsidR="00476E64">
        <w:t xml:space="preserve">  </w:t>
      </w:r>
    </w:p>
    <w:p w14:paraId="5B2CF978" w14:textId="29FB7A51" w:rsidR="00FE59A1" w:rsidRPr="00C42A4D" w:rsidRDefault="002E1AFB" w:rsidP="00C42A4D">
      <w:pPr>
        <w:spacing w:line="276" w:lineRule="auto"/>
        <w:jc w:val="both"/>
        <w:rPr>
          <w:b/>
          <w:sz w:val="32"/>
          <w:szCs w:val="32"/>
        </w:rPr>
      </w:pPr>
      <w:r>
        <w:rPr>
          <w:b/>
          <w:sz w:val="32"/>
          <w:szCs w:val="32"/>
        </w:rPr>
        <w:t>Discussion and c</w:t>
      </w:r>
      <w:r w:rsidR="00082ED0" w:rsidRPr="00AF35EB">
        <w:rPr>
          <w:b/>
          <w:sz w:val="32"/>
          <w:szCs w:val="32"/>
        </w:rPr>
        <w:t>onclusion</w:t>
      </w:r>
      <w:r w:rsidR="00FE59A1">
        <w:rPr>
          <w:b/>
          <w:sz w:val="32"/>
          <w:szCs w:val="32"/>
        </w:rPr>
        <w:t xml:space="preserve">: </w:t>
      </w:r>
      <w:r w:rsidR="00FD4414">
        <w:rPr>
          <w:b/>
          <w:sz w:val="32"/>
          <w:szCs w:val="32"/>
        </w:rPr>
        <w:t>I</w:t>
      </w:r>
      <w:r w:rsidR="00FE59A1" w:rsidRPr="00C42A4D">
        <w:rPr>
          <w:b/>
          <w:sz w:val="32"/>
          <w:szCs w:val="32"/>
        </w:rPr>
        <w:t xml:space="preserve">mplications for </w:t>
      </w:r>
      <w:r w:rsidR="00FD4414">
        <w:rPr>
          <w:b/>
          <w:sz w:val="32"/>
          <w:szCs w:val="32"/>
        </w:rPr>
        <w:t xml:space="preserve">theory and </w:t>
      </w:r>
      <w:r w:rsidR="00FE59A1" w:rsidRPr="00C42A4D">
        <w:rPr>
          <w:b/>
          <w:sz w:val="32"/>
          <w:szCs w:val="32"/>
        </w:rPr>
        <w:t>practice</w:t>
      </w:r>
    </w:p>
    <w:p w14:paraId="33F22333" w14:textId="38F63D78" w:rsidR="00FD4414" w:rsidRDefault="00FD4414" w:rsidP="00C27590">
      <w:pPr>
        <w:spacing w:line="276" w:lineRule="auto"/>
        <w:jc w:val="both"/>
      </w:pPr>
      <w:r>
        <w:t>We began with a perennial puzzle in the study and practice of public policy</w:t>
      </w:r>
      <w:r w:rsidR="00AB1F6B">
        <w:t xml:space="preserve">: </w:t>
      </w:r>
      <w:r w:rsidR="006B20EC">
        <w:t>how</w:t>
      </w:r>
      <w:r>
        <w:t xml:space="preserve"> ‘buzzwords’ seem to catch fire </w:t>
      </w:r>
      <w:r w:rsidR="00AB1F6B">
        <w:t xml:space="preserve">then </w:t>
      </w:r>
      <w:r>
        <w:t xml:space="preserve">fizzle. </w:t>
      </w:r>
      <w:r w:rsidR="006B20EC">
        <w:t xml:space="preserve">Given repeated hot-cold cycles, how </w:t>
      </w:r>
      <w:r w:rsidR="006B20EC" w:rsidRPr="009C7335">
        <w:rPr>
          <w:i/>
          <w:iCs/>
        </w:rPr>
        <w:t>should</w:t>
      </w:r>
      <w:r w:rsidR="006B20EC">
        <w:t xml:space="preserve"> and </w:t>
      </w:r>
      <w:r w:rsidR="006B20EC" w:rsidRPr="009C7335">
        <w:rPr>
          <w:i/>
          <w:iCs/>
        </w:rPr>
        <w:t>do</w:t>
      </w:r>
      <w:r w:rsidR="006B20EC">
        <w:t xml:space="preserve"> policy actors respond to new or rehashed policy ideas? </w:t>
      </w:r>
      <w:r>
        <w:t>Our strategy for tackling the puzzle has been to look to</w:t>
      </w:r>
      <w:r w:rsidR="00AB1F6B">
        <w:t>,</w:t>
      </w:r>
      <w:r>
        <w:t xml:space="preserve"> </w:t>
      </w:r>
      <w:r w:rsidR="00772100">
        <w:t>and reflect on</w:t>
      </w:r>
      <w:r w:rsidR="00AB1F6B">
        <w:t>,</w:t>
      </w:r>
      <w:r w:rsidR="00772100">
        <w:t xml:space="preserve"> </w:t>
      </w:r>
      <w:r>
        <w:t>practice</w:t>
      </w:r>
      <w:r w:rsidR="00772100">
        <w:t>. We have sought to explore</w:t>
      </w:r>
      <w:r>
        <w:t xml:space="preserve"> how policy actors grapple with buzzwords in their everyday work</w:t>
      </w:r>
      <w:r w:rsidR="00772100">
        <w:t xml:space="preserve">. </w:t>
      </w:r>
      <w:r w:rsidR="00AB1F6B">
        <w:t xml:space="preserve">We highlight </w:t>
      </w:r>
      <w:r w:rsidR="00F02C00">
        <w:t>the following</w:t>
      </w:r>
      <w:r>
        <w:t xml:space="preserve"> implications </w:t>
      </w:r>
      <w:r w:rsidR="00E34FCA">
        <w:t xml:space="preserve">for </w:t>
      </w:r>
      <w:r>
        <w:t>theory and practice</w:t>
      </w:r>
      <w:r w:rsidR="00772100">
        <w:t>.</w:t>
      </w:r>
      <w:r>
        <w:t xml:space="preserve"> </w:t>
      </w:r>
    </w:p>
    <w:p w14:paraId="30E1D7BA" w14:textId="16E605D2" w:rsidR="00FD4414" w:rsidRDefault="00F02C00" w:rsidP="00C27590">
      <w:pPr>
        <w:spacing w:line="276" w:lineRule="auto"/>
        <w:jc w:val="both"/>
      </w:pPr>
      <w:r w:rsidRPr="009C7335">
        <w:rPr>
          <w:i/>
          <w:iCs/>
        </w:rPr>
        <w:t>There is not one best way to resolve ambiguity</w:t>
      </w:r>
      <w:r>
        <w:t>.</w:t>
      </w:r>
      <w:r w:rsidR="00AB0ABA">
        <w:t xml:space="preserve"> </w:t>
      </w:r>
      <w:r>
        <w:t>We identify</w:t>
      </w:r>
      <w:r w:rsidR="00772100">
        <w:t xml:space="preserve"> three </w:t>
      </w:r>
      <w:r w:rsidR="00AB0ABA">
        <w:t xml:space="preserve">distinct </w:t>
      </w:r>
      <w:r w:rsidR="00772100">
        <w:t xml:space="preserve">approaches to resolving ambiguity: defining, deliberating and doing. </w:t>
      </w:r>
      <w:r w:rsidR="002F5701">
        <w:t xml:space="preserve">Ambiguity is respectively ‘worked out’ and minimised, ‘worked through’ and navigated, or ‘worked with’ and accommodated. </w:t>
      </w:r>
      <w:r w:rsidR="00FD4414">
        <w:t xml:space="preserve">By laying out the options in practice, </w:t>
      </w:r>
      <w:r w:rsidR="00CD20B8">
        <w:t xml:space="preserve">their underlying </w:t>
      </w:r>
      <w:r w:rsidR="006B20EC">
        <w:t>perspectives</w:t>
      </w:r>
      <w:r w:rsidR="00CD20B8">
        <w:t xml:space="preserve"> and associated toolkits, </w:t>
      </w:r>
      <w:r w:rsidR="00FD4414">
        <w:t>and the various strengths and weaknesses</w:t>
      </w:r>
      <w:r w:rsidR="00CD20B8">
        <w:t xml:space="preserve"> of each</w:t>
      </w:r>
      <w:r w:rsidR="00FD4414">
        <w:t xml:space="preserve">, we help scholars and practitioners make better sense of </w:t>
      </w:r>
      <w:r w:rsidR="00CD20B8">
        <w:t xml:space="preserve">the </w:t>
      </w:r>
      <w:r w:rsidR="00FD4414">
        <w:t>patterns that recur across different buzzwords and in different settings and sectors.</w:t>
      </w:r>
    </w:p>
    <w:p w14:paraId="299079AE" w14:textId="47B220C7" w:rsidR="00292A2A" w:rsidRDefault="00F02C00" w:rsidP="00C27590">
      <w:pPr>
        <w:spacing w:line="276" w:lineRule="auto"/>
        <w:jc w:val="both"/>
      </w:pPr>
      <w:r w:rsidRPr="009C7335">
        <w:rPr>
          <w:i/>
          <w:iCs/>
        </w:rPr>
        <w:t>T</w:t>
      </w:r>
      <w:r w:rsidR="00AB0ABA" w:rsidRPr="009C7335">
        <w:rPr>
          <w:i/>
          <w:iCs/>
        </w:rPr>
        <w:t>he performance of these approaches takes place in a continuous cycle of action</w:t>
      </w:r>
      <w:r w:rsidR="00FD4414">
        <w:t>.</w:t>
      </w:r>
      <w:r w:rsidR="00CD20B8">
        <w:t xml:space="preserve"> </w:t>
      </w:r>
      <w:r w:rsidR="00AB0ABA">
        <w:t>We identify</w:t>
      </w:r>
      <w:r w:rsidR="00CD20B8">
        <w:t xml:space="preserve"> the messy and recursive </w:t>
      </w:r>
      <w:r w:rsidR="00AB0ABA">
        <w:t xml:space="preserve">dynamics </w:t>
      </w:r>
      <w:r w:rsidR="009B7AF5">
        <w:t>of buzzword</w:t>
      </w:r>
      <w:r w:rsidR="00AB0ABA">
        <w:t xml:space="preserve"> use </w:t>
      </w:r>
      <w:r w:rsidR="009B7AF5">
        <w:t>in policy</w:t>
      </w:r>
      <w:r w:rsidR="00AB0ABA">
        <w:t xml:space="preserve"> and</w:t>
      </w:r>
      <w:r w:rsidR="009B7AF5">
        <w:t xml:space="preserve"> practice. </w:t>
      </w:r>
      <w:r w:rsidR="00CD20B8">
        <w:t>No</w:t>
      </w:r>
      <w:r w:rsidR="00AB0ABA">
        <w:t xml:space="preserve"> strategy – be it</w:t>
      </w:r>
      <w:r w:rsidR="00CD20B8">
        <w:t xml:space="preserve"> defining, deliberating</w:t>
      </w:r>
      <w:r w:rsidR="00AB0ABA">
        <w:t>,</w:t>
      </w:r>
      <w:r w:rsidR="00CD20B8">
        <w:t xml:space="preserve"> or doing </w:t>
      </w:r>
      <w:r w:rsidR="00AB0ABA">
        <w:t xml:space="preserve">- </w:t>
      </w:r>
      <w:r w:rsidR="00CD20B8">
        <w:t>is</w:t>
      </w:r>
      <w:r w:rsidR="00772100">
        <w:t xml:space="preserve"> </w:t>
      </w:r>
      <w:r w:rsidR="00CD20B8">
        <w:t>likely to fully and finally resolve the meaning of any given buzzword</w:t>
      </w:r>
      <w:r w:rsidR="00AB0ABA">
        <w:t>. N</w:t>
      </w:r>
      <w:r w:rsidR="00CD20B8">
        <w:t>or is any one strategy typically pursued in isolation.</w:t>
      </w:r>
      <w:r w:rsidR="00772100">
        <w:t xml:space="preserve"> Instead, we start to see that different actors pursue different strategies, at different times</w:t>
      </w:r>
      <w:r w:rsidR="00C01262">
        <w:t>,</w:t>
      </w:r>
      <w:r w:rsidR="00772100">
        <w:t xml:space="preserve"> in different settings, all with a view to </w:t>
      </w:r>
      <w:r w:rsidR="00C01262">
        <w:t>enable</w:t>
      </w:r>
      <w:r w:rsidR="00772100">
        <w:t xml:space="preserve"> change in some form or another while managing the everyday demands of policy work.</w:t>
      </w:r>
      <w:r w:rsidR="009B7AF5">
        <w:t xml:space="preserve"> </w:t>
      </w:r>
      <w:r w:rsidR="00772100">
        <w:t>T</w:t>
      </w:r>
      <w:r w:rsidR="009B7AF5">
        <w:t>he ambiguity of buzzwords is something to be negotiated and navigated through</w:t>
      </w:r>
      <w:r w:rsidR="00292A2A">
        <w:t>out</w:t>
      </w:r>
      <w:r w:rsidR="009B7AF5">
        <w:t xml:space="preserve"> the policymaking process and political contestation</w:t>
      </w:r>
      <w:r w:rsidR="002F5701">
        <w:t>.</w:t>
      </w:r>
    </w:p>
    <w:p w14:paraId="475352B6" w14:textId="2A24BCEC" w:rsidR="00DD14DB" w:rsidRDefault="00C01262" w:rsidP="00C27590">
      <w:pPr>
        <w:spacing w:line="276" w:lineRule="auto"/>
        <w:jc w:val="both"/>
      </w:pPr>
      <w:r>
        <w:t>It is crucial to note that t</w:t>
      </w:r>
      <w:r w:rsidR="009B7AF5">
        <w:t xml:space="preserve">his </w:t>
      </w:r>
      <w:r>
        <w:t xml:space="preserve">continuous </w:t>
      </w:r>
      <w:r w:rsidR="009B7AF5">
        <w:t xml:space="preserve">orientation </w:t>
      </w:r>
      <w:r>
        <w:t xml:space="preserve">without final resolution </w:t>
      </w:r>
      <w:r w:rsidR="009B7AF5">
        <w:t>need not lead to fatalism</w:t>
      </w:r>
      <w:r w:rsidR="00772100">
        <w:t>. C</w:t>
      </w:r>
      <w:r w:rsidR="009B7AF5">
        <w:t xml:space="preserve">onstant negotiation and navigation may not resolve in crystal clear clarity, but it can result </w:t>
      </w:r>
      <w:r w:rsidR="008B755D">
        <w:t xml:space="preserve">in meaningful progress that prompts tangible action. </w:t>
      </w:r>
      <w:r>
        <w:t>Indeed, continuous contestation may also help to keep an issue high on the policy agenda. For</w:t>
      </w:r>
      <w:r w:rsidR="008B755D">
        <w:t xml:space="preserve"> example, </w:t>
      </w:r>
      <w:r>
        <w:t>in our illustrative case</w:t>
      </w:r>
      <w:r w:rsidR="008B755D">
        <w:t>, participants reflected that the discussion on prevention had moved on substantially from older iterations</w:t>
      </w:r>
      <w:r>
        <w:t>. T</w:t>
      </w:r>
      <w:r w:rsidR="008B755D">
        <w:t>he cumulative impact of multiple efforts to define, deliberate and do prevention had left the legacy of some broadly shared assumptions and understandings, and a narrower frame of reference for the tracking of spend</w:t>
      </w:r>
      <w:r w:rsidR="004B63A5">
        <w:t>ing</w:t>
      </w:r>
      <w:r w:rsidR="008B755D">
        <w:t xml:space="preserve"> or the yardsticks of evaluation</w:t>
      </w:r>
      <w:r w:rsidR="00B542F0">
        <w:t xml:space="preserve"> in everyday policy work</w:t>
      </w:r>
      <w:r w:rsidR="008B755D">
        <w:t xml:space="preserve">. Analysts have </w:t>
      </w:r>
      <w:r w:rsidR="00B542F0">
        <w:t>made similar observations about this cumulative value</w:t>
      </w:r>
      <w:r w:rsidR="008B755D">
        <w:t xml:space="preserve"> across a wider spectrum of ambiguous policy buzzwords (Cianetti 202</w:t>
      </w:r>
      <w:r w:rsidR="000A4FD5">
        <w:t>4</w:t>
      </w:r>
      <w:r w:rsidR="008B755D">
        <w:t>; Cairney et al. 202</w:t>
      </w:r>
      <w:r w:rsidR="009123AA">
        <w:t>4</w:t>
      </w:r>
      <w:r w:rsidR="008B755D">
        <w:t xml:space="preserve">). </w:t>
      </w:r>
    </w:p>
    <w:p w14:paraId="63BBC3A2" w14:textId="2B7E00FE" w:rsidR="00F02C00" w:rsidRDefault="00F02C00" w:rsidP="00C27590">
      <w:pPr>
        <w:spacing w:line="276" w:lineRule="auto"/>
        <w:jc w:val="both"/>
      </w:pPr>
      <w:r w:rsidRPr="009C7335">
        <w:rPr>
          <w:i/>
          <w:iCs/>
        </w:rPr>
        <w:t>O</w:t>
      </w:r>
      <w:r w:rsidR="008B755D" w:rsidRPr="009C7335">
        <w:rPr>
          <w:i/>
          <w:iCs/>
        </w:rPr>
        <w:t>ur</w:t>
      </w:r>
      <w:r w:rsidR="00147024" w:rsidRPr="009C7335">
        <w:rPr>
          <w:i/>
          <w:iCs/>
        </w:rPr>
        <w:t xml:space="preserve"> new</w:t>
      </w:r>
      <w:r w:rsidR="009B7AF5" w:rsidRPr="009C7335">
        <w:rPr>
          <w:i/>
          <w:iCs/>
        </w:rPr>
        <w:t xml:space="preserve"> heuristic and </w:t>
      </w:r>
      <w:r w:rsidR="008B755D" w:rsidRPr="009C7335">
        <w:rPr>
          <w:i/>
          <w:iCs/>
        </w:rPr>
        <w:t xml:space="preserve">broader </w:t>
      </w:r>
      <w:r w:rsidR="009B7AF5" w:rsidRPr="009C7335">
        <w:rPr>
          <w:i/>
          <w:iCs/>
        </w:rPr>
        <w:t>orientation</w:t>
      </w:r>
      <w:r w:rsidR="008B755D" w:rsidRPr="009C7335">
        <w:rPr>
          <w:i/>
          <w:iCs/>
        </w:rPr>
        <w:t xml:space="preserve"> to policymaking buzzwords</w:t>
      </w:r>
      <w:r w:rsidR="009B7AF5" w:rsidRPr="009C7335">
        <w:rPr>
          <w:i/>
          <w:iCs/>
        </w:rPr>
        <w:t xml:space="preserve"> </w:t>
      </w:r>
      <w:r w:rsidR="004B63A5" w:rsidRPr="009C7335">
        <w:rPr>
          <w:i/>
          <w:iCs/>
        </w:rPr>
        <w:t>opens</w:t>
      </w:r>
      <w:r w:rsidR="009B7AF5" w:rsidRPr="009C7335">
        <w:rPr>
          <w:i/>
          <w:iCs/>
        </w:rPr>
        <w:t xml:space="preserve"> new agendas for theory and practice</w:t>
      </w:r>
      <w:r w:rsidR="009B7AF5">
        <w:t xml:space="preserve">. </w:t>
      </w:r>
      <w:r w:rsidR="00772100">
        <w:t>Our analysis has</w:t>
      </w:r>
      <w:r w:rsidR="00147024">
        <w:t xml:space="preserve"> been intentionally broad-brushed, and our example intended to illustrate the dynamics we discuss</w:t>
      </w:r>
      <w:r w:rsidR="002F5701">
        <w:t xml:space="preserve"> more </w:t>
      </w:r>
      <w:r w:rsidR="00147024">
        <w:t xml:space="preserve">vividly. </w:t>
      </w:r>
      <w:r>
        <w:t xml:space="preserve">However, </w:t>
      </w:r>
      <w:r w:rsidR="00147024">
        <w:t xml:space="preserve">there is much </w:t>
      </w:r>
      <w:r w:rsidR="00772100">
        <w:t xml:space="preserve">left </w:t>
      </w:r>
      <w:r w:rsidR="00147024">
        <w:t xml:space="preserve">to unpack. </w:t>
      </w:r>
      <w:r>
        <w:t>First</w:t>
      </w:r>
      <w:r w:rsidR="00147024">
        <w:t>,</w:t>
      </w:r>
      <w:r w:rsidR="00772100">
        <w:t xml:space="preserve"> </w:t>
      </w:r>
      <w:r w:rsidR="00147024">
        <w:t>not all buzzwords are equally ambiguous</w:t>
      </w:r>
      <w:r w:rsidR="004B63A5">
        <w:t xml:space="preserve"> or even expressed in the same level of abstraction</w:t>
      </w:r>
      <w:r w:rsidR="00147024">
        <w:t xml:space="preserve">. </w:t>
      </w:r>
      <w:r w:rsidR="004B63A5">
        <w:t>For example, p</w:t>
      </w:r>
      <w:r w:rsidR="00147024">
        <w:t>revention</w:t>
      </w:r>
      <w:r w:rsidR="004B63A5">
        <w:t xml:space="preserve"> is situated in a range of ambiguity, from remarkably fuzzy </w:t>
      </w:r>
      <w:r w:rsidR="004B63A5">
        <w:lastRenderedPageBreak/>
        <w:t>government commitments to a whole-of-government approach which can mean everything and therefore nothing,  to more specific</w:t>
      </w:r>
      <w:r w:rsidR="00147024">
        <w:t xml:space="preserve"> buzzwords such as ‘choice’ </w:t>
      </w:r>
      <w:r w:rsidR="004B63A5">
        <w:t>that</w:t>
      </w:r>
      <w:r w:rsidR="00147024">
        <w:t xml:space="preserve"> leave less room for manoeuvre. </w:t>
      </w:r>
      <w:r w:rsidRPr="00F02C00">
        <w:t>Further, some buzzwords also connect to more abstract process aims, such as to foster ‘systems leadership’, in which conceptual ambiguity may remain - despite the best efforts of scholars and practitioners – because the ambition lacks any means to coordinate discussion and action</w:t>
      </w:r>
      <w:r>
        <w:t xml:space="preserve"> (Cairney and Toomey, 2025)</w:t>
      </w:r>
      <w:r w:rsidRPr="00F02C00">
        <w:t>.</w:t>
      </w:r>
      <w:r>
        <w:t xml:space="preserve"> In that context, d</w:t>
      </w:r>
      <w:r w:rsidR="00147024">
        <w:t xml:space="preserve">oes the degree of underlying ambiguity impact on which mix of defining, deliberating and doing might work best? </w:t>
      </w:r>
    </w:p>
    <w:p w14:paraId="7B7ED2A8" w14:textId="04AC49A3" w:rsidR="00F02C00" w:rsidRDefault="00F02C00" w:rsidP="00C27590">
      <w:pPr>
        <w:spacing w:line="276" w:lineRule="auto"/>
        <w:jc w:val="both"/>
      </w:pPr>
      <w:r>
        <w:t>Second</w:t>
      </w:r>
      <w:r w:rsidR="00147024">
        <w:t xml:space="preserve">, not all buzzwords are equally novel. Some, like prevention, keep coming back in cycles, </w:t>
      </w:r>
      <w:r w:rsidR="004B63A5">
        <w:t xml:space="preserve">some </w:t>
      </w:r>
      <w:r w:rsidR="00147024">
        <w:t>mutate in</w:t>
      </w:r>
      <w:r w:rsidR="00772100">
        <w:t>to</w:t>
      </w:r>
      <w:r w:rsidR="00147024">
        <w:t xml:space="preserve"> different formulations (e</w:t>
      </w:r>
      <w:r w:rsidR="00733E27">
        <w:t>.</w:t>
      </w:r>
      <w:r w:rsidR="00147024">
        <w:t>g</w:t>
      </w:r>
      <w:r w:rsidR="00733E27">
        <w:t>.</w:t>
      </w:r>
      <w:r w:rsidR="00147024">
        <w:t xml:space="preserve"> from </w:t>
      </w:r>
      <w:r w:rsidR="004B63A5">
        <w:t>holistic governance to</w:t>
      </w:r>
      <w:r w:rsidR="00147024">
        <w:t xml:space="preserve"> systems thinking), </w:t>
      </w:r>
      <w:r w:rsidR="004B63A5">
        <w:t xml:space="preserve">and </w:t>
      </w:r>
      <w:r w:rsidR="00147024">
        <w:t xml:space="preserve">others appear </w:t>
      </w:r>
      <w:r w:rsidR="004B63A5">
        <w:t xml:space="preserve">initially </w:t>
      </w:r>
      <w:r w:rsidR="00772100">
        <w:t>as alien new concepts</w:t>
      </w:r>
      <w:r w:rsidR="00147024">
        <w:t xml:space="preserve"> </w:t>
      </w:r>
      <w:r w:rsidR="004B63A5">
        <w:t xml:space="preserve">before gaining quick acceptance </w:t>
      </w:r>
      <w:r w:rsidR="00147024">
        <w:t>(such as behavioural insights). Does the degree of familiarity, and the accumulation of experience over cycles, impact on the optimum mix</w:t>
      </w:r>
      <w:r w:rsidR="00772100">
        <w:t xml:space="preserve"> of strategies</w:t>
      </w:r>
      <w:r w:rsidR="00147024">
        <w:t>?</w:t>
      </w:r>
      <w:r w:rsidR="00733E27">
        <w:t xml:space="preserve"> </w:t>
      </w:r>
    </w:p>
    <w:p w14:paraId="7E3E819E" w14:textId="6BDE1E64" w:rsidR="00F02C00" w:rsidRDefault="00F02C00" w:rsidP="00C27590">
      <w:pPr>
        <w:spacing w:line="276" w:lineRule="auto"/>
        <w:jc w:val="both"/>
      </w:pPr>
      <w:r>
        <w:t>Third</w:t>
      </w:r>
      <w:r w:rsidR="00733E27">
        <w:t xml:space="preserve">, different </w:t>
      </w:r>
      <w:r>
        <w:t xml:space="preserve">jurisdictional </w:t>
      </w:r>
      <w:r w:rsidR="00733E27">
        <w:t xml:space="preserve">contexts </w:t>
      </w:r>
      <w:r w:rsidR="004B63A5">
        <w:t>are</w:t>
      </w:r>
      <w:r w:rsidR="00733E27">
        <w:t xml:space="preserve"> more or less welcoming to different approaches to navigating ambiguity</w:t>
      </w:r>
      <w:r w:rsidR="004B63A5">
        <w:t>, such as if</w:t>
      </w:r>
      <w:r w:rsidR="00733E27">
        <w:t xml:space="preserve"> prevent</w:t>
      </w:r>
      <w:r w:rsidR="004B63A5">
        <w:t xml:space="preserve">ion </w:t>
      </w:r>
      <w:r w:rsidR="00733E27">
        <w:t>in England require</w:t>
      </w:r>
      <w:r w:rsidR="004B63A5">
        <w:t>s</w:t>
      </w:r>
      <w:r w:rsidR="00733E27">
        <w:t xml:space="preserve"> explicit definitional groundwork for credibility</w:t>
      </w:r>
      <w:r w:rsidR="004B63A5">
        <w:t xml:space="preserve">, compared to </w:t>
      </w:r>
      <w:r w:rsidR="00733E27">
        <w:t xml:space="preserve">devolved </w:t>
      </w:r>
      <w:r>
        <w:t>territorial governments more committed rhetorically to deliberative policy styles</w:t>
      </w:r>
      <w:r w:rsidR="00733E27">
        <w:t xml:space="preserve"> </w:t>
      </w:r>
      <w:r>
        <w:t>(</w:t>
      </w:r>
      <w:r w:rsidR="002A0343">
        <w:t>Connell</w:t>
      </w:r>
      <w:r w:rsidR="00733E27">
        <w:t xml:space="preserve"> et al</w:t>
      </w:r>
      <w:r w:rsidR="00650BD2">
        <w:t>,</w:t>
      </w:r>
      <w:r w:rsidR="00733E27">
        <w:t xml:space="preserve"> 202</w:t>
      </w:r>
      <w:r w:rsidR="00650BD2">
        <w:t>2</w:t>
      </w:r>
      <w:r w:rsidR="00733E27">
        <w:t xml:space="preserve">). </w:t>
      </w:r>
    </w:p>
    <w:p w14:paraId="66054D36" w14:textId="5CF86160" w:rsidR="00F02C00" w:rsidRPr="00F02C00" w:rsidRDefault="00F02C00" w:rsidP="00F02C00">
      <w:pPr>
        <w:spacing w:line="276" w:lineRule="auto"/>
        <w:jc w:val="both"/>
      </w:pPr>
      <w:r>
        <w:t>Fourth, we expect these dynamics to vary by sector. W</w:t>
      </w:r>
      <w:r w:rsidRPr="00F02C00">
        <w:t>hile ‘prevention’ tends to be situated at a domestic level</w:t>
      </w:r>
      <w:r>
        <w:t xml:space="preserve">, </w:t>
      </w:r>
      <w:r w:rsidRPr="00F02C00">
        <w:t xml:space="preserve">in which there is at least one relatively clear centre of formal authority, aims such as environmental policy integration extend to supranational arenas in which there are multiple centres and no obvious way to produce binding clarity on all actors (indeed, an ambiguous high-level strategy is a feature of </w:t>
      </w:r>
      <w:r>
        <w:t xml:space="preserve">initiatives such as </w:t>
      </w:r>
      <w:r w:rsidRPr="00F02C00">
        <w:t>EPI</w:t>
      </w:r>
      <w:r>
        <w:t xml:space="preserve"> – Trein et al, 2023</w:t>
      </w:r>
      <w:r w:rsidRPr="00F02C00">
        <w:t xml:space="preserve">). </w:t>
      </w:r>
    </w:p>
    <w:p w14:paraId="01A265F6" w14:textId="3EBCBB15" w:rsidR="00D84DBC" w:rsidRDefault="00F02C00">
      <w:pPr>
        <w:spacing w:line="276" w:lineRule="auto"/>
        <w:jc w:val="both"/>
      </w:pPr>
      <w:r>
        <w:t xml:space="preserve">In that context, we provide </w:t>
      </w:r>
      <w:r w:rsidR="00733E27">
        <w:t xml:space="preserve">a launching pad for further conceptual reflection, practical experimentation, and empirical investigation, ultimately pushing the agenda </w:t>
      </w:r>
      <w:r w:rsidR="00D1245E">
        <w:t>on policy</w:t>
      </w:r>
      <w:r w:rsidR="00733E27">
        <w:t xml:space="preserve"> buzzwords beyond a fixation on</w:t>
      </w:r>
      <w:r w:rsidR="00D1245E">
        <w:t xml:space="preserve"> cycles of</w:t>
      </w:r>
      <w:r w:rsidR="00733E27">
        <w:t xml:space="preserve"> frustration, and towards a deeper understanding of the</w:t>
      </w:r>
      <w:r w:rsidR="00D1245E">
        <w:t xml:space="preserve"> iterative</w:t>
      </w:r>
      <w:r w:rsidR="00733E27">
        <w:t xml:space="preserve"> dynamics of navigation and </w:t>
      </w:r>
      <w:r w:rsidR="00F200FE" w:rsidRPr="00F200FE">
        <w:t xml:space="preserve">negotiation.   </w:t>
      </w:r>
      <w:r w:rsidR="00D84DBC">
        <w:t>As such, the aim is to not to impose rigid analysis of ambiguity resolution, but to prompt questions associated with each category</w:t>
      </w:r>
      <w:r w:rsidR="00F7687B">
        <w:t xml:space="preserve">: (1) to what extent can an actor or organisation define the aim for others to follow; (2) which actors would be part of any deliberative process to negotiate meaning; and (3) </w:t>
      </w:r>
      <w:r w:rsidR="00372CA6">
        <w:t>which</w:t>
      </w:r>
      <w:r w:rsidR="00F7687B">
        <w:t xml:space="preserve"> actors have the autonomy and resources to get on with it? By asking these three </w:t>
      </w:r>
      <w:r w:rsidR="00931EA6">
        <w:t>broad</w:t>
      </w:r>
      <w:r w:rsidR="00F7687B">
        <w:t xml:space="preserve"> questions, we turn vague </w:t>
      </w:r>
      <w:r w:rsidR="00F872CB">
        <w:t xml:space="preserve">aspirations </w:t>
      </w:r>
      <w:r w:rsidR="00F7687B">
        <w:t xml:space="preserve">for clarity into </w:t>
      </w:r>
      <w:r w:rsidR="00F872CB">
        <w:t xml:space="preserve">ambitions </w:t>
      </w:r>
      <w:r w:rsidR="00F7687B">
        <w:t>that can be illuminated with systematic research</w:t>
      </w:r>
      <w:r w:rsidR="00F872CB">
        <w:t xml:space="preserve"> to establish the connection between the spread of popular ideas and the power and politics to determine their meaning and effect. </w:t>
      </w:r>
    </w:p>
    <w:p w14:paraId="76CCDAF0" w14:textId="77777777" w:rsidR="00A5057D" w:rsidRDefault="00A5057D">
      <w:pPr>
        <w:spacing w:line="276" w:lineRule="auto"/>
        <w:jc w:val="both"/>
      </w:pPr>
    </w:p>
    <w:p w14:paraId="66B83CC5" w14:textId="77777777" w:rsidR="00A5057D" w:rsidRDefault="00A5057D">
      <w:pPr>
        <w:spacing w:line="276" w:lineRule="auto"/>
        <w:jc w:val="both"/>
      </w:pPr>
    </w:p>
    <w:p w14:paraId="367EF910" w14:textId="422B7C73" w:rsidR="00A5057D" w:rsidRPr="005930FE" w:rsidRDefault="00A5057D">
      <w:pPr>
        <w:spacing w:line="276" w:lineRule="auto"/>
        <w:jc w:val="both"/>
        <w:rPr>
          <w:b/>
          <w:bCs/>
        </w:rPr>
      </w:pPr>
      <w:r w:rsidRPr="005930FE">
        <w:rPr>
          <w:b/>
          <w:bCs/>
        </w:rPr>
        <w:t>Funding Declaration</w:t>
      </w:r>
    </w:p>
    <w:p w14:paraId="7C11DC66" w14:textId="28915A15" w:rsidR="00A5057D" w:rsidRDefault="005930FE">
      <w:pPr>
        <w:spacing w:line="276" w:lineRule="auto"/>
        <w:jc w:val="both"/>
      </w:pPr>
      <w:r>
        <w:t>There is no funding to disclose.</w:t>
      </w:r>
    </w:p>
    <w:p w14:paraId="34FD42EE" w14:textId="0DBB8CD3" w:rsidR="00EA0637" w:rsidRDefault="00EA0637" w:rsidP="00C42A4D">
      <w:pPr>
        <w:spacing w:line="276" w:lineRule="auto"/>
        <w:jc w:val="both"/>
      </w:pPr>
    </w:p>
    <w:p w14:paraId="5D07743F" w14:textId="77777777" w:rsidR="00E5238B" w:rsidRDefault="00E5238B" w:rsidP="00C42A4D">
      <w:pPr>
        <w:spacing w:line="276" w:lineRule="auto"/>
        <w:jc w:val="both"/>
      </w:pPr>
    </w:p>
    <w:p w14:paraId="3308D4D1" w14:textId="77777777" w:rsidR="002E1AFB" w:rsidRDefault="002E1AFB">
      <w:pPr>
        <w:rPr>
          <w:rFonts w:cs="Times New Roman"/>
          <w:b/>
          <w:bCs/>
          <w:kern w:val="0"/>
          <w:sz w:val="32"/>
          <w:szCs w:val="32"/>
          <w:highlight w:val="yellow"/>
        </w:rPr>
      </w:pPr>
      <w:r>
        <w:rPr>
          <w:rFonts w:cs="Times New Roman"/>
          <w:b/>
          <w:bCs/>
          <w:kern w:val="0"/>
          <w:sz w:val="32"/>
          <w:szCs w:val="32"/>
          <w:highlight w:val="yellow"/>
        </w:rPr>
        <w:br w:type="page"/>
      </w:r>
    </w:p>
    <w:p w14:paraId="4359ABB4" w14:textId="4B8DB19E" w:rsidR="00C2349D" w:rsidRPr="00372CA6" w:rsidRDefault="00C2349D" w:rsidP="00C42A4D">
      <w:pPr>
        <w:autoSpaceDE w:val="0"/>
        <w:autoSpaceDN w:val="0"/>
        <w:adjustRightInd w:val="0"/>
        <w:spacing w:after="0" w:line="276" w:lineRule="auto"/>
        <w:rPr>
          <w:rFonts w:cs="Times New Roman"/>
          <w:b/>
          <w:bCs/>
          <w:kern w:val="0"/>
          <w:sz w:val="32"/>
          <w:szCs w:val="32"/>
        </w:rPr>
      </w:pPr>
      <w:r w:rsidRPr="00372CA6">
        <w:rPr>
          <w:rFonts w:cs="Times New Roman"/>
          <w:b/>
          <w:bCs/>
          <w:kern w:val="0"/>
          <w:sz w:val="32"/>
          <w:szCs w:val="32"/>
        </w:rPr>
        <w:lastRenderedPageBreak/>
        <w:t>References</w:t>
      </w:r>
      <w:r w:rsidR="00372CA6" w:rsidRPr="00372CA6">
        <w:rPr>
          <w:rFonts w:cs="Times New Roman"/>
          <w:b/>
          <w:bCs/>
          <w:kern w:val="0"/>
          <w:sz w:val="32"/>
          <w:szCs w:val="32"/>
        </w:rPr>
        <w:t xml:space="preserve">  </w:t>
      </w:r>
    </w:p>
    <w:p w14:paraId="4278E48C" w14:textId="77777777" w:rsidR="00DA4F03" w:rsidRPr="00372CA6" w:rsidRDefault="00DA4F03" w:rsidP="00372CA6">
      <w:pPr>
        <w:autoSpaceDE w:val="0"/>
        <w:autoSpaceDN w:val="0"/>
        <w:adjustRightInd w:val="0"/>
        <w:spacing w:after="0" w:line="240" w:lineRule="auto"/>
        <w:rPr>
          <w:rFonts w:cs="Times New Roman"/>
          <w:kern w:val="0"/>
        </w:rPr>
      </w:pPr>
    </w:p>
    <w:p w14:paraId="32E4A0AF" w14:textId="77777777" w:rsidR="00DA4F03" w:rsidRPr="00372CA6" w:rsidRDefault="00DA4F03" w:rsidP="00D85288">
      <w:pPr>
        <w:autoSpaceDE w:val="0"/>
        <w:autoSpaceDN w:val="0"/>
        <w:adjustRightInd w:val="0"/>
        <w:spacing w:after="0" w:line="276" w:lineRule="auto"/>
        <w:rPr>
          <w:rFonts w:cs="Times New Roman"/>
          <w:kern w:val="0"/>
        </w:rPr>
      </w:pPr>
      <w:r w:rsidRPr="00372CA6">
        <w:rPr>
          <w:rFonts w:cs="Times New Roman"/>
          <w:kern w:val="0"/>
        </w:rPr>
        <w:t>Andriani, P., &amp; McKelvey, B. (2011)</w:t>
      </w:r>
      <w:r>
        <w:rPr>
          <w:rFonts w:cs="Times New Roman"/>
          <w:kern w:val="0"/>
        </w:rPr>
        <w:t xml:space="preserve"> ‘</w:t>
      </w:r>
      <w:r w:rsidRPr="00372CA6">
        <w:rPr>
          <w:rFonts w:cs="Times New Roman"/>
          <w:kern w:val="0"/>
        </w:rPr>
        <w:t>From skew distribution to power</w:t>
      </w:r>
      <w:r w:rsidRPr="00372CA6">
        <w:rPr>
          <w:rFonts w:eastAsia="AdvTTa9c1b374+20" w:cs="Times New Roman" w:hint="eastAsia"/>
          <w:kern w:val="0"/>
        </w:rPr>
        <w:t>‐</w:t>
      </w:r>
      <w:r w:rsidRPr="00372CA6">
        <w:rPr>
          <w:rFonts w:cs="Times New Roman"/>
          <w:kern w:val="0"/>
        </w:rPr>
        <w:t>law science</w:t>
      </w:r>
      <w:r>
        <w:rPr>
          <w:rFonts w:cs="Times New Roman"/>
          <w:kern w:val="0"/>
        </w:rPr>
        <w:t>’</w:t>
      </w:r>
      <w:r w:rsidRPr="00372CA6">
        <w:rPr>
          <w:rFonts w:cs="Times New Roman"/>
          <w:kern w:val="0"/>
        </w:rPr>
        <w:t xml:space="preserve">. In P. Allen, S. Maguire, &amp; B. Mackelvey (Eds.), </w:t>
      </w:r>
      <w:r w:rsidRPr="00372CA6">
        <w:rPr>
          <w:rFonts w:cs="Times New Roman"/>
          <w:i/>
          <w:iCs/>
          <w:kern w:val="0"/>
        </w:rPr>
        <w:t>Sage handbook of complexity and management</w:t>
      </w:r>
      <w:r w:rsidRPr="00372CA6">
        <w:rPr>
          <w:rFonts w:cs="Times New Roman"/>
          <w:kern w:val="0"/>
        </w:rPr>
        <w:t>. London: Sage.</w:t>
      </w:r>
    </w:p>
    <w:p w14:paraId="07F51A8A" w14:textId="77777777" w:rsidR="00DA4F03" w:rsidRDefault="00DA4F03" w:rsidP="00372CA6">
      <w:pPr>
        <w:tabs>
          <w:tab w:val="left" w:pos="142"/>
        </w:tabs>
        <w:spacing w:before="240" w:line="276" w:lineRule="auto"/>
      </w:pPr>
      <w:r w:rsidRPr="00B61599">
        <w:t xml:space="preserve">Aoki, N., Tay, M., </w:t>
      </w:r>
      <w:r>
        <w:t>and</w:t>
      </w:r>
      <w:r w:rsidRPr="00B61599">
        <w:t xml:space="preserve"> Rawat, S. (2024)</w:t>
      </w:r>
      <w:r>
        <w:t xml:space="preserve"> ‘</w:t>
      </w:r>
      <w:r w:rsidRPr="00B61599">
        <w:t>Whole‐of‐government and joined‐up government: A systematic literature review</w:t>
      </w:r>
      <w:r>
        <w:t>’,</w:t>
      </w:r>
      <w:r w:rsidRPr="00B61599">
        <w:t xml:space="preserve"> </w:t>
      </w:r>
      <w:r w:rsidRPr="00B61599">
        <w:rPr>
          <w:i/>
          <w:iCs/>
        </w:rPr>
        <w:t>Public Administration</w:t>
      </w:r>
      <w:r w:rsidRPr="00B61599">
        <w:t xml:space="preserve">, 102(2), 733-752 </w:t>
      </w:r>
      <w:hyperlink r:id="rId9" w:history="1">
        <w:r w:rsidRPr="00B61599">
          <w:rPr>
            <w:rStyle w:val="Hyperlink"/>
          </w:rPr>
          <w:t>https://doi.org/10.1111/padm.12949</w:t>
        </w:r>
      </w:hyperlink>
      <w:r>
        <w:t xml:space="preserve"> </w:t>
      </w:r>
    </w:p>
    <w:p w14:paraId="6107E61D" w14:textId="77777777" w:rsidR="00DA4F03" w:rsidRPr="00372CA6" w:rsidRDefault="00DA4F03" w:rsidP="00372CA6">
      <w:pPr>
        <w:autoSpaceDE w:val="0"/>
        <w:autoSpaceDN w:val="0"/>
        <w:adjustRightInd w:val="0"/>
        <w:spacing w:after="0" w:line="240" w:lineRule="auto"/>
        <w:jc w:val="both"/>
        <w:rPr>
          <w:rFonts w:cs="Times New Roman"/>
          <w:kern w:val="0"/>
        </w:rPr>
      </w:pPr>
      <w:r w:rsidRPr="00372CA6">
        <w:rPr>
          <w:rFonts w:cs="Times New Roman"/>
          <w:kern w:val="0"/>
        </w:rPr>
        <w:t>Baumgartner, F. and Jones, B. (1993</w:t>
      </w:r>
      <w:r w:rsidRPr="00372CA6">
        <w:rPr>
          <w:rFonts w:cs="Times New Roman"/>
          <w:i/>
          <w:iCs/>
          <w:kern w:val="0"/>
        </w:rPr>
        <w:t>). Agendas and instability in American politics</w:t>
      </w:r>
      <w:r w:rsidRPr="00372CA6">
        <w:rPr>
          <w:rFonts w:cs="Times New Roman"/>
          <w:kern w:val="0"/>
        </w:rPr>
        <w:t>, Chicago: University of Chicago Press</w:t>
      </w:r>
    </w:p>
    <w:p w14:paraId="0713D967" w14:textId="77777777" w:rsidR="00DA4F03" w:rsidRDefault="00DA4F03" w:rsidP="00372CA6">
      <w:pPr>
        <w:spacing w:before="240"/>
        <w:jc w:val="both"/>
        <w:rPr>
          <w:rFonts w:eastAsia="Times New Roman" w:cs="Times New Roman"/>
        </w:rPr>
      </w:pPr>
      <w:r>
        <w:rPr>
          <w:rFonts w:eastAsia="Times New Roman" w:cs="Times New Roman"/>
        </w:rPr>
        <w:t>Baumgartner, F., Jones, B. and Mortensen, P. (2023) ‘Punctuated Equilibrium Theory: Explaining Stability and Change in Public Policymaking’ in Weible, C. (ed) Theories of the Policy Process 5</w:t>
      </w:r>
      <w:r>
        <w:rPr>
          <w:rFonts w:eastAsia="Times New Roman" w:cs="Times New Roman"/>
          <w:vertAlign w:val="superscript"/>
        </w:rPr>
        <w:t>th</w:t>
      </w:r>
      <w:r>
        <w:rPr>
          <w:rFonts w:eastAsia="Times New Roman" w:cs="Times New Roman"/>
        </w:rPr>
        <w:t xml:space="preserve"> ed (London: Routledge)</w:t>
      </w:r>
    </w:p>
    <w:p w14:paraId="40DB9FBB" w14:textId="77777777" w:rsidR="00DA4F03" w:rsidRDefault="00DA4F03" w:rsidP="00C42A4D">
      <w:pPr>
        <w:spacing w:line="276" w:lineRule="auto"/>
        <w:jc w:val="both"/>
        <w:rPr>
          <w:rFonts w:cs="Times New Roman"/>
          <w:kern w:val="0"/>
        </w:rPr>
      </w:pPr>
      <w:r w:rsidRPr="00650BD2">
        <w:rPr>
          <w:rFonts w:cs="Times New Roman"/>
          <w:kern w:val="0"/>
        </w:rPr>
        <w:t>Billis, D. (1981). At risk of prevention. </w:t>
      </w:r>
      <w:r w:rsidRPr="00650BD2">
        <w:rPr>
          <w:rFonts w:cs="Times New Roman"/>
          <w:i/>
          <w:iCs/>
          <w:kern w:val="0"/>
        </w:rPr>
        <w:t>Journal of Social Policy</w:t>
      </w:r>
      <w:r w:rsidRPr="00650BD2">
        <w:rPr>
          <w:rFonts w:cs="Times New Roman"/>
          <w:kern w:val="0"/>
        </w:rPr>
        <w:t>, </w:t>
      </w:r>
      <w:r w:rsidRPr="00650BD2">
        <w:rPr>
          <w:rFonts w:cs="Times New Roman"/>
          <w:i/>
          <w:iCs/>
          <w:kern w:val="0"/>
        </w:rPr>
        <w:t>10</w:t>
      </w:r>
      <w:r w:rsidRPr="00650BD2">
        <w:rPr>
          <w:rFonts w:cs="Times New Roman"/>
          <w:kern w:val="0"/>
        </w:rPr>
        <w:t xml:space="preserve">(3), 367-379. </w:t>
      </w:r>
    </w:p>
    <w:p w14:paraId="448BA133" w14:textId="77777777" w:rsidR="00DA4F03" w:rsidRPr="00372CA6" w:rsidRDefault="00DA4F03" w:rsidP="00C42A4D">
      <w:pPr>
        <w:spacing w:line="276" w:lineRule="auto"/>
        <w:jc w:val="both"/>
        <w:rPr>
          <w:rFonts w:cs="Times New Roman"/>
          <w:kern w:val="0"/>
        </w:rPr>
      </w:pPr>
      <w:r w:rsidRPr="00372CA6">
        <w:rPr>
          <w:rFonts w:cs="Times New Roman"/>
          <w:kern w:val="0"/>
        </w:rPr>
        <w:t>Boswell, J. (2016). Deliberating downstream: Countering democratic distortions in the policy process. </w:t>
      </w:r>
      <w:r w:rsidRPr="00372CA6">
        <w:rPr>
          <w:rFonts w:cs="Times New Roman"/>
          <w:i/>
          <w:iCs/>
          <w:kern w:val="0"/>
        </w:rPr>
        <w:t>Perspectives on Politics</w:t>
      </w:r>
      <w:r w:rsidRPr="00372CA6">
        <w:rPr>
          <w:rFonts w:cs="Times New Roman"/>
          <w:kern w:val="0"/>
        </w:rPr>
        <w:t>, </w:t>
      </w:r>
      <w:r w:rsidRPr="00372CA6">
        <w:rPr>
          <w:rFonts w:cs="Times New Roman"/>
          <w:i/>
          <w:iCs/>
          <w:kern w:val="0"/>
        </w:rPr>
        <w:t>14</w:t>
      </w:r>
      <w:r w:rsidRPr="00372CA6">
        <w:rPr>
          <w:rFonts w:cs="Times New Roman"/>
          <w:kern w:val="0"/>
        </w:rPr>
        <w:t>(3), 724-737.</w:t>
      </w:r>
    </w:p>
    <w:p w14:paraId="3BB3FA51" w14:textId="77777777" w:rsidR="00DA4F03" w:rsidRPr="00372CA6" w:rsidRDefault="00DA4F03" w:rsidP="00C42A4D">
      <w:pPr>
        <w:spacing w:line="276" w:lineRule="auto"/>
        <w:jc w:val="both"/>
        <w:rPr>
          <w:rFonts w:cs="Times New Roman"/>
          <w:kern w:val="0"/>
        </w:rPr>
      </w:pPr>
      <w:r w:rsidRPr="00372CA6">
        <w:rPr>
          <w:rFonts w:cs="Times New Roman"/>
          <w:kern w:val="0"/>
        </w:rPr>
        <w:t>Boswell, J. (2023). </w:t>
      </w:r>
      <w:r w:rsidRPr="00372CA6">
        <w:rPr>
          <w:rFonts w:cs="Times New Roman"/>
          <w:i/>
          <w:iCs/>
          <w:kern w:val="0"/>
        </w:rPr>
        <w:t>Magical thinking in public policy: Why naïve ideals about better policymaking persist in cynical times</w:t>
      </w:r>
      <w:r w:rsidRPr="00372CA6">
        <w:rPr>
          <w:rFonts w:cs="Times New Roman"/>
          <w:kern w:val="0"/>
        </w:rPr>
        <w:t>. Oxford University Press.</w:t>
      </w:r>
    </w:p>
    <w:p w14:paraId="634AFFF9" w14:textId="09A2FE70" w:rsidR="004C2ECE" w:rsidRDefault="00BF2AAB" w:rsidP="00DA4F03">
      <w:pPr>
        <w:tabs>
          <w:tab w:val="left" w:pos="142"/>
        </w:tabs>
        <w:spacing w:before="240" w:line="276" w:lineRule="auto"/>
      </w:pPr>
      <w:r w:rsidRPr="00BF2AAB">
        <w:t>Bowker, G.C. and Leigh Star, S. (1999) </w:t>
      </w:r>
      <w:r w:rsidRPr="00BF2AAB">
        <w:rPr>
          <w:i/>
          <w:iCs/>
        </w:rPr>
        <w:t>Sorting Things Out: Classification and Its Consequences</w:t>
      </w:r>
      <w:r w:rsidRPr="00BF2AAB">
        <w:t>, The MIT Press</w:t>
      </w:r>
      <w:r>
        <w:t>.</w:t>
      </w:r>
    </w:p>
    <w:p w14:paraId="0296D8A3" w14:textId="0AE08B41" w:rsidR="00DA4F03" w:rsidRDefault="00DA4F03" w:rsidP="00DA4F03">
      <w:pPr>
        <w:tabs>
          <w:tab w:val="left" w:pos="142"/>
        </w:tabs>
        <w:spacing w:before="240" w:line="276" w:lineRule="auto"/>
        <w:rPr>
          <w:rStyle w:val="Hyperlink"/>
          <w:rFonts w:eastAsiaTheme="majorEastAsia"/>
        </w:rPr>
      </w:pPr>
      <w:r>
        <w:t>Cairney</w:t>
      </w:r>
      <w:r w:rsidRPr="004E0E8A">
        <w:t xml:space="preserve"> </w:t>
      </w:r>
      <w:r>
        <w:t xml:space="preserve">P. and Toomey, C. (2025) ‘Systems Leadership: a qualitative systematic review of advice for policymakers’ [version 1; peer review: 2 approved], </w:t>
      </w:r>
      <w:r w:rsidRPr="004E0E8A">
        <w:rPr>
          <w:i/>
          <w:iCs/>
        </w:rPr>
        <w:t>Open Research Europe</w:t>
      </w:r>
      <w:r>
        <w:t xml:space="preserve">, </w:t>
      </w:r>
      <w:r w:rsidRPr="004E0E8A">
        <w:t>10 Jan 2025, </w:t>
      </w:r>
      <w:r w:rsidRPr="004E0E8A">
        <w:rPr>
          <w:b/>
          <w:bCs/>
        </w:rPr>
        <w:t>5</w:t>
      </w:r>
      <w:r w:rsidRPr="004E0E8A">
        <w:t>:6 (</w:t>
      </w:r>
      <w:hyperlink r:id="rId10" w:tgtFrame="_blank" w:history="1">
        <w:r w:rsidRPr="004E0E8A">
          <w:rPr>
            <w:rStyle w:val="Hyperlink"/>
          </w:rPr>
          <w:t>https://doi.org/10.12688/openreseurope.18982.1</w:t>
        </w:r>
      </w:hyperlink>
      <w:r w:rsidRPr="004E0E8A">
        <w:t>)</w:t>
      </w:r>
    </w:p>
    <w:p w14:paraId="70018535" w14:textId="77777777" w:rsidR="00DA4F03" w:rsidRDefault="00DA4F03" w:rsidP="00C42A4D">
      <w:pPr>
        <w:spacing w:line="276" w:lineRule="auto"/>
        <w:jc w:val="both"/>
        <w:rPr>
          <w:rFonts w:cs="Times New Roman"/>
          <w:kern w:val="0"/>
        </w:rPr>
      </w:pPr>
      <w:r w:rsidRPr="00650BD2">
        <w:rPr>
          <w:rFonts w:cs="Times New Roman"/>
          <w:kern w:val="0"/>
        </w:rPr>
        <w:t>Cairney, P. and St</w:t>
      </w:r>
      <w:r>
        <w:rPr>
          <w:rFonts w:cs="Times New Roman"/>
          <w:kern w:val="0"/>
        </w:rPr>
        <w:t>.</w:t>
      </w:r>
      <w:r w:rsidRPr="00650BD2">
        <w:rPr>
          <w:rFonts w:cs="Times New Roman"/>
          <w:kern w:val="0"/>
        </w:rPr>
        <w:t xml:space="preserve">Denny, E. (2020) </w:t>
      </w:r>
      <w:r w:rsidRPr="00650BD2">
        <w:rPr>
          <w:rFonts w:cs="Times New Roman"/>
          <w:i/>
          <w:kern w:val="0"/>
        </w:rPr>
        <w:t>Why isn’t government policy more preventive?</w:t>
      </w:r>
      <w:r w:rsidRPr="00650BD2">
        <w:rPr>
          <w:rFonts w:cs="Times New Roman"/>
          <w:kern w:val="0"/>
        </w:rPr>
        <w:t xml:space="preserve"> (Oxford: Oxford University Press</w:t>
      </w:r>
      <w:r>
        <w:rPr>
          <w:rFonts w:cs="Times New Roman"/>
          <w:kern w:val="0"/>
        </w:rPr>
        <w:t>)</w:t>
      </w:r>
    </w:p>
    <w:p w14:paraId="0560319B" w14:textId="77777777" w:rsidR="00DA4F03" w:rsidRDefault="00DA4F03" w:rsidP="00DA4F03">
      <w:pPr>
        <w:pStyle w:val="NormalWeb"/>
        <w:tabs>
          <w:tab w:val="left" w:pos="142"/>
        </w:tabs>
        <w:spacing w:before="240" w:beforeAutospacing="0" w:after="240" w:afterAutospacing="0" w:line="276" w:lineRule="auto"/>
        <w:jc w:val="both"/>
      </w:pPr>
      <w:r>
        <w:t>Cairney, P. and Toomey, C. (2024) ‘Collaborative Policymaking: a qualitative systematic review of advice for policymakers’ [</w:t>
      </w:r>
      <w:r w:rsidRPr="004E0E8A">
        <w:t>version 1; peer review: 3 approved</w:t>
      </w:r>
      <w:r>
        <w:t xml:space="preserve">], </w:t>
      </w:r>
      <w:r w:rsidRPr="004E0E8A">
        <w:rPr>
          <w:i/>
          <w:iCs/>
        </w:rPr>
        <w:t>Open Research Europe</w:t>
      </w:r>
      <w:r>
        <w:t xml:space="preserve">, </w:t>
      </w:r>
      <w:r w:rsidRPr="00510E9C">
        <w:t>18 Sep 2024, </w:t>
      </w:r>
      <w:r w:rsidRPr="00510E9C">
        <w:rPr>
          <w:b/>
          <w:bCs/>
        </w:rPr>
        <w:t>4</w:t>
      </w:r>
      <w:r w:rsidRPr="00510E9C">
        <w:t>:204 </w:t>
      </w:r>
      <w:hyperlink r:id="rId11" w:history="1">
        <w:r w:rsidRPr="00996B60">
          <w:rPr>
            <w:rStyle w:val="Hyperlink"/>
            <w:rFonts w:eastAsiaTheme="majorEastAsia"/>
          </w:rPr>
          <w:t>https://doi.org/10.12688/openreseurope.18440.1</w:t>
        </w:r>
      </w:hyperlink>
    </w:p>
    <w:p w14:paraId="565BA85A" w14:textId="77777777" w:rsidR="00DA4F03" w:rsidRPr="00372CA6" w:rsidRDefault="00DA4F03" w:rsidP="00C42A4D">
      <w:pPr>
        <w:spacing w:line="276" w:lineRule="auto"/>
        <w:jc w:val="both"/>
        <w:rPr>
          <w:rFonts w:cs="Times New Roman"/>
          <w:kern w:val="0"/>
        </w:rPr>
      </w:pPr>
      <w:r w:rsidRPr="002A0343">
        <w:rPr>
          <w:rFonts w:cs="Times New Roman"/>
          <w:kern w:val="0"/>
        </w:rPr>
        <w:t>Cairney</w:t>
      </w:r>
      <w:r>
        <w:rPr>
          <w:rFonts w:cs="Times New Roman"/>
          <w:kern w:val="0"/>
        </w:rPr>
        <w:t>, P.</w:t>
      </w:r>
      <w:r w:rsidRPr="002A0343">
        <w:rPr>
          <w:rFonts w:cs="Times New Roman"/>
          <w:kern w:val="0"/>
        </w:rPr>
        <w:t xml:space="preserve"> and Weible</w:t>
      </w:r>
      <w:r>
        <w:rPr>
          <w:rFonts w:cs="Times New Roman"/>
          <w:kern w:val="0"/>
        </w:rPr>
        <w:t>, C.</w:t>
      </w:r>
      <w:r w:rsidRPr="002A0343">
        <w:rPr>
          <w:rFonts w:cs="Times New Roman"/>
          <w:kern w:val="0"/>
        </w:rPr>
        <w:t xml:space="preserve"> (2017) ‘The new policy sciences: combining the cognitive science of choice, multiple theories of context, and basic and applied analysis’, </w:t>
      </w:r>
      <w:r w:rsidRPr="002A0343">
        <w:rPr>
          <w:rFonts w:cs="Times New Roman"/>
          <w:i/>
          <w:iCs/>
          <w:kern w:val="0"/>
        </w:rPr>
        <w:t>Policy Sciences</w:t>
      </w:r>
      <w:r w:rsidRPr="002A0343">
        <w:rPr>
          <w:rFonts w:cs="Times New Roman"/>
          <w:kern w:val="0"/>
        </w:rPr>
        <w:t>, 50, 4, 619-27</w:t>
      </w:r>
    </w:p>
    <w:p w14:paraId="15566282" w14:textId="77777777" w:rsidR="00DA4F03" w:rsidRPr="00372CA6" w:rsidRDefault="00DA4F03" w:rsidP="00C42A4D">
      <w:pPr>
        <w:spacing w:line="276" w:lineRule="auto"/>
        <w:jc w:val="both"/>
        <w:rPr>
          <w:rFonts w:cs="Times New Roman"/>
          <w:kern w:val="0"/>
        </w:rPr>
      </w:pPr>
      <w:r w:rsidRPr="00372CA6">
        <w:rPr>
          <w:rFonts w:cs="Times New Roman"/>
          <w:kern w:val="0"/>
        </w:rPr>
        <w:t>Cairney, P., Boswell, J., Ayres, S., Durose, C., Elliott, I. C., Flinders, M., and Richardson, L. (2024). The state of British policymaking: How can UK government become more effective?. </w:t>
      </w:r>
      <w:r w:rsidRPr="00372CA6">
        <w:rPr>
          <w:rFonts w:cs="Times New Roman"/>
          <w:i/>
          <w:iCs/>
          <w:kern w:val="0"/>
        </w:rPr>
        <w:t>Parliamentary Affairs</w:t>
      </w:r>
      <w:r w:rsidRPr="00372CA6">
        <w:rPr>
          <w:rFonts w:cs="Times New Roman"/>
          <w:kern w:val="0"/>
        </w:rPr>
        <w:t>, </w:t>
      </w:r>
      <w:r w:rsidRPr="00372CA6">
        <w:rPr>
          <w:rFonts w:cs="Times New Roman"/>
          <w:i/>
          <w:iCs/>
          <w:kern w:val="0"/>
        </w:rPr>
        <w:t>77</w:t>
      </w:r>
      <w:r w:rsidRPr="00372CA6">
        <w:rPr>
          <w:rFonts w:cs="Times New Roman"/>
          <w:kern w:val="0"/>
        </w:rPr>
        <w:t>(4), 837-864.</w:t>
      </w:r>
    </w:p>
    <w:p w14:paraId="2E0DD897" w14:textId="77777777" w:rsidR="00DA4F03" w:rsidRDefault="00DA4F03" w:rsidP="00C42A4D">
      <w:pPr>
        <w:spacing w:line="276" w:lineRule="auto"/>
        <w:jc w:val="both"/>
        <w:rPr>
          <w:rFonts w:cs="Times New Roman"/>
          <w:kern w:val="0"/>
        </w:rPr>
      </w:pPr>
      <w:r w:rsidRPr="00372CA6">
        <w:rPr>
          <w:rFonts w:cs="Times New Roman"/>
          <w:kern w:val="0"/>
        </w:rPr>
        <w:lastRenderedPageBreak/>
        <w:t xml:space="preserve">Cairney, P., Boswell, J., Bliss, A., Mahmood, H., &amp; Raine, J. (2024). </w:t>
      </w:r>
      <w:r w:rsidRPr="00372CA6">
        <w:rPr>
          <w:rFonts w:cs="Times New Roman"/>
          <w:i/>
          <w:iCs/>
          <w:kern w:val="0"/>
        </w:rPr>
        <w:t>Unlocking prevention in integrated care systems.</w:t>
      </w:r>
      <w:r w:rsidRPr="00372CA6">
        <w:rPr>
          <w:rFonts w:cs="Times New Roman"/>
          <w:kern w:val="0"/>
        </w:rPr>
        <w:t xml:space="preserve"> NHS Confederation.</w:t>
      </w:r>
    </w:p>
    <w:p w14:paraId="696690D3" w14:textId="62B81D11" w:rsidR="002C1630" w:rsidRPr="00372CA6" w:rsidRDefault="00C03942" w:rsidP="00C42A4D">
      <w:pPr>
        <w:spacing w:line="276" w:lineRule="auto"/>
        <w:jc w:val="both"/>
        <w:rPr>
          <w:rFonts w:cs="Times New Roman"/>
          <w:kern w:val="0"/>
        </w:rPr>
      </w:pPr>
      <w:r w:rsidRPr="00C03942">
        <w:rPr>
          <w:rFonts w:cs="Times New Roman"/>
          <w:kern w:val="0"/>
        </w:rPr>
        <w:t>Cairney, P., Boswell, J., Mahmood, H., &amp; Bliss, A. (2025). New political science analysis of the renewed push for preventive health:‘Can it be any different this time around?’. </w:t>
      </w:r>
      <w:r w:rsidRPr="00C03942">
        <w:rPr>
          <w:rFonts w:cs="Times New Roman"/>
          <w:i/>
          <w:iCs/>
          <w:kern w:val="0"/>
        </w:rPr>
        <w:t>Social Science &amp; Medicine</w:t>
      </w:r>
      <w:r w:rsidRPr="00C03942">
        <w:rPr>
          <w:rFonts w:cs="Times New Roman"/>
          <w:kern w:val="0"/>
        </w:rPr>
        <w:t>.</w:t>
      </w:r>
    </w:p>
    <w:p w14:paraId="643AD7A5" w14:textId="77777777" w:rsidR="00DA4F03" w:rsidRDefault="00DA4F03" w:rsidP="00650BD2">
      <w:pPr>
        <w:tabs>
          <w:tab w:val="left" w:pos="0"/>
        </w:tabs>
        <w:spacing w:line="276" w:lineRule="auto"/>
        <w:jc w:val="both"/>
      </w:pPr>
      <w:bookmarkStart w:id="1" w:name="_Hlk128149110"/>
      <w:r>
        <w:t xml:space="preserve">Cairney, P., Heikkila, T. and Wood, M. </w:t>
      </w:r>
      <w:r w:rsidRPr="00D104E0">
        <w:t xml:space="preserve">(2019) </w:t>
      </w:r>
      <w:r>
        <w:rPr>
          <w:i/>
        </w:rPr>
        <w:t>Making Policy in a Complex World</w:t>
      </w:r>
      <w:r>
        <w:t xml:space="preserve"> (Cambridge: Cambridge University Press)</w:t>
      </w:r>
    </w:p>
    <w:bookmarkEnd w:id="1"/>
    <w:p w14:paraId="406FB706" w14:textId="77777777" w:rsidR="00DA4F03" w:rsidRPr="00372CA6" w:rsidRDefault="00DA4F03" w:rsidP="00C42A4D">
      <w:pPr>
        <w:spacing w:line="276" w:lineRule="auto"/>
        <w:jc w:val="both"/>
        <w:rPr>
          <w:rFonts w:cs="Times New Roman"/>
          <w:kern w:val="0"/>
        </w:rPr>
      </w:pPr>
      <w:r w:rsidRPr="00372CA6">
        <w:rPr>
          <w:rFonts w:cs="Times New Roman"/>
          <w:kern w:val="0"/>
        </w:rPr>
        <w:t>Cairney, P., St Denny, E., &amp; Boswell, J. (2022). Why is health improvement policy so difficult to secure?. </w:t>
      </w:r>
      <w:r w:rsidRPr="00372CA6">
        <w:rPr>
          <w:rFonts w:cs="Times New Roman"/>
          <w:i/>
          <w:iCs/>
          <w:kern w:val="0"/>
        </w:rPr>
        <w:t>Open Research Europe</w:t>
      </w:r>
      <w:r w:rsidRPr="00372CA6">
        <w:rPr>
          <w:rFonts w:cs="Times New Roman"/>
          <w:kern w:val="0"/>
        </w:rPr>
        <w:t>, </w:t>
      </w:r>
      <w:r w:rsidRPr="00372CA6">
        <w:rPr>
          <w:rFonts w:cs="Times New Roman"/>
          <w:i/>
          <w:iCs/>
          <w:kern w:val="0"/>
        </w:rPr>
        <w:t>2</w:t>
      </w:r>
      <w:r w:rsidRPr="00372CA6">
        <w:rPr>
          <w:rFonts w:cs="Times New Roman"/>
          <w:kern w:val="0"/>
        </w:rPr>
        <w:t>, 76.</w:t>
      </w:r>
    </w:p>
    <w:p w14:paraId="18CD321B" w14:textId="77777777" w:rsidR="00DA4F03" w:rsidRPr="00372CA6" w:rsidRDefault="00DA4F03" w:rsidP="00C42A4D">
      <w:pPr>
        <w:spacing w:line="276" w:lineRule="auto"/>
        <w:jc w:val="both"/>
        <w:rPr>
          <w:rFonts w:cs="Times New Roman"/>
          <w:kern w:val="0"/>
        </w:rPr>
      </w:pPr>
      <w:r w:rsidRPr="00372CA6">
        <w:rPr>
          <w:rFonts w:cs="Times New Roman"/>
          <w:kern w:val="0"/>
        </w:rPr>
        <w:t>Cianetti, L. (2024). Here we go again! Repetition and the Politics of Inclusive Institutional Reform. </w:t>
      </w:r>
      <w:r w:rsidRPr="00372CA6">
        <w:rPr>
          <w:rFonts w:cs="Times New Roman"/>
          <w:i/>
          <w:iCs/>
          <w:kern w:val="0"/>
        </w:rPr>
        <w:t>Journal of European Public Policy</w:t>
      </w:r>
      <w:r w:rsidRPr="00372CA6">
        <w:rPr>
          <w:rFonts w:cs="Times New Roman"/>
          <w:kern w:val="0"/>
        </w:rPr>
        <w:t>, </w:t>
      </w:r>
      <w:r w:rsidRPr="00372CA6">
        <w:rPr>
          <w:rFonts w:cs="Times New Roman"/>
          <w:i/>
          <w:iCs/>
          <w:kern w:val="0"/>
        </w:rPr>
        <w:t>31</w:t>
      </w:r>
      <w:r w:rsidRPr="00372CA6">
        <w:rPr>
          <w:rFonts w:cs="Times New Roman"/>
          <w:kern w:val="0"/>
        </w:rPr>
        <w:t>(5), 1295-1319.</w:t>
      </w:r>
    </w:p>
    <w:p w14:paraId="1307EFE2" w14:textId="77777777" w:rsidR="00DA4F03" w:rsidRDefault="00DA4F03" w:rsidP="00C42A4D">
      <w:pPr>
        <w:spacing w:line="276" w:lineRule="auto"/>
        <w:jc w:val="both"/>
        <w:rPr>
          <w:rFonts w:cs="Times New Roman"/>
          <w:kern w:val="0"/>
        </w:rPr>
      </w:pPr>
      <w:r w:rsidRPr="00372CA6">
        <w:rPr>
          <w:rFonts w:cs="Times New Roman"/>
          <w:kern w:val="0"/>
        </w:rPr>
        <w:t>Collier, D., &amp; Levitsky, S. (1997). Democracy with adjectives: Conceptual innovation in comparative research. </w:t>
      </w:r>
      <w:r w:rsidRPr="00372CA6">
        <w:rPr>
          <w:rFonts w:cs="Times New Roman"/>
          <w:i/>
          <w:iCs/>
          <w:kern w:val="0"/>
        </w:rPr>
        <w:t>World politics</w:t>
      </w:r>
      <w:r w:rsidRPr="00372CA6">
        <w:rPr>
          <w:rFonts w:cs="Times New Roman"/>
          <w:kern w:val="0"/>
        </w:rPr>
        <w:t>, </w:t>
      </w:r>
      <w:r w:rsidRPr="00372CA6">
        <w:rPr>
          <w:rFonts w:cs="Times New Roman"/>
          <w:i/>
          <w:iCs/>
          <w:kern w:val="0"/>
        </w:rPr>
        <w:t>49</w:t>
      </w:r>
      <w:r w:rsidRPr="00372CA6">
        <w:rPr>
          <w:rFonts w:cs="Times New Roman"/>
          <w:kern w:val="0"/>
        </w:rPr>
        <w:t>(3), 430-451.</w:t>
      </w:r>
    </w:p>
    <w:p w14:paraId="328A5BD0" w14:textId="77777777" w:rsidR="00DA4F03" w:rsidRDefault="00DA4F03" w:rsidP="002A0343">
      <w:pPr>
        <w:autoSpaceDE w:val="0"/>
        <w:autoSpaceDN w:val="0"/>
        <w:adjustRightInd w:val="0"/>
        <w:spacing w:line="240" w:lineRule="auto"/>
        <w:rPr>
          <w:rFonts w:cs="Times New Roman"/>
        </w:rPr>
      </w:pPr>
      <w:r w:rsidRPr="002A0343">
        <w:rPr>
          <w:rFonts w:cs="Times New Roman"/>
        </w:rPr>
        <w:t>Connell, A., St Denny, E., &amp; Martin, S. (2022). How can subnational governments develop and deliver distinctive policy agendas?. </w:t>
      </w:r>
      <w:r w:rsidRPr="002A0343">
        <w:rPr>
          <w:rFonts w:cs="Times New Roman"/>
          <w:i/>
          <w:iCs/>
        </w:rPr>
        <w:t>International Review of Administrative Sciences</w:t>
      </w:r>
      <w:r w:rsidRPr="002A0343">
        <w:rPr>
          <w:rFonts w:cs="Times New Roman"/>
        </w:rPr>
        <w:t>, </w:t>
      </w:r>
      <w:r w:rsidRPr="002A0343">
        <w:rPr>
          <w:rFonts w:cs="Times New Roman"/>
          <w:i/>
          <w:iCs/>
        </w:rPr>
        <w:t>88</w:t>
      </w:r>
      <w:r w:rsidRPr="002A0343">
        <w:rPr>
          <w:rFonts w:cs="Times New Roman"/>
        </w:rPr>
        <w:t xml:space="preserve">(4), 1159-1175. </w:t>
      </w:r>
    </w:p>
    <w:p w14:paraId="00F10293" w14:textId="77777777" w:rsidR="00DA4F03" w:rsidRPr="00372CA6" w:rsidRDefault="00DA4F03" w:rsidP="00C42A4D">
      <w:pPr>
        <w:spacing w:line="276" w:lineRule="auto"/>
        <w:jc w:val="both"/>
        <w:rPr>
          <w:rFonts w:cs="Times New Roman"/>
          <w:kern w:val="0"/>
        </w:rPr>
      </w:pPr>
      <w:r w:rsidRPr="00372CA6">
        <w:rPr>
          <w:rFonts w:cs="Times New Roman"/>
          <w:kern w:val="0"/>
        </w:rPr>
        <w:t xml:space="preserve">Cornwall, A. (2007). Buzzwords and fuzzwords. </w:t>
      </w:r>
      <w:r w:rsidRPr="00372CA6">
        <w:rPr>
          <w:rFonts w:cs="Times New Roman"/>
          <w:i/>
          <w:iCs/>
          <w:kern w:val="0"/>
        </w:rPr>
        <w:t>Development in Practice</w:t>
      </w:r>
      <w:r w:rsidRPr="00372CA6">
        <w:rPr>
          <w:rFonts w:cs="Times New Roman"/>
          <w:kern w:val="0"/>
        </w:rPr>
        <w:t>, 17(4-5), 471-484.</w:t>
      </w:r>
    </w:p>
    <w:p w14:paraId="38FC63DF" w14:textId="77777777" w:rsidR="00DA4F03" w:rsidRPr="00372CA6" w:rsidRDefault="00DA4F03" w:rsidP="00C42A4D">
      <w:pPr>
        <w:spacing w:line="276" w:lineRule="auto"/>
        <w:jc w:val="both"/>
        <w:rPr>
          <w:rFonts w:cs="Times New Roman"/>
        </w:rPr>
      </w:pPr>
      <w:r w:rsidRPr="00372CA6">
        <w:rPr>
          <w:rFonts w:cs="Times New Roman"/>
        </w:rPr>
        <w:t>Diamond, P., Newman, J., Richards, D., Sanders, A., &amp; Westwood, A. (2024). ‘Hyper-active incrementalism’ and the Westminster system of governance: Why spatial policy has failed over time. </w:t>
      </w:r>
      <w:r w:rsidRPr="00372CA6">
        <w:rPr>
          <w:rFonts w:cs="Times New Roman"/>
          <w:i/>
          <w:iCs/>
        </w:rPr>
        <w:t>The British Journal of Politics and International Relations</w:t>
      </w:r>
      <w:r w:rsidRPr="00372CA6">
        <w:rPr>
          <w:rFonts w:cs="Times New Roman"/>
        </w:rPr>
        <w:t>, 13691481241259385.</w:t>
      </w:r>
    </w:p>
    <w:p w14:paraId="45902AC5" w14:textId="77777777" w:rsidR="00DA4F03" w:rsidRPr="00372CA6" w:rsidRDefault="00DA4F03" w:rsidP="00C42A4D">
      <w:pPr>
        <w:spacing w:line="276" w:lineRule="auto"/>
        <w:jc w:val="both"/>
        <w:rPr>
          <w:rFonts w:cs="Times New Roman"/>
        </w:rPr>
      </w:pPr>
      <w:r w:rsidRPr="00372CA6">
        <w:rPr>
          <w:rFonts w:cs="Times New Roman"/>
        </w:rPr>
        <w:t>Dryzek, J. S. (2025). For Example: How to Use Examples in Political Science. </w:t>
      </w:r>
      <w:r w:rsidRPr="00372CA6">
        <w:rPr>
          <w:rFonts w:cs="Times New Roman"/>
          <w:i/>
          <w:iCs/>
        </w:rPr>
        <w:t>American Political Science Review</w:t>
      </w:r>
      <w:r w:rsidRPr="00372CA6">
        <w:rPr>
          <w:rFonts w:cs="Times New Roman"/>
        </w:rPr>
        <w:t>, </w:t>
      </w:r>
      <w:r w:rsidRPr="00372CA6">
        <w:rPr>
          <w:rFonts w:cs="Times New Roman"/>
          <w:i/>
          <w:iCs/>
        </w:rPr>
        <w:t>119</w:t>
      </w:r>
      <w:r w:rsidRPr="00372CA6">
        <w:rPr>
          <w:rFonts w:cs="Times New Roman"/>
        </w:rPr>
        <w:t>(1), 449-461.</w:t>
      </w:r>
    </w:p>
    <w:p w14:paraId="46C594D1" w14:textId="77777777" w:rsidR="00DA4F03" w:rsidRPr="00372CA6" w:rsidRDefault="00DA4F03" w:rsidP="000F7F51">
      <w:pPr>
        <w:spacing w:line="276" w:lineRule="auto"/>
        <w:jc w:val="both"/>
        <w:rPr>
          <w:rFonts w:cs="Times New Roman"/>
        </w:rPr>
      </w:pPr>
      <w:r w:rsidRPr="00372CA6">
        <w:rPr>
          <w:rFonts w:cs="Times New Roman"/>
        </w:rPr>
        <w:t xml:space="preserve">Durose, C. and Lowndes, V. (2021) ‘Why are designs for urban governance so often incomplete? A framework for explaining and harnessing institutional incompleteness’. </w:t>
      </w:r>
      <w:r w:rsidRPr="00372CA6">
        <w:rPr>
          <w:rFonts w:cs="Times New Roman"/>
          <w:i/>
          <w:iCs/>
        </w:rPr>
        <w:t>Environment and Planning C</w:t>
      </w:r>
      <w:r w:rsidRPr="00372CA6">
        <w:rPr>
          <w:rFonts w:cs="Times New Roman"/>
        </w:rPr>
        <w:t xml:space="preserve"> 39(8) 1773–1790.</w:t>
      </w:r>
    </w:p>
    <w:p w14:paraId="24EAFA2F" w14:textId="77777777" w:rsidR="00DA4F03" w:rsidRPr="00372CA6" w:rsidRDefault="00DA4F03" w:rsidP="000F7F51">
      <w:pPr>
        <w:spacing w:line="276" w:lineRule="auto"/>
        <w:jc w:val="both"/>
        <w:rPr>
          <w:rFonts w:cs="Times New Roman"/>
        </w:rPr>
      </w:pPr>
      <w:r w:rsidRPr="00372CA6">
        <w:rPr>
          <w:rFonts w:cs="Times New Roman"/>
        </w:rPr>
        <w:t xml:space="preserve">Durose, C., Perry, B. and Richardson, L. (2022) ‘Is ‘co-production’ a good concept? Three responses’, </w:t>
      </w:r>
      <w:r w:rsidRPr="00372CA6">
        <w:rPr>
          <w:rFonts w:cs="Times New Roman"/>
          <w:i/>
          <w:iCs/>
        </w:rPr>
        <w:t>Futures</w:t>
      </w:r>
      <w:r w:rsidRPr="00372CA6">
        <w:rPr>
          <w:rFonts w:cs="Times New Roman"/>
        </w:rPr>
        <w:t xml:space="preserve">, 142, 102999. </w:t>
      </w:r>
    </w:p>
    <w:p w14:paraId="658C91E6" w14:textId="77777777" w:rsidR="00DA4F03" w:rsidRPr="00372CA6" w:rsidRDefault="00DA4F03" w:rsidP="00C42A4D">
      <w:pPr>
        <w:spacing w:line="276" w:lineRule="auto"/>
        <w:jc w:val="both"/>
        <w:rPr>
          <w:rFonts w:cs="Times New Roman"/>
        </w:rPr>
      </w:pPr>
      <w:r w:rsidRPr="00372CA6">
        <w:rPr>
          <w:rFonts w:cs="Times New Roman"/>
        </w:rPr>
        <w:t>Forester, J. (2013). On the theory and practice of critical pragmatism: Deliberative practice and creative negotiations. </w:t>
      </w:r>
      <w:r w:rsidRPr="00372CA6">
        <w:rPr>
          <w:rFonts w:cs="Times New Roman"/>
          <w:i/>
          <w:iCs/>
        </w:rPr>
        <w:t>Planning theory</w:t>
      </w:r>
      <w:r w:rsidRPr="00372CA6">
        <w:rPr>
          <w:rFonts w:cs="Times New Roman"/>
        </w:rPr>
        <w:t>, </w:t>
      </w:r>
      <w:r w:rsidRPr="00372CA6">
        <w:rPr>
          <w:rFonts w:cs="Times New Roman"/>
          <w:i/>
          <w:iCs/>
        </w:rPr>
        <w:t>12</w:t>
      </w:r>
      <w:r w:rsidRPr="00372CA6">
        <w:rPr>
          <w:rFonts w:cs="Times New Roman"/>
        </w:rPr>
        <w:t>(1), 5-22.</w:t>
      </w:r>
    </w:p>
    <w:p w14:paraId="5CC60091" w14:textId="77777777" w:rsidR="00DA4F03" w:rsidRPr="00372CA6" w:rsidRDefault="00DA4F03" w:rsidP="00C42A4D">
      <w:pPr>
        <w:spacing w:line="276" w:lineRule="auto"/>
        <w:jc w:val="both"/>
        <w:rPr>
          <w:rFonts w:cs="Times New Roman"/>
        </w:rPr>
      </w:pPr>
      <w:r w:rsidRPr="00372CA6">
        <w:rPr>
          <w:rFonts w:cs="Times New Roman"/>
        </w:rPr>
        <w:t>Frantzeskaki, N., Jhagroe, S., &amp; Howlett, M. (2016). Greening the state? The framing of sustainability in Dutch infrastructure governance. </w:t>
      </w:r>
      <w:r w:rsidRPr="00372CA6">
        <w:rPr>
          <w:rFonts w:cs="Times New Roman"/>
          <w:i/>
          <w:iCs/>
        </w:rPr>
        <w:t>Environmental Science &amp; Policy</w:t>
      </w:r>
      <w:r w:rsidRPr="00372CA6">
        <w:rPr>
          <w:rFonts w:cs="Times New Roman"/>
        </w:rPr>
        <w:t>, </w:t>
      </w:r>
      <w:r w:rsidRPr="00372CA6">
        <w:rPr>
          <w:rFonts w:cs="Times New Roman"/>
          <w:i/>
          <w:iCs/>
        </w:rPr>
        <w:t>58</w:t>
      </w:r>
      <w:r w:rsidRPr="00372CA6">
        <w:rPr>
          <w:rFonts w:cs="Times New Roman"/>
        </w:rPr>
        <w:t>, 123-130.</w:t>
      </w:r>
    </w:p>
    <w:p w14:paraId="3310969D" w14:textId="77777777" w:rsidR="00DA4F03" w:rsidRPr="00372CA6" w:rsidRDefault="00DA4F03" w:rsidP="00C42A4D">
      <w:pPr>
        <w:spacing w:line="276" w:lineRule="auto"/>
        <w:jc w:val="both"/>
        <w:rPr>
          <w:rFonts w:cs="Times New Roman"/>
        </w:rPr>
      </w:pPr>
      <w:r w:rsidRPr="00372CA6">
        <w:rPr>
          <w:rFonts w:cs="Times New Roman"/>
        </w:rPr>
        <w:lastRenderedPageBreak/>
        <w:t>Hajer, M. A., &amp; Wagenaar, H. (Eds.). (2003). </w:t>
      </w:r>
      <w:r w:rsidRPr="00372CA6">
        <w:rPr>
          <w:rFonts w:cs="Times New Roman"/>
          <w:i/>
          <w:iCs/>
        </w:rPr>
        <w:t>Deliberative policy analysis: understanding governance in the network society</w:t>
      </w:r>
      <w:r w:rsidRPr="00372CA6">
        <w:rPr>
          <w:rFonts w:cs="Times New Roman"/>
        </w:rPr>
        <w:t>. Cambridge University Press.</w:t>
      </w:r>
    </w:p>
    <w:p w14:paraId="1DAE3175" w14:textId="77777777" w:rsidR="00DA4F03" w:rsidRDefault="00DA4F03" w:rsidP="002A0343">
      <w:pPr>
        <w:spacing w:before="240"/>
        <w:jc w:val="both"/>
        <w:rPr>
          <w:rFonts w:eastAsia="Times New Roman" w:cs="Times New Roman"/>
        </w:rPr>
      </w:pPr>
      <w:r>
        <w:rPr>
          <w:rFonts w:eastAsia="Times New Roman" w:cs="Times New Roman"/>
        </w:rPr>
        <w:t>Herweg, N., Zahariadis, N., &amp; Zohlnhöfer, R. (2023) ‘The Multiple Streams Framework: Foundations, Refinements, and Empirical Applications’ in Weible, C. (ed) Theories of the Policy Process 5</w:t>
      </w:r>
      <w:r>
        <w:rPr>
          <w:rFonts w:eastAsia="Times New Roman" w:cs="Times New Roman"/>
          <w:vertAlign w:val="superscript"/>
        </w:rPr>
        <w:t>th</w:t>
      </w:r>
      <w:r>
        <w:rPr>
          <w:rFonts w:eastAsia="Times New Roman" w:cs="Times New Roman"/>
        </w:rPr>
        <w:t xml:space="preserve"> ed (London: Routledge).</w:t>
      </w:r>
    </w:p>
    <w:p w14:paraId="3EAC07DB" w14:textId="77777777" w:rsidR="00DA4F03" w:rsidRPr="002A0343" w:rsidRDefault="00DA4F03" w:rsidP="002A0343">
      <w:pPr>
        <w:spacing w:line="276" w:lineRule="auto"/>
        <w:jc w:val="both"/>
        <w:rPr>
          <w:rFonts w:cs="Times New Roman"/>
        </w:rPr>
      </w:pPr>
      <w:r w:rsidRPr="002A0343">
        <w:rPr>
          <w:rFonts w:cs="Times New Roman"/>
        </w:rPr>
        <w:t xml:space="preserve">Hewitt, P. (2023) </w:t>
      </w:r>
      <w:r w:rsidRPr="002A0343">
        <w:rPr>
          <w:rFonts w:cs="Times New Roman"/>
          <w:i/>
          <w:iCs/>
        </w:rPr>
        <w:t>The Hewitt Review</w:t>
      </w:r>
      <w:r w:rsidRPr="002A0343">
        <w:rPr>
          <w:rFonts w:cs="Times New Roman"/>
        </w:rPr>
        <w:t xml:space="preserve"> (London: Department of Health and Social Care) </w:t>
      </w:r>
      <w:hyperlink r:id="rId12" w:history="1">
        <w:r w:rsidRPr="002A0343">
          <w:rPr>
            <w:rStyle w:val="Hyperlink"/>
            <w:rFonts w:cs="Times New Roman"/>
          </w:rPr>
          <w:t>https://www.gov.uk/government/publications/the-hewitt-review-an-independent-review-of-integrated-care-systems</w:t>
        </w:r>
      </w:hyperlink>
      <w:r w:rsidRPr="002A0343">
        <w:rPr>
          <w:rFonts w:cs="Times New Roman"/>
        </w:rPr>
        <w:t xml:space="preserve"> </w:t>
      </w:r>
    </w:p>
    <w:p w14:paraId="68B638CB" w14:textId="77777777" w:rsidR="00DA4F03" w:rsidRPr="00372CA6" w:rsidRDefault="00DA4F03" w:rsidP="00C42A4D">
      <w:pPr>
        <w:spacing w:line="276" w:lineRule="auto"/>
        <w:jc w:val="both"/>
        <w:rPr>
          <w:rFonts w:cs="Times New Roman"/>
        </w:rPr>
      </w:pPr>
      <w:r w:rsidRPr="00372CA6">
        <w:rPr>
          <w:rFonts w:cs="Times New Roman"/>
        </w:rPr>
        <w:t xml:space="preserve">Hill, M. and Hupe, P. (2007). Street level bureaucracy and public accountability. </w:t>
      </w:r>
      <w:r w:rsidRPr="00372CA6">
        <w:rPr>
          <w:rFonts w:cs="Times New Roman"/>
          <w:i/>
          <w:iCs/>
        </w:rPr>
        <w:t>Public Administration,</w:t>
      </w:r>
      <w:r w:rsidRPr="00372CA6">
        <w:rPr>
          <w:rFonts w:cs="Times New Roman"/>
        </w:rPr>
        <w:t xml:space="preserve"> </w:t>
      </w:r>
      <w:r w:rsidRPr="00372CA6">
        <w:rPr>
          <w:rFonts w:cs="Times New Roman"/>
          <w:i/>
          <w:iCs/>
        </w:rPr>
        <w:t>85</w:t>
      </w:r>
      <w:r w:rsidRPr="00372CA6">
        <w:rPr>
          <w:rFonts w:cs="Times New Roman"/>
        </w:rPr>
        <w:t>(2), 279-299</w:t>
      </w:r>
    </w:p>
    <w:p w14:paraId="31ADB497" w14:textId="77777777" w:rsidR="00DA4F03" w:rsidRPr="00372CA6" w:rsidRDefault="00DA4F03" w:rsidP="00C42A4D">
      <w:pPr>
        <w:spacing w:line="276" w:lineRule="auto"/>
        <w:jc w:val="both"/>
        <w:rPr>
          <w:rFonts w:cs="Times New Roman"/>
        </w:rPr>
      </w:pPr>
      <w:r w:rsidRPr="00372CA6">
        <w:rPr>
          <w:rFonts w:cs="Times New Roman"/>
        </w:rPr>
        <w:t xml:space="preserve">Hirsch, P.M. and Levin, D. Z. (1999). Umbrella advocates versus validity police: a life-cycle model. </w:t>
      </w:r>
      <w:r w:rsidRPr="00372CA6">
        <w:rPr>
          <w:rFonts w:cs="Times New Roman"/>
          <w:i/>
          <w:iCs/>
        </w:rPr>
        <w:t>Organization Science</w:t>
      </w:r>
      <w:r w:rsidRPr="00372CA6">
        <w:rPr>
          <w:rFonts w:cs="Times New Roman"/>
        </w:rPr>
        <w:t xml:space="preserve"> 10(2):199-212.</w:t>
      </w:r>
    </w:p>
    <w:p w14:paraId="6FF5CD75" w14:textId="77777777" w:rsidR="00DA4F03" w:rsidRPr="00372CA6" w:rsidRDefault="00DA4F03" w:rsidP="00372CA6">
      <w:pPr>
        <w:tabs>
          <w:tab w:val="left" w:pos="0"/>
        </w:tabs>
        <w:spacing w:line="276" w:lineRule="auto"/>
        <w:jc w:val="both"/>
        <w:rPr>
          <w:rFonts w:cs="Times New Roman"/>
        </w:rPr>
      </w:pPr>
      <w:r w:rsidRPr="00372CA6">
        <w:rPr>
          <w:rFonts w:cs="Times New Roman"/>
        </w:rPr>
        <w:t>Lasswell, H. D. (1956). The political science of science. American Political Science Review, 50(4), 961–979.</w:t>
      </w:r>
    </w:p>
    <w:p w14:paraId="43D80215" w14:textId="77777777" w:rsidR="00DA4F03" w:rsidRDefault="00DA4F03" w:rsidP="00372CA6">
      <w:pPr>
        <w:tabs>
          <w:tab w:val="left" w:pos="0"/>
        </w:tabs>
        <w:spacing w:line="276" w:lineRule="auto"/>
        <w:jc w:val="both"/>
        <w:rPr>
          <w:rFonts w:cs="Times New Roman"/>
        </w:rPr>
      </w:pPr>
      <w:r w:rsidRPr="00372CA6">
        <w:rPr>
          <w:rFonts w:cs="Times New Roman"/>
        </w:rPr>
        <w:t xml:space="preserve">Lasswell, H. D. (1971). A pre-view of the policy sciences. New York: American Elsevier Publishing. </w:t>
      </w:r>
    </w:p>
    <w:p w14:paraId="5F673D26" w14:textId="77777777" w:rsidR="00DA4F03" w:rsidRPr="00372CA6" w:rsidRDefault="00DA4F03" w:rsidP="00C42A4D">
      <w:pPr>
        <w:spacing w:line="276" w:lineRule="auto"/>
        <w:jc w:val="both"/>
        <w:rPr>
          <w:rFonts w:cs="Times New Roman"/>
        </w:rPr>
      </w:pPr>
      <w:r w:rsidRPr="00372CA6">
        <w:rPr>
          <w:rFonts w:cs="Times New Roman"/>
        </w:rPr>
        <w:t>McGann, M., Blomkamp, E., &amp; Lewis, J. M. (2018). The rise of public sector innovation labs: experiments in design thinking for policy. </w:t>
      </w:r>
      <w:r w:rsidRPr="00372CA6">
        <w:rPr>
          <w:rFonts w:cs="Times New Roman"/>
          <w:i/>
          <w:iCs/>
        </w:rPr>
        <w:t>Policy Sciences</w:t>
      </w:r>
      <w:r w:rsidRPr="00372CA6">
        <w:rPr>
          <w:rFonts w:cs="Times New Roman"/>
        </w:rPr>
        <w:t>, </w:t>
      </w:r>
      <w:r w:rsidRPr="00372CA6">
        <w:rPr>
          <w:rFonts w:cs="Times New Roman"/>
          <w:i/>
          <w:iCs/>
        </w:rPr>
        <w:t>51</w:t>
      </w:r>
      <w:r w:rsidRPr="00372CA6">
        <w:rPr>
          <w:rFonts w:cs="Times New Roman"/>
        </w:rPr>
        <w:t>(3), 249-267.</w:t>
      </w:r>
    </w:p>
    <w:p w14:paraId="16A1BB51" w14:textId="77777777" w:rsidR="00DA4F03" w:rsidRPr="002A0343" w:rsidRDefault="00DA4F03" w:rsidP="002A0343">
      <w:pPr>
        <w:spacing w:line="276" w:lineRule="auto"/>
        <w:jc w:val="both"/>
        <w:rPr>
          <w:rFonts w:cs="Times New Roman"/>
        </w:rPr>
      </w:pPr>
      <w:r w:rsidRPr="002A0343">
        <w:rPr>
          <w:rFonts w:cs="Times New Roman"/>
        </w:rPr>
        <w:t xml:space="preserve">NHS Confederation (2024) </w:t>
      </w:r>
      <w:r w:rsidRPr="002A0343">
        <w:rPr>
          <w:rFonts w:cs="Times New Roman"/>
          <w:i/>
          <w:iCs/>
        </w:rPr>
        <w:t>Unlocking prevention in integrated care systems</w:t>
      </w:r>
      <w:r w:rsidRPr="002A0343">
        <w:rPr>
          <w:rFonts w:cs="Times New Roman"/>
        </w:rPr>
        <w:t xml:space="preserve"> (London: NHS Confederation) </w:t>
      </w:r>
      <w:hyperlink r:id="rId13" w:history="1">
        <w:r w:rsidRPr="002A0343">
          <w:rPr>
            <w:rStyle w:val="Hyperlink"/>
            <w:rFonts w:cs="Times New Roman"/>
          </w:rPr>
          <w:t>https://www.nhsconfed.org/publications/report-unlocking-prevention-integrated-care-systems</w:t>
        </w:r>
      </w:hyperlink>
      <w:r w:rsidRPr="002A0343">
        <w:rPr>
          <w:rFonts w:cs="Times New Roman"/>
        </w:rPr>
        <w:t xml:space="preserve"> </w:t>
      </w:r>
    </w:p>
    <w:p w14:paraId="559BC41A" w14:textId="77777777" w:rsidR="00DA4F03" w:rsidRPr="00372CA6" w:rsidRDefault="00DA4F03" w:rsidP="00C42A4D">
      <w:pPr>
        <w:spacing w:line="276" w:lineRule="auto"/>
        <w:jc w:val="both"/>
        <w:rPr>
          <w:rFonts w:cs="Times New Roman"/>
        </w:rPr>
      </w:pPr>
      <w:r w:rsidRPr="002A0343">
        <w:rPr>
          <w:rFonts w:cs="Times New Roman"/>
        </w:rPr>
        <w:t xml:space="preserve">NHS England (2014) </w:t>
      </w:r>
      <w:r w:rsidRPr="002A0343">
        <w:rPr>
          <w:rFonts w:cs="Times New Roman"/>
          <w:i/>
          <w:iCs/>
        </w:rPr>
        <w:t>Forward View</w:t>
      </w:r>
      <w:r w:rsidRPr="002A0343">
        <w:rPr>
          <w:rFonts w:cs="Times New Roman"/>
        </w:rPr>
        <w:t xml:space="preserve"> (London: NHS England)</w:t>
      </w:r>
    </w:p>
    <w:p w14:paraId="53BF03B1" w14:textId="77777777" w:rsidR="00DA4F03" w:rsidRPr="00372CA6" w:rsidRDefault="00DA4F03" w:rsidP="009123AA">
      <w:pPr>
        <w:spacing w:line="276" w:lineRule="auto"/>
        <w:jc w:val="both"/>
        <w:rPr>
          <w:rFonts w:cs="Times New Roman"/>
        </w:rPr>
      </w:pPr>
      <w:r w:rsidRPr="00372CA6">
        <w:rPr>
          <w:rFonts w:cs="Times New Roman"/>
        </w:rPr>
        <w:t>Pollitt, C., &amp; Hupe, P. (2011). Talking about government: The role of magic concepts. </w:t>
      </w:r>
      <w:r w:rsidRPr="00372CA6">
        <w:rPr>
          <w:rFonts w:cs="Times New Roman"/>
          <w:i/>
          <w:iCs/>
        </w:rPr>
        <w:t>Public management review</w:t>
      </w:r>
      <w:r w:rsidRPr="00372CA6">
        <w:rPr>
          <w:rFonts w:cs="Times New Roman"/>
        </w:rPr>
        <w:t>, </w:t>
      </w:r>
      <w:r w:rsidRPr="00372CA6">
        <w:rPr>
          <w:rFonts w:cs="Times New Roman"/>
          <w:i/>
          <w:iCs/>
        </w:rPr>
        <w:t>13</w:t>
      </w:r>
      <w:r w:rsidRPr="00372CA6">
        <w:rPr>
          <w:rFonts w:cs="Times New Roman"/>
        </w:rPr>
        <w:t>(5), 641-658.</w:t>
      </w:r>
    </w:p>
    <w:p w14:paraId="61FD8CDE" w14:textId="77777777" w:rsidR="00DA4F03" w:rsidRPr="00372CA6" w:rsidRDefault="00DA4F03" w:rsidP="00C42A4D">
      <w:pPr>
        <w:spacing w:line="276" w:lineRule="auto"/>
        <w:jc w:val="both"/>
        <w:rPr>
          <w:rFonts w:cs="Times New Roman"/>
        </w:rPr>
      </w:pPr>
      <w:r w:rsidRPr="00372CA6">
        <w:rPr>
          <w:rFonts w:cs="Times New Roman"/>
        </w:rPr>
        <w:t>Radaelli, C. M. (2023). Occupy the semantic space! Opening up the language of better regulation. </w:t>
      </w:r>
      <w:r w:rsidRPr="00372CA6">
        <w:rPr>
          <w:rFonts w:cs="Times New Roman"/>
          <w:i/>
          <w:iCs/>
        </w:rPr>
        <w:t>Journal of European public policy</w:t>
      </w:r>
      <w:r w:rsidRPr="00372CA6">
        <w:rPr>
          <w:rFonts w:cs="Times New Roman"/>
        </w:rPr>
        <w:t>, </w:t>
      </w:r>
      <w:r w:rsidRPr="00372CA6">
        <w:rPr>
          <w:rFonts w:cs="Times New Roman"/>
          <w:i/>
          <w:iCs/>
        </w:rPr>
        <w:t>30</w:t>
      </w:r>
      <w:r w:rsidRPr="00372CA6">
        <w:rPr>
          <w:rFonts w:cs="Times New Roman"/>
        </w:rPr>
        <w:t>(9), 1860-1883.</w:t>
      </w:r>
    </w:p>
    <w:p w14:paraId="57120C3F" w14:textId="77777777" w:rsidR="00DA4F03" w:rsidRPr="0081543B" w:rsidRDefault="00DA4F03" w:rsidP="00372CA6">
      <w:pPr>
        <w:rPr>
          <w:rFonts w:cs="Times New Roman"/>
          <w:shd w:val="clear" w:color="auto" w:fill="FFFFFF"/>
        </w:rPr>
      </w:pPr>
      <w:r w:rsidRPr="0081543B">
        <w:rPr>
          <w:rFonts w:cs="Times New Roman"/>
          <w:shd w:val="clear" w:color="auto" w:fill="FFFFFF"/>
        </w:rPr>
        <w:t xml:space="preserve">Rayner, J. and Howlett, M. (2009) ‘Introduction: Understanding integrated policy strategies and their evolution’, </w:t>
      </w:r>
      <w:r w:rsidRPr="0081543B">
        <w:rPr>
          <w:rFonts w:cs="Times New Roman"/>
          <w:i/>
          <w:iCs/>
          <w:shd w:val="clear" w:color="auto" w:fill="FFFFFF"/>
        </w:rPr>
        <w:t>Policy and Society</w:t>
      </w:r>
      <w:r w:rsidRPr="0081543B">
        <w:rPr>
          <w:rFonts w:cs="Times New Roman"/>
          <w:shd w:val="clear" w:color="auto" w:fill="FFFFFF"/>
        </w:rPr>
        <w:t xml:space="preserve">, 28(2), 99–109 </w:t>
      </w:r>
      <w:hyperlink r:id="rId14" w:history="1">
        <w:r w:rsidRPr="0081543B">
          <w:rPr>
            <w:rStyle w:val="Hyperlink"/>
            <w:rFonts w:cs="Times New Roman"/>
            <w:shd w:val="clear" w:color="auto" w:fill="FFFFFF"/>
          </w:rPr>
          <w:t>https://doi.org/10.1016/j.polsoc.2009.05.001</w:t>
        </w:r>
      </w:hyperlink>
    </w:p>
    <w:p w14:paraId="7940F30E" w14:textId="77777777" w:rsidR="00DA4F03" w:rsidRPr="00CC545A" w:rsidRDefault="00DA4F03" w:rsidP="00372CA6">
      <w:r w:rsidRPr="00CC545A">
        <w:t>Trein, P., Fischer, M., Maggetti, M., and Sarti, F. (2023) ‘Empirical research on policy integration: a review and new directions’, </w:t>
      </w:r>
      <w:r w:rsidRPr="00CC545A">
        <w:rPr>
          <w:i/>
          <w:iCs/>
        </w:rPr>
        <w:t>Policy Sciences</w:t>
      </w:r>
      <w:r w:rsidRPr="00CC545A">
        <w:t xml:space="preserve">, 56(1), 29-48, </w:t>
      </w:r>
      <w:hyperlink r:id="rId15" w:history="1">
        <w:r w:rsidRPr="00CC545A">
          <w:rPr>
            <w:rStyle w:val="Hyperlink"/>
          </w:rPr>
          <w:t>https://doi.org/10.1007/s11077-022-09489-9</w:t>
        </w:r>
      </w:hyperlink>
    </w:p>
    <w:p w14:paraId="4BB9636F" w14:textId="77777777" w:rsidR="00DA4F03" w:rsidRPr="00372CA6" w:rsidRDefault="00DA4F03" w:rsidP="009123AA">
      <w:pPr>
        <w:spacing w:line="276" w:lineRule="auto"/>
        <w:jc w:val="both"/>
        <w:rPr>
          <w:rFonts w:cs="Times New Roman"/>
        </w:rPr>
      </w:pPr>
      <w:r w:rsidRPr="00372CA6">
        <w:rPr>
          <w:rFonts w:cs="Times New Roman"/>
        </w:rPr>
        <w:t xml:space="preserve">Verschuere, B. Brandsen, T. and Pestoff, V. (2012). Co-production. </w:t>
      </w:r>
      <w:r w:rsidRPr="00372CA6">
        <w:rPr>
          <w:rFonts w:cs="Times New Roman"/>
          <w:i/>
          <w:iCs/>
        </w:rPr>
        <w:t>Voluntas</w:t>
      </w:r>
      <w:r w:rsidRPr="00372CA6">
        <w:rPr>
          <w:rFonts w:cs="Times New Roman"/>
        </w:rPr>
        <w:t>, 23, 1083-1101.</w:t>
      </w:r>
    </w:p>
    <w:p w14:paraId="22288333" w14:textId="77777777" w:rsidR="00DA4F03" w:rsidRPr="00372CA6" w:rsidRDefault="00DA4F03" w:rsidP="009123AA">
      <w:pPr>
        <w:spacing w:line="276" w:lineRule="auto"/>
        <w:jc w:val="both"/>
        <w:rPr>
          <w:rFonts w:cs="Times New Roman"/>
        </w:rPr>
      </w:pPr>
      <w:r w:rsidRPr="00372CA6">
        <w:rPr>
          <w:rFonts w:cs="Times New Roman"/>
        </w:rPr>
        <w:lastRenderedPageBreak/>
        <w:t>Weible</w:t>
      </w:r>
      <w:r>
        <w:rPr>
          <w:rFonts w:cs="Times New Roman"/>
        </w:rPr>
        <w:t>, C.</w:t>
      </w:r>
      <w:r w:rsidRPr="00372CA6">
        <w:rPr>
          <w:rFonts w:cs="Times New Roman"/>
        </w:rPr>
        <w:t xml:space="preserve"> and Cairney</w:t>
      </w:r>
      <w:r>
        <w:rPr>
          <w:rFonts w:cs="Times New Roman"/>
        </w:rPr>
        <w:t xml:space="preserve">, P. </w:t>
      </w:r>
      <w:r w:rsidRPr="002A0343">
        <w:rPr>
          <w:rFonts w:cs="Times New Roman"/>
        </w:rPr>
        <w:t xml:space="preserve">(2021) (editors) </w:t>
      </w:r>
      <w:r w:rsidRPr="002A0343">
        <w:rPr>
          <w:rFonts w:cs="Times New Roman"/>
          <w:i/>
          <w:iCs/>
        </w:rPr>
        <w:t>Practical Lessons From Policy Theories</w:t>
      </w:r>
      <w:r w:rsidRPr="002A0343">
        <w:rPr>
          <w:rFonts w:cs="Times New Roman"/>
        </w:rPr>
        <w:t xml:space="preserve"> (Bristol</w:t>
      </w:r>
      <w:r>
        <w:rPr>
          <w:rFonts w:cs="Times New Roman"/>
        </w:rPr>
        <w:t xml:space="preserve">: </w:t>
      </w:r>
      <w:r w:rsidRPr="002A0343">
        <w:rPr>
          <w:rFonts w:cs="Times New Roman"/>
        </w:rPr>
        <w:t>Bristol University Press)</w:t>
      </w:r>
    </w:p>
    <w:p w14:paraId="073E0842" w14:textId="77777777" w:rsidR="00DA4F03" w:rsidRPr="00372CA6" w:rsidRDefault="00DA4F03" w:rsidP="009123AA">
      <w:pPr>
        <w:spacing w:line="276" w:lineRule="auto"/>
        <w:jc w:val="both"/>
      </w:pPr>
      <w:r w:rsidRPr="00372CA6">
        <w:t xml:space="preserve">Weible, C.M., Cairney, P. and Yordy, J. (2022). A diamond in the rough: digging up and polishing Harold D. Lasswell’s decision functions. </w:t>
      </w:r>
      <w:r w:rsidRPr="00372CA6">
        <w:rPr>
          <w:i/>
        </w:rPr>
        <w:t>Policy Sciences,</w:t>
      </w:r>
      <w:r w:rsidRPr="00372CA6">
        <w:t xml:space="preserve"> https://doi.org/10.1007/s11077-022-09451-9 1 3 </w:t>
      </w:r>
    </w:p>
    <w:p w14:paraId="71CF7F73" w14:textId="77777777" w:rsidR="00DA4F03" w:rsidRDefault="00DA4F03" w:rsidP="009123AA">
      <w:pPr>
        <w:spacing w:line="276" w:lineRule="auto"/>
        <w:jc w:val="both"/>
        <w:rPr>
          <w:rFonts w:cs="Times New Roman"/>
        </w:rPr>
      </w:pPr>
      <w:r w:rsidRPr="002A0343">
        <w:rPr>
          <w:rFonts w:cs="Times New Roman"/>
        </w:rPr>
        <w:t xml:space="preserve">Whitty, C. J., Smith, G., McBride, M., Atherton, F., Powis, S. H., </w:t>
      </w:r>
      <w:r>
        <w:rPr>
          <w:rFonts w:cs="Times New Roman"/>
        </w:rPr>
        <w:t>and</w:t>
      </w:r>
      <w:r w:rsidRPr="002A0343">
        <w:rPr>
          <w:rFonts w:cs="Times New Roman"/>
        </w:rPr>
        <w:t xml:space="preserve"> Stokes-Lampard, H. (2023). Restoring and extending secondary prevention. </w:t>
      </w:r>
      <w:r>
        <w:rPr>
          <w:rFonts w:cs="Times New Roman"/>
          <w:i/>
          <w:iCs/>
        </w:rPr>
        <w:t>British Medical Journal,</w:t>
      </w:r>
      <w:r w:rsidRPr="002A0343">
        <w:rPr>
          <w:rFonts w:cs="Times New Roman"/>
        </w:rPr>
        <w:t> 380</w:t>
      </w:r>
      <w:r>
        <w:rPr>
          <w:rFonts w:cs="Times New Roman"/>
        </w:rPr>
        <w:t xml:space="preserve">, 201, </w:t>
      </w:r>
      <w:hyperlink r:id="rId16" w:history="1">
        <w:r w:rsidRPr="002A0343">
          <w:rPr>
            <w:rStyle w:val="Hyperlink"/>
            <w:rFonts w:cs="Times New Roman"/>
          </w:rPr>
          <w:t>https://doi.org/10.1136/bmj.p201</w:t>
        </w:r>
      </w:hyperlink>
    </w:p>
    <w:p w14:paraId="405956D0" w14:textId="77777777" w:rsidR="00DA4F03" w:rsidRPr="00372CA6" w:rsidRDefault="00DA4F03" w:rsidP="009123AA">
      <w:pPr>
        <w:spacing w:line="276" w:lineRule="auto"/>
        <w:jc w:val="both"/>
        <w:rPr>
          <w:rFonts w:cs="Times New Roman"/>
        </w:rPr>
      </w:pPr>
      <w:r w:rsidRPr="00372CA6">
        <w:rPr>
          <w:rFonts w:cs="Times New Roman"/>
        </w:rPr>
        <w:t>Williams, O., Sarre, S., Papoulias, S.C., Knowles, S., Robert, G., Beresford, P., Rose, D., Carr, S., Kaur, M., Palmer, V.J. (2020). Lost in the shadows: Reflections on the dark side of co-production, Health Research Policy and Systems, 18(1): 43.</w:t>
      </w:r>
    </w:p>
    <w:p w14:paraId="3E64431A" w14:textId="77777777" w:rsidR="00DA4F03" w:rsidRPr="00372CA6" w:rsidRDefault="00DA4F03" w:rsidP="00811675">
      <w:pPr>
        <w:spacing w:line="276" w:lineRule="auto"/>
        <w:jc w:val="both"/>
        <w:rPr>
          <w:rFonts w:cs="Times New Roman"/>
        </w:rPr>
      </w:pPr>
      <w:r w:rsidRPr="00372CA6">
        <w:rPr>
          <w:rFonts w:cs="Times New Roman"/>
        </w:rPr>
        <w:t>Wolf, E. E. A., &amp; Dooren, W. V. (2021). Fatal remedies. How dealing with policy conflict can backfire in a context of trust‐erosion. </w:t>
      </w:r>
      <w:r w:rsidRPr="00372CA6">
        <w:rPr>
          <w:rFonts w:cs="Times New Roman"/>
          <w:i/>
          <w:iCs/>
        </w:rPr>
        <w:t>Governance</w:t>
      </w:r>
      <w:r w:rsidRPr="00372CA6">
        <w:rPr>
          <w:rFonts w:cs="Times New Roman"/>
        </w:rPr>
        <w:t>, </w:t>
      </w:r>
      <w:r w:rsidRPr="00372CA6">
        <w:rPr>
          <w:rFonts w:cs="Times New Roman"/>
          <w:i/>
          <w:iCs/>
        </w:rPr>
        <w:t>34</w:t>
      </w:r>
      <w:r w:rsidRPr="00372CA6">
        <w:rPr>
          <w:rFonts w:cs="Times New Roman"/>
        </w:rPr>
        <w:t>(4), 1097-1114.</w:t>
      </w:r>
    </w:p>
    <w:p w14:paraId="276F189C" w14:textId="77777777" w:rsidR="00DA4F03" w:rsidRPr="00372CA6" w:rsidRDefault="00DA4F03" w:rsidP="009123AA">
      <w:pPr>
        <w:spacing w:line="276" w:lineRule="auto"/>
        <w:jc w:val="both"/>
        <w:rPr>
          <w:rFonts w:cs="Times New Roman"/>
        </w:rPr>
      </w:pPr>
      <w:r w:rsidRPr="00372CA6">
        <w:rPr>
          <w:rFonts w:cs="Times New Roman"/>
        </w:rPr>
        <w:t>Yanow, D. (1995). Practices of policy interpretation. </w:t>
      </w:r>
      <w:r w:rsidRPr="00372CA6">
        <w:rPr>
          <w:rFonts w:cs="Times New Roman"/>
          <w:i/>
          <w:iCs/>
        </w:rPr>
        <w:t>Policy Sciences</w:t>
      </w:r>
      <w:r w:rsidRPr="00372CA6">
        <w:rPr>
          <w:rFonts w:cs="Times New Roman"/>
        </w:rPr>
        <w:t>, </w:t>
      </w:r>
      <w:r w:rsidRPr="00372CA6">
        <w:rPr>
          <w:rFonts w:cs="Times New Roman"/>
          <w:i/>
          <w:iCs/>
        </w:rPr>
        <w:t>28</w:t>
      </w:r>
      <w:r w:rsidRPr="00372CA6">
        <w:rPr>
          <w:rFonts w:cs="Times New Roman"/>
        </w:rPr>
        <w:t>(2), 111-126.</w:t>
      </w:r>
    </w:p>
    <w:p w14:paraId="6C0FDC2E" w14:textId="77777777" w:rsidR="00DA4F03" w:rsidRPr="00372CA6" w:rsidRDefault="00DA4F03" w:rsidP="009123AA">
      <w:pPr>
        <w:spacing w:line="276" w:lineRule="auto"/>
        <w:jc w:val="both"/>
        <w:rPr>
          <w:rFonts w:cs="Times New Roman"/>
        </w:rPr>
      </w:pPr>
      <w:r w:rsidRPr="00372CA6">
        <w:rPr>
          <w:rFonts w:cs="Times New Roman"/>
        </w:rPr>
        <w:t>Zahariadis, N. (2003). </w:t>
      </w:r>
      <w:r w:rsidRPr="00372CA6">
        <w:rPr>
          <w:rFonts w:cs="Times New Roman"/>
          <w:i/>
          <w:iCs/>
        </w:rPr>
        <w:t>Ambiguity and choice in public policy: Political decision making in modern democracies</w:t>
      </w:r>
      <w:r w:rsidRPr="00372CA6">
        <w:rPr>
          <w:rFonts w:cs="Times New Roman"/>
        </w:rPr>
        <w:t>. Georgetown university press.</w:t>
      </w:r>
    </w:p>
    <w:p w14:paraId="377EC3CD" w14:textId="77777777" w:rsidR="00DA4F03" w:rsidRPr="00C2349D" w:rsidRDefault="00DA4F03" w:rsidP="009123AA">
      <w:pPr>
        <w:spacing w:line="276" w:lineRule="auto"/>
        <w:jc w:val="both"/>
        <w:rPr>
          <w:rFonts w:cs="Times New Roman"/>
        </w:rPr>
      </w:pPr>
      <w:r w:rsidRPr="00372CA6">
        <w:rPr>
          <w:rFonts w:cs="Times New Roman"/>
        </w:rPr>
        <w:t>Zahariadis, N. (2016). Delphic oracles: Ambiguity, institutions, and multiple streams. </w:t>
      </w:r>
      <w:r w:rsidRPr="00372CA6">
        <w:rPr>
          <w:rFonts w:cs="Times New Roman"/>
          <w:i/>
          <w:iCs/>
        </w:rPr>
        <w:t>Policy Sciences</w:t>
      </w:r>
      <w:r w:rsidRPr="00372CA6">
        <w:rPr>
          <w:rFonts w:cs="Times New Roman"/>
        </w:rPr>
        <w:t>, </w:t>
      </w:r>
      <w:r w:rsidRPr="00372CA6">
        <w:rPr>
          <w:rFonts w:cs="Times New Roman"/>
          <w:i/>
          <w:iCs/>
        </w:rPr>
        <w:t>49</w:t>
      </w:r>
      <w:r w:rsidRPr="00372CA6">
        <w:rPr>
          <w:rFonts w:cs="Times New Roman"/>
        </w:rPr>
        <w:t>, 3-12.</w:t>
      </w:r>
    </w:p>
    <w:sectPr w:rsidR="00DA4F03" w:rsidRPr="00C2349D" w:rsidSect="004C0B5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44E0" w14:textId="77777777" w:rsidR="005C21F8" w:rsidRDefault="005C21F8" w:rsidP="00873720">
      <w:pPr>
        <w:spacing w:after="0" w:line="240" w:lineRule="auto"/>
      </w:pPr>
      <w:r>
        <w:separator/>
      </w:r>
    </w:p>
  </w:endnote>
  <w:endnote w:type="continuationSeparator" w:id="0">
    <w:p w14:paraId="6ABE56F9" w14:textId="77777777" w:rsidR="005C21F8" w:rsidRDefault="005C21F8" w:rsidP="00873720">
      <w:pPr>
        <w:spacing w:after="0" w:line="240" w:lineRule="auto"/>
      </w:pPr>
      <w:r>
        <w:continuationSeparator/>
      </w:r>
    </w:p>
  </w:endnote>
  <w:endnote w:id="1">
    <w:p w14:paraId="7F9A941E" w14:textId="5853BA3F" w:rsidR="00873720" w:rsidRDefault="00873720">
      <w:pPr>
        <w:pStyle w:val="EndnoteText"/>
      </w:pPr>
      <w:r>
        <w:rPr>
          <w:rStyle w:val="EndnoteReference"/>
        </w:rPr>
        <w:endnoteRef/>
      </w:r>
      <w:r>
        <w:t xml:space="preserve"> We use ‘policy actors’ as a broad term to include the individuals or organisations who seek to influence, make, or deliver policy.</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dvTTa9c1b374+20">
    <w:altName w:val="MS Gothic"/>
    <w:panose1 w:val="00000000000000000000"/>
    <w:charset w:val="80"/>
    <w:family w:val="auto"/>
    <w:notTrueType/>
    <w:pitch w:val="default"/>
    <w:sig w:usb0="00000000"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414745"/>
      <w:docPartObj>
        <w:docPartGallery w:val="Page Numbers (Bottom of Page)"/>
        <w:docPartUnique/>
      </w:docPartObj>
    </w:sdtPr>
    <w:sdtEndPr>
      <w:rPr>
        <w:noProof/>
      </w:rPr>
    </w:sdtEndPr>
    <w:sdtContent>
      <w:p w14:paraId="26149512" w14:textId="2FC62E3E" w:rsidR="008C597C" w:rsidRDefault="008C597C">
        <w:pPr>
          <w:pStyle w:val="Footer"/>
          <w:jc w:val="center"/>
        </w:pPr>
        <w:r>
          <w:fldChar w:fldCharType="begin"/>
        </w:r>
        <w:r>
          <w:instrText xml:space="preserve"> PAGE   \* MERGEFORMAT </w:instrText>
        </w:r>
        <w:r>
          <w:fldChar w:fldCharType="separate"/>
        </w:r>
        <w:r w:rsidR="0045476E">
          <w:rPr>
            <w:noProof/>
          </w:rPr>
          <w:t>13</w:t>
        </w:r>
        <w:r>
          <w:rPr>
            <w:noProof/>
          </w:rPr>
          <w:fldChar w:fldCharType="end"/>
        </w:r>
      </w:p>
    </w:sdtContent>
  </w:sdt>
  <w:p w14:paraId="554EE1D1" w14:textId="77777777" w:rsidR="008C597C" w:rsidRDefault="008C59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FE39D" w14:textId="77777777" w:rsidR="005C21F8" w:rsidRDefault="005C21F8" w:rsidP="00873720">
      <w:pPr>
        <w:spacing w:after="0" w:line="240" w:lineRule="auto"/>
      </w:pPr>
      <w:r>
        <w:separator/>
      </w:r>
    </w:p>
  </w:footnote>
  <w:footnote w:type="continuationSeparator" w:id="0">
    <w:p w14:paraId="37DBB404" w14:textId="77777777" w:rsidR="005C21F8" w:rsidRDefault="005C21F8" w:rsidP="008737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95E04"/>
    <w:multiLevelType w:val="hybridMultilevel"/>
    <w:tmpl w:val="F3F6AA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0E0445"/>
    <w:multiLevelType w:val="hybridMultilevel"/>
    <w:tmpl w:val="CB02C330"/>
    <w:lvl w:ilvl="0" w:tplc="AC92FC9E">
      <w:start w:val="3"/>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27A71"/>
    <w:multiLevelType w:val="hybridMultilevel"/>
    <w:tmpl w:val="41AA8220"/>
    <w:lvl w:ilvl="0" w:tplc="3B8CC1F4">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006304"/>
    <w:multiLevelType w:val="hybridMultilevel"/>
    <w:tmpl w:val="2638803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DED787B"/>
    <w:multiLevelType w:val="hybridMultilevel"/>
    <w:tmpl w:val="27FC61CE"/>
    <w:lvl w:ilvl="0" w:tplc="DCECC33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62E43"/>
    <w:multiLevelType w:val="hybridMultilevel"/>
    <w:tmpl w:val="6598D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73212F"/>
    <w:multiLevelType w:val="hybridMultilevel"/>
    <w:tmpl w:val="6B7043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77D6522"/>
    <w:multiLevelType w:val="hybridMultilevel"/>
    <w:tmpl w:val="2B1AE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A035D90"/>
    <w:multiLevelType w:val="hybridMultilevel"/>
    <w:tmpl w:val="7184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737863"/>
    <w:multiLevelType w:val="hybridMultilevel"/>
    <w:tmpl w:val="98CAF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DE2580"/>
    <w:multiLevelType w:val="hybridMultilevel"/>
    <w:tmpl w:val="91445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CAD6F42"/>
    <w:multiLevelType w:val="hybridMultilevel"/>
    <w:tmpl w:val="FA682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4DF578D"/>
    <w:multiLevelType w:val="hybridMultilevel"/>
    <w:tmpl w:val="21DAFF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69326206">
    <w:abstractNumId w:val="10"/>
  </w:num>
  <w:num w:numId="2" w16cid:durableId="1602687038">
    <w:abstractNumId w:val="6"/>
  </w:num>
  <w:num w:numId="3" w16cid:durableId="801196608">
    <w:abstractNumId w:val="9"/>
  </w:num>
  <w:num w:numId="4" w16cid:durableId="614563456">
    <w:abstractNumId w:val="8"/>
  </w:num>
  <w:num w:numId="5" w16cid:durableId="2064450176">
    <w:abstractNumId w:val="0"/>
  </w:num>
  <w:num w:numId="6" w16cid:durableId="333068941">
    <w:abstractNumId w:val="1"/>
  </w:num>
  <w:num w:numId="7" w16cid:durableId="1451433676">
    <w:abstractNumId w:val="5"/>
  </w:num>
  <w:num w:numId="8" w16cid:durableId="410087140">
    <w:abstractNumId w:val="3"/>
  </w:num>
  <w:num w:numId="9" w16cid:durableId="1975484167">
    <w:abstractNumId w:val="2"/>
  </w:num>
  <w:num w:numId="10" w16cid:durableId="1051029736">
    <w:abstractNumId w:val="7"/>
  </w:num>
  <w:num w:numId="11" w16cid:durableId="853419154">
    <w:abstractNumId w:val="11"/>
  </w:num>
  <w:num w:numId="12" w16cid:durableId="1622761479">
    <w:abstractNumId w:val="12"/>
  </w:num>
  <w:num w:numId="13" w16cid:durableId="2124108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5D0B"/>
    <w:rsid w:val="00011FFD"/>
    <w:rsid w:val="00013915"/>
    <w:rsid w:val="00020FF3"/>
    <w:rsid w:val="00023616"/>
    <w:rsid w:val="00025C0B"/>
    <w:rsid w:val="000272B1"/>
    <w:rsid w:val="00027D29"/>
    <w:rsid w:val="00027D73"/>
    <w:rsid w:val="00034E43"/>
    <w:rsid w:val="000424B5"/>
    <w:rsid w:val="00045F40"/>
    <w:rsid w:val="000509D3"/>
    <w:rsid w:val="00051F6A"/>
    <w:rsid w:val="000532DC"/>
    <w:rsid w:val="00061A60"/>
    <w:rsid w:val="0007029A"/>
    <w:rsid w:val="00074930"/>
    <w:rsid w:val="00082ED0"/>
    <w:rsid w:val="0008626A"/>
    <w:rsid w:val="0009667B"/>
    <w:rsid w:val="000A4FD5"/>
    <w:rsid w:val="000B1B36"/>
    <w:rsid w:val="000B4C77"/>
    <w:rsid w:val="000B5743"/>
    <w:rsid w:val="000C26F5"/>
    <w:rsid w:val="000C285E"/>
    <w:rsid w:val="000C5EC4"/>
    <w:rsid w:val="000D23BB"/>
    <w:rsid w:val="000D6315"/>
    <w:rsid w:val="000E2116"/>
    <w:rsid w:val="000F30D7"/>
    <w:rsid w:val="000F3B97"/>
    <w:rsid w:val="000F41A7"/>
    <w:rsid w:val="000F680E"/>
    <w:rsid w:val="000F68C7"/>
    <w:rsid w:val="000F7F51"/>
    <w:rsid w:val="00113926"/>
    <w:rsid w:val="001157C4"/>
    <w:rsid w:val="00130DCC"/>
    <w:rsid w:val="00131C5C"/>
    <w:rsid w:val="00143E21"/>
    <w:rsid w:val="00147024"/>
    <w:rsid w:val="001547F9"/>
    <w:rsid w:val="00162F70"/>
    <w:rsid w:val="00165FD3"/>
    <w:rsid w:val="0017405E"/>
    <w:rsid w:val="00175C96"/>
    <w:rsid w:val="0017666F"/>
    <w:rsid w:val="00176C0A"/>
    <w:rsid w:val="0018400A"/>
    <w:rsid w:val="0019478E"/>
    <w:rsid w:val="0019738C"/>
    <w:rsid w:val="001A1640"/>
    <w:rsid w:val="001A2906"/>
    <w:rsid w:val="001A3EA9"/>
    <w:rsid w:val="001B185E"/>
    <w:rsid w:val="001B3DEE"/>
    <w:rsid w:val="001B5867"/>
    <w:rsid w:val="001C0954"/>
    <w:rsid w:val="001C362A"/>
    <w:rsid w:val="001C55E3"/>
    <w:rsid w:val="001C5668"/>
    <w:rsid w:val="001C6569"/>
    <w:rsid w:val="001C7162"/>
    <w:rsid w:val="001C7E54"/>
    <w:rsid w:val="001D0A7A"/>
    <w:rsid w:val="001D18E1"/>
    <w:rsid w:val="001D366E"/>
    <w:rsid w:val="001E0CEC"/>
    <w:rsid w:val="001E15BD"/>
    <w:rsid w:val="001F0C54"/>
    <w:rsid w:val="001F1C28"/>
    <w:rsid w:val="001F2468"/>
    <w:rsid w:val="00206611"/>
    <w:rsid w:val="00212CEC"/>
    <w:rsid w:val="002230F4"/>
    <w:rsid w:val="00223BBE"/>
    <w:rsid w:val="002407F1"/>
    <w:rsid w:val="002503BA"/>
    <w:rsid w:val="00250FE5"/>
    <w:rsid w:val="00254138"/>
    <w:rsid w:val="00254B1B"/>
    <w:rsid w:val="00266B05"/>
    <w:rsid w:val="00273113"/>
    <w:rsid w:val="002746B5"/>
    <w:rsid w:val="00282158"/>
    <w:rsid w:val="002821BB"/>
    <w:rsid w:val="00282F41"/>
    <w:rsid w:val="00285F3D"/>
    <w:rsid w:val="00292033"/>
    <w:rsid w:val="00292A2A"/>
    <w:rsid w:val="002954F8"/>
    <w:rsid w:val="00297862"/>
    <w:rsid w:val="002A0343"/>
    <w:rsid w:val="002B775C"/>
    <w:rsid w:val="002B7AAD"/>
    <w:rsid w:val="002C1630"/>
    <w:rsid w:val="002C1FC7"/>
    <w:rsid w:val="002C5E67"/>
    <w:rsid w:val="002C6898"/>
    <w:rsid w:val="002D1733"/>
    <w:rsid w:val="002D7719"/>
    <w:rsid w:val="002E1AFB"/>
    <w:rsid w:val="002E721B"/>
    <w:rsid w:val="002F5701"/>
    <w:rsid w:val="002F7A31"/>
    <w:rsid w:val="00304FB7"/>
    <w:rsid w:val="003073D1"/>
    <w:rsid w:val="0031344D"/>
    <w:rsid w:val="00316A0A"/>
    <w:rsid w:val="0032025E"/>
    <w:rsid w:val="00346371"/>
    <w:rsid w:val="0035145E"/>
    <w:rsid w:val="003516B2"/>
    <w:rsid w:val="00362500"/>
    <w:rsid w:val="00362BC7"/>
    <w:rsid w:val="0036415C"/>
    <w:rsid w:val="00372CA6"/>
    <w:rsid w:val="00373AD3"/>
    <w:rsid w:val="00381611"/>
    <w:rsid w:val="003829EE"/>
    <w:rsid w:val="00383AD0"/>
    <w:rsid w:val="00392EB8"/>
    <w:rsid w:val="00396FF0"/>
    <w:rsid w:val="003A3938"/>
    <w:rsid w:val="003A3C1C"/>
    <w:rsid w:val="003A5DBD"/>
    <w:rsid w:val="003A7B3D"/>
    <w:rsid w:val="003B2367"/>
    <w:rsid w:val="003B787A"/>
    <w:rsid w:val="003C2548"/>
    <w:rsid w:val="003D05C1"/>
    <w:rsid w:val="003D1615"/>
    <w:rsid w:val="003D4B1A"/>
    <w:rsid w:val="003D6F1A"/>
    <w:rsid w:val="003E3928"/>
    <w:rsid w:val="003E600C"/>
    <w:rsid w:val="003E7774"/>
    <w:rsid w:val="003E79DD"/>
    <w:rsid w:val="003E7A07"/>
    <w:rsid w:val="0040057B"/>
    <w:rsid w:val="00400F86"/>
    <w:rsid w:val="004029F1"/>
    <w:rsid w:val="004031F8"/>
    <w:rsid w:val="00406DBD"/>
    <w:rsid w:val="00414B1C"/>
    <w:rsid w:val="004179DF"/>
    <w:rsid w:val="00422F56"/>
    <w:rsid w:val="004258AC"/>
    <w:rsid w:val="00431D9C"/>
    <w:rsid w:val="00437785"/>
    <w:rsid w:val="00440692"/>
    <w:rsid w:val="004449A2"/>
    <w:rsid w:val="004457CE"/>
    <w:rsid w:val="0045476E"/>
    <w:rsid w:val="00456B65"/>
    <w:rsid w:val="00463F20"/>
    <w:rsid w:val="00472515"/>
    <w:rsid w:val="00473F81"/>
    <w:rsid w:val="00474418"/>
    <w:rsid w:val="00475CF7"/>
    <w:rsid w:val="00475D79"/>
    <w:rsid w:val="00476A61"/>
    <w:rsid w:val="00476E64"/>
    <w:rsid w:val="00483149"/>
    <w:rsid w:val="004839C2"/>
    <w:rsid w:val="004842F6"/>
    <w:rsid w:val="00485DCE"/>
    <w:rsid w:val="00492569"/>
    <w:rsid w:val="004932A8"/>
    <w:rsid w:val="004A1182"/>
    <w:rsid w:val="004A11F2"/>
    <w:rsid w:val="004A35AB"/>
    <w:rsid w:val="004B014E"/>
    <w:rsid w:val="004B1168"/>
    <w:rsid w:val="004B1BF6"/>
    <w:rsid w:val="004B63A5"/>
    <w:rsid w:val="004C0AFF"/>
    <w:rsid w:val="004C0B52"/>
    <w:rsid w:val="004C2ECE"/>
    <w:rsid w:val="004C49CD"/>
    <w:rsid w:val="004C5966"/>
    <w:rsid w:val="004D375A"/>
    <w:rsid w:val="004D5E1E"/>
    <w:rsid w:val="004D70F1"/>
    <w:rsid w:val="004E51C6"/>
    <w:rsid w:val="004F0165"/>
    <w:rsid w:val="004F094C"/>
    <w:rsid w:val="004F2F91"/>
    <w:rsid w:val="00500B62"/>
    <w:rsid w:val="00503577"/>
    <w:rsid w:val="00503656"/>
    <w:rsid w:val="00506C76"/>
    <w:rsid w:val="005078C5"/>
    <w:rsid w:val="00513077"/>
    <w:rsid w:val="005143F0"/>
    <w:rsid w:val="0051581A"/>
    <w:rsid w:val="00517217"/>
    <w:rsid w:val="00520141"/>
    <w:rsid w:val="005244ED"/>
    <w:rsid w:val="00534A53"/>
    <w:rsid w:val="005378BE"/>
    <w:rsid w:val="005425E0"/>
    <w:rsid w:val="00542848"/>
    <w:rsid w:val="00552BC2"/>
    <w:rsid w:val="00566C0B"/>
    <w:rsid w:val="00571403"/>
    <w:rsid w:val="00572481"/>
    <w:rsid w:val="00572A44"/>
    <w:rsid w:val="005730F9"/>
    <w:rsid w:val="00573F12"/>
    <w:rsid w:val="00576904"/>
    <w:rsid w:val="005779F6"/>
    <w:rsid w:val="00584C01"/>
    <w:rsid w:val="005874A9"/>
    <w:rsid w:val="0058768E"/>
    <w:rsid w:val="00587962"/>
    <w:rsid w:val="00591330"/>
    <w:rsid w:val="0059200E"/>
    <w:rsid w:val="00592666"/>
    <w:rsid w:val="005930CE"/>
    <w:rsid w:val="005930FE"/>
    <w:rsid w:val="005948D8"/>
    <w:rsid w:val="005A2A6F"/>
    <w:rsid w:val="005A2FBE"/>
    <w:rsid w:val="005A341D"/>
    <w:rsid w:val="005A3E0F"/>
    <w:rsid w:val="005B2F76"/>
    <w:rsid w:val="005B3008"/>
    <w:rsid w:val="005B3A30"/>
    <w:rsid w:val="005B3B98"/>
    <w:rsid w:val="005C0328"/>
    <w:rsid w:val="005C1B67"/>
    <w:rsid w:val="005C21F8"/>
    <w:rsid w:val="005D27F2"/>
    <w:rsid w:val="005D5688"/>
    <w:rsid w:val="005E2A9D"/>
    <w:rsid w:val="005E67CE"/>
    <w:rsid w:val="005F33C8"/>
    <w:rsid w:val="00600EF3"/>
    <w:rsid w:val="0060119B"/>
    <w:rsid w:val="00601317"/>
    <w:rsid w:val="0060314C"/>
    <w:rsid w:val="00605D0B"/>
    <w:rsid w:val="006105EC"/>
    <w:rsid w:val="006118BE"/>
    <w:rsid w:val="006138E1"/>
    <w:rsid w:val="00623236"/>
    <w:rsid w:val="0062356A"/>
    <w:rsid w:val="0062478C"/>
    <w:rsid w:val="00624F4F"/>
    <w:rsid w:val="006273D1"/>
    <w:rsid w:val="006301A1"/>
    <w:rsid w:val="00644A3B"/>
    <w:rsid w:val="00646470"/>
    <w:rsid w:val="00650BD2"/>
    <w:rsid w:val="006516C4"/>
    <w:rsid w:val="006557B2"/>
    <w:rsid w:val="00655B59"/>
    <w:rsid w:val="00657E5D"/>
    <w:rsid w:val="006611D7"/>
    <w:rsid w:val="00676659"/>
    <w:rsid w:val="00677F0B"/>
    <w:rsid w:val="0068355A"/>
    <w:rsid w:val="00684ACA"/>
    <w:rsid w:val="0069620A"/>
    <w:rsid w:val="006A06CC"/>
    <w:rsid w:val="006A0E4A"/>
    <w:rsid w:val="006A19D6"/>
    <w:rsid w:val="006B072B"/>
    <w:rsid w:val="006B0D1E"/>
    <w:rsid w:val="006B20EC"/>
    <w:rsid w:val="006B5700"/>
    <w:rsid w:val="006B64A1"/>
    <w:rsid w:val="006C2C54"/>
    <w:rsid w:val="006C3A32"/>
    <w:rsid w:val="006C6B0F"/>
    <w:rsid w:val="006D2298"/>
    <w:rsid w:val="006D5AD6"/>
    <w:rsid w:val="006D7A4C"/>
    <w:rsid w:val="006E1DF1"/>
    <w:rsid w:val="006F3B93"/>
    <w:rsid w:val="00706D5D"/>
    <w:rsid w:val="00716904"/>
    <w:rsid w:val="007305F1"/>
    <w:rsid w:val="00733E27"/>
    <w:rsid w:val="00737FF7"/>
    <w:rsid w:val="0074022C"/>
    <w:rsid w:val="00740288"/>
    <w:rsid w:val="0074034B"/>
    <w:rsid w:val="00740B60"/>
    <w:rsid w:val="00744715"/>
    <w:rsid w:val="00752AEF"/>
    <w:rsid w:val="007558C8"/>
    <w:rsid w:val="00767828"/>
    <w:rsid w:val="00772100"/>
    <w:rsid w:val="0077454F"/>
    <w:rsid w:val="00774CC6"/>
    <w:rsid w:val="00776378"/>
    <w:rsid w:val="0077714C"/>
    <w:rsid w:val="00782367"/>
    <w:rsid w:val="00785089"/>
    <w:rsid w:val="00792B0F"/>
    <w:rsid w:val="0079332F"/>
    <w:rsid w:val="007A1B0B"/>
    <w:rsid w:val="007A3769"/>
    <w:rsid w:val="007A4D68"/>
    <w:rsid w:val="007A61D5"/>
    <w:rsid w:val="007B7D59"/>
    <w:rsid w:val="007C06D6"/>
    <w:rsid w:val="007D0F4C"/>
    <w:rsid w:val="007D1D66"/>
    <w:rsid w:val="007D518C"/>
    <w:rsid w:val="007F0539"/>
    <w:rsid w:val="007F4807"/>
    <w:rsid w:val="0080429A"/>
    <w:rsid w:val="008074CF"/>
    <w:rsid w:val="008076F4"/>
    <w:rsid w:val="00807E9E"/>
    <w:rsid w:val="00811675"/>
    <w:rsid w:val="00815452"/>
    <w:rsid w:val="00823587"/>
    <w:rsid w:val="00824510"/>
    <w:rsid w:val="00825C58"/>
    <w:rsid w:val="00831D5C"/>
    <w:rsid w:val="00836967"/>
    <w:rsid w:val="00840D8E"/>
    <w:rsid w:val="00850892"/>
    <w:rsid w:val="008543FE"/>
    <w:rsid w:val="00857CA0"/>
    <w:rsid w:val="008651E8"/>
    <w:rsid w:val="0086563A"/>
    <w:rsid w:val="0087143A"/>
    <w:rsid w:val="00873720"/>
    <w:rsid w:val="00887DEA"/>
    <w:rsid w:val="00891EC2"/>
    <w:rsid w:val="0089248F"/>
    <w:rsid w:val="008A7FD7"/>
    <w:rsid w:val="008B755D"/>
    <w:rsid w:val="008C356C"/>
    <w:rsid w:val="008C38F7"/>
    <w:rsid w:val="008C597C"/>
    <w:rsid w:val="008D1ADC"/>
    <w:rsid w:val="008D30BE"/>
    <w:rsid w:val="008D7D20"/>
    <w:rsid w:val="008F16F0"/>
    <w:rsid w:val="008F36F1"/>
    <w:rsid w:val="008F52DC"/>
    <w:rsid w:val="009012BF"/>
    <w:rsid w:val="00904880"/>
    <w:rsid w:val="00905459"/>
    <w:rsid w:val="009123AA"/>
    <w:rsid w:val="00926A07"/>
    <w:rsid w:val="00931488"/>
    <w:rsid w:val="00931EA6"/>
    <w:rsid w:val="009332DB"/>
    <w:rsid w:val="00953B31"/>
    <w:rsid w:val="00956340"/>
    <w:rsid w:val="00962545"/>
    <w:rsid w:val="00962AC0"/>
    <w:rsid w:val="00963A02"/>
    <w:rsid w:val="009720E7"/>
    <w:rsid w:val="0097403B"/>
    <w:rsid w:val="009750A0"/>
    <w:rsid w:val="00975BFC"/>
    <w:rsid w:val="00981476"/>
    <w:rsid w:val="0098308E"/>
    <w:rsid w:val="00991CCF"/>
    <w:rsid w:val="00992B97"/>
    <w:rsid w:val="009948DF"/>
    <w:rsid w:val="009951C9"/>
    <w:rsid w:val="009977FA"/>
    <w:rsid w:val="009A2D4B"/>
    <w:rsid w:val="009A3040"/>
    <w:rsid w:val="009B004F"/>
    <w:rsid w:val="009B3636"/>
    <w:rsid w:val="009B521A"/>
    <w:rsid w:val="009B6C87"/>
    <w:rsid w:val="009B7419"/>
    <w:rsid w:val="009B7AF5"/>
    <w:rsid w:val="009C004D"/>
    <w:rsid w:val="009C0768"/>
    <w:rsid w:val="009C28F0"/>
    <w:rsid w:val="009C6617"/>
    <w:rsid w:val="009C7335"/>
    <w:rsid w:val="009D0591"/>
    <w:rsid w:val="009D58CB"/>
    <w:rsid w:val="009E06C5"/>
    <w:rsid w:val="009E1D37"/>
    <w:rsid w:val="009E30D0"/>
    <w:rsid w:val="009E44D2"/>
    <w:rsid w:val="009F4D43"/>
    <w:rsid w:val="00A01F70"/>
    <w:rsid w:val="00A27126"/>
    <w:rsid w:val="00A279A1"/>
    <w:rsid w:val="00A366CA"/>
    <w:rsid w:val="00A41FE1"/>
    <w:rsid w:val="00A429C5"/>
    <w:rsid w:val="00A5057D"/>
    <w:rsid w:val="00A50F70"/>
    <w:rsid w:val="00A548D4"/>
    <w:rsid w:val="00A54C74"/>
    <w:rsid w:val="00A579A6"/>
    <w:rsid w:val="00A6033C"/>
    <w:rsid w:val="00A642DA"/>
    <w:rsid w:val="00A64305"/>
    <w:rsid w:val="00A6616A"/>
    <w:rsid w:val="00A72BBA"/>
    <w:rsid w:val="00A80782"/>
    <w:rsid w:val="00A86FB3"/>
    <w:rsid w:val="00A87485"/>
    <w:rsid w:val="00A9170B"/>
    <w:rsid w:val="00A92461"/>
    <w:rsid w:val="00A9430F"/>
    <w:rsid w:val="00A96CA2"/>
    <w:rsid w:val="00A9761B"/>
    <w:rsid w:val="00AA41E6"/>
    <w:rsid w:val="00AA74D8"/>
    <w:rsid w:val="00AB00A9"/>
    <w:rsid w:val="00AB0ABA"/>
    <w:rsid w:val="00AB1F6B"/>
    <w:rsid w:val="00AB478D"/>
    <w:rsid w:val="00AB6EC9"/>
    <w:rsid w:val="00AB776D"/>
    <w:rsid w:val="00AB7C96"/>
    <w:rsid w:val="00AC0283"/>
    <w:rsid w:val="00AD1022"/>
    <w:rsid w:val="00AD2995"/>
    <w:rsid w:val="00AE3068"/>
    <w:rsid w:val="00AE7901"/>
    <w:rsid w:val="00AF3B0F"/>
    <w:rsid w:val="00B02150"/>
    <w:rsid w:val="00B054A3"/>
    <w:rsid w:val="00B22D50"/>
    <w:rsid w:val="00B30A6A"/>
    <w:rsid w:val="00B43FB2"/>
    <w:rsid w:val="00B45167"/>
    <w:rsid w:val="00B52748"/>
    <w:rsid w:val="00B542F0"/>
    <w:rsid w:val="00B60A09"/>
    <w:rsid w:val="00B6215A"/>
    <w:rsid w:val="00B65924"/>
    <w:rsid w:val="00B7083B"/>
    <w:rsid w:val="00B70C65"/>
    <w:rsid w:val="00B806B5"/>
    <w:rsid w:val="00B80D73"/>
    <w:rsid w:val="00B81C76"/>
    <w:rsid w:val="00B83BB2"/>
    <w:rsid w:val="00B84695"/>
    <w:rsid w:val="00B86D48"/>
    <w:rsid w:val="00B87F0F"/>
    <w:rsid w:val="00B93754"/>
    <w:rsid w:val="00BA0CB1"/>
    <w:rsid w:val="00BA4F07"/>
    <w:rsid w:val="00BB1C86"/>
    <w:rsid w:val="00BB2FE6"/>
    <w:rsid w:val="00BB499D"/>
    <w:rsid w:val="00BB581F"/>
    <w:rsid w:val="00BB58F3"/>
    <w:rsid w:val="00BC5AF2"/>
    <w:rsid w:val="00BC5AF4"/>
    <w:rsid w:val="00BD0A93"/>
    <w:rsid w:val="00BE027A"/>
    <w:rsid w:val="00BF2AAB"/>
    <w:rsid w:val="00BF339F"/>
    <w:rsid w:val="00BF36EB"/>
    <w:rsid w:val="00BF57BE"/>
    <w:rsid w:val="00BF6463"/>
    <w:rsid w:val="00C01262"/>
    <w:rsid w:val="00C033A9"/>
    <w:rsid w:val="00C03942"/>
    <w:rsid w:val="00C04E6B"/>
    <w:rsid w:val="00C109AB"/>
    <w:rsid w:val="00C150F3"/>
    <w:rsid w:val="00C15E76"/>
    <w:rsid w:val="00C200E5"/>
    <w:rsid w:val="00C2349D"/>
    <w:rsid w:val="00C27590"/>
    <w:rsid w:val="00C27E48"/>
    <w:rsid w:val="00C364F3"/>
    <w:rsid w:val="00C42901"/>
    <w:rsid w:val="00C42A4D"/>
    <w:rsid w:val="00C45EE2"/>
    <w:rsid w:val="00C5082C"/>
    <w:rsid w:val="00C63D31"/>
    <w:rsid w:val="00C641DA"/>
    <w:rsid w:val="00C654D3"/>
    <w:rsid w:val="00C74792"/>
    <w:rsid w:val="00C83C32"/>
    <w:rsid w:val="00C84D12"/>
    <w:rsid w:val="00C85B59"/>
    <w:rsid w:val="00C87618"/>
    <w:rsid w:val="00C87DA1"/>
    <w:rsid w:val="00C920CF"/>
    <w:rsid w:val="00C92138"/>
    <w:rsid w:val="00C95777"/>
    <w:rsid w:val="00CA0685"/>
    <w:rsid w:val="00CA07E5"/>
    <w:rsid w:val="00CA46EC"/>
    <w:rsid w:val="00CA7F46"/>
    <w:rsid w:val="00CB486B"/>
    <w:rsid w:val="00CB5763"/>
    <w:rsid w:val="00CB5821"/>
    <w:rsid w:val="00CB6FE2"/>
    <w:rsid w:val="00CB7972"/>
    <w:rsid w:val="00CC197A"/>
    <w:rsid w:val="00CD20B8"/>
    <w:rsid w:val="00CD5C5F"/>
    <w:rsid w:val="00CE1312"/>
    <w:rsid w:val="00CE2FB6"/>
    <w:rsid w:val="00CE34B2"/>
    <w:rsid w:val="00CE3733"/>
    <w:rsid w:val="00CE6247"/>
    <w:rsid w:val="00CE64D2"/>
    <w:rsid w:val="00CF320B"/>
    <w:rsid w:val="00CF7B67"/>
    <w:rsid w:val="00D07A12"/>
    <w:rsid w:val="00D1245E"/>
    <w:rsid w:val="00D147ED"/>
    <w:rsid w:val="00D1560B"/>
    <w:rsid w:val="00D15AA4"/>
    <w:rsid w:val="00D30365"/>
    <w:rsid w:val="00D312E7"/>
    <w:rsid w:val="00D3469E"/>
    <w:rsid w:val="00D346D5"/>
    <w:rsid w:val="00D403DE"/>
    <w:rsid w:val="00D42474"/>
    <w:rsid w:val="00D51701"/>
    <w:rsid w:val="00D52CA7"/>
    <w:rsid w:val="00D53253"/>
    <w:rsid w:val="00D61F99"/>
    <w:rsid w:val="00D646E6"/>
    <w:rsid w:val="00D66FC2"/>
    <w:rsid w:val="00D677A5"/>
    <w:rsid w:val="00D807D7"/>
    <w:rsid w:val="00D84DBC"/>
    <w:rsid w:val="00D85288"/>
    <w:rsid w:val="00D875BE"/>
    <w:rsid w:val="00D94545"/>
    <w:rsid w:val="00D94EAE"/>
    <w:rsid w:val="00D97908"/>
    <w:rsid w:val="00DA0174"/>
    <w:rsid w:val="00DA020A"/>
    <w:rsid w:val="00DA4555"/>
    <w:rsid w:val="00DA4F03"/>
    <w:rsid w:val="00DB1A9A"/>
    <w:rsid w:val="00DB6076"/>
    <w:rsid w:val="00DB6890"/>
    <w:rsid w:val="00DC0A4C"/>
    <w:rsid w:val="00DC2F33"/>
    <w:rsid w:val="00DC730D"/>
    <w:rsid w:val="00DD14DB"/>
    <w:rsid w:val="00DD1538"/>
    <w:rsid w:val="00DE06D6"/>
    <w:rsid w:val="00DE44D9"/>
    <w:rsid w:val="00E076A7"/>
    <w:rsid w:val="00E10BB0"/>
    <w:rsid w:val="00E11D28"/>
    <w:rsid w:val="00E16933"/>
    <w:rsid w:val="00E21B86"/>
    <w:rsid w:val="00E21F96"/>
    <w:rsid w:val="00E2372D"/>
    <w:rsid w:val="00E24843"/>
    <w:rsid w:val="00E33037"/>
    <w:rsid w:val="00E34FCA"/>
    <w:rsid w:val="00E35BD3"/>
    <w:rsid w:val="00E42399"/>
    <w:rsid w:val="00E427F1"/>
    <w:rsid w:val="00E45F48"/>
    <w:rsid w:val="00E5238B"/>
    <w:rsid w:val="00E56D32"/>
    <w:rsid w:val="00E57E84"/>
    <w:rsid w:val="00E6624C"/>
    <w:rsid w:val="00E75CAC"/>
    <w:rsid w:val="00E859E5"/>
    <w:rsid w:val="00E907CB"/>
    <w:rsid w:val="00E91DD6"/>
    <w:rsid w:val="00E94FB3"/>
    <w:rsid w:val="00EA0637"/>
    <w:rsid w:val="00EA150E"/>
    <w:rsid w:val="00EA3402"/>
    <w:rsid w:val="00EA53D9"/>
    <w:rsid w:val="00EA64A6"/>
    <w:rsid w:val="00EA76E6"/>
    <w:rsid w:val="00EB623D"/>
    <w:rsid w:val="00EC1BE3"/>
    <w:rsid w:val="00EC534F"/>
    <w:rsid w:val="00ED39B8"/>
    <w:rsid w:val="00EE0797"/>
    <w:rsid w:val="00EE3538"/>
    <w:rsid w:val="00EE6381"/>
    <w:rsid w:val="00EF2E39"/>
    <w:rsid w:val="00EF310D"/>
    <w:rsid w:val="00F0116E"/>
    <w:rsid w:val="00F02C00"/>
    <w:rsid w:val="00F0535B"/>
    <w:rsid w:val="00F06616"/>
    <w:rsid w:val="00F06A08"/>
    <w:rsid w:val="00F200FE"/>
    <w:rsid w:val="00F245B4"/>
    <w:rsid w:val="00F35CF7"/>
    <w:rsid w:val="00F44A06"/>
    <w:rsid w:val="00F50DF3"/>
    <w:rsid w:val="00F5243F"/>
    <w:rsid w:val="00F54B60"/>
    <w:rsid w:val="00F630EF"/>
    <w:rsid w:val="00F71761"/>
    <w:rsid w:val="00F7687B"/>
    <w:rsid w:val="00F80600"/>
    <w:rsid w:val="00F84A52"/>
    <w:rsid w:val="00F872CB"/>
    <w:rsid w:val="00F95FAA"/>
    <w:rsid w:val="00FA1217"/>
    <w:rsid w:val="00FB0607"/>
    <w:rsid w:val="00FB1FA2"/>
    <w:rsid w:val="00FC3D19"/>
    <w:rsid w:val="00FC7ECD"/>
    <w:rsid w:val="00FD0342"/>
    <w:rsid w:val="00FD41B3"/>
    <w:rsid w:val="00FD4414"/>
    <w:rsid w:val="00FE056F"/>
    <w:rsid w:val="00FE0E83"/>
    <w:rsid w:val="00FE100F"/>
    <w:rsid w:val="00FE14ED"/>
    <w:rsid w:val="00FE1ED2"/>
    <w:rsid w:val="00FE4980"/>
    <w:rsid w:val="00FE59A1"/>
    <w:rsid w:val="00FE5B4B"/>
    <w:rsid w:val="00FF06B7"/>
    <w:rsid w:val="00FF07E5"/>
    <w:rsid w:val="00FF2188"/>
    <w:rsid w:val="00FF6C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DE981"/>
  <w15:chartTrackingRefBased/>
  <w15:docId w15:val="{62AFAA9A-A470-48FF-A6B6-958999D87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GB" w:eastAsia="en-US" w:bidi="ar-SA"/>
        <w14:ligatures w14:val="standardContextual"/>
      </w:rPr>
    </w:rPrDefault>
    <w:pPrDefault>
      <w:pPr>
        <w:spacing w:after="24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7E5"/>
  </w:style>
  <w:style w:type="paragraph" w:styleId="Heading1">
    <w:name w:val="heading 1"/>
    <w:basedOn w:val="Normal"/>
    <w:next w:val="Normal"/>
    <w:link w:val="Heading1Char"/>
    <w:autoRedefine/>
    <w:uiPriority w:val="9"/>
    <w:qFormat/>
    <w:rsid w:val="00552BC2"/>
    <w:pPr>
      <w:keepNext/>
      <w:keepLines/>
      <w:spacing w:before="240" w:line="276" w:lineRule="auto"/>
      <w:jc w:val="both"/>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887DEA"/>
    <w:pPr>
      <w:keepNext/>
      <w:keepLines/>
      <w:spacing w:before="40"/>
      <w:outlineLvl w:val="1"/>
    </w:pPr>
    <w:rPr>
      <w:rFonts w:eastAsiaTheme="majorEastAsia" w:cstheme="majorBidi"/>
      <w:color w:val="0F4761" w:themeColor="accent1" w:themeShade="BF"/>
      <w:sz w:val="28"/>
      <w:szCs w:val="26"/>
    </w:rPr>
  </w:style>
  <w:style w:type="paragraph" w:styleId="Heading3">
    <w:name w:val="heading 3"/>
    <w:basedOn w:val="Normal"/>
    <w:next w:val="Normal"/>
    <w:link w:val="Heading3Char"/>
    <w:uiPriority w:val="9"/>
    <w:unhideWhenUsed/>
    <w:qFormat/>
    <w:rsid w:val="00ED39B8"/>
    <w:pPr>
      <w:keepNext/>
      <w:keepLines/>
      <w:spacing w:before="160" w:after="80"/>
      <w:outlineLvl w:val="2"/>
    </w:pPr>
    <w:rPr>
      <w:rFonts w:eastAsiaTheme="majorEastAsia" w:cstheme="majorBidi"/>
      <w:i/>
      <w:szCs w:val="28"/>
    </w:rPr>
  </w:style>
  <w:style w:type="paragraph" w:styleId="Heading4">
    <w:name w:val="heading 4"/>
    <w:basedOn w:val="Normal"/>
    <w:next w:val="Normal"/>
    <w:link w:val="Heading4Char"/>
    <w:uiPriority w:val="9"/>
    <w:semiHidden/>
    <w:unhideWhenUsed/>
    <w:qFormat/>
    <w:rsid w:val="00605D0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05D0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05D0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05D0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05D0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05D0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87DEA"/>
    <w:rPr>
      <w:rFonts w:eastAsiaTheme="majorEastAsia" w:cstheme="majorBidi"/>
      <w:color w:val="0F4761" w:themeColor="accent1" w:themeShade="BF"/>
      <w:sz w:val="28"/>
      <w:szCs w:val="26"/>
    </w:rPr>
  </w:style>
  <w:style w:type="character" w:customStyle="1" w:styleId="Heading1Char">
    <w:name w:val="Heading 1 Char"/>
    <w:basedOn w:val="DefaultParagraphFont"/>
    <w:link w:val="Heading1"/>
    <w:uiPriority w:val="9"/>
    <w:rsid w:val="00552BC2"/>
    <w:rPr>
      <w:rFonts w:eastAsiaTheme="majorEastAsia" w:cstheme="majorBidi"/>
      <w:b/>
      <w:color w:val="000000" w:themeColor="text1"/>
      <w:sz w:val="32"/>
      <w:szCs w:val="32"/>
    </w:rPr>
  </w:style>
  <w:style w:type="paragraph" w:styleId="Title">
    <w:name w:val="Title"/>
    <w:basedOn w:val="Normal"/>
    <w:next w:val="Normal"/>
    <w:link w:val="TitleChar"/>
    <w:uiPriority w:val="10"/>
    <w:qFormat/>
    <w:rsid w:val="005425E0"/>
    <w:pPr>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5425E0"/>
    <w:rPr>
      <w:rFonts w:eastAsiaTheme="majorEastAsia" w:cstheme="majorBidi"/>
      <w:spacing w:val="-10"/>
      <w:kern w:val="28"/>
      <w:sz w:val="48"/>
      <w:szCs w:val="56"/>
    </w:rPr>
  </w:style>
  <w:style w:type="paragraph" w:styleId="ListParagraph">
    <w:name w:val="List Paragraph"/>
    <w:basedOn w:val="Normal"/>
    <w:uiPriority w:val="34"/>
    <w:qFormat/>
    <w:rsid w:val="00887DEA"/>
    <w:pPr>
      <w:ind w:left="720"/>
      <w:contextualSpacing/>
    </w:pPr>
  </w:style>
  <w:style w:type="paragraph" w:customStyle="1" w:styleId="BoxorTable">
    <w:name w:val="Box or Table"/>
    <w:basedOn w:val="Heading2"/>
    <w:link w:val="BoxorTableChar"/>
    <w:autoRedefine/>
    <w:qFormat/>
    <w:rsid w:val="002230F4"/>
    <w:pPr>
      <w:pBdr>
        <w:top w:val="single" w:sz="4" w:space="1" w:color="auto"/>
      </w:pBdr>
      <w:spacing w:after="0"/>
      <w:jc w:val="both"/>
    </w:pPr>
    <w:rPr>
      <w:b/>
      <w:color w:val="auto"/>
    </w:rPr>
  </w:style>
  <w:style w:type="character" w:customStyle="1" w:styleId="BoxorTableChar">
    <w:name w:val="Box or Table Char"/>
    <w:basedOn w:val="DefaultParagraphFont"/>
    <w:link w:val="BoxorTable"/>
    <w:rsid w:val="002230F4"/>
    <w:rPr>
      <w:rFonts w:eastAsiaTheme="majorEastAsia" w:cstheme="majorBidi"/>
      <w:b/>
      <w:sz w:val="28"/>
      <w:szCs w:val="26"/>
    </w:rPr>
  </w:style>
  <w:style w:type="character" w:customStyle="1" w:styleId="Heading3Char">
    <w:name w:val="Heading 3 Char"/>
    <w:basedOn w:val="DefaultParagraphFont"/>
    <w:link w:val="Heading3"/>
    <w:uiPriority w:val="9"/>
    <w:rsid w:val="00ED39B8"/>
    <w:rPr>
      <w:rFonts w:eastAsiaTheme="majorEastAsia" w:cstheme="majorBidi"/>
      <w:i/>
      <w:szCs w:val="28"/>
    </w:rPr>
  </w:style>
  <w:style w:type="character" w:customStyle="1" w:styleId="Heading4Char">
    <w:name w:val="Heading 4 Char"/>
    <w:basedOn w:val="DefaultParagraphFont"/>
    <w:link w:val="Heading4"/>
    <w:uiPriority w:val="9"/>
    <w:semiHidden/>
    <w:rsid w:val="00605D0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05D0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05D0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05D0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05D0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05D0B"/>
    <w:rPr>
      <w:rFonts w:asciiTheme="minorHAnsi" w:eastAsiaTheme="majorEastAsia" w:hAnsiTheme="minorHAnsi" w:cstheme="majorBidi"/>
      <w:color w:val="272727" w:themeColor="text1" w:themeTint="D8"/>
    </w:rPr>
  </w:style>
  <w:style w:type="paragraph" w:styleId="Subtitle">
    <w:name w:val="Subtitle"/>
    <w:basedOn w:val="Normal"/>
    <w:next w:val="Normal"/>
    <w:link w:val="SubtitleChar"/>
    <w:uiPriority w:val="11"/>
    <w:qFormat/>
    <w:rsid w:val="00605D0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D0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05D0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05D0B"/>
    <w:rPr>
      <w:i/>
      <w:iCs/>
      <w:color w:val="404040" w:themeColor="text1" w:themeTint="BF"/>
    </w:rPr>
  </w:style>
  <w:style w:type="character" w:styleId="IntenseEmphasis">
    <w:name w:val="Intense Emphasis"/>
    <w:basedOn w:val="DefaultParagraphFont"/>
    <w:uiPriority w:val="21"/>
    <w:qFormat/>
    <w:rsid w:val="00605D0B"/>
    <w:rPr>
      <w:i/>
      <w:iCs/>
      <w:color w:val="0F4761" w:themeColor="accent1" w:themeShade="BF"/>
    </w:rPr>
  </w:style>
  <w:style w:type="paragraph" w:styleId="IntenseQuote">
    <w:name w:val="Intense Quote"/>
    <w:basedOn w:val="Normal"/>
    <w:next w:val="Normal"/>
    <w:link w:val="IntenseQuoteChar"/>
    <w:uiPriority w:val="30"/>
    <w:qFormat/>
    <w:rsid w:val="00605D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5D0B"/>
    <w:rPr>
      <w:i/>
      <w:iCs/>
      <w:color w:val="0F4761" w:themeColor="accent1" w:themeShade="BF"/>
    </w:rPr>
  </w:style>
  <w:style w:type="character" w:styleId="IntenseReference">
    <w:name w:val="Intense Reference"/>
    <w:basedOn w:val="DefaultParagraphFont"/>
    <w:uiPriority w:val="32"/>
    <w:qFormat/>
    <w:rsid w:val="00605D0B"/>
    <w:rPr>
      <w:b/>
      <w:bCs/>
      <w:smallCaps/>
      <w:color w:val="0F4761" w:themeColor="accent1" w:themeShade="BF"/>
      <w:spacing w:val="5"/>
    </w:rPr>
  </w:style>
  <w:style w:type="character" w:styleId="Hyperlink">
    <w:name w:val="Hyperlink"/>
    <w:basedOn w:val="DefaultParagraphFont"/>
    <w:uiPriority w:val="99"/>
    <w:unhideWhenUsed/>
    <w:rsid w:val="00A92461"/>
    <w:rPr>
      <w:color w:val="0000FF"/>
      <w:u w:val="single"/>
    </w:rPr>
  </w:style>
  <w:style w:type="paragraph" w:styleId="Revision">
    <w:name w:val="Revision"/>
    <w:hidden/>
    <w:uiPriority w:val="99"/>
    <w:semiHidden/>
    <w:rsid w:val="001C0954"/>
    <w:pPr>
      <w:spacing w:after="0" w:line="240" w:lineRule="auto"/>
    </w:pPr>
  </w:style>
  <w:style w:type="character" w:styleId="CommentReference">
    <w:name w:val="annotation reference"/>
    <w:basedOn w:val="DefaultParagraphFont"/>
    <w:uiPriority w:val="99"/>
    <w:semiHidden/>
    <w:unhideWhenUsed/>
    <w:rsid w:val="00061A60"/>
    <w:rPr>
      <w:sz w:val="16"/>
      <w:szCs w:val="16"/>
    </w:rPr>
  </w:style>
  <w:style w:type="paragraph" w:styleId="CommentText">
    <w:name w:val="annotation text"/>
    <w:basedOn w:val="Normal"/>
    <w:link w:val="CommentTextChar"/>
    <w:uiPriority w:val="99"/>
    <w:unhideWhenUsed/>
    <w:rsid w:val="00061A60"/>
    <w:pPr>
      <w:spacing w:line="240" w:lineRule="auto"/>
    </w:pPr>
    <w:rPr>
      <w:sz w:val="20"/>
      <w:szCs w:val="20"/>
    </w:rPr>
  </w:style>
  <w:style w:type="character" w:customStyle="1" w:styleId="CommentTextChar">
    <w:name w:val="Comment Text Char"/>
    <w:basedOn w:val="DefaultParagraphFont"/>
    <w:link w:val="CommentText"/>
    <w:uiPriority w:val="99"/>
    <w:rsid w:val="00061A60"/>
    <w:rPr>
      <w:sz w:val="20"/>
      <w:szCs w:val="20"/>
    </w:rPr>
  </w:style>
  <w:style w:type="paragraph" w:styleId="CommentSubject">
    <w:name w:val="annotation subject"/>
    <w:basedOn w:val="CommentText"/>
    <w:next w:val="CommentText"/>
    <w:link w:val="CommentSubjectChar"/>
    <w:uiPriority w:val="99"/>
    <w:semiHidden/>
    <w:unhideWhenUsed/>
    <w:rsid w:val="00061A60"/>
    <w:rPr>
      <w:b/>
      <w:bCs/>
    </w:rPr>
  </w:style>
  <w:style w:type="character" w:customStyle="1" w:styleId="CommentSubjectChar">
    <w:name w:val="Comment Subject Char"/>
    <w:basedOn w:val="CommentTextChar"/>
    <w:link w:val="CommentSubject"/>
    <w:uiPriority w:val="99"/>
    <w:semiHidden/>
    <w:rsid w:val="00061A60"/>
    <w:rPr>
      <w:b/>
      <w:bCs/>
      <w:sz w:val="20"/>
      <w:szCs w:val="20"/>
    </w:rPr>
  </w:style>
  <w:style w:type="character" w:customStyle="1" w:styleId="UnresolvedMention1">
    <w:name w:val="Unresolved Mention1"/>
    <w:basedOn w:val="DefaultParagraphFont"/>
    <w:uiPriority w:val="99"/>
    <w:semiHidden/>
    <w:unhideWhenUsed/>
    <w:rsid w:val="0036415C"/>
    <w:rPr>
      <w:color w:val="605E5C"/>
      <w:shd w:val="clear" w:color="auto" w:fill="E1DFDD"/>
    </w:rPr>
  </w:style>
  <w:style w:type="table" w:styleId="TableGrid">
    <w:name w:val="Table Grid"/>
    <w:basedOn w:val="TableNormal"/>
    <w:uiPriority w:val="39"/>
    <w:rsid w:val="004F2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E06D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6D6"/>
    <w:rPr>
      <w:rFonts w:ascii="Segoe UI" w:hAnsi="Segoe UI" w:cs="Segoe UI"/>
      <w:sz w:val="18"/>
      <w:szCs w:val="18"/>
    </w:rPr>
  </w:style>
  <w:style w:type="character" w:customStyle="1" w:styleId="UnresolvedMention2">
    <w:name w:val="Unresolved Mention2"/>
    <w:basedOn w:val="DefaultParagraphFont"/>
    <w:uiPriority w:val="99"/>
    <w:semiHidden/>
    <w:unhideWhenUsed/>
    <w:rsid w:val="002D7719"/>
    <w:rPr>
      <w:color w:val="605E5C"/>
      <w:shd w:val="clear" w:color="auto" w:fill="E1DFDD"/>
    </w:rPr>
  </w:style>
  <w:style w:type="paragraph" w:styleId="EndnoteText">
    <w:name w:val="endnote text"/>
    <w:basedOn w:val="Normal"/>
    <w:link w:val="EndnoteTextChar"/>
    <w:uiPriority w:val="99"/>
    <w:semiHidden/>
    <w:unhideWhenUsed/>
    <w:rsid w:val="0087372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73720"/>
    <w:rPr>
      <w:sz w:val="20"/>
      <w:szCs w:val="20"/>
    </w:rPr>
  </w:style>
  <w:style w:type="character" w:styleId="EndnoteReference">
    <w:name w:val="endnote reference"/>
    <w:basedOn w:val="DefaultParagraphFont"/>
    <w:uiPriority w:val="99"/>
    <w:semiHidden/>
    <w:unhideWhenUsed/>
    <w:rsid w:val="00873720"/>
    <w:rPr>
      <w:vertAlign w:val="superscript"/>
    </w:rPr>
  </w:style>
  <w:style w:type="paragraph" w:styleId="Header">
    <w:name w:val="header"/>
    <w:basedOn w:val="Normal"/>
    <w:link w:val="HeaderChar"/>
    <w:uiPriority w:val="99"/>
    <w:unhideWhenUsed/>
    <w:rsid w:val="008C59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597C"/>
  </w:style>
  <w:style w:type="paragraph" w:styleId="Footer">
    <w:name w:val="footer"/>
    <w:basedOn w:val="Normal"/>
    <w:link w:val="FooterChar"/>
    <w:uiPriority w:val="99"/>
    <w:unhideWhenUsed/>
    <w:rsid w:val="008C597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597C"/>
  </w:style>
  <w:style w:type="character" w:customStyle="1" w:styleId="UnresolvedMention3">
    <w:name w:val="Unresolved Mention3"/>
    <w:basedOn w:val="DefaultParagraphFont"/>
    <w:uiPriority w:val="99"/>
    <w:semiHidden/>
    <w:unhideWhenUsed/>
    <w:rsid w:val="002A0343"/>
    <w:rPr>
      <w:color w:val="605E5C"/>
      <w:shd w:val="clear" w:color="auto" w:fill="E1DFDD"/>
    </w:rPr>
  </w:style>
  <w:style w:type="paragraph" w:styleId="NormalWeb">
    <w:name w:val="Normal (Web)"/>
    <w:basedOn w:val="Normal"/>
    <w:uiPriority w:val="99"/>
    <w:unhideWhenUsed/>
    <w:rsid w:val="00DA4F03"/>
    <w:pPr>
      <w:spacing w:before="100" w:beforeAutospacing="1" w:after="100" w:afterAutospacing="1" w:line="240" w:lineRule="auto"/>
    </w:pPr>
    <w:rPr>
      <w:rFonts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554001390">
      <w:bodyDiv w:val="1"/>
      <w:marLeft w:val="0"/>
      <w:marRight w:val="0"/>
      <w:marTop w:val="0"/>
      <w:marBottom w:val="0"/>
      <w:divBdr>
        <w:top w:val="none" w:sz="0" w:space="0" w:color="auto"/>
        <w:left w:val="none" w:sz="0" w:space="0" w:color="auto"/>
        <w:bottom w:val="none" w:sz="0" w:space="0" w:color="auto"/>
        <w:right w:val="none" w:sz="0" w:space="0" w:color="auto"/>
      </w:divBdr>
    </w:div>
    <w:div w:id="629242851">
      <w:bodyDiv w:val="1"/>
      <w:marLeft w:val="0"/>
      <w:marRight w:val="0"/>
      <w:marTop w:val="0"/>
      <w:marBottom w:val="0"/>
      <w:divBdr>
        <w:top w:val="none" w:sz="0" w:space="0" w:color="auto"/>
        <w:left w:val="none" w:sz="0" w:space="0" w:color="auto"/>
        <w:bottom w:val="none" w:sz="0" w:space="0" w:color="auto"/>
        <w:right w:val="none" w:sz="0" w:space="0" w:color="auto"/>
      </w:divBdr>
    </w:div>
    <w:div w:id="768041030">
      <w:bodyDiv w:val="1"/>
      <w:marLeft w:val="0"/>
      <w:marRight w:val="0"/>
      <w:marTop w:val="0"/>
      <w:marBottom w:val="0"/>
      <w:divBdr>
        <w:top w:val="none" w:sz="0" w:space="0" w:color="auto"/>
        <w:left w:val="none" w:sz="0" w:space="0" w:color="auto"/>
        <w:bottom w:val="none" w:sz="0" w:space="0" w:color="auto"/>
        <w:right w:val="none" w:sz="0" w:space="0" w:color="auto"/>
      </w:divBdr>
      <w:divsChild>
        <w:div w:id="1890452206">
          <w:marLeft w:val="0"/>
          <w:marRight w:val="0"/>
          <w:marTop w:val="0"/>
          <w:marBottom w:val="0"/>
          <w:divBdr>
            <w:top w:val="none" w:sz="0" w:space="0" w:color="auto"/>
            <w:left w:val="none" w:sz="0" w:space="0" w:color="auto"/>
            <w:bottom w:val="none" w:sz="0" w:space="0" w:color="auto"/>
            <w:right w:val="none" w:sz="0" w:space="0" w:color="auto"/>
          </w:divBdr>
        </w:div>
        <w:div w:id="2081948130">
          <w:marLeft w:val="0"/>
          <w:marRight w:val="0"/>
          <w:marTop w:val="0"/>
          <w:marBottom w:val="0"/>
          <w:divBdr>
            <w:top w:val="none" w:sz="0" w:space="0" w:color="auto"/>
            <w:left w:val="none" w:sz="0" w:space="0" w:color="auto"/>
            <w:bottom w:val="none" w:sz="0" w:space="0" w:color="auto"/>
            <w:right w:val="none" w:sz="0" w:space="0" w:color="auto"/>
          </w:divBdr>
        </w:div>
        <w:div w:id="1370912439">
          <w:marLeft w:val="0"/>
          <w:marRight w:val="0"/>
          <w:marTop w:val="0"/>
          <w:marBottom w:val="0"/>
          <w:divBdr>
            <w:top w:val="none" w:sz="0" w:space="0" w:color="auto"/>
            <w:left w:val="none" w:sz="0" w:space="0" w:color="auto"/>
            <w:bottom w:val="none" w:sz="0" w:space="0" w:color="auto"/>
            <w:right w:val="none" w:sz="0" w:space="0" w:color="auto"/>
          </w:divBdr>
        </w:div>
        <w:div w:id="2022051917">
          <w:marLeft w:val="0"/>
          <w:marRight w:val="0"/>
          <w:marTop w:val="0"/>
          <w:marBottom w:val="0"/>
          <w:divBdr>
            <w:top w:val="none" w:sz="0" w:space="0" w:color="auto"/>
            <w:left w:val="none" w:sz="0" w:space="0" w:color="auto"/>
            <w:bottom w:val="none" w:sz="0" w:space="0" w:color="auto"/>
            <w:right w:val="none" w:sz="0" w:space="0" w:color="auto"/>
          </w:divBdr>
        </w:div>
        <w:div w:id="1438328724">
          <w:marLeft w:val="0"/>
          <w:marRight w:val="0"/>
          <w:marTop w:val="0"/>
          <w:marBottom w:val="0"/>
          <w:divBdr>
            <w:top w:val="none" w:sz="0" w:space="0" w:color="auto"/>
            <w:left w:val="none" w:sz="0" w:space="0" w:color="auto"/>
            <w:bottom w:val="none" w:sz="0" w:space="0" w:color="auto"/>
            <w:right w:val="none" w:sz="0" w:space="0" w:color="auto"/>
          </w:divBdr>
        </w:div>
        <w:div w:id="1859348635">
          <w:marLeft w:val="0"/>
          <w:marRight w:val="0"/>
          <w:marTop w:val="0"/>
          <w:marBottom w:val="0"/>
          <w:divBdr>
            <w:top w:val="none" w:sz="0" w:space="0" w:color="auto"/>
            <w:left w:val="none" w:sz="0" w:space="0" w:color="auto"/>
            <w:bottom w:val="none" w:sz="0" w:space="0" w:color="auto"/>
            <w:right w:val="none" w:sz="0" w:space="0" w:color="auto"/>
          </w:divBdr>
        </w:div>
        <w:div w:id="894589206">
          <w:marLeft w:val="0"/>
          <w:marRight w:val="0"/>
          <w:marTop w:val="0"/>
          <w:marBottom w:val="0"/>
          <w:divBdr>
            <w:top w:val="none" w:sz="0" w:space="0" w:color="auto"/>
            <w:left w:val="none" w:sz="0" w:space="0" w:color="auto"/>
            <w:bottom w:val="none" w:sz="0" w:space="0" w:color="auto"/>
            <w:right w:val="none" w:sz="0" w:space="0" w:color="auto"/>
          </w:divBdr>
        </w:div>
        <w:div w:id="1362515814">
          <w:marLeft w:val="0"/>
          <w:marRight w:val="0"/>
          <w:marTop w:val="0"/>
          <w:marBottom w:val="0"/>
          <w:divBdr>
            <w:top w:val="none" w:sz="0" w:space="0" w:color="auto"/>
            <w:left w:val="none" w:sz="0" w:space="0" w:color="auto"/>
            <w:bottom w:val="none" w:sz="0" w:space="0" w:color="auto"/>
            <w:right w:val="none" w:sz="0" w:space="0" w:color="auto"/>
          </w:divBdr>
        </w:div>
        <w:div w:id="105272691">
          <w:marLeft w:val="0"/>
          <w:marRight w:val="0"/>
          <w:marTop w:val="0"/>
          <w:marBottom w:val="0"/>
          <w:divBdr>
            <w:top w:val="none" w:sz="0" w:space="0" w:color="auto"/>
            <w:left w:val="none" w:sz="0" w:space="0" w:color="auto"/>
            <w:bottom w:val="none" w:sz="0" w:space="0" w:color="auto"/>
            <w:right w:val="none" w:sz="0" w:space="0" w:color="auto"/>
          </w:divBdr>
        </w:div>
      </w:divsChild>
    </w:div>
    <w:div w:id="813177668">
      <w:bodyDiv w:val="1"/>
      <w:marLeft w:val="0"/>
      <w:marRight w:val="0"/>
      <w:marTop w:val="0"/>
      <w:marBottom w:val="0"/>
      <w:divBdr>
        <w:top w:val="none" w:sz="0" w:space="0" w:color="auto"/>
        <w:left w:val="none" w:sz="0" w:space="0" w:color="auto"/>
        <w:bottom w:val="none" w:sz="0" w:space="0" w:color="auto"/>
        <w:right w:val="none" w:sz="0" w:space="0" w:color="auto"/>
      </w:divBdr>
    </w:div>
    <w:div w:id="1438257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hsconfed.org/publications/report-unlocking-prevention-integrated-care-system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the-hewitt-review-an-independent-review-of-integrated-care-system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136/bmj.p2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2688/openreseurope.18440.1" TargetMode="External"/><Relationship Id="rId5" Type="http://schemas.openxmlformats.org/officeDocument/2006/relationships/webSettings" Target="webSettings.xml"/><Relationship Id="rId15" Type="http://schemas.openxmlformats.org/officeDocument/2006/relationships/hyperlink" Target="https://doi.org/10.1007/s11077-022-09489-9" TargetMode="External"/><Relationship Id="rId10" Type="http://schemas.openxmlformats.org/officeDocument/2006/relationships/hyperlink" Target="https://doi.org/10.12688/openreseurope.18982.1" TargetMode="External"/><Relationship Id="rId4" Type="http://schemas.openxmlformats.org/officeDocument/2006/relationships/settings" Target="settings.xml"/><Relationship Id="rId9" Type="http://schemas.openxmlformats.org/officeDocument/2006/relationships/hyperlink" Target="https://doi.org/10.1111/padm.12949" TargetMode="External"/><Relationship Id="rId14" Type="http://schemas.openxmlformats.org/officeDocument/2006/relationships/hyperlink" Target="https://doi.org/10.1016/j.polsoc.2009.05.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99C935-DD87-425A-9125-E87FCD852AE2}">
  <ds:schemaRefs>
    <ds:schemaRef ds:uri="http://schemas.openxmlformats.org/officeDocument/2006/bibliography"/>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19</Pages>
  <Words>7861</Words>
  <Characters>44339</Characters>
  <Application>Microsoft Office Word</Application>
  <DocSecurity>0</DocSecurity>
  <Lines>726</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Cairney</dc:creator>
  <cp:keywords/>
  <dc:description/>
  <cp:lastModifiedBy>John Boswell</cp:lastModifiedBy>
  <cp:revision>3</cp:revision>
  <dcterms:created xsi:type="dcterms:W3CDTF">2025-10-29T15:16:00Z</dcterms:created>
  <dcterms:modified xsi:type="dcterms:W3CDTF">2025-10-29T15:16:00Z</dcterms:modified>
</cp:coreProperties>
</file>