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811C" w14:textId="3BDB08EA" w:rsidR="00562F86" w:rsidRDefault="00562F86" w:rsidP="007A32A2">
      <w:pPr>
        <w:spacing w:after="120" w:line="240" w:lineRule="auto"/>
        <w:jc w:val="center"/>
        <w:rPr>
          <w:rFonts w:ascii="Times New Roman" w:hAnsi="Times New Roman" w:cs="Times New Roman"/>
          <w:b/>
          <w:bCs/>
        </w:rPr>
      </w:pPr>
      <w:r w:rsidRPr="00562F86">
        <w:rPr>
          <w:rFonts w:ascii="Times New Roman" w:hAnsi="Times New Roman" w:cs="Times New Roman"/>
          <w:b/>
          <w:bCs/>
        </w:rPr>
        <w:t>Editorial:  Indonesian Accounting Research: Integrating Contemporary Perspectives with Social, Economic, and Environmental Imperatives</w:t>
      </w:r>
    </w:p>
    <w:p w14:paraId="604B74D8" w14:textId="77777777" w:rsidR="003B0DA8" w:rsidRDefault="003B0DA8" w:rsidP="003F4096">
      <w:pPr>
        <w:spacing w:before="120" w:after="0" w:line="360" w:lineRule="auto"/>
        <w:ind w:firstLine="284"/>
        <w:jc w:val="both"/>
        <w:rPr>
          <w:rFonts w:ascii="Times New Roman" w:hAnsi="Times New Roman" w:cs="Times New Roman"/>
        </w:rPr>
      </w:pPr>
    </w:p>
    <w:p w14:paraId="40E9AB4C" w14:textId="0C597E35" w:rsidR="00C1771F" w:rsidRPr="00C1771F" w:rsidRDefault="00C1771F" w:rsidP="003F4096">
      <w:pPr>
        <w:spacing w:before="120" w:after="0" w:line="360" w:lineRule="auto"/>
        <w:ind w:firstLine="284"/>
        <w:jc w:val="both"/>
        <w:rPr>
          <w:rFonts w:ascii="Times New Roman" w:hAnsi="Times New Roman" w:cs="Times New Roman"/>
        </w:rPr>
      </w:pPr>
      <w:r w:rsidRPr="00C1771F">
        <w:rPr>
          <w:rFonts w:ascii="Times New Roman" w:hAnsi="Times New Roman" w:cs="Times New Roman"/>
        </w:rPr>
        <w:t xml:space="preserve">Accounting is deeply embedded within the social, economic, and institutional contexts in which it operates. A country’s formal and informal institutions </w:t>
      </w:r>
      <w:r w:rsidR="00D6705C">
        <w:rPr>
          <w:rFonts w:ascii="Times New Roman" w:hAnsi="Times New Roman" w:cs="Times New Roman"/>
        </w:rPr>
        <w:t>have</w:t>
      </w:r>
      <w:r w:rsidR="00D6705C" w:rsidRPr="00C1771F">
        <w:rPr>
          <w:rFonts w:ascii="Times New Roman" w:hAnsi="Times New Roman" w:cs="Times New Roman"/>
        </w:rPr>
        <w:t xml:space="preserve"> </w:t>
      </w:r>
      <w:r w:rsidRPr="00C1771F">
        <w:rPr>
          <w:rFonts w:ascii="Times New Roman" w:hAnsi="Times New Roman" w:cs="Times New Roman"/>
        </w:rPr>
        <w:t xml:space="preserve">a first-order </w:t>
      </w:r>
      <w:r w:rsidR="00D6705C">
        <w:rPr>
          <w:rFonts w:ascii="Times New Roman" w:hAnsi="Times New Roman" w:cs="Times New Roman"/>
        </w:rPr>
        <w:t>effect</w:t>
      </w:r>
      <w:r w:rsidR="00D6705C" w:rsidRPr="00C1771F">
        <w:rPr>
          <w:rFonts w:ascii="Times New Roman" w:hAnsi="Times New Roman" w:cs="Times New Roman"/>
        </w:rPr>
        <w:t xml:space="preserve"> </w:t>
      </w:r>
      <w:r w:rsidRPr="00C1771F">
        <w:rPr>
          <w:rFonts w:ascii="Times New Roman" w:hAnsi="Times New Roman" w:cs="Times New Roman"/>
        </w:rPr>
        <w:t xml:space="preserve">in shaping accounting practices and the development of the accounting profession (Wong, 2016; Wysocki, 2011). </w:t>
      </w:r>
      <w:r w:rsidR="00695385" w:rsidRPr="008553FB">
        <w:rPr>
          <w:rFonts w:ascii="Times New Roman" w:hAnsi="Times New Roman" w:cs="Times New Roman"/>
        </w:rPr>
        <w:t xml:space="preserve">Rapid technological advancement, growing automation, and the emergence of complex business models have transformed how organizations create, manage, and report value (Cao, 2023; </w:t>
      </w:r>
      <w:proofErr w:type="spellStart"/>
      <w:r w:rsidR="00695385" w:rsidRPr="008553FB">
        <w:rPr>
          <w:rFonts w:ascii="Times New Roman" w:hAnsi="Times New Roman" w:cs="Times New Roman"/>
        </w:rPr>
        <w:t>Efferin</w:t>
      </w:r>
      <w:proofErr w:type="spellEnd"/>
      <w:r w:rsidR="00695385" w:rsidRPr="008553FB">
        <w:rPr>
          <w:rFonts w:ascii="Times New Roman" w:hAnsi="Times New Roman" w:cs="Times New Roman"/>
        </w:rPr>
        <w:t xml:space="preserve"> &amp; </w:t>
      </w:r>
      <w:proofErr w:type="spellStart"/>
      <w:r w:rsidR="00695385" w:rsidRPr="008553FB">
        <w:rPr>
          <w:rFonts w:ascii="Times New Roman" w:hAnsi="Times New Roman" w:cs="Times New Roman"/>
        </w:rPr>
        <w:t>Hutomo</w:t>
      </w:r>
      <w:proofErr w:type="spellEnd"/>
      <w:r w:rsidR="00695385" w:rsidRPr="008553FB">
        <w:rPr>
          <w:rFonts w:ascii="Times New Roman" w:hAnsi="Times New Roman" w:cs="Times New Roman"/>
        </w:rPr>
        <w:t xml:space="preserve">, 2021). </w:t>
      </w:r>
      <w:r w:rsidR="00485B04">
        <w:rPr>
          <w:rFonts w:ascii="Times New Roman" w:hAnsi="Times New Roman" w:cs="Times New Roman" w:hint="eastAsia"/>
        </w:rPr>
        <w:t>E</w:t>
      </w:r>
      <w:r w:rsidR="00695385" w:rsidRPr="008553FB">
        <w:rPr>
          <w:rFonts w:ascii="Times New Roman" w:hAnsi="Times New Roman" w:cs="Times New Roman"/>
        </w:rPr>
        <w:t xml:space="preserve">volving financing mechanisms, workforce dynamics, and pressures for sustainable operations have reshaped the purpose of accounting (Hofstede et al., 2011; Inglehart et al., 2014). </w:t>
      </w:r>
      <w:r w:rsidR="00485B04">
        <w:rPr>
          <w:rFonts w:ascii="Times New Roman" w:hAnsi="Times New Roman" w:cs="Times New Roman" w:hint="eastAsia"/>
        </w:rPr>
        <w:t>G</w:t>
      </w:r>
      <w:r w:rsidRPr="00C1771F">
        <w:rPr>
          <w:rFonts w:ascii="Times New Roman" w:hAnsi="Times New Roman" w:cs="Times New Roman"/>
        </w:rPr>
        <w:t>rowing societal expectations for sustainability and ethical responsibility have expanded accounting’s purpose beyond traditional financial reporting, positioning the profession at the intersection of economic, environmental, and social transformation (Cao, 2023).</w:t>
      </w:r>
    </w:p>
    <w:p w14:paraId="5F5D4D03" w14:textId="5438D90A" w:rsidR="00C1771F" w:rsidRDefault="000433EB" w:rsidP="003F4096">
      <w:pPr>
        <w:spacing w:before="120" w:after="0" w:line="360" w:lineRule="auto"/>
        <w:ind w:firstLine="284"/>
        <w:jc w:val="both"/>
        <w:rPr>
          <w:rFonts w:ascii="Times New Roman" w:hAnsi="Times New Roman" w:cs="Times New Roman"/>
        </w:rPr>
      </w:pPr>
      <w:r w:rsidRPr="0021422E">
        <w:rPr>
          <w:rFonts w:ascii="Times New Roman" w:hAnsi="Times New Roman" w:cs="Times New Roman"/>
        </w:rPr>
        <w:t xml:space="preserve">As discussed in </w:t>
      </w:r>
      <w:proofErr w:type="spellStart"/>
      <w:r w:rsidRPr="0021422E">
        <w:rPr>
          <w:rFonts w:ascii="Times New Roman" w:hAnsi="Times New Roman" w:cs="Times New Roman"/>
        </w:rPr>
        <w:t>Kristanto</w:t>
      </w:r>
      <w:proofErr w:type="spellEnd"/>
      <w:r w:rsidRPr="0021422E">
        <w:rPr>
          <w:rFonts w:ascii="Times New Roman" w:hAnsi="Times New Roman" w:cs="Times New Roman"/>
        </w:rPr>
        <w:t xml:space="preserve"> and Cao (2024),</w:t>
      </w:r>
      <w:r>
        <w:rPr>
          <w:rFonts w:ascii="Times New Roman" w:hAnsi="Times New Roman" w:cs="Times New Roman" w:hint="eastAsia"/>
        </w:rPr>
        <w:t xml:space="preserve"> </w:t>
      </w:r>
      <w:r w:rsidR="00C1771F" w:rsidRPr="00C1771F">
        <w:rPr>
          <w:rFonts w:ascii="Times New Roman" w:hAnsi="Times New Roman" w:cs="Times New Roman"/>
        </w:rPr>
        <w:t>Indonesia</w:t>
      </w:r>
      <w:r w:rsidR="00F61040">
        <w:rPr>
          <w:rFonts w:ascii="Times New Roman" w:hAnsi="Times New Roman" w:cs="Times New Roman" w:hint="eastAsia"/>
        </w:rPr>
        <w:t>, as one of the most dynamic emerging economies,</w:t>
      </w:r>
      <w:r w:rsidR="00C1771F" w:rsidRPr="00C1771F">
        <w:rPr>
          <w:rFonts w:ascii="Times New Roman" w:hAnsi="Times New Roman" w:cs="Times New Roman"/>
        </w:rPr>
        <w:t xml:space="preserve"> provides </w:t>
      </w:r>
      <w:r w:rsidR="006D10FC" w:rsidRPr="00C1771F">
        <w:rPr>
          <w:rFonts w:ascii="Times New Roman" w:hAnsi="Times New Roman" w:cs="Times New Roman"/>
        </w:rPr>
        <w:t>a</w:t>
      </w:r>
      <w:r w:rsidR="006D10FC">
        <w:rPr>
          <w:rFonts w:ascii="Times New Roman" w:hAnsi="Times New Roman" w:cs="Times New Roman" w:hint="eastAsia"/>
        </w:rPr>
        <w:t xml:space="preserve"> unique</w:t>
      </w:r>
      <w:r w:rsidR="00C1771F" w:rsidRPr="00C1771F">
        <w:rPr>
          <w:rFonts w:ascii="Times New Roman" w:hAnsi="Times New Roman" w:cs="Times New Roman"/>
        </w:rPr>
        <w:t xml:space="preserve"> context to explore these </w:t>
      </w:r>
      <w:r w:rsidR="00A15E85">
        <w:rPr>
          <w:rFonts w:ascii="Times New Roman" w:hAnsi="Times New Roman" w:cs="Times New Roman" w:hint="eastAsia"/>
        </w:rPr>
        <w:t>transformations</w:t>
      </w:r>
      <w:r w:rsidR="009C2DCF">
        <w:rPr>
          <w:rFonts w:ascii="Times New Roman" w:hAnsi="Times New Roman" w:cs="Times New Roman" w:hint="eastAsia"/>
        </w:rPr>
        <w:t xml:space="preserve"> and </w:t>
      </w:r>
      <w:r w:rsidR="009C2DCF" w:rsidRPr="0021422E">
        <w:rPr>
          <w:rFonts w:ascii="Times New Roman" w:hAnsi="Times New Roman" w:cs="Times New Roman"/>
        </w:rPr>
        <w:t>advanc</w:t>
      </w:r>
      <w:r w:rsidR="009C2DCF">
        <w:rPr>
          <w:rFonts w:ascii="Times New Roman" w:hAnsi="Times New Roman" w:cs="Times New Roman" w:hint="eastAsia"/>
        </w:rPr>
        <w:t>e</w:t>
      </w:r>
      <w:r w:rsidR="009C2DCF" w:rsidRPr="0021422E">
        <w:rPr>
          <w:rFonts w:ascii="Times New Roman" w:hAnsi="Times New Roman" w:cs="Times New Roman"/>
        </w:rPr>
        <w:t xml:space="preserve"> theory and practice in accounting and accountability.</w:t>
      </w:r>
      <w:r w:rsidR="009C2DCF">
        <w:rPr>
          <w:rFonts w:ascii="Times New Roman" w:hAnsi="Times New Roman" w:cs="Times New Roman" w:hint="eastAsia"/>
        </w:rPr>
        <w:t xml:space="preserve"> </w:t>
      </w:r>
      <w:r w:rsidR="00C1771F" w:rsidRPr="00C1771F">
        <w:rPr>
          <w:rFonts w:ascii="Times New Roman" w:hAnsi="Times New Roman" w:cs="Times New Roman"/>
        </w:rPr>
        <w:t>Among the ASEAN-5 countries</w:t>
      </w:r>
      <w:r w:rsidR="00DD2DC9">
        <w:rPr>
          <w:rFonts w:ascii="Times New Roman" w:hAnsi="Times New Roman" w:cs="Times New Roman" w:hint="eastAsia"/>
        </w:rPr>
        <w:t xml:space="preserve"> (</w:t>
      </w:r>
      <w:r w:rsidR="008B1E10">
        <w:rPr>
          <w:rFonts w:ascii="Times New Roman" w:hAnsi="Times New Roman" w:cs="Times New Roman" w:hint="eastAsia"/>
        </w:rPr>
        <w:t xml:space="preserve">i.e., </w:t>
      </w:r>
      <w:r w:rsidR="00E2629B" w:rsidRPr="00E2629B">
        <w:rPr>
          <w:rFonts w:ascii="Times New Roman" w:hAnsi="Times New Roman" w:cs="Times New Roman"/>
        </w:rPr>
        <w:t>Indonesia, Malaysia, Thailand, Singapore, and the Philippines</w:t>
      </w:r>
      <w:r w:rsidR="00DD2DC9">
        <w:rPr>
          <w:rFonts w:ascii="Times New Roman" w:hAnsi="Times New Roman" w:cs="Times New Roman" w:hint="eastAsia"/>
        </w:rPr>
        <w:t>)</w:t>
      </w:r>
      <w:r w:rsidR="00C1771F" w:rsidRPr="00C1771F">
        <w:rPr>
          <w:rFonts w:ascii="Times New Roman" w:hAnsi="Times New Roman" w:cs="Times New Roman"/>
        </w:rPr>
        <w:t xml:space="preserve">, Indonesia has the largest GDP (World Bank, 2022) and </w:t>
      </w:r>
      <w:r w:rsidR="007A0D51">
        <w:rPr>
          <w:rFonts w:ascii="Times New Roman" w:hAnsi="Times New Roman" w:cs="Times New Roman" w:hint="eastAsia"/>
        </w:rPr>
        <w:t>the</w:t>
      </w:r>
      <w:r w:rsidR="00C1771F" w:rsidRPr="00C1771F">
        <w:rPr>
          <w:rFonts w:ascii="Times New Roman" w:hAnsi="Times New Roman" w:cs="Times New Roman"/>
        </w:rPr>
        <w:t xml:space="preserve"> </w:t>
      </w:r>
      <w:r w:rsidR="003C4D65">
        <w:rPr>
          <w:rFonts w:ascii="Times New Roman" w:hAnsi="Times New Roman" w:cs="Times New Roman" w:hint="eastAsia"/>
        </w:rPr>
        <w:t xml:space="preserve">economic </w:t>
      </w:r>
      <w:r w:rsidR="00C1771F" w:rsidRPr="00C1771F">
        <w:rPr>
          <w:rFonts w:ascii="Times New Roman" w:hAnsi="Times New Roman" w:cs="Times New Roman"/>
        </w:rPr>
        <w:t>growth rates surpass</w:t>
      </w:r>
      <w:r w:rsidR="003C4D65">
        <w:rPr>
          <w:rFonts w:ascii="Times New Roman" w:hAnsi="Times New Roman" w:cs="Times New Roman" w:hint="eastAsia"/>
        </w:rPr>
        <w:t xml:space="preserve"> both</w:t>
      </w:r>
      <w:r w:rsidR="00C1771F" w:rsidRPr="00C1771F">
        <w:rPr>
          <w:rFonts w:ascii="Times New Roman" w:hAnsi="Times New Roman" w:cs="Times New Roman"/>
        </w:rPr>
        <w:t xml:space="preserve"> global and regional averages (</w:t>
      </w:r>
      <w:r w:rsidR="003C4D65" w:rsidRPr="00961B56">
        <w:rPr>
          <w:rFonts w:ascii="Times New Roman" w:hAnsi="Times New Roman" w:cs="Times New Roman"/>
        </w:rPr>
        <w:t xml:space="preserve">World Bank, 2022; </w:t>
      </w:r>
      <w:r w:rsidR="00C1771F" w:rsidRPr="00C1771F">
        <w:rPr>
          <w:rFonts w:ascii="Times New Roman" w:hAnsi="Times New Roman" w:cs="Times New Roman"/>
        </w:rPr>
        <w:t xml:space="preserve">International Monetary Fund, 2023). With the world’s fourth-largest population (United Nations, 2023), </w:t>
      </w:r>
      <w:r w:rsidR="0004301C">
        <w:rPr>
          <w:rFonts w:ascii="Times New Roman" w:hAnsi="Times New Roman" w:cs="Times New Roman"/>
        </w:rPr>
        <w:t>Indonesia</w:t>
      </w:r>
      <w:r w:rsidR="00C1771F" w:rsidRPr="00C1771F">
        <w:rPr>
          <w:rFonts w:ascii="Times New Roman" w:hAnsi="Times New Roman" w:cs="Times New Roman"/>
        </w:rPr>
        <w:t xml:space="preserve"> </w:t>
      </w:r>
      <w:r w:rsidR="0004301C">
        <w:rPr>
          <w:rFonts w:ascii="Times New Roman" w:hAnsi="Times New Roman" w:cs="Times New Roman" w:hint="eastAsia"/>
        </w:rPr>
        <w:t>thus has</w:t>
      </w:r>
      <w:r w:rsidR="00C1771F" w:rsidRPr="00C1771F">
        <w:rPr>
          <w:rFonts w:ascii="Times New Roman" w:hAnsi="Times New Roman" w:cs="Times New Roman"/>
        </w:rPr>
        <w:t xml:space="preserve"> significant economic influence. </w:t>
      </w:r>
      <w:r w:rsidR="008B1E10">
        <w:rPr>
          <w:rFonts w:ascii="Times New Roman" w:hAnsi="Times New Roman" w:cs="Times New Roman" w:hint="eastAsia"/>
        </w:rPr>
        <w:t>From an e</w:t>
      </w:r>
      <w:r w:rsidR="00C1771F" w:rsidRPr="00C1771F">
        <w:rPr>
          <w:rFonts w:ascii="Times New Roman" w:hAnsi="Times New Roman" w:cs="Times New Roman"/>
        </w:rPr>
        <w:t>nvironmental</w:t>
      </w:r>
      <w:r w:rsidR="008B1E10">
        <w:rPr>
          <w:rFonts w:ascii="Times New Roman" w:hAnsi="Times New Roman" w:cs="Times New Roman" w:hint="eastAsia"/>
        </w:rPr>
        <w:t xml:space="preserve"> perspective</w:t>
      </w:r>
      <w:r w:rsidR="00C1771F" w:rsidRPr="00C1771F">
        <w:rPr>
          <w:rFonts w:ascii="Times New Roman" w:hAnsi="Times New Roman" w:cs="Times New Roman"/>
        </w:rPr>
        <w:t>, Indonesia plays a critical global role</w:t>
      </w:r>
      <w:r w:rsidR="00F46C73">
        <w:rPr>
          <w:rFonts w:ascii="Times New Roman" w:hAnsi="Times New Roman" w:cs="Times New Roman" w:hint="eastAsia"/>
        </w:rPr>
        <w:t xml:space="preserve"> as it</w:t>
      </w:r>
      <w:r w:rsidR="00C1771F" w:rsidRPr="00C1771F">
        <w:rPr>
          <w:rFonts w:ascii="Times New Roman" w:hAnsi="Times New Roman" w:cs="Times New Roman"/>
        </w:rPr>
        <w:t xml:space="preserve"> host</w:t>
      </w:r>
      <w:r w:rsidR="00F46C73">
        <w:rPr>
          <w:rFonts w:ascii="Times New Roman" w:hAnsi="Times New Roman" w:cs="Times New Roman" w:hint="eastAsia"/>
        </w:rPr>
        <w:t>s</w:t>
      </w:r>
      <w:r w:rsidR="00C1771F" w:rsidRPr="00C1771F">
        <w:rPr>
          <w:rFonts w:ascii="Times New Roman" w:hAnsi="Times New Roman" w:cs="Times New Roman"/>
        </w:rPr>
        <w:t xml:space="preserve"> the third-largest tropical rainforest, extensive peatlands, and mangrove ecosystems that are essential for carbon storage and biodiversity preservation (World Bank, 2022).</w:t>
      </w:r>
    </w:p>
    <w:p w14:paraId="096C8577" w14:textId="72A14B6E" w:rsidR="001F56E4" w:rsidRPr="00C1771F" w:rsidRDefault="00C1771F" w:rsidP="003F4096">
      <w:pPr>
        <w:spacing w:before="120" w:after="0" w:line="360" w:lineRule="auto"/>
        <w:ind w:firstLine="284"/>
        <w:jc w:val="both"/>
        <w:rPr>
          <w:rFonts w:ascii="Times New Roman" w:hAnsi="Times New Roman" w:cs="Times New Roman"/>
        </w:rPr>
      </w:pPr>
      <w:r w:rsidRPr="00C1771F">
        <w:rPr>
          <w:rFonts w:ascii="Times New Roman" w:hAnsi="Times New Roman" w:cs="Times New Roman"/>
        </w:rPr>
        <w:t>These challenges reflect Indonesia’s unique institutional landscape</w:t>
      </w:r>
      <w:r w:rsidR="00C326C9">
        <w:rPr>
          <w:rFonts w:ascii="Times New Roman" w:hAnsi="Times New Roman" w:cs="Times New Roman" w:hint="eastAsia"/>
        </w:rPr>
        <w:t xml:space="preserve"> and distinctive context</w:t>
      </w:r>
      <w:r w:rsidR="0060697B">
        <w:rPr>
          <w:rFonts w:ascii="Times New Roman" w:hAnsi="Times New Roman" w:cs="Times New Roman" w:hint="eastAsia"/>
        </w:rPr>
        <w:t xml:space="preserve">, </w:t>
      </w:r>
      <w:r w:rsidRPr="00C1771F">
        <w:rPr>
          <w:rFonts w:ascii="Times New Roman" w:hAnsi="Times New Roman" w:cs="Times New Roman"/>
        </w:rPr>
        <w:t>where formal institutions</w:t>
      </w:r>
      <w:r w:rsidR="0060697B">
        <w:rPr>
          <w:rFonts w:ascii="Times New Roman" w:hAnsi="Times New Roman" w:cs="Times New Roman" w:hint="eastAsia"/>
        </w:rPr>
        <w:t xml:space="preserve">, such as </w:t>
      </w:r>
      <w:r w:rsidRPr="00C1771F">
        <w:rPr>
          <w:rFonts w:ascii="Times New Roman" w:hAnsi="Times New Roman" w:cs="Times New Roman"/>
        </w:rPr>
        <w:t>corporate governance systems, legal frameworks, and regulatory enforcement</w:t>
      </w:r>
      <w:r w:rsidR="003E6325">
        <w:rPr>
          <w:rFonts w:ascii="Times New Roman" w:hAnsi="Times New Roman" w:cs="Times New Roman" w:hint="eastAsia"/>
        </w:rPr>
        <w:t xml:space="preserve">, </w:t>
      </w:r>
      <w:r w:rsidRPr="00C1771F">
        <w:rPr>
          <w:rFonts w:ascii="Times New Roman" w:hAnsi="Times New Roman" w:cs="Times New Roman"/>
        </w:rPr>
        <w:t xml:space="preserve">interact with informal institutions, including collectivist values, religious norms, and political networks (Hofstede et al., 2011; Inglehart et al., 2014; </w:t>
      </w:r>
      <w:proofErr w:type="spellStart"/>
      <w:r w:rsidRPr="00C1771F">
        <w:rPr>
          <w:rFonts w:ascii="Times New Roman" w:hAnsi="Times New Roman" w:cs="Times New Roman"/>
        </w:rPr>
        <w:t>Efferin</w:t>
      </w:r>
      <w:proofErr w:type="spellEnd"/>
      <w:r w:rsidRPr="00C1771F">
        <w:rPr>
          <w:rFonts w:ascii="Times New Roman" w:hAnsi="Times New Roman" w:cs="Times New Roman"/>
        </w:rPr>
        <w:t xml:space="preserve"> &amp; </w:t>
      </w:r>
      <w:proofErr w:type="spellStart"/>
      <w:r w:rsidRPr="00C1771F">
        <w:rPr>
          <w:rFonts w:ascii="Times New Roman" w:hAnsi="Times New Roman" w:cs="Times New Roman"/>
        </w:rPr>
        <w:t>Hutomo</w:t>
      </w:r>
      <w:proofErr w:type="spellEnd"/>
      <w:r w:rsidRPr="00C1771F">
        <w:rPr>
          <w:rFonts w:ascii="Times New Roman" w:hAnsi="Times New Roman" w:cs="Times New Roman"/>
        </w:rPr>
        <w:t xml:space="preserve">, 2021; Joni et al., 2020). </w:t>
      </w:r>
      <w:r w:rsidR="004D1C83">
        <w:rPr>
          <w:rFonts w:ascii="Times New Roman" w:hAnsi="Times New Roman" w:cs="Times New Roman" w:hint="eastAsia"/>
        </w:rPr>
        <w:t>When the f</w:t>
      </w:r>
      <w:r w:rsidRPr="00C1771F">
        <w:rPr>
          <w:rFonts w:ascii="Times New Roman" w:hAnsi="Times New Roman" w:cs="Times New Roman"/>
        </w:rPr>
        <w:t xml:space="preserve">ormal mechanisms </w:t>
      </w:r>
      <w:r w:rsidR="004D1C83">
        <w:rPr>
          <w:rFonts w:ascii="Times New Roman" w:hAnsi="Times New Roman" w:cs="Times New Roman" w:hint="eastAsia"/>
        </w:rPr>
        <w:t>are</w:t>
      </w:r>
      <w:r w:rsidRPr="00C1771F">
        <w:rPr>
          <w:rFonts w:ascii="Times New Roman" w:hAnsi="Times New Roman" w:cs="Times New Roman"/>
        </w:rPr>
        <w:t xml:space="preserve"> underdeveloped</w:t>
      </w:r>
      <w:r w:rsidR="004D1C83">
        <w:rPr>
          <w:rFonts w:ascii="Times New Roman" w:hAnsi="Times New Roman" w:cs="Times New Roman" w:hint="eastAsia"/>
        </w:rPr>
        <w:t xml:space="preserve"> and </w:t>
      </w:r>
      <w:r w:rsidR="00A757A7">
        <w:rPr>
          <w:rFonts w:ascii="Times New Roman" w:hAnsi="Times New Roman" w:cs="Times New Roman" w:hint="eastAsia"/>
        </w:rPr>
        <w:t>with weak enforcement</w:t>
      </w:r>
      <w:r w:rsidRPr="00C1771F">
        <w:rPr>
          <w:rFonts w:ascii="Times New Roman" w:hAnsi="Times New Roman" w:cs="Times New Roman"/>
        </w:rPr>
        <w:t xml:space="preserve">, informal institutions often </w:t>
      </w:r>
      <w:r w:rsidR="00A757A7">
        <w:rPr>
          <w:rFonts w:ascii="Times New Roman" w:hAnsi="Times New Roman" w:cs="Times New Roman" w:hint="eastAsia"/>
        </w:rPr>
        <w:t>exert stronger influence on</w:t>
      </w:r>
      <w:r w:rsidRPr="00C1771F">
        <w:rPr>
          <w:rFonts w:ascii="Times New Roman" w:hAnsi="Times New Roman" w:cs="Times New Roman"/>
        </w:rPr>
        <w:t xml:space="preserve"> managerial </w:t>
      </w:r>
      <w:proofErr w:type="spellStart"/>
      <w:r w:rsidRPr="00C1771F">
        <w:rPr>
          <w:rFonts w:ascii="Times New Roman" w:hAnsi="Times New Roman" w:cs="Times New Roman"/>
        </w:rPr>
        <w:t>behavior</w:t>
      </w:r>
      <w:proofErr w:type="spellEnd"/>
      <w:r w:rsidRPr="00C1771F">
        <w:rPr>
          <w:rFonts w:ascii="Times New Roman" w:hAnsi="Times New Roman" w:cs="Times New Roman"/>
        </w:rPr>
        <w:t>, accounting practices, and perceptions of accountability (Cao, 2023). Understanding this interplay is critical to interpreting both the evolution of the profession</w:t>
      </w:r>
      <w:r w:rsidR="00E6097B">
        <w:rPr>
          <w:rFonts w:ascii="Times New Roman" w:hAnsi="Times New Roman" w:cs="Times New Roman" w:hint="eastAsia"/>
        </w:rPr>
        <w:t xml:space="preserve">, </w:t>
      </w:r>
      <w:r w:rsidRPr="00C1771F">
        <w:rPr>
          <w:rFonts w:ascii="Times New Roman" w:hAnsi="Times New Roman" w:cs="Times New Roman"/>
        </w:rPr>
        <w:t xml:space="preserve">the effectiveness of </w:t>
      </w:r>
      <w:r w:rsidRPr="00C1771F">
        <w:rPr>
          <w:rFonts w:ascii="Times New Roman" w:hAnsi="Times New Roman" w:cs="Times New Roman"/>
        </w:rPr>
        <w:lastRenderedPageBreak/>
        <w:t>regulatory and sustainability initiatives</w:t>
      </w:r>
      <w:r w:rsidR="00E6097B">
        <w:rPr>
          <w:rFonts w:ascii="Times New Roman" w:hAnsi="Times New Roman" w:cs="Times New Roman" w:hint="eastAsia"/>
        </w:rPr>
        <w:t xml:space="preserve"> and the overall Ind</w:t>
      </w:r>
      <w:r w:rsidR="00504CB5">
        <w:rPr>
          <w:rFonts w:ascii="Times New Roman" w:hAnsi="Times New Roman" w:cs="Times New Roman" w:hint="eastAsia"/>
        </w:rPr>
        <w:t xml:space="preserve">onesian accounting </w:t>
      </w:r>
      <w:r w:rsidR="00504CB5">
        <w:rPr>
          <w:rFonts w:ascii="Times New Roman" w:hAnsi="Times New Roman" w:cs="Times New Roman"/>
        </w:rPr>
        <w:t>landscape</w:t>
      </w:r>
      <w:r w:rsidR="00504CB5">
        <w:rPr>
          <w:rFonts w:ascii="Times New Roman" w:hAnsi="Times New Roman" w:cs="Times New Roman" w:hint="eastAsia"/>
        </w:rPr>
        <w:t xml:space="preserve"> </w:t>
      </w:r>
      <w:r w:rsidR="001F56E4" w:rsidRPr="001F56E4">
        <w:rPr>
          <w:rFonts w:ascii="Times New Roman" w:hAnsi="Times New Roman" w:cs="Times New Roman"/>
        </w:rPr>
        <w:t>(</w:t>
      </w:r>
      <w:proofErr w:type="spellStart"/>
      <w:r w:rsidR="001F56E4" w:rsidRPr="001F56E4">
        <w:rPr>
          <w:rFonts w:ascii="Times New Roman" w:hAnsi="Times New Roman" w:cs="Times New Roman"/>
        </w:rPr>
        <w:t>Kristanto</w:t>
      </w:r>
      <w:proofErr w:type="spellEnd"/>
      <w:r w:rsidR="001F56E4" w:rsidRPr="001F56E4">
        <w:rPr>
          <w:rFonts w:ascii="Times New Roman" w:hAnsi="Times New Roman" w:cs="Times New Roman"/>
        </w:rPr>
        <w:t xml:space="preserve"> &amp; Cao, 2024).</w:t>
      </w:r>
    </w:p>
    <w:p w14:paraId="0D5F250D" w14:textId="040B2A92" w:rsidR="00B67A20" w:rsidRDefault="007A23D4" w:rsidP="003F4096">
      <w:pPr>
        <w:spacing w:before="120" w:after="0" w:line="360" w:lineRule="auto"/>
        <w:ind w:firstLine="284"/>
        <w:jc w:val="both"/>
        <w:rPr>
          <w:rFonts w:ascii="Times New Roman" w:hAnsi="Times New Roman" w:cs="Times New Roman"/>
        </w:rPr>
      </w:pPr>
      <w:r>
        <w:rPr>
          <w:rFonts w:ascii="Times New Roman" w:hAnsi="Times New Roman" w:cs="Times New Roman" w:hint="eastAsia"/>
        </w:rPr>
        <w:t>Existing literature (</w:t>
      </w:r>
      <w:r w:rsidR="00B67A20">
        <w:rPr>
          <w:rFonts w:ascii="Times New Roman" w:hAnsi="Times New Roman" w:cs="Times New Roman" w:hint="eastAsia"/>
        </w:rPr>
        <w:t xml:space="preserve">e.g., </w:t>
      </w:r>
      <w:proofErr w:type="spellStart"/>
      <w:r w:rsidR="00B67A20">
        <w:rPr>
          <w:rFonts w:ascii="Times New Roman" w:hAnsi="Times New Roman" w:cs="Times New Roman" w:hint="eastAsia"/>
        </w:rPr>
        <w:t>Kristanto</w:t>
      </w:r>
      <w:proofErr w:type="spellEnd"/>
      <w:r w:rsidR="00B67A20">
        <w:rPr>
          <w:rFonts w:ascii="Times New Roman" w:hAnsi="Times New Roman" w:cs="Times New Roman" w:hint="eastAsia"/>
        </w:rPr>
        <w:t xml:space="preserve"> </w:t>
      </w:r>
      <w:r w:rsidR="00C556ED" w:rsidRPr="001F56E4">
        <w:rPr>
          <w:rFonts w:ascii="Times New Roman" w:hAnsi="Times New Roman" w:cs="Times New Roman"/>
        </w:rPr>
        <w:t>&amp;</w:t>
      </w:r>
      <w:r w:rsidR="00B67A20">
        <w:rPr>
          <w:rFonts w:ascii="Times New Roman" w:hAnsi="Times New Roman" w:cs="Times New Roman" w:hint="eastAsia"/>
        </w:rPr>
        <w:t xml:space="preserve"> Cao, 2024</w:t>
      </w:r>
      <w:r>
        <w:rPr>
          <w:rFonts w:ascii="Times New Roman" w:hAnsi="Times New Roman" w:cs="Times New Roman" w:hint="eastAsia"/>
        </w:rPr>
        <w:t>)</w:t>
      </w:r>
      <w:r w:rsidR="00C1771F" w:rsidRPr="00C1771F">
        <w:rPr>
          <w:rFonts w:ascii="Times New Roman" w:hAnsi="Times New Roman" w:cs="Times New Roman"/>
        </w:rPr>
        <w:t xml:space="preserve"> map</w:t>
      </w:r>
      <w:r w:rsidR="00B67A20">
        <w:rPr>
          <w:rFonts w:ascii="Times New Roman" w:hAnsi="Times New Roman" w:cs="Times New Roman" w:hint="eastAsia"/>
        </w:rPr>
        <w:t>s</w:t>
      </w:r>
      <w:r w:rsidR="00C1771F" w:rsidRPr="00C1771F">
        <w:rPr>
          <w:rFonts w:ascii="Times New Roman" w:hAnsi="Times New Roman" w:cs="Times New Roman"/>
        </w:rPr>
        <w:t xml:space="preserve"> these institutional complexities</w:t>
      </w:r>
      <w:r w:rsidR="00494BD6">
        <w:rPr>
          <w:rFonts w:ascii="Times New Roman" w:hAnsi="Times New Roman" w:cs="Times New Roman" w:hint="eastAsia"/>
        </w:rPr>
        <w:t xml:space="preserve"> and provide insights into this special </w:t>
      </w:r>
      <w:r w:rsidR="004A6927">
        <w:rPr>
          <w:rFonts w:ascii="Times New Roman" w:hAnsi="Times New Roman" w:cs="Times New Roman" w:hint="eastAsia"/>
        </w:rPr>
        <w:t>context</w:t>
      </w:r>
      <w:r w:rsidR="00C1771F" w:rsidRPr="00C1771F">
        <w:rPr>
          <w:rFonts w:ascii="Times New Roman" w:hAnsi="Times New Roman" w:cs="Times New Roman"/>
        </w:rPr>
        <w:t xml:space="preserve">. </w:t>
      </w:r>
      <w:proofErr w:type="spellStart"/>
      <w:r w:rsidR="00C1771F" w:rsidRPr="00C1771F">
        <w:rPr>
          <w:rFonts w:ascii="Times New Roman" w:hAnsi="Times New Roman" w:cs="Times New Roman"/>
        </w:rPr>
        <w:t>Kristanto</w:t>
      </w:r>
      <w:proofErr w:type="spellEnd"/>
      <w:r w:rsidR="00C1771F" w:rsidRPr="00C1771F">
        <w:rPr>
          <w:rFonts w:ascii="Times New Roman" w:hAnsi="Times New Roman" w:cs="Times New Roman"/>
        </w:rPr>
        <w:t xml:space="preserve"> and Cao (2024) </w:t>
      </w:r>
      <w:r w:rsidR="00B2319F" w:rsidRPr="00B2319F">
        <w:rPr>
          <w:rFonts w:ascii="Times New Roman" w:hAnsi="Times New Roman" w:cs="Times New Roman"/>
        </w:rPr>
        <w:t xml:space="preserve">synthesize two decades of research and identifies themes such as the influence of political connections, two-tier board structures, weak professional infrastructures, and pervasive cultural and religious norms. </w:t>
      </w:r>
      <w:r w:rsidR="000A196F">
        <w:rPr>
          <w:rFonts w:ascii="Times New Roman" w:hAnsi="Times New Roman" w:cs="Times New Roman" w:hint="eastAsia"/>
        </w:rPr>
        <w:t>This research also advances</w:t>
      </w:r>
      <w:r w:rsidR="000A196F" w:rsidRPr="00C1771F">
        <w:rPr>
          <w:rFonts w:ascii="Times New Roman" w:hAnsi="Times New Roman" w:cs="Times New Roman"/>
        </w:rPr>
        <w:t xml:space="preserve"> understanding how </w:t>
      </w:r>
      <w:r w:rsidR="000A196F">
        <w:rPr>
          <w:rFonts w:ascii="Times New Roman" w:hAnsi="Times New Roman" w:cs="Times New Roman" w:hint="eastAsia"/>
        </w:rPr>
        <w:t xml:space="preserve">formal and informal </w:t>
      </w:r>
      <w:r w:rsidR="000A196F" w:rsidRPr="00C1771F">
        <w:rPr>
          <w:rFonts w:ascii="Times New Roman" w:hAnsi="Times New Roman" w:cs="Times New Roman"/>
        </w:rPr>
        <w:t>institutional mechanisms</w:t>
      </w:r>
      <w:r w:rsidR="000A196F">
        <w:rPr>
          <w:rFonts w:ascii="Times New Roman" w:hAnsi="Times New Roman" w:cs="Times New Roman" w:hint="eastAsia"/>
        </w:rPr>
        <w:t xml:space="preserve"> </w:t>
      </w:r>
      <w:r w:rsidR="000A196F" w:rsidRPr="00C1771F">
        <w:rPr>
          <w:rFonts w:ascii="Times New Roman" w:hAnsi="Times New Roman" w:cs="Times New Roman"/>
        </w:rPr>
        <w:t>can address major social, environmental, and economic challenges through accounting and accountability.</w:t>
      </w:r>
      <w:r w:rsidR="000A196F">
        <w:rPr>
          <w:rFonts w:ascii="Times New Roman" w:hAnsi="Times New Roman" w:cs="Times New Roman" w:hint="eastAsia"/>
        </w:rPr>
        <w:t xml:space="preserve"> </w:t>
      </w:r>
    </w:p>
    <w:p w14:paraId="27481853" w14:textId="7F3F38D3" w:rsidR="00031FD8" w:rsidRDefault="005C4171" w:rsidP="00031FD8">
      <w:pPr>
        <w:spacing w:before="120" w:after="0" w:line="360" w:lineRule="auto"/>
        <w:ind w:firstLine="284"/>
        <w:jc w:val="both"/>
        <w:rPr>
          <w:rFonts w:ascii="Times New Roman" w:hAnsi="Times New Roman" w:cs="Times New Roman"/>
        </w:rPr>
      </w:pPr>
      <w:r w:rsidRPr="005C4171">
        <w:rPr>
          <w:rFonts w:ascii="Times New Roman" w:hAnsi="Times New Roman" w:cs="Times New Roman"/>
        </w:rPr>
        <w:t>Building on these insights, this special issue highlights several key themes and research directions that reflect the evolving accounting landscape in Indonesia</w:t>
      </w:r>
      <w:r w:rsidR="00A933ED">
        <w:rPr>
          <w:rFonts w:ascii="Times New Roman" w:hAnsi="Times New Roman" w:cs="Times New Roman" w:hint="eastAsia"/>
        </w:rPr>
        <w:t xml:space="preserve">, including (1) </w:t>
      </w:r>
      <w:r w:rsidRPr="005C4171">
        <w:rPr>
          <w:rFonts w:ascii="Times New Roman" w:hAnsi="Times New Roman" w:cs="Times New Roman"/>
        </w:rPr>
        <w:t>Formal institutional factors influencing accounting research and practices, including corporate governance structures, legal frameworks, auditing standards, and regulatory compliance</w:t>
      </w:r>
      <w:r w:rsidR="009A0CF4">
        <w:rPr>
          <w:rFonts w:ascii="Times New Roman" w:hAnsi="Times New Roman" w:cs="Times New Roman" w:hint="eastAsia"/>
        </w:rPr>
        <w:t xml:space="preserve">; (2) </w:t>
      </w:r>
      <w:r w:rsidRPr="005C4171">
        <w:rPr>
          <w:rFonts w:ascii="Times New Roman" w:hAnsi="Times New Roman" w:cs="Times New Roman"/>
        </w:rPr>
        <w:t xml:space="preserve">Informal institutional factors, </w:t>
      </w:r>
      <w:r w:rsidR="00BC6924">
        <w:rPr>
          <w:rFonts w:ascii="Times New Roman" w:hAnsi="Times New Roman" w:cs="Times New Roman" w:hint="eastAsia"/>
        </w:rPr>
        <w:t>including</w:t>
      </w:r>
      <w:r w:rsidRPr="005C4171">
        <w:rPr>
          <w:rFonts w:ascii="Times New Roman" w:hAnsi="Times New Roman" w:cs="Times New Roman"/>
        </w:rPr>
        <w:t xml:space="preserve"> cultural norms, religious values, social expectations, and political networks, which shape ethical decision-making, reporting </w:t>
      </w:r>
      <w:proofErr w:type="spellStart"/>
      <w:r w:rsidRPr="005C4171">
        <w:rPr>
          <w:rFonts w:ascii="Times New Roman" w:hAnsi="Times New Roman" w:cs="Times New Roman"/>
        </w:rPr>
        <w:t>behaviors</w:t>
      </w:r>
      <w:proofErr w:type="spellEnd"/>
      <w:r w:rsidRPr="005C4171">
        <w:rPr>
          <w:rFonts w:ascii="Times New Roman" w:hAnsi="Times New Roman" w:cs="Times New Roman"/>
        </w:rPr>
        <w:t>, and accountability</w:t>
      </w:r>
      <w:r w:rsidR="009A0CF4">
        <w:rPr>
          <w:rFonts w:ascii="Times New Roman" w:hAnsi="Times New Roman" w:cs="Times New Roman" w:hint="eastAsia"/>
        </w:rPr>
        <w:t xml:space="preserve">; (3) </w:t>
      </w:r>
      <w:r w:rsidRPr="005C4171">
        <w:rPr>
          <w:rFonts w:ascii="Times New Roman" w:hAnsi="Times New Roman" w:cs="Times New Roman"/>
        </w:rPr>
        <w:t>Evolving and adapting accounting professions, focusing on digital transformation, technological advancements, green innovation, and the skills and competencies required for future accounting professionals</w:t>
      </w:r>
      <w:r w:rsidR="009A0CF4">
        <w:rPr>
          <w:rFonts w:ascii="Times New Roman" w:hAnsi="Times New Roman" w:cs="Times New Roman" w:hint="eastAsia"/>
        </w:rPr>
        <w:t xml:space="preserve">; (4) </w:t>
      </w:r>
      <w:r w:rsidRPr="005C4171">
        <w:rPr>
          <w:rFonts w:ascii="Times New Roman" w:hAnsi="Times New Roman" w:cs="Times New Roman"/>
        </w:rPr>
        <w:t>Accounting’s role in addressing societal, environmental, and economic challenges, including gender equality, climate action, pollution mitigation, poverty alleviation, and inclusive economic growth</w:t>
      </w:r>
      <w:r w:rsidR="009A0CF4">
        <w:rPr>
          <w:rFonts w:ascii="Times New Roman" w:hAnsi="Times New Roman" w:cs="Times New Roman" w:hint="eastAsia"/>
        </w:rPr>
        <w:t>; and (5)</w:t>
      </w:r>
      <w:r w:rsidR="00031FD8">
        <w:rPr>
          <w:rFonts w:ascii="Times New Roman" w:hAnsi="Times New Roman" w:cs="Times New Roman" w:hint="eastAsia"/>
        </w:rPr>
        <w:t xml:space="preserve"> </w:t>
      </w:r>
      <w:r w:rsidRPr="005C4171">
        <w:rPr>
          <w:rFonts w:ascii="Times New Roman" w:hAnsi="Times New Roman" w:cs="Times New Roman"/>
        </w:rPr>
        <w:t>Challenges in accounting education and professional development, emphasizing sustainability integration, interdisciplinary learning, and preparing professionals for emerging societal and environmental challenges.</w:t>
      </w:r>
    </w:p>
    <w:p w14:paraId="6DFC17F3" w14:textId="2AC52BE2" w:rsidR="002A64BE" w:rsidRDefault="0043777B" w:rsidP="00031FD8">
      <w:pPr>
        <w:spacing w:before="120" w:after="0" w:line="360" w:lineRule="auto"/>
        <w:ind w:firstLine="284"/>
        <w:jc w:val="both"/>
        <w:rPr>
          <w:rFonts w:ascii="Times New Roman" w:hAnsi="Times New Roman" w:cs="Times New Roman"/>
        </w:rPr>
      </w:pPr>
      <w:r w:rsidRPr="001F05B5">
        <w:rPr>
          <w:rFonts w:ascii="Times New Roman" w:hAnsi="Times New Roman" w:cs="Times New Roman"/>
        </w:rPr>
        <w:t xml:space="preserve">This special issue reinforces </w:t>
      </w:r>
      <w:r w:rsidRPr="001F05B5">
        <w:rPr>
          <w:rFonts w:ascii="Times New Roman" w:hAnsi="Times New Roman" w:cs="Times New Roman"/>
          <w:i/>
          <w:iCs/>
        </w:rPr>
        <w:t>Pacific Accounting Review</w:t>
      </w:r>
      <w:r w:rsidRPr="001F05B5">
        <w:rPr>
          <w:rFonts w:ascii="Times New Roman" w:hAnsi="Times New Roman" w:cs="Times New Roman"/>
        </w:rPr>
        <w:t>’s commitment to serving as a leading outlet for high-quality research from Indonesia and the broader ASEAN region.</w:t>
      </w:r>
      <w:r>
        <w:rPr>
          <w:rFonts w:ascii="Times New Roman" w:hAnsi="Times New Roman" w:cs="Times New Roman" w:hint="eastAsia"/>
        </w:rPr>
        <w:t xml:space="preserve"> </w:t>
      </w:r>
      <w:r w:rsidR="002A64BE" w:rsidRPr="002A64BE">
        <w:rPr>
          <w:rFonts w:ascii="Times New Roman" w:hAnsi="Times New Roman" w:cs="Times New Roman"/>
        </w:rPr>
        <w:t>These themes collectively demonstrate how accounting research and practices in Indonesia are shaped by the interplay between formal and informal institutions, governance structures, sustainability pressures, and education. They provide a foundation for interpreting the contributions of the eight papers included in this special issue, which advance both theory and practice in a dynamic emerging economy.</w:t>
      </w:r>
    </w:p>
    <w:p w14:paraId="7D8F28BD" w14:textId="1FC2B274" w:rsidR="00C1771F" w:rsidRDefault="00655A98" w:rsidP="003F4096">
      <w:pPr>
        <w:spacing w:before="120" w:after="0" w:line="360" w:lineRule="auto"/>
        <w:ind w:firstLine="284"/>
        <w:jc w:val="both"/>
        <w:rPr>
          <w:rFonts w:ascii="Times New Roman" w:hAnsi="Times New Roman" w:cs="Times New Roman"/>
        </w:rPr>
      </w:pPr>
      <w:r>
        <w:rPr>
          <w:rFonts w:ascii="Times New Roman" w:hAnsi="Times New Roman" w:cs="Times New Roman"/>
        </w:rPr>
        <w:t>The</w:t>
      </w:r>
      <w:r>
        <w:rPr>
          <w:rFonts w:ascii="Times New Roman" w:hAnsi="Times New Roman" w:cs="Times New Roman" w:hint="eastAsia"/>
        </w:rPr>
        <w:t xml:space="preserve"> first paper by </w:t>
      </w:r>
      <w:proofErr w:type="spellStart"/>
      <w:r w:rsidR="00C1771F" w:rsidRPr="00C1771F">
        <w:rPr>
          <w:rFonts w:ascii="Times New Roman" w:hAnsi="Times New Roman" w:cs="Times New Roman"/>
        </w:rPr>
        <w:t>Restuti</w:t>
      </w:r>
      <w:proofErr w:type="spellEnd"/>
      <w:r w:rsidR="00C1771F" w:rsidRPr="00C1771F">
        <w:rPr>
          <w:rFonts w:ascii="Times New Roman" w:hAnsi="Times New Roman" w:cs="Times New Roman"/>
        </w:rPr>
        <w:t xml:space="preserve"> et al. (2025) in “</w:t>
      </w:r>
      <w:r w:rsidR="00C1771F" w:rsidRPr="00C1771F">
        <w:rPr>
          <w:rFonts w:ascii="Times New Roman" w:hAnsi="Times New Roman" w:cs="Times New Roman"/>
          <w:i/>
          <w:iCs/>
        </w:rPr>
        <w:t>Political connections, election years and cost stickiness: Evidence from Indonesia</w:t>
      </w:r>
      <w:r w:rsidR="00C1771F" w:rsidRPr="00C1771F">
        <w:rPr>
          <w:rFonts w:ascii="Times New Roman" w:hAnsi="Times New Roman" w:cs="Times New Roman"/>
        </w:rPr>
        <w:t xml:space="preserve">” </w:t>
      </w:r>
      <w:r w:rsidR="00422C9A">
        <w:rPr>
          <w:rFonts w:ascii="Times New Roman" w:hAnsi="Times New Roman" w:cs="Times New Roman"/>
        </w:rPr>
        <w:t>investigate</w:t>
      </w:r>
      <w:r>
        <w:rPr>
          <w:rFonts w:ascii="Times New Roman" w:hAnsi="Times New Roman" w:cs="Times New Roman" w:hint="eastAsia"/>
        </w:rPr>
        <w:t>s</w:t>
      </w:r>
      <w:r w:rsidR="00C1771F" w:rsidRPr="00C1771F">
        <w:rPr>
          <w:rFonts w:ascii="Times New Roman" w:hAnsi="Times New Roman" w:cs="Times New Roman"/>
        </w:rPr>
        <w:t xml:space="preserve"> how political connections </w:t>
      </w:r>
      <w:r w:rsidR="00E43EAE">
        <w:rPr>
          <w:rFonts w:ascii="Times New Roman" w:hAnsi="Times New Roman" w:cs="Times New Roman" w:hint="eastAsia"/>
        </w:rPr>
        <w:t xml:space="preserve">and </w:t>
      </w:r>
      <w:r w:rsidR="004308BA" w:rsidRPr="00CF4F0B">
        <w:rPr>
          <w:rFonts w:ascii="Times New Roman" w:hAnsi="Times New Roman" w:cs="Times New Roman"/>
        </w:rPr>
        <w:t xml:space="preserve">election-year </w:t>
      </w:r>
      <w:r w:rsidR="004308BA" w:rsidRPr="00CF4F0B">
        <w:rPr>
          <w:rFonts w:ascii="Times New Roman" w:hAnsi="Times New Roman" w:cs="Times New Roman"/>
        </w:rPr>
        <w:lastRenderedPageBreak/>
        <w:t>effects on management accounting practices</w:t>
      </w:r>
      <w:r w:rsidR="004308BA">
        <w:rPr>
          <w:rFonts w:ascii="Times New Roman" w:hAnsi="Times New Roman" w:cs="Times New Roman" w:hint="eastAsia"/>
        </w:rPr>
        <w:t xml:space="preserve">. </w:t>
      </w:r>
      <w:r w:rsidR="00D6705C">
        <w:rPr>
          <w:rFonts w:ascii="Times New Roman" w:hAnsi="Times New Roman" w:cs="Times New Roman"/>
        </w:rPr>
        <w:t>It</w:t>
      </w:r>
      <w:r w:rsidR="00CB1B8F">
        <w:rPr>
          <w:rFonts w:ascii="Times New Roman" w:hAnsi="Times New Roman" w:cs="Times New Roman" w:hint="eastAsia"/>
        </w:rPr>
        <w:t xml:space="preserve"> shows that </w:t>
      </w:r>
      <w:r w:rsidR="00CB1B8F" w:rsidRPr="00C1771F">
        <w:rPr>
          <w:rFonts w:ascii="Times New Roman" w:hAnsi="Times New Roman" w:cs="Times New Roman"/>
        </w:rPr>
        <w:t xml:space="preserve">political connections </w:t>
      </w:r>
      <w:r w:rsidR="00C1771F" w:rsidRPr="00C1771F">
        <w:rPr>
          <w:rFonts w:ascii="Times New Roman" w:hAnsi="Times New Roman" w:cs="Times New Roman"/>
        </w:rPr>
        <w:t>increase cost stickiness by influencing managerial resource allocation</w:t>
      </w:r>
      <w:r w:rsidR="00D91D17">
        <w:rPr>
          <w:rFonts w:ascii="Times New Roman" w:hAnsi="Times New Roman" w:cs="Times New Roman" w:hint="eastAsia"/>
        </w:rPr>
        <w:t>.</w:t>
      </w:r>
      <w:r w:rsidR="00C1771F" w:rsidRPr="00C1771F">
        <w:rPr>
          <w:rFonts w:ascii="Times New Roman" w:hAnsi="Times New Roman" w:cs="Times New Roman"/>
        </w:rPr>
        <w:t xml:space="preserve"> </w:t>
      </w:r>
      <w:r w:rsidR="00D91D17">
        <w:rPr>
          <w:rFonts w:ascii="Times New Roman" w:hAnsi="Times New Roman" w:cs="Times New Roman" w:hint="eastAsia"/>
        </w:rPr>
        <w:t>E</w:t>
      </w:r>
      <w:r w:rsidR="00C1771F" w:rsidRPr="00C1771F">
        <w:rPr>
          <w:rFonts w:ascii="Times New Roman" w:hAnsi="Times New Roman" w:cs="Times New Roman"/>
        </w:rPr>
        <w:t xml:space="preserve">lection years create uncertainty that prompts firms to release resources and reduce committed costs. This study </w:t>
      </w:r>
      <w:r w:rsidR="002749A8">
        <w:rPr>
          <w:rFonts w:ascii="Times New Roman" w:hAnsi="Times New Roman" w:cs="Times New Roman" w:hint="eastAsia"/>
        </w:rPr>
        <w:t>provides insights in</w:t>
      </w:r>
      <w:r w:rsidR="00C1771F" w:rsidRPr="00C1771F">
        <w:rPr>
          <w:rFonts w:ascii="Times New Roman" w:hAnsi="Times New Roman" w:cs="Times New Roman"/>
        </w:rPr>
        <w:t xml:space="preserve"> </w:t>
      </w:r>
      <w:r w:rsidR="002749A8">
        <w:rPr>
          <w:rFonts w:ascii="Times New Roman" w:hAnsi="Times New Roman" w:cs="Times New Roman" w:hint="eastAsia"/>
        </w:rPr>
        <w:t>the influence of</w:t>
      </w:r>
      <w:r w:rsidR="00C1771F" w:rsidRPr="00C1771F">
        <w:rPr>
          <w:rFonts w:ascii="Times New Roman" w:hAnsi="Times New Roman" w:cs="Times New Roman"/>
        </w:rPr>
        <w:t xml:space="preserve"> political institutions and informal networks directly shape managerial accounting decisions </w:t>
      </w:r>
      <w:r w:rsidR="004B04EF">
        <w:rPr>
          <w:rFonts w:ascii="Times New Roman" w:hAnsi="Times New Roman" w:cs="Times New Roman" w:hint="eastAsia"/>
        </w:rPr>
        <w:t xml:space="preserve">such as </w:t>
      </w:r>
      <w:r w:rsidR="004B04EF">
        <w:rPr>
          <w:rFonts w:ascii="Times New Roman" w:hAnsi="Times New Roman" w:cs="Times New Roman"/>
        </w:rPr>
        <w:t>resource</w:t>
      </w:r>
      <w:r w:rsidR="004B04EF">
        <w:rPr>
          <w:rFonts w:ascii="Times New Roman" w:hAnsi="Times New Roman" w:cs="Times New Roman" w:hint="eastAsia"/>
        </w:rPr>
        <w:t xml:space="preserve"> allocation</w:t>
      </w:r>
      <w:r w:rsidR="00C1771F" w:rsidRPr="00C1771F">
        <w:rPr>
          <w:rFonts w:ascii="Times New Roman" w:hAnsi="Times New Roman" w:cs="Times New Roman"/>
        </w:rPr>
        <w:t>.</w:t>
      </w:r>
    </w:p>
    <w:p w14:paraId="781ADFA8" w14:textId="53AE71EB" w:rsidR="00C1771F" w:rsidRDefault="00655A98" w:rsidP="003F4096">
      <w:pPr>
        <w:spacing w:before="120" w:after="0" w:line="360" w:lineRule="auto"/>
        <w:ind w:firstLine="284"/>
        <w:jc w:val="both"/>
        <w:rPr>
          <w:rFonts w:ascii="Times New Roman" w:hAnsi="Times New Roman" w:cs="Times New Roman"/>
        </w:rPr>
      </w:pPr>
      <w:r>
        <w:rPr>
          <w:rFonts w:ascii="Times New Roman" w:hAnsi="Times New Roman" w:cs="Times New Roman"/>
        </w:rPr>
        <w:t>The</w:t>
      </w:r>
      <w:r>
        <w:rPr>
          <w:rFonts w:ascii="Times New Roman" w:hAnsi="Times New Roman" w:cs="Times New Roman" w:hint="eastAsia"/>
        </w:rPr>
        <w:t xml:space="preserve"> second paper by </w:t>
      </w:r>
      <w:r w:rsidR="00C1771F" w:rsidRPr="00C1771F">
        <w:rPr>
          <w:rFonts w:ascii="Times New Roman" w:hAnsi="Times New Roman" w:cs="Times New Roman"/>
        </w:rPr>
        <w:t>Ningsih et al. (2025) in “</w:t>
      </w:r>
      <w:r w:rsidR="00C1771F" w:rsidRPr="00C1771F">
        <w:rPr>
          <w:rFonts w:ascii="Times New Roman" w:hAnsi="Times New Roman" w:cs="Times New Roman"/>
          <w:i/>
          <w:iCs/>
        </w:rPr>
        <w:t>CEO auditor background and cost of debt: An empirical study</w:t>
      </w:r>
      <w:r w:rsidR="00C1771F" w:rsidRPr="00C1771F">
        <w:rPr>
          <w:rFonts w:ascii="Times New Roman" w:hAnsi="Times New Roman" w:cs="Times New Roman"/>
        </w:rPr>
        <w:t xml:space="preserve">” </w:t>
      </w:r>
      <w:r w:rsidR="00B454B8">
        <w:rPr>
          <w:rFonts w:ascii="Times New Roman" w:hAnsi="Times New Roman" w:cs="Times New Roman" w:hint="eastAsia"/>
        </w:rPr>
        <w:t>examines</w:t>
      </w:r>
      <w:r w:rsidR="00B31154">
        <w:rPr>
          <w:rFonts w:ascii="Times New Roman" w:hAnsi="Times New Roman" w:cs="Times New Roman" w:hint="eastAsia"/>
        </w:rPr>
        <w:t xml:space="preserve"> how</w:t>
      </w:r>
      <w:r w:rsidR="00C1771F" w:rsidRPr="00C1771F">
        <w:rPr>
          <w:rFonts w:ascii="Times New Roman" w:hAnsi="Times New Roman" w:cs="Times New Roman"/>
        </w:rPr>
        <w:t xml:space="preserve"> CEOs’ professional backgrounds </w:t>
      </w:r>
      <w:r w:rsidR="00B31154">
        <w:rPr>
          <w:rFonts w:ascii="Times New Roman" w:hAnsi="Times New Roman" w:cs="Times New Roman" w:hint="eastAsia"/>
        </w:rPr>
        <w:t>influence</w:t>
      </w:r>
      <w:r w:rsidR="00C1771F" w:rsidRPr="00C1771F">
        <w:rPr>
          <w:rFonts w:ascii="Times New Roman" w:hAnsi="Times New Roman" w:cs="Times New Roman"/>
        </w:rPr>
        <w:t xml:space="preserve"> financi</w:t>
      </w:r>
      <w:r w:rsidR="00B31154">
        <w:rPr>
          <w:rFonts w:ascii="Times New Roman" w:hAnsi="Times New Roman" w:cs="Times New Roman" w:hint="eastAsia"/>
        </w:rPr>
        <w:t>al accounting outcomes</w:t>
      </w:r>
      <w:r w:rsidR="00C1771F" w:rsidRPr="00C1771F">
        <w:rPr>
          <w:rFonts w:ascii="Times New Roman" w:hAnsi="Times New Roman" w:cs="Times New Roman"/>
        </w:rPr>
        <w:t xml:space="preserve">. Their findings </w:t>
      </w:r>
      <w:r w:rsidR="00B31154">
        <w:rPr>
          <w:rFonts w:ascii="Times New Roman" w:hAnsi="Times New Roman" w:cs="Times New Roman" w:hint="eastAsia"/>
        </w:rPr>
        <w:t>show</w:t>
      </w:r>
      <w:r w:rsidR="00C1771F" w:rsidRPr="00C1771F">
        <w:rPr>
          <w:rFonts w:ascii="Times New Roman" w:hAnsi="Times New Roman" w:cs="Times New Roman"/>
        </w:rPr>
        <w:t xml:space="preserve"> that ex-auditor CEOs, particularly those from Big Four and Big Ten firms, are associated with lower costs of debt</w:t>
      </w:r>
      <w:r w:rsidR="001308D3">
        <w:rPr>
          <w:rFonts w:ascii="Times New Roman" w:hAnsi="Times New Roman" w:cs="Times New Roman" w:hint="eastAsia"/>
        </w:rPr>
        <w:t xml:space="preserve">. </w:t>
      </w:r>
      <w:r w:rsidR="00C1771F" w:rsidRPr="00C1771F">
        <w:rPr>
          <w:rFonts w:ascii="Times New Roman" w:hAnsi="Times New Roman" w:cs="Times New Roman"/>
        </w:rPr>
        <w:t xml:space="preserve">This study highlights how </w:t>
      </w:r>
      <w:r w:rsidR="00230474" w:rsidRPr="002169D2">
        <w:rPr>
          <w:rFonts w:ascii="Times New Roman" w:hAnsi="Times New Roman" w:cs="Times New Roman"/>
        </w:rPr>
        <w:t>professional experience</w:t>
      </w:r>
      <w:r w:rsidR="00C1771F" w:rsidRPr="00C1771F">
        <w:rPr>
          <w:rFonts w:ascii="Times New Roman" w:hAnsi="Times New Roman" w:cs="Times New Roman"/>
        </w:rPr>
        <w:t xml:space="preserve"> interacts with institutional and governance mechanisms to </w:t>
      </w:r>
      <w:r w:rsidR="00A75E5C">
        <w:rPr>
          <w:rFonts w:ascii="Times New Roman" w:hAnsi="Times New Roman" w:cs="Times New Roman" w:hint="eastAsia"/>
        </w:rPr>
        <w:t xml:space="preserve">shape transparency and </w:t>
      </w:r>
      <w:r w:rsidR="007B3671">
        <w:rPr>
          <w:rFonts w:ascii="Times New Roman" w:hAnsi="Times New Roman" w:cs="Times New Roman" w:hint="eastAsia"/>
        </w:rPr>
        <w:t>credibility of accounting practices and the outcomes</w:t>
      </w:r>
      <w:r w:rsidR="00C1771F" w:rsidRPr="00C1771F">
        <w:rPr>
          <w:rFonts w:ascii="Times New Roman" w:hAnsi="Times New Roman" w:cs="Times New Roman"/>
        </w:rPr>
        <w:t>.</w:t>
      </w:r>
    </w:p>
    <w:p w14:paraId="1786762C" w14:textId="6A42B97D" w:rsidR="00BB7659" w:rsidRPr="00C1771F" w:rsidRDefault="005B7FA1" w:rsidP="003F4096">
      <w:pPr>
        <w:spacing w:before="120" w:after="0" w:line="360" w:lineRule="auto"/>
        <w:ind w:firstLine="284"/>
        <w:jc w:val="both"/>
        <w:rPr>
          <w:rFonts w:ascii="Times New Roman" w:hAnsi="Times New Roman" w:cs="Times New Roman"/>
        </w:rPr>
      </w:pPr>
      <w:r w:rsidRPr="005B7FA1">
        <w:rPr>
          <w:rFonts w:ascii="Times New Roman" w:hAnsi="Times New Roman" w:cs="Times New Roman"/>
        </w:rPr>
        <w:t xml:space="preserve">The third and fourth papers focus on sustainability and environmental performance. </w:t>
      </w:r>
      <w:proofErr w:type="spellStart"/>
      <w:r w:rsidR="00BB7659" w:rsidRPr="00C1771F">
        <w:rPr>
          <w:rFonts w:ascii="Times New Roman" w:hAnsi="Times New Roman" w:cs="Times New Roman"/>
        </w:rPr>
        <w:t>Suhardjo</w:t>
      </w:r>
      <w:proofErr w:type="spellEnd"/>
      <w:r w:rsidR="00BB7659" w:rsidRPr="00C1771F">
        <w:rPr>
          <w:rFonts w:ascii="Times New Roman" w:hAnsi="Times New Roman" w:cs="Times New Roman"/>
        </w:rPr>
        <w:t xml:space="preserve"> et al. (2025) in “</w:t>
      </w:r>
      <w:r w:rsidR="00BB7659" w:rsidRPr="00C1771F">
        <w:rPr>
          <w:rFonts w:ascii="Times New Roman" w:hAnsi="Times New Roman" w:cs="Times New Roman"/>
          <w:i/>
          <w:iCs/>
        </w:rPr>
        <w:t>Sustainability performance and reporting in Indonesian listed companies</w:t>
      </w:r>
      <w:r w:rsidR="00BB7659" w:rsidRPr="00C1771F">
        <w:rPr>
          <w:rFonts w:ascii="Times New Roman" w:hAnsi="Times New Roman" w:cs="Times New Roman"/>
        </w:rPr>
        <w:t>” adopt a qualitative approach to examine how mandatory sustainability reporting interacts with institutional pressures. They find that regulatory mandates often lead to symbolic compliance, with material sustainability issues addressed primarily in environmentally sensitive sectors. The study highlights the challenges of translating reporting requirements into substantive environmental performance in high-corruption contexts.</w:t>
      </w:r>
    </w:p>
    <w:p w14:paraId="64ADC358" w14:textId="2E522E39" w:rsidR="00E20E39" w:rsidRPr="00C1771F" w:rsidRDefault="00E20E39" w:rsidP="003F4096">
      <w:pPr>
        <w:spacing w:before="120" w:after="0" w:line="360" w:lineRule="auto"/>
        <w:ind w:firstLine="284"/>
        <w:jc w:val="both"/>
        <w:rPr>
          <w:rFonts w:ascii="Times New Roman" w:hAnsi="Times New Roman" w:cs="Times New Roman"/>
        </w:rPr>
      </w:pPr>
      <w:proofErr w:type="spellStart"/>
      <w:r w:rsidRPr="00C1771F">
        <w:rPr>
          <w:rFonts w:ascii="Times New Roman" w:hAnsi="Times New Roman" w:cs="Times New Roman"/>
        </w:rPr>
        <w:t>Purwoaji</w:t>
      </w:r>
      <w:proofErr w:type="spellEnd"/>
      <w:r w:rsidRPr="00C1771F">
        <w:rPr>
          <w:rFonts w:ascii="Times New Roman" w:hAnsi="Times New Roman" w:cs="Times New Roman"/>
        </w:rPr>
        <w:t xml:space="preserve"> et al. (2025) in “</w:t>
      </w:r>
      <w:r w:rsidRPr="00C1771F">
        <w:rPr>
          <w:rFonts w:ascii="Times New Roman" w:hAnsi="Times New Roman" w:cs="Times New Roman"/>
          <w:i/>
          <w:iCs/>
        </w:rPr>
        <w:t>The impact of insider CEOs on corporate carbon emissions performance: The moderating role of corporate governance</w:t>
      </w:r>
      <w:r w:rsidRPr="00C1771F">
        <w:rPr>
          <w:rFonts w:ascii="Times New Roman" w:hAnsi="Times New Roman" w:cs="Times New Roman"/>
        </w:rPr>
        <w:t xml:space="preserve">” </w:t>
      </w:r>
      <w:proofErr w:type="spellStart"/>
      <w:r w:rsidRPr="00C1771F">
        <w:rPr>
          <w:rFonts w:ascii="Times New Roman" w:hAnsi="Times New Roman" w:cs="Times New Roman"/>
        </w:rPr>
        <w:t>analyze</w:t>
      </w:r>
      <w:proofErr w:type="spellEnd"/>
      <w:r w:rsidRPr="00C1771F">
        <w:rPr>
          <w:rFonts w:ascii="Times New Roman" w:hAnsi="Times New Roman" w:cs="Times New Roman"/>
        </w:rPr>
        <w:t xml:space="preserve"> how insider CEOs affect carbon emissions, moderated by governance quality. Insider CEOs tend to perform poorly on emissions metrics unless robust corporate governance mechanisms are in place</w:t>
      </w:r>
      <w:r w:rsidR="00216403">
        <w:rPr>
          <w:rFonts w:ascii="Times New Roman" w:hAnsi="Times New Roman" w:cs="Times New Roman" w:hint="eastAsia"/>
        </w:rPr>
        <w:t>. This study</w:t>
      </w:r>
      <w:r w:rsidRPr="00C1771F">
        <w:rPr>
          <w:rFonts w:ascii="Times New Roman" w:hAnsi="Times New Roman" w:cs="Times New Roman"/>
        </w:rPr>
        <w:t xml:space="preserve"> highlight</w:t>
      </w:r>
      <w:r w:rsidR="000466D8">
        <w:rPr>
          <w:rFonts w:ascii="Times New Roman" w:hAnsi="Times New Roman" w:cs="Times New Roman" w:hint="eastAsia"/>
        </w:rPr>
        <w:t>s</w:t>
      </w:r>
      <w:r w:rsidRPr="00C1771F">
        <w:rPr>
          <w:rFonts w:ascii="Times New Roman" w:hAnsi="Times New Roman" w:cs="Times New Roman"/>
        </w:rPr>
        <w:t xml:space="preserve"> the critical interaction between leadership continuity, trust, and institutional safeguards in environmental performance.</w:t>
      </w:r>
    </w:p>
    <w:p w14:paraId="6B351701" w14:textId="77777777" w:rsidR="001F05B5" w:rsidRDefault="00DE6C49" w:rsidP="003F4096">
      <w:pPr>
        <w:spacing w:before="120" w:after="0" w:line="360" w:lineRule="auto"/>
        <w:ind w:firstLine="284"/>
        <w:jc w:val="both"/>
        <w:rPr>
          <w:rFonts w:ascii="Times New Roman" w:hAnsi="Times New Roman" w:cs="Times New Roman"/>
        </w:rPr>
      </w:pPr>
      <w:r w:rsidRPr="00DE6C49">
        <w:rPr>
          <w:rFonts w:ascii="Times New Roman" w:hAnsi="Times New Roman" w:cs="Times New Roman"/>
        </w:rPr>
        <w:t xml:space="preserve">The fifth and sixth papers explore </w:t>
      </w:r>
      <w:r w:rsidR="00403B2A" w:rsidRPr="00C1771F">
        <w:rPr>
          <w:rFonts w:ascii="Times New Roman" w:hAnsi="Times New Roman" w:cs="Times New Roman"/>
        </w:rPr>
        <w:t xml:space="preserve">environmental, social, and governance (ESG) </w:t>
      </w:r>
      <w:r w:rsidRPr="00DE6C49">
        <w:rPr>
          <w:rFonts w:ascii="Times New Roman" w:hAnsi="Times New Roman" w:cs="Times New Roman"/>
        </w:rPr>
        <w:t xml:space="preserve">disclosure. </w:t>
      </w:r>
      <w:proofErr w:type="spellStart"/>
      <w:r w:rsidRPr="00DE6C49">
        <w:rPr>
          <w:rFonts w:ascii="Times New Roman" w:hAnsi="Times New Roman" w:cs="Times New Roman"/>
        </w:rPr>
        <w:t>Rahmatulloh</w:t>
      </w:r>
      <w:proofErr w:type="spellEnd"/>
      <w:r w:rsidRPr="00DE6C49">
        <w:rPr>
          <w:rFonts w:ascii="Times New Roman" w:hAnsi="Times New Roman" w:cs="Times New Roman"/>
        </w:rPr>
        <w:t xml:space="preserve"> et al. (2025)</w:t>
      </w:r>
      <w:r w:rsidR="00677F71">
        <w:rPr>
          <w:rFonts w:ascii="Times New Roman" w:hAnsi="Times New Roman" w:cs="Times New Roman" w:hint="eastAsia"/>
        </w:rPr>
        <w:t xml:space="preserve"> in </w:t>
      </w:r>
      <w:r w:rsidR="00677F71">
        <w:rPr>
          <w:rFonts w:ascii="Times New Roman" w:hAnsi="Times New Roman" w:cs="Times New Roman"/>
        </w:rPr>
        <w:t>“</w:t>
      </w:r>
      <w:r w:rsidRPr="00DE6C49">
        <w:rPr>
          <w:rFonts w:ascii="Times New Roman" w:hAnsi="Times New Roman" w:cs="Times New Roman"/>
          <w:i/>
          <w:iCs/>
        </w:rPr>
        <w:t>CEO career variety and ESG disclosure: Evidence from Indonesia</w:t>
      </w:r>
      <w:r w:rsidR="00A655A2">
        <w:rPr>
          <w:rFonts w:ascii="Times New Roman" w:hAnsi="Times New Roman" w:cs="Times New Roman"/>
        </w:rPr>
        <w:t>”</w:t>
      </w:r>
      <w:r w:rsidRPr="00DE6C49">
        <w:rPr>
          <w:rFonts w:ascii="Times New Roman" w:hAnsi="Times New Roman" w:cs="Times New Roman"/>
        </w:rPr>
        <w:t xml:space="preserve"> examine </w:t>
      </w:r>
      <w:r w:rsidR="00A655A2" w:rsidRPr="00C1771F">
        <w:rPr>
          <w:rFonts w:ascii="Times New Roman" w:hAnsi="Times New Roman" w:cs="Times New Roman"/>
        </w:rPr>
        <w:t xml:space="preserve">the effects of leadership diversity on ESG reporting. </w:t>
      </w:r>
      <w:r w:rsidR="00A655A2">
        <w:rPr>
          <w:rFonts w:ascii="Times New Roman" w:hAnsi="Times New Roman" w:cs="Times New Roman" w:hint="eastAsia"/>
        </w:rPr>
        <w:t xml:space="preserve">This study </w:t>
      </w:r>
      <w:r w:rsidR="00A655A2" w:rsidRPr="008A6D32">
        <w:rPr>
          <w:rFonts w:ascii="Times New Roman" w:hAnsi="Times New Roman" w:cs="Times New Roman"/>
        </w:rPr>
        <w:t xml:space="preserve">show that insider CEOs play a critical role in reducing carbon emissions, particularly under strong governance conditions. </w:t>
      </w:r>
      <w:r w:rsidR="00A655A2">
        <w:rPr>
          <w:rFonts w:ascii="Times New Roman" w:hAnsi="Times New Roman" w:cs="Times New Roman" w:hint="eastAsia"/>
        </w:rPr>
        <w:t xml:space="preserve">This suggests </w:t>
      </w:r>
      <w:r w:rsidR="00A655A2" w:rsidRPr="00C1771F">
        <w:rPr>
          <w:rFonts w:ascii="Times New Roman" w:hAnsi="Times New Roman" w:cs="Times New Roman"/>
        </w:rPr>
        <w:t>the importance of leadership selection in fostering ESG accountability.</w:t>
      </w:r>
      <w:r w:rsidR="00A655A2">
        <w:rPr>
          <w:rFonts w:ascii="Times New Roman" w:hAnsi="Times New Roman" w:cs="Times New Roman" w:hint="eastAsia"/>
        </w:rPr>
        <w:t xml:space="preserve"> </w:t>
      </w:r>
    </w:p>
    <w:p w14:paraId="09B5F472" w14:textId="0B44D892" w:rsidR="00BB7659" w:rsidRDefault="00DE6C49" w:rsidP="003F4096">
      <w:pPr>
        <w:spacing w:before="120" w:after="0" w:line="360" w:lineRule="auto"/>
        <w:ind w:firstLine="284"/>
        <w:jc w:val="both"/>
        <w:rPr>
          <w:rFonts w:ascii="Times New Roman" w:hAnsi="Times New Roman" w:cs="Times New Roman"/>
        </w:rPr>
      </w:pPr>
      <w:r w:rsidRPr="00DE6C49">
        <w:rPr>
          <w:rFonts w:ascii="Times New Roman" w:hAnsi="Times New Roman" w:cs="Times New Roman"/>
        </w:rPr>
        <w:t>Dwija Putri et al. (2025)</w:t>
      </w:r>
      <w:r w:rsidR="00424ABE">
        <w:rPr>
          <w:rFonts w:ascii="Times New Roman" w:hAnsi="Times New Roman" w:cs="Times New Roman" w:hint="eastAsia"/>
        </w:rPr>
        <w:t xml:space="preserve"> in</w:t>
      </w:r>
      <w:r w:rsidRPr="00DE6C49">
        <w:rPr>
          <w:rFonts w:ascii="Times New Roman" w:hAnsi="Times New Roman" w:cs="Times New Roman"/>
        </w:rPr>
        <w:t xml:space="preserve"> </w:t>
      </w:r>
      <w:r w:rsidR="00424ABE">
        <w:rPr>
          <w:rFonts w:ascii="Times New Roman" w:hAnsi="Times New Roman" w:cs="Times New Roman"/>
        </w:rPr>
        <w:t>“</w:t>
      </w:r>
      <w:r w:rsidRPr="00DE6C49">
        <w:rPr>
          <w:rFonts w:ascii="Times New Roman" w:hAnsi="Times New Roman" w:cs="Times New Roman"/>
          <w:i/>
          <w:iCs/>
        </w:rPr>
        <w:t>Institutional dynamics and environmental disclosures: Insights from Indonesia’s energy sector</w:t>
      </w:r>
      <w:r w:rsidR="00424ABE">
        <w:rPr>
          <w:rFonts w:ascii="Times New Roman" w:hAnsi="Times New Roman" w:cs="Times New Roman"/>
        </w:rPr>
        <w:t>”</w:t>
      </w:r>
      <w:r w:rsidRPr="00DE6C49">
        <w:rPr>
          <w:rFonts w:ascii="Times New Roman" w:hAnsi="Times New Roman" w:cs="Times New Roman"/>
        </w:rPr>
        <w:t xml:space="preserve"> investigate how coercive, mimetic, and normative pressures </w:t>
      </w:r>
      <w:r w:rsidRPr="00DE6C49">
        <w:rPr>
          <w:rFonts w:ascii="Times New Roman" w:hAnsi="Times New Roman" w:cs="Times New Roman"/>
        </w:rPr>
        <w:lastRenderedPageBreak/>
        <w:t>shape environmental disclosures</w:t>
      </w:r>
      <w:r w:rsidR="00BF11E4">
        <w:rPr>
          <w:rFonts w:ascii="Times New Roman" w:hAnsi="Times New Roman" w:cs="Times New Roman" w:hint="eastAsia"/>
        </w:rPr>
        <w:t xml:space="preserve">. </w:t>
      </w:r>
      <w:r w:rsidR="00BF11E4">
        <w:rPr>
          <w:rFonts w:ascii="Times New Roman" w:hAnsi="Times New Roman" w:cs="Times New Roman"/>
        </w:rPr>
        <w:t>T</w:t>
      </w:r>
      <w:r w:rsidR="00BF11E4">
        <w:rPr>
          <w:rFonts w:ascii="Times New Roman" w:hAnsi="Times New Roman" w:cs="Times New Roman" w:hint="eastAsia"/>
        </w:rPr>
        <w:t>his study</w:t>
      </w:r>
      <w:r w:rsidRPr="00DE6C49">
        <w:rPr>
          <w:rFonts w:ascii="Times New Roman" w:hAnsi="Times New Roman" w:cs="Times New Roman"/>
        </w:rPr>
        <w:t xml:space="preserve"> </w:t>
      </w:r>
      <w:r w:rsidR="00E9272B">
        <w:rPr>
          <w:rFonts w:ascii="Times New Roman" w:hAnsi="Times New Roman" w:cs="Times New Roman" w:hint="eastAsia"/>
        </w:rPr>
        <w:t>demonstrates</w:t>
      </w:r>
      <w:r w:rsidRPr="00DE6C49">
        <w:rPr>
          <w:rFonts w:ascii="Times New Roman" w:hAnsi="Times New Roman" w:cs="Times New Roman"/>
        </w:rPr>
        <w:t xml:space="preserve"> the symbolic-substantive dichotomy under institutional influences.</w:t>
      </w:r>
    </w:p>
    <w:p w14:paraId="2B3480A8" w14:textId="0A9C439E" w:rsidR="00C1771F" w:rsidRPr="00C1771F" w:rsidRDefault="00E9272B" w:rsidP="003F4096">
      <w:pPr>
        <w:spacing w:before="120" w:after="0" w:line="360" w:lineRule="auto"/>
        <w:ind w:firstLine="284"/>
        <w:jc w:val="both"/>
        <w:rPr>
          <w:rFonts w:ascii="Times New Roman" w:hAnsi="Times New Roman" w:cs="Times New Roman"/>
        </w:rPr>
      </w:pPr>
      <w:r w:rsidRPr="00E9272B">
        <w:rPr>
          <w:rFonts w:ascii="Times New Roman" w:hAnsi="Times New Roman" w:cs="Times New Roman"/>
        </w:rPr>
        <w:t xml:space="preserve">The seventh paper by </w:t>
      </w:r>
      <w:proofErr w:type="spellStart"/>
      <w:r w:rsidRPr="00E9272B">
        <w:rPr>
          <w:rFonts w:ascii="Times New Roman" w:hAnsi="Times New Roman" w:cs="Times New Roman"/>
        </w:rPr>
        <w:t>Hamsyi</w:t>
      </w:r>
      <w:proofErr w:type="spellEnd"/>
      <w:r w:rsidRPr="00E9272B">
        <w:rPr>
          <w:rFonts w:ascii="Times New Roman" w:hAnsi="Times New Roman" w:cs="Times New Roman"/>
        </w:rPr>
        <w:t xml:space="preserve"> et al. (2025)</w:t>
      </w:r>
      <w:r w:rsidR="00B15EB9">
        <w:rPr>
          <w:rFonts w:ascii="Times New Roman" w:hAnsi="Times New Roman" w:cs="Times New Roman" w:hint="eastAsia"/>
        </w:rPr>
        <w:t xml:space="preserve"> in</w:t>
      </w:r>
      <w:r w:rsidRPr="00E9272B">
        <w:rPr>
          <w:rFonts w:ascii="Times New Roman" w:hAnsi="Times New Roman" w:cs="Times New Roman"/>
        </w:rPr>
        <w:t xml:space="preserve"> </w:t>
      </w:r>
      <w:r w:rsidR="00B15EB9">
        <w:rPr>
          <w:rFonts w:ascii="Times New Roman" w:hAnsi="Times New Roman" w:cs="Times New Roman"/>
        </w:rPr>
        <w:t>“</w:t>
      </w:r>
      <w:r w:rsidRPr="00E9272B">
        <w:rPr>
          <w:rFonts w:ascii="Times New Roman" w:hAnsi="Times New Roman" w:cs="Times New Roman"/>
          <w:i/>
          <w:iCs/>
        </w:rPr>
        <w:t>The combined impact of ESG and Sharia compliance in mitigating stock price crash risk</w:t>
      </w:r>
      <w:r w:rsidR="00B15EB9" w:rsidRPr="00B15EB9">
        <w:rPr>
          <w:rFonts w:ascii="Times New Roman" w:hAnsi="Times New Roman" w:cs="Times New Roman"/>
        </w:rPr>
        <w:t>”</w:t>
      </w:r>
      <w:r w:rsidR="00B15EB9">
        <w:rPr>
          <w:rFonts w:ascii="Times New Roman" w:hAnsi="Times New Roman" w:cs="Times New Roman" w:hint="eastAsia"/>
        </w:rPr>
        <w:t xml:space="preserve"> </w:t>
      </w:r>
      <w:r w:rsidR="00B15EB9" w:rsidRPr="00C1771F">
        <w:rPr>
          <w:rFonts w:ascii="Times New Roman" w:hAnsi="Times New Roman" w:cs="Times New Roman"/>
        </w:rPr>
        <w:t>investigate</w:t>
      </w:r>
      <w:r w:rsidR="00B15EB9">
        <w:rPr>
          <w:rFonts w:ascii="Times New Roman" w:hAnsi="Times New Roman" w:cs="Times New Roman" w:hint="eastAsia"/>
        </w:rPr>
        <w:t>s</w:t>
      </w:r>
      <w:r w:rsidR="00B15EB9" w:rsidRPr="00C1771F">
        <w:rPr>
          <w:rFonts w:ascii="Times New Roman" w:hAnsi="Times New Roman" w:cs="Times New Roman"/>
        </w:rPr>
        <w:t xml:space="preserve"> the joint effect of ESG performance and Sharia compliance on financial risk mitigation. </w:t>
      </w:r>
      <w:r w:rsidR="00056016" w:rsidRPr="00C1771F">
        <w:rPr>
          <w:rFonts w:ascii="Times New Roman" w:hAnsi="Times New Roman" w:cs="Times New Roman"/>
        </w:rPr>
        <w:t xml:space="preserve">Their results suggest that ESG alone does not reduce stock price crash risk, but when coupled with Sharia compliance, the combination provides a protective effect. </w:t>
      </w:r>
      <w:r w:rsidR="00C1771F" w:rsidRPr="00C1771F">
        <w:rPr>
          <w:rFonts w:ascii="Times New Roman" w:hAnsi="Times New Roman" w:cs="Times New Roman"/>
        </w:rPr>
        <w:t xml:space="preserve">This </w:t>
      </w:r>
      <w:r w:rsidR="00D36EEC">
        <w:rPr>
          <w:rFonts w:ascii="Times New Roman" w:hAnsi="Times New Roman" w:cs="Times New Roman" w:hint="eastAsia"/>
        </w:rPr>
        <w:t>highlights</w:t>
      </w:r>
      <w:r w:rsidR="00C1771F" w:rsidRPr="00C1771F">
        <w:rPr>
          <w:rFonts w:ascii="Times New Roman" w:hAnsi="Times New Roman" w:cs="Times New Roman"/>
        </w:rPr>
        <w:t xml:space="preserve"> the value of integrating ethical and religious norms into corporate governance and sustainability frameworks </w:t>
      </w:r>
      <w:r w:rsidR="00AA1519">
        <w:rPr>
          <w:rFonts w:ascii="Times New Roman" w:hAnsi="Times New Roman" w:cs="Times New Roman" w:hint="eastAsia"/>
        </w:rPr>
        <w:t>in Indonesia</w:t>
      </w:r>
      <w:r w:rsidR="00C1771F" w:rsidRPr="00C1771F">
        <w:rPr>
          <w:rFonts w:ascii="Times New Roman" w:hAnsi="Times New Roman" w:cs="Times New Roman"/>
        </w:rPr>
        <w:t>.</w:t>
      </w:r>
    </w:p>
    <w:p w14:paraId="49A6C130" w14:textId="59CAEEA8" w:rsidR="00C1771F" w:rsidRDefault="00C1771F" w:rsidP="003F4096">
      <w:pPr>
        <w:spacing w:before="120" w:after="0" w:line="360" w:lineRule="auto"/>
        <w:ind w:firstLine="284"/>
        <w:jc w:val="both"/>
        <w:rPr>
          <w:rFonts w:ascii="Times New Roman" w:hAnsi="Times New Roman" w:cs="Times New Roman"/>
        </w:rPr>
      </w:pPr>
      <w:r w:rsidRPr="00C1771F">
        <w:rPr>
          <w:rFonts w:ascii="Times New Roman" w:hAnsi="Times New Roman" w:cs="Times New Roman"/>
        </w:rPr>
        <w:t xml:space="preserve">Finally, Latifah and </w:t>
      </w:r>
      <w:proofErr w:type="spellStart"/>
      <w:r w:rsidRPr="00C1771F">
        <w:rPr>
          <w:rFonts w:ascii="Times New Roman" w:hAnsi="Times New Roman" w:cs="Times New Roman"/>
        </w:rPr>
        <w:t>Ivada</w:t>
      </w:r>
      <w:proofErr w:type="spellEnd"/>
      <w:r w:rsidRPr="00C1771F">
        <w:rPr>
          <w:rFonts w:ascii="Times New Roman" w:hAnsi="Times New Roman" w:cs="Times New Roman"/>
        </w:rPr>
        <w:t xml:space="preserve"> (2025) in “</w:t>
      </w:r>
      <w:r w:rsidRPr="00C1771F">
        <w:rPr>
          <w:rFonts w:ascii="Times New Roman" w:hAnsi="Times New Roman" w:cs="Times New Roman"/>
          <w:i/>
          <w:iCs/>
        </w:rPr>
        <w:t>Preparing Indonesian accountants for sustainability challenges: Insights from accounting educators</w:t>
      </w:r>
      <w:r w:rsidRPr="00C1771F">
        <w:rPr>
          <w:rFonts w:ascii="Times New Roman" w:hAnsi="Times New Roman" w:cs="Times New Roman"/>
        </w:rPr>
        <w:t xml:space="preserve">” focus on the role of education in shaping the future profession. Their study indicates that accounting educators view sustainability as a strategic imperative, advocating for integrated curricula, interdisciplinary learning, and innovative pedagogical approaches to </w:t>
      </w:r>
      <w:r w:rsidR="00FC71A8" w:rsidRPr="00AA1519">
        <w:rPr>
          <w:rFonts w:ascii="Times New Roman" w:hAnsi="Times New Roman" w:cs="Times New Roman"/>
        </w:rPr>
        <w:t xml:space="preserve">equip future professionals with the knowledge and skills needed </w:t>
      </w:r>
      <w:r w:rsidRPr="00C1771F">
        <w:rPr>
          <w:rFonts w:ascii="Times New Roman" w:hAnsi="Times New Roman" w:cs="Times New Roman"/>
        </w:rPr>
        <w:t xml:space="preserve">for </w:t>
      </w:r>
      <w:r w:rsidR="00FC71A8">
        <w:rPr>
          <w:rFonts w:ascii="Times New Roman" w:hAnsi="Times New Roman" w:cs="Times New Roman" w:hint="eastAsia"/>
        </w:rPr>
        <w:t xml:space="preserve">addressing </w:t>
      </w:r>
      <w:r w:rsidRPr="00C1771F">
        <w:rPr>
          <w:rFonts w:ascii="Times New Roman" w:hAnsi="Times New Roman" w:cs="Times New Roman"/>
        </w:rPr>
        <w:t>sustainability challenges.</w:t>
      </w:r>
    </w:p>
    <w:p w14:paraId="33EA8E8F" w14:textId="77777777" w:rsidR="00D9715C" w:rsidRDefault="00FC71A8" w:rsidP="003F4096">
      <w:pPr>
        <w:spacing w:before="120" w:after="0" w:line="360" w:lineRule="auto"/>
        <w:ind w:firstLine="284"/>
        <w:jc w:val="both"/>
        <w:rPr>
          <w:rFonts w:ascii="Times New Roman" w:hAnsi="Times New Roman" w:cs="Times New Roman"/>
        </w:rPr>
      </w:pPr>
      <w:r>
        <w:rPr>
          <w:rFonts w:ascii="Times New Roman" w:hAnsi="Times New Roman" w:cs="Times New Roman" w:hint="eastAsia"/>
        </w:rPr>
        <w:t>T</w:t>
      </w:r>
      <w:r w:rsidR="00C1771F" w:rsidRPr="00C1771F">
        <w:rPr>
          <w:rFonts w:ascii="Times New Roman" w:hAnsi="Times New Roman" w:cs="Times New Roman"/>
        </w:rPr>
        <w:t xml:space="preserve">hese </w:t>
      </w:r>
      <w:r>
        <w:rPr>
          <w:rFonts w:ascii="Times New Roman" w:hAnsi="Times New Roman" w:cs="Times New Roman" w:hint="eastAsia"/>
        </w:rPr>
        <w:t xml:space="preserve">eight </w:t>
      </w:r>
      <w:r w:rsidR="00C1771F" w:rsidRPr="00C1771F">
        <w:rPr>
          <w:rFonts w:ascii="Times New Roman" w:hAnsi="Times New Roman" w:cs="Times New Roman"/>
        </w:rPr>
        <w:t xml:space="preserve">studies </w:t>
      </w:r>
      <w:r>
        <w:rPr>
          <w:rFonts w:ascii="Times New Roman" w:hAnsi="Times New Roman" w:cs="Times New Roman" w:hint="eastAsia"/>
        </w:rPr>
        <w:t xml:space="preserve">collectively </w:t>
      </w:r>
      <w:r w:rsidR="00C1771F" w:rsidRPr="00C1771F">
        <w:rPr>
          <w:rFonts w:ascii="Times New Roman" w:hAnsi="Times New Roman" w:cs="Times New Roman"/>
        </w:rPr>
        <w:t xml:space="preserve">illustrate that accounting in Indonesia is </w:t>
      </w:r>
      <w:r w:rsidR="00F64779" w:rsidRPr="00336EE1">
        <w:rPr>
          <w:rFonts w:ascii="Times New Roman" w:hAnsi="Times New Roman" w:cs="Times New Roman"/>
        </w:rPr>
        <w:t>shaped by the interaction of formal and informal institutions, governance structures, sustainability pressures, and educational practices</w:t>
      </w:r>
      <w:r w:rsidR="00C1771F" w:rsidRPr="00C1771F">
        <w:rPr>
          <w:rFonts w:ascii="Times New Roman" w:hAnsi="Times New Roman" w:cs="Times New Roman"/>
        </w:rPr>
        <w:t xml:space="preserve">. They demonstrate that governance mechanisms, leadership characteristics, </w:t>
      </w:r>
      <w:r w:rsidR="008D157F">
        <w:rPr>
          <w:rFonts w:ascii="Times New Roman" w:hAnsi="Times New Roman" w:cs="Times New Roman" w:hint="eastAsia"/>
        </w:rPr>
        <w:t xml:space="preserve">culture and religion norms, </w:t>
      </w:r>
      <w:r w:rsidR="00C1771F" w:rsidRPr="00C1771F">
        <w:rPr>
          <w:rFonts w:ascii="Times New Roman" w:hAnsi="Times New Roman" w:cs="Times New Roman"/>
        </w:rPr>
        <w:t>and education systems all play critical roles in advancing transparency, sustainability, and professional accountability.</w:t>
      </w:r>
      <w:r w:rsidR="006A6DCF">
        <w:rPr>
          <w:rFonts w:ascii="Times New Roman" w:hAnsi="Times New Roman" w:cs="Times New Roman" w:hint="eastAsia"/>
        </w:rPr>
        <w:t xml:space="preserve"> </w:t>
      </w:r>
      <w:r w:rsidR="00D9715C">
        <w:rPr>
          <w:rFonts w:ascii="Times New Roman" w:hAnsi="Times New Roman" w:cs="Times New Roman" w:hint="eastAsia"/>
        </w:rPr>
        <w:t>S</w:t>
      </w:r>
      <w:r w:rsidR="00D9715C" w:rsidRPr="00336EE1">
        <w:rPr>
          <w:rFonts w:ascii="Times New Roman" w:hAnsi="Times New Roman" w:cs="Times New Roman"/>
        </w:rPr>
        <w:t xml:space="preserve">ituating accounting practices within Indonesia’s unique institutional environment, these studies </w:t>
      </w:r>
      <w:r w:rsidR="00D9715C">
        <w:rPr>
          <w:rFonts w:ascii="Times New Roman" w:hAnsi="Times New Roman" w:cs="Times New Roman" w:hint="eastAsia"/>
        </w:rPr>
        <w:t>provide possible</w:t>
      </w:r>
      <w:r w:rsidR="00D9715C" w:rsidRPr="00336EE1">
        <w:rPr>
          <w:rFonts w:ascii="Times New Roman" w:hAnsi="Times New Roman" w:cs="Times New Roman"/>
        </w:rPr>
        <w:t xml:space="preserve"> pathways toward more transparent, responsible, and sustainable practices</w:t>
      </w:r>
      <w:r w:rsidR="00D9715C">
        <w:rPr>
          <w:rFonts w:ascii="Times New Roman" w:hAnsi="Times New Roman" w:cs="Times New Roman" w:hint="eastAsia"/>
        </w:rPr>
        <w:t>.</w:t>
      </w:r>
      <w:r w:rsidR="00D9715C" w:rsidRPr="00336EE1">
        <w:rPr>
          <w:rFonts w:ascii="Times New Roman" w:hAnsi="Times New Roman" w:cs="Times New Roman"/>
        </w:rPr>
        <w:t xml:space="preserve"> </w:t>
      </w:r>
    </w:p>
    <w:p w14:paraId="4D2EECC8" w14:textId="3B270813" w:rsidR="00C1771F" w:rsidRPr="00D164DD" w:rsidRDefault="008B2753" w:rsidP="003F4096">
      <w:pPr>
        <w:spacing w:before="120" w:after="0" w:line="360" w:lineRule="auto"/>
        <w:ind w:firstLine="284"/>
        <w:jc w:val="both"/>
        <w:rPr>
          <w:rFonts w:ascii="Times New Roman" w:hAnsi="Times New Roman" w:cs="Times New Roman"/>
        </w:rPr>
      </w:pPr>
      <w:r w:rsidRPr="00C1771F">
        <w:rPr>
          <w:rFonts w:ascii="Times New Roman" w:hAnsi="Times New Roman" w:cs="Times New Roman"/>
        </w:rPr>
        <w:t xml:space="preserve">As Indonesia </w:t>
      </w:r>
      <w:r>
        <w:rPr>
          <w:rFonts w:ascii="Times New Roman" w:hAnsi="Times New Roman" w:cs="Times New Roman" w:hint="eastAsia"/>
        </w:rPr>
        <w:t xml:space="preserve">faces </w:t>
      </w:r>
      <w:r w:rsidR="00A83D93">
        <w:rPr>
          <w:rFonts w:ascii="Times New Roman" w:hAnsi="Times New Roman" w:cs="Times New Roman" w:hint="eastAsia"/>
        </w:rPr>
        <w:t>increasing pressure in</w:t>
      </w:r>
      <w:r w:rsidRPr="00C1771F">
        <w:rPr>
          <w:rFonts w:ascii="Times New Roman" w:hAnsi="Times New Roman" w:cs="Times New Roman"/>
        </w:rPr>
        <w:t xml:space="preserve"> economic growth, environmental responsibility, and social equity, the accounting profession </w:t>
      </w:r>
      <w:r w:rsidR="001943EE">
        <w:rPr>
          <w:rFonts w:ascii="Times New Roman" w:hAnsi="Times New Roman" w:cs="Times New Roman" w:hint="eastAsia"/>
        </w:rPr>
        <w:t>plays</w:t>
      </w:r>
      <w:r w:rsidRPr="00C1771F">
        <w:rPr>
          <w:rFonts w:ascii="Times New Roman" w:hAnsi="Times New Roman" w:cs="Times New Roman"/>
        </w:rPr>
        <w:t xml:space="preserve"> a critical </w:t>
      </w:r>
      <w:r w:rsidR="001943EE">
        <w:rPr>
          <w:rFonts w:ascii="Times New Roman" w:hAnsi="Times New Roman" w:cs="Times New Roman" w:hint="eastAsia"/>
        </w:rPr>
        <w:t>role in supporting</w:t>
      </w:r>
      <w:r w:rsidRPr="00C1771F">
        <w:rPr>
          <w:rFonts w:ascii="Times New Roman" w:hAnsi="Times New Roman" w:cs="Times New Roman"/>
        </w:rPr>
        <w:t xml:space="preserve"> institutional reform and sustainable development. </w:t>
      </w:r>
      <w:r w:rsidR="002B7B68">
        <w:rPr>
          <w:rFonts w:ascii="Times New Roman" w:hAnsi="Times New Roman" w:cs="Times New Roman" w:hint="eastAsia"/>
        </w:rPr>
        <w:t>T</w:t>
      </w:r>
      <w:r w:rsidR="002B7B68">
        <w:rPr>
          <w:rFonts w:ascii="Times New Roman" w:hAnsi="Times New Roman" w:cs="Times New Roman"/>
        </w:rPr>
        <w:t>h</w:t>
      </w:r>
      <w:r w:rsidR="002B7B68">
        <w:rPr>
          <w:rFonts w:ascii="Times New Roman" w:hAnsi="Times New Roman" w:cs="Times New Roman" w:hint="eastAsia"/>
        </w:rPr>
        <w:t>e studies in t</w:t>
      </w:r>
      <w:r w:rsidR="00F20B21" w:rsidRPr="00336EE1">
        <w:rPr>
          <w:rFonts w:ascii="Times New Roman" w:hAnsi="Times New Roman" w:cs="Times New Roman"/>
        </w:rPr>
        <w:t xml:space="preserve">his special issue </w:t>
      </w:r>
      <w:r w:rsidR="00A83D93">
        <w:rPr>
          <w:rFonts w:ascii="Times New Roman" w:hAnsi="Times New Roman" w:cs="Times New Roman" w:hint="eastAsia"/>
        </w:rPr>
        <w:t>show</w:t>
      </w:r>
      <w:r w:rsidR="00F20B21" w:rsidRPr="00336EE1">
        <w:rPr>
          <w:rFonts w:ascii="Times New Roman" w:hAnsi="Times New Roman" w:cs="Times New Roman"/>
        </w:rPr>
        <w:t xml:space="preserve"> the importance of </w:t>
      </w:r>
      <w:r w:rsidR="000D772D">
        <w:rPr>
          <w:rFonts w:ascii="Times New Roman" w:hAnsi="Times New Roman" w:cs="Times New Roman" w:hint="eastAsia"/>
        </w:rPr>
        <w:t xml:space="preserve">diverse research grounded in local context, theory informed and based on multiple methodologies. </w:t>
      </w:r>
      <w:r w:rsidR="00EF7369">
        <w:rPr>
          <w:rFonts w:ascii="Times New Roman" w:hAnsi="Times New Roman" w:cs="Times New Roman" w:hint="eastAsia"/>
        </w:rPr>
        <w:t xml:space="preserve">The </w:t>
      </w:r>
      <w:r w:rsidR="0065693D">
        <w:rPr>
          <w:rFonts w:ascii="Times New Roman" w:hAnsi="Times New Roman" w:cs="Times New Roman" w:hint="eastAsia"/>
        </w:rPr>
        <w:t>implications</w:t>
      </w:r>
      <w:r w:rsidR="00F20B21" w:rsidRPr="00336EE1">
        <w:rPr>
          <w:rFonts w:ascii="Times New Roman" w:hAnsi="Times New Roman" w:cs="Times New Roman"/>
        </w:rPr>
        <w:t xml:space="preserve"> </w:t>
      </w:r>
      <w:r w:rsidR="00D164DD">
        <w:rPr>
          <w:rFonts w:ascii="Times New Roman" w:hAnsi="Times New Roman" w:cs="Times New Roman" w:hint="eastAsia"/>
        </w:rPr>
        <w:t xml:space="preserve">about accounting practices and research </w:t>
      </w:r>
      <w:r w:rsidR="00EF7369">
        <w:rPr>
          <w:rFonts w:ascii="Times New Roman" w:hAnsi="Times New Roman" w:cs="Times New Roman" w:hint="eastAsia"/>
        </w:rPr>
        <w:t>from this special issue could</w:t>
      </w:r>
      <w:r w:rsidR="00F20B21" w:rsidRPr="00336EE1">
        <w:rPr>
          <w:rFonts w:ascii="Times New Roman" w:hAnsi="Times New Roman" w:cs="Times New Roman"/>
        </w:rPr>
        <w:t xml:space="preserve"> extend to other emerging economies </w:t>
      </w:r>
      <w:r w:rsidR="00C1771F" w:rsidRPr="00C1771F">
        <w:rPr>
          <w:rFonts w:ascii="Times New Roman" w:hAnsi="Times New Roman" w:cs="Times New Roman"/>
        </w:rPr>
        <w:t>worldwide facing similar institutional challenges.</w:t>
      </w:r>
      <w:r w:rsidR="00C1771F">
        <w:rPr>
          <w:rFonts w:ascii="Times New Roman" w:hAnsi="Times New Roman" w:cs="Times New Roman"/>
          <w:b/>
          <w:bCs/>
        </w:rPr>
        <w:br w:type="page"/>
      </w:r>
    </w:p>
    <w:p w14:paraId="61CD1BBB" w14:textId="26A2C366" w:rsidR="00C1771F" w:rsidRPr="00C1771F" w:rsidRDefault="00C1771F" w:rsidP="00C1771F">
      <w:pPr>
        <w:jc w:val="both"/>
        <w:rPr>
          <w:rFonts w:ascii="Times New Roman" w:hAnsi="Times New Roman" w:cs="Times New Roman"/>
          <w:b/>
          <w:bCs/>
        </w:rPr>
      </w:pPr>
      <w:r w:rsidRPr="00C1771F">
        <w:rPr>
          <w:rFonts w:ascii="Times New Roman" w:hAnsi="Times New Roman" w:cs="Times New Roman"/>
          <w:b/>
          <w:bCs/>
        </w:rPr>
        <w:lastRenderedPageBreak/>
        <w:t>References</w:t>
      </w:r>
    </w:p>
    <w:p w14:paraId="0E936A5B" w14:textId="6300D6C3" w:rsidR="00C1771F"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 xml:space="preserve">ASEAN Federation of Accountants. (2019). </w:t>
      </w:r>
      <w:r w:rsidRPr="00C1771F">
        <w:rPr>
          <w:rFonts w:ascii="Times New Roman" w:hAnsi="Times New Roman" w:cs="Times New Roman"/>
          <w:i/>
          <w:iCs/>
        </w:rPr>
        <w:t>Annual Report 2018.</w:t>
      </w:r>
      <w:r w:rsidRPr="00C1771F">
        <w:rPr>
          <w:rFonts w:ascii="Times New Roman" w:hAnsi="Times New Roman" w:cs="Times New Roman"/>
        </w:rPr>
        <w:t xml:space="preserve"> Jakarta: ASEAN Federation of Accountants.</w:t>
      </w:r>
      <w:r w:rsidR="000E177D">
        <w:rPr>
          <w:rFonts w:ascii="Times New Roman" w:hAnsi="Times New Roman" w:cs="Times New Roman" w:hint="eastAsia"/>
        </w:rPr>
        <w:t xml:space="preserve"> </w:t>
      </w:r>
      <w:r w:rsidR="002C4EDF" w:rsidRPr="00AC1185">
        <w:rPr>
          <w:rFonts w:ascii="Times New Roman" w:hAnsi="Times New Roman" w:cs="Times New Roman"/>
        </w:rPr>
        <w:t xml:space="preserve">Retrieved from </w:t>
      </w:r>
      <w:hyperlink r:id="rId7" w:history="1">
        <w:r w:rsidR="000E177D" w:rsidRPr="000E177D">
          <w:rPr>
            <w:rStyle w:val="Hyperlink"/>
            <w:rFonts w:ascii="Times New Roman" w:hAnsi="Times New Roman" w:cs="Times New Roman"/>
          </w:rPr>
          <w:t>AFA_Annual_Report_2018.pdf</w:t>
        </w:r>
      </w:hyperlink>
    </w:p>
    <w:p w14:paraId="5CDE4380" w14:textId="34611246" w:rsidR="005A169A"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 xml:space="preserve">Asian Development Bank. (2021). </w:t>
      </w:r>
      <w:r w:rsidRPr="00C1771F">
        <w:rPr>
          <w:rFonts w:ascii="Times New Roman" w:hAnsi="Times New Roman" w:cs="Times New Roman"/>
          <w:i/>
          <w:iCs/>
        </w:rPr>
        <w:t>Country Diagnostic Study: Indonesia.</w:t>
      </w:r>
      <w:r w:rsidRPr="00C1771F">
        <w:rPr>
          <w:rFonts w:ascii="Times New Roman" w:hAnsi="Times New Roman" w:cs="Times New Roman"/>
        </w:rPr>
        <w:t xml:space="preserve"> Manila: ADB.</w:t>
      </w:r>
      <w:r w:rsidR="00083B9F">
        <w:rPr>
          <w:rFonts w:ascii="Times New Roman" w:hAnsi="Times New Roman" w:cs="Times New Roman" w:hint="eastAsia"/>
        </w:rPr>
        <w:t xml:space="preserve"> </w:t>
      </w:r>
      <w:r w:rsidR="002C4EDF" w:rsidRPr="00AC1185">
        <w:rPr>
          <w:rFonts w:ascii="Times New Roman" w:hAnsi="Times New Roman" w:cs="Times New Roman"/>
        </w:rPr>
        <w:t xml:space="preserve">Retrieved from </w:t>
      </w:r>
      <w:hyperlink r:id="rId8" w:history="1">
        <w:r w:rsidR="00083B9F" w:rsidRPr="00083B9F">
          <w:rPr>
            <w:rStyle w:val="Hyperlink"/>
            <w:rFonts w:ascii="Times New Roman" w:hAnsi="Times New Roman" w:cs="Times New Roman"/>
          </w:rPr>
          <w:t>ino-key-indicators-202</w:t>
        </w:r>
        <w:r w:rsidR="000E1DC1">
          <w:rPr>
            <w:rStyle w:val="Hyperlink"/>
            <w:rFonts w:ascii="Times New Roman" w:hAnsi="Times New Roman" w:cs="Times New Roman" w:hint="eastAsia"/>
          </w:rPr>
          <w:t>1</w:t>
        </w:r>
        <w:r w:rsidR="00083B9F" w:rsidRPr="00083B9F">
          <w:rPr>
            <w:rStyle w:val="Hyperlink"/>
            <w:rFonts w:ascii="Times New Roman" w:hAnsi="Times New Roman" w:cs="Times New Roman"/>
          </w:rPr>
          <w:t>.pdf</w:t>
        </w:r>
      </w:hyperlink>
    </w:p>
    <w:p w14:paraId="2684D73B" w14:textId="09D21E3A" w:rsidR="00C1771F"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 xml:space="preserve">Cao, J. (2023). Formal and informal institutions and fair value opinion shopping: An institutional anomie theory perspective. </w:t>
      </w:r>
      <w:r w:rsidRPr="00C1771F">
        <w:rPr>
          <w:rFonts w:ascii="Times New Roman" w:hAnsi="Times New Roman" w:cs="Times New Roman"/>
          <w:i/>
          <w:iCs/>
        </w:rPr>
        <w:t>Journal of Accounting Literature, 45</w:t>
      </w:r>
      <w:r w:rsidRPr="00C1771F">
        <w:rPr>
          <w:rFonts w:ascii="Times New Roman" w:hAnsi="Times New Roman" w:cs="Times New Roman"/>
        </w:rPr>
        <w:t>(2), 289–313.</w:t>
      </w:r>
    </w:p>
    <w:p w14:paraId="7AA0B9C5" w14:textId="40AE4DA6" w:rsidR="00C1771F"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Chen, J. J., &amp; Zhang, H. (2010). The impact of regulatory enforcement and audit upon IFRS compliance</w:t>
      </w:r>
      <w:r w:rsidR="00871ABA">
        <w:rPr>
          <w:rFonts w:ascii="Times New Roman" w:hAnsi="Times New Roman" w:cs="Times New Roman" w:hint="eastAsia"/>
        </w:rPr>
        <w:t xml:space="preserve">: </w:t>
      </w:r>
      <w:r w:rsidRPr="00C1771F">
        <w:rPr>
          <w:rFonts w:ascii="Times New Roman" w:hAnsi="Times New Roman" w:cs="Times New Roman"/>
        </w:rPr>
        <w:t xml:space="preserve">Evidence from China. </w:t>
      </w:r>
      <w:r w:rsidRPr="00C1771F">
        <w:rPr>
          <w:rFonts w:ascii="Times New Roman" w:hAnsi="Times New Roman" w:cs="Times New Roman"/>
          <w:i/>
          <w:iCs/>
        </w:rPr>
        <w:t>European Accounting Review, 19</w:t>
      </w:r>
      <w:r w:rsidRPr="00C1771F">
        <w:rPr>
          <w:rFonts w:ascii="Times New Roman" w:hAnsi="Times New Roman" w:cs="Times New Roman"/>
        </w:rPr>
        <w:t>(4), 665–692.</w:t>
      </w:r>
    </w:p>
    <w:p w14:paraId="766182BD" w14:textId="77777777" w:rsidR="006B514C" w:rsidRDefault="006B514C" w:rsidP="00C1771F">
      <w:pPr>
        <w:spacing w:before="120" w:after="120" w:line="240" w:lineRule="auto"/>
        <w:rPr>
          <w:rFonts w:ascii="Times New Roman" w:hAnsi="Times New Roman" w:cs="Times New Roman"/>
          <w:i/>
          <w:iCs/>
        </w:rPr>
      </w:pPr>
      <w:r w:rsidRPr="006B514C">
        <w:rPr>
          <w:rFonts w:ascii="Times New Roman" w:hAnsi="Times New Roman" w:cs="Times New Roman"/>
        </w:rPr>
        <w:t xml:space="preserve">Dwija Putri, I. G. A. M. A., Sari, K., </w:t>
      </w:r>
      <w:proofErr w:type="spellStart"/>
      <w:r w:rsidRPr="006B514C">
        <w:rPr>
          <w:rFonts w:ascii="Times New Roman" w:hAnsi="Times New Roman" w:cs="Times New Roman"/>
        </w:rPr>
        <w:t>Hasibuan</w:t>
      </w:r>
      <w:proofErr w:type="spellEnd"/>
      <w:r w:rsidRPr="006B514C">
        <w:rPr>
          <w:rFonts w:ascii="Times New Roman" w:hAnsi="Times New Roman" w:cs="Times New Roman"/>
        </w:rPr>
        <w:t xml:space="preserve">, H. T., Ardiana, P. A., </w:t>
      </w:r>
      <w:proofErr w:type="spellStart"/>
      <w:r w:rsidRPr="006B514C">
        <w:rPr>
          <w:rFonts w:ascii="Times New Roman" w:hAnsi="Times New Roman" w:cs="Times New Roman"/>
        </w:rPr>
        <w:t>Yanthi</w:t>
      </w:r>
      <w:proofErr w:type="spellEnd"/>
      <w:r w:rsidRPr="006B514C">
        <w:rPr>
          <w:rFonts w:ascii="Times New Roman" w:hAnsi="Times New Roman" w:cs="Times New Roman"/>
        </w:rPr>
        <w:t xml:space="preserve">, K. D. L., </w:t>
      </w:r>
      <w:proofErr w:type="spellStart"/>
      <w:r w:rsidRPr="006B514C">
        <w:rPr>
          <w:rFonts w:ascii="Times New Roman" w:hAnsi="Times New Roman" w:cs="Times New Roman"/>
        </w:rPr>
        <w:t>Pradnyani</w:t>
      </w:r>
      <w:proofErr w:type="spellEnd"/>
      <w:r w:rsidRPr="006B514C">
        <w:rPr>
          <w:rFonts w:ascii="Times New Roman" w:hAnsi="Times New Roman" w:cs="Times New Roman"/>
        </w:rPr>
        <w:t xml:space="preserve">, N. W. A., &amp; Sujana, N. W. K. J. P. (2025). Institutional dynamics and environmental disclosures: Insights from Indonesia’s energy sector. </w:t>
      </w:r>
      <w:r w:rsidRPr="006B514C">
        <w:rPr>
          <w:rFonts w:ascii="Times New Roman" w:hAnsi="Times New Roman" w:cs="Times New Roman"/>
          <w:i/>
          <w:iCs/>
        </w:rPr>
        <w:t>Pacific Accounting Review.</w:t>
      </w:r>
    </w:p>
    <w:p w14:paraId="587C112E" w14:textId="3B7286EC" w:rsidR="00C1771F" w:rsidRDefault="00C1771F" w:rsidP="00C1771F">
      <w:pPr>
        <w:spacing w:before="120" w:after="120" w:line="240" w:lineRule="auto"/>
        <w:rPr>
          <w:rFonts w:ascii="Times New Roman" w:hAnsi="Times New Roman" w:cs="Times New Roman"/>
        </w:rPr>
      </w:pPr>
      <w:proofErr w:type="spellStart"/>
      <w:r w:rsidRPr="00C1771F">
        <w:rPr>
          <w:rFonts w:ascii="Times New Roman" w:hAnsi="Times New Roman" w:cs="Times New Roman"/>
        </w:rPr>
        <w:t>Efferin</w:t>
      </w:r>
      <w:proofErr w:type="spellEnd"/>
      <w:r w:rsidRPr="00C1771F">
        <w:rPr>
          <w:rFonts w:ascii="Times New Roman" w:hAnsi="Times New Roman" w:cs="Times New Roman"/>
        </w:rPr>
        <w:t xml:space="preserve">, S., &amp; </w:t>
      </w:r>
      <w:proofErr w:type="spellStart"/>
      <w:r w:rsidRPr="00C1771F">
        <w:rPr>
          <w:rFonts w:ascii="Times New Roman" w:hAnsi="Times New Roman" w:cs="Times New Roman"/>
        </w:rPr>
        <w:t>Hutomo</w:t>
      </w:r>
      <w:proofErr w:type="spellEnd"/>
      <w:r w:rsidRPr="00C1771F">
        <w:rPr>
          <w:rFonts w:ascii="Times New Roman" w:hAnsi="Times New Roman" w:cs="Times New Roman"/>
        </w:rPr>
        <w:t>, C. C. (2021). Spirituality, happiness and auditors</w:t>
      </w:r>
      <w:r w:rsidR="00F96F84">
        <w:rPr>
          <w:rFonts w:ascii="Times New Roman" w:hAnsi="Times New Roman" w:cs="Times New Roman"/>
        </w:rPr>
        <w:t>’</w:t>
      </w:r>
      <w:r w:rsidRPr="00C1771F">
        <w:rPr>
          <w:rFonts w:ascii="Times New Roman" w:hAnsi="Times New Roman" w:cs="Times New Roman"/>
        </w:rPr>
        <w:t xml:space="preserve"> commitment: An interbeing perspective. </w:t>
      </w:r>
      <w:r w:rsidRPr="00C1771F">
        <w:rPr>
          <w:rFonts w:ascii="Times New Roman" w:hAnsi="Times New Roman" w:cs="Times New Roman"/>
          <w:i/>
          <w:iCs/>
        </w:rPr>
        <w:t>Accounting, Auditing and Accountability Journal, 34</w:t>
      </w:r>
      <w:r w:rsidRPr="00C1771F">
        <w:rPr>
          <w:rFonts w:ascii="Times New Roman" w:hAnsi="Times New Roman" w:cs="Times New Roman"/>
        </w:rPr>
        <w:t>(4), 701–730.</w:t>
      </w:r>
    </w:p>
    <w:p w14:paraId="10AE35AC" w14:textId="329C4DF8" w:rsidR="00AC1185" w:rsidRDefault="00AC1185" w:rsidP="00C1771F">
      <w:pPr>
        <w:spacing w:before="120" w:after="120" w:line="240" w:lineRule="auto"/>
        <w:rPr>
          <w:rFonts w:ascii="Times New Roman" w:hAnsi="Times New Roman" w:cs="Times New Roman"/>
        </w:rPr>
      </w:pPr>
      <w:r w:rsidRPr="00AC1185">
        <w:rPr>
          <w:rFonts w:ascii="Times New Roman" w:hAnsi="Times New Roman" w:cs="Times New Roman"/>
        </w:rPr>
        <w:t xml:space="preserve">Global Forest Watch. (2024). </w:t>
      </w:r>
      <w:r w:rsidRPr="00AC1185">
        <w:rPr>
          <w:rFonts w:ascii="Times New Roman" w:hAnsi="Times New Roman" w:cs="Times New Roman"/>
          <w:i/>
          <w:iCs/>
        </w:rPr>
        <w:t>Global Forest Watch’s 202</w:t>
      </w:r>
      <w:r w:rsidR="00E81BC7">
        <w:rPr>
          <w:rFonts w:ascii="Times New Roman" w:hAnsi="Times New Roman" w:cs="Times New Roman" w:hint="eastAsia"/>
          <w:i/>
          <w:iCs/>
        </w:rPr>
        <w:t>3</w:t>
      </w:r>
      <w:r w:rsidRPr="00AC1185">
        <w:rPr>
          <w:rFonts w:ascii="Times New Roman" w:hAnsi="Times New Roman" w:cs="Times New Roman"/>
          <w:i/>
          <w:iCs/>
        </w:rPr>
        <w:t xml:space="preserve"> Tree Cover Loss Data Explained</w:t>
      </w:r>
      <w:r w:rsidRPr="00AC1185">
        <w:rPr>
          <w:rFonts w:ascii="Times New Roman" w:hAnsi="Times New Roman" w:cs="Times New Roman"/>
        </w:rPr>
        <w:t xml:space="preserve">. Retrieved from </w:t>
      </w:r>
      <w:hyperlink r:id="rId9" w:history="1">
        <w:r w:rsidRPr="00B43CCC">
          <w:rPr>
            <w:rStyle w:val="Hyperlink"/>
            <w:rFonts w:ascii="Times New Roman" w:hAnsi="Times New Roman" w:cs="Times New Roman"/>
          </w:rPr>
          <w:t>https://www.globalforestwatch.org/blog/data-and-tools/2024-tree-cover-loss-data-explained/</w:t>
        </w:r>
      </w:hyperlink>
    </w:p>
    <w:p w14:paraId="4CEABBEC" w14:textId="61EE5E8D" w:rsidR="00242196" w:rsidRDefault="00242196" w:rsidP="00C1771F">
      <w:pPr>
        <w:spacing w:before="120" w:after="120" w:line="240" w:lineRule="auto"/>
        <w:rPr>
          <w:rFonts w:ascii="Times New Roman" w:hAnsi="Times New Roman" w:cs="Times New Roman"/>
          <w:i/>
          <w:iCs/>
        </w:rPr>
      </w:pPr>
      <w:proofErr w:type="spellStart"/>
      <w:r w:rsidRPr="00242196">
        <w:rPr>
          <w:rFonts w:ascii="Times New Roman" w:hAnsi="Times New Roman" w:cs="Times New Roman"/>
        </w:rPr>
        <w:t>Hamsyi</w:t>
      </w:r>
      <w:proofErr w:type="spellEnd"/>
      <w:r w:rsidRPr="00242196">
        <w:rPr>
          <w:rFonts w:ascii="Times New Roman" w:hAnsi="Times New Roman" w:cs="Times New Roman"/>
        </w:rPr>
        <w:t xml:space="preserve">, N. F., Rakhman, F., &amp; Wijayana, S. (2025). The combined impact of ESG and Sharia compliance in mitigating stock price crash risk. </w:t>
      </w:r>
      <w:r w:rsidRPr="00242196">
        <w:rPr>
          <w:rFonts w:ascii="Times New Roman" w:hAnsi="Times New Roman" w:cs="Times New Roman"/>
          <w:i/>
          <w:iCs/>
        </w:rPr>
        <w:t>Pacific Accounting Review.</w:t>
      </w:r>
    </w:p>
    <w:p w14:paraId="5C7DF828" w14:textId="4770C963" w:rsidR="00C1771F"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 xml:space="preserve">Hofstede, G., Hofstede, G. J., &amp; Minkov, M. (2011). </w:t>
      </w:r>
      <w:r w:rsidRPr="00C1771F">
        <w:rPr>
          <w:rFonts w:ascii="Times New Roman" w:hAnsi="Times New Roman" w:cs="Times New Roman"/>
          <w:i/>
          <w:iCs/>
        </w:rPr>
        <w:t>Cultures and Organizations: Software of the Mind</w:t>
      </w:r>
      <w:r w:rsidRPr="00C1771F">
        <w:rPr>
          <w:rFonts w:ascii="Times New Roman" w:hAnsi="Times New Roman" w:cs="Times New Roman"/>
        </w:rPr>
        <w:t xml:space="preserve"> (3rd ed.). New York: McGraw-Hill Education.</w:t>
      </w:r>
    </w:p>
    <w:p w14:paraId="3387F853" w14:textId="43418265" w:rsidR="00C1771F"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 xml:space="preserve">Inglehart, R., et al. (2014). </w:t>
      </w:r>
      <w:r w:rsidRPr="00C1771F">
        <w:rPr>
          <w:rFonts w:ascii="Times New Roman" w:hAnsi="Times New Roman" w:cs="Times New Roman"/>
          <w:i/>
          <w:iCs/>
        </w:rPr>
        <w:t>World Values Survey: Round Six</w:t>
      </w:r>
      <w:r w:rsidR="00DD2245">
        <w:rPr>
          <w:rFonts w:ascii="Times New Roman" w:hAnsi="Times New Roman" w:cs="Times New Roman" w:hint="eastAsia"/>
          <w:i/>
          <w:iCs/>
        </w:rPr>
        <w:t>-</w:t>
      </w:r>
      <w:r w:rsidRPr="00C1771F">
        <w:rPr>
          <w:rFonts w:ascii="Times New Roman" w:hAnsi="Times New Roman" w:cs="Times New Roman"/>
          <w:i/>
          <w:iCs/>
        </w:rPr>
        <w:t>Country-Pooled Datafile Version.</w:t>
      </w:r>
      <w:r w:rsidRPr="00C1771F">
        <w:rPr>
          <w:rFonts w:ascii="Times New Roman" w:hAnsi="Times New Roman" w:cs="Times New Roman"/>
        </w:rPr>
        <w:t xml:space="preserve"> Madrid: JD Systems Institute.</w:t>
      </w:r>
    </w:p>
    <w:p w14:paraId="31CA92A5" w14:textId="5AE6083A" w:rsidR="00911E49"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 xml:space="preserve">International Monetary Fund. (2023). </w:t>
      </w:r>
      <w:r w:rsidRPr="00C1771F">
        <w:rPr>
          <w:rFonts w:ascii="Times New Roman" w:hAnsi="Times New Roman" w:cs="Times New Roman"/>
          <w:i/>
          <w:iCs/>
        </w:rPr>
        <w:t>Real GDP Growth.</w:t>
      </w:r>
      <w:r w:rsidRPr="00C1771F">
        <w:rPr>
          <w:rFonts w:ascii="Times New Roman" w:hAnsi="Times New Roman" w:cs="Times New Roman"/>
        </w:rPr>
        <w:t xml:space="preserve"> </w:t>
      </w:r>
      <w:hyperlink r:id="rId10" w:tgtFrame="_new" w:history="1">
        <w:r w:rsidRPr="00C1771F">
          <w:rPr>
            <w:rStyle w:val="Hyperlink"/>
            <w:rFonts w:ascii="Times New Roman" w:hAnsi="Times New Roman" w:cs="Times New Roman"/>
          </w:rPr>
          <w:t>https://www.imf.org</w:t>
        </w:r>
      </w:hyperlink>
    </w:p>
    <w:p w14:paraId="6838A9F1" w14:textId="24281C18" w:rsidR="00DC4ED1" w:rsidRDefault="00DC4ED1" w:rsidP="00C1771F">
      <w:pPr>
        <w:spacing w:before="120" w:after="120" w:line="240" w:lineRule="auto"/>
        <w:rPr>
          <w:rFonts w:ascii="Times New Roman" w:hAnsi="Times New Roman" w:cs="Times New Roman"/>
        </w:rPr>
      </w:pPr>
      <w:r w:rsidRPr="00DC4ED1">
        <w:rPr>
          <w:rFonts w:ascii="Times New Roman" w:hAnsi="Times New Roman" w:cs="Times New Roman"/>
        </w:rPr>
        <w:t xml:space="preserve">Joni, J., Ahmed, K., &amp; Hamilton, J. (2020). Politically connected boards, family and business group affiliations, and cost of capital: Evidence from Indonesia. </w:t>
      </w:r>
      <w:r w:rsidRPr="00DC4ED1">
        <w:rPr>
          <w:rFonts w:ascii="Times New Roman" w:hAnsi="Times New Roman" w:cs="Times New Roman"/>
          <w:i/>
          <w:iCs/>
        </w:rPr>
        <w:t>British Accounting Review, 52</w:t>
      </w:r>
      <w:r w:rsidRPr="00DC4ED1">
        <w:rPr>
          <w:rFonts w:ascii="Times New Roman" w:hAnsi="Times New Roman" w:cs="Times New Roman"/>
        </w:rPr>
        <w:t>(3).</w:t>
      </w:r>
    </w:p>
    <w:p w14:paraId="19D1E34A" w14:textId="77C6A965" w:rsidR="00C1771F" w:rsidRDefault="00C1771F" w:rsidP="00C1771F">
      <w:pPr>
        <w:spacing w:before="120" w:after="120" w:line="240" w:lineRule="auto"/>
        <w:rPr>
          <w:rFonts w:ascii="Times New Roman" w:hAnsi="Times New Roman" w:cs="Times New Roman"/>
        </w:rPr>
      </w:pPr>
      <w:proofErr w:type="spellStart"/>
      <w:r w:rsidRPr="00C1771F">
        <w:rPr>
          <w:rFonts w:ascii="Times New Roman" w:hAnsi="Times New Roman" w:cs="Times New Roman"/>
        </w:rPr>
        <w:t>Kristanto</w:t>
      </w:r>
      <w:proofErr w:type="spellEnd"/>
      <w:r w:rsidRPr="00C1771F">
        <w:rPr>
          <w:rFonts w:ascii="Times New Roman" w:hAnsi="Times New Roman" w:cs="Times New Roman"/>
        </w:rPr>
        <w:t xml:space="preserve">, A. B., &amp; Cao, J. (2024). The landscape of accounting-related research in Indonesia: Mapping distinctive settings and future research agenda. </w:t>
      </w:r>
      <w:r w:rsidRPr="00C1771F">
        <w:rPr>
          <w:rFonts w:ascii="Times New Roman" w:hAnsi="Times New Roman" w:cs="Times New Roman"/>
          <w:i/>
          <w:iCs/>
        </w:rPr>
        <w:t>Journal of Accounting Literature</w:t>
      </w:r>
      <w:r w:rsidR="00537175">
        <w:rPr>
          <w:rFonts w:ascii="Times New Roman" w:hAnsi="Times New Roman" w:cs="Times New Roman" w:hint="eastAsia"/>
          <w:i/>
          <w:iCs/>
        </w:rPr>
        <w:t>,</w:t>
      </w:r>
      <w:r w:rsidR="004766B7">
        <w:rPr>
          <w:rFonts w:ascii="Times New Roman" w:hAnsi="Times New Roman" w:cs="Times New Roman" w:hint="eastAsia"/>
          <w:i/>
          <w:iCs/>
        </w:rPr>
        <w:t xml:space="preserve"> </w:t>
      </w:r>
      <w:r w:rsidR="00537175" w:rsidRPr="00537175">
        <w:rPr>
          <w:rFonts w:ascii="Times New Roman" w:hAnsi="Times New Roman" w:cs="Times New Roman"/>
          <w:i/>
          <w:iCs/>
        </w:rPr>
        <w:t>47</w:t>
      </w:r>
      <w:r w:rsidR="00537175" w:rsidRPr="004766B7">
        <w:rPr>
          <w:rFonts w:ascii="Times New Roman" w:hAnsi="Times New Roman" w:cs="Times New Roman"/>
        </w:rPr>
        <w:t>(2),</w:t>
      </w:r>
      <w:r w:rsidR="004766B7" w:rsidRPr="004766B7">
        <w:rPr>
          <w:rFonts w:ascii="Times New Roman" w:hAnsi="Times New Roman" w:cs="Times New Roman" w:hint="eastAsia"/>
        </w:rPr>
        <w:t xml:space="preserve"> </w:t>
      </w:r>
      <w:r w:rsidR="00537175" w:rsidRPr="004766B7">
        <w:rPr>
          <w:rFonts w:ascii="Times New Roman" w:hAnsi="Times New Roman" w:cs="Times New Roman"/>
        </w:rPr>
        <w:t>462</w:t>
      </w:r>
      <w:r w:rsidR="004766B7" w:rsidRPr="00C1771F">
        <w:rPr>
          <w:rFonts w:ascii="Times New Roman" w:hAnsi="Times New Roman" w:cs="Times New Roman"/>
        </w:rPr>
        <w:t>–</w:t>
      </w:r>
      <w:r w:rsidR="00537175" w:rsidRPr="004766B7">
        <w:rPr>
          <w:rFonts w:ascii="Times New Roman" w:hAnsi="Times New Roman" w:cs="Times New Roman"/>
        </w:rPr>
        <w:t>494</w:t>
      </w:r>
      <w:r w:rsidR="004766B7">
        <w:rPr>
          <w:rFonts w:ascii="Times New Roman" w:hAnsi="Times New Roman" w:cs="Times New Roman" w:hint="eastAsia"/>
        </w:rPr>
        <w:t xml:space="preserve">. </w:t>
      </w:r>
    </w:p>
    <w:p w14:paraId="70DFAC9B" w14:textId="77777777" w:rsidR="00DC4ED1" w:rsidRDefault="00DC4ED1" w:rsidP="00C1771F">
      <w:pPr>
        <w:spacing w:before="120" w:after="120" w:line="240" w:lineRule="auto"/>
        <w:rPr>
          <w:rFonts w:ascii="Times New Roman" w:hAnsi="Times New Roman" w:cs="Times New Roman"/>
          <w:i/>
          <w:iCs/>
        </w:rPr>
      </w:pPr>
      <w:r w:rsidRPr="00DC4ED1">
        <w:rPr>
          <w:rFonts w:ascii="Times New Roman" w:hAnsi="Times New Roman" w:cs="Times New Roman"/>
        </w:rPr>
        <w:t xml:space="preserve">Latifah, L., &amp; </w:t>
      </w:r>
      <w:proofErr w:type="spellStart"/>
      <w:r w:rsidRPr="00DC4ED1">
        <w:rPr>
          <w:rFonts w:ascii="Times New Roman" w:hAnsi="Times New Roman" w:cs="Times New Roman"/>
        </w:rPr>
        <w:t>Ivada</w:t>
      </w:r>
      <w:proofErr w:type="spellEnd"/>
      <w:r w:rsidRPr="00DC4ED1">
        <w:rPr>
          <w:rFonts w:ascii="Times New Roman" w:hAnsi="Times New Roman" w:cs="Times New Roman"/>
        </w:rPr>
        <w:t xml:space="preserve">, E. (2025). Preparing Indonesian accountants for sustainability challenges: Insights from accounting educators. </w:t>
      </w:r>
      <w:r w:rsidRPr="00DC4ED1">
        <w:rPr>
          <w:rFonts w:ascii="Times New Roman" w:hAnsi="Times New Roman" w:cs="Times New Roman"/>
          <w:i/>
          <w:iCs/>
        </w:rPr>
        <w:t>Pacific Accounting Review.</w:t>
      </w:r>
    </w:p>
    <w:p w14:paraId="6095FFD2" w14:textId="77777777" w:rsidR="00FB7915" w:rsidRDefault="00FB7915" w:rsidP="00FB7915">
      <w:pPr>
        <w:spacing w:before="120" w:after="120" w:line="240" w:lineRule="auto"/>
        <w:rPr>
          <w:rFonts w:ascii="Times New Roman" w:hAnsi="Times New Roman" w:cs="Times New Roman"/>
          <w:i/>
          <w:iCs/>
        </w:rPr>
      </w:pPr>
      <w:r w:rsidRPr="00FB7915">
        <w:rPr>
          <w:rFonts w:ascii="Times New Roman" w:hAnsi="Times New Roman" w:cs="Times New Roman"/>
        </w:rPr>
        <w:t xml:space="preserve">Ningsih, S., Putri, F. V., Permatasari, Y., </w:t>
      </w:r>
      <w:proofErr w:type="spellStart"/>
      <w:r w:rsidRPr="00FB7915">
        <w:rPr>
          <w:rFonts w:ascii="Times New Roman" w:hAnsi="Times New Roman" w:cs="Times New Roman"/>
        </w:rPr>
        <w:t>Ardianto</w:t>
      </w:r>
      <w:proofErr w:type="spellEnd"/>
      <w:r w:rsidRPr="00FB7915">
        <w:rPr>
          <w:rFonts w:ascii="Times New Roman" w:hAnsi="Times New Roman" w:cs="Times New Roman"/>
        </w:rPr>
        <w:t xml:space="preserve">, A., Sarea, A., &amp; </w:t>
      </w:r>
      <w:proofErr w:type="spellStart"/>
      <w:r w:rsidRPr="00FB7915">
        <w:rPr>
          <w:rFonts w:ascii="Times New Roman" w:hAnsi="Times New Roman" w:cs="Times New Roman"/>
        </w:rPr>
        <w:t>Rosyidah</w:t>
      </w:r>
      <w:proofErr w:type="spellEnd"/>
      <w:r w:rsidRPr="00FB7915">
        <w:rPr>
          <w:rFonts w:ascii="Times New Roman" w:hAnsi="Times New Roman" w:cs="Times New Roman"/>
        </w:rPr>
        <w:t xml:space="preserve">, M. A. (2025). CEO auditor background and cost of debt: An empirical study. </w:t>
      </w:r>
      <w:r w:rsidRPr="00FB7915">
        <w:rPr>
          <w:rFonts w:ascii="Times New Roman" w:hAnsi="Times New Roman" w:cs="Times New Roman"/>
          <w:i/>
          <w:iCs/>
        </w:rPr>
        <w:t>Pacific Accounting Review.</w:t>
      </w:r>
    </w:p>
    <w:p w14:paraId="7583F62D" w14:textId="77777777" w:rsidR="00FB7915" w:rsidRPr="00FB7915" w:rsidRDefault="00FB7915" w:rsidP="00FB7915">
      <w:pPr>
        <w:spacing w:before="120" w:after="120" w:line="240" w:lineRule="auto"/>
        <w:rPr>
          <w:rFonts w:ascii="Times New Roman" w:hAnsi="Times New Roman" w:cs="Times New Roman"/>
        </w:rPr>
      </w:pPr>
      <w:proofErr w:type="spellStart"/>
      <w:r w:rsidRPr="00FB7915">
        <w:rPr>
          <w:rFonts w:ascii="Times New Roman" w:hAnsi="Times New Roman" w:cs="Times New Roman"/>
        </w:rPr>
        <w:t>Purwoaji</w:t>
      </w:r>
      <w:proofErr w:type="spellEnd"/>
      <w:r w:rsidRPr="00FB7915">
        <w:rPr>
          <w:rFonts w:ascii="Times New Roman" w:hAnsi="Times New Roman" w:cs="Times New Roman"/>
        </w:rPr>
        <w:t xml:space="preserve">, A., Cahyono, S., </w:t>
      </w:r>
      <w:proofErr w:type="spellStart"/>
      <w:r w:rsidRPr="00FB7915">
        <w:rPr>
          <w:rFonts w:ascii="Times New Roman" w:hAnsi="Times New Roman" w:cs="Times New Roman"/>
        </w:rPr>
        <w:t>Ardianto</w:t>
      </w:r>
      <w:proofErr w:type="spellEnd"/>
      <w:r w:rsidRPr="00FB7915">
        <w:rPr>
          <w:rFonts w:ascii="Times New Roman" w:hAnsi="Times New Roman" w:cs="Times New Roman"/>
        </w:rPr>
        <w:t xml:space="preserve">, A., &amp; Kamarudin, K. A. (2025). The impact of insider CEOs on corporate carbon emissions performance: The moderating role of corporate governance. </w:t>
      </w:r>
      <w:r w:rsidRPr="00FB7915">
        <w:rPr>
          <w:rFonts w:ascii="Times New Roman" w:hAnsi="Times New Roman" w:cs="Times New Roman"/>
          <w:i/>
          <w:iCs/>
        </w:rPr>
        <w:t>Pacific Accounting Review.</w:t>
      </w:r>
    </w:p>
    <w:p w14:paraId="628802D9" w14:textId="77777777" w:rsidR="00FB7915" w:rsidRPr="00FB7915" w:rsidRDefault="00FB7915" w:rsidP="00FB7915">
      <w:pPr>
        <w:spacing w:before="120" w:after="120" w:line="240" w:lineRule="auto"/>
        <w:rPr>
          <w:rFonts w:ascii="Times New Roman" w:hAnsi="Times New Roman" w:cs="Times New Roman"/>
        </w:rPr>
      </w:pPr>
      <w:proofErr w:type="spellStart"/>
      <w:r w:rsidRPr="00FB7915">
        <w:rPr>
          <w:rFonts w:ascii="Times New Roman" w:hAnsi="Times New Roman" w:cs="Times New Roman"/>
        </w:rPr>
        <w:t>Rahmatulloh</w:t>
      </w:r>
      <w:proofErr w:type="spellEnd"/>
      <w:r w:rsidRPr="00FB7915">
        <w:rPr>
          <w:rFonts w:ascii="Times New Roman" w:hAnsi="Times New Roman" w:cs="Times New Roman"/>
        </w:rPr>
        <w:t xml:space="preserve">, S. A., </w:t>
      </w:r>
      <w:proofErr w:type="spellStart"/>
      <w:r w:rsidRPr="00FB7915">
        <w:rPr>
          <w:rFonts w:ascii="Times New Roman" w:hAnsi="Times New Roman" w:cs="Times New Roman"/>
        </w:rPr>
        <w:t>Anridho</w:t>
      </w:r>
      <w:proofErr w:type="spellEnd"/>
      <w:r w:rsidRPr="00FB7915">
        <w:rPr>
          <w:rFonts w:ascii="Times New Roman" w:hAnsi="Times New Roman" w:cs="Times New Roman"/>
        </w:rPr>
        <w:t xml:space="preserve">, N., Ningsih, S., Fitriani, N., &amp; Lee, S. P. (2025). CEO career variety and ESG disclosure: Evidence from Indonesia. </w:t>
      </w:r>
      <w:r w:rsidRPr="00FB7915">
        <w:rPr>
          <w:rFonts w:ascii="Times New Roman" w:hAnsi="Times New Roman" w:cs="Times New Roman"/>
          <w:i/>
          <w:iCs/>
        </w:rPr>
        <w:t>Pacific Accounting Review.</w:t>
      </w:r>
    </w:p>
    <w:p w14:paraId="16E22B42" w14:textId="77777777" w:rsidR="00FB7915" w:rsidRPr="00FB7915" w:rsidRDefault="00FB7915" w:rsidP="00FB7915">
      <w:pPr>
        <w:spacing w:before="120" w:after="120" w:line="240" w:lineRule="auto"/>
        <w:rPr>
          <w:rFonts w:ascii="Times New Roman" w:hAnsi="Times New Roman" w:cs="Times New Roman"/>
        </w:rPr>
      </w:pPr>
      <w:proofErr w:type="spellStart"/>
      <w:r w:rsidRPr="00FB7915">
        <w:rPr>
          <w:rFonts w:ascii="Times New Roman" w:hAnsi="Times New Roman" w:cs="Times New Roman"/>
        </w:rPr>
        <w:t>Restuti</w:t>
      </w:r>
      <w:proofErr w:type="spellEnd"/>
      <w:r w:rsidRPr="00FB7915">
        <w:rPr>
          <w:rFonts w:ascii="Times New Roman" w:hAnsi="Times New Roman" w:cs="Times New Roman"/>
        </w:rPr>
        <w:t xml:space="preserve">, M. D., </w:t>
      </w:r>
      <w:proofErr w:type="spellStart"/>
      <w:r w:rsidRPr="00FB7915">
        <w:rPr>
          <w:rFonts w:ascii="Times New Roman" w:hAnsi="Times New Roman" w:cs="Times New Roman"/>
        </w:rPr>
        <w:t>Shauki</w:t>
      </w:r>
      <w:proofErr w:type="spellEnd"/>
      <w:r w:rsidRPr="00FB7915">
        <w:rPr>
          <w:rFonts w:ascii="Times New Roman" w:hAnsi="Times New Roman" w:cs="Times New Roman"/>
        </w:rPr>
        <w:t xml:space="preserve">, E. R., </w:t>
      </w:r>
      <w:proofErr w:type="spellStart"/>
      <w:r w:rsidRPr="00FB7915">
        <w:rPr>
          <w:rFonts w:ascii="Times New Roman" w:hAnsi="Times New Roman" w:cs="Times New Roman"/>
        </w:rPr>
        <w:t>Supatmi</w:t>
      </w:r>
      <w:proofErr w:type="spellEnd"/>
      <w:r w:rsidRPr="00FB7915">
        <w:rPr>
          <w:rFonts w:ascii="Times New Roman" w:hAnsi="Times New Roman" w:cs="Times New Roman"/>
        </w:rPr>
        <w:t xml:space="preserve">, S., &amp; </w:t>
      </w:r>
      <w:proofErr w:type="spellStart"/>
      <w:r w:rsidRPr="00FB7915">
        <w:rPr>
          <w:rFonts w:ascii="Times New Roman" w:hAnsi="Times New Roman" w:cs="Times New Roman"/>
        </w:rPr>
        <w:t>Nugrahanti</w:t>
      </w:r>
      <w:proofErr w:type="spellEnd"/>
      <w:r w:rsidRPr="00FB7915">
        <w:rPr>
          <w:rFonts w:ascii="Times New Roman" w:hAnsi="Times New Roman" w:cs="Times New Roman"/>
        </w:rPr>
        <w:t xml:space="preserve">, Y. W. (2025). Political connections, election years and cost stickiness: Evidence from Indonesia. </w:t>
      </w:r>
      <w:r w:rsidRPr="00FB7915">
        <w:rPr>
          <w:rFonts w:ascii="Times New Roman" w:hAnsi="Times New Roman" w:cs="Times New Roman"/>
          <w:i/>
          <w:iCs/>
        </w:rPr>
        <w:t>Pacific Accounting Review.</w:t>
      </w:r>
    </w:p>
    <w:p w14:paraId="6104ED18" w14:textId="77777777" w:rsidR="00FB7915" w:rsidRDefault="00FB7915" w:rsidP="00C1771F">
      <w:pPr>
        <w:spacing w:before="120" w:after="120" w:line="240" w:lineRule="auto"/>
        <w:rPr>
          <w:rFonts w:ascii="Times New Roman" w:hAnsi="Times New Roman" w:cs="Times New Roman"/>
          <w:i/>
          <w:iCs/>
        </w:rPr>
      </w:pPr>
      <w:r w:rsidRPr="00FB7915">
        <w:rPr>
          <w:rFonts w:ascii="Times New Roman" w:hAnsi="Times New Roman" w:cs="Times New Roman"/>
        </w:rPr>
        <w:lastRenderedPageBreak/>
        <w:t xml:space="preserve">Suhardjo, I., Akroyd, C., &amp; Suparman, M. (2025). Sustainability performance and reporting in Indonesian listed companies. </w:t>
      </w:r>
      <w:r w:rsidRPr="00FB7915">
        <w:rPr>
          <w:rFonts w:ascii="Times New Roman" w:hAnsi="Times New Roman" w:cs="Times New Roman"/>
          <w:i/>
          <w:iCs/>
        </w:rPr>
        <w:t>Pacific Accounting Review.</w:t>
      </w:r>
    </w:p>
    <w:p w14:paraId="5035763F" w14:textId="1B45D4E4" w:rsidR="00C1771F"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 xml:space="preserve">Suryani, A. W., Helliar, C., Carter, A. J., &amp; Medlin, J. (2018). Shunning careers in public accounting firms: The case of Indonesia. </w:t>
      </w:r>
      <w:r w:rsidRPr="00C1771F">
        <w:rPr>
          <w:rFonts w:ascii="Times New Roman" w:hAnsi="Times New Roman" w:cs="Times New Roman"/>
          <w:i/>
          <w:iCs/>
        </w:rPr>
        <w:t>British Accounting Review, 50</w:t>
      </w:r>
      <w:r w:rsidRPr="00C1771F">
        <w:rPr>
          <w:rFonts w:ascii="Times New Roman" w:hAnsi="Times New Roman" w:cs="Times New Roman"/>
        </w:rPr>
        <w:t>(5), 463–480.</w:t>
      </w:r>
    </w:p>
    <w:p w14:paraId="117AC07E" w14:textId="77777777" w:rsidR="00C1771F"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 xml:space="preserve">Transparency International. (2020). How does corruption shape Asia? </w:t>
      </w:r>
      <w:hyperlink r:id="rId11" w:tgtFrame="_new" w:history="1">
        <w:r w:rsidRPr="00C1771F">
          <w:rPr>
            <w:rStyle w:val="Hyperlink"/>
            <w:rFonts w:ascii="Times New Roman" w:hAnsi="Times New Roman" w:cs="Times New Roman"/>
          </w:rPr>
          <w:t>https://www.transparency.org</w:t>
        </w:r>
      </w:hyperlink>
    </w:p>
    <w:p w14:paraId="7B04ECF8" w14:textId="77777777" w:rsidR="00C1771F"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 xml:space="preserve">Transparency International. (2023). </w:t>
      </w:r>
      <w:r w:rsidRPr="00C1771F">
        <w:rPr>
          <w:rFonts w:ascii="Times New Roman" w:hAnsi="Times New Roman" w:cs="Times New Roman"/>
          <w:i/>
          <w:iCs/>
        </w:rPr>
        <w:t>Corruption Perceptions Index.</w:t>
      </w:r>
      <w:r w:rsidRPr="00C1771F">
        <w:rPr>
          <w:rFonts w:ascii="Times New Roman" w:hAnsi="Times New Roman" w:cs="Times New Roman"/>
        </w:rPr>
        <w:t xml:space="preserve"> </w:t>
      </w:r>
      <w:hyperlink r:id="rId12" w:tgtFrame="_new" w:history="1">
        <w:r w:rsidRPr="00C1771F">
          <w:rPr>
            <w:rStyle w:val="Hyperlink"/>
            <w:rFonts w:ascii="Times New Roman" w:hAnsi="Times New Roman" w:cs="Times New Roman"/>
          </w:rPr>
          <w:t>https://www.transparency.org</w:t>
        </w:r>
      </w:hyperlink>
    </w:p>
    <w:p w14:paraId="3B43BF8D" w14:textId="77777777" w:rsidR="00FD646D" w:rsidRDefault="00FD646D" w:rsidP="00FD646D">
      <w:pPr>
        <w:spacing w:before="120" w:after="120" w:line="240" w:lineRule="auto"/>
        <w:rPr>
          <w:rFonts w:ascii="Times New Roman" w:hAnsi="Times New Roman" w:cs="Times New Roman"/>
        </w:rPr>
      </w:pPr>
      <w:r w:rsidRPr="00C1771F">
        <w:rPr>
          <w:rFonts w:ascii="Times New Roman" w:hAnsi="Times New Roman" w:cs="Times New Roman"/>
        </w:rPr>
        <w:t xml:space="preserve">Wong, T. J. (2016). Corporate governance research on listed firms in China: Institutions, governance and accountability. </w:t>
      </w:r>
      <w:r w:rsidRPr="00C1771F">
        <w:rPr>
          <w:rFonts w:ascii="Times New Roman" w:hAnsi="Times New Roman" w:cs="Times New Roman"/>
          <w:i/>
          <w:iCs/>
        </w:rPr>
        <w:t>Foundations and Trends in Accounting, 9</w:t>
      </w:r>
      <w:r w:rsidRPr="00C1771F">
        <w:rPr>
          <w:rFonts w:ascii="Times New Roman" w:hAnsi="Times New Roman" w:cs="Times New Roman"/>
        </w:rPr>
        <w:t>(4), 259–326.</w:t>
      </w:r>
    </w:p>
    <w:p w14:paraId="66754973" w14:textId="77777777" w:rsidR="00C1771F"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 xml:space="preserve">World Bank. (2022). </w:t>
      </w:r>
      <w:r w:rsidRPr="00C1771F">
        <w:rPr>
          <w:rFonts w:ascii="Times New Roman" w:hAnsi="Times New Roman" w:cs="Times New Roman"/>
          <w:i/>
          <w:iCs/>
        </w:rPr>
        <w:t>Indonesia overview: Development news, research, data.</w:t>
      </w:r>
      <w:r w:rsidRPr="00C1771F">
        <w:rPr>
          <w:rFonts w:ascii="Times New Roman" w:hAnsi="Times New Roman" w:cs="Times New Roman"/>
        </w:rPr>
        <w:t xml:space="preserve"> </w:t>
      </w:r>
      <w:hyperlink r:id="rId13" w:tgtFrame="_new" w:history="1">
        <w:r w:rsidRPr="00C1771F">
          <w:rPr>
            <w:rStyle w:val="Hyperlink"/>
            <w:rFonts w:ascii="Times New Roman" w:hAnsi="Times New Roman" w:cs="Times New Roman"/>
          </w:rPr>
          <w:t>https://www.worldbank.org</w:t>
        </w:r>
      </w:hyperlink>
    </w:p>
    <w:p w14:paraId="14ADC926" w14:textId="60E2D8E4" w:rsidR="00C1771F" w:rsidRPr="00C1771F" w:rsidRDefault="00C1771F" w:rsidP="00C1771F">
      <w:pPr>
        <w:spacing w:before="120" w:after="120" w:line="240" w:lineRule="auto"/>
        <w:rPr>
          <w:rFonts w:ascii="Times New Roman" w:hAnsi="Times New Roman" w:cs="Times New Roman"/>
        </w:rPr>
      </w:pPr>
      <w:r w:rsidRPr="00C1771F">
        <w:rPr>
          <w:rFonts w:ascii="Times New Roman" w:hAnsi="Times New Roman" w:cs="Times New Roman"/>
        </w:rPr>
        <w:t xml:space="preserve">Wysocki, P. (2011). New institutional accounting and IFRS. </w:t>
      </w:r>
      <w:r w:rsidRPr="00C1771F">
        <w:rPr>
          <w:rFonts w:ascii="Times New Roman" w:hAnsi="Times New Roman" w:cs="Times New Roman"/>
          <w:i/>
          <w:iCs/>
        </w:rPr>
        <w:t>Accounting and Business Research, 41</w:t>
      </w:r>
      <w:r w:rsidRPr="00C1771F">
        <w:rPr>
          <w:rFonts w:ascii="Times New Roman" w:hAnsi="Times New Roman" w:cs="Times New Roman"/>
        </w:rPr>
        <w:t>(3), 309–328.</w:t>
      </w:r>
    </w:p>
    <w:p w14:paraId="0695D40A" w14:textId="77777777" w:rsidR="00E47345" w:rsidRPr="00C1771F" w:rsidRDefault="00E47345" w:rsidP="00C1771F">
      <w:pPr>
        <w:jc w:val="both"/>
        <w:rPr>
          <w:rFonts w:ascii="Times New Roman" w:hAnsi="Times New Roman" w:cs="Times New Roman"/>
        </w:rPr>
      </w:pPr>
    </w:p>
    <w:sectPr w:rsidR="00E47345" w:rsidRPr="00C1771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516E" w14:textId="77777777" w:rsidR="00085B02" w:rsidRDefault="00085B02" w:rsidP="002265F6">
      <w:pPr>
        <w:spacing w:after="0" w:line="240" w:lineRule="auto"/>
      </w:pPr>
      <w:r>
        <w:separator/>
      </w:r>
    </w:p>
  </w:endnote>
  <w:endnote w:type="continuationSeparator" w:id="0">
    <w:p w14:paraId="4EC72E90" w14:textId="77777777" w:rsidR="00085B02" w:rsidRDefault="00085B02" w:rsidP="0022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837552"/>
      <w:docPartObj>
        <w:docPartGallery w:val="Page Numbers (Bottom of Page)"/>
        <w:docPartUnique/>
      </w:docPartObj>
    </w:sdtPr>
    <w:sdtEndPr>
      <w:rPr>
        <w:noProof/>
      </w:rPr>
    </w:sdtEndPr>
    <w:sdtContent>
      <w:p w14:paraId="5956DB22" w14:textId="456E7A93" w:rsidR="002265F6" w:rsidRDefault="002265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FCA4A5" w14:textId="77777777" w:rsidR="002265F6" w:rsidRDefault="00226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C1F5" w14:textId="77777777" w:rsidR="00085B02" w:rsidRDefault="00085B02" w:rsidP="002265F6">
      <w:pPr>
        <w:spacing w:after="0" w:line="240" w:lineRule="auto"/>
      </w:pPr>
      <w:r>
        <w:separator/>
      </w:r>
    </w:p>
  </w:footnote>
  <w:footnote w:type="continuationSeparator" w:id="0">
    <w:p w14:paraId="5B1CA8C0" w14:textId="77777777" w:rsidR="00085B02" w:rsidRDefault="00085B02" w:rsidP="00226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B3D"/>
    <w:multiLevelType w:val="multilevel"/>
    <w:tmpl w:val="4A1E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846A78"/>
    <w:multiLevelType w:val="multilevel"/>
    <w:tmpl w:val="9E28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1150EF"/>
    <w:multiLevelType w:val="multilevel"/>
    <w:tmpl w:val="5CFA4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924911">
    <w:abstractNumId w:val="2"/>
  </w:num>
  <w:num w:numId="2" w16cid:durableId="269705322">
    <w:abstractNumId w:val="0"/>
  </w:num>
  <w:num w:numId="3" w16cid:durableId="1603100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A7"/>
    <w:rsid w:val="00014AB8"/>
    <w:rsid w:val="0002187D"/>
    <w:rsid w:val="00031FD8"/>
    <w:rsid w:val="00033CEA"/>
    <w:rsid w:val="000359B2"/>
    <w:rsid w:val="0004301C"/>
    <w:rsid w:val="000433EB"/>
    <w:rsid w:val="000466D8"/>
    <w:rsid w:val="00056016"/>
    <w:rsid w:val="00060E1C"/>
    <w:rsid w:val="0008237D"/>
    <w:rsid w:val="00083B9F"/>
    <w:rsid w:val="00085B02"/>
    <w:rsid w:val="000A196F"/>
    <w:rsid w:val="000D772D"/>
    <w:rsid w:val="000E177D"/>
    <w:rsid w:val="000E1DC1"/>
    <w:rsid w:val="000E646A"/>
    <w:rsid w:val="00122792"/>
    <w:rsid w:val="001308D3"/>
    <w:rsid w:val="0013735D"/>
    <w:rsid w:val="00137AA1"/>
    <w:rsid w:val="001943EE"/>
    <w:rsid w:val="001C7B65"/>
    <w:rsid w:val="001D2DC5"/>
    <w:rsid w:val="001F05B5"/>
    <w:rsid w:val="001F56E4"/>
    <w:rsid w:val="0021422E"/>
    <w:rsid w:val="00216403"/>
    <w:rsid w:val="002169D2"/>
    <w:rsid w:val="0022083A"/>
    <w:rsid w:val="002265F6"/>
    <w:rsid w:val="00230474"/>
    <w:rsid w:val="00242196"/>
    <w:rsid w:val="002749A8"/>
    <w:rsid w:val="002A64BE"/>
    <w:rsid w:val="002B023F"/>
    <w:rsid w:val="002B7B68"/>
    <w:rsid w:val="002C06F5"/>
    <w:rsid w:val="002C4EDF"/>
    <w:rsid w:val="00336EE1"/>
    <w:rsid w:val="00337A31"/>
    <w:rsid w:val="003B0DA8"/>
    <w:rsid w:val="003C4D65"/>
    <w:rsid w:val="003E6325"/>
    <w:rsid w:val="003F4096"/>
    <w:rsid w:val="00400345"/>
    <w:rsid w:val="00403B2A"/>
    <w:rsid w:val="00422C9A"/>
    <w:rsid w:val="00424ABE"/>
    <w:rsid w:val="004308BA"/>
    <w:rsid w:val="0043227A"/>
    <w:rsid w:val="0043777B"/>
    <w:rsid w:val="004458BE"/>
    <w:rsid w:val="004766B7"/>
    <w:rsid w:val="00485B04"/>
    <w:rsid w:val="00494BD6"/>
    <w:rsid w:val="004A6927"/>
    <w:rsid w:val="004B04EF"/>
    <w:rsid w:val="004C69C9"/>
    <w:rsid w:val="004D1C83"/>
    <w:rsid w:val="00504CB5"/>
    <w:rsid w:val="00521A81"/>
    <w:rsid w:val="00532C93"/>
    <w:rsid w:val="0053384E"/>
    <w:rsid w:val="00537175"/>
    <w:rsid w:val="00562F86"/>
    <w:rsid w:val="00590C5B"/>
    <w:rsid w:val="005A169A"/>
    <w:rsid w:val="005B7FA1"/>
    <w:rsid w:val="005C4171"/>
    <w:rsid w:val="0060697B"/>
    <w:rsid w:val="00630F9C"/>
    <w:rsid w:val="00631E9A"/>
    <w:rsid w:val="00635C51"/>
    <w:rsid w:val="006372C1"/>
    <w:rsid w:val="00655A98"/>
    <w:rsid w:val="0065693D"/>
    <w:rsid w:val="00677F71"/>
    <w:rsid w:val="00695385"/>
    <w:rsid w:val="006A6DCF"/>
    <w:rsid w:val="006B4198"/>
    <w:rsid w:val="006B514C"/>
    <w:rsid w:val="006D10FC"/>
    <w:rsid w:val="006E5B79"/>
    <w:rsid w:val="00717782"/>
    <w:rsid w:val="00745897"/>
    <w:rsid w:val="007A0D51"/>
    <w:rsid w:val="007A23D4"/>
    <w:rsid w:val="007A32A2"/>
    <w:rsid w:val="007A5F4D"/>
    <w:rsid w:val="007B3671"/>
    <w:rsid w:val="007D5C3E"/>
    <w:rsid w:val="007E12CF"/>
    <w:rsid w:val="007E45DB"/>
    <w:rsid w:val="00871ABA"/>
    <w:rsid w:val="008738FE"/>
    <w:rsid w:val="00875B2E"/>
    <w:rsid w:val="0089449B"/>
    <w:rsid w:val="008A6D32"/>
    <w:rsid w:val="008B1E10"/>
    <w:rsid w:val="008B2753"/>
    <w:rsid w:val="008C0C14"/>
    <w:rsid w:val="008D157F"/>
    <w:rsid w:val="008F4B94"/>
    <w:rsid w:val="0090111F"/>
    <w:rsid w:val="00904687"/>
    <w:rsid w:val="00911E49"/>
    <w:rsid w:val="00954E3A"/>
    <w:rsid w:val="00961B56"/>
    <w:rsid w:val="00961E9E"/>
    <w:rsid w:val="00981EF0"/>
    <w:rsid w:val="009A0CF4"/>
    <w:rsid w:val="009C2DCF"/>
    <w:rsid w:val="009D69B9"/>
    <w:rsid w:val="00A15E85"/>
    <w:rsid w:val="00A27EB7"/>
    <w:rsid w:val="00A655A2"/>
    <w:rsid w:val="00A6668C"/>
    <w:rsid w:val="00A757A7"/>
    <w:rsid w:val="00A75E5C"/>
    <w:rsid w:val="00A83D93"/>
    <w:rsid w:val="00A933ED"/>
    <w:rsid w:val="00AA1519"/>
    <w:rsid w:val="00AB74DF"/>
    <w:rsid w:val="00AC1185"/>
    <w:rsid w:val="00AC313F"/>
    <w:rsid w:val="00B15EB9"/>
    <w:rsid w:val="00B2319F"/>
    <w:rsid w:val="00B31154"/>
    <w:rsid w:val="00B40F04"/>
    <w:rsid w:val="00B454B8"/>
    <w:rsid w:val="00B67A20"/>
    <w:rsid w:val="00BB7659"/>
    <w:rsid w:val="00BC6924"/>
    <w:rsid w:val="00BD56A1"/>
    <w:rsid w:val="00BF11E4"/>
    <w:rsid w:val="00BF4202"/>
    <w:rsid w:val="00C06A6A"/>
    <w:rsid w:val="00C1771F"/>
    <w:rsid w:val="00C326C9"/>
    <w:rsid w:val="00C556ED"/>
    <w:rsid w:val="00C55A93"/>
    <w:rsid w:val="00C57739"/>
    <w:rsid w:val="00CB0DA9"/>
    <w:rsid w:val="00CB1B8F"/>
    <w:rsid w:val="00CC52B1"/>
    <w:rsid w:val="00CD6C1A"/>
    <w:rsid w:val="00CF4F0B"/>
    <w:rsid w:val="00D164DD"/>
    <w:rsid w:val="00D36EEC"/>
    <w:rsid w:val="00D5157F"/>
    <w:rsid w:val="00D6705C"/>
    <w:rsid w:val="00D8065B"/>
    <w:rsid w:val="00D91D17"/>
    <w:rsid w:val="00D9715C"/>
    <w:rsid w:val="00DC4ED1"/>
    <w:rsid w:val="00DD2245"/>
    <w:rsid w:val="00DD2666"/>
    <w:rsid w:val="00DD2DC9"/>
    <w:rsid w:val="00DE6C49"/>
    <w:rsid w:val="00E110F1"/>
    <w:rsid w:val="00E20E39"/>
    <w:rsid w:val="00E2629B"/>
    <w:rsid w:val="00E43EAE"/>
    <w:rsid w:val="00E47345"/>
    <w:rsid w:val="00E6097B"/>
    <w:rsid w:val="00E8016D"/>
    <w:rsid w:val="00E81BC7"/>
    <w:rsid w:val="00E85118"/>
    <w:rsid w:val="00E9272B"/>
    <w:rsid w:val="00E959EC"/>
    <w:rsid w:val="00EB6663"/>
    <w:rsid w:val="00EF7369"/>
    <w:rsid w:val="00F20B21"/>
    <w:rsid w:val="00F371B5"/>
    <w:rsid w:val="00F37DA7"/>
    <w:rsid w:val="00F46C73"/>
    <w:rsid w:val="00F57162"/>
    <w:rsid w:val="00F61040"/>
    <w:rsid w:val="00F64779"/>
    <w:rsid w:val="00F64C0E"/>
    <w:rsid w:val="00F66E4D"/>
    <w:rsid w:val="00F96F84"/>
    <w:rsid w:val="00F9794F"/>
    <w:rsid w:val="00FA10FB"/>
    <w:rsid w:val="00FB73A1"/>
    <w:rsid w:val="00FB77F4"/>
    <w:rsid w:val="00FB7915"/>
    <w:rsid w:val="00FC71A8"/>
    <w:rsid w:val="00FD64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7B05"/>
  <w15:chartTrackingRefBased/>
  <w15:docId w15:val="{99055A66-7DCE-4D24-97DF-59ED3ABC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DA7"/>
    <w:rPr>
      <w:rFonts w:eastAsiaTheme="majorEastAsia" w:cstheme="majorBidi"/>
      <w:color w:val="272727" w:themeColor="text1" w:themeTint="D8"/>
    </w:rPr>
  </w:style>
  <w:style w:type="paragraph" w:styleId="Title">
    <w:name w:val="Title"/>
    <w:basedOn w:val="Normal"/>
    <w:next w:val="Normal"/>
    <w:link w:val="TitleChar"/>
    <w:uiPriority w:val="10"/>
    <w:qFormat/>
    <w:rsid w:val="00F37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DA7"/>
    <w:pPr>
      <w:spacing w:before="160"/>
      <w:jc w:val="center"/>
    </w:pPr>
    <w:rPr>
      <w:i/>
      <w:iCs/>
      <w:color w:val="404040" w:themeColor="text1" w:themeTint="BF"/>
    </w:rPr>
  </w:style>
  <w:style w:type="character" w:customStyle="1" w:styleId="QuoteChar">
    <w:name w:val="Quote Char"/>
    <w:basedOn w:val="DefaultParagraphFont"/>
    <w:link w:val="Quote"/>
    <w:uiPriority w:val="29"/>
    <w:rsid w:val="00F37DA7"/>
    <w:rPr>
      <w:i/>
      <w:iCs/>
      <w:color w:val="404040" w:themeColor="text1" w:themeTint="BF"/>
    </w:rPr>
  </w:style>
  <w:style w:type="paragraph" w:styleId="ListParagraph">
    <w:name w:val="List Paragraph"/>
    <w:basedOn w:val="Normal"/>
    <w:uiPriority w:val="34"/>
    <w:qFormat/>
    <w:rsid w:val="00F37DA7"/>
    <w:pPr>
      <w:ind w:left="720"/>
      <w:contextualSpacing/>
    </w:pPr>
  </w:style>
  <w:style w:type="character" w:styleId="IntenseEmphasis">
    <w:name w:val="Intense Emphasis"/>
    <w:basedOn w:val="DefaultParagraphFont"/>
    <w:uiPriority w:val="21"/>
    <w:qFormat/>
    <w:rsid w:val="00F37DA7"/>
    <w:rPr>
      <w:i/>
      <w:iCs/>
      <w:color w:val="0F4761" w:themeColor="accent1" w:themeShade="BF"/>
    </w:rPr>
  </w:style>
  <w:style w:type="paragraph" w:styleId="IntenseQuote">
    <w:name w:val="Intense Quote"/>
    <w:basedOn w:val="Normal"/>
    <w:next w:val="Normal"/>
    <w:link w:val="IntenseQuoteChar"/>
    <w:uiPriority w:val="30"/>
    <w:qFormat/>
    <w:rsid w:val="00F37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DA7"/>
    <w:rPr>
      <w:i/>
      <w:iCs/>
      <w:color w:val="0F4761" w:themeColor="accent1" w:themeShade="BF"/>
    </w:rPr>
  </w:style>
  <w:style w:type="character" w:styleId="IntenseReference">
    <w:name w:val="Intense Reference"/>
    <w:basedOn w:val="DefaultParagraphFont"/>
    <w:uiPriority w:val="32"/>
    <w:qFormat/>
    <w:rsid w:val="00F37DA7"/>
    <w:rPr>
      <w:b/>
      <w:bCs/>
      <w:smallCaps/>
      <w:color w:val="0F4761" w:themeColor="accent1" w:themeShade="BF"/>
      <w:spacing w:val="5"/>
    </w:rPr>
  </w:style>
  <w:style w:type="character" w:styleId="Hyperlink">
    <w:name w:val="Hyperlink"/>
    <w:basedOn w:val="DefaultParagraphFont"/>
    <w:uiPriority w:val="99"/>
    <w:unhideWhenUsed/>
    <w:rsid w:val="00C1771F"/>
    <w:rPr>
      <w:color w:val="467886" w:themeColor="hyperlink"/>
      <w:u w:val="single"/>
    </w:rPr>
  </w:style>
  <w:style w:type="character" w:styleId="UnresolvedMention">
    <w:name w:val="Unresolved Mention"/>
    <w:basedOn w:val="DefaultParagraphFont"/>
    <w:uiPriority w:val="99"/>
    <w:semiHidden/>
    <w:unhideWhenUsed/>
    <w:rsid w:val="00C1771F"/>
    <w:rPr>
      <w:color w:val="605E5C"/>
      <w:shd w:val="clear" w:color="auto" w:fill="E1DFDD"/>
    </w:rPr>
  </w:style>
  <w:style w:type="character" w:styleId="FollowedHyperlink">
    <w:name w:val="FollowedHyperlink"/>
    <w:basedOn w:val="DefaultParagraphFont"/>
    <w:uiPriority w:val="99"/>
    <w:semiHidden/>
    <w:unhideWhenUsed/>
    <w:rsid w:val="002C4EDF"/>
    <w:rPr>
      <w:color w:val="96607D" w:themeColor="followedHyperlink"/>
      <w:u w:val="single"/>
    </w:rPr>
  </w:style>
  <w:style w:type="paragraph" w:styleId="Header">
    <w:name w:val="header"/>
    <w:basedOn w:val="Normal"/>
    <w:link w:val="HeaderChar"/>
    <w:uiPriority w:val="99"/>
    <w:unhideWhenUsed/>
    <w:rsid w:val="00226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5F6"/>
  </w:style>
  <w:style w:type="paragraph" w:styleId="Footer">
    <w:name w:val="footer"/>
    <w:basedOn w:val="Normal"/>
    <w:link w:val="FooterChar"/>
    <w:uiPriority w:val="99"/>
    <w:unhideWhenUsed/>
    <w:rsid w:val="00226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5F6"/>
  </w:style>
  <w:style w:type="paragraph" w:styleId="Revision">
    <w:name w:val="Revision"/>
    <w:hidden/>
    <w:uiPriority w:val="99"/>
    <w:semiHidden/>
    <w:rsid w:val="00D6705C"/>
    <w:pPr>
      <w:spacing w:after="0" w:line="240" w:lineRule="auto"/>
    </w:pPr>
  </w:style>
  <w:style w:type="character" w:styleId="CommentReference">
    <w:name w:val="annotation reference"/>
    <w:basedOn w:val="DefaultParagraphFont"/>
    <w:uiPriority w:val="99"/>
    <w:semiHidden/>
    <w:unhideWhenUsed/>
    <w:rsid w:val="00D6705C"/>
    <w:rPr>
      <w:sz w:val="16"/>
      <w:szCs w:val="16"/>
    </w:rPr>
  </w:style>
  <w:style w:type="paragraph" w:styleId="CommentText">
    <w:name w:val="annotation text"/>
    <w:basedOn w:val="Normal"/>
    <w:link w:val="CommentTextChar"/>
    <w:uiPriority w:val="99"/>
    <w:unhideWhenUsed/>
    <w:rsid w:val="00D6705C"/>
    <w:pPr>
      <w:spacing w:line="240" w:lineRule="auto"/>
    </w:pPr>
    <w:rPr>
      <w:sz w:val="20"/>
      <w:szCs w:val="20"/>
    </w:rPr>
  </w:style>
  <w:style w:type="character" w:customStyle="1" w:styleId="CommentTextChar">
    <w:name w:val="Comment Text Char"/>
    <w:basedOn w:val="DefaultParagraphFont"/>
    <w:link w:val="CommentText"/>
    <w:uiPriority w:val="99"/>
    <w:rsid w:val="00D6705C"/>
    <w:rPr>
      <w:sz w:val="20"/>
      <w:szCs w:val="20"/>
    </w:rPr>
  </w:style>
  <w:style w:type="paragraph" w:styleId="CommentSubject">
    <w:name w:val="annotation subject"/>
    <w:basedOn w:val="CommentText"/>
    <w:next w:val="CommentText"/>
    <w:link w:val="CommentSubjectChar"/>
    <w:uiPriority w:val="99"/>
    <w:semiHidden/>
    <w:unhideWhenUsed/>
    <w:rsid w:val="00D6705C"/>
    <w:rPr>
      <w:b/>
      <w:bCs/>
    </w:rPr>
  </w:style>
  <w:style w:type="character" w:customStyle="1" w:styleId="CommentSubjectChar">
    <w:name w:val="Comment Subject Char"/>
    <w:basedOn w:val="CommentTextChar"/>
    <w:link w:val="CommentSubject"/>
    <w:uiPriority w:val="99"/>
    <w:semiHidden/>
    <w:rsid w:val="00D670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316">
      <w:bodyDiv w:val="1"/>
      <w:marLeft w:val="0"/>
      <w:marRight w:val="0"/>
      <w:marTop w:val="0"/>
      <w:marBottom w:val="0"/>
      <w:divBdr>
        <w:top w:val="none" w:sz="0" w:space="0" w:color="auto"/>
        <w:left w:val="none" w:sz="0" w:space="0" w:color="auto"/>
        <w:bottom w:val="none" w:sz="0" w:space="0" w:color="auto"/>
        <w:right w:val="none" w:sz="0" w:space="0" w:color="auto"/>
      </w:divBdr>
    </w:div>
    <w:div w:id="486946447">
      <w:bodyDiv w:val="1"/>
      <w:marLeft w:val="0"/>
      <w:marRight w:val="0"/>
      <w:marTop w:val="0"/>
      <w:marBottom w:val="0"/>
      <w:divBdr>
        <w:top w:val="none" w:sz="0" w:space="0" w:color="auto"/>
        <w:left w:val="none" w:sz="0" w:space="0" w:color="auto"/>
        <w:bottom w:val="none" w:sz="0" w:space="0" w:color="auto"/>
        <w:right w:val="none" w:sz="0" w:space="0" w:color="auto"/>
      </w:divBdr>
    </w:div>
    <w:div w:id="556235486">
      <w:bodyDiv w:val="1"/>
      <w:marLeft w:val="0"/>
      <w:marRight w:val="0"/>
      <w:marTop w:val="0"/>
      <w:marBottom w:val="0"/>
      <w:divBdr>
        <w:top w:val="none" w:sz="0" w:space="0" w:color="auto"/>
        <w:left w:val="none" w:sz="0" w:space="0" w:color="auto"/>
        <w:bottom w:val="none" w:sz="0" w:space="0" w:color="auto"/>
        <w:right w:val="none" w:sz="0" w:space="0" w:color="auto"/>
      </w:divBdr>
    </w:div>
    <w:div w:id="645477340">
      <w:bodyDiv w:val="1"/>
      <w:marLeft w:val="0"/>
      <w:marRight w:val="0"/>
      <w:marTop w:val="0"/>
      <w:marBottom w:val="0"/>
      <w:divBdr>
        <w:top w:val="none" w:sz="0" w:space="0" w:color="auto"/>
        <w:left w:val="none" w:sz="0" w:space="0" w:color="auto"/>
        <w:bottom w:val="none" w:sz="0" w:space="0" w:color="auto"/>
        <w:right w:val="none" w:sz="0" w:space="0" w:color="auto"/>
      </w:divBdr>
    </w:div>
    <w:div w:id="958150387">
      <w:bodyDiv w:val="1"/>
      <w:marLeft w:val="0"/>
      <w:marRight w:val="0"/>
      <w:marTop w:val="0"/>
      <w:marBottom w:val="0"/>
      <w:divBdr>
        <w:top w:val="none" w:sz="0" w:space="0" w:color="auto"/>
        <w:left w:val="none" w:sz="0" w:space="0" w:color="auto"/>
        <w:bottom w:val="none" w:sz="0" w:space="0" w:color="auto"/>
        <w:right w:val="none" w:sz="0" w:space="0" w:color="auto"/>
      </w:divBdr>
    </w:div>
    <w:div w:id="1235165988">
      <w:bodyDiv w:val="1"/>
      <w:marLeft w:val="0"/>
      <w:marRight w:val="0"/>
      <w:marTop w:val="0"/>
      <w:marBottom w:val="0"/>
      <w:divBdr>
        <w:top w:val="none" w:sz="0" w:space="0" w:color="auto"/>
        <w:left w:val="none" w:sz="0" w:space="0" w:color="auto"/>
        <w:bottom w:val="none" w:sz="0" w:space="0" w:color="auto"/>
        <w:right w:val="none" w:sz="0" w:space="0" w:color="auto"/>
      </w:divBdr>
    </w:div>
    <w:div w:id="1572348967">
      <w:bodyDiv w:val="1"/>
      <w:marLeft w:val="0"/>
      <w:marRight w:val="0"/>
      <w:marTop w:val="0"/>
      <w:marBottom w:val="0"/>
      <w:divBdr>
        <w:top w:val="none" w:sz="0" w:space="0" w:color="auto"/>
        <w:left w:val="none" w:sz="0" w:space="0" w:color="auto"/>
        <w:bottom w:val="none" w:sz="0" w:space="0" w:color="auto"/>
        <w:right w:val="none" w:sz="0" w:space="0" w:color="auto"/>
      </w:divBdr>
    </w:div>
    <w:div w:id="1905531037">
      <w:bodyDiv w:val="1"/>
      <w:marLeft w:val="0"/>
      <w:marRight w:val="0"/>
      <w:marTop w:val="0"/>
      <w:marBottom w:val="0"/>
      <w:divBdr>
        <w:top w:val="none" w:sz="0" w:space="0" w:color="auto"/>
        <w:left w:val="none" w:sz="0" w:space="0" w:color="auto"/>
        <w:bottom w:val="none" w:sz="0" w:space="0" w:color="auto"/>
        <w:right w:val="none" w:sz="0" w:space="0" w:color="auto"/>
      </w:divBdr>
    </w:div>
    <w:div w:id="1985507244">
      <w:bodyDiv w:val="1"/>
      <w:marLeft w:val="0"/>
      <w:marRight w:val="0"/>
      <w:marTop w:val="0"/>
      <w:marBottom w:val="0"/>
      <w:divBdr>
        <w:top w:val="none" w:sz="0" w:space="0" w:color="auto"/>
        <w:left w:val="none" w:sz="0" w:space="0" w:color="auto"/>
        <w:bottom w:val="none" w:sz="0" w:space="0" w:color="auto"/>
        <w:right w:val="none" w:sz="0" w:space="0" w:color="auto"/>
      </w:divBdr>
    </w:div>
    <w:div w:id="20583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c1a25\AppData\Local\Temp\MicrosoftEdgeDownloads\77318483-7b60-4008-9f86-dd4faf9f018a\ino-key-indicators-2021%20(1).pdf" TargetMode="External"/><Relationship Id="rId13" Type="http://schemas.openxmlformats.org/officeDocument/2006/relationships/hyperlink" Target="https://www.worldbank.org" TargetMode="External"/><Relationship Id="rId3" Type="http://schemas.openxmlformats.org/officeDocument/2006/relationships/settings" Target="settings.xml"/><Relationship Id="rId7" Type="http://schemas.openxmlformats.org/officeDocument/2006/relationships/hyperlink" Target="http://www.afa-accountants.org/files/AFA_Annual_Report_2018.pdf" TargetMode="External"/><Relationship Id="rId12" Type="http://schemas.openxmlformats.org/officeDocument/2006/relationships/hyperlink" Target="https://www.transparency.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nsparency.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mf.org" TargetMode="External"/><Relationship Id="rId4" Type="http://schemas.openxmlformats.org/officeDocument/2006/relationships/webSettings" Target="webSettings.xml"/><Relationship Id="rId9" Type="http://schemas.openxmlformats.org/officeDocument/2006/relationships/hyperlink" Target="https://www.globalforestwatch.org/blog/data-and-tools/2024-tree-cover-loss-data-explain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1856</Words>
  <Characters>12485</Characters>
  <Application>Microsoft Office Word</Application>
  <DocSecurity>0</DocSecurity>
  <Lines>180</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Cao</dc:creator>
  <cp:keywords/>
  <dc:description/>
  <cp:lastModifiedBy>June Cao</cp:lastModifiedBy>
  <cp:revision>5</cp:revision>
  <dcterms:created xsi:type="dcterms:W3CDTF">2025-10-25T22:54:00Z</dcterms:created>
  <dcterms:modified xsi:type="dcterms:W3CDTF">2025-10-25T22:58:00Z</dcterms:modified>
</cp:coreProperties>
</file>