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5.4-fixed (Apache licensed) using REFERENCE JAXB in Eclipse Adoptium Java 21.0.9 on Linux -->
    <w:p>
      <w:pPr>
        <w:spacing w:before="0" w:after="0"/>
        <w:ind w:left="120"/>
        <w:jc w:val="left"/>
      </w:pPr>
      <w:bookmarkStart w:name="b978-3-032-06918-4_33-1" w:id="0"/>
      <w:r>
        <w:rPr>
          <w:rFonts w:ascii="Times New Roman" w:hAnsi="Times New Roman"/>
          <w:b w:val="false"/>
          <w:i w:val="false"/>
          <w:color w:val="000000"/>
          <w:sz w:val="22"/>
        </w:rPr>
        <w:t>© The Author(s) 2026</w:t>
      </w:r>
    </w:p>
    <w:p>
      <w:pPr>
        <w:spacing w:before="45" w:after="45"/>
        <w:ind w:left="120"/>
        <w:jc w:val="left"/>
      </w:pPr>
      <w:r>
        <w:rPr>
          <w:rFonts w:ascii="Times New Roman" w:hAnsi="Times New Roman"/>
          <w:b w:val="false"/>
          <w:i w:val="false"/>
          <w:color w:val="000000"/>
          <w:sz w:val="16"/>
        </w:rPr>
        <w:t>Daniel Stockemer</w:t>
      </w:r>
    </w:p>
    <w:p>
      <w:pPr>
        <w:spacing w:before="0" w:after="0"/>
        <w:ind w:left="120"/>
        <w:jc w:val="left"/>
      </w:pPr>
      <w:r>
        <w:rPr>
          <w:rFonts w:ascii="Times New Roman" w:hAnsi="Times New Roman"/>
          <w:b w:val="false"/>
          <w:i w:val="false"/>
          <w:color w:val="000000"/>
          <w:sz w:val="16"/>
        </w:rPr>
        <w:t xml:space="preserve">, </w:t>
      </w:r>
    </w:p>
    <w:p>
      <w:pPr>
        <w:spacing w:before="45" w:after="45"/>
        <w:ind w:left="120"/>
        <w:jc w:val="left"/>
      </w:pPr>
      <w:r>
        <w:rPr>
          <w:rFonts w:ascii="Times New Roman" w:hAnsi="Times New Roman"/>
          <w:b w:val="false"/>
          <w:i w:val="false"/>
          <w:color w:val="000000"/>
          <w:sz w:val="16"/>
        </w:rPr>
        <w:t>Stephen Sawyer</w:t>
      </w:r>
    </w:p>
    <w:p>
      <w:pPr>
        <w:spacing w:before="0" w:after="0"/>
        <w:ind w:left="120"/>
        <w:jc w:val="left"/>
      </w:pPr>
      <w:r>
        <w:rPr>
          <w:rFonts w:ascii="Times New Roman" w:hAnsi="Times New Roman"/>
          <w:b w:val="false"/>
          <w:i w:val="false"/>
          <w:color w:val="000000"/>
          <w:sz w:val="16"/>
        </w:rPr>
        <w:t xml:space="preserve"> and </w:t>
      </w:r>
    </w:p>
    <w:p>
      <w:pPr>
        <w:spacing w:before="45" w:after="45"/>
        <w:ind w:left="120"/>
        <w:jc w:val="left"/>
      </w:pPr>
      <w:r>
        <w:rPr>
          <w:rFonts w:ascii="Times New Roman" w:hAnsi="Times New Roman"/>
          <w:b w:val="false"/>
          <w:i w:val="false"/>
          <w:color w:val="000000"/>
          <w:sz w:val="16"/>
        </w:rPr>
        <w:t>Audrey Gagnon</w:t>
      </w:r>
    </w:p>
    <w:p>
      <w:pPr>
        <w:spacing w:before="45" w:after="45"/>
        <w:ind w:left="120"/>
        <w:jc w:val="left"/>
      </w:pPr>
      <w:r>
        <w:rPr>
          <w:rFonts w:ascii="Times New Roman" w:hAnsi="Times New Roman"/>
          <w:b w:val="false"/>
          <w:i w:val="false"/>
          <w:color w:val="000000"/>
          <w:sz w:val="16"/>
        </w:rPr>
        <w:t>IPSA Companion to Political Science</w:t>
      </w:r>
    </w:p>
    <w:p>
      <w:pPr>
        <w:spacing w:before="45" w:after="45"/>
        <w:ind w:left="120"/>
        <w:jc w:val="left"/>
      </w:pPr>
      <w:r>
        <w:rPr>
          <w:rFonts w:ascii="Times New Roman" w:hAnsi="Times New Roman"/>
          <w:b w:val="false"/>
          <w:i w:val="false"/>
          <w:color w:val="000000"/>
          <w:sz w:val="16"/>
        </w:rPr>
        <w:t>10.1007/978-3-032-06918-4_33-1</w:t>
      </w:r>
    </w:p>
    <w:bookmarkEnd w:id="0"/>
    <w:p>
      <w:pPr>
        <w:spacing w:before="161" w:after="161" w:line="288"/>
        <w:ind w:left="120"/>
        <w:jc w:val="left"/>
      </w:pPr>
      <w:r>
        <w:rPr>
          <w:rFonts w:ascii="Georgia" w:hAnsi="Georgia"/>
          <w:b/>
          <w:i w:val="false"/>
          <w:color w:val="000000"/>
          <w:spacing w:val="5"/>
          <w:sz w:val="36"/>
        </w:rPr>
        <w:t>Trust</w:t>
      </w:r>
    </w:p>
    <w:p>
      <w:pPr>
        <w:spacing w:before="240" w:after="240"/>
        <w:ind w:left="120"/>
        <w:jc w:val="left"/>
      </w:pPr>
      <w:r>
        <w:rPr>
          <w:rFonts w:ascii="Times New Roman" w:hAnsi="Times New Roman"/>
          <w:b w:val="false"/>
          <w:i w:val="false"/>
          <w:color w:val="333333"/>
          <w:sz w:val="22"/>
        </w:rPr>
        <w:t>Daniel Devine</w:t>
      </w:r>
      <w:r>
        <w:rPr>
          <w:rFonts w:ascii="Times New Roman" w:hAnsi="Times New Roman"/>
          <w:b w:val="false"/>
          <w:i w:val="false"/>
          <w:color w:val="333333"/>
          <w:sz w:val="18"/>
          <w:vertAlign w:val="superscript"/>
        </w:rPr>
        <w:t xml:space="preserve">1 </w:t>
      </w:r>
      <w:r>
        <w:rPr>
          <w:rFonts w:ascii="Times New Roman" w:hAnsi="Times New Roman"/>
          <w:b w:val="false"/>
          <w:i w:val="false"/>
          <w:color w:val="333333"/>
          <w:sz w:val="22"/>
        </w:rPr>
        <w:t xml:space="preserve">and </w:t>
      </w:r>
      <w:r>
        <w:rPr>
          <w:rFonts w:ascii="Times New Roman" w:hAnsi="Times New Roman"/>
          <w:b w:val="false"/>
          <w:i w:val="false"/>
          <w:color w:val="333333"/>
          <w:sz w:val="22"/>
        </w:rPr>
        <w:t>Tom van der Meer</w:t>
      </w:r>
      <w:r>
        <w:rPr>
          <w:rFonts w:ascii="Times New Roman" w:hAnsi="Times New Roman"/>
          <w:b w:val="false"/>
          <w:i w:val="false"/>
          <w:color w:val="333333"/>
          <w:sz w:val="18"/>
          <w:vertAlign w:val="superscript"/>
        </w:rPr>
        <w:t xml:space="preserve">2 </w:t>
      </w:r>
    </w:p>
    <w:p>
      <w:pPr>
        <w:spacing w:before="30" w:after="90"/>
        <w:ind w:left="120"/>
        <w:jc w:val="left"/>
      </w:pPr>
      <w:bookmarkStart w:name="Aff4" w:id="1"/>
      <w:r>
        <w:rPr>
          <w:rFonts w:ascii="Arial" w:hAnsi="Arial"/>
          <w:b w:val="false"/>
          <w:i w:val="false"/>
          <w:color w:val="000000"/>
          <w:sz w:val="20"/>
        </w:rPr>
        <w:t>(1)</w:t>
      </w:r>
      <w:r>
        <w:rPr>
          <w:rFonts w:ascii="Arial" w:hAnsi="Arial"/>
          <w:b w:val="false"/>
          <w:i w:val="false"/>
          <w:color w:val="000000"/>
          <w:sz w:val="20"/>
        </w:rPr>
        <w:t>Department of Politics and International Relations, University of Southampton, Southampton, UK</w:t>
      </w:r>
    </w:p>
    <w:bookmarkEnd w:id="1"/>
    <w:bookmarkStart w:name="Aff5" w:id="2"/>
    <w:p>
      <w:pPr>
        <w:spacing w:before="30" w:after="90"/>
        <w:ind w:left="120"/>
        <w:jc w:val="left"/>
      </w:pPr>
      <w:r>
        <w:rPr>
          <w:rFonts w:ascii="Arial" w:hAnsi="Arial"/>
          <w:b w:val="false"/>
          <w:i w:val="false"/>
          <w:color w:val="000000"/>
          <w:sz w:val="20"/>
        </w:rPr>
        <w:t>(2)</w:t>
      </w:r>
      <w:r>
        <w:rPr>
          <w:rFonts w:ascii="Arial" w:hAnsi="Arial"/>
          <w:b w:val="false"/>
          <w:i w:val="false"/>
          <w:color w:val="000000"/>
          <w:sz w:val="20"/>
        </w:rPr>
        <w:t>Department of Political Science, Universiteit van Amsterdam, Amsterdam, The Netherlands</w:t>
      </w:r>
    </w:p>
    <w:bookmarkEnd w:id="2"/>
    <w:p>
      <w:pPr>
        <w:spacing w:before="0" w:after="0" w:line="0"/>
        <w:ind w:left="120"/>
        <w:jc w:val="left"/>
      </w:pPr>
    </w:p>
    <w:p>
      <w:pPr>
        <w:spacing w:before="60" w:after="0"/>
        <w:ind w:left="-240"/>
        <w:jc w:val="left"/>
      </w:pPr>
      <w:bookmarkStart w:name="ContactOfAuthor1" w:id="3"/>
      <w:bookmarkStart w:name="ContactOfAuthor1" w:id="4"/>
    </w:p>
    <w:bookmarkEnd w:id="4"/>
    <w:p>
      <w:pPr>
        <w:pBdr>
          <w:left w:space="15"/>
        </w:pBdr>
        <w:spacing w:before="0" w:after="0"/>
        <w:ind w:left="60"/>
        <w:jc w:val="left"/>
      </w:pPr>
      <w:r>
        <w:rPr>
          <w:rFonts w:ascii="Arial" w:hAnsi="Arial"/>
          <w:b/>
          <w:i w:val="false"/>
          <w:color w:val="000000"/>
          <w:sz w:val="20"/>
        </w:rPr>
        <w:t>Daniel Devine</w:t>
      </w:r>
      <w:r>
        <w:rPr>
          <w:rFonts w:ascii="Arial" w:hAnsi="Arial"/>
          <w:b/>
          <w:i w:val="false"/>
          <w:color w:val="000000"/>
          <w:sz w:val="20"/>
        </w:rPr>
        <w:t xml:space="preserve"> (Corresponding author)</w:t>
      </w:r>
    </w:p>
    <w:p>
      <w:pPr>
        <w:pBdr>
          <w:left w:space="15"/>
        </w:pBdr>
        <w:spacing w:before="0" w:after="0"/>
        <w:ind w:left="60"/>
        <w:jc w:val="left"/>
      </w:pPr>
      <w:r>
        <w:rPr>
          <w:rFonts w:ascii="Arial" w:hAnsi="Arial"/>
          <w:b/>
          <w:i w:val="false"/>
          <w:color w:val="000000"/>
          <w:sz w:val="20"/>
        </w:rPr>
        <w:t xml:space="preserve">Email: </w:t>
      </w:r>
      <w:hyperlink r:id="rId4">
        <w:r>
          <w:rPr>
            <w:rFonts w:ascii="Arial" w:hAnsi="Arial"/>
            <w:b w:val="false"/>
            <w:i w:val="false"/>
            <w:color w:val="0000ff"/>
            <w:sz w:val="20"/>
            <w:u w:val="single"/>
          </w:rPr>
          <w:t>D.Devine@soton.ac.uk</w:t>
        </w:r>
      </w:hyperlink>
    </w:p>
    <w:bookmarkEnd w:id="3"/>
    <w:bookmarkStart w:name="ContactOfAuthor2" w:id="5"/>
    <w:p>
      <w:pPr>
        <w:spacing w:before="60" w:after="0"/>
        <w:ind w:left="-240"/>
        <w:jc w:val="left"/>
      </w:pPr>
      <w:bookmarkStart w:name="ContactOfAuthor2" w:id="6"/>
    </w:p>
    <w:bookmarkEnd w:id="6"/>
    <w:p>
      <w:pPr>
        <w:pBdr>
          <w:left w:space="15"/>
        </w:pBdr>
        <w:spacing w:before="0" w:after="0"/>
        <w:ind w:left="60"/>
        <w:jc w:val="left"/>
      </w:pPr>
      <w:r>
        <w:rPr>
          <w:rFonts w:ascii="Arial" w:hAnsi="Arial"/>
          <w:b/>
          <w:i w:val="false"/>
          <w:color w:val="000000"/>
          <w:sz w:val="20"/>
        </w:rPr>
        <w:t>Tom van der Meer</w:t>
      </w:r>
    </w:p>
    <w:p>
      <w:pPr>
        <w:pBdr>
          <w:left w:space="15"/>
        </w:pBdr>
        <w:spacing w:before="0" w:after="0"/>
        <w:ind w:left="60"/>
        <w:jc w:val="left"/>
      </w:pPr>
      <w:r>
        <w:rPr>
          <w:rFonts w:ascii="Arial" w:hAnsi="Arial"/>
          <w:b/>
          <w:i w:val="false"/>
          <w:color w:val="000000"/>
          <w:sz w:val="20"/>
        </w:rPr>
        <w:t xml:space="preserve">Email: </w:t>
      </w:r>
      <w:hyperlink r:id="rId5">
        <w:r>
          <w:rPr>
            <w:rFonts w:ascii="Arial" w:hAnsi="Arial"/>
            <w:b w:val="false"/>
            <w:i w:val="false"/>
            <w:color w:val="0000ff"/>
            <w:sz w:val="20"/>
            <w:u w:val="single"/>
          </w:rPr>
          <w:t>t.w.g.vandermeer@uva.nl</w:t>
        </w:r>
      </w:hyperlink>
    </w:p>
    <w:bookmarkEnd w:id="5"/>
    <w:p>
      <w:pPr>
        <w:spacing w:before="210" w:after="0"/>
        <w:ind w:left="120"/>
        <w:jc w:val="left"/>
      </w:pPr>
      <w:r>
        <w:br/>
      </w:r>
      <w:r>
        <w:rPr>
          <w:rFonts w:ascii="Georgia" w:hAnsi="Georgia"/>
          <w:b w:val="false"/>
          <w:i w:val="false"/>
          <w:color w:val="000000"/>
          <w:spacing w:val="5"/>
          <w:sz w:val="36"/>
        </w:rPr>
        <w:t>Without Abstract</w:t>
      </w:r>
    </w:p>
    <w:p>
      <w:pPr>
        <w:spacing w:before="0" w:after="0"/>
        <w:ind w:left="120"/>
        <w:jc w:val="left"/>
      </w:pPr>
      <w:bookmarkStart w:name="Par1" w:id="7"/>
      <w:r>
        <w:rPr>
          <w:rFonts w:ascii="Times New Roman" w:hAnsi="Times New Roman"/>
          <w:b w:val="false"/>
          <w:i w:val="false"/>
          <w:color w:val="000000"/>
          <w:sz w:val="22"/>
        </w:rPr>
        <w:t xml:space="preserve">Most people tend to have an intuitive understanding of what trust entails, although it is quite hard to put into words. At first sight, trust scholars employ a wide variety of conceptualizations. Some consider trust a </w:t>
      </w:r>
      <w:r>
        <w:rPr>
          <w:rFonts w:ascii="Times New Roman" w:hAnsi="Times New Roman"/>
          <w:b w:val="false"/>
          <w:i/>
          <w:color w:val="000000"/>
          <w:sz w:val="22"/>
        </w:rPr>
        <w:t>proxy</w:t>
      </w:r>
      <w:r>
        <w:rPr>
          <w:rFonts w:ascii="Times New Roman" w:hAnsi="Times New Roman"/>
          <w:b w:val="false"/>
          <w:i w:val="false"/>
          <w:color w:val="000000"/>
          <w:sz w:val="22"/>
        </w:rPr>
        <w:t xml:space="preserve"> for other concepts such as political support or legitimacy (Armingeon &amp; Ceka, </w:t>
      </w:r>
      <w:hyperlink w:anchor="CR1">
        <w:r>
          <w:rPr>
            <w:rFonts w:ascii="Times New Roman" w:hAnsi="Times New Roman"/>
            <w:b w:val="false"/>
            <w:i/>
            <w:color w:val="0000ff"/>
            <w:sz w:val="22"/>
            <w:u w:val="single"/>
          </w:rPr>
          <w:t>2014</w:t>
        </w:r>
      </w:hyperlink>
      <w:r>
        <w:rPr>
          <w:rFonts w:ascii="Times New Roman" w:hAnsi="Times New Roman"/>
          <w:b w:val="false"/>
          <w:i w:val="false"/>
          <w:color w:val="000000"/>
          <w:sz w:val="22"/>
        </w:rPr>
        <w:t xml:space="preserve">; Margalit, </w:t>
      </w:r>
      <w:hyperlink w:anchor="CR15">
        <w:r>
          <w:rPr>
            <w:rFonts w:ascii="Times New Roman" w:hAnsi="Times New Roman"/>
            <w:b w:val="false"/>
            <w:i/>
            <w:color w:val="0000ff"/>
            <w:sz w:val="22"/>
            <w:u w:val="single"/>
          </w:rPr>
          <w:t>2019</w:t>
        </w:r>
      </w:hyperlink>
      <w:r>
        <w:rPr>
          <w:rFonts w:ascii="Times New Roman" w:hAnsi="Times New Roman"/>
          <w:b w:val="false"/>
          <w:i w:val="false"/>
          <w:color w:val="000000"/>
          <w:sz w:val="22"/>
        </w:rPr>
        <w:t xml:space="preserve">; Schraff, </w:t>
      </w:r>
      <w:hyperlink w:anchor="CR17">
        <w:r>
          <w:rPr>
            <w:rFonts w:ascii="Times New Roman" w:hAnsi="Times New Roman"/>
            <w:b w:val="false"/>
            <w:i/>
            <w:color w:val="0000ff"/>
            <w:sz w:val="22"/>
            <w:u w:val="single"/>
          </w:rPr>
          <w:t>2021</w:t>
        </w:r>
      </w:hyperlink>
      <w:r>
        <w:rPr>
          <w:rFonts w:ascii="Times New Roman" w:hAnsi="Times New Roman"/>
          <w:b w:val="false"/>
          <w:i w:val="false"/>
          <w:color w:val="000000"/>
          <w:sz w:val="22"/>
        </w:rPr>
        <w:t xml:space="preserve">; van der Meer &amp; Hakhverdian, </w:t>
      </w:r>
      <w:hyperlink w:anchor="CR19">
        <w:r>
          <w:rPr>
            <w:rFonts w:ascii="Times New Roman" w:hAnsi="Times New Roman"/>
            <w:b w:val="false"/>
            <w:i/>
            <w:color w:val="0000ff"/>
            <w:sz w:val="22"/>
            <w:u w:val="single"/>
          </w:rPr>
          <w:t>2017</w:t>
        </w:r>
      </w:hyperlink>
      <w:r>
        <w:rPr>
          <w:rFonts w:ascii="Times New Roman" w:hAnsi="Times New Roman"/>
          <w:b w:val="false"/>
          <w:i w:val="false"/>
          <w:color w:val="000000"/>
          <w:sz w:val="22"/>
        </w:rPr>
        <w:t xml:space="preserve">); others conceptualize trust </w:t>
      </w:r>
      <w:r>
        <w:rPr>
          <w:rFonts w:ascii="Times New Roman" w:hAnsi="Times New Roman"/>
          <w:b w:val="false"/>
          <w:i/>
          <w:color w:val="000000"/>
          <w:sz w:val="22"/>
        </w:rPr>
        <w:t>as its own concept</w:t>
      </w:r>
      <w:r>
        <w:rPr>
          <w:rFonts w:ascii="Times New Roman" w:hAnsi="Times New Roman"/>
          <w:b w:val="false"/>
          <w:i w:val="false"/>
          <w:color w:val="000000"/>
          <w:sz w:val="22"/>
        </w:rPr>
        <w:t xml:space="preserve"> (Citrin &amp; Stoker, </w:t>
      </w:r>
      <w:hyperlink w:anchor="CR2">
        <w:r>
          <w:rPr>
            <w:rFonts w:ascii="Times New Roman" w:hAnsi="Times New Roman"/>
            <w:b w:val="false"/>
            <w:i/>
            <w:color w:val="0000ff"/>
            <w:sz w:val="22"/>
            <w:u w:val="single"/>
          </w:rPr>
          <w:t>2018</w:t>
        </w:r>
      </w:hyperlink>
      <w:r>
        <w:rPr>
          <w:rFonts w:ascii="Times New Roman" w:hAnsi="Times New Roman"/>
          <w:b w:val="false"/>
          <w:i w:val="false"/>
          <w:color w:val="000000"/>
          <w:sz w:val="22"/>
        </w:rPr>
        <w:t xml:space="preserve">; De Juan &amp; Pierskalla, </w:t>
      </w:r>
      <w:hyperlink w:anchor="CR3">
        <w:r>
          <w:rPr>
            <w:rFonts w:ascii="Times New Roman" w:hAnsi="Times New Roman"/>
            <w:b w:val="false"/>
            <w:i/>
            <w:color w:val="0000ff"/>
            <w:sz w:val="22"/>
            <w:u w:val="single"/>
          </w:rPr>
          <w:t>2016</w:t>
        </w:r>
      </w:hyperlink>
      <w:r>
        <w:rPr>
          <w:rFonts w:ascii="Times New Roman" w:hAnsi="Times New Roman"/>
          <w:b w:val="false"/>
          <w:i w:val="false"/>
          <w:color w:val="000000"/>
          <w:sz w:val="22"/>
        </w:rPr>
        <w:t xml:space="preserve">; Hanitzsch et al., </w:t>
      </w:r>
      <w:hyperlink w:anchor="CR12">
        <w:r>
          <w:rPr>
            <w:rFonts w:ascii="Times New Roman" w:hAnsi="Times New Roman"/>
            <w:b w:val="false"/>
            <w:i/>
            <w:color w:val="0000ff"/>
            <w:sz w:val="22"/>
            <w:u w:val="single"/>
          </w:rPr>
          <w:t>2018</w:t>
        </w:r>
      </w:hyperlink>
      <w:r>
        <w:rPr>
          <w:rFonts w:ascii="Times New Roman" w:hAnsi="Times New Roman"/>
          <w:b w:val="false"/>
          <w:i w:val="false"/>
          <w:color w:val="000000"/>
          <w:sz w:val="22"/>
        </w:rPr>
        <w:t xml:space="preserve">; Sønderskov &amp; Dinesen, </w:t>
      </w:r>
      <w:hyperlink w:anchor="CR18">
        <w:r>
          <w:rPr>
            <w:rFonts w:ascii="Times New Roman" w:hAnsi="Times New Roman"/>
            <w:b w:val="false"/>
            <w:i/>
            <w:color w:val="0000ff"/>
            <w:sz w:val="22"/>
            <w:u w:val="single"/>
          </w:rPr>
          <w:t>2016</w:t>
        </w:r>
      </w:hyperlink>
      <w:r>
        <w:rPr>
          <w:rFonts w:ascii="Times New Roman" w:hAnsi="Times New Roman"/>
          <w:b w:val="false"/>
          <w:i w:val="false"/>
          <w:color w:val="000000"/>
          <w:sz w:val="22"/>
        </w:rPr>
        <w:t xml:space="preserve">; van der Meer &amp; Hakhverdian, </w:t>
      </w:r>
      <w:hyperlink w:anchor="CR19">
        <w:r>
          <w:rPr>
            <w:rFonts w:ascii="Times New Roman" w:hAnsi="Times New Roman"/>
            <w:b w:val="false"/>
            <w:i/>
            <w:color w:val="0000ff"/>
            <w:sz w:val="22"/>
            <w:u w:val="single"/>
          </w:rPr>
          <w:t>2017</w:t>
        </w:r>
      </w:hyperlink>
      <w:r>
        <w:rPr>
          <w:rFonts w:ascii="Times New Roman" w:hAnsi="Times New Roman"/>
          <w:b w:val="false"/>
          <w:i w:val="false"/>
          <w:color w:val="000000"/>
          <w:sz w:val="22"/>
        </w:rPr>
        <w:t xml:space="preserve">; van Erkel &amp; van der Meer, </w:t>
      </w:r>
      <w:hyperlink w:anchor="CR20">
        <w:r>
          <w:rPr>
            <w:rFonts w:ascii="Times New Roman" w:hAnsi="Times New Roman"/>
            <w:b w:val="false"/>
            <w:i/>
            <w:color w:val="0000ff"/>
            <w:sz w:val="22"/>
            <w:u w:val="single"/>
          </w:rPr>
          <w:t>2016</w:t>
        </w:r>
      </w:hyperlink>
      <w:r>
        <w:rPr>
          <w:rFonts w:ascii="Times New Roman" w:hAnsi="Times New Roman"/>
          <w:b w:val="false"/>
          <w:i w:val="false"/>
          <w:color w:val="000000"/>
          <w:sz w:val="22"/>
        </w:rPr>
        <w:t xml:space="preserve">); and some leave it undefined or unconceptualized (Einstein &amp; Glick, </w:t>
      </w:r>
      <w:hyperlink w:anchor="CR6">
        <w:r>
          <w:rPr>
            <w:rFonts w:ascii="Times New Roman" w:hAnsi="Times New Roman"/>
            <w:b w:val="false"/>
            <w:i/>
            <w:color w:val="0000ff"/>
            <w:sz w:val="22"/>
            <w:u w:val="single"/>
          </w:rPr>
          <w:t>2015</w:t>
        </w:r>
      </w:hyperlink>
      <w:r>
        <w:rPr>
          <w:rFonts w:ascii="Times New Roman" w:hAnsi="Times New Roman"/>
          <w:b w:val="false"/>
          <w:i w:val="false"/>
          <w:color w:val="000000"/>
          <w:sz w:val="22"/>
        </w:rPr>
        <w:t xml:space="preserve">; Foster &amp; Frieden, </w:t>
      </w:r>
      <w:hyperlink w:anchor="CR10">
        <w:r>
          <w:rPr>
            <w:rFonts w:ascii="Times New Roman" w:hAnsi="Times New Roman"/>
            <w:b w:val="false"/>
            <w:i/>
            <w:color w:val="0000ff"/>
            <w:sz w:val="22"/>
            <w:u w:val="single"/>
          </w:rPr>
          <w:t>2017</w:t>
        </w:r>
      </w:hyperlink>
      <w:r>
        <w:rPr>
          <w:rFonts w:ascii="Times New Roman" w:hAnsi="Times New Roman"/>
          <w:b w:val="false"/>
          <w:i w:val="false"/>
          <w:color w:val="000000"/>
          <w:sz w:val="22"/>
        </w:rPr>
        <w:t xml:space="preserve">; Hartley &amp; Jarvis, </w:t>
      </w:r>
      <w:hyperlink w:anchor="CR13">
        <w:r>
          <w:rPr>
            <w:rFonts w:ascii="Times New Roman" w:hAnsi="Times New Roman"/>
            <w:b w:val="false"/>
            <w:i/>
            <w:color w:val="0000ff"/>
            <w:sz w:val="22"/>
            <w:u w:val="single"/>
          </w:rPr>
          <w:t>2020</w:t>
        </w:r>
      </w:hyperlink>
      <w:r>
        <w:rPr>
          <w:rFonts w:ascii="Times New Roman" w:hAnsi="Times New Roman"/>
          <w:b w:val="false"/>
          <w:i w:val="false"/>
          <w:color w:val="000000"/>
          <w:sz w:val="22"/>
        </w:rPr>
        <w:t xml:space="preserve">; Kritzinger et al., </w:t>
      </w:r>
      <w:hyperlink w:anchor="CR14">
        <w:r>
          <w:rPr>
            <w:rFonts w:ascii="Times New Roman" w:hAnsi="Times New Roman"/>
            <w:b w:val="false"/>
            <w:i/>
            <w:color w:val="0000ff"/>
            <w:sz w:val="22"/>
            <w:u w:val="single"/>
          </w:rPr>
          <w:t>2021</w:t>
        </w:r>
      </w:hyperlink>
      <w:r>
        <w:rPr>
          <w:rFonts w:ascii="Times New Roman" w:hAnsi="Times New Roman"/>
          <w:b w:val="false"/>
          <w:i w:val="false"/>
          <w:color w:val="000000"/>
          <w:sz w:val="22"/>
        </w:rPr>
        <w:t>).</w:t>
      </w:r>
    </w:p>
    <w:bookmarkEnd w:id="7"/>
    <w:bookmarkStart w:name="Sec1" w:id="8"/>
    <w:p>
      <w:pPr>
        <w:spacing w:before="0" w:after="0"/>
        <w:ind w:left="120"/>
        <w:jc w:val="left"/>
      </w:pPr>
      <w:bookmarkStart w:name="Sec1" w:id="9"/>
      <w:r>
        <w:br/>
      </w:r>
    </w:p>
    <w:bookmarkEnd w:id="9"/>
    <w:p>
      <w:pPr>
        <w:spacing w:before="210" w:after="105" w:line="288"/>
        <w:ind w:left="120"/>
        <w:jc w:val="left"/>
      </w:pPr>
      <w:r>
        <w:rPr>
          <w:rFonts w:ascii="Georgia" w:hAnsi="Georgia"/>
          <w:b w:val="false"/>
          <w:i w:val="false"/>
          <w:color w:val="000000"/>
          <w:spacing w:val="5"/>
          <w:sz w:val="36"/>
        </w:rPr>
        <w:t>Differing Conceptualizations</w:t>
      </w:r>
    </w:p>
    <w:bookmarkStart w:name="Par2" w:id="10"/>
    <w:p>
      <w:pPr>
        <w:spacing w:before="0" w:after="0"/>
        <w:ind w:left="120"/>
        <w:jc w:val="left"/>
      </w:pPr>
      <w:r>
        <w:rPr>
          <w:rFonts w:ascii="Times New Roman" w:hAnsi="Times New Roman"/>
          <w:b w:val="false"/>
          <w:i w:val="false"/>
          <w:color w:val="000000"/>
          <w:sz w:val="22"/>
        </w:rPr>
        <w:t xml:space="preserve">Across disciplines, we can find some commonalities in conceptualizations of trust. First, trust describes the quality of a relationship between a subject (truster) and an object (those to be trusted, the trustee) (van der Meer &amp; Hakhverdian, </w:t>
      </w:r>
      <w:hyperlink w:anchor="CR19">
        <w:r>
          <w:rPr>
            <w:rFonts w:ascii="Times New Roman" w:hAnsi="Times New Roman"/>
            <w:b w:val="false"/>
            <w:i/>
            <w:color w:val="0000ff"/>
            <w:sz w:val="22"/>
            <w:u w:val="single"/>
          </w:rPr>
          <w:t>2017</w:t>
        </w:r>
      </w:hyperlink>
      <w:r>
        <w:rPr>
          <w:rFonts w:ascii="Times New Roman" w:hAnsi="Times New Roman"/>
          <w:b w:val="false"/>
          <w:i w:val="false"/>
          <w:color w:val="000000"/>
          <w:sz w:val="22"/>
        </w:rPr>
        <w:t xml:space="preserve">; Citrin &amp; Stoker, </w:t>
      </w:r>
      <w:hyperlink w:anchor="CR2">
        <w:r>
          <w:rPr>
            <w:rFonts w:ascii="Times New Roman" w:hAnsi="Times New Roman"/>
            <w:b w:val="false"/>
            <w:i/>
            <w:color w:val="0000ff"/>
            <w:sz w:val="22"/>
            <w:u w:val="single"/>
          </w:rPr>
          <w:t>2018</w:t>
        </w:r>
      </w:hyperlink>
      <w:r>
        <w:rPr>
          <w:rFonts w:ascii="Times New Roman" w:hAnsi="Times New Roman"/>
          <w:b w:val="false"/>
          <w:i w:val="false"/>
          <w:color w:val="000000"/>
          <w:sz w:val="22"/>
        </w:rPr>
        <w:t xml:space="preserve">). While some conceptualize trust as domain-specific (A trusts B to do X), this is rarely picked up empirically—most will just ask whether a respondent “trusts government,” not on any specific task. Second, the trust relationship is characterized by uncertainty, vulnerability, or even risk (Hanitzsch et al., </w:t>
      </w:r>
      <w:hyperlink w:anchor="CR12">
        <w:r>
          <w:rPr>
            <w:rFonts w:ascii="Times New Roman" w:hAnsi="Times New Roman"/>
            <w:b w:val="false"/>
            <w:i/>
            <w:color w:val="0000ff"/>
            <w:sz w:val="22"/>
            <w:u w:val="single"/>
          </w:rPr>
          <w:t>2018</w:t>
        </w:r>
      </w:hyperlink>
      <w:r>
        <w:rPr>
          <w:rFonts w:ascii="Times New Roman" w:hAnsi="Times New Roman"/>
          <w:b w:val="false"/>
          <w:i w:val="false"/>
          <w:color w:val="000000"/>
          <w:sz w:val="22"/>
        </w:rPr>
        <w:t xml:space="preserve">): the mere use of the word “trust” instead of “support” implies that the trustee holds some form of discretionary power over the truster. Third, trust is distinct from related concepts such as populism and efficacy (Geurkink et al., </w:t>
      </w:r>
      <w:hyperlink w:anchor="CR11">
        <w:r>
          <w:rPr>
            <w:rFonts w:ascii="Times New Roman" w:hAnsi="Times New Roman"/>
            <w:b w:val="false"/>
            <w:i/>
            <w:color w:val="0000ff"/>
            <w:sz w:val="22"/>
            <w:u w:val="single"/>
          </w:rPr>
          <w:t>2020</w:t>
        </w:r>
      </w:hyperlink>
      <w:r>
        <w:rPr>
          <w:rFonts w:ascii="Times New Roman" w:hAnsi="Times New Roman"/>
          <w:b w:val="false"/>
          <w:i w:val="false"/>
          <w:color w:val="000000"/>
          <w:sz w:val="22"/>
        </w:rPr>
        <w:t>)—it captures a different underlying attitude with different consequences to these also widely studied concepts.</w:t>
      </w:r>
    </w:p>
    <w:bookmarkEnd w:id="10"/>
    <w:bookmarkEnd w:id="8"/>
    <w:bookmarkStart w:name="Sec2" w:id="11"/>
    <w:p>
      <w:pPr>
        <w:spacing w:before="0" w:after="0"/>
        <w:ind w:left="120"/>
        <w:jc w:val="left"/>
      </w:pPr>
      <w:bookmarkStart w:name="Sec2" w:id="12"/>
      <w:r>
        <w:br/>
      </w:r>
    </w:p>
    <w:bookmarkEnd w:id="12"/>
    <w:p>
      <w:pPr>
        <w:spacing w:before="210" w:after="105" w:line="288"/>
        <w:ind w:left="120"/>
        <w:jc w:val="left"/>
      </w:pPr>
      <w:r>
        <w:rPr>
          <w:rFonts w:ascii="Georgia" w:hAnsi="Georgia"/>
          <w:b w:val="false"/>
          <w:i w:val="false"/>
          <w:color w:val="000000"/>
          <w:spacing w:val="5"/>
          <w:sz w:val="36"/>
        </w:rPr>
        <w:t>Surveys and Their Limitations</w:t>
      </w:r>
    </w:p>
    <w:bookmarkStart w:name="Par3" w:id="13"/>
    <w:p>
      <w:pPr>
        <w:spacing w:before="0" w:after="0"/>
        <w:ind w:left="120"/>
        <w:jc w:val="left"/>
      </w:pPr>
      <w:r>
        <w:rPr>
          <w:rFonts w:ascii="Times New Roman" w:hAnsi="Times New Roman"/>
          <w:b w:val="false"/>
          <w:i w:val="false"/>
          <w:color w:val="000000"/>
          <w:sz w:val="22"/>
        </w:rPr>
        <w:t xml:space="preserve">Trust research is strongly dominated by quantitative surveys. The lack of a joint thick conceptual understanding of trust (that is, scholars often conceptualize trust differently or briefly, if at all) may explain why rather generic measures are the norm. Generalized social trust is conventionally measured by the unspecific measure “Do you think most people can be trusted, or that you cannot be too careful in dealing with others?” (Dinesen et al., </w:t>
      </w:r>
      <w:hyperlink w:anchor="CR5">
        <w:r>
          <w:rPr>
            <w:rFonts w:ascii="Times New Roman" w:hAnsi="Times New Roman"/>
            <w:b w:val="false"/>
            <w:i/>
            <w:color w:val="0000ff"/>
            <w:sz w:val="22"/>
            <w:u w:val="single"/>
          </w:rPr>
          <w:t>2020</w:t>
        </w:r>
      </w:hyperlink>
      <w:r>
        <w:rPr>
          <w:rFonts w:ascii="Times New Roman" w:hAnsi="Times New Roman"/>
          <w:b w:val="false"/>
          <w:i w:val="false"/>
          <w:color w:val="000000"/>
          <w:sz w:val="22"/>
        </w:rPr>
        <w:t xml:space="preserve">). Most institutional and political trust measures simply ask respondents directly about the extent to which they trust a range of institutions (such as courts or parliament) (De Juan &amp; Pierskalla, </w:t>
      </w:r>
      <w:hyperlink w:anchor="CR3">
        <w:r>
          <w:rPr>
            <w:rFonts w:ascii="Times New Roman" w:hAnsi="Times New Roman"/>
            <w:b w:val="false"/>
            <w:i/>
            <w:color w:val="0000ff"/>
            <w:sz w:val="22"/>
            <w:u w:val="single"/>
          </w:rPr>
          <w:t>2016</w:t>
        </w:r>
      </w:hyperlink>
      <w:r>
        <w:rPr>
          <w:rFonts w:ascii="Times New Roman" w:hAnsi="Times New Roman"/>
          <w:b w:val="false"/>
          <w:i w:val="false"/>
          <w:color w:val="000000"/>
          <w:sz w:val="22"/>
        </w:rPr>
        <w:t xml:space="preserve">; Einstein &amp; Glick, </w:t>
      </w:r>
      <w:hyperlink w:anchor="CR6">
        <w:r>
          <w:rPr>
            <w:rFonts w:ascii="Times New Roman" w:hAnsi="Times New Roman"/>
            <w:b w:val="false"/>
            <w:i/>
            <w:color w:val="0000ff"/>
            <w:sz w:val="22"/>
            <w:u w:val="single"/>
          </w:rPr>
          <w:t>2015</w:t>
        </w:r>
      </w:hyperlink>
      <w:r>
        <w:rPr>
          <w:rFonts w:ascii="Times New Roman" w:hAnsi="Times New Roman"/>
          <w:b w:val="false"/>
          <w:i w:val="false"/>
          <w:color w:val="000000"/>
          <w:sz w:val="22"/>
        </w:rPr>
        <w:t xml:space="preserve">; Foster &amp; Frieden, </w:t>
      </w:r>
      <w:hyperlink w:anchor="CR10">
        <w:r>
          <w:rPr>
            <w:rFonts w:ascii="Times New Roman" w:hAnsi="Times New Roman"/>
            <w:b w:val="false"/>
            <w:i/>
            <w:color w:val="0000ff"/>
            <w:sz w:val="22"/>
            <w:u w:val="single"/>
          </w:rPr>
          <w:t>2017</w:t>
        </w:r>
      </w:hyperlink>
      <w:r>
        <w:rPr>
          <w:rFonts w:ascii="Times New Roman" w:hAnsi="Times New Roman"/>
          <w:b w:val="false"/>
          <w:i w:val="false"/>
          <w:color w:val="000000"/>
          <w:sz w:val="22"/>
        </w:rPr>
        <w:t xml:space="preserve">). These measures enable empirically versatile analyses but are conceptually uncertain. Rather, they ask respondents to conceptualize trust themselves. Nevertheless, an undercurrent of studies emphasizes trustworthiness over trust (e.g., Nisbet et al., </w:t>
      </w:r>
      <w:hyperlink w:anchor="CR16">
        <w:r>
          <w:rPr>
            <w:rFonts w:ascii="Times New Roman" w:hAnsi="Times New Roman"/>
            <w:b w:val="false"/>
            <w:i/>
            <w:color w:val="0000ff"/>
            <w:sz w:val="22"/>
            <w:u w:val="single"/>
          </w:rPr>
          <w:t>2015</w:t>
        </w:r>
      </w:hyperlink>
      <w:r>
        <w:rPr>
          <w:rFonts w:ascii="Times New Roman" w:hAnsi="Times New Roman"/>
          <w:b w:val="false"/>
          <w:i w:val="false"/>
          <w:color w:val="000000"/>
          <w:sz w:val="22"/>
        </w:rPr>
        <w:t xml:space="preserve">) or depart more directly from conceptual debates (Bertsou, </w:t>
      </w:r>
      <w:hyperlink w:anchor="CR21">
        <w:r>
          <w:rPr>
            <w:rFonts w:ascii="Times New Roman" w:hAnsi="Times New Roman"/>
            <w:b w:val="false"/>
            <w:i/>
            <w:color w:val="0000ff"/>
            <w:sz w:val="22"/>
            <w:u w:val="single"/>
          </w:rPr>
          <w:t>2019</w:t>
        </w:r>
      </w:hyperlink>
      <w:r>
        <w:rPr>
          <w:rFonts w:ascii="Times New Roman" w:hAnsi="Times New Roman"/>
          <w:b w:val="false"/>
          <w:i w:val="false"/>
          <w:color w:val="000000"/>
          <w:sz w:val="22"/>
        </w:rPr>
        <w:t>).</w:t>
      </w:r>
    </w:p>
    <w:bookmarkEnd w:id="13"/>
    <w:bookmarkEnd w:id="11"/>
    <w:bookmarkStart w:name="Sec3" w:id="14"/>
    <w:p>
      <w:pPr>
        <w:spacing w:before="0" w:after="0"/>
        <w:ind w:left="120"/>
        <w:jc w:val="left"/>
      </w:pPr>
      <w:bookmarkStart w:name="Sec3" w:id="15"/>
      <w:r>
        <w:br/>
      </w:r>
    </w:p>
    <w:bookmarkEnd w:id="15"/>
    <w:p>
      <w:pPr>
        <w:spacing w:before="210" w:after="105" w:line="288"/>
        <w:ind w:left="120"/>
        <w:jc w:val="left"/>
      </w:pPr>
      <w:r>
        <w:rPr>
          <w:rFonts w:ascii="Georgia" w:hAnsi="Georgia"/>
          <w:b w:val="false"/>
          <w:i w:val="false"/>
          <w:color w:val="000000"/>
          <w:spacing w:val="5"/>
          <w:sz w:val="36"/>
        </w:rPr>
        <w:t>Objects of Trust</w:t>
      </w:r>
    </w:p>
    <w:bookmarkStart w:name="Par4" w:id="16"/>
    <w:p>
      <w:pPr>
        <w:spacing w:before="0" w:after="0"/>
        <w:ind w:left="120"/>
        <w:jc w:val="left"/>
      </w:pPr>
      <w:r>
        <w:rPr>
          <w:rFonts w:ascii="Times New Roman" w:hAnsi="Times New Roman"/>
          <w:b w:val="false"/>
          <w:i w:val="false"/>
          <w:color w:val="000000"/>
          <w:sz w:val="22"/>
        </w:rPr>
        <w:t xml:space="preserve">While trust is generally analyzed in specific domains (trust in people, in media, in science, in politics, and in organizations), some studies combine different objects of trust into a single measure. Empirically, the connections between trust in different objects vary in strength and may be conditional (Sønderskov &amp; Dinesen, </w:t>
      </w:r>
      <w:hyperlink w:anchor="CR18">
        <w:r>
          <w:rPr>
            <w:rFonts w:ascii="Times New Roman" w:hAnsi="Times New Roman"/>
            <w:b w:val="false"/>
            <w:i/>
            <w:color w:val="0000ff"/>
            <w:sz w:val="22"/>
            <w:u w:val="single"/>
          </w:rPr>
          <w:t>2016</w:t>
        </w:r>
      </w:hyperlink>
      <w:r>
        <w:rPr>
          <w:rFonts w:ascii="Times New Roman" w:hAnsi="Times New Roman"/>
          <w:b w:val="false"/>
          <w:i w:val="false"/>
          <w:color w:val="000000"/>
          <w:sz w:val="22"/>
        </w:rPr>
        <w:t xml:space="preserve"> for social and political trust; Hanitzsch et al., </w:t>
      </w:r>
      <w:hyperlink w:anchor="CR12">
        <w:r>
          <w:rPr>
            <w:rFonts w:ascii="Times New Roman" w:hAnsi="Times New Roman"/>
            <w:b w:val="false"/>
            <w:i/>
            <w:color w:val="0000ff"/>
            <w:sz w:val="22"/>
            <w:u w:val="single"/>
          </w:rPr>
          <w:t>2018</w:t>
        </w:r>
      </w:hyperlink>
      <w:r>
        <w:rPr>
          <w:rFonts w:ascii="Times New Roman" w:hAnsi="Times New Roman"/>
          <w:b w:val="false"/>
          <w:i w:val="false"/>
          <w:color w:val="000000"/>
          <w:sz w:val="22"/>
        </w:rPr>
        <w:t xml:space="preserve"> for science and political trust; Fitzgerald and Wolak, </w:t>
      </w:r>
      <w:hyperlink w:anchor="CR9">
        <w:r>
          <w:rPr>
            <w:rFonts w:ascii="Times New Roman" w:hAnsi="Times New Roman"/>
            <w:b w:val="false"/>
            <w:i/>
            <w:color w:val="0000ff"/>
            <w:sz w:val="22"/>
            <w:u w:val="single"/>
          </w:rPr>
          <w:t>2016</w:t>
        </w:r>
      </w:hyperlink>
      <w:r>
        <w:rPr>
          <w:rFonts w:ascii="Times New Roman" w:hAnsi="Times New Roman"/>
          <w:b w:val="false"/>
          <w:i w:val="false"/>
          <w:color w:val="000000"/>
          <w:sz w:val="22"/>
        </w:rPr>
        <w:t xml:space="preserve"> for local and national political trust; Einstein &amp; Glick, </w:t>
      </w:r>
      <w:hyperlink w:anchor="CR6">
        <w:r>
          <w:rPr>
            <w:rFonts w:ascii="Times New Roman" w:hAnsi="Times New Roman"/>
            <w:b w:val="false"/>
            <w:i/>
            <w:color w:val="0000ff"/>
            <w:sz w:val="22"/>
            <w:u w:val="single"/>
          </w:rPr>
          <w:t>2015</w:t>
        </w:r>
      </w:hyperlink>
      <w:r>
        <w:rPr>
          <w:rFonts w:ascii="Times New Roman" w:hAnsi="Times New Roman"/>
          <w:b w:val="false"/>
          <w:i w:val="false"/>
          <w:color w:val="000000"/>
          <w:sz w:val="22"/>
        </w:rPr>
        <w:t xml:space="preserve"> for trust in executive and representative organizations; Armingeon &amp; Ceka, </w:t>
      </w:r>
      <w:hyperlink w:anchor="CR1">
        <w:r>
          <w:rPr>
            <w:rFonts w:ascii="Times New Roman" w:hAnsi="Times New Roman"/>
            <w:b w:val="false"/>
            <w:i/>
            <w:color w:val="0000ff"/>
            <w:sz w:val="22"/>
            <w:u w:val="single"/>
          </w:rPr>
          <w:t>2014</w:t>
        </w:r>
      </w:hyperlink>
      <w:r>
        <w:rPr>
          <w:rFonts w:ascii="Times New Roman" w:hAnsi="Times New Roman"/>
          <w:b w:val="false"/>
          <w:i w:val="false"/>
          <w:color w:val="000000"/>
          <w:sz w:val="22"/>
        </w:rPr>
        <w:t>, for the European Union). The need to distinguish between different trust objects is therefore best considered a theoretical tool rather than an empirical requirement. Sometimes it can be useful to combine multiple objects in a single measure, sometimes to study them apart, depending on the research question or methodological requirements.</w:t>
      </w:r>
    </w:p>
    <w:bookmarkEnd w:id="16"/>
    <w:bookmarkEnd w:id="14"/>
    <w:bookmarkStart w:name="Sec4" w:id="17"/>
    <w:p>
      <w:pPr>
        <w:spacing w:before="0" w:after="0"/>
        <w:ind w:left="120"/>
        <w:jc w:val="left"/>
      </w:pPr>
      <w:bookmarkStart w:name="Sec4" w:id="18"/>
      <w:r>
        <w:br/>
      </w:r>
    </w:p>
    <w:bookmarkEnd w:id="18"/>
    <w:p>
      <w:pPr>
        <w:spacing w:before="210" w:after="105" w:line="288"/>
        <w:ind w:left="120"/>
        <w:jc w:val="left"/>
      </w:pPr>
      <w:r>
        <w:rPr>
          <w:rFonts w:ascii="Georgia" w:hAnsi="Georgia"/>
          <w:b w:val="false"/>
          <w:i w:val="false"/>
          <w:color w:val="000000"/>
          <w:spacing w:val="5"/>
          <w:sz w:val="36"/>
        </w:rPr>
        <w:t>Decline and Absence of Trust</w:t>
      </w:r>
    </w:p>
    <w:bookmarkStart w:name="Par5" w:id="19"/>
    <w:p>
      <w:pPr>
        <w:spacing w:before="0" w:after="0"/>
        <w:ind w:left="120"/>
        <w:jc w:val="left"/>
      </w:pPr>
      <w:r>
        <w:rPr>
          <w:rFonts w:ascii="Times New Roman" w:hAnsi="Times New Roman"/>
          <w:b w:val="false"/>
          <w:i w:val="false"/>
          <w:color w:val="000000"/>
          <w:sz w:val="22"/>
        </w:rPr>
        <w:t xml:space="preserve">Trust tends to draw particular attention in its absence. There is an ongoing debate about its (long-term) decline or otherwise (Valgarðsson et al. </w:t>
      </w:r>
      <w:hyperlink w:anchor="CR22">
        <w:r>
          <w:rPr>
            <w:rFonts w:ascii="Times New Roman" w:hAnsi="Times New Roman"/>
            <w:b w:val="false"/>
            <w:i/>
            <w:color w:val="0000ff"/>
            <w:sz w:val="22"/>
            <w:u w:val="single"/>
          </w:rPr>
          <w:t>2025</w:t>
        </w:r>
      </w:hyperlink>
      <w:r>
        <w:rPr>
          <w:rFonts w:ascii="Times New Roman" w:hAnsi="Times New Roman"/>
          <w:b w:val="false"/>
          <w:i w:val="false"/>
          <w:color w:val="000000"/>
          <w:sz w:val="22"/>
        </w:rPr>
        <w:t xml:space="preserve">). It also explains why political trust is quite often related to social, political, or economic crises such as COVID (Devine et al., </w:t>
      </w:r>
      <w:hyperlink w:anchor="CR4">
        <w:r>
          <w:rPr>
            <w:rFonts w:ascii="Times New Roman" w:hAnsi="Times New Roman"/>
            <w:b w:val="false"/>
            <w:i/>
            <w:color w:val="0000ff"/>
            <w:sz w:val="22"/>
            <w:u w:val="single"/>
          </w:rPr>
          <w:t>2021</w:t>
        </w:r>
      </w:hyperlink>
      <w:r>
        <w:rPr>
          <w:rFonts w:ascii="Times New Roman" w:hAnsi="Times New Roman"/>
          <w:b w:val="false"/>
          <w:i w:val="false"/>
          <w:color w:val="000000"/>
          <w:sz w:val="22"/>
        </w:rPr>
        <w:t xml:space="preserve">; Hartley &amp; Jarvis, </w:t>
      </w:r>
      <w:hyperlink w:anchor="CR13">
        <w:r>
          <w:rPr>
            <w:rFonts w:ascii="Times New Roman" w:hAnsi="Times New Roman"/>
            <w:b w:val="false"/>
            <w:i/>
            <w:color w:val="0000ff"/>
            <w:sz w:val="22"/>
            <w:u w:val="single"/>
          </w:rPr>
          <w:t>2020</w:t>
        </w:r>
      </w:hyperlink>
      <w:r>
        <w:rPr>
          <w:rFonts w:ascii="Times New Roman" w:hAnsi="Times New Roman"/>
          <w:b w:val="false"/>
          <w:i w:val="false"/>
          <w:color w:val="000000"/>
          <w:sz w:val="22"/>
        </w:rPr>
        <w:t xml:space="preserve">; Kritzinger et al., </w:t>
      </w:r>
      <w:hyperlink w:anchor="CR14">
        <w:r>
          <w:rPr>
            <w:rFonts w:ascii="Times New Roman" w:hAnsi="Times New Roman"/>
            <w:b w:val="false"/>
            <w:i/>
            <w:color w:val="0000ff"/>
            <w:sz w:val="22"/>
            <w:u w:val="single"/>
          </w:rPr>
          <w:t>2021</w:t>
        </w:r>
      </w:hyperlink>
      <w:r>
        <w:rPr>
          <w:rFonts w:ascii="Times New Roman" w:hAnsi="Times New Roman"/>
          <w:b w:val="false"/>
          <w:i w:val="false"/>
          <w:color w:val="000000"/>
          <w:sz w:val="22"/>
        </w:rPr>
        <w:t xml:space="preserve">; Schraff, </w:t>
      </w:r>
      <w:hyperlink w:anchor="CR17">
        <w:r>
          <w:rPr>
            <w:rFonts w:ascii="Times New Roman" w:hAnsi="Times New Roman"/>
            <w:b w:val="false"/>
            <w:i/>
            <w:color w:val="0000ff"/>
            <w:sz w:val="22"/>
            <w:u w:val="single"/>
          </w:rPr>
          <w:t>2021</w:t>
        </w:r>
      </w:hyperlink>
      <w:r>
        <w:rPr>
          <w:rFonts w:ascii="Times New Roman" w:hAnsi="Times New Roman"/>
          <w:b w:val="false"/>
          <w:i w:val="false"/>
          <w:color w:val="000000"/>
          <w:sz w:val="22"/>
        </w:rPr>
        <w:t xml:space="preserve">; Esaiasson et al., </w:t>
      </w:r>
      <w:hyperlink w:anchor="CR7">
        <w:r>
          <w:rPr>
            <w:rFonts w:ascii="Times New Roman" w:hAnsi="Times New Roman"/>
            <w:b w:val="false"/>
            <w:i/>
            <w:color w:val="0000ff"/>
            <w:sz w:val="22"/>
            <w:u w:val="single"/>
          </w:rPr>
          <w:t>2021</w:t>
        </w:r>
      </w:hyperlink>
      <w:r>
        <w:rPr>
          <w:rFonts w:ascii="Times New Roman" w:hAnsi="Times New Roman"/>
          <w:b w:val="false"/>
          <w:i w:val="false"/>
          <w:color w:val="000000"/>
          <w:sz w:val="22"/>
        </w:rPr>
        <w:t xml:space="preserve">), economic shocks such as austerity (van Erkel &amp; van der Meer, </w:t>
      </w:r>
      <w:hyperlink w:anchor="CR20">
        <w:r>
          <w:rPr>
            <w:rFonts w:ascii="Times New Roman" w:hAnsi="Times New Roman"/>
            <w:b w:val="false"/>
            <w:i/>
            <w:color w:val="0000ff"/>
            <w:sz w:val="22"/>
            <w:u w:val="single"/>
          </w:rPr>
          <w:t>2016</w:t>
        </w:r>
      </w:hyperlink>
      <w:r>
        <w:rPr>
          <w:rFonts w:ascii="Times New Roman" w:hAnsi="Times New Roman"/>
          <w:b w:val="false"/>
          <w:i w:val="false"/>
          <w:color w:val="000000"/>
          <w:sz w:val="22"/>
        </w:rPr>
        <w:t xml:space="preserve">; Foster &amp; Frieden, </w:t>
      </w:r>
      <w:hyperlink w:anchor="CR10">
        <w:r>
          <w:rPr>
            <w:rFonts w:ascii="Times New Roman" w:hAnsi="Times New Roman"/>
            <w:b w:val="false"/>
            <w:i/>
            <w:color w:val="0000ff"/>
            <w:sz w:val="22"/>
            <w:u w:val="single"/>
          </w:rPr>
          <w:t>2017</w:t>
        </w:r>
      </w:hyperlink>
      <w:r>
        <w:rPr>
          <w:rFonts w:ascii="Times New Roman" w:hAnsi="Times New Roman"/>
          <w:b w:val="false"/>
          <w:i w:val="false"/>
          <w:color w:val="000000"/>
          <w:sz w:val="22"/>
        </w:rPr>
        <w:t xml:space="preserve">; Armingeon &amp; Ceka, </w:t>
      </w:r>
      <w:hyperlink w:anchor="CR1">
        <w:r>
          <w:rPr>
            <w:rFonts w:ascii="Times New Roman" w:hAnsi="Times New Roman"/>
            <w:b w:val="false"/>
            <w:i/>
            <w:color w:val="0000ff"/>
            <w:sz w:val="22"/>
            <w:u w:val="single"/>
          </w:rPr>
          <w:t>2014</w:t>
        </w:r>
      </w:hyperlink>
      <w:r>
        <w:rPr>
          <w:rFonts w:ascii="Times New Roman" w:hAnsi="Times New Roman"/>
          <w:b w:val="false"/>
          <w:i w:val="false"/>
          <w:color w:val="000000"/>
          <w:sz w:val="22"/>
        </w:rPr>
        <w:t xml:space="preserve">), and more structural challenges such as conspiracy theories and misinformation (Einstein &amp; Glick, </w:t>
      </w:r>
      <w:hyperlink w:anchor="CR6">
        <w:r>
          <w:rPr>
            <w:rFonts w:ascii="Times New Roman" w:hAnsi="Times New Roman"/>
            <w:b w:val="false"/>
            <w:i/>
            <w:color w:val="0000ff"/>
            <w:sz w:val="22"/>
            <w:u w:val="single"/>
          </w:rPr>
          <w:t>2015</w:t>
        </w:r>
      </w:hyperlink>
      <w:r>
        <w:rPr>
          <w:rFonts w:ascii="Times New Roman" w:hAnsi="Times New Roman"/>
          <w:b w:val="false"/>
          <w:i w:val="false"/>
          <w:color w:val="000000"/>
          <w:sz w:val="22"/>
        </w:rPr>
        <w:t xml:space="preserve">), polarization (Hanitsch et al.; Nisbet et al.), diversity (Dinesen et al., </w:t>
      </w:r>
      <w:hyperlink w:anchor="CR5">
        <w:r>
          <w:rPr>
            <w:rFonts w:ascii="Times New Roman" w:hAnsi="Times New Roman"/>
            <w:b w:val="false"/>
            <w:i/>
            <w:color w:val="0000ff"/>
            <w:sz w:val="22"/>
            <w:u w:val="single"/>
          </w:rPr>
          <w:t>2020</w:t>
        </w:r>
      </w:hyperlink>
      <w:r>
        <w:rPr>
          <w:rFonts w:ascii="Times New Roman" w:hAnsi="Times New Roman"/>
          <w:b w:val="false"/>
          <w:i w:val="false"/>
          <w:color w:val="000000"/>
          <w:sz w:val="22"/>
        </w:rPr>
        <w:t xml:space="preserve">), and populism (Fawzi, </w:t>
      </w:r>
      <w:hyperlink w:anchor="CR8">
        <w:r>
          <w:rPr>
            <w:rFonts w:ascii="Times New Roman" w:hAnsi="Times New Roman"/>
            <w:b w:val="false"/>
            <w:i/>
            <w:color w:val="0000ff"/>
            <w:sz w:val="22"/>
            <w:u w:val="single"/>
          </w:rPr>
          <w:t>2019</w:t>
        </w:r>
      </w:hyperlink>
      <w:r>
        <w:rPr>
          <w:rFonts w:ascii="Times New Roman" w:hAnsi="Times New Roman"/>
          <w:b w:val="false"/>
          <w:i w:val="false"/>
          <w:color w:val="000000"/>
          <w:sz w:val="22"/>
        </w:rPr>
        <w:t>).</w:t>
      </w:r>
    </w:p>
    <w:bookmarkEnd w:id="19"/>
    <w:bookmarkEnd w:id="17"/>
    <w:bookmarkStart w:name="Sec5" w:id="20"/>
    <w:p>
      <w:pPr>
        <w:spacing w:before="0" w:after="0"/>
        <w:ind w:left="120"/>
        <w:jc w:val="left"/>
      </w:pPr>
      <w:bookmarkStart w:name="Sec5" w:id="21"/>
      <w:r>
        <w:br/>
      </w:r>
    </w:p>
    <w:bookmarkEnd w:id="21"/>
    <w:p>
      <w:pPr>
        <w:spacing w:before="210" w:after="105" w:line="288"/>
        <w:ind w:left="120"/>
        <w:jc w:val="left"/>
      </w:pPr>
      <w:r>
        <w:rPr>
          <w:rFonts w:ascii="Georgia" w:hAnsi="Georgia"/>
          <w:b w:val="false"/>
          <w:i w:val="false"/>
          <w:color w:val="000000"/>
          <w:spacing w:val="5"/>
          <w:sz w:val="36"/>
        </w:rPr>
        <w:t>Causes and Consequences</w:t>
      </w:r>
    </w:p>
    <w:bookmarkStart w:name="Par6" w:id="22"/>
    <w:p>
      <w:pPr>
        <w:spacing w:before="0" w:after="0"/>
        <w:ind w:left="120"/>
        <w:jc w:val="left"/>
      </w:pPr>
      <w:r>
        <w:rPr>
          <w:rFonts w:ascii="Times New Roman" w:hAnsi="Times New Roman"/>
          <w:b w:val="false"/>
          <w:i w:val="false"/>
          <w:color w:val="000000"/>
          <w:sz w:val="22"/>
        </w:rPr>
        <w:t xml:space="preserve">Trust research has focused most of its attention to explanations. Traditionally, we distinguish between socialization and affective models (that emphasize traits of the truster) and evaluative models (that emphasize traits of the trustee). Although there is evidence for the socialization and affective components that either attenuate or nullify the evaluation mechanism (Foster &amp; Frieden, </w:t>
      </w:r>
      <w:hyperlink w:anchor="CR10">
        <w:r>
          <w:rPr>
            <w:rFonts w:ascii="Times New Roman" w:hAnsi="Times New Roman"/>
            <w:b w:val="false"/>
            <w:i/>
            <w:color w:val="0000ff"/>
            <w:sz w:val="22"/>
            <w:u w:val="single"/>
          </w:rPr>
          <w:t>2017</w:t>
        </w:r>
      </w:hyperlink>
      <w:r>
        <w:rPr>
          <w:rFonts w:ascii="Times New Roman" w:hAnsi="Times New Roman"/>
          <w:b w:val="false"/>
          <w:i w:val="false"/>
          <w:color w:val="000000"/>
          <w:sz w:val="22"/>
        </w:rPr>
        <w:t xml:space="preserve">; Nisbet et al., </w:t>
      </w:r>
      <w:hyperlink w:anchor="CR16">
        <w:r>
          <w:rPr>
            <w:rFonts w:ascii="Times New Roman" w:hAnsi="Times New Roman"/>
            <w:b w:val="false"/>
            <w:i/>
            <w:color w:val="0000ff"/>
            <w:sz w:val="22"/>
            <w:u w:val="single"/>
          </w:rPr>
          <w:t>2015</w:t>
        </w:r>
      </w:hyperlink>
      <w:r>
        <w:rPr>
          <w:rFonts w:ascii="Times New Roman" w:hAnsi="Times New Roman"/>
          <w:b w:val="false"/>
          <w:i w:val="false"/>
          <w:color w:val="000000"/>
          <w:sz w:val="22"/>
        </w:rPr>
        <w:t xml:space="preserve">; Schraff, </w:t>
      </w:r>
      <w:hyperlink w:anchor="CR17">
        <w:r>
          <w:rPr>
            <w:rFonts w:ascii="Times New Roman" w:hAnsi="Times New Roman"/>
            <w:b w:val="false"/>
            <w:i/>
            <w:color w:val="0000ff"/>
            <w:sz w:val="22"/>
            <w:u w:val="single"/>
          </w:rPr>
          <w:t>2021</w:t>
        </w:r>
      </w:hyperlink>
      <w:r>
        <w:rPr>
          <w:rFonts w:ascii="Times New Roman" w:hAnsi="Times New Roman"/>
          <w:b w:val="false"/>
          <w:i w:val="false"/>
          <w:color w:val="000000"/>
          <w:sz w:val="22"/>
        </w:rPr>
        <w:t xml:space="preserve">; Esaiasson et al., </w:t>
      </w:r>
      <w:hyperlink w:anchor="CR7">
        <w:r>
          <w:rPr>
            <w:rFonts w:ascii="Times New Roman" w:hAnsi="Times New Roman"/>
            <w:b w:val="false"/>
            <w:i/>
            <w:color w:val="0000ff"/>
            <w:sz w:val="22"/>
            <w:u w:val="single"/>
          </w:rPr>
          <w:t>2021</w:t>
        </w:r>
      </w:hyperlink>
      <w:r>
        <w:rPr>
          <w:rFonts w:ascii="Times New Roman" w:hAnsi="Times New Roman"/>
          <w:b w:val="false"/>
          <w:i w:val="false"/>
          <w:color w:val="000000"/>
          <w:sz w:val="22"/>
        </w:rPr>
        <w:t xml:space="preserve">), the evaluative model has been dominant in recent decades. There is substantial evidence that trust “responds” to external conditions and policy (Armingeon &amp; Ceka, </w:t>
      </w:r>
      <w:hyperlink w:anchor="CR1">
        <w:r>
          <w:rPr>
            <w:rFonts w:ascii="Times New Roman" w:hAnsi="Times New Roman"/>
            <w:b w:val="false"/>
            <w:i/>
            <w:color w:val="0000ff"/>
            <w:sz w:val="22"/>
            <w:u w:val="single"/>
          </w:rPr>
          <w:t>2014</w:t>
        </w:r>
      </w:hyperlink>
      <w:r>
        <w:rPr>
          <w:rFonts w:ascii="Times New Roman" w:hAnsi="Times New Roman"/>
          <w:b w:val="false"/>
          <w:i w:val="false"/>
          <w:color w:val="000000"/>
          <w:sz w:val="22"/>
        </w:rPr>
        <w:t xml:space="preserve">; Fawzi, </w:t>
      </w:r>
      <w:hyperlink w:anchor="CR8">
        <w:r>
          <w:rPr>
            <w:rFonts w:ascii="Times New Roman" w:hAnsi="Times New Roman"/>
            <w:b w:val="false"/>
            <w:i/>
            <w:color w:val="0000ff"/>
            <w:sz w:val="22"/>
            <w:u w:val="single"/>
          </w:rPr>
          <w:t>2019</w:t>
        </w:r>
      </w:hyperlink>
      <w:r>
        <w:rPr>
          <w:rFonts w:ascii="Times New Roman" w:hAnsi="Times New Roman"/>
          <w:b w:val="false"/>
          <w:i w:val="false"/>
          <w:color w:val="000000"/>
          <w:sz w:val="22"/>
        </w:rPr>
        <w:t xml:space="preserve">; Foster &amp; Frieden, </w:t>
      </w:r>
      <w:hyperlink w:anchor="CR10">
        <w:r>
          <w:rPr>
            <w:rFonts w:ascii="Times New Roman" w:hAnsi="Times New Roman"/>
            <w:b w:val="false"/>
            <w:i/>
            <w:color w:val="0000ff"/>
            <w:sz w:val="22"/>
            <w:u w:val="single"/>
          </w:rPr>
          <w:t>2017</w:t>
        </w:r>
      </w:hyperlink>
      <w:r>
        <w:rPr>
          <w:rFonts w:ascii="Times New Roman" w:hAnsi="Times New Roman"/>
          <w:b w:val="false"/>
          <w:i w:val="false"/>
          <w:color w:val="000000"/>
          <w:sz w:val="22"/>
        </w:rPr>
        <w:t xml:space="preserve">; Hanitzsch et al., </w:t>
      </w:r>
      <w:hyperlink w:anchor="CR12">
        <w:r>
          <w:rPr>
            <w:rFonts w:ascii="Times New Roman" w:hAnsi="Times New Roman"/>
            <w:b w:val="false"/>
            <w:i/>
            <w:color w:val="0000ff"/>
            <w:sz w:val="22"/>
            <w:u w:val="single"/>
          </w:rPr>
          <w:t>2018</w:t>
        </w:r>
      </w:hyperlink>
      <w:r>
        <w:rPr>
          <w:rFonts w:ascii="Times New Roman" w:hAnsi="Times New Roman"/>
          <w:b w:val="false"/>
          <w:i w:val="false"/>
          <w:color w:val="000000"/>
          <w:sz w:val="22"/>
        </w:rPr>
        <w:t xml:space="preserve">; Kritzinger et al., </w:t>
      </w:r>
      <w:hyperlink w:anchor="CR14">
        <w:r>
          <w:rPr>
            <w:rFonts w:ascii="Times New Roman" w:hAnsi="Times New Roman"/>
            <w:b w:val="false"/>
            <w:i/>
            <w:color w:val="0000ff"/>
            <w:sz w:val="22"/>
            <w:u w:val="single"/>
          </w:rPr>
          <w:t>2021</w:t>
        </w:r>
      </w:hyperlink>
      <w:r>
        <w:rPr>
          <w:rFonts w:ascii="Times New Roman" w:hAnsi="Times New Roman"/>
          <w:b w:val="false"/>
          <w:i w:val="false"/>
          <w:color w:val="000000"/>
          <w:sz w:val="22"/>
        </w:rPr>
        <w:t xml:space="preserve">; Margalit, </w:t>
      </w:r>
      <w:hyperlink w:anchor="CR15">
        <w:r>
          <w:rPr>
            <w:rFonts w:ascii="Times New Roman" w:hAnsi="Times New Roman"/>
            <w:b w:val="false"/>
            <w:i/>
            <w:color w:val="0000ff"/>
            <w:sz w:val="22"/>
            <w:u w:val="single"/>
          </w:rPr>
          <w:t>2019</w:t>
        </w:r>
      </w:hyperlink>
      <w:r>
        <w:rPr>
          <w:rFonts w:ascii="Times New Roman" w:hAnsi="Times New Roman"/>
          <w:b w:val="false"/>
          <w:i w:val="false"/>
          <w:color w:val="000000"/>
          <w:sz w:val="22"/>
        </w:rPr>
        <w:t xml:space="preserve">; Schraff, </w:t>
      </w:r>
      <w:hyperlink w:anchor="CR17">
        <w:r>
          <w:rPr>
            <w:rFonts w:ascii="Times New Roman" w:hAnsi="Times New Roman"/>
            <w:b w:val="false"/>
            <w:i/>
            <w:color w:val="0000ff"/>
            <w:sz w:val="22"/>
            <w:u w:val="single"/>
          </w:rPr>
          <w:t>2021</w:t>
        </w:r>
      </w:hyperlink>
      <w:r>
        <w:rPr>
          <w:rFonts w:ascii="Times New Roman" w:hAnsi="Times New Roman"/>
          <w:b w:val="false"/>
          <w:i w:val="false"/>
          <w:color w:val="000000"/>
          <w:sz w:val="22"/>
        </w:rPr>
        <w:t xml:space="preserve">; van Erkel &amp; van der Meer, </w:t>
      </w:r>
      <w:hyperlink w:anchor="CR20">
        <w:r>
          <w:rPr>
            <w:rFonts w:ascii="Times New Roman" w:hAnsi="Times New Roman"/>
            <w:b w:val="false"/>
            <w:i/>
            <w:color w:val="0000ff"/>
            <w:sz w:val="22"/>
            <w:u w:val="single"/>
          </w:rPr>
          <w:t>2016</w:t>
        </w:r>
      </w:hyperlink>
      <w:r>
        <w:rPr>
          <w:rFonts w:ascii="Times New Roman" w:hAnsi="Times New Roman"/>
          <w:b w:val="false"/>
          <w:i w:val="false"/>
          <w:color w:val="000000"/>
          <w:sz w:val="22"/>
        </w:rPr>
        <w:t xml:space="preserve">). Procedural elements—such as fairness—tend to play an important role beyond actual outcomes (Sønderskov &amp; Dinesen, </w:t>
      </w:r>
      <w:hyperlink w:anchor="CR18">
        <w:r>
          <w:rPr>
            <w:rFonts w:ascii="Times New Roman" w:hAnsi="Times New Roman"/>
            <w:b w:val="false"/>
            <w:i/>
            <w:color w:val="0000ff"/>
            <w:sz w:val="22"/>
            <w:u w:val="single"/>
          </w:rPr>
          <w:t>2016</w:t>
        </w:r>
      </w:hyperlink>
      <w:r>
        <w:rPr>
          <w:rFonts w:ascii="Times New Roman" w:hAnsi="Times New Roman"/>
          <w:b w:val="false"/>
          <w:i w:val="false"/>
          <w:color w:val="000000"/>
          <w:sz w:val="22"/>
        </w:rPr>
        <w:t xml:space="preserve">; De Juan &amp; Pierskalla, </w:t>
      </w:r>
      <w:hyperlink w:anchor="CR3">
        <w:r>
          <w:rPr>
            <w:rFonts w:ascii="Times New Roman" w:hAnsi="Times New Roman"/>
            <w:b w:val="false"/>
            <w:i/>
            <w:color w:val="0000ff"/>
            <w:sz w:val="22"/>
            <w:u w:val="single"/>
          </w:rPr>
          <w:t>2016</w:t>
        </w:r>
      </w:hyperlink>
      <w:r>
        <w:rPr>
          <w:rFonts w:ascii="Times New Roman" w:hAnsi="Times New Roman"/>
          <w:b w:val="false"/>
          <w:i w:val="false"/>
          <w:color w:val="000000"/>
          <w:sz w:val="22"/>
        </w:rPr>
        <w:t xml:space="preserve">; van der Meer &amp; Hakhverdian, </w:t>
      </w:r>
      <w:hyperlink w:anchor="CR19">
        <w:r>
          <w:rPr>
            <w:rFonts w:ascii="Times New Roman" w:hAnsi="Times New Roman"/>
            <w:b w:val="false"/>
            <w:i/>
            <w:color w:val="0000ff"/>
            <w:sz w:val="22"/>
            <w:u w:val="single"/>
          </w:rPr>
          <w:t>2017</w:t>
        </w:r>
      </w:hyperlink>
      <w:r>
        <w:rPr>
          <w:rFonts w:ascii="Times New Roman" w:hAnsi="Times New Roman"/>
          <w:b w:val="false"/>
          <w:i w:val="false"/>
          <w:color w:val="000000"/>
          <w:sz w:val="22"/>
        </w:rPr>
        <w:t xml:space="preserve">; Esaiasson et al., </w:t>
      </w:r>
      <w:hyperlink w:anchor="CR7">
        <w:r>
          <w:rPr>
            <w:rFonts w:ascii="Times New Roman" w:hAnsi="Times New Roman"/>
            <w:b w:val="false"/>
            <w:i/>
            <w:color w:val="0000ff"/>
            <w:sz w:val="22"/>
            <w:u w:val="single"/>
          </w:rPr>
          <w:t>2021</w:t>
        </w:r>
      </w:hyperlink>
      <w:r>
        <w:rPr>
          <w:rFonts w:ascii="Times New Roman" w:hAnsi="Times New Roman"/>
          <w:b w:val="false"/>
          <w:i w:val="false"/>
          <w:color w:val="000000"/>
          <w:sz w:val="22"/>
        </w:rPr>
        <w:t xml:space="preserve">). Yet, despite its dominance, the evaluative model does not find consistent support, particularly when we focus on mechanisms (i.e., </w:t>
      </w:r>
      <w:r>
        <w:rPr>
          <w:rFonts w:ascii="Times New Roman" w:hAnsi="Times New Roman"/>
          <w:b w:val="false"/>
          <w:i/>
          <w:color w:val="000000"/>
          <w:sz w:val="22"/>
        </w:rPr>
        <w:t>how</w:t>
      </w:r>
      <w:r>
        <w:rPr>
          <w:rFonts w:ascii="Times New Roman" w:hAnsi="Times New Roman"/>
          <w:b w:val="false"/>
          <w:i w:val="false"/>
          <w:color w:val="000000"/>
          <w:sz w:val="22"/>
        </w:rPr>
        <w:t xml:space="preserve"> evaluations link to trust). The nature of the evaluation and the benchmarks against which people evaluate requires further theoretical clarity and empirical support (van der Meer &amp; Hakhverdian, </w:t>
      </w:r>
      <w:hyperlink w:anchor="CR19">
        <w:r>
          <w:rPr>
            <w:rFonts w:ascii="Times New Roman" w:hAnsi="Times New Roman"/>
            <w:b w:val="false"/>
            <w:i/>
            <w:color w:val="0000ff"/>
            <w:sz w:val="22"/>
            <w:u w:val="single"/>
          </w:rPr>
          <w:t>2017</w:t>
        </w:r>
      </w:hyperlink>
      <w:r>
        <w:rPr>
          <w:rFonts w:ascii="Times New Roman" w:hAnsi="Times New Roman"/>
          <w:b w:val="false"/>
          <w:i w:val="false"/>
          <w:color w:val="000000"/>
          <w:sz w:val="22"/>
        </w:rPr>
        <w:t xml:space="preserve">; van Erkel &amp; van der Meer, </w:t>
      </w:r>
      <w:hyperlink w:anchor="CR20">
        <w:r>
          <w:rPr>
            <w:rFonts w:ascii="Times New Roman" w:hAnsi="Times New Roman"/>
            <w:b w:val="false"/>
            <w:i/>
            <w:color w:val="0000ff"/>
            <w:sz w:val="22"/>
            <w:u w:val="single"/>
          </w:rPr>
          <w:t>2016</w:t>
        </w:r>
      </w:hyperlink>
      <w:r>
        <w:rPr>
          <w:rFonts w:ascii="Times New Roman" w:hAnsi="Times New Roman"/>
          <w:b w:val="false"/>
          <w:i w:val="false"/>
          <w:color w:val="000000"/>
          <w:sz w:val="22"/>
        </w:rPr>
        <w:t xml:space="preserve">; see also Fitzgerald and Wolak, </w:t>
      </w:r>
      <w:hyperlink w:anchor="CR9">
        <w:r>
          <w:rPr>
            <w:rFonts w:ascii="Times New Roman" w:hAnsi="Times New Roman"/>
            <w:b w:val="false"/>
            <w:i/>
            <w:color w:val="0000ff"/>
            <w:sz w:val="22"/>
            <w:u w:val="single"/>
          </w:rPr>
          <w:t>2016</w:t>
        </w:r>
      </w:hyperlink>
      <w:r>
        <w:rPr>
          <w:rFonts w:ascii="Times New Roman" w:hAnsi="Times New Roman"/>
          <w:b w:val="false"/>
          <w:i w:val="false"/>
          <w:color w:val="000000"/>
          <w:sz w:val="22"/>
        </w:rPr>
        <w:t xml:space="preserve">). There is also a gap when it comes to the relationship between trust judgments and </w:t>
      </w:r>
      <w:r>
        <w:rPr>
          <w:rFonts w:ascii="Times New Roman" w:hAnsi="Times New Roman"/>
          <w:b w:val="false"/>
          <w:i/>
          <w:color w:val="000000"/>
          <w:sz w:val="22"/>
        </w:rPr>
        <w:t>trustworthiness</w:t>
      </w:r>
      <w:r>
        <w:rPr>
          <w:rFonts w:ascii="Times New Roman" w:hAnsi="Times New Roman"/>
          <w:b w:val="false"/>
          <w:i w:val="false"/>
          <w:color w:val="000000"/>
          <w:sz w:val="22"/>
        </w:rPr>
        <w:t>. Normatively, trust judgments should be linked to trustworthiness of the object (such as institutions), and changes in trust become relevant as they signal changes in trustworthiness. This is less researched in existing work.</w:t>
      </w:r>
    </w:p>
    <w:bookmarkEnd w:id="22"/>
    <w:bookmarkStart w:name="Par7" w:id="23"/>
    <w:p>
      <w:pPr>
        <w:spacing w:before="120" w:after="0"/>
        <w:ind w:left="120"/>
        <w:jc w:val="left"/>
      </w:pPr>
      <w:r>
        <w:rPr>
          <w:rFonts w:ascii="Times New Roman" w:hAnsi="Times New Roman"/>
          <w:b w:val="false"/>
          <w:i w:val="false"/>
          <w:color w:val="000000"/>
          <w:sz w:val="22"/>
        </w:rPr>
        <w:t xml:space="preserve">Finally, much research into trust is motivated by its supposed essential impact on society and democracy (Citrin &amp; Stoker, </w:t>
      </w:r>
      <w:hyperlink w:anchor="CR2">
        <w:r>
          <w:rPr>
            <w:rFonts w:ascii="Times New Roman" w:hAnsi="Times New Roman"/>
            <w:b w:val="false"/>
            <w:i/>
            <w:color w:val="0000ff"/>
            <w:sz w:val="22"/>
            <w:u w:val="single"/>
          </w:rPr>
          <w:t>2018</w:t>
        </w:r>
      </w:hyperlink>
      <w:r>
        <w:rPr>
          <w:rFonts w:ascii="Times New Roman" w:hAnsi="Times New Roman"/>
          <w:b w:val="false"/>
          <w:i w:val="false"/>
          <w:color w:val="000000"/>
          <w:sz w:val="22"/>
        </w:rPr>
        <w:t xml:space="preserve">). Yet, despite claims to trust’s importance, the majority of the studies use trust as an outcome rather than a predictor. Moreover, the studies that exist in this collection suggest that trust has at best a very conditional set of consequences (Devine et al., </w:t>
      </w:r>
      <w:hyperlink w:anchor="CR4">
        <w:r>
          <w:rPr>
            <w:rFonts w:ascii="Times New Roman" w:hAnsi="Times New Roman"/>
            <w:b w:val="false"/>
            <w:i/>
            <w:color w:val="0000ff"/>
            <w:sz w:val="22"/>
            <w:u w:val="single"/>
          </w:rPr>
          <w:t>2021</w:t>
        </w:r>
      </w:hyperlink>
      <w:r>
        <w:rPr>
          <w:rFonts w:ascii="Times New Roman" w:hAnsi="Times New Roman"/>
          <w:b w:val="false"/>
          <w:i w:val="false"/>
          <w:color w:val="000000"/>
          <w:sz w:val="22"/>
        </w:rPr>
        <w:t xml:space="preserve">; Hartley &amp; Jarvis, </w:t>
      </w:r>
      <w:hyperlink w:anchor="CR13">
        <w:r>
          <w:rPr>
            <w:rFonts w:ascii="Times New Roman" w:hAnsi="Times New Roman"/>
            <w:b w:val="false"/>
            <w:i/>
            <w:color w:val="0000ff"/>
            <w:sz w:val="22"/>
            <w:u w:val="single"/>
          </w:rPr>
          <w:t>2020</w:t>
        </w:r>
      </w:hyperlink>
      <w:r>
        <w:rPr>
          <w:rFonts w:ascii="Times New Roman" w:hAnsi="Times New Roman"/>
          <w:b w:val="false"/>
          <w:i w:val="false"/>
          <w:color w:val="000000"/>
          <w:sz w:val="22"/>
        </w:rPr>
        <w:t>).</w:t>
      </w:r>
    </w:p>
    <w:bookmarkEnd w:id="23"/>
    <w:bookmarkEnd w:id="20"/>
    <w:bookmarkStart w:name="Sec6" w:id="24"/>
    <w:p>
      <w:pPr>
        <w:spacing w:before="0" w:after="0"/>
        <w:ind w:left="120"/>
        <w:jc w:val="left"/>
      </w:pPr>
      <w:bookmarkStart w:name="Sec6" w:id="25"/>
      <w:r>
        <w:br/>
      </w:r>
    </w:p>
    <w:bookmarkEnd w:id="25"/>
    <w:p>
      <w:pPr>
        <w:spacing w:before="210" w:after="105" w:line="288"/>
        <w:ind w:left="120"/>
        <w:jc w:val="left"/>
      </w:pPr>
      <w:r>
        <w:rPr>
          <w:rFonts w:ascii="Georgia" w:hAnsi="Georgia"/>
          <w:b w:val="false"/>
          <w:i w:val="false"/>
          <w:color w:val="000000"/>
          <w:spacing w:val="5"/>
          <w:sz w:val="36"/>
        </w:rPr>
        <w:t>What Is Next for Research on Trust?</w:t>
      </w:r>
    </w:p>
    <w:bookmarkStart w:name="Par8" w:id="26"/>
    <w:p>
      <w:pPr>
        <w:spacing w:before="0" w:after="0"/>
        <w:ind w:left="120"/>
        <w:jc w:val="left"/>
      </w:pPr>
      <w:r>
        <w:rPr>
          <w:rFonts w:ascii="Times New Roman" w:hAnsi="Times New Roman"/>
          <w:b w:val="false"/>
          <w:i w:val="false"/>
          <w:color w:val="000000"/>
          <w:sz w:val="22"/>
        </w:rPr>
        <w:t xml:space="preserve">Emerging from this review of the 20 most cited articles over the last 10 years, we see 3 related, essential paths forward. First, moving towards a more coherent model of trust is an important next step. There are few agreed-upon </w:t>
      </w:r>
      <w:r>
        <w:rPr>
          <w:rFonts w:ascii="Times New Roman" w:hAnsi="Times New Roman"/>
          <w:b w:val="false"/>
          <w:i/>
          <w:color w:val="000000"/>
          <w:sz w:val="22"/>
        </w:rPr>
        <w:t>conceptualizations</w:t>
      </w:r>
      <w:r>
        <w:rPr>
          <w:rFonts w:ascii="Times New Roman" w:hAnsi="Times New Roman"/>
          <w:b w:val="false"/>
          <w:i w:val="false"/>
          <w:color w:val="000000"/>
          <w:sz w:val="22"/>
        </w:rPr>
        <w:t xml:space="preserve"> of trust, whereas theoretical models tend to lack firm underpinning by mechanisms and moderators. Second, we need to move to the understudied consequences of trust, particularly in the face of strong assumptions of these consequences. Third, methodologically, the literature needs to move beyond cross-sectional survey data to focus on mechanisms and causality.</w:t>
      </w:r>
    </w:p>
    <w:bookmarkEnd w:id="26"/>
    <w:bookmarkEnd w:id="24"/>
    <w:p>
      <w:pPr>
        <w:spacing w:before="0" w:after="0"/>
        <w:ind w:left="120"/>
        <w:jc w:val="left"/>
      </w:pPr>
      <w:r>
        <w:br/>
      </w:r>
    </w:p>
    <w:p>
      <w:pPr>
        <w:spacing w:before="0" w:after="0"/>
        <w:ind w:left="120"/>
        <w:jc w:val="left"/>
      </w:pPr>
      <w:r>
        <w:rPr>
          <w:rFonts w:ascii="Times New Roman" w:hAnsi="Times New Roman"/>
          <w:b/>
          <w:i w:val="false"/>
          <w:color w:val="000000"/>
          <w:sz w:val="22"/>
        </w:rPr>
        <w:t>Competing Interest Declaration</w:t>
      </w:r>
    </w:p>
    <w:p>
      <w:pPr>
        <w:spacing w:before="105" w:after="105"/>
        <w:ind w:left="120"/>
        <w:jc w:val="left"/>
      </w:pPr>
      <w:r>
        <w:rPr>
          <w:rFonts w:ascii="Times New Roman" w:hAnsi="Times New Roman"/>
          <w:b w:val="false"/>
          <w:i w:val="false"/>
          <w:color w:val="000000"/>
          <w:sz w:val="22"/>
        </w:rPr>
        <w:t>The author(s) has no competing interests to declare that are relevant to the content of this manuscript.</w:t>
      </w:r>
    </w:p>
    <w:p>
      <w:pPr>
        <w:spacing w:before="105" w:after="105"/>
        <w:ind w:left="120"/>
        <w:jc w:val="left"/>
      </w:pPr>
      <w:r>
        <w:rPr>
          <w:rFonts w:ascii="Times New Roman" w:hAnsi="Times New Roman"/>
          <w:b/>
          <w:i w:val="false"/>
          <w:color w:val="000000"/>
          <w:sz w:val="22"/>
        </w:rPr>
        <w:t>Open Access</w:t>
      </w:r>
      <w:r>
        <w:rPr>
          <w:rFonts w:ascii="Times New Roman" w:hAnsi="Times New Roman"/>
          <w:b w:val="false"/>
          <w:i w:val="false"/>
          <w:color w:val="000000"/>
          <w:sz w:val="22"/>
        </w:rPr>
        <w:t xml:space="preserve"> This chapter is licensed under the terms of the Creative Commons Attribution-NonCommercial-NoDerivatives 4.0 International License (</w:t>
      </w:r>
      <w:hyperlink r:id="rId6">
        <w:r>
          <w:rPr>
            <w:rFonts w:ascii="Times New Roman" w:hAnsi="Times New Roman"/>
            <w:b w:val="false"/>
            <w:i w:val="false"/>
            <w:color w:val="0000ff"/>
            <w:sz w:val="22"/>
            <w:u w:val="single"/>
          </w:rPr>
          <w:t/>
        </w:r>
        <w:r>
          <w:rPr>
            <w:rFonts w:ascii="Times New Roman" w:hAnsi="Times New Roman"/>
            <w:b w:val="false"/>
            <w:i w:val="false"/>
            <w:color w:val="0000ff"/>
            <w:sz w:val="22"/>
          </w:rPr>
          <w:t>http://creativecommons.org/licenses/by-nc-nd/4.0/</w:t>
        </w:r>
      </w:hyperlink>
      <w:r>
        <w:rPr>
          <w:rFonts w:ascii="Times New Roman" w:hAnsi="Times New Roman"/>
          <w:b w:val="false"/>
          <w:i w:val="false"/>
          <w:color w:val="000000"/>
          <w:sz w:val="22"/>
        </w:rPr>
        <w:t>), which permits any noncommercial use, sharing, distribution and reproduction in any medium or format, as long as you give appropriate credit to the original author(s) and the source, provide a link to the Creative Commons license and indicate if you modified the licensed material. You do not have permission under this license to share adapted material derived from this chapter or parts of it.</w:t>
      </w:r>
    </w:p>
    <w:p>
      <w:pPr>
        <w:spacing w:before="120" w:after="105"/>
        <w:ind w:left="120"/>
        <w:jc w:val="left"/>
      </w:pPr>
      <w:r>
        <w:rPr>
          <w:rFonts w:ascii="Times New Roman" w:hAnsi="Times New Roman"/>
          <w:b w:val="false"/>
          <w:i w:val="false"/>
          <w:color w:val="000000"/>
          <w:sz w:val="22"/>
        </w:rPr>
        <w:t>The images or other third party material in this chapter are included in the chapter's Creative Commons license, unless indicated otherwise in a credit line to the material. If material is not included in the chapter's Creative Commons license and your intended use is not permitted by statutory regulation or exceeds the permitted use, you will need to obtain permission directly from the copyright holder.</w:t>
      </w:r>
    </w:p>
    <w:bookmarkStart w:name="Bib1" w:id="27"/>
    <w:p>
      <w:pPr>
        <w:spacing w:before="0" w:after="0"/>
        <w:ind w:left="120"/>
        <w:jc w:val="left"/>
      </w:pPr>
      <w:bookmarkStart w:name="Bib1" w:id="28"/>
      <w:r>
        <w:br/>
      </w:r>
    </w:p>
    <w:bookmarkEnd w:id="28"/>
    <w:p>
      <w:pPr>
        <w:spacing w:before="210" w:after="105"/>
        <w:ind w:left="120"/>
        <w:jc w:val="left"/>
      </w:pPr>
      <w:r>
        <w:rPr>
          <w:rFonts w:ascii="Georgia" w:hAnsi="Georgia"/>
          <w:b w:val="false"/>
          <w:i w:val="false"/>
          <w:color w:val="000000"/>
          <w:spacing w:val="5"/>
          <w:sz w:val="36"/>
        </w:rPr>
        <w:t>References</w:t>
      </w:r>
    </w:p>
    <w:tbl>
      <w:tblPr>
        <w:tblW w:w="0" w:type="auto"/>
        <w:tblCellSpacing w:w="0" w:type="dxa"/>
        <w:tblBorders>
          <w:top w:val="none"/>
          <w:left w:val="none"/>
          <w:bottom w:val="none"/>
          <w:right w:val="none"/>
          <w:insideH w:val="none"/>
          <w:insideV w:val="none"/>
        </w:tblBorders>
      </w:tblPr>
      <w:tblGrid>
        <w:gridCol w:w="13634"/>
      </w:tblGrid>
      <w:p>
        <w:pPr>
          <w:spacing w:before="0" w:after="0"/>
          <w:ind w:left="120"/>
          <w:jc w:val="left"/>
        </w:pPr>
      </w:p>
      <w:tr>
        <w:trPr>
          <w:trHeight w:val="29205" w:hRule="atLeast"/>
        </w:trPr>
        <w:tc>
          <w:tcPr>
            <w:tcW w:w="13634" w:type="dxa"/>
            <w:tcBorders/>
            <w:tcMar>
              <w:top w:w="15" w:type="dxa"/>
              <w:left w:w="15" w:type="dxa"/>
              <w:bottom w:w="15" w:type="dxa"/>
              <w:right w:w="15" w:type="dxa"/>
            </w:tcMar>
          </w:tcPr>
          <w:p>
            <w:pPr>
              <w:spacing w:before="0" w:after="0"/>
              <w:ind w:left="120"/>
              <w:jc w:val="left"/>
            </w:pPr>
            <w:bookmarkStart w:name="CR1" w:id="29"/>
            <w:bookmarkStart w:name="CR1" w:id="30"/>
            <w:r>
              <w:rPr>
                <w:rFonts w:ascii="Times New Roman" w:hAnsi="Times New Roman"/>
                <w:b w:val="false"/>
                <w:i w:val="false"/>
                <w:color w:val="000000"/>
                <w:sz w:val="22"/>
              </w:rPr>
              <w:t xml:space="preserve">Armingeon, K., &amp; Ceka, B. (2014). The loss of trust in the European Union during the great recession since 2007: The role of heuristics from the national political system. </w:t>
            </w:r>
            <w:r>
              <w:rPr>
                <w:rFonts w:ascii="Times New Roman" w:hAnsi="Times New Roman"/>
                <w:b w:val="false"/>
                <w:i/>
                <w:color w:val="000000"/>
                <w:sz w:val="22"/>
              </w:rPr>
              <w:t>European Union Politics, 15</w:t>
            </w:r>
            <w:r>
              <w:rPr>
                <w:rFonts w:ascii="Times New Roman" w:hAnsi="Times New Roman"/>
                <w:b w:val="false"/>
                <w:i w:val="false"/>
                <w:color w:val="000000"/>
                <w:sz w:val="22"/>
              </w:rPr>
              <w:t xml:space="preserve">(1), 82–107. </w:t>
            </w:r>
            <w:hyperlink r:id="rId7">
              <w:r>
                <w:rPr>
                  <w:rFonts w:ascii="Times New Roman" w:hAnsi="Times New Roman"/>
                  <w:b w:val="false"/>
                  <w:i w:val="false"/>
                  <w:color w:val="0000ff"/>
                  <w:sz w:val="22"/>
                  <w:u w:val="single"/>
                </w:rPr>
                <w:t/>
              </w:r>
              <w:r>
                <w:rPr>
                  <w:rFonts w:ascii="Times New Roman" w:hAnsi="Times New Roman"/>
                  <w:b w:val="false"/>
                  <w:i w:val="false"/>
                  <w:color w:val="0000ff"/>
                  <w:sz w:val="22"/>
                </w:rPr>
                <w:t>https://doi.org/10.1177/1465116513495595</w:t>
              </w:r>
            </w:hyperlink>
          </w:p>
          <w:bookmarkEnd w:id="30"/>
          <w:p>
            <w:pPr>
              <w:spacing w:before="0" w:after="0"/>
              <w:ind w:left="120"/>
              <w:jc w:val="left"/>
            </w:pPr>
            <w:hyperlink r:id="rId8">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29"/>
          <w:p>
            <w:pPr>
              <w:spacing w:before="0" w:after="0"/>
              <w:ind w:left="120"/>
              <w:jc w:val="left"/>
            </w:pPr>
            <w:r>
              <w:br/>
            </w:r>
          </w:p>
          <w:p>
            <w:pPr>
              <w:spacing w:before="0" w:after="0"/>
              <w:ind w:left="120"/>
              <w:jc w:val="left"/>
            </w:pPr>
            <w:bookmarkStart w:name="CR2" w:id="31"/>
            <w:bookmarkStart w:name="CR2" w:id="32"/>
            <w:r>
              <w:rPr>
                <w:rFonts w:ascii="Times New Roman" w:hAnsi="Times New Roman"/>
                <w:b w:val="false"/>
                <w:i w:val="false"/>
                <w:color w:val="000000"/>
                <w:sz w:val="22"/>
              </w:rPr>
              <w:t xml:space="preserve">Citrin, J., &amp; Stoker, L. (2018). Political Trust in a Cynical age. </w:t>
            </w:r>
            <w:r>
              <w:rPr>
                <w:rFonts w:ascii="Times New Roman" w:hAnsi="Times New Roman"/>
                <w:b w:val="false"/>
                <w:i/>
                <w:color w:val="000000"/>
                <w:sz w:val="22"/>
              </w:rPr>
              <w:t>Annual Review of Political Science, 21</w:t>
            </w:r>
            <w:r>
              <w:rPr>
                <w:rFonts w:ascii="Times New Roman" w:hAnsi="Times New Roman"/>
                <w:b w:val="false"/>
                <w:i w:val="false"/>
                <w:color w:val="000000"/>
                <w:sz w:val="22"/>
              </w:rPr>
              <w:t>(1), 49–70.</w:t>
            </w:r>
          </w:p>
          <w:bookmarkEnd w:id="32"/>
          <w:p>
            <w:pPr>
              <w:spacing w:before="0" w:after="0"/>
              <w:ind w:left="120"/>
              <w:jc w:val="left"/>
            </w:pPr>
            <w:hyperlink r:id="rId9">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31"/>
          <w:p>
            <w:pPr>
              <w:spacing w:before="0" w:after="0"/>
              <w:ind w:left="120"/>
              <w:jc w:val="left"/>
            </w:pPr>
            <w:r>
              <w:br/>
            </w:r>
          </w:p>
          <w:p>
            <w:pPr>
              <w:spacing w:before="0" w:after="0"/>
              <w:ind w:left="120"/>
              <w:jc w:val="left"/>
            </w:pPr>
            <w:bookmarkStart w:name="CR3" w:id="33"/>
            <w:bookmarkStart w:name="CR3" w:id="34"/>
            <w:r>
              <w:rPr>
                <w:rFonts w:ascii="Times New Roman" w:hAnsi="Times New Roman"/>
                <w:b w:val="false"/>
                <w:i w:val="false"/>
                <w:color w:val="000000"/>
                <w:sz w:val="22"/>
              </w:rPr>
              <w:t xml:space="preserve">De Juan, A., &amp; Pierskalla, J. H. (2016). Civil war violence and political trust: Microlevel evidence from Nepal. </w:t>
            </w:r>
            <w:r>
              <w:rPr>
                <w:rFonts w:ascii="Times New Roman" w:hAnsi="Times New Roman"/>
                <w:b w:val="false"/>
                <w:i/>
                <w:color w:val="000000"/>
                <w:sz w:val="22"/>
              </w:rPr>
              <w:t>Conflict Management and Peace Science, 33</w:t>
            </w:r>
            <w:r>
              <w:rPr>
                <w:rFonts w:ascii="Times New Roman" w:hAnsi="Times New Roman"/>
                <w:b w:val="false"/>
                <w:i w:val="false"/>
                <w:color w:val="000000"/>
                <w:sz w:val="22"/>
              </w:rPr>
              <w:t xml:space="preserve">(1), 67–88. </w:t>
            </w:r>
            <w:hyperlink r:id="rId10">
              <w:r>
                <w:rPr>
                  <w:rFonts w:ascii="Times New Roman" w:hAnsi="Times New Roman"/>
                  <w:b w:val="false"/>
                  <w:i w:val="false"/>
                  <w:color w:val="0000ff"/>
                  <w:sz w:val="22"/>
                  <w:u w:val="single"/>
                </w:rPr>
                <w:t/>
              </w:r>
              <w:r>
                <w:rPr>
                  <w:rFonts w:ascii="Times New Roman" w:hAnsi="Times New Roman"/>
                  <w:b w:val="false"/>
                  <w:i w:val="false"/>
                  <w:color w:val="0000ff"/>
                  <w:sz w:val="22"/>
                </w:rPr>
                <w:t>https://doi.org/10.1177/0738894214544612</w:t>
              </w:r>
            </w:hyperlink>
          </w:p>
          <w:bookmarkEnd w:id="34"/>
          <w:p>
            <w:pPr>
              <w:spacing w:before="0" w:after="0"/>
              <w:ind w:left="120"/>
              <w:jc w:val="left"/>
            </w:pPr>
            <w:hyperlink r:id="rId11">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33"/>
          <w:p>
            <w:pPr>
              <w:spacing w:before="0" w:after="0"/>
              <w:ind w:left="120"/>
              <w:jc w:val="left"/>
            </w:pPr>
            <w:r>
              <w:br/>
            </w:r>
          </w:p>
          <w:p>
            <w:pPr>
              <w:spacing w:before="0" w:after="0"/>
              <w:ind w:left="120"/>
              <w:jc w:val="left"/>
            </w:pPr>
            <w:bookmarkStart w:name="CR4" w:id="35"/>
            <w:bookmarkStart w:name="CR4" w:id="36"/>
            <w:r>
              <w:rPr>
                <w:rFonts w:ascii="Times New Roman" w:hAnsi="Times New Roman"/>
                <w:b w:val="false"/>
                <w:i w:val="false"/>
                <w:color w:val="000000"/>
                <w:sz w:val="22"/>
              </w:rPr>
              <w:t xml:space="preserve">Devine, D., Gaskell, J., Jennings, W., &amp; Stoker, G. (2021). Trust and the coronavirus pandemic: What are the consequences of and for trust? An early review of the literature. </w:t>
            </w:r>
            <w:r>
              <w:rPr>
                <w:rFonts w:ascii="Times New Roman" w:hAnsi="Times New Roman"/>
                <w:b w:val="false"/>
                <w:i/>
                <w:color w:val="000000"/>
                <w:sz w:val="22"/>
              </w:rPr>
              <w:t>Political Studies Review, 19</w:t>
            </w:r>
            <w:r>
              <w:rPr>
                <w:rFonts w:ascii="Times New Roman" w:hAnsi="Times New Roman"/>
                <w:b w:val="false"/>
                <w:i w:val="false"/>
                <w:color w:val="000000"/>
                <w:sz w:val="22"/>
              </w:rPr>
              <w:t xml:space="preserve">(2), 274–285. </w:t>
            </w:r>
            <w:hyperlink r:id="rId12">
              <w:r>
                <w:rPr>
                  <w:rFonts w:ascii="Times New Roman" w:hAnsi="Times New Roman"/>
                  <w:b w:val="false"/>
                  <w:i w:val="false"/>
                  <w:color w:val="0000ff"/>
                  <w:sz w:val="22"/>
                  <w:u w:val="single"/>
                </w:rPr>
                <w:t/>
              </w:r>
              <w:r>
                <w:rPr>
                  <w:rFonts w:ascii="Times New Roman" w:hAnsi="Times New Roman"/>
                  <w:b w:val="false"/>
                  <w:i w:val="false"/>
                  <w:color w:val="0000ff"/>
                  <w:sz w:val="22"/>
                </w:rPr>
                <w:t>https://doi.org/10.1177/1478929920948684</w:t>
              </w:r>
            </w:hyperlink>
          </w:p>
          <w:bookmarkEnd w:id="36"/>
          <w:p>
            <w:pPr>
              <w:spacing w:before="0" w:after="0"/>
              <w:ind w:left="120"/>
              <w:jc w:val="left"/>
            </w:pPr>
            <w:hyperlink r:id="rId13">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35"/>
          <w:p>
            <w:pPr>
              <w:spacing w:before="0" w:after="0"/>
              <w:ind w:left="120"/>
              <w:jc w:val="left"/>
            </w:pPr>
            <w:r>
              <w:br/>
            </w:r>
          </w:p>
          <w:p>
            <w:pPr>
              <w:spacing w:before="0" w:after="0"/>
              <w:ind w:left="120"/>
              <w:jc w:val="left"/>
            </w:pPr>
            <w:bookmarkStart w:name="CR5" w:id="37"/>
            <w:bookmarkStart w:name="CR5" w:id="38"/>
            <w:r>
              <w:rPr>
                <w:rFonts w:ascii="Times New Roman" w:hAnsi="Times New Roman"/>
                <w:b w:val="false"/>
                <w:i w:val="false"/>
                <w:color w:val="000000"/>
                <w:sz w:val="22"/>
              </w:rPr>
              <w:t xml:space="preserve">Dinesen, P. T., Schaeffer, M., &amp; Sønderskov, K. M. (2020). Ethnic diversity and social trust: A narrative and meta-analytical review. </w:t>
            </w:r>
            <w:r>
              <w:rPr>
                <w:rFonts w:ascii="Times New Roman" w:hAnsi="Times New Roman"/>
                <w:b w:val="false"/>
                <w:i/>
                <w:color w:val="000000"/>
                <w:sz w:val="22"/>
              </w:rPr>
              <w:t>Annual Review of Political Science, 23</w:t>
            </w:r>
            <w:r>
              <w:rPr>
                <w:rFonts w:ascii="Times New Roman" w:hAnsi="Times New Roman"/>
                <w:b w:val="false"/>
                <w:i w:val="false"/>
                <w:color w:val="000000"/>
                <w:sz w:val="22"/>
              </w:rPr>
              <w:t>(1), 441–465.</w:t>
            </w:r>
          </w:p>
          <w:bookmarkEnd w:id="38"/>
          <w:p>
            <w:pPr>
              <w:spacing w:before="0" w:after="0"/>
              <w:ind w:left="120"/>
              <w:jc w:val="left"/>
            </w:pPr>
            <w:hyperlink r:id="rId14">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37"/>
          <w:p>
            <w:pPr>
              <w:spacing w:before="0" w:after="0"/>
              <w:ind w:left="120"/>
              <w:jc w:val="left"/>
            </w:pPr>
            <w:r>
              <w:br/>
            </w:r>
          </w:p>
          <w:p>
            <w:pPr>
              <w:spacing w:before="0" w:after="0"/>
              <w:ind w:left="120"/>
              <w:jc w:val="left"/>
            </w:pPr>
            <w:bookmarkStart w:name="CR6" w:id="39"/>
            <w:bookmarkStart w:name="CR6" w:id="40"/>
            <w:r>
              <w:rPr>
                <w:rFonts w:ascii="Times New Roman" w:hAnsi="Times New Roman"/>
                <w:b w:val="false"/>
                <w:i w:val="false"/>
                <w:color w:val="000000"/>
                <w:sz w:val="22"/>
              </w:rPr>
              <w:t xml:space="preserve">Einstein, K. L., &amp; Glick, D. M. (2015). Do I think BLS data are BS? The consequences of conspiracy theories. </w:t>
            </w:r>
            <w:r>
              <w:rPr>
                <w:rFonts w:ascii="Times New Roman" w:hAnsi="Times New Roman"/>
                <w:b w:val="false"/>
                <w:i/>
                <w:color w:val="000000"/>
                <w:sz w:val="22"/>
              </w:rPr>
              <w:t>Political Behavior, 37</w:t>
            </w:r>
            <w:r>
              <w:rPr>
                <w:rFonts w:ascii="Times New Roman" w:hAnsi="Times New Roman"/>
                <w:b w:val="false"/>
                <w:i w:val="false"/>
                <w:color w:val="000000"/>
                <w:sz w:val="22"/>
              </w:rPr>
              <w:t xml:space="preserve">(3), 679–701. </w:t>
            </w:r>
            <w:hyperlink r:id="rId15">
              <w:r>
                <w:rPr>
                  <w:rFonts w:ascii="Times New Roman" w:hAnsi="Times New Roman"/>
                  <w:b w:val="false"/>
                  <w:i w:val="false"/>
                  <w:color w:val="0000ff"/>
                  <w:sz w:val="22"/>
                  <w:u w:val="single"/>
                </w:rPr>
                <w:t/>
              </w:r>
              <w:r>
                <w:rPr>
                  <w:rFonts w:ascii="Times New Roman" w:hAnsi="Times New Roman"/>
                  <w:b w:val="false"/>
                  <w:i w:val="false"/>
                  <w:color w:val="0000ff"/>
                  <w:sz w:val="22"/>
                </w:rPr>
                <w:t>https://doi.org/10.1007/s11109-014-9287-z</w:t>
              </w:r>
            </w:hyperlink>
          </w:p>
          <w:bookmarkEnd w:id="40"/>
          <w:p>
            <w:pPr>
              <w:spacing w:before="0" w:after="0"/>
              <w:ind w:left="120"/>
              <w:jc w:val="left"/>
            </w:pPr>
            <w:hyperlink r:id="rId16">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39"/>
          <w:p>
            <w:pPr>
              <w:spacing w:before="0" w:after="0"/>
              <w:ind w:left="120"/>
              <w:jc w:val="left"/>
            </w:pPr>
            <w:r>
              <w:br/>
            </w:r>
          </w:p>
          <w:p>
            <w:pPr>
              <w:spacing w:before="0" w:after="0"/>
              <w:ind w:left="120"/>
              <w:jc w:val="left"/>
            </w:pPr>
            <w:bookmarkStart w:name="CR7" w:id="41"/>
            <w:bookmarkStart w:name="CR7" w:id="42"/>
            <w:r>
              <w:rPr>
                <w:rFonts w:ascii="Times New Roman" w:hAnsi="Times New Roman"/>
                <w:b w:val="false"/>
                <w:i w:val="false"/>
                <w:color w:val="000000"/>
                <w:sz w:val="22"/>
              </w:rPr>
              <w:t xml:space="preserve">Esaiasson, P., Sohlberg, J., Ghersetti, M., &amp; Johansson, B. (2021). How the coronavirus crisis affects citizen trust in institutions and in unknown others: Evidence from ‘the Swedish experiment.’. </w:t>
            </w:r>
            <w:r>
              <w:rPr>
                <w:rFonts w:ascii="Times New Roman" w:hAnsi="Times New Roman"/>
                <w:b w:val="false"/>
                <w:i/>
                <w:color w:val="000000"/>
                <w:sz w:val="22"/>
              </w:rPr>
              <w:t>European Journal of Political Research, 60</w:t>
            </w:r>
            <w:r>
              <w:rPr>
                <w:rFonts w:ascii="Times New Roman" w:hAnsi="Times New Roman"/>
                <w:b w:val="false"/>
                <w:i w:val="false"/>
                <w:color w:val="000000"/>
                <w:sz w:val="22"/>
              </w:rPr>
              <w:t xml:space="preserve">(3), 748–760. </w:t>
            </w:r>
            <w:hyperlink r:id="rId17">
              <w:r>
                <w:rPr>
                  <w:rFonts w:ascii="Times New Roman" w:hAnsi="Times New Roman"/>
                  <w:b w:val="false"/>
                  <w:i w:val="false"/>
                  <w:color w:val="0000ff"/>
                  <w:sz w:val="22"/>
                  <w:u w:val="single"/>
                </w:rPr>
                <w:t/>
              </w:r>
              <w:r>
                <w:rPr>
                  <w:rFonts w:ascii="Times New Roman" w:hAnsi="Times New Roman"/>
                  <w:b w:val="false"/>
                  <w:i w:val="false"/>
                  <w:color w:val="0000ff"/>
                  <w:sz w:val="22"/>
                </w:rPr>
                <w:t>https://doi.org/10.1111/1475-6765.12419</w:t>
              </w:r>
            </w:hyperlink>
          </w:p>
          <w:bookmarkEnd w:id="42"/>
          <w:p>
            <w:pPr>
              <w:spacing w:before="0" w:after="0"/>
              <w:ind w:left="120"/>
              <w:jc w:val="left"/>
            </w:pPr>
            <w:hyperlink r:id="rId18">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41"/>
          <w:p>
            <w:pPr>
              <w:spacing w:before="0" w:after="0"/>
              <w:ind w:left="120"/>
              <w:jc w:val="left"/>
            </w:pPr>
            <w:r>
              <w:br/>
            </w:r>
          </w:p>
          <w:p>
            <w:pPr>
              <w:spacing w:before="0" w:after="0"/>
              <w:ind w:left="120"/>
              <w:jc w:val="left"/>
            </w:pPr>
            <w:bookmarkStart w:name="CR8" w:id="43"/>
            <w:bookmarkStart w:name="CR8" w:id="44"/>
            <w:r>
              <w:rPr>
                <w:rFonts w:ascii="Times New Roman" w:hAnsi="Times New Roman"/>
                <w:b w:val="false"/>
                <w:i w:val="false"/>
                <w:color w:val="000000"/>
                <w:sz w:val="22"/>
              </w:rPr>
              <w:t xml:space="preserve">Fawzi, N. (2019). Untrustworthy news and the media as “enemy of the people?” how a populist worldview shapes recipients’ attitudes toward the media. </w:t>
            </w:r>
            <w:r>
              <w:rPr>
                <w:rFonts w:ascii="Times New Roman" w:hAnsi="Times New Roman"/>
                <w:b w:val="false"/>
                <w:i/>
                <w:color w:val="000000"/>
                <w:sz w:val="22"/>
              </w:rPr>
              <w:t>The International Journal of Press/Politics, 24</w:t>
            </w:r>
            <w:r>
              <w:rPr>
                <w:rFonts w:ascii="Times New Roman" w:hAnsi="Times New Roman"/>
                <w:b w:val="false"/>
                <w:i w:val="false"/>
                <w:color w:val="000000"/>
                <w:sz w:val="22"/>
              </w:rPr>
              <w:t xml:space="preserve">(2), 146–164. </w:t>
            </w:r>
            <w:hyperlink r:id="rId19">
              <w:r>
                <w:rPr>
                  <w:rFonts w:ascii="Times New Roman" w:hAnsi="Times New Roman"/>
                  <w:b w:val="false"/>
                  <w:i w:val="false"/>
                  <w:color w:val="0000ff"/>
                  <w:sz w:val="22"/>
                  <w:u w:val="single"/>
                </w:rPr>
                <w:t/>
              </w:r>
              <w:r>
                <w:rPr>
                  <w:rFonts w:ascii="Times New Roman" w:hAnsi="Times New Roman"/>
                  <w:b w:val="false"/>
                  <w:i w:val="false"/>
                  <w:color w:val="0000ff"/>
                  <w:sz w:val="22"/>
                </w:rPr>
                <w:t>https://doi.org/10.1177/1940161218811981</w:t>
              </w:r>
            </w:hyperlink>
          </w:p>
          <w:bookmarkEnd w:id="44"/>
          <w:p>
            <w:pPr>
              <w:spacing w:before="0" w:after="0"/>
              <w:ind w:left="120"/>
              <w:jc w:val="left"/>
            </w:pPr>
            <w:hyperlink r:id="rId20">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43"/>
          <w:p>
            <w:pPr>
              <w:spacing w:before="0" w:after="0"/>
              <w:ind w:left="120"/>
              <w:jc w:val="left"/>
            </w:pPr>
            <w:r>
              <w:br/>
            </w:r>
          </w:p>
          <w:p>
            <w:pPr>
              <w:spacing w:before="0" w:after="0"/>
              <w:ind w:left="120"/>
              <w:jc w:val="left"/>
            </w:pPr>
            <w:bookmarkStart w:name="CR9" w:id="45"/>
            <w:bookmarkStart w:name="CR9" w:id="46"/>
            <w:r>
              <w:rPr>
                <w:rFonts w:ascii="Times New Roman" w:hAnsi="Times New Roman"/>
                <w:b w:val="false"/>
                <w:i w:val="false"/>
                <w:color w:val="000000"/>
                <w:sz w:val="22"/>
              </w:rPr>
              <w:t xml:space="preserve">Fitzgerald, J., &amp; Wolak, J. (2016). The roots of trust in local government in western Europe. </w:t>
            </w:r>
            <w:r>
              <w:rPr>
                <w:rFonts w:ascii="Times New Roman" w:hAnsi="Times New Roman"/>
                <w:b w:val="false"/>
                <w:i/>
                <w:color w:val="000000"/>
                <w:sz w:val="22"/>
              </w:rPr>
              <w:t>International Political Science Review, 37</w:t>
            </w:r>
            <w:r>
              <w:rPr>
                <w:rFonts w:ascii="Times New Roman" w:hAnsi="Times New Roman"/>
                <w:b w:val="false"/>
                <w:i w:val="false"/>
                <w:color w:val="000000"/>
                <w:sz w:val="22"/>
              </w:rPr>
              <w:t>(1), 130–146.</w:t>
            </w:r>
          </w:p>
          <w:bookmarkEnd w:id="46"/>
          <w:p>
            <w:pPr>
              <w:spacing w:before="0" w:after="0"/>
              <w:ind w:left="120"/>
              <w:jc w:val="left"/>
            </w:pPr>
            <w:hyperlink r:id="rId21">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45"/>
          <w:p>
            <w:pPr>
              <w:spacing w:before="0" w:after="0"/>
              <w:ind w:left="120"/>
              <w:jc w:val="left"/>
            </w:pPr>
            <w:r>
              <w:br/>
            </w:r>
          </w:p>
          <w:p>
            <w:pPr>
              <w:spacing w:before="0" w:after="0"/>
              <w:ind w:left="120"/>
              <w:jc w:val="left"/>
            </w:pPr>
            <w:bookmarkStart w:name="CR10" w:id="47"/>
            <w:bookmarkStart w:name="CR10" w:id="48"/>
            <w:r>
              <w:rPr>
                <w:rFonts w:ascii="Times New Roman" w:hAnsi="Times New Roman"/>
                <w:b w:val="false"/>
                <w:i w:val="false"/>
                <w:color w:val="000000"/>
                <w:sz w:val="22"/>
              </w:rPr>
              <w:t xml:space="preserve">Foster, C., &amp; Frieden, J. (2017). Crisis of trust: Socio-economic determinants of Europeans’ confidence in government. </w:t>
            </w:r>
            <w:r>
              <w:rPr>
                <w:rFonts w:ascii="Times New Roman" w:hAnsi="Times New Roman"/>
                <w:b w:val="false"/>
                <w:i/>
                <w:color w:val="000000"/>
                <w:sz w:val="22"/>
              </w:rPr>
              <w:t>European Union Politics, 18</w:t>
            </w:r>
            <w:r>
              <w:rPr>
                <w:rFonts w:ascii="Times New Roman" w:hAnsi="Times New Roman"/>
                <w:b w:val="false"/>
                <w:i w:val="false"/>
                <w:color w:val="000000"/>
                <w:sz w:val="22"/>
              </w:rPr>
              <w:t xml:space="preserve">(4), 511–535. </w:t>
            </w:r>
            <w:hyperlink r:id="rId22">
              <w:r>
                <w:rPr>
                  <w:rFonts w:ascii="Times New Roman" w:hAnsi="Times New Roman"/>
                  <w:b w:val="false"/>
                  <w:i w:val="false"/>
                  <w:color w:val="0000ff"/>
                  <w:sz w:val="22"/>
                  <w:u w:val="single"/>
                </w:rPr>
                <w:t/>
              </w:r>
              <w:r>
                <w:rPr>
                  <w:rFonts w:ascii="Times New Roman" w:hAnsi="Times New Roman"/>
                  <w:b w:val="false"/>
                  <w:i w:val="false"/>
                  <w:color w:val="0000ff"/>
                  <w:sz w:val="22"/>
                </w:rPr>
                <w:t>https://doi.org/10.1177/1465116517723499</w:t>
              </w:r>
            </w:hyperlink>
          </w:p>
          <w:bookmarkEnd w:id="48"/>
          <w:p>
            <w:pPr>
              <w:spacing w:before="0" w:after="0"/>
              <w:ind w:left="120"/>
              <w:jc w:val="left"/>
            </w:pPr>
            <w:hyperlink r:id="rId23">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47"/>
          <w:p>
            <w:pPr>
              <w:spacing w:before="0" w:after="0"/>
              <w:ind w:left="120"/>
              <w:jc w:val="left"/>
            </w:pPr>
            <w:r>
              <w:br/>
            </w:r>
          </w:p>
          <w:p>
            <w:pPr>
              <w:spacing w:before="0" w:after="0"/>
              <w:ind w:left="120"/>
              <w:jc w:val="left"/>
            </w:pPr>
            <w:bookmarkStart w:name="CR11" w:id="49"/>
            <w:bookmarkStart w:name="CR11" w:id="50"/>
            <w:r>
              <w:rPr>
                <w:rFonts w:ascii="Times New Roman" w:hAnsi="Times New Roman"/>
                <w:b w:val="false"/>
                <w:i w:val="false"/>
                <w:color w:val="000000"/>
                <w:sz w:val="22"/>
              </w:rPr>
              <w:t xml:space="preserve">Geurkink, B., Zaslove, A., Sluiter, R., &amp; Jacobs, K. (2020). Populist attitudes, political trust, and external political efficacy: Old wine in new bottles? </w:t>
            </w:r>
            <w:r>
              <w:rPr>
                <w:rFonts w:ascii="Times New Roman" w:hAnsi="Times New Roman"/>
                <w:b w:val="false"/>
                <w:i/>
                <w:color w:val="000000"/>
                <w:sz w:val="22"/>
              </w:rPr>
              <w:t>Political Studies, 68</w:t>
            </w:r>
            <w:r>
              <w:rPr>
                <w:rFonts w:ascii="Times New Roman" w:hAnsi="Times New Roman"/>
                <w:b w:val="false"/>
                <w:i w:val="false"/>
                <w:color w:val="000000"/>
                <w:sz w:val="22"/>
              </w:rPr>
              <w:t xml:space="preserve">(1), 247–267. </w:t>
            </w:r>
            <w:hyperlink r:id="rId24">
              <w:r>
                <w:rPr>
                  <w:rFonts w:ascii="Times New Roman" w:hAnsi="Times New Roman"/>
                  <w:b w:val="false"/>
                  <w:i w:val="false"/>
                  <w:color w:val="0000ff"/>
                  <w:sz w:val="22"/>
                  <w:u w:val="single"/>
                </w:rPr>
                <w:t/>
              </w:r>
              <w:r>
                <w:rPr>
                  <w:rFonts w:ascii="Times New Roman" w:hAnsi="Times New Roman"/>
                  <w:b w:val="false"/>
                  <w:i w:val="false"/>
                  <w:color w:val="0000ff"/>
                  <w:sz w:val="22"/>
                </w:rPr>
                <w:t>https://doi.org/10.1177/0032321719842768</w:t>
              </w:r>
            </w:hyperlink>
          </w:p>
          <w:bookmarkEnd w:id="50"/>
          <w:p>
            <w:pPr>
              <w:spacing w:before="0" w:after="0"/>
              <w:ind w:left="120"/>
              <w:jc w:val="left"/>
            </w:pPr>
            <w:hyperlink r:id="rId25">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49"/>
          <w:p>
            <w:pPr>
              <w:spacing w:before="0" w:after="0"/>
              <w:ind w:left="120"/>
              <w:jc w:val="left"/>
            </w:pPr>
            <w:r>
              <w:br/>
            </w:r>
          </w:p>
          <w:p>
            <w:pPr>
              <w:spacing w:before="0" w:after="0"/>
              <w:ind w:left="120"/>
              <w:jc w:val="left"/>
            </w:pPr>
            <w:bookmarkStart w:name="CR12" w:id="51"/>
            <w:bookmarkStart w:name="CR12" w:id="52"/>
            <w:r>
              <w:rPr>
                <w:rFonts w:ascii="Times New Roman" w:hAnsi="Times New Roman"/>
                <w:b w:val="false"/>
                <w:i w:val="false"/>
                <w:color w:val="000000"/>
                <w:sz w:val="22"/>
              </w:rPr>
              <w:t xml:space="preserve">Hanitzsch, T., Van Dalen, A., &amp; Steindl, N. (2018). Caught in the nexus: A comparative and longitudinal analysis of public Trust in the Press. </w:t>
            </w:r>
            <w:r>
              <w:rPr>
                <w:rFonts w:ascii="Times New Roman" w:hAnsi="Times New Roman"/>
                <w:b w:val="false"/>
                <w:i/>
                <w:color w:val="000000"/>
                <w:sz w:val="22"/>
              </w:rPr>
              <w:t>The International Journal of Press/Politics, 23</w:t>
            </w:r>
            <w:r>
              <w:rPr>
                <w:rFonts w:ascii="Times New Roman" w:hAnsi="Times New Roman"/>
                <w:b w:val="false"/>
                <w:i w:val="false"/>
                <w:color w:val="000000"/>
                <w:sz w:val="22"/>
              </w:rPr>
              <w:t xml:space="preserve">(1), 3–23. </w:t>
            </w:r>
            <w:hyperlink r:id="rId26">
              <w:r>
                <w:rPr>
                  <w:rFonts w:ascii="Times New Roman" w:hAnsi="Times New Roman"/>
                  <w:b w:val="false"/>
                  <w:i w:val="false"/>
                  <w:color w:val="0000ff"/>
                  <w:sz w:val="22"/>
                  <w:u w:val="single"/>
                </w:rPr>
                <w:t/>
              </w:r>
              <w:r>
                <w:rPr>
                  <w:rFonts w:ascii="Times New Roman" w:hAnsi="Times New Roman"/>
                  <w:b w:val="false"/>
                  <w:i w:val="false"/>
                  <w:color w:val="0000ff"/>
                  <w:sz w:val="22"/>
                </w:rPr>
                <w:t>https://doi.org/10.1177/1940161217740695</w:t>
              </w:r>
            </w:hyperlink>
          </w:p>
          <w:bookmarkEnd w:id="52"/>
          <w:p>
            <w:pPr>
              <w:spacing w:before="0" w:after="0"/>
              <w:ind w:left="120"/>
              <w:jc w:val="left"/>
            </w:pPr>
            <w:hyperlink r:id="rId27">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51"/>
          <w:p>
            <w:pPr>
              <w:spacing w:before="0" w:after="0"/>
              <w:ind w:left="120"/>
              <w:jc w:val="left"/>
            </w:pPr>
            <w:r>
              <w:br/>
            </w:r>
          </w:p>
          <w:p>
            <w:pPr>
              <w:spacing w:before="0" w:after="0"/>
              <w:ind w:left="120"/>
              <w:jc w:val="left"/>
            </w:pPr>
            <w:bookmarkStart w:name="CR13" w:id="53"/>
            <w:bookmarkStart w:name="CR13" w:id="54"/>
            <w:r>
              <w:rPr>
                <w:rFonts w:ascii="Times New Roman" w:hAnsi="Times New Roman"/>
                <w:b w:val="false"/>
                <w:i w:val="false"/>
                <w:color w:val="000000"/>
                <w:sz w:val="22"/>
              </w:rPr>
              <w:t xml:space="preserve">Hartley, K., &amp; Jarvis, D. S. L. (2020). Policymaking in a low-trust state: Legitimacy, state capacity, and responses to COVID-19 in Hong Kong. </w:t>
            </w:r>
            <w:r>
              <w:rPr>
                <w:rFonts w:ascii="Times New Roman" w:hAnsi="Times New Roman"/>
                <w:b w:val="false"/>
                <w:i/>
                <w:color w:val="000000"/>
                <w:sz w:val="22"/>
              </w:rPr>
              <w:t>Policy and Society, 39</w:t>
            </w:r>
            <w:r>
              <w:rPr>
                <w:rFonts w:ascii="Times New Roman" w:hAnsi="Times New Roman"/>
                <w:b w:val="false"/>
                <w:i w:val="false"/>
                <w:color w:val="000000"/>
                <w:sz w:val="22"/>
              </w:rPr>
              <w:t xml:space="preserve">(3), 403–423. </w:t>
            </w:r>
            <w:hyperlink r:id="rId28">
              <w:r>
                <w:rPr>
                  <w:rFonts w:ascii="Times New Roman" w:hAnsi="Times New Roman"/>
                  <w:b w:val="false"/>
                  <w:i w:val="false"/>
                  <w:color w:val="0000ff"/>
                  <w:sz w:val="22"/>
                  <w:u w:val="single"/>
                </w:rPr>
                <w:t/>
              </w:r>
              <w:r>
                <w:rPr>
                  <w:rFonts w:ascii="Times New Roman" w:hAnsi="Times New Roman"/>
                  <w:b w:val="false"/>
                  <w:i w:val="false"/>
                  <w:color w:val="0000ff"/>
                  <w:sz w:val="22"/>
                </w:rPr>
                <w:t>https://doi.org/10.1080/14494035.2020.1783791</w:t>
              </w:r>
            </w:hyperlink>
          </w:p>
          <w:bookmarkEnd w:id="54"/>
          <w:p>
            <w:pPr>
              <w:spacing w:before="0" w:after="0"/>
              <w:ind w:left="120"/>
              <w:jc w:val="left"/>
            </w:pPr>
            <w:hyperlink r:id="rId29">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53"/>
          <w:p>
            <w:pPr>
              <w:spacing w:before="0" w:after="0"/>
              <w:ind w:left="120"/>
              <w:jc w:val="left"/>
            </w:pPr>
            <w:r>
              <w:br/>
            </w:r>
          </w:p>
          <w:p>
            <w:pPr>
              <w:spacing w:before="0" w:after="0"/>
              <w:ind w:left="120"/>
              <w:jc w:val="left"/>
            </w:pPr>
            <w:bookmarkStart w:name="CR14" w:id="55"/>
            <w:bookmarkStart w:name="CR14" w:id="56"/>
            <w:r>
              <w:rPr>
                <w:rFonts w:ascii="Times New Roman" w:hAnsi="Times New Roman"/>
                <w:b w:val="false"/>
                <w:i w:val="false"/>
                <w:color w:val="000000"/>
                <w:sz w:val="22"/>
              </w:rPr>
              <w:t xml:space="preserve">Kritzinger, S., Foucault, M., Lachat, R., Partheymüller, J., Plescia, C., &amp; Brouard, S. (2021). ‘Rally round the flag’: The COVID-19 crisis and trust in the national government. </w:t>
            </w:r>
            <w:r>
              <w:rPr>
                <w:rFonts w:ascii="Times New Roman" w:hAnsi="Times New Roman"/>
                <w:b w:val="false"/>
                <w:i/>
                <w:color w:val="000000"/>
                <w:sz w:val="22"/>
              </w:rPr>
              <w:t>West European Politics, 44</w:t>
            </w:r>
            <w:r>
              <w:rPr>
                <w:rFonts w:ascii="Times New Roman" w:hAnsi="Times New Roman"/>
                <w:b w:val="false"/>
                <w:i w:val="false"/>
                <w:color w:val="000000"/>
                <w:sz w:val="22"/>
              </w:rPr>
              <w:t xml:space="preserve">(5–6), 1205–1231. </w:t>
            </w:r>
            <w:hyperlink r:id="rId30">
              <w:r>
                <w:rPr>
                  <w:rFonts w:ascii="Times New Roman" w:hAnsi="Times New Roman"/>
                  <w:b w:val="false"/>
                  <w:i w:val="false"/>
                  <w:color w:val="0000ff"/>
                  <w:sz w:val="22"/>
                  <w:u w:val="single"/>
                </w:rPr>
                <w:t/>
              </w:r>
              <w:r>
                <w:rPr>
                  <w:rFonts w:ascii="Times New Roman" w:hAnsi="Times New Roman"/>
                  <w:b w:val="false"/>
                  <w:i w:val="false"/>
                  <w:color w:val="0000ff"/>
                  <w:sz w:val="22"/>
                </w:rPr>
                <w:t>https://doi.org/10.1080/01402382.2021.1925017</w:t>
              </w:r>
            </w:hyperlink>
          </w:p>
          <w:bookmarkEnd w:id="56"/>
          <w:p>
            <w:pPr>
              <w:spacing w:before="0" w:after="0"/>
              <w:ind w:left="120"/>
              <w:jc w:val="left"/>
            </w:pPr>
            <w:hyperlink r:id="rId31">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55"/>
          <w:p>
            <w:pPr>
              <w:spacing w:before="0" w:after="0"/>
              <w:ind w:left="120"/>
              <w:jc w:val="left"/>
            </w:pPr>
            <w:r>
              <w:br/>
            </w:r>
          </w:p>
          <w:p>
            <w:pPr>
              <w:spacing w:before="0" w:after="0"/>
              <w:ind w:left="120"/>
              <w:jc w:val="left"/>
            </w:pPr>
            <w:bookmarkStart w:name="CR15" w:id="57"/>
            <w:bookmarkStart w:name="CR15" w:id="58"/>
            <w:r>
              <w:rPr>
                <w:rFonts w:ascii="Times New Roman" w:hAnsi="Times New Roman"/>
                <w:b w:val="false"/>
                <w:i w:val="false"/>
                <w:color w:val="000000"/>
                <w:sz w:val="22"/>
              </w:rPr>
              <w:t xml:space="preserve">Margalit, Y. (2019). Political responses to economic shocks. </w:t>
            </w:r>
            <w:r>
              <w:rPr>
                <w:rFonts w:ascii="Times New Roman" w:hAnsi="Times New Roman"/>
                <w:b w:val="false"/>
                <w:i/>
                <w:color w:val="000000"/>
                <w:sz w:val="22"/>
              </w:rPr>
              <w:t>Annual Review of Political Science, 22</w:t>
            </w:r>
            <w:r>
              <w:rPr>
                <w:rFonts w:ascii="Times New Roman" w:hAnsi="Times New Roman"/>
                <w:b w:val="false"/>
                <w:i w:val="false"/>
                <w:color w:val="000000"/>
                <w:sz w:val="22"/>
              </w:rPr>
              <w:t xml:space="preserve">(1), 277–295. </w:t>
            </w:r>
            <w:hyperlink r:id="rId32">
              <w:r>
                <w:rPr>
                  <w:rFonts w:ascii="Times New Roman" w:hAnsi="Times New Roman"/>
                  <w:b w:val="false"/>
                  <w:i w:val="false"/>
                  <w:color w:val="0000ff"/>
                  <w:sz w:val="22"/>
                  <w:u w:val="single"/>
                </w:rPr>
                <w:t/>
              </w:r>
              <w:r>
                <w:rPr>
                  <w:rFonts w:ascii="Times New Roman" w:hAnsi="Times New Roman"/>
                  <w:b w:val="false"/>
                  <w:i w:val="false"/>
                  <w:color w:val="0000ff"/>
                  <w:sz w:val="22"/>
                </w:rPr>
                <w:t>https://doi.org/10.1146/annurev-polisci-050517-110713</w:t>
              </w:r>
            </w:hyperlink>
          </w:p>
          <w:bookmarkEnd w:id="58"/>
          <w:p>
            <w:pPr>
              <w:spacing w:before="0" w:after="0"/>
              <w:ind w:left="120"/>
              <w:jc w:val="left"/>
            </w:pPr>
            <w:hyperlink r:id="rId33">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57"/>
          <w:p>
            <w:pPr>
              <w:spacing w:before="0" w:after="0"/>
              <w:ind w:left="120"/>
              <w:jc w:val="left"/>
            </w:pPr>
            <w:r>
              <w:br/>
            </w:r>
          </w:p>
          <w:p>
            <w:pPr>
              <w:spacing w:before="0" w:after="0"/>
              <w:ind w:left="120"/>
              <w:jc w:val="left"/>
            </w:pPr>
            <w:bookmarkStart w:name="CR16" w:id="59"/>
            <w:bookmarkStart w:name="CR16" w:id="60"/>
            <w:r>
              <w:rPr>
                <w:rFonts w:ascii="Times New Roman" w:hAnsi="Times New Roman"/>
                <w:b w:val="false"/>
                <w:i w:val="false"/>
                <w:color w:val="000000"/>
                <w:sz w:val="22"/>
              </w:rPr>
              <w:t xml:space="preserve">Nisbet, E. C., Cooper, K. E., &amp; Garrett, R. K. (2015). The partisan brain: How dissonant science messages Lead conservatives and liberals to (dis)trust science. </w:t>
            </w:r>
            <w:r>
              <w:rPr>
                <w:rFonts w:ascii="Times New Roman" w:hAnsi="Times New Roman"/>
                <w:b w:val="false"/>
                <w:i/>
                <w:color w:val="000000"/>
                <w:sz w:val="22"/>
              </w:rPr>
              <w:t>Annals of the American Academy of Political and Social Science, 658</w:t>
            </w:r>
            <w:r>
              <w:rPr>
                <w:rFonts w:ascii="Times New Roman" w:hAnsi="Times New Roman"/>
                <w:b w:val="false"/>
                <w:i w:val="false"/>
                <w:color w:val="000000"/>
                <w:sz w:val="22"/>
              </w:rPr>
              <w:t xml:space="preserve">(1), 36–66. </w:t>
            </w:r>
            <w:hyperlink r:id="rId34">
              <w:r>
                <w:rPr>
                  <w:rFonts w:ascii="Times New Roman" w:hAnsi="Times New Roman"/>
                  <w:b w:val="false"/>
                  <w:i w:val="false"/>
                  <w:color w:val="0000ff"/>
                  <w:sz w:val="22"/>
                  <w:u w:val="single"/>
                </w:rPr>
                <w:t/>
              </w:r>
              <w:r>
                <w:rPr>
                  <w:rFonts w:ascii="Times New Roman" w:hAnsi="Times New Roman"/>
                  <w:b w:val="false"/>
                  <w:i w:val="false"/>
                  <w:color w:val="0000ff"/>
                  <w:sz w:val="22"/>
                </w:rPr>
                <w:t>https://doi.org/10.1177/0002716214555474</w:t>
              </w:r>
            </w:hyperlink>
          </w:p>
          <w:bookmarkEnd w:id="60"/>
          <w:p>
            <w:pPr>
              <w:spacing w:before="0" w:after="0"/>
              <w:ind w:left="120"/>
              <w:jc w:val="left"/>
            </w:pPr>
            <w:hyperlink r:id="rId35">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59"/>
          <w:p>
            <w:pPr>
              <w:spacing w:before="0" w:after="0"/>
              <w:ind w:left="120"/>
              <w:jc w:val="left"/>
            </w:pPr>
            <w:r>
              <w:br/>
            </w:r>
          </w:p>
          <w:p>
            <w:pPr>
              <w:spacing w:before="0" w:after="0"/>
              <w:ind w:left="120"/>
              <w:jc w:val="left"/>
            </w:pPr>
            <w:bookmarkStart w:name="CR17" w:id="61"/>
            <w:bookmarkStart w:name="CR17" w:id="62"/>
            <w:r>
              <w:rPr>
                <w:rFonts w:ascii="Times New Roman" w:hAnsi="Times New Roman"/>
                <w:b w:val="false"/>
                <w:i w:val="false"/>
                <w:color w:val="000000"/>
                <w:sz w:val="22"/>
              </w:rPr>
              <w:t xml:space="preserve">Schraff, D. (2021). Political trust during the Covid-19 pandemic: Rally around the flag or lockdown effects? </w:t>
            </w:r>
            <w:r>
              <w:rPr>
                <w:rFonts w:ascii="Times New Roman" w:hAnsi="Times New Roman"/>
                <w:b w:val="false"/>
                <w:i/>
                <w:color w:val="000000"/>
                <w:sz w:val="22"/>
              </w:rPr>
              <w:t>European Journal of Political Research, 60</w:t>
            </w:r>
            <w:r>
              <w:rPr>
                <w:rFonts w:ascii="Times New Roman" w:hAnsi="Times New Roman"/>
                <w:b w:val="false"/>
                <w:i w:val="false"/>
                <w:color w:val="000000"/>
                <w:sz w:val="22"/>
              </w:rPr>
              <w:t xml:space="preserve">(4), 1007–1017. </w:t>
            </w:r>
            <w:hyperlink r:id="rId36">
              <w:r>
                <w:rPr>
                  <w:rFonts w:ascii="Times New Roman" w:hAnsi="Times New Roman"/>
                  <w:b w:val="false"/>
                  <w:i w:val="false"/>
                  <w:color w:val="0000ff"/>
                  <w:sz w:val="22"/>
                  <w:u w:val="single"/>
                </w:rPr>
                <w:t/>
              </w:r>
              <w:r>
                <w:rPr>
                  <w:rFonts w:ascii="Times New Roman" w:hAnsi="Times New Roman"/>
                  <w:b w:val="false"/>
                  <w:i w:val="false"/>
                  <w:color w:val="0000ff"/>
                  <w:sz w:val="22"/>
                </w:rPr>
                <w:t>https://doi.org/10.1111/1475-6765.12425</w:t>
              </w:r>
            </w:hyperlink>
          </w:p>
          <w:bookmarkEnd w:id="62"/>
          <w:p>
            <w:pPr>
              <w:spacing w:before="0" w:after="0"/>
              <w:ind w:left="120"/>
              <w:jc w:val="left"/>
            </w:pPr>
            <w:hyperlink r:id="rId37">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61"/>
          <w:p>
            <w:pPr>
              <w:spacing w:before="0" w:after="0"/>
              <w:ind w:left="120"/>
              <w:jc w:val="left"/>
            </w:pPr>
            <w:r>
              <w:br/>
            </w:r>
          </w:p>
          <w:p>
            <w:pPr>
              <w:spacing w:before="0" w:after="0"/>
              <w:ind w:left="120"/>
              <w:jc w:val="left"/>
            </w:pPr>
            <w:bookmarkStart w:name="CR18" w:id="63"/>
            <w:bookmarkStart w:name="CR18" w:id="64"/>
            <w:r>
              <w:rPr>
                <w:rFonts w:ascii="Times New Roman" w:hAnsi="Times New Roman"/>
                <w:b w:val="false"/>
                <w:i w:val="false"/>
                <w:color w:val="000000"/>
                <w:sz w:val="22"/>
              </w:rPr>
              <w:t xml:space="preserve">Sønderskov, K. M., &amp; Dinesen, P. T. (2016). Trusting the state, trusting each other? The effect of institutional trust on social trust. </w:t>
            </w:r>
            <w:r>
              <w:rPr>
                <w:rFonts w:ascii="Times New Roman" w:hAnsi="Times New Roman"/>
                <w:b w:val="false"/>
                <w:i/>
                <w:color w:val="000000"/>
                <w:sz w:val="22"/>
              </w:rPr>
              <w:t>Political Behavior, 38</w:t>
            </w:r>
            <w:r>
              <w:rPr>
                <w:rFonts w:ascii="Times New Roman" w:hAnsi="Times New Roman"/>
                <w:b w:val="false"/>
                <w:i w:val="false"/>
                <w:color w:val="000000"/>
                <w:sz w:val="22"/>
              </w:rPr>
              <w:t xml:space="preserve">(1), 179–202. </w:t>
            </w:r>
            <w:hyperlink r:id="rId38">
              <w:r>
                <w:rPr>
                  <w:rFonts w:ascii="Times New Roman" w:hAnsi="Times New Roman"/>
                  <w:b w:val="false"/>
                  <w:i w:val="false"/>
                  <w:color w:val="0000ff"/>
                  <w:sz w:val="22"/>
                  <w:u w:val="single"/>
                </w:rPr>
                <w:t/>
              </w:r>
              <w:r>
                <w:rPr>
                  <w:rFonts w:ascii="Times New Roman" w:hAnsi="Times New Roman"/>
                  <w:b w:val="false"/>
                  <w:i w:val="false"/>
                  <w:color w:val="0000ff"/>
                  <w:sz w:val="22"/>
                </w:rPr>
                <w:t>https://doi.org/10.1007/s11109-015-9322-8</w:t>
              </w:r>
            </w:hyperlink>
          </w:p>
          <w:bookmarkEnd w:id="64"/>
          <w:p>
            <w:pPr>
              <w:spacing w:before="0" w:after="0"/>
              <w:ind w:left="120"/>
              <w:jc w:val="left"/>
            </w:pPr>
            <w:hyperlink r:id="rId39">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63"/>
          <w:p>
            <w:pPr>
              <w:spacing w:before="0" w:after="0"/>
              <w:ind w:left="120"/>
              <w:jc w:val="left"/>
            </w:pPr>
            <w:r>
              <w:br/>
            </w:r>
          </w:p>
          <w:p>
            <w:pPr>
              <w:spacing w:before="0" w:after="0"/>
              <w:ind w:left="120"/>
              <w:jc w:val="left"/>
            </w:pPr>
            <w:bookmarkStart w:name="CR19" w:id="65"/>
            <w:bookmarkStart w:name="CR19" w:id="66"/>
            <w:r>
              <w:rPr>
                <w:rFonts w:ascii="Times New Roman" w:hAnsi="Times New Roman"/>
                <w:b w:val="false"/>
                <w:i w:val="false"/>
                <w:color w:val="000000"/>
                <w:sz w:val="22"/>
              </w:rPr>
              <w:t xml:space="preserve">van der Meer, T., &amp; Hakhverdian, A. (2017). Political trust as the evaluation of process and performance: A cross-National Study of 42 European countries. </w:t>
            </w:r>
            <w:r>
              <w:rPr>
                <w:rFonts w:ascii="Times New Roman" w:hAnsi="Times New Roman"/>
                <w:b w:val="false"/>
                <w:i/>
                <w:color w:val="000000"/>
                <w:sz w:val="22"/>
              </w:rPr>
              <w:t>Political Studies, 65</w:t>
            </w:r>
            <w:r>
              <w:rPr>
                <w:rFonts w:ascii="Times New Roman" w:hAnsi="Times New Roman"/>
                <w:b w:val="false"/>
                <w:i w:val="false"/>
                <w:color w:val="000000"/>
                <w:sz w:val="22"/>
              </w:rPr>
              <w:t xml:space="preserve">(1), 81–102. </w:t>
            </w:r>
            <w:hyperlink r:id="rId40">
              <w:r>
                <w:rPr>
                  <w:rFonts w:ascii="Times New Roman" w:hAnsi="Times New Roman"/>
                  <w:b w:val="false"/>
                  <w:i w:val="false"/>
                  <w:color w:val="0000ff"/>
                  <w:sz w:val="22"/>
                  <w:u w:val="single"/>
                </w:rPr>
                <w:t/>
              </w:r>
              <w:r>
                <w:rPr>
                  <w:rFonts w:ascii="Times New Roman" w:hAnsi="Times New Roman"/>
                  <w:b w:val="false"/>
                  <w:i w:val="false"/>
                  <w:color w:val="0000ff"/>
                  <w:sz w:val="22"/>
                </w:rPr>
                <w:t>https://doi.org/10.1177/0032321715607514</w:t>
              </w:r>
            </w:hyperlink>
          </w:p>
          <w:bookmarkEnd w:id="66"/>
          <w:p>
            <w:pPr>
              <w:spacing w:before="0" w:after="0"/>
              <w:ind w:left="120"/>
              <w:jc w:val="left"/>
            </w:pPr>
            <w:hyperlink r:id="rId41">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65"/>
          <w:p>
            <w:pPr>
              <w:spacing w:before="0" w:after="0"/>
              <w:ind w:left="120"/>
              <w:jc w:val="left"/>
            </w:pPr>
            <w:r>
              <w:br/>
            </w:r>
          </w:p>
          <w:p>
            <w:pPr>
              <w:spacing w:before="0" w:after="0"/>
              <w:ind w:left="120"/>
              <w:jc w:val="left"/>
            </w:pPr>
            <w:bookmarkStart w:name="CR20" w:id="67"/>
            <w:bookmarkStart w:name="CR20" w:id="68"/>
            <w:r>
              <w:rPr>
                <w:rFonts w:ascii="Times New Roman" w:hAnsi="Times New Roman"/>
                <w:b w:val="false"/>
                <w:i w:val="false"/>
                <w:color w:val="000000"/>
                <w:sz w:val="22"/>
              </w:rPr>
              <w:t xml:space="preserve">van Erkel, P. F. A., &amp; van der Meer, T. W. G. (2016). Macroeconomic performance, political trust and the great recession: A multilevel analysis of the effects of within-country fluctuations in macroeconomic performance on political trust in 15 EU countries, 1999-2011. </w:t>
            </w:r>
            <w:r>
              <w:rPr>
                <w:rFonts w:ascii="Times New Roman" w:hAnsi="Times New Roman"/>
                <w:b w:val="false"/>
                <w:i/>
                <w:color w:val="000000"/>
                <w:sz w:val="22"/>
              </w:rPr>
              <w:t>European Journal of Political Research, 55</w:t>
            </w:r>
            <w:r>
              <w:rPr>
                <w:rFonts w:ascii="Times New Roman" w:hAnsi="Times New Roman"/>
                <w:b w:val="false"/>
                <w:i w:val="false"/>
                <w:color w:val="000000"/>
                <w:sz w:val="22"/>
              </w:rPr>
              <w:t xml:space="preserve">(1), 177–197. </w:t>
            </w:r>
            <w:hyperlink r:id="rId42">
              <w:r>
                <w:rPr>
                  <w:rFonts w:ascii="Times New Roman" w:hAnsi="Times New Roman"/>
                  <w:b w:val="false"/>
                  <w:i w:val="false"/>
                  <w:color w:val="0000ff"/>
                  <w:sz w:val="22"/>
                  <w:u w:val="single"/>
                </w:rPr>
                <w:t/>
              </w:r>
              <w:r>
                <w:rPr>
                  <w:rFonts w:ascii="Times New Roman" w:hAnsi="Times New Roman"/>
                  <w:b w:val="false"/>
                  <w:i w:val="false"/>
                  <w:color w:val="0000ff"/>
                  <w:sz w:val="22"/>
                </w:rPr>
                <w:t>https://doi.org/10.1111/1475-6765.12115</w:t>
              </w:r>
            </w:hyperlink>
          </w:p>
          <w:bookmarkEnd w:id="68"/>
          <w:p>
            <w:pPr>
              <w:spacing w:before="0" w:after="0"/>
              <w:ind w:left="120"/>
              <w:jc w:val="left"/>
            </w:pPr>
            <w:hyperlink r:id="rId43">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67"/>
          <w:p>
            <w:pPr>
              <w:spacing w:before="0" w:after="0"/>
              <w:ind w:left="120"/>
              <w:jc w:val="left"/>
            </w:pPr>
            <w:r>
              <w:br/>
            </w:r>
          </w:p>
          <w:bookmarkStart w:name="BSec1" w:id="69"/>
          <w:tbl>
            <w:tblPr>
              <w:tblW w:w="0" w:type="auto"/>
              <w:tblCellSpacing w:w="0" w:type="dxa"/>
              <w:tblBorders>
                <w:top w:val="none"/>
                <w:left w:val="none"/>
                <w:bottom w:val="none"/>
                <w:right w:val="none"/>
                <w:insideH w:val="none"/>
                <w:insideV w:val="none"/>
              </w:tblBorders>
            </w:tblPr>
            <w:tblGrid>
              <w:gridCol w:w="13634"/>
            </w:tblGrid>
            <w:p>
              <w:pPr>
                <w:spacing w:before="0" w:after="0"/>
                <w:ind w:left="120"/>
                <w:jc w:val="left"/>
              </w:pPr>
              <w:bookmarkStart w:name="BSec1" w:id="70"/>
            </w:p>
            <w:tr>
              <w:trPr>
                <w:trHeight w:val="3045" w:hRule="atLeast"/>
              </w:trPr>
              <w:bookmarkStart w:name="BSec1" w:id="71"/>
              <w:tc>
                <w:tcPr>
                  <w:tcW w:w="13634" w:type="dxa"/>
                  <w:tcBorders/>
                  <w:tcMar>
                    <w:top w:w="15" w:type="dxa"/>
                    <w:left w:w="15" w:type="dxa"/>
                    <w:bottom w:w="15" w:type="dxa"/>
                    <w:right w:w="15" w:type="dxa"/>
                  </w:tcMar>
                </w:tcPr>
                <w:bookmarkStart w:name="BSec1" w:id="72"/>
                <w:p>
                  <w:pPr>
                    <w:spacing w:before="0" w:after="0"/>
                    <w:ind w:left="120"/>
                    <w:jc w:val="left"/>
                  </w:pPr>
                  <w:r>
                    <w:br/>
                  </w:r>
                </w:p>
                <w:bookmarkEnd w:id="72"/>
                <w:p>
                  <w:pPr>
                    <w:spacing w:before="199" w:after="0"/>
                    <w:ind w:left="120"/>
                    <w:jc w:val="left"/>
                  </w:pPr>
                  <w:r>
                    <w:rPr>
                      <w:rFonts w:ascii="Times New Roman" w:hAnsi="Times New Roman"/>
                      <w:b w:val="false"/>
                      <w:i w:val="false"/>
                      <w:color w:val="000000"/>
                      <w:sz w:val="24"/>
                    </w:rPr>
                    <w:t>Additional References</w:t>
                  </w:r>
                </w:p>
                <w:tbl>
                  <w:tblPr>
                    <w:tblW w:w="0" w:type="auto"/>
                    <w:tblCellSpacing w:w="0" w:type="dxa"/>
                    <w:tblBorders>
                      <w:top w:val="none"/>
                      <w:left w:val="none"/>
                      <w:bottom w:val="none"/>
                      <w:right w:val="none"/>
                      <w:insideH w:val="none"/>
                      <w:insideV w:val="none"/>
                    </w:tblBorders>
                  </w:tblPr>
                  <w:tblGrid>
                    <w:gridCol w:w="13634"/>
                  </w:tblGrid>
                  <w:p>
                    <w:pPr>
                      <w:spacing w:before="0" w:after="0"/>
                      <w:ind w:left="120"/>
                      <w:jc w:val="left"/>
                    </w:pPr>
                  </w:p>
                  <w:tr>
                    <w:trPr>
                      <w:trHeight w:val="2310" w:hRule="atLeast"/>
                    </w:trPr>
                    <w:tc>
                      <w:tcPr>
                        <w:tcW w:w="13634" w:type="dxa"/>
                        <w:tcBorders/>
                        <w:tcMar>
                          <w:top w:w="15" w:type="dxa"/>
                          <w:left w:w="15" w:type="dxa"/>
                          <w:bottom w:w="15" w:type="dxa"/>
                          <w:right w:w="15" w:type="dxa"/>
                        </w:tcMar>
                      </w:tcPr>
                      <w:p>
                        <w:pPr>
                          <w:spacing w:before="0" w:after="0"/>
                          <w:ind w:left="120"/>
                          <w:jc w:val="left"/>
                        </w:pPr>
                        <w:bookmarkStart w:name="CR21" w:id="73"/>
                        <w:bookmarkStart w:name="CR21" w:id="74"/>
                        <w:r>
                          <w:rPr>
                            <w:rFonts w:ascii="Times New Roman" w:hAnsi="Times New Roman"/>
                            <w:b w:val="false"/>
                            <w:i w:val="false"/>
                            <w:color w:val="000000"/>
                            <w:sz w:val="22"/>
                          </w:rPr>
                          <w:t xml:space="preserve">Bertsou, E. (2019). Rethinking political distrust. </w:t>
                        </w:r>
                        <w:r>
                          <w:rPr>
                            <w:rFonts w:ascii="Times New Roman" w:hAnsi="Times New Roman"/>
                            <w:b w:val="false"/>
                            <w:i/>
                            <w:color w:val="000000"/>
                            <w:sz w:val="22"/>
                          </w:rPr>
                          <w:t>European Political Science Review, 11</w:t>
                        </w:r>
                        <w:r>
                          <w:rPr>
                            <w:rFonts w:ascii="Times New Roman" w:hAnsi="Times New Roman"/>
                            <w:b w:val="false"/>
                            <w:i w:val="false"/>
                            <w:color w:val="000000"/>
                            <w:sz w:val="22"/>
                          </w:rPr>
                          <w:t>(2), 213–230.</w:t>
                        </w:r>
                      </w:p>
                      <w:bookmarkEnd w:id="74"/>
                      <w:p>
                        <w:pPr>
                          <w:spacing w:before="0" w:after="0"/>
                          <w:ind w:left="120"/>
                          <w:jc w:val="left"/>
                        </w:pPr>
                        <w:hyperlink r:id="rId44">
                          <w:r>
                            <w:rPr>
                              <w:rFonts w:ascii="Times New Roman" w:hAnsi="Times New Roman"/>
                              <w:b w:val="false"/>
                              <w:i w:val="false"/>
                              <w:color w:val="0000ff"/>
                              <w:sz w:val="22"/>
                              <w:u w:val="single"/>
                            </w:rPr>
                            <w:t/>
                          </w:r>
                          <w:r>
                            <w:rPr>
                              <w:rFonts w:ascii="Times New Roman" w:hAnsi="Times New Roman"/>
                              <w:b w:val="false"/>
                              <w:i w:val="false"/>
                              <w:color w:val="0000ff"/>
                              <w:sz w:val="22"/>
                            </w:rPr>
                            <w:t>CrossRef</w:t>
                          </w:r>
                        </w:hyperlink>
                        <w:r>
                          <w:rPr>
                            <w:rFonts w:ascii="Times New Roman" w:hAnsi="Times New Roman"/>
                            <w:b w:val="false"/>
                            <w:i w:val="false"/>
                            <w:color w:val="000000"/>
                            <w:sz w:val="22"/>
                          </w:rPr>
                          <w:t xml:space="preserve"> </w:t>
                        </w:r>
                      </w:p>
                      <w:bookmarkEnd w:id="73"/>
                      <w:p>
                        <w:pPr>
                          <w:spacing w:before="0" w:after="0"/>
                          <w:ind w:left="120"/>
                          <w:jc w:val="left"/>
                        </w:pPr>
                        <w:r>
                          <w:br/>
                        </w:r>
                      </w:p>
                      <w:p>
                        <w:pPr>
                          <w:spacing w:before="0" w:after="0"/>
                          <w:ind w:left="120"/>
                          <w:jc w:val="left"/>
                        </w:pPr>
                        <w:bookmarkStart w:name="CR22" w:id="75"/>
                        <w:r>
                          <w:rPr>
                            <w:rFonts w:ascii="Times New Roman" w:hAnsi="Times New Roman"/>
                            <w:b w:val="false"/>
                            <w:i w:val="false"/>
                            <w:color w:val="000000"/>
                            <w:sz w:val="22"/>
                          </w:rPr>
                          <w:t>Valgarðsson, V., Jennings, W., Stoker, G, Bunting, H. Devine, D., McKay, L, and Klassen, A. A (2025). Crisis of political trust? Global trends in institutional trust from 1958 to 2019. British Journal of Political Science. (FirstView), 1–23.</w:t>
                        </w:r>
                      </w:p>
                      <w:bookmarkEnd w:id="75"/>
                      <w:p>
                        <w:pPr>
                          <w:spacing w:before="0" w:after="0"/>
                          <w:ind w:left="120"/>
                          <w:jc w:val="left"/>
                        </w:pPr>
                        <w:r>
                          <w:br/>
                        </w:r>
                      </w:p>
                    </w:tc>
                  </w:tr>
                </w:tbl>
                <w:p/>
              </w:tc>
              <w:bookmarkEnd w:id="71"/>
            </w:tr>
            <w:bookmarkEnd w:id="70"/>
          </w:tbl>
          <w:bookmarkEnd w:id="69"/>
        </w:tc>
      </w:tr>
    </w:tbl>
    <w:bookmarkEnd w:id="27"/>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mailto:D.Devine@soton.ac.uk" Type="http://schemas.openxmlformats.org/officeDocument/2006/relationships/hyperlink" Id="rId4"/>
    <Relationship TargetMode="External" Target="mailto:t.w.g.vandermeer@uva.nl" Type="http://schemas.openxmlformats.org/officeDocument/2006/relationships/hyperlink" Id="rId5"/>
    <Relationship TargetMode="External" Target="http://creativecommons.org/licenses/by-nc-nd/4.0/" Type="http://schemas.openxmlformats.org/officeDocument/2006/relationships/hyperlink" Id="rId6"/>
    <Relationship TargetMode="External" Target="http://dx.doi.org/10.1177/1465116513495595" Type="http://schemas.openxmlformats.org/officeDocument/2006/relationships/hyperlink" Id="rId7"/>
    <Relationship TargetMode="External" Target="http://dx.doi.org/10.1177/1465116513495595" Type="http://schemas.openxmlformats.org/officeDocument/2006/relationships/hyperlink" Id="rId8"/>
    <Relationship TargetMode="External" Target="http://dx.doi.org/10.1146/annurev-polisci-050316-092550" Type="http://schemas.openxmlformats.org/officeDocument/2006/relationships/hyperlink" Id="rId9"/>
    <Relationship TargetMode="External" Target="http://dx.doi.org/10.1177/0738894214544612" Type="http://schemas.openxmlformats.org/officeDocument/2006/relationships/hyperlink" Id="rId10"/>
    <Relationship TargetMode="External" Target="http://dx.doi.org/10.1177/0738894214544612" Type="http://schemas.openxmlformats.org/officeDocument/2006/relationships/hyperlink" Id="rId11"/>
    <Relationship TargetMode="External" Target="http://dx.doi.org/10.1177/1478929920948684" Type="http://schemas.openxmlformats.org/officeDocument/2006/relationships/hyperlink" Id="rId12"/>
    <Relationship TargetMode="External" Target="http://dx.doi.org/10.1177/1478929920948684" Type="http://schemas.openxmlformats.org/officeDocument/2006/relationships/hyperlink" Id="rId13"/>
    <Relationship TargetMode="External" Target="http://dx.doi.org/10.1146/annurev-polisci-052918-020708" Type="http://schemas.openxmlformats.org/officeDocument/2006/relationships/hyperlink" Id="rId14"/>
    <Relationship TargetMode="External" Target="http://dx.doi.org/10.1007/s11109-014-9287-z" Type="http://schemas.openxmlformats.org/officeDocument/2006/relationships/hyperlink" Id="rId15"/>
    <Relationship TargetMode="External" Target="http://dx.doi.org/10.1007/s11109-014-9287-z" Type="http://schemas.openxmlformats.org/officeDocument/2006/relationships/hyperlink" Id="rId16"/>
    <Relationship TargetMode="External" Target="http://dx.doi.org/10.1111/1475-6765.12419" Type="http://schemas.openxmlformats.org/officeDocument/2006/relationships/hyperlink" Id="rId17"/>
    <Relationship TargetMode="External" Target="http://dx.doi.org/10.1111/1475-6765.12419" Type="http://schemas.openxmlformats.org/officeDocument/2006/relationships/hyperlink" Id="rId18"/>
    <Relationship TargetMode="External" Target="http://dx.doi.org/10.1177/1940161218811981" Type="http://schemas.openxmlformats.org/officeDocument/2006/relationships/hyperlink" Id="rId19"/>
    <Relationship TargetMode="External" Target="http://dx.doi.org/10.1177/1940161218811981" Type="http://schemas.openxmlformats.org/officeDocument/2006/relationships/hyperlink" Id="rId20"/>
    <Relationship TargetMode="External" Target="http://dx.doi.org/10.1177/0192512114545119" Type="http://schemas.openxmlformats.org/officeDocument/2006/relationships/hyperlink" Id="rId21"/>
    <Relationship TargetMode="External" Target="http://dx.doi.org/10.1177/1465116517723499" Type="http://schemas.openxmlformats.org/officeDocument/2006/relationships/hyperlink" Id="rId22"/>
    <Relationship TargetMode="External" Target="http://dx.doi.org/10.1177/1465116517723499" Type="http://schemas.openxmlformats.org/officeDocument/2006/relationships/hyperlink" Id="rId23"/>
    <Relationship TargetMode="External" Target="http://dx.doi.org/10.1177/0032321719842768" Type="http://schemas.openxmlformats.org/officeDocument/2006/relationships/hyperlink" Id="rId24"/>
    <Relationship TargetMode="External" Target="http://dx.doi.org/10.1177/0032321719842768" Type="http://schemas.openxmlformats.org/officeDocument/2006/relationships/hyperlink" Id="rId25"/>
    <Relationship TargetMode="External" Target="http://dx.doi.org/10.1177/1940161217740695" Type="http://schemas.openxmlformats.org/officeDocument/2006/relationships/hyperlink" Id="rId26"/>
    <Relationship TargetMode="External" Target="http://dx.doi.org/10.1177/1940161217740695" Type="http://schemas.openxmlformats.org/officeDocument/2006/relationships/hyperlink" Id="rId27"/>
    <Relationship TargetMode="External" Target="http://dx.doi.org/10.1080/14494035.2020.1783791" Type="http://schemas.openxmlformats.org/officeDocument/2006/relationships/hyperlink" Id="rId28"/>
    <Relationship TargetMode="External" Target="http://dx.doi.org/10.1080/14494035.2020.1783791" Type="http://schemas.openxmlformats.org/officeDocument/2006/relationships/hyperlink" Id="rId29"/>
    <Relationship TargetMode="External" Target="http://dx.doi.org/10.1080/01402382.2021.1925017" Type="http://schemas.openxmlformats.org/officeDocument/2006/relationships/hyperlink" Id="rId30"/>
    <Relationship TargetMode="External" Target="http://dx.doi.org/10.1080/01402382.2021.1925017" Type="http://schemas.openxmlformats.org/officeDocument/2006/relationships/hyperlink" Id="rId31"/>
    <Relationship TargetMode="External" Target="http://dx.doi.org/10.1146/annurev-polisci-050517-110713" Type="http://schemas.openxmlformats.org/officeDocument/2006/relationships/hyperlink" Id="rId32"/>
    <Relationship TargetMode="External" Target="http://dx.doi.org/10.1146/annurev-polisci-050517-110713" Type="http://schemas.openxmlformats.org/officeDocument/2006/relationships/hyperlink" Id="rId33"/>
    <Relationship TargetMode="External" Target="http://dx.doi.org/10.1177/0002716214555474" Type="http://schemas.openxmlformats.org/officeDocument/2006/relationships/hyperlink" Id="rId34"/>
    <Relationship TargetMode="External" Target="http://dx.doi.org/10.1177/0002716214555474" Type="http://schemas.openxmlformats.org/officeDocument/2006/relationships/hyperlink" Id="rId35"/>
    <Relationship TargetMode="External" Target="http://dx.doi.org/10.1111/1475-6765.12425" Type="http://schemas.openxmlformats.org/officeDocument/2006/relationships/hyperlink" Id="rId36"/>
    <Relationship TargetMode="External" Target="http://dx.doi.org/10.1111/1475-6765.12425" Type="http://schemas.openxmlformats.org/officeDocument/2006/relationships/hyperlink" Id="rId37"/>
    <Relationship TargetMode="External" Target="http://dx.doi.org/10.1007/s11109-015-9322-8" Type="http://schemas.openxmlformats.org/officeDocument/2006/relationships/hyperlink" Id="rId38"/>
    <Relationship TargetMode="External" Target="http://dx.doi.org/10.1007/s11109-015-9322-8" Type="http://schemas.openxmlformats.org/officeDocument/2006/relationships/hyperlink" Id="rId39"/>
    <Relationship TargetMode="External" Target="http://dx.doi.org/10.1177/0032321715607514" Type="http://schemas.openxmlformats.org/officeDocument/2006/relationships/hyperlink" Id="rId40"/>
    <Relationship TargetMode="External" Target="http://dx.doi.org/10.1177/0032321715607514" Type="http://schemas.openxmlformats.org/officeDocument/2006/relationships/hyperlink" Id="rId41"/>
    <Relationship TargetMode="External" Target="http://dx.doi.org/10.1111/1475-6765.12115" Type="http://schemas.openxmlformats.org/officeDocument/2006/relationships/hyperlink" Id="rId42"/>
    <Relationship TargetMode="External" Target="http://dx.doi.org/10.1111/1475-6765.12115" Type="http://schemas.openxmlformats.org/officeDocument/2006/relationships/hyperlink" Id="rId43"/>
    <Relationship TargetMode="External" Target="http://dx.doi.org/10.1017/S1755773919000080" Type="http://schemas.openxmlformats.org/officeDocument/2006/relationships/hyperlink" Id="rId4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