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2307"/>
        <w:gridCol w:w="1213"/>
        <w:gridCol w:w="2396"/>
        <w:gridCol w:w="1218"/>
      </w:tblGrid>
      <w:tr w:rsidR="007B615A" w:rsidRPr="00622737" w14:paraId="5E707668" w14:textId="77777777">
        <w:trPr>
          <w:jc w:val="center"/>
        </w:trPr>
        <w:tc>
          <w:tcPr>
            <w:tcW w:w="11764" w:type="dxa"/>
            <w:gridSpan w:val="5"/>
            <w:tcBorders>
              <w:bottom w:val="single" w:sz="12" w:space="0" w:color="auto"/>
            </w:tcBorders>
          </w:tcPr>
          <w:p w14:paraId="5E707667" w14:textId="77777777" w:rsidR="007B615A" w:rsidRPr="00622737" w:rsidRDefault="00000000">
            <w:pPr>
              <w:pStyle w:val="566ba9ff-a5b0-4b6f-bbdf-c3ab41993fc2"/>
              <w:framePr w:hSpace="0" w:wrap="auto" w:vAnchor="margin" w:xAlign="left" w:yAlign="inline"/>
              <w:suppressOverlap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2273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Table 4. 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Univariable and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m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ultivariable logistic regression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a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nalysis of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f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actors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a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ssociated with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f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ibrosis 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s</w:t>
            </w:r>
            <w:r w:rsidRPr="00622737">
              <w:rPr>
                <w:rStyle w:val="Strong"/>
                <w:rFonts w:ascii="Times New Roman" w:eastAsia="Segoe UI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tage</w:t>
            </w:r>
            <w:r w:rsidRPr="00622737">
              <w:rPr>
                <w:rStyle w:val="Strong"/>
                <w:rFonts w:ascii="Times New Roman" w:eastAsia="SimSun" w:hAnsi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7B615A" w:rsidRPr="00622737" w14:paraId="5E70766E" w14:textId="77777777">
        <w:trPr>
          <w:jc w:val="center"/>
        </w:trPr>
        <w:tc>
          <w:tcPr>
            <w:tcW w:w="4630" w:type="dxa"/>
            <w:tcBorders>
              <w:top w:val="single" w:sz="12" w:space="0" w:color="auto"/>
              <w:bottom w:val="single" w:sz="12" w:space="0" w:color="auto"/>
            </w:tcBorders>
          </w:tcPr>
          <w:p w14:paraId="5E70766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</w:tcPr>
          <w:p w14:paraId="5E70766A" w14:textId="77777777" w:rsidR="007B615A" w:rsidRPr="00622737" w:rsidRDefault="00000000">
            <w:pPr>
              <w:jc w:val="left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>Univariable</w:t>
            </w:r>
            <w:r w:rsidRPr="00622737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 xml:space="preserve"> analysis</w:t>
            </w:r>
          </w:p>
        </w:tc>
        <w:tc>
          <w:tcPr>
            <w:tcW w:w="1213" w:type="dxa"/>
            <w:tcBorders>
              <w:top w:val="single" w:sz="12" w:space="0" w:color="auto"/>
              <w:bottom w:val="single" w:sz="12" w:space="0" w:color="auto"/>
            </w:tcBorders>
          </w:tcPr>
          <w:p w14:paraId="5E70766B" w14:textId="77777777" w:rsidR="007B615A" w:rsidRPr="00622737" w:rsidRDefault="00000000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P-value</w:t>
            </w:r>
          </w:p>
        </w:tc>
        <w:tc>
          <w:tcPr>
            <w:tcW w:w="2396" w:type="dxa"/>
            <w:tcBorders>
              <w:top w:val="single" w:sz="12" w:space="0" w:color="auto"/>
              <w:bottom w:val="single" w:sz="12" w:space="0" w:color="auto"/>
            </w:tcBorders>
          </w:tcPr>
          <w:p w14:paraId="5E70766C" w14:textId="77777777" w:rsidR="007B615A" w:rsidRPr="00622737" w:rsidRDefault="00000000">
            <w:pPr>
              <w:jc w:val="left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22737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>M</w:t>
            </w:r>
            <w:r w:rsidRPr="00622737">
              <w:rPr>
                <w:rStyle w:val="Strong"/>
                <w:rFonts w:ascii="Times New Roman" w:eastAsia="Segoe UI" w:hAnsi="Times New Roman" w:cs="Times New Roman"/>
                <w:bCs/>
                <w:sz w:val="22"/>
                <w:shd w:val="clear" w:color="auto" w:fill="FFFFFF"/>
              </w:rPr>
              <w:t>ultivariable</w:t>
            </w:r>
            <w:r w:rsidRPr="00622737">
              <w:rPr>
                <w:rStyle w:val="Strong"/>
                <w:rFonts w:ascii="Times New Roman" w:eastAsia="SimSun" w:hAnsi="Times New Roman" w:cs="Times New Roman"/>
                <w:bCs/>
                <w:sz w:val="22"/>
                <w:shd w:val="clear" w:color="auto" w:fill="FFFFFF"/>
              </w:rPr>
              <w:t xml:space="preserve"> analysis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12" w:space="0" w:color="auto"/>
            </w:tcBorders>
          </w:tcPr>
          <w:p w14:paraId="5E70766D" w14:textId="77777777" w:rsidR="007B615A" w:rsidRPr="00622737" w:rsidRDefault="00000000">
            <w:pPr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P-value</w:t>
            </w:r>
          </w:p>
        </w:tc>
      </w:tr>
      <w:tr w:rsidR="007B615A" w:rsidRPr="00622737" w14:paraId="5E707674" w14:textId="77777777">
        <w:trPr>
          <w:jc w:val="center"/>
        </w:trPr>
        <w:tc>
          <w:tcPr>
            <w:tcW w:w="4630" w:type="dxa"/>
            <w:tcBorders>
              <w:top w:val="single" w:sz="12" w:space="0" w:color="auto"/>
            </w:tcBorders>
          </w:tcPr>
          <w:p w14:paraId="5E70766F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Clinical parameters</w:t>
            </w:r>
          </w:p>
        </w:tc>
        <w:tc>
          <w:tcPr>
            <w:tcW w:w="2307" w:type="dxa"/>
            <w:tcBorders>
              <w:top w:val="single" w:sz="12" w:space="0" w:color="auto"/>
            </w:tcBorders>
          </w:tcPr>
          <w:p w14:paraId="5E70767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</w:tcPr>
          <w:p w14:paraId="5E707671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  <w:tcBorders>
              <w:top w:val="single" w:sz="12" w:space="0" w:color="auto"/>
            </w:tcBorders>
          </w:tcPr>
          <w:p w14:paraId="5E70767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  <w:tcBorders>
              <w:top w:val="single" w:sz="12" w:space="0" w:color="auto"/>
            </w:tcBorders>
          </w:tcPr>
          <w:p w14:paraId="5E70767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7A" w14:textId="77777777">
        <w:trPr>
          <w:jc w:val="center"/>
        </w:trPr>
        <w:tc>
          <w:tcPr>
            <w:tcW w:w="4630" w:type="dxa"/>
          </w:tcPr>
          <w:p w14:paraId="5E707675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Sex</w:t>
            </w:r>
          </w:p>
        </w:tc>
        <w:tc>
          <w:tcPr>
            <w:tcW w:w="2307" w:type="dxa"/>
          </w:tcPr>
          <w:p w14:paraId="5E707676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677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0.002</w:t>
            </w:r>
          </w:p>
        </w:tc>
        <w:tc>
          <w:tcPr>
            <w:tcW w:w="2396" w:type="dxa"/>
          </w:tcPr>
          <w:p w14:paraId="5E707678" w14:textId="77777777" w:rsidR="007B615A" w:rsidRPr="00622737" w:rsidRDefault="007B615A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79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2"/>
              </w:rPr>
              <w:t>0.001</w:t>
            </w:r>
          </w:p>
        </w:tc>
      </w:tr>
      <w:tr w:rsidR="007B615A" w:rsidRPr="00622737" w14:paraId="5E707680" w14:textId="77777777">
        <w:trPr>
          <w:jc w:val="center"/>
        </w:trPr>
        <w:tc>
          <w:tcPr>
            <w:tcW w:w="4630" w:type="dxa"/>
          </w:tcPr>
          <w:p w14:paraId="5E70767B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Female </w:t>
            </w:r>
          </w:p>
        </w:tc>
        <w:tc>
          <w:tcPr>
            <w:tcW w:w="2307" w:type="dxa"/>
          </w:tcPr>
          <w:p w14:paraId="5E70767C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67D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67E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8" w:type="dxa"/>
          </w:tcPr>
          <w:p w14:paraId="5E70767F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686" w14:textId="77777777">
        <w:trPr>
          <w:jc w:val="center"/>
        </w:trPr>
        <w:tc>
          <w:tcPr>
            <w:tcW w:w="4630" w:type="dxa"/>
          </w:tcPr>
          <w:p w14:paraId="5E707681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 Male</w:t>
            </w:r>
          </w:p>
        </w:tc>
        <w:tc>
          <w:tcPr>
            <w:tcW w:w="2307" w:type="dxa"/>
          </w:tcPr>
          <w:p w14:paraId="5E707682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0.45 (0.28, 0.74)</w:t>
            </w:r>
          </w:p>
        </w:tc>
        <w:tc>
          <w:tcPr>
            <w:tcW w:w="1213" w:type="dxa"/>
          </w:tcPr>
          <w:p w14:paraId="5E707683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68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0.28 (0.13, 0.60)</w:t>
            </w:r>
          </w:p>
        </w:tc>
        <w:tc>
          <w:tcPr>
            <w:tcW w:w="1218" w:type="dxa"/>
          </w:tcPr>
          <w:p w14:paraId="5E707685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68C" w14:textId="77777777">
        <w:trPr>
          <w:jc w:val="center"/>
        </w:trPr>
        <w:tc>
          <w:tcPr>
            <w:tcW w:w="4630" w:type="dxa"/>
          </w:tcPr>
          <w:p w14:paraId="5E707687" w14:textId="77777777" w:rsidR="007B615A" w:rsidRPr="00622737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Age, years</w:t>
            </w:r>
          </w:p>
        </w:tc>
        <w:tc>
          <w:tcPr>
            <w:tcW w:w="2307" w:type="dxa"/>
          </w:tcPr>
          <w:p w14:paraId="5E70768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1.01 (1.00, 1.03)</w:t>
            </w:r>
          </w:p>
        </w:tc>
        <w:tc>
          <w:tcPr>
            <w:tcW w:w="1213" w:type="dxa"/>
          </w:tcPr>
          <w:p w14:paraId="5E707689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0.149</w:t>
            </w:r>
          </w:p>
        </w:tc>
        <w:tc>
          <w:tcPr>
            <w:tcW w:w="2396" w:type="dxa"/>
          </w:tcPr>
          <w:p w14:paraId="5E70768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8B" w14:textId="77777777" w:rsidR="007B615A" w:rsidRPr="00622737" w:rsidRDefault="007B615A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692" w14:textId="77777777">
        <w:trPr>
          <w:jc w:val="center"/>
        </w:trPr>
        <w:tc>
          <w:tcPr>
            <w:tcW w:w="4630" w:type="dxa"/>
            <w:vAlign w:val="center"/>
          </w:tcPr>
          <w:p w14:paraId="5E70768D" w14:textId="77777777" w:rsidR="007B615A" w:rsidRPr="00622737" w:rsidRDefault="00000000">
            <w:pPr>
              <w:ind w:firstLineChars="100" w:firstLine="220"/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Body mass index, kg/m</w:t>
            </w:r>
            <w:r w:rsidRPr="00622737">
              <w:rPr>
                <w:rFonts w:ascii="Times New Roman" w:eastAsia="SimSun" w:hAnsi="Times New Roman" w:cs="Times New Roman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2307" w:type="dxa"/>
          </w:tcPr>
          <w:p w14:paraId="5E70768E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1.12 (1.05, 1.19)</w:t>
            </w:r>
          </w:p>
        </w:tc>
        <w:tc>
          <w:tcPr>
            <w:tcW w:w="1213" w:type="dxa"/>
          </w:tcPr>
          <w:p w14:paraId="5E70768F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690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91" w14:textId="77777777" w:rsidR="007B615A" w:rsidRPr="00622737" w:rsidRDefault="007B615A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698" w14:textId="77777777">
        <w:trPr>
          <w:jc w:val="center"/>
        </w:trPr>
        <w:tc>
          <w:tcPr>
            <w:tcW w:w="4630" w:type="dxa"/>
            <w:vAlign w:val="center"/>
          </w:tcPr>
          <w:p w14:paraId="5E707693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Laboratory parameters</w:t>
            </w:r>
          </w:p>
        </w:tc>
        <w:tc>
          <w:tcPr>
            <w:tcW w:w="2307" w:type="dxa"/>
          </w:tcPr>
          <w:p w14:paraId="5E707694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695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696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97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69E" w14:textId="77777777">
        <w:trPr>
          <w:jc w:val="center"/>
        </w:trPr>
        <w:tc>
          <w:tcPr>
            <w:tcW w:w="4630" w:type="dxa"/>
          </w:tcPr>
          <w:p w14:paraId="5E707699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Alanine aminotransferase</w:t>
            </w:r>
            <w:bookmarkStart w:id="0" w:name="OLE_LINK1"/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, U/L</w:t>
            </w:r>
            <w:bookmarkEnd w:id="0"/>
          </w:p>
        </w:tc>
        <w:tc>
          <w:tcPr>
            <w:tcW w:w="2307" w:type="dxa"/>
          </w:tcPr>
          <w:p w14:paraId="5E70769A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1.01 (1.00, 1.01)</w:t>
            </w:r>
          </w:p>
        </w:tc>
        <w:tc>
          <w:tcPr>
            <w:tcW w:w="1213" w:type="dxa"/>
          </w:tcPr>
          <w:p w14:paraId="5E70769B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69C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9D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A4" w14:textId="77777777">
        <w:trPr>
          <w:jc w:val="center"/>
        </w:trPr>
        <w:tc>
          <w:tcPr>
            <w:tcW w:w="4630" w:type="dxa"/>
            <w:vAlign w:val="center"/>
          </w:tcPr>
          <w:p w14:paraId="5E70769F" w14:textId="77777777" w:rsidR="007B615A" w:rsidRPr="00622737" w:rsidRDefault="00000000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Aspartate aminotransferase, U/L</w:t>
            </w:r>
          </w:p>
        </w:tc>
        <w:tc>
          <w:tcPr>
            <w:tcW w:w="2307" w:type="dxa"/>
          </w:tcPr>
          <w:p w14:paraId="5E7076A0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1.02 (1.01, 1.02)</w:t>
            </w:r>
          </w:p>
        </w:tc>
        <w:tc>
          <w:tcPr>
            <w:tcW w:w="1213" w:type="dxa"/>
          </w:tcPr>
          <w:p w14:paraId="5E7076A1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6A2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A3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AA" w14:textId="77777777">
        <w:trPr>
          <w:trHeight w:val="90"/>
          <w:jc w:val="center"/>
        </w:trPr>
        <w:tc>
          <w:tcPr>
            <w:tcW w:w="4630" w:type="dxa"/>
          </w:tcPr>
          <w:p w14:paraId="5E7076A5" w14:textId="77777777" w:rsidR="007B615A" w:rsidRPr="00622737" w:rsidRDefault="00000000">
            <w:pPr>
              <w:ind w:firstLineChars="100" w:firstLine="220"/>
              <w:rPr>
                <w:rFonts w:ascii="Times New Roman" w:eastAsia="AdvPA564" w:hAnsi="Times New Roman" w:cs="Times New Roman"/>
                <w:kern w:val="0"/>
                <w:sz w:val="22"/>
                <w:lang w:val="es-ES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Gamma-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glutamyl</w:t>
            </w:r>
            <w:proofErr w:type="spellEnd"/>
            <w:r w:rsidRPr="00622737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 xml:space="preserve"> 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transferase</w:t>
            </w:r>
            <w:proofErr w:type="spellEnd"/>
            <w:r w:rsidRPr="00622737">
              <w:rPr>
                <w:rFonts w:ascii="Times New Roman" w:eastAsia="SimSun" w:hAnsi="Times New Roman" w:cs="Times New Roman"/>
                <w:kern w:val="0"/>
                <w:sz w:val="22"/>
                <w:lang w:val="es-ES"/>
              </w:rPr>
              <w:t>, U/L</w:t>
            </w:r>
          </w:p>
        </w:tc>
        <w:tc>
          <w:tcPr>
            <w:tcW w:w="2307" w:type="dxa"/>
          </w:tcPr>
          <w:p w14:paraId="5E7076A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1.00 (0.99,1.01)</w:t>
            </w:r>
          </w:p>
        </w:tc>
        <w:tc>
          <w:tcPr>
            <w:tcW w:w="1213" w:type="dxa"/>
          </w:tcPr>
          <w:p w14:paraId="5E7076A7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0.072</w:t>
            </w:r>
          </w:p>
        </w:tc>
        <w:tc>
          <w:tcPr>
            <w:tcW w:w="2396" w:type="dxa"/>
          </w:tcPr>
          <w:p w14:paraId="5E7076A8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A9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B0" w14:textId="77777777">
        <w:trPr>
          <w:jc w:val="center"/>
        </w:trPr>
        <w:tc>
          <w:tcPr>
            <w:tcW w:w="4630" w:type="dxa"/>
          </w:tcPr>
          <w:p w14:paraId="5E7076AB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Total bilirubin, 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307" w:type="dxa"/>
          </w:tcPr>
          <w:p w14:paraId="5E7076AC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1.15 (0.95, 1.38)</w:t>
            </w:r>
          </w:p>
        </w:tc>
        <w:tc>
          <w:tcPr>
            <w:tcW w:w="1213" w:type="dxa"/>
          </w:tcPr>
          <w:p w14:paraId="5E7076AD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0.492</w:t>
            </w:r>
          </w:p>
        </w:tc>
        <w:tc>
          <w:tcPr>
            <w:tcW w:w="2396" w:type="dxa"/>
          </w:tcPr>
          <w:p w14:paraId="5E7076A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AF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B6" w14:textId="77777777">
        <w:trPr>
          <w:trHeight w:val="90"/>
          <w:jc w:val="center"/>
        </w:trPr>
        <w:tc>
          <w:tcPr>
            <w:tcW w:w="4630" w:type="dxa"/>
          </w:tcPr>
          <w:p w14:paraId="5E7076B1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Uric acid, 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307" w:type="dxa"/>
          </w:tcPr>
          <w:p w14:paraId="5E7076B2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1.00 (0.99,1.00)</w:t>
            </w:r>
          </w:p>
        </w:tc>
        <w:tc>
          <w:tcPr>
            <w:tcW w:w="1213" w:type="dxa"/>
          </w:tcPr>
          <w:p w14:paraId="5E7076B3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0.890</w:t>
            </w:r>
          </w:p>
        </w:tc>
        <w:tc>
          <w:tcPr>
            <w:tcW w:w="2396" w:type="dxa"/>
          </w:tcPr>
          <w:p w14:paraId="5E7076B4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B5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BC" w14:textId="77777777">
        <w:trPr>
          <w:jc w:val="center"/>
        </w:trPr>
        <w:tc>
          <w:tcPr>
            <w:tcW w:w="4630" w:type="dxa"/>
          </w:tcPr>
          <w:p w14:paraId="5E7076B7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Fasting glucose, mmol/L</w:t>
            </w:r>
          </w:p>
        </w:tc>
        <w:tc>
          <w:tcPr>
            <w:tcW w:w="2307" w:type="dxa"/>
          </w:tcPr>
          <w:p w14:paraId="5E7076B8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1.00 (1.00, 1.01)</w:t>
            </w:r>
          </w:p>
        </w:tc>
        <w:tc>
          <w:tcPr>
            <w:tcW w:w="1213" w:type="dxa"/>
          </w:tcPr>
          <w:p w14:paraId="5E7076B9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0.060</w:t>
            </w:r>
          </w:p>
        </w:tc>
        <w:tc>
          <w:tcPr>
            <w:tcW w:w="2396" w:type="dxa"/>
          </w:tcPr>
          <w:p w14:paraId="5E7076B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BB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C2" w14:textId="77777777">
        <w:trPr>
          <w:jc w:val="center"/>
        </w:trPr>
        <w:tc>
          <w:tcPr>
            <w:tcW w:w="4630" w:type="dxa"/>
          </w:tcPr>
          <w:p w14:paraId="5E7076BD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Fasting insulin, 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pmol</w:t>
            </w:r>
            <w:proofErr w:type="spellEnd"/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/</w:t>
            </w: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L</w:t>
            </w:r>
          </w:p>
        </w:tc>
        <w:tc>
          <w:tcPr>
            <w:tcW w:w="2307" w:type="dxa"/>
          </w:tcPr>
          <w:p w14:paraId="5E7076BE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1.16 (1.04, 1.29)</w:t>
            </w:r>
          </w:p>
        </w:tc>
        <w:tc>
          <w:tcPr>
            <w:tcW w:w="1213" w:type="dxa"/>
          </w:tcPr>
          <w:p w14:paraId="5E7076BF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2"/>
              </w:rPr>
              <w:t>0.006</w:t>
            </w:r>
          </w:p>
        </w:tc>
        <w:tc>
          <w:tcPr>
            <w:tcW w:w="2396" w:type="dxa"/>
          </w:tcPr>
          <w:p w14:paraId="5E7076C0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C1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C8" w14:textId="77777777">
        <w:trPr>
          <w:trHeight w:val="90"/>
          <w:jc w:val="center"/>
        </w:trPr>
        <w:tc>
          <w:tcPr>
            <w:tcW w:w="4630" w:type="dxa"/>
          </w:tcPr>
          <w:p w14:paraId="5E7076C3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1" w:name="OLE_LINK3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HOMA-IR</w:t>
            </w:r>
            <w:bookmarkEnd w:id="1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score</w:t>
            </w:r>
          </w:p>
        </w:tc>
        <w:tc>
          <w:tcPr>
            <w:tcW w:w="2307" w:type="dxa"/>
          </w:tcPr>
          <w:p w14:paraId="5E7076C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1.03 (1.00, 1.05)</w:t>
            </w:r>
          </w:p>
        </w:tc>
        <w:tc>
          <w:tcPr>
            <w:tcW w:w="1213" w:type="dxa"/>
          </w:tcPr>
          <w:p w14:paraId="5E7076C5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0.039</w:t>
            </w:r>
          </w:p>
        </w:tc>
        <w:tc>
          <w:tcPr>
            <w:tcW w:w="2396" w:type="dxa"/>
          </w:tcPr>
          <w:p w14:paraId="5E7076C6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C7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6CE" w14:textId="77777777">
        <w:trPr>
          <w:jc w:val="center"/>
        </w:trPr>
        <w:tc>
          <w:tcPr>
            <w:tcW w:w="4630" w:type="dxa"/>
            <w:vAlign w:val="center"/>
          </w:tcPr>
          <w:p w14:paraId="5E7076C9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Total cholesterol, mmol/L</w:t>
            </w:r>
          </w:p>
        </w:tc>
        <w:tc>
          <w:tcPr>
            <w:tcW w:w="2307" w:type="dxa"/>
          </w:tcPr>
          <w:p w14:paraId="5E7076CA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1.15 (0.95, 1.38)</w:t>
            </w:r>
          </w:p>
        </w:tc>
        <w:tc>
          <w:tcPr>
            <w:tcW w:w="1213" w:type="dxa"/>
          </w:tcPr>
          <w:p w14:paraId="5E7076CB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0.155</w:t>
            </w:r>
          </w:p>
        </w:tc>
        <w:tc>
          <w:tcPr>
            <w:tcW w:w="2396" w:type="dxa"/>
          </w:tcPr>
          <w:p w14:paraId="5E7076C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C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D4" w14:textId="77777777">
        <w:trPr>
          <w:jc w:val="center"/>
        </w:trPr>
        <w:tc>
          <w:tcPr>
            <w:tcW w:w="4630" w:type="dxa"/>
            <w:vAlign w:val="center"/>
          </w:tcPr>
          <w:p w14:paraId="5E7076CF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Triglycerides, mmol/L</w:t>
            </w:r>
          </w:p>
        </w:tc>
        <w:tc>
          <w:tcPr>
            <w:tcW w:w="2307" w:type="dxa"/>
          </w:tcPr>
          <w:p w14:paraId="5E7076D0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0.96 (0.84, 1.10)</w:t>
            </w:r>
          </w:p>
        </w:tc>
        <w:tc>
          <w:tcPr>
            <w:tcW w:w="1213" w:type="dxa"/>
          </w:tcPr>
          <w:p w14:paraId="5E7076D1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0.547</w:t>
            </w:r>
          </w:p>
        </w:tc>
        <w:tc>
          <w:tcPr>
            <w:tcW w:w="2396" w:type="dxa"/>
          </w:tcPr>
          <w:p w14:paraId="5E7076D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D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DA" w14:textId="77777777">
        <w:trPr>
          <w:trHeight w:val="90"/>
          <w:jc w:val="center"/>
        </w:trPr>
        <w:tc>
          <w:tcPr>
            <w:tcW w:w="4630" w:type="dxa"/>
          </w:tcPr>
          <w:p w14:paraId="5E7076D5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HDL-cholesterol, mmol/L</w:t>
            </w:r>
          </w:p>
        </w:tc>
        <w:tc>
          <w:tcPr>
            <w:tcW w:w="2307" w:type="dxa"/>
          </w:tcPr>
          <w:p w14:paraId="5E7076D6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1.73 (0.80, 3.75)</w:t>
            </w:r>
          </w:p>
        </w:tc>
        <w:tc>
          <w:tcPr>
            <w:tcW w:w="1213" w:type="dxa"/>
          </w:tcPr>
          <w:p w14:paraId="5E7076D7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0.165</w:t>
            </w:r>
          </w:p>
        </w:tc>
        <w:tc>
          <w:tcPr>
            <w:tcW w:w="2396" w:type="dxa"/>
          </w:tcPr>
          <w:p w14:paraId="5E7076D8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D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E0" w14:textId="77777777">
        <w:trPr>
          <w:trHeight w:val="90"/>
          <w:jc w:val="center"/>
        </w:trPr>
        <w:tc>
          <w:tcPr>
            <w:tcW w:w="4630" w:type="dxa"/>
          </w:tcPr>
          <w:p w14:paraId="5E7076DB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LDL-cholesterol, mmol/L</w:t>
            </w:r>
          </w:p>
        </w:tc>
        <w:tc>
          <w:tcPr>
            <w:tcW w:w="2307" w:type="dxa"/>
          </w:tcPr>
          <w:p w14:paraId="5E7076DC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1.08 (0.84, 1.38)</w:t>
            </w:r>
          </w:p>
        </w:tc>
        <w:tc>
          <w:tcPr>
            <w:tcW w:w="1213" w:type="dxa"/>
          </w:tcPr>
          <w:p w14:paraId="5E7076DD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0.558</w:t>
            </w:r>
          </w:p>
        </w:tc>
        <w:tc>
          <w:tcPr>
            <w:tcW w:w="2396" w:type="dxa"/>
          </w:tcPr>
          <w:p w14:paraId="5E7076D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DF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E6" w14:textId="77777777">
        <w:trPr>
          <w:jc w:val="center"/>
        </w:trPr>
        <w:tc>
          <w:tcPr>
            <w:tcW w:w="4630" w:type="dxa"/>
          </w:tcPr>
          <w:p w14:paraId="5E7076E1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Platelet count, ×10^</w:t>
            </w:r>
            <w:r w:rsidRPr="00622737">
              <w:rPr>
                <w:rFonts w:ascii="Times New Roman" w:eastAsia="AdvPA564" w:hAnsi="Times New Roman" w:cs="Times New Roman"/>
                <w:kern w:val="0"/>
                <w:sz w:val="22"/>
                <w:vertAlign w:val="superscript"/>
              </w:rPr>
              <w:t>9</w:t>
            </w: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307" w:type="dxa"/>
          </w:tcPr>
          <w:p w14:paraId="5E7076E2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0.99 (0.99, 1.00)</w:t>
            </w:r>
          </w:p>
        </w:tc>
        <w:tc>
          <w:tcPr>
            <w:tcW w:w="1213" w:type="dxa"/>
          </w:tcPr>
          <w:p w14:paraId="5E7076E3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0.516</w:t>
            </w:r>
          </w:p>
        </w:tc>
        <w:tc>
          <w:tcPr>
            <w:tcW w:w="2396" w:type="dxa"/>
          </w:tcPr>
          <w:p w14:paraId="5E7076E4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6E5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EC" w14:textId="77777777">
        <w:trPr>
          <w:jc w:val="center"/>
        </w:trPr>
        <w:tc>
          <w:tcPr>
            <w:tcW w:w="4630" w:type="dxa"/>
          </w:tcPr>
          <w:p w14:paraId="5E7076E7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>High-sensitivity C-reactive protein*, mg/L</w:t>
            </w:r>
          </w:p>
        </w:tc>
        <w:tc>
          <w:tcPr>
            <w:tcW w:w="2307" w:type="dxa"/>
          </w:tcPr>
          <w:p w14:paraId="5E7076E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1.03 (0.97, 1.08)</w:t>
            </w:r>
          </w:p>
        </w:tc>
        <w:tc>
          <w:tcPr>
            <w:tcW w:w="1213" w:type="dxa"/>
          </w:tcPr>
          <w:p w14:paraId="5E7076E9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0.332</w:t>
            </w:r>
          </w:p>
        </w:tc>
        <w:tc>
          <w:tcPr>
            <w:tcW w:w="2396" w:type="dxa"/>
          </w:tcPr>
          <w:p w14:paraId="5E7076E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EB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F2" w14:textId="77777777">
        <w:trPr>
          <w:jc w:val="center"/>
        </w:trPr>
        <w:tc>
          <w:tcPr>
            <w:tcW w:w="4630" w:type="dxa"/>
            <w:vAlign w:val="center"/>
          </w:tcPr>
          <w:p w14:paraId="5E7076ED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Hemoglobin, g/L</w:t>
            </w:r>
          </w:p>
        </w:tc>
        <w:tc>
          <w:tcPr>
            <w:tcW w:w="2307" w:type="dxa"/>
          </w:tcPr>
          <w:p w14:paraId="5E7076EE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1.00 (0.98, 1.01)</w:t>
            </w:r>
          </w:p>
        </w:tc>
        <w:tc>
          <w:tcPr>
            <w:tcW w:w="1213" w:type="dxa"/>
          </w:tcPr>
          <w:p w14:paraId="5E7076EF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0.566</w:t>
            </w:r>
          </w:p>
        </w:tc>
        <w:tc>
          <w:tcPr>
            <w:tcW w:w="2396" w:type="dxa"/>
          </w:tcPr>
          <w:p w14:paraId="5E7076F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F1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F8" w14:textId="77777777">
        <w:trPr>
          <w:trHeight w:val="90"/>
          <w:jc w:val="center"/>
        </w:trPr>
        <w:tc>
          <w:tcPr>
            <w:tcW w:w="4630" w:type="dxa"/>
          </w:tcPr>
          <w:p w14:paraId="5E7076F3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4" w:hAnsi="Times New Roman" w:cs="Times New Roman"/>
                <w:kern w:val="0"/>
                <w:sz w:val="22"/>
              </w:rPr>
              <w:t xml:space="preserve">Iron, </w:t>
            </w:r>
            <w:proofErr w:type="spellStart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μmol</w:t>
            </w:r>
            <w:proofErr w:type="spellEnd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/L</w:t>
            </w:r>
          </w:p>
        </w:tc>
        <w:tc>
          <w:tcPr>
            <w:tcW w:w="2307" w:type="dxa"/>
          </w:tcPr>
          <w:p w14:paraId="5E7076F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1.03 (0.97, 1.09)</w:t>
            </w:r>
          </w:p>
        </w:tc>
        <w:tc>
          <w:tcPr>
            <w:tcW w:w="1213" w:type="dxa"/>
          </w:tcPr>
          <w:p w14:paraId="5E7076F5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0.361</w:t>
            </w:r>
          </w:p>
        </w:tc>
        <w:tc>
          <w:tcPr>
            <w:tcW w:w="2396" w:type="dxa"/>
          </w:tcPr>
          <w:p w14:paraId="5E7076F6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F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6FE" w14:textId="77777777">
        <w:trPr>
          <w:jc w:val="center"/>
        </w:trPr>
        <w:tc>
          <w:tcPr>
            <w:tcW w:w="4630" w:type="dxa"/>
          </w:tcPr>
          <w:p w14:paraId="5E7076F9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proofErr w:type="gramStart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Transferrin</w:t>
            </w:r>
            <w:proofErr w:type="gramEnd"/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 xml:space="preserve"> concentrations**</w:t>
            </w:r>
          </w:p>
        </w:tc>
        <w:tc>
          <w:tcPr>
            <w:tcW w:w="2307" w:type="dxa"/>
          </w:tcPr>
          <w:p w14:paraId="5E7076FA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</w:t>
            </w:r>
            <w:r w:rsidRPr="00622737">
              <w:rPr>
                <w:rFonts w:ascii="Times New Roman" w:eastAsia="SimSun" w:hAnsi="Times New Roman" w:cs="Times New Roman"/>
                <w:sz w:val="22"/>
              </w:rPr>
              <w:t>.01 (0.98, 1.05)</w:t>
            </w:r>
          </w:p>
        </w:tc>
        <w:tc>
          <w:tcPr>
            <w:tcW w:w="1213" w:type="dxa"/>
          </w:tcPr>
          <w:p w14:paraId="5E7076FB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0.447</w:t>
            </w:r>
          </w:p>
        </w:tc>
        <w:tc>
          <w:tcPr>
            <w:tcW w:w="2396" w:type="dxa"/>
          </w:tcPr>
          <w:p w14:paraId="5E7076F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6F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04" w14:textId="77777777">
        <w:trPr>
          <w:jc w:val="center"/>
        </w:trPr>
        <w:tc>
          <w:tcPr>
            <w:tcW w:w="4630" w:type="dxa"/>
          </w:tcPr>
          <w:p w14:paraId="5E7076FF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lastRenderedPageBreak/>
              <w:t>Ferritin, mcg/L</w:t>
            </w:r>
          </w:p>
        </w:tc>
        <w:tc>
          <w:tcPr>
            <w:tcW w:w="2307" w:type="dxa"/>
          </w:tcPr>
          <w:p w14:paraId="5E707700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1.00 (0.99, 1.00)</w:t>
            </w:r>
          </w:p>
        </w:tc>
        <w:tc>
          <w:tcPr>
            <w:tcW w:w="1213" w:type="dxa"/>
          </w:tcPr>
          <w:p w14:paraId="5E707701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0.172</w:t>
            </w:r>
          </w:p>
        </w:tc>
        <w:tc>
          <w:tcPr>
            <w:tcW w:w="2396" w:type="dxa"/>
          </w:tcPr>
          <w:p w14:paraId="5E70770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0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0A" w14:textId="77777777">
        <w:trPr>
          <w:jc w:val="center"/>
        </w:trPr>
        <w:tc>
          <w:tcPr>
            <w:tcW w:w="4630" w:type="dxa"/>
          </w:tcPr>
          <w:p w14:paraId="5E707705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  <w:t>Comorbid diseases</w:t>
            </w:r>
          </w:p>
        </w:tc>
        <w:tc>
          <w:tcPr>
            <w:tcW w:w="2307" w:type="dxa"/>
          </w:tcPr>
          <w:p w14:paraId="5E707706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0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08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0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10" w14:textId="77777777">
        <w:trPr>
          <w:jc w:val="center"/>
        </w:trPr>
        <w:tc>
          <w:tcPr>
            <w:tcW w:w="4630" w:type="dxa"/>
          </w:tcPr>
          <w:p w14:paraId="5E70770B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Type 2 diabetes</w:t>
            </w:r>
          </w:p>
        </w:tc>
        <w:tc>
          <w:tcPr>
            <w:tcW w:w="2307" w:type="dxa"/>
          </w:tcPr>
          <w:p w14:paraId="5E70770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0D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0.005</w:t>
            </w:r>
          </w:p>
        </w:tc>
        <w:tc>
          <w:tcPr>
            <w:tcW w:w="2396" w:type="dxa"/>
          </w:tcPr>
          <w:p w14:paraId="5E70770E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218" w:type="dxa"/>
          </w:tcPr>
          <w:p w14:paraId="5E70770F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716" w14:textId="77777777">
        <w:trPr>
          <w:jc w:val="center"/>
        </w:trPr>
        <w:tc>
          <w:tcPr>
            <w:tcW w:w="4630" w:type="dxa"/>
          </w:tcPr>
          <w:p w14:paraId="5E707711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307" w:type="dxa"/>
          </w:tcPr>
          <w:p w14:paraId="5E707712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13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14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15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 w:rsidR="007B615A" w:rsidRPr="00622737" w14:paraId="5E70771C" w14:textId="77777777">
        <w:trPr>
          <w:jc w:val="center"/>
        </w:trPr>
        <w:tc>
          <w:tcPr>
            <w:tcW w:w="4630" w:type="dxa"/>
          </w:tcPr>
          <w:p w14:paraId="5E707717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307" w:type="dxa"/>
          </w:tcPr>
          <w:p w14:paraId="5E70771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1.97 (1.23, 3.14)</w:t>
            </w:r>
          </w:p>
        </w:tc>
        <w:tc>
          <w:tcPr>
            <w:tcW w:w="1213" w:type="dxa"/>
          </w:tcPr>
          <w:p w14:paraId="5E707719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1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1B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22" w14:textId="77777777">
        <w:trPr>
          <w:trHeight w:val="295"/>
          <w:jc w:val="center"/>
        </w:trPr>
        <w:tc>
          <w:tcPr>
            <w:tcW w:w="4630" w:type="dxa"/>
          </w:tcPr>
          <w:p w14:paraId="5E70771D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Hypertension</w:t>
            </w:r>
          </w:p>
        </w:tc>
        <w:tc>
          <w:tcPr>
            <w:tcW w:w="2307" w:type="dxa"/>
          </w:tcPr>
          <w:p w14:paraId="5E70771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1F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72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21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2"/>
              </w:rPr>
              <w:t>0.035</w:t>
            </w:r>
          </w:p>
        </w:tc>
      </w:tr>
      <w:tr w:rsidR="007B615A" w:rsidRPr="00622737" w14:paraId="5E707728" w14:textId="77777777">
        <w:trPr>
          <w:jc w:val="center"/>
        </w:trPr>
        <w:tc>
          <w:tcPr>
            <w:tcW w:w="4630" w:type="dxa"/>
          </w:tcPr>
          <w:p w14:paraId="5E707723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bookmarkStart w:id="2" w:name="OLE_LINK2"/>
          </w:p>
        </w:tc>
        <w:tc>
          <w:tcPr>
            <w:tcW w:w="2307" w:type="dxa"/>
          </w:tcPr>
          <w:p w14:paraId="5E70772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25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2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8" w:type="dxa"/>
          </w:tcPr>
          <w:p w14:paraId="5E70772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2E" w14:textId="77777777">
        <w:trPr>
          <w:jc w:val="center"/>
        </w:trPr>
        <w:tc>
          <w:tcPr>
            <w:tcW w:w="4630" w:type="dxa"/>
          </w:tcPr>
          <w:p w14:paraId="5E707729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307" w:type="dxa"/>
          </w:tcPr>
          <w:p w14:paraId="5E70772A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2.25 (1.40, 3.60)</w:t>
            </w:r>
          </w:p>
        </w:tc>
        <w:tc>
          <w:tcPr>
            <w:tcW w:w="1213" w:type="dxa"/>
          </w:tcPr>
          <w:p w14:paraId="5E70772B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2C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1.90 (1.05, 3.45)</w:t>
            </w:r>
          </w:p>
        </w:tc>
        <w:tc>
          <w:tcPr>
            <w:tcW w:w="1218" w:type="dxa"/>
          </w:tcPr>
          <w:p w14:paraId="5E70772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34" w14:textId="77777777">
        <w:trPr>
          <w:jc w:val="center"/>
        </w:trPr>
        <w:tc>
          <w:tcPr>
            <w:tcW w:w="4630" w:type="dxa"/>
          </w:tcPr>
          <w:p w14:paraId="5E70772F" w14:textId="77777777" w:rsidR="007B615A" w:rsidRPr="00622737" w:rsidRDefault="00000000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Dyslipidemia</w:t>
            </w:r>
            <w:bookmarkEnd w:id="2"/>
          </w:p>
        </w:tc>
        <w:tc>
          <w:tcPr>
            <w:tcW w:w="2307" w:type="dxa"/>
          </w:tcPr>
          <w:p w14:paraId="5E70773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31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0.524</w:t>
            </w:r>
          </w:p>
        </w:tc>
        <w:tc>
          <w:tcPr>
            <w:tcW w:w="2396" w:type="dxa"/>
          </w:tcPr>
          <w:p w14:paraId="5E70773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3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3A" w14:textId="77777777">
        <w:trPr>
          <w:jc w:val="center"/>
        </w:trPr>
        <w:tc>
          <w:tcPr>
            <w:tcW w:w="4630" w:type="dxa"/>
          </w:tcPr>
          <w:p w14:paraId="5E707735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307" w:type="dxa"/>
          </w:tcPr>
          <w:p w14:paraId="5E70773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3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38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3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40" w14:textId="77777777">
        <w:trPr>
          <w:jc w:val="center"/>
        </w:trPr>
        <w:tc>
          <w:tcPr>
            <w:tcW w:w="4630" w:type="dxa"/>
          </w:tcPr>
          <w:p w14:paraId="5E70773B" w14:textId="77777777" w:rsidR="007B615A" w:rsidRPr="00622737" w:rsidRDefault="007B615A">
            <w:pPr>
              <w:ind w:firstLineChars="100" w:firstLine="220"/>
              <w:rPr>
                <w:rFonts w:ascii="Times New Roman" w:eastAsia="SimSun" w:hAnsi="Times New Roman" w:cs="Times New Roman"/>
                <w:kern w:val="0"/>
                <w:sz w:val="22"/>
              </w:rPr>
            </w:pPr>
          </w:p>
        </w:tc>
        <w:tc>
          <w:tcPr>
            <w:tcW w:w="2307" w:type="dxa"/>
          </w:tcPr>
          <w:p w14:paraId="5E70773C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0.78 (0.36, 1.68)</w:t>
            </w:r>
          </w:p>
        </w:tc>
        <w:tc>
          <w:tcPr>
            <w:tcW w:w="1213" w:type="dxa"/>
          </w:tcPr>
          <w:p w14:paraId="5E70773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3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3F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46" w14:textId="77777777">
        <w:trPr>
          <w:jc w:val="center"/>
        </w:trPr>
        <w:tc>
          <w:tcPr>
            <w:tcW w:w="4630" w:type="dxa"/>
          </w:tcPr>
          <w:p w14:paraId="5E707741" w14:textId="77777777" w:rsidR="007B615A" w:rsidRPr="00622737" w:rsidRDefault="00000000">
            <w:pP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</w:rPr>
            </w:pPr>
            <w:r w:rsidRPr="00622737">
              <w:rPr>
                <w:rFonts w:ascii="Times New Roman" w:eastAsia="AdvPA568" w:hAnsi="Times New Roman" w:cs="Times New Roman"/>
                <w:b/>
                <w:bCs/>
                <w:kern w:val="0"/>
                <w:sz w:val="22"/>
              </w:rPr>
              <w:t>Histological liver features</w:t>
            </w:r>
          </w:p>
        </w:tc>
        <w:tc>
          <w:tcPr>
            <w:tcW w:w="2307" w:type="dxa"/>
          </w:tcPr>
          <w:p w14:paraId="5E70774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4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44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45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4C" w14:textId="77777777">
        <w:trPr>
          <w:jc w:val="center"/>
        </w:trPr>
        <w:tc>
          <w:tcPr>
            <w:tcW w:w="4630" w:type="dxa"/>
            <w:vAlign w:val="center"/>
          </w:tcPr>
          <w:p w14:paraId="5E707747" w14:textId="77777777" w:rsidR="007B615A" w:rsidRPr="00622737" w:rsidRDefault="00000000">
            <w:pPr>
              <w:ind w:firstLineChars="100" w:firstLine="220"/>
              <w:rPr>
                <w:rFonts w:ascii="Times New Roman" w:eastAsia="AdvPA568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Steatosis</w:t>
            </w:r>
          </w:p>
        </w:tc>
        <w:tc>
          <w:tcPr>
            <w:tcW w:w="2307" w:type="dxa"/>
          </w:tcPr>
          <w:p w14:paraId="5E707748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49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74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4B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52" w14:textId="77777777">
        <w:trPr>
          <w:jc w:val="center"/>
        </w:trPr>
        <w:tc>
          <w:tcPr>
            <w:tcW w:w="4630" w:type="dxa"/>
            <w:vAlign w:val="center"/>
          </w:tcPr>
          <w:p w14:paraId="5E70774D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Mild steatosis</w:t>
            </w:r>
          </w:p>
        </w:tc>
        <w:tc>
          <w:tcPr>
            <w:tcW w:w="2307" w:type="dxa"/>
          </w:tcPr>
          <w:p w14:paraId="5E70774E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4F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5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51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58" w14:textId="77777777">
        <w:trPr>
          <w:jc w:val="center"/>
        </w:trPr>
        <w:tc>
          <w:tcPr>
            <w:tcW w:w="4630" w:type="dxa"/>
            <w:vAlign w:val="center"/>
          </w:tcPr>
          <w:p w14:paraId="5E707753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Severe steatosis</w:t>
            </w:r>
          </w:p>
        </w:tc>
        <w:tc>
          <w:tcPr>
            <w:tcW w:w="2307" w:type="dxa"/>
          </w:tcPr>
          <w:p w14:paraId="5E70775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3.14 (1.87, 5.29)</w:t>
            </w:r>
          </w:p>
        </w:tc>
        <w:tc>
          <w:tcPr>
            <w:tcW w:w="1213" w:type="dxa"/>
          </w:tcPr>
          <w:p w14:paraId="5E707755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56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5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5E" w14:textId="77777777">
        <w:trPr>
          <w:jc w:val="center"/>
        </w:trPr>
        <w:tc>
          <w:tcPr>
            <w:tcW w:w="4630" w:type="dxa"/>
            <w:vAlign w:val="center"/>
          </w:tcPr>
          <w:p w14:paraId="5E707759" w14:textId="77777777" w:rsidR="007B615A" w:rsidRPr="00622737" w:rsidRDefault="00000000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proofErr w:type="spellStart"/>
            <w:r w:rsidRPr="00622737">
              <w:rPr>
                <w:rFonts w:ascii="Times New Roman" w:hAnsi="Times New Roman" w:cs="Times New Roman"/>
                <w:kern w:val="0"/>
                <w:sz w:val="22"/>
              </w:rPr>
              <w:t>DHepatocyte</w:t>
            </w:r>
            <w:proofErr w:type="spellEnd"/>
            <w:r w:rsidRPr="00622737">
              <w:rPr>
                <w:rFonts w:ascii="Times New Roman" w:hAnsi="Times New Roman" w:cs="Times New Roman"/>
                <w:kern w:val="0"/>
                <w:sz w:val="22"/>
              </w:rPr>
              <w:t xml:space="preserve"> ballooning</w:t>
            </w:r>
          </w:p>
        </w:tc>
        <w:tc>
          <w:tcPr>
            <w:tcW w:w="2307" w:type="dxa"/>
          </w:tcPr>
          <w:p w14:paraId="5E70775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5B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75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5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64" w14:textId="77777777">
        <w:trPr>
          <w:jc w:val="center"/>
        </w:trPr>
        <w:tc>
          <w:tcPr>
            <w:tcW w:w="4630" w:type="dxa"/>
            <w:vAlign w:val="center"/>
          </w:tcPr>
          <w:p w14:paraId="5E70775F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Mild ballooning</w:t>
            </w:r>
          </w:p>
        </w:tc>
        <w:tc>
          <w:tcPr>
            <w:tcW w:w="2307" w:type="dxa"/>
          </w:tcPr>
          <w:p w14:paraId="5E707760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61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6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63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6A" w14:textId="77777777">
        <w:trPr>
          <w:jc w:val="center"/>
        </w:trPr>
        <w:tc>
          <w:tcPr>
            <w:tcW w:w="4630" w:type="dxa"/>
            <w:vAlign w:val="center"/>
          </w:tcPr>
          <w:p w14:paraId="5E707765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Severe ballooning</w:t>
            </w:r>
          </w:p>
        </w:tc>
        <w:tc>
          <w:tcPr>
            <w:tcW w:w="2307" w:type="dxa"/>
          </w:tcPr>
          <w:p w14:paraId="5E70776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3.25 (2.01, 5.26)</w:t>
            </w:r>
          </w:p>
        </w:tc>
        <w:tc>
          <w:tcPr>
            <w:tcW w:w="1213" w:type="dxa"/>
          </w:tcPr>
          <w:p w14:paraId="5E707767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68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6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70" w14:textId="77777777">
        <w:trPr>
          <w:jc w:val="center"/>
        </w:trPr>
        <w:tc>
          <w:tcPr>
            <w:tcW w:w="4630" w:type="dxa"/>
            <w:vAlign w:val="center"/>
          </w:tcPr>
          <w:p w14:paraId="5E70776B" w14:textId="77777777" w:rsidR="007B615A" w:rsidRPr="00622737" w:rsidRDefault="00000000">
            <w:pPr>
              <w:ind w:firstLineChars="100" w:firstLine="22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Lobular inflammation</w:t>
            </w:r>
          </w:p>
        </w:tc>
        <w:tc>
          <w:tcPr>
            <w:tcW w:w="2307" w:type="dxa"/>
          </w:tcPr>
          <w:p w14:paraId="5E70776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6D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  <w:tc>
          <w:tcPr>
            <w:tcW w:w="2396" w:type="dxa"/>
          </w:tcPr>
          <w:p w14:paraId="5E70776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6F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&lt;0.001</w:t>
            </w:r>
          </w:p>
        </w:tc>
      </w:tr>
      <w:tr w:rsidR="007B615A" w:rsidRPr="00622737" w14:paraId="5E707776" w14:textId="77777777">
        <w:trPr>
          <w:jc w:val="center"/>
        </w:trPr>
        <w:tc>
          <w:tcPr>
            <w:tcW w:w="4630" w:type="dxa"/>
            <w:vAlign w:val="center"/>
          </w:tcPr>
          <w:p w14:paraId="5E707771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Mild inflammation</w:t>
            </w:r>
          </w:p>
        </w:tc>
        <w:tc>
          <w:tcPr>
            <w:tcW w:w="2307" w:type="dxa"/>
          </w:tcPr>
          <w:p w14:paraId="5E707772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73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7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8" w:type="dxa"/>
          </w:tcPr>
          <w:p w14:paraId="5E707775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7C" w14:textId="77777777">
        <w:trPr>
          <w:jc w:val="center"/>
        </w:trPr>
        <w:tc>
          <w:tcPr>
            <w:tcW w:w="4630" w:type="dxa"/>
            <w:vAlign w:val="center"/>
          </w:tcPr>
          <w:p w14:paraId="5E707777" w14:textId="77777777" w:rsidR="007B615A" w:rsidRPr="00622737" w:rsidRDefault="00000000">
            <w:pPr>
              <w:ind w:firstLineChars="200" w:firstLine="440"/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kern w:val="0"/>
                <w:sz w:val="22"/>
              </w:rPr>
              <w:t>Severe inflammation</w:t>
            </w:r>
          </w:p>
        </w:tc>
        <w:tc>
          <w:tcPr>
            <w:tcW w:w="2307" w:type="dxa"/>
          </w:tcPr>
          <w:p w14:paraId="5E70777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9.95 (5.72, 17.32)</w:t>
            </w:r>
          </w:p>
        </w:tc>
        <w:tc>
          <w:tcPr>
            <w:tcW w:w="1213" w:type="dxa"/>
          </w:tcPr>
          <w:p w14:paraId="5E707779" w14:textId="77777777" w:rsidR="007B615A" w:rsidRPr="00622737" w:rsidRDefault="007B615A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396" w:type="dxa"/>
          </w:tcPr>
          <w:p w14:paraId="5E70777A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8.40 (4.29, 16.44)</w:t>
            </w:r>
          </w:p>
        </w:tc>
        <w:tc>
          <w:tcPr>
            <w:tcW w:w="1218" w:type="dxa"/>
          </w:tcPr>
          <w:p w14:paraId="5E70777B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82" w14:textId="77777777">
        <w:trPr>
          <w:jc w:val="center"/>
        </w:trPr>
        <w:tc>
          <w:tcPr>
            <w:tcW w:w="4630" w:type="dxa"/>
            <w:vAlign w:val="center"/>
          </w:tcPr>
          <w:p w14:paraId="5E70777D" w14:textId="77777777" w:rsidR="007B615A" w:rsidRPr="00622737" w:rsidRDefault="00000000">
            <w:pPr>
              <w:rPr>
                <w:rFonts w:ascii="Times New Roman" w:hAnsi="Times New Roman" w:cs="Times New Roman"/>
                <w:color w:val="EE0000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Distribution of iron deposition</w:t>
            </w:r>
          </w:p>
        </w:tc>
        <w:tc>
          <w:tcPr>
            <w:tcW w:w="2307" w:type="dxa"/>
          </w:tcPr>
          <w:p w14:paraId="5E70777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7F" w14:textId="77777777" w:rsidR="007B615A" w:rsidRPr="00622737" w:rsidRDefault="0000000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2"/>
              </w:rPr>
              <w:t>0.035</w:t>
            </w:r>
          </w:p>
        </w:tc>
        <w:tc>
          <w:tcPr>
            <w:tcW w:w="2396" w:type="dxa"/>
          </w:tcPr>
          <w:p w14:paraId="5E70778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81" w14:textId="77777777" w:rsidR="007B615A" w:rsidRPr="00622737" w:rsidRDefault="007B615A">
            <w:pPr>
              <w:rPr>
                <w:rFonts w:ascii="Times New Roman" w:hAnsi="Times New Roman" w:cs="Times New Roman"/>
                <w:color w:val="EE0000"/>
                <w:sz w:val="22"/>
              </w:rPr>
            </w:pPr>
          </w:p>
        </w:tc>
      </w:tr>
      <w:tr w:rsidR="007B615A" w:rsidRPr="00622737" w14:paraId="5E707788" w14:textId="77777777">
        <w:trPr>
          <w:jc w:val="center"/>
        </w:trPr>
        <w:tc>
          <w:tcPr>
            <w:tcW w:w="4630" w:type="dxa"/>
            <w:vAlign w:val="center"/>
          </w:tcPr>
          <w:p w14:paraId="5E707783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8" w:hAnsi="Times New Roman" w:cs="Times New Roman"/>
                <w:kern w:val="0"/>
                <w:sz w:val="22"/>
              </w:rPr>
              <w:t xml:space="preserve">  No iron stains</w:t>
            </w:r>
          </w:p>
        </w:tc>
        <w:tc>
          <w:tcPr>
            <w:tcW w:w="2307" w:type="dxa"/>
          </w:tcPr>
          <w:p w14:paraId="5E707784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85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8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8" w:type="dxa"/>
          </w:tcPr>
          <w:p w14:paraId="5E707787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8E" w14:textId="77777777">
        <w:trPr>
          <w:jc w:val="center"/>
        </w:trPr>
        <w:tc>
          <w:tcPr>
            <w:tcW w:w="4630" w:type="dxa"/>
            <w:vAlign w:val="center"/>
          </w:tcPr>
          <w:p w14:paraId="5E707789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8" w:hAnsi="Times New Roman" w:cs="Times New Roman"/>
                <w:kern w:val="0"/>
                <w:sz w:val="22"/>
              </w:rPr>
              <w:t xml:space="preserve">  HC iron only</w:t>
            </w:r>
          </w:p>
        </w:tc>
        <w:tc>
          <w:tcPr>
            <w:tcW w:w="2307" w:type="dxa"/>
          </w:tcPr>
          <w:p w14:paraId="5E70778A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0.46 (0.17, 1.26)</w:t>
            </w:r>
          </w:p>
        </w:tc>
        <w:tc>
          <w:tcPr>
            <w:tcW w:w="1213" w:type="dxa"/>
          </w:tcPr>
          <w:p w14:paraId="5E70778B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0.131</w:t>
            </w:r>
          </w:p>
        </w:tc>
        <w:tc>
          <w:tcPr>
            <w:tcW w:w="2396" w:type="dxa"/>
          </w:tcPr>
          <w:p w14:paraId="5E70778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8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94" w14:textId="77777777">
        <w:trPr>
          <w:jc w:val="center"/>
        </w:trPr>
        <w:tc>
          <w:tcPr>
            <w:tcW w:w="4630" w:type="dxa"/>
            <w:vAlign w:val="center"/>
          </w:tcPr>
          <w:p w14:paraId="5E70778F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8" w:hAnsi="Times New Roman" w:cs="Times New Roman"/>
                <w:kern w:val="0"/>
                <w:sz w:val="22"/>
              </w:rPr>
              <w:t xml:space="preserve">  RES iron only</w:t>
            </w:r>
          </w:p>
        </w:tc>
        <w:tc>
          <w:tcPr>
            <w:tcW w:w="2307" w:type="dxa"/>
          </w:tcPr>
          <w:p w14:paraId="5E707790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1.90 (1.01, 3.59)</w:t>
            </w:r>
          </w:p>
        </w:tc>
        <w:tc>
          <w:tcPr>
            <w:tcW w:w="1213" w:type="dxa"/>
          </w:tcPr>
          <w:p w14:paraId="5E707791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0.047</w:t>
            </w:r>
          </w:p>
        </w:tc>
        <w:tc>
          <w:tcPr>
            <w:tcW w:w="2396" w:type="dxa"/>
          </w:tcPr>
          <w:p w14:paraId="5E707792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2.31 (0.98, 5.43)</w:t>
            </w:r>
          </w:p>
        </w:tc>
        <w:tc>
          <w:tcPr>
            <w:tcW w:w="1218" w:type="dxa"/>
          </w:tcPr>
          <w:p w14:paraId="5E707793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0.054</w:t>
            </w:r>
          </w:p>
        </w:tc>
      </w:tr>
      <w:tr w:rsidR="007B615A" w:rsidRPr="00622737" w14:paraId="5E70779A" w14:textId="77777777">
        <w:trPr>
          <w:jc w:val="center"/>
        </w:trPr>
        <w:tc>
          <w:tcPr>
            <w:tcW w:w="4630" w:type="dxa"/>
            <w:vAlign w:val="center"/>
          </w:tcPr>
          <w:p w14:paraId="5E707795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eastAsia="AdvPA568" w:hAnsi="Times New Roman" w:cs="Times New Roman"/>
                <w:kern w:val="0"/>
                <w:sz w:val="22"/>
              </w:rPr>
              <w:t xml:space="preserve">  </w:t>
            </w:r>
            <w:r w:rsidRPr="00622737">
              <w:rPr>
                <w:rFonts w:ascii="Times New Roman" w:eastAsia="AdvPA568" w:hAnsi="Times New Roman" w:cs="Times New Roman"/>
                <w:kern w:val="0"/>
                <w:sz w:val="22"/>
                <w:lang w:val="pt-BR"/>
              </w:rPr>
              <w:t>Mixed HC/RES iron</w:t>
            </w:r>
          </w:p>
        </w:tc>
        <w:tc>
          <w:tcPr>
            <w:tcW w:w="2307" w:type="dxa"/>
          </w:tcPr>
          <w:p w14:paraId="5E70779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1.04 (0.60, 1.83)</w:t>
            </w:r>
          </w:p>
        </w:tc>
        <w:tc>
          <w:tcPr>
            <w:tcW w:w="1213" w:type="dxa"/>
          </w:tcPr>
          <w:p w14:paraId="5E707797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0.879</w:t>
            </w:r>
          </w:p>
        </w:tc>
        <w:tc>
          <w:tcPr>
            <w:tcW w:w="2396" w:type="dxa"/>
          </w:tcPr>
          <w:p w14:paraId="5E70779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2.53 (1.18, 5.43)</w:t>
            </w:r>
          </w:p>
        </w:tc>
        <w:tc>
          <w:tcPr>
            <w:tcW w:w="1218" w:type="dxa"/>
          </w:tcPr>
          <w:p w14:paraId="5E707799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b/>
                <w:bCs/>
                <w:sz w:val="22"/>
              </w:rPr>
              <w:t>0.017</w:t>
            </w:r>
          </w:p>
        </w:tc>
      </w:tr>
      <w:tr w:rsidR="007B615A" w:rsidRPr="00622737" w14:paraId="5E7077A0" w14:textId="77777777">
        <w:trPr>
          <w:jc w:val="center"/>
        </w:trPr>
        <w:tc>
          <w:tcPr>
            <w:tcW w:w="4630" w:type="dxa"/>
            <w:vAlign w:val="center"/>
          </w:tcPr>
          <w:p w14:paraId="5E70779B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TF rs1049296</w:t>
            </w:r>
          </w:p>
        </w:tc>
        <w:tc>
          <w:tcPr>
            <w:tcW w:w="2307" w:type="dxa"/>
          </w:tcPr>
          <w:p w14:paraId="5E70779C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9D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9E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9F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A6" w14:textId="77777777">
        <w:trPr>
          <w:jc w:val="center"/>
        </w:trPr>
        <w:tc>
          <w:tcPr>
            <w:tcW w:w="4630" w:type="dxa"/>
            <w:vAlign w:val="center"/>
          </w:tcPr>
          <w:p w14:paraId="5E7077A1" w14:textId="77777777" w:rsidR="007B615A" w:rsidRPr="00622737" w:rsidRDefault="00000000">
            <w:pPr>
              <w:rPr>
                <w:rFonts w:ascii="Times New Roman" w:hAnsi="Times New Roman" w:cs="Times New Roman"/>
                <w:kern w:val="0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 xml:space="preserve">  Dominant model</w:t>
            </w:r>
          </w:p>
        </w:tc>
        <w:tc>
          <w:tcPr>
            <w:tcW w:w="2307" w:type="dxa"/>
          </w:tcPr>
          <w:p w14:paraId="5E7077A2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3" w:type="dxa"/>
          </w:tcPr>
          <w:p w14:paraId="5E7077A3" w14:textId="77777777" w:rsidR="007B615A" w:rsidRPr="00622737" w:rsidRDefault="00000000">
            <w:pPr>
              <w:rPr>
                <w:rFonts w:ascii="Times New Roman" w:eastAsia="SimSu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0.177</w:t>
            </w:r>
          </w:p>
        </w:tc>
        <w:tc>
          <w:tcPr>
            <w:tcW w:w="2396" w:type="dxa"/>
          </w:tcPr>
          <w:p w14:paraId="5E7077A4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A5" w14:textId="77777777" w:rsidR="007B615A" w:rsidRPr="00622737" w:rsidRDefault="007B615A">
            <w:pPr>
              <w:rPr>
                <w:rFonts w:ascii="Times New Roman" w:eastAsia="SimSun" w:hAnsi="Times New Roman" w:cs="Times New Roman"/>
                <w:sz w:val="22"/>
              </w:rPr>
            </w:pPr>
          </w:p>
        </w:tc>
      </w:tr>
      <w:tr w:rsidR="007B615A" w:rsidRPr="00622737" w14:paraId="5E7077AC" w14:textId="77777777">
        <w:trPr>
          <w:jc w:val="center"/>
        </w:trPr>
        <w:tc>
          <w:tcPr>
            <w:tcW w:w="4630" w:type="dxa"/>
          </w:tcPr>
          <w:p w14:paraId="5E7077A7" w14:textId="77777777" w:rsidR="007B615A" w:rsidRPr="00622737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 xml:space="preserve">     C/C </w:t>
            </w:r>
          </w:p>
        </w:tc>
        <w:tc>
          <w:tcPr>
            <w:tcW w:w="2307" w:type="dxa"/>
          </w:tcPr>
          <w:p w14:paraId="5E7077A8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1.0</w:t>
            </w:r>
          </w:p>
        </w:tc>
        <w:tc>
          <w:tcPr>
            <w:tcW w:w="1213" w:type="dxa"/>
          </w:tcPr>
          <w:p w14:paraId="5E7077A9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</w:tcPr>
          <w:p w14:paraId="5E7077AA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</w:tcPr>
          <w:p w14:paraId="5E7077AB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:rsidRPr="00622737" w14:paraId="5E7077B2" w14:textId="77777777">
        <w:trPr>
          <w:jc w:val="center"/>
        </w:trPr>
        <w:tc>
          <w:tcPr>
            <w:tcW w:w="4630" w:type="dxa"/>
            <w:tcBorders>
              <w:bottom w:val="single" w:sz="12" w:space="0" w:color="auto"/>
            </w:tcBorders>
          </w:tcPr>
          <w:p w14:paraId="5E7077AD" w14:textId="77777777" w:rsidR="007B615A" w:rsidRPr="00622737" w:rsidRDefault="00000000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 xml:space="preserve">     T/T+C/T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5E7077AE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sz w:val="22"/>
              </w:rPr>
              <w:t>1.38 (0.87, 2.20)</w:t>
            </w:r>
          </w:p>
        </w:tc>
        <w:tc>
          <w:tcPr>
            <w:tcW w:w="1213" w:type="dxa"/>
            <w:tcBorders>
              <w:bottom w:val="single" w:sz="12" w:space="0" w:color="auto"/>
            </w:tcBorders>
          </w:tcPr>
          <w:p w14:paraId="5E7077AF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96" w:type="dxa"/>
            <w:tcBorders>
              <w:bottom w:val="single" w:sz="12" w:space="0" w:color="auto"/>
            </w:tcBorders>
          </w:tcPr>
          <w:p w14:paraId="5E7077B0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18" w:type="dxa"/>
            <w:tcBorders>
              <w:bottom w:val="single" w:sz="12" w:space="0" w:color="auto"/>
            </w:tcBorders>
          </w:tcPr>
          <w:p w14:paraId="5E7077B1" w14:textId="77777777" w:rsidR="007B615A" w:rsidRPr="00622737" w:rsidRDefault="007B615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15A" w14:paraId="5E7077B8" w14:textId="77777777">
        <w:trPr>
          <w:trHeight w:val="634"/>
          <w:jc w:val="center"/>
        </w:trPr>
        <w:tc>
          <w:tcPr>
            <w:tcW w:w="11764" w:type="dxa"/>
            <w:gridSpan w:val="5"/>
            <w:tcBorders>
              <w:top w:val="single" w:sz="12" w:space="0" w:color="auto"/>
            </w:tcBorders>
            <w:vAlign w:val="center"/>
          </w:tcPr>
          <w:p w14:paraId="5E7077B3" w14:textId="77777777" w:rsidR="007B615A" w:rsidRPr="00622737" w:rsidRDefault="00000000">
            <w:pPr>
              <w:widowControl/>
              <w:jc w:val="left"/>
              <w:rPr>
                <w:rFonts w:ascii="Times New Roman" w:hAnsi="Times New Roman" w:cs="Times New Roman"/>
                <w:iCs/>
                <w:sz w:val="22"/>
              </w:rPr>
            </w:pPr>
            <w:r w:rsidRPr="00622737">
              <w:rPr>
                <w:rFonts w:ascii="Times New Roman" w:hAnsi="Times New Roman" w:cs="Times New Roman"/>
                <w:iCs/>
                <w:sz w:val="22"/>
              </w:rPr>
              <w:t xml:space="preserve">Data </w:t>
            </w:r>
            <w:proofErr w:type="gramStart"/>
            <w:r w:rsidRPr="00622737">
              <w:rPr>
                <w:rFonts w:ascii="Times New Roman" w:hAnsi="Times New Roman" w:cs="Times New Roman"/>
                <w:iCs/>
                <w:sz w:val="22"/>
              </w:rPr>
              <w:t>are</w:t>
            </w:r>
            <w:proofErr w:type="gramEnd"/>
            <w:r w:rsidRPr="00622737">
              <w:rPr>
                <w:rFonts w:ascii="Times New Roman" w:hAnsi="Times New Roman" w:cs="Times New Roman"/>
                <w:iCs/>
                <w:sz w:val="22"/>
              </w:rPr>
              <w:t xml:space="preserve"> expressed as odds ratios and 95% confidence intervals as tested by univariable and multivariable logistic regression analyses. Variables significant in univariate analysis (p &lt; 0.05) were included in the multivariate analyses. </w:t>
            </w:r>
          </w:p>
          <w:p w14:paraId="5E7077B4" w14:textId="77777777" w:rsidR="007B615A" w:rsidRPr="00622737" w:rsidRDefault="00000000">
            <w:pPr>
              <w:widowControl/>
              <w:jc w:val="left"/>
              <w:rPr>
                <w:rFonts w:ascii="Times New Roman" w:hAnsi="Times New Roman" w:cs="Times New Roman"/>
                <w:iCs/>
                <w:sz w:val="22"/>
              </w:rPr>
            </w:pPr>
            <w:r w:rsidRPr="00622737">
              <w:rPr>
                <w:rFonts w:ascii="Times New Roman" w:hAnsi="Times New Roman" w:cs="Times New Roman"/>
                <w:iCs/>
                <w:sz w:val="22"/>
              </w:rPr>
              <w:t xml:space="preserve">Ref.= reference category. </w:t>
            </w:r>
            <w:r w:rsidRPr="00622737">
              <w:rPr>
                <w:rFonts w:ascii="Times New Roman" w:hAnsi="Times New Roman" w:cs="Times New Roman"/>
                <w:sz w:val="22"/>
              </w:rPr>
              <w:t>P-value &lt; 0.05 is bolded for statistical significance.</w:t>
            </w:r>
          </w:p>
          <w:p w14:paraId="5E7077B5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hAnsi="Times New Roman" w:cs="Times New Roman"/>
                <w:sz w:val="22"/>
              </w:rPr>
              <w:t>*: data was available only in 325 patients.</w:t>
            </w:r>
          </w:p>
          <w:p w14:paraId="5E7077B6" w14:textId="77777777" w:rsidR="007B615A" w:rsidRPr="00622737" w:rsidRDefault="00000000">
            <w:pPr>
              <w:rPr>
                <w:rFonts w:ascii="Times New Roman" w:hAnsi="Times New Roman" w:cs="Times New Roman"/>
                <w:sz w:val="22"/>
              </w:rPr>
            </w:pPr>
            <w:r w:rsidRPr="00622737">
              <w:rPr>
                <w:rFonts w:ascii="Times New Roman" w:eastAsia="SimSun" w:hAnsi="Times New Roman" w:cs="Times New Roman"/>
                <w:kern w:val="0"/>
                <w:sz w:val="22"/>
              </w:rPr>
              <w:t>**</w:t>
            </w:r>
            <w:r w:rsidRPr="00622737">
              <w:rPr>
                <w:rFonts w:ascii="Times New Roman" w:hAnsi="Times New Roman" w:cs="Times New Roman"/>
                <w:sz w:val="22"/>
              </w:rPr>
              <w:t>: data was available only in 153 patients.</w:t>
            </w:r>
          </w:p>
          <w:p w14:paraId="5E7077B7" w14:textId="77777777" w:rsidR="007B615A" w:rsidRPr="00622737" w:rsidRDefault="00000000">
            <w:pPr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</w:pPr>
            <w:r w:rsidRPr="00622737">
              <w:rPr>
                <w:rFonts w:ascii="Times New Roman" w:hAnsi="Times New Roman" w:cs="Times New Roman"/>
                <w:i/>
                <w:iCs/>
                <w:sz w:val="22"/>
                <w:u w:val="single"/>
              </w:rPr>
              <w:t>Abbreviations</w:t>
            </w:r>
            <w:r w:rsidRPr="00622737">
              <w:rPr>
                <w:rFonts w:ascii="Times New Roman" w:hAnsi="Times New Roman" w:cs="Times New Roman"/>
                <w:sz w:val="22"/>
              </w:rPr>
              <w:t>: TF, transferrin; HOMA-IR, homeostasis model assessment of insulin resistance, HC, hepatocellular; RES, reticuloendothelial system.</w:t>
            </w:r>
          </w:p>
        </w:tc>
      </w:tr>
    </w:tbl>
    <w:p w14:paraId="5E7077B9" w14:textId="77777777" w:rsidR="007B615A" w:rsidRDefault="00000000">
      <w:pPr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sectPr w:rsidR="007B61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A564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AdvPA568">
    <w:altName w:val="Microsoft YaHei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0MTc2MDQyNjUwMrRU0lEKTi0uzszPAykwqwUAL23voCwAAAA="/>
  </w:docVars>
  <w:rsids>
    <w:rsidRoot w:val="00332B3D"/>
    <w:rsid w:val="00011928"/>
    <w:rsid w:val="000227F2"/>
    <w:rsid w:val="000869FE"/>
    <w:rsid w:val="000A1322"/>
    <w:rsid w:val="000B2756"/>
    <w:rsid w:val="000C05DA"/>
    <w:rsid w:val="000F03EA"/>
    <w:rsid w:val="000F6A11"/>
    <w:rsid w:val="0018006B"/>
    <w:rsid w:val="00186DAA"/>
    <w:rsid w:val="001C42D0"/>
    <w:rsid w:val="001D1B1C"/>
    <w:rsid w:val="001E2890"/>
    <w:rsid w:val="002032C8"/>
    <w:rsid w:val="002251C0"/>
    <w:rsid w:val="00227216"/>
    <w:rsid w:val="0023015B"/>
    <w:rsid w:val="00287ED9"/>
    <w:rsid w:val="00291D6E"/>
    <w:rsid w:val="0029480A"/>
    <w:rsid w:val="002A7FB0"/>
    <w:rsid w:val="002C3B27"/>
    <w:rsid w:val="002D2AF0"/>
    <w:rsid w:val="002D3581"/>
    <w:rsid w:val="00331679"/>
    <w:rsid w:val="00332B3D"/>
    <w:rsid w:val="0033588D"/>
    <w:rsid w:val="003466D3"/>
    <w:rsid w:val="00365E3D"/>
    <w:rsid w:val="003743F3"/>
    <w:rsid w:val="00387867"/>
    <w:rsid w:val="003A43B2"/>
    <w:rsid w:val="003B1A91"/>
    <w:rsid w:val="004248D1"/>
    <w:rsid w:val="004559AB"/>
    <w:rsid w:val="0046700D"/>
    <w:rsid w:val="004802BF"/>
    <w:rsid w:val="004B2643"/>
    <w:rsid w:val="00506118"/>
    <w:rsid w:val="00512E67"/>
    <w:rsid w:val="00526A38"/>
    <w:rsid w:val="00536724"/>
    <w:rsid w:val="00570DD6"/>
    <w:rsid w:val="00575F31"/>
    <w:rsid w:val="005902EC"/>
    <w:rsid w:val="005E5DCD"/>
    <w:rsid w:val="00616890"/>
    <w:rsid w:val="00621058"/>
    <w:rsid w:val="00622737"/>
    <w:rsid w:val="006365D4"/>
    <w:rsid w:val="00660B74"/>
    <w:rsid w:val="00675039"/>
    <w:rsid w:val="006F0E8A"/>
    <w:rsid w:val="006F338F"/>
    <w:rsid w:val="00710F2A"/>
    <w:rsid w:val="00733982"/>
    <w:rsid w:val="00776A54"/>
    <w:rsid w:val="007B615A"/>
    <w:rsid w:val="007D5FC3"/>
    <w:rsid w:val="007D648A"/>
    <w:rsid w:val="007E5AED"/>
    <w:rsid w:val="007E5F3A"/>
    <w:rsid w:val="008012B4"/>
    <w:rsid w:val="00843484"/>
    <w:rsid w:val="00865A4A"/>
    <w:rsid w:val="00870328"/>
    <w:rsid w:val="00881C60"/>
    <w:rsid w:val="008C586A"/>
    <w:rsid w:val="008F2964"/>
    <w:rsid w:val="00902393"/>
    <w:rsid w:val="00927050"/>
    <w:rsid w:val="0092777B"/>
    <w:rsid w:val="00935E93"/>
    <w:rsid w:val="00943F47"/>
    <w:rsid w:val="0096149B"/>
    <w:rsid w:val="009A1D12"/>
    <w:rsid w:val="009A61D6"/>
    <w:rsid w:val="009B5F69"/>
    <w:rsid w:val="009F46DC"/>
    <w:rsid w:val="00A041F8"/>
    <w:rsid w:val="00A309A2"/>
    <w:rsid w:val="00A40244"/>
    <w:rsid w:val="00A81A6E"/>
    <w:rsid w:val="00AC3BA9"/>
    <w:rsid w:val="00AD4C7D"/>
    <w:rsid w:val="00B020B5"/>
    <w:rsid w:val="00B033F5"/>
    <w:rsid w:val="00B034B4"/>
    <w:rsid w:val="00B273BD"/>
    <w:rsid w:val="00B3301E"/>
    <w:rsid w:val="00B51098"/>
    <w:rsid w:val="00B83092"/>
    <w:rsid w:val="00B85533"/>
    <w:rsid w:val="00B87FB4"/>
    <w:rsid w:val="00BA114F"/>
    <w:rsid w:val="00BB7A76"/>
    <w:rsid w:val="00BE4A90"/>
    <w:rsid w:val="00BE7B6F"/>
    <w:rsid w:val="00C55B45"/>
    <w:rsid w:val="00C747D5"/>
    <w:rsid w:val="00C852A4"/>
    <w:rsid w:val="00CA0FC1"/>
    <w:rsid w:val="00CA7B12"/>
    <w:rsid w:val="00CD7380"/>
    <w:rsid w:val="00D471D8"/>
    <w:rsid w:val="00D7388B"/>
    <w:rsid w:val="00D751FD"/>
    <w:rsid w:val="00DA5847"/>
    <w:rsid w:val="00DC3199"/>
    <w:rsid w:val="00DE76E0"/>
    <w:rsid w:val="00E1753C"/>
    <w:rsid w:val="00E21B90"/>
    <w:rsid w:val="00E46FDA"/>
    <w:rsid w:val="00E93F5C"/>
    <w:rsid w:val="00EE0787"/>
    <w:rsid w:val="00EE6E90"/>
    <w:rsid w:val="00F65092"/>
    <w:rsid w:val="00FC732D"/>
    <w:rsid w:val="01822020"/>
    <w:rsid w:val="018C519F"/>
    <w:rsid w:val="018E5825"/>
    <w:rsid w:val="042A7996"/>
    <w:rsid w:val="07577FFE"/>
    <w:rsid w:val="08D655BA"/>
    <w:rsid w:val="0AEE2A27"/>
    <w:rsid w:val="0B8068C4"/>
    <w:rsid w:val="0C917B0E"/>
    <w:rsid w:val="0CCE6C4D"/>
    <w:rsid w:val="0F1B2514"/>
    <w:rsid w:val="0F345AFE"/>
    <w:rsid w:val="10945E1E"/>
    <w:rsid w:val="10CC55B8"/>
    <w:rsid w:val="127F665A"/>
    <w:rsid w:val="1804388A"/>
    <w:rsid w:val="1A7F369B"/>
    <w:rsid w:val="1AD97F7E"/>
    <w:rsid w:val="1B8A22F8"/>
    <w:rsid w:val="1D91022D"/>
    <w:rsid w:val="216929AF"/>
    <w:rsid w:val="22E36792"/>
    <w:rsid w:val="27392E24"/>
    <w:rsid w:val="2D201A27"/>
    <w:rsid w:val="316F2D53"/>
    <w:rsid w:val="34BB3F57"/>
    <w:rsid w:val="34DE3548"/>
    <w:rsid w:val="35560431"/>
    <w:rsid w:val="374B6987"/>
    <w:rsid w:val="37B00DC4"/>
    <w:rsid w:val="391B05DB"/>
    <w:rsid w:val="3C4862AE"/>
    <w:rsid w:val="3F035D9A"/>
    <w:rsid w:val="3F4F0FDF"/>
    <w:rsid w:val="3F6E36BB"/>
    <w:rsid w:val="3F735DE0"/>
    <w:rsid w:val="413961EC"/>
    <w:rsid w:val="44124D90"/>
    <w:rsid w:val="45C73B1F"/>
    <w:rsid w:val="472F50FD"/>
    <w:rsid w:val="49C8025D"/>
    <w:rsid w:val="49FC1D63"/>
    <w:rsid w:val="4A0B01F8"/>
    <w:rsid w:val="4C765DFD"/>
    <w:rsid w:val="4F7420D6"/>
    <w:rsid w:val="4FDE4C8D"/>
    <w:rsid w:val="52952D55"/>
    <w:rsid w:val="52C84ED8"/>
    <w:rsid w:val="52EA30A1"/>
    <w:rsid w:val="53E977FC"/>
    <w:rsid w:val="53EC4BF7"/>
    <w:rsid w:val="54A47D2B"/>
    <w:rsid w:val="56C0589D"/>
    <w:rsid w:val="579840A9"/>
    <w:rsid w:val="5A44753A"/>
    <w:rsid w:val="5DCA6DDA"/>
    <w:rsid w:val="5EAC3900"/>
    <w:rsid w:val="608A688B"/>
    <w:rsid w:val="61404326"/>
    <w:rsid w:val="634B61F6"/>
    <w:rsid w:val="65273A48"/>
    <w:rsid w:val="686E1C26"/>
    <w:rsid w:val="6A617C95"/>
    <w:rsid w:val="6A9D0CF1"/>
    <w:rsid w:val="6F6B0B90"/>
    <w:rsid w:val="700A66D9"/>
    <w:rsid w:val="71014097"/>
    <w:rsid w:val="75C612F4"/>
    <w:rsid w:val="75D92DD5"/>
    <w:rsid w:val="7AC25A9C"/>
    <w:rsid w:val="7B0501C8"/>
    <w:rsid w:val="7BD7163E"/>
    <w:rsid w:val="7C4B0103"/>
    <w:rsid w:val="7EEA08E1"/>
    <w:rsid w:val="7F0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07667"/>
  <w15:docId w15:val="{0F5C399E-1214-4A29-B521-B18D7B7E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566ba9ff-a5b0-4b6f-bbdf-c3ab41993fc2">
    <w:name w:val="566ba9ff-a5b0-4b6f-bbdf-c3ab41993fc2"/>
    <w:basedOn w:val="Heading4"/>
    <w:next w:val="acbfdd8b-e11b-4d36-88ff-6049b138f862"/>
    <w:link w:val="566ba9ff-a5b0-4b6f-bbdf-c3ab41993fc20"/>
    <w:qFormat/>
    <w:pPr>
      <w:framePr w:hSpace="180" w:wrap="around" w:vAnchor="text" w:hAnchor="text" w:xAlign="center" w:y="1"/>
      <w:adjustRightInd w:val="0"/>
      <w:spacing w:before="0" w:after="0" w:line="288" w:lineRule="auto"/>
      <w:suppressOverlap/>
      <w:jc w:val="left"/>
    </w:pPr>
    <w:rPr>
      <w:rFonts w:ascii="Microsoft YaHei" w:eastAsia="Microsoft YaHei" w:hAnsi="Microsoft YaHei" w:cs="Times New Roman"/>
      <w:bCs w:val="0"/>
      <w:color w:val="000000"/>
      <w:sz w:val="24"/>
      <w:szCs w:val="24"/>
    </w:rPr>
  </w:style>
  <w:style w:type="paragraph" w:customStyle="1" w:styleId="acbfdd8b-e11b-4d36-88ff-6049b138f862">
    <w:name w:val="acbfdd8b-e11b-4d36-88ff-6049b138f862"/>
    <w:basedOn w:val="Normal"/>
    <w:link w:val="acbfdd8b-e11b-4d36-88ff-6049b138f8620"/>
    <w:qFormat/>
    <w:pPr>
      <w:framePr w:hSpace="180" w:wrap="around" w:vAnchor="text" w:hAnchor="text" w:xAlign="center" w:y="1"/>
      <w:adjustRightInd w:val="0"/>
      <w:spacing w:line="288" w:lineRule="auto"/>
      <w:suppressOverlap/>
      <w:jc w:val="left"/>
    </w:pPr>
    <w:rPr>
      <w:rFonts w:ascii="Microsoft YaHei" w:eastAsia="Microsoft YaHei" w:hAnsi="Microsoft YaHei" w:cs="Times New Roman"/>
      <w:bCs/>
      <w:color w:val="000000"/>
      <w:sz w:val="22"/>
      <w:szCs w:val="24"/>
    </w:rPr>
  </w:style>
  <w:style w:type="character" w:customStyle="1" w:styleId="566ba9ff-a5b0-4b6f-bbdf-c3ab41993fc20">
    <w:name w:val="566ba9ff-a5b0-4b6f-bbdf-c3ab41993fc2 字符"/>
    <w:basedOn w:val="DefaultParagraphFont"/>
    <w:link w:val="566ba9ff-a5b0-4b6f-bbdf-c3ab41993fc2"/>
    <w:qFormat/>
    <w:rPr>
      <w:rFonts w:ascii="Microsoft YaHei" w:eastAsia="Microsoft YaHei" w:hAnsi="Microsoft YaHei"/>
      <w:b/>
      <w:color w:val="000000"/>
      <w:kern w:val="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acbfdd8b-e11b-4d36-88ff-6049b138f8620">
    <w:name w:val="acbfdd8b-e11b-4d36-88ff-6049b138f862 字符"/>
    <w:basedOn w:val="DefaultParagraphFont"/>
    <w:link w:val="acbfdd8b-e11b-4d36-88ff-6049b138f862"/>
    <w:qFormat/>
    <w:rPr>
      <w:rFonts w:ascii="Microsoft YaHei" w:eastAsia="Microsoft YaHei" w:hAnsi="Microsoft YaHei"/>
      <w:bCs/>
      <w:color w:val="000000"/>
      <w:kern w:val="2"/>
      <w:sz w:val="22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465</Words>
  <Characters>2316</Characters>
  <Application>Microsoft Office Word</Application>
  <DocSecurity>0</DocSecurity>
  <Lines>77</Lines>
  <Paragraphs>60</Paragraphs>
  <ScaleCrop>false</ScaleCrop>
  <Company>University of Southampton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Chensuidan</dc:creator>
  <cp:lastModifiedBy>Lucinda England</cp:lastModifiedBy>
  <cp:revision>6</cp:revision>
  <dcterms:created xsi:type="dcterms:W3CDTF">2025-10-29T14:26:00Z</dcterms:created>
  <dcterms:modified xsi:type="dcterms:W3CDTF">2025-11-21T09:36:00Z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5a7d2477de956120a7cb10d57a03771505d684894781695892d603dfe49f4bee</vt:lpwstr>
  </property>
  <property fmtid="{D5CDD505-2E9C-101B-9397-08002B2CF9AE}" pid="3" name="KSOTemplateDocerSaveRecord">
    <vt:lpwstr>eyJoZGlkIjoiYzFkYTg1ODRiMmVhNTQ2YzQ2YzdjZWZkZTA1ZmFlNzAiLCJ1c2VySWQiOiI0MTg1MTkzODUifQ==</vt:lpwstr>
  </property>
  <property fmtid="{D5CDD505-2E9C-101B-9397-08002B2CF9AE}" pid="4" name="KSOProductBuildVer">
    <vt:lpwstr>2052-12.1.0.23542</vt:lpwstr>
  </property>
  <property fmtid="{D5CDD505-2E9C-101B-9397-08002B2CF9AE}" pid="5" name="ICV">
    <vt:lpwstr>4A2ECC5A33AE4D87A94FBDD5E198F183_12</vt:lpwstr>
  </property>
</Properties>
</file>