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D264" w14:textId="7162E139" w:rsidR="002864E1" w:rsidRPr="00BD1111" w:rsidRDefault="00D56B4B" w:rsidP="006F049E">
      <w:pPr>
        <w:rPr>
          <w:b/>
          <w:bCs/>
        </w:rPr>
      </w:pPr>
      <w:r w:rsidRPr="00BD1111">
        <w:rPr>
          <w:b/>
          <w:bCs/>
        </w:rPr>
        <w:t>Vaccine m</w:t>
      </w:r>
      <w:r w:rsidR="002864E1" w:rsidRPr="00BD1111">
        <w:rPr>
          <w:b/>
          <w:bCs/>
        </w:rPr>
        <w:t>andates impair voluntariness, even if consent-receivers do not</w:t>
      </w:r>
    </w:p>
    <w:p w14:paraId="61917354" w14:textId="77777777" w:rsidR="002864E1" w:rsidRDefault="002864E1" w:rsidP="006F049E"/>
    <w:p w14:paraId="7566694F" w14:textId="349D1105" w:rsidR="00ED41D4" w:rsidRDefault="004B1CF0" w:rsidP="006F049E">
      <w:r w:rsidRPr="004B1CF0">
        <w:t xml:space="preserve">Smith and Mackie </w:t>
      </w:r>
      <w:r w:rsidR="00734B6D">
        <w:t>offer a conditional defence of vaccine mandates.</w:t>
      </w:r>
      <w:r w:rsidR="006B400D">
        <w:t xml:space="preserve">[1] </w:t>
      </w:r>
      <w:r w:rsidR="00FF7B85">
        <w:t xml:space="preserve">Their argument is </w:t>
      </w:r>
      <w:r w:rsidR="00F17E82">
        <w:t xml:space="preserve">conditional, because it is </w:t>
      </w:r>
      <w:r w:rsidR="00FF7B85">
        <w:t>based on Kiener’s interpersonal consenter-</w:t>
      </w:r>
      <w:proofErr w:type="spellStart"/>
      <w:r w:rsidR="00FF7B85">
        <w:t>consentee</w:t>
      </w:r>
      <w:proofErr w:type="spellEnd"/>
      <w:r w:rsidR="00FF7B85">
        <w:t xml:space="preserve"> account of consent.[2] </w:t>
      </w:r>
      <w:r w:rsidR="00ED41D4">
        <w:t xml:space="preserve">(Smith and Mackie do not </w:t>
      </w:r>
      <w:r w:rsidR="00E505F1">
        <w:t xml:space="preserve">defend this </w:t>
      </w:r>
      <w:r w:rsidR="00053364">
        <w:t>account of consent.)</w:t>
      </w:r>
    </w:p>
    <w:p w14:paraId="70CE3F50" w14:textId="11BEF707" w:rsidR="00FF7B85" w:rsidRDefault="00FF7B85" w:rsidP="006F049E">
      <w:r>
        <w:t xml:space="preserve">According to </w:t>
      </w:r>
      <w:r w:rsidR="000F3B62">
        <w:t>Kiener</w:t>
      </w:r>
      <w:r>
        <w:t xml:space="preserve">, </w:t>
      </w:r>
      <w:r w:rsidR="00224CE2">
        <w:t xml:space="preserve">whether an influence undermines consent depends not only on its effects, but on who exerts </w:t>
      </w:r>
      <w:proofErr w:type="gramStart"/>
      <w:r w:rsidR="00224CE2">
        <w:t>it.[</w:t>
      </w:r>
      <w:proofErr w:type="gramEnd"/>
      <w:r w:rsidR="00224CE2">
        <w:t xml:space="preserve">2, p. 372] If A coerces B, this </w:t>
      </w:r>
      <w:proofErr w:type="gramStart"/>
      <w:r w:rsidR="00224CE2">
        <w:t>would</w:t>
      </w:r>
      <w:proofErr w:type="gramEnd"/>
      <w:r w:rsidR="00224CE2">
        <w:t xml:space="preserve"> invalidate consent that B gives to A, but it does not invalidate consent that B gives to C. </w:t>
      </w:r>
      <w:r w:rsidR="0081677E">
        <w:t xml:space="preserve">The </w:t>
      </w:r>
      <w:r w:rsidR="002D3E8A">
        <w:t xml:space="preserve">fact of A’s coercion is irrelevant to the consent relationship between B and C, because A is </w:t>
      </w:r>
      <w:proofErr w:type="gramStart"/>
      <w:r w:rsidR="002D3E8A">
        <w:t>a third-party</w:t>
      </w:r>
      <w:proofErr w:type="gramEnd"/>
      <w:r w:rsidR="002D3E8A">
        <w:t xml:space="preserve">. </w:t>
      </w:r>
      <w:r>
        <w:t>Thus, a physician [consent-receiver] still acts permissibly when vaccinating a patient [consent-giver], even if the patient’s consent was involuntary because of some third-party mandate.</w:t>
      </w:r>
    </w:p>
    <w:p w14:paraId="4A250470" w14:textId="318D1A93" w:rsidR="00FF7B85" w:rsidRDefault="00FF7B85" w:rsidP="006F049E">
      <w:r>
        <w:t>One worry about this argument is whether the physician is sufficiently distanced from the coercion.</w:t>
      </w:r>
      <w:r w:rsidR="004F5C39">
        <w:t xml:space="preserve"> Kiener notes that the </w:t>
      </w:r>
      <w:r w:rsidR="00450049">
        <w:t xml:space="preserve">patient’s consent </w:t>
      </w:r>
      <w:r w:rsidR="0091721D">
        <w:t xml:space="preserve">would be undermined not only by the </w:t>
      </w:r>
      <w:r w:rsidR="00583F39">
        <w:t>physician exerting coercion themselves, but also if they exploit or facilitate third-party coercion</w:t>
      </w:r>
      <w:r w:rsidR="00360410">
        <w:t>.</w:t>
      </w:r>
      <w:r w:rsidR="000E018E">
        <w:t>[2</w:t>
      </w:r>
      <w:r w:rsidR="00C74D8E">
        <w:t>, pp. 373-6</w:t>
      </w:r>
      <w:r w:rsidR="000E018E">
        <w:t>]</w:t>
      </w:r>
      <w:r w:rsidR="00360410">
        <w:t xml:space="preserve"> For </w:t>
      </w:r>
      <w:r w:rsidR="00360410" w:rsidRPr="000E018E">
        <w:t>instanc</w:t>
      </w:r>
      <w:r w:rsidR="006B6916" w:rsidRPr="000E018E">
        <w:t>e</w:t>
      </w:r>
      <w:r w:rsidR="006B6916">
        <w:t xml:space="preserve">, if the physician were to take advantage of the third-party coercion to charge patient an excessive fee, this would be wrong (though </w:t>
      </w:r>
      <w:r w:rsidR="000E018E">
        <w:t>this may only invalidate the patient’s consent to the fee, not to vaccination itself).</w:t>
      </w:r>
    </w:p>
    <w:p w14:paraId="73E695DB" w14:textId="62E3EA3C" w:rsidR="00360410" w:rsidRDefault="00360410" w:rsidP="006F049E">
      <w:r>
        <w:t xml:space="preserve">In some cases of mandatory vaccination, it may be that </w:t>
      </w:r>
      <w:r w:rsidR="00D80C6C">
        <w:t xml:space="preserve">the physician is not sufficiently distanced from the coercion. Assume, for instance, that a vaccine mandate is imposed by the state and that the physician works for the state (e.g. in the UK National Health Service). </w:t>
      </w:r>
      <w:r w:rsidR="00C85BD0">
        <w:t xml:space="preserve">In this case, we might </w:t>
      </w:r>
      <w:r w:rsidR="00941575">
        <w:t xml:space="preserve">consider the </w:t>
      </w:r>
      <w:r w:rsidR="001B6768">
        <w:t>physician to be an agent of the state. But it seems that</w:t>
      </w:r>
      <w:r w:rsidR="007C22C1">
        <w:t xml:space="preserve">, </w:t>
      </w:r>
      <w:r w:rsidR="0091755E">
        <w:t xml:space="preserve">acting </w:t>
      </w:r>
      <w:r w:rsidR="007C22C1">
        <w:t>in this capacity, they would be wronging the patient</w:t>
      </w:r>
      <w:r w:rsidR="0091755E">
        <w:t>.</w:t>
      </w:r>
      <w:r w:rsidR="00CF3E7A">
        <w:t xml:space="preserve"> </w:t>
      </w:r>
      <w:r w:rsidR="009752A8">
        <w:t>In this case, t</w:t>
      </w:r>
      <w:r w:rsidR="00CF3E7A">
        <w:t>he state would be administering vaccines to patients who consented only because of state coercion.</w:t>
      </w:r>
    </w:p>
    <w:p w14:paraId="316D1B2D" w14:textId="198A6D7B" w:rsidR="00336DE2" w:rsidRDefault="00336DE2" w:rsidP="006F049E">
      <w:r>
        <w:t xml:space="preserve">Perhaps Smith and Mackie would agree that </w:t>
      </w:r>
      <w:r w:rsidR="005459A3">
        <w:t>these cases are not</w:t>
      </w:r>
      <w:r w:rsidR="000060B3">
        <w:t>, or not</w:t>
      </w:r>
      <w:r w:rsidR="005459A3">
        <w:t xml:space="preserve"> clearly</w:t>
      </w:r>
      <w:r w:rsidR="000060B3">
        <w:t>, instances of</w:t>
      </w:r>
      <w:r w:rsidR="005459A3">
        <w:t xml:space="preserve"> </w:t>
      </w:r>
      <w:r w:rsidR="005459A3">
        <w:rPr>
          <w:i/>
          <w:iCs/>
        </w:rPr>
        <w:t>third-party</w:t>
      </w:r>
      <w:r w:rsidR="005459A3">
        <w:t xml:space="preserve"> coercion. </w:t>
      </w:r>
      <w:r w:rsidR="00EF73FF">
        <w:t xml:space="preserve">The main example in their paper is one where the vaccine mandate </w:t>
      </w:r>
      <w:r w:rsidR="00CB28A3">
        <w:t>is imposed by an employer, rather than the state.</w:t>
      </w:r>
      <w:r w:rsidR="00D022A0">
        <w:t>[1]</w:t>
      </w:r>
      <w:r w:rsidR="00CB28A3">
        <w:t xml:space="preserve"> </w:t>
      </w:r>
      <w:r w:rsidR="00A25231">
        <w:t xml:space="preserve">Assuming the employer is not a healthcare provider, then the </w:t>
      </w:r>
      <w:r w:rsidR="002D7684">
        <w:t>consent-receiving physician is presumably sufficiently distanced from the coercion.</w:t>
      </w:r>
      <w:r w:rsidR="00AB6B91">
        <w:t xml:space="preserve"> In this case, the patient’s consent can still be valid with respect to the physician.</w:t>
      </w:r>
    </w:p>
    <w:p w14:paraId="31D8A4AD" w14:textId="72282B14" w:rsidR="00CE27F9" w:rsidRDefault="007E6820" w:rsidP="006F049E">
      <w:r>
        <w:t xml:space="preserve">Even so, </w:t>
      </w:r>
      <w:r w:rsidR="001322FE">
        <w:t>the patient’s consent</w:t>
      </w:r>
      <w:r w:rsidR="00AB6B91">
        <w:t xml:space="preserve"> </w:t>
      </w:r>
      <w:r w:rsidR="00966A49">
        <w:t xml:space="preserve">only establishes what Kiener calls </w:t>
      </w:r>
      <w:r w:rsidR="00966A49" w:rsidRPr="004B2262">
        <w:rPr>
          <w:i/>
          <w:iCs/>
        </w:rPr>
        <w:t>narrow</w:t>
      </w:r>
      <w:r w:rsidR="00966A49">
        <w:t xml:space="preserve"> </w:t>
      </w:r>
      <w:proofErr w:type="gramStart"/>
      <w:r w:rsidR="00966A49">
        <w:t>permissibility.</w:t>
      </w:r>
      <w:r w:rsidR="005E3A7E">
        <w:t>[</w:t>
      </w:r>
      <w:proofErr w:type="gramEnd"/>
      <w:r w:rsidR="005E3A7E">
        <w:t>2</w:t>
      </w:r>
      <w:r w:rsidR="00996CA2">
        <w:t>, p. 362</w:t>
      </w:r>
      <w:r w:rsidR="005E3A7E">
        <w:t>]</w:t>
      </w:r>
      <w:r w:rsidR="00966A49">
        <w:t xml:space="preserve"> That is, the physician</w:t>
      </w:r>
      <w:r w:rsidR="00D62F43">
        <w:t>, because acting on consent,</w:t>
      </w:r>
      <w:r w:rsidR="00966A49">
        <w:t xml:space="preserve"> does not </w:t>
      </w:r>
      <w:r w:rsidR="00D62F43">
        <w:t>wrong the patient.</w:t>
      </w:r>
      <w:r w:rsidR="00230CC1">
        <w:t xml:space="preserve"> But </w:t>
      </w:r>
      <w:r w:rsidR="003356BE">
        <w:t xml:space="preserve">conduct can still be wrong in a wider sense, even if no one is wronged by it. For instance, suppose </w:t>
      </w:r>
      <w:r w:rsidR="004B2262">
        <w:t xml:space="preserve">there is a general but imperfect obligation to give to charity. In that case, someone who never gives to charity acts wrongly (impermissibly), even though they do not wrong </w:t>
      </w:r>
      <w:proofErr w:type="gramStart"/>
      <w:r w:rsidR="004B2262">
        <w:t>anyone in particular</w:t>
      </w:r>
      <w:proofErr w:type="gramEnd"/>
      <w:r w:rsidR="004B2262">
        <w:t xml:space="preserve"> (since no one has a right to receive</w:t>
      </w:r>
      <w:r w:rsidR="0049467E">
        <w:t xml:space="preserve"> charity).</w:t>
      </w:r>
      <w:r w:rsidR="000F28A4">
        <w:t xml:space="preserve"> </w:t>
      </w:r>
      <w:r w:rsidR="00CE27F9">
        <w:t>Thus, the physician’s actions can still be</w:t>
      </w:r>
      <w:r w:rsidR="000F28A4">
        <w:t xml:space="preserve"> impermissible in a wider sense, even if they do not </w:t>
      </w:r>
      <w:r w:rsidR="00F87442">
        <w:t>wrong the patient.</w:t>
      </w:r>
    </w:p>
    <w:p w14:paraId="63D23633" w14:textId="77777777" w:rsidR="00F07DE2" w:rsidRDefault="00F87442" w:rsidP="006F049E">
      <w:r>
        <w:t xml:space="preserve">Moreover, </w:t>
      </w:r>
      <w:r w:rsidR="00E45563">
        <w:t xml:space="preserve">even if this argument exonerates the physician, showing that they </w:t>
      </w:r>
      <w:r w:rsidR="00E73ED8">
        <w:t>act permissibly when administering the vaccine</w:t>
      </w:r>
      <w:r w:rsidR="00092374">
        <w:t xml:space="preserve"> (because the patient’s consent is still valid with respect to the receiver, even though it results from third-party coercion), </w:t>
      </w:r>
      <w:r w:rsidR="007929E9">
        <w:t>this does not show that the coercing party (state, employer, etc) is acting permissibly.</w:t>
      </w:r>
      <w:r w:rsidR="00141BAD">
        <w:t xml:space="preserve"> Their imposition of the mandate still </w:t>
      </w:r>
      <w:r w:rsidR="004848EB">
        <w:t>appears inconsistent with the need for voluntary consent.</w:t>
      </w:r>
    </w:p>
    <w:p w14:paraId="2838330A" w14:textId="77777777" w:rsidR="00FA6B31" w:rsidRDefault="00E730ED" w:rsidP="006F049E">
      <w:r>
        <w:t xml:space="preserve">Smith and Mackie seem to acknowledge this, when they suggest that </w:t>
      </w:r>
      <w:r w:rsidR="005E3A7E">
        <w:t>mandates may be illegitimate.[1]</w:t>
      </w:r>
      <w:r w:rsidR="00F07DE2">
        <w:t xml:space="preserve"> But, if this is the case, then the most that the argument establishes is that</w:t>
      </w:r>
      <w:r w:rsidR="00902760">
        <w:t xml:space="preserve">, </w:t>
      </w:r>
      <w:r w:rsidR="00902760" w:rsidRPr="00902760">
        <w:rPr>
          <w:i/>
          <w:iCs/>
        </w:rPr>
        <w:t>where vaccination is mandatory</w:t>
      </w:r>
      <w:r w:rsidR="00902760">
        <w:t xml:space="preserve">, a physician can be acting </w:t>
      </w:r>
      <w:r w:rsidR="0030638B">
        <w:t xml:space="preserve">(narrowly) </w:t>
      </w:r>
      <w:r w:rsidR="00902760">
        <w:t xml:space="preserve">permissibly in administering a </w:t>
      </w:r>
      <w:r w:rsidR="00902760">
        <w:lastRenderedPageBreak/>
        <w:t>vaccine. It does not show that the mandate itself is permissible</w:t>
      </w:r>
      <w:r w:rsidR="00E82899">
        <w:t>.</w:t>
      </w:r>
      <w:r w:rsidR="0013302F">
        <w:t xml:space="preserve"> </w:t>
      </w:r>
      <w:r w:rsidR="00FA6B31" w:rsidRPr="00FA6B31">
        <w:t>While coercion exerted by third parties, such as the state or employers, may not invalidate the consent that the patient gives to their physician, it may itself wrong the patient.</w:t>
      </w:r>
    </w:p>
    <w:p w14:paraId="4755D914" w14:textId="1624896E" w:rsidR="00F87442" w:rsidRDefault="002B432A" w:rsidP="006F049E">
      <w:r>
        <w:t>Showing that healthcare workers do not wrong their patients</w:t>
      </w:r>
      <w:r w:rsidR="00596DA5">
        <w:t xml:space="preserve"> </w:t>
      </w:r>
      <w:r w:rsidR="00C65944">
        <w:t>is</w:t>
      </w:r>
      <w:r w:rsidR="00910601">
        <w:t xml:space="preserve"> a significant contribution. It</w:t>
      </w:r>
      <w:r w:rsidR="00C65944">
        <w:t xml:space="preserve"> </w:t>
      </w:r>
      <w:r w:rsidR="00596DA5">
        <w:t>may</w:t>
      </w:r>
      <w:r w:rsidR="003B4BEB">
        <w:t>, at least,</w:t>
      </w:r>
      <w:r w:rsidR="00596DA5">
        <w:t xml:space="preserve"> be </w:t>
      </w:r>
      <w:r w:rsidR="00506ECC">
        <w:t>some relief to those whose job it is to administer vaccines</w:t>
      </w:r>
      <w:r w:rsidR="003B4BEB">
        <w:t xml:space="preserve"> to patients whose consent is coerced</w:t>
      </w:r>
      <w:r w:rsidR="00910601">
        <w:t>. However</w:t>
      </w:r>
      <w:r w:rsidR="00506ECC">
        <w:t xml:space="preserve">, </w:t>
      </w:r>
      <w:r w:rsidR="003B4BEB">
        <w:t>this</w:t>
      </w:r>
      <w:r w:rsidR="00506ECC">
        <w:t xml:space="preserve"> is unlikely to mollify critics of </w:t>
      </w:r>
      <w:r w:rsidR="00BD1111">
        <w:t xml:space="preserve">vaccine </w:t>
      </w:r>
      <w:proofErr w:type="gramStart"/>
      <w:r w:rsidR="00BD1111">
        <w:t>mandates</w:t>
      </w:r>
      <w:r w:rsidR="00506ECC">
        <w:t>.[</w:t>
      </w:r>
      <w:proofErr w:type="gramEnd"/>
      <w:r w:rsidR="00506ECC">
        <w:t>3-4]</w:t>
      </w:r>
      <w:r w:rsidR="00FA1A86">
        <w:t xml:space="preserve"> </w:t>
      </w:r>
      <w:r w:rsidR="00A04FFC">
        <w:t xml:space="preserve">Some further argument is </w:t>
      </w:r>
      <w:r w:rsidR="00173EA3">
        <w:t xml:space="preserve">still </w:t>
      </w:r>
      <w:r w:rsidR="00A04FFC">
        <w:t xml:space="preserve">needed to justify </w:t>
      </w:r>
      <w:r w:rsidR="00B803D5">
        <w:t>the coercion exercised by third parties</w:t>
      </w:r>
      <w:r w:rsidR="00A04FFC">
        <w:t>.</w:t>
      </w:r>
    </w:p>
    <w:p w14:paraId="5B0A38A8" w14:textId="77777777" w:rsidR="00FC32FA" w:rsidRDefault="00FC32FA" w:rsidP="006F049E"/>
    <w:p w14:paraId="6D3A4BEB" w14:textId="31BBA091" w:rsidR="00FC32FA" w:rsidRPr="00F94228" w:rsidRDefault="00EE740D" w:rsidP="006F049E">
      <w:r>
        <w:t xml:space="preserve">[1] </w:t>
      </w:r>
      <w:r w:rsidR="00F94228">
        <w:t xml:space="preserve">Smith MJ, Mackie E. Do vaccine mandates impair the voluntariness of informed consent? </w:t>
      </w:r>
      <w:r w:rsidR="00F94228">
        <w:rPr>
          <w:i/>
          <w:iCs/>
        </w:rPr>
        <w:t>J Med Ethics</w:t>
      </w:r>
      <w:r w:rsidR="00916170">
        <w:t xml:space="preserve">. </w:t>
      </w:r>
      <w:proofErr w:type="spellStart"/>
      <w:r w:rsidR="00916170">
        <w:t>Epub</w:t>
      </w:r>
      <w:proofErr w:type="spellEnd"/>
      <w:r w:rsidR="00916170">
        <w:t xml:space="preserve"> ahead of print: </w:t>
      </w:r>
      <w:r w:rsidR="00E04FBE">
        <w:t xml:space="preserve">14 July </w:t>
      </w:r>
      <w:r w:rsidR="00F94228">
        <w:t>2025.</w:t>
      </w:r>
      <w:r w:rsidR="00916170">
        <w:t xml:space="preserve"> </w:t>
      </w:r>
      <w:r w:rsidR="00916170" w:rsidRPr="00916170">
        <w:t>doi:10.1136/ jme-2025-110950</w:t>
      </w:r>
      <w:r w:rsidR="00916170">
        <w:t xml:space="preserve">. </w:t>
      </w:r>
    </w:p>
    <w:p w14:paraId="55D6D3F9" w14:textId="64E1D208" w:rsidR="00EE740D" w:rsidRDefault="00EE740D" w:rsidP="006F049E">
      <w:r>
        <w:t xml:space="preserve">[2] </w:t>
      </w:r>
      <w:r w:rsidR="00A238F4">
        <w:t xml:space="preserve">Kiener M. Consenting under third-party coercion. </w:t>
      </w:r>
      <w:r w:rsidR="00A238F4">
        <w:rPr>
          <w:i/>
          <w:iCs/>
        </w:rPr>
        <w:t xml:space="preserve">J Moral </w:t>
      </w:r>
      <w:proofErr w:type="spellStart"/>
      <w:r w:rsidR="00A238F4">
        <w:rPr>
          <w:i/>
          <w:iCs/>
        </w:rPr>
        <w:t>Philos</w:t>
      </w:r>
      <w:proofErr w:type="spellEnd"/>
      <w:r w:rsidR="00A238F4">
        <w:t xml:space="preserve"> </w:t>
      </w:r>
      <w:proofErr w:type="gramStart"/>
      <w:r w:rsidR="00A238F4">
        <w:t>2021;19:361</w:t>
      </w:r>
      <w:proofErr w:type="gramEnd"/>
      <w:r w:rsidR="00A238F4">
        <w:t>-389.</w:t>
      </w:r>
    </w:p>
    <w:p w14:paraId="170E996F" w14:textId="4C2742A3" w:rsidR="00DB2289" w:rsidRDefault="00DB2289" w:rsidP="006F049E">
      <w:r>
        <w:t xml:space="preserve">[3] Kowalik M. Ethics of vaccine refusal. </w:t>
      </w:r>
      <w:r>
        <w:rPr>
          <w:i/>
          <w:iCs/>
        </w:rPr>
        <w:t>J Med Ethics</w:t>
      </w:r>
      <w:r>
        <w:t xml:space="preserve"> </w:t>
      </w:r>
      <w:proofErr w:type="gramStart"/>
      <w:r>
        <w:t>2022</w:t>
      </w:r>
      <w:r w:rsidR="00ED2420">
        <w:t>;48:240</w:t>
      </w:r>
      <w:proofErr w:type="gramEnd"/>
      <w:r w:rsidR="00ED2420">
        <w:t>-243.</w:t>
      </w:r>
    </w:p>
    <w:p w14:paraId="6113C4E4" w14:textId="41131EE2" w:rsidR="003A21BB" w:rsidRPr="00973BBA" w:rsidRDefault="00973BBA" w:rsidP="006F049E">
      <w:r>
        <w:t xml:space="preserve">[4] Steinhoff U. The case against compulsory vaccination: the failed arguments from risk imposition, tax evasion, ‘social liberty’, and the priority of life. </w:t>
      </w:r>
      <w:r>
        <w:rPr>
          <w:i/>
          <w:iCs/>
        </w:rPr>
        <w:t>J Med Ethics</w:t>
      </w:r>
      <w:r w:rsidR="003A21BB">
        <w:t xml:space="preserve">. </w:t>
      </w:r>
      <w:proofErr w:type="spellStart"/>
      <w:r w:rsidR="003A21BB">
        <w:t>Epub</w:t>
      </w:r>
      <w:proofErr w:type="spellEnd"/>
      <w:r w:rsidR="003A21BB">
        <w:t xml:space="preserve"> ahead of print</w:t>
      </w:r>
      <w:r>
        <w:t>:</w:t>
      </w:r>
      <w:r w:rsidR="003A21BB">
        <w:t xml:space="preserve"> 29 October 2024. </w:t>
      </w:r>
      <w:proofErr w:type="spellStart"/>
      <w:r w:rsidR="003A21BB" w:rsidRPr="003A21BB">
        <w:t>doi</w:t>
      </w:r>
      <w:proofErr w:type="spellEnd"/>
      <w:r w:rsidR="003A21BB" w:rsidRPr="003A21BB">
        <w:t>: 10.1136/jme-2024-110236</w:t>
      </w:r>
      <w:r w:rsidR="003A21BB">
        <w:t xml:space="preserve">. </w:t>
      </w:r>
    </w:p>
    <w:p w14:paraId="5E6E0BB0" w14:textId="4B245012" w:rsidR="007D73D0" w:rsidRDefault="00665C63">
      <w:r>
        <w:t xml:space="preserve"> </w:t>
      </w:r>
    </w:p>
    <w:sectPr w:rsidR="007D7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AC"/>
    <w:rsid w:val="000060B3"/>
    <w:rsid w:val="000211F2"/>
    <w:rsid w:val="00053364"/>
    <w:rsid w:val="00092374"/>
    <w:rsid w:val="000C03FC"/>
    <w:rsid w:val="000E018E"/>
    <w:rsid w:val="000F28A4"/>
    <w:rsid w:val="000F3B62"/>
    <w:rsid w:val="0012226C"/>
    <w:rsid w:val="001322FE"/>
    <w:rsid w:val="0013302F"/>
    <w:rsid w:val="00141BAD"/>
    <w:rsid w:val="00173EA3"/>
    <w:rsid w:val="001B6768"/>
    <w:rsid w:val="001F3E02"/>
    <w:rsid w:val="00224CE2"/>
    <w:rsid w:val="00230CC1"/>
    <w:rsid w:val="002864E1"/>
    <w:rsid w:val="002B432A"/>
    <w:rsid w:val="002C3738"/>
    <w:rsid w:val="002D3E8A"/>
    <w:rsid w:val="002D7684"/>
    <w:rsid w:val="0030638B"/>
    <w:rsid w:val="003356BE"/>
    <w:rsid w:val="00336DE2"/>
    <w:rsid w:val="00343EAC"/>
    <w:rsid w:val="00360410"/>
    <w:rsid w:val="003A21BB"/>
    <w:rsid w:val="003B4BEB"/>
    <w:rsid w:val="003D15E7"/>
    <w:rsid w:val="00450049"/>
    <w:rsid w:val="0045587D"/>
    <w:rsid w:val="00455EFF"/>
    <w:rsid w:val="004848EB"/>
    <w:rsid w:val="0049467E"/>
    <w:rsid w:val="004B1CF0"/>
    <w:rsid w:val="004B2262"/>
    <w:rsid w:val="004F5C39"/>
    <w:rsid w:val="00506ECC"/>
    <w:rsid w:val="005459A3"/>
    <w:rsid w:val="00583F39"/>
    <w:rsid w:val="00586153"/>
    <w:rsid w:val="00596DA5"/>
    <w:rsid w:val="005E3A7E"/>
    <w:rsid w:val="005E4BD7"/>
    <w:rsid w:val="005F0AF8"/>
    <w:rsid w:val="00665C63"/>
    <w:rsid w:val="006B400D"/>
    <w:rsid w:val="006B6916"/>
    <w:rsid w:val="006F049E"/>
    <w:rsid w:val="00734B6D"/>
    <w:rsid w:val="00750C00"/>
    <w:rsid w:val="007929E9"/>
    <w:rsid w:val="007C22C1"/>
    <w:rsid w:val="007D3CD4"/>
    <w:rsid w:val="007D73D0"/>
    <w:rsid w:val="007E6820"/>
    <w:rsid w:val="0081677E"/>
    <w:rsid w:val="0081720B"/>
    <w:rsid w:val="00871319"/>
    <w:rsid w:val="00902760"/>
    <w:rsid w:val="00910601"/>
    <w:rsid w:val="00916170"/>
    <w:rsid w:val="0091721D"/>
    <w:rsid w:val="0091755E"/>
    <w:rsid w:val="00941575"/>
    <w:rsid w:val="00966A49"/>
    <w:rsid w:val="00973BBA"/>
    <w:rsid w:val="009752A8"/>
    <w:rsid w:val="0097581F"/>
    <w:rsid w:val="00996CA2"/>
    <w:rsid w:val="009F1F97"/>
    <w:rsid w:val="00A04FFC"/>
    <w:rsid w:val="00A238F4"/>
    <w:rsid w:val="00A25231"/>
    <w:rsid w:val="00A504D3"/>
    <w:rsid w:val="00AB6B91"/>
    <w:rsid w:val="00AE6889"/>
    <w:rsid w:val="00B00C9F"/>
    <w:rsid w:val="00B803D5"/>
    <w:rsid w:val="00B84A9B"/>
    <w:rsid w:val="00BD1111"/>
    <w:rsid w:val="00C266AC"/>
    <w:rsid w:val="00C56482"/>
    <w:rsid w:val="00C65944"/>
    <w:rsid w:val="00C740EB"/>
    <w:rsid w:val="00C74D8E"/>
    <w:rsid w:val="00C85BD0"/>
    <w:rsid w:val="00CB28A3"/>
    <w:rsid w:val="00CE27F9"/>
    <w:rsid w:val="00CF3E7A"/>
    <w:rsid w:val="00D022A0"/>
    <w:rsid w:val="00D15E14"/>
    <w:rsid w:val="00D30445"/>
    <w:rsid w:val="00D56B4B"/>
    <w:rsid w:val="00D62F43"/>
    <w:rsid w:val="00D80C6C"/>
    <w:rsid w:val="00DA22F3"/>
    <w:rsid w:val="00DB2289"/>
    <w:rsid w:val="00DC235E"/>
    <w:rsid w:val="00DC2835"/>
    <w:rsid w:val="00E04FBE"/>
    <w:rsid w:val="00E301B1"/>
    <w:rsid w:val="00E45563"/>
    <w:rsid w:val="00E505F1"/>
    <w:rsid w:val="00E730ED"/>
    <w:rsid w:val="00E73ED8"/>
    <w:rsid w:val="00E80FCC"/>
    <w:rsid w:val="00E82899"/>
    <w:rsid w:val="00ED2420"/>
    <w:rsid w:val="00ED41D4"/>
    <w:rsid w:val="00EE740D"/>
    <w:rsid w:val="00EF73FF"/>
    <w:rsid w:val="00F07DE2"/>
    <w:rsid w:val="00F17E82"/>
    <w:rsid w:val="00F21DE3"/>
    <w:rsid w:val="00F87442"/>
    <w:rsid w:val="00F94228"/>
    <w:rsid w:val="00FA1A86"/>
    <w:rsid w:val="00FA6B31"/>
    <w:rsid w:val="00FC32FA"/>
    <w:rsid w:val="00FF3DA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F3A1"/>
  <w15:chartTrackingRefBased/>
  <w15:docId w15:val="{F51AAA2A-6619-4854-A0C1-27C7ABAF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780</Words>
  <Characters>4146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109</cp:revision>
  <dcterms:created xsi:type="dcterms:W3CDTF">2025-10-06T19:31:00Z</dcterms:created>
  <dcterms:modified xsi:type="dcterms:W3CDTF">2026-01-06T09:55:00Z</dcterms:modified>
</cp:coreProperties>
</file>