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07C6" w14:textId="2A0B2DEF" w:rsidR="005F47F1" w:rsidRPr="000E3990" w:rsidRDefault="00046C15" w:rsidP="003D200E">
      <w:pPr>
        <w:pStyle w:val="Title"/>
        <w:rPr>
          <w:lang w:val="en-GB"/>
        </w:rPr>
      </w:pPr>
      <w:r w:rsidRPr="000E3990">
        <w:rPr>
          <w:lang w:val="en-GB"/>
        </w:rPr>
        <w:t>RAPID COMMUNICATION</w:t>
      </w:r>
    </w:p>
    <w:p w14:paraId="17FBEF47" w14:textId="6D766F08" w:rsidR="005F47F1" w:rsidRPr="000E3990" w:rsidRDefault="00DB7BEB" w:rsidP="003D200E">
      <w:pPr>
        <w:pStyle w:val="Heading"/>
      </w:pPr>
      <w:bookmarkStart w:id="0" w:name="_Hlk155174139"/>
      <w:bookmarkStart w:id="1" w:name="_Hlk208418200"/>
      <w:r w:rsidRPr="000E3990">
        <w:rPr>
          <w:rFonts w:eastAsia="Arial Unicode MS" w:cs="Arial Unicode MS"/>
        </w:rPr>
        <w:t xml:space="preserve">Fractional Flow Reserve versus Angiography Guided Management in Non-ST- </w:t>
      </w:r>
      <w:r w:rsidR="00000A1C" w:rsidRPr="000E3990">
        <w:rPr>
          <w:rFonts w:eastAsia="Arial Unicode MS" w:cs="Arial Unicode MS"/>
        </w:rPr>
        <w:t xml:space="preserve">Segment </w:t>
      </w:r>
      <w:r w:rsidRPr="000E3990">
        <w:rPr>
          <w:rFonts w:eastAsia="Arial Unicode MS" w:cs="Arial Unicode MS"/>
        </w:rPr>
        <w:t xml:space="preserve">Elevation Myocardial Infarction: </w:t>
      </w:r>
      <w:r w:rsidR="00B01996" w:rsidRPr="000E3990">
        <w:rPr>
          <w:rFonts w:eastAsia="Arial Unicode MS" w:cs="Arial Unicode MS"/>
        </w:rPr>
        <w:t>long-term</w:t>
      </w:r>
      <w:r w:rsidRPr="000E3990">
        <w:rPr>
          <w:rFonts w:eastAsia="Arial Unicode MS" w:cs="Arial Unicode MS"/>
        </w:rPr>
        <w:t xml:space="preserve"> follow-up of a randomised trial</w:t>
      </w:r>
      <w:bookmarkEnd w:id="0"/>
    </w:p>
    <w:bookmarkEnd w:id="1"/>
    <w:p w14:paraId="3717410C" w14:textId="77777777" w:rsidR="005F47F1" w:rsidRPr="000E3990" w:rsidRDefault="00DB7BEB" w:rsidP="003D200E">
      <w:pPr>
        <w:pStyle w:val="BodyText"/>
        <w:rPr>
          <w:lang w:val="en-GB"/>
        </w:rPr>
      </w:pPr>
      <w:r w:rsidRPr="000E3990">
        <w:rPr>
          <w:b/>
          <w:bCs/>
          <w:lang w:val="en-GB"/>
        </w:rPr>
        <w:t>Brief title:</w:t>
      </w:r>
      <w:r w:rsidRPr="000E3990">
        <w:rPr>
          <w:lang w:val="en-GB"/>
        </w:rPr>
        <w:t xml:space="preserve"> FAMOUS-NSTEMI trial ten-year results.</w:t>
      </w:r>
    </w:p>
    <w:p w14:paraId="1227436D" w14:textId="4049B915" w:rsidR="005F47F1" w:rsidRPr="000E3990" w:rsidRDefault="00DB7BEB" w:rsidP="003D200E">
      <w:pPr>
        <w:pStyle w:val="BodyText"/>
        <w:rPr>
          <w:lang w:val="en-GB"/>
        </w:rPr>
      </w:pPr>
      <w:r w:rsidRPr="000E3990">
        <w:rPr>
          <w:b/>
          <w:bCs/>
          <w:lang w:val="en-GB"/>
        </w:rPr>
        <w:t>Authors:</w:t>
      </w:r>
      <w:r w:rsidRPr="000E3990">
        <w:rPr>
          <w:lang w:val="en-GB"/>
        </w:rPr>
        <w:t xml:space="preserve"> Colin Berry</w:t>
      </w:r>
      <w:r w:rsidRPr="000E3990">
        <w:rPr>
          <w:vertAlign w:val="superscript"/>
          <w:lang w:val="en-GB"/>
        </w:rPr>
        <w:t xml:space="preserve">1,2 </w:t>
      </w:r>
      <w:r w:rsidRPr="000E3990">
        <w:rPr>
          <w:lang w:val="en-GB"/>
        </w:rPr>
        <w:t>MBChB/PhD, Bethany Stanley</w:t>
      </w:r>
      <w:r w:rsidRPr="000E3990">
        <w:rPr>
          <w:vertAlign w:val="superscript"/>
          <w:lang w:val="en-GB"/>
        </w:rPr>
        <w:t xml:space="preserve">3 </w:t>
      </w:r>
      <w:r w:rsidRPr="000E3990">
        <w:rPr>
          <w:lang w:val="en-GB"/>
        </w:rPr>
        <w:t>MSci, Patrycja Duklas</w:t>
      </w:r>
      <w:r w:rsidRPr="000E3990">
        <w:rPr>
          <w:vertAlign w:val="superscript"/>
          <w:lang w:val="en-GB"/>
        </w:rPr>
        <w:t>3</w:t>
      </w:r>
      <w:r w:rsidRPr="000E3990">
        <w:rPr>
          <w:lang w:val="en-GB"/>
        </w:rPr>
        <w:t xml:space="preserve"> </w:t>
      </w:r>
      <w:r w:rsidR="00F8731E" w:rsidRPr="000E3990">
        <w:rPr>
          <w:lang w:val="en-GB"/>
        </w:rPr>
        <w:t>MSci</w:t>
      </w:r>
      <w:r w:rsidRPr="000E3990">
        <w:rPr>
          <w:lang w:val="en-GB"/>
        </w:rPr>
        <w:t>, Jamie Layland</w:t>
      </w:r>
      <w:r w:rsidRPr="000E3990">
        <w:rPr>
          <w:vertAlign w:val="superscript"/>
          <w:lang w:val="en-GB"/>
        </w:rPr>
        <w:t>4</w:t>
      </w:r>
      <w:r w:rsidRPr="000E3990">
        <w:rPr>
          <w:lang w:val="en-GB"/>
        </w:rPr>
        <w:t xml:space="preserve"> MBChB/PhD, Keith G. Oldroyd</w:t>
      </w:r>
      <w:r w:rsidRPr="000E3990">
        <w:rPr>
          <w:vertAlign w:val="superscript"/>
          <w:lang w:val="en-GB"/>
        </w:rPr>
        <w:t>1,2</w:t>
      </w:r>
      <w:r w:rsidRPr="000E3990">
        <w:rPr>
          <w:lang w:val="en-GB"/>
        </w:rPr>
        <w:t xml:space="preserve"> MD (Hons), Nick Curzen</w:t>
      </w:r>
      <w:r w:rsidRPr="000E3990">
        <w:rPr>
          <w:vertAlign w:val="superscript"/>
          <w:lang w:val="en-GB"/>
        </w:rPr>
        <w:t>5</w:t>
      </w:r>
      <w:r w:rsidRPr="000E3990">
        <w:rPr>
          <w:lang w:val="en-GB"/>
        </w:rPr>
        <w:t xml:space="preserve"> BM(Hons) PhD, Arvind Sood</w:t>
      </w:r>
      <w:r w:rsidRPr="000E3990">
        <w:rPr>
          <w:vertAlign w:val="superscript"/>
          <w:lang w:val="en-GB"/>
        </w:rPr>
        <w:t>6</w:t>
      </w:r>
      <w:r w:rsidRPr="000E3990">
        <w:rPr>
          <w:lang w:val="en-GB"/>
        </w:rPr>
        <w:t xml:space="preserve"> MBChB, Kanarath Balachandran</w:t>
      </w:r>
      <w:r w:rsidRPr="000E3990">
        <w:rPr>
          <w:vertAlign w:val="superscript"/>
          <w:lang w:val="en-GB"/>
        </w:rPr>
        <w:t>7</w:t>
      </w:r>
      <w:r w:rsidRPr="000E3990">
        <w:rPr>
          <w:lang w:val="en-GB"/>
        </w:rPr>
        <w:t xml:space="preserve"> MD, Raj Das</w:t>
      </w:r>
      <w:r w:rsidRPr="000E3990">
        <w:rPr>
          <w:vertAlign w:val="superscript"/>
          <w:lang w:val="en-GB"/>
        </w:rPr>
        <w:t xml:space="preserve">8 </w:t>
      </w:r>
      <w:r w:rsidRPr="000E3990">
        <w:rPr>
          <w:lang w:val="en-GB"/>
        </w:rPr>
        <w:t>MD, Shahid Junejo</w:t>
      </w:r>
      <w:r w:rsidRPr="000E3990">
        <w:rPr>
          <w:vertAlign w:val="superscript"/>
          <w:lang w:val="en-GB"/>
        </w:rPr>
        <w:t xml:space="preserve">9 </w:t>
      </w:r>
      <w:r w:rsidRPr="000E3990">
        <w:rPr>
          <w:lang w:val="en-GB"/>
        </w:rPr>
        <w:t>MBChB, Hany Eteiba</w:t>
      </w:r>
      <w:r w:rsidRPr="000E3990">
        <w:rPr>
          <w:vertAlign w:val="superscript"/>
          <w:lang w:val="en-GB"/>
        </w:rPr>
        <w:t>1</w:t>
      </w:r>
      <w:r w:rsidRPr="000E3990">
        <w:rPr>
          <w:lang w:val="en-GB"/>
        </w:rPr>
        <w:t xml:space="preserve"> MD, Mitchell Lindsay</w:t>
      </w:r>
      <w:r w:rsidRPr="000E3990">
        <w:rPr>
          <w:vertAlign w:val="superscript"/>
          <w:lang w:val="en-GB"/>
        </w:rPr>
        <w:t>1</w:t>
      </w:r>
      <w:r w:rsidRPr="000E3990">
        <w:rPr>
          <w:lang w:val="en-GB"/>
        </w:rPr>
        <w:t xml:space="preserve"> MD, Aadil Shaukat</w:t>
      </w:r>
      <w:r w:rsidRPr="000E3990">
        <w:rPr>
          <w:vertAlign w:val="superscript"/>
          <w:lang w:val="en-GB"/>
        </w:rPr>
        <w:t>1</w:t>
      </w:r>
      <w:r w:rsidRPr="000E3990">
        <w:rPr>
          <w:lang w:val="en-GB"/>
        </w:rPr>
        <w:t xml:space="preserve"> MBChB, </w:t>
      </w:r>
      <w:r w:rsidR="00025E96" w:rsidRPr="000E3990">
        <w:rPr>
          <w:lang w:val="en-GB"/>
        </w:rPr>
        <w:t>Stuart Watkins</w:t>
      </w:r>
      <w:r w:rsidR="00025E96" w:rsidRPr="000E3990">
        <w:rPr>
          <w:vertAlign w:val="superscript"/>
          <w:lang w:val="en-GB"/>
        </w:rPr>
        <w:t>1</w:t>
      </w:r>
      <w:r w:rsidR="00025E96" w:rsidRPr="000E3990">
        <w:rPr>
          <w:lang w:val="en-GB"/>
        </w:rPr>
        <w:t xml:space="preserve"> MD, </w:t>
      </w:r>
      <w:r w:rsidR="004D7915" w:rsidRPr="000E3990">
        <w:rPr>
          <w:lang w:val="en-GB"/>
        </w:rPr>
        <w:t>Ian Ford</w:t>
      </w:r>
      <w:r w:rsidR="004D7915" w:rsidRPr="000E3990">
        <w:rPr>
          <w:vertAlign w:val="superscript"/>
          <w:lang w:val="en-GB"/>
        </w:rPr>
        <w:t>3</w:t>
      </w:r>
      <w:r w:rsidR="004D7915" w:rsidRPr="000E3990">
        <w:rPr>
          <w:lang w:val="en-GB"/>
        </w:rPr>
        <w:t xml:space="preserve"> PhD, </w:t>
      </w:r>
      <w:r w:rsidRPr="000E3990">
        <w:rPr>
          <w:lang w:val="en-GB"/>
        </w:rPr>
        <w:t xml:space="preserve">Richard </w:t>
      </w:r>
      <w:r w:rsidR="00AF3D53" w:rsidRPr="000E3990">
        <w:rPr>
          <w:lang w:val="en-GB"/>
        </w:rPr>
        <w:t xml:space="preserve">I.S. </w:t>
      </w:r>
      <w:r w:rsidRPr="000E3990">
        <w:rPr>
          <w:lang w:val="en-GB"/>
        </w:rPr>
        <w:t>Good</w:t>
      </w:r>
      <w:r w:rsidRPr="000E3990">
        <w:rPr>
          <w:vertAlign w:val="superscript"/>
          <w:lang w:val="en-GB"/>
        </w:rPr>
        <w:t>1,2</w:t>
      </w:r>
      <w:r w:rsidR="00A06A77" w:rsidRPr="000E3990">
        <w:rPr>
          <w:vertAlign w:val="superscript"/>
          <w:lang w:val="en-GB"/>
        </w:rPr>
        <w:t xml:space="preserve"> </w:t>
      </w:r>
      <w:r w:rsidR="00A06A77" w:rsidRPr="000E3990">
        <w:rPr>
          <w:lang w:val="en-GB"/>
        </w:rPr>
        <w:t>MD</w:t>
      </w:r>
      <w:r w:rsidRPr="000E3990">
        <w:rPr>
          <w:lang w:val="en-GB"/>
        </w:rPr>
        <w:t>, Robert Henderson</w:t>
      </w:r>
      <w:r w:rsidRPr="000E3990">
        <w:rPr>
          <w:vertAlign w:val="superscript"/>
          <w:lang w:val="en-GB"/>
        </w:rPr>
        <w:t>10</w:t>
      </w:r>
      <w:r w:rsidRPr="000E3990">
        <w:rPr>
          <w:lang w:val="en-GB"/>
        </w:rPr>
        <w:t xml:space="preserve"> DM, Alex McConnachie</w:t>
      </w:r>
      <w:r w:rsidRPr="000E3990">
        <w:rPr>
          <w:vertAlign w:val="superscript"/>
          <w:lang w:val="en-GB"/>
        </w:rPr>
        <w:t>3</w:t>
      </w:r>
      <w:r w:rsidRPr="000E3990">
        <w:rPr>
          <w:lang w:val="en-GB"/>
        </w:rPr>
        <w:t xml:space="preserve"> PhD, on behalf of the FAMOUS-NSTEMI investigators.</w:t>
      </w:r>
    </w:p>
    <w:p w14:paraId="07526CD1" w14:textId="06B2FA22" w:rsidR="005F47F1" w:rsidRPr="000E3990" w:rsidRDefault="00DB7BEB" w:rsidP="003D200E">
      <w:pPr>
        <w:pStyle w:val="BodyText"/>
        <w:rPr>
          <w:vertAlign w:val="superscript"/>
          <w:lang w:val="en-GB"/>
        </w:rPr>
      </w:pPr>
      <w:r w:rsidRPr="000E3990">
        <w:rPr>
          <w:b/>
          <w:bCs/>
          <w:lang w:val="en-GB"/>
        </w:rPr>
        <w:t>Institutions:</w:t>
      </w:r>
      <w:r w:rsidRPr="000E3990">
        <w:rPr>
          <w:lang w:val="en-GB"/>
        </w:rPr>
        <w:t xml:space="preserve"> </w:t>
      </w:r>
      <w:r w:rsidRPr="000E3990">
        <w:rPr>
          <w:vertAlign w:val="superscript"/>
          <w:lang w:val="en-GB"/>
        </w:rPr>
        <w:t>1</w:t>
      </w:r>
      <w:r w:rsidRPr="000E3990">
        <w:rPr>
          <w:lang w:val="en-GB"/>
        </w:rPr>
        <w:t xml:space="preserve">West of Scotland Heart and Lung Centre, Golden Jubilee National Hospital, Clydebank, UK; </w:t>
      </w:r>
      <w:r w:rsidRPr="000E3990">
        <w:rPr>
          <w:vertAlign w:val="superscript"/>
          <w:lang w:val="en-GB"/>
        </w:rPr>
        <w:t>2</w:t>
      </w:r>
      <w:r w:rsidRPr="000E3990">
        <w:rPr>
          <w:lang w:val="en-GB"/>
        </w:rPr>
        <w:t>B</w:t>
      </w:r>
      <w:r w:rsidR="00F80AD0" w:rsidRPr="000E3990">
        <w:rPr>
          <w:lang w:val="en-GB"/>
        </w:rPr>
        <w:t>ritish Heart Foundation</w:t>
      </w:r>
      <w:r w:rsidRPr="000E3990">
        <w:rPr>
          <w:lang w:val="en-GB"/>
        </w:rPr>
        <w:t xml:space="preserve"> Glasgow Cardiovascular Research Centre, School of Cardiovascular and Metabolic Health, University of Glasgow, UK; </w:t>
      </w:r>
      <w:r w:rsidRPr="000E3990">
        <w:rPr>
          <w:vertAlign w:val="superscript"/>
          <w:lang w:val="en-GB"/>
        </w:rPr>
        <w:t>3</w:t>
      </w:r>
      <w:r w:rsidRPr="000E3990">
        <w:rPr>
          <w:lang w:val="en-GB"/>
        </w:rPr>
        <w:t xml:space="preserve">Robertson Centre for Biostatistics, University of Glasgow, UK.; </w:t>
      </w:r>
      <w:r w:rsidRPr="000E3990">
        <w:rPr>
          <w:vertAlign w:val="superscript"/>
          <w:lang w:val="en-GB"/>
        </w:rPr>
        <w:t>4</w:t>
      </w:r>
      <w:r w:rsidRPr="000E3990">
        <w:rPr>
          <w:lang w:val="en-GB"/>
        </w:rPr>
        <w:t>Peninsula Health, Peninsula Clinical School, Monash University, Melbourne, Australia.</w:t>
      </w:r>
      <w:r w:rsidRPr="000E3990">
        <w:rPr>
          <w:vertAlign w:val="superscript"/>
          <w:lang w:val="en-GB"/>
        </w:rPr>
        <w:t xml:space="preserve">5 </w:t>
      </w:r>
      <w:r w:rsidR="00747B84" w:rsidRPr="000E3990">
        <w:rPr>
          <w:lang w:val="en-GB"/>
        </w:rPr>
        <w:t xml:space="preserve">Faculty of Medicine, University of Southampton </w:t>
      </w:r>
      <w:r w:rsidR="007C5142" w:rsidRPr="000E3990">
        <w:rPr>
          <w:lang w:val="en-GB"/>
        </w:rPr>
        <w:t>and</w:t>
      </w:r>
      <w:r w:rsidR="00747B84" w:rsidRPr="000E3990">
        <w:rPr>
          <w:lang w:val="en-GB"/>
        </w:rPr>
        <w:t xml:space="preserve"> </w:t>
      </w:r>
      <w:r w:rsidRPr="000E3990">
        <w:rPr>
          <w:lang w:val="en-GB"/>
        </w:rPr>
        <w:t xml:space="preserve">University Hospital Southampton NHS Foundation Trust, Southampton, UK; </w:t>
      </w:r>
      <w:r w:rsidRPr="000E3990">
        <w:rPr>
          <w:vertAlign w:val="superscript"/>
          <w:lang w:val="en-GB"/>
        </w:rPr>
        <w:t>6</w:t>
      </w:r>
      <w:r w:rsidRPr="000E3990">
        <w:rPr>
          <w:lang w:val="en-GB"/>
        </w:rPr>
        <w:t xml:space="preserve">Hairmyres University Hospital, East Kilbride, UK; </w:t>
      </w:r>
      <w:r w:rsidRPr="000E3990">
        <w:rPr>
          <w:vertAlign w:val="superscript"/>
          <w:lang w:val="en-GB"/>
        </w:rPr>
        <w:t>7</w:t>
      </w:r>
      <w:r w:rsidRPr="000E3990">
        <w:rPr>
          <w:lang w:val="en-GB"/>
        </w:rPr>
        <w:t xml:space="preserve">Royal Blackburn Hospital, Blackburn, UK; </w:t>
      </w:r>
      <w:r w:rsidRPr="000E3990">
        <w:rPr>
          <w:vertAlign w:val="superscript"/>
          <w:lang w:val="en-GB"/>
        </w:rPr>
        <w:t>8</w:t>
      </w:r>
      <w:r w:rsidRPr="000E3990">
        <w:rPr>
          <w:lang w:val="en-GB"/>
        </w:rPr>
        <w:t xml:space="preserve">Freeman Hospital, Newcastle Hospitals NHS Foundation Trust, Newcastle, UK; </w:t>
      </w:r>
      <w:r w:rsidRPr="000E3990">
        <w:rPr>
          <w:vertAlign w:val="superscript"/>
          <w:lang w:val="en-GB"/>
        </w:rPr>
        <w:t>9</w:t>
      </w:r>
      <w:r w:rsidR="00E2013B" w:rsidRPr="000E3990">
        <w:rPr>
          <w:lang w:val="en-GB"/>
        </w:rPr>
        <w:t>South Tyneside and Sunderland NHS Foundation Trust</w:t>
      </w:r>
      <w:r w:rsidRPr="000E3990">
        <w:rPr>
          <w:lang w:val="en-GB"/>
        </w:rPr>
        <w:t xml:space="preserve">, Sunderland, UK; </w:t>
      </w:r>
      <w:r w:rsidRPr="000E3990">
        <w:rPr>
          <w:vertAlign w:val="superscript"/>
          <w:lang w:val="en-GB"/>
        </w:rPr>
        <w:t>10</w:t>
      </w:r>
      <w:r w:rsidRPr="000E3990">
        <w:rPr>
          <w:lang w:val="en-GB"/>
        </w:rPr>
        <w:t>Trent Cardiac Centre, Nottingham University Hospitals NHS Trust, Nottingham, UK.</w:t>
      </w:r>
    </w:p>
    <w:p w14:paraId="00253498" w14:textId="01BC90B6" w:rsidR="005F47F1" w:rsidRPr="000E3990" w:rsidRDefault="00DB7BEB" w:rsidP="003D200E">
      <w:pPr>
        <w:pStyle w:val="BodyText"/>
        <w:rPr>
          <w:lang w:val="en-GB"/>
        </w:rPr>
      </w:pPr>
      <w:r w:rsidRPr="000E3990">
        <w:rPr>
          <w:b/>
          <w:bCs/>
          <w:lang w:val="en-GB"/>
        </w:rPr>
        <w:lastRenderedPageBreak/>
        <w:t>Correspondence:</w:t>
      </w:r>
      <w:r w:rsidRPr="000E3990">
        <w:rPr>
          <w:lang w:val="en-GB"/>
        </w:rPr>
        <w:t xml:space="preserve"> Professor Colin Berry, School of Cardiovascular and Metabolic Health, 126 University Place, University of Glasgow, Glasgow, G12 8TA, UK. Email: </w:t>
      </w:r>
      <w:hyperlink r:id="rId7" w:history="1">
        <w:r w:rsidRPr="000E3990">
          <w:rPr>
            <w:rStyle w:val="Hyperlink0"/>
            <w:lang w:val="en-GB"/>
          </w:rPr>
          <w:t>colin.berry@glasgow.ac.uk</w:t>
        </w:r>
      </w:hyperlink>
      <w:r w:rsidR="005144CC" w:rsidRPr="000E3990">
        <w:rPr>
          <w:lang w:val="en-GB"/>
        </w:rPr>
        <w:t>; ORCID ID 0000-0002-4547-8636</w:t>
      </w:r>
    </w:p>
    <w:p w14:paraId="2E5F5435" w14:textId="229FA820" w:rsidR="005F47F1" w:rsidRPr="000E3990" w:rsidRDefault="00DB7BEB" w:rsidP="003D200E">
      <w:pPr>
        <w:pStyle w:val="BodyText"/>
        <w:rPr>
          <w:lang w:val="en-GB"/>
        </w:rPr>
      </w:pPr>
      <w:r w:rsidRPr="000E3990">
        <w:rPr>
          <w:b/>
          <w:bCs/>
          <w:lang w:val="en-GB"/>
        </w:rPr>
        <w:t>Word count: abstract:</w:t>
      </w:r>
      <w:r w:rsidRPr="000E3990">
        <w:rPr>
          <w:lang w:val="en-GB"/>
        </w:rPr>
        <w:t xml:space="preserve"> </w:t>
      </w:r>
      <w:r w:rsidR="00E0137F" w:rsidRPr="000E3990">
        <w:rPr>
          <w:lang w:val="en-GB"/>
        </w:rPr>
        <w:t>349</w:t>
      </w:r>
      <w:r w:rsidRPr="000E3990">
        <w:rPr>
          <w:lang w:val="en-GB"/>
        </w:rPr>
        <w:t>,</w:t>
      </w:r>
      <w:r w:rsidRPr="000E3990">
        <w:rPr>
          <w:b/>
          <w:bCs/>
          <w:lang w:val="en-GB"/>
        </w:rPr>
        <w:t xml:space="preserve"> text </w:t>
      </w:r>
      <w:r w:rsidR="00C67CCD" w:rsidRPr="000E3990">
        <w:rPr>
          <w:lang w:val="en-GB"/>
        </w:rPr>
        <w:t>1000</w:t>
      </w:r>
      <w:r w:rsidRPr="000E3990">
        <w:rPr>
          <w:rFonts w:ascii="Arial Unicode MS" w:hAnsi="Arial Unicode MS"/>
          <w:lang w:val="en-GB"/>
        </w:rPr>
        <w:br w:type="page"/>
      </w:r>
    </w:p>
    <w:p w14:paraId="1A2E3672" w14:textId="77777777" w:rsidR="005F47F1" w:rsidRPr="000E3990" w:rsidRDefault="00DB7BEB" w:rsidP="003D200E">
      <w:pPr>
        <w:pStyle w:val="Heading"/>
      </w:pPr>
      <w:r w:rsidRPr="000E3990">
        <w:rPr>
          <w:rFonts w:eastAsia="Arial Unicode MS" w:cs="Arial Unicode MS"/>
        </w:rPr>
        <w:lastRenderedPageBreak/>
        <w:t>Abstract</w:t>
      </w:r>
    </w:p>
    <w:p w14:paraId="79EB7652" w14:textId="5C266729" w:rsidR="005F47F1" w:rsidRPr="000E3990" w:rsidRDefault="00923064" w:rsidP="003D200E">
      <w:pPr>
        <w:pStyle w:val="BodyText"/>
        <w:rPr>
          <w:b/>
          <w:bCs/>
          <w:lang w:val="en-GB"/>
        </w:rPr>
      </w:pPr>
      <w:r w:rsidRPr="000E3990">
        <w:rPr>
          <w:b/>
          <w:bCs/>
          <w:lang w:val="en-GB"/>
        </w:rPr>
        <w:t>Background</w:t>
      </w:r>
      <w:r w:rsidR="00DB7BEB" w:rsidRPr="000E3990">
        <w:rPr>
          <w:b/>
          <w:bCs/>
          <w:lang w:val="en-GB"/>
        </w:rPr>
        <w:t>:</w:t>
      </w:r>
      <w:r w:rsidR="00DB7BEB" w:rsidRPr="000E3990">
        <w:rPr>
          <w:lang w:val="en-GB"/>
        </w:rPr>
        <w:t xml:space="preserve"> </w:t>
      </w:r>
      <w:r w:rsidR="00D10F08" w:rsidRPr="000E3990">
        <w:rPr>
          <w:lang w:val="en-GB"/>
        </w:rPr>
        <w:t xml:space="preserve">The </w:t>
      </w:r>
      <w:r w:rsidR="00DB7BEB" w:rsidRPr="000E3990">
        <w:rPr>
          <w:lang w:val="en-GB"/>
        </w:rPr>
        <w:t>long</w:t>
      </w:r>
      <w:r w:rsidR="00463364" w:rsidRPr="000E3990">
        <w:rPr>
          <w:lang w:val="en-GB"/>
        </w:rPr>
        <w:t>-</w:t>
      </w:r>
      <w:r w:rsidR="00DB7BEB" w:rsidRPr="000E3990">
        <w:rPr>
          <w:lang w:val="en-GB"/>
        </w:rPr>
        <w:t xml:space="preserve">term clinical outcomes of </w:t>
      </w:r>
      <w:r w:rsidR="00D10F08" w:rsidRPr="000E3990">
        <w:rPr>
          <w:lang w:val="en-GB"/>
        </w:rPr>
        <w:t xml:space="preserve">patients presenting with </w:t>
      </w:r>
      <w:r w:rsidR="00DB7BEB" w:rsidRPr="000E3990">
        <w:rPr>
          <w:lang w:val="en-GB"/>
        </w:rPr>
        <w:t>non-ST-</w:t>
      </w:r>
      <w:r w:rsidR="00000A1C" w:rsidRPr="000E3990">
        <w:rPr>
          <w:lang w:val="en-GB"/>
        </w:rPr>
        <w:t xml:space="preserve">segment </w:t>
      </w:r>
      <w:r w:rsidR="00DB7BEB" w:rsidRPr="000E3990">
        <w:rPr>
          <w:lang w:val="en-GB"/>
        </w:rPr>
        <w:t>elevation myocardial infarction (NSTEMI) assigned to fractional flow reserve (FFR)-guided management</w:t>
      </w:r>
      <w:r w:rsidR="00FA74AC" w:rsidRPr="000E3990">
        <w:rPr>
          <w:lang w:val="en-GB"/>
        </w:rPr>
        <w:t xml:space="preserve"> compared to</w:t>
      </w:r>
      <w:r w:rsidR="00DB7BEB" w:rsidRPr="000E3990">
        <w:rPr>
          <w:lang w:val="en-GB"/>
        </w:rPr>
        <w:t xml:space="preserve"> angiography-guided </w:t>
      </w:r>
      <w:r w:rsidR="00836938" w:rsidRPr="000E3990">
        <w:rPr>
          <w:lang w:val="en-GB"/>
        </w:rPr>
        <w:t>management</w:t>
      </w:r>
      <w:r w:rsidR="00D10F08" w:rsidRPr="000E3990">
        <w:rPr>
          <w:lang w:val="en-GB"/>
        </w:rPr>
        <w:t xml:space="preserve"> are uncertain</w:t>
      </w:r>
      <w:r w:rsidR="00DB7BEB" w:rsidRPr="000E3990">
        <w:rPr>
          <w:lang w:val="en-GB"/>
        </w:rPr>
        <w:t>.</w:t>
      </w:r>
    </w:p>
    <w:p w14:paraId="433EB852" w14:textId="4A4DFF87" w:rsidR="00396359" w:rsidRPr="000E3990" w:rsidRDefault="00DB7BEB" w:rsidP="003D200E">
      <w:pPr>
        <w:pStyle w:val="BodyText"/>
        <w:rPr>
          <w:lang w:val="en-GB"/>
        </w:rPr>
      </w:pPr>
      <w:r w:rsidRPr="000E3990">
        <w:rPr>
          <w:b/>
          <w:bCs/>
          <w:lang w:val="en-GB"/>
        </w:rPr>
        <w:t>Methods:</w:t>
      </w:r>
      <w:r w:rsidRPr="000E3990">
        <w:rPr>
          <w:lang w:val="en-GB"/>
        </w:rPr>
        <w:t xml:space="preserve"> </w:t>
      </w:r>
      <w:r w:rsidR="00463364" w:rsidRPr="000E3990">
        <w:rPr>
          <w:lang w:val="en-GB"/>
        </w:rPr>
        <w:t>A</w:t>
      </w:r>
      <w:r w:rsidRPr="000E3990">
        <w:rPr>
          <w:lang w:val="en-GB"/>
        </w:rPr>
        <w:t xml:space="preserve"> prospective, multicentre, parallel group, 1:1 randomised controlled trial in 350 NSTEMI patients with ≥1 coronary stenosis ≥30% of the lumen diameter assessed visually (threshold for FFR measurement) </w:t>
      </w:r>
      <w:r w:rsidR="00463364" w:rsidRPr="000E3990">
        <w:rPr>
          <w:lang w:val="en-GB"/>
        </w:rPr>
        <w:t xml:space="preserve">was undertaken </w:t>
      </w:r>
      <w:r w:rsidRPr="000E3990">
        <w:rPr>
          <w:lang w:val="en-GB"/>
        </w:rPr>
        <w:t xml:space="preserve">(NCT01764334). Enrolment took place in </w:t>
      </w:r>
      <w:r w:rsidR="007A4493" w:rsidRPr="000E3990">
        <w:rPr>
          <w:lang w:val="en-GB"/>
        </w:rPr>
        <w:t>six</w:t>
      </w:r>
      <w:r w:rsidRPr="000E3990">
        <w:rPr>
          <w:lang w:val="en-GB"/>
        </w:rPr>
        <w:t xml:space="preserve"> hospitals in the United Kingdom from October 2011 – May 2013. FFR was disclosed to the </w:t>
      </w:r>
      <w:r w:rsidR="007914B3" w:rsidRPr="000E3990">
        <w:rPr>
          <w:lang w:val="en-GB"/>
        </w:rPr>
        <w:t>cardiologist</w:t>
      </w:r>
      <w:r w:rsidRPr="000E3990">
        <w:rPr>
          <w:lang w:val="en-GB"/>
        </w:rPr>
        <w:t xml:space="preserve"> in the FFR</w:t>
      </w:r>
      <w:r w:rsidR="00B5525B" w:rsidRPr="000E3990">
        <w:rPr>
          <w:lang w:val="en-GB"/>
        </w:rPr>
        <w:t>-</w:t>
      </w:r>
      <w:r w:rsidRPr="000E3990">
        <w:rPr>
          <w:lang w:val="en-GB"/>
        </w:rPr>
        <w:t>guided</w:t>
      </w:r>
      <w:r w:rsidR="00B5525B" w:rsidRPr="000E3990">
        <w:rPr>
          <w:lang w:val="en-GB"/>
        </w:rPr>
        <w:t xml:space="preserve"> </w:t>
      </w:r>
      <w:r w:rsidRPr="000E3990">
        <w:rPr>
          <w:lang w:val="en-GB"/>
        </w:rPr>
        <w:t xml:space="preserve">group (n=176). FFR was measured but not disclosed in the angiography-guided group (n=174). FFR ≤0.80 was an indication for revascularisation by percutaneous coronary intervention (PCI) or coronary artery bypass surgery (CABG). </w:t>
      </w:r>
      <w:r w:rsidR="0072536B" w:rsidRPr="000E3990">
        <w:rPr>
          <w:lang w:val="en-GB"/>
        </w:rPr>
        <w:t>This long-term follow-up analysis was prespecified.</w:t>
      </w:r>
    </w:p>
    <w:p w14:paraId="59272FDC" w14:textId="22E11CEE" w:rsidR="005F47F1" w:rsidRPr="000E3990" w:rsidRDefault="00DB7BEB" w:rsidP="003D200E">
      <w:pPr>
        <w:pStyle w:val="BodyText"/>
        <w:rPr>
          <w:lang w:val="en-GB"/>
        </w:rPr>
      </w:pPr>
      <w:r w:rsidRPr="000E3990">
        <w:rPr>
          <w:lang w:val="en-GB"/>
        </w:rPr>
        <w:t>Clinical outcomes were identified using electronic health record linkage</w:t>
      </w:r>
      <w:r w:rsidR="003F2006" w:rsidRPr="000E3990">
        <w:rPr>
          <w:lang w:val="en-GB"/>
        </w:rPr>
        <w:t xml:space="preserve">. </w:t>
      </w:r>
      <w:r w:rsidRPr="000E3990">
        <w:rPr>
          <w:lang w:val="en-GB"/>
        </w:rPr>
        <w:t>Spontaneous major adverse cardiac events (MACE)</w:t>
      </w:r>
      <w:r w:rsidR="00396359" w:rsidRPr="000E3990">
        <w:rPr>
          <w:lang w:val="en-GB"/>
        </w:rPr>
        <w:t xml:space="preserve">, </w:t>
      </w:r>
      <w:r w:rsidRPr="000E3990">
        <w:rPr>
          <w:lang w:val="en-GB"/>
        </w:rPr>
        <w:t>defined as cardi</w:t>
      </w:r>
      <w:r w:rsidR="00BB1C31" w:rsidRPr="000E3990">
        <w:rPr>
          <w:lang w:val="en-GB"/>
        </w:rPr>
        <w:t>ovascular</w:t>
      </w:r>
      <w:r w:rsidRPr="000E3990">
        <w:rPr>
          <w:lang w:val="en-GB"/>
        </w:rPr>
        <w:t xml:space="preserve"> death or hospitalisation for myocardial infarction or heart failure, were a prespecified primary outcome.</w:t>
      </w:r>
      <w:r w:rsidR="00463364" w:rsidRPr="000E3990">
        <w:rPr>
          <w:lang w:val="en-GB"/>
        </w:rPr>
        <w:t xml:space="preserve"> </w:t>
      </w:r>
    </w:p>
    <w:p w14:paraId="0BF4D89E" w14:textId="23C1E605" w:rsidR="0071570E" w:rsidRPr="000E3990" w:rsidRDefault="00747A00" w:rsidP="003D200E">
      <w:pPr>
        <w:pStyle w:val="BodyText"/>
        <w:rPr>
          <w:lang w:val="en-GB"/>
        </w:rPr>
      </w:pPr>
      <w:r w:rsidRPr="000E3990">
        <w:rPr>
          <w:b/>
          <w:bCs/>
          <w:lang w:val="en-GB"/>
        </w:rPr>
        <w:t>Results</w:t>
      </w:r>
      <w:r w:rsidRPr="000E3990">
        <w:rPr>
          <w:lang w:val="en-GB"/>
        </w:rPr>
        <w:t xml:space="preserve">: </w:t>
      </w:r>
      <w:r w:rsidR="0071570E" w:rsidRPr="000E3990">
        <w:rPr>
          <w:lang w:val="en-GB"/>
        </w:rPr>
        <w:t xml:space="preserve">The median (inter-quartile range) follow-up period was 9.3 [9.0 to 9.8] years. Of 350 randomised </w:t>
      </w:r>
      <w:r w:rsidRPr="000E3990">
        <w:rPr>
          <w:lang w:val="en-GB"/>
        </w:rPr>
        <w:t>participants</w:t>
      </w:r>
      <w:r w:rsidR="0071570E" w:rsidRPr="000E3990">
        <w:rPr>
          <w:lang w:val="en-GB"/>
        </w:rPr>
        <w:t xml:space="preserve">, 324 (93%) </w:t>
      </w:r>
      <w:r w:rsidRPr="000E3990">
        <w:rPr>
          <w:lang w:val="en-GB"/>
        </w:rPr>
        <w:t>had</w:t>
      </w:r>
      <w:r w:rsidR="0071570E" w:rsidRPr="000E3990">
        <w:rPr>
          <w:lang w:val="en-GB"/>
        </w:rPr>
        <w:t xml:space="preserve"> </w:t>
      </w:r>
      <w:r w:rsidR="00B673FE" w:rsidRPr="000E3990">
        <w:rPr>
          <w:lang w:val="en-GB"/>
        </w:rPr>
        <w:t xml:space="preserve">complete </w:t>
      </w:r>
      <w:r w:rsidR="0071570E" w:rsidRPr="000E3990">
        <w:rPr>
          <w:lang w:val="en-GB"/>
        </w:rPr>
        <w:t xml:space="preserve">follow-up. Of these </w:t>
      </w:r>
      <w:r w:rsidR="00B673FE" w:rsidRPr="000E3990">
        <w:rPr>
          <w:lang w:val="en-GB"/>
        </w:rPr>
        <w:t>participants</w:t>
      </w:r>
      <w:r w:rsidR="0071570E" w:rsidRPr="000E3990">
        <w:rPr>
          <w:lang w:val="en-GB"/>
        </w:rPr>
        <w:t xml:space="preserve"> (n=324), 161 </w:t>
      </w:r>
      <w:r w:rsidR="00B673FE" w:rsidRPr="000E3990">
        <w:rPr>
          <w:lang w:val="en-GB"/>
        </w:rPr>
        <w:t xml:space="preserve">(49.7%) </w:t>
      </w:r>
      <w:r w:rsidR="0071570E" w:rsidRPr="000E3990">
        <w:rPr>
          <w:lang w:val="en-GB"/>
        </w:rPr>
        <w:t xml:space="preserve">and 163 </w:t>
      </w:r>
      <w:r w:rsidR="00B673FE" w:rsidRPr="000E3990">
        <w:rPr>
          <w:lang w:val="en-GB"/>
        </w:rPr>
        <w:t xml:space="preserve">(50.3%) </w:t>
      </w:r>
      <w:r w:rsidR="0071570E" w:rsidRPr="000E3990">
        <w:rPr>
          <w:lang w:val="en-GB"/>
        </w:rPr>
        <w:t xml:space="preserve">had been randomised to the FFR-guided and angiography-guided groups, respectively. </w:t>
      </w:r>
    </w:p>
    <w:p w14:paraId="4B26D14E" w14:textId="5FD71217" w:rsidR="0071570E" w:rsidRPr="000E3990" w:rsidRDefault="00747A00" w:rsidP="003D200E">
      <w:pPr>
        <w:pStyle w:val="BodyText"/>
        <w:rPr>
          <w:lang w:val="en-GB"/>
        </w:rPr>
      </w:pPr>
      <w:r w:rsidRPr="000E3990">
        <w:rPr>
          <w:lang w:val="en-GB"/>
        </w:rPr>
        <w:t xml:space="preserve">For the primary outcome, </w:t>
      </w:r>
      <w:r w:rsidR="005D430B" w:rsidRPr="000E3990">
        <w:rPr>
          <w:lang w:val="en-GB"/>
        </w:rPr>
        <w:t xml:space="preserve">45 </w:t>
      </w:r>
      <w:r w:rsidRPr="000E3990">
        <w:rPr>
          <w:lang w:val="en-GB"/>
        </w:rPr>
        <w:t>of 161 (</w:t>
      </w:r>
      <w:r w:rsidR="005D430B" w:rsidRPr="000E3990">
        <w:rPr>
          <w:lang w:val="en-GB"/>
        </w:rPr>
        <w:t>28.0</w:t>
      </w:r>
      <w:r w:rsidRPr="000E3990">
        <w:rPr>
          <w:lang w:val="en-GB"/>
        </w:rPr>
        <w:t xml:space="preserve">%) participants in the FFR-guided group and </w:t>
      </w:r>
      <w:r w:rsidR="005D430B" w:rsidRPr="000E3990">
        <w:rPr>
          <w:lang w:val="en-GB"/>
        </w:rPr>
        <w:t>38</w:t>
      </w:r>
      <w:r w:rsidRPr="000E3990">
        <w:rPr>
          <w:lang w:val="en-GB"/>
        </w:rPr>
        <w:t xml:space="preserve"> of 163 (</w:t>
      </w:r>
      <w:r w:rsidR="005D430B" w:rsidRPr="000E3990">
        <w:rPr>
          <w:lang w:val="en-GB"/>
        </w:rPr>
        <w:t>23.3</w:t>
      </w:r>
      <w:r w:rsidRPr="000E3990">
        <w:rPr>
          <w:lang w:val="en-GB"/>
        </w:rPr>
        <w:t xml:space="preserve">%) participants in the angiography-guided group experienced a MACE (number with event / person years at risk (rate per 1,000 person-years): </w:t>
      </w:r>
      <w:r w:rsidR="005D430B" w:rsidRPr="000E3990">
        <w:rPr>
          <w:lang w:val="en-GB"/>
        </w:rPr>
        <w:t>45</w:t>
      </w:r>
      <w:r w:rsidRPr="000E3990">
        <w:rPr>
          <w:lang w:val="en-GB"/>
        </w:rPr>
        <w:t>/</w:t>
      </w:r>
      <w:r w:rsidR="005D430B" w:rsidRPr="000E3990">
        <w:rPr>
          <w:lang w:val="en-GB"/>
        </w:rPr>
        <w:t xml:space="preserve">1197 </w:t>
      </w:r>
      <w:r w:rsidRPr="000E3990">
        <w:rPr>
          <w:lang w:val="en-GB"/>
        </w:rPr>
        <w:t>(</w:t>
      </w:r>
      <w:r w:rsidR="005D430B" w:rsidRPr="000E3990">
        <w:rPr>
          <w:lang w:val="en-GB"/>
        </w:rPr>
        <w:t>37.6</w:t>
      </w:r>
      <w:r w:rsidRPr="000E3990">
        <w:rPr>
          <w:lang w:val="en-GB"/>
        </w:rPr>
        <w:t xml:space="preserve">) vs. </w:t>
      </w:r>
      <w:r w:rsidR="005D430B" w:rsidRPr="000E3990">
        <w:rPr>
          <w:lang w:val="en-GB"/>
        </w:rPr>
        <w:t>38</w:t>
      </w:r>
      <w:r w:rsidRPr="000E3990">
        <w:rPr>
          <w:lang w:val="en-GB"/>
        </w:rPr>
        <w:t>/</w:t>
      </w:r>
      <w:r w:rsidR="005D430B" w:rsidRPr="000E3990">
        <w:rPr>
          <w:lang w:val="en-GB"/>
        </w:rPr>
        <w:t xml:space="preserve">1284 </w:t>
      </w:r>
      <w:r w:rsidRPr="000E3990">
        <w:rPr>
          <w:lang w:val="en-GB"/>
        </w:rPr>
        <w:t>(</w:t>
      </w:r>
      <w:r w:rsidR="005D430B" w:rsidRPr="000E3990">
        <w:rPr>
          <w:lang w:val="en-GB"/>
        </w:rPr>
        <w:t>29.6</w:t>
      </w:r>
      <w:r w:rsidRPr="000E3990">
        <w:rPr>
          <w:lang w:val="en-GB"/>
        </w:rPr>
        <w:t xml:space="preserve">); hazard ratio (95% confidence interval) </w:t>
      </w:r>
      <w:r w:rsidR="005D430B" w:rsidRPr="000E3990">
        <w:rPr>
          <w:lang w:val="en-GB"/>
        </w:rPr>
        <w:t>1.26</w:t>
      </w:r>
      <w:r w:rsidRPr="000E3990">
        <w:rPr>
          <w:lang w:val="en-GB"/>
        </w:rPr>
        <w:t xml:space="preserve"> (</w:t>
      </w:r>
      <w:r w:rsidR="005D430B" w:rsidRPr="000E3990">
        <w:rPr>
          <w:lang w:val="en-GB"/>
        </w:rPr>
        <w:t>0.82</w:t>
      </w:r>
      <w:r w:rsidRPr="000E3990">
        <w:rPr>
          <w:lang w:val="en-GB"/>
        </w:rPr>
        <w:t xml:space="preserve">, </w:t>
      </w:r>
      <w:r w:rsidR="005D430B" w:rsidRPr="000E3990">
        <w:rPr>
          <w:lang w:val="en-GB"/>
        </w:rPr>
        <w:t>1.95</w:t>
      </w:r>
      <w:r w:rsidRPr="000E3990">
        <w:rPr>
          <w:lang w:val="en-GB"/>
        </w:rPr>
        <w:t>); p=</w:t>
      </w:r>
      <w:r w:rsidR="005D430B" w:rsidRPr="000E3990">
        <w:rPr>
          <w:lang w:val="en-GB"/>
        </w:rPr>
        <w:t>0.288</w:t>
      </w:r>
      <w:r w:rsidRPr="000E3990">
        <w:rPr>
          <w:lang w:val="en-GB"/>
        </w:rPr>
        <w:t xml:space="preserve">). </w:t>
      </w:r>
      <w:r w:rsidR="00841451" w:rsidRPr="000E3990">
        <w:rPr>
          <w:lang w:val="en-GB"/>
        </w:rPr>
        <w:t>The c</w:t>
      </w:r>
      <w:r w:rsidRPr="000E3990">
        <w:rPr>
          <w:lang w:val="en-GB"/>
        </w:rPr>
        <w:t xml:space="preserve">ardiovascular death </w:t>
      </w:r>
      <w:r w:rsidRPr="000E3990">
        <w:rPr>
          <w:lang w:val="en-GB"/>
        </w:rPr>
        <w:lastRenderedPageBreak/>
        <w:t>rate was higher in the FFR-guided group (</w:t>
      </w:r>
      <w:r w:rsidR="00147492" w:rsidRPr="000E3990">
        <w:rPr>
          <w:lang w:val="en-GB"/>
        </w:rPr>
        <w:t>21</w:t>
      </w:r>
      <w:r w:rsidRPr="000E3990">
        <w:rPr>
          <w:lang w:val="en-GB"/>
        </w:rPr>
        <w:t>/1337 (</w:t>
      </w:r>
      <w:r w:rsidR="00147492" w:rsidRPr="000E3990">
        <w:rPr>
          <w:lang w:val="en-GB"/>
        </w:rPr>
        <w:t>15.7</w:t>
      </w:r>
      <w:r w:rsidRPr="000E3990">
        <w:rPr>
          <w:lang w:val="en-GB"/>
        </w:rPr>
        <w:t xml:space="preserve">) vs. </w:t>
      </w:r>
      <w:r w:rsidR="00147492" w:rsidRPr="000E3990">
        <w:rPr>
          <w:lang w:val="en-GB"/>
        </w:rPr>
        <w:t>11</w:t>
      </w:r>
      <w:r w:rsidRPr="000E3990">
        <w:rPr>
          <w:lang w:val="en-GB"/>
        </w:rPr>
        <w:t>/</w:t>
      </w:r>
      <w:r w:rsidR="00147492" w:rsidRPr="000E3990">
        <w:rPr>
          <w:lang w:val="en-GB"/>
        </w:rPr>
        <w:t xml:space="preserve">1426 </w:t>
      </w:r>
      <w:r w:rsidRPr="000E3990">
        <w:rPr>
          <w:lang w:val="en-GB"/>
        </w:rPr>
        <w:t>(</w:t>
      </w:r>
      <w:r w:rsidR="00147492" w:rsidRPr="000E3990">
        <w:rPr>
          <w:lang w:val="en-GB"/>
        </w:rPr>
        <w:t>7.7</w:t>
      </w:r>
      <w:r w:rsidRPr="000E3990">
        <w:rPr>
          <w:lang w:val="en-GB"/>
        </w:rPr>
        <w:t xml:space="preserve">); </w:t>
      </w:r>
      <w:r w:rsidR="00147492" w:rsidRPr="000E3990">
        <w:rPr>
          <w:lang w:val="en-GB"/>
        </w:rPr>
        <w:t>2.05</w:t>
      </w:r>
      <w:r w:rsidRPr="000E3990">
        <w:rPr>
          <w:lang w:val="en-GB"/>
        </w:rPr>
        <w:t xml:space="preserve"> (</w:t>
      </w:r>
      <w:r w:rsidR="00147492" w:rsidRPr="000E3990">
        <w:rPr>
          <w:lang w:val="en-GB"/>
        </w:rPr>
        <w:t>0.99</w:t>
      </w:r>
      <w:r w:rsidRPr="000E3990">
        <w:rPr>
          <w:lang w:val="en-GB"/>
        </w:rPr>
        <w:t xml:space="preserve">, </w:t>
      </w:r>
      <w:r w:rsidR="00147492" w:rsidRPr="000E3990">
        <w:rPr>
          <w:lang w:val="en-GB"/>
        </w:rPr>
        <w:t>4.26</w:t>
      </w:r>
      <w:r w:rsidRPr="000E3990">
        <w:rPr>
          <w:lang w:val="en-GB"/>
        </w:rPr>
        <w:t>); Cox regression p=0.</w:t>
      </w:r>
      <w:r w:rsidR="00147492" w:rsidRPr="000E3990">
        <w:rPr>
          <w:lang w:val="en-GB"/>
        </w:rPr>
        <w:t>054</w:t>
      </w:r>
      <w:r w:rsidRPr="000E3990">
        <w:rPr>
          <w:lang w:val="en-GB"/>
        </w:rPr>
        <w:t>; Kaplan Meier log-rank test, X</w:t>
      </w:r>
      <w:r w:rsidRPr="000E3990">
        <w:rPr>
          <w:vertAlign w:val="superscript"/>
          <w:lang w:val="en-GB"/>
        </w:rPr>
        <w:t>2</w:t>
      </w:r>
      <w:r w:rsidRPr="000E3990">
        <w:rPr>
          <w:lang w:val="en-GB"/>
        </w:rPr>
        <w:t xml:space="preserve"> (1, N = 324) = 3.</w:t>
      </w:r>
      <w:r w:rsidR="007A5BDC" w:rsidRPr="000E3990">
        <w:rPr>
          <w:lang w:val="en-GB"/>
        </w:rPr>
        <w:t>88</w:t>
      </w:r>
      <w:r w:rsidRPr="000E3990">
        <w:rPr>
          <w:lang w:val="en-GB"/>
        </w:rPr>
        <w:t>, p=0.</w:t>
      </w:r>
      <w:r w:rsidR="007A5BDC" w:rsidRPr="000E3990">
        <w:rPr>
          <w:lang w:val="en-GB"/>
        </w:rPr>
        <w:t>049</w:t>
      </w:r>
      <w:r w:rsidRPr="000E3990">
        <w:rPr>
          <w:lang w:val="en-GB"/>
        </w:rPr>
        <w:t>).</w:t>
      </w:r>
    </w:p>
    <w:p w14:paraId="4F63DF5E" w14:textId="15E0584A" w:rsidR="005F47F1" w:rsidRPr="000E3990" w:rsidRDefault="0071570E" w:rsidP="003D200E">
      <w:pPr>
        <w:pStyle w:val="BodyText"/>
        <w:rPr>
          <w:lang w:val="en-GB"/>
        </w:rPr>
      </w:pPr>
      <w:r w:rsidRPr="000E3990">
        <w:rPr>
          <w:lang w:val="en-GB"/>
        </w:rPr>
        <w:t xml:space="preserve">Coronary revascularisation by PCI or CABG </w:t>
      </w:r>
      <w:r w:rsidR="00BE7C91" w:rsidRPr="000E3990">
        <w:rPr>
          <w:lang w:val="en-GB"/>
        </w:rPr>
        <w:t>was</w:t>
      </w:r>
      <w:r w:rsidRPr="000E3990">
        <w:rPr>
          <w:lang w:val="en-GB"/>
        </w:rPr>
        <w:t xml:space="preserve"> performed in 26/161 (16.1%) of the FFR guided group vs. 37/163 (22.7%) of the angiography-guided group (number with event / person years at risk (rate per 1,000 person-years): 26/1187 (21.9) vs. 37/</w:t>
      </w:r>
      <w:r w:rsidR="00D55A38" w:rsidRPr="000E3990">
        <w:rPr>
          <w:lang w:val="en-GB"/>
        </w:rPr>
        <w:t xml:space="preserve">1208 </w:t>
      </w:r>
      <w:r w:rsidRPr="000E3990">
        <w:rPr>
          <w:lang w:val="en-GB"/>
        </w:rPr>
        <w:t>(30.</w:t>
      </w:r>
      <w:r w:rsidR="00D55A38" w:rsidRPr="000E3990">
        <w:rPr>
          <w:lang w:val="en-GB"/>
        </w:rPr>
        <w:t>6</w:t>
      </w:r>
      <w:r w:rsidRPr="000E3990">
        <w:rPr>
          <w:lang w:val="en-GB"/>
        </w:rPr>
        <w:t>); hazard ratio 0.72 (95% confidence interval 0.43, 1.18); p=0.193).</w:t>
      </w:r>
    </w:p>
    <w:p w14:paraId="457CE7D3" w14:textId="3F06AE09" w:rsidR="005F47F1" w:rsidRPr="000E3990" w:rsidRDefault="00DB7BEB" w:rsidP="003D200E">
      <w:pPr>
        <w:pStyle w:val="BodyText"/>
        <w:rPr>
          <w:lang w:val="en-GB"/>
        </w:rPr>
      </w:pPr>
      <w:r w:rsidRPr="000E3990">
        <w:rPr>
          <w:b/>
          <w:bCs/>
          <w:lang w:val="en-GB"/>
        </w:rPr>
        <w:t xml:space="preserve">Conclusion: </w:t>
      </w:r>
      <w:r w:rsidR="001019AE" w:rsidRPr="000E3990">
        <w:rPr>
          <w:lang w:val="en-GB"/>
        </w:rPr>
        <w:t>In NSTEMI patients followed for almost ten years, compared to angiography-guided management, FFR-guided management did not reduce adverse cardiovascular outcomes.</w:t>
      </w:r>
    </w:p>
    <w:p w14:paraId="63D658DA" w14:textId="4EDE6EF5" w:rsidR="005F47F1" w:rsidRPr="000E3990" w:rsidRDefault="00DB7BEB" w:rsidP="003D200E">
      <w:pPr>
        <w:pStyle w:val="BodyText"/>
        <w:rPr>
          <w:lang w:val="en-GB"/>
        </w:rPr>
      </w:pPr>
      <w:r w:rsidRPr="000E3990">
        <w:rPr>
          <w:b/>
          <w:bCs/>
          <w:lang w:val="en-GB"/>
        </w:rPr>
        <w:t xml:space="preserve">Key words: </w:t>
      </w:r>
      <w:r w:rsidRPr="000E3990">
        <w:rPr>
          <w:lang w:val="en-GB"/>
        </w:rPr>
        <w:t>acute coronary syndrome; non-ST-</w:t>
      </w:r>
      <w:r w:rsidR="00000A1C" w:rsidRPr="000E3990">
        <w:rPr>
          <w:lang w:val="en-GB"/>
        </w:rPr>
        <w:t xml:space="preserve">segment </w:t>
      </w:r>
      <w:r w:rsidRPr="000E3990">
        <w:rPr>
          <w:lang w:val="en-GB"/>
        </w:rPr>
        <w:t>elevation myocardial infarction; fractional flow reserve; medical therapy; coronary revascularisation; clinical outcomes</w:t>
      </w:r>
      <w:r w:rsidRPr="000E3990">
        <w:rPr>
          <w:rFonts w:ascii="Arial Unicode MS" w:hAnsi="Arial Unicode MS"/>
          <w:lang w:val="en-GB"/>
        </w:rPr>
        <w:br w:type="page"/>
      </w:r>
    </w:p>
    <w:p w14:paraId="311B7CD0" w14:textId="32F28998" w:rsidR="005F47F1" w:rsidRPr="000E3990" w:rsidRDefault="00DB7BEB" w:rsidP="003D200E">
      <w:pPr>
        <w:pStyle w:val="Heading"/>
      </w:pPr>
      <w:r w:rsidRPr="000E3990">
        <w:rPr>
          <w:rFonts w:eastAsia="Arial Unicode MS" w:cs="Arial Unicode MS"/>
        </w:rPr>
        <w:lastRenderedPageBreak/>
        <w:t>Introduction</w:t>
      </w:r>
    </w:p>
    <w:p w14:paraId="068FF455" w14:textId="011A5968" w:rsidR="00773273" w:rsidRPr="000E3990" w:rsidRDefault="005C2C0C" w:rsidP="003D200E">
      <w:pPr>
        <w:pStyle w:val="BodyText"/>
        <w:rPr>
          <w:lang w:val="en-GB"/>
        </w:rPr>
      </w:pPr>
      <w:r w:rsidRPr="000E3990">
        <w:rPr>
          <w:lang w:val="en-GB"/>
        </w:rPr>
        <w:t>C</w:t>
      </w:r>
      <w:r w:rsidR="00E94EE5" w:rsidRPr="000E3990">
        <w:rPr>
          <w:lang w:val="en-GB"/>
        </w:rPr>
        <w:t xml:space="preserve">omplete revascularisation </w:t>
      </w:r>
      <w:r w:rsidR="008D628F" w:rsidRPr="000E3990">
        <w:rPr>
          <w:lang w:val="en-GB"/>
        </w:rPr>
        <w:t>may</w:t>
      </w:r>
      <w:r w:rsidR="00DB7BEB" w:rsidRPr="000E3990">
        <w:rPr>
          <w:lang w:val="en-GB"/>
        </w:rPr>
        <w:t xml:space="preserve"> be considered</w:t>
      </w:r>
      <w:r w:rsidR="006B19C1" w:rsidRPr="000E3990">
        <w:rPr>
          <w:lang w:val="en-GB"/>
        </w:rPr>
        <w:t xml:space="preserve"> for patients presenting with non-ST-segment elevation myocardial infarction (NSTEMI) </w:t>
      </w:r>
      <w:r w:rsidR="00DB7BEB" w:rsidRPr="000E3990">
        <w:rPr>
          <w:vertAlign w:val="superscript"/>
          <w:lang w:val="en-GB"/>
        </w:rPr>
        <w:t>[</w:t>
      </w:r>
      <w:r w:rsidR="006B19C1" w:rsidRPr="000E3990">
        <w:rPr>
          <w:vertAlign w:val="superscript"/>
          <w:lang w:val="en-GB"/>
        </w:rPr>
        <w:t>1,2</w:t>
      </w:r>
      <w:r w:rsidR="00DB7BEB" w:rsidRPr="000E3990">
        <w:rPr>
          <w:vertAlign w:val="superscript"/>
          <w:lang w:val="en-GB"/>
        </w:rPr>
        <w:t>]</w:t>
      </w:r>
      <w:r w:rsidR="009F4CE0" w:rsidRPr="000E3990">
        <w:rPr>
          <w:lang w:val="en-GB"/>
        </w:rPr>
        <w:t>.</w:t>
      </w:r>
    </w:p>
    <w:p w14:paraId="35EBC42B" w14:textId="2FF297C8" w:rsidR="005F47F1" w:rsidRPr="000E3990" w:rsidRDefault="00DB7BEB" w:rsidP="003D200E">
      <w:pPr>
        <w:pStyle w:val="BodyText"/>
        <w:rPr>
          <w:vertAlign w:val="superscript"/>
          <w:lang w:val="en-GB"/>
        </w:rPr>
      </w:pPr>
      <w:r w:rsidRPr="000E3990">
        <w:rPr>
          <w:lang w:val="en-GB"/>
        </w:rPr>
        <w:t>V</w:t>
      </w:r>
      <w:r w:rsidR="0020742B" w:rsidRPr="000E3990">
        <w:rPr>
          <w:lang w:val="en-GB"/>
        </w:rPr>
        <w:t>isual assessment</w:t>
      </w:r>
      <w:r w:rsidR="00003845" w:rsidRPr="000E3990">
        <w:rPr>
          <w:lang w:val="en-GB"/>
        </w:rPr>
        <w:t xml:space="preserve"> of</w:t>
      </w:r>
      <w:r w:rsidR="0020742B" w:rsidRPr="000E3990">
        <w:rPr>
          <w:lang w:val="en-GB"/>
        </w:rPr>
        <w:t xml:space="preserve"> </w:t>
      </w:r>
      <w:r w:rsidR="007B316E" w:rsidRPr="000E3990">
        <w:rPr>
          <w:lang w:val="en-GB"/>
        </w:rPr>
        <w:t xml:space="preserve">the angiogram </w:t>
      </w:r>
      <w:r w:rsidR="0020742B" w:rsidRPr="000E3990">
        <w:rPr>
          <w:lang w:val="en-GB"/>
        </w:rPr>
        <w:t xml:space="preserve">may misclassify </w:t>
      </w:r>
      <w:r w:rsidR="007B316E" w:rsidRPr="000E3990">
        <w:rPr>
          <w:lang w:val="en-GB"/>
        </w:rPr>
        <w:t>culprit lesion status</w:t>
      </w:r>
      <w:r w:rsidR="00256BA4" w:rsidRPr="000E3990">
        <w:rPr>
          <w:lang w:val="en-GB"/>
        </w:rPr>
        <w:t>,</w:t>
      </w:r>
      <w:r w:rsidR="0020742B" w:rsidRPr="000E3990">
        <w:rPr>
          <w:vertAlign w:val="superscript"/>
          <w:lang w:val="en-GB"/>
        </w:rPr>
        <w:t>[</w:t>
      </w:r>
      <w:r w:rsidR="006B19C1" w:rsidRPr="000E3990">
        <w:rPr>
          <w:vertAlign w:val="superscript"/>
          <w:lang w:val="en-GB"/>
        </w:rPr>
        <w:t>3</w:t>
      </w:r>
      <w:r w:rsidR="0020742B" w:rsidRPr="000E3990">
        <w:rPr>
          <w:vertAlign w:val="superscript"/>
          <w:lang w:val="en-GB"/>
        </w:rPr>
        <w:t>]</w:t>
      </w:r>
      <w:r w:rsidR="0020742B" w:rsidRPr="000E3990">
        <w:rPr>
          <w:lang w:val="en-GB"/>
        </w:rPr>
        <w:t xml:space="preserve"> </w:t>
      </w:r>
      <w:r w:rsidR="00256BA4" w:rsidRPr="000E3990">
        <w:rPr>
          <w:lang w:val="en-GB"/>
        </w:rPr>
        <w:t>and a</w:t>
      </w:r>
      <w:r w:rsidRPr="000E3990">
        <w:rPr>
          <w:lang w:val="en-GB"/>
        </w:rPr>
        <w:t xml:space="preserve"> functional approach</w:t>
      </w:r>
      <w:r w:rsidR="001863FD" w:rsidRPr="000E3990">
        <w:rPr>
          <w:lang w:val="en-GB"/>
        </w:rPr>
        <w:t xml:space="preserve"> </w:t>
      </w:r>
      <w:r w:rsidR="005D052A" w:rsidRPr="000E3990">
        <w:rPr>
          <w:lang w:val="en-GB"/>
        </w:rPr>
        <w:t>may</w:t>
      </w:r>
      <w:r w:rsidR="001863FD" w:rsidRPr="000E3990">
        <w:rPr>
          <w:lang w:val="en-GB"/>
        </w:rPr>
        <w:t xml:space="preserve"> guide revascularisation</w:t>
      </w:r>
      <w:r w:rsidRPr="000E3990">
        <w:rPr>
          <w:lang w:val="en-GB"/>
        </w:rPr>
        <w:t>.</w:t>
      </w:r>
      <w:r w:rsidRPr="000E3990">
        <w:rPr>
          <w:vertAlign w:val="superscript"/>
          <w:lang w:val="en-GB"/>
        </w:rPr>
        <w:t>[</w:t>
      </w:r>
      <w:r w:rsidR="006B19C1" w:rsidRPr="000E3990">
        <w:rPr>
          <w:vertAlign w:val="superscript"/>
          <w:lang w:val="en-GB"/>
        </w:rPr>
        <w:t>4</w:t>
      </w:r>
      <w:r w:rsidRPr="000E3990">
        <w:rPr>
          <w:vertAlign w:val="superscript"/>
          <w:lang w:val="en-GB"/>
        </w:rPr>
        <w:t>]</w:t>
      </w:r>
      <w:r w:rsidRPr="000E3990">
        <w:rPr>
          <w:lang w:val="en-GB"/>
        </w:rPr>
        <w:t xml:space="preserve"> In stable coronary artery disease</w:t>
      </w:r>
      <w:r w:rsidR="00E22C63" w:rsidRPr="000E3990">
        <w:rPr>
          <w:lang w:val="en-GB"/>
        </w:rPr>
        <w:t xml:space="preserve"> fractional flow reserve (FFR) </w:t>
      </w:r>
      <w:r w:rsidRPr="000E3990">
        <w:rPr>
          <w:lang w:val="en-GB"/>
        </w:rPr>
        <w:t>values &gt;0.80 indicate that deferral of revascularisation is safe</w:t>
      </w:r>
      <w:r w:rsidR="004C41C3" w:rsidRPr="000E3990">
        <w:rPr>
          <w:lang w:val="en-GB"/>
        </w:rPr>
        <w:t>,</w:t>
      </w:r>
      <w:r w:rsidRPr="000E3990">
        <w:rPr>
          <w:vertAlign w:val="superscript"/>
          <w:lang w:val="en-GB"/>
        </w:rPr>
        <w:t>[</w:t>
      </w:r>
      <w:r w:rsidR="006B19C1" w:rsidRPr="000E3990">
        <w:rPr>
          <w:vertAlign w:val="superscript"/>
          <w:lang w:val="en-GB"/>
        </w:rPr>
        <w:t>5</w:t>
      </w:r>
      <w:r w:rsidRPr="000E3990">
        <w:rPr>
          <w:vertAlign w:val="superscript"/>
          <w:lang w:val="en-GB"/>
        </w:rPr>
        <w:t xml:space="preserve">] </w:t>
      </w:r>
      <w:r w:rsidR="00256BA4" w:rsidRPr="000E3990">
        <w:rPr>
          <w:lang w:val="en-GB"/>
        </w:rPr>
        <w:t>h</w:t>
      </w:r>
      <w:r w:rsidRPr="000E3990">
        <w:rPr>
          <w:lang w:val="en-GB"/>
        </w:rPr>
        <w:t>owever</w:t>
      </w:r>
      <w:r w:rsidR="00256BA4" w:rsidRPr="000E3990">
        <w:rPr>
          <w:lang w:val="en-GB"/>
        </w:rPr>
        <w:t xml:space="preserve"> in NSTEMI </w:t>
      </w:r>
      <w:r w:rsidRPr="000E3990">
        <w:rPr>
          <w:lang w:val="en-GB"/>
        </w:rPr>
        <w:t>microvascular</w:t>
      </w:r>
      <w:r w:rsidRPr="000E3990">
        <w:rPr>
          <w:vertAlign w:val="superscript"/>
          <w:lang w:val="en-GB"/>
        </w:rPr>
        <w:t xml:space="preserve"> </w:t>
      </w:r>
      <w:r w:rsidRPr="000E3990">
        <w:rPr>
          <w:lang w:val="en-GB"/>
        </w:rPr>
        <w:t>dysfunction may limit hyperaemia</w:t>
      </w:r>
      <w:r w:rsidR="00256BA4" w:rsidRPr="000E3990">
        <w:rPr>
          <w:lang w:val="en-GB"/>
        </w:rPr>
        <w:t>,</w:t>
      </w:r>
      <w:r w:rsidRPr="000E3990">
        <w:rPr>
          <w:vertAlign w:val="superscript"/>
          <w:lang w:val="en-GB"/>
        </w:rPr>
        <w:t>[</w:t>
      </w:r>
      <w:r w:rsidR="006B19C1" w:rsidRPr="000E3990">
        <w:rPr>
          <w:vertAlign w:val="superscript"/>
          <w:lang w:val="en-GB"/>
        </w:rPr>
        <w:t>6,7</w:t>
      </w:r>
      <w:r w:rsidRPr="000E3990">
        <w:rPr>
          <w:vertAlign w:val="superscript"/>
          <w:lang w:val="en-GB"/>
        </w:rPr>
        <w:t>]</w:t>
      </w:r>
      <w:r w:rsidR="004B31F6" w:rsidRPr="000E3990">
        <w:rPr>
          <w:lang w:val="en-GB"/>
        </w:rPr>
        <w:t xml:space="preserve"> </w:t>
      </w:r>
      <w:r w:rsidR="00256BA4" w:rsidRPr="000E3990">
        <w:rPr>
          <w:lang w:val="en-GB"/>
        </w:rPr>
        <w:t>and p</w:t>
      </w:r>
      <w:r w:rsidR="00773273" w:rsidRPr="000E3990">
        <w:rPr>
          <w:lang w:val="en-GB"/>
        </w:rPr>
        <w:t xml:space="preserve">laque characteristics </w:t>
      </w:r>
      <w:r w:rsidR="00851299" w:rsidRPr="000E3990">
        <w:rPr>
          <w:lang w:val="en-GB"/>
        </w:rPr>
        <w:t>are</w:t>
      </w:r>
      <w:r w:rsidR="00773273" w:rsidRPr="000E3990">
        <w:rPr>
          <w:lang w:val="en-GB"/>
        </w:rPr>
        <w:t xml:space="preserve"> prognostically important</w:t>
      </w:r>
      <w:r w:rsidR="00000A1C" w:rsidRPr="000E3990">
        <w:rPr>
          <w:lang w:val="en-GB"/>
        </w:rPr>
        <w:t xml:space="preserve"> </w:t>
      </w:r>
      <w:r w:rsidR="00FE3D16" w:rsidRPr="000E3990">
        <w:rPr>
          <w:lang w:val="en-GB"/>
        </w:rPr>
        <w:t>in non-flow limiting (FFR-negative) coronary disease</w:t>
      </w:r>
      <w:r w:rsidR="00851299" w:rsidRPr="000E3990">
        <w:rPr>
          <w:lang w:val="en-GB"/>
        </w:rPr>
        <w:t>.</w:t>
      </w:r>
      <w:r w:rsidR="00773273" w:rsidRPr="000E3990">
        <w:rPr>
          <w:vertAlign w:val="superscript"/>
          <w:lang w:val="en-GB"/>
        </w:rPr>
        <w:t>[</w:t>
      </w:r>
      <w:r w:rsidR="006B19C1" w:rsidRPr="000E3990">
        <w:rPr>
          <w:vertAlign w:val="superscript"/>
          <w:lang w:val="en-GB"/>
        </w:rPr>
        <w:t>8,9</w:t>
      </w:r>
      <w:r w:rsidR="00773273" w:rsidRPr="000E3990">
        <w:rPr>
          <w:vertAlign w:val="superscript"/>
          <w:lang w:val="en-GB"/>
        </w:rPr>
        <w:t>]</w:t>
      </w:r>
      <w:r w:rsidR="00851299" w:rsidRPr="000E3990">
        <w:rPr>
          <w:vertAlign w:val="superscript"/>
          <w:lang w:val="en-GB"/>
        </w:rPr>
        <w:t xml:space="preserve"> </w:t>
      </w:r>
    </w:p>
    <w:p w14:paraId="3412733F" w14:textId="34D46719" w:rsidR="00D246CA" w:rsidRPr="000E3990" w:rsidRDefault="00C32F33" w:rsidP="003D200E">
      <w:pPr>
        <w:pStyle w:val="BodyText"/>
        <w:rPr>
          <w:lang w:val="en-GB"/>
        </w:rPr>
      </w:pPr>
      <w:r w:rsidRPr="000E3990">
        <w:rPr>
          <w:lang w:val="en-GB"/>
        </w:rPr>
        <w:t>T</w:t>
      </w:r>
      <w:r w:rsidR="00DB7BEB" w:rsidRPr="000E3990">
        <w:rPr>
          <w:lang w:val="en-GB"/>
        </w:rPr>
        <w:t xml:space="preserve">he FAMOUS-NSTEMI trial assessed </w:t>
      </w:r>
      <w:r w:rsidR="009F4CE0" w:rsidRPr="000E3990">
        <w:rPr>
          <w:lang w:val="en-GB"/>
        </w:rPr>
        <w:t>FFR-guided versus angiography-guided</w:t>
      </w:r>
      <w:r w:rsidR="00DB7BEB" w:rsidRPr="000E3990">
        <w:rPr>
          <w:lang w:val="en-GB"/>
        </w:rPr>
        <w:t xml:space="preserve"> management in 350 patients with NSTEMI.</w:t>
      </w:r>
      <w:r w:rsidR="00DB7BEB" w:rsidRPr="000E3990">
        <w:rPr>
          <w:vertAlign w:val="superscript"/>
          <w:lang w:val="en-GB"/>
        </w:rPr>
        <w:t>[1</w:t>
      </w:r>
      <w:r w:rsidR="006B19C1" w:rsidRPr="000E3990">
        <w:rPr>
          <w:vertAlign w:val="superscript"/>
          <w:lang w:val="en-GB"/>
        </w:rPr>
        <w:t>0</w:t>
      </w:r>
      <w:r w:rsidR="00DB7BEB" w:rsidRPr="000E3990">
        <w:rPr>
          <w:vertAlign w:val="superscript"/>
          <w:lang w:val="en-GB"/>
        </w:rPr>
        <w:t>]</w:t>
      </w:r>
      <w:r w:rsidR="00DB7BEB" w:rsidRPr="000E3990">
        <w:rPr>
          <w:lang w:val="en-GB"/>
        </w:rPr>
        <w:t xml:space="preserve"> By 12 months, the </w:t>
      </w:r>
      <w:r w:rsidR="00D246CA" w:rsidRPr="000E3990">
        <w:rPr>
          <w:lang w:val="en-GB"/>
        </w:rPr>
        <w:t>percentage</w:t>
      </w:r>
      <w:r w:rsidR="00DB7BEB" w:rsidRPr="000E3990">
        <w:rPr>
          <w:lang w:val="en-GB"/>
        </w:rPr>
        <w:t xml:space="preserve"> of </w:t>
      </w:r>
      <w:r w:rsidR="00883B8F" w:rsidRPr="000E3990">
        <w:rPr>
          <w:lang w:val="en-GB"/>
        </w:rPr>
        <w:t>participants</w:t>
      </w:r>
      <w:r w:rsidR="00DB7BEB" w:rsidRPr="000E3990">
        <w:rPr>
          <w:lang w:val="en-GB"/>
        </w:rPr>
        <w:t xml:space="preserve"> treated by </w:t>
      </w:r>
      <w:r w:rsidR="00D246CA" w:rsidRPr="000E3990">
        <w:rPr>
          <w:lang w:val="en-GB"/>
        </w:rPr>
        <w:t xml:space="preserve">medical management </w:t>
      </w:r>
      <w:r w:rsidR="007B316E" w:rsidRPr="000E3990">
        <w:rPr>
          <w:lang w:val="en-GB"/>
        </w:rPr>
        <w:t xml:space="preserve">only </w:t>
      </w:r>
      <w:r w:rsidR="00DB7BEB" w:rsidRPr="000E3990">
        <w:rPr>
          <w:lang w:val="en-GB"/>
        </w:rPr>
        <w:t xml:space="preserve">was higher in the FFR-guided group than in the angiography-guided group (40(22.7%) vs. 23(13.2%), difference 9.5% (95% </w:t>
      </w:r>
      <w:r w:rsidR="00BD3126" w:rsidRPr="000E3990">
        <w:rPr>
          <w:lang w:val="en-GB"/>
        </w:rPr>
        <w:t>confidence interval (CI)</w:t>
      </w:r>
      <w:r w:rsidR="00DB7BEB" w:rsidRPr="000E3990">
        <w:rPr>
          <w:lang w:val="en-GB"/>
        </w:rPr>
        <w:t xml:space="preserve"> 1.4%, 17.7%), p=0.022; relative risk 1.72 (1.08, 2.82)). </w:t>
      </w:r>
    </w:p>
    <w:p w14:paraId="6F8C899D" w14:textId="1CE33FA4" w:rsidR="005F47F1" w:rsidRPr="000E3990" w:rsidRDefault="00DB7BEB" w:rsidP="003D200E">
      <w:pPr>
        <w:pStyle w:val="BodyText"/>
        <w:rPr>
          <w:lang w:val="en-GB"/>
        </w:rPr>
      </w:pPr>
      <w:r w:rsidRPr="000E3990">
        <w:rPr>
          <w:lang w:val="en-GB"/>
        </w:rPr>
        <w:t>We hypothesised that, compared with angiography-guided management,</w:t>
      </w:r>
      <w:r w:rsidR="00E37090" w:rsidRPr="000E3990">
        <w:rPr>
          <w:lang w:val="en-GB"/>
        </w:rPr>
        <w:t xml:space="preserve"> </w:t>
      </w:r>
      <w:r w:rsidRPr="000E3990">
        <w:rPr>
          <w:lang w:val="en-GB"/>
        </w:rPr>
        <w:t xml:space="preserve">FFR-guided management in patients with recent NSTEMI would reduce coronary revascularisation without increasing </w:t>
      </w:r>
      <w:r w:rsidR="004C41C3" w:rsidRPr="000E3990">
        <w:rPr>
          <w:lang w:val="en-GB"/>
        </w:rPr>
        <w:t>adverse clinical outcomes</w:t>
      </w:r>
      <w:r w:rsidR="00C869B8" w:rsidRPr="000E3990">
        <w:rPr>
          <w:lang w:val="en-GB"/>
        </w:rPr>
        <w:t xml:space="preserve"> </w:t>
      </w:r>
      <w:r w:rsidRPr="000E3990">
        <w:rPr>
          <w:lang w:val="en-GB"/>
        </w:rPr>
        <w:t>in the longer term.</w:t>
      </w:r>
    </w:p>
    <w:p w14:paraId="7D884DA8" w14:textId="77777777" w:rsidR="005F47F1" w:rsidRPr="000E3990" w:rsidRDefault="00DB7BEB" w:rsidP="003D200E">
      <w:pPr>
        <w:pStyle w:val="Heading"/>
      </w:pPr>
      <w:r w:rsidRPr="000E3990">
        <w:rPr>
          <w:rFonts w:eastAsia="Arial Unicode MS" w:cs="Arial Unicode MS"/>
        </w:rPr>
        <w:t>Methods</w:t>
      </w:r>
    </w:p>
    <w:p w14:paraId="71182F86" w14:textId="77777777" w:rsidR="005F47F1" w:rsidRPr="000E3990" w:rsidRDefault="00DB7BEB" w:rsidP="003D200E">
      <w:pPr>
        <w:pStyle w:val="Heading2"/>
        <w:rPr>
          <w:lang w:val="en-GB"/>
        </w:rPr>
      </w:pPr>
      <w:r w:rsidRPr="000E3990">
        <w:rPr>
          <w:lang w:val="en-GB"/>
        </w:rPr>
        <w:t>Trial design</w:t>
      </w:r>
    </w:p>
    <w:p w14:paraId="47E40D82" w14:textId="54E266D0" w:rsidR="005F47F1" w:rsidRPr="000E3990" w:rsidRDefault="00090BA4" w:rsidP="003D200E">
      <w:pPr>
        <w:pStyle w:val="BodyText"/>
        <w:rPr>
          <w:lang w:val="en-GB"/>
        </w:rPr>
      </w:pPr>
      <w:r w:rsidRPr="000E3990">
        <w:rPr>
          <w:lang w:val="en-GB"/>
        </w:rPr>
        <w:t>A</w:t>
      </w:r>
      <w:r w:rsidR="00DB7BEB" w:rsidRPr="000E3990">
        <w:rPr>
          <w:lang w:val="en-GB"/>
        </w:rPr>
        <w:t xml:space="preserve"> prospective 1:1 randomised</w:t>
      </w:r>
      <w:r w:rsidR="00161545" w:rsidRPr="000E3990">
        <w:rPr>
          <w:lang w:val="en-GB"/>
        </w:rPr>
        <w:t>,</w:t>
      </w:r>
      <w:r w:rsidR="00DB7BEB" w:rsidRPr="000E3990">
        <w:rPr>
          <w:lang w:val="en-GB"/>
        </w:rPr>
        <w:t xml:space="preserve"> controlled trial in 350 NSTEMI patients enrolled </w:t>
      </w:r>
      <w:r w:rsidR="00EE49AE" w:rsidRPr="000E3990">
        <w:rPr>
          <w:lang w:val="en-GB"/>
        </w:rPr>
        <w:t xml:space="preserve">in six hospitals in the United Kingdom </w:t>
      </w:r>
      <w:r w:rsidR="00DB7BEB" w:rsidRPr="000E3990">
        <w:rPr>
          <w:lang w:val="en-GB"/>
        </w:rPr>
        <w:t>from October 2011 to May 2013</w:t>
      </w:r>
      <w:r w:rsidR="00F62B66" w:rsidRPr="000E3990">
        <w:rPr>
          <w:lang w:val="en-GB"/>
        </w:rPr>
        <w:t xml:space="preserve"> was undertaken</w:t>
      </w:r>
      <w:r w:rsidRPr="000E3990">
        <w:rPr>
          <w:lang w:val="en-GB"/>
        </w:rPr>
        <w:t>,</w:t>
      </w:r>
      <w:r w:rsidR="00DB7BEB" w:rsidRPr="000E3990">
        <w:rPr>
          <w:vertAlign w:val="superscript"/>
          <w:lang w:val="en-GB"/>
        </w:rPr>
        <w:t>[1</w:t>
      </w:r>
      <w:r w:rsidR="006B19C1" w:rsidRPr="000E3990">
        <w:rPr>
          <w:vertAlign w:val="superscript"/>
          <w:lang w:val="en-GB"/>
        </w:rPr>
        <w:t>0</w:t>
      </w:r>
      <w:r w:rsidR="00DB7BEB" w:rsidRPr="000E3990">
        <w:rPr>
          <w:vertAlign w:val="superscript"/>
          <w:lang w:val="en-GB"/>
        </w:rPr>
        <w:t xml:space="preserve">] </w:t>
      </w:r>
      <w:r w:rsidR="002809C6" w:rsidRPr="000E3990">
        <w:rPr>
          <w:vertAlign w:val="superscript"/>
          <w:lang w:val="en-GB"/>
        </w:rPr>
        <w:t xml:space="preserve"> </w:t>
      </w:r>
      <w:r w:rsidRPr="000E3990">
        <w:rPr>
          <w:lang w:val="en-GB"/>
        </w:rPr>
        <w:t xml:space="preserve">and </w:t>
      </w:r>
      <w:r w:rsidR="00161545" w:rsidRPr="000E3990">
        <w:rPr>
          <w:lang w:val="en-GB"/>
        </w:rPr>
        <w:t>a</w:t>
      </w:r>
      <w:r w:rsidR="00000A1C" w:rsidRPr="000E3990">
        <w:rPr>
          <w:lang w:val="en-GB"/>
        </w:rPr>
        <w:t xml:space="preserve"> </w:t>
      </w:r>
      <w:r w:rsidR="00C869B8" w:rsidRPr="000E3990">
        <w:rPr>
          <w:lang w:val="en-GB"/>
        </w:rPr>
        <w:t>longer-term</w:t>
      </w:r>
      <w:r w:rsidR="00C32F33" w:rsidRPr="000E3990">
        <w:rPr>
          <w:lang w:val="en-GB"/>
        </w:rPr>
        <w:t xml:space="preserve"> </w:t>
      </w:r>
      <w:r w:rsidR="00DB7BEB" w:rsidRPr="000E3990">
        <w:rPr>
          <w:lang w:val="en-GB"/>
        </w:rPr>
        <w:t xml:space="preserve">clinical outcomes </w:t>
      </w:r>
      <w:r w:rsidR="00161545" w:rsidRPr="000E3990">
        <w:rPr>
          <w:lang w:val="en-GB"/>
        </w:rPr>
        <w:t xml:space="preserve">analysis </w:t>
      </w:r>
      <w:r w:rsidR="00DB7BEB" w:rsidRPr="000E3990">
        <w:rPr>
          <w:lang w:val="en-GB"/>
        </w:rPr>
        <w:t>was pre-specified.</w:t>
      </w:r>
      <w:r w:rsidR="006B19C1" w:rsidRPr="000E3990">
        <w:rPr>
          <w:vertAlign w:val="superscript"/>
          <w:lang w:val="en-GB"/>
        </w:rPr>
        <w:t xml:space="preserve"> [10]</w:t>
      </w:r>
    </w:p>
    <w:p w14:paraId="038247E2" w14:textId="77777777" w:rsidR="005F47F1" w:rsidRPr="000E3990" w:rsidRDefault="00DB7BEB" w:rsidP="003D200E">
      <w:pPr>
        <w:pStyle w:val="Heading2"/>
        <w:rPr>
          <w:lang w:val="en-GB"/>
        </w:rPr>
      </w:pPr>
      <w:r w:rsidRPr="000E3990">
        <w:rPr>
          <w:lang w:val="en-GB"/>
        </w:rPr>
        <w:lastRenderedPageBreak/>
        <w:t>Interventions</w:t>
      </w:r>
    </w:p>
    <w:p w14:paraId="4AC1A889" w14:textId="2A83AE6A" w:rsidR="005F47F1" w:rsidRPr="000E3990" w:rsidRDefault="00DB7BEB" w:rsidP="003D200E">
      <w:pPr>
        <w:pStyle w:val="BodyText"/>
        <w:rPr>
          <w:lang w:val="en-GB"/>
        </w:rPr>
      </w:pPr>
      <w:r w:rsidRPr="000E3990">
        <w:rPr>
          <w:b/>
          <w:bCs/>
          <w:i/>
          <w:iCs/>
          <w:lang w:val="en-GB"/>
        </w:rPr>
        <w:t>FFR-guided group:</w:t>
      </w:r>
      <w:r w:rsidRPr="000E3990">
        <w:rPr>
          <w:lang w:val="en-GB"/>
        </w:rPr>
        <w:t xml:space="preserve"> FFR ≤0.80 was an indication for revascularisation by </w:t>
      </w:r>
      <w:r w:rsidR="00161545" w:rsidRPr="000E3990">
        <w:rPr>
          <w:lang w:val="en-GB"/>
        </w:rPr>
        <w:t xml:space="preserve">PCI or </w:t>
      </w:r>
      <w:r w:rsidRPr="000E3990">
        <w:rPr>
          <w:lang w:val="en-GB"/>
        </w:rPr>
        <w:t xml:space="preserve">CABG. </w:t>
      </w:r>
      <w:r w:rsidR="00441446" w:rsidRPr="000E3990">
        <w:rPr>
          <w:lang w:val="en-GB"/>
        </w:rPr>
        <w:t>FFR guidance was not recommended in angiographically severe</w:t>
      </w:r>
      <w:r w:rsidR="000E4754" w:rsidRPr="000E3990">
        <w:rPr>
          <w:lang w:val="en-GB"/>
        </w:rPr>
        <w:t xml:space="preserve"> or culprit</w:t>
      </w:r>
      <w:r w:rsidR="00441446" w:rsidRPr="000E3990">
        <w:rPr>
          <w:lang w:val="en-GB"/>
        </w:rPr>
        <w:t xml:space="preserve"> lesions. </w:t>
      </w:r>
    </w:p>
    <w:p w14:paraId="026B6FAF" w14:textId="745B19D8" w:rsidR="005F47F1" w:rsidRPr="000E3990" w:rsidRDefault="00DB7BEB" w:rsidP="003D200E">
      <w:pPr>
        <w:pStyle w:val="BodyText"/>
        <w:rPr>
          <w:lang w:val="en-GB"/>
        </w:rPr>
      </w:pPr>
      <w:r w:rsidRPr="000E3990">
        <w:rPr>
          <w:b/>
          <w:bCs/>
          <w:i/>
          <w:iCs/>
          <w:lang w:val="en-GB"/>
        </w:rPr>
        <w:t>Angiography-guided group and blinding:</w:t>
      </w:r>
      <w:r w:rsidRPr="000E3990">
        <w:rPr>
          <w:lang w:val="en-GB"/>
        </w:rPr>
        <w:t xml:space="preserve"> In </w:t>
      </w:r>
      <w:r w:rsidR="008127F4" w:rsidRPr="000E3990">
        <w:rPr>
          <w:lang w:val="en-GB"/>
        </w:rPr>
        <w:t>this</w:t>
      </w:r>
      <w:r w:rsidRPr="000E3990">
        <w:rPr>
          <w:lang w:val="en-GB"/>
        </w:rPr>
        <w:t xml:space="preserve"> group, FFR was measured </w:t>
      </w:r>
      <w:r w:rsidR="008127F4" w:rsidRPr="000E3990">
        <w:rPr>
          <w:lang w:val="en-GB"/>
        </w:rPr>
        <w:t>but</w:t>
      </w:r>
      <w:r w:rsidRPr="000E3990">
        <w:rPr>
          <w:lang w:val="en-GB"/>
        </w:rPr>
        <w:t xml:space="preserve"> not disclosed.</w:t>
      </w:r>
      <w:r w:rsidRPr="000E3990">
        <w:rPr>
          <w:vertAlign w:val="superscript"/>
          <w:lang w:val="en-GB"/>
        </w:rPr>
        <w:t>[1</w:t>
      </w:r>
      <w:r w:rsidR="006B19C1" w:rsidRPr="000E3990">
        <w:rPr>
          <w:vertAlign w:val="superscript"/>
          <w:lang w:val="en-GB"/>
        </w:rPr>
        <w:t>0</w:t>
      </w:r>
      <w:r w:rsidRPr="000E3990">
        <w:rPr>
          <w:vertAlign w:val="superscript"/>
          <w:lang w:val="en-GB"/>
        </w:rPr>
        <w:t>]</w:t>
      </w:r>
    </w:p>
    <w:p w14:paraId="6EA82CDE" w14:textId="6D9FC28C" w:rsidR="005F47F1" w:rsidRPr="000E3990" w:rsidRDefault="002B1C8B" w:rsidP="003D200E">
      <w:pPr>
        <w:pStyle w:val="Heading2"/>
        <w:rPr>
          <w:lang w:val="en-GB"/>
        </w:rPr>
      </w:pPr>
      <w:r w:rsidRPr="000E3990">
        <w:rPr>
          <w:lang w:val="en-GB"/>
        </w:rPr>
        <w:t>Primary o</w:t>
      </w:r>
      <w:r w:rsidR="00DB7BEB" w:rsidRPr="000E3990">
        <w:rPr>
          <w:lang w:val="en-GB"/>
        </w:rPr>
        <w:t>utcome</w:t>
      </w:r>
    </w:p>
    <w:p w14:paraId="3381A326" w14:textId="42F10661" w:rsidR="005F47F1" w:rsidRPr="000E3990" w:rsidRDefault="00DB7BEB" w:rsidP="003D200E">
      <w:pPr>
        <w:pStyle w:val="BodyText"/>
        <w:rPr>
          <w:lang w:val="en-GB"/>
        </w:rPr>
      </w:pPr>
      <w:r w:rsidRPr="000E3990">
        <w:rPr>
          <w:lang w:val="en-GB"/>
        </w:rPr>
        <w:t>The pre-specified primary outcome was spontaneous major adverse cardi</w:t>
      </w:r>
      <w:r w:rsidR="00800229" w:rsidRPr="000E3990">
        <w:rPr>
          <w:lang w:val="en-GB"/>
        </w:rPr>
        <w:t>ovascular</w:t>
      </w:r>
      <w:r w:rsidRPr="000E3990">
        <w:rPr>
          <w:lang w:val="en-GB"/>
        </w:rPr>
        <w:t xml:space="preserve"> events (MACE) defined as </w:t>
      </w:r>
      <w:bookmarkStart w:id="2" w:name="_Hlk201815050"/>
      <w:r w:rsidRPr="000E3990">
        <w:rPr>
          <w:lang w:val="en-GB"/>
        </w:rPr>
        <w:t>card</w:t>
      </w:r>
      <w:r w:rsidR="00800229" w:rsidRPr="000E3990">
        <w:rPr>
          <w:lang w:val="en-GB"/>
        </w:rPr>
        <w:t>iovascular</w:t>
      </w:r>
      <w:r w:rsidRPr="000E3990">
        <w:rPr>
          <w:lang w:val="en-GB"/>
        </w:rPr>
        <w:t xml:space="preserve"> death or hospitalisation for myocardial infarction or heart failure</w:t>
      </w:r>
      <w:bookmarkEnd w:id="2"/>
      <w:r w:rsidRPr="000E3990">
        <w:rPr>
          <w:lang w:val="en-GB"/>
        </w:rPr>
        <w:t xml:space="preserve">. </w:t>
      </w:r>
      <w:r w:rsidR="002B1C8B" w:rsidRPr="000E3990">
        <w:rPr>
          <w:lang w:val="en-GB"/>
        </w:rPr>
        <w:t>Cardiovascular death</w:t>
      </w:r>
      <w:r w:rsidR="00B5179C" w:rsidRPr="000E3990">
        <w:rPr>
          <w:lang w:val="en-GB"/>
        </w:rPr>
        <w:t>, stroke and transient ischaemic attack</w:t>
      </w:r>
      <w:r w:rsidR="002B1C8B" w:rsidRPr="000E3990">
        <w:rPr>
          <w:lang w:val="en-GB"/>
        </w:rPr>
        <w:t xml:space="preserve"> </w:t>
      </w:r>
      <w:r w:rsidR="00B5179C" w:rsidRPr="000E3990">
        <w:rPr>
          <w:lang w:val="en-GB"/>
        </w:rPr>
        <w:t>were</w:t>
      </w:r>
      <w:r w:rsidR="002B1C8B" w:rsidRPr="000E3990">
        <w:rPr>
          <w:lang w:val="en-GB"/>
        </w:rPr>
        <w:t xml:space="preserve"> secondary outcome</w:t>
      </w:r>
      <w:r w:rsidR="00800229" w:rsidRPr="000E3990">
        <w:rPr>
          <w:lang w:val="en-GB"/>
        </w:rPr>
        <w:t>s</w:t>
      </w:r>
      <w:r w:rsidR="002B1C8B" w:rsidRPr="000E3990">
        <w:rPr>
          <w:lang w:val="en-GB"/>
        </w:rPr>
        <w:t>.</w:t>
      </w:r>
    </w:p>
    <w:p w14:paraId="35CFCFC7" w14:textId="77777777" w:rsidR="005F47F1" w:rsidRPr="000E3990" w:rsidRDefault="00DB7BEB" w:rsidP="003D200E">
      <w:pPr>
        <w:pStyle w:val="Heading2"/>
        <w:rPr>
          <w:lang w:val="en-GB"/>
        </w:rPr>
      </w:pPr>
      <w:r w:rsidRPr="000E3990">
        <w:rPr>
          <w:lang w:val="en-GB"/>
        </w:rPr>
        <w:t xml:space="preserve">Sample size </w:t>
      </w:r>
    </w:p>
    <w:p w14:paraId="68093BB5" w14:textId="52BD59D9" w:rsidR="005F47F1" w:rsidRPr="000E3990" w:rsidRDefault="001863FD" w:rsidP="003D200E">
      <w:pPr>
        <w:pStyle w:val="BodyText"/>
        <w:rPr>
          <w:shd w:val="clear" w:color="auto" w:fill="FFFFFF"/>
          <w:lang w:val="en-GB"/>
        </w:rPr>
      </w:pPr>
      <w:r w:rsidRPr="000E3990">
        <w:rPr>
          <w:lang w:val="en-GB"/>
        </w:rPr>
        <w:t>W</w:t>
      </w:r>
      <w:r w:rsidR="00DB7BEB" w:rsidRPr="000E3990">
        <w:rPr>
          <w:lang w:val="en-GB"/>
        </w:rPr>
        <w:t xml:space="preserve">e estimated that 5% of the population would experience a first MACE event </w:t>
      </w:r>
      <w:r w:rsidR="00161545" w:rsidRPr="000E3990">
        <w:rPr>
          <w:lang w:val="en-GB"/>
        </w:rPr>
        <w:t>annually</w:t>
      </w:r>
      <w:r w:rsidR="00DB7BEB" w:rsidRPr="000E3990">
        <w:rPr>
          <w:lang w:val="en-GB"/>
        </w:rPr>
        <w:t xml:space="preserve"> from year</w:t>
      </w:r>
      <w:r w:rsidR="00161545" w:rsidRPr="000E3990">
        <w:rPr>
          <w:lang w:val="en-GB"/>
        </w:rPr>
        <w:t xml:space="preserve"> two</w:t>
      </w:r>
      <w:r w:rsidR="00DB7BEB" w:rsidRPr="000E3990">
        <w:rPr>
          <w:lang w:val="en-GB"/>
        </w:rPr>
        <w:t xml:space="preserve"> onwards (follow-up duration</w:t>
      </w:r>
      <w:r w:rsidR="00161545" w:rsidRPr="000E3990">
        <w:rPr>
          <w:lang w:val="en-GB"/>
        </w:rPr>
        <w:t xml:space="preserve"> to </w:t>
      </w:r>
      <w:r w:rsidR="00F62B66" w:rsidRPr="000E3990">
        <w:rPr>
          <w:lang w:val="en-GB"/>
        </w:rPr>
        <w:t>10 years</w:t>
      </w:r>
      <w:r w:rsidR="00DB7BEB" w:rsidRPr="000E3990">
        <w:rPr>
          <w:lang w:val="en-GB"/>
        </w:rPr>
        <w:t>), and at least 108</w:t>
      </w:r>
      <w:r w:rsidR="00003845" w:rsidRPr="000E3990">
        <w:rPr>
          <w:lang w:val="en-GB"/>
        </w:rPr>
        <w:t xml:space="preserve"> </w:t>
      </w:r>
      <w:r w:rsidR="00DB7BEB" w:rsidRPr="000E3990">
        <w:rPr>
          <w:lang w:val="en-GB"/>
        </w:rPr>
        <w:t>(31%) participants would experience a MACE</w:t>
      </w:r>
      <w:r w:rsidR="00DB7BEB" w:rsidRPr="000E3990">
        <w:rPr>
          <w:shd w:val="clear" w:color="auto" w:fill="FFFFFF"/>
          <w:lang w:val="en-GB"/>
        </w:rPr>
        <w:t xml:space="preserve">. With 105 events, there would be 80% power to detect a hazard ratio of 0.58. </w:t>
      </w:r>
    </w:p>
    <w:p w14:paraId="4544860B" w14:textId="77777777" w:rsidR="005F47F1" w:rsidRPr="000E3990" w:rsidRDefault="00DB7BEB" w:rsidP="003D200E">
      <w:pPr>
        <w:pStyle w:val="Heading2"/>
        <w:rPr>
          <w:shd w:val="clear" w:color="auto" w:fill="FFFFFF"/>
          <w:lang w:val="en-GB"/>
        </w:rPr>
      </w:pPr>
      <w:r w:rsidRPr="000E3990">
        <w:rPr>
          <w:shd w:val="clear" w:color="auto" w:fill="FFFFFF"/>
          <w:lang w:val="en-GB"/>
        </w:rPr>
        <w:t>Electronic health record linkage</w:t>
      </w:r>
    </w:p>
    <w:p w14:paraId="70D71C73" w14:textId="38A26E6B" w:rsidR="005F47F1" w:rsidRPr="000E3990" w:rsidRDefault="001863FD" w:rsidP="003D200E">
      <w:pPr>
        <w:pStyle w:val="BodyText"/>
        <w:rPr>
          <w:shd w:val="clear" w:color="auto" w:fill="FFFFFF"/>
          <w:lang w:val="en-GB"/>
        </w:rPr>
      </w:pPr>
      <w:r w:rsidRPr="000E3990">
        <w:rPr>
          <w:shd w:val="clear" w:color="auto" w:fill="FFFFFF"/>
          <w:lang w:val="en-GB"/>
        </w:rPr>
        <w:t>D</w:t>
      </w:r>
      <w:r w:rsidR="00DB7BEB" w:rsidRPr="000E3990">
        <w:rPr>
          <w:shd w:val="clear" w:color="auto" w:fill="FFFFFF"/>
          <w:lang w:val="en-GB"/>
        </w:rPr>
        <w:t xml:space="preserve">ata for vital status and episodes of hospital care were obtained from NHS Scotland and NHS Digital in England. </w:t>
      </w:r>
      <w:r w:rsidRPr="000E3990">
        <w:rPr>
          <w:shd w:val="clear" w:color="auto" w:fill="FFFFFF"/>
          <w:lang w:val="en-GB"/>
        </w:rPr>
        <w:t>S</w:t>
      </w:r>
      <w:r w:rsidR="00697345" w:rsidRPr="000E3990">
        <w:rPr>
          <w:shd w:val="clear" w:color="auto" w:fill="FFFFFF"/>
          <w:lang w:val="en-GB"/>
        </w:rPr>
        <w:t xml:space="preserve">tandard </w:t>
      </w:r>
      <w:r w:rsidR="00DB7BEB" w:rsidRPr="000E3990">
        <w:rPr>
          <w:shd w:val="clear" w:color="auto" w:fill="FFFFFF"/>
          <w:lang w:val="en-GB"/>
        </w:rPr>
        <w:t xml:space="preserve">clinical coding </w:t>
      </w:r>
      <w:r w:rsidR="00697345" w:rsidRPr="000E3990">
        <w:rPr>
          <w:shd w:val="clear" w:color="auto" w:fill="FFFFFF"/>
          <w:lang w:val="en-GB"/>
        </w:rPr>
        <w:t xml:space="preserve">of </w:t>
      </w:r>
      <w:r w:rsidR="00DB0496" w:rsidRPr="000E3990">
        <w:rPr>
          <w:shd w:val="clear" w:color="auto" w:fill="FFFFFF"/>
          <w:lang w:val="en-GB"/>
        </w:rPr>
        <w:t xml:space="preserve">medical records </w:t>
      </w:r>
      <w:r w:rsidR="00DB7BEB" w:rsidRPr="000E3990">
        <w:rPr>
          <w:shd w:val="clear" w:color="auto" w:fill="FFFFFF"/>
          <w:lang w:val="en-GB"/>
        </w:rPr>
        <w:t xml:space="preserve">per the </w:t>
      </w:r>
      <w:r w:rsidR="00DB7BEB" w:rsidRPr="000E3990">
        <w:rPr>
          <w:lang w:val="en-GB"/>
        </w:rPr>
        <w:t xml:space="preserve">International Classification of Disease (ICD)-10 </w:t>
      </w:r>
      <w:r w:rsidR="00003FA4" w:rsidRPr="000E3990">
        <w:rPr>
          <w:lang w:val="en-GB"/>
        </w:rPr>
        <w:t xml:space="preserve">and OPCS Classification of Interventions and Procedures (OPCS)-4 </w:t>
      </w:r>
      <w:r w:rsidR="00DB7BEB" w:rsidRPr="000E3990">
        <w:rPr>
          <w:shd w:val="clear" w:color="auto" w:fill="FFFFFF"/>
          <w:lang w:val="en-GB"/>
        </w:rPr>
        <w:t xml:space="preserve">were used. </w:t>
      </w:r>
    </w:p>
    <w:p w14:paraId="076B5A6C" w14:textId="77777777" w:rsidR="005F47F1" w:rsidRPr="000E3990" w:rsidRDefault="00DB7BEB" w:rsidP="003D200E">
      <w:pPr>
        <w:pStyle w:val="Heading2"/>
        <w:rPr>
          <w:shd w:val="clear" w:color="auto" w:fill="FFFFFF"/>
          <w:lang w:val="en-GB"/>
        </w:rPr>
      </w:pPr>
      <w:r w:rsidRPr="000E3990">
        <w:rPr>
          <w:shd w:val="clear" w:color="auto" w:fill="FFFFFF"/>
          <w:lang w:val="en-GB"/>
        </w:rPr>
        <w:lastRenderedPageBreak/>
        <w:t>Statistical methods</w:t>
      </w:r>
    </w:p>
    <w:p w14:paraId="2C9A3381" w14:textId="276223B8" w:rsidR="005F47F1" w:rsidRPr="000E3990" w:rsidRDefault="001C18E8" w:rsidP="003D200E">
      <w:pPr>
        <w:pStyle w:val="BodyText"/>
        <w:rPr>
          <w:lang w:val="en-GB"/>
        </w:rPr>
      </w:pPr>
      <w:r w:rsidRPr="000E3990">
        <w:rPr>
          <w:lang w:val="en-GB"/>
        </w:rPr>
        <w:t>Associations</w:t>
      </w:r>
      <w:r w:rsidR="006564A1" w:rsidRPr="000E3990">
        <w:rPr>
          <w:lang w:val="en-GB"/>
        </w:rPr>
        <w:t xml:space="preserve"> were assessed</w:t>
      </w:r>
      <w:r w:rsidRPr="000E3990">
        <w:rPr>
          <w:lang w:val="en-GB"/>
        </w:rPr>
        <w:t xml:space="preserve"> between randomised group and linkage health outcomes occurring </w:t>
      </w:r>
      <w:r w:rsidR="009058A9" w:rsidRPr="000E3990">
        <w:rPr>
          <w:lang w:val="en-GB"/>
        </w:rPr>
        <w:t>after discharge from the index admission</w:t>
      </w:r>
      <w:r w:rsidR="006564A1" w:rsidRPr="000E3990">
        <w:rPr>
          <w:lang w:val="en-GB"/>
        </w:rPr>
        <w:t xml:space="preserve"> until the end of follow-up</w:t>
      </w:r>
      <w:r w:rsidRPr="000E3990">
        <w:rPr>
          <w:lang w:val="en-GB"/>
        </w:rPr>
        <w:t>.</w:t>
      </w:r>
      <w:r w:rsidR="00EC4D3B" w:rsidRPr="000E3990">
        <w:rPr>
          <w:lang w:val="en-GB"/>
        </w:rPr>
        <w:t xml:space="preserve"> </w:t>
      </w:r>
      <w:r w:rsidR="009058A9" w:rsidRPr="000E3990">
        <w:rPr>
          <w:lang w:val="en-GB"/>
        </w:rPr>
        <w:t xml:space="preserve">Health outcomes were defined using the </w:t>
      </w:r>
      <w:r w:rsidR="006564A1" w:rsidRPr="000E3990">
        <w:rPr>
          <w:lang w:val="en-GB"/>
        </w:rPr>
        <w:t xml:space="preserve">primary </w:t>
      </w:r>
      <w:r w:rsidR="009058A9" w:rsidRPr="000E3990">
        <w:rPr>
          <w:lang w:val="en-GB"/>
        </w:rPr>
        <w:t>ICD</w:t>
      </w:r>
      <w:r w:rsidR="00770E3E" w:rsidRPr="000E3990">
        <w:rPr>
          <w:lang w:val="en-GB"/>
        </w:rPr>
        <w:t>-10</w:t>
      </w:r>
      <w:r w:rsidR="009058A9" w:rsidRPr="000E3990">
        <w:rPr>
          <w:lang w:val="en-GB"/>
        </w:rPr>
        <w:t xml:space="preserve"> code recorded and procedural events (CABG, PCI) were defined using </w:t>
      </w:r>
      <w:r w:rsidR="006564A1" w:rsidRPr="000E3990">
        <w:rPr>
          <w:lang w:val="en-GB"/>
        </w:rPr>
        <w:t>all recorded</w:t>
      </w:r>
      <w:r w:rsidR="009058A9" w:rsidRPr="000E3990">
        <w:rPr>
          <w:lang w:val="en-GB"/>
        </w:rPr>
        <w:t xml:space="preserve"> OPCS</w:t>
      </w:r>
      <w:r w:rsidR="00770E3E" w:rsidRPr="000E3990">
        <w:rPr>
          <w:lang w:val="en-GB"/>
        </w:rPr>
        <w:t>-4</w:t>
      </w:r>
      <w:r w:rsidR="009058A9" w:rsidRPr="000E3990">
        <w:rPr>
          <w:lang w:val="en-GB"/>
        </w:rPr>
        <w:t xml:space="preserve"> code</w:t>
      </w:r>
      <w:r w:rsidR="006564A1" w:rsidRPr="000E3990">
        <w:rPr>
          <w:lang w:val="en-GB"/>
        </w:rPr>
        <w:t>s</w:t>
      </w:r>
      <w:r w:rsidR="009058A9" w:rsidRPr="000E3990">
        <w:rPr>
          <w:lang w:val="en-GB"/>
        </w:rPr>
        <w:t xml:space="preserve">. </w:t>
      </w:r>
      <w:r w:rsidR="006564A1" w:rsidRPr="000E3990">
        <w:rPr>
          <w:lang w:val="en-GB"/>
        </w:rPr>
        <w:t>Cardiovascular d</w:t>
      </w:r>
      <w:r w:rsidR="009058A9" w:rsidRPr="000E3990">
        <w:rPr>
          <w:lang w:val="en-GB"/>
        </w:rPr>
        <w:t>eath w</w:t>
      </w:r>
      <w:r w:rsidR="00770E3E" w:rsidRPr="000E3990">
        <w:rPr>
          <w:lang w:val="en-GB"/>
        </w:rPr>
        <w:t>as</w:t>
      </w:r>
      <w:r w:rsidR="009058A9" w:rsidRPr="000E3990">
        <w:rPr>
          <w:lang w:val="en-GB"/>
        </w:rPr>
        <w:t xml:space="preserve"> defined </w:t>
      </w:r>
      <w:r w:rsidR="00770E3E" w:rsidRPr="000E3990">
        <w:rPr>
          <w:lang w:val="en-GB"/>
        </w:rPr>
        <w:t>by</w:t>
      </w:r>
      <w:r w:rsidR="009058A9" w:rsidRPr="000E3990">
        <w:rPr>
          <w:lang w:val="en-GB"/>
        </w:rPr>
        <w:t xml:space="preserve"> the primary cause of death</w:t>
      </w:r>
      <w:r w:rsidR="00770E3E" w:rsidRPr="000E3990">
        <w:rPr>
          <w:lang w:val="en-GB"/>
        </w:rPr>
        <w:t xml:space="preserve"> and using ICD-10 codes I00.x through to I99.x, where a suffix of ‘.x’ is used to indicate inclusion of all sub-codes within the given code range. MACE were defined as a composite of cardiovascular death, </w:t>
      </w:r>
      <w:r w:rsidR="00800229" w:rsidRPr="000E3990">
        <w:rPr>
          <w:lang w:val="en-GB"/>
        </w:rPr>
        <w:t xml:space="preserve">or hospitalisation for </w:t>
      </w:r>
      <w:r w:rsidR="00770E3E" w:rsidRPr="000E3990">
        <w:rPr>
          <w:lang w:val="en-GB"/>
        </w:rPr>
        <w:t xml:space="preserve">myocardial infarction (ICD-10 codes I21.x, I22.x), </w:t>
      </w:r>
      <w:r w:rsidR="00800229" w:rsidRPr="000E3990">
        <w:rPr>
          <w:lang w:val="en-GB"/>
        </w:rPr>
        <w:t>or</w:t>
      </w:r>
      <w:r w:rsidR="00770E3E" w:rsidRPr="000E3990">
        <w:rPr>
          <w:lang w:val="en-GB"/>
        </w:rPr>
        <w:t xml:space="preserve"> heart failure (ICD-10 codes I50.0, I50.1, I50.9, I42.0, I42.9, I11.0, I25.5, I13.2, and I13.0). Coronary revascularisation procedures included PCI, identified by OPCS-4 codes K49.x, K50.x, and K75.x, and CABG, identified by OPCS-4 codes K40.x–K46.x and K47.1. </w:t>
      </w:r>
      <w:r w:rsidR="005D052A" w:rsidRPr="000E3990">
        <w:rPr>
          <w:lang w:val="en-GB"/>
        </w:rPr>
        <w:t>A</w:t>
      </w:r>
      <w:r w:rsidRPr="000E3990">
        <w:rPr>
          <w:lang w:val="en-GB"/>
        </w:rPr>
        <w:t xml:space="preserve">ll randomised </w:t>
      </w:r>
      <w:r w:rsidR="00254739" w:rsidRPr="000E3990">
        <w:rPr>
          <w:lang w:val="en-GB"/>
        </w:rPr>
        <w:t>participant</w:t>
      </w:r>
      <w:r w:rsidRPr="000E3990">
        <w:rPr>
          <w:lang w:val="en-GB"/>
        </w:rPr>
        <w:t>s with linkage data available</w:t>
      </w:r>
      <w:r w:rsidR="00AE1BB1" w:rsidRPr="000E3990">
        <w:rPr>
          <w:lang w:val="en-GB"/>
        </w:rPr>
        <w:t xml:space="preserve"> were included</w:t>
      </w:r>
      <w:r w:rsidRPr="000E3990">
        <w:rPr>
          <w:lang w:val="en-GB"/>
        </w:rPr>
        <w:t xml:space="preserve">. The number of </w:t>
      </w:r>
      <w:r w:rsidR="00AE1BB1" w:rsidRPr="000E3990">
        <w:rPr>
          <w:lang w:val="en-GB"/>
        </w:rPr>
        <w:t>participants</w:t>
      </w:r>
      <w:r w:rsidRPr="000E3990">
        <w:rPr>
          <w:lang w:val="en-GB"/>
        </w:rPr>
        <w:t xml:space="preserve"> experiencing an event, person years at risk and event rate per 1,000 </w:t>
      </w:r>
      <w:r w:rsidR="00806BD2" w:rsidRPr="000E3990">
        <w:rPr>
          <w:lang w:val="en-GB"/>
        </w:rPr>
        <w:t>person-</w:t>
      </w:r>
      <w:r w:rsidRPr="000E3990">
        <w:rPr>
          <w:lang w:val="en-GB"/>
        </w:rPr>
        <w:t xml:space="preserve">years </w:t>
      </w:r>
      <w:r w:rsidR="006516CA" w:rsidRPr="000E3990">
        <w:rPr>
          <w:lang w:val="en-GB"/>
        </w:rPr>
        <w:t>were calculated</w:t>
      </w:r>
      <w:r w:rsidRPr="000E3990">
        <w:rPr>
          <w:lang w:val="en-GB"/>
        </w:rPr>
        <w:t xml:space="preserve"> for the FFR-guided and Standard Care groups. The Cox regression model hazard ratio (HR), 95%</w:t>
      </w:r>
      <w:r w:rsidR="006516CA" w:rsidRPr="000E3990">
        <w:rPr>
          <w:lang w:val="en-GB"/>
        </w:rPr>
        <w:t xml:space="preserve"> </w:t>
      </w:r>
      <w:r w:rsidRPr="000E3990">
        <w:rPr>
          <w:lang w:val="en-GB"/>
        </w:rPr>
        <w:t>CI and corresponding p-value are presented for the FFR-guided group relative to the Standard Care group.</w:t>
      </w:r>
      <w:r w:rsidR="005B662A" w:rsidRPr="000E3990">
        <w:rPr>
          <w:lang w:val="en-GB"/>
        </w:rPr>
        <w:t xml:space="preserve"> </w:t>
      </w:r>
      <w:r w:rsidR="00147731" w:rsidRPr="000E3990">
        <w:rPr>
          <w:lang w:val="en-GB"/>
        </w:rPr>
        <w:t>All tests</w:t>
      </w:r>
      <w:r w:rsidR="00147731" w:rsidRPr="000E3990">
        <w:rPr>
          <w:vertAlign w:val="superscript"/>
          <w:lang w:val="en-GB"/>
        </w:rPr>
        <w:t xml:space="preserve"> </w:t>
      </w:r>
      <w:r w:rsidR="00147731" w:rsidRPr="000E3990">
        <w:rPr>
          <w:lang w:val="en-GB"/>
        </w:rPr>
        <w:t>were two-tailed and assessed at the 5% significance level using R Studio version</w:t>
      </w:r>
      <w:r w:rsidR="00142DFF" w:rsidRPr="000E3990">
        <w:rPr>
          <w:lang w:val="en-GB"/>
        </w:rPr>
        <w:t xml:space="preserve"> </w:t>
      </w:r>
      <w:r w:rsidR="00147731" w:rsidRPr="000E3990">
        <w:rPr>
          <w:lang w:val="en-GB"/>
        </w:rPr>
        <w:t>4.0.0.</w:t>
      </w:r>
      <w:r w:rsidR="00AA464A" w:rsidRPr="000E3990">
        <w:rPr>
          <w:lang w:val="en-GB"/>
        </w:rPr>
        <w:t xml:space="preserve"> </w:t>
      </w:r>
    </w:p>
    <w:p w14:paraId="32B6B76D" w14:textId="77777777" w:rsidR="005F47F1" w:rsidRPr="000E3990" w:rsidRDefault="00DB7BEB" w:rsidP="003D200E">
      <w:pPr>
        <w:pStyle w:val="Heading"/>
      </w:pPr>
      <w:r w:rsidRPr="000E3990">
        <w:rPr>
          <w:rFonts w:eastAsia="Arial Unicode MS" w:cs="Arial Unicode MS"/>
        </w:rPr>
        <w:t>Results</w:t>
      </w:r>
    </w:p>
    <w:p w14:paraId="2D7AA477" w14:textId="32E20231" w:rsidR="007946A1" w:rsidRPr="000E3990" w:rsidRDefault="007946A1" w:rsidP="007946A1">
      <w:pPr>
        <w:pStyle w:val="BodyText"/>
        <w:rPr>
          <w:lang w:val="en-GB"/>
        </w:rPr>
      </w:pPr>
      <w:bookmarkStart w:id="3" w:name="_Hlk206694268"/>
      <w:r w:rsidRPr="000E3990">
        <w:rPr>
          <w:lang w:val="en-GB"/>
        </w:rPr>
        <w:t xml:space="preserve">The duration of follow-up from the day after the index hospitalisation discharge date until death or end of follow-up (data extract 31 March 2022), whichever occurred earliest, was </w:t>
      </w:r>
      <w:bookmarkStart w:id="4" w:name="_Hlk189913767"/>
      <w:r w:rsidRPr="000E3990">
        <w:rPr>
          <w:lang w:val="en-GB"/>
        </w:rPr>
        <w:t>9.3 [9.0 to 9.8] years</w:t>
      </w:r>
      <w:bookmarkEnd w:id="4"/>
      <w:r w:rsidRPr="000E3990">
        <w:rPr>
          <w:lang w:val="en-GB"/>
        </w:rPr>
        <w:t>.</w:t>
      </w:r>
    </w:p>
    <w:bookmarkEnd w:id="3"/>
    <w:p w14:paraId="7FF77F76" w14:textId="76B4CF33" w:rsidR="00165D35" w:rsidRPr="000E3990" w:rsidRDefault="00165D35" w:rsidP="003D200E">
      <w:pPr>
        <w:pStyle w:val="BodyText"/>
        <w:rPr>
          <w:lang w:val="en-GB"/>
        </w:rPr>
      </w:pPr>
      <w:r w:rsidRPr="000E3990">
        <w:rPr>
          <w:lang w:val="en-GB"/>
        </w:rPr>
        <w:t>Of 350 randomised participants, 324 (93%) had complete follow-up</w:t>
      </w:r>
      <w:r w:rsidR="003A5063" w:rsidRPr="000E3990">
        <w:rPr>
          <w:lang w:val="en-GB"/>
        </w:rPr>
        <w:t>, i.e. were successfully linked to their electronic health records</w:t>
      </w:r>
      <w:r w:rsidRPr="000E3990">
        <w:rPr>
          <w:lang w:val="en-GB"/>
        </w:rPr>
        <w:t>. Of these participants (n=324), 161 (49.7%</w:t>
      </w:r>
      <w:r w:rsidR="007B316E" w:rsidRPr="000E3990">
        <w:rPr>
          <w:lang w:val="en-GB"/>
        </w:rPr>
        <w:t xml:space="preserve">) (mean age </w:t>
      </w:r>
      <w:r w:rsidR="007B316E" w:rsidRPr="000E3990">
        <w:rPr>
          <w:lang w:val="en-GB"/>
        </w:rPr>
        <w:lastRenderedPageBreak/>
        <w:t xml:space="preserve">62.5 years, 73.3% males) </w:t>
      </w:r>
      <w:r w:rsidRPr="000E3990">
        <w:rPr>
          <w:lang w:val="en-GB"/>
        </w:rPr>
        <w:t xml:space="preserve">and 163 (50.3%) </w:t>
      </w:r>
      <w:r w:rsidR="007B316E" w:rsidRPr="000E3990">
        <w:rPr>
          <w:lang w:val="en-GB"/>
        </w:rPr>
        <w:t xml:space="preserve">(mean age 62.1 years, 71.8% males) </w:t>
      </w:r>
      <w:r w:rsidRPr="000E3990">
        <w:rPr>
          <w:lang w:val="en-GB"/>
        </w:rPr>
        <w:t xml:space="preserve">had been randomised to the FFR-guided and angiography-guided groups, respectively. </w:t>
      </w:r>
    </w:p>
    <w:p w14:paraId="1921875D" w14:textId="3A72EE89" w:rsidR="00C869B8" w:rsidRPr="000E3990" w:rsidRDefault="00165D35" w:rsidP="003D200E">
      <w:pPr>
        <w:pStyle w:val="BodyText"/>
        <w:rPr>
          <w:lang w:val="en-GB"/>
        </w:rPr>
      </w:pPr>
      <w:r w:rsidRPr="000E3990">
        <w:rPr>
          <w:lang w:val="en-GB"/>
        </w:rPr>
        <w:t>For the primary outcome</w:t>
      </w:r>
      <w:r w:rsidR="00762FFB" w:rsidRPr="000E3990">
        <w:rPr>
          <w:lang w:val="en-GB"/>
        </w:rPr>
        <w:t xml:space="preserve"> (MACE)</w:t>
      </w:r>
      <w:r w:rsidRPr="000E3990">
        <w:rPr>
          <w:lang w:val="en-GB"/>
        </w:rPr>
        <w:t xml:space="preserve">, </w:t>
      </w:r>
      <w:r w:rsidR="00863714" w:rsidRPr="000E3990">
        <w:rPr>
          <w:lang w:val="en-GB"/>
        </w:rPr>
        <w:t xml:space="preserve">45 </w:t>
      </w:r>
      <w:r w:rsidRPr="000E3990">
        <w:rPr>
          <w:lang w:val="en-GB"/>
        </w:rPr>
        <w:t>of 161 (</w:t>
      </w:r>
      <w:r w:rsidR="00863714" w:rsidRPr="000E3990">
        <w:rPr>
          <w:lang w:val="en-GB"/>
        </w:rPr>
        <w:t>28.0</w:t>
      </w:r>
      <w:r w:rsidRPr="000E3990">
        <w:rPr>
          <w:lang w:val="en-GB"/>
        </w:rPr>
        <w:t xml:space="preserve">%) participants in the FFR-guided group and </w:t>
      </w:r>
      <w:r w:rsidR="00863714" w:rsidRPr="000E3990">
        <w:rPr>
          <w:lang w:val="en-GB"/>
        </w:rPr>
        <w:t xml:space="preserve">38 </w:t>
      </w:r>
      <w:r w:rsidRPr="000E3990">
        <w:rPr>
          <w:lang w:val="en-GB"/>
        </w:rPr>
        <w:t>of 163 (</w:t>
      </w:r>
      <w:r w:rsidR="00863714" w:rsidRPr="000E3990">
        <w:rPr>
          <w:lang w:val="en-GB"/>
        </w:rPr>
        <w:t>23.3</w:t>
      </w:r>
      <w:r w:rsidRPr="000E3990">
        <w:rPr>
          <w:lang w:val="en-GB"/>
        </w:rPr>
        <w:t xml:space="preserve">%) participants in the angiography-guided group experienced a MACE (number with event / person years at risk (rate per 1,000 person-years): </w:t>
      </w:r>
      <w:r w:rsidR="00863714" w:rsidRPr="000E3990">
        <w:rPr>
          <w:lang w:val="en-GB"/>
        </w:rPr>
        <w:t>45</w:t>
      </w:r>
      <w:r w:rsidRPr="000E3990">
        <w:rPr>
          <w:lang w:val="en-GB"/>
        </w:rPr>
        <w:t>/</w:t>
      </w:r>
      <w:r w:rsidR="00863714" w:rsidRPr="000E3990">
        <w:rPr>
          <w:lang w:val="en-GB"/>
        </w:rPr>
        <w:t xml:space="preserve">1197 </w:t>
      </w:r>
      <w:r w:rsidRPr="000E3990">
        <w:rPr>
          <w:lang w:val="en-GB"/>
        </w:rPr>
        <w:t>(</w:t>
      </w:r>
      <w:r w:rsidR="00863714" w:rsidRPr="000E3990">
        <w:rPr>
          <w:lang w:val="en-GB"/>
        </w:rPr>
        <w:t>37.6</w:t>
      </w:r>
      <w:r w:rsidRPr="000E3990">
        <w:rPr>
          <w:lang w:val="en-GB"/>
        </w:rPr>
        <w:t xml:space="preserve">) vs. </w:t>
      </w:r>
      <w:r w:rsidR="00863714" w:rsidRPr="000E3990">
        <w:rPr>
          <w:lang w:val="en-GB"/>
        </w:rPr>
        <w:t>38</w:t>
      </w:r>
      <w:r w:rsidRPr="000E3990">
        <w:rPr>
          <w:lang w:val="en-GB"/>
        </w:rPr>
        <w:t>/</w:t>
      </w:r>
      <w:r w:rsidR="00863714" w:rsidRPr="000E3990">
        <w:rPr>
          <w:lang w:val="en-GB"/>
        </w:rPr>
        <w:t xml:space="preserve">1284 </w:t>
      </w:r>
      <w:r w:rsidRPr="000E3990">
        <w:rPr>
          <w:lang w:val="en-GB"/>
        </w:rPr>
        <w:t>(</w:t>
      </w:r>
      <w:r w:rsidR="00863714" w:rsidRPr="000E3990">
        <w:rPr>
          <w:lang w:val="en-GB"/>
        </w:rPr>
        <w:t>29.6</w:t>
      </w:r>
      <w:r w:rsidRPr="000E3990">
        <w:rPr>
          <w:lang w:val="en-GB"/>
        </w:rPr>
        <w:t>); hazard ratio (95% confidence interval) 1.</w:t>
      </w:r>
      <w:r w:rsidR="00863714" w:rsidRPr="000E3990">
        <w:rPr>
          <w:lang w:val="en-GB"/>
        </w:rPr>
        <w:t xml:space="preserve">26 </w:t>
      </w:r>
      <w:r w:rsidRPr="000E3990">
        <w:rPr>
          <w:lang w:val="en-GB"/>
        </w:rPr>
        <w:t>(0.</w:t>
      </w:r>
      <w:r w:rsidR="00863714" w:rsidRPr="000E3990">
        <w:rPr>
          <w:lang w:val="en-GB"/>
        </w:rPr>
        <w:t>82</w:t>
      </w:r>
      <w:r w:rsidRPr="000E3990">
        <w:rPr>
          <w:lang w:val="en-GB"/>
        </w:rPr>
        <w:t>, 1.</w:t>
      </w:r>
      <w:r w:rsidR="00863714" w:rsidRPr="000E3990">
        <w:rPr>
          <w:lang w:val="en-GB"/>
        </w:rPr>
        <w:t>95</w:t>
      </w:r>
      <w:r w:rsidRPr="000E3990">
        <w:rPr>
          <w:lang w:val="en-GB"/>
        </w:rPr>
        <w:t>); p=0.</w:t>
      </w:r>
      <w:r w:rsidR="00863714" w:rsidRPr="000E3990">
        <w:rPr>
          <w:lang w:val="en-GB"/>
        </w:rPr>
        <w:t>288</w:t>
      </w:r>
      <w:r w:rsidRPr="000E3990">
        <w:rPr>
          <w:lang w:val="en-GB"/>
        </w:rPr>
        <w:t xml:space="preserve">). </w:t>
      </w:r>
    </w:p>
    <w:p w14:paraId="54E1C136" w14:textId="60E707DD" w:rsidR="00165D35" w:rsidRPr="000E3990" w:rsidRDefault="00762FFB" w:rsidP="003D200E">
      <w:pPr>
        <w:pStyle w:val="BodyText"/>
        <w:rPr>
          <w:lang w:val="en-GB"/>
        </w:rPr>
      </w:pPr>
      <w:r w:rsidRPr="000E3990">
        <w:rPr>
          <w:lang w:val="en-GB"/>
        </w:rPr>
        <w:t>The death rate was higher in the FFR-guided group (45/1337 (</w:t>
      </w:r>
      <w:r w:rsidR="00D96435" w:rsidRPr="000E3990">
        <w:rPr>
          <w:lang w:val="en-GB"/>
        </w:rPr>
        <w:t>33</w:t>
      </w:r>
      <w:r w:rsidRPr="000E3990">
        <w:rPr>
          <w:lang w:val="en-GB"/>
        </w:rPr>
        <w:t xml:space="preserve">.7) vs. </w:t>
      </w:r>
      <w:r w:rsidR="00D96435" w:rsidRPr="000E3990">
        <w:rPr>
          <w:lang w:val="en-GB"/>
        </w:rPr>
        <w:t>33</w:t>
      </w:r>
      <w:r w:rsidRPr="000E3990">
        <w:rPr>
          <w:lang w:val="en-GB"/>
        </w:rPr>
        <w:t>/1426 (</w:t>
      </w:r>
      <w:r w:rsidR="00D96435" w:rsidRPr="000E3990">
        <w:rPr>
          <w:lang w:val="en-GB"/>
        </w:rPr>
        <w:t>23.1</w:t>
      </w:r>
      <w:r w:rsidRPr="000E3990">
        <w:rPr>
          <w:lang w:val="en-GB"/>
        </w:rPr>
        <w:t xml:space="preserve">); </w:t>
      </w:r>
      <w:r w:rsidR="00D96435" w:rsidRPr="000E3990">
        <w:rPr>
          <w:lang w:val="en-GB"/>
        </w:rPr>
        <w:t>1.47</w:t>
      </w:r>
      <w:r w:rsidRPr="000E3990">
        <w:rPr>
          <w:lang w:val="en-GB"/>
        </w:rPr>
        <w:t xml:space="preserve"> (0.9</w:t>
      </w:r>
      <w:r w:rsidR="00D96435" w:rsidRPr="000E3990">
        <w:rPr>
          <w:lang w:val="en-GB"/>
        </w:rPr>
        <w:t>4</w:t>
      </w:r>
      <w:r w:rsidRPr="000E3990">
        <w:rPr>
          <w:lang w:val="en-GB"/>
        </w:rPr>
        <w:t xml:space="preserve">, </w:t>
      </w:r>
      <w:r w:rsidR="00D96435" w:rsidRPr="000E3990">
        <w:rPr>
          <w:lang w:val="en-GB"/>
        </w:rPr>
        <w:t>2.30</w:t>
      </w:r>
      <w:r w:rsidRPr="000E3990">
        <w:rPr>
          <w:lang w:val="en-GB"/>
        </w:rPr>
        <w:t>); Cox regression p=0.0</w:t>
      </w:r>
      <w:r w:rsidR="00D96435" w:rsidRPr="000E3990">
        <w:rPr>
          <w:lang w:val="en-GB"/>
        </w:rPr>
        <w:t>94</w:t>
      </w:r>
      <w:r w:rsidRPr="000E3990">
        <w:rPr>
          <w:lang w:val="en-GB"/>
        </w:rPr>
        <w:t>; Kaplan Meier log-rank test, X</w:t>
      </w:r>
      <w:r w:rsidRPr="000E3990">
        <w:rPr>
          <w:vertAlign w:val="superscript"/>
          <w:lang w:val="en-GB"/>
        </w:rPr>
        <w:t>2</w:t>
      </w:r>
      <w:r w:rsidRPr="000E3990">
        <w:rPr>
          <w:lang w:val="en-GB"/>
        </w:rPr>
        <w:t xml:space="preserve"> (1, N = 324) = </w:t>
      </w:r>
      <w:r w:rsidR="00D34E53" w:rsidRPr="000E3990">
        <w:rPr>
          <w:lang w:val="en-GB"/>
        </w:rPr>
        <w:t>2.83</w:t>
      </w:r>
      <w:r w:rsidRPr="000E3990">
        <w:rPr>
          <w:lang w:val="en-GB"/>
        </w:rPr>
        <w:t>, p=0.0</w:t>
      </w:r>
      <w:r w:rsidR="00D96435" w:rsidRPr="000E3990">
        <w:rPr>
          <w:lang w:val="en-GB"/>
        </w:rPr>
        <w:t>92</w:t>
      </w:r>
      <w:r w:rsidRPr="000E3990">
        <w:rPr>
          <w:lang w:val="en-GB"/>
        </w:rPr>
        <w:t>).</w:t>
      </w:r>
      <w:r w:rsidR="00D96435" w:rsidRPr="000E3990">
        <w:rPr>
          <w:lang w:val="en-GB"/>
        </w:rPr>
        <w:t xml:space="preserve"> </w:t>
      </w:r>
      <w:r w:rsidR="00165D35" w:rsidRPr="000E3990">
        <w:rPr>
          <w:lang w:val="en-GB"/>
        </w:rPr>
        <w:t>The cardiovascular death rate was higher in the FFR-guided group (</w:t>
      </w:r>
      <w:r w:rsidR="00A87B3A" w:rsidRPr="000E3990">
        <w:rPr>
          <w:lang w:val="en-GB"/>
        </w:rPr>
        <w:t>21</w:t>
      </w:r>
      <w:r w:rsidR="00165D35" w:rsidRPr="000E3990">
        <w:rPr>
          <w:lang w:val="en-GB"/>
        </w:rPr>
        <w:t>/1337 (</w:t>
      </w:r>
      <w:r w:rsidR="00A87B3A" w:rsidRPr="000E3990">
        <w:rPr>
          <w:lang w:val="en-GB"/>
        </w:rPr>
        <w:t>15.7</w:t>
      </w:r>
      <w:r w:rsidR="00165D35" w:rsidRPr="000E3990">
        <w:rPr>
          <w:lang w:val="en-GB"/>
        </w:rPr>
        <w:t xml:space="preserve">) vs. </w:t>
      </w:r>
      <w:r w:rsidR="00A87B3A" w:rsidRPr="000E3990">
        <w:rPr>
          <w:lang w:val="en-GB"/>
        </w:rPr>
        <w:t>11</w:t>
      </w:r>
      <w:r w:rsidR="00165D35" w:rsidRPr="000E3990">
        <w:rPr>
          <w:lang w:val="en-GB"/>
        </w:rPr>
        <w:t>/</w:t>
      </w:r>
      <w:r w:rsidR="00A87B3A" w:rsidRPr="000E3990">
        <w:rPr>
          <w:lang w:val="en-GB"/>
        </w:rPr>
        <w:t xml:space="preserve">1426 </w:t>
      </w:r>
      <w:r w:rsidR="00165D35" w:rsidRPr="000E3990">
        <w:rPr>
          <w:lang w:val="en-GB"/>
        </w:rPr>
        <w:t>(</w:t>
      </w:r>
      <w:r w:rsidR="00A87B3A" w:rsidRPr="000E3990">
        <w:rPr>
          <w:lang w:val="en-GB"/>
        </w:rPr>
        <w:t>7.7</w:t>
      </w:r>
      <w:r w:rsidR="00165D35" w:rsidRPr="000E3990">
        <w:rPr>
          <w:lang w:val="en-GB"/>
        </w:rPr>
        <w:t xml:space="preserve">); </w:t>
      </w:r>
      <w:r w:rsidR="00A87B3A" w:rsidRPr="000E3990">
        <w:rPr>
          <w:lang w:val="en-GB"/>
        </w:rPr>
        <w:t>2.05</w:t>
      </w:r>
      <w:r w:rsidR="00165D35" w:rsidRPr="000E3990">
        <w:rPr>
          <w:lang w:val="en-GB"/>
        </w:rPr>
        <w:t xml:space="preserve"> (</w:t>
      </w:r>
      <w:r w:rsidR="00A87B3A" w:rsidRPr="000E3990">
        <w:rPr>
          <w:lang w:val="en-GB"/>
        </w:rPr>
        <w:t>0.99</w:t>
      </w:r>
      <w:r w:rsidR="00165D35" w:rsidRPr="000E3990">
        <w:rPr>
          <w:lang w:val="en-GB"/>
        </w:rPr>
        <w:t xml:space="preserve">, </w:t>
      </w:r>
      <w:r w:rsidR="00A87B3A" w:rsidRPr="000E3990">
        <w:rPr>
          <w:lang w:val="en-GB"/>
        </w:rPr>
        <w:t>4.26</w:t>
      </w:r>
      <w:r w:rsidR="00165D35" w:rsidRPr="000E3990">
        <w:rPr>
          <w:lang w:val="en-GB"/>
        </w:rPr>
        <w:t>); Cox regression p=0.05</w:t>
      </w:r>
      <w:r w:rsidR="003D200E" w:rsidRPr="000E3990">
        <w:rPr>
          <w:lang w:val="en-GB"/>
        </w:rPr>
        <w:t>4</w:t>
      </w:r>
      <w:r w:rsidR="00165D35" w:rsidRPr="000E3990">
        <w:rPr>
          <w:lang w:val="en-GB"/>
        </w:rPr>
        <w:t>; Kaplan Meier log-rank test, X</w:t>
      </w:r>
      <w:r w:rsidR="00165D35" w:rsidRPr="000E3990">
        <w:rPr>
          <w:vertAlign w:val="superscript"/>
          <w:lang w:val="en-GB"/>
        </w:rPr>
        <w:t>2</w:t>
      </w:r>
      <w:r w:rsidR="00165D35" w:rsidRPr="000E3990">
        <w:rPr>
          <w:lang w:val="en-GB"/>
        </w:rPr>
        <w:t xml:space="preserve"> (1, N = 324) = 3.</w:t>
      </w:r>
      <w:r w:rsidR="00A87B3A" w:rsidRPr="000E3990">
        <w:rPr>
          <w:lang w:val="en-GB"/>
        </w:rPr>
        <w:t>88</w:t>
      </w:r>
      <w:r w:rsidR="00165D35" w:rsidRPr="000E3990">
        <w:rPr>
          <w:lang w:val="en-GB"/>
        </w:rPr>
        <w:t>, p=0.04</w:t>
      </w:r>
      <w:r w:rsidR="00A87B3A" w:rsidRPr="000E3990">
        <w:rPr>
          <w:lang w:val="en-GB"/>
        </w:rPr>
        <w:t>9</w:t>
      </w:r>
      <w:r w:rsidR="00165D35" w:rsidRPr="000E3990">
        <w:rPr>
          <w:lang w:val="en-GB"/>
        </w:rPr>
        <w:t>).</w:t>
      </w:r>
    </w:p>
    <w:p w14:paraId="73BE0B75" w14:textId="3E07104E" w:rsidR="00165D35" w:rsidRPr="000E3990" w:rsidRDefault="00165D35" w:rsidP="003D200E">
      <w:pPr>
        <w:pStyle w:val="BodyText"/>
        <w:rPr>
          <w:lang w:val="en-GB"/>
        </w:rPr>
      </w:pPr>
      <w:r w:rsidRPr="000E3990">
        <w:rPr>
          <w:lang w:val="en-GB"/>
        </w:rPr>
        <w:t xml:space="preserve">Coronary revascularisation by PCI or CABG </w:t>
      </w:r>
      <w:r w:rsidR="00D96435" w:rsidRPr="000E3990">
        <w:rPr>
          <w:lang w:val="en-GB"/>
        </w:rPr>
        <w:t xml:space="preserve">after discharge </w:t>
      </w:r>
      <w:r w:rsidRPr="000E3990">
        <w:rPr>
          <w:lang w:val="en-GB"/>
        </w:rPr>
        <w:t>was performed in 26/161 (16.1%) of the FFR guided group vs. 37/163 (22.7%) of the angiography-guided group (number with event / person years at risk (rate per 1,000 person-years): 26/1187 (21.9) vs. 37/120</w:t>
      </w:r>
      <w:r w:rsidR="00A87B3A" w:rsidRPr="000E3990">
        <w:rPr>
          <w:lang w:val="en-GB"/>
        </w:rPr>
        <w:t>8</w:t>
      </w:r>
      <w:r w:rsidRPr="000E3990">
        <w:rPr>
          <w:lang w:val="en-GB"/>
        </w:rPr>
        <w:t xml:space="preserve"> (30.</w:t>
      </w:r>
      <w:r w:rsidR="00A87B3A" w:rsidRPr="000E3990">
        <w:rPr>
          <w:lang w:val="en-GB"/>
        </w:rPr>
        <w:t>6</w:t>
      </w:r>
      <w:r w:rsidRPr="000E3990">
        <w:rPr>
          <w:lang w:val="en-GB"/>
        </w:rPr>
        <w:t xml:space="preserve">); hazard ratio 0.72 (95% </w:t>
      </w:r>
      <w:r w:rsidR="00BD3126" w:rsidRPr="000E3990">
        <w:rPr>
          <w:lang w:val="en-GB"/>
        </w:rPr>
        <w:t>CI</w:t>
      </w:r>
      <w:r w:rsidRPr="000E3990">
        <w:rPr>
          <w:lang w:val="en-GB"/>
        </w:rPr>
        <w:t xml:space="preserve"> 0.43, 1.18); p=0.193).</w:t>
      </w:r>
    </w:p>
    <w:p w14:paraId="51682A67" w14:textId="77777777" w:rsidR="005F47F1" w:rsidRPr="000E3990" w:rsidRDefault="00DB7BEB" w:rsidP="003D200E">
      <w:pPr>
        <w:pStyle w:val="Heading3"/>
        <w:rPr>
          <w:lang w:val="en-GB"/>
        </w:rPr>
      </w:pPr>
      <w:r w:rsidRPr="000E3990">
        <w:rPr>
          <w:lang w:val="en-GB"/>
        </w:rPr>
        <w:t>Change in treatment plan post-randomisation and clinical outcomes</w:t>
      </w:r>
    </w:p>
    <w:p w14:paraId="242F900E" w14:textId="0A38EBC4" w:rsidR="005F47F1" w:rsidRPr="000E3990" w:rsidRDefault="00DB7BEB" w:rsidP="003D200E">
      <w:pPr>
        <w:pStyle w:val="BodyText"/>
        <w:rPr>
          <w:lang w:val="en-GB"/>
        </w:rPr>
      </w:pPr>
      <w:r w:rsidRPr="000E3990">
        <w:rPr>
          <w:lang w:val="en-GB"/>
        </w:rPr>
        <w:t xml:space="preserve">The associations between change in </w:t>
      </w:r>
      <w:r w:rsidR="00F7398C" w:rsidRPr="000E3990">
        <w:rPr>
          <w:lang w:val="en-GB"/>
        </w:rPr>
        <w:t xml:space="preserve">the initial plan for </w:t>
      </w:r>
      <w:r w:rsidRPr="000E3990">
        <w:rPr>
          <w:lang w:val="en-GB"/>
        </w:rPr>
        <w:t xml:space="preserve">revascularisation </w:t>
      </w:r>
      <w:r w:rsidR="009763A9" w:rsidRPr="000E3990">
        <w:rPr>
          <w:lang w:val="en-GB"/>
        </w:rPr>
        <w:t xml:space="preserve">(PCI or CABG) </w:t>
      </w:r>
      <w:r w:rsidR="00F7398C" w:rsidRPr="000E3990">
        <w:rPr>
          <w:lang w:val="en-GB"/>
        </w:rPr>
        <w:t xml:space="preserve">to medical management </w:t>
      </w:r>
      <w:r w:rsidRPr="000E3990">
        <w:rPr>
          <w:lang w:val="en-GB"/>
        </w:rPr>
        <w:t xml:space="preserve">post-randomisation and </w:t>
      </w:r>
      <w:r w:rsidR="008B281A" w:rsidRPr="000E3990">
        <w:rPr>
          <w:lang w:val="en-GB"/>
        </w:rPr>
        <w:t>clinical</w:t>
      </w:r>
      <w:r w:rsidRPr="000E3990">
        <w:rPr>
          <w:lang w:val="en-GB"/>
        </w:rPr>
        <w:t xml:space="preserve"> outcomes </w:t>
      </w:r>
      <w:r w:rsidR="00C869B8" w:rsidRPr="000E3990">
        <w:rPr>
          <w:lang w:val="en-GB"/>
        </w:rPr>
        <w:t>were assessed</w:t>
      </w:r>
      <w:r w:rsidRPr="000E3990">
        <w:rPr>
          <w:lang w:val="en-GB"/>
        </w:rPr>
        <w:t>.</w:t>
      </w:r>
      <w:r w:rsidR="00BB40AF" w:rsidRPr="000E3990">
        <w:rPr>
          <w:lang w:val="en-GB"/>
        </w:rPr>
        <w:t xml:space="preserve"> </w:t>
      </w:r>
    </w:p>
    <w:p w14:paraId="013E08F1" w14:textId="0375CB72" w:rsidR="00F40783" w:rsidRPr="000E3990" w:rsidRDefault="005F0C40" w:rsidP="003D200E">
      <w:pPr>
        <w:pStyle w:val="BodyText"/>
        <w:rPr>
          <w:lang w:val="en-GB"/>
        </w:rPr>
      </w:pPr>
      <w:r w:rsidRPr="000E3990">
        <w:rPr>
          <w:lang w:val="en-GB"/>
        </w:rPr>
        <w:t>MACE</w:t>
      </w:r>
      <w:r w:rsidR="00BB40AF" w:rsidRPr="000E3990">
        <w:rPr>
          <w:lang w:val="en-GB"/>
        </w:rPr>
        <w:t xml:space="preserve"> were not different between groups with or without a change in revascularisation treatment decision post- versus pre- randomisation</w:t>
      </w:r>
      <w:r w:rsidR="00DB7BEB" w:rsidRPr="000E3990">
        <w:rPr>
          <w:lang w:val="en-GB"/>
        </w:rPr>
        <w:t>, and coronary revascularisation remained reduced</w:t>
      </w:r>
      <w:r w:rsidR="001471E0" w:rsidRPr="000E3990">
        <w:rPr>
          <w:lang w:val="en-GB"/>
        </w:rPr>
        <w:t xml:space="preserve"> (</w:t>
      </w:r>
      <w:r w:rsidR="00F54B10" w:rsidRPr="000E3990">
        <w:rPr>
          <w:lang w:val="en-GB"/>
        </w:rPr>
        <w:t xml:space="preserve">10/34 (29.4%) in the </w:t>
      </w:r>
      <w:r w:rsidR="001471E0" w:rsidRPr="000E3990">
        <w:rPr>
          <w:lang w:val="en-GB"/>
        </w:rPr>
        <w:t xml:space="preserve">change group vs. </w:t>
      </w:r>
      <w:r w:rsidR="00F54B10" w:rsidRPr="000E3990">
        <w:rPr>
          <w:lang w:val="en-GB"/>
        </w:rPr>
        <w:t xml:space="preserve">35/127 (27.6%) in the </w:t>
      </w:r>
      <w:r w:rsidR="001471E0" w:rsidRPr="000E3990">
        <w:rPr>
          <w:lang w:val="en-GB"/>
        </w:rPr>
        <w:t xml:space="preserve">no change group: </w:t>
      </w:r>
      <w:r w:rsidR="00914486" w:rsidRPr="000E3990">
        <w:rPr>
          <w:lang w:val="en-GB"/>
        </w:rPr>
        <w:t xml:space="preserve">number of individuals experiencing an event, person years at risk and event rate per 1,000 years - </w:t>
      </w:r>
      <w:r w:rsidR="00F54B10" w:rsidRPr="000E3990">
        <w:rPr>
          <w:lang w:val="en-GB"/>
        </w:rPr>
        <w:t>10</w:t>
      </w:r>
      <w:r w:rsidR="00FE51C5" w:rsidRPr="000E3990">
        <w:rPr>
          <w:lang w:val="en-GB"/>
        </w:rPr>
        <w:t>/</w:t>
      </w:r>
      <w:r w:rsidR="00F54B10" w:rsidRPr="000E3990">
        <w:rPr>
          <w:lang w:val="en-GB"/>
        </w:rPr>
        <w:t xml:space="preserve">253 </w:t>
      </w:r>
      <w:r w:rsidR="00FE51C5" w:rsidRPr="000E3990">
        <w:rPr>
          <w:lang w:val="en-GB"/>
        </w:rPr>
        <w:t>(</w:t>
      </w:r>
      <w:r w:rsidR="00F54B10" w:rsidRPr="000E3990">
        <w:rPr>
          <w:lang w:val="en-GB"/>
        </w:rPr>
        <w:t>39.5</w:t>
      </w:r>
      <w:r w:rsidR="00FE51C5" w:rsidRPr="000E3990">
        <w:rPr>
          <w:lang w:val="en-GB"/>
        </w:rPr>
        <w:t xml:space="preserve">) vs </w:t>
      </w:r>
      <w:r w:rsidR="00F54B10" w:rsidRPr="000E3990">
        <w:rPr>
          <w:lang w:val="en-GB"/>
        </w:rPr>
        <w:t>35</w:t>
      </w:r>
      <w:r w:rsidR="00FE51C5" w:rsidRPr="000E3990">
        <w:rPr>
          <w:lang w:val="en-GB"/>
        </w:rPr>
        <w:t>/</w:t>
      </w:r>
      <w:r w:rsidR="00F54B10" w:rsidRPr="000E3990">
        <w:rPr>
          <w:lang w:val="en-GB"/>
        </w:rPr>
        <w:t xml:space="preserve">944 </w:t>
      </w:r>
      <w:r w:rsidR="00FE51C5" w:rsidRPr="000E3990">
        <w:rPr>
          <w:lang w:val="en-GB"/>
        </w:rPr>
        <w:t>(</w:t>
      </w:r>
      <w:r w:rsidR="00F54B10" w:rsidRPr="000E3990">
        <w:rPr>
          <w:lang w:val="en-GB"/>
        </w:rPr>
        <w:t>37.1</w:t>
      </w:r>
      <w:r w:rsidR="00FE51C5" w:rsidRPr="000E3990">
        <w:rPr>
          <w:lang w:val="en-GB"/>
        </w:rPr>
        <w:t>)</w:t>
      </w:r>
      <w:r w:rsidR="001F24C4" w:rsidRPr="000E3990">
        <w:rPr>
          <w:lang w:val="en-GB"/>
        </w:rPr>
        <w:t xml:space="preserve">; Cox hazard ratio (95% </w:t>
      </w:r>
      <w:r w:rsidR="00BD3126" w:rsidRPr="000E3990">
        <w:rPr>
          <w:lang w:val="en-GB"/>
        </w:rPr>
        <w:t>CI</w:t>
      </w:r>
      <w:r w:rsidR="001F24C4" w:rsidRPr="000E3990">
        <w:rPr>
          <w:lang w:val="en-GB"/>
        </w:rPr>
        <w:t xml:space="preserve">) </w:t>
      </w:r>
      <w:r w:rsidR="00F54B10" w:rsidRPr="000E3990">
        <w:rPr>
          <w:lang w:val="en-GB"/>
        </w:rPr>
        <w:t>1.08</w:t>
      </w:r>
      <w:r w:rsidR="00FE51C5" w:rsidRPr="000E3990">
        <w:rPr>
          <w:lang w:val="en-GB"/>
        </w:rPr>
        <w:t xml:space="preserve"> (0.</w:t>
      </w:r>
      <w:r w:rsidR="00F54B10" w:rsidRPr="000E3990">
        <w:rPr>
          <w:lang w:val="en-GB"/>
        </w:rPr>
        <w:t>54</w:t>
      </w:r>
      <w:r w:rsidR="00FE51C5" w:rsidRPr="000E3990">
        <w:rPr>
          <w:lang w:val="en-GB"/>
        </w:rPr>
        <w:t xml:space="preserve">, </w:t>
      </w:r>
      <w:r w:rsidR="00F54B10" w:rsidRPr="000E3990">
        <w:rPr>
          <w:lang w:val="en-GB"/>
        </w:rPr>
        <w:t>2.19</w:t>
      </w:r>
      <w:r w:rsidR="00FE51C5" w:rsidRPr="000E3990">
        <w:rPr>
          <w:lang w:val="en-GB"/>
        </w:rPr>
        <w:t>); p=0.</w:t>
      </w:r>
      <w:r w:rsidR="00F54B10" w:rsidRPr="000E3990">
        <w:rPr>
          <w:lang w:val="en-GB"/>
        </w:rPr>
        <w:t>824</w:t>
      </w:r>
      <w:r w:rsidR="00FE51C5" w:rsidRPr="000E3990">
        <w:rPr>
          <w:lang w:val="en-GB"/>
        </w:rPr>
        <w:t>).</w:t>
      </w:r>
    </w:p>
    <w:p w14:paraId="1AD116B3" w14:textId="77777777" w:rsidR="005F47F1" w:rsidRPr="000E3990" w:rsidRDefault="00DB7BEB" w:rsidP="003D200E">
      <w:pPr>
        <w:pStyle w:val="Heading"/>
      </w:pPr>
      <w:r w:rsidRPr="000E3990">
        <w:rPr>
          <w:rFonts w:eastAsia="Arial Unicode MS" w:cs="Arial Unicode MS"/>
        </w:rPr>
        <w:lastRenderedPageBreak/>
        <w:t>Discussion</w:t>
      </w:r>
    </w:p>
    <w:p w14:paraId="05D5BD56" w14:textId="1EECA78E" w:rsidR="00C869B8" w:rsidRPr="000E3990" w:rsidRDefault="00AD4E4F" w:rsidP="003D200E">
      <w:pPr>
        <w:pStyle w:val="BodyText"/>
        <w:rPr>
          <w:lang w:val="en-GB"/>
        </w:rPr>
      </w:pPr>
      <w:r w:rsidRPr="000E3990">
        <w:rPr>
          <w:lang w:val="en-GB"/>
        </w:rPr>
        <w:t>In NSTEMI patients followed for ten years, compared to angiography-guided management, FFR-guided management did not reduce adverse cardiovascular outcomes.</w:t>
      </w:r>
      <w:r w:rsidR="00C869B8" w:rsidRPr="000E3990">
        <w:rPr>
          <w:lang w:val="en-GB"/>
        </w:rPr>
        <w:t xml:space="preserve"> </w:t>
      </w:r>
    </w:p>
    <w:p w14:paraId="0F317C20" w14:textId="4485476E" w:rsidR="00C869B8" w:rsidRPr="000E3990" w:rsidRDefault="00C869B8" w:rsidP="003D200E">
      <w:pPr>
        <w:pStyle w:val="BodyText"/>
        <w:rPr>
          <w:lang w:val="en-GB"/>
        </w:rPr>
      </w:pPr>
      <w:r w:rsidRPr="000E3990">
        <w:rPr>
          <w:lang w:val="en-GB"/>
        </w:rPr>
        <w:t xml:space="preserve">The results support guideline recommendations against functional evaluation of </w:t>
      </w:r>
      <w:r w:rsidR="007B316E" w:rsidRPr="000E3990">
        <w:rPr>
          <w:lang w:val="en-GB"/>
        </w:rPr>
        <w:t xml:space="preserve">an </w:t>
      </w:r>
      <w:r w:rsidRPr="000E3990">
        <w:rPr>
          <w:lang w:val="en-GB"/>
        </w:rPr>
        <w:t>infarct</w:t>
      </w:r>
      <w:r w:rsidR="007B316E" w:rsidRPr="000E3990">
        <w:rPr>
          <w:lang w:val="en-GB"/>
        </w:rPr>
        <w:t>-</w:t>
      </w:r>
      <w:r w:rsidRPr="000E3990">
        <w:rPr>
          <w:lang w:val="en-GB"/>
        </w:rPr>
        <w:t>related coronary artery during the index procedure</w:t>
      </w:r>
      <w:r w:rsidR="00267FD8" w:rsidRPr="000E3990">
        <w:rPr>
          <w:lang w:val="en-GB"/>
        </w:rPr>
        <w:t>,</w:t>
      </w:r>
      <w:r w:rsidR="00B25A7A" w:rsidRPr="000E3990">
        <w:rPr>
          <w:vertAlign w:val="superscript"/>
          <w:lang w:val="en-GB"/>
        </w:rPr>
        <w:t>[</w:t>
      </w:r>
      <w:r w:rsidRPr="000E3990">
        <w:rPr>
          <w:vertAlign w:val="superscript"/>
          <w:lang w:val="en-GB"/>
        </w:rPr>
        <w:t>1</w:t>
      </w:r>
      <w:r w:rsidR="00B25A7A" w:rsidRPr="000E3990">
        <w:rPr>
          <w:vertAlign w:val="superscript"/>
          <w:lang w:val="en-GB"/>
        </w:rPr>
        <w:t>,2]</w:t>
      </w:r>
      <w:r w:rsidR="00267FD8" w:rsidRPr="000E3990">
        <w:rPr>
          <w:vertAlign w:val="superscript"/>
          <w:lang w:val="en-GB"/>
        </w:rPr>
        <w:t xml:space="preserve"> </w:t>
      </w:r>
      <w:r w:rsidR="00267FD8" w:rsidRPr="000E3990">
        <w:rPr>
          <w:lang w:val="en-GB"/>
        </w:rPr>
        <w:t>and highlight the uncertainty about culprit lesion classification in NSTEMI.</w:t>
      </w:r>
      <w:r w:rsidR="00B25A7A" w:rsidRPr="000E3990">
        <w:rPr>
          <w:vertAlign w:val="superscript"/>
          <w:lang w:val="en-GB"/>
        </w:rPr>
        <w:t>[8]</w:t>
      </w:r>
      <w:r w:rsidR="00236CDF" w:rsidRPr="000E3990">
        <w:rPr>
          <w:vertAlign w:val="superscript"/>
          <w:lang w:val="en-GB"/>
        </w:rPr>
        <w:t xml:space="preserve"> </w:t>
      </w:r>
      <w:r w:rsidRPr="000E3990">
        <w:rPr>
          <w:lang w:val="en-GB"/>
        </w:rPr>
        <w:t>The</w:t>
      </w:r>
      <w:r w:rsidR="00BD3126" w:rsidRPr="000E3990">
        <w:rPr>
          <w:lang w:val="en-GB"/>
        </w:rPr>
        <w:t xml:space="preserve"> </w:t>
      </w:r>
      <w:r w:rsidRPr="000E3990">
        <w:rPr>
          <w:lang w:val="en-GB"/>
        </w:rPr>
        <w:t xml:space="preserve">Complete-NSTEMI (NCT05786131) and COMPLETE-2 (NCT05701358) </w:t>
      </w:r>
      <w:r w:rsidR="00853E53" w:rsidRPr="000E3990">
        <w:rPr>
          <w:lang w:val="en-GB"/>
        </w:rPr>
        <w:t xml:space="preserve">clinical </w:t>
      </w:r>
      <w:r w:rsidR="00112ABE" w:rsidRPr="000E3990">
        <w:rPr>
          <w:lang w:val="en-GB"/>
        </w:rPr>
        <w:t>trials will expand on these findings</w:t>
      </w:r>
      <w:r w:rsidR="00DB7BEB" w:rsidRPr="000E3990">
        <w:rPr>
          <w:lang w:val="en-GB"/>
        </w:rPr>
        <w:t>.</w:t>
      </w:r>
    </w:p>
    <w:p w14:paraId="0E8A7817" w14:textId="77777777" w:rsidR="005F47F1" w:rsidRPr="000E3990" w:rsidRDefault="00DB7BEB" w:rsidP="003D200E">
      <w:pPr>
        <w:pStyle w:val="Heading3"/>
      </w:pPr>
      <w:r w:rsidRPr="000E3990">
        <w:t>Limitations</w:t>
      </w:r>
    </w:p>
    <w:p w14:paraId="49F28BE8" w14:textId="77777777" w:rsidR="00157BA2" w:rsidRPr="000E3990" w:rsidRDefault="00AA6AAD" w:rsidP="003D200E">
      <w:pPr>
        <w:pStyle w:val="BodyText"/>
        <w:rPr>
          <w:lang w:val="en-GB"/>
        </w:rPr>
      </w:pPr>
      <w:r w:rsidRPr="000E3990">
        <w:rPr>
          <w:lang w:val="en-GB"/>
        </w:rPr>
        <w:t>T</w:t>
      </w:r>
      <w:r w:rsidR="005D3E4A" w:rsidRPr="000E3990">
        <w:rPr>
          <w:lang w:val="en-GB"/>
        </w:rPr>
        <w:t xml:space="preserve">he trial was not powered for </w:t>
      </w:r>
      <w:r w:rsidR="0024674D" w:rsidRPr="000E3990">
        <w:rPr>
          <w:lang w:val="en-GB"/>
        </w:rPr>
        <w:t>mortality endpoints</w:t>
      </w:r>
      <w:r w:rsidR="00236CDF" w:rsidRPr="000E3990">
        <w:rPr>
          <w:lang w:val="en-GB"/>
        </w:rPr>
        <w:t xml:space="preserve"> and the between-group difference in cardiovascular deaths was not statistically significant. </w:t>
      </w:r>
    </w:p>
    <w:p w14:paraId="65BBF73A" w14:textId="77777777" w:rsidR="00157BA2" w:rsidRPr="000E3990" w:rsidRDefault="00157BA2" w:rsidP="00157BA2">
      <w:pPr>
        <w:pStyle w:val="Heading2"/>
        <w:rPr>
          <w:lang w:val="en-GB"/>
        </w:rPr>
      </w:pPr>
      <w:r w:rsidRPr="000E3990">
        <w:rPr>
          <w:lang w:val="en-GB"/>
        </w:rPr>
        <w:t>Acknowledgements</w:t>
      </w:r>
    </w:p>
    <w:p w14:paraId="7708483B" w14:textId="77777777" w:rsidR="00157BA2" w:rsidRPr="000E3990" w:rsidRDefault="00157BA2" w:rsidP="00157BA2">
      <w:pPr>
        <w:pStyle w:val="BodyText"/>
      </w:pPr>
      <w:r w:rsidRPr="000E3990">
        <w:t>The Trial Steering Committee members: Robert Henderson (Chair), Kanarath Balachandran, Colin Berry (Principal Investigator), Gordon Baird (Patient Advocate), Anna O'Donnell, Arvind Sood, Nick Curzen, Raj Das, Ian Ford, Jamie Layland, Shahid Junejo, and Keith Oldroyd. The Clinical Event Committee members were Andrew Hannah, Andrew Stewart and Francis Dunn.</w:t>
      </w:r>
    </w:p>
    <w:p w14:paraId="7228D324" w14:textId="6C00EF7A" w:rsidR="005F47F1" w:rsidRPr="000E3990" w:rsidRDefault="00157BA2" w:rsidP="00157BA2">
      <w:pPr>
        <w:pStyle w:val="BodyText"/>
        <w:rPr>
          <w:lang w:val="en-GB"/>
        </w:rPr>
      </w:pPr>
      <w:r w:rsidRPr="000E3990">
        <w:t>We thank Elizabeth Thomson BSc and Robbie Wilson for data management and quality assurance. We gratefully acknowledge the patients who participated in this study and the staff who supported it.</w:t>
      </w:r>
      <w:r w:rsidR="00DB7BEB" w:rsidRPr="000E3990">
        <w:rPr>
          <w:rFonts w:ascii="Arial Unicode MS" w:hAnsi="Arial Unicode MS"/>
          <w:lang w:val="en-GB"/>
        </w:rPr>
        <w:br w:type="page"/>
      </w:r>
    </w:p>
    <w:p w14:paraId="3B5D24FD" w14:textId="77777777" w:rsidR="005F47F1" w:rsidRPr="000E3990" w:rsidRDefault="00DB7BEB" w:rsidP="003D200E">
      <w:pPr>
        <w:pStyle w:val="Heading"/>
        <w:rPr>
          <w:rFonts w:eastAsia="Arial Unicode MS" w:cs="Arial Unicode MS"/>
        </w:rPr>
      </w:pPr>
      <w:r w:rsidRPr="000E3990">
        <w:rPr>
          <w:rFonts w:eastAsia="Arial Unicode MS" w:cs="Arial Unicode MS"/>
        </w:rPr>
        <w:lastRenderedPageBreak/>
        <w:t>References</w:t>
      </w:r>
    </w:p>
    <w:p w14:paraId="254A7D97" w14:textId="77777777" w:rsidR="009C438F" w:rsidRPr="000E3990" w:rsidRDefault="009C438F" w:rsidP="003D200E">
      <w:pPr>
        <w:pStyle w:val="Body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Bidi" w:hAnsiTheme="majorBidi" w:cstheme="majorBidi"/>
        </w:rPr>
      </w:pPr>
      <w:bookmarkStart w:id="5" w:name="_Hlk167028597"/>
      <w:r w:rsidRPr="000E3990">
        <w:rPr>
          <w:rFonts w:asciiTheme="majorBidi" w:hAnsiTheme="majorBidi" w:cstheme="majorBidi"/>
        </w:rPr>
        <w:t>Byrne RA, Rossello X, Coughlan JJ, Barbato E, Berry C, Chieffo A, et al; ESC Scientific Document Group. 2023 ESC Guidelines for the management of acute coronary syndromes. Eur Heart J. 2023;44:3720-3826.</w:t>
      </w:r>
    </w:p>
    <w:p w14:paraId="35C0D7C8" w14:textId="77777777" w:rsidR="009C438F" w:rsidRPr="000E3990" w:rsidRDefault="009C438F" w:rsidP="003D200E">
      <w:pPr>
        <w:pStyle w:val="Body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Bidi" w:hAnsiTheme="majorBidi" w:cstheme="majorBidi"/>
        </w:rPr>
      </w:pPr>
      <w:r w:rsidRPr="000E3990">
        <w:rPr>
          <w:rFonts w:asciiTheme="majorBidi" w:hAnsiTheme="majorBidi" w:cstheme="majorBidi"/>
        </w:rPr>
        <w:t xml:space="preserve">Rao SV, O'Donoghue ML, Ruel M, Rab T, Tamis-Holland JE, Alexander JH, et al. 2025 ACC/AHA/ACEP/NAEMSP/SCAI Guideline for the Management of Patients With Acute Coronary Syndromes: A Report of the American College of Cardiology/American Heart Association Joint Committee on Clinical Practice Guidelines. Circulation. 2025 Feb 27. doi: 10.1161/CIR.0000000000001309. Epub ahead of print. PMID: 40014670. </w:t>
      </w:r>
    </w:p>
    <w:p w14:paraId="4222E9E6" w14:textId="77777777" w:rsidR="009C438F" w:rsidRPr="000E3990" w:rsidRDefault="009C438F" w:rsidP="003D200E">
      <w:pPr>
        <w:pStyle w:val="Body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Bidi" w:hAnsiTheme="majorBidi" w:cstheme="majorBidi"/>
        </w:rPr>
      </w:pPr>
      <w:r w:rsidRPr="000E3990">
        <w:rPr>
          <w:rFonts w:asciiTheme="majorBidi" w:hAnsiTheme="majorBidi" w:cstheme="majorBidi"/>
        </w:rPr>
        <w:t xml:space="preserve">Tonino PA, Fearon WF, De Bruyne B, Oldroyd KG, Leesar MA, Ver Lee PN, et al. Angiographic versus functional severity of coronary artery stenoses in the FAME study fractional flow reserve versus angiography in multivessel evaluation. </w:t>
      </w:r>
      <w:r w:rsidRPr="000E3990">
        <w:rPr>
          <w:rFonts w:asciiTheme="majorBidi" w:hAnsiTheme="majorBidi" w:cstheme="majorBidi"/>
          <w:i/>
          <w:iCs/>
        </w:rPr>
        <w:t xml:space="preserve">J Am Coll Cardiol. </w:t>
      </w:r>
      <w:r w:rsidRPr="000E3990">
        <w:rPr>
          <w:rFonts w:asciiTheme="majorBidi" w:hAnsiTheme="majorBidi" w:cstheme="majorBidi"/>
        </w:rPr>
        <w:t>2010;</w:t>
      </w:r>
      <w:r w:rsidRPr="000E3990">
        <w:rPr>
          <w:rFonts w:asciiTheme="majorBidi" w:hAnsiTheme="majorBidi" w:cstheme="majorBidi"/>
          <w:b/>
        </w:rPr>
        <w:t>55</w:t>
      </w:r>
      <w:r w:rsidRPr="000E3990">
        <w:rPr>
          <w:rFonts w:asciiTheme="majorBidi" w:hAnsiTheme="majorBidi" w:cstheme="majorBidi"/>
        </w:rPr>
        <w:t>:2816–21.</w:t>
      </w:r>
    </w:p>
    <w:p w14:paraId="5073F904" w14:textId="77777777" w:rsidR="009C438F" w:rsidRPr="000E3990" w:rsidRDefault="009C438F" w:rsidP="003D200E">
      <w:pPr>
        <w:pStyle w:val="Body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Bidi" w:hAnsiTheme="majorBidi" w:cstheme="majorBidi"/>
        </w:rPr>
      </w:pPr>
      <w:r w:rsidRPr="000E3990">
        <w:rPr>
          <w:rFonts w:asciiTheme="majorBidi" w:hAnsiTheme="majorBidi" w:cstheme="majorBidi"/>
        </w:rPr>
        <w:t>Pijls NH, De Bruyne B, Peels K, Van Der Voort PH, Bonnier HJ, Bartunek J, et al. Measurement of fractional flow reserve to assess the functional severity of coronary-artery stenoses. N Engl J Med. 1996;334:1703-8.</w:t>
      </w:r>
    </w:p>
    <w:p w14:paraId="0C24EDD7" w14:textId="77777777" w:rsidR="009C438F" w:rsidRPr="000E3990" w:rsidRDefault="009C438F" w:rsidP="003D200E">
      <w:pPr>
        <w:pStyle w:val="Body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Bidi" w:hAnsiTheme="majorBidi" w:cstheme="majorBidi"/>
        </w:rPr>
      </w:pPr>
      <w:r w:rsidRPr="000E3990">
        <w:rPr>
          <w:rFonts w:asciiTheme="majorBidi" w:hAnsiTheme="majorBidi" w:cstheme="majorBidi"/>
        </w:rPr>
        <w:t xml:space="preserve">Tonino PA, De Bruyne B, Pijls NH, Siebert U, Ikeno F, van' t Veer M, et al; FAME Study Investigators. Fractional flow reserve versus angiography for guiding percutaneous coronary intervention. </w:t>
      </w:r>
      <w:r w:rsidRPr="000E3990">
        <w:rPr>
          <w:rFonts w:asciiTheme="majorBidi" w:hAnsiTheme="majorBidi" w:cstheme="majorBidi"/>
          <w:i/>
        </w:rPr>
        <w:t>N Engl J Med</w:t>
      </w:r>
      <w:r w:rsidRPr="000E3990">
        <w:rPr>
          <w:rFonts w:asciiTheme="majorBidi" w:hAnsiTheme="majorBidi" w:cstheme="majorBidi"/>
        </w:rPr>
        <w:t xml:space="preserve"> 2009;</w:t>
      </w:r>
      <w:r w:rsidRPr="000E3990">
        <w:rPr>
          <w:rFonts w:asciiTheme="majorBidi" w:hAnsiTheme="majorBidi" w:cstheme="majorBidi"/>
          <w:b/>
        </w:rPr>
        <w:t>360</w:t>
      </w:r>
      <w:r w:rsidRPr="000E3990">
        <w:rPr>
          <w:rFonts w:asciiTheme="majorBidi" w:hAnsiTheme="majorBidi" w:cstheme="majorBidi"/>
        </w:rPr>
        <w:t>:213–224.</w:t>
      </w:r>
    </w:p>
    <w:p w14:paraId="7FC50D58" w14:textId="77777777" w:rsidR="009C438F" w:rsidRPr="000E3990" w:rsidRDefault="009C438F" w:rsidP="003D200E">
      <w:pPr>
        <w:pStyle w:val="Body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Bidi" w:hAnsiTheme="majorBidi" w:cstheme="majorBidi"/>
          <w:lang w:val="en-GB"/>
        </w:rPr>
      </w:pPr>
      <w:r w:rsidRPr="000E3990">
        <w:rPr>
          <w:rFonts w:asciiTheme="majorBidi" w:hAnsiTheme="majorBidi" w:cstheme="majorBidi"/>
        </w:rPr>
        <w:t xml:space="preserve">Uren NG, Crake T, Lefroy DC, de Silva R, Davies GJ, Maseri A. Reduced coronary vasodilator function in infarcted and normal myocardium after myocardial infarction. </w:t>
      </w:r>
      <w:r w:rsidRPr="000E3990">
        <w:rPr>
          <w:rFonts w:asciiTheme="majorBidi" w:hAnsiTheme="majorBidi" w:cstheme="majorBidi"/>
          <w:i/>
          <w:lang w:val="en-GB"/>
        </w:rPr>
        <w:t>N Engl J Med</w:t>
      </w:r>
      <w:r w:rsidRPr="000E3990">
        <w:rPr>
          <w:rFonts w:asciiTheme="majorBidi" w:hAnsiTheme="majorBidi" w:cstheme="majorBidi"/>
          <w:lang w:val="en-GB"/>
        </w:rPr>
        <w:t xml:space="preserve"> 1994;</w:t>
      </w:r>
      <w:r w:rsidRPr="000E3990">
        <w:rPr>
          <w:rFonts w:asciiTheme="majorBidi" w:hAnsiTheme="majorBidi" w:cstheme="majorBidi"/>
          <w:b/>
          <w:lang w:val="en-GB"/>
        </w:rPr>
        <w:t>331</w:t>
      </w:r>
      <w:r w:rsidRPr="000E3990">
        <w:rPr>
          <w:rFonts w:asciiTheme="majorBidi" w:hAnsiTheme="majorBidi" w:cstheme="majorBidi"/>
          <w:lang w:val="en-GB"/>
        </w:rPr>
        <w:t>:222–227</w:t>
      </w:r>
    </w:p>
    <w:p w14:paraId="459DEAAB" w14:textId="77777777" w:rsidR="009C438F" w:rsidRPr="000E3990" w:rsidRDefault="009C438F" w:rsidP="003D200E">
      <w:pPr>
        <w:pStyle w:val="Body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Bidi" w:hAnsiTheme="majorBidi" w:cstheme="majorBidi"/>
        </w:rPr>
      </w:pPr>
      <w:r w:rsidRPr="000E3990">
        <w:rPr>
          <w:rFonts w:asciiTheme="majorBidi" w:hAnsiTheme="majorBidi" w:cstheme="majorBidi"/>
          <w:lang w:val="nl-NL"/>
        </w:rPr>
        <w:t xml:space="preserve">van der Hoeven NW, Janssens GN, de Waard GA, Everaars H, Broyd CJ, Beijnink CWH, et al. </w:t>
      </w:r>
      <w:r w:rsidRPr="000E3990">
        <w:rPr>
          <w:rFonts w:asciiTheme="majorBidi" w:hAnsiTheme="majorBidi" w:cstheme="majorBidi"/>
        </w:rPr>
        <w:t xml:space="preserve">Temporal Changes in Coronary Hyperemic and Resting Hemodynamic </w:t>
      </w:r>
      <w:r w:rsidRPr="000E3990">
        <w:rPr>
          <w:rFonts w:asciiTheme="majorBidi" w:hAnsiTheme="majorBidi" w:cstheme="majorBidi"/>
        </w:rPr>
        <w:lastRenderedPageBreak/>
        <w:t xml:space="preserve">Indices in Nonculprit Vessels of Patients With ST-Segment Elevation Myocardial Infarction. JAMA Cardiol. 2019;4:736-744. </w:t>
      </w:r>
    </w:p>
    <w:p w14:paraId="56408C25" w14:textId="77777777" w:rsidR="009C438F" w:rsidRPr="000E3990" w:rsidRDefault="009C438F" w:rsidP="003D200E">
      <w:pPr>
        <w:pStyle w:val="Body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Bidi" w:hAnsiTheme="majorBidi" w:cstheme="majorBidi"/>
        </w:rPr>
      </w:pPr>
      <w:r w:rsidRPr="000E3990">
        <w:rPr>
          <w:rFonts w:asciiTheme="majorBidi" w:hAnsiTheme="majorBidi" w:cstheme="majorBidi"/>
        </w:rPr>
        <w:t xml:space="preserve">Erlinge D, Maehara A, Ben-Yehuda O, Bøtker HE, Maeng M, Kjøller-Hansen L, et al; PROSPECT II Investigators. Identification of vulnerable plaques and patients by intracoronary near-infrared spectroscopy and ultrasound (PROSPECT II): a prospective natural history study. Lancet. 2021;397:985-995. </w:t>
      </w:r>
    </w:p>
    <w:p w14:paraId="054D421C" w14:textId="77777777" w:rsidR="009C438F" w:rsidRPr="000E3990" w:rsidRDefault="009C438F" w:rsidP="003D200E">
      <w:pPr>
        <w:pStyle w:val="Body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Bidi" w:hAnsiTheme="majorBidi" w:cstheme="majorBidi"/>
        </w:rPr>
      </w:pPr>
      <w:r w:rsidRPr="000E3990">
        <w:rPr>
          <w:rFonts w:asciiTheme="majorBidi" w:hAnsiTheme="majorBidi" w:cstheme="majorBidi"/>
        </w:rPr>
        <w:t xml:space="preserve">Mol JQ, Volleberg RHJA, Belkacemi A, Hermanides RS, Meuwissen M, Protopopov AV, et al. Fractional Flow Reserve-Negative High-Risk Plaques and Clinical Outcomes After Myocardial Infarction. JAMA Cardiol. 2023;8:1013-1021. </w:t>
      </w:r>
    </w:p>
    <w:p w14:paraId="150B2147" w14:textId="4965BE95" w:rsidR="005F47F1" w:rsidRPr="000E3990" w:rsidRDefault="009C438F" w:rsidP="003D200E">
      <w:pPr>
        <w:pStyle w:val="Body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lang w:val="en-GB"/>
        </w:rPr>
      </w:pPr>
      <w:r w:rsidRPr="000E3990">
        <w:rPr>
          <w:rFonts w:asciiTheme="majorBidi" w:hAnsiTheme="majorBidi" w:cstheme="majorBidi"/>
        </w:rPr>
        <w:t xml:space="preserve">Layland J, Oldroyd KG, Curzen N, Sood A, Balachandran K, Das R, et al; FAMOUS–NSTEMI investigators. Fractional flow reserve vs. angiography in guiding management to optimize outcomes in non-ST-segment elevation myocardial infarction: the British Heart Foundation FAMOUS-NSTEMI randomized trial. Eur Heart J. 2015;36:100-11. </w:t>
      </w:r>
      <w:r w:rsidR="00DB7BEB" w:rsidRPr="000E3990">
        <w:rPr>
          <w:lang w:val="en-GB"/>
        </w:rPr>
        <w:t xml:space="preserve"> </w:t>
      </w:r>
      <w:bookmarkEnd w:id="5"/>
      <w:r w:rsidR="0020742B" w:rsidRPr="000E3990">
        <w:rPr>
          <w:rFonts w:ascii="Arial Unicode MS" w:hAnsi="Arial Unicode MS"/>
          <w:lang w:val="en-GB"/>
        </w:rPr>
        <w:br w:type="page"/>
      </w:r>
    </w:p>
    <w:p w14:paraId="6708650D" w14:textId="77777777" w:rsidR="005F47F1" w:rsidRPr="000E3990" w:rsidRDefault="005F47F1" w:rsidP="003D200E">
      <w:pPr>
        <w:pStyle w:val="Body"/>
        <w:rPr>
          <w:lang w:val="en-GB"/>
        </w:rPr>
        <w:sectPr w:rsidR="005F47F1" w:rsidRPr="000E3990" w:rsidSect="009263BD">
          <w:footerReference w:type="default" r:id="rId8"/>
          <w:footerReference w:type="first" r:id="rId9"/>
          <w:pgSz w:w="11900" w:h="16840"/>
          <w:pgMar w:top="1440" w:right="1440" w:bottom="1440" w:left="1440" w:header="706" w:footer="706" w:gutter="0"/>
          <w:lnNumType w:countBy="1" w:restart="continuous"/>
          <w:cols w:space="720"/>
          <w:titlePg/>
          <w:docGrid w:linePitch="326"/>
        </w:sectPr>
      </w:pPr>
    </w:p>
    <w:p w14:paraId="7590F8FE" w14:textId="7FF4CA67" w:rsidR="00B06614" w:rsidRPr="000E3990" w:rsidRDefault="004F72D9" w:rsidP="003D200E">
      <w:pPr>
        <w:pStyle w:val="Title"/>
      </w:pPr>
      <w:r w:rsidRPr="000E3990">
        <w:lastRenderedPageBreak/>
        <w:t>Figure</w:t>
      </w:r>
    </w:p>
    <w:p w14:paraId="5D336C62" w14:textId="732F1179" w:rsidR="00CF4C15" w:rsidRPr="000E3990" w:rsidRDefault="00691FEF" w:rsidP="003D200E">
      <w:pPr>
        <w:pStyle w:val="BodyText"/>
        <w:rPr>
          <w:lang w:val="en-GB"/>
        </w:rPr>
      </w:pPr>
      <w:r w:rsidRPr="000E3990">
        <w:rPr>
          <w:b/>
          <w:bCs/>
          <w:lang w:val="en-GB"/>
        </w:rPr>
        <w:t>Legend</w:t>
      </w:r>
      <w:r w:rsidR="00B06614" w:rsidRPr="000E3990">
        <w:rPr>
          <w:lang w:val="en-GB"/>
        </w:rPr>
        <w:t xml:space="preserve">. </w:t>
      </w:r>
      <w:r w:rsidR="00B06614" w:rsidRPr="000E3990">
        <w:rPr>
          <w:lang w:val="en-GB"/>
        </w:rPr>
        <w:tab/>
      </w:r>
    </w:p>
    <w:p w14:paraId="2D137FA7" w14:textId="77777777" w:rsidR="00CF4C15" w:rsidRPr="000E3990" w:rsidRDefault="00B06614" w:rsidP="003D200E">
      <w:pPr>
        <w:pStyle w:val="BodyText"/>
        <w:numPr>
          <w:ilvl w:val="0"/>
          <w:numId w:val="5"/>
        </w:numPr>
        <w:rPr>
          <w:lang w:val="en-GB"/>
        </w:rPr>
      </w:pPr>
      <w:r w:rsidRPr="000E3990">
        <w:rPr>
          <w:lang w:val="en-GB"/>
        </w:rPr>
        <w:t>CONSORT flow diagram</w:t>
      </w:r>
      <w:r w:rsidR="00EA0F09" w:rsidRPr="000E3990">
        <w:rPr>
          <w:lang w:val="en-GB"/>
        </w:rPr>
        <w:t>. Of 350 randomised participants, 251 (72%) participants were enrolled in two hospitals in Scotland and 99 (28%) participants were enrolled in four hospitals in England.</w:t>
      </w:r>
    </w:p>
    <w:p w14:paraId="6B5A4694" w14:textId="5BB5E545" w:rsidR="00CF4C15" w:rsidRPr="000E3990" w:rsidRDefault="007E6B19" w:rsidP="003D200E">
      <w:pPr>
        <w:pStyle w:val="BodyText"/>
        <w:numPr>
          <w:ilvl w:val="0"/>
          <w:numId w:val="5"/>
        </w:numPr>
        <w:rPr>
          <w:lang w:val="en-GB"/>
        </w:rPr>
      </w:pPr>
      <w:r w:rsidRPr="000E3990">
        <w:rPr>
          <w:lang w:val="en-GB"/>
        </w:rPr>
        <w:t xml:space="preserve">Kaplan-Meier survival plot of time from index hospital discharge until </w:t>
      </w:r>
      <w:r w:rsidR="00762FFB" w:rsidRPr="000E3990">
        <w:rPr>
          <w:lang w:val="en-GB"/>
        </w:rPr>
        <w:t>death (all-cause)</w:t>
      </w:r>
      <w:r w:rsidRPr="000E3990">
        <w:rPr>
          <w:lang w:val="en-GB"/>
        </w:rPr>
        <w:t xml:space="preserve"> by randomised treatment group (n=324 individuals</w:t>
      </w:r>
      <w:r w:rsidR="005602C9" w:rsidRPr="000E3990">
        <w:rPr>
          <w:lang w:val="en-GB"/>
        </w:rPr>
        <w:t xml:space="preserve">; </w:t>
      </w:r>
      <w:r w:rsidR="004B4945" w:rsidRPr="000E3990">
        <w:rPr>
          <w:lang w:val="en-GB"/>
        </w:rPr>
        <w:t>electronic health record linkage was achieved in 161 participants in the intervention group and 163 participants in the control group</w:t>
      </w:r>
      <w:r w:rsidRPr="000E3990">
        <w:rPr>
          <w:lang w:val="en-GB"/>
        </w:rPr>
        <w:t xml:space="preserve">). Solid lines present the survival estimates. The p-value </w:t>
      </w:r>
      <w:bookmarkStart w:id="6" w:name="_Hlk201325605"/>
      <w:r w:rsidR="00725CF6" w:rsidRPr="000E3990">
        <w:rPr>
          <w:lang w:val="en-GB"/>
        </w:rPr>
        <w:t>(p=0.</w:t>
      </w:r>
      <w:r w:rsidR="00762FFB" w:rsidRPr="000E3990">
        <w:rPr>
          <w:lang w:val="en-GB"/>
        </w:rPr>
        <w:t>092</w:t>
      </w:r>
      <w:r w:rsidR="00725CF6" w:rsidRPr="000E3990">
        <w:rPr>
          <w:lang w:val="en-GB"/>
        </w:rPr>
        <w:t>)</w:t>
      </w:r>
      <w:r w:rsidRPr="000E3990">
        <w:rPr>
          <w:lang w:val="en-GB"/>
        </w:rPr>
        <w:t xml:space="preserve"> </w:t>
      </w:r>
      <w:bookmarkEnd w:id="6"/>
      <w:r w:rsidRPr="000E3990">
        <w:rPr>
          <w:lang w:val="en-GB"/>
        </w:rPr>
        <w:t>is from the log-rank test comparing the survival curve of each randomised treatment group. Population: all randomised patients with linkage data available during 9.3 [9.0 to 9.8] years follow-up. Intervention (green) - FFR-guided group; Control (blue) – Angiography-guided group.</w:t>
      </w:r>
    </w:p>
    <w:p w14:paraId="1F9D4590" w14:textId="2EFF1F74" w:rsidR="004F72D9" w:rsidRPr="000E3990" w:rsidRDefault="00B06614" w:rsidP="00157BA2">
      <w:pPr>
        <w:pStyle w:val="BodyText"/>
        <w:numPr>
          <w:ilvl w:val="0"/>
          <w:numId w:val="5"/>
        </w:numPr>
        <w:rPr>
          <w:lang w:val="en-GB"/>
        </w:rPr>
      </w:pPr>
      <w:r w:rsidRPr="000E3990">
        <w:rPr>
          <w:lang w:val="en-GB"/>
        </w:rPr>
        <w:t xml:space="preserve">Kaplan-Meier survival plot of time from </w:t>
      </w:r>
      <w:r w:rsidR="00F709F6" w:rsidRPr="000E3990">
        <w:rPr>
          <w:lang w:val="en-GB"/>
        </w:rPr>
        <w:t>index hospital stay discharge</w:t>
      </w:r>
      <w:r w:rsidRPr="000E3990">
        <w:rPr>
          <w:lang w:val="en-GB"/>
        </w:rPr>
        <w:t xml:space="preserve"> until cardiovascular death by randomised treatment group</w:t>
      </w:r>
      <w:r w:rsidR="00C058F4" w:rsidRPr="000E3990">
        <w:rPr>
          <w:lang w:val="en-GB"/>
        </w:rPr>
        <w:t xml:space="preserve"> during 9.3 [9.0 to 9.8] years follow-up</w:t>
      </w:r>
      <w:r w:rsidRPr="000E3990">
        <w:rPr>
          <w:lang w:val="en-GB"/>
        </w:rPr>
        <w:t xml:space="preserve">. Solid lines present the survival estimates. The p-value </w:t>
      </w:r>
      <w:r w:rsidR="00725CF6" w:rsidRPr="000E3990">
        <w:rPr>
          <w:lang w:val="en-GB"/>
        </w:rPr>
        <w:t xml:space="preserve">(p=0.049) </w:t>
      </w:r>
      <w:r w:rsidRPr="000E3990">
        <w:rPr>
          <w:lang w:val="en-GB"/>
        </w:rPr>
        <w:t>is from the log-rank test comparing the survival curve of each randomised treatment group. Population: all randomised patients with linkage data available</w:t>
      </w:r>
      <w:r w:rsidR="00C058F4" w:rsidRPr="000E3990">
        <w:rPr>
          <w:lang w:val="en-GB"/>
        </w:rPr>
        <w:t xml:space="preserve"> (n=324</w:t>
      </w:r>
      <w:r w:rsidR="005602C9" w:rsidRPr="000E3990">
        <w:rPr>
          <w:lang w:val="en-GB"/>
        </w:rPr>
        <w:t>; electronic health record linkage was achieved in 161 participants in the intervention group and 163 participants in the control group</w:t>
      </w:r>
      <w:r w:rsidR="00C058F4" w:rsidRPr="000E3990">
        <w:rPr>
          <w:lang w:val="en-GB"/>
        </w:rPr>
        <w:t>)</w:t>
      </w:r>
      <w:r w:rsidR="00CA18CA" w:rsidRPr="000E3990">
        <w:rPr>
          <w:lang w:val="en-GB"/>
        </w:rPr>
        <w:t>.</w:t>
      </w:r>
      <w:r w:rsidR="00E64A96" w:rsidRPr="000E3990">
        <w:rPr>
          <w:lang w:val="en-GB"/>
        </w:rPr>
        <w:t xml:space="preserve"> Intervention (green) - FFR-guided group; Control (blue) – Angiography-guided group</w:t>
      </w:r>
    </w:p>
    <w:sectPr w:rsidR="004F72D9" w:rsidRPr="000E3990" w:rsidSect="00157BA2">
      <w:headerReference w:type="default" r:id="rId10"/>
      <w:pgSz w:w="11900" w:h="16840"/>
      <w:pgMar w:top="1440" w:right="1080" w:bottom="1440" w:left="108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4EB3" w14:textId="77777777" w:rsidR="00B91A29" w:rsidRPr="00A31CAC" w:rsidRDefault="00B91A29">
      <w:r w:rsidRPr="00A31CAC">
        <w:separator/>
      </w:r>
    </w:p>
  </w:endnote>
  <w:endnote w:type="continuationSeparator" w:id="0">
    <w:p w14:paraId="6F7C4BA9" w14:textId="77777777" w:rsidR="00B91A29" w:rsidRPr="00A31CAC" w:rsidRDefault="00B91A29">
      <w:r w:rsidRPr="00A31C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9D0D" w14:textId="73179F9C" w:rsidR="00B91A29" w:rsidRPr="00A31CAC" w:rsidRDefault="00B91A29">
    <w:pPr>
      <w:pStyle w:val="Footer"/>
      <w:jc w:val="right"/>
      <w:rPr>
        <w:lang w:val="en-GB"/>
      </w:rPr>
    </w:pPr>
    <w:r w:rsidRPr="00A31CAC">
      <w:rPr>
        <w:lang w:val="en-GB"/>
      </w:rPr>
      <w:fldChar w:fldCharType="begin"/>
    </w:r>
    <w:r w:rsidRPr="00A31CAC">
      <w:rPr>
        <w:lang w:val="en-GB"/>
      </w:rPr>
      <w:instrText xml:space="preserve"> PAGE </w:instrText>
    </w:r>
    <w:r w:rsidRPr="00A31CAC">
      <w:rPr>
        <w:lang w:val="en-GB"/>
      </w:rPr>
      <w:fldChar w:fldCharType="separate"/>
    </w:r>
    <w:r w:rsidR="00C86A06" w:rsidRPr="00A31CAC">
      <w:rPr>
        <w:lang w:val="en-GB"/>
      </w:rPr>
      <w:t>32</w:t>
    </w:r>
    <w:r w:rsidRPr="00A31CAC">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9B6B" w14:textId="009A666F" w:rsidR="00B91A29" w:rsidRPr="00A31CAC" w:rsidRDefault="00B91A29">
    <w:pPr>
      <w:pStyle w:val="Footer"/>
      <w:jc w:val="right"/>
      <w:rPr>
        <w:lang w:val="en-GB"/>
      </w:rPr>
    </w:pPr>
    <w:r w:rsidRPr="00A31CAC">
      <w:rPr>
        <w:lang w:val="en-GB"/>
      </w:rPr>
      <w:fldChar w:fldCharType="begin"/>
    </w:r>
    <w:r w:rsidRPr="00A31CAC">
      <w:rPr>
        <w:lang w:val="en-GB"/>
      </w:rPr>
      <w:instrText xml:space="preserve"> PAGE </w:instrText>
    </w:r>
    <w:r w:rsidRPr="00A31CAC">
      <w:rPr>
        <w:lang w:val="en-GB"/>
      </w:rPr>
      <w:fldChar w:fldCharType="separate"/>
    </w:r>
    <w:r w:rsidR="0099792B" w:rsidRPr="00A31CAC">
      <w:rPr>
        <w:lang w:val="en-GB"/>
      </w:rPr>
      <w:t>1</w:t>
    </w:r>
    <w:r w:rsidRPr="00A31CAC">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6DAD5" w14:textId="77777777" w:rsidR="00B91A29" w:rsidRPr="00A31CAC" w:rsidRDefault="00B91A29">
      <w:r w:rsidRPr="00A31CAC">
        <w:separator/>
      </w:r>
    </w:p>
  </w:footnote>
  <w:footnote w:type="continuationSeparator" w:id="0">
    <w:p w14:paraId="53301E7B" w14:textId="77777777" w:rsidR="00B91A29" w:rsidRPr="00A31CAC" w:rsidRDefault="00B91A29">
      <w:r w:rsidRPr="00A31C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202E" w14:textId="77777777" w:rsidR="00B91A29" w:rsidRPr="00A31CAC" w:rsidRDefault="00B91A29">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5380"/>
    <w:multiLevelType w:val="hybridMultilevel"/>
    <w:tmpl w:val="09C2B9D6"/>
    <w:lvl w:ilvl="0" w:tplc="4E1A9A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62263"/>
    <w:multiLevelType w:val="hybridMultilevel"/>
    <w:tmpl w:val="D40E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14B22"/>
    <w:multiLevelType w:val="hybridMultilevel"/>
    <w:tmpl w:val="0F4062A4"/>
    <w:lvl w:ilvl="0" w:tplc="A5C857F0">
      <w:start w:val="1"/>
      <w:numFmt w:val="decimal"/>
      <w:lvlText w:val="%1)"/>
      <w:lvlJc w:val="left"/>
      <w:pPr>
        <w:ind w:left="1020" w:hanging="360"/>
      </w:pPr>
    </w:lvl>
    <w:lvl w:ilvl="1" w:tplc="2E2472E0">
      <w:start w:val="1"/>
      <w:numFmt w:val="decimal"/>
      <w:lvlText w:val="%2)"/>
      <w:lvlJc w:val="left"/>
      <w:pPr>
        <w:ind w:left="1020" w:hanging="360"/>
      </w:pPr>
    </w:lvl>
    <w:lvl w:ilvl="2" w:tplc="9F16B2BC">
      <w:start w:val="1"/>
      <w:numFmt w:val="decimal"/>
      <w:lvlText w:val="%3)"/>
      <w:lvlJc w:val="left"/>
      <w:pPr>
        <w:ind w:left="1020" w:hanging="360"/>
      </w:pPr>
    </w:lvl>
    <w:lvl w:ilvl="3" w:tplc="83DAA30E">
      <w:start w:val="1"/>
      <w:numFmt w:val="decimal"/>
      <w:lvlText w:val="%4)"/>
      <w:lvlJc w:val="left"/>
      <w:pPr>
        <w:ind w:left="1020" w:hanging="360"/>
      </w:pPr>
    </w:lvl>
    <w:lvl w:ilvl="4" w:tplc="D750BAC0">
      <w:start w:val="1"/>
      <w:numFmt w:val="decimal"/>
      <w:lvlText w:val="%5)"/>
      <w:lvlJc w:val="left"/>
      <w:pPr>
        <w:ind w:left="1020" w:hanging="360"/>
      </w:pPr>
    </w:lvl>
    <w:lvl w:ilvl="5" w:tplc="DF2631E6">
      <w:start w:val="1"/>
      <w:numFmt w:val="decimal"/>
      <w:lvlText w:val="%6)"/>
      <w:lvlJc w:val="left"/>
      <w:pPr>
        <w:ind w:left="1020" w:hanging="360"/>
      </w:pPr>
    </w:lvl>
    <w:lvl w:ilvl="6" w:tplc="A580C15A">
      <w:start w:val="1"/>
      <w:numFmt w:val="decimal"/>
      <w:lvlText w:val="%7)"/>
      <w:lvlJc w:val="left"/>
      <w:pPr>
        <w:ind w:left="1020" w:hanging="360"/>
      </w:pPr>
    </w:lvl>
    <w:lvl w:ilvl="7" w:tplc="0F84B454">
      <w:start w:val="1"/>
      <w:numFmt w:val="decimal"/>
      <w:lvlText w:val="%8)"/>
      <w:lvlJc w:val="left"/>
      <w:pPr>
        <w:ind w:left="1020" w:hanging="360"/>
      </w:pPr>
    </w:lvl>
    <w:lvl w:ilvl="8" w:tplc="ADC88488">
      <w:start w:val="1"/>
      <w:numFmt w:val="decimal"/>
      <w:lvlText w:val="%9)"/>
      <w:lvlJc w:val="left"/>
      <w:pPr>
        <w:ind w:left="1020" w:hanging="360"/>
      </w:pPr>
    </w:lvl>
  </w:abstractNum>
  <w:abstractNum w:abstractNumId="3" w15:restartNumberingAfterBreak="0">
    <w:nsid w:val="4F37411C"/>
    <w:multiLevelType w:val="hybridMultilevel"/>
    <w:tmpl w:val="0264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26E88"/>
    <w:multiLevelType w:val="hybridMultilevel"/>
    <w:tmpl w:val="5238C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013D1F"/>
    <w:multiLevelType w:val="hybridMultilevel"/>
    <w:tmpl w:val="18A0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885171">
    <w:abstractNumId w:val="2"/>
  </w:num>
  <w:num w:numId="2" w16cid:durableId="196816219">
    <w:abstractNumId w:val="5"/>
  </w:num>
  <w:num w:numId="3" w16cid:durableId="2136873520">
    <w:abstractNumId w:val="1"/>
  </w:num>
  <w:num w:numId="4" w16cid:durableId="1218249626">
    <w:abstractNumId w:val="3"/>
  </w:num>
  <w:num w:numId="5" w16cid:durableId="335764470">
    <w:abstractNumId w:val="0"/>
  </w:num>
  <w:num w:numId="6" w16cid:durableId="1797024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F1"/>
    <w:rsid w:val="00000A1C"/>
    <w:rsid w:val="00003845"/>
    <w:rsid w:val="00003F54"/>
    <w:rsid w:val="00003FA4"/>
    <w:rsid w:val="00010032"/>
    <w:rsid w:val="00010476"/>
    <w:rsid w:val="000137ED"/>
    <w:rsid w:val="00013F75"/>
    <w:rsid w:val="000156A9"/>
    <w:rsid w:val="00024E07"/>
    <w:rsid w:val="00025E96"/>
    <w:rsid w:val="0003182D"/>
    <w:rsid w:val="00046C15"/>
    <w:rsid w:val="000472C0"/>
    <w:rsid w:val="00050830"/>
    <w:rsid w:val="000634ED"/>
    <w:rsid w:val="0006735D"/>
    <w:rsid w:val="000676FE"/>
    <w:rsid w:val="00073B73"/>
    <w:rsid w:val="00084164"/>
    <w:rsid w:val="00090BA4"/>
    <w:rsid w:val="0009450E"/>
    <w:rsid w:val="000A7B9C"/>
    <w:rsid w:val="000B44A5"/>
    <w:rsid w:val="000C2870"/>
    <w:rsid w:val="000C4283"/>
    <w:rsid w:val="000D2453"/>
    <w:rsid w:val="000D476C"/>
    <w:rsid w:val="000E3990"/>
    <w:rsid w:val="000E4754"/>
    <w:rsid w:val="000E4E3A"/>
    <w:rsid w:val="000E4E8F"/>
    <w:rsid w:val="000E5CDA"/>
    <w:rsid w:val="001019AE"/>
    <w:rsid w:val="00103330"/>
    <w:rsid w:val="00112ABE"/>
    <w:rsid w:val="0011396C"/>
    <w:rsid w:val="00113B12"/>
    <w:rsid w:val="00115242"/>
    <w:rsid w:val="00120C3B"/>
    <w:rsid w:val="001255F8"/>
    <w:rsid w:val="001350E2"/>
    <w:rsid w:val="00142DFF"/>
    <w:rsid w:val="001471E0"/>
    <w:rsid w:val="00147492"/>
    <w:rsid w:val="00147731"/>
    <w:rsid w:val="00157BA2"/>
    <w:rsid w:val="00161545"/>
    <w:rsid w:val="00165D35"/>
    <w:rsid w:val="00167541"/>
    <w:rsid w:val="0017331F"/>
    <w:rsid w:val="00173DE7"/>
    <w:rsid w:val="0017529A"/>
    <w:rsid w:val="001863FD"/>
    <w:rsid w:val="00186FB7"/>
    <w:rsid w:val="00193EB3"/>
    <w:rsid w:val="0019584B"/>
    <w:rsid w:val="0019723B"/>
    <w:rsid w:val="0019794A"/>
    <w:rsid w:val="001A21AF"/>
    <w:rsid w:val="001A5241"/>
    <w:rsid w:val="001A54E7"/>
    <w:rsid w:val="001A7DCA"/>
    <w:rsid w:val="001C0B63"/>
    <w:rsid w:val="001C18E8"/>
    <w:rsid w:val="001E107F"/>
    <w:rsid w:val="001E79DD"/>
    <w:rsid w:val="001F24C4"/>
    <w:rsid w:val="00202229"/>
    <w:rsid w:val="0020334B"/>
    <w:rsid w:val="00204AB1"/>
    <w:rsid w:val="0020540B"/>
    <w:rsid w:val="002069A4"/>
    <w:rsid w:val="0020742B"/>
    <w:rsid w:val="00210747"/>
    <w:rsid w:val="0021097D"/>
    <w:rsid w:val="0022099E"/>
    <w:rsid w:val="002251B0"/>
    <w:rsid w:val="00226EBB"/>
    <w:rsid w:val="00236CDF"/>
    <w:rsid w:val="002426DE"/>
    <w:rsid w:val="0024674D"/>
    <w:rsid w:val="00254739"/>
    <w:rsid w:val="00256BA4"/>
    <w:rsid w:val="002608CF"/>
    <w:rsid w:val="00261F80"/>
    <w:rsid w:val="002650C2"/>
    <w:rsid w:val="00267FD8"/>
    <w:rsid w:val="00271843"/>
    <w:rsid w:val="00274783"/>
    <w:rsid w:val="002809C6"/>
    <w:rsid w:val="002850F8"/>
    <w:rsid w:val="00285250"/>
    <w:rsid w:val="002929B1"/>
    <w:rsid w:val="00295D03"/>
    <w:rsid w:val="002B1C8B"/>
    <w:rsid w:val="002D0EC1"/>
    <w:rsid w:val="002E1369"/>
    <w:rsid w:val="002F0D7E"/>
    <w:rsid w:val="002F268A"/>
    <w:rsid w:val="002F5BAF"/>
    <w:rsid w:val="002F7484"/>
    <w:rsid w:val="00311907"/>
    <w:rsid w:val="00311E0B"/>
    <w:rsid w:val="00317942"/>
    <w:rsid w:val="00317AD0"/>
    <w:rsid w:val="003213A1"/>
    <w:rsid w:val="003215CB"/>
    <w:rsid w:val="00322895"/>
    <w:rsid w:val="00326372"/>
    <w:rsid w:val="00330491"/>
    <w:rsid w:val="00332D82"/>
    <w:rsid w:val="00334CE2"/>
    <w:rsid w:val="0035799D"/>
    <w:rsid w:val="00363AC9"/>
    <w:rsid w:val="003665B5"/>
    <w:rsid w:val="00367804"/>
    <w:rsid w:val="00374516"/>
    <w:rsid w:val="00396359"/>
    <w:rsid w:val="003A5063"/>
    <w:rsid w:val="003B473C"/>
    <w:rsid w:val="003C3C81"/>
    <w:rsid w:val="003C6358"/>
    <w:rsid w:val="003D200E"/>
    <w:rsid w:val="003D3C30"/>
    <w:rsid w:val="003D5D34"/>
    <w:rsid w:val="003E6CD5"/>
    <w:rsid w:val="003E7CB9"/>
    <w:rsid w:val="003F14AC"/>
    <w:rsid w:val="003F2006"/>
    <w:rsid w:val="00401166"/>
    <w:rsid w:val="00404861"/>
    <w:rsid w:val="00422436"/>
    <w:rsid w:val="0042427F"/>
    <w:rsid w:val="00441446"/>
    <w:rsid w:val="00442667"/>
    <w:rsid w:val="004432C5"/>
    <w:rsid w:val="0044464D"/>
    <w:rsid w:val="0045542D"/>
    <w:rsid w:val="00455FEA"/>
    <w:rsid w:val="00456FD8"/>
    <w:rsid w:val="00463364"/>
    <w:rsid w:val="004642FA"/>
    <w:rsid w:val="00481EB5"/>
    <w:rsid w:val="004867ED"/>
    <w:rsid w:val="0049217F"/>
    <w:rsid w:val="004A25F6"/>
    <w:rsid w:val="004B31F6"/>
    <w:rsid w:val="004B4945"/>
    <w:rsid w:val="004B6026"/>
    <w:rsid w:val="004B779D"/>
    <w:rsid w:val="004C41C3"/>
    <w:rsid w:val="004D7915"/>
    <w:rsid w:val="004E7D88"/>
    <w:rsid w:val="004F5FD3"/>
    <w:rsid w:val="004F72D9"/>
    <w:rsid w:val="004F7B28"/>
    <w:rsid w:val="005144CC"/>
    <w:rsid w:val="00520D95"/>
    <w:rsid w:val="00522D60"/>
    <w:rsid w:val="00532482"/>
    <w:rsid w:val="005364E4"/>
    <w:rsid w:val="00544566"/>
    <w:rsid w:val="00547166"/>
    <w:rsid w:val="0054767C"/>
    <w:rsid w:val="0055005D"/>
    <w:rsid w:val="00551A97"/>
    <w:rsid w:val="005602C9"/>
    <w:rsid w:val="00561667"/>
    <w:rsid w:val="00562123"/>
    <w:rsid w:val="00571E81"/>
    <w:rsid w:val="00573566"/>
    <w:rsid w:val="00576531"/>
    <w:rsid w:val="0058087F"/>
    <w:rsid w:val="00584630"/>
    <w:rsid w:val="0058511C"/>
    <w:rsid w:val="00587861"/>
    <w:rsid w:val="005976CD"/>
    <w:rsid w:val="005A225C"/>
    <w:rsid w:val="005A35C8"/>
    <w:rsid w:val="005A5F29"/>
    <w:rsid w:val="005B662A"/>
    <w:rsid w:val="005C2C0C"/>
    <w:rsid w:val="005D052A"/>
    <w:rsid w:val="005D158A"/>
    <w:rsid w:val="005D3E4A"/>
    <w:rsid w:val="005D430B"/>
    <w:rsid w:val="005E035E"/>
    <w:rsid w:val="005E349F"/>
    <w:rsid w:val="005E38DB"/>
    <w:rsid w:val="005E43B3"/>
    <w:rsid w:val="005F0C40"/>
    <w:rsid w:val="005F147B"/>
    <w:rsid w:val="005F2D1E"/>
    <w:rsid w:val="005F412A"/>
    <w:rsid w:val="005F47F1"/>
    <w:rsid w:val="005F72E4"/>
    <w:rsid w:val="0060105F"/>
    <w:rsid w:val="006045E4"/>
    <w:rsid w:val="00614554"/>
    <w:rsid w:val="00614FD9"/>
    <w:rsid w:val="00622F82"/>
    <w:rsid w:val="00630280"/>
    <w:rsid w:val="006407E2"/>
    <w:rsid w:val="006420E6"/>
    <w:rsid w:val="0064315C"/>
    <w:rsid w:val="006446EA"/>
    <w:rsid w:val="006516CA"/>
    <w:rsid w:val="006564A1"/>
    <w:rsid w:val="00662D68"/>
    <w:rsid w:val="00664670"/>
    <w:rsid w:val="00665C05"/>
    <w:rsid w:val="006717D2"/>
    <w:rsid w:val="006726FA"/>
    <w:rsid w:val="00691FEF"/>
    <w:rsid w:val="006937B9"/>
    <w:rsid w:val="00694339"/>
    <w:rsid w:val="00696E57"/>
    <w:rsid w:val="00697345"/>
    <w:rsid w:val="006A52FC"/>
    <w:rsid w:val="006B19C1"/>
    <w:rsid w:val="006B5552"/>
    <w:rsid w:val="006C31DF"/>
    <w:rsid w:val="006E5BBF"/>
    <w:rsid w:val="006E6591"/>
    <w:rsid w:val="00701796"/>
    <w:rsid w:val="0071281B"/>
    <w:rsid w:val="0071570E"/>
    <w:rsid w:val="0071573D"/>
    <w:rsid w:val="00716D24"/>
    <w:rsid w:val="0072536B"/>
    <w:rsid w:val="00725CF6"/>
    <w:rsid w:val="00747A00"/>
    <w:rsid w:val="00747B84"/>
    <w:rsid w:val="00752284"/>
    <w:rsid w:val="00755A37"/>
    <w:rsid w:val="00755FB9"/>
    <w:rsid w:val="007571A8"/>
    <w:rsid w:val="00762FFB"/>
    <w:rsid w:val="00764961"/>
    <w:rsid w:val="007661FB"/>
    <w:rsid w:val="007664EB"/>
    <w:rsid w:val="0076667C"/>
    <w:rsid w:val="00766A15"/>
    <w:rsid w:val="00770E3E"/>
    <w:rsid w:val="00773273"/>
    <w:rsid w:val="007870F0"/>
    <w:rsid w:val="007908AF"/>
    <w:rsid w:val="007914B3"/>
    <w:rsid w:val="007946A1"/>
    <w:rsid w:val="007A4493"/>
    <w:rsid w:val="007A5BDC"/>
    <w:rsid w:val="007A619C"/>
    <w:rsid w:val="007A63B2"/>
    <w:rsid w:val="007B316E"/>
    <w:rsid w:val="007B4476"/>
    <w:rsid w:val="007B5096"/>
    <w:rsid w:val="007B55F6"/>
    <w:rsid w:val="007C0BF3"/>
    <w:rsid w:val="007C5142"/>
    <w:rsid w:val="007C635F"/>
    <w:rsid w:val="007D5745"/>
    <w:rsid w:val="007D587B"/>
    <w:rsid w:val="007E1EC6"/>
    <w:rsid w:val="007E6B19"/>
    <w:rsid w:val="007F1268"/>
    <w:rsid w:val="007F3645"/>
    <w:rsid w:val="00800229"/>
    <w:rsid w:val="00806BD2"/>
    <w:rsid w:val="008127F4"/>
    <w:rsid w:val="00813F42"/>
    <w:rsid w:val="00823A50"/>
    <w:rsid w:val="00827680"/>
    <w:rsid w:val="00835133"/>
    <w:rsid w:val="00836938"/>
    <w:rsid w:val="008375EA"/>
    <w:rsid w:val="00837884"/>
    <w:rsid w:val="00841451"/>
    <w:rsid w:val="00841C0E"/>
    <w:rsid w:val="00845FE5"/>
    <w:rsid w:val="00846D01"/>
    <w:rsid w:val="00851299"/>
    <w:rsid w:val="00853E53"/>
    <w:rsid w:val="00860556"/>
    <w:rsid w:val="00863714"/>
    <w:rsid w:val="00864E18"/>
    <w:rsid w:val="00865B72"/>
    <w:rsid w:val="00883B8F"/>
    <w:rsid w:val="008845B4"/>
    <w:rsid w:val="008923CB"/>
    <w:rsid w:val="00896D1D"/>
    <w:rsid w:val="008A290F"/>
    <w:rsid w:val="008A422A"/>
    <w:rsid w:val="008A5810"/>
    <w:rsid w:val="008A6D0A"/>
    <w:rsid w:val="008B281A"/>
    <w:rsid w:val="008B456A"/>
    <w:rsid w:val="008C0B5A"/>
    <w:rsid w:val="008C0C46"/>
    <w:rsid w:val="008D628F"/>
    <w:rsid w:val="008E240D"/>
    <w:rsid w:val="008E4F25"/>
    <w:rsid w:val="008F2828"/>
    <w:rsid w:val="008F3AD8"/>
    <w:rsid w:val="008F431A"/>
    <w:rsid w:val="009045F8"/>
    <w:rsid w:val="009058A9"/>
    <w:rsid w:val="00914486"/>
    <w:rsid w:val="00923064"/>
    <w:rsid w:val="009263BD"/>
    <w:rsid w:val="00930CE8"/>
    <w:rsid w:val="00951286"/>
    <w:rsid w:val="0095209A"/>
    <w:rsid w:val="0095496C"/>
    <w:rsid w:val="00967408"/>
    <w:rsid w:val="009763A9"/>
    <w:rsid w:val="00987172"/>
    <w:rsid w:val="00991281"/>
    <w:rsid w:val="0099792B"/>
    <w:rsid w:val="009A08FD"/>
    <w:rsid w:val="009A4482"/>
    <w:rsid w:val="009C2C92"/>
    <w:rsid w:val="009C3BF9"/>
    <w:rsid w:val="009C438F"/>
    <w:rsid w:val="009D40E3"/>
    <w:rsid w:val="009E51B8"/>
    <w:rsid w:val="009F0F3E"/>
    <w:rsid w:val="009F4CE0"/>
    <w:rsid w:val="009F76D9"/>
    <w:rsid w:val="00A003FB"/>
    <w:rsid w:val="00A0342E"/>
    <w:rsid w:val="00A06A77"/>
    <w:rsid w:val="00A12EEB"/>
    <w:rsid w:val="00A14CCC"/>
    <w:rsid w:val="00A234A7"/>
    <w:rsid w:val="00A31CAC"/>
    <w:rsid w:val="00A362DC"/>
    <w:rsid w:val="00A37A1B"/>
    <w:rsid w:val="00A37AB2"/>
    <w:rsid w:val="00A5014D"/>
    <w:rsid w:val="00A50ED5"/>
    <w:rsid w:val="00A81F12"/>
    <w:rsid w:val="00A83B56"/>
    <w:rsid w:val="00A86217"/>
    <w:rsid w:val="00A87B3A"/>
    <w:rsid w:val="00AA464A"/>
    <w:rsid w:val="00AA6AAD"/>
    <w:rsid w:val="00AB3841"/>
    <w:rsid w:val="00AC3743"/>
    <w:rsid w:val="00AC5C33"/>
    <w:rsid w:val="00AD4E4F"/>
    <w:rsid w:val="00AE1BB1"/>
    <w:rsid w:val="00AE3399"/>
    <w:rsid w:val="00AE7D82"/>
    <w:rsid w:val="00AF3D53"/>
    <w:rsid w:val="00B01996"/>
    <w:rsid w:val="00B05B0B"/>
    <w:rsid w:val="00B06614"/>
    <w:rsid w:val="00B11185"/>
    <w:rsid w:val="00B146D0"/>
    <w:rsid w:val="00B179B8"/>
    <w:rsid w:val="00B25A7A"/>
    <w:rsid w:val="00B262BA"/>
    <w:rsid w:val="00B41D4B"/>
    <w:rsid w:val="00B453C9"/>
    <w:rsid w:val="00B5179C"/>
    <w:rsid w:val="00B52044"/>
    <w:rsid w:val="00B53BA6"/>
    <w:rsid w:val="00B5525B"/>
    <w:rsid w:val="00B57C35"/>
    <w:rsid w:val="00B61254"/>
    <w:rsid w:val="00B6493A"/>
    <w:rsid w:val="00B673FE"/>
    <w:rsid w:val="00B76CDF"/>
    <w:rsid w:val="00B80236"/>
    <w:rsid w:val="00B83F03"/>
    <w:rsid w:val="00B866BF"/>
    <w:rsid w:val="00B90499"/>
    <w:rsid w:val="00B91A29"/>
    <w:rsid w:val="00BA71CF"/>
    <w:rsid w:val="00BB1C31"/>
    <w:rsid w:val="00BB40AF"/>
    <w:rsid w:val="00BB56DF"/>
    <w:rsid w:val="00BB5935"/>
    <w:rsid w:val="00BC7F51"/>
    <w:rsid w:val="00BD1BEC"/>
    <w:rsid w:val="00BD2986"/>
    <w:rsid w:val="00BD3126"/>
    <w:rsid w:val="00BE1FB5"/>
    <w:rsid w:val="00BE333D"/>
    <w:rsid w:val="00BE5F8C"/>
    <w:rsid w:val="00BE5FC4"/>
    <w:rsid w:val="00BE7C91"/>
    <w:rsid w:val="00BF33A5"/>
    <w:rsid w:val="00BF3B93"/>
    <w:rsid w:val="00BF523C"/>
    <w:rsid w:val="00C00DD0"/>
    <w:rsid w:val="00C00FF8"/>
    <w:rsid w:val="00C058F4"/>
    <w:rsid w:val="00C1096B"/>
    <w:rsid w:val="00C1350B"/>
    <w:rsid w:val="00C20019"/>
    <w:rsid w:val="00C27286"/>
    <w:rsid w:val="00C3164D"/>
    <w:rsid w:val="00C32F33"/>
    <w:rsid w:val="00C35AD4"/>
    <w:rsid w:val="00C445AA"/>
    <w:rsid w:val="00C46630"/>
    <w:rsid w:val="00C656EC"/>
    <w:rsid w:val="00C67CCD"/>
    <w:rsid w:val="00C813B6"/>
    <w:rsid w:val="00C869B8"/>
    <w:rsid w:val="00C86A06"/>
    <w:rsid w:val="00CA18CA"/>
    <w:rsid w:val="00CB22DF"/>
    <w:rsid w:val="00CB44C4"/>
    <w:rsid w:val="00CB5DC4"/>
    <w:rsid w:val="00CB6902"/>
    <w:rsid w:val="00CC2669"/>
    <w:rsid w:val="00CC6D7C"/>
    <w:rsid w:val="00CE26C5"/>
    <w:rsid w:val="00CE678E"/>
    <w:rsid w:val="00CF071F"/>
    <w:rsid w:val="00CF4C15"/>
    <w:rsid w:val="00D01B9D"/>
    <w:rsid w:val="00D05C53"/>
    <w:rsid w:val="00D07F2C"/>
    <w:rsid w:val="00D10DDD"/>
    <w:rsid w:val="00D10F08"/>
    <w:rsid w:val="00D13EC2"/>
    <w:rsid w:val="00D23C9D"/>
    <w:rsid w:val="00D246CA"/>
    <w:rsid w:val="00D33426"/>
    <w:rsid w:val="00D34E53"/>
    <w:rsid w:val="00D55A38"/>
    <w:rsid w:val="00D6006A"/>
    <w:rsid w:val="00D61463"/>
    <w:rsid w:val="00D70848"/>
    <w:rsid w:val="00D766C4"/>
    <w:rsid w:val="00D8043B"/>
    <w:rsid w:val="00D95AEC"/>
    <w:rsid w:val="00D96435"/>
    <w:rsid w:val="00D979CC"/>
    <w:rsid w:val="00DB0496"/>
    <w:rsid w:val="00DB07B8"/>
    <w:rsid w:val="00DB17F7"/>
    <w:rsid w:val="00DB3DB7"/>
    <w:rsid w:val="00DB5A30"/>
    <w:rsid w:val="00DB7676"/>
    <w:rsid w:val="00DB7BEB"/>
    <w:rsid w:val="00DC16E3"/>
    <w:rsid w:val="00DC2FB4"/>
    <w:rsid w:val="00DC6114"/>
    <w:rsid w:val="00DC7163"/>
    <w:rsid w:val="00DC7542"/>
    <w:rsid w:val="00DD0484"/>
    <w:rsid w:val="00DD295F"/>
    <w:rsid w:val="00DD42A3"/>
    <w:rsid w:val="00DD4BBC"/>
    <w:rsid w:val="00DD6FED"/>
    <w:rsid w:val="00DE12F2"/>
    <w:rsid w:val="00DE3B94"/>
    <w:rsid w:val="00DE74CD"/>
    <w:rsid w:val="00DF3B01"/>
    <w:rsid w:val="00DF3E2D"/>
    <w:rsid w:val="00DF3ED2"/>
    <w:rsid w:val="00DF67EE"/>
    <w:rsid w:val="00DF7B48"/>
    <w:rsid w:val="00DF7E7A"/>
    <w:rsid w:val="00E0137F"/>
    <w:rsid w:val="00E02748"/>
    <w:rsid w:val="00E06ED7"/>
    <w:rsid w:val="00E13F11"/>
    <w:rsid w:val="00E2013B"/>
    <w:rsid w:val="00E20E22"/>
    <w:rsid w:val="00E22C63"/>
    <w:rsid w:val="00E23E45"/>
    <w:rsid w:val="00E272A0"/>
    <w:rsid w:val="00E334E1"/>
    <w:rsid w:val="00E37090"/>
    <w:rsid w:val="00E41A9D"/>
    <w:rsid w:val="00E41B18"/>
    <w:rsid w:val="00E635F8"/>
    <w:rsid w:val="00E649B3"/>
    <w:rsid w:val="00E64A96"/>
    <w:rsid w:val="00E70EED"/>
    <w:rsid w:val="00E7329C"/>
    <w:rsid w:val="00E7398B"/>
    <w:rsid w:val="00E753D7"/>
    <w:rsid w:val="00E76FAB"/>
    <w:rsid w:val="00E93FD7"/>
    <w:rsid w:val="00E94EE5"/>
    <w:rsid w:val="00EA0F09"/>
    <w:rsid w:val="00EC4D3B"/>
    <w:rsid w:val="00ED2612"/>
    <w:rsid w:val="00ED667B"/>
    <w:rsid w:val="00EE1045"/>
    <w:rsid w:val="00EE49AE"/>
    <w:rsid w:val="00EF3546"/>
    <w:rsid w:val="00EF53D0"/>
    <w:rsid w:val="00F042C6"/>
    <w:rsid w:val="00F24511"/>
    <w:rsid w:val="00F24AA0"/>
    <w:rsid w:val="00F3565C"/>
    <w:rsid w:val="00F37676"/>
    <w:rsid w:val="00F40783"/>
    <w:rsid w:val="00F457D2"/>
    <w:rsid w:val="00F45805"/>
    <w:rsid w:val="00F47F91"/>
    <w:rsid w:val="00F50A76"/>
    <w:rsid w:val="00F537A7"/>
    <w:rsid w:val="00F54B10"/>
    <w:rsid w:val="00F57112"/>
    <w:rsid w:val="00F62B66"/>
    <w:rsid w:val="00F62C69"/>
    <w:rsid w:val="00F675EC"/>
    <w:rsid w:val="00F709F6"/>
    <w:rsid w:val="00F7398C"/>
    <w:rsid w:val="00F8054A"/>
    <w:rsid w:val="00F80AD0"/>
    <w:rsid w:val="00F8268E"/>
    <w:rsid w:val="00F8731E"/>
    <w:rsid w:val="00F903C4"/>
    <w:rsid w:val="00F93800"/>
    <w:rsid w:val="00FA74AC"/>
    <w:rsid w:val="00FA7569"/>
    <w:rsid w:val="00FB4AE0"/>
    <w:rsid w:val="00FC110E"/>
    <w:rsid w:val="00FC3418"/>
    <w:rsid w:val="00FD4C12"/>
    <w:rsid w:val="00FE3D16"/>
    <w:rsid w:val="00FE51C5"/>
    <w:rsid w:val="00FF222A"/>
    <w:rsid w:val="00FF356C"/>
    <w:rsid w:val="00FF36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C03F"/>
  <w15:docId w15:val="{B9ED5E97-9FDA-43E8-95BD-28AE1E19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next w:val="Body"/>
    <w:uiPriority w:val="9"/>
    <w:unhideWhenUsed/>
    <w:qFormat/>
    <w:pPr>
      <w:keepNext/>
      <w:spacing w:before="360" w:after="120" w:line="480" w:lineRule="auto"/>
      <w:outlineLvl w:val="1"/>
    </w:pPr>
    <w:rPr>
      <w:rFonts w:cs="Arial Unicode MS"/>
      <w:b/>
      <w:bCs/>
      <w:color w:val="000000"/>
      <w:sz w:val="24"/>
      <w:szCs w:val="24"/>
      <w:u w:color="000000"/>
      <w:lang w:val="pt-PT"/>
      <w14:textOutline w14:w="0" w14:cap="flat" w14:cmpd="sng" w14:algn="ctr">
        <w14:noFill/>
        <w14:prstDash w14:val="solid"/>
        <w14:bevel/>
      </w14:textOutline>
    </w:rPr>
  </w:style>
  <w:style w:type="paragraph" w:styleId="Heading3">
    <w:name w:val="heading 3"/>
    <w:next w:val="Body"/>
    <w:uiPriority w:val="9"/>
    <w:unhideWhenUsed/>
    <w:qFormat/>
    <w:pPr>
      <w:keepNext/>
      <w:spacing w:before="240" w:after="120" w:line="480" w:lineRule="auto"/>
      <w:outlineLvl w:val="2"/>
    </w:pPr>
    <w:rPr>
      <w:rFonts w:cs="Arial Unicode MS"/>
      <w:i/>
      <w:iCs/>
      <w:color w:val="000000"/>
      <w:sz w:val="24"/>
      <w:szCs w:val="24"/>
      <w:u w:color="000000"/>
      <w:lang w:val="en-US"/>
      <w14:textOutline w14:w="0" w14:cap="flat" w14:cmpd="sng" w14:algn="ctr">
        <w14:noFill/>
        <w14:prstDash w14:val="solid"/>
        <w14:bevel/>
      </w14:textOutline>
    </w:rPr>
  </w:style>
  <w:style w:type="paragraph" w:styleId="Heading4">
    <w:name w:val="heading 4"/>
    <w:next w:val="Body"/>
    <w:link w:val="Heading4Char"/>
    <w:uiPriority w:val="9"/>
    <w:unhideWhenUsed/>
    <w:qFormat/>
    <w:rsid w:val="00326372"/>
    <w:pPr>
      <w:keepNext/>
      <w:keepLines/>
      <w:spacing w:before="120"/>
      <w:outlineLvl w:val="3"/>
    </w:pPr>
    <w:rPr>
      <w:rFonts w:cs="Arial Unicode M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spacing w:before="120"/>
    </w:pPr>
    <w:rPr>
      <w:rFonts w:cs="Arial Unicode MS"/>
      <w:color w:val="000000"/>
      <w:u w:color="000000"/>
      <w:lang w:val="en-US"/>
    </w:rPr>
  </w:style>
  <w:style w:type="paragraph" w:styleId="Title">
    <w:name w:val="Title"/>
    <w:next w:val="Body"/>
    <w:uiPriority w:val="10"/>
    <w:qFormat/>
    <w:pPr>
      <w:spacing w:before="720" w:after="600" w:line="360" w:lineRule="auto"/>
      <w:jc w:val="center"/>
    </w:pPr>
    <w:rPr>
      <w:rFonts w:cs="Arial Unicode MS"/>
      <w:b/>
      <w:bCs/>
      <w:color w:val="000000"/>
      <w:spacing w:val="-10"/>
      <w:kern w:val="28"/>
      <w:sz w:val="28"/>
      <w:szCs w:val="28"/>
      <w:u w:color="000000"/>
      <w:lang w:val="en-US"/>
      <w14:textOutline w14:w="0" w14:cap="flat" w14:cmpd="sng" w14:algn="ctr">
        <w14:noFill/>
        <w14:prstDash w14:val="solid"/>
        <w14:bevel/>
      </w14:textOutline>
    </w:rPr>
  </w:style>
  <w:style w:type="paragraph" w:customStyle="1" w:styleId="Body">
    <w:name w:val="Body"/>
    <w:next w:val="BalloonText"/>
    <w:pPr>
      <w:spacing w:before="120" w:after="120"/>
    </w:pPr>
    <w:rPr>
      <w:rFonts w:cs="Arial Unicode MS"/>
      <w:color w:val="000000"/>
      <w:sz w:val="24"/>
      <w:szCs w:val="24"/>
      <w:u w:color="000000"/>
      <w:lang w:val="en-US"/>
      <w14:textOutline w14:w="0" w14:cap="flat" w14:cmpd="sng" w14:algn="ctr">
        <w14:noFill/>
        <w14:prstDash w14:val="solid"/>
        <w14:bevel/>
      </w14:textOutline>
    </w:rPr>
  </w:style>
  <w:style w:type="paragraph" w:styleId="BalloonText">
    <w:name w:val="Balloon Text"/>
    <w:pPr>
      <w:spacing w:before="120" w:after="120"/>
    </w:pPr>
    <w:rPr>
      <w:rFonts w:cs="Arial Unicode MS"/>
      <w:color w:val="000000"/>
      <w:sz w:val="16"/>
      <w:szCs w:val="16"/>
      <w:u w:color="000000"/>
      <w:lang w:val="en-US"/>
    </w:rPr>
  </w:style>
  <w:style w:type="paragraph" w:customStyle="1" w:styleId="Heading">
    <w:name w:val="Heading"/>
    <w:next w:val="Body"/>
    <w:pPr>
      <w:keepNext/>
      <w:keepLines/>
      <w:spacing w:before="480" w:after="360" w:line="480" w:lineRule="auto"/>
      <w:jc w:val="center"/>
      <w:outlineLvl w:val="0"/>
    </w:pPr>
    <w:rPr>
      <w:rFonts w:eastAsia="Times New Roman"/>
      <w:b/>
      <w:bCs/>
      <w:color w:val="000000"/>
      <w:sz w:val="24"/>
      <w:szCs w:val="24"/>
      <w:u w:color="000000"/>
      <w14:textOutline w14:w="0" w14:cap="flat" w14:cmpd="sng" w14:algn="ctr">
        <w14:noFill/>
        <w14:prstDash w14:val="solid"/>
        <w14:bevel/>
      </w14:textOutline>
    </w:rPr>
  </w:style>
  <w:style w:type="paragraph" w:styleId="BodyText">
    <w:name w:val="Body Text"/>
    <w:pPr>
      <w:spacing w:before="120" w:after="120" w:line="480" w:lineRule="auto"/>
      <w:jc w:val="both"/>
    </w:pPr>
    <w:rPr>
      <w:rFonts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lang w:val="en-US"/>
    </w:rPr>
  </w:style>
  <w:style w:type="paragraph" w:styleId="Revision">
    <w:name w:val="Revision"/>
    <w:hidden/>
    <w:uiPriority w:val="99"/>
    <w:semiHidden/>
    <w:rsid w:val="00F80A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B5525B"/>
    <w:pPr>
      <w:tabs>
        <w:tab w:val="center" w:pos="4513"/>
        <w:tab w:val="right" w:pos="9026"/>
      </w:tabs>
    </w:pPr>
  </w:style>
  <w:style w:type="character" w:customStyle="1" w:styleId="HeaderChar">
    <w:name w:val="Header Char"/>
    <w:basedOn w:val="DefaultParagraphFont"/>
    <w:link w:val="Header"/>
    <w:uiPriority w:val="99"/>
    <w:rsid w:val="00B5525B"/>
    <w:rPr>
      <w:sz w:val="24"/>
      <w:szCs w:val="24"/>
      <w:lang w:eastAsia="en-US"/>
    </w:rPr>
  </w:style>
  <w:style w:type="character" w:styleId="LineNumber">
    <w:name w:val="line number"/>
    <w:basedOn w:val="DefaultParagraphFont"/>
    <w:uiPriority w:val="99"/>
    <w:semiHidden/>
    <w:unhideWhenUsed/>
    <w:rsid w:val="009263BD"/>
  </w:style>
  <w:style w:type="character" w:styleId="CommentReference">
    <w:name w:val="annotation reference"/>
    <w:basedOn w:val="DefaultParagraphFont"/>
    <w:uiPriority w:val="99"/>
    <w:semiHidden/>
    <w:unhideWhenUsed/>
    <w:rsid w:val="00BE333D"/>
    <w:rPr>
      <w:sz w:val="16"/>
      <w:szCs w:val="16"/>
    </w:rPr>
  </w:style>
  <w:style w:type="paragraph" w:styleId="CommentText">
    <w:name w:val="annotation text"/>
    <w:basedOn w:val="Normal"/>
    <w:link w:val="CommentTextChar"/>
    <w:uiPriority w:val="99"/>
    <w:unhideWhenUsed/>
    <w:rsid w:val="00BE333D"/>
    <w:rPr>
      <w:sz w:val="20"/>
      <w:szCs w:val="20"/>
    </w:rPr>
  </w:style>
  <w:style w:type="character" w:customStyle="1" w:styleId="CommentTextChar">
    <w:name w:val="Comment Text Char"/>
    <w:basedOn w:val="DefaultParagraphFont"/>
    <w:link w:val="CommentText"/>
    <w:uiPriority w:val="99"/>
    <w:rsid w:val="00BE333D"/>
    <w:rPr>
      <w:lang w:eastAsia="en-US"/>
    </w:rPr>
  </w:style>
  <w:style w:type="paragraph" w:styleId="CommentSubject">
    <w:name w:val="annotation subject"/>
    <w:basedOn w:val="CommentText"/>
    <w:next w:val="CommentText"/>
    <w:link w:val="CommentSubjectChar"/>
    <w:uiPriority w:val="99"/>
    <w:semiHidden/>
    <w:unhideWhenUsed/>
    <w:rsid w:val="00BE333D"/>
    <w:rPr>
      <w:b/>
      <w:bCs/>
    </w:rPr>
  </w:style>
  <w:style w:type="character" w:customStyle="1" w:styleId="CommentSubjectChar">
    <w:name w:val="Comment Subject Char"/>
    <w:basedOn w:val="CommentTextChar"/>
    <w:link w:val="CommentSubject"/>
    <w:uiPriority w:val="99"/>
    <w:semiHidden/>
    <w:rsid w:val="00BE333D"/>
    <w:rPr>
      <w:b/>
      <w:bCs/>
      <w:lang w:eastAsia="en-US"/>
    </w:rPr>
  </w:style>
  <w:style w:type="character" w:customStyle="1" w:styleId="Heading4Char">
    <w:name w:val="Heading 4 Char"/>
    <w:basedOn w:val="DefaultParagraphFont"/>
    <w:link w:val="Heading4"/>
    <w:uiPriority w:val="9"/>
    <w:rsid w:val="0003182D"/>
    <w:rPr>
      <w:rFonts w:cs="Arial Unicode MS"/>
      <w:i/>
      <w:iC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lin.berry@glasgow.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1474</Words>
  <Characters>14749</Characters>
  <Application>Microsoft Office Word</Application>
  <DocSecurity>0</DocSecurity>
  <Lines>2949</Lines>
  <Paragraphs>1474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Berry</dc:creator>
  <cp:lastModifiedBy>Colin Berry</cp:lastModifiedBy>
  <cp:revision>3</cp:revision>
  <dcterms:created xsi:type="dcterms:W3CDTF">2025-11-03T10:29:00Z</dcterms:created>
  <dcterms:modified xsi:type="dcterms:W3CDTF">2025-11-03T10:30:00Z</dcterms:modified>
</cp:coreProperties>
</file>