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7A3B" w14:textId="2CE74623" w:rsidR="00147530" w:rsidRDefault="00147530" w:rsidP="00147530">
      <w:pPr>
        <w:pStyle w:val="MStitle"/>
        <w:jc w:val="left"/>
      </w:pPr>
      <w:r>
        <w:t>Supplementary material</w:t>
      </w:r>
    </w:p>
    <w:p w14:paraId="07431E2B" w14:textId="77777777" w:rsidR="00147530" w:rsidRPr="00435C70" w:rsidRDefault="00147530" w:rsidP="00147530">
      <w:pPr>
        <w:pStyle w:val="MStitle"/>
        <w:jc w:val="left"/>
        <w:rPr>
          <w:b w:val="0"/>
          <w:bCs/>
          <w:sz w:val="20"/>
          <w:szCs w:val="14"/>
        </w:rPr>
      </w:pPr>
    </w:p>
    <w:p w14:paraId="4DF42C55" w14:textId="75AE6995" w:rsidR="00E019C2" w:rsidRPr="00435C70" w:rsidRDefault="00E019C2" w:rsidP="0062776D">
      <w:pPr>
        <w:rPr>
          <w:b/>
          <w:bCs/>
        </w:rPr>
      </w:pPr>
      <w:r w:rsidRPr="00435C70">
        <w:rPr>
          <w:b/>
          <w:bCs/>
        </w:rPr>
        <w:t>Assessing the temporal clustering of coastal storm tide hazards under natural variability in a near 500-year model run</w:t>
      </w:r>
    </w:p>
    <w:p w14:paraId="089E5AB8" w14:textId="77777777" w:rsidR="00E019C2" w:rsidRDefault="00E019C2" w:rsidP="00E019C2"/>
    <w:p w14:paraId="7EC2EEA2" w14:textId="20B1A491" w:rsidR="00E019C2" w:rsidRDefault="005C7EE2" w:rsidP="00E019C2">
      <w:r>
        <w:rPr>
          <w:noProof/>
        </w:rPr>
        <w:drawing>
          <wp:inline distT="0" distB="0" distL="0" distR="0" wp14:anchorId="5A030E37" wp14:editId="66743E92">
            <wp:extent cx="6372225" cy="3207385"/>
            <wp:effectExtent l="0" t="0" r="9525" b="0"/>
            <wp:docPr id="812602174" name="Picture 1" descr="A group of colorful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02174" name="Picture 1" descr="A group of colorful lin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8CA5" w14:textId="4E1D2BB8" w:rsidR="00702F5C" w:rsidRDefault="00FF3C7E" w:rsidP="00702F5C">
      <w:r w:rsidRPr="00EA4F1F">
        <w:t xml:space="preserve"> </w:t>
      </w:r>
      <w:r w:rsidR="00702F5C" w:rsidRPr="00F82902">
        <w:rPr>
          <w:b/>
          <w:bCs/>
        </w:rPr>
        <w:t xml:space="preserve">Fig. </w:t>
      </w:r>
      <w:r w:rsidR="00702F5C">
        <w:rPr>
          <w:b/>
          <w:bCs/>
        </w:rPr>
        <w:t>S1</w:t>
      </w:r>
      <w:r w:rsidR="00702F5C" w:rsidRPr="00F82902">
        <w:rPr>
          <w:b/>
          <w:bCs/>
        </w:rPr>
        <w:t>:</w:t>
      </w:r>
      <w:r w:rsidR="00702F5C">
        <w:t xml:space="preserve"> Extremal index (K-gaps) for non-tidal residual timeseries. The top row (</w:t>
      </w:r>
      <w:r w:rsidR="00702F5C" w:rsidRPr="00F82902">
        <w:rPr>
          <w:b/>
          <w:bCs/>
        </w:rPr>
        <w:t>a</w:t>
      </w:r>
      <w:r w:rsidR="00702F5C">
        <w:t>-</w:t>
      </w:r>
      <w:r w:rsidR="00702F5C" w:rsidRPr="00F82902">
        <w:rPr>
          <w:b/>
          <w:bCs/>
        </w:rPr>
        <w:t>c</w:t>
      </w:r>
      <w:r w:rsidR="00702F5C">
        <w:t>) shows results at the 1 in 1-year return level, the middle row (</w:t>
      </w:r>
      <w:r w:rsidR="00702F5C" w:rsidRPr="00F82902">
        <w:rPr>
          <w:b/>
          <w:bCs/>
        </w:rPr>
        <w:t>d</w:t>
      </w:r>
      <w:r w:rsidR="00702F5C">
        <w:t>-</w:t>
      </w:r>
      <w:r w:rsidR="00702F5C" w:rsidRPr="00F82902">
        <w:rPr>
          <w:b/>
          <w:bCs/>
        </w:rPr>
        <w:t>f</w:t>
      </w:r>
      <w:r w:rsidR="00702F5C">
        <w:t>) the 1 in 5-year return level, and the bottom row (</w:t>
      </w:r>
      <w:r w:rsidR="00702F5C" w:rsidRPr="00F82902">
        <w:rPr>
          <w:b/>
          <w:bCs/>
        </w:rPr>
        <w:t>g</w:t>
      </w:r>
      <w:r w:rsidR="00702F5C">
        <w:t>-</w:t>
      </w:r>
      <w:proofErr w:type="spellStart"/>
      <w:r w:rsidR="00702F5C" w:rsidRPr="00F82902">
        <w:rPr>
          <w:b/>
          <w:bCs/>
        </w:rPr>
        <w:t>i</w:t>
      </w:r>
      <w:proofErr w:type="spellEnd"/>
      <w:r w:rsidR="00702F5C">
        <w:t xml:space="preserve">) the 1 in 10-year return level. Percentages are shown spatially in panels </w:t>
      </w:r>
      <w:r w:rsidR="00702F5C" w:rsidRPr="00F82902">
        <w:rPr>
          <w:b/>
          <w:bCs/>
        </w:rPr>
        <w:t>a</w:t>
      </w:r>
      <w:r w:rsidR="00702F5C">
        <w:t xml:space="preserve">, </w:t>
      </w:r>
      <w:r w:rsidR="00702F5C" w:rsidRPr="00F82902">
        <w:rPr>
          <w:b/>
          <w:bCs/>
        </w:rPr>
        <w:t>d</w:t>
      </w:r>
      <w:r w:rsidR="00702F5C">
        <w:t xml:space="preserve">, and </w:t>
      </w:r>
      <w:r w:rsidR="00702F5C" w:rsidRPr="00F82902">
        <w:rPr>
          <w:b/>
          <w:bCs/>
        </w:rPr>
        <w:t>g</w:t>
      </w:r>
      <w:r w:rsidR="00702F5C">
        <w:t xml:space="preserve"> (left column), clockwise around the coast from the Southwest tip of England ending back at Newlyn in panels </w:t>
      </w:r>
      <w:r w:rsidR="00702F5C" w:rsidRPr="00F82902">
        <w:rPr>
          <w:b/>
          <w:bCs/>
        </w:rPr>
        <w:t>b</w:t>
      </w:r>
      <w:r w:rsidR="00702F5C">
        <w:t xml:space="preserve">, </w:t>
      </w:r>
      <w:r w:rsidR="00702F5C" w:rsidRPr="00F82902">
        <w:rPr>
          <w:b/>
          <w:bCs/>
        </w:rPr>
        <w:t>e</w:t>
      </w:r>
      <w:r w:rsidR="00702F5C">
        <w:t xml:space="preserve">, and </w:t>
      </w:r>
      <w:r w:rsidR="00702F5C" w:rsidRPr="00F82902">
        <w:rPr>
          <w:b/>
          <w:bCs/>
        </w:rPr>
        <w:t>h</w:t>
      </w:r>
      <w:r w:rsidR="00702F5C">
        <w:t xml:space="preserve"> (middle column), and finally shown as a scatter plot against maximum non-tidal residual at that grid node in panels </w:t>
      </w:r>
      <w:r w:rsidR="00702F5C" w:rsidRPr="00F82902">
        <w:rPr>
          <w:b/>
          <w:bCs/>
        </w:rPr>
        <w:t>c</w:t>
      </w:r>
      <w:r w:rsidR="00702F5C">
        <w:t xml:space="preserve">, </w:t>
      </w:r>
      <w:r w:rsidR="00702F5C" w:rsidRPr="00F82902">
        <w:rPr>
          <w:b/>
          <w:bCs/>
        </w:rPr>
        <w:t>f</w:t>
      </w:r>
      <w:r w:rsidR="00702F5C">
        <w:t xml:space="preserve">, and </w:t>
      </w:r>
      <w:proofErr w:type="spellStart"/>
      <w:r w:rsidR="00702F5C" w:rsidRPr="00F82902">
        <w:rPr>
          <w:b/>
          <w:bCs/>
        </w:rPr>
        <w:t>i</w:t>
      </w:r>
      <w:proofErr w:type="spellEnd"/>
      <w:r w:rsidR="00702F5C">
        <w:t xml:space="preserve"> (right column). The grey lines (dots) in panels </w:t>
      </w:r>
      <w:r w:rsidR="00702F5C" w:rsidRPr="00F82902">
        <w:rPr>
          <w:b/>
          <w:bCs/>
        </w:rPr>
        <w:t>b</w:t>
      </w:r>
      <w:r w:rsidR="00702F5C">
        <w:t xml:space="preserve">, </w:t>
      </w:r>
      <w:r w:rsidR="00702F5C" w:rsidRPr="00F82902">
        <w:rPr>
          <w:b/>
          <w:bCs/>
        </w:rPr>
        <w:t>e</w:t>
      </w:r>
      <w:r w:rsidR="00702F5C">
        <w:t xml:space="preserve">, and </w:t>
      </w:r>
      <w:r w:rsidR="00702F5C" w:rsidRPr="00F82902">
        <w:rPr>
          <w:b/>
          <w:bCs/>
        </w:rPr>
        <w:t>h</w:t>
      </w:r>
      <w:r w:rsidR="00702F5C">
        <w:t xml:space="preserve"> (</w:t>
      </w:r>
      <w:r w:rsidR="00702F5C" w:rsidRPr="00F82902">
        <w:rPr>
          <w:b/>
          <w:bCs/>
        </w:rPr>
        <w:t>c</w:t>
      </w:r>
      <w:r w:rsidR="00702F5C">
        <w:t xml:space="preserve">, </w:t>
      </w:r>
      <w:r w:rsidR="00702F5C" w:rsidRPr="00F82902">
        <w:rPr>
          <w:b/>
          <w:bCs/>
        </w:rPr>
        <w:t>f</w:t>
      </w:r>
      <w:r w:rsidR="00702F5C">
        <w:t xml:space="preserve">, and </w:t>
      </w:r>
      <w:proofErr w:type="spellStart"/>
      <w:r w:rsidR="00702F5C" w:rsidRPr="00F82902">
        <w:rPr>
          <w:b/>
          <w:bCs/>
        </w:rPr>
        <w:t>i</w:t>
      </w:r>
      <w:proofErr w:type="spellEnd"/>
      <w:r w:rsidR="00702F5C">
        <w:t>) show the range of (all) results from the 50-year rolling window analysis.</w:t>
      </w:r>
    </w:p>
    <w:p w14:paraId="5CA237A9" w14:textId="715C6C08" w:rsidR="00F5258E" w:rsidRDefault="00F5258E" w:rsidP="00EA4F1F"/>
    <w:p w14:paraId="2B801871" w14:textId="5E7F9250" w:rsidR="00702F5C" w:rsidRDefault="005C7EE2" w:rsidP="00EA4F1F">
      <w:r>
        <w:rPr>
          <w:noProof/>
        </w:rPr>
        <w:lastRenderedPageBreak/>
        <w:drawing>
          <wp:inline distT="0" distB="0" distL="0" distR="0" wp14:anchorId="5F1CF31C" wp14:editId="43170DAB">
            <wp:extent cx="6372225" cy="3208655"/>
            <wp:effectExtent l="0" t="0" r="9525" b="0"/>
            <wp:docPr id="252281473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81473" name="Picture 2" descr="A screenshot of a graph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18DF" w14:textId="19DEAE1E" w:rsidR="00D46BB2" w:rsidRPr="00EA4F1F" w:rsidRDefault="00D46BB2" w:rsidP="00EA4F1F">
      <w:r w:rsidRPr="009127B5">
        <w:rPr>
          <w:b/>
          <w:bCs/>
        </w:rPr>
        <w:t xml:space="preserve">Fig. </w:t>
      </w:r>
      <w:r>
        <w:rPr>
          <w:b/>
          <w:bCs/>
        </w:rPr>
        <w:t>S2</w:t>
      </w:r>
      <w:r w:rsidRPr="009127B5">
        <w:rPr>
          <w:b/>
          <w:bCs/>
        </w:rPr>
        <w:t>:</w:t>
      </w:r>
      <w:r>
        <w:t xml:space="preserve"> Extremal index (K-gaps) for sea level timeseries. The top row (</w:t>
      </w:r>
      <w:r w:rsidRPr="006B09CD">
        <w:rPr>
          <w:b/>
          <w:bCs/>
        </w:rPr>
        <w:t>a</w:t>
      </w:r>
      <w:r>
        <w:t>-</w:t>
      </w:r>
      <w:r w:rsidRPr="006B09CD">
        <w:rPr>
          <w:b/>
          <w:bCs/>
        </w:rPr>
        <w:t>c</w:t>
      </w:r>
      <w:r>
        <w:t>) shows results at the 1 in 1-year return level, the middle row (</w:t>
      </w:r>
      <w:r w:rsidRPr="006B09CD">
        <w:rPr>
          <w:b/>
          <w:bCs/>
        </w:rPr>
        <w:t>d</w:t>
      </w:r>
      <w:r>
        <w:t>-</w:t>
      </w:r>
      <w:r w:rsidRPr="006B09CD">
        <w:rPr>
          <w:b/>
          <w:bCs/>
        </w:rPr>
        <w:t>f</w:t>
      </w:r>
      <w:r>
        <w:t>) the 1 in 5-year return level, and the bottom row (</w:t>
      </w:r>
      <w:r w:rsidRPr="006B09CD">
        <w:rPr>
          <w:b/>
          <w:bCs/>
        </w:rPr>
        <w:t>g</w:t>
      </w:r>
      <w:r>
        <w:t>-</w:t>
      </w:r>
      <w:proofErr w:type="spellStart"/>
      <w:r w:rsidRPr="006B09CD">
        <w:rPr>
          <w:b/>
          <w:bCs/>
        </w:rPr>
        <w:t>i</w:t>
      </w:r>
      <w:proofErr w:type="spellEnd"/>
      <w:r>
        <w:t xml:space="preserve">) the 1 in 10-year return level. Percentages are shown spatially in panels </w:t>
      </w:r>
      <w:r w:rsidRPr="006B09CD">
        <w:rPr>
          <w:b/>
          <w:bCs/>
        </w:rPr>
        <w:t>a</w:t>
      </w:r>
      <w:r>
        <w:t xml:space="preserve">, </w:t>
      </w:r>
      <w:r w:rsidRPr="006B09CD">
        <w:rPr>
          <w:b/>
          <w:bCs/>
        </w:rPr>
        <w:t>d</w:t>
      </w:r>
      <w:r>
        <w:t xml:space="preserve">, and </w:t>
      </w:r>
      <w:r w:rsidRPr="006B09CD">
        <w:rPr>
          <w:b/>
          <w:bCs/>
        </w:rPr>
        <w:t>g</w:t>
      </w:r>
      <w:r>
        <w:t xml:space="preserve"> (left column), clockwise around the coast from the Southwest tip of England ending back at Newlyn in panels </w:t>
      </w:r>
      <w:r w:rsidRPr="006B09CD">
        <w:rPr>
          <w:b/>
          <w:bCs/>
        </w:rPr>
        <w:t>b</w:t>
      </w:r>
      <w:r>
        <w:t xml:space="preserve">, </w:t>
      </w:r>
      <w:r w:rsidRPr="006B09CD">
        <w:rPr>
          <w:b/>
          <w:bCs/>
        </w:rPr>
        <w:t>e</w:t>
      </w:r>
      <w:r>
        <w:t xml:space="preserve">, and </w:t>
      </w:r>
      <w:r w:rsidRPr="006B09CD">
        <w:rPr>
          <w:b/>
          <w:bCs/>
        </w:rPr>
        <w:t>h</w:t>
      </w:r>
      <w:r>
        <w:t xml:space="preserve"> (middle column), and finally shown as a scatter plot against tidal range at that grid node in panels </w:t>
      </w:r>
      <w:r w:rsidRPr="006B09CD">
        <w:rPr>
          <w:b/>
          <w:bCs/>
        </w:rPr>
        <w:t>c</w:t>
      </w:r>
      <w:r>
        <w:t xml:space="preserve">, </w:t>
      </w:r>
      <w:r w:rsidRPr="006B09CD">
        <w:rPr>
          <w:b/>
          <w:bCs/>
        </w:rPr>
        <w:t>f</w:t>
      </w:r>
      <w:r>
        <w:t xml:space="preserve">, and </w:t>
      </w:r>
      <w:proofErr w:type="spellStart"/>
      <w:r w:rsidRPr="006B09CD">
        <w:rPr>
          <w:b/>
          <w:bCs/>
        </w:rPr>
        <w:t>i</w:t>
      </w:r>
      <w:proofErr w:type="spellEnd"/>
      <w:r>
        <w:t xml:space="preserve"> (right column). The grey lines (dots) in panels </w:t>
      </w:r>
      <w:r w:rsidRPr="006B09CD">
        <w:rPr>
          <w:b/>
          <w:bCs/>
        </w:rPr>
        <w:t>b</w:t>
      </w:r>
      <w:r>
        <w:t xml:space="preserve">, </w:t>
      </w:r>
      <w:r w:rsidRPr="006B09CD">
        <w:rPr>
          <w:b/>
          <w:bCs/>
        </w:rPr>
        <w:t>e</w:t>
      </w:r>
      <w:r>
        <w:t xml:space="preserve">, and </w:t>
      </w:r>
      <w:r w:rsidRPr="006B09CD">
        <w:rPr>
          <w:b/>
          <w:bCs/>
        </w:rPr>
        <w:t>h</w:t>
      </w:r>
      <w:r>
        <w:t xml:space="preserve"> (</w:t>
      </w:r>
      <w:r w:rsidRPr="006B09CD">
        <w:rPr>
          <w:b/>
          <w:bCs/>
        </w:rPr>
        <w:t>c</w:t>
      </w:r>
      <w:r>
        <w:t xml:space="preserve">, </w:t>
      </w:r>
      <w:r w:rsidRPr="006B09CD">
        <w:rPr>
          <w:b/>
          <w:bCs/>
        </w:rPr>
        <w:t>f</w:t>
      </w:r>
      <w:r>
        <w:t xml:space="preserve">, and </w:t>
      </w:r>
      <w:proofErr w:type="spellStart"/>
      <w:r w:rsidRPr="006B09CD">
        <w:rPr>
          <w:b/>
          <w:bCs/>
        </w:rPr>
        <w:t>i</w:t>
      </w:r>
      <w:proofErr w:type="spellEnd"/>
      <w:r>
        <w:t>) show the range of (all) results from the 50-year rolling window analysis.</w:t>
      </w:r>
    </w:p>
    <w:sectPr w:rsidR="00D46BB2" w:rsidRPr="00EA4F1F" w:rsidSect="00F512A5">
      <w:footerReference w:type="default" r:id="rId10"/>
      <w:pgSz w:w="11907" w:h="13608"/>
      <w:pgMar w:top="567" w:right="936" w:bottom="1338" w:left="936" w:header="0" w:footer="737" w:gutter="0"/>
      <w:lnNumType w:countBy="5" w:distance="227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FCA5" w14:textId="77777777" w:rsidR="00C9223C" w:rsidRDefault="00C9223C" w:rsidP="006D0C96">
      <w:pPr>
        <w:spacing w:line="240" w:lineRule="auto"/>
      </w:pPr>
      <w:r>
        <w:separator/>
      </w:r>
    </w:p>
  </w:endnote>
  <w:endnote w:type="continuationSeparator" w:id="0">
    <w:p w14:paraId="565E6994" w14:textId="77777777" w:rsidR="00C9223C" w:rsidRDefault="00C9223C" w:rsidP="006D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788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6ABD1" w14:textId="77777777" w:rsidR="006D0C96" w:rsidRDefault="006D0C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5123" w14:textId="77777777" w:rsidR="006D0C96" w:rsidRDefault="006D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1F60" w14:textId="77777777" w:rsidR="00C9223C" w:rsidRDefault="00C9223C" w:rsidP="006D0C96">
      <w:pPr>
        <w:spacing w:line="240" w:lineRule="auto"/>
      </w:pPr>
      <w:r>
        <w:separator/>
      </w:r>
    </w:p>
  </w:footnote>
  <w:footnote w:type="continuationSeparator" w:id="0">
    <w:p w14:paraId="75262C29" w14:textId="77777777" w:rsidR="00C9223C" w:rsidRDefault="00C9223C" w:rsidP="006D0C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367"/>
    <w:multiLevelType w:val="multilevel"/>
    <w:tmpl w:val="7F70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4403"/>
    <w:multiLevelType w:val="hybridMultilevel"/>
    <w:tmpl w:val="E6ECA0A2"/>
    <w:lvl w:ilvl="0" w:tplc="35A46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FEF"/>
    <w:multiLevelType w:val="hybridMultilevel"/>
    <w:tmpl w:val="AEE4F382"/>
    <w:lvl w:ilvl="0" w:tplc="C8AC29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14416"/>
    <w:multiLevelType w:val="multilevel"/>
    <w:tmpl w:val="71DEB66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805780240">
    <w:abstractNumId w:val="2"/>
  </w:num>
  <w:num w:numId="2" w16cid:durableId="1476216129">
    <w:abstractNumId w:val="2"/>
  </w:num>
  <w:num w:numId="3" w16cid:durableId="982927824">
    <w:abstractNumId w:val="1"/>
  </w:num>
  <w:num w:numId="4" w16cid:durableId="377627164">
    <w:abstractNumId w:val="0"/>
  </w:num>
  <w:num w:numId="5" w16cid:durableId="1146245256">
    <w:abstractNumId w:val="4"/>
  </w:num>
  <w:num w:numId="6" w16cid:durableId="496310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13"/>
    <w:rsid w:val="00003E45"/>
    <w:rsid w:val="0001632F"/>
    <w:rsid w:val="00034D17"/>
    <w:rsid w:val="00041A84"/>
    <w:rsid w:val="0005690A"/>
    <w:rsid w:val="00075F28"/>
    <w:rsid w:val="00084789"/>
    <w:rsid w:val="00085D33"/>
    <w:rsid w:val="00092700"/>
    <w:rsid w:val="000A1B66"/>
    <w:rsid w:val="000B4BA9"/>
    <w:rsid w:val="000B4C30"/>
    <w:rsid w:val="000B7ADC"/>
    <w:rsid w:val="000C3A9F"/>
    <w:rsid w:val="000D7453"/>
    <w:rsid w:val="000E2D5D"/>
    <w:rsid w:val="000E4681"/>
    <w:rsid w:val="00103928"/>
    <w:rsid w:val="00125FFE"/>
    <w:rsid w:val="001312CA"/>
    <w:rsid w:val="00135329"/>
    <w:rsid w:val="001369FA"/>
    <w:rsid w:val="00143C76"/>
    <w:rsid w:val="0014459B"/>
    <w:rsid w:val="00147530"/>
    <w:rsid w:val="00160D40"/>
    <w:rsid w:val="00183B75"/>
    <w:rsid w:val="00187E83"/>
    <w:rsid w:val="00193C79"/>
    <w:rsid w:val="001A1F56"/>
    <w:rsid w:val="001B7FA8"/>
    <w:rsid w:val="001C5EB9"/>
    <w:rsid w:val="00200B97"/>
    <w:rsid w:val="00203F92"/>
    <w:rsid w:val="00207AA1"/>
    <w:rsid w:val="00216EBB"/>
    <w:rsid w:val="0028389B"/>
    <w:rsid w:val="00291D37"/>
    <w:rsid w:val="002D7ECA"/>
    <w:rsid w:val="00306BAA"/>
    <w:rsid w:val="003118C8"/>
    <w:rsid w:val="003320F9"/>
    <w:rsid w:val="00335619"/>
    <w:rsid w:val="00337199"/>
    <w:rsid w:val="00375B0E"/>
    <w:rsid w:val="003A3C6F"/>
    <w:rsid w:val="003A4FB4"/>
    <w:rsid w:val="003B36A4"/>
    <w:rsid w:val="003B36A6"/>
    <w:rsid w:val="003C0870"/>
    <w:rsid w:val="003D5288"/>
    <w:rsid w:val="004013DE"/>
    <w:rsid w:val="00404CAA"/>
    <w:rsid w:val="00406AAF"/>
    <w:rsid w:val="00435C70"/>
    <w:rsid w:val="00450DB9"/>
    <w:rsid w:val="004534E2"/>
    <w:rsid w:val="00463568"/>
    <w:rsid w:val="00472190"/>
    <w:rsid w:val="0049158C"/>
    <w:rsid w:val="004A5286"/>
    <w:rsid w:val="004D0186"/>
    <w:rsid w:val="004D0F1A"/>
    <w:rsid w:val="00521766"/>
    <w:rsid w:val="00521921"/>
    <w:rsid w:val="00527161"/>
    <w:rsid w:val="00527DDB"/>
    <w:rsid w:val="005307B6"/>
    <w:rsid w:val="00532015"/>
    <w:rsid w:val="00536758"/>
    <w:rsid w:val="00542A82"/>
    <w:rsid w:val="0055217B"/>
    <w:rsid w:val="00564213"/>
    <w:rsid w:val="005A4F32"/>
    <w:rsid w:val="005C7EE2"/>
    <w:rsid w:val="005E30D7"/>
    <w:rsid w:val="005E4585"/>
    <w:rsid w:val="00607353"/>
    <w:rsid w:val="0062776D"/>
    <w:rsid w:val="006326D7"/>
    <w:rsid w:val="00670F05"/>
    <w:rsid w:val="006805D0"/>
    <w:rsid w:val="006956A0"/>
    <w:rsid w:val="006B09CD"/>
    <w:rsid w:val="006B141F"/>
    <w:rsid w:val="006D0C96"/>
    <w:rsid w:val="00702F5C"/>
    <w:rsid w:val="0070537F"/>
    <w:rsid w:val="00710B7A"/>
    <w:rsid w:val="00711F46"/>
    <w:rsid w:val="00724228"/>
    <w:rsid w:val="00733CBB"/>
    <w:rsid w:val="00733E1B"/>
    <w:rsid w:val="00751A44"/>
    <w:rsid w:val="00796A7F"/>
    <w:rsid w:val="007A0209"/>
    <w:rsid w:val="007B1704"/>
    <w:rsid w:val="00835FB2"/>
    <w:rsid w:val="00847048"/>
    <w:rsid w:val="00855006"/>
    <w:rsid w:val="00861EE4"/>
    <w:rsid w:val="00864D5B"/>
    <w:rsid w:val="00883829"/>
    <w:rsid w:val="008A0174"/>
    <w:rsid w:val="008B5485"/>
    <w:rsid w:val="008B719F"/>
    <w:rsid w:val="008D14D1"/>
    <w:rsid w:val="008D547D"/>
    <w:rsid w:val="008E213F"/>
    <w:rsid w:val="008E3110"/>
    <w:rsid w:val="008E5918"/>
    <w:rsid w:val="008F67B2"/>
    <w:rsid w:val="00904F43"/>
    <w:rsid w:val="009074B5"/>
    <w:rsid w:val="009127B5"/>
    <w:rsid w:val="009150E4"/>
    <w:rsid w:val="0091791F"/>
    <w:rsid w:val="00932F15"/>
    <w:rsid w:val="00943440"/>
    <w:rsid w:val="0094424B"/>
    <w:rsid w:val="00945373"/>
    <w:rsid w:val="009735D0"/>
    <w:rsid w:val="009755FA"/>
    <w:rsid w:val="009D38E2"/>
    <w:rsid w:val="009D76AB"/>
    <w:rsid w:val="009E175E"/>
    <w:rsid w:val="009E2796"/>
    <w:rsid w:val="009F1F4F"/>
    <w:rsid w:val="009F2C0A"/>
    <w:rsid w:val="00A04D75"/>
    <w:rsid w:val="00A12983"/>
    <w:rsid w:val="00A17EED"/>
    <w:rsid w:val="00A30FEA"/>
    <w:rsid w:val="00A31B02"/>
    <w:rsid w:val="00A40E31"/>
    <w:rsid w:val="00A70B23"/>
    <w:rsid w:val="00A9652E"/>
    <w:rsid w:val="00A9761A"/>
    <w:rsid w:val="00AB50AA"/>
    <w:rsid w:val="00AC4302"/>
    <w:rsid w:val="00AC5DAD"/>
    <w:rsid w:val="00AD2746"/>
    <w:rsid w:val="00AE4157"/>
    <w:rsid w:val="00B20456"/>
    <w:rsid w:val="00B4015F"/>
    <w:rsid w:val="00B4690B"/>
    <w:rsid w:val="00B5719D"/>
    <w:rsid w:val="00B62878"/>
    <w:rsid w:val="00B67E90"/>
    <w:rsid w:val="00B75342"/>
    <w:rsid w:val="00B80600"/>
    <w:rsid w:val="00B8101B"/>
    <w:rsid w:val="00B87EAB"/>
    <w:rsid w:val="00B94A58"/>
    <w:rsid w:val="00B95A56"/>
    <w:rsid w:val="00BC6807"/>
    <w:rsid w:val="00BD0523"/>
    <w:rsid w:val="00C00865"/>
    <w:rsid w:val="00C02F9E"/>
    <w:rsid w:val="00C112BC"/>
    <w:rsid w:val="00C1589F"/>
    <w:rsid w:val="00C26311"/>
    <w:rsid w:val="00C2642F"/>
    <w:rsid w:val="00C35812"/>
    <w:rsid w:val="00C40950"/>
    <w:rsid w:val="00C44A99"/>
    <w:rsid w:val="00C82F79"/>
    <w:rsid w:val="00C87C0D"/>
    <w:rsid w:val="00C9223C"/>
    <w:rsid w:val="00CC51D0"/>
    <w:rsid w:val="00CD59BA"/>
    <w:rsid w:val="00D1162D"/>
    <w:rsid w:val="00D1345F"/>
    <w:rsid w:val="00D316DC"/>
    <w:rsid w:val="00D4084E"/>
    <w:rsid w:val="00D40CE0"/>
    <w:rsid w:val="00D46BB2"/>
    <w:rsid w:val="00D50A39"/>
    <w:rsid w:val="00D71BB5"/>
    <w:rsid w:val="00D75D4B"/>
    <w:rsid w:val="00DB01C5"/>
    <w:rsid w:val="00DB2677"/>
    <w:rsid w:val="00DB4E53"/>
    <w:rsid w:val="00DC1281"/>
    <w:rsid w:val="00DE4F2B"/>
    <w:rsid w:val="00DF4460"/>
    <w:rsid w:val="00E00253"/>
    <w:rsid w:val="00E00339"/>
    <w:rsid w:val="00E019C2"/>
    <w:rsid w:val="00E078DB"/>
    <w:rsid w:val="00E07DC0"/>
    <w:rsid w:val="00E142A8"/>
    <w:rsid w:val="00E23DB7"/>
    <w:rsid w:val="00E37C15"/>
    <w:rsid w:val="00E4572E"/>
    <w:rsid w:val="00E4660E"/>
    <w:rsid w:val="00E7233A"/>
    <w:rsid w:val="00E861A5"/>
    <w:rsid w:val="00E91888"/>
    <w:rsid w:val="00EA4F1F"/>
    <w:rsid w:val="00EC334D"/>
    <w:rsid w:val="00EC5DD0"/>
    <w:rsid w:val="00ED6B96"/>
    <w:rsid w:val="00EE2F10"/>
    <w:rsid w:val="00EE53F8"/>
    <w:rsid w:val="00EE58C0"/>
    <w:rsid w:val="00EF0B66"/>
    <w:rsid w:val="00F13157"/>
    <w:rsid w:val="00F22981"/>
    <w:rsid w:val="00F35903"/>
    <w:rsid w:val="00F4601E"/>
    <w:rsid w:val="00F512A5"/>
    <w:rsid w:val="00F5258E"/>
    <w:rsid w:val="00F5377C"/>
    <w:rsid w:val="00F64C9C"/>
    <w:rsid w:val="00F65002"/>
    <w:rsid w:val="00F730FF"/>
    <w:rsid w:val="00F774B7"/>
    <w:rsid w:val="00F8056F"/>
    <w:rsid w:val="00F82902"/>
    <w:rsid w:val="00FA41C8"/>
    <w:rsid w:val="00FB18A0"/>
    <w:rsid w:val="00FB6CD5"/>
    <w:rsid w:val="00FC6C03"/>
    <w:rsid w:val="00FE7CD7"/>
    <w:rsid w:val="00FF308B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E553"/>
  <w15:docId w15:val="{D2CFD17B-36C5-4048-BB43-0059F9DA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E0"/>
    <w:pPr>
      <w:spacing w:line="360" w:lineRule="auto"/>
      <w:jc w:val="both"/>
    </w:pPr>
    <w:rPr>
      <w:rFonts w:ascii="Times New Roman" w:eastAsia="Times New Roman" w:hAnsi="Times New Roman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075F28"/>
    <w:pPr>
      <w:keepNext/>
      <w:spacing w:before="480" w:after="240" w:line="240" w:lineRule="auto"/>
      <w:outlineLvl w:val="0"/>
    </w:pPr>
    <w:rPr>
      <w:rFonts w:cs="Arial"/>
      <w:b/>
      <w:bCs/>
      <w:color w:val="000000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0339"/>
    <w:pPr>
      <w:keepNext/>
      <w:spacing w:before="240" w:after="240" w:line="240" w:lineRule="auto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A4F32"/>
    <w:pPr>
      <w:keepNext/>
      <w:spacing w:before="240" w:after="240" w:line="240" w:lineRule="auto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ED6B96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rsid w:val="00ED6B96"/>
    <w:rPr>
      <w:b/>
    </w:rPr>
  </w:style>
  <w:style w:type="paragraph" w:customStyle="1" w:styleId="Bullets">
    <w:name w:val="Bullets"/>
    <w:basedOn w:val="Normal"/>
    <w:link w:val="BulletsChar"/>
    <w:rsid w:val="00ED6B96"/>
    <w:pPr>
      <w:numPr>
        <w:numId w:val="2"/>
      </w:numPr>
      <w:tabs>
        <w:tab w:val="num" w:pos="360"/>
      </w:tabs>
      <w:ind w:left="0" w:firstLine="0"/>
    </w:pPr>
  </w:style>
  <w:style w:type="character" w:customStyle="1" w:styleId="BulletsChar">
    <w:name w:val="Bullets Char"/>
    <w:link w:val="Bullets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styleId="Header">
    <w:name w:val="header"/>
    <w:basedOn w:val="Normal"/>
    <w:link w:val="HeaderChar"/>
    <w:rsid w:val="00ED6B96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075F28"/>
    <w:rPr>
      <w:rFonts w:ascii="Times New Roman" w:eastAsia="Times New Roman" w:hAnsi="Times New Roman" w:cs="Arial"/>
      <w:b/>
      <w:bCs/>
      <w:color w:val="000000"/>
      <w:kern w:val="32"/>
      <w:szCs w:val="32"/>
      <w:lang w:eastAsia="de-DE"/>
    </w:rPr>
  </w:style>
  <w:style w:type="character" w:customStyle="1" w:styleId="Heading3Char">
    <w:name w:val="Heading 3 Char"/>
    <w:link w:val="Heading3"/>
    <w:rsid w:val="005A4F32"/>
    <w:rPr>
      <w:rFonts w:ascii="Times New Roman" w:eastAsia="Times New Roman" w:hAnsi="Times New Roman" w:cs="Arial"/>
      <w:b/>
      <w:bCs/>
      <w:szCs w:val="26"/>
      <w:lang w:eastAsia="de-DE"/>
    </w:rPr>
  </w:style>
  <w:style w:type="character" w:customStyle="1" w:styleId="Heading4Char">
    <w:name w:val="Heading 4 Char"/>
    <w:link w:val="Heading4"/>
    <w:rsid w:val="00796A7F"/>
    <w:rPr>
      <w:rFonts w:ascii="Verdana" w:eastAsia="Times New Roman" w:hAnsi="Verdana" w:cs="Times New Roman"/>
      <w:b/>
      <w:bCs/>
      <w:sz w:val="19"/>
      <w:szCs w:val="28"/>
      <w:lang w:eastAsia="de-DE"/>
    </w:rPr>
  </w:style>
  <w:style w:type="character" w:customStyle="1" w:styleId="HeaderChar">
    <w:name w:val="Header Char"/>
    <w:link w:val="Header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character" w:customStyle="1" w:styleId="Heading2Char">
    <w:name w:val="Heading 2 Char"/>
    <w:link w:val="Heading2"/>
    <w:rsid w:val="00E00339"/>
    <w:rPr>
      <w:rFonts w:ascii="Times New Roman" w:eastAsia="Times New Roman" w:hAnsi="Times New Roman" w:cs="Arial"/>
      <w:b/>
      <w:bCs/>
      <w:iCs/>
      <w:szCs w:val="28"/>
      <w:lang w:eastAsia="de-DE"/>
    </w:rPr>
  </w:style>
  <w:style w:type="character" w:styleId="Hyperlink">
    <w:name w:val="Hyperlink"/>
    <w:rsid w:val="00ED6B96"/>
    <w:rPr>
      <w:color w:val="0000FF"/>
      <w:u w:val="single"/>
    </w:rPr>
  </w:style>
  <w:style w:type="paragraph" w:customStyle="1" w:styleId="Kontakt">
    <w:name w:val="Kontakt"/>
    <w:basedOn w:val="Normal"/>
    <w:rsid w:val="00ED6B96"/>
    <w:pPr>
      <w:spacing w:line="160" w:lineRule="exact"/>
    </w:pPr>
    <w:rPr>
      <w:color w:val="808080"/>
      <w:sz w:val="13"/>
    </w:rPr>
  </w:style>
  <w:style w:type="paragraph" w:customStyle="1" w:styleId="Name">
    <w:name w:val="Name"/>
    <w:basedOn w:val="Normal"/>
    <w:rsid w:val="00ED6B96"/>
    <w:pPr>
      <w:spacing w:before="160" w:after="80"/>
    </w:pPr>
    <w:rPr>
      <w:rFonts w:ascii="Book Antiqua" w:hAnsi="Book Antiqua"/>
      <w:color w:val="808080"/>
      <w:sz w:val="22"/>
    </w:rPr>
  </w:style>
  <w:style w:type="paragraph" w:customStyle="1" w:styleId="CopernicusWordtemplate">
    <w:name w:val="Copernicus_Word_template"/>
    <w:basedOn w:val="Normal"/>
    <w:link w:val="CopernicusWordtemplateChar"/>
    <w:rsid w:val="00B5719D"/>
  </w:style>
  <w:style w:type="character" w:customStyle="1" w:styleId="CopernicusWordtemplateChar">
    <w:name w:val="Copernicus_Word_template Char"/>
    <w:basedOn w:val="DefaultParagraphFont"/>
    <w:link w:val="CopernicusWordtemplate"/>
    <w:rsid w:val="00B5719D"/>
    <w:rPr>
      <w:rFonts w:ascii="Times New Roman" w:eastAsia="Times New Roman" w:hAnsi="Times New Roman"/>
      <w:sz w:val="24"/>
      <w:szCs w:val="24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D40CE0"/>
  </w:style>
  <w:style w:type="paragraph" w:customStyle="1" w:styleId="MStitle">
    <w:name w:val="MS title"/>
    <w:basedOn w:val="Normal"/>
    <w:link w:val="MStitleChar"/>
    <w:qFormat/>
    <w:rsid w:val="0091791F"/>
    <w:pPr>
      <w:spacing w:before="360" w:line="440" w:lineRule="exact"/>
      <w:contextualSpacing/>
    </w:pPr>
    <w:rPr>
      <w:b/>
      <w:sz w:val="34"/>
    </w:rPr>
  </w:style>
  <w:style w:type="paragraph" w:styleId="ListParagraph">
    <w:name w:val="List Paragraph"/>
    <w:basedOn w:val="Normal"/>
    <w:uiPriority w:val="34"/>
    <w:rsid w:val="00B4015F"/>
    <w:pPr>
      <w:ind w:left="720"/>
      <w:contextualSpacing/>
    </w:pPr>
  </w:style>
  <w:style w:type="character" w:customStyle="1" w:styleId="MStitleChar">
    <w:name w:val="MS title Char"/>
    <w:basedOn w:val="DefaultParagraphFont"/>
    <w:link w:val="MStitle"/>
    <w:rsid w:val="0091791F"/>
    <w:rPr>
      <w:rFonts w:ascii="Times New Roman" w:eastAsia="Times New Roman" w:hAnsi="Times New Roman"/>
      <w:b/>
      <w:sz w:val="34"/>
      <w:szCs w:val="24"/>
      <w:lang w:eastAsia="de-DE"/>
    </w:rPr>
  </w:style>
  <w:style w:type="paragraph" w:customStyle="1" w:styleId="Affiliation">
    <w:name w:val="Affiliation"/>
    <w:basedOn w:val="Normal"/>
    <w:link w:val="AffiliationChar"/>
    <w:qFormat/>
    <w:rsid w:val="00450DB9"/>
    <w:pPr>
      <w:spacing w:before="12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3D5288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450DB9"/>
    <w:rPr>
      <w:rFonts w:ascii="Times New Roman" w:eastAsia="Times New Roman" w:hAnsi="Times New Roman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quation">
    <w:name w:val="Equation"/>
    <w:basedOn w:val="Normal"/>
    <w:link w:val="EquationChar"/>
    <w:rsid w:val="00C35812"/>
    <w:pPr>
      <w:spacing w:before="120" w:after="120"/>
    </w:pPr>
    <w:rPr>
      <w:rFonts w:ascii="Cambria Math" w:hAnsi="Cambria Math"/>
    </w:rPr>
  </w:style>
  <w:style w:type="paragraph" w:styleId="Caption">
    <w:name w:val="caption"/>
    <w:basedOn w:val="Normal"/>
    <w:next w:val="Normal"/>
    <w:uiPriority w:val="35"/>
    <w:unhideWhenUsed/>
    <w:qFormat/>
    <w:rsid w:val="003A4FB4"/>
    <w:pPr>
      <w:spacing w:after="200" w:line="240" w:lineRule="auto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C35812"/>
    <w:rPr>
      <w:rFonts w:ascii="Cambria Math" w:eastAsia="Times New Roman" w:hAnsi="Cambria Math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D0C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96"/>
    <w:rPr>
      <w:rFonts w:ascii="Times New Roman" w:eastAsia="Times New Roman" w:hAnsi="Times New Roman"/>
      <w:szCs w:val="24"/>
      <w:lang w:eastAsia="de-DE"/>
    </w:rPr>
  </w:style>
  <w:style w:type="paragraph" w:customStyle="1" w:styleId="Correspondence">
    <w:name w:val="Correspondence"/>
    <w:basedOn w:val="Normal"/>
    <w:link w:val="CorrespondenceChar"/>
    <w:qFormat/>
    <w:rsid w:val="008E213F"/>
    <w:pPr>
      <w:spacing w:before="120" w:after="360" w:line="240" w:lineRule="auto"/>
    </w:pPr>
  </w:style>
  <w:style w:type="character" w:customStyle="1" w:styleId="CorrespondenceChar">
    <w:name w:val="Correspondence Char"/>
    <w:basedOn w:val="DefaultParagraphFont"/>
    <w:link w:val="Correspondence"/>
    <w:rsid w:val="008E213F"/>
    <w:rPr>
      <w:rFonts w:ascii="Times New Roman" w:eastAsia="Times New Roman" w:hAnsi="Times New Roman"/>
      <w:szCs w:val="24"/>
      <w:lang w:eastAsia="de-DE"/>
    </w:rPr>
  </w:style>
  <w:style w:type="paragraph" w:customStyle="1" w:styleId="Authors">
    <w:name w:val="Authors"/>
    <w:basedOn w:val="Normal"/>
    <w:link w:val="AuthorsChar"/>
    <w:qFormat/>
    <w:rsid w:val="00BD0523"/>
    <w:pPr>
      <w:spacing w:before="180" w:line="240" w:lineRule="auto"/>
      <w:contextualSpacing/>
    </w:pPr>
    <w:rPr>
      <w:sz w:val="24"/>
    </w:rPr>
  </w:style>
  <w:style w:type="character" w:customStyle="1" w:styleId="AuthorsChar">
    <w:name w:val="Authors Char"/>
    <w:basedOn w:val="DefaultParagraphFont"/>
    <w:link w:val="Authors"/>
    <w:rsid w:val="00BD0523"/>
    <w:rPr>
      <w:rFonts w:ascii="Times New Roman" w:eastAsia="Times New Roman" w:hAnsi="Times New Roman"/>
      <w:sz w:val="24"/>
      <w:szCs w:val="24"/>
      <w:lang w:eastAsia="de-DE"/>
    </w:rPr>
  </w:style>
  <w:style w:type="paragraph" w:styleId="Bibliography">
    <w:name w:val="Bibliography"/>
    <w:basedOn w:val="Normal"/>
    <w:next w:val="Normal"/>
    <w:uiPriority w:val="37"/>
    <w:unhideWhenUsed/>
    <w:rsid w:val="00711F46"/>
    <w:pPr>
      <w:spacing w:after="240" w:line="240" w:lineRule="auto"/>
      <w:ind w:left="72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116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30D7"/>
    <w:rPr>
      <w:i/>
      <w:iCs/>
    </w:rPr>
  </w:style>
  <w:style w:type="table" w:styleId="TableGrid">
    <w:name w:val="Table Grid"/>
    <w:basedOn w:val="TableNormal"/>
    <w:uiPriority w:val="39"/>
    <w:rsid w:val="00C44A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5DAD"/>
    <w:rPr>
      <w:rFonts w:ascii="Times New Roman" w:eastAsiaTheme="minorHAnsi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50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ernicusTemplates\Free-Form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pernicus_Word_templat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FDE8-F468-4358-9F5B-AA26B126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</TotalTime>
  <Pages>2</Pages>
  <Words>247</Words>
  <Characters>1259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Copernicus Gesellschaft mbH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Martin Rasmussen</dc:creator>
  <cp:lastModifiedBy>Luke Jenkins</cp:lastModifiedBy>
  <cp:revision>3</cp:revision>
  <cp:lastPrinted>2016-02-01T07:21:00Z</cp:lastPrinted>
  <dcterms:created xsi:type="dcterms:W3CDTF">2025-08-31T14:43:00Z</dcterms:created>
  <dcterms:modified xsi:type="dcterms:W3CDTF">2025-08-31T14:43:00Z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id="QEgenKH9"/&gt;&lt;style id="http://www.zotero.org/styles/natural-hazards" hasBibliography="1" bibliographyStyleHasBeenSet="1"/&gt;&lt;prefs&gt;&lt;pref name="fieldType" value="Field"/&gt;&lt;/prefs&gt;&lt;/data&gt;</vt:lpwstr>
  </property>
</Properties>
</file>