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0F79" w14:textId="78C80E13" w:rsidR="004B0F14" w:rsidRPr="00600C55" w:rsidRDefault="004B0F14" w:rsidP="004B0F14">
      <w:pPr>
        <w:spacing w:line="360" w:lineRule="auto"/>
        <w:rPr>
          <w:rFonts w:ascii="Calibri" w:hAnsi="Calibri" w:cs="Calibri"/>
          <w:b/>
          <w:bCs/>
          <w:sz w:val="28"/>
          <w:szCs w:val="28"/>
        </w:rPr>
      </w:pPr>
      <w:r w:rsidRPr="00600C55">
        <w:rPr>
          <w:rFonts w:ascii="Calibri" w:hAnsi="Calibri" w:cs="Calibri"/>
          <w:b/>
          <w:bCs/>
          <w:sz w:val="28"/>
          <w:szCs w:val="28"/>
        </w:rPr>
        <w:t>Morbidities associated with suicide mortality in the United States of America according to education using death certificates from 2010 to 2019.</w:t>
      </w:r>
    </w:p>
    <w:p w14:paraId="71B39396" w14:textId="77777777" w:rsidR="004B0F14" w:rsidRPr="00600C55" w:rsidRDefault="004B0F14" w:rsidP="004B0F14">
      <w:pPr>
        <w:spacing w:line="360" w:lineRule="auto"/>
        <w:rPr>
          <w:rFonts w:ascii="Calibri" w:hAnsi="Calibri" w:cs="Calibri"/>
          <w:sz w:val="28"/>
          <w:szCs w:val="28"/>
        </w:rPr>
      </w:pPr>
    </w:p>
    <w:p w14:paraId="4B958079" w14:textId="77777777" w:rsidR="00725911" w:rsidRPr="00F53083" w:rsidRDefault="00725911" w:rsidP="00725911">
      <w:pPr>
        <w:spacing w:before="0" w:line="276" w:lineRule="auto"/>
        <w:rPr>
          <w:rFonts w:ascii="Calibri" w:hAnsi="Calibri" w:cs="Calibri"/>
          <w:lang w:val="es-ES"/>
        </w:rPr>
      </w:pPr>
      <w:r w:rsidRPr="00F53083">
        <w:rPr>
          <w:rFonts w:ascii="Calibri" w:hAnsi="Calibri" w:cs="Calibri"/>
          <w:lang w:val="es-ES"/>
        </w:rPr>
        <w:t>Clara Girault</w:t>
      </w:r>
      <w:r w:rsidRPr="00F53083">
        <w:rPr>
          <w:rFonts w:ascii="Calibri" w:hAnsi="Calibri" w:cs="Calibri"/>
          <w:vertAlign w:val="superscript"/>
          <w:lang w:val="es-ES"/>
        </w:rPr>
        <w:t>1</w:t>
      </w:r>
      <w:r w:rsidRPr="00F53083">
        <w:rPr>
          <w:rFonts w:ascii="Calibri" w:hAnsi="Calibri" w:cs="Calibri"/>
          <w:lang w:val="es-ES"/>
        </w:rPr>
        <w:t xml:space="preserve"> and Sergi Trias-Llimós</w:t>
      </w:r>
      <w:r w:rsidRPr="00F53083">
        <w:rPr>
          <w:rFonts w:ascii="Calibri" w:hAnsi="Calibri" w:cs="Calibri"/>
          <w:vertAlign w:val="superscript"/>
          <w:lang w:val="es-ES"/>
        </w:rPr>
        <w:t>2</w:t>
      </w:r>
      <w:r w:rsidRPr="00F53083">
        <w:rPr>
          <w:rFonts w:ascii="Calibri" w:hAnsi="Calibri" w:cs="Calibri"/>
          <w:lang w:val="es-ES"/>
        </w:rPr>
        <w:t xml:space="preserve"> </w:t>
      </w:r>
      <w:r w:rsidRPr="00F53083" w:rsidDel="00CE0F88">
        <w:rPr>
          <w:rFonts w:ascii="Calibri" w:hAnsi="Calibri" w:cs="Calibri"/>
          <w:lang w:val="es-ES"/>
        </w:rPr>
        <w:t xml:space="preserve"> </w:t>
      </w:r>
    </w:p>
    <w:p w14:paraId="416E8B15" w14:textId="77777777" w:rsidR="00725911" w:rsidRPr="00F53083" w:rsidRDefault="00725911" w:rsidP="00725911">
      <w:pPr>
        <w:spacing w:before="0" w:line="276" w:lineRule="auto"/>
        <w:rPr>
          <w:lang w:val="es-ES"/>
        </w:rPr>
      </w:pPr>
    </w:p>
    <w:p w14:paraId="48DA7866" w14:textId="77777777" w:rsidR="00725911" w:rsidRPr="00F53083" w:rsidRDefault="00725911" w:rsidP="00725911">
      <w:pPr>
        <w:spacing w:before="0" w:line="276" w:lineRule="auto"/>
        <w:rPr>
          <w:rFonts w:ascii="Calibri" w:hAnsi="Calibri" w:cs="Calibri"/>
          <w:lang w:val="es-ES"/>
        </w:rPr>
      </w:pPr>
    </w:p>
    <w:p w14:paraId="0049BDBF" w14:textId="77777777" w:rsidR="00725911" w:rsidRPr="00600C55" w:rsidRDefault="00725911" w:rsidP="00725911">
      <w:pPr>
        <w:pStyle w:val="ListParagraph"/>
        <w:numPr>
          <w:ilvl w:val="0"/>
          <w:numId w:val="7"/>
        </w:numPr>
        <w:spacing w:before="0" w:after="240" w:line="276" w:lineRule="auto"/>
        <w:rPr>
          <w:rFonts w:ascii="Calibri" w:hAnsi="Calibri" w:cs="Calibri"/>
        </w:rPr>
      </w:pPr>
      <w:r w:rsidRPr="00600C55">
        <w:rPr>
          <w:rFonts w:ascii="Calibri" w:hAnsi="Calibri" w:cs="Calibri"/>
        </w:rPr>
        <w:t>Department of Social Statistics and Demography, University of Southampton, SO17 1BJ Southampton, United Kingdom</w:t>
      </w:r>
    </w:p>
    <w:p w14:paraId="3F606A53" w14:textId="77777777" w:rsidR="00725911" w:rsidRPr="00600C55" w:rsidRDefault="00725911" w:rsidP="00725911">
      <w:pPr>
        <w:pStyle w:val="ListParagraph"/>
        <w:spacing w:before="0" w:after="240" w:line="276" w:lineRule="auto"/>
        <w:ind w:left="360"/>
        <w:rPr>
          <w:rFonts w:ascii="Calibri" w:hAnsi="Calibri" w:cs="Calibri"/>
          <w:sz w:val="8"/>
          <w:szCs w:val="8"/>
        </w:rPr>
      </w:pPr>
    </w:p>
    <w:p w14:paraId="2800EFF3" w14:textId="77777777" w:rsidR="00725911" w:rsidRPr="00600C55" w:rsidRDefault="00725911" w:rsidP="00725911">
      <w:pPr>
        <w:pStyle w:val="ListParagraph"/>
        <w:numPr>
          <w:ilvl w:val="0"/>
          <w:numId w:val="7"/>
        </w:numPr>
        <w:spacing w:before="0" w:line="276" w:lineRule="auto"/>
        <w:rPr>
          <w:rFonts w:ascii="Calibri" w:hAnsi="Calibri" w:cs="Calibri"/>
          <w:lang w:val="es-ES"/>
        </w:rPr>
      </w:pPr>
      <w:r w:rsidRPr="00600C55">
        <w:rPr>
          <w:rFonts w:ascii="Calibri" w:hAnsi="Calibri" w:cs="Calibri"/>
          <w:lang w:val="es-ES"/>
        </w:rPr>
        <w:t>Centre d’Estudis Demogràfics, Centres de Recerca de Catalunya (CERCA), Carrer de Ca n’Altayóo, Edifici E2, Universitat Autònoma de Barcelona, 08193 Bellaterra, Spain</w:t>
      </w:r>
    </w:p>
    <w:p w14:paraId="3C98C829" w14:textId="77777777" w:rsidR="00725911" w:rsidRPr="00725911" w:rsidRDefault="00725911" w:rsidP="004B0F14">
      <w:pPr>
        <w:spacing w:line="360" w:lineRule="auto"/>
        <w:rPr>
          <w:sz w:val="28"/>
          <w:szCs w:val="28"/>
          <w:lang w:val="fr-FR"/>
        </w:rPr>
      </w:pPr>
    </w:p>
    <w:p w14:paraId="1FCEB55E" w14:textId="77777777" w:rsidR="00AD4439" w:rsidRPr="00600C55" w:rsidRDefault="00AD4439" w:rsidP="004B0F14">
      <w:pPr>
        <w:spacing w:line="360" w:lineRule="auto"/>
        <w:rPr>
          <w:rFonts w:ascii="Calibri" w:hAnsi="Calibri" w:cs="Calibri"/>
          <w:i/>
          <w:iCs/>
          <w:color w:val="156082" w:themeColor="accent1"/>
        </w:rPr>
      </w:pPr>
      <w:r w:rsidRPr="00600C55">
        <w:rPr>
          <w:rFonts w:ascii="Calibri" w:hAnsi="Calibri" w:cs="Calibri"/>
          <w:i/>
          <w:iCs/>
        </w:rPr>
        <w:t xml:space="preserve">Abstract: </w:t>
      </w:r>
    </w:p>
    <w:p w14:paraId="5810A7D8" w14:textId="4860781E" w:rsidR="00AD4439" w:rsidRPr="00AD4439" w:rsidRDefault="00AD4439" w:rsidP="00EF475B">
      <w:pPr>
        <w:spacing w:line="360" w:lineRule="auto"/>
        <w:rPr>
          <w:rFonts w:ascii="Calibri" w:hAnsi="Calibri" w:cs="Calibri"/>
        </w:rPr>
      </w:pPr>
      <w:r w:rsidRPr="00AD4439">
        <w:rPr>
          <w:rFonts w:ascii="Calibri" w:hAnsi="Calibri" w:cs="Calibri"/>
        </w:rPr>
        <w:t xml:space="preserve">Objectives: To identify relationships between </w:t>
      </w:r>
      <w:r w:rsidR="00B604D0">
        <w:rPr>
          <w:rFonts w:ascii="Calibri" w:hAnsi="Calibri" w:cs="Calibri"/>
        </w:rPr>
        <w:t xml:space="preserve">multiple </w:t>
      </w:r>
      <w:r w:rsidR="008B65BC">
        <w:rPr>
          <w:rFonts w:ascii="Calibri" w:hAnsi="Calibri" w:cs="Calibri"/>
        </w:rPr>
        <w:t xml:space="preserve">causes </w:t>
      </w:r>
      <w:r w:rsidR="00B604D0">
        <w:rPr>
          <w:rFonts w:ascii="Calibri" w:hAnsi="Calibri" w:cs="Calibri"/>
        </w:rPr>
        <w:t>of death information</w:t>
      </w:r>
      <w:r w:rsidRPr="00AD4439">
        <w:rPr>
          <w:rFonts w:ascii="Calibri" w:hAnsi="Calibri" w:cs="Calibri"/>
        </w:rPr>
        <w:t xml:space="preserve"> and a decedent’s sex and education in suicide</w:t>
      </w:r>
      <w:r w:rsidR="00FE24DF">
        <w:rPr>
          <w:rFonts w:ascii="Calibri" w:hAnsi="Calibri" w:cs="Calibri"/>
        </w:rPr>
        <w:t xml:space="preserve"> </w:t>
      </w:r>
      <w:r w:rsidRPr="00AD4439">
        <w:rPr>
          <w:rFonts w:ascii="Calibri" w:hAnsi="Calibri" w:cs="Calibri"/>
        </w:rPr>
        <w:t>compared to accidental deaths</w:t>
      </w:r>
      <w:r w:rsidR="00B604D0">
        <w:rPr>
          <w:rFonts w:ascii="Calibri" w:hAnsi="Calibri" w:cs="Calibri"/>
        </w:rPr>
        <w:t>.</w:t>
      </w:r>
    </w:p>
    <w:p w14:paraId="1203FB5D" w14:textId="2C3EF50E" w:rsidR="00AD4439" w:rsidRPr="00AD4439" w:rsidRDefault="00AD4439" w:rsidP="00EF475B">
      <w:pPr>
        <w:spacing w:line="360" w:lineRule="auto"/>
        <w:rPr>
          <w:rFonts w:ascii="Calibri" w:hAnsi="Calibri" w:cs="Calibri"/>
        </w:rPr>
      </w:pPr>
      <w:r w:rsidRPr="00AD4439">
        <w:rPr>
          <w:rFonts w:ascii="Calibri" w:hAnsi="Calibri" w:cs="Calibri"/>
        </w:rPr>
        <w:t>Methods: Based on the US</w:t>
      </w:r>
      <w:r w:rsidR="001B2F0D">
        <w:rPr>
          <w:rFonts w:ascii="Calibri" w:hAnsi="Calibri" w:cs="Calibri"/>
        </w:rPr>
        <w:t xml:space="preserve">A </w:t>
      </w:r>
      <w:r w:rsidRPr="00AD4439">
        <w:rPr>
          <w:rFonts w:ascii="Calibri" w:hAnsi="Calibri" w:cs="Calibri"/>
        </w:rPr>
        <w:t>Mortality Multiple Cause-of-Death Public Use Record from 2010 to 2019, we performed correspondence analyses to visualise the relationships between comorbidity and sex-education profiles of individuals who died by suicide, and logistic regression models to estimate the odds that a comorbidity group is associated with suicide death relative to accidental deaths</w:t>
      </w:r>
    </w:p>
    <w:p w14:paraId="3DCED5DC" w14:textId="74ACD4C4" w:rsidR="00AD4439" w:rsidRPr="00AD4439" w:rsidRDefault="00AD4439" w:rsidP="00EF475B">
      <w:pPr>
        <w:spacing w:after="240" w:line="360" w:lineRule="auto"/>
        <w:rPr>
          <w:rFonts w:ascii="Calibri" w:hAnsi="Calibri" w:cs="Calibri"/>
        </w:rPr>
      </w:pPr>
      <w:r w:rsidRPr="00AD4439">
        <w:rPr>
          <w:rFonts w:ascii="Calibri" w:hAnsi="Calibri" w:cs="Calibri"/>
        </w:rPr>
        <w:t>Results: Sex and education are important fac</w:t>
      </w:r>
      <w:r w:rsidR="00842ECA">
        <w:rPr>
          <w:rFonts w:ascii="Calibri" w:hAnsi="Calibri" w:cs="Calibri"/>
        </w:rPr>
        <w:t xml:space="preserve">tors </w:t>
      </w:r>
      <w:r w:rsidR="00C75AA7">
        <w:rPr>
          <w:rFonts w:ascii="Calibri" w:hAnsi="Calibri" w:cs="Calibri"/>
        </w:rPr>
        <w:t>of comorbidity registration in suicide deaths</w:t>
      </w:r>
      <w:r w:rsidR="001E3573">
        <w:rPr>
          <w:rFonts w:ascii="Calibri" w:hAnsi="Calibri" w:cs="Calibri"/>
        </w:rPr>
        <w:t>, but s</w:t>
      </w:r>
      <w:r w:rsidR="007A5732" w:rsidRPr="00AD4439">
        <w:rPr>
          <w:rFonts w:ascii="Calibri" w:hAnsi="Calibri" w:cs="Calibri"/>
        </w:rPr>
        <w:t xml:space="preserve">ex </w:t>
      </w:r>
      <w:r w:rsidR="008B65BC">
        <w:rPr>
          <w:rFonts w:ascii="Calibri" w:hAnsi="Calibri" w:cs="Calibri"/>
        </w:rPr>
        <w:t>explains</w:t>
      </w:r>
      <w:r w:rsidR="008B65BC" w:rsidRPr="00AD4439">
        <w:rPr>
          <w:rFonts w:ascii="Calibri" w:hAnsi="Calibri" w:cs="Calibri"/>
        </w:rPr>
        <w:t xml:space="preserve"> </w:t>
      </w:r>
      <w:r w:rsidR="007A5732" w:rsidRPr="00AD4439">
        <w:rPr>
          <w:rFonts w:ascii="Calibri" w:hAnsi="Calibri" w:cs="Calibri"/>
        </w:rPr>
        <w:t xml:space="preserve">most of </w:t>
      </w:r>
      <w:r w:rsidR="00953141">
        <w:rPr>
          <w:rFonts w:ascii="Calibri" w:hAnsi="Calibri" w:cs="Calibri"/>
        </w:rPr>
        <w:t>it</w:t>
      </w:r>
      <w:r w:rsidR="007A5732" w:rsidRPr="00AD4439">
        <w:rPr>
          <w:rFonts w:ascii="Calibri" w:hAnsi="Calibri" w:cs="Calibri"/>
        </w:rPr>
        <w:t xml:space="preserve">. </w:t>
      </w:r>
      <w:r w:rsidR="001E3573">
        <w:rPr>
          <w:rFonts w:ascii="Calibri" w:hAnsi="Calibri" w:cs="Calibri"/>
        </w:rPr>
        <w:t>H</w:t>
      </w:r>
      <w:r w:rsidR="007A5732" w:rsidRPr="00AD4439">
        <w:rPr>
          <w:rFonts w:ascii="Calibri" w:hAnsi="Calibri" w:cs="Calibri"/>
        </w:rPr>
        <w:t>aving a high school degree was differentiated from other educational level groups among males’ suicide deaths.</w:t>
      </w:r>
      <w:r w:rsidR="00064AC9">
        <w:rPr>
          <w:rFonts w:ascii="Calibri" w:hAnsi="Calibri" w:cs="Calibri"/>
        </w:rPr>
        <w:t xml:space="preserve"> </w:t>
      </w:r>
      <w:r w:rsidR="00064AC9" w:rsidRPr="00AD4439">
        <w:rPr>
          <w:rFonts w:ascii="Calibri" w:hAnsi="Calibri" w:cs="Calibri"/>
        </w:rPr>
        <w:t xml:space="preserve">Poisoning due to drugs and medication, mood disorders, and other mental and behavioural disorders </w:t>
      </w:r>
      <w:r w:rsidR="00064AC9">
        <w:rPr>
          <w:rFonts w:ascii="Calibri" w:hAnsi="Calibri" w:cs="Calibri"/>
        </w:rPr>
        <w:t>are more</w:t>
      </w:r>
      <w:r w:rsidR="00064AC9" w:rsidRPr="00AD4439">
        <w:rPr>
          <w:rFonts w:ascii="Calibri" w:hAnsi="Calibri" w:cs="Calibri"/>
        </w:rPr>
        <w:t xml:space="preserve"> associated with </w:t>
      </w:r>
      <w:r w:rsidR="008B65BC">
        <w:rPr>
          <w:rFonts w:ascii="Calibri" w:hAnsi="Calibri" w:cs="Calibri"/>
        </w:rPr>
        <w:t>females</w:t>
      </w:r>
      <w:r w:rsidR="008B65BC" w:rsidRPr="00AD4439">
        <w:rPr>
          <w:rFonts w:ascii="Calibri" w:hAnsi="Calibri" w:cs="Calibri"/>
        </w:rPr>
        <w:t xml:space="preserve"> </w:t>
      </w:r>
      <w:r w:rsidR="00064AC9">
        <w:rPr>
          <w:rFonts w:ascii="Calibri" w:hAnsi="Calibri" w:cs="Calibri"/>
        </w:rPr>
        <w:t xml:space="preserve">while </w:t>
      </w:r>
      <w:r w:rsidR="00064AC9" w:rsidRPr="00AD4439">
        <w:rPr>
          <w:rFonts w:ascii="Calibri" w:hAnsi="Calibri" w:cs="Calibri"/>
        </w:rPr>
        <w:t>neoplasms and injuries</w:t>
      </w:r>
      <w:r w:rsidR="00157160">
        <w:rPr>
          <w:rFonts w:ascii="Calibri" w:hAnsi="Calibri" w:cs="Calibri"/>
        </w:rPr>
        <w:t xml:space="preserve"> </w:t>
      </w:r>
      <w:r w:rsidR="00EF475B">
        <w:rPr>
          <w:rFonts w:ascii="Calibri" w:hAnsi="Calibri" w:cs="Calibri"/>
        </w:rPr>
        <w:t xml:space="preserve">are associated </w:t>
      </w:r>
      <w:r w:rsidR="00064AC9">
        <w:rPr>
          <w:rFonts w:ascii="Calibri" w:hAnsi="Calibri" w:cs="Calibri"/>
        </w:rPr>
        <w:t xml:space="preserve">with male </w:t>
      </w:r>
      <w:r w:rsidR="00064AC9" w:rsidRPr="00AD4439">
        <w:rPr>
          <w:rFonts w:ascii="Calibri" w:hAnsi="Calibri" w:cs="Calibri"/>
        </w:rPr>
        <w:t xml:space="preserve">suicides. </w:t>
      </w:r>
      <w:r w:rsidR="007A5732" w:rsidRPr="00AD4439">
        <w:rPr>
          <w:rFonts w:ascii="Calibri" w:hAnsi="Calibri" w:cs="Calibri"/>
        </w:rPr>
        <w:t xml:space="preserve"> </w:t>
      </w:r>
      <w:r w:rsidRPr="00AD4439">
        <w:rPr>
          <w:rFonts w:ascii="Calibri" w:hAnsi="Calibri" w:cs="Calibri"/>
        </w:rPr>
        <w:t xml:space="preserve">Schizophrenia, mood disorders, </w:t>
      </w:r>
      <w:r w:rsidR="008B65BC">
        <w:rPr>
          <w:rFonts w:ascii="Calibri" w:hAnsi="Calibri" w:cs="Calibri"/>
        </w:rPr>
        <w:t xml:space="preserve">and </w:t>
      </w:r>
      <w:r w:rsidRPr="00AD4439">
        <w:rPr>
          <w:rFonts w:ascii="Calibri" w:hAnsi="Calibri" w:cs="Calibri"/>
        </w:rPr>
        <w:t xml:space="preserve">anxiety, dissociative and non-psychotic disorders have higher odds of suicide compared to accidental death. </w:t>
      </w:r>
    </w:p>
    <w:p w14:paraId="42EF1FCE" w14:textId="14ECC353" w:rsidR="00AD4439" w:rsidRPr="00AD4439" w:rsidRDefault="00AD4439" w:rsidP="00EF475B">
      <w:pPr>
        <w:spacing w:line="360" w:lineRule="auto"/>
        <w:rPr>
          <w:rFonts w:ascii="Calibri" w:hAnsi="Calibri" w:cs="Calibri"/>
        </w:rPr>
      </w:pPr>
      <w:r w:rsidRPr="00AD4439">
        <w:rPr>
          <w:rFonts w:ascii="Calibri" w:hAnsi="Calibri" w:cs="Calibri"/>
        </w:rPr>
        <w:t>Conclusions: This study highlights the need for adapted prevention among sex-educational groups</w:t>
      </w:r>
      <w:r w:rsidR="00094279">
        <w:rPr>
          <w:rFonts w:ascii="Calibri" w:hAnsi="Calibri" w:cs="Calibri"/>
        </w:rPr>
        <w:t xml:space="preserve"> to prevent suicide</w:t>
      </w:r>
      <w:r w:rsidR="00C75AA7">
        <w:rPr>
          <w:rFonts w:ascii="Calibri" w:hAnsi="Calibri" w:cs="Calibri"/>
        </w:rPr>
        <w:t xml:space="preserve"> </w:t>
      </w:r>
      <w:r w:rsidR="00C75AA7" w:rsidRPr="001B696E">
        <w:rPr>
          <w:rFonts w:ascii="Calibri" w:hAnsi="Calibri" w:cs="Calibri"/>
        </w:rPr>
        <w:t>due to their differences in registered comorbidity</w:t>
      </w:r>
      <w:r w:rsidRPr="001B696E">
        <w:rPr>
          <w:rFonts w:ascii="Calibri" w:hAnsi="Calibri" w:cs="Calibri"/>
        </w:rPr>
        <w:t>.</w:t>
      </w:r>
      <w:r w:rsidRPr="00AD4439">
        <w:rPr>
          <w:rFonts w:ascii="Calibri" w:hAnsi="Calibri" w:cs="Calibri"/>
        </w:rPr>
        <w:t xml:space="preserve">  </w:t>
      </w:r>
    </w:p>
    <w:p w14:paraId="3139BC6F" w14:textId="77777777" w:rsidR="004B0F14" w:rsidRPr="00AD4439" w:rsidRDefault="004B0F14" w:rsidP="004B0F14">
      <w:pPr>
        <w:spacing w:line="360" w:lineRule="auto"/>
        <w:rPr>
          <w:rFonts w:ascii="Calibri" w:hAnsi="Calibri" w:cs="Calibri"/>
          <w:color w:val="333333"/>
        </w:rPr>
      </w:pPr>
    </w:p>
    <w:p w14:paraId="2F03B8A5" w14:textId="77777777" w:rsidR="00AD4439" w:rsidRPr="00AD4439" w:rsidRDefault="00AD4439" w:rsidP="004B0F14">
      <w:pPr>
        <w:spacing w:line="360" w:lineRule="auto"/>
        <w:rPr>
          <w:rFonts w:ascii="Calibri" w:hAnsi="Calibri" w:cs="Calibri"/>
          <w:i/>
          <w:iCs/>
          <w:color w:val="156082" w:themeColor="accent1"/>
        </w:rPr>
      </w:pPr>
      <w:r w:rsidRPr="00AD4439">
        <w:rPr>
          <w:rFonts w:ascii="Calibri" w:hAnsi="Calibri" w:cs="Calibri"/>
          <w:i/>
          <w:iCs/>
          <w:color w:val="333333"/>
        </w:rPr>
        <w:t>Highlights:</w:t>
      </w:r>
    </w:p>
    <w:p w14:paraId="3CCF4E1C" w14:textId="77777777" w:rsidR="00AD4439" w:rsidRPr="00AD4439" w:rsidRDefault="00AD4439" w:rsidP="004B0F14">
      <w:pPr>
        <w:pStyle w:val="ListParagraph"/>
        <w:numPr>
          <w:ilvl w:val="0"/>
          <w:numId w:val="6"/>
        </w:numPr>
        <w:spacing w:line="360" w:lineRule="auto"/>
        <w:rPr>
          <w:rFonts w:ascii="Calibri" w:hAnsi="Calibri" w:cs="Calibri"/>
          <w:color w:val="156082" w:themeColor="accent1"/>
        </w:rPr>
      </w:pPr>
      <w:r w:rsidRPr="00AD4439">
        <w:rPr>
          <w:rFonts w:ascii="Calibri" w:eastAsia="Calibri" w:hAnsi="Calibri" w:cs="Calibri"/>
          <w:kern w:val="2"/>
        </w:rPr>
        <w:t>Schizophrenia, mood disorders, and anxiety, dissociative and non-psychotic disorders have higher odds of being registered in a suicide death compared to an accidental death.</w:t>
      </w:r>
    </w:p>
    <w:p w14:paraId="7F4CCF68" w14:textId="563392B3" w:rsidR="00AD4439" w:rsidRPr="00094279" w:rsidRDefault="00AD4439" w:rsidP="00094279">
      <w:pPr>
        <w:pStyle w:val="ListParagraph"/>
        <w:numPr>
          <w:ilvl w:val="0"/>
          <w:numId w:val="6"/>
        </w:numPr>
        <w:spacing w:line="360" w:lineRule="auto"/>
        <w:rPr>
          <w:rFonts w:ascii="Calibri" w:hAnsi="Calibri" w:cs="Calibri"/>
        </w:rPr>
      </w:pPr>
      <w:r w:rsidRPr="00094279">
        <w:rPr>
          <w:rFonts w:ascii="Calibri" w:hAnsi="Calibri" w:cs="Calibri"/>
        </w:rPr>
        <w:t>Age-standardised suicide rates are higher for lower educational levels</w:t>
      </w:r>
      <w:r w:rsidR="00094279" w:rsidRPr="00094279">
        <w:rPr>
          <w:rFonts w:ascii="Calibri" w:hAnsi="Calibri" w:cs="Calibri"/>
        </w:rPr>
        <w:t xml:space="preserve"> for both males and females, but</w:t>
      </w:r>
      <w:r w:rsidR="00094279">
        <w:rPr>
          <w:rFonts w:ascii="Calibri" w:hAnsi="Calibri" w:cs="Calibri"/>
        </w:rPr>
        <w:t xml:space="preserve"> m</w:t>
      </w:r>
      <w:r w:rsidR="00094279" w:rsidRPr="00094279">
        <w:rPr>
          <w:rFonts w:ascii="Calibri" w:hAnsi="Calibri" w:cs="Calibri"/>
        </w:rPr>
        <w:t xml:space="preserve">ales present distinct profiles of morbidities in suicide whereas education had a greater influence on females. </w:t>
      </w:r>
      <w:r w:rsidRPr="00094279">
        <w:rPr>
          <w:rFonts w:ascii="Calibri" w:hAnsi="Calibri" w:cs="Calibri"/>
        </w:rPr>
        <w:br w:type="page"/>
      </w:r>
    </w:p>
    <w:p w14:paraId="40BDD605" w14:textId="77777777" w:rsidR="00AD4439" w:rsidRPr="00AD4439" w:rsidRDefault="00AD4439" w:rsidP="004B0F14">
      <w:pPr>
        <w:pStyle w:val="Heading1"/>
        <w:spacing w:line="360" w:lineRule="auto"/>
      </w:pPr>
      <w:bookmarkStart w:id="0" w:name="_Toc145236426"/>
      <w:r w:rsidRPr="00AD4439">
        <w:lastRenderedPageBreak/>
        <w:t>Introduction</w:t>
      </w:r>
      <w:bookmarkEnd w:id="0"/>
    </w:p>
    <w:p w14:paraId="4DC866CA" w14:textId="76EDCD0D" w:rsidR="00AD4439" w:rsidRPr="00AD4439" w:rsidRDefault="00AD4439" w:rsidP="004B0F14">
      <w:pPr>
        <w:spacing w:line="360" w:lineRule="auto"/>
        <w:ind w:firstLine="720"/>
        <w:rPr>
          <w:rFonts w:ascii="Calibri" w:hAnsi="Calibri" w:cs="Calibri"/>
        </w:rPr>
      </w:pPr>
      <w:r w:rsidRPr="00AD4439">
        <w:rPr>
          <w:rFonts w:ascii="Calibri" w:hAnsi="Calibri" w:cs="Calibri"/>
        </w:rPr>
        <w:t xml:space="preserve">Suicide is reported by the Centers for Disease Control and Prevention as one of the leading causes of death in the </w:t>
      </w:r>
      <w:r w:rsidR="00221875">
        <w:rPr>
          <w:rFonts w:ascii="Calibri" w:hAnsi="Calibri" w:cs="Calibri"/>
        </w:rPr>
        <w:t>USA</w:t>
      </w:r>
      <w:r w:rsidR="00221875" w:rsidRPr="00AD4439">
        <w:rPr>
          <w:rFonts w:ascii="Calibri" w:hAnsi="Calibri" w:cs="Calibri"/>
        </w:rPr>
        <w:t xml:space="preserve"> </w:t>
      </w:r>
      <w:r w:rsidRPr="00AD4439">
        <w:rPr>
          <w:rFonts w:ascii="Calibri" w:hAnsi="Calibri" w:cs="Calibri"/>
        </w:rPr>
        <w:t xml:space="preserve">with more than 49,000 deaths annually </w:t>
      </w:r>
      <w:r w:rsidRPr="00AD4439">
        <w:rPr>
          <w:rFonts w:ascii="Calibri" w:hAnsi="Calibri" w:cs="Calibri"/>
        </w:rPr>
        <w:fldChar w:fldCharType="begin"/>
      </w:r>
      <w:r w:rsidRPr="00AD4439">
        <w:rPr>
          <w:rFonts w:ascii="Calibri" w:hAnsi="Calibri" w:cs="Calibri"/>
        </w:rPr>
        <w:instrText xml:space="preserve"> ADDIN ZOTERO_ITEM CSL_CITATION {"citationID":"EbovJZvI","properties":{"formattedCitation":"[1]","plainCitation":"[1]","noteIndex":0},"citationItems":[{"id":2206,"uris":["http://zotero.org/users/6964448/items/SD7SPPVX"],"itemData":{"id":2206,"type":"webpage","abstract":"An overview of suicide trends and data","container-title":"Suicide Prevention","language":"en-us","title":"Suicide Data and Statistics","URL":"https://www.cdc.gov/suicide/facts/data.html","author":[{"family":"CDC","given":""}],"accessed":{"date-parts":[["2024",10,15]]},"issued":{"date-parts":[["2024",8,5]]},"citation-key":"cdc2024a"}}],"schema":"https://github.com/citation-style-language/schema/raw/master/csl-citation.json"} </w:instrText>
      </w:r>
      <w:r w:rsidRPr="00AD4439">
        <w:rPr>
          <w:rFonts w:ascii="Calibri" w:hAnsi="Calibri" w:cs="Calibri"/>
        </w:rPr>
        <w:fldChar w:fldCharType="separate"/>
      </w:r>
      <w:r w:rsidRPr="00AD4439">
        <w:rPr>
          <w:rFonts w:ascii="Calibri" w:hAnsi="Calibri" w:cs="Calibri"/>
        </w:rPr>
        <w:t>[1]</w:t>
      </w:r>
      <w:r w:rsidRPr="00AD4439">
        <w:rPr>
          <w:rFonts w:ascii="Calibri" w:hAnsi="Calibri" w:cs="Calibri"/>
        </w:rPr>
        <w:fldChar w:fldCharType="end"/>
      </w:r>
      <w:r w:rsidRPr="00AD4439">
        <w:rPr>
          <w:rFonts w:ascii="Calibri" w:hAnsi="Calibri" w:cs="Calibri"/>
        </w:rPr>
        <w:t>. Suicide rates in the US</w:t>
      </w:r>
      <w:r w:rsidR="009C2C9D">
        <w:rPr>
          <w:rFonts w:ascii="Calibri" w:hAnsi="Calibri" w:cs="Calibri"/>
        </w:rPr>
        <w:t>A</w:t>
      </w:r>
      <w:r w:rsidRPr="00AD4439">
        <w:rPr>
          <w:rFonts w:ascii="Calibri" w:hAnsi="Calibri" w:cs="Calibri"/>
        </w:rPr>
        <w:t xml:space="preserve"> increased by around 35%</w:t>
      </w:r>
      <w:r w:rsidR="00BF5716">
        <w:rPr>
          <w:rFonts w:ascii="Calibri" w:hAnsi="Calibri" w:cs="Calibri"/>
        </w:rPr>
        <w:t xml:space="preserve"> from 2000 to 2018</w:t>
      </w:r>
      <w:r w:rsidRPr="00AD4439">
        <w:rPr>
          <w:rFonts w:ascii="Calibri" w:hAnsi="Calibri" w:cs="Calibri"/>
        </w:rPr>
        <w:t xml:space="preserve"> </w:t>
      </w:r>
      <w:r w:rsidRPr="00AD4439">
        <w:rPr>
          <w:rFonts w:ascii="Calibri" w:hAnsi="Calibri" w:cs="Calibri"/>
        </w:rPr>
        <w:fldChar w:fldCharType="begin"/>
      </w:r>
      <w:r w:rsidRPr="00AD4439">
        <w:rPr>
          <w:rFonts w:ascii="Calibri" w:hAnsi="Calibri" w:cs="Calibri"/>
        </w:rPr>
        <w:instrText xml:space="preserve"> ADDIN ZOTERO_ITEM CSL_CITATION {"citationID":"nBjZE06u","properties":{"formattedCitation":"[2]","plainCitation":"[2]","noteIndex":0},"citationItems":[{"id":979,"uris":["http://zotero.org/users/6964448/items/EX52C93H"],"itemData":{"id":979,"type":"article-journal","abstract":"Suicide is a major public health concern in the United States. Between 2000 and 2018, US suicide rates increased by 35%, contributing to the stagnation and subsequent decrease in US life expectancy. During 2019, suicide declined modestly, mostly owing to slight reductions in suicides among Whites. Suicide rates, however, continued to increase or remained stable among all other racial/ethnic groups, and little is known about recent suicide trends among other vulnerable groups. This article (a) summarizes US suicide mortality trends over the twentieth and early twenty-first centuries, (b) reviews potential group-level causes of increased suicide risk among subpopulations characterized by markers of vulnerability to suicide, and (c) advocates for combining recent advances in population-based suicide prevention with a socially conscious perspective that captures the social, economic, and political contexts in which suicide risk unfolds over the life course of vulnerable individuals.","container-title":"Annual Review of Public Health","DOI":"10.1146/annurev-publhealth-051920-123206","issue":"1","note":"_eprint: https://doi.org/10.1146/annurev-publhealth-051920-123206\nPMID: 34705474","page":"99-116","source":"Annual Reviews","title":"The Recent Rise of Suicide Mortality in the United States","volume":"43","author":[{"family":"Martínez-Alés","given":"Gonzalo"},{"family":"Jiang","given":"Tammy"},{"family":"Keyes","given":"Katherine M."},{"family":"Gradus","given":"Jaimie L."}],"issued":{"date-parts":[["2022"]]},"citation-key":"martinez-alesRecentRiseSuicide2022a"},"label":"page"}],"schema":"https://github.com/citation-style-language/schema/raw/master/csl-citation.json"} </w:instrText>
      </w:r>
      <w:r w:rsidRPr="00AD4439">
        <w:rPr>
          <w:rFonts w:ascii="Calibri" w:hAnsi="Calibri" w:cs="Calibri"/>
        </w:rPr>
        <w:fldChar w:fldCharType="separate"/>
      </w:r>
      <w:r w:rsidRPr="00AD4439">
        <w:rPr>
          <w:rFonts w:ascii="Calibri" w:hAnsi="Calibri" w:cs="Calibri"/>
        </w:rPr>
        <w:t>[2]</w:t>
      </w:r>
      <w:r w:rsidRPr="00AD4439">
        <w:rPr>
          <w:rFonts w:ascii="Calibri" w:hAnsi="Calibri" w:cs="Calibri"/>
        </w:rPr>
        <w:fldChar w:fldCharType="end"/>
      </w:r>
      <w:r w:rsidRPr="00AD4439">
        <w:rPr>
          <w:rFonts w:ascii="Calibri" w:hAnsi="Calibri" w:cs="Calibri"/>
        </w:rPr>
        <w:t xml:space="preserve">; while </w:t>
      </w:r>
      <w:r w:rsidR="00BF5716">
        <w:rPr>
          <w:rFonts w:ascii="Calibri" w:hAnsi="Calibri" w:cs="Calibri"/>
        </w:rPr>
        <w:t>decreasing</w:t>
      </w:r>
      <w:r w:rsidRPr="00AD4439">
        <w:rPr>
          <w:rFonts w:ascii="Calibri" w:hAnsi="Calibri" w:cs="Calibri"/>
        </w:rPr>
        <w:t xml:space="preserve"> worldwide </w:t>
      </w:r>
      <w:r w:rsidRPr="00AD4439">
        <w:rPr>
          <w:rFonts w:ascii="Calibri" w:hAnsi="Calibri" w:cs="Calibri"/>
        </w:rPr>
        <w:fldChar w:fldCharType="begin"/>
      </w:r>
      <w:r w:rsidR="002528B8">
        <w:rPr>
          <w:rFonts w:ascii="Calibri" w:hAnsi="Calibri" w:cs="Calibri"/>
        </w:rPr>
        <w:instrText xml:space="preserve"> ADDIN ZOTERO_ITEM CSL_CITATION {"citationID":"xFZ8Qdmh","properties":{"formattedCitation":"[3]","plainCitation":"[3]","noteIndex":0},"citationItems":[{"id":"vqpzzZhy/Gbwa54OS","uris":["http://zotero.org/users/6964448/items/GRS2LWUN"],"itemData":{"id":"5ai0IP8G/OXFk3nA4","type":"article-journal","abstract":"Abstract\n            \n              Objectives\n              To use the estimates from the Global Burden of Disease Study 2016 to describe patterns of suicide mortality globally, regionally, and for 195 countries and territories by age, sex, and Socio-demographic index, and to describe temporal trends between 1990 and 2016.\n            \n            \n              Design\n              Systematic analysis.\n            \n            \n              Main outcome measures\n              Crude and age standardised rates from suicide mortality and years of life lost were compared across regions and countries, and by age, sex, and Socio-demographic index (a composite measure of fertility, income, and education).\n            \n            \n              Results\n              The total number of deaths from suicide increased by 6.7% (95% uncertainty interval 0.4% to 15.6%) globally over the 27 year study period to 817 000 (762 000 to 884 000) deaths in 2016. However, the age standardised mortality rate for suicide decreased by 32.7% (27.2% to 36.6%) worldwide between 1990 and 2016, similar to the decline in the global age standardised mortality rate of 30.6%. Suicide was the leading cause of age standardised years of life lost in the Global Burden of Disease region of high income Asia Pacific and was among the top 10 leading causes in eastern Europe, central Europe, western Europe, central Asia, Australasia, southern Latin America, and high income North America. Rates for men were higher than for women across regions, countries, and age groups, except for the 15 to 19 age group. There was variation in the female to male ratio, with higher ratios at lower levels of Socio-demographic index. Women experienced greater decreases in mortality rates (49.0%, 95% uncertainty interval 42.6% to 54.6%) than men (23.8%, 15.6% to 32.7%).\n            \n            \n              Conclusions\n              Age standardised mortality rates for suicide have greatly reduced since 1990, but suicide remains an important contributor to mortality worldwide. Suicide mortality was variable across locations, between sexes, and between age groups. Suicide prevention strategies can be targeted towards vulnerable populations if they are informed by variations in mortality rates.","container-title":"BMJ","DOI":"10.1136/bmj.l94","ISSN":"0959-8138, 1756-1833","journalAbbreviation":"BMJ","language":"en","page":"l94","source":"DOI.org (Crossref)","title":"Global, regional, and national burden of suicide mortality 1990 to 2016: systematic analysis for the Global Burden of Disease Study 2016","title-short":"Global, regional, and national burden of suicide mortality 1990 to 2016","author":[{"family":"Naghavi","given":"Mohsen"}],"issued":{"date-parts":[["2019",2,6]]}}}],"schema":"https://github.com/citation-style-language/schema/raw/master/csl-citation.json"} </w:instrText>
      </w:r>
      <w:r w:rsidRPr="00AD4439">
        <w:rPr>
          <w:rFonts w:ascii="Calibri" w:hAnsi="Calibri" w:cs="Calibri"/>
        </w:rPr>
        <w:fldChar w:fldCharType="separate"/>
      </w:r>
      <w:r w:rsidRPr="00AD4439">
        <w:rPr>
          <w:rFonts w:ascii="Calibri" w:hAnsi="Calibri" w:cs="Calibri"/>
        </w:rPr>
        <w:t>[3]</w:t>
      </w:r>
      <w:r w:rsidRPr="00AD4439">
        <w:rPr>
          <w:rFonts w:ascii="Calibri" w:hAnsi="Calibri" w:cs="Calibri"/>
        </w:rPr>
        <w:fldChar w:fldCharType="end"/>
      </w:r>
      <w:r w:rsidRPr="00AD4439">
        <w:rPr>
          <w:rFonts w:ascii="Calibri" w:hAnsi="Calibri" w:cs="Calibri"/>
        </w:rPr>
        <w:t xml:space="preserve">. Since 2016 suicide has been the second leading cause of death for the 10-34 </w:t>
      </w:r>
      <w:r w:rsidR="004756BB">
        <w:rPr>
          <w:rFonts w:ascii="Calibri" w:hAnsi="Calibri" w:cs="Calibri"/>
        </w:rPr>
        <w:t>age group</w:t>
      </w:r>
      <w:r w:rsidRPr="00AD4439">
        <w:rPr>
          <w:rFonts w:ascii="Calibri" w:hAnsi="Calibri" w:cs="Calibri"/>
        </w:rPr>
        <w:t xml:space="preserve"> and </w:t>
      </w:r>
      <w:r w:rsidR="004756BB">
        <w:rPr>
          <w:rFonts w:ascii="Calibri" w:hAnsi="Calibri" w:cs="Calibri"/>
        </w:rPr>
        <w:t>a leading</w:t>
      </w:r>
      <w:r w:rsidRPr="00AD4439">
        <w:rPr>
          <w:rFonts w:ascii="Calibri" w:hAnsi="Calibri" w:cs="Calibri"/>
        </w:rPr>
        <w:t xml:space="preserve"> </w:t>
      </w:r>
      <w:r w:rsidR="0091311E">
        <w:rPr>
          <w:rFonts w:ascii="Calibri" w:hAnsi="Calibri" w:cs="Calibri"/>
        </w:rPr>
        <w:t>one</w:t>
      </w:r>
      <w:r w:rsidRPr="00AD4439">
        <w:rPr>
          <w:rFonts w:ascii="Calibri" w:hAnsi="Calibri" w:cs="Calibri"/>
        </w:rPr>
        <w:t xml:space="preserve"> for most working age groups </w:t>
      </w:r>
      <w:r w:rsidRPr="00AD4439">
        <w:rPr>
          <w:rFonts w:ascii="Calibri" w:hAnsi="Calibri" w:cs="Calibri"/>
        </w:rPr>
        <w:fldChar w:fldCharType="begin"/>
      </w:r>
      <w:r w:rsidR="002528B8">
        <w:rPr>
          <w:rFonts w:ascii="Calibri" w:hAnsi="Calibri" w:cs="Calibri"/>
        </w:rPr>
        <w:instrText xml:space="preserve"> ADDIN ZOTERO_ITEM CSL_CITATION {"citationID":"9IbxLZrd","properties":{"formattedCitation":"[4, 5]","plainCitation":"[4, 5]","noteIndex":0},"citationItems":[{"id":"vqpzzZhy/55UawbS9","uris":["http://zotero.org/users/6964448/items/VXSX4W7H"],"itemData":{"id":"zl4Qzf5Z/DOPYpA4U","type":"article-journal","container-title":"Social Psychiatry and Psychiatric Epidemiology","DOI":"10.1007/s00127-015-1119-x","ISSN":"0933-7954, 1433-9285","issue":"1","journalAbbreviation":"Soc Psychiatry Psychiatr Epidemiol","language":"en","page":"115-123","source":"DOI.org (Crossref)","title":"The accuracy of suicide statistics: are true suicide deaths misclassified?","title-short":"The accuracy of suicide statistics","volume":"51","author":[{"family":"Bakst","given":"Shelly S."},{"family":"Braun","given":"Tali"},{"family":"Zucker","given":"Inbar"},{"family":"Amitai","given":"Ziva"},{"family":"Shohat","given":"Tamy"}],"issued":{"date-parts":[["2016",1]]},"citation-key":"bakstAccuracySuicideStatistics2016b"}},{"id":960,"uris":["http://zotero.org/users/6964448/items/CBR8I6XF"],"itemData":{"id":960,"type":"article-journal","abstract":"World Health Organization age-, sex-, and cause-specific mortality data for the United States and 19 other democratic higher-income countries were utilized to assess the reliability and sensitivity of suicide certification for purposes of cross-national research. Data are found to be highly reliable across age and sex (rs &gt; 0.92; P &lt; 0.001). Relative discrepancies between official suicide rates (putative lower limits) and projected upper limits vary widely internationally. Austrian and Dutch suicide certification is the most sensitive. Least sensitive is certification for certain subpopulations in Finland, Greece, Ireland, Israel, and the United Kingdom. We recommend similar analyses be performed for routine, low-cost surveillance of suicide data quality, and to guide choice of population groups for multivariate comparative research.","container-title":"Suicide &amp; Life-Threatening Behavior","ISSN":"0363-0234","issue":"2","journalAbbreviation":"Suicide Life Threat Behav","language":"eng","note":"PMID: 10407967","page":"141-149","source":"PubMed","title":"Reliability and sensitivity of suicide certification in higher-income countries","volume":"29","author":[{"family":"Rockett","given":"Ian R H"},{"family":"Thomas","given":"B. M."}],"issued":{"date-parts":[["1999"]]},"citation-key":"rockett1999a"}}],"schema":"https://github.com/citation-style-language/schema/raw/master/csl-citation.json"} </w:instrText>
      </w:r>
      <w:r w:rsidRPr="00AD4439">
        <w:rPr>
          <w:rFonts w:ascii="Calibri" w:hAnsi="Calibri" w:cs="Calibri"/>
        </w:rPr>
        <w:fldChar w:fldCharType="separate"/>
      </w:r>
      <w:r w:rsidRPr="00AD4439">
        <w:rPr>
          <w:rFonts w:ascii="Calibri" w:hAnsi="Calibri" w:cs="Calibri"/>
        </w:rPr>
        <w:t>[4, 5]</w:t>
      </w:r>
      <w:r w:rsidRPr="00AD4439">
        <w:rPr>
          <w:rFonts w:ascii="Calibri" w:hAnsi="Calibri" w:cs="Calibri"/>
        </w:rPr>
        <w:fldChar w:fldCharType="end"/>
      </w:r>
      <w:r w:rsidRPr="00AD4439">
        <w:rPr>
          <w:rFonts w:ascii="Calibri" w:hAnsi="Calibri" w:cs="Calibri"/>
        </w:rPr>
        <w:t xml:space="preserve">. </w:t>
      </w:r>
      <w:r w:rsidRPr="00AD4439">
        <w:rPr>
          <w:rFonts w:ascii="Calibri" w:hAnsi="Calibri" w:cs="Calibri"/>
          <w:color w:val="000000" w:themeColor="text1"/>
        </w:rPr>
        <w:t>Suicide</w:t>
      </w:r>
      <w:r w:rsidR="0091311E">
        <w:rPr>
          <w:rFonts w:ascii="Calibri" w:hAnsi="Calibri" w:cs="Calibri"/>
          <w:color w:val="000000" w:themeColor="text1"/>
        </w:rPr>
        <w:t xml:space="preserve">s </w:t>
      </w:r>
      <w:r w:rsidRPr="00AD4439">
        <w:rPr>
          <w:rFonts w:ascii="Calibri" w:hAnsi="Calibri" w:cs="Calibri"/>
          <w:color w:val="000000" w:themeColor="text1"/>
        </w:rPr>
        <w:t xml:space="preserve">have been identified to be higher among individuals with an education lower or equal to a high school degree, especially among those aged 45 years old and older, the highly educated were identified as those with lower suicide mortality </w:t>
      </w:r>
      <w:r w:rsidRPr="00AD4439">
        <w:rPr>
          <w:rFonts w:ascii="Calibri" w:hAnsi="Calibri" w:cs="Calibri"/>
          <w:color w:val="000000" w:themeColor="text1"/>
        </w:rPr>
        <w:fldChar w:fldCharType="begin"/>
      </w:r>
      <w:r w:rsidRPr="00AD4439">
        <w:rPr>
          <w:rFonts w:ascii="Calibri" w:hAnsi="Calibri" w:cs="Calibri"/>
          <w:color w:val="000000" w:themeColor="text1"/>
        </w:rPr>
        <w:instrText xml:space="preserve"> ADDIN ZOTERO_ITEM CSL_CITATION {"citationID":"FyWefe59","properties":{"formattedCitation":"[6, 7]","plainCitation":"[6, 7]","noteIndex":0},"citationItems":[{"id":945,"uris":["http://zotero.org/users/6964448/items/KEGDJ4YJ"],"itemData":{"id":945,"type":"article-journal","container-title":"Journal of Psychiatric Research","DOI":"10.1016/j.jpsychires.2016.03.002","ISSN":"00223956","journalAbbreviation":"Journal of Psychiatric Research","language":"en","page":"125-133","source":"DOI.org (Crossref)","title":"Estimating the rates of deaths by suicide among adults who attempt suicide in the United States","volume":"77","author":[{"family":"Han","given":"Beth"},{"family":"Kott","given":"Phillip S."},{"family":"Hughes","given":"Art"},{"family":"McKeon","given":"Richard"},{"family":"Blanco","given":"Carlos"},{"family":"Compton","given":"Wilson M."}],"issued":{"date-parts":[["2016",6]]},"citation-key":"hanEstimatingRatesDeaths2016a"}},{"id":946,"uris":["http://zotero.org/users/6964448/items/TAR2XYQI"],"itemData":{"id":946,"type":"article-journal","container-title":"American Journal of Preventive Medicine","DOI":"10.1016/j.amepre.2017.04.010","ISSN":"07493797","issue":"4","journalAbbreviation":"American Journal of Preventive Medicine","language":"en","page":"e123-e130","source":"DOI.org (Crossref)","title":"Differences in U.S. Suicide Rates by Educational Attainment, 2000–2014","volume":"53","author":[{"family":"Phillips","given":"Julie A."},{"family":"Hempstead","given":"Katherine"}],"issued":{"date-parts":[["2017",10]]},"citation-key":"phillipsDifferencesSuicideRates2017a"},"label":"page"}],"schema":"https://github.com/citation-style-language/schema/raw/master/csl-citation.json"} </w:instrText>
      </w:r>
      <w:r w:rsidRPr="00AD4439">
        <w:rPr>
          <w:rFonts w:ascii="Calibri" w:hAnsi="Calibri" w:cs="Calibri"/>
          <w:color w:val="000000" w:themeColor="text1"/>
        </w:rPr>
        <w:fldChar w:fldCharType="separate"/>
      </w:r>
      <w:r w:rsidRPr="00AD4439">
        <w:rPr>
          <w:rFonts w:ascii="Calibri" w:hAnsi="Calibri" w:cs="Calibri"/>
        </w:rPr>
        <w:t>[6, 7]</w:t>
      </w:r>
      <w:r w:rsidRPr="00AD4439">
        <w:rPr>
          <w:rFonts w:ascii="Calibri" w:hAnsi="Calibri" w:cs="Calibri"/>
          <w:color w:val="000000" w:themeColor="text1"/>
        </w:rPr>
        <w:fldChar w:fldCharType="end"/>
      </w:r>
      <w:r w:rsidRPr="00AD4439">
        <w:rPr>
          <w:rFonts w:ascii="Calibri" w:hAnsi="Calibri" w:cs="Calibri"/>
          <w:color w:val="000000" w:themeColor="text1"/>
        </w:rPr>
        <w:t xml:space="preserve">. </w:t>
      </w:r>
    </w:p>
    <w:p w14:paraId="1C1C3F95" w14:textId="201D764E" w:rsidR="00AD4439" w:rsidRPr="0051711A" w:rsidRDefault="00AD4439" w:rsidP="004B0F14">
      <w:pPr>
        <w:spacing w:line="360" w:lineRule="auto"/>
        <w:rPr>
          <w:rFonts w:ascii="Calibri" w:hAnsi="Calibri" w:cs="Calibri"/>
          <w:color w:val="156082" w:themeColor="accent1"/>
        </w:rPr>
      </w:pPr>
      <w:r w:rsidRPr="00AD4439">
        <w:rPr>
          <w:rFonts w:ascii="Calibri" w:hAnsi="Calibri" w:cs="Calibri"/>
        </w:rPr>
        <w:t xml:space="preserve">Studies of suicide mortality focus mainly on the underlying cause (UC) of death recorded by official statistics, </w:t>
      </w:r>
      <w:r w:rsidRPr="0051711A">
        <w:rPr>
          <w:rFonts w:ascii="Calibri" w:hAnsi="Calibri" w:cs="Calibri"/>
        </w:rPr>
        <w:t xml:space="preserve">meaning that the remaining or contributing causes are not considered. Several studies have highlighted the underestimation of suicide using official statistics </w:t>
      </w:r>
      <w:r w:rsidRPr="0051711A">
        <w:rPr>
          <w:rFonts w:ascii="Calibri" w:hAnsi="Calibri" w:cs="Calibri"/>
        </w:rPr>
        <w:fldChar w:fldCharType="begin"/>
      </w:r>
      <w:r w:rsidR="002528B8">
        <w:rPr>
          <w:rFonts w:ascii="Calibri" w:hAnsi="Calibri" w:cs="Calibri"/>
        </w:rPr>
        <w:instrText xml:space="preserve"> ADDIN ZOTERO_ITEM CSL_CITATION {"citationID":"4gXbnZP5","properties":{"formattedCitation":"[2, 4]","plainCitation":"[2, 4]","noteIndex":0},"citationItems":[{"id":"vqpzzZhy/55UawbS9","uris":["http://zotero.org/users/6964448/items/VXSX4W7H"],"itemData":{"id":837,"type":"article-journal","container-title":"Social Psychiatry and Psychiatric Epidemiology","DOI":"10.1007/s00127-015-1119-x","ISSN":"0933-7954, 1433-9285","issue":"1","journalAbbreviation":"Soc Psychiatry Psychiatr Epidemiol","language":"en","page":"115-123","source":"DOI.org (Crossref)","title":"The accuracy of suicide statistics: are true suicide deaths misclassified?","title-short":"The accuracy of suicide statistics","volume":"51","author":[{"family":"Bakst","given":"Shelly S."},{"family":"Braun","given":"Tali"},{"family":"Zucker","given":"Inbar"},{"family":"Amitai","given":"Ziva"},{"family":"Shohat","given":"Tamy"}],"issued":{"date-parts":[["2016",1]]},"citation-key":"bakstAccuracySuicideStatistics2016b"}},{"id":979,"uris":["http://zotero.org/users/6964448/items/EX52C93H"],"itemData":{"id":979,"type":"article-journal","abstract":"Suicide is a major public health concern in the United States. Between 2000 and 2018, US suicide rates increased by 35%, contributing to the stagnation and subsequent decrease in US life expectancy. During 2019, suicide declined modestly, mostly owing to slight reductions in suicides among Whites. Suicide rates, however, continued to increase or remained stable among all other racial/ethnic groups, and little is known about recent suicide trends among other vulnerable groups. This article (a) summarizes US suicide mortality trends over the twentieth and early twenty-first centuries, (b) reviews potential group-level causes of increased suicide risk among subpopulations characterized by markers of vulnerability to suicide, and (c) advocates for combining recent advances in population-based suicide prevention with a socially conscious perspective that captures the social, economic, and political contexts in which suicide risk unfolds over the life course of vulnerable individuals.","container-title":"Annual Review of Public Health","DOI":"10.1146/annurev-publhealth-051920-123206","issue":"1","note":"_eprint: https://doi.org/10.1146/annurev-publhealth-051920-123206\nPMID: 34705474","page":"99-116","source":"Annual Reviews","title":"The Recent Rise of Suicide Mortality in the United States","volume":"43","author":[{"family":"Martínez-Alés","given":"Gonzalo"},{"family":"Jiang","given":"Tammy"},{"family":"Keyes","given":"Katherine M."},{"family":"Gradus","given":"Jaimie L."}],"issued":{"date-parts":[["2022"]]},"citation-key":"martinez-alesRecentRiseSuicide2022a"}}],"schema":"https://github.com/citation-style-language/schema/raw/master/csl-citation.json"} </w:instrText>
      </w:r>
      <w:r w:rsidRPr="0051711A">
        <w:rPr>
          <w:rFonts w:ascii="Calibri" w:hAnsi="Calibri" w:cs="Calibri"/>
        </w:rPr>
        <w:fldChar w:fldCharType="separate"/>
      </w:r>
      <w:r w:rsidR="00983BDC" w:rsidRPr="0051711A">
        <w:rPr>
          <w:rFonts w:ascii="Calibri" w:hAnsi="Calibri" w:cs="Calibri"/>
        </w:rPr>
        <w:t>[2, 4]</w:t>
      </w:r>
      <w:r w:rsidRPr="0051711A">
        <w:rPr>
          <w:rFonts w:ascii="Calibri" w:hAnsi="Calibri" w:cs="Calibri"/>
        </w:rPr>
        <w:fldChar w:fldCharType="end"/>
      </w:r>
      <w:r w:rsidRPr="0051711A">
        <w:rPr>
          <w:rFonts w:ascii="Calibri" w:hAnsi="Calibri" w:cs="Calibri"/>
        </w:rPr>
        <w:t xml:space="preserve">. </w:t>
      </w:r>
      <w:r w:rsidR="00A05950" w:rsidRPr="0051711A">
        <w:rPr>
          <w:rFonts w:ascii="Calibri" w:hAnsi="Calibri" w:cs="Calibri"/>
        </w:rPr>
        <w:t>M</w:t>
      </w:r>
      <w:r w:rsidRPr="0051711A">
        <w:rPr>
          <w:rFonts w:ascii="Calibri" w:hAnsi="Calibri" w:cs="Calibri"/>
        </w:rPr>
        <w:t xml:space="preserve">easuring suicide mortality may be challenging due to the possible assignment of the case to another cause </w:t>
      </w:r>
      <w:r w:rsidR="004C6BC8" w:rsidRPr="0051711A">
        <w:rPr>
          <w:rFonts w:ascii="Calibri" w:hAnsi="Calibri" w:cs="Calibri"/>
        </w:rPr>
        <w:t xml:space="preserve">(e.g., </w:t>
      </w:r>
      <w:r w:rsidRPr="0051711A">
        <w:rPr>
          <w:rFonts w:ascii="Calibri" w:hAnsi="Calibri" w:cs="Calibri"/>
        </w:rPr>
        <w:t xml:space="preserve">changes in autopsy rates </w:t>
      </w:r>
      <w:r w:rsidRPr="0051711A">
        <w:rPr>
          <w:rFonts w:ascii="Calibri" w:hAnsi="Calibri" w:cs="Calibri"/>
        </w:rPr>
        <w:fldChar w:fldCharType="begin"/>
      </w:r>
      <w:r w:rsidRPr="0051711A">
        <w:rPr>
          <w:rFonts w:ascii="Calibri" w:hAnsi="Calibri" w:cs="Calibri"/>
        </w:rPr>
        <w:instrText xml:space="preserve"> ADDIN ZOTERO_ITEM CSL_CITATION {"citationID":"pdTqL1O0","properties":{"formattedCitation":"[8]","plainCitation":"[8]","noteIndex":0},"citationItems":[{"id":832,"uris":["http://zotero.org/users/6964448/items/87YZXQNJ"],"itemData":{"id":832,"type":"article-journal","container-title":"Archives of General Psychiatry","DOI":"10.1001/archgenpsychiatry.2011.66","ISSN":"0003-990X","issue":"10","journalAbbreviation":"Arch Gen Psychiatry","language":"en","page":"1050","source":"DOI.org (Crossref)","title":"Declining Autopsy Rates and Suicide Misclassification: A Cross-national Analysis of 35 Countries","title-short":"Declining Autopsy Rates and Suicide Misclassification","volume":"68","author":[{"family":"Kapusta","given":"Nestor D."}],"issued":{"date-parts":[["2011",10,1]]},"citation-key":"kapustaDecliningAutopsyRates2011b"}}],"schema":"https://github.com/citation-style-language/schema/raw/master/csl-citation.json"} </w:instrText>
      </w:r>
      <w:r w:rsidRPr="0051711A">
        <w:rPr>
          <w:rFonts w:ascii="Calibri" w:hAnsi="Calibri" w:cs="Calibri"/>
        </w:rPr>
        <w:fldChar w:fldCharType="separate"/>
      </w:r>
      <w:r w:rsidRPr="0051711A">
        <w:rPr>
          <w:rFonts w:ascii="Calibri" w:hAnsi="Calibri" w:cs="Calibri"/>
        </w:rPr>
        <w:t>[8]</w:t>
      </w:r>
      <w:r w:rsidRPr="0051711A">
        <w:rPr>
          <w:rFonts w:ascii="Calibri" w:hAnsi="Calibri" w:cs="Calibri"/>
        </w:rPr>
        <w:fldChar w:fldCharType="end"/>
      </w:r>
      <w:r w:rsidR="003571DD">
        <w:rPr>
          <w:rFonts w:ascii="Calibri" w:hAnsi="Calibri" w:cs="Calibri"/>
        </w:rPr>
        <w:t xml:space="preserve"> </w:t>
      </w:r>
      <w:r w:rsidRPr="0051711A">
        <w:rPr>
          <w:rFonts w:ascii="Calibri" w:hAnsi="Calibri" w:cs="Calibri"/>
        </w:rPr>
        <w:t xml:space="preserve">data loss or limitations in the system of collecting and compiling data </w:t>
      </w:r>
      <w:r w:rsidRPr="0051711A">
        <w:rPr>
          <w:rFonts w:ascii="Calibri" w:hAnsi="Calibri" w:cs="Calibri"/>
        </w:rPr>
        <w:fldChar w:fldCharType="begin"/>
      </w:r>
      <w:r w:rsidRPr="0051711A">
        <w:rPr>
          <w:rFonts w:ascii="Calibri" w:hAnsi="Calibri" w:cs="Calibri"/>
        </w:rPr>
        <w:instrText xml:space="preserve"> ADDIN ZOTERO_ITEM CSL_CITATION {"citationID":"4F1lZeIy","properties":{"formattedCitation":"[9]","plainCitation":"[9]","noteIndex":0},"citationItems":[{"id":964,"uris":["http://zotero.org/users/6964448/items/YKWGUR43"],"itemData":{"id":964,"type":"article-journal","abstract":"Suicide is an important public health problem for which we have an inadequate public health database. In the United States, decisions about whether deaths are listed as suicides on death certificates are usually made by a coroner or medical examiner. These certification decisions are frequently marked by a lack of consistency and clarity, and laws and procedures for guiding these decisions vary from state to state and even from county to county. Without explicit criteria to aid in this decision making, coroners or medical examiners may be more susceptible to pressures from families or communities not to certify specific deaths as suicide. In addition, coroners or medical examiners may certify similar deaths differently at different times. The degree to which suicides may be underreported or misclassified is unknown. This makes it impossible to estimate accurately the number of deaths by suicide, to identify risk factors, or to plan and evaluate preventive interventions. To remedy these problems, a working group representing coroners, medical examiners, statisticians, and public health agencies developed operational criteria to assist in the determination of suicide. These criteria are based on a definition of suicide as \"death arising from an act inflicted upon oneself with the intent to kill oneself.\" The purpose of these criteria is to improve the validity and reliability of suicide statistics by: (1) promoting consistent and uniform classifications; (2) making the criteria for decision making in death certification explicit; (3) increasing the amount of information used in decision making; (4) aiding certifiers in exercising their professional judgment; and (5) establishing common standards of practice for the determination of suicide.","container-title":"Journal of Forensic Sciences","ISSN":"0022-1198","issue":"6","journalAbbreviation":"J Forensic Sci","language":"eng","note":"PMID: 3204347","page":"1445-1456","source":"PubMed","title":"Operational criteria for the determination of suicide","volume":"33","author":[{"family":"Rosenberg","given":"M. L."},{"family":"Davidson","given":"L. E."},{"family":"Smith","given":"J. C."},{"family":"Berman","given":"A. L."},{"family":"Buzbee","given":"H."},{"family":"Gantner","given":"G."},{"family":"Gay","given":"G. A."},{"family":"Moore-Lewis","given":"B."},{"family":"Mills","given":"D. H."},{"family":"Murray","given":"D."}],"issued":{"date-parts":[["1988",11]]},"citation-key":"rosenbergOperationalCriteriaDetermination1988b"},"label":"page"}],"schema":"https://github.com/citation-style-language/schema/raw/master/csl-citation.json"} </w:instrText>
      </w:r>
      <w:r w:rsidRPr="0051711A">
        <w:rPr>
          <w:rFonts w:ascii="Calibri" w:hAnsi="Calibri" w:cs="Calibri"/>
        </w:rPr>
        <w:fldChar w:fldCharType="separate"/>
      </w:r>
      <w:r w:rsidRPr="0051711A">
        <w:rPr>
          <w:rFonts w:ascii="Calibri" w:hAnsi="Calibri" w:cs="Calibri"/>
        </w:rPr>
        <w:t>[9]</w:t>
      </w:r>
      <w:r w:rsidRPr="0051711A">
        <w:rPr>
          <w:rFonts w:ascii="Calibri" w:hAnsi="Calibri" w:cs="Calibri"/>
        </w:rPr>
        <w:fldChar w:fldCharType="end"/>
      </w:r>
      <w:r w:rsidR="004C6BC8" w:rsidRPr="0051711A">
        <w:rPr>
          <w:rFonts w:ascii="Calibri" w:hAnsi="Calibri" w:cs="Calibri"/>
        </w:rPr>
        <w:t>)</w:t>
      </w:r>
      <w:r w:rsidRPr="0051711A">
        <w:rPr>
          <w:rFonts w:ascii="Calibri" w:hAnsi="Calibri" w:cs="Calibri"/>
        </w:rPr>
        <w:t xml:space="preserve">. Recording a suicide </w:t>
      </w:r>
      <w:r w:rsidR="002B2A76" w:rsidRPr="0051711A">
        <w:rPr>
          <w:rFonts w:ascii="Calibri" w:hAnsi="Calibri" w:cs="Calibri"/>
        </w:rPr>
        <w:t>manner of death</w:t>
      </w:r>
      <w:r w:rsidRPr="0051711A">
        <w:rPr>
          <w:rFonts w:ascii="Calibri" w:hAnsi="Calibri" w:cs="Calibri"/>
        </w:rPr>
        <w:t xml:space="preserve"> requires concrete evidence </w:t>
      </w:r>
      <w:r w:rsidRPr="0051711A">
        <w:rPr>
          <w:rFonts w:ascii="Calibri" w:hAnsi="Calibri" w:cs="Calibri"/>
        </w:rPr>
        <w:fldChar w:fldCharType="begin"/>
      </w:r>
      <w:r w:rsidR="002528B8">
        <w:rPr>
          <w:rFonts w:ascii="Calibri" w:hAnsi="Calibri" w:cs="Calibri"/>
        </w:rPr>
        <w:instrText xml:space="preserve"> ADDIN ZOTERO_ITEM CSL_CITATION {"citationID":"ZkxJodC3","properties":{"formattedCitation":"[4, 10]","plainCitation":"[4, 10]","noteIndex":0},"citationItems":[{"id":"vqpzzZhy/55UawbS9","uris":["http://zotero.org/users/6964448/items/VXSX4W7H"],"itemData":{"id":837,"type":"article-journal","container-title":"Social Psychiatry and Psychiatric Epidemiology","DOI":"10.1007/s00127-015-1119-x","ISSN":"0933-7954, 1433-9285","issue":"1","journalAbbreviation":"Soc Psychiatry Psychiatr Epidemiol","language":"en","page":"115-123","source":"DOI.org (Crossref)","title":"The accuracy of suicide statistics: are true suicide deaths misclassified?","title-short":"The accuracy of suicide statistics","volume":"51","author":[{"family":"Bakst","given":"Shelly S."},{"family":"Braun","given":"Tali"},{"family":"Zucker","given":"Inbar"},{"family":"Amitai","given":"Ziva"},{"family":"Shohat","given":"Tamy"}],"issued":{"date-parts":[["2016",1]]},"citation-key":"bakstAccuracySuicideStatistics2016b"},"label":"page"},{"id":961,"uris":["http://zotero.org/users/6964448/items/VP9WZWTJ"],"itemData":{"id":961,"type":"article-journal","abstract":"Background\n              Open verdicts are often included in with suicides for research purposes and for setting health targets.\n            \n            \n              Aims\n              To examine similarities and differences in cases defined by the coroner as suicide and open verdicts and the implications of open verdicts for suicide research.\n            \n            \n              Method\n              All cases of open and suicide verdicts recorded in the Newcastle Coroner's Court in the period 1985–1994 were compared on demographic and medical parameters.\n            \n            \n              Results\n              Open and suicide verdicts had many similarities, differing only in some respects, of which logistic regression identified the most significant to be a suicide note, method used and age.\n            \n            \n              Conclusions\n              Open verdicts should be included in all suicide research after excluding cases in which suicide was unlikely. Objective criteria are needed to facilitate comparison between different studies.","container-title":"British Journal of Psychiatry","DOI":"10.1192/bjp.178.5.465","ISSN":"0007-1250, 1472-1465","issue":"5","journalAbbreviation":"Br J Psychiatry","language":"en","page":"465-468","source":"DOI.org (Crossref)","title":"Open verdict v. suicide – importance to research","volume":"178","author":[{"family":"Linsley","given":"K. R."},{"family":"Schapira","given":"Kurt"},{"family":"Kelly","given":"T. P."}],"issued":{"date-parts":[["2001",5]]},"citation-key":"linsleyOpenVerdictSuicide2001a"},"label":"page"}],"schema":"https://github.com/citation-style-language/schema/raw/master/csl-citation.json"} </w:instrText>
      </w:r>
      <w:r w:rsidRPr="0051711A">
        <w:rPr>
          <w:rFonts w:ascii="Calibri" w:hAnsi="Calibri" w:cs="Calibri"/>
        </w:rPr>
        <w:fldChar w:fldCharType="separate"/>
      </w:r>
      <w:r w:rsidR="002B2A76" w:rsidRPr="0051711A">
        <w:rPr>
          <w:rFonts w:ascii="Calibri" w:hAnsi="Calibri" w:cs="Calibri"/>
        </w:rPr>
        <w:t>[4, 10]</w:t>
      </w:r>
      <w:r w:rsidRPr="0051711A">
        <w:rPr>
          <w:rFonts w:ascii="Calibri" w:hAnsi="Calibri" w:cs="Calibri"/>
        </w:rPr>
        <w:fldChar w:fldCharType="end"/>
      </w:r>
      <w:r w:rsidR="00410BBD" w:rsidRPr="0051711A">
        <w:rPr>
          <w:rFonts w:ascii="Calibri" w:hAnsi="Calibri" w:cs="Calibri"/>
        </w:rPr>
        <w:t xml:space="preserve">, which </w:t>
      </w:r>
      <w:r w:rsidRPr="0051711A">
        <w:rPr>
          <w:rFonts w:ascii="Calibri" w:hAnsi="Calibri" w:cs="Calibri"/>
        </w:rPr>
        <w:t>can be difficult to establish for certain methods of suicide, for instance, poisoning</w:t>
      </w:r>
      <w:r w:rsidR="00474C60" w:rsidRPr="0051711A">
        <w:rPr>
          <w:rFonts w:ascii="Calibri" w:hAnsi="Calibri" w:cs="Calibri"/>
        </w:rPr>
        <w:t xml:space="preserve">, </w:t>
      </w:r>
      <w:r w:rsidRPr="0051711A">
        <w:rPr>
          <w:rFonts w:ascii="Calibri" w:hAnsi="Calibri" w:cs="Calibri"/>
        </w:rPr>
        <w:t xml:space="preserve">prone to higher misclassification </w:t>
      </w:r>
      <w:r w:rsidRPr="0051711A">
        <w:rPr>
          <w:rFonts w:ascii="Calibri" w:hAnsi="Calibri" w:cs="Calibri"/>
        </w:rPr>
        <w:fldChar w:fldCharType="begin"/>
      </w:r>
      <w:r w:rsidR="002B2A76" w:rsidRPr="0051711A">
        <w:rPr>
          <w:rFonts w:ascii="Calibri" w:hAnsi="Calibri" w:cs="Calibri"/>
        </w:rPr>
        <w:instrText xml:space="preserve"> ADDIN ZOTERO_ITEM CSL_CITATION {"citationID":"FnkVvuSF","properties":{"formattedCitation":"[11, 12]","plainCitation":"[11, 12]","noteIndex":0},"citationItems":[{"id":955,"uris":["http://zotero.org/users/6964448/items/D6M2HS3V"],"itemData":{"id":955,"type":"article-journal","abstract":"International misclassification of suicide, particularly undercounting, has long been a scientific concern. An important question is whether official national suicide data are sufficiently reliable and valid to justify their use in international comparative studies or longitudinal intervention studies. Is cross-national variation in rates of suicide, in part or whole, an artifact of such factors as medicolegal ascertainment practices and procedures, legal prohibitions, and sociocultural condemnation? In a revisitation and update of a conference paper, this essay addresses the process of suicide case ascertainment, known sources of suicide misclassification, and explores approaches for assessing misclassification and potential misclassification. Validity of suicide certification, particularly sensitivity, appears more problematic than reliability for users of international suicide data. However, a poisoning pandemic and declining autopsy rates may be depressing data reliability as well as sensitivity. An important question is whether official national suicide data are sufficiently reliable and valid to justify their use in international comparative studies or longitudinal intervention studies. Is cross-national variation in rates of suicide, in part or whole, an artifact of such factors as medicolegal ascertainment practices and procedures, legal prohibitions, and sociocultural condemnation? In a revisitation and update of a conference paper *</w:instrText>
      </w:r>
      <w:r w:rsidR="002B2A76" w:rsidRPr="0051711A">
        <w:rPr>
          <w:rFonts w:ascii="Calibri" w:hAnsi="Calibri" w:cs="Calibri"/>
        </w:rPr>
        <w:instrText xml:space="preserve">","container-title":"Suicidology Online","journalAbbreviation":"Suicidology Online","page":"48-61","source":"ResearchGate","title":"Suicide Misclassification in an International Context: Revisitation and Update","title-short":"Suicide Misclassification in an International Context","volume":"2","author":[{"family":"Rockett","given":"Ian R H"},{"family":"Kapusta","given":"Nestor"},{"family":"Bhandari","given":"Ruchi"}],"issued":{"date-parts":[["2011",9,25]]},"citation-key":"rockett2011"}},{"id":831,"uris":["http://zotero.org/users/6964448/items/TW4VETIZ"],"itemData":{"id":831,"type":"article-journal","container-title":"JAMA Psychiatry","DOI":"10.1001/jamapsychiatry.2013.3738","ISSN":"2168-622X","issue":"3","journalAbbreviation":"JAMA Psychiatry","language":"en","page":"231","source":"DOI.org (Crossref)","title":"Beyond Suicide: Action Needed to Improve Self-injury Mortality Accounting","title-short":"Beyond Suicide","volume":"71","author":[{"family":"Rockett","given":"Ian R H"},{"family":"Kapusta","given":"Nestor D."},{"family":"Coben","given":"Jeffrey H."}],"issued":{"date-parts":[["2014",3,1]]},"citation-key":"rockett2014b"},"label":"page"}],"schema":"https://github.com/citation-style-language/schema/raw/master/csl-citation.json"} </w:instrText>
      </w:r>
      <w:r w:rsidRPr="0051711A">
        <w:rPr>
          <w:rFonts w:ascii="Calibri" w:hAnsi="Calibri" w:cs="Calibri"/>
        </w:rPr>
        <w:fldChar w:fldCharType="separate"/>
      </w:r>
      <w:r w:rsidR="002B2A76" w:rsidRPr="0051711A">
        <w:rPr>
          <w:rFonts w:ascii="Calibri" w:hAnsi="Calibri" w:cs="Calibri"/>
        </w:rPr>
        <w:t>[11, 12]</w:t>
      </w:r>
      <w:r w:rsidRPr="0051711A">
        <w:rPr>
          <w:rFonts w:ascii="Calibri" w:hAnsi="Calibri" w:cs="Calibri"/>
        </w:rPr>
        <w:fldChar w:fldCharType="end"/>
      </w:r>
      <w:r w:rsidRPr="0051711A">
        <w:rPr>
          <w:rFonts w:ascii="Calibri" w:hAnsi="Calibri" w:cs="Calibri"/>
        </w:rPr>
        <w:t xml:space="preserve">. For instance, the contemporary drug overdose epidemic has led to difficulties in determining the intent (intentional or unintentional) behind overdose deaths </w:t>
      </w:r>
      <w:r w:rsidRPr="0051711A">
        <w:rPr>
          <w:rFonts w:ascii="Calibri" w:hAnsi="Calibri" w:cs="Calibri"/>
        </w:rPr>
        <w:fldChar w:fldCharType="begin"/>
      </w:r>
      <w:r w:rsidRPr="0051711A">
        <w:rPr>
          <w:rFonts w:ascii="Calibri" w:hAnsi="Calibri" w:cs="Calibri"/>
        </w:rPr>
        <w:instrText xml:space="preserve"> ADDIN ZOTERO_ITEM CSL_CITATION {"citationID":"Zd63gS2A","properties":{"formattedCitation":"[2]","plainCitation":"[2]","noteIndex":0},"citationItems":[{"id":979,"uris":["http://zotero.org/users/6964448/items/EX52C93H"],"itemData":{"id":979,"type":"article-journal","abstract":"Suicide is a major public health concern in the United States. Between 2000 and 2018, US suicide rates increased by 35%, contributing to the stagnation and subsequent decrease in US life expectancy. During 2019, suicide declined modestly, mostly owing to slight reductions in suicides among Whites. Suicide rates, however, continued to increase or remained stable among all other racial/ethnic groups, and little is known about recent suicide trends among other vulnerable groups. This article (a) summarizes US suicide mortality trends over the twentieth and early twenty-first centuries, (b) reviews potential group-level causes of increased suicide risk among subpopulations characterized by markers of vulnerability to suicide, and (c) advocates for combining recent advances in population-based suicide prevention with a socially conscious perspective that captures the social, economic, and political contexts in which suicide risk unfolds over the life course of vulnerable individuals.","container-title":"Annual Review of Public Health","DOI":"10.1146/annurev-publhealth-051920-123206","issue":"1","note":"_eprint: https://doi.org/10.1146/annurev-publhealth-051920-123206\nPMID: 34705474","page":"99-116","source":"Annual Reviews","title":"The Recent Rise of Suicide Mortality in the United States","volume":"43","author":[{"family":"Martínez-Alés","given":"Gonzalo"},{"family":"Jiang","given":"Tammy"},{"family":"Keyes","given":"Katherine M."},{"family":"Gradus","given":"Jaimie L."}],"issued":{"date-parts":[["2022"]]},"citation-key":"martinez-alesRecentRiseSuicide2022a"}}],"schema":"https://github.com/citation-style-language/schema/raw/master/csl-citation.json"} </w:instrText>
      </w:r>
      <w:r w:rsidRPr="0051711A">
        <w:rPr>
          <w:rFonts w:ascii="Calibri" w:hAnsi="Calibri" w:cs="Calibri"/>
        </w:rPr>
        <w:fldChar w:fldCharType="separate"/>
      </w:r>
      <w:r w:rsidRPr="0051711A">
        <w:rPr>
          <w:rFonts w:ascii="Calibri" w:hAnsi="Calibri" w:cs="Calibri"/>
        </w:rPr>
        <w:t>[2]</w:t>
      </w:r>
      <w:r w:rsidRPr="0051711A">
        <w:rPr>
          <w:rFonts w:ascii="Calibri" w:hAnsi="Calibri" w:cs="Calibri"/>
        </w:rPr>
        <w:fldChar w:fldCharType="end"/>
      </w:r>
      <w:r w:rsidRPr="0051711A">
        <w:rPr>
          <w:rFonts w:ascii="Calibri" w:hAnsi="Calibri" w:cs="Calibri"/>
        </w:rPr>
        <w:t xml:space="preserve">. </w:t>
      </w:r>
    </w:p>
    <w:p w14:paraId="02BFF5B3" w14:textId="0BFE138C" w:rsidR="00AD4439" w:rsidRPr="00AD4439" w:rsidRDefault="00AD4439" w:rsidP="004B0F14">
      <w:pPr>
        <w:spacing w:line="360" w:lineRule="auto"/>
        <w:rPr>
          <w:rFonts w:ascii="Calibri" w:hAnsi="Calibri" w:cs="Calibri"/>
        </w:rPr>
      </w:pPr>
      <w:r w:rsidRPr="0051711A">
        <w:rPr>
          <w:rFonts w:ascii="Calibri" w:hAnsi="Calibri" w:cs="Calibri"/>
        </w:rPr>
        <w:t>The UC by itself does not record the circumstances that would lead to the</w:t>
      </w:r>
      <w:r w:rsidRPr="00AD4439">
        <w:rPr>
          <w:rFonts w:ascii="Calibri" w:hAnsi="Calibri" w:cs="Calibri"/>
        </w:rPr>
        <w:t xml:space="preserve"> death</w:t>
      </w:r>
      <w:r w:rsidR="001867C2">
        <w:rPr>
          <w:rFonts w:ascii="Calibri" w:hAnsi="Calibri" w:cs="Calibri"/>
        </w:rPr>
        <w:t xml:space="preserve"> </w:t>
      </w:r>
      <w:r w:rsidR="001867C2">
        <w:rPr>
          <w:rFonts w:ascii="Calibri" w:hAnsi="Calibri" w:cs="Calibri"/>
        </w:rPr>
        <w:fldChar w:fldCharType="begin"/>
      </w:r>
      <w:r w:rsidR="002528B8">
        <w:rPr>
          <w:rFonts w:ascii="Calibri" w:hAnsi="Calibri" w:cs="Calibri"/>
        </w:rPr>
        <w:instrText xml:space="preserve"> ADDIN ZOTERO_ITEM CSL_CITATION {"citationID":"ZHo8M44g","properties":{"formattedCitation":"[4]","plainCitation":"[4]","noteIndex":0},"citationItems":[{"id":"vqpzzZhy/55UawbS9","uris":["http://zotero.org/users/6964448/items/VXSX4W7H"],"itemData":{"id":"cn2E7Vmv/wUcqsmir","type":"article-journal","container-title":"Social Psychiatry and Psychiatric Epidemiology","DOI":"10.1007/s00127-015-1119-x","ISSN":"0933-7954, 1433-9285","issue":"1","journalAbbreviation":"Soc Psychiatry Psychiatr Epidemiol","language":"en","page":"115-123","source":"DOI.org (Crossref)","title":"The accuracy of suicide statistics: are true suicide deaths misclassified?","title-short":"The accuracy of suicide statistics","volume":"51","author":[{"family":"Bakst","given":"Shelly S."},{"family":"Braun","given":"Tali"},{"family":"Zucker","given":"Inbar"},{"family":"Amitai","given":"Ziva"},{"family":"Shohat","given":"Tamy"}],"issued":{"date-parts":[["2016",1]]},"citation-key":"bakstAccuracySuicideStatistics2016b"}}],"schema":"https://github.com/citation-style-language/schema/raw/master/csl-citation.json"} </w:instrText>
      </w:r>
      <w:r w:rsidR="001867C2">
        <w:rPr>
          <w:rFonts w:ascii="Calibri" w:hAnsi="Calibri" w:cs="Calibri"/>
        </w:rPr>
        <w:fldChar w:fldCharType="separate"/>
      </w:r>
      <w:r w:rsidR="001867C2" w:rsidRPr="001867C2">
        <w:rPr>
          <w:rFonts w:ascii="Calibri" w:hAnsi="Calibri" w:cs="Calibri"/>
        </w:rPr>
        <w:t>[4]</w:t>
      </w:r>
      <w:r w:rsidR="001867C2">
        <w:rPr>
          <w:rFonts w:ascii="Calibri" w:hAnsi="Calibri" w:cs="Calibri"/>
        </w:rPr>
        <w:fldChar w:fldCharType="end"/>
      </w:r>
      <w:r w:rsidRPr="00AD4439">
        <w:rPr>
          <w:rFonts w:ascii="Calibri" w:hAnsi="Calibri" w:cs="Calibri"/>
        </w:rPr>
        <w:t>. Thus, using all causes of death listed in death certificates can help to better understand multi-morbidities and circumstances associated with suicide deaths.</w:t>
      </w:r>
      <w:r w:rsidRPr="00AD4439">
        <w:rPr>
          <w:rFonts w:ascii="Calibri" w:hAnsi="Calibri" w:cs="Calibri"/>
          <w:color w:val="156082" w:themeColor="accent1"/>
        </w:rPr>
        <w:t xml:space="preserve"> </w:t>
      </w:r>
    </w:p>
    <w:p w14:paraId="4BF554F1" w14:textId="51B97670" w:rsidR="00E20860" w:rsidRDefault="00AD4439" w:rsidP="004B0F14">
      <w:pPr>
        <w:spacing w:line="360" w:lineRule="auto"/>
        <w:rPr>
          <w:rFonts w:ascii="Calibri" w:hAnsi="Calibri" w:cs="Calibri"/>
        </w:rPr>
      </w:pPr>
      <w:r w:rsidRPr="00AD4439">
        <w:rPr>
          <w:rFonts w:ascii="Calibri" w:hAnsi="Calibri" w:cs="Calibri"/>
        </w:rPr>
        <w:t>The use of Multiple Causes</w:t>
      </w:r>
      <w:r w:rsidR="00D03732">
        <w:rPr>
          <w:rFonts w:ascii="Calibri" w:hAnsi="Calibri" w:cs="Calibri"/>
        </w:rPr>
        <w:t xml:space="preserve"> </w:t>
      </w:r>
      <w:r w:rsidRPr="00AD4439">
        <w:rPr>
          <w:rFonts w:ascii="Calibri" w:hAnsi="Calibri" w:cs="Calibri"/>
        </w:rPr>
        <w:t xml:space="preserve">of Death (MCOD) in the study of suicide deaths has been relatively unexplored, both in terms of multi-morbidities associated with suicide and suicide as a contributing cause. However, </w:t>
      </w:r>
      <w:r w:rsidR="00B00EA4">
        <w:rPr>
          <w:rFonts w:ascii="Calibri" w:hAnsi="Calibri" w:cs="Calibri"/>
        </w:rPr>
        <w:t xml:space="preserve">while </w:t>
      </w:r>
      <w:r w:rsidRPr="00AD4439">
        <w:rPr>
          <w:rFonts w:ascii="Calibri" w:hAnsi="Calibri" w:cs="Calibri"/>
        </w:rPr>
        <w:t xml:space="preserve">suicide deaths, attempts, or behaviours among patients with a specific disease have extensively been studied </w:t>
      </w:r>
      <w:r w:rsidRPr="00AD4439">
        <w:rPr>
          <w:rFonts w:ascii="Calibri" w:hAnsi="Calibri" w:cs="Calibri"/>
        </w:rPr>
        <w:fldChar w:fldCharType="begin"/>
      </w:r>
      <w:r w:rsidR="001B696E">
        <w:rPr>
          <w:rFonts w:ascii="Calibri" w:hAnsi="Calibri" w:cs="Calibri"/>
        </w:rPr>
        <w:instrText xml:space="preserve"> ADDIN ZOTERO_ITEM CSL_CITATION {"citationID":"p9YyikMf","properties":{"formattedCitation":"[13\\uc0\\u8211{}15]","plainCitation":"[13–15]","noteIndex":0},"citationItems":[{"id":616,"uris":["http://zotero.org/users/6964448/items/7DR9PWVM"],"itemData":{"id":616,"type":"article-journal","abstract":"Background\nSuicide is the second leading cause of death for young people. Objective: To assess mental disorders as risk factors for suicidal behaviour among adolescents and young adults including population-based longitudinal studies.\nMethod\nWe conducted a systematic literature review. Bibliographic searches undertaken in five international databases and grey literature sources until January 2017 yielded a total of 26,883 potential papers. 1701 full-text articles were assessed for eligibility of which 1677 were excluded because they did not meet our eligibility criteria. Separate meta-analyses were conducted for each outcome (suicide death and suicide attempts). Odds ratio (OR) and 95% confidence intervals (95%CI) and beta coefficients and standard errors were calculated.\nResults\n24 studies were finally included involving 25,354 participants (12–26 years). The presence of any mental disorder was associated with higher risk of suicide death (OR = 10.83, 95%CI = 4.69–25.00) and suicide attempt (OR = 3.56; 95%CI 2.24–5.67). When considering suicidal attempt as the outcome, only affective disorders (OR = 1.54; 95%CI = 1.21–1.96) were significant. Finally, the results revealed that psychiatric comorbidity was a primary risk factor for suicide attempts.\nLimitations\nData were obtained from studies with heterogeneous diagnostic assessments of mental disorders. Nine case-control studies were included and some data were collected in students, not in general population.\nConclusions\nMental disorders and comorbidity are strong predictors of suicide behaviour in young people. Detection and management of the affective disorders as well as their psychiatric comorbidity could be a crucial strategy to prevent suicidality in this age group.","container-title":"Journal of Affective Disorders","DOI":"10.1016/j.jad.2018.10.115","ISSN":"0165-0327","journalAbbreviation":"Journal of Affective Disorders","language":"en","page":"152-162","source":"ScienceDirect","title":"Mental disorders as risk factors for suicidal behavior in young people: A meta-analysis and systematic review of longitudinal studies","title-short":"Mental disorders as risk factors for suicidal behavior in young people","volume":"245","author":[{"family":"Gili","given":"Margalida"},{"family":"Castellví","given":"Pere"},{"family":"Vives","given":"Margalida"},{"family":"Torre-Luque","given":"Alejandro","non-dropping-particle":"de la"},{"family":"Almenara","given":"José"},{"family":"Blasco","given":"Maria J"},{"family":"Cebrià","given":"Ana I"},{"family":"Gabilondo","given":"Andrea"},{"family":"Pérez-Ara","given":"Mª Angeles"},{"family":"A","given":"Miranda-Mendizábal"},{"family":"Lagares","given":"Carolina"},{"family":"Parés-Badell","given":"Oleguer"},{"family":"Piqueras","given":"José A"},{"family":"Rodríguez-Jiménez","given":"Tiscar"},{"family":"Rodríguez-Marín","given":"Jesús"},{"family":"Soto-Sanz","given":"Victoria"},{"family":"Alonso","given":"Jordi"},{"family":"Roca","given":"Miquel"}],"issued":{"date-parts":[["2019",2,15]]},"citation-key":"giliMentalDisordersRisk2019"}},{"id":969,"uris":["http://zotero.org/users/6964448/items/KEHUMNQL"],"itemData":{"id":969,"type":"article-journal","container-title":"American Journal of Psychiatry","DOI":"10.1176/appi.ajp.160.8.1494","ISSN":"0002-953X, 1535-7228","issue":"8","journalAbbreviation":"AJP","language":"en","page":"1494-1500","source":"DOI.org (Crossref)","title":"Comorbidity of Axis I and Axis II Disorders in Patients Who Attempted Suicide","volume":"160","author":[{"family":"Hawton","given":"Keith"},{"family":"Houston","given":"Kelly"},{"family":"Haw","given":"Camilla"},{"family":"Townsend","given":"Ellen"},{"family":"Harriss","given":"Louise"}],"issued":{"date-parts":[["2003",8]]},"citation-key":"hawtonComorbidityAxisAxis2003a"},"label":"page"},{"id":966,"uris":["http://zotero.org/users/6964448/items/PC6X6DD2"],"itemData":{"id":966,"type":"article-journal","container-title":"Neuropsychiatric Disease and Treatment","DOI":"10.2147/NDT.S8467","ISSN":"1176-6328","journalAbbreviation":"NDT","language":"en","page":"81","source":"DOI.org (Crossref)","title":"Psychiatric comorbidity and suicide risk in patients with chronic migraine","author":[{"family":"Pompili","given":"Maurizio"}],"issued":{"date-parts":[["2010",4]]},"citation-key":"pompiliPsychiatricComorbiditySuicide2010a"},"label":"page"}],"schema":"https://github.com/citation-style-language/schema/raw/master/csl-citation.json"} </w:instrText>
      </w:r>
      <w:r w:rsidRPr="00AD4439">
        <w:rPr>
          <w:rFonts w:ascii="Calibri" w:hAnsi="Calibri" w:cs="Calibri"/>
        </w:rPr>
        <w:fldChar w:fldCharType="separate"/>
      </w:r>
      <w:r w:rsidR="001B696E" w:rsidRPr="001B696E">
        <w:rPr>
          <w:rFonts w:ascii="Calibri" w:hAnsi="Calibri" w:cs="Calibri"/>
        </w:rPr>
        <w:t>[13–15]</w:t>
      </w:r>
      <w:r w:rsidRPr="00AD4439">
        <w:rPr>
          <w:rFonts w:ascii="Calibri" w:hAnsi="Calibri" w:cs="Calibri"/>
        </w:rPr>
        <w:fldChar w:fldCharType="end"/>
      </w:r>
      <w:r w:rsidR="00B00EA4">
        <w:rPr>
          <w:rFonts w:ascii="Calibri" w:hAnsi="Calibri" w:cs="Calibri"/>
        </w:rPr>
        <w:t>, population-level assessments are</w:t>
      </w:r>
      <w:r w:rsidR="007B6742">
        <w:rPr>
          <w:rFonts w:ascii="Calibri" w:hAnsi="Calibri" w:cs="Calibri"/>
        </w:rPr>
        <w:t xml:space="preserve"> limited</w:t>
      </w:r>
      <w:r w:rsidRPr="00AD4439">
        <w:rPr>
          <w:rFonts w:ascii="Calibri" w:hAnsi="Calibri" w:cs="Calibri"/>
        </w:rPr>
        <w:t xml:space="preserve">. An analysis of MCOD in suicides has been performed by </w:t>
      </w:r>
      <w:r w:rsidRPr="00AD4439">
        <w:rPr>
          <w:rFonts w:ascii="Calibri" w:hAnsi="Calibri" w:cs="Calibri"/>
        </w:rPr>
        <w:fldChar w:fldCharType="begin"/>
      </w:r>
      <w:r w:rsidRPr="00AD4439">
        <w:rPr>
          <w:rFonts w:ascii="Calibri" w:hAnsi="Calibri" w:cs="Calibri"/>
        </w:rPr>
        <w:instrText xml:space="preserve"> ADDIN ZOTERO_ITEM CSL_CITATION {"citationID":"oW8PIvLK","properties":{"formattedCitation":"(Ruzicka et al., 2005)","plainCitation":"(Ruzicka et al., 2005)","dontUpdate":true,"noteIndex":0},"citationItems":[{"id":987,"uris":["http://zotero.org/users/6964448/items/7NM8SFW7"],"itemData":{"id":987,"type":"article-journal","container-title":"Social Science &amp; Medicine","DOI":"10.1016/j.socscimed.2004.12.005","ISSN":"02779536","issue":"2","journalAbbreviation":"Social Science &amp; Medicine","language":"en","page":"333-341","source":"DOI.org (Crossref)","title":"Medical disorders of suicides in Australia: analysis using a multiple-cause-of-death approach","title-short":"Medical disorders of suicides in Australia","volume":"61","author":[{"family":"Ruzicka","given":"Lado T."},{"family":"Choi","given":"Ching Y."},{"family":"Sadkowsky","given":"Krys"}],"issued":{"date-parts":[["2005",7]]},"citation-key":"ruzickaMedicalDisordersSuicides2005a"}}],"schema":"https://github.com/citation-style-language/schema/raw/master/csl-citation.json"} </w:instrText>
      </w:r>
      <w:r w:rsidRPr="00AD4439">
        <w:rPr>
          <w:rFonts w:ascii="Calibri" w:hAnsi="Calibri" w:cs="Calibri"/>
        </w:rPr>
        <w:fldChar w:fldCharType="separate"/>
      </w:r>
      <w:r w:rsidRPr="00AD4439">
        <w:rPr>
          <w:rFonts w:ascii="Calibri" w:hAnsi="Calibri" w:cs="Calibri"/>
        </w:rPr>
        <w:t>Ruzicka et al. (2005</w:t>
      </w:r>
      <w:r w:rsidRPr="00AD4439">
        <w:rPr>
          <w:rFonts w:ascii="Calibri" w:hAnsi="Calibri" w:cs="Calibri"/>
        </w:rPr>
        <w:fldChar w:fldCharType="end"/>
      </w:r>
      <w:r w:rsidRPr="00AD4439">
        <w:rPr>
          <w:rFonts w:ascii="Calibri" w:hAnsi="Calibri" w:cs="Calibri"/>
        </w:rPr>
        <w:t>) by using disorders registered in Australian death certificates to estimate health impairments associated with suicide</w:t>
      </w:r>
      <w:r w:rsidR="002950F3">
        <w:rPr>
          <w:rFonts w:ascii="Calibri" w:hAnsi="Calibri" w:cs="Calibri"/>
        </w:rPr>
        <w:t>s</w:t>
      </w:r>
      <w:r w:rsidRPr="00AD4439">
        <w:rPr>
          <w:rFonts w:ascii="Calibri" w:hAnsi="Calibri" w:cs="Calibri"/>
        </w:rPr>
        <w:t xml:space="preserve"> </w:t>
      </w:r>
      <w:r w:rsidRPr="00AD4439">
        <w:rPr>
          <w:rFonts w:ascii="Calibri" w:hAnsi="Calibri" w:cs="Calibri"/>
        </w:rPr>
        <w:fldChar w:fldCharType="begin"/>
      </w:r>
      <w:r w:rsidRPr="00AD4439">
        <w:rPr>
          <w:rFonts w:ascii="Calibri" w:hAnsi="Calibri" w:cs="Calibri"/>
        </w:rPr>
        <w:instrText xml:space="preserve"> ADDIN ZOTERO_ITEM CSL_CITATION {"citationID":"7ntZ8Ue7","properties":{"formattedCitation":"[22]","plainCitation":"[22]","dontUpdate":true,"noteIndex":0},"citationItems":[{"id":987,"uris":["http://zotero.org/users/6964448/items/7NM8SFW7"],"itemData":{"id":987,"type":"article-journal","container-title":"Social Science &amp; Medicine","DOI":"10.1016/j.socscimed.2004.12.005","ISSN":"02779536","issue":"2","journalAbbreviation":"Social Science &amp; Medicine","language":"en","page":"333-341","source":"DOI.org (Crossref)","title":"Medical disorders of suicides in Australia: analysis using a multiple-cause-of-death approach","title-short":"Medical disorders of suicides in Australia","volume":"61","author":[{"family":"Ruzicka","given":"Lado T."},{"family":"Choi","given":"Ching Y."},{"family":"Sadkowsky","given":"Krys"}],"issued":{"date-parts":[["2005",7]]},"citation-key":"ruzickaMedicalDisordersSuicides2005a"}}],"schema":"https://github.com/citation-style-language/schema/raw/master/csl-citation.json"} </w:instrText>
      </w:r>
      <w:r w:rsidRPr="00AD4439">
        <w:rPr>
          <w:rFonts w:ascii="Calibri" w:hAnsi="Calibri" w:cs="Calibri"/>
        </w:rPr>
        <w:fldChar w:fldCharType="end"/>
      </w:r>
      <w:r w:rsidR="009F0838">
        <w:rPr>
          <w:rFonts w:ascii="Calibri" w:hAnsi="Calibri" w:cs="Calibri"/>
        </w:rPr>
        <w:fldChar w:fldCharType="begin"/>
      </w:r>
      <w:r w:rsidR="009F0838">
        <w:rPr>
          <w:rFonts w:ascii="Calibri" w:hAnsi="Calibri" w:cs="Calibri"/>
        </w:rPr>
        <w:instrText xml:space="preserve"> ADDIN ZOTERO_ITEM CSL_CITATION {"citationID":"Ejf7WYoo","properties":{"formattedCitation":"[16]","plainCitation":"[16]","noteIndex":0},"citationItems":[{"id":987,"uris":["http://zotero.org/users/6964448/items/7NM8SFW7"],"itemData":{"id":987,"type":"article-journal","container-title":"Social Science &amp; Medicine","DOI":"10.1016/j.socscimed.2004.12.005","ISSN":"02779536","issue":"2","journalAbbreviation":"Social Science &amp; Medicine","language":"en","page":"333-341","source":"DOI.org (Crossref)","title":"Medical disorders of suicides in Australia: analysis using a multiple-cause-of-death approach","title-short":"Medical disorders of suicides in Australia","volume":"61","author":[{"family":"Ruzicka","given":"Lado T."},{"family":"Choi","given":"Ching Y."},{"family":"Sadkowsky","given":"Krys"}],"issued":{"date-parts":[["2005",7]]},"citation-key":"ruzickaMedicalDisordersSuicides2005a"}}],"schema":"https://github.com/citation-style-language/schema/raw/master/csl-citation.json"} </w:instrText>
      </w:r>
      <w:r w:rsidR="009F0838">
        <w:rPr>
          <w:rFonts w:ascii="Calibri" w:hAnsi="Calibri" w:cs="Calibri"/>
        </w:rPr>
        <w:fldChar w:fldCharType="separate"/>
      </w:r>
      <w:r w:rsidR="009F0838" w:rsidRPr="009F0838">
        <w:rPr>
          <w:rFonts w:ascii="Calibri" w:hAnsi="Calibri" w:cs="Calibri"/>
        </w:rPr>
        <w:t>[16]</w:t>
      </w:r>
      <w:r w:rsidR="009F0838">
        <w:rPr>
          <w:rFonts w:ascii="Calibri" w:hAnsi="Calibri" w:cs="Calibri"/>
        </w:rPr>
        <w:fldChar w:fldCharType="end"/>
      </w:r>
      <w:r w:rsidRPr="00AD4439">
        <w:rPr>
          <w:rFonts w:ascii="Calibri" w:hAnsi="Calibri" w:cs="Calibri"/>
        </w:rPr>
        <w:t xml:space="preserve">. Results showed that besides mental illnesses and disorders, HIV </w:t>
      </w:r>
      <w:r w:rsidRPr="00AD4439">
        <w:rPr>
          <w:rFonts w:ascii="Calibri" w:hAnsi="Calibri" w:cs="Calibri"/>
        </w:rPr>
        <w:lastRenderedPageBreak/>
        <w:t xml:space="preserve">and cancer were the most probable conditions differentiating suicide from unintentional injury morbidities </w:t>
      </w:r>
      <w:r w:rsidRPr="00AD4439">
        <w:rPr>
          <w:rFonts w:ascii="Calibri" w:hAnsi="Calibri" w:cs="Calibri"/>
        </w:rPr>
        <w:fldChar w:fldCharType="begin"/>
      </w:r>
      <w:r w:rsidR="001B696E">
        <w:rPr>
          <w:rFonts w:ascii="Calibri" w:hAnsi="Calibri" w:cs="Calibri"/>
        </w:rPr>
        <w:instrText xml:space="preserve"> ADDIN ZOTERO_ITEM CSL_CITATION {"citationID":"88tQsCuk","properties":{"formattedCitation":"[16]","plainCitation":"[16]","noteIndex":0},"citationItems":[{"id":987,"uris":["http://zotero.org/users/6964448/items/7NM8SFW7"],"itemData":{"id":987,"type":"article-journal","container-title":"Social Science &amp; Medicine","DOI":"10.1016/j.socscimed.2004.12.005","ISSN":"02779536","issue":"2","journalAbbreviation":"Social Science &amp; Medicine","language":"en","page":"333-341","source":"DOI.org (Crossref)","title":"Medical disorders of suicides in Australia: analysis using a multiple-cause-of-death approach","title-short":"Medical disorders of suicides in Australia","volume":"61","author":[{"family":"Ruzicka","given":"Lado T."},{"family":"Choi","given":"Ching Y."},{"family":"Sadkowsky","given":"Krys"}],"issued":{"date-parts":[["2005",7]]},"citation-key":"ruzickaMedicalDisordersSuicides2005a"}}],"schema":"https://github.com/citation-style-language/schema/raw/master/csl-citation.json"} </w:instrText>
      </w:r>
      <w:r w:rsidRPr="00AD4439">
        <w:rPr>
          <w:rFonts w:ascii="Calibri" w:hAnsi="Calibri" w:cs="Calibri"/>
        </w:rPr>
        <w:fldChar w:fldCharType="separate"/>
      </w:r>
      <w:r w:rsidR="001B696E" w:rsidRPr="001B696E">
        <w:rPr>
          <w:rFonts w:ascii="Calibri" w:hAnsi="Calibri" w:cs="Calibri"/>
        </w:rPr>
        <w:t>[16]</w:t>
      </w:r>
      <w:r w:rsidRPr="00AD4439">
        <w:rPr>
          <w:rFonts w:ascii="Calibri" w:hAnsi="Calibri" w:cs="Calibri"/>
        </w:rPr>
        <w:fldChar w:fldCharType="end"/>
      </w:r>
      <w:r w:rsidRPr="00AD4439">
        <w:rPr>
          <w:rFonts w:ascii="Calibri" w:hAnsi="Calibri" w:cs="Calibri"/>
        </w:rPr>
        <w:t xml:space="preserve">. </w:t>
      </w:r>
      <w:r w:rsidR="009C2C9D">
        <w:rPr>
          <w:rFonts w:ascii="Calibri" w:hAnsi="Calibri" w:cs="Calibri"/>
        </w:rPr>
        <w:t xml:space="preserve">In </w:t>
      </w:r>
      <w:r w:rsidR="0034586D">
        <w:rPr>
          <w:rFonts w:ascii="Calibri" w:hAnsi="Calibri" w:cs="Calibri"/>
        </w:rPr>
        <w:t>a replication</w:t>
      </w:r>
      <w:r w:rsidR="009C2C9D">
        <w:rPr>
          <w:rFonts w:ascii="Calibri" w:hAnsi="Calibri" w:cs="Calibri"/>
        </w:rPr>
        <w:t xml:space="preserve"> using the </w:t>
      </w:r>
      <w:r w:rsidR="00457F83">
        <w:rPr>
          <w:rFonts w:ascii="Calibri" w:hAnsi="Calibri" w:cs="Calibri"/>
        </w:rPr>
        <w:t xml:space="preserve">US </w:t>
      </w:r>
      <w:r w:rsidR="009C2C9D">
        <w:rPr>
          <w:rFonts w:ascii="Calibri" w:hAnsi="Calibri" w:cs="Calibri"/>
        </w:rPr>
        <w:t xml:space="preserve">population, </w:t>
      </w:r>
      <w:r w:rsidRPr="00AD4439">
        <w:rPr>
          <w:rFonts w:ascii="Calibri" w:hAnsi="Calibri" w:cs="Calibri"/>
        </w:rPr>
        <w:fldChar w:fldCharType="begin"/>
      </w:r>
      <w:r w:rsidRPr="00AD4439">
        <w:rPr>
          <w:rFonts w:ascii="Calibri" w:hAnsi="Calibri" w:cs="Calibri"/>
        </w:rPr>
        <w:instrText xml:space="preserve"> ADDIN ZOTERO_ITEM CSL_CITATION {"citationID":"cuwuI5Df","properties":{"formattedCitation":"(Rockett et al., 2007)","plainCitation":"(Rockett et al., 2007)","dontUpdate":true,"noteIndex":0},"citationItems":[{"id":958,"uris":["http://zotero.org/users/6964448/items/U82PWQMM"],"itemData":{"id":958,"type":"article-journal","container-title":"Injury Prevention","DOI":"10.1136/ip.2007.015230","ISSN":"1353-8047","issue":"5","journalAbbreviation":"Injury Prevention","language":"en","page":"311-315","source":"DOI.org (Crossref)","title":"Suicide-associated comorbidity among US males and females: a multiple cause-of-death analysis","title-short":"Suicide-associated comorbidity among US males and females","volume":"13","author":[{"family":"Rockett","given":"Ian R. H."},{"family":"Wang","given":"S."},{"family":"Lian","given":"Y."},{"family":"Stack","given":"S."}],"issued":{"date-parts":[["2007",10,1]]},"citation-key":"rockettSuicideassociatedComorbidityUS2007a"}}],"schema":"https://github.com/citation-style-language/schema/raw/master/csl-citation.json"} </w:instrText>
      </w:r>
      <w:r w:rsidRPr="00AD4439">
        <w:rPr>
          <w:rFonts w:ascii="Calibri" w:hAnsi="Calibri" w:cs="Calibri"/>
        </w:rPr>
        <w:fldChar w:fldCharType="separate"/>
      </w:r>
      <w:r w:rsidRPr="00AD4439">
        <w:rPr>
          <w:rFonts w:ascii="Calibri" w:hAnsi="Calibri" w:cs="Calibri"/>
        </w:rPr>
        <w:t>Rockett et al. (2007</w:t>
      </w:r>
      <w:r w:rsidRPr="00AD4439">
        <w:rPr>
          <w:rFonts w:ascii="Calibri" w:hAnsi="Calibri" w:cs="Calibri"/>
        </w:rPr>
        <w:fldChar w:fldCharType="end"/>
      </w:r>
      <w:r w:rsidRPr="00AD4439">
        <w:rPr>
          <w:rFonts w:ascii="Calibri" w:hAnsi="Calibri" w:cs="Calibri"/>
        </w:rPr>
        <w:t xml:space="preserve">) </w:t>
      </w:r>
      <w:r w:rsidR="009C2C9D">
        <w:rPr>
          <w:rFonts w:ascii="Calibri" w:hAnsi="Calibri" w:cs="Calibri"/>
        </w:rPr>
        <w:t xml:space="preserve">found that </w:t>
      </w:r>
      <w:r w:rsidR="00F25144">
        <w:rPr>
          <w:rFonts w:ascii="Calibri" w:hAnsi="Calibri" w:cs="Calibri"/>
        </w:rPr>
        <w:t>females</w:t>
      </w:r>
      <w:r w:rsidR="009C2C9D" w:rsidRPr="00AD4439">
        <w:rPr>
          <w:rFonts w:ascii="Calibri" w:hAnsi="Calibri" w:cs="Calibri"/>
        </w:rPr>
        <w:t xml:space="preserve"> ha</w:t>
      </w:r>
      <w:r w:rsidR="00457F83">
        <w:rPr>
          <w:rFonts w:ascii="Calibri" w:hAnsi="Calibri" w:cs="Calibri"/>
        </w:rPr>
        <w:t>d</w:t>
      </w:r>
      <w:r w:rsidR="009C2C9D" w:rsidRPr="00AD4439">
        <w:rPr>
          <w:rFonts w:ascii="Calibri" w:hAnsi="Calibri" w:cs="Calibri"/>
        </w:rPr>
        <w:t xml:space="preserve"> more morbidities registered than males, the prevalence of physical comorbidity </w:t>
      </w:r>
      <w:r w:rsidR="00457F83">
        <w:rPr>
          <w:rFonts w:ascii="Calibri" w:hAnsi="Calibri" w:cs="Calibri"/>
        </w:rPr>
        <w:t>increased</w:t>
      </w:r>
      <w:r w:rsidR="009C2C9D" w:rsidRPr="00AD4439">
        <w:rPr>
          <w:rFonts w:ascii="Calibri" w:hAnsi="Calibri" w:cs="Calibri"/>
        </w:rPr>
        <w:t xml:space="preserve"> with age, and depression and mood disorders were considerably more frequently reported among suicide</w:t>
      </w:r>
      <w:r w:rsidR="00457F83">
        <w:rPr>
          <w:rFonts w:ascii="Calibri" w:hAnsi="Calibri" w:cs="Calibri"/>
        </w:rPr>
        <w:t xml:space="preserve">s </w:t>
      </w:r>
      <w:r w:rsidR="009C2C9D" w:rsidRPr="00AD4439">
        <w:rPr>
          <w:rFonts w:ascii="Calibri" w:hAnsi="Calibri" w:cs="Calibri"/>
        </w:rPr>
        <w:fldChar w:fldCharType="begin"/>
      </w:r>
      <w:r w:rsidR="001B696E">
        <w:rPr>
          <w:rFonts w:ascii="Calibri" w:hAnsi="Calibri" w:cs="Calibri"/>
        </w:rPr>
        <w:instrText xml:space="preserve"> ADDIN ZOTERO_ITEM CSL_CITATION {"citationID":"SEyz9Zeb","properties":{"formattedCitation":"[17]","plainCitation":"[17]","noteIndex":0},"citationItems":[{"id":958,"uris":["http://zotero.org/users/6964448/items/U82PWQMM"],"itemData":{"id":958,"type":"article-journal","container-title":"Injury Prevention","DOI":"10.1136/ip.2007.015230","ISSN":"1353-8047","issue":"5","journalAbbreviation":"Injury Prevention","language":"en","page":"311-315","source":"DOI.org (Crossref)","title":"Suicide-associated comorbidity among US males and females: a multiple cause-of-death analysis","title-short":"Suicide-associated comorbidity among US males and females","volume":"13","author":[{"family":"Rockett","given":"Ian R. H."},{"family":"Wang","given":"S."},{"family":"Lian","given":"Y."},{"family":"Stack","given":"S."}],"issued":{"date-parts":[["2007",10,1]]},"citation-key":"rockettSuicideassociatedComorbidityUS2007a"}}],"schema":"https://github.com/citation-style-language/schema/raw/master/csl-citation.json"} </w:instrText>
      </w:r>
      <w:r w:rsidR="009C2C9D" w:rsidRPr="00AD4439">
        <w:rPr>
          <w:rFonts w:ascii="Calibri" w:hAnsi="Calibri" w:cs="Calibri"/>
        </w:rPr>
        <w:fldChar w:fldCharType="separate"/>
      </w:r>
      <w:r w:rsidR="001B696E" w:rsidRPr="001B696E">
        <w:rPr>
          <w:rFonts w:ascii="Calibri" w:hAnsi="Calibri" w:cs="Calibri"/>
        </w:rPr>
        <w:t>[17]</w:t>
      </w:r>
      <w:r w:rsidR="009C2C9D" w:rsidRPr="00AD4439">
        <w:rPr>
          <w:rFonts w:ascii="Calibri" w:hAnsi="Calibri" w:cs="Calibri"/>
        </w:rPr>
        <w:fldChar w:fldCharType="end"/>
      </w:r>
      <w:r w:rsidR="009C2C9D">
        <w:rPr>
          <w:rFonts w:ascii="Calibri" w:hAnsi="Calibri" w:cs="Calibri"/>
        </w:rPr>
        <w:t>.</w:t>
      </w:r>
      <w:r w:rsidR="009C2C9D" w:rsidRPr="00AD4439" w:rsidDel="009C2C9D">
        <w:rPr>
          <w:rFonts w:ascii="Calibri" w:hAnsi="Calibri" w:cs="Calibri"/>
        </w:rPr>
        <w:t xml:space="preserve"> </w:t>
      </w:r>
      <w:r w:rsidRPr="00AD4439">
        <w:rPr>
          <w:rFonts w:ascii="Calibri" w:hAnsi="Calibri" w:cs="Calibri"/>
        </w:rPr>
        <w:t xml:space="preserve">Both studies used a comparative group of accidental deaths. Neither </w:t>
      </w:r>
      <w:r w:rsidRPr="001302CE">
        <w:rPr>
          <w:rFonts w:ascii="Calibri" w:hAnsi="Calibri" w:cs="Calibri"/>
        </w:rPr>
        <w:t xml:space="preserve">included </w:t>
      </w:r>
      <w:r w:rsidR="001302CE" w:rsidRPr="001302CE">
        <w:rPr>
          <w:rFonts w:ascii="Calibri" w:hAnsi="Calibri" w:cs="Calibri"/>
        </w:rPr>
        <w:t>injury, poisoning and other consequences of external causes</w:t>
      </w:r>
      <w:r w:rsidRPr="001302CE">
        <w:rPr>
          <w:rFonts w:ascii="Calibri" w:hAnsi="Calibri" w:cs="Calibri"/>
        </w:rPr>
        <w:t xml:space="preserve"> in their analyses</w:t>
      </w:r>
      <w:r w:rsidR="00F25144">
        <w:rPr>
          <w:rFonts w:ascii="Calibri" w:hAnsi="Calibri" w:cs="Calibri"/>
        </w:rPr>
        <w:t xml:space="preserve"> </w:t>
      </w:r>
      <w:r w:rsidRPr="00AD4439">
        <w:rPr>
          <w:rFonts w:ascii="Calibri" w:hAnsi="Calibri" w:cs="Calibri"/>
        </w:rPr>
        <w:t xml:space="preserve">(International Classification of Diseases </w:t>
      </w:r>
      <w:r w:rsidRPr="00A4517D">
        <w:rPr>
          <w:rFonts w:ascii="Calibri" w:hAnsi="Calibri" w:cs="Calibri"/>
        </w:rPr>
        <w:t>10</w:t>
      </w:r>
      <w:r w:rsidRPr="00A4517D">
        <w:rPr>
          <w:rFonts w:ascii="Calibri" w:hAnsi="Calibri" w:cs="Calibri"/>
          <w:vertAlign w:val="superscript"/>
        </w:rPr>
        <w:t>th</w:t>
      </w:r>
      <w:r w:rsidRPr="00A4517D">
        <w:rPr>
          <w:rFonts w:ascii="Calibri" w:hAnsi="Calibri" w:cs="Calibri"/>
        </w:rPr>
        <w:t xml:space="preserve"> revision codes</w:t>
      </w:r>
      <w:r w:rsidR="00786A32" w:rsidRPr="00A4517D">
        <w:rPr>
          <w:rFonts w:ascii="Calibri" w:hAnsi="Calibri" w:cs="Calibri"/>
        </w:rPr>
        <w:t xml:space="preserve"> [ICD</w:t>
      </w:r>
      <w:r w:rsidR="00E20860" w:rsidRPr="00A4517D">
        <w:rPr>
          <w:rFonts w:ascii="Calibri" w:hAnsi="Calibri" w:cs="Calibri"/>
        </w:rPr>
        <w:t>-10]</w:t>
      </w:r>
      <w:r w:rsidRPr="00A4517D">
        <w:rPr>
          <w:rFonts w:ascii="Calibri" w:hAnsi="Calibri" w:cs="Calibri"/>
        </w:rPr>
        <w:t xml:space="preserve"> from </w:t>
      </w:r>
      <w:r w:rsidR="00BF0CB4" w:rsidRPr="00A4517D">
        <w:rPr>
          <w:rFonts w:ascii="Calibri" w:hAnsi="Calibri" w:cs="Calibri"/>
        </w:rPr>
        <w:t>S</w:t>
      </w:r>
      <w:r w:rsidRPr="00A4517D">
        <w:rPr>
          <w:rFonts w:ascii="Calibri" w:hAnsi="Calibri" w:cs="Calibri"/>
        </w:rPr>
        <w:t xml:space="preserve">00 to </w:t>
      </w:r>
      <w:r w:rsidR="00384C01" w:rsidRPr="00A4517D">
        <w:rPr>
          <w:rFonts w:ascii="Calibri" w:hAnsi="Calibri" w:cs="Calibri"/>
        </w:rPr>
        <w:t>T98</w:t>
      </w:r>
      <w:r w:rsidRPr="00A4517D">
        <w:rPr>
          <w:rFonts w:ascii="Calibri" w:hAnsi="Calibri" w:cs="Calibri"/>
        </w:rPr>
        <w:t xml:space="preserve">) nor did they stratify the odds by sex and socio-demographic variables. </w:t>
      </w:r>
      <w:r w:rsidR="00C05812" w:rsidRPr="00A4517D">
        <w:rPr>
          <w:rFonts w:ascii="Calibri" w:hAnsi="Calibri" w:cs="Calibri"/>
        </w:rPr>
        <w:t>A</w:t>
      </w:r>
      <w:r w:rsidR="00241AA8">
        <w:rPr>
          <w:rFonts w:ascii="Calibri" w:hAnsi="Calibri" w:cs="Calibri"/>
        </w:rPr>
        <w:t xml:space="preserve">n </w:t>
      </w:r>
      <w:r w:rsidR="00C05812" w:rsidRPr="00A4517D">
        <w:rPr>
          <w:rFonts w:ascii="Calibri" w:hAnsi="Calibri" w:cs="Calibri"/>
        </w:rPr>
        <w:t xml:space="preserve">American replication </w:t>
      </w:r>
      <w:r w:rsidR="00B264FF" w:rsidRPr="00A4517D">
        <w:rPr>
          <w:rFonts w:ascii="Calibri" w:hAnsi="Calibri" w:cs="Calibri"/>
        </w:rPr>
        <w:t xml:space="preserve">using data from 1999 to 2003 </w:t>
      </w:r>
      <w:r w:rsidR="001452AB" w:rsidRPr="00A4517D">
        <w:rPr>
          <w:rFonts w:ascii="Calibri" w:hAnsi="Calibri" w:cs="Calibri"/>
        </w:rPr>
        <w:fldChar w:fldCharType="begin"/>
      </w:r>
      <w:r w:rsidR="001452AB" w:rsidRPr="00A4517D">
        <w:rPr>
          <w:rFonts w:ascii="Calibri" w:hAnsi="Calibri" w:cs="Calibri"/>
        </w:rPr>
        <w:instrText xml:space="preserve"> ADDIN ZOTERO_ITEM CSL_CITATION {"citationID":"eIpXwFki","properties":{"formattedCitation":"[18]","plainCitation":"[18]","noteIndex":0},"citationItems":[{"id":12,"uris":["http://zotero.org/users/6964448/items/6RKHSABT"],"itemData":{"id":12,"type":"article-journal","container-title":"BMC Psychiatry","DOI":"10.1186/1471-244X-9-10","ISSN":"1471-244X","issue":"1","journalAbbreviation":"BMC Psychiatry","language":"en","page":"10","source":"DOI.org (Crossref)","title":"Discrepant comorbidity between minority and white suicides: a national multiple cause-of-death analysis","title-short":"Discrepant comorbidity between minority and white suicides","volume":"9","author":[{"family":"Rockett","given":"Ian R H"},{"family":"Lian","given":"Yinjuan"},{"family":"Stack","given":"Steven"},{"family":"Ducatman","given":"Alan M"},{"family":"Wang","given":"Shuhui"}],"issued":{"date-parts":[["2009",12]]},"citation-key":"rockett2009"}}],"schema":"https://github.com/citation-style-language/schema/raw/master/csl-citation.json"} </w:instrText>
      </w:r>
      <w:r w:rsidR="001452AB" w:rsidRPr="00A4517D">
        <w:rPr>
          <w:rFonts w:ascii="Calibri" w:hAnsi="Calibri" w:cs="Calibri"/>
        </w:rPr>
        <w:fldChar w:fldCharType="separate"/>
      </w:r>
      <w:r w:rsidR="001452AB" w:rsidRPr="00A4517D">
        <w:rPr>
          <w:rFonts w:ascii="Calibri" w:hAnsi="Calibri" w:cs="Calibri"/>
        </w:rPr>
        <w:t>[18]</w:t>
      </w:r>
      <w:r w:rsidR="001452AB" w:rsidRPr="00A4517D">
        <w:rPr>
          <w:rFonts w:ascii="Calibri" w:hAnsi="Calibri" w:cs="Calibri"/>
        </w:rPr>
        <w:fldChar w:fldCharType="end"/>
      </w:r>
      <w:r w:rsidR="00DA3A38" w:rsidRPr="00A4517D">
        <w:rPr>
          <w:rFonts w:ascii="Calibri" w:hAnsi="Calibri" w:cs="Calibri"/>
        </w:rPr>
        <w:t xml:space="preserve"> </w:t>
      </w:r>
      <w:r w:rsidR="009A74A2" w:rsidRPr="00A4517D">
        <w:rPr>
          <w:rFonts w:ascii="Calibri" w:hAnsi="Calibri" w:cs="Calibri"/>
        </w:rPr>
        <w:t>highlighted both racial-ethnic differences in comorbidity (e.g., schizophrenia and mood disorder were present in all groups while cancer was only present in the White and the Black groups and nervous system disease in the Hispanic group) and the underreporting of psychopathologies in suicide death certificates. Overall, the three studies highlighted differences in suicide comorbidities, more likely due to the registration practices of comorbidities in death certificates for specific socio-demographic characteristics than the actual causality of diseases</w:t>
      </w:r>
      <w:r w:rsidR="00557B0C" w:rsidRPr="00A4517D">
        <w:rPr>
          <w:rFonts w:ascii="Calibri" w:hAnsi="Calibri" w:cs="Calibri"/>
        </w:rPr>
        <w:t xml:space="preserve">. </w:t>
      </w:r>
      <w:r w:rsidRPr="00A4517D">
        <w:rPr>
          <w:rFonts w:ascii="Calibri" w:hAnsi="Calibri" w:cs="Calibri"/>
        </w:rPr>
        <w:t xml:space="preserve">While suicide </w:t>
      </w:r>
      <w:r w:rsidRPr="006B525B">
        <w:rPr>
          <w:rFonts w:ascii="Calibri" w:hAnsi="Calibri" w:cs="Calibri"/>
        </w:rPr>
        <w:t xml:space="preserve">mortality is known to be avoidable through prevention strategies and facilitating access to mental health care, there is still a need to strengthen the knowledge of MCOD data and develop targeted prevention interventions </w:t>
      </w:r>
      <w:r w:rsidRPr="006B525B">
        <w:rPr>
          <w:rFonts w:ascii="Calibri" w:hAnsi="Calibri" w:cs="Calibri"/>
        </w:rPr>
        <w:fldChar w:fldCharType="begin"/>
      </w:r>
      <w:r w:rsidR="002528B8" w:rsidRPr="006B525B">
        <w:rPr>
          <w:rFonts w:ascii="Calibri" w:hAnsi="Calibri" w:cs="Calibri"/>
        </w:rPr>
        <w:instrText xml:space="preserve"> ADDIN ZOTERO_ITEM CSL_CITATION {"citationID":"3n5FgwxI","properties":{"formattedCitation":"[3]","plainCitation":"[3]","noteIndex":0},"citationItems":[{"id":"vqpzzZhy/Gbwa54OS","uris":["http://zotero.org/users/6964448/items/GRS2LWUN"],"itemData":{"id":582,"type":"article-journal","abstract":"Abstract\n            \n              Objectives\n              To use the estimates from the Global Burden of Disease Study 2016 to describe patterns of suicide mortality globally, regionally, and for 195 countries and territories by age, sex, and Socio-demographic index, and to describe temporal trends between 1990 and 2016.\n            \n            \n              Design\n              Systematic analysis.\n            \n            \n              Main outcome measures\n              Crude and age standardised rates from suicide mortality and years of life lost were compared across regions and countries, and by age, sex, and Socio-demographic index (a composite measure of fertility, income, and education).\n            \n            \n              Results\n              The total number of deaths from suicide increased by 6.7% (95% uncertainty interval 0.4% to 15.6%) globally over the 27 year study period to 817 000 (762 000 to 884 000) deaths in 2016. However, the age standardised mortality rate for suicide decreased by 32.7% (27.2% to 36.6%) worldwide between 1990 and 2016, similar to the decline in the global age standardised mortality rate of 30.6%. Suicide was the leading cause of age standardised years of life lost in the Global Burden of Disease region of high income Asia Pacific and was among the top 10 leading causes in eastern Europe, central Europe, western Europe, central Asia, Australasia, southern Latin America, and high income North America. Rates for men were higher than for women across regions, countries, and age groups, except for the 15 to 19 age group. There was variation in the female to male ratio, with higher ratios at lower levels of Socio-demographic index. Women experienced greater decreases in mortality rates (49.0%, 95% uncertainty interval 42.6% to 54.6%) than men (23.8%, 15.6% to 32.7%).\n            \n            \n              Conclusions\n              Age standardised mortality rates for suicide have greatly reduced since 1990, but suicide remains an important contributor to mortality worldwide. Suicide mortality was variable across locations, between sexes, and between age groups. Suicide prevention strategies can be targeted towards vulnerable populations if they are informed by variations in mortality rates.","container-title":"BMJ","DOI":"10.1136/bmj.l94","ISSN":"0959-8138, 1756-1833","journalAbbreviation":"BMJ","language":"en","page":"l94","source":"DOI.org (Crossref)","title":"Global, regional, and national burden of suicide mortality 1990 to 2016: systematic analysis for the Global Burden of Disease Study 2016","title-short":"Global, regional, and national burden of suicide mortality 1990 to 2016","author":[{"family":"Naghavi","given":"Mohsen"}],"issued":{"date-parts":[["2019",2,6]]}}}],"schema":"https://github.com/citation-style-language/schema/raw/master/csl-citation.json"} </w:instrText>
      </w:r>
      <w:r w:rsidRPr="006B525B">
        <w:rPr>
          <w:rFonts w:ascii="Calibri" w:hAnsi="Calibri" w:cs="Calibri"/>
        </w:rPr>
        <w:fldChar w:fldCharType="separate"/>
      </w:r>
      <w:r w:rsidRPr="006B525B">
        <w:rPr>
          <w:rFonts w:ascii="Calibri" w:hAnsi="Calibri" w:cs="Calibri"/>
        </w:rPr>
        <w:t>[3]</w:t>
      </w:r>
      <w:r w:rsidRPr="006B525B">
        <w:rPr>
          <w:rFonts w:ascii="Calibri" w:hAnsi="Calibri" w:cs="Calibri"/>
        </w:rPr>
        <w:fldChar w:fldCharType="end"/>
      </w:r>
      <w:r w:rsidRPr="006B525B">
        <w:rPr>
          <w:rFonts w:ascii="Calibri" w:hAnsi="Calibri" w:cs="Calibri"/>
        </w:rPr>
        <w:t xml:space="preserve">. To our knowledge, the scarce literature </w:t>
      </w:r>
      <w:r w:rsidRPr="00AD4439">
        <w:rPr>
          <w:rFonts w:ascii="Calibri" w:hAnsi="Calibri" w:cs="Calibri"/>
        </w:rPr>
        <w:t xml:space="preserve">on suicide using MCOD has overlooked the relationship between </w:t>
      </w:r>
      <w:r w:rsidR="005023D0">
        <w:rPr>
          <w:rFonts w:ascii="Calibri" w:hAnsi="Calibri" w:cs="Calibri"/>
        </w:rPr>
        <w:t>morbidities</w:t>
      </w:r>
      <w:r w:rsidRPr="00AD4439">
        <w:rPr>
          <w:rFonts w:ascii="Calibri" w:hAnsi="Calibri" w:cs="Calibri"/>
        </w:rPr>
        <w:t xml:space="preserve"> and educational attainment. </w:t>
      </w:r>
    </w:p>
    <w:p w14:paraId="5D155DA3" w14:textId="4D4692DD" w:rsidR="00AD4439" w:rsidRPr="00AD4439" w:rsidRDefault="00AD4439" w:rsidP="004B0F14">
      <w:pPr>
        <w:spacing w:line="360" w:lineRule="auto"/>
        <w:rPr>
          <w:rFonts w:ascii="Calibri" w:hAnsi="Calibri" w:cs="Calibri"/>
        </w:rPr>
      </w:pPr>
      <w:r w:rsidRPr="00AD4439">
        <w:rPr>
          <w:rFonts w:ascii="Calibri" w:hAnsi="Calibri" w:cs="Calibri"/>
        </w:rPr>
        <w:t>This paper aims to descriptively assess the contributing morbidities associated with suicide mortality in the US</w:t>
      </w:r>
      <w:r w:rsidR="005023D0">
        <w:rPr>
          <w:rFonts w:ascii="Calibri" w:hAnsi="Calibri" w:cs="Calibri"/>
        </w:rPr>
        <w:t>A</w:t>
      </w:r>
      <w:r w:rsidRPr="00AD4439">
        <w:rPr>
          <w:rFonts w:ascii="Calibri" w:hAnsi="Calibri" w:cs="Calibri"/>
        </w:rPr>
        <w:t xml:space="preserve"> according to socio-demographic characteristics such as sex, age, and educational level. To do so, we examine the morbidities associated with suicide in comparison with other external causes of mortality, considering accidents as a comparator and using MCOD data. </w:t>
      </w:r>
    </w:p>
    <w:p w14:paraId="17B62F27" w14:textId="77777777" w:rsidR="00AD4439" w:rsidRPr="00AD4439" w:rsidRDefault="00AD4439" w:rsidP="004B0F14">
      <w:pPr>
        <w:widowControl/>
        <w:spacing w:before="0" w:line="360" w:lineRule="auto"/>
        <w:jc w:val="left"/>
        <w:rPr>
          <w:rFonts w:ascii="Calibri" w:hAnsi="Calibri" w:cs="Calibri"/>
          <w:b/>
          <w:bCs/>
          <w:kern w:val="2"/>
          <w:szCs w:val="32"/>
        </w:rPr>
      </w:pPr>
    </w:p>
    <w:p w14:paraId="433BB2BA" w14:textId="77777777" w:rsidR="00AD4439" w:rsidRPr="00AD4439" w:rsidRDefault="00AD4439" w:rsidP="004B0F14">
      <w:pPr>
        <w:pStyle w:val="Heading1"/>
        <w:spacing w:line="360" w:lineRule="auto"/>
      </w:pPr>
      <w:bookmarkStart w:id="1" w:name="_Toc145236427"/>
      <w:r w:rsidRPr="00AD4439">
        <w:t>Data</w:t>
      </w:r>
      <w:bookmarkEnd w:id="1"/>
    </w:p>
    <w:p w14:paraId="64444EF4" w14:textId="74966E03" w:rsidR="00AD4439" w:rsidRPr="00AD4439" w:rsidRDefault="00AD4439" w:rsidP="004B0F14">
      <w:pPr>
        <w:pStyle w:val="Tabletitle"/>
        <w:spacing w:after="240"/>
        <w:rPr>
          <w:rFonts w:ascii="Calibri" w:hAnsi="Calibri" w:cs="Calibri"/>
        </w:rPr>
      </w:pPr>
      <w:r w:rsidRPr="00AD4439">
        <w:rPr>
          <w:rFonts w:ascii="Calibri" w:hAnsi="Calibri" w:cs="Calibri"/>
        </w:rPr>
        <w:tab/>
        <w:t xml:space="preserve">Analyses have been carried out using the individual-level Mortality Multiple Cause-of-Death Public Use Record of the United States from 2010 to 2019. Data are </w:t>
      </w:r>
      <w:r w:rsidR="00821082">
        <w:rPr>
          <w:rFonts w:ascii="Calibri" w:hAnsi="Calibri" w:cs="Calibri"/>
        </w:rPr>
        <w:t xml:space="preserve">available </w:t>
      </w:r>
      <w:r w:rsidRPr="00AD4439">
        <w:rPr>
          <w:rFonts w:ascii="Calibri" w:hAnsi="Calibri" w:cs="Calibri"/>
        </w:rPr>
        <w:t xml:space="preserve">open-access </w:t>
      </w:r>
      <w:r w:rsidR="00765C0C">
        <w:rPr>
          <w:rFonts w:ascii="Calibri" w:hAnsi="Calibri" w:cs="Calibri"/>
        </w:rPr>
        <w:t>at</w:t>
      </w:r>
      <w:r w:rsidR="00765C0C" w:rsidRPr="00AD4439">
        <w:rPr>
          <w:rFonts w:ascii="Calibri" w:hAnsi="Calibri" w:cs="Calibri"/>
        </w:rPr>
        <w:t xml:space="preserve"> </w:t>
      </w:r>
      <w:r w:rsidRPr="00AD4439">
        <w:rPr>
          <w:rFonts w:ascii="Calibri" w:hAnsi="Calibri" w:cs="Calibri"/>
        </w:rPr>
        <w:t xml:space="preserve">the Division of Vital Statistics of the Centers for Disease Control and Prevention. </w:t>
      </w:r>
      <w:r w:rsidRPr="00AD4439">
        <w:rPr>
          <w:rFonts w:ascii="Calibri" w:hAnsi="Calibri" w:cs="Calibri"/>
        </w:rPr>
        <w:lastRenderedPageBreak/>
        <w:t xml:space="preserve">Deaths are coded following the </w:t>
      </w:r>
      <w:r w:rsidR="007514C2">
        <w:rPr>
          <w:rFonts w:ascii="Calibri" w:hAnsi="Calibri" w:cs="Calibri"/>
        </w:rPr>
        <w:t>ICD-10</w:t>
      </w:r>
      <w:r w:rsidRPr="00AD4439">
        <w:rPr>
          <w:rFonts w:ascii="Calibri" w:hAnsi="Calibri" w:cs="Calibri"/>
        </w:rPr>
        <w:t xml:space="preserve">. </w:t>
      </w:r>
      <w:r w:rsidR="004570C2">
        <w:rPr>
          <w:rFonts w:ascii="Calibri" w:hAnsi="Calibri" w:cs="Calibri"/>
        </w:rPr>
        <w:t>T</w:t>
      </w:r>
      <w:r w:rsidR="004570C2" w:rsidRPr="004570C2">
        <w:rPr>
          <w:rFonts w:ascii="Calibri" w:hAnsi="Calibri" w:cs="Calibri"/>
        </w:rPr>
        <w:t xml:space="preserve">he </w:t>
      </w:r>
      <w:r w:rsidR="00734DC5">
        <w:rPr>
          <w:rFonts w:ascii="Calibri" w:hAnsi="Calibri" w:cs="Calibri"/>
        </w:rPr>
        <w:t>COVID-19</w:t>
      </w:r>
      <w:r w:rsidR="004570C2" w:rsidRPr="004570C2">
        <w:rPr>
          <w:rFonts w:ascii="Calibri" w:hAnsi="Calibri" w:cs="Calibri"/>
        </w:rPr>
        <w:t xml:space="preserve"> pandemic introduced significant </w:t>
      </w:r>
      <w:r w:rsidR="001C0801">
        <w:rPr>
          <w:rFonts w:ascii="Calibri" w:hAnsi="Calibri" w:cs="Calibri"/>
        </w:rPr>
        <w:t xml:space="preserve">changes, notably </w:t>
      </w:r>
      <w:r w:rsidR="000D1026">
        <w:rPr>
          <w:rFonts w:ascii="Calibri" w:hAnsi="Calibri" w:cs="Calibri"/>
        </w:rPr>
        <w:t>health inequities</w:t>
      </w:r>
      <w:r w:rsidR="00236DDD">
        <w:rPr>
          <w:rFonts w:ascii="Calibri" w:hAnsi="Calibri" w:cs="Calibri"/>
        </w:rPr>
        <w:t xml:space="preserve">, quality and </w:t>
      </w:r>
      <w:r w:rsidR="0070751C">
        <w:rPr>
          <w:rFonts w:ascii="Calibri" w:hAnsi="Calibri" w:cs="Calibri"/>
        </w:rPr>
        <w:t>access to prevention care</w:t>
      </w:r>
      <w:r w:rsidR="001C0801">
        <w:rPr>
          <w:rFonts w:ascii="Calibri" w:hAnsi="Calibri" w:cs="Calibri"/>
        </w:rPr>
        <w:t xml:space="preserve"> </w:t>
      </w:r>
      <w:r w:rsidR="00B978A5">
        <w:rPr>
          <w:rFonts w:ascii="Calibri" w:hAnsi="Calibri" w:cs="Calibri"/>
        </w:rPr>
        <w:fldChar w:fldCharType="begin"/>
      </w:r>
      <w:r w:rsidR="001452AB">
        <w:rPr>
          <w:rFonts w:ascii="Calibri" w:hAnsi="Calibri" w:cs="Calibri"/>
        </w:rPr>
        <w:instrText xml:space="preserve"> ADDIN ZOTERO_ITEM CSL_CITATION {"citationID":"Y7PdIf55","properties":{"formattedCitation":"[19]","plainCitation":"[19]","noteIndex":0},"citationItems":[{"id":2207,"uris":["http://zotero.org/users/6964448/items/XW2JSB6W"],"itemData":{"id":2207,"type":"article-journal","abstract":"Health inequities have long defined health and the healthcare system in the USA. The clinical and research capacity across the USA is unparalleled, yet compared to other high and even some middle-income countries, the average health indicators of the population remain suboptimal in 2020, a finding at least in part explained by inequity in healthcare access. In this context, COVID-19 has rapidly emerged as a major threat to the public’s health. While it was initially thought that severe acute respiratory syndrome coronavirus 2 would be the great equaliser as it would not discriminate, it is clear that COVID-19 incidence and mortality have rapidly reinforced health disparities drawn by historical and contemporary inequities. Here, we synthesise the data highlighting specific risks among particular marginalised and under-resourced communities including those in jails, prisons and detention centers, immigrants and the undocumented, people with disabilities and people experiencing homelessness across the USA. The drivers of these disparities are pervasive structural risks including limited access to preventive services, inability to comply with physical distancing recommendations, underlying health disparities and intersecting stigmas particularly affecting racial and ethnic minorities across the country, including African Americans, Latinx Americans and Native Americans. Advancing the COVID-19 response, saving lives and restarting the economy necessitate rapidly addressing these inequities rather than ignoring and even reinforcing them.","container-title":"BMJ Evidence-Based Medicine","DOI":"10.1136/bmjebm-2020-111426","ISSN":"2515-446X, 2515-4478","issue":"4","language":"en","license":"© Author(s) (or their employer(s)) 2021.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Royal Society of Medicine\nsection: EBM analysis\nPMID: 32493833","page":"176-179","source":"ebm.bmj.com","title":"COVID-19 and the US response: accelerating health inequities","title-short":"COVID-19 and the US response","volume":"26","author":[{"family":"Okonkwo","given":"Nneoma E."},{"family":"Aguwa","given":"Ugochi T."},{"family":"Jang","given":"Minyoung"},{"family":"Barré","given":"Iman A."},{"family":"Page","given":"Kathleen R."},{"family":"Sullivan","given":"Patrick S."},{"family":"Beyrer","given":"Chris"},{"family":"Baral","given":"Stefan"}],"issued":{"date-parts":[["2021",8,1]]},"citation-key":"okonkwo2021"}}],"schema":"https://github.com/citation-style-language/schema/raw/master/csl-citation.json"} </w:instrText>
      </w:r>
      <w:r w:rsidR="00B978A5">
        <w:rPr>
          <w:rFonts w:ascii="Calibri" w:hAnsi="Calibri" w:cs="Calibri"/>
        </w:rPr>
        <w:fldChar w:fldCharType="separate"/>
      </w:r>
      <w:r w:rsidR="001452AB" w:rsidRPr="001452AB">
        <w:rPr>
          <w:rFonts w:ascii="Calibri" w:hAnsi="Calibri" w:cs="Calibri"/>
        </w:rPr>
        <w:t>[19]</w:t>
      </w:r>
      <w:r w:rsidR="00B978A5">
        <w:rPr>
          <w:rFonts w:ascii="Calibri" w:hAnsi="Calibri" w:cs="Calibri"/>
        </w:rPr>
        <w:fldChar w:fldCharType="end"/>
      </w:r>
      <w:r w:rsidR="004570C2" w:rsidRPr="004570C2">
        <w:rPr>
          <w:rFonts w:ascii="Calibri" w:hAnsi="Calibri" w:cs="Calibri"/>
        </w:rPr>
        <w:t xml:space="preserve">. </w:t>
      </w:r>
      <w:r w:rsidR="001511DF" w:rsidRPr="004570C2">
        <w:rPr>
          <w:rFonts w:ascii="Calibri" w:hAnsi="Calibri" w:cs="Calibri"/>
        </w:rPr>
        <w:t xml:space="preserve">Consequently, data from 2020 and subsequent years are excluded to prevent potential biases in suicide </w:t>
      </w:r>
      <w:r w:rsidR="00E01963">
        <w:rPr>
          <w:rFonts w:ascii="Calibri" w:hAnsi="Calibri" w:cs="Calibri"/>
        </w:rPr>
        <w:t>MCOD</w:t>
      </w:r>
      <w:r w:rsidR="001511DF" w:rsidRPr="004570C2">
        <w:rPr>
          <w:rFonts w:ascii="Calibri" w:hAnsi="Calibri" w:cs="Calibri"/>
        </w:rPr>
        <w:t xml:space="preserve"> analysis and </w:t>
      </w:r>
      <w:r w:rsidR="001511DF">
        <w:rPr>
          <w:rFonts w:ascii="Calibri" w:hAnsi="Calibri" w:cs="Calibri"/>
        </w:rPr>
        <w:t xml:space="preserve">to </w:t>
      </w:r>
      <w:r w:rsidR="001511DF" w:rsidRPr="004570C2">
        <w:rPr>
          <w:rFonts w:ascii="Calibri" w:hAnsi="Calibri" w:cs="Calibri"/>
        </w:rPr>
        <w:t>ensure the solidity of a pre-covid baseline for further analysis.</w:t>
      </w:r>
      <w:r w:rsidR="001511DF">
        <w:rPr>
          <w:rFonts w:ascii="Calibri" w:hAnsi="Calibri" w:cs="Calibri"/>
        </w:rPr>
        <w:t xml:space="preserve"> </w:t>
      </w:r>
      <w:r w:rsidRPr="00AD4439">
        <w:rPr>
          <w:rFonts w:ascii="Calibri" w:hAnsi="Calibri" w:cs="Calibri"/>
        </w:rPr>
        <w:t xml:space="preserve">Education was registered as the highest diploma obtained and grouped into four categories: High school degree or less, bachelor’s or associate degree, master’s or more, and </w:t>
      </w:r>
      <w:r w:rsidR="00EB6664">
        <w:rPr>
          <w:rFonts w:ascii="Calibri" w:hAnsi="Calibri" w:cs="Calibri"/>
        </w:rPr>
        <w:t>u</w:t>
      </w:r>
      <w:r w:rsidRPr="00AD4439">
        <w:rPr>
          <w:rFonts w:ascii="Calibri" w:hAnsi="Calibri" w:cs="Calibri"/>
        </w:rPr>
        <w:t xml:space="preserve">nknown (10.9% </w:t>
      </w:r>
      <w:r w:rsidR="00EB6664">
        <w:rPr>
          <w:rFonts w:ascii="Calibri" w:hAnsi="Calibri" w:cs="Calibri"/>
        </w:rPr>
        <w:t>of</w:t>
      </w:r>
      <w:r w:rsidRPr="00AD4439">
        <w:rPr>
          <w:rFonts w:ascii="Calibri" w:hAnsi="Calibri" w:cs="Calibri"/>
        </w:rPr>
        <w:t xml:space="preserve"> females and 11.4% </w:t>
      </w:r>
      <w:r w:rsidR="00EB6664">
        <w:rPr>
          <w:rFonts w:ascii="Calibri" w:hAnsi="Calibri" w:cs="Calibri"/>
        </w:rPr>
        <w:t>of</w:t>
      </w:r>
      <w:r w:rsidRPr="00AD4439">
        <w:rPr>
          <w:rFonts w:ascii="Calibri" w:hAnsi="Calibri" w:cs="Calibri"/>
        </w:rPr>
        <w:t xml:space="preserve"> males). </w:t>
      </w:r>
      <w:r w:rsidR="00734DC5">
        <w:rPr>
          <w:rFonts w:ascii="Calibri" w:hAnsi="Calibri" w:cs="Calibri"/>
        </w:rPr>
        <w:t>Suicide</w:t>
      </w:r>
      <w:r w:rsidR="00DD5C27">
        <w:rPr>
          <w:rFonts w:ascii="Calibri" w:hAnsi="Calibri" w:cs="Calibri"/>
        </w:rPr>
        <w:t>s</w:t>
      </w:r>
      <w:r w:rsidRPr="00AD4439">
        <w:rPr>
          <w:rFonts w:ascii="Calibri" w:hAnsi="Calibri" w:cs="Calibri"/>
        </w:rPr>
        <w:t xml:space="preserve"> were considered when the UC was registered with codes </w:t>
      </w:r>
      <w:r w:rsidRPr="00815FD4">
        <w:rPr>
          <w:rFonts w:ascii="Calibri" w:hAnsi="Calibri" w:cs="Calibri"/>
        </w:rPr>
        <w:t>X60-X84</w:t>
      </w:r>
      <w:r w:rsidR="003A7CF6" w:rsidRPr="00815FD4">
        <w:rPr>
          <w:rFonts w:ascii="Calibri" w:hAnsi="Calibri" w:cs="Calibri"/>
        </w:rPr>
        <w:t xml:space="preserve"> and X87.0</w:t>
      </w:r>
      <w:r w:rsidR="00410195">
        <w:rPr>
          <w:rFonts w:ascii="Calibri" w:hAnsi="Calibri" w:cs="Calibri"/>
        </w:rPr>
        <w:t>,</w:t>
      </w:r>
      <w:r w:rsidRPr="00815FD4">
        <w:rPr>
          <w:rFonts w:ascii="Calibri" w:hAnsi="Calibri" w:cs="Calibri"/>
        </w:rPr>
        <w:t xml:space="preserve"> and accidental deaths </w:t>
      </w:r>
      <w:r w:rsidR="00410195">
        <w:rPr>
          <w:rFonts w:ascii="Calibri" w:hAnsi="Calibri" w:cs="Calibri"/>
        </w:rPr>
        <w:t>within</w:t>
      </w:r>
      <w:r w:rsidRPr="00815FD4">
        <w:rPr>
          <w:rFonts w:ascii="Calibri" w:hAnsi="Calibri" w:cs="Calibri"/>
        </w:rPr>
        <w:t xml:space="preserve"> V01-</w:t>
      </w:r>
      <w:r w:rsidR="00CC1884" w:rsidRPr="00815FD4">
        <w:rPr>
          <w:rFonts w:ascii="Calibri" w:hAnsi="Calibri" w:cs="Calibri"/>
        </w:rPr>
        <w:t>X59</w:t>
      </w:r>
      <w:r w:rsidR="003A7CF6" w:rsidRPr="00815FD4">
        <w:rPr>
          <w:rFonts w:ascii="Calibri" w:hAnsi="Calibri" w:cs="Calibri"/>
        </w:rPr>
        <w:t>, and X8</w:t>
      </w:r>
      <w:r w:rsidR="00944505" w:rsidRPr="00815FD4">
        <w:rPr>
          <w:rFonts w:ascii="Calibri" w:hAnsi="Calibri" w:cs="Calibri"/>
        </w:rPr>
        <w:t>5-X86</w:t>
      </w:r>
      <w:r w:rsidRPr="00815FD4">
        <w:rPr>
          <w:rFonts w:ascii="Calibri" w:hAnsi="Calibri" w:cs="Calibri"/>
        </w:rPr>
        <w:t>.</w:t>
      </w:r>
    </w:p>
    <w:p w14:paraId="2B95C820" w14:textId="32718AB7" w:rsidR="00AD4439" w:rsidRPr="00AD4439" w:rsidRDefault="00AD4439" w:rsidP="004B0F14">
      <w:pPr>
        <w:spacing w:before="0" w:after="240" w:line="360" w:lineRule="auto"/>
        <w:rPr>
          <w:rFonts w:ascii="Calibri" w:hAnsi="Calibri" w:cs="Calibri"/>
        </w:rPr>
      </w:pPr>
      <w:r w:rsidRPr="00AD4439">
        <w:rPr>
          <w:rFonts w:ascii="Calibri" w:hAnsi="Calibri" w:cs="Calibri"/>
        </w:rPr>
        <w:t xml:space="preserve">Considering the specificity of suicide and self-harm intent in younger ages </w:t>
      </w:r>
      <w:r w:rsidRPr="00AD4439">
        <w:rPr>
          <w:rFonts w:ascii="Calibri" w:hAnsi="Calibri" w:cs="Calibri"/>
        </w:rPr>
        <w:fldChar w:fldCharType="begin"/>
      </w:r>
      <w:r w:rsidR="001452AB">
        <w:rPr>
          <w:rFonts w:ascii="Calibri" w:hAnsi="Calibri" w:cs="Calibri"/>
        </w:rPr>
        <w:instrText xml:space="preserve"> ADDIN ZOTERO_ITEM CSL_CITATION {"citationID":"wAn7UmVA","properties":{"formattedCitation":"[20]","plainCitation":"[20]","noteIndex":0},"citationItems":[{"id":953,"uris":["http://zotero.org/users/6964448/items/ETJS374R"],"itemData":{"id":953,"type":"article-journal","container-title":"Archives of Suicide Research","DOI":"10.1080/13811110903479011","ISSN":"1381-1118, 1543-6136","issue":"1","journalAbbreviation":"Archives of Suicide Research","language":"en","page":"24-34","source":"DOI.org (Crossref)","title":"The Psychological Autopsy and Determination of Child Suicides: A Survey of Medical Examiners","title-short":"The Psychological Autopsy and Determination of Child Suicides","volume":"14","author":[{"family":"Crepeau-Hobson","given":"Franci"}],"issued":{"date-parts":[["2010",1,29]]},"citation-key":"crepeau-hobsonPsychologicalAutopsyDetermination2010"}}],"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[20]</w:t>
      </w:r>
      <w:r w:rsidRPr="00AD4439">
        <w:rPr>
          <w:rFonts w:ascii="Calibri" w:hAnsi="Calibri" w:cs="Calibri"/>
        </w:rPr>
        <w:fldChar w:fldCharType="end"/>
      </w:r>
      <w:r w:rsidRPr="00AD4439">
        <w:rPr>
          <w:rFonts w:ascii="Calibri" w:hAnsi="Calibri" w:cs="Calibri"/>
        </w:rPr>
        <w:t xml:space="preserve">, and the use of education as the highest diploma, decedents </w:t>
      </w:r>
      <w:r w:rsidR="00DD5C27">
        <w:rPr>
          <w:rFonts w:ascii="Calibri" w:hAnsi="Calibri" w:cs="Calibri"/>
        </w:rPr>
        <w:t>under</w:t>
      </w:r>
      <w:r w:rsidRPr="00AD4439">
        <w:rPr>
          <w:rFonts w:ascii="Calibri" w:hAnsi="Calibri" w:cs="Calibri"/>
        </w:rPr>
        <w:t xml:space="preserve"> 25 years old have been excluded from the analyses. Deaths with no age registered (0.02% </w:t>
      </w:r>
      <w:r w:rsidR="002B6C94">
        <w:rPr>
          <w:rFonts w:ascii="Calibri" w:hAnsi="Calibri" w:cs="Calibri"/>
        </w:rPr>
        <w:t>of</w:t>
      </w:r>
      <w:r w:rsidRPr="00AD4439">
        <w:rPr>
          <w:rFonts w:ascii="Calibri" w:hAnsi="Calibri" w:cs="Calibri"/>
        </w:rPr>
        <w:t xml:space="preserve"> females and 0.05% </w:t>
      </w:r>
      <w:r w:rsidR="002B6C94">
        <w:rPr>
          <w:rFonts w:ascii="Calibri" w:hAnsi="Calibri" w:cs="Calibri"/>
        </w:rPr>
        <w:t>of</w:t>
      </w:r>
      <w:r w:rsidRPr="00AD4439">
        <w:rPr>
          <w:rFonts w:ascii="Calibri" w:hAnsi="Calibri" w:cs="Calibri"/>
        </w:rPr>
        <w:t xml:space="preserve"> males) were </w:t>
      </w:r>
      <w:r w:rsidR="002B6C94">
        <w:rPr>
          <w:rFonts w:ascii="Calibri" w:hAnsi="Calibri" w:cs="Calibri"/>
        </w:rPr>
        <w:t xml:space="preserve">also </w:t>
      </w:r>
      <w:r w:rsidR="007B6742">
        <w:rPr>
          <w:rFonts w:ascii="Calibri" w:hAnsi="Calibri" w:cs="Calibri"/>
        </w:rPr>
        <w:t>excluded</w:t>
      </w:r>
      <w:r w:rsidRPr="00AD4439">
        <w:rPr>
          <w:rFonts w:ascii="Calibri" w:hAnsi="Calibri" w:cs="Calibri"/>
        </w:rPr>
        <w:t>. The final study groups present a total of 376,911 suicides (292,992 males and 83,919 females), and 1,285,941 accidents (808,487 males and 477,454 females)</w:t>
      </w:r>
      <w:r w:rsidR="00E229A9">
        <w:rPr>
          <w:rFonts w:ascii="Calibri" w:hAnsi="Calibri" w:cs="Calibri"/>
        </w:rPr>
        <w:t>.</w:t>
      </w:r>
      <w:r w:rsidRPr="00AD4439">
        <w:rPr>
          <w:rFonts w:ascii="Calibri" w:hAnsi="Calibri" w:cs="Calibri"/>
        </w:rPr>
        <w:t xml:space="preserve"> </w:t>
      </w:r>
    </w:p>
    <w:p w14:paraId="2C2B332A" w14:textId="2CFE512A" w:rsidR="00AD4439" w:rsidRPr="00AD4439" w:rsidRDefault="00AD4439" w:rsidP="004B0F14">
      <w:pPr>
        <w:spacing w:after="240" w:line="360" w:lineRule="auto"/>
        <w:rPr>
          <w:rFonts w:ascii="Calibri" w:hAnsi="Calibri" w:cs="Calibri"/>
        </w:rPr>
      </w:pPr>
      <w:r w:rsidRPr="00AD4439">
        <w:rPr>
          <w:rFonts w:ascii="Calibri" w:hAnsi="Calibri" w:cs="Calibri"/>
        </w:rPr>
        <w:t>Comorbidities registered in the death certificates were grouped into 18 main groups, which belong to three main categories: mental and behavioural disorders, diseases, and injuries. Groups are presented in Table 1.</w:t>
      </w:r>
    </w:p>
    <w:p w14:paraId="0E8E603D" w14:textId="77777777" w:rsidR="004B705F" w:rsidRDefault="004B705F" w:rsidP="004B705F">
      <w:pPr>
        <w:widowControl/>
        <w:spacing w:before="0" w:line="360" w:lineRule="auto"/>
        <w:jc w:val="left"/>
        <w:rPr>
          <w:i/>
          <w:iCs/>
        </w:rPr>
      </w:pPr>
    </w:p>
    <w:p w14:paraId="431B4353" w14:textId="0212763E" w:rsidR="004B705F" w:rsidRDefault="004B705F" w:rsidP="004B705F">
      <w:pPr>
        <w:widowControl/>
        <w:spacing w:before="0" w:line="360" w:lineRule="auto"/>
        <w:jc w:val="center"/>
        <w:rPr>
          <w:i/>
          <w:iCs/>
        </w:rPr>
      </w:pPr>
      <w:r w:rsidRPr="00993D55">
        <w:rPr>
          <w:b/>
          <w:bCs/>
          <w:i/>
          <w:iCs/>
        </w:rPr>
        <w:t xml:space="preserve">Table </w:t>
      </w:r>
      <w:r>
        <w:rPr>
          <w:b/>
          <w:bCs/>
          <w:i/>
          <w:iCs/>
        </w:rPr>
        <w:t>1</w:t>
      </w:r>
      <w:r w:rsidRPr="00993D55">
        <w:rPr>
          <w:b/>
          <w:bCs/>
          <w:i/>
          <w:iCs/>
        </w:rPr>
        <w:t>:</w:t>
      </w:r>
      <w:r w:rsidRPr="004369EC">
        <w:rPr>
          <w:i/>
          <w:iCs/>
        </w:rPr>
        <w:t xml:space="preserve"> Classification of morbidities</w:t>
      </w:r>
      <w:r>
        <w:rPr>
          <w:i/>
          <w:iCs/>
        </w:rPr>
        <w:t xml:space="preserve"> according to the ICD-10 with corresponding codes</w:t>
      </w:r>
    </w:p>
    <w:p w14:paraId="07F2B081" w14:textId="77777777" w:rsidR="004B705F" w:rsidRPr="00E05D1E" w:rsidRDefault="004B705F" w:rsidP="002F7A44">
      <w:pPr>
        <w:widowControl/>
        <w:spacing w:before="0" w:line="240" w:lineRule="auto"/>
        <w:jc w:val="center"/>
        <w:rPr>
          <w:b/>
          <w:bCs/>
        </w:rPr>
      </w:pPr>
    </w:p>
    <w:tbl>
      <w:tblPr>
        <w:tblStyle w:val="TableGrid"/>
        <w:tblW w:w="8489" w:type="dxa"/>
        <w:tblLayout w:type="fixed"/>
        <w:tblLook w:val="04A0" w:firstRow="1" w:lastRow="0" w:firstColumn="1" w:lastColumn="0" w:noHBand="0" w:noVBand="1"/>
      </w:tblPr>
      <w:tblGrid>
        <w:gridCol w:w="2829"/>
        <w:gridCol w:w="2830"/>
        <w:gridCol w:w="2830"/>
      </w:tblGrid>
      <w:tr w:rsidR="004B705F" w:rsidRPr="004369EC" w14:paraId="06FE1587" w14:textId="77777777" w:rsidTr="00C045F3">
        <w:tc>
          <w:tcPr>
            <w:tcW w:w="2829" w:type="dxa"/>
          </w:tcPr>
          <w:p w14:paraId="046A072E" w14:textId="77777777" w:rsidR="004B705F" w:rsidRPr="004369EC" w:rsidRDefault="004B705F" w:rsidP="004B705F">
            <w:pPr>
              <w:spacing w:before="0" w:line="276" w:lineRule="auto"/>
              <w:jc w:val="center"/>
              <w:rPr>
                <w:b/>
                <w:bCs/>
                <w:sz w:val="22"/>
                <w:szCs w:val="22"/>
                <w:lang w:val="en-GB"/>
              </w:rPr>
            </w:pPr>
            <w:r w:rsidRPr="004369EC">
              <w:rPr>
                <w:rFonts w:eastAsia="Calibri"/>
                <w:b/>
                <w:bCs/>
                <w:kern w:val="2"/>
                <w:sz w:val="22"/>
                <w:szCs w:val="22"/>
                <w:lang w:val="en-GB"/>
              </w:rPr>
              <w:t>Mental and behavioural disorders</w:t>
            </w:r>
          </w:p>
        </w:tc>
        <w:tc>
          <w:tcPr>
            <w:tcW w:w="2830" w:type="dxa"/>
          </w:tcPr>
          <w:p w14:paraId="72A219AB" w14:textId="088C55A8" w:rsidR="004B705F" w:rsidRPr="004369EC" w:rsidRDefault="002E0027" w:rsidP="004B705F">
            <w:pPr>
              <w:spacing w:before="0" w:line="276" w:lineRule="auto"/>
              <w:jc w:val="center"/>
              <w:rPr>
                <w:b/>
                <w:bCs/>
                <w:sz w:val="22"/>
                <w:szCs w:val="22"/>
                <w:lang w:val="en-GB"/>
              </w:rPr>
            </w:pPr>
            <w:r>
              <w:rPr>
                <w:rFonts w:eastAsia="Calibri"/>
                <w:b/>
                <w:bCs/>
                <w:kern w:val="2"/>
                <w:sz w:val="22"/>
                <w:szCs w:val="22"/>
                <w:lang w:val="en-GB"/>
              </w:rPr>
              <w:t>D</w:t>
            </w:r>
            <w:r w:rsidR="004B705F" w:rsidRPr="004369EC">
              <w:rPr>
                <w:rFonts w:eastAsia="Calibri"/>
                <w:b/>
                <w:bCs/>
                <w:kern w:val="2"/>
                <w:sz w:val="22"/>
                <w:szCs w:val="22"/>
                <w:lang w:val="en-GB"/>
              </w:rPr>
              <w:t>iseases</w:t>
            </w:r>
          </w:p>
        </w:tc>
        <w:tc>
          <w:tcPr>
            <w:tcW w:w="2830" w:type="dxa"/>
          </w:tcPr>
          <w:p w14:paraId="4FBFAA88" w14:textId="0ABEC7CE" w:rsidR="004B705F" w:rsidRPr="004369EC" w:rsidRDefault="002E0027" w:rsidP="004B705F">
            <w:pPr>
              <w:spacing w:before="0" w:line="276" w:lineRule="auto"/>
              <w:jc w:val="center"/>
              <w:rPr>
                <w:b/>
                <w:bCs/>
                <w:sz w:val="22"/>
                <w:szCs w:val="22"/>
                <w:lang w:val="en-GB"/>
              </w:rPr>
            </w:pPr>
            <w:r>
              <w:rPr>
                <w:rFonts w:eastAsia="Calibri"/>
                <w:b/>
                <w:bCs/>
                <w:kern w:val="2"/>
                <w:sz w:val="22"/>
                <w:szCs w:val="22"/>
                <w:lang w:val="en-GB"/>
              </w:rPr>
              <w:t>I</w:t>
            </w:r>
            <w:r w:rsidR="004B705F" w:rsidRPr="004369EC">
              <w:rPr>
                <w:rFonts w:eastAsia="Calibri"/>
                <w:b/>
                <w:bCs/>
                <w:kern w:val="2"/>
                <w:sz w:val="22"/>
                <w:szCs w:val="22"/>
                <w:lang w:val="en-GB"/>
              </w:rPr>
              <w:t>njuries</w:t>
            </w:r>
          </w:p>
        </w:tc>
      </w:tr>
      <w:tr w:rsidR="004B705F" w:rsidRPr="004369EC" w14:paraId="1984FBB0" w14:textId="77777777" w:rsidTr="00C045F3">
        <w:tc>
          <w:tcPr>
            <w:tcW w:w="2829" w:type="dxa"/>
          </w:tcPr>
          <w:p w14:paraId="5C8C81A8"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Substance use disorders (F10-F19)</w:t>
            </w:r>
          </w:p>
        </w:tc>
        <w:tc>
          <w:tcPr>
            <w:tcW w:w="2830" w:type="dxa"/>
          </w:tcPr>
          <w:p w14:paraId="1556EAEB"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Infectious and parasitic diseases (A-B-U)</w:t>
            </w:r>
          </w:p>
        </w:tc>
        <w:tc>
          <w:tcPr>
            <w:tcW w:w="2830" w:type="dxa"/>
          </w:tcPr>
          <w:p w14:paraId="427EE787"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Injuries (S00</w:t>
            </w:r>
            <w:r>
              <w:rPr>
                <w:rFonts w:eastAsia="Calibri"/>
                <w:kern w:val="2"/>
                <w:sz w:val="22"/>
                <w:szCs w:val="22"/>
                <w:lang w:val="en-GB"/>
              </w:rPr>
              <w:t>-</w:t>
            </w:r>
            <w:r w:rsidRPr="004369EC">
              <w:rPr>
                <w:rFonts w:eastAsia="Calibri"/>
                <w:kern w:val="2"/>
                <w:sz w:val="22"/>
                <w:szCs w:val="22"/>
                <w:lang w:val="en-GB"/>
              </w:rPr>
              <w:t>T19)</w:t>
            </w:r>
          </w:p>
        </w:tc>
      </w:tr>
      <w:tr w:rsidR="004B705F" w:rsidRPr="004369EC" w14:paraId="22EE078B" w14:textId="77777777" w:rsidTr="00C045F3">
        <w:tc>
          <w:tcPr>
            <w:tcW w:w="2829" w:type="dxa"/>
          </w:tcPr>
          <w:p w14:paraId="1DB85A05"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Schizophrenia (F20-F29)</w:t>
            </w:r>
          </w:p>
        </w:tc>
        <w:tc>
          <w:tcPr>
            <w:tcW w:w="2830" w:type="dxa"/>
          </w:tcPr>
          <w:p w14:paraId="44622571"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Neoplasms (C)</w:t>
            </w:r>
          </w:p>
        </w:tc>
        <w:tc>
          <w:tcPr>
            <w:tcW w:w="2830" w:type="dxa"/>
            <w:vAlign w:val="center"/>
          </w:tcPr>
          <w:p w14:paraId="04433FAA" w14:textId="77777777" w:rsidR="004B705F" w:rsidRPr="004369EC" w:rsidRDefault="004B705F" w:rsidP="004B705F">
            <w:pPr>
              <w:spacing w:before="0" w:line="276" w:lineRule="auto"/>
              <w:jc w:val="left"/>
              <w:rPr>
                <w:sz w:val="22"/>
                <w:szCs w:val="22"/>
                <w:lang w:val="en-GB"/>
              </w:rPr>
            </w:pPr>
            <w:r w:rsidRPr="004369EC">
              <w:rPr>
                <w:kern w:val="2"/>
                <w:sz w:val="22"/>
                <w:szCs w:val="22"/>
                <w:lang w:val="en-GB"/>
              </w:rPr>
              <w:t>Poisoning by drugs, medicaments, and biological substances (T36</w:t>
            </w:r>
            <w:r>
              <w:rPr>
                <w:kern w:val="2"/>
                <w:sz w:val="22"/>
                <w:szCs w:val="22"/>
                <w:lang w:val="en-GB"/>
              </w:rPr>
              <w:t>-</w:t>
            </w:r>
            <w:r w:rsidRPr="004369EC">
              <w:rPr>
                <w:kern w:val="2"/>
                <w:sz w:val="22"/>
                <w:szCs w:val="22"/>
                <w:lang w:val="en-GB"/>
              </w:rPr>
              <w:t>T50)</w:t>
            </w:r>
          </w:p>
        </w:tc>
      </w:tr>
      <w:tr w:rsidR="004B705F" w:rsidRPr="004369EC" w14:paraId="31D61CE1" w14:textId="77777777" w:rsidTr="00C045F3">
        <w:tc>
          <w:tcPr>
            <w:tcW w:w="2829" w:type="dxa"/>
          </w:tcPr>
          <w:p w14:paraId="20A42E79"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Mood disorders (F30-F39)</w:t>
            </w:r>
          </w:p>
        </w:tc>
        <w:tc>
          <w:tcPr>
            <w:tcW w:w="2830" w:type="dxa"/>
          </w:tcPr>
          <w:p w14:paraId="55979CAA"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Nervous system (G)</w:t>
            </w:r>
          </w:p>
        </w:tc>
        <w:tc>
          <w:tcPr>
            <w:tcW w:w="2830" w:type="dxa"/>
          </w:tcPr>
          <w:p w14:paraId="34621541"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Poisoning by nonmedicinal substances (T51</w:t>
            </w:r>
            <w:r>
              <w:rPr>
                <w:rFonts w:eastAsia="Calibri"/>
                <w:kern w:val="2"/>
                <w:sz w:val="22"/>
                <w:szCs w:val="22"/>
                <w:lang w:val="en-GB"/>
              </w:rPr>
              <w:t>-</w:t>
            </w:r>
            <w:r w:rsidRPr="004369EC">
              <w:rPr>
                <w:rFonts w:eastAsia="Calibri"/>
                <w:kern w:val="2"/>
                <w:sz w:val="22"/>
                <w:szCs w:val="22"/>
                <w:lang w:val="en-GB"/>
              </w:rPr>
              <w:t>T65)</w:t>
            </w:r>
          </w:p>
        </w:tc>
      </w:tr>
      <w:tr w:rsidR="004B705F" w:rsidRPr="004369EC" w14:paraId="223C598F" w14:textId="77777777" w:rsidTr="00C045F3">
        <w:trPr>
          <w:trHeight w:val="250"/>
        </w:trPr>
        <w:tc>
          <w:tcPr>
            <w:tcW w:w="2829" w:type="dxa"/>
          </w:tcPr>
          <w:p w14:paraId="7E1EBB67"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Anxiety, dissociative and non-psychotic disorders (F40-F48)</w:t>
            </w:r>
          </w:p>
        </w:tc>
        <w:tc>
          <w:tcPr>
            <w:tcW w:w="2830" w:type="dxa"/>
          </w:tcPr>
          <w:p w14:paraId="7C084C2F"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Circulatory system (I)</w:t>
            </w:r>
          </w:p>
        </w:tc>
        <w:tc>
          <w:tcPr>
            <w:tcW w:w="2830" w:type="dxa"/>
          </w:tcPr>
          <w:p w14:paraId="655FAB52"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Asphyxiation (T71)</w:t>
            </w:r>
          </w:p>
        </w:tc>
      </w:tr>
      <w:tr w:rsidR="004B705F" w:rsidRPr="004369EC" w14:paraId="7B36F86F" w14:textId="77777777" w:rsidTr="00C045F3">
        <w:tc>
          <w:tcPr>
            <w:tcW w:w="2829" w:type="dxa"/>
          </w:tcPr>
          <w:p w14:paraId="00448497"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Other mental and behavioural disorders (F0</w:t>
            </w:r>
            <w:r>
              <w:rPr>
                <w:rFonts w:eastAsia="Calibri"/>
                <w:kern w:val="2"/>
                <w:sz w:val="22"/>
                <w:szCs w:val="22"/>
                <w:lang w:val="en-GB"/>
              </w:rPr>
              <w:t xml:space="preserve">, </w:t>
            </w:r>
            <w:r w:rsidRPr="004369EC">
              <w:rPr>
                <w:rFonts w:eastAsia="Calibri"/>
                <w:kern w:val="2"/>
                <w:sz w:val="22"/>
                <w:szCs w:val="22"/>
                <w:lang w:val="en-GB"/>
              </w:rPr>
              <w:lastRenderedPageBreak/>
              <w:t>F5</w:t>
            </w:r>
            <w:r>
              <w:rPr>
                <w:rFonts w:eastAsia="Calibri"/>
                <w:kern w:val="2"/>
                <w:sz w:val="22"/>
                <w:szCs w:val="22"/>
                <w:lang w:val="en-GB"/>
              </w:rPr>
              <w:t>-</w:t>
            </w:r>
            <w:r w:rsidRPr="004369EC">
              <w:rPr>
                <w:rFonts w:eastAsia="Calibri"/>
                <w:kern w:val="2"/>
                <w:sz w:val="22"/>
                <w:szCs w:val="22"/>
                <w:lang w:val="en-GB"/>
              </w:rPr>
              <w:t>F9)</w:t>
            </w:r>
          </w:p>
        </w:tc>
        <w:tc>
          <w:tcPr>
            <w:tcW w:w="2830" w:type="dxa"/>
          </w:tcPr>
          <w:p w14:paraId="5F9F4CD3"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lastRenderedPageBreak/>
              <w:t>Respiratory system (J)</w:t>
            </w:r>
          </w:p>
        </w:tc>
        <w:tc>
          <w:tcPr>
            <w:tcW w:w="2830" w:type="dxa"/>
          </w:tcPr>
          <w:p w14:paraId="7D532ECA"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 xml:space="preserve">Other and unspecified effects of external causes </w:t>
            </w:r>
            <w:r w:rsidRPr="004369EC">
              <w:rPr>
                <w:rFonts w:eastAsia="Calibri"/>
                <w:kern w:val="2"/>
                <w:sz w:val="22"/>
                <w:szCs w:val="22"/>
                <w:lang w:val="en-GB"/>
              </w:rPr>
              <w:lastRenderedPageBreak/>
              <w:t>(T2—T34-T6—T8</w:t>
            </w:r>
            <w:r>
              <w:rPr>
                <w:rFonts w:eastAsia="Calibri"/>
                <w:kern w:val="2"/>
                <w:sz w:val="22"/>
                <w:szCs w:val="22"/>
                <w:lang w:val="en-GB"/>
              </w:rPr>
              <w:t>, V-</w:t>
            </w:r>
            <w:r w:rsidRPr="004369EC">
              <w:rPr>
                <w:rFonts w:eastAsia="Calibri"/>
                <w:kern w:val="2"/>
                <w:sz w:val="22"/>
                <w:szCs w:val="22"/>
                <w:lang w:val="en-GB"/>
              </w:rPr>
              <w:t>Z)</w:t>
            </w:r>
          </w:p>
        </w:tc>
      </w:tr>
      <w:tr w:rsidR="004B705F" w:rsidRPr="004369EC" w14:paraId="006072C2" w14:textId="77777777" w:rsidTr="00C045F3">
        <w:tc>
          <w:tcPr>
            <w:tcW w:w="2829" w:type="dxa"/>
            <w:tcBorders>
              <w:left w:val="nil"/>
              <w:bottom w:val="nil"/>
            </w:tcBorders>
          </w:tcPr>
          <w:p w14:paraId="06E5C0AD" w14:textId="77777777" w:rsidR="004B705F" w:rsidRPr="004369EC" w:rsidRDefault="004B705F" w:rsidP="004B705F">
            <w:pPr>
              <w:spacing w:before="0" w:line="276" w:lineRule="auto"/>
              <w:jc w:val="left"/>
              <w:rPr>
                <w:sz w:val="22"/>
                <w:szCs w:val="22"/>
                <w:lang w:val="en-GB"/>
              </w:rPr>
            </w:pPr>
          </w:p>
        </w:tc>
        <w:tc>
          <w:tcPr>
            <w:tcW w:w="2830" w:type="dxa"/>
          </w:tcPr>
          <w:p w14:paraId="371D5430"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Digestive system (K)</w:t>
            </w:r>
          </w:p>
        </w:tc>
        <w:tc>
          <w:tcPr>
            <w:tcW w:w="2830" w:type="dxa"/>
            <w:tcBorders>
              <w:top w:val="nil"/>
              <w:left w:val="nil"/>
              <w:bottom w:val="nil"/>
              <w:right w:val="nil"/>
            </w:tcBorders>
          </w:tcPr>
          <w:p w14:paraId="7B3376C6" w14:textId="77777777" w:rsidR="004B705F" w:rsidRPr="004369EC" w:rsidRDefault="004B705F" w:rsidP="00C045F3">
            <w:pPr>
              <w:spacing w:line="360" w:lineRule="auto"/>
              <w:rPr>
                <w:rFonts w:eastAsia="Calibri"/>
                <w:kern w:val="2"/>
                <w:lang w:val="en-GB"/>
              </w:rPr>
            </w:pPr>
          </w:p>
        </w:tc>
      </w:tr>
      <w:tr w:rsidR="004B705F" w:rsidRPr="004369EC" w14:paraId="3D65C6C1" w14:textId="77777777" w:rsidTr="00C045F3">
        <w:tc>
          <w:tcPr>
            <w:tcW w:w="2829" w:type="dxa"/>
            <w:vMerge w:val="restart"/>
            <w:tcBorders>
              <w:top w:val="nil"/>
              <w:left w:val="nil"/>
              <w:bottom w:val="nil"/>
            </w:tcBorders>
          </w:tcPr>
          <w:p w14:paraId="0F1F3474" w14:textId="77777777" w:rsidR="004B705F" w:rsidRPr="004369EC" w:rsidRDefault="004B705F" w:rsidP="004B705F">
            <w:pPr>
              <w:spacing w:before="0" w:line="276" w:lineRule="auto"/>
              <w:jc w:val="left"/>
              <w:rPr>
                <w:sz w:val="22"/>
                <w:szCs w:val="22"/>
                <w:lang w:val="en-GB"/>
              </w:rPr>
            </w:pPr>
          </w:p>
        </w:tc>
        <w:tc>
          <w:tcPr>
            <w:tcW w:w="2830" w:type="dxa"/>
          </w:tcPr>
          <w:p w14:paraId="3B2BED8E"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Symptoms, signs not elsewhere classified (R)</w:t>
            </w:r>
          </w:p>
        </w:tc>
        <w:tc>
          <w:tcPr>
            <w:tcW w:w="2830" w:type="dxa"/>
            <w:tcBorders>
              <w:top w:val="nil"/>
              <w:left w:val="nil"/>
              <w:bottom w:val="nil"/>
              <w:right w:val="nil"/>
            </w:tcBorders>
          </w:tcPr>
          <w:p w14:paraId="1F453743" w14:textId="77777777" w:rsidR="004B705F" w:rsidRPr="004369EC" w:rsidRDefault="004B705F" w:rsidP="00C045F3">
            <w:pPr>
              <w:spacing w:line="360" w:lineRule="auto"/>
              <w:rPr>
                <w:rFonts w:eastAsia="Calibri"/>
                <w:kern w:val="2"/>
                <w:lang w:val="en-GB"/>
              </w:rPr>
            </w:pPr>
          </w:p>
        </w:tc>
      </w:tr>
      <w:tr w:rsidR="004B705F" w:rsidRPr="004369EC" w14:paraId="1938C2F6" w14:textId="77777777" w:rsidTr="00C045F3">
        <w:trPr>
          <w:trHeight w:val="358"/>
        </w:trPr>
        <w:tc>
          <w:tcPr>
            <w:tcW w:w="2829" w:type="dxa"/>
            <w:vMerge/>
            <w:tcBorders>
              <w:top w:val="nil"/>
              <w:left w:val="nil"/>
              <w:bottom w:val="nil"/>
            </w:tcBorders>
          </w:tcPr>
          <w:p w14:paraId="0486A38C" w14:textId="77777777" w:rsidR="004B705F" w:rsidRPr="004369EC" w:rsidRDefault="004B705F" w:rsidP="004B705F">
            <w:pPr>
              <w:spacing w:before="0" w:line="276" w:lineRule="auto"/>
              <w:jc w:val="left"/>
              <w:rPr>
                <w:sz w:val="22"/>
                <w:szCs w:val="22"/>
                <w:lang w:val="en-GB"/>
              </w:rPr>
            </w:pPr>
          </w:p>
        </w:tc>
        <w:tc>
          <w:tcPr>
            <w:tcW w:w="2830" w:type="dxa"/>
          </w:tcPr>
          <w:p w14:paraId="3C3CE5A3" w14:textId="77777777" w:rsidR="004B705F" w:rsidRPr="004369EC" w:rsidRDefault="004B705F" w:rsidP="004B705F">
            <w:pPr>
              <w:spacing w:before="0" w:line="276" w:lineRule="auto"/>
              <w:jc w:val="left"/>
              <w:rPr>
                <w:sz w:val="22"/>
                <w:szCs w:val="22"/>
                <w:lang w:val="en-GB"/>
              </w:rPr>
            </w:pPr>
            <w:r w:rsidRPr="004369EC">
              <w:rPr>
                <w:rFonts w:eastAsia="Calibri"/>
                <w:kern w:val="2"/>
                <w:sz w:val="22"/>
                <w:szCs w:val="22"/>
                <w:lang w:val="en-GB"/>
              </w:rPr>
              <w:t>Other diseases (D</w:t>
            </w:r>
            <w:r>
              <w:rPr>
                <w:rFonts w:eastAsia="Calibri"/>
                <w:kern w:val="2"/>
                <w:sz w:val="22"/>
                <w:szCs w:val="22"/>
                <w:lang w:val="en-GB"/>
              </w:rPr>
              <w:t>-</w:t>
            </w:r>
            <w:r w:rsidRPr="004369EC">
              <w:rPr>
                <w:rFonts w:eastAsia="Calibri"/>
                <w:kern w:val="2"/>
                <w:sz w:val="22"/>
                <w:szCs w:val="22"/>
                <w:lang w:val="en-GB"/>
              </w:rPr>
              <w:t>E</w:t>
            </w:r>
            <w:r>
              <w:rPr>
                <w:rFonts w:eastAsia="Calibri"/>
                <w:kern w:val="2"/>
                <w:sz w:val="22"/>
                <w:szCs w:val="22"/>
                <w:lang w:val="en-GB"/>
              </w:rPr>
              <w:t xml:space="preserve">, </w:t>
            </w:r>
            <w:r w:rsidRPr="004369EC">
              <w:rPr>
                <w:rFonts w:eastAsia="Calibri"/>
                <w:kern w:val="2"/>
                <w:sz w:val="22"/>
                <w:szCs w:val="22"/>
                <w:lang w:val="en-GB"/>
              </w:rPr>
              <w:t>H</w:t>
            </w:r>
            <w:r>
              <w:rPr>
                <w:rFonts w:eastAsia="Calibri"/>
                <w:kern w:val="2"/>
                <w:sz w:val="22"/>
                <w:szCs w:val="22"/>
                <w:lang w:val="en-GB"/>
              </w:rPr>
              <w:t xml:space="preserve">, </w:t>
            </w:r>
            <w:r w:rsidRPr="004369EC">
              <w:rPr>
                <w:rFonts w:eastAsia="Calibri"/>
                <w:kern w:val="2"/>
                <w:sz w:val="22"/>
                <w:szCs w:val="22"/>
                <w:lang w:val="en-GB"/>
              </w:rPr>
              <w:t>L</w:t>
            </w:r>
            <w:r>
              <w:rPr>
                <w:rFonts w:eastAsia="Calibri"/>
                <w:kern w:val="2"/>
                <w:sz w:val="22"/>
                <w:szCs w:val="22"/>
                <w:lang w:val="en-GB"/>
              </w:rPr>
              <w:t>-</w:t>
            </w:r>
            <w:r w:rsidRPr="004369EC">
              <w:rPr>
                <w:rFonts w:eastAsia="Calibri"/>
                <w:kern w:val="2"/>
                <w:sz w:val="22"/>
                <w:szCs w:val="22"/>
                <w:lang w:val="en-GB"/>
              </w:rPr>
              <w:t>Q)</w:t>
            </w:r>
          </w:p>
        </w:tc>
        <w:tc>
          <w:tcPr>
            <w:tcW w:w="2830" w:type="dxa"/>
            <w:tcBorders>
              <w:top w:val="nil"/>
              <w:left w:val="nil"/>
              <w:bottom w:val="nil"/>
              <w:right w:val="nil"/>
            </w:tcBorders>
          </w:tcPr>
          <w:p w14:paraId="07426567" w14:textId="77777777" w:rsidR="004B705F" w:rsidRPr="004369EC" w:rsidRDefault="004B705F" w:rsidP="00C045F3">
            <w:pPr>
              <w:spacing w:before="0" w:line="360" w:lineRule="auto"/>
              <w:rPr>
                <w:rFonts w:eastAsia="Calibri"/>
                <w:kern w:val="2"/>
                <w:lang w:val="en-GB"/>
              </w:rPr>
            </w:pPr>
          </w:p>
        </w:tc>
      </w:tr>
    </w:tbl>
    <w:p w14:paraId="21050079" w14:textId="77777777" w:rsidR="004B705F" w:rsidRDefault="004B705F" w:rsidP="004B0F14">
      <w:pPr>
        <w:spacing w:before="0" w:line="360" w:lineRule="auto"/>
        <w:rPr>
          <w:rFonts w:ascii="Calibri" w:hAnsi="Calibri" w:cs="Calibri"/>
        </w:rPr>
      </w:pPr>
    </w:p>
    <w:p w14:paraId="68430AAF" w14:textId="339034C3" w:rsidR="00AD4439" w:rsidRPr="00AD4439" w:rsidRDefault="00AD4439" w:rsidP="004B0F14">
      <w:pPr>
        <w:spacing w:before="0" w:line="360" w:lineRule="auto"/>
        <w:rPr>
          <w:rFonts w:ascii="Calibri" w:hAnsi="Calibri" w:cs="Calibri"/>
        </w:rPr>
      </w:pPr>
      <w:r w:rsidRPr="00AD4439">
        <w:rPr>
          <w:rFonts w:ascii="Calibri" w:hAnsi="Calibri" w:cs="Calibri"/>
        </w:rPr>
        <w:t xml:space="preserve">To avoid the duplication of certain profiles, the calculation of the occurrence of morbidities was carried out based on presence and non-presence. </w:t>
      </w:r>
      <w:r w:rsidR="00EB6664">
        <w:rPr>
          <w:rFonts w:ascii="Calibri" w:hAnsi="Calibri" w:cs="Calibri"/>
        </w:rPr>
        <w:t>An</w:t>
      </w:r>
      <w:r w:rsidRPr="00AD4439">
        <w:rPr>
          <w:rFonts w:ascii="Calibri" w:hAnsi="Calibri" w:cs="Calibri"/>
        </w:rPr>
        <w:t xml:space="preserve"> individual with two or more morbidities belonging to the same group (e.g., three </w:t>
      </w:r>
      <w:r w:rsidR="00AF555F">
        <w:rPr>
          <w:rFonts w:ascii="Calibri" w:hAnsi="Calibri" w:cs="Calibri"/>
        </w:rPr>
        <w:t xml:space="preserve">different </w:t>
      </w:r>
      <w:r w:rsidR="00EB5113">
        <w:rPr>
          <w:rFonts w:ascii="Calibri" w:eastAsia="Calibri" w:hAnsi="Calibri" w:cs="Calibri"/>
          <w:kern w:val="2"/>
        </w:rPr>
        <w:t>neoplasms</w:t>
      </w:r>
      <w:r w:rsidRPr="00AD4439">
        <w:rPr>
          <w:rFonts w:ascii="Calibri" w:eastAsia="Calibri" w:hAnsi="Calibri" w:cs="Calibri"/>
          <w:kern w:val="2"/>
        </w:rPr>
        <w:t>)</w:t>
      </w:r>
      <w:r w:rsidRPr="00AD4439">
        <w:rPr>
          <w:rFonts w:ascii="Calibri" w:hAnsi="Calibri" w:cs="Calibri"/>
        </w:rPr>
        <w:t xml:space="preserve"> counted only once as being affiliated with the considered comorbidity (</w:t>
      </w:r>
      <w:r w:rsidR="00823B8D" w:rsidRPr="00AD4439">
        <w:rPr>
          <w:rFonts w:ascii="Calibri" w:hAnsi="Calibri" w:cs="Calibri"/>
        </w:rPr>
        <w:t>i.e.</w:t>
      </w:r>
      <w:r w:rsidRPr="00AD4439">
        <w:rPr>
          <w:rFonts w:ascii="Calibri" w:hAnsi="Calibri" w:cs="Calibri"/>
        </w:rPr>
        <w:t xml:space="preserve">, has a registration of </w:t>
      </w:r>
      <w:r w:rsidR="00832E03">
        <w:rPr>
          <w:rFonts w:ascii="Calibri" w:hAnsi="Calibri" w:cs="Calibri"/>
        </w:rPr>
        <w:t>neoplasms</w:t>
      </w:r>
      <w:r w:rsidRPr="00AD4439">
        <w:rPr>
          <w:rFonts w:ascii="Calibri" w:hAnsi="Calibri" w:cs="Calibri"/>
        </w:rPr>
        <w:t>).</w:t>
      </w:r>
    </w:p>
    <w:p w14:paraId="17B22356" w14:textId="77777777" w:rsidR="00AD4439" w:rsidRPr="00AD4439" w:rsidRDefault="00AD4439" w:rsidP="004B0F14">
      <w:pPr>
        <w:widowControl/>
        <w:spacing w:before="0" w:line="360" w:lineRule="auto"/>
        <w:jc w:val="left"/>
        <w:rPr>
          <w:rFonts w:ascii="Calibri" w:hAnsi="Calibri" w:cs="Calibri"/>
          <w:b/>
          <w:bCs/>
          <w:kern w:val="2"/>
          <w:szCs w:val="32"/>
        </w:rPr>
      </w:pPr>
    </w:p>
    <w:p w14:paraId="28025404" w14:textId="77777777" w:rsidR="00AD4439" w:rsidRPr="00AD4439" w:rsidRDefault="00AD4439" w:rsidP="004B0F14">
      <w:pPr>
        <w:pStyle w:val="Heading1"/>
        <w:spacing w:line="360" w:lineRule="auto"/>
      </w:pPr>
      <w:bookmarkStart w:id="2" w:name="_Toc145236428"/>
      <w:r w:rsidRPr="00AD4439">
        <w:t>Methods</w:t>
      </w:r>
      <w:bookmarkEnd w:id="2"/>
    </w:p>
    <w:p w14:paraId="7C5DD2A6" w14:textId="48194A33" w:rsidR="00AD4439" w:rsidRPr="00AD4439" w:rsidRDefault="00AD4439" w:rsidP="004B0F14">
      <w:pPr>
        <w:pStyle w:val="Newparagraph"/>
        <w:spacing w:line="360" w:lineRule="auto"/>
        <w:rPr>
          <w:rFonts w:ascii="Calibri" w:hAnsi="Calibri" w:cs="Calibri"/>
        </w:rPr>
      </w:pPr>
      <w:r w:rsidRPr="00AD4439">
        <w:rPr>
          <w:rFonts w:ascii="Calibri" w:hAnsi="Calibri" w:cs="Calibri"/>
        </w:rPr>
        <w:t xml:space="preserve">Three independent analyses have been performed. </w:t>
      </w:r>
    </w:p>
    <w:p w14:paraId="2EA2D14D" w14:textId="5B04B9EA" w:rsidR="00AD4439" w:rsidRPr="00AD4439" w:rsidRDefault="00AD4439" w:rsidP="004B0F14">
      <w:pPr>
        <w:pStyle w:val="Newparagraph"/>
        <w:spacing w:line="360" w:lineRule="auto"/>
        <w:ind w:firstLine="0"/>
        <w:rPr>
          <w:rFonts w:ascii="Calibri" w:hAnsi="Calibri" w:cs="Calibri"/>
          <w:color w:val="156082" w:themeColor="accent1"/>
        </w:rPr>
      </w:pPr>
      <w:r w:rsidRPr="00AD4439">
        <w:rPr>
          <w:rFonts w:ascii="Calibri" w:hAnsi="Calibri" w:cs="Calibri"/>
        </w:rPr>
        <w:t>First</w:t>
      </w:r>
      <w:r w:rsidR="006E0266">
        <w:rPr>
          <w:rFonts w:ascii="Calibri" w:hAnsi="Calibri" w:cs="Calibri"/>
        </w:rPr>
        <w:t>ly</w:t>
      </w:r>
      <w:r w:rsidRPr="00AD4439">
        <w:rPr>
          <w:rFonts w:ascii="Calibri" w:hAnsi="Calibri" w:cs="Calibri"/>
        </w:rPr>
        <w:t xml:space="preserve">, we computed the age-standardised </w:t>
      </w:r>
      <w:r w:rsidR="000D3ACB">
        <w:rPr>
          <w:rFonts w:ascii="Calibri" w:hAnsi="Calibri" w:cs="Calibri"/>
        </w:rPr>
        <w:t>suicide</w:t>
      </w:r>
      <w:r w:rsidR="000D3ACB" w:rsidRPr="00AD4439">
        <w:rPr>
          <w:rFonts w:ascii="Calibri" w:hAnsi="Calibri" w:cs="Calibri"/>
        </w:rPr>
        <w:t xml:space="preserve"> </w:t>
      </w:r>
      <w:r w:rsidRPr="00AD4439">
        <w:rPr>
          <w:rFonts w:ascii="Calibri" w:hAnsi="Calibri" w:cs="Calibri"/>
        </w:rPr>
        <w:t>rates (ASDR) yearly and for each sex-education profile using the 2000 US</w:t>
      </w:r>
      <w:r w:rsidR="001B2F0D">
        <w:rPr>
          <w:rFonts w:ascii="Calibri" w:hAnsi="Calibri" w:cs="Calibri"/>
        </w:rPr>
        <w:t>A</w:t>
      </w:r>
      <w:r w:rsidRPr="00AD4439">
        <w:rPr>
          <w:rFonts w:ascii="Calibri" w:hAnsi="Calibri" w:cs="Calibri"/>
        </w:rPr>
        <w:t xml:space="preserve"> standard, the Human Mortality Database </w:t>
      </w:r>
      <w:r w:rsidRPr="00AD4439">
        <w:rPr>
          <w:rFonts w:ascii="Calibri" w:hAnsi="Calibri" w:cs="Calibri"/>
        </w:rPr>
        <w:fldChar w:fldCharType="begin"/>
      </w:r>
      <w:r w:rsidR="001452AB">
        <w:rPr>
          <w:rFonts w:ascii="Calibri" w:hAnsi="Calibri" w:cs="Calibri"/>
        </w:rPr>
        <w:instrText xml:space="preserve"> ADDIN ZOTERO_ITEM CSL_CITATION {"citationID":"2CXVu7Ps","properties":{"formattedCitation":"[21]","plainCitation":"[21]","noteIndex":0},"citationItems":[{"id":50,"uris":["http://zotero.org/users/6964448/items/3XKAMJV6"],"itemData":{"id":50,"type":"document","title":"HMD. Human Mortality Database. Max Planck Institute for Demographic Research (Germany), University of California, Berkeley (USA), and French Institute for Demographic Studies (France). Available at www.mortality.org.","accessed":{"date-parts":[["2023",7,10]]},"citation-key":"HMDHumanMortality"}}],"schema":"https://github.com/citation-style-language/schema/raw/master/csl-citation.json"}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[21]</w:t>
      </w:r>
      <w:r w:rsidRPr="00AD4439">
        <w:rPr>
          <w:rFonts w:ascii="Calibri" w:hAnsi="Calibri" w:cs="Calibri"/>
        </w:rPr>
        <w:fldChar w:fldCharType="end"/>
      </w:r>
      <w:r w:rsidRPr="00AD4439">
        <w:rPr>
          <w:rFonts w:ascii="Calibri" w:hAnsi="Calibri" w:cs="Calibri"/>
        </w:rPr>
        <w:t xml:space="preserve"> for yearly exposure per age group, and the American Community Survey 1-year Estimates Public Use Microdata sample with PUMS person weight for exposure per education.</w:t>
      </w:r>
      <w:r w:rsidR="006E0266">
        <w:rPr>
          <w:rFonts w:ascii="Calibri" w:hAnsi="Calibri" w:cs="Calibri"/>
        </w:rPr>
        <w:t xml:space="preserve"> </w:t>
      </w:r>
      <w:r w:rsidRPr="00AD4439">
        <w:rPr>
          <w:rFonts w:ascii="Calibri" w:hAnsi="Calibri" w:cs="Calibri"/>
        </w:rPr>
        <w:t xml:space="preserve">ASDR among the unknown education category were not estimated because their population exposure is not available. </w:t>
      </w:r>
    </w:p>
    <w:p w14:paraId="374454C9" w14:textId="00197FF4" w:rsidR="00AD4439" w:rsidRPr="00AD4439" w:rsidRDefault="00AD4439" w:rsidP="004B0F14">
      <w:pPr>
        <w:pStyle w:val="Newparagraph"/>
        <w:spacing w:line="360" w:lineRule="auto"/>
        <w:ind w:firstLine="0"/>
        <w:rPr>
          <w:rFonts w:ascii="Calibri" w:hAnsi="Calibri" w:cs="Calibri"/>
          <w:color w:val="156082" w:themeColor="accent1"/>
        </w:rPr>
      </w:pPr>
      <w:r w:rsidRPr="00AD4439">
        <w:rPr>
          <w:rFonts w:ascii="Calibri" w:hAnsi="Calibri" w:cs="Calibri"/>
        </w:rPr>
        <w:t>Secondly, we produced a correspondence analysis (CA), to visuali</w:t>
      </w:r>
      <w:r w:rsidR="00FA6F1B">
        <w:rPr>
          <w:rFonts w:ascii="Calibri" w:hAnsi="Calibri" w:cs="Calibri"/>
        </w:rPr>
        <w:t>s</w:t>
      </w:r>
      <w:r w:rsidRPr="00AD4439">
        <w:rPr>
          <w:rFonts w:ascii="Calibri" w:hAnsi="Calibri" w:cs="Calibri"/>
        </w:rPr>
        <w:t xml:space="preserve">e the relationship between and within the sex-education profiles of decedents and the registration of a given comorbidity. CA is a principal component analysis performed on a contingency table created from categorical data and can be used to uncover associations between categorical variables. Essentially, it allows us to reduce a large number of categories into a smaller number of principal axes that explain a large proportion of the variation in the data </w:t>
      </w:r>
      <w:r w:rsidRPr="00AD4439">
        <w:rPr>
          <w:rFonts w:ascii="Calibri" w:hAnsi="Calibri" w:cs="Calibri"/>
        </w:rPr>
        <w:fldChar w:fldCharType="begin"/>
      </w:r>
      <w:r w:rsidR="001452AB">
        <w:rPr>
          <w:rFonts w:ascii="Calibri" w:hAnsi="Calibri" w:cs="Calibri"/>
        </w:rPr>
        <w:instrText xml:space="preserve"> ADDIN ZOTERO_ITEM CSL_CITATION {"citationID":"X3pHBKjW","properties":{"formattedCitation":"[22]","plainCitation":"[22]","noteIndex":0},"citationItems":[{"id":970,"uris":["http://zotero.org/users/6964448/items/4F3JGPCD"],"itemData":{"id":970,"type":"chapter","container-title":"Wiley Series in Probability and Statistics","event-place":"Chichester, United Kingdom","ISBN":"978-1-118-76287-5","note":"DOI: 10.1002/9781118762875.ch04","page":"120-176","publisher":"John Wiley &amp; Sons, Ltd","publisher-place":"Chichester, United Kingdom","source":"DOI.org (Crossref)","title":"Simple correspondence analysis","URL":"https://onlinelibrary.wiley.com/doi/10.1002/9781118762875.ch04","editor":[{"family":"Beh","given":"Eric J."},{"family":"Lombardo","given":"Rosaria"}],"accessed":{"date-parts":[["2023",7,17]]},"issued":{"date-parts":[["2014",8,29]]},"citation-key":"behSimpleCorrespondenceAnalysis2014a"}}],"schema":"https://github.com/citation-style-language/schema/raw/master/csl-citation.json"}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[22]</w:t>
      </w:r>
      <w:r w:rsidRPr="00AD4439">
        <w:rPr>
          <w:rFonts w:ascii="Calibri" w:hAnsi="Calibri" w:cs="Calibri"/>
        </w:rPr>
        <w:fldChar w:fldCharType="end"/>
      </w:r>
      <w:r w:rsidRPr="00AD4439">
        <w:rPr>
          <w:rFonts w:ascii="Calibri" w:hAnsi="Calibri" w:cs="Calibri"/>
        </w:rPr>
        <w:t xml:space="preserve">. We used CA to represent the relationship and contribution of each variable to the analysis. Correspondence analysis has </w:t>
      </w:r>
      <w:r w:rsidR="0050119C">
        <w:rPr>
          <w:rFonts w:ascii="Calibri" w:hAnsi="Calibri" w:cs="Calibri"/>
        </w:rPr>
        <w:t>already been</w:t>
      </w:r>
      <w:r w:rsidRPr="00AD4439">
        <w:rPr>
          <w:rFonts w:ascii="Calibri" w:hAnsi="Calibri" w:cs="Calibri"/>
        </w:rPr>
        <w:t xml:space="preserve"> used in the analysis of comorbidity and death certificates </w:t>
      </w:r>
      <w:r w:rsidRPr="00AD4439">
        <w:rPr>
          <w:rFonts w:ascii="Calibri" w:hAnsi="Calibri" w:cs="Calibri"/>
        </w:rPr>
        <w:fldChar w:fldCharType="begin"/>
      </w:r>
      <w:r w:rsidR="001452AB">
        <w:rPr>
          <w:rFonts w:ascii="Calibri" w:hAnsi="Calibri" w:cs="Calibri"/>
        </w:rPr>
        <w:instrText xml:space="preserve"> ADDIN ZOTERO_ITEM CSL_CITATION {"citationID":"Ff36nxcl","properties":{"formattedCitation":"[23, 24]","plainCitation":"[23, 24]","noteIndex":0},"citationItems":[{"id":971,"uris":["http://zotero.org/users/6964448/items/IQ2F8HP5"],"itemData":{"id":971,"type":"article-journal","container-title":"Annals of Epidemiology","DOI":"10.1016/j.annepidem.2022.03.011","ISSN":"10472797","journalAbbreviation":"Annals of Epidemiology","language":"en","page":"119-126","source":"DOI.org (Crossref)","title":"Clustering patterns in polysubstance mortality in the United States in 2017: a multiple correspondence analysis of death certificate data","title-short":"Clustering patterns in polysubstance mortality in the United States in 2017","volume":"77","author":[{"family":"Black","given":"Joshua C."},{"family":"Rockhill","given":"Karilynn M."},{"family":"Dart","given":"Richard C."},{"family":"Iwanicki","given":"Janetta"}],"issued":{"date-parts":[["2023",1]]},"citation-key":"blackClusteringPatternsPolysubstance2023a"}},{"id":972,"uris":["http://zotero.org/users/6964448/items/6XN5JH5S"],"itemData":{"id":972,"type":"article-journal","container-title":"One Health","DOI":"10.1016/j.onehlt.2021.100283","ISSN":"23527714","journalAbbreviation":"One Health","language":"en","page":"100283","source":"DOI.org (Crossref)","title":"Meta-analysis and adjusted estimation of COVID-19 case fatality risk in India and its association with the underlying comorbidities","volume":"13","author":[{"family":"Singh","given":"Balbir B."},{"family":"Ward","given":"Michael P."},{"family":"Lowerison","given":"Mark"},{"family":"Lewinson","given":"Ryan T."},{"family":"Vallerand","given":"Isabelle A."},{"family":"Deardon","given":"Rob"},{"family":"Gill","given":"Jatinder P.S."},{"family":"Singh","given":"Baljit"},{"family":"Barkema","given":"Herman W."}],"issued":{"date-parts":[["2021",12]]},"citation-key":"singhMetaanalysisAdjustedEstimation2021a"}}],"schema":"https://github.com/citation-style-language/schema/raw/master/csl-citation.json"}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[23, 24]</w:t>
      </w:r>
      <w:r w:rsidRPr="00AD4439">
        <w:rPr>
          <w:rFonts w:ascii="Calibri" w:hAnsi="Calibri" w:cs="Calibri"/>
        </w:rPr>
        <w:fldChar w:fldCharType="end"/>
      </w:r>
      <w:r w:rsidRPr="00AD4439">
        <w:rPr>
          <w:rFonts w:ascii="Calibri" w:hAnsi="Calibri" w:cs="Calibri"/>
        </w:rPr>
        <w:t xml:space="preserve">. Results are presented as </w:t>
      </w:r>
      <w:r w:rsidR="00236389">
        <w:rPr>
          <w:rFonts w:ascii="Calibri" w:hAnsi="Calibri" w:cs="Calibri"/>
        </w:rPr>
        <w:t xml:space="preserve">a </w:t>
      </w:r>
      <w:r w:rsidRPr="00AD4439">
        <w:rPr>
          <w:rFonts w:ascii="Calibri" w:hAnsi="Calibri" w:cs="Calibri"/>
        </w:rPr>
        <w:t xml:space="preserve">symmetric plot. </w:t>
      </w:r>
    </w:p>
    <w:p w14:paraId="699EB929" w14:textId="213BFC6E" w:rsidR="004570C2" w:rsidRPr="004570C2" w:rsidRDefault="00AD4439" w:rsidP="004B0F14">
      <w:pPr>
        <w:pStyle w:val="Newparagraph"/>
        <w:spacing w:line="360" w:lineRule="auto"/>
        <w:ind w:firstLine="0"/>
        <w:rPr>
          <w:rFonts w:ascii="Calibri" w:hAnsi="Calibri" w:cs="Calibri"/>
        </w:rPr>
      </w:pPr>
      <w:r w:rsidRPr="00AD4439">
        <w:rPr>
          <w:rFonts w:ascii="Calibri" w:hAnsi="Calibri" w:cs="Calibri"/>
        </w:rPr>
        <w:lastRenderedPageBreak/>
        <w:t>Third</w:t>
      </w:r>
      <w:r w:rsidR="006E0266">
        <w:rPr>
          <w:rFonts w:ascii="Calibri" w:hAnsi="Calibri" w:cs="Calibri"/>
        </w:rPr>
        <w:t>ly</w:t>
      </w:r>
      <w:r w:rsidRPr="00AD4439">
        <w:rPr>
          <w:rFonts w:ascii="Calibri" w:hAnsi="Calibri" w:cs="Calibri"/>
        </w:rPr>
        <w:t>, we estimate</w:t>
      </w:r>
      <w:r w:rsidR="006E0266">
        <w:rPr>
          <w:rFonts w:ascii="Calibri" w:hAnsi="Calibri" w:cs="Calibri"/>
        </w:rPr>
        <w:t>d</w:t>
      </w:r>
      <w:r w:rsidRPr="00AD4439">
        <w:rPr>
          <w:rFonts w:ascii="Calibri" w:hAnsi="Calibri" w:cs="Calibri"/>
        </w:rPr>
        <w:t xml:space="preserve"> the odds that a given morbidity is associated with suicide compared to accidental deaths using logistic regression. To do so, we used a comparative group composed of accidental deaths. </w:t>
      </w:r>
      <w:r w:rsidR="00BE1B27">
        <w:rPr>
          <w:rFonts w:ascii="Calibri" w:hAnsi="Calibri" w:cs="Calibri"/>
        </w:rPr>
        <w:t>S</w:t>
      </w:r>
      <w:r w:rsidRPr="00AD4439">
        <w:rPr>
          <w:rFonts w:ascii="Calibri" w:hAnsi="Calibri" w:cs="Calibri"/>
        </w:rPr>
        <w:t xml:space="preserve">everal logistic regressions </w:t>
      </w:r>
      <w:r w:rsidR="00BE1B27" w:rsidRPr="00AD4439">
        <w:rPr>
          <w:rFonts w:ascii="Calibri" w:hAnsi="Calibri" w:cs="Calibri"/>
        </w:rPr>
        <w:t xml:space="preserve">stratified by sex </w:t>
      </w:r>
      <w:r w:rsidRPr="00AD4439">
        <w:rPr>
          <w:rFonts w:ascii="Calibri" w:hAnsi="Calibri" w:cs="Calibri"/>
        </w:rPr>
        <w:t xml:space="preserve">have been performed, one for each comorbidity group presented in Table 1. The dependent variable for each model is the presence of a given comorbidity in the death certificate. The independent variables were 5-year age groups, education (reference: </w:t>
      </w:r>
      <w:r w:rsidRPr="008F2E4C">
        <w:rPr>
          <w:rFonts w:ascii="Calibri" w:hAnsi="Calibri" w:cs="Calibri"/>
          <w:i/>
          <w:iCs/>
        </w:rPr>
        <w:t>Bachelor</w:t>
      </w:r>
      <w:r w:rsidRPr="00AD4439">
        <w:rPr>
          <w:rFonts w:ascii="Calibri" w:hAnsi="Calibri" w:cs="Calibri"/>
        </w:rPr>
        <w:t>), place of death (</w:t>
      </w:r>
      <w:r w:rsidRPr="008F2E4C">
        <w:rPr>
          <w:rFonts w:ascii="Calibri" w:hAnsi="Calibri" w:cs="Calibri"/>
          <w:i/>
          <w:iCs/>
        </w:rPr>
        <w:t>Home</w:t>
      </w:r>
      <w:r w:rsidRPr="00AD4439">
        <w:rPr>
          <w:rFonts w:ascii="Calibri" w:hAnsi="Calibri" w:cs="Calibri"/>
        </w:rPr>
        <w:t>), race (</w:t>
      </w:r>
      <w:r w:rsidRPr="008F2E4C">
        <w:rPr>
          <w:rFonts w:ascii="Calibri" w:hAnsi="Calibri" w:cs="Calibri"/>
          <w:i/>
          <w:iCs/>
        </w:rPr>
        <w:t>non-Hispanic White</w:t>
      </w:r>
      <w:r w:rsidRPr="00AD4439">
        <w:rPr>
          <w:rFonts w:ascii="Calibri" w:hAnsi="Calibri" w:cs="Calibri"/>
        </w:rPr>
        <w:t>), autopsy (</w:t>
      </w:r>
      <w:r w:rsidRPr="008F2E4C">
        <w:rPr>
          <w:rFonts w:ascii="Calibri" w:hAnsi="Calibri" w:cs="Calibri"/>
          <w:i/>
          <w:iCs/>
        </w:rPr>
        <w:t>Yes</w:t>
      </w:r>
      <w:r w:rsidRPr="00AD4439">
        <w:rPr>
          <w:rFonts w:ascii="Calibri" w:hAnsi="Calibri" w:cs="Calibri"/>
        </w:rPr>
        <w:t>), marital status (</w:t>
      </w:r>
      <w:r w:rsidRPr="008F2E4C">
        <w:rPr>
          <w:rFonts w:ascii="Calibri" w:hAnsi="Calibri" w:cs="Calibri"/>
          <w:i/>
          <w:iCs/>
        </w:rPr>
        <w:t>Married</w:t>
      </w:r>
      <w:r w:rsidRPr="00AD4439">
        <w:rPr>
          <w:rFonts w:ascii="Calibri" w:hAnsi="Calibri" w:cs="Calibri"/>
        </w:rPr>
        <w:t>) and UC (</w:t>
      </w:r>
      <w:r w:rsidRPr="008F2E4C">
        <w:rPr>
          <w:rFonts w:ascii="Calibri" w:hAnsi="Calibri" w:cs="Calibri"/>
          <w:i/>
          <w:iCs/>
        </w:rPr>
        <w:t>Acciden</w:t>
      </w:r>
      <w:r w:rsidR="0025157B">
        <w:rPr>
          <w:rFonts w:ascii="Calibri" w:hAnsi="Calibri" w:cs="Calibri"/>
          <w:i/>
          <w:iCs/>
        </w:rPr>
        <w:t>ts</w:t>
      </w:r>
      <w:r w:rsidRPr="00AD4439">
        <w:rPr>
          <w:rFonts w:ascii="Calibri" w:hAnsi="Calibri" w:cs="Calibri"/>
        </w:rPr>
        <w:t xml:space="preserve">). </w:t>
      </w:r>
    </w:p>
    <w:p w14:paraId="59E57C64" w14:textId="04AD703D" w:rsidR="00AD4439" w:rsidRPr="00AD4439" w:rsidRDefault="00AD4439" w:rsidP="004B0F14">
      <w:pPr>
        <w:pStyle w:val="Newparagraph"/>
        <w:spacing w:line="360" w:lineRule="auto"/>
        <w:ind w:firstLine="0"/>
        <w:rPr>
          <w:rFonts w:ascii="Calibri" w:hAnsi="Calibri" w:cs="Calibri"/>
        </w:rPr>
      </w:pPr>
      <w:r w:rsidRPr="00AD4439">
        <w:rPr>
          <w:rFonts w:ascii="Calibri" w:hAnsi="Calibri" w:cs="Calibri"/>
        </w:rPr>
        <w:t>Analyses were carried out on R 4.3.1.</w:t>
      </w:r>
    </w:p>
    <w:p w14:paraId="53E1EA69" w14:textId="77777777" w:rsidR="00AD4439" w:rsidRPr="00AD4439" w:rsidRDefault="00AD4439" w:rsidP="004B0F14">
      <w:pPr>
        <w:pStyle w:val="Newparagraph"/>
        <w:spacing w:before="0" w:line="360" w:lineRule="auto"/>
        <w:ind w:firstLine="0"/>
        <w:rPr>
          <w:rFonts w:ascii="Calibri" w:hAnsi="Calibri" w:cs="Calibri"/>
        </w:rPr>
      </w:pPr>
    </w:p>
    <w:p w14:paraId="1CEA8F12" w14:textId="77777777" w:rsidR="00AD4439" w:rsidRPr="00AD4439" w:rsidRDefault="00AD4439" w:rsidP="004B0F14">
      <w:pPr>
        <w:pStyle w:val="Heading1"/>
        <w:spacing w:line="360" w:lineRule="auto"/>
        <w:rPr>
          <w:sz w:val="28"/>
          <w:szCs w:val="36"/>
        </w:rPr>
      </w:pPr>
      <w:bookmarkStart w:id="3" w:name="_Toc145236429"/>
      <w:r w:rsidRPr="00AD4439">
        <w:rPr>
          <w:sz w:val="28"/>
          <w:szCs w:val="36"/>
        </w:rPr>
        <w:t>Results</w:t>
      </w:r>
      <w:bookmarkEnd w:id="3"/>
    </w:p>
    <w:p w14:paraId="6D7F5F9B" w14:textId="77777777" w:rsidR="00AD4439" w:rsidRPr="00AD4439" w:rsidRDefault="00AD4439" w:rsidP="004B0F14">
      <w:pPr>
        <w:pStyle w:val="Heading2"/>
        <w:spacing w:after="0" w:line="360" w:lineRule="auto"/>
        <w:rPr>
          <w:i/>
          <w:iCs/>
          <w:sz w:val="24"/>
          <w:szCs w:val="24"/>
        </w:rPr>
      </w:pPr>
      <w:bookmarkStart w:id="4" w:name="_Toc145236430"/>
      <w:r w:rsidRPr="00AD4439">
        <w:rPr>
          <w:i/>
          <w:iCs/>
          <w:sz w:val="24"/>
          <w:szCs w:val="24"/>
        </w:rPr>
        <w:t>Descriptive Statistics</w:t>
      </w:r>
      <w:bookmarkEnd w:id="4"/>
    </w:p>
    <w:p w14:paraId="27C26A44" w14:textId="79F1014E" w:rsidR="00AD4439" w:rsidRDefault="00AD4439" w:rsidP="004B705F">
      <w:pPr>
        <w:pStyle w:val="Newparagraph"/>
        <w:spacing w:before="0" w:after="360" w:line="360" w:lineRule="auto"/>
        <w:ind w:firstLine="0"/>
        <w:rPr>
          <w:rFonts w:ascii="Calibri" w:hAnsi="Calibri" w:cs="Calibri"/>
        </w:rPr>
      </w:pPr>
      <w:r w:rsidRPr="00AD4439">
        <w:rPr>
          <w:rFonts w:ascii="Calibri" w:hAnsi="Calibri" w:cs="Calibri"/>
        </w:rPr>
        <w:t>ASDR were higher for males and among individuals with (or less than) a high school degree with 7.65 (95% CI</w:t>
      </w:r>
      <w:r w:rsidR="00153B3A">
        <w:rPr>
          <w:rStyle w:val="FootnoteReference"/>
          <w:rFonts w:ascii="Calibri" w:hAnsi="Calibri" w:cs="Calibri"/>
        </w:rPr>
        <w:footnoteReference w:id="1"/>
      </w:r>
      <w:r w:rsidRPr="00AD4439">
        <w:rPr>
          <w:rFonts w:ascii="Calibri" w:hAnsi="Calibri" w:cs="Calibri"/>
        </w:rPr>
        <w:t>: 5.94-9.36) deaths per 100,000 females and 29.38 (CI: 26.02-32.73)</w:t>
      </w:r>
      <w:r w:rsidRPr="00AD4439">
        <w:rPr>
          <w:rFonts w:ascii="Calibri" w:hAnsi="Calibri" w:cs="Calibri"/>
          <w:sz w:val="28"/>
          <w:szCs w:val="28"/>
        </w:rPr>
        <w:t xml:space="preserve"> </w:t>
      </w:r>
      <w:r w:rsidRPr="00AD4439">
        <w:rPr>
          <w:rFonts w:ascii="Calibri" w:hAnsi="Calibri" w:cs="Calibri"/>
        </w:rPr>
        <w:t xml:space="preserve">per 100,000 males (Table </w:t>
      </w:r>
      <w:r w:rsidR="002F7A44">
        <w:rPr>
          <w:rFonts w:ascii="Calibri" w:hAnsi="Calibri" w:cs="Calibri"/>
        </w:rPr>
        <w:t>2</w:t>
      </w:r>
      <w:r w:rsidRPr="00AD4439">
        <w:rPr>
          <w:rFonts w:ascii="Calibri" w:hAnsi="Calibri" w:cs="Calibri"/>
        </w:rPr>
        <w:t xml:space="preserve">). Individuals with a master’s degree or higher have the lowest rates, with respectively 4.56 (CI: 3.24-5.88) and 13.44 (CI: 11.16-15.71). </w:t>
      </w:r>
    </w:p>
    <w:p w14:paraId="43A43557" w14:textId="77777777" w:rsidR="00010D2B" w:rsidRDefault="00010D2B" w:rsidP="004B705F">
      <w:pPr>
        <w:pStyle w:val="Newparagraph"/>
        <w:spacing w:after="240" w:line="360" w:lineRule="auto"/>
        <w:ind w:firstLine="0"/>
        <w:jc w:val="center"/>
        <w:rPr>
          <w:b/>
          <w:bCs/>
          <w:i/>
          <w:iCs/>
        </w:rPr>
      </w:pPr>
    </w:p>
    <w:p w14:paraId="41A52E9E" w14:textId="08BC876E" w:rsidR="004B705F" w:rsidRPr="004369EC" w:rsidRDefault="004B705F" w:rsidP="004B705F">
      <w:pPr>
        <w:pStyle w:val="Newparagraph"/>
        <w:spacing w:after="240" w:line="360" w:lineRule="auto"/>
        <w:ind w:firstLine="0"/>
        <w:jc w:val="center"/>
        <w:rPr>
          <w:i/>
          <w:iCs/>
        </w:rPr>
      </w:pPr>
      <w:r w:rsidRPr="00993D55">
        <w:rPr>
          <w:b/>
          <w:bCs/>
          <w:i/>
          <w:iCs/>
        </w:rPr>
        <w:t xml:space="preserve">Table </w:t>
      </w:r>
      <w:r>
        <w:rPr>
          <w:b/>
          <w:bCs/>
          <w:i/>
          <w:iCs/>
        </w:rPr>
        <w:t>2</w:t>
      </w:r>
      <w:r w:rsidRPr="00993D55">
        <w:rPr>
          <w:b/>
          <w:bCs/>
          <w:i/>
          <w:iCs/>
        </w:rPr>
        <w:t>.</w:t>
      </w:r>
      <w:r w:rsidRPr="004369EC">
        <w:rPr>
          <w:i/>
          <w:iCs/>
        </w:rPr>
        <w:t xml:space="preserve"> Age-</w:t>
      </w:r>
      <w:r>
        <w:rPr>
          <w:i/>
          <w:iCs/>
        </w:rPr>
        <w:t xml:space="preserve">adjusted death </w:t>
      </w:r>
      <w:r w:rsidRPr="004369EC">
        <w:rPr>
          <w:i/>
          <w:iCs/>
        </w:rPr>
        <w:t>rates</w:t>
      </w:r>
      <w:r>
        <w:rPr>
          <w:i/>
          <w:iCs/>
        </w:rPr>
        <w:t xml:space="preserve"> per 100,000</w:t>
      </w:r>
      <w:r w:rsidRPr="004369EC">
        <w:rPr>
          <w:i/>
          <w:iCs/>
        </w:rPr>
        <w:t xml:space="preserve"> </w:t>
      </w:r>
      <w:r>
        <w:rPr>
          <w:i/>
          <w:iCs/>
        </w:rPr>
        <w:t xml:space="preserve">and crude distribution of </w:t>
      </w:r>
      <w:r w:rsidRPr="004369EC">
        <w:rPr>
          <w:i/>
          <w:iCs/>
        </w:rPr>
        <w:t>suicide</w:t>
      </w:r>
      <w:r>
        <w:rPr>
          <w:i/>
          <w:iCs/>
        </w:rPr>
        <w:t xml:space="preserve"> (underlying cause)</w:t>
      </w:r>
      <w:r w:rsidRPr="004369EC">
        <w:rPr>
          <w:i/>
          <w:iCs/>
        </w:rPr>
        <w:t xml:space="preserve"> per sex and education</w:t>
      </w:r>
      <w:r>
        <w:rPr>
          <w:i/>
          <w:iCs/>
        </w:rPr>
        <w:t>, United States 2010-19 for individuals aged 25 years old or older at death</w:t>
      </w:r>
    </w:p>
    <w:tbl>
      <w:tblPr>
        <w:tblStyle w:val="TableGrid"/>
        <w:tblpPr w:leftFromText="180" w:rightFromText="180" w:vertAnchor="text" w:horzAnchor="margin" w:tblpXSpec="center" w:tblpY="-36"/>
        <w:tblW w:w="9923" w:type="dxa"/>
        <w:tblLayout w:type="fixed"/>
        <w:tblLook w:val="04A0" w:firstRow="1" w:lastRow="0" w:firstColumn="1" w:lastColumn="0" w:noHBand="0" w:noVBand="1"/>
      </w:tblPr>
      <w:tblGrid>
        <w:gridCol w:w="2268"/>
        <w:gridCol w:w="1843"/>
        <w:gridCol w:w="1843"/>
        <w:gridCol w:w="1984"/>
        <w:gridCol w:w="1985"/>
      </w:tblGrid>
      <w:tr w:rsidR="004B705F" w:rsidRPr="004369EC" w14:paraId="7E997526" w14:textId="77777777" w:rsidTr="00C045F3">
        <w:tc>
          <w:tcPr>
            <w:tcW w:w="2268" w:type="dxa"/>
            <w:tcBorders>
              <w:top w:val="nil"/>
              <w:left w:val="nil"/>
              <w:bottom w:val="nil"/>
            </w:tcBorders>
          </w:tcPr>
          <w:p w14:paraId="78FA4806" w14:textId="77777777" w:rsidR="004B705F" w:rsidRPr="004369EC" w:rsidRDefault="004B705F" w:rsidP="00C045F3">
            <w:pPr>
              <w:pStyle w:val="Newparagraph"/>
              <w:spacing w:before="0" w:line="360" w:lineRule="auto"/>
              <w:ind w:firstLine="0"/>
              <w:rPr>
                <w:i/>
                <w:iCs/>
                <w:color w:val="156082" w:themeColor="accent1"/>
                <w:sz w:val="22"/>
                <w:szCs w:val="22"/>
                <w:lang w:val="en-GB"/>
              </w:rPr>
            </w:pPr>
          </w:p>
        </w:tc>
        <w:tc>
          <w:tcPr>
            <w:tcW w:w="3686" w:type="dxa"/>
            <w:gridSpan w:val="2"/>
          </w:tcPr>
          <w:p w14:paraId="34AA0C36" w14:textId="77777777" w:rsidR="004B705F" w:rsidRDefault="004B705F" w:rsidP="00C045F3">
            <w:pPr>
              <w:pStyle w:val="Newparagraph"/>
              <w:spacing w:before="0" w:line="360" w:lineRule="auto"/>
              <w:ind w:firstLine="0"/>
              <w:jc w:val="center"/>
              <w:rPr>
                <w:rFonts w:eastAsia="Calibri"/>
                <w:b/>
                <w:bCs/>
                <w:kern w:val="2"/>
                <w:sz w:val="22"/>
                <w:szCs w:val="22"/>
                <w:lang w:val="en-GB"/>
              </w:rPr>
            </w:pPr>
            <w:r w:rsidRPr="004B5A19">
              <w:rPr>
                <w:rFonts w:eastAsia="Calibri"/>
                <w:b/>
                <w:bCs/>
                <w:kern w:val="2"/>
                <w:sz w:val="22"/>
                <w:szCs w:val="22"/>
                <w:lang w:val="en-GB"/>
              </w:rPr>
              <w:t>Females</w:t>
            </w:r>
          </w:p>
          <w:p w14:paraId="7AA33B2C" w14:textId="77777777" w:rsidR="004B705F" w:rsidRPr="004B5A19" w:rsidRDefault="004B705F" w:rsidP="00C045F3">
            <w:pPr>
              <w:pStyle w:val="Newparagraph"/>
              <w:spacing w:before="0" w:line="360" w:lineRule="auto"/>
              <w:ind w:firstLine="0"/>
              <w:jc w:val="center"/>
              <w:rPr>
                <w:rFonts w:eastAsia="Calibri"/>
                <w:b/>
                <w:bCs/>
                <w:kern w:val="2"/>
                <w:sz w:val="22"/>
                <w:szCs w:val="22"/>
              </w:rPr>
            </w:pPr>
            <w:r w:rsidRPr="004369EC">
              <w:rPr>
                <w:rFonts w:eastAsia="Calibri"/>
                <w:kern w:val="2"/>
                <w:sz w:val="22"/>
                <w:szCs w:val="22"/>
                <w:lang w:val="en-GB"/>
              </w:rPr>
              <w:t>(N=83,919)</w:t>
            </w:r>
          </w:p>
        </w:tc>
        <w:tc>
          <w:tcPr>
            <w:tcW w:w="3969" w:type="dxa"/>
            <w:gridSpan w:val="2"/>
          </w:tcPr>
          <w:p w14:paraId="6321F2BB" w14:textId="77777777" w:rsidR="004B705F" w:rsidRDefault="004B705F" w:rsidP="00C045F3">
            <w:pPr>
              <w:pStyle w:val="Newparagraph"/>
              <w:spacing w:before="0" w:line="360" w:lineRule="auto"/>
              <w:ind w:firstLine="0"/>
              <w:jc w:val="center"/>
              <w:rPr>
                <w:rFonts w:eastAsia="Calibri"/>
                <w:b/>
                <w:bCs/>
                <w:kern w:val="2"/>
                <w:sz w:val="22"/>
                <w:szCs w:val="22"/>
                <w:lang w:val="en-GB"/>
              </w:rPr>
            </w:pPr>
            <w:r w:rsidRPr="004B5A19">
              <w:rPr>
                <w:rFonts w:eastAsia="Calibri"/>
                <w:b/>
                <w:bCs/>
                <w:kern w:val="2"/>
                <w:sz w:val="22"/>
                <w:szCs w:val="22"/>
                <w:lang w:val="en-GB"/>
              </w:rPr>
              <w:t>Males</w:t>
            </w:r>
          </w:p>
          <w:p w14:paraId="2869D191" w14:textId="77777777" w:rsidR="004B705F" w:rsidRPr="004B5A19" w:rsidRDefault="004B705F" w:rsidP="00C045F3">
            <w:pPr>
              <w:pStyle w:val="Newparagraph"/>
              <w:spacing w:before="0" w:line="360" w:lineRule="auto"/>
              <w:ind w:firstLine="0"/>
              <w:jc w:val="center"/>
              <w:rPr>
                <w:b/>
                <w:bCs/>
                <w:color w:val="156082" w:themeColor="accent1"/>
                <w:sz w:val="22"/>
                <w:szCs w:val="22"/>
                <w:lang w:val="en-GB"/>
              </w:rPr>
            </w:pPr>
            <w:r w:rsidRPr="004369EC">
              <w:rPr>
                <w:rFonts w:eastAsia="Calibri"/>
                <w:kern w:val="2"/>
                <w:sz w:val="22"/>
                <w:szCs w:val="22"/>
                <w:lang w:val="en-GB"/>
              </w:rPr>
              <w:t>(N=292,992)</w:t>
            </w:r>
          </w:p>
        </w:tc>
      </w:tr>
      <w:tr w:rsidR="004B705F" w:rsidRPr="004369EC" w14:paraId="6DE0EC04" w14:textId="77777777" w:rsidTr="00076BE2">
        <w:tc>
          <w:tcPr>
            <w:tcW w:w="2268" w:type="dxa"/>
            <w:tcBorders>
              <w:top w:val="nil"/>
              <w:left w:val="nil"/>
              <w:bottom w:val="nil"/>
            </w:tcBorders>
          </w:tcPr>
          <w:p w14:paraId="60302BF6" w14:textId="77777777" w:rsidR="004B705F" w:rsidRPr="004369EC" w:rsidRDefault="004B705F" w:rsidP="00C045F3">
            <w:pPr>
              <w:pStyle w:val="Newparagraph"/>
              <w:spacing w:before="0" w:line="360" w:lineRule="auto"/>
              <w:ind w:firstLine="0"/>
              <w:rPr>
                <w:i/>
                <w:iCs/>
                <w:color w:val="156082" w:themeColor="accent1"/>
                <w:sz w:val="22"/>
                <w:szCs w:val="22"/>
              </w:rPr>
            </w:pPr>
          </w:p>
        </w:tc>
        <w:tc>
          <w:tcPr>
            <w:tcW w:w="1843" w:type="dxa"/>
          </w:tcPr>
          <w:p w14:paraId="331371A2" w14:textId="77777777" w:rsidR="004B705F" w:rsidRPr="004B5A19" w:rsidRDefault="004B705F" w:rsidP="00C045F3">
            <w:pPr>
              <w:pStyle w:val="Newparagraph"/>
              <w:spacing w:before="0" w:line="360" w:lineRule="auto"/>
              <w:ind w:firstLine="0"/>
              <w:jc w:val="center"/>
              <w:rPr>
                <w:rFonts w:eastAsia="Calibri"/>
                <w:b/>
                <w:bCs/>
                <w:kern w:val="2"/>
                <w:sz w:val="22"/>
                <w:szCs w:val="22"/>
              </w:rPr>
            </w:pPr>
            <w:r>
              <w:rPr>
                <w:rFonts w:eastAsia="Calibri"/>
                <w:b/>
                <w:bCs/>
                <w:kern w:val="2"/>
                <w:sz w:val="22"/>
                <w:szCs w:val="22"/>
              </w:rPr>
              <w:t>ASDR</w:t>
            </w:r>
          </w:p>
        </w:tc>
        <w:tc>
          <w:tcPr>
            <w:tcW w:w="1843" w:type="dxa"/>
          </w:tcPr>
          <w:p w14:paraId="0BFB1199" w14:textId="77777777" w:rsidR="004B705F" w:rsidRPr="004B5A19" w:rsidRDefault="004B705F" w:rsidP="00C045F3">
            <w:pPr>
              <w:pStyle w:val="Newparagraph"/>
              <w:spacing w:before="0" w:line="360" w:lineRule="auto"/>
              <w:ind w:firstLine="0"/>
              <w:jc w:val="center"/>
              <w:rPr>
                <w:rFonts w:eastAsia="Calibri"/>
                <w:b/>
                <w:bCs/>
                <w:kern w:val="2"/>
                <w:sz w:val="22"/>
                <w:szCs w:val="22"/>
              </w:rPr>
            </w:pPr>
            <w:r>
              <w:rPr>
                <w:rFonts w:eastAsia="Calibri"/>
                <w:b/>
                <w:bCs/>
                <w:kern w:val="2"/>
                <w:sz w:val="22"/>
                <w:szCs w:val="22"/>
              </w:rPr>
              <w:t>Crude distribution</w:t>
            </w:r>
          </w:p>
        </w:tc>
        <w:tc>
          <w:tcPr>
            <w:tcW w:w="1984" w:type="dxa"/>
          </w:tcPr>
          <w:p w14:paraId="39DEC178" w14:textId="77777777" w:rsidR="004B705F" w:rsidRPr="004B5A19" w:rsidRDefault="004B705F" w:rsidP="00C045F3">
            <w:pPr>
              <w:pStyle w:val="Newparagraph"/>
              <w:spacing w:before="0" w:line="360" w:lineRule="auto"/>
              <w:ind w:firstLine="0"/>
              <w:jc w:val="center"/>
              <w:rPr>
                <w:rFonts w:eastAsia="Calibri"/>
                <w:b/>
                <w:bCs/>
                <w:kern w:val="2"/>
                <w:sz w:val="22"/>
                <w:szCs w:val="22"/>
              </w:rPr>
            </w:pPr>
            <w:r>
              <w:rPr>
                <w:rFonts w:eastAsia="Calibri"/>
                <w:b/>
                <w:bCs/>
                <w:kern w:val="2"/>
                <w:sz w:val="22"/>
                <w:szCs w:val="22"/>
              </w:rPr>
              <w:t>ASDR</w:t>
            </w:r>
          </w:p>
        </w:tc>
        <w:tc>
          <w:tcPr>
            <w:tcW w:w="1985" w:type="dxa"/>
          </w:tcPr>
          <w:p w14:paraId="31B0FCD9" w14:textId="77777777" w:rsidR="004B705F" w:rsidRPr="004B5A19" w:rsidRDefault="004B705F" w:rsidP="00C045F3">
            <w:pPr>
              <w:pStyle w:val="Newparagraph"/>
              <w:spacing w:before="0" w:line="360" w:lineRule="auto"/>
              <w:ind w:firstLine="0"/>
              <w:jc w:val="center"/>
              <w:rPr>
                <w:rFonts w:eastAsia="Calibri"/>
                <w:b/>
                <w:bCs/>
                <w:kern w:val="2"/>
                <w:sz w:val="22"/>
                <w:szCs w:val="22"/>
              </w:rPr>
            </w:pPr>
            <w:r>
              <w:rPr>
                <w:rFonts w:eastAsia="Calibri"/>
                <w:b/>
                <w:bCs/>
                <w:kern w:val="2"/>
                <w:sz w:val="22"/>
                <w:szCs w:val="22"/>
              </w:rPr>
              <w:t>Crude distribution</w:t>
            </w:r>
          </w:p>
        </w:tc>
      </w:tr>
      <w:tr w:rsidR="004B705F" w:rsidRPr="004369EC" w14:paraId="484735D3" w14:textId="77777777" w:rsidTr="00076BE2">
        <w:tc>
          <w:tcPr>
            <w:tcW w:w="2268" w:type="dxa"/>
            <w:shd w:val="clear" w:color="auto" w:fill="auto"/>
            <w:vAlign w:val="center"/>
          </w:tcPr>
          <w:p w14:paraId="68CB57D4" w14:textId="77777777" w:rsidR="004B705F" w:rsidRPr="004369EC" w:rsidRDefault="004B705F" w:rsidP="00C045F3">
            <w:pPr>
              <w:pStyle w:val="Newparagraph"/>
              <w:spacing w:before="0" w:line="360" w:lineRule="auto"/>
              <w:ind w:firstLine="0"/>
              <w:jc w:val="left"/>
              <w:rPr>
                <w:color w:val="156082" w:themeColor="accent1"/>
                <w:sz w:val="22"/>
                <w:szCs w:val="22"/>
                <w:lang w:val="en-GB"/>
              </w:rPr>
            </w:pPr>
            <w:r w:rsidRPr="004369EC">
              <w:rPr>
                <w:rFonts w:eastAsia="Calibri"/>
                <w:kern w:val="2"/>
                <w:sz w:val="22"/>
                <w:szCs w:val="22"/>
                <w:lang w:val="en-GB"/>
              </w:rPr>
              <w:t>High school graduate or GED, or less</w:t>
            </w:r>
          </w:p>
        </w:tc>
        <w:tc>
          <w:tcPr>
            <w:tcW w:w="1843" w:type="dxa"/>
            <w:vAlign w:val="center"/>
          </w:tcPr>
          <w:p w14:paraId="5BF53BF4" w14:textId="77777777" w:rsidR="004B705F" w:rsidRPr="00987F15" w:rsidRDefault="004B705F" w:rsidP="00C045F3">
            <w:pPr>
              <w:pStyle w:val="Newparagraph"/>
              <w:spacing w:before="0" w:line="360" w:lineRule="auto"/>
              <w:ind w:firstLine="0"/>
              <w:jc w:val="center"/>
              <w:rPr>
                <w:sz w:val="22"/>
                <w:szCs w:val="22"/>
              </w:rPr>
            </w:pPr>
            <w:r w:rsidRPr="00987F15">
              <w:rPr>
                <w:sz w:val="22"/>
                <w:szCs w:val="22"/>
                <w:lang w:val="en-GB"/>
              </w:rPr>
              <w:t>7.65 (5.94-9.36)</w:t>
            </w:r>
          </w:p>
        </w:tc>
        <w:tc>
          <w:tcPr>
            <w:tcW w:w="1843" w:type="dxa"/>
            <w:vAlign w:val="center"/>
          </w:tcPr>
          <w:p w14:paraId="6A09D49B" w14:textId="77777777" w:rsidR="004B705F" w:rsidRPr="00987F15" w:rsidRDefault="004B705F" w:rsidP="00C045F3">
            <w:pPr>
              <w:pStyle w:val="Newparagraph"/>
              <w:spacing w:before="0" w:line="360" w:lineRule="auto"/>
              <w:ind w:firstLine="0"/>
              <w:jc w:val="center"/>
              <w:rPr>
                <w:sz w:val="22"/>
                <w:szCs w:val="22"/>
              </w:rPr>
            </w:pPr>
            <w:r w:rsidRPr="004369EC">
              <w:rPr>
                <w:sz w:val="22"/>
                <w:szCs w:val="22"/>
                <w:lang w:val="en-GB"/>
              </w:rPr>
              <w:t>47,816 (56.98%)</w:t>
            </w:r>
          </w:p>
        </w:tc>
        <w:tc>
          <w:tcPr>
            <w:tcW w:w="1984" w:type="dxa"/>
            <w:vAlign w:val="center"/>
          </w:tcPr>
          <w:p w14:paraId="162E3DC4" w14:textId="77777777" w:rsidR="004B705F" w:rsidRPr="00987F15" w:rsidRDefault="004B705F" w:rsidP="00C045F3">
            <w:pPr>
              <w:pStyle w:val="Newparagraph"/>
              <w:spacing w:before="0" w:line="360" w:lineRule="auto"/>
              <w:ind w:firstLine="0"/>
              <w:jc w:val="center"/>
              <w:rPr>
                <w:sz w:val="22"/>
                <w:szCs w:val="22"/>
              </w:rPr>
            </w:pPr>
            <w:r w:rsidRPr="00987F15">
              <w:rPr>
                <w:sz w:val="22"/>
                <w:szCs w:val="22"/>
                <w:lang w:val="en-GB"/>
              </w:rPr>
              <w:t>29.38 (26.02-32.73)</w:t>
            </w:r>
          </w:p>
        </w:tc>
        <w:tc>
          <w:tcPr>
            <w:tcW w:w="1985" w:type="dxa"/>
            <w:vAlign w:val="center"/>
          </w:tcPr>
          <w:p w14:paraId="07043A8F" w14:textId="77777777" w:rsidR="004B705F" w:rsidRPr="004369EC" w:rsidRDefault="004B705F" w:rsidP="00C045F3">
            <w:pPr>
              <w:pStyle w:val="Newparagraph"/>
              <w:spacing w:before="0" w:line="360" w:lineRule="auto"/>
              <w:ind w:firstLine="0"/>
              <w:jc w:val="center"/>
              <w:rPr>
                <w:color w:val="156082" w:themeColor="accent1"/>
                <w:sz w:val="22"/>
                <w:szCs w:val="22"/>
                <w:lang w:val="en-GB"/>
              </w:rPr>
            </w:pPr>
            <w:r w:rsidRPr="004369EC">
              <w:rPr>
                <w:sz w:val="22"/>
                <w:szCs w:val="22"/>
                <w:lang w:val="en-GB"/>
              </w:rPr>
              <w:t>189,367 (64.63%)</w:t>
            </w:r>
          </w:p>
        </w:tc>
      </w:tr>
      <w:tr w:rsidR="004B705F" w:rsidRPr="004369EC" w14:paraId="7C5B5CEC" w14:textId="77777777" w:rsidTr="00076BE2">
        <w:tc>
          <w:tcPr>
            <w:tcW w:w="2268" w:type="dxa"/>
            <w:shd w:val="clear" w:color="auto" w:fill="auto"/>
            <w:vAlign w:val="center"/>
          </w:tcPr>
          <w:p w14:paraId="6EE8AA21" w14:textId="77777777" w:rsidR="004B705F" w:rsidRPr="004369EC" w:rsidRDefault="004B705F" w:rsidP="00C045F3">
            <w:pPr>
              <w:pStyle w:val="Newparagraph"/>
              <w:spacing w:before="0" w:line="360" w:lineRule="auto"/>
              <w:ind w:firstLine="0"/>
              <w:jc w:val="left"/>
              <w:rPr>
                <w:color w:val="156082" w:themeColor="accent1"/>
                <w:sz w:val="22"/>
                <w:szCs w:val="22"/>
                <w:lang w:val="en-GB"/>
              </w:rPr>
            </w:pPr>
            <w:r w:rsidRPr="004369EC">
              <w:rPr>
                <w:rFonts w:eastAsia="Calibri"/>
                <w:kern w:val="2"/>
                <w:sz w:val="22"/>
                <w:szCs w:val="22"/>
                <w:lang w:val="en-GB"/>
              </w:rPr>
              <w:t>Associate or bachelor’s degree</w:t>
            </w:r>
          </w:p>
        </w:tc>
        <w:tc>
          <w:tcPr>
            <w:tcW w:w="1843" w:type="dxa"/>
            <w:vAlign w:val="center"/>
          </w:tcPr>
          <w:p w14:paraId="6ED3A2F4" w14:textId="77777777" w:rsidR="004B705F" w:rsidRPr="00987F15" w:rsidRDefault="004B705F" w:rsidP="00C045F3">
            <w:pPr>
              <w:pStyle w:val="Newparagraph"/>
              <w:spacing w:before="0" w:line="360" w:lineRule="auto"/>
              <w:ind w:firstLine="0"/>
              <w:jc w:val="center"/>
              <w:rPr>
                <w:sz w:val="22"/>
                <w:szCs w:val="22"/>
              </w:rPr>
            </w:pPr>
            <w:r w:rsidRPr="00987F15">
              <w:rPr>
                <w:sz w:val="22"/>
                <w:szCs w:val="22"/>
                <w:lang w:val="en-GB"/>
              </w:rPr>
              <w:t>6.52 (4.93-8.10)</w:t>
            </w:r>
          </w:p>
        </w:tc>
        <w:tc>
          <w:tcPr>
            <w:tcW w:w="1843" w:type="dxa"/>
            <w:vAlign w:val="center"/>
          </w:tcPr>
          <w:p w14:paraId="481F6B4B" w14:textId="77777777" w:rsidR="004B705F" w:rsidRPr="00987F15" w:rsidRDefault="004B705F" w:rsidP="00C045F3">
            <w:pPr>
              <w:pStyle w:val="Newparagraph"/>
              <w:spacing w:before="0" w:line="360" w:lineRule="auto"/>
              <w:ind w:firstLine="0"/>
              <w:jc w:val="center"/>
              <w:rPr>
                <w:sz w:val="22"/>
                <w:szCs w:val="22"/>
              </w:rPr>
            </w:pPr>
            <w:r w:rsidRPr="004369EC">
              <w:rPr>
                <w:sz w:val="22"/>
                <w:szCs w:val="22"/>
                <w:lang w:val="en-GB"/>
              </w:rPr>
              <w:t>20,861 (24.86%)</w:t>
            </w:r>
          </w:p>
        </w:tc>
        <w:tc>
          <w:tcPr>
            <w:tcW w:w="1984" w:type="dxa"/>
            <w:vAlign w:val="center"/>
          </w:tcPr>
          <w:p w14:paraId="7863F170" w14:textId="77777777" w:rsidR="004B705F" w:rsidRPr="00987F15" w:rsidRDefault="004B705F" w:rsidP="00C045F3">
            <w:pPr>
              <w:pStyle w:val="Newparagraph"/>
              <w:spacing w:before="0" w:line="360" w:lineRule="auto"/>
              <w:ind w:firstLine="0"/>
              <w:jc w:val="center"/>
              <w:rPr>
                <w:sz w:val="22"/>
                <w:szCs w:val="22"/>
              </w:rPr>
            </w:pPr>
            <w:r w:rsidRPr="00987F15">
              <w:rPr>
                <w:sz w:val="22"/>
                <w:szCs w:val="22"/>
                <w:lang w:val="en-GB"/>
              </w:rPr>
              <w:t>19.92 (17.15-22.69)</w:t>
            </w:r>
          </w:p>
        </w:tc>
        <w:tc>
          <w:tcPr>
            <w:tcW w:w="1985" w:type="dxa"/>
            <w:shd w:val="clear" w:color="auto" w:fill="auto"/>
            <w:vAlign w:val="center"/>
          </w:tcPr>
          <w:p w14:paraId="2D3243AF" w14:textId="77777777" w:rsidR="004B705F" w:rsidRPr="004369EC" w:rsidRDefault="004B705F" w:rsidP="00C045F3">
            <w:pPr>
              <w:pStyle w:val="Newparagraph"/>
              <w:spacing w:before="0" w:line="360" w:lineRule="auto"/>
              <w:ind w:firstLine="0"/>
              <w:jc w:val="center"/>
              <w:rPr>
                <w:color w:val="156082" w:themeColor="accent1"/>
                <w:sz w:val="22"/>
                <w:szCs w:val="22"/>
                <w:lang w:val="en-GB"/>
              </w:rPr>
            </w:pPr>
            <w:r w:rsidRPr="004369EC">
              <w:rPr>
                <w:sz w:val="22"/>
                <w:szCs w:val="22"/>
                <w:lang w:val="en-GB"/>
              </w:rPr>
              <w:t>52,964 (18.08%)</w:t>
            </w:r>
          </w:p>
        </w:tc>
      </w:tr>
      <w:tr w:rsidR="004B705F" w:rsidRPr="004369EC" w14:paraId="5AF31F88" w14:textId="77777777" w:rsidTr="00076BE2">
        <w:tc>
          <w:tcPr>
            <w:tcW w:w="2268" w:type="dxa"/>
            <w:shd w:val="clear" w:color="auto" w:fill="auto"/>
            <w:vAlign w:val="center"/>
          </w:tcPr>
          <w:p w14:paraId="5808CD75" w14:textId="77777777" w:rsidR="004B705F" w:rsidRPr="004369EC" w:rsidRDefault="004B705F" w:rsidP="00C045F3">
            <w:pPr>
              <w:pStyle w:val="Newparagraph"/>
              <w:spacing w:before="0" w:line="360" w:lineRule="auto"/>
              <w:ind w:firstLine="0"/>
              <w:jc w:val="left"/>
              <w:rPr>
                <w:color w:val="156082" w:themeColor="accent1"/>
                <w:sz w:val="22"/>
                <w:szCs w:val="22"/>
                <w:lang w:val="en-GB"/>
              </w:rPr>
            </w:pPr>
            <w:r w:rsidRPr="004369EC">
              <w:rPr>
                <w:rFonts w:eastAsia="Calibri"/>
                <w:kern w:val="2"/>
                <w:sz w:val="22"/>
                <w:szCs w:val="22"/>
                <w:lang w:val="en-GB"/>
              </w:rPr>
              <w:t>Master's, doctorate, or professional degree</w:t>
            </w:r>
          </w:p>
        </w:tc>
        <w:tc>
          <w:tcPr>
            <w:tcW w:w="1843" w:type="dxa"/>
            <w:vAlign w:val="center"/>
          </w:tcPr>
          <w:p w14:paraId="64BEE7EE" w14:textId="77777777" w:rsidR="004B705F" w:rsidRPr="00987F15" w:rsidRDefault="004B705F" w:rsidP="00C045F3">
            <w:pPr>
              <w:pStyle w:val="Newparagraph"/>
              <w:spacing w:before="0" w:line="360" w:lineRule="auto"/>
              <w:ind w:firstLine="0"/>
              <w:jc w:val="center"/>
              <w:rPr>
                <w:sz w:val="22"/>
                <w:szCs w:val="22"/>
              </w:rPr>
            </w:pPr>
            <w:r w:rsidRPr="00987F15">
              <w:rPr>
                <w:sz w:val="22"/>
                <w:szCs w:val="22"/>
                <w:lang w:val="en-GB"/>
              </w:rPr>
              <w:t>4.56 (3.24-5.88)</w:t>
            </w:r>
          </w:p>
        </w:tc>
        <w:tc>
          <w:tcPr>
            <w:tcW w:w="1843" w:type="dxa"/>
            <w:vAlign w:val="center"/>
          </w:tcPr>
          <w:p w14:paraId="0AD47AEB" w14:textId="77777777" w:rsidR="004B705F" w:rsidRPr="00987F15" w:rsidRDefault="004B705F" w:rsidP="00C045F3">
            <w:pPr>
              <w:pStyle w:val="Newparagraph"/>
              <w:spacing w:before="0" w:line="360" w:lineRule="auto"/>
              <w:ind w:firstLine="0"/>
              <w:jc w:val="center"/>
              <w:rPr>
                <w:sz w:val="22"/>
                <w:szCs w:val="22"/>
              </w:rPr>
            </w:pPr>
            <w:r w:rsidRPr="004369EC">
              <w:rPr>
                <w:sz w:val="22"/>
                <w:szCs w:val="22"/>
                <w:lang w:val="en-GB"/>
              </w:rPr>
              <w:t>6,092 (7.26%)</w:t>
            </w:r>
          </w:p>
        </w:tc>
        <w:tc>
          <w:tcPr>
            <w:tcW w:w="1984" w:type="dxa"/>
            <w:vAlign w:val="center"/>
          </w:tcPr>
          <w:p w14:paraId="147C3A9A" w14:textId="77777777" w:rsidR="004B705F" w:rsidRPr="00987F15" w:rsidRDefault="004B705F" w:rsidP="00C045F3">
            <w:pPr>
              <w:pStyle w:val="Newparagraph"/>
              <w:spacing w:before="0" w:line="360" w:lineRule="auto"/>
              <w:ind w:firstLine="0"/>
              <w:jc w:val="center"/>
              <w:rPr>
                <w:sz w:val="22"/>
                <w:szCs w:val="22"/>
              </w:rPr>
            </w:pPr>
            <w:r w:rsidRPr="00987F15">
              <w:rPr>
                <w:sz w:val="22"/>
                <w:szCs w:val="22"/>
                <w:lang w:val="en-GB"/>
              </w:rPr>
              <w:t>13.44 (11.16-15.71</w:t>
            </w:r>
            <w:r w:rsidRPr="004369EC">
              <w:rPr>
                <w:sz w:val="22"/>
                <w:szCs w:val="22"/>
                <w:lang w:val="en-GB"/>
              </w:rPr>
              <w:t>)</w:t>
            </w:r>
          </w:p>
        </w:tc>
        <w:tc>
          <w:tcPr>
            <w:tcW w:w="1985" w:type="dxa"/>
            <w:vAlign w:val="center"/>
          </w:tcPr>
          <w:p w14:paraId="7CE0E661" w14:textId="77777777" w:rsidR="004B705F" w:rsidRPr="004369EC" w:rsidRDefault="004B705F" w:rsidP="00C045F3">
            <w:pPr>
              <w:pStyle w:val="Newparagraph"/>
              <w:spacing w:before="0" w:line="360" w:lineRule="auto"/>
              <w:ind w:firstLine="0"/>
              <w:jc w:val="center"/>
              <w:rPr>
                <w:color w:val="156082" w:themeColor="accent1"/>
                <w:sz w:val="22"/>
                <w:szCs w:val="22"/>
                <w:lang w:val="en-GB"/>
              </w:rPr>
            </w:pPr>
            <w:r w:rsidRPr="004369EC">
              <w:rPr>
                <w:sz w:val="22"/>
                <w:szCs w:val="22"/>
                <w:lang w:val="en-GB"/>
              </w:rPr>
              <w:t>17,386 (5.93%)</w:t>
            </w:r>
          </w:p>
        </w:tc>
      </w:tr>
      <w:tr w:rsidR="004B705F" w:rsidRPr="004369EC" w14:paraId="6DC1BFA1" w14:textId="77777777" w:rsidTr="00076BE2">
        <w:tc>
          <w:tcPr>
            <w:tcW w:w="2268" w:type="dxa"/>
            <w:shd w:val="clear" w:color="auto" w:fill="F2F2F2" w:themeFill="background1" w:themeFillShade="F2"/>
            <w:vAlign w:val="center"/>
          </w:tcPr>
          <w:p w14:paraId="3C0D8DD5" w14:textId="77777777" w:rsidR="004B705F" w:rsidRPr="004369EC" w:rsidRDefault="004B705F" w:rsidP="00C045F3">
            <w:pPr>
              <w:pStyle w:val="Newparagraph"/>
              <w:spacing w:before="0" w:line="360" w:lineRule="auto"/>
              <w:ind w:firstLine="0"/>
              <w:jc w:val="left"/>
              <w:rPr>
                <w:rFonts w:eastAsia="Calibri"/>
                <w:kern w:val="2"/>
                <w:sz w:val="22"/>
                <w:szCs w:val="22"/>
              </w:rPr>
            </w:pPr>
            <w:r>
              <w:rPr>
                <w:rFonts w:eastAsia="Calibri"/>
                <w:kern w:val="2"/>
                <w:sz w:val="22"/>
                <w:szCs w:val="22"/>
              </w:rPr>
              <w:t>Unknown</w:t>
            </w:r>
          </w:p>
        </w:tc>
        <w:tc>
          <w:tcPr>
            <w:tcW w:w="1843" w:type="dxa"/>
            <w:shd w:val="clear" w:color="auto" w:fill="F2F2F2" w:themeFill="background1" w:themeFillShade="F2"/>
            <w:vAlign w:val="center"/>
          </w:tcPr>
          <w:p w14:paraId="6F06EDA8" w14:textId="77777777" w:rsidR="004B705F" w:rsidRPr="00987F15" w:rsidRDefault="004B705F" w:rsidP="00C045F3">
            <w:pPr>
              <w:pStyle w:val="Newparagraph"/>
              <w:spacing w:before="0" w:line="360" w:lineRule="auto"/>
              <w:ind w:firstLine="0"/>
              <w:jc w:val="center"/>
              <w:rPr>
                <w:sz w:val="22"/>
                <w:szCs w:val="22"/>
              </w:rPr>
            </w:pPr>
            <w:r>
              <w:rPr>
                <w:sz w:val="22"/>
                <w:szCs w:val="22"/>
              </w:rPr>
              <w:t>Inapplicable</w:t>
            </w:r>
          </w:p>
        </w:tc>
        <w:tc>
          <w:tcPr>
            <w:tcW w:w="1843" w:type="dxa"/>
            <w:shd w:val="clear" w:color="auto" w:fill="F2F2F2" w:themeFill="background1" w:themeFillShade="F2"/>
            <w:vAlign w:val="center"/>
          </w:tcPr>
          <w:p w14:paraId="77D83898" w14:textId="77777777" w:rsidR="004B705F" w:rsidRPr="004369EC" w:rsidRDefault="004B705F" w:rsidP="00C045F3">
            <w:pPr>
              <w:pStyle w:val="Newparagraph"/>
              <w:spacing w:before="0" w:line="360" w:lineRule="auto"/>
              <w:ind w:firstLine="0"/>
              <w:jc w:val="center"/>
              <w:rPr>
                <w:sz w:val="22"/>
                <w:szCs w:val="22"/>
              </w:rPr>
            </w:pPr>
            <w:r w:rsidRPr="004369EC">
              <w:rPr>
                <w:sz w:val="22"/>
                <w:szCs w:val="22"/>
                <w:lang w:val="en-GB"/>
              </w:rPr>
              <w:t>9,150 (10.90%)</w:t>
            </w:r>
          </w:p>
        </w:tc>
        <w:tc>
          <w:tcPr>
            <w:tcW w:w="1984" w:type="dxa"/>
            <w:shd w:val="clear" w:color="auto" w:fill="F2F2F2" w:themeFill="background1" w:themeFillShade="F2"/>
            <w:vAlign w:val="center"/>
          </w:tcPr>
          <w:p w14:paraId="3D001515" w14:textId="77777777" w:rsidR="004B705F" w:rsidRPr="00987F15" w:rsidRDefault="004B705F" w:rsidP="00C045F3">
            <w:pPr>
              <w:pStyle w:val="Newparagraph"/>
              <w:spacing w:before="0" w:line="360" w:lineRule="auto"/>
              <w:ind w:firstLine="0"/>
              <w:jc w:val="center"/>
              <w:rPr>
                <w:sz w:val="22"/>
                <w:szCs w:val="22"/>
              </w:rPr>
            </w:pPr>
            <w:r>
              <w:rPr>
                <w:sz w:val="22"/>
                <w:szCs w:val="22"/>
              </w:rPr>
              <w:t>Inapplicable</w:t>
            </w:r>
          </w:p>
        </w:tc>
        <w:tc>
          <w:tcPr>
            <w:tcW w:w="1985" w:type="dxa"/>
            <w:shd w:val="clear" w:color="auto" w:fill="F2F2F2" w:themeFill="background1" w:themeFillShade="F2"/>
            <w:vAlign w:val="center"/>
          </w:tcPr>
          <w:p w14:paraId="473595D4" w14:textId="77777777" w:rsidR="004B705F" w:rsidRPr="004369EC" w:rsidRDefault="004B705F" w:rsidP="00C045F3">
            <w:pPr>
              <w:pStyle w:val="Newparagraph"/>
              <w:spacing w:before="0" w:line="360" w:lineRule="auto"/>
              <w:ind w:firstLine="0"/>
              <w:jc w:val="center"/>
              <w:rPr>
                <w:color w:val="156082" w:themeColor="accent1"/>
                <w:sz w:val="22"/>
                <w:szCs w:val="22"/>
              </w:rPr>
            </w:pPr>
            <w:r w:rsidRPr="004369EC">
              <w:rPr>
                <w:sz w:val="22"/>
                <w:szCs w:val="22"/>
                <w:lang w:val="en-GB"/>
              </w:rPr>
              <w:t>33,275 (11.36%)</w:t>
            </w:r>
          </w:p>
        </w:tc>
      </w:tr>
    </w:tbl>
    <w:p w14:paraId="3CE1669E" w14:textId="77777777" w:rsidR="004B705F" w:rsidRDefault="004B705F" w:rsidP="004B705F">
      <w:pPr>
        <w:pStyle w:val="Newparagraph"/>
        <w:spacing w:line="360" w:lineRule="auto"/>
        <w:ind w:firstLine="0"/>
        <w:rPr>
          <w:sz w:val="20"/>
          <w:szCs w:val="20"/>
        </w:rPr>
      </w:pPr>
      <w:r w:rsidRPr="004369EC">
        <w:rPr>
          <w:sz w:val="20"/>
          <w:szCs w:val="20"/>
        </w:rPr>
        <w:t>Note: Unknown diploma exposure was not available and represents 11.4% of male suicides and 10.9% of female suicides. 95% Confidence interval for all rates.</w:t>
      </w:r>
      <w:r>
        <w:rPr>
          <w:sz w:val="20"/>
          <w:szCs w:val="20"/>
        </w:rPr>
        <w:t xml:space="preserve"> </w:t>
      </w:r>
    </w:p>
    <w:p w14:paraId="36DA90BE" w14:textId="77777777" w:rsidR="004B705F" w:rsidRPr="004B705F" w:rsidRDefault="004B705F" w:rsidP="004B705F">
      <w:pPr>
        <w:spacing w:before="0" w:line="360" w:lineRule="auto"/>
        <w:rPr>
          <w:i/>
          <w:iCs/>
          <w:sz w:val="20"/>
          <w:szCs w:val="20"/>
        </w:rPr>
      </w:pPr>
      <w:r w:rsidRPr="004B705F">
        <w:rPr>
          <w:i/>
          <w:iCs/>
          <w:sz w:val="20"/>
          <w:szCs w:val="20"/>
        </w:rPr>
        <w:t xml:space="preserve">Source: Deaths from the United States Mortality Multiple Cause-of-Death Public Use Record 2010 to 2019, National Vital Statistics System, National Center for Health Statistics, CDC. Exposures from the American Community Surveys 1-Year Estimates Public Use Microdata sample with PUMS person weight. Standardisation based on the 2000 United States standard population. </w:t>
      </w:r>
    </w:p>
    <w:p w14:paraId="2910943F" w14:textId="77777777" w:rsidR="004B705F" w:rsidRPr="004369EC" w:rsidRDefault="004B705F" w:rsidP="004B705F">
      <w:pPr>
        <w:pStyle w:val="Newparagraph"/>
        <w:spacing w:line="360" w:lineRule="auto"/>
        <w:ind w:firstLine="0"/>
        <w:rPr>
          <w:sz w:val="20"/>
          <w:szCs w:val="20"/>
        </w:rPr>
      </w:pPr>
    </w:p>
    <w:p w14:paraId="3017EDE2" w14:textId="2C1ABE29" w:rsidR="00AD4439" w:rsidRPr="00AD4439" w:rsidRDefault="00AD4439" w:rsidP="004B0F14">
      <w:pPr>
        <w:pStyle w:val="Newparagraph"/>
        <w:spacing w:before="0" w:after="240" w:line="360" w:lineRule="auto"/>
        <w:ind w:firstLine="0"/>
        <w:rPr>
          <w:rFonts w:ascii="Calibri" w:hAnsi="Calibri" w:cs="Calibri"/>
        </w:rPr>
      </w:pPr>
      <w:r w:rsidRPr="00AD4439">
        <w:rPr>
          <w:rFonts w:ascii="Calibri" w:hAnsi="Calibri" w:cs="Calibri"/>
        </w:rPr>
        <w:t>The most registered comorbidity among suicide</w:t>
      </w:r>
      <w:r w:rsidR="00BB3F16">
        <w:rPr>
          <w:rFonts w:ascii="Calibri" w:hAnsi="Calibri" w:cs="Calibri"/>
        </w:rPr>
        <w:t xml:space="preserve">s </w:t>
      </w:r>
      <w:r w:rsidRPr="00AD4439">
        <w:rPr>
          <w:rFonts w:ascii="Calibri" w:hAnsi="Calibri" w:cs="Calibri"/>
        </w:rPr>
        <w:t xml:space="preserve">corresponds to injuries, which are present in up to 53.2% of </w:t>
      </w:r>
      <w:r w:rsidR="00992C2F">
        <w:rPr>
          <w:rFonts w:ascii="Calibri" w:hAnsi="Calibri" w:cs="Calibri"/>
        </w:rPr>
        <w:t>male’</w:t>
      </w:r>
      <w:r w:rsidRPr="00AD4439">
        <w:rPr>
          <w:rFonts w:ascii="Calibri" w:hAnsi="Calibri" w:cs="Calibri"/>
        </w:rPr>
        <w:t xml:space="preserve"> suicides and up to 28.5% of female’ (Bachelor) (Figure 1). Asphyxiation represented an important share of morbidities, ranging from 16.5% (Master or more) to 21.5% (High school or less) for males, and from 14.1% (Unknown) to 17.9% (Master or more) for females. The registration of poisoning by drugs, medicaments, or biological substances was found in up to 8.4% </w:t>
      </w:r>
      <w:r w:rsidR="00D57C3C">
        <w:rPr>
          <w:rFonts w:ascii="Calibri" w:hAnsi="Calibri" w:cs="Calibri"/>
        </w:rPr>
        <w:t>of</w:t>
      </w:r>
      <w:r w:rsidRPr="00AD4439">
        <w:rPr>
          <w:rFonts w:ascii="Calibri" w:hAnsi="Calibri" w:cs="Calibri"/>
        </w:rPr>
        <w:t xml:space="preserve"> males </w:t>
      </w:r>
      <w:r w:rsidR="00D57C3C">
        <w:rPr>
          <w:rFonts w:ascii="Calibri" w:hAnsi="Calibri" w:cs="Calibri"/>
        </w:rPr>
        <w:t>(M</w:t>
      </w:r>
      <w:r w:rsidRPr="00AD4439">
        <w:rPr>
          <w:rFonts w:ascii="Calibri" w:hAnsi="Calibri" w:cs="Calibri"/>
        </w:rPr>
        <w:t>aster or more</w:t>
      </w:r>
      <w:r w:rsidR="00D57C3C">
        <w:rPr>
          <w:rFonts w:ascii="Calibri" w:hAnsi="Calibri" w:cs="Calibri"/>
        </w:rPr>
        <w:t>)</w:t>
      </w:r>
      <w:r w:rsidRPr="00AD4439">
        <w:rPr>
          <w:rFonts w:ascii="Calibri" w:hAnsi="Calibri" w:cs="Calibri"/>
        </w:rPr>
        <w:t xml:space="preserve">, and 25.6% </w:t>
      </w:r>
      <w:r w:rsidR="00D57C3C">
        <w:rPr>
          <w:rFonts w:ascii="Calibri" w:hAnsi="Calibri" w:cs="Calibri"/>
        </w:rPr>
        <w:t>of</w:t>
      </w:r>
      <w:r w:rsidRPr="00AD4439">
        <w:rPr>
          <w:rFonts w:ascii="Calibri" w:hAnsi="Calibri" w:cs="Calibri"/>
        </w:rPr>
        <w:t xml:space="preserve"> females </w:t>
      </w:r>
      <w:r w:rsidR="00D57C3C">
        <w:rPr>
          <w:rFonts w:ascii="Calibri" w:hAnsi="Calibri" w:cs="Calibri"/>
        </w:rPr>
        <w:t>(Unknown).</w:t>
      </w:r>
    </w:p>
    <w:p w14:paraId="260AADC8" w14:textId="03646716" w:rsidR="00AD4439" w:rsidRPr="00AD4439" w:rsidRDefault="00AD4439" w:rsidP="004B0F14">
      <w:pPr>
        <w:spacing w:line="360" w:lineRule="auto"/>
        <w:rPr>
          <w:rFonts w:ascii="Calibri" w:hAnsi="Calibri" w:cs="Calibri"/>
        </w:rPr>
      </w:pPr>
      <w:r w:rsidRPr="00AD4439">
        <w:rPr>
          <w:rFonts w:ascii="Calibri" w:hAnsi="Calibri" w:cs="Calibri"/>
        </w:rPr>
        <w:t xml:space="preserve">The main UC among suicides </w:t>
      </w:r>
      <w:r w:rsidR="00A4423B">
        <w:rPr>
          <w:rFonts w:ascii="Calibri" w:hAnsi="Calibri" w:cs="Calibri"/>
        </w:rPr>
        <w:t>was</w:t>
      </w:r>
      <w:r w:rsidRPr="00AD4439">
        <w:rPr>
          <w:rFonts w:ascii="Calibri" w:hAnsi="Calibri" w:cs="Calibri"/>
        </w:rPr>
        <w:t xml:space="preserve"> firearm discharge (code X72, X73, and X74)</w:t>
      </w:r>
      <w:r w:rsidR="00175A5E">
        <w:rPr>
          <w:rFonts w:ascii="Calibri" w:hAnsi="Calibri" w:cs="Calibri"/>
        </w:rPr>
        <w:t>,</w:t>
      </w:r>
      <w:r w:rsidRPr="00AD4439">
        <w:rPr>
          <w:rFonts w:ascii="Calibri" w:hAnsi="Calibri" w:cs="Calibri"/>
        </w:rPr>
        <w:t xml:space="preserve"> representing 56.9% (N=166,738) of male suicides and 32.1% (N=26,926) </w:t>
      </w:r>
      <w:r w:rsidR="00904599">
        <w:rPr>
          <w:rFonts w:ascii="Calibri" w:hAnsi="Calibri" w:cs="Calibri"/>
        </w:rPr>
        <w:t>of</w:t>
      </w:r>
      <w:r w:rsidRPr="00AD4439">
        <w:rPr>
          <w:rFonts w:ascii="Calibri" w:hAnsi="Calibri" w:cs="Calibri"/>
        </w:rPr>
        <w:t xml:space="preserve"> females. The prevalence of hanging, strangulation, and suffocation (X70) is respectively 25.0% (N=73,368) and 22.7% (N=19,082). The major difference between males and females is the extent of intentional self-poisoning (from X60 to X69). The deaths registered within those codes (i.e., regardless of the nature of the substance) represented 36.0% (N=30,200) of female suicides while it only accounted for 10.7% (N=31,442) of males (see supplementary materials, Table A). </w:t>
      </w:r>
    </w:p>
    <w:p w14:paraId="02B99E76" w14:textId="77777777" w:rsidR="00AD4439" w:rsidRPr="00AD4439" w:rsidRDefault="00AD4439" w:rsidP="004B0F14">
      <w:pPr>
        <w:spacing w:before="0" w:line="360" w:lineRule="auto"/>
        <w:rPr>
          <w:rFonts w:ascii="Calibri" w:hAnsi="Calibri" w:cs="Calibri"/>
          <w:color w:val="156082" w:themeColor="accent1"/>
          <w:sz w:val="18"/>
          <w:szCs w:val="18"/>
        </w:rPr>
      </w:pPr>
    </w:p>
    <w:p w14:paraId="2600CF50" w14:textId="77777777" w:rsidR="00AD4439" w:rsidRPr="00AD4439" w:rsidRDefault="00AD4439" w:rsidP="004B0F14">
      <w:pPr>
        <w:widowControl/>
        <w:spacing w:before="0" w:line="360" w:lineRule="auto"/>
        <w:jc w:val="left"/>
        <w:rPr>
          <w:rFonts w:ascii="Calibri" w:hAnsi="Calibri" w:cs="Calibri"/>
          <w:b/>
          <w:bCs/>
          <w:i/>
          <w:iCs/>
          <w:sz w:val="22"/>
        </w:rPr>
      </w:pPr>
    </w:p>
    <w:p w14:paraId="081DFD9F" w14:textId="77777777" w:rsidR="00AD4439" w:rsidRPr="00AD4439" w:rsidRDefault="00AD4439" w:rsidP="004B0F14">
      <w:pPr>
        <w:pStyle w:val="Heading2"/>
        <w:spacing w:line="360" w:lineRule="auto"/>
        <w:rPr>
          <w:i/>
          <w:iCs/>
          <w:sz w:val="24"/>
          <w:szCs w:val="24"/>
        </w:rPr>
      </w:pPr>
      <w:bookmarkStart w:id="5" w:name="_Toc145236431"/>
      <w:r w:rsidRPr="00AD4439">
        <w:rPr>
          <w:i/>
          <w:iCs/>
          <w:sz w:val="24"/>
          <w:szCs w:val="24"/>
        </w:rPr>
        <w:t>Correspondence Analysis</w:t>
      </w:r>
      <w:bookmarkEnd w:id="5"/>
    </w:p>
    <w:p w14:paraId="019760CE" w14:textId="4C73BE63" w:rsidR="00AD4439" w:rsidRPr="00AD4439" w:rsidRDefault="00AD4439" w:rsidP="004B0F14">
      <w:pPr>
        <w:pStyle w:val="Paragraph"/>
        <w:spacing w:before="0" w:line="360" w:lineRule="auto"/>
        <w:ind w:firstLine="720"/>
        <w:rPr>
          <w:rFonts w:ascii="Calibri" w:hAnsi="Calibri" w:cs="Calibri"/>
        </w:rPr>
      </w:pPr>
      <w:r w:rsidRPr="00AD4439">
        <w:rPr>
          <w:rFonts w:ascii="Calibri" w:hAnsi="Calibri" w:cs="Calibri"/>
        </w:rPr>
        <w:t xml:space="preserve">The dimensions displayed in Figure 2 considering sex and education explain 99.2% of the variance (97.5% D1, and 1.7% D2), making it appropriate to capture most of the information. D1 is defined by poisoning (drugs &amp; medicaments) and high school diplomas, and D2 by males and asphyxiation. Similarities within the row points (profiles) or the column points (morbidities) can be interpreted by their distance, the closer together </w:t>
      </w:r>
      <w:r w:rsidR="00DF3EE6">
        <w:rPr>
          <w:rFonts w:ascii="Calibri" w:hAnsi="Calibri" w:cs="Calibri"/>
        </w:rPr>
        <w:t xml:space="preserve">the </w:t>
      </w:r>
      <w:r w:rsidRPr="00AD4439">
        <w:rPr>
          <w:rFonts w:ascii="Calibri" w:hAnsi="Calibri" w:cs="Calibri"/>
        </w:rPr>
        <w:t xml:space="preserve">points are, the more similar they are. Identically, the closer a column point is to another </w:t>
      </w:r>
      <w:r w:rsidR="00073720">
        <w:rPr>
          <w:rFonts w:ascii="Calibri" w:hAnsi="Calibri" w:cs="Calibri"/>
        </w:rPr>
        <w:t>one</w:t>
      </w:r>
      <w:r w:rsidRPr="00AD4439">
        <w:rPr>
          <w:rFonts w:ascii="Calibri" w:hAnsi="Calibri" w:cs="Calibri"/>
        </w:rPr>
        <w:t>, the more similar they are. To interpret the relation between a row and a column point (</w:t>
      </w:r>
      <w:r w:rsidR="00823B8D" w:rsidRPr="00AD4439">
        <w:rPr>
          <w:rFonts w:ascii="Calibri" w:hAnsi="Calibri" w:cs="Calibri"/>
        </w:rPr>
        <w:t>i.e.</w:t>
      </w:r>
      <w:r w:rsidRPr="00AD4439">
        <w:rPr>
          <w:rFonts w:ascii="Calibri" w:hAnsi="Calibri" w:cs="Calibri"/>
        </w:rPr>
        <w:t>, comorbidities and sex-education profiles) we use the angle created by the line drawn from each point to the origin. An acute angle</w:t>
      </w:r>
      <w:r w:rsidR="000832A9">
        <w:rPr>
          <w:rFonts w:ascii="Calibri" w:hAnsi="Calibri" w:cs="Calibri"/>
        </w:rPr>
        <w:t xml:space="preserve"> </w:t>
      </w:r>
      <w:r w:rsidRPr="00AD4439">
        <w:rPr>
          <w:rFonts w:ascii="Calibri" w:hAnsi="Calibri" w:cs="Calibri"/>
        </w:rPr>
        <w:t>means that they are highly associated</w:t>
      </w:r>
      <w:r w:rsidR="00521AC9">
        <w:rPr>
          <w:rFonts w:ascii="Calibri" w:hAnsi="Calibri" w:cs="Calibri"/>
        </w:rPr>
        <w:t>,</w:t>
      </w:r>
      <w:r w:rsidRPr="00AD4439">
        <w:rPr>
          <w:rFonts w:ascii="Calibri" w:hAnsi="Calibri" w:cs="Calibri"/>
        </w:rPr>
        <w:t xml:space="preserve"> and an obtuse angle is translated by a weak association. The significance of the CA was assessed using the chi-square (88622.11).</w:t>
      </w:r>
    </w:p>
    <w:p w14:paraId="6C5B809B" w14:textId="77777777" w:rsidR="008D571C" w:rsidRDefault="00AD4439" w:rsidP="005C26F1">
      <w:pPr>
        <w:pStyle w:val="Paragraph"/>
        <w:spacing w:line="360" w:lineRule="auto"/>
        <w:rPr>
          <w:rFonts w:ascii="Calibri" w:hAnsi="Calibri" w:cs="Calibri"/>
        </w:rPr>
      </w:pPr>
      <w:r w:rsidRPr="00AD4439">
        <w:rPr>
          <w:rFonts w:ascii="Calibri" w:hAnsi="Calibri" w:cs="Calibri"/>
        </w:rPr>
        <w:t>Firstly, we can observe that the female education groups (</w:t>
      </w:r>
      <w:r w:rsidRPr="00AD4439">
        <w:rPr>
          <w:rFonts w:ascii="Segoe UI Symbol" w:hAnsi="Segoe UI Symbol" w:cs="Segoe UI Symbol"/>
          <w:sz w:val="21"/>
          <w:szCs w:val="21"/>
          <w:shd w:val="clear" w:color="auto" w:fill="FFFFFF"/>
        </w:rPr>
        <w:t>♀</w:t>
      </w:r>
      <w:r w:rsidRPr="00AD4439">
        <w:rPr>
          <w:rFonts w:ascii="Calibri" w:hAnsi="Calibri" w:cs="Calibri"/>
        </w:rPr>
        <w:t>) are more distinct from the other profiles than the male</w:t>
      </w:r>
      <w:r w:rsidR="00E274A3">
        <w:rPr>
          <w:rFonts w:ascii="Calibri" w:hAnsi="Calibri" w:cs="Calibri"/>
        </w:rPr>
        <w:t>s</w:t>
      </w:r>
      <w:r w:rsidRPr="00AD4439">
        <w:rPr>
          <w:rFonts w:ascii="Calibri" w:hAnsi="Calibri" w:cs="Calibri"/>
        </w:rPr>
        <w:t xml:space="preserve"> (</w:t>
      </w:r>
      <w:r w:rsidRPr="00AD4439">
        <w:rPr>
          <w:rFonts w:ascii="Segoe UI Symbol" w:hAnsi="Segoe UI Symbol" w:cs="Segoe UI Symbol"/>
          <w:sz w:val="21"/>
          <w:szCs w:val="21"/>
          <w:shd w:val="clear" w:color="auto" w:fill="FFFFFF"/>
        </w:rPr>
        <w:t>♂</w:t>
      </w:r>
      <w:r w:rsidRPr="007C2B06">
        <w:rPr>
          <w:rFonts w:ascii="Calibri" w:hAnsi="Calibri" w:cs="Calibri"/>
          <w:shd w:val="clear" w:color="auto" w:fill="FFFFFF"/>
        </w:rPr>
        <w:t>)</w:t>
      </w:r>
      <w:r w:rsidRPr="00AD4439">
        <w:rPr>
          <w:rFonts w:ascii="Calibri" w:hAnsi="Calibri" w:cs="Calibri"/>
        </w:rPr>
        <w:t>, as shown in Figure 2. For example, the angle</w:t>
      </w:r>
      <w:r w:rsidR="008170E7">
        <w:rPr>
          <w:rFonts w:ascii="Calibri" w:hAnsi="Calibri" w:cs="Calibri"/>
        </w:rPr>
        <w:t>s</w:t>
      </w:r>
      <w:r w:rsidRPr="00AD4439">
        <w:rPr>
          <w:rFonts w:ascii="Calibri" w:hAnsi="Calibri" w:cs="Calibri"/>
        </w:rPr>
        <w:t xml:space="preserve"> connecting the Injuries point</w:t>
      </w:r>
      <w:r w:rsidR="008170E7">
        <w:rPr>
          <w:rFonts w:ascii="Calibri" w:hAnsi="Calibri" w:cs="Calibri"/>
        </w:rPr>
        <w:t>s</w:t>
      </w:r>
      <w:r w:rsidRPr="00AD4439">
        <w:rPr>
          <w:rFonts w:ascii="Calibri" w:hAnsi="Calibri" w:cs="Calibri"/>
        </w:rPr>
        <w:t xml:space="preserve"> and the female categories </w:t>
      </w:r>
      <w:r w:rsidR="008170E7">
        <w:rPr>
          <w:rFonts w:ascii="Calibri" w:hAnsi="Calibri" w:cs="Calibri"/>
        </w:rPr>
        <w:t>have</w:t>
      </w:r>
      <w:r w:rsidRPr="00AD4439">
        <w:rPr>
          <w:rFonts w:ascii="Calibri" w:hAnsi="Calibri" w:cs="Calibri"/>
        </w:rPr>
        <w:t xml:space="preserve"> obtuse angle</w:t>
      </w:r>
      <w:r w:rsidR="00E24768">
        <w:rPr>
          <w:rFonts w:ascii="Calibri" w:hAnsi="Calibri" w:cs="Calibri"/>
        </w:rPr>
        <w:t>s</w:t>
      </w:r>
      <w:r w:rsidRPr="00AD4439">
        <w:rPr>
          <w:rFonts w:ascii="Calibri" w:hAnsi="Calibri" w:cs="Calibri"/>
        </w:rPr>
        <w:t xml:space="preserve">, which indicates that the association between being a female and having injuries registered at death is negative. On the contrary, Injuries and the male categories share an acute angle </w:t>
      </w:r>
      <w:r w:rsidR="00DC371C">
        <w:rPr>
          <w:rFonts w:ascii="Calibri" w:hAnsi="Calibri" w:cs="Calibri"/>
        </w:rPr>
        <w:t>meaning</w:t>
      </w:r>
      <w:r w:rsidRPr="00AD4439">
        <w:rPr>
          <w:rFonts w:ascii="Calibri" w:hAnsi="Calibri" w:cs="Calibri"/>
        </w:rPr>
        <w:t xml:space="preserve"> that their association is strong. The profile points are separated into two groups based on sex, which means that the similarities of sex-education profiles are led by sex and not education. </w:t>
      </w:r>
    </w:p>
    <w:p w14:paraId="64B09685" w14:textId="303FE809" w:rsidR="00AD4439" w:rsidRPr="00AD4439" w:rsidRDefault="00AD4439" w:rsidP="005C26F1">
      <w:pPr>
        <w:pStyle w:val="Paragraph"/>
        <w:spacing w:line="360" w:lineRule="auto"/>
        <w:rPr>
          <w:rFonts w:ascii="Calibri" w:hAnsi="Calibri" w:cs="Calibri"/>
        </w:rPr>
      </w:pPr>
      <w:r w:rsidRPr="00AD4439">
        <w:rPr>
          <w:rFonts w:ascii="Calibri" w:hAnsi="Calibri" w:cs="Calibri"/>
        </w:rPr>
        <w:t>Poisoning due to drugs and medication, mood disorders, and other mental and behavioural disorders are associated with female</w:t>
      </w:r>
      <w:r w:rsidR="00E30341">
        <w:rPr>
          <w:rFonts w:ascii="Calibri" w:hAnsi="Calibri" w:cs="Calibri"/>
        </w:rPr>
        <w:t>s</w:t>
      </w:r>
      <w:r w:rsidRPr="00AD4439">
        <w:rPr>
          <w:rFonts w:ascii="Calibri" w:hAnsi="Calibri" w:cs="Calibri"/>
        </w:rPr>
        <w:t>. The angle</w:t>
      </w:r>
      <w:r w:rsidR="002F2D6E">
        <w:rPr>
          <w:rFonts w:ascii="Calibri" w:hAnsi="Calibri" w:cs="Calibri"/>
        </w:rPr>
        <w:t>s are</w:t>
      </w:r>
      <w:r w:rsidRPr="00AD4439">
        <w:rPr>
          <w:rFonts w:ascii="Calibri" w:hAnsi="Calibri" w:cs="Calibri"/>
        </w:rPr>
        <w:t xml:space="preserve"> acute, which </w:t>
      </w:r>
      <w:r w:rsidR="00C93424">
        <w:rPr>
          <w:rFonts w:ascii="Calibri" w:hAnsi="Calibri" w:cs="Calibri"/>
        </w:rPr>
        <w:t>is</w:t>
      </w:r>
      <w:r w:rsidRPr="00AD4439">
        <w:rPr>
          <w:rFonts w:ascii="Calibri" w:hAnsi="Calibri" w:cs="Calibri"/>
        </w:rPr>
        <w:t xml:space="preserve"> interpreted as a highly probable association between the comorbidity record and the female profiles. The registration of neoplasms and injuries is more associated with males</w:t>
      </w:r>
      <w:r w:rsidR="00D8520F">
        <w:rPr>
          <w:rFonts w:ascii="Calibri" w:hAnsi="Calibri" w:cs="Calibri"/>
        </w:rPr>
        <w:t>, which</w:t>
      </w:r>
      <w:r w:rsidRPr="00AD4439">
        <w:rPr>
          <w:rFonts w:ascii="Calibri" w:hAnsi="Calibri" w:cs="Calibri"/>
        </w:rPr>
        <w:t xml:space="preserve"> can be explained by the greater number of suicides by firearm among males</w:t>
      </w:r>
      <w:r w:rsidR="004B1B28">
        <w:rPr>
          <w:rFonts w:ascii="Calibri" w:hAnsi="Calibri" w:cs="Calibri"/>
        </w:rPr>
        <w:t xml:space="preserve"> </w:t>
      </w:r>
      <w:r w:rsidRPr="00AD4439">
        <w:rPr>
          <w:rFonts w:ascii="Calibri" w:hAnsi="Calibri" w:cs="Calibri"/>
        </w:rPr>
        <w:t>(</w:t>
      </w:r>
      <w:r w:rsidR="002A0F09">
        <w:rPr>
          <w:rFonts w:ascii="Calibri" w:hAnsi="Calibri" w:cs="Calibri"/>
        </w:rPr>
        <w:t xml:space="preserve">e.g., </w:t>
      </w:r>
      <w:r w:rsidR="004B1B28">
        <w:rPr>
          <w:rFonts w:ascii="Calibri" w:hAnsi="Calibri" w:cs="Calibri"/>
        </w:rPr>
        <w:t>registration of open wounds</w:t>
      </w:r>
      <w:r w:rsidRPr="00AD4439">
        <w:rPr>
          <w:rFonts w:ascii="Calibri" w:hAnsi="Calibri" w:cs="Calibri"/>
        </w:rPr>
        <w:t xml:space="preserve">). </w:t>
      </w:r>
      <w:r w:rsidR="00DB6F2F">
        <w:rPr>
          <w:rFonts w:ascii="Calibri" w:hAnsi="Calibri" w:cs="Calibri"/>
        </w:rPr>
        <w:t>F</w:t>
      </w:r>
      <w:r w:rsidRPr="00AD4439">
        <w:rPr>
          <w:rFonts w:ascii="Calibri" w:hAnsi="Calibri" w:cs="Calibri"/>
        </w:rPr>
        <w:t>emales without higher education share a higher probability of association with registered diseases of the digestive system and other/unspecified diseases. To facilitate the understanding of sex and educational patterns, an</w:t>
      </w:r>
      <w:r w:rsidR="00894790">
        <w:rPr>
          <w:rFonts w:ascii="Calibri" w:hAnsi="Calibri" w:cs="Calibri"/>
        </w:rPr>
        <w:t xml:space="preserve"> additional</w:t>
      </w:r>
      <w:r w:rsidRPr="00AD4439">
        <w:rPr>
          <w:rFonts w:ascii="Calibri" w:hAnsi="Calibri" w:cs="Calibri"/>
        </w:rPr>
        <w:t xml:space="preserve"> asymmetric plot with vectors can be found in the supplementary material Figure</w:t>
      </w:r>
      <w:r>
        <w:rPr>
          <w:rFonts w:ascii="Calibri" w:hAnsi="Calibri" w:cs="Calibri"/>
        </w:rPr>
        <w:t> </w:t>
      </w:r>
      <w:r w:rsidRPr="00AD4439">
        <w:rPr>
          <w:rFonts w:ascii="Calibri" w:hAnsi="Calibri" w:cs="Calibri"/>
        </w:rPr>
        <w:t>A.</w:t>
      </w:r>
      <w:r w:rsidRPr="00AD4439">
        <w:rPr>
          <w:rFonts w:ascii="Calibri" w:hAnsi="Calibri" w:cs="Calibri"/>
          <w:color w:val="156082" w:themeColor="accent1"/>
        </w:rPr>
        <w:t xml:space="preserve"> </w:t>
      </w:r>
    </w:p>
    <w:p w14:paraId="658B69A2" w14:textId="68CD19AB" w:rsidR="00AD4439" w:rsidRPr="00AD4439" w:rsidRDefault="00AD4439" w:rsidP="004B0F14">
      <w:pPr>
        <w:pStyle w:val="Newparagraph"/>
        <w:spacing w:before="360" w:after="360" w:line="360" w:lineRule="auto"/>
        <w:ind w:firstLine="0"/>
        <w:rPr>
          <w:rFonts w:ascii="Calibri" w:hAnsi="Calibri" w:cs="Calibri"/>
        </w:rPr>
      </w:pPr>
      <w:bookmarkStart w:id="6" w:name="_Toc145236432"/>
      <w:r w:rsidRPr="00AD4439">
        <w:rPr>
          <w:rFonts w:ascii="Calibri" w:hAnsi="Calibri" w:cs="Calibri"/>
        </w:rPr>
        <w:lastRenderedPageBreak/>
        <w:t>The contribution</w:t>
      </w:r>
      <w:r>
        <w:rPr>
          <w:rFonts w:ascii="Calibri" w:hAnsi="Calibri" w:cs="Calibri"/>
        </w:rPr>
        <w:t>s</w:t>
      </w:r>
      <w:r w:rsidRPr="00AD4439">
        <w:rPr>
          <w:rFonts w:ascii="Calibri" w:hAnsi="Calibri" w:cs="Calibri"/>
        </w:rPr>
        <w:t xml:space="preserve"> to each dimension are presented in supplementary materials Table B and Table C.</w:t>
      </w:r>
    </w:p>
    <w:p w14:paraId="30605102" w14:textId="77777777" w:rsidR="00AD4439" w:rsidRPr="00AD4439" w:rsidRDefault="00AD4439" w:rsidP="004B0F14">
      <w:pPr>
        <w:pStyle w:val="Newparagraph"/>
        <w:spacing w:before="0" w:line="360" w:lineRule="auto"/>
        <w:ind w:firstLine="0"/>
        <w:rPr>
          <w:rFonts w:ascii="Calibri" w:hAnsi="Calibri" w:cs="Calibri"/>
          <w:i/>
          <w:iCs/>
          <w:sz w:val="22"/>
          <w:szCs w:val="22"/>
        </w:rPr>
      </w:pPr>
    </w:p>
    <w:p w14:paraId="7A107571" w14:textId="77777777" w:rsidR="00AD4439" w:rsidRPr="00AD4439" w:rsidRDefault="00AD4439" w:rsidP="004B0F14">
      <w:pPr>
        <w:pStyle w:val="Heading2"/>
        <w:spacing w:line="360" w:lineRule="auto"/>
        <w:rPr>
          <w:i/>
          <w:iCs/>
          <w:sz w:val="24"/>
          <w:szCs w:val="24"/>
        </w:rPr>
      </w:pPr>
      <w:r w:rsidRPr="00AD4439">
        <w:rPr>
          <w:i/>
          <w:iCs/>
          <w:sz w:val="24"/>
          <w:szCs w:val="24"/>
        </w:rPr>
        <w:t>Odds ratio</w:t>
      </w:r>
      <w:bookmarkEnd w:id="6"/>
    </w:p>
    <w:p w14:paraId="76296E52" w14:textId="4EAF804E" w:rsidR="00AE73D1" w:rsidRPr="00AD4439" w:rsidRDefault="00AD4439" w:rsidP="00AE73D1">
      <w:pPr>
        <w:pStyle w:val="Newparagraph"/>
        <w:spacing w:line="360" w:lineRule="auto"/>
        <w:rPr>
          <w:rFonts w:ascii="Calibri" w:hAnsi="Calibri" w:cs="Calibri"/>
        </w:rPr>
      </w:pPr>
      <w:r w:rsidRPr="00AD4439">
        <w:rPr>
          <w:rFonts w:ascii="Calibri" w:hAnsi="Calibri" w:cs="Calibri"/>
        </w:rPr>
        <w:t xml:space="preserve">The odds </w:t>
      </w:r>
      <w:r w:rsidR="00894790">
        <w:rPr>
          <w:rFonts w:ascii="Calibri" w:hAnsi="Calibri" w:cs="Calibri"/>
        </w:rPr>
        <w:t xml:space="preserve">that </w:t>
      </w:r>
      <w:r w:rsidRPr="00AD4439">
        <w:rPr>
          <w:rFonts w:ascii="Calibri" w:hAnsi="Calibri" w:cs="Calibri"/>
        </w:rPr>
        <w:t xml:space="preserve">a given morbidity </w:t>
      </w:r>
      <w:r w:rsidR="00894790">
        <w:rPr>
          <w:rFonts w:ascii="Calibri" w:hAnsi="Calibri" w:cs="Calibri"/>
        </w:rPr>
        <w:t>is present in suicides compared to accidents</w:t>
      </w:r>
      <w:r w:rsidR="0074656E">
        <w:rPr>
          <w:rFonts w:ascii="Calibri" w:hAnsi="Calibri" w:cs="Calibri"/>
        </w:rPr>
        <w:t xml:space="preserve"> </w:t>
      </w:r>
      <w:r w:rsidRPr="00AD4439">
        <w:rPr>
          <w:rFonts w:ascii="Calibri" w:hAnsi="Calibri" w:cs="Calibri"/>
        </w:rPr>
        <w:t xml:space="preserve">are presented in Table </w:t>
      </w:r>
      <w:r w:rsidR="008E1594">
        <w:rPr>
          <w:rFonts w:ascii="Calibri" w:hAnsi="Calibri" w:cs="Calibri"/>
        </w:rPr>
        <w:t>3</w:t>
      </w:r>
      <w:r w:rsidRPr="00AD4439">
        <w:rPr>
          <w:rFonts w:ascii="Calibri" w:hAnsi="Calibri" w:cs="Calibri"/>
        </w:rPr>
        <w:t xml:space="preserve">. Five </w:t>
      </w:r>
      <w:r w:rsidR="001F3039">
        <w:rPr>
          <w:rFonts w:ascii="Calibri" w:hAnsi="Calibri" w:cs="Calibri"/>
        </w:rPr>
        <w:t>morbidities’ presence</w:t>
      </w:r>
      <w:r w:rsidRPr="00AD4439">
        <w:rPr>
          <w:rFonts w:ascii="Calibri" w:hAnsi="Calibri" w:cs="Calibri"/>
        </w:rPr>
        <w:t xml:space="preserve"> were significantly associated (p&lt;0.001) with higher odds of being registered as a suicide compared to an accident. Asphyxiation presented the highest</w:t>
      </w:r>
      <w:r w:rsidR="00E4518E">
        <w:rPr>
          <w:rFonts w:ascii="Calibri" w:hAnsi="Calibri" w:cs="Calibri"/>
        </w:rPr>
        <w:t xml:space="preserve"> odds</w:t>
      </w:r>
      <w:r w:rsidRPr="00AD4439">
        <w:rPr>
          <w:rFonts w:ascii="Calibri" w:hAnsi="Calibri" w:cs="Calibri"/>
        </w:rPr>
        <w:t xml:space="preserve"> with </w:t>
      </w:r>
      <w:r w:rsidRPr="00AD4439">
        <w:rPr>
          <w:rFonts w:ascii="Calibri" w:eastAsia="Calibri" w:hAnsi="Calibri" w:cs="Calibri"/>
          <w:kern w:val="2"/>
        </w:rPr>
        <w:t>24.62 (CI: 23.66, 25.63)</w:t>
      </w:r>
      <w:r w:rsidRPr="00AD4439">
        <w:rPr>
          <w:rFonts w:ascii="Calibri" w:hAnsi="Calibri" w:cs="Calibri"/>
        </w:rPr>
        <w:t xml:space="preserve"> among females and </w:t>
      </w:r>
      <w:r w:rsidRPr="00AD4439">
        <w:rPr>
          <w:rFonts w:ascii="Calibri" w:eastAsia="Calibri" w:hAnsi="Calibri" w:cs="Calibri"/>
          <w:kern w:val="2"/>
        </w:rPr>
        <w:t>19.2</w:t>
      </w:r>
      <w:r w:rsidR="00747B23">
        <w:rPr>
          <w:rFonts w:ascii="Calibri" w:eastAsia="Calibri" w:hAnsi="Calibri" w:cs="Calibri"/>
          <w:kern w:val="2"/>
        </w:rPr>
        <w:t>0</w:t>
      </w:r>
      <w:r w:rsidRPr="00AD4439">
        <w:rPr>
          <w:rFonts w:ascii="Calibri" w:eastAsia="Calibri" w:hAnsi="Calibri" w:cs="Calibri"/>
          <w:kern w:val="2"/>
        </w:rPr>
        <w:t xml:space="preserve"> (CI: 18.83, 19.63) </w:t>
      </w:r>
      <w:r w:rsidRPr="00AD4439">
        <w:rPr>
          <w:rFonts w:ascii="Calibri" w:hAnsi="Calibri" w:cs="Calibri"/>
        </w:rPr>
        <w:t xml:space="preserve">among males. The four others were injuries (respectively </w:t>
      </w:r>
      <w:r w:rsidRPr="00AD4439">
        <w:rPr>
          <w:rFonts w:ascii="Calibri" w:eastAsia="Calibri" w:hAnsi="Calibri" w:cs="Calibri"/>
          <w:kern w:val="2"/>
        </w:rPr>
        <w:t xml:space="preserve">1.31 [CI: 1.29, 1.34] and 2.82 [CI: 2.79, 2.85]), schizophrenia (2.35 [CI: 2.04, 2.71] and 2.25 [CI: 2.06, 2.46]), mood disorder (7.53 [CI: 7.18, 7.89] and 12.18 [CI: 11.67, 12.72]) and anxiety, dissociative and non-psychotic disorders (2.86 [CI: 2.59, 3.15] and 3.41 [CI: 3.17, 3.66]). No comorbidities from the </w:t>
      </w:r>
      <w:r w:rsidR="002E0027">
        <w:rPr>
          <w:rFonts w:ascii="Calibri" w:eastAsia="Calibri" w:hAnsi="Calibri" w:cs="Calibri"/>
          <w:kern w:val="2"/>
        </w:rPr>
        <w:t>d</w:t>
      </w:r>
      <w:r w:rsidRPr="00AD4439">
        <w:rPr>
          <w:rFonts w:ascii="Calibri" w:eastAsia="Calibri" w:hAnsi="Calibri" w:cs="Calibri"/>
          <w:kern w:val="2"/>
        </w:rPr>
        <w:t xml:space="preserve">isease group presented </w:t>
      </w:r>
      <w:r w:rsidR="009B10AF">
        <w:rPr>
          <w:rFonts w:ascii="Calibri" w:eastAsia="Calibri" w:hAnsi="Calibri" w:cs="Calibri"/>
          <w:kern w:val="2"/>
        </w:rPr>
        <w:t xml:space="preserve">significant </w:t>
      </w:r>
      <w:r w:rsidRPr="00AD4439">
        <w:rPr>
          <w:rFonts w:ascii="Calibri" w:eastAsia="Calibri" w:hAnsi="Calibri" w:cs="Calibri"/>
          <w:kern w:val="2"/>
        </w:rPr>
        <w:t xml:space="preserve">odds of being registered in a suicide compared to an accident. </w:t>
      </w:r>
      <w:r w:rsidRPr="00AD4439">
        <w:rPr>
          <w:rFonts w:ascii="Calibri" w:hAnsi="Calibri" w:cs="Calibri"/>
        </w:rPr>
        <w:t xml:space="preserve">We observed little difference between males and females, with the same morbidity groups presenting significantly higher/lower odds of being registered in a suicide compared to an accident. </w:t>
      </w:r>
    </w:p>
    <w:tbl>
      <w:tblPr>
        <w:tblStyle w:val="TableGrid"/>
        <w:tblpPr w:leftFromText="180" w:rightFromText="180" w:vertAnchor="page" w:horzAnchor="margin" w:tblpY="1369"/>
        <w:tblW w:w="8764" w:type="dxa"/>
        <w:tblLayout w:type="fixed"/>
        <w:tblLook w:val="04A0" w:firstRow="1" w:lastRow="0" w:firstColumn="1" w:lastColumn="0" w:noHBand="0" w:noVBand="1"/>
      </w:tblPr>
      <w:tblGrid>
        <w:gridCol w:w="3539"/>
        <w:gridCol w:w="2611"/>
        <w:gridCol w:w="2614"/>
      </w:tblGrid>
      <w:tr w:rsidR="009B47D8" w:rsidRPr="004369EC" w14:paraId="207FB5FD" w14:textId="77777777" w:rsidTr="00C045F3">
        <w:tc>
          <w:tcPr>
            <w:tcW w:w="8764" w:type="dxa"/>
            <w:gridSpan w:val="3"/>
            <w:tcBorders>
              <w:top w:val="nil"/>
              <w:left w:val="nil"/>
              <w:right w:val="nil"/>
            </w:tcBorders>
            <w:shd w:val="clear" w:color="auto" w:fill="auto"/>
            <w:vAlign w:val="center"/>
          </w:tcPr>
          <w:p w14:paraId="4D787079" w14:textId="77777777" w:rsidR="009B47D8" w:rsidRPr="004369EC" w:rsidRDefault="009B47D8" w:rsidP="00C045F3">
            <w:pPr>
              <w:pStyle w:val="Paragraph"/>
              <w:spacing w:before="0" w:after="240" w:line="360" w:lineRule="auto"/>
              <w:jc w:val="center"/>
              <w:rPr>
                <w:i/>
                <w:iCs/>
                <w:lang w:val="en-GB"/>
              </w:rPr>
            </w:pPr>
            <w:r w:rsidRPr="004369EC">
              <w:rPr>
                <w:rFonts w:eastAsia="Calibri"/>
                <w:b/>
                <w:bCs/>
                <w:i/>
                <w:iCs/>
                <w:kern w:val="2"/>
                <w:lang w:val="en-GB"/>
              </w:rPr>
              <w:lastRenderedPageBreak/>
              <w:t xml:space="preserve">Table </w:t>
            </w:r>
            <w:r>
              <w:rPr>
                <w:rFonts w:eastAsia="Calibri"/>
                <w:b/>
                <w:bCs/>
                <w:i/>
                <w:iCs/>
                <w:kern w:val="2"/>
                <w:lang w:val="en-GB"/>
              </w:rPr>
              <w:t>3</w:t>
            </w:r>
            <w:r w:rsidRPr="004369EC">
              <w:rPr>
                <w:rFonts w:eastAsia="Calibri"/>
                <w:i/>
                <w:iCs/>
                <w:kern w:val="2"/>
                <w:lang w:val="en-GB"/>
              </w:rPr>
              <w:t>. Odds ratio from the logistic regression models</w:t>
            </w:r>
            <w:r>
              <w:rPr>
                <w:rFonts w:eastAsia="Calibri"/>
                <w:i/>
                <w:iCs/>
                <w:kern w:val="2"/>
                <w:lang w:val="en-GB"/>
              </w:rPr>
              <w:t>, United States 2010-19 for individuals aged 25 years old or older at death</w:t>
            </w:r>
          </w:p>
        </w:tc>
      </w:tr>
      <w:tr w:rsidR="009B47D8" w:rsidRPr="004369EC" w14:paraId="2091922A" w14:textId="77777777" w:rsidTr="00C045F3">
        <w:tc>
          <w:tcPr>
            <w:tcW w:w="3539" w:type="dxa"/>
            <w:vMerge w:val="restart"/>
            <w:tcBorders>
              <w:right w:val="nil"/>
            </w:tcBorders>
            <w:vAlign w:val="center"/>
          </w:tcPr>
          <w:p w14:paraId="5E757131" w14:textId="4681A29C" w:rsidR="009B47D8" w:rsidRPr="004B5A19" w:rsidRDefault="009B47D8" w:rsidP="00C045F3">
            <w:pPr>
              <w:pStyle w:val="Newparagraph"/>
              <w:spacing w:before="0" w:line="360" w:lineRule="auto"/>
              <w:ind w:firstLine="0"/>
              <w:jc w:val="center"/>
              <w:rPr>
                <w:rFonts w:eastAsia="Calibri"/>
                <w:b/>
                <w:bCs/>
                <w:kern w:val="2"/>
                <w:lang w:val="en-GB"/>
              </w:rPr>
            </w:pPr>
            <w:r w:rsidRPr="004B5A19">
              <w:rPr>
                <w:rFonts w:eastAsia="Calibri"/>
                <w:b/>
                <w:bCs/>
                <w:kern w:val="2"/>
                <w:lang w:val="en-GB"/>
              </w:rPr>
              <w:t>Comorbidity (ICD-10)</w:t>
            </w:r>
          </w:p>
        </w:tc>
        <w:tc>
          <w:tcPr>
            <w:tcW w:w="5225" w:type="dxa"/>
            <w:gridSpan w:val="2"/>
            <w:tcBorders>
              <w:left w:val="nil"/>
              <w:bottom w:val="nil"/>
            </w:tcBorders>
            <w:vAlign w:val="center"/>
          </w:tcPr>
          <w:p w14:paraId="5A844D2D" w14:textId="77777777" w:rsidR="009B47D8" w:rsidRPr="004B5A19" w:rsidRDefault="009B47D8" w:rsidP="00C045F3">
            <w:pPr>
              <w:pStyle w:val="Newparagraph"/>
              <w:spacing w:before="0" w:line="360" w:lineRule="auto"/>
              <w:ind w:firstLine="0"/>
              <w:jc w:val="center"/>
              <w:rPr>
                <w:rFonts w:eastAsia="Calibri"/>
                <w:b/>
                <w:bCs/>
                <w:kern w:val="2"/>
                <w:lang w:val="en-GB"/>
              </w:rPr>
            </w:pPr>
            <w:r w:rsidRPr="004B5A19">
              <w:rPr>
                <w:rFonts w:eastAsia="Calibri"/>
                <w:b/>
                <w:bCs/>
                <w:kern w:val="2"/>
                <w:lang w:val="en-GB"/>
              </w:rPr>
              <w:t>Odds ratio</w:t>
            </w:r>
          </w:p>
        </w:tc>
      </w:tr>
      <w:tr w:rsidR="009B47D8" w:rsidRPr="004369EC" w14:paraId="5CC116AE" w14:textId="77777777" w:rsidTr="00C045F3">
        <w:tc>
          <w:tcPr>
            <w:tcW w:w="3539" w:type="dxa"/>
            <w:vMerge/>
            <w:tcBorders>
              <w:top w:val="nil"/>
              <w:right w:val="nil"/>
            </w:tcBorders>
          </w:tcPr>
          <w:p w14:paraId="0BA10E6E" w14:textId="77777777" w:rsidR="009B47D8" w:rsidRPr="004B5A19" w:rsidRDefault="009B47D8" w:rsidP="00C045F3">
            <w:pPr>
              <w:pStyle w:val="Newparagraph"/>
              <w:spacing w:before="0" w:line="360" w:lineRule="auto"/>
              <w:ind w:firstLine="0"/>
              <w:rPr>
                <w:b/>
                <w:bCs/>
                <w:sz w:val="22"/>
                <w:szCs w:val="22"/>
                <w:lang w:val="en-GB"/>
              </w:rPr>
            </w:pPr>
          </w:p>
        </w:tc>
        <w:tc>
          <w:tcPr>
            <w:tcW w:w="2611" w:type="dxa"/>
            <w:tcBorders>
              <w:top w:val="nil"/>
              <w:left w:val="nil"/>
              <w:right w:val="nil"/>
            </w:tcBorders>
            <w:vAlign w:val="center"/>
          </w:tcPr>
          <w:p w14:paraId="3CB35C24" w14:textId="77777777" w:rsidR="009B47D8" w:rsidRPr="004B5A19" w:rsidRDefault="009B47D8" w:rsidP="00C045F3">
            <w:pPr>
              <w:pStyle w:val="Newparagraph"/>
              <w:spacing w:before="0" w:line="360" w:lineRule="auto"/>
              <w:ind w:firstLine="0"/>
              <w:jc w:val="center"/>
              <w:rPr>
                <w:rFonts w:eastAsia="Calibri"/>
                <w:b/>
                <w:bCs/>
                <w:kern w:val="2"/>
                <w:lang w:val="en-GB"/>
              </w:rPr>
            </w:pPr>
            <w:r w:rsidRPr="004B5A19">
              <w:rPr>
                <w:rFonts w:eastAsia="Calibri"/>
                <w:b/>
                <w:bCs/>
                <w:kern w:val="2"/>
                <w:lang w:val="en-GB"/>
              </w:rPr>
              <w:t>Females</w:t>
            </w:r>
          </w:p>
        </w:tc>
        <w:tc>
          <w:tcPr>
            <w:tcW w:w="2614" w:type="dxa"/>
            <w:tcBorders>
              <w:top w:val="nil"/>
              <w:left w:val="nil"/>
            </w:tcBorders>
            <w:vAlign w:val="center"/>
          </w:tcPr>
          <w:p w14:paraId="47E2A42C" w14:textId="77777777" w:rsidR="009B47D8" w:rsidRPr="004B5A19" w:rsidRDefault="009B47D8" w:rsidP="00C045F3">
            <w:pPr>
              <w:pStyle w:val="Newparagraph"/>
              <w:spacing w:before="0" w:line="360" w:lineRule="auto"/>
              <w:ind w:firstLine="0"/>
              <w:jc w:val="center"/>
              <w:rPr>
                <w:rFonts w:eastAsia="Calibri"/>
                <w:b/>
                <w:bCs/>
                <w:kern w:val="2"/>
                <w:lang w:val="en-GB"/>
              </w:rPr>
            </w:pPr>
            <w:r w:rsidRPr="004B5A19">
              <w:rPr>
                <w:rFonts w:eastAsia="Calibri"/>
                <w:b/>
                <w:bCs/>
                <w:kern w:val="2"/>
                <w:lang w:val="en-GB"/>
              </w:rPr>
              <w:t>Males</w:t>
            </w:r>
          </w:p>
        </w:tc>
      </w:tr>
      <w:tr w:rsidR="009B47D8" w:rsidRPr="004369EC" w14:paraId="4284FEBA" w14:textId="77777777" w:rsidTr="00C045F3">
        <w:tc>
          <w:tcPr>
            <w:tcW w:w="3539" w:type="dxa"/>
            <w:tcBorders>
              <w:top w:val="nil"/>
              <w:bottom w:val="nil"/>
              <w:right w:val="nil"/>
            </w:tcBorders>
            <w:vAlign w:val="center"/>
          </w:tcPr>
          <w:p w14:paraId="76900439"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Injuries </w:t>
            </w:r>
          </w:p>
        </w:tc>
        <w:tc>
          <w:tcPr>
            <w:tcW w:w="2611" w:type="dxa"/>
            <w:tcBorders>
              <w:top w:val="nil"/>
              <w:left w:val="nil"/>
              <w:bottom w:val="nil"/>
              <w:right w:val="nil"/>
            </w:tcBorders>
            <w:shd w:val="clear" w:color="auto" w:fill="auto"/>
            <w:vAlign w:val="center"/>
          </w:tcPr>
          <w:p w14:paraId="0DFEF7F2" w14:textId="77777777" w:rsidR="009B47D8" w:rsidRPr="004369EC" w:rsidRDefault="009B47D8" w:rsidP="00C045F3">
            <w:pPr>
              <w:pStyle w:val="Newparagraph"/>
              <w:spacing w:before="0" w:line="360" w:lineRule="auto"/>
              <w:ind w:firstLine="0"/>
              <w:jc w:val="center"/>
              <w:rPr>
                <w:rFonts w:eastAsia="Calibri"/>
                <w:color w:val="C00000"/>
                <w:kern w:val="2"/>
                <w:lang w:val="en-GB"/>
              </w:rPr>
            </w:pPr>
            <w:r w:rsidRPr="00AE73D1">
              <w:rPr>
                <w:rFonts w:eastAsia="Calibri"/>
                <w:b/>
                <w:bCs/>
                <w:kern w:val="2"/>
                <w:lang w:val="en-GB"/>
              </w:rPr>
              <w:t>1.31</w:t>
            </w:r>
            <w:r w:rsidRPr="00AE73D1">
              <w:rPr>
                <w:rFonts w:eastAsia="Calibri"/>
                <w:kern w:val="2"/>
                <w:lang w:val="en-GB"/>
              </w:rPr>
              <w:t xml:space="preserve"> </w:t>
            </w:r>
            <w:r w:rsidRPr="004369EC">
              <w:rPr>
                <w:rFonts w:eastAsia="Calibri"/>
                <w:kern w:val="2"/>
                <w:lang w:val="en-GB"/>
              </w:rPr>
              <w:t>(1.29, 1.34</w:t>
            </w:r>
            <w:r>
              <w:rPr>
                <w:rFonts w:eastAsia="Calibri"/>
                <w:kern w:val="2"/>
                <w:lang w:val="en-GB"/>
              </w:rPr>
              <w:t>)</w:t>
            </w:r>
          </w:p>
        </w:tc>
        <w:tc>
          <w:tcPr>
            <w:tcW w:w="2614" w:type="dxa"/>
            <w:tcBorders>
              <w:top w:val="nil"/>
              <w:left w:val="nil"/>
              <w:bottom w:val="nil"/>
            </w:tcBorders>
            <w:shd w:val="clear" w:color="auto" w:fill="auto"/>
            <w:vAlign w:val="center"/>
          </w:tcPr>
          <w:p w14:paraId="097AAE7F" w14:textId="77777777" w:rsidR="009B47D8" w:rsidRPr="004369EC" w:rsidRDefault="009B47D8" w:rsidP="00C045F3">
            <w:pPr>
              <w:pStyle w:val="Newparagraph"/>
              <w:spacing w:before="0" w:line="360" w:lineRule="auto"/>
              <w:ind w:firstLine="0"/>
              <w:jc w:val="center"/>
              <w:rPr>
                <w:rFonts w:eastAsia="Calibri"/>
                <w:color w:val="FF0000"/>
                <w:kern w:val="2"/>
                <w:lang w:val="en-GB"/>
              </w:rPr>
            </w:pPr>
            <w:r w:rsidRPr="00AE73D1">
              <w:rPr>
                <w:rFonts w:eastAsia="Calibri"/>
                <w:b/>
                <w:bCs/>
                <w:kern w:val="2"/>
                <w:lang w:val="en-GB"/>
              </w:rPr>
              <w:t>2.82</w:t>
            </w:r>
            <w:r w:rsidRPr="00AE73D1">
              <w:rPr>
                <w:rFonts w:eastAsia="Calibri"/>
                <w:kern w:val="2"/>
                <w:lang w:val="en-GB"/>
              </w:rPr>
              <w:t xml:space="preserve"> </w:t>
            </w:r>
            <w:r w:rsidRPr="004369EC">
              <w:rPr>
                <w:rFonts w:eastAsia="Calibri"/>
                <w:kern w:val="2"/>
                <w:lang w:val="en-GB"/>
              </w:rPr>
              <w:t>(2.79, 2.85)</w:t>
            </w:r>
          </w:p>
        </w:tc>
      </w:tr>
      <w:tr w:rsidR="009B47D8" w:rsidRPr="004369EC" w14:paraId="2E270B74" w14:textId="77777777" w:rsidTr="00C045F3">
        <w:tc>
          <w:tcPr>
            <w:tcW w:w="3539" w:type="dxa"/>
            <w:tcBorders>
              <w:top w:val="nil"/>
              <w:bottom w:val="nil"/>
              <w:right w:val="nil"/>
            </w:tcBorders>
            <w:vAlign w:val="center"/>
          </w:tcPr>
          <w:p w14:paraId="032CEF14" w14:textId="77777777" w:rsidR="009B47D8" w:rsidRPr="004369EC" w:rsidRDefault="009B47D8" w:rsidP="00C045F3">
            <w:pPr>
              <w:pStyle w:val="Newparagraph"/>
              <w:spacing w:before="0" w:line="360" w:lineRule="auto"/>
              <w:ind w:firstLine="0"/>
              <w:jc w:val="left"/>
              <w:rPr>
                <w:rFonts w:eastAsia="Calibri"/>
                <w:lang w:val="en-GB"/>
              </w:rPr>
            </w:pPr>
            <w:r w:rsidRPr="004369EC">
              <w:rPr>
                <w:rFonts w:eastAsia="Calibri"/>
                <w:kern w:val="2"/>
                <w:lang w:val="en-GB"/>
              </w:rPr>
              <w:t xml:space="preserve">Poisoning by drugs, medicaments, and biological substances </w:t>
            </w:r>
          </w:p>
        </w:tc>
        <w:tc>
          <w:tcPr>
            <w:tcW w:w="2611" w:type="dxa"/>
            <w:tcBorders>
              <w:top w:val="nil"/>
              <w:left w:val="nil"/>
              <w:bottom w:val="nil"/>
              <w:right w:val="nil"/>
            </w:tcBorders>
            <w:shd w:val="clear" w:color="auto" w:fill="auto"/>
            <w:vAlign w:val="center"/>
          </w:tcPr>
          <w:p w14:paraId="6DDC8D02"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0.32 (0.31, 0.33)</w:t>
            </w:r>
          </w:p>
        </w:tc>
        <w:tc>
          <w:tcPr>
            <w:tcW w:w="2614" w:type="dxa"/>
            <w:tcBorders>
              <w:top w:val="nil"/>
              <w:left w:val="nil"/>
              <w:bottom w:val="nil"/>
            </w:tcBorders>
            <w:shd w:val="clear" w:color="auto" w:fill="auto"/>
            <w:vAlign w:val="center"/>
          </w:tcPr>
          <w:p w14:paraId="411A6F27"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0.06 (0.06, 0.06)</w:t>
            </w:r>
          </w:p>
        </w:tc>
      </w:tr>
      <w:tr w:rsidR="009B47D8" w:rsidRPr="004369EC" w14:paraId="0C7B8D11" w14:textId="77777777" w:rsidTr="00C045F3">
        <w:tc>
          <w:tcPr>
            <w:tcW w:w="3539" w:type="dxa"/>
            <w:tcBorders>
              <w:top w:val="nil"/>
              <w:bottom w:val="nil"/>
              <w:right w:val="nil"/>
            </w:tcBorders>
            <w:vAlign w:val="center"/>
          </w:tcPr>
          <w:p w14:paraId="2AEF2447"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Poisoning by nonmedicinal substances </w:t>
            </w:r>
          </w:p>
        </w:tc>
        <w:tc>
          <w:tcPr>
            <w:tcW w:w="2611" w:type="dxa"/>
            <w:tcBorders>
              <w:top w:val="nil"/>
              <w:left w:val="nil"/>
              <w:bottom w:val="nil"/>
              <w:right w:val="nil"/>
            </w:tcBorders>
            <w:shd w:val="clear" w:color="auto" w:fill="auto"/>
            <w:vAlign w:val="center"/>
          </w:tcPr>
          <w:p w14:paraId="334F880B"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0.71 (0.70, 0.73)</w:t>
            </w:r>
          </w:p>
        </w:tc>
        <w:tc>
          <w:tcPr>
            <w:tcW w:w="2614" w:type="dxa"/>
            <w:tcBorders>
              <w:top w:val="nil"/>
              <w:left w:val="nil"/>
              <w:bottom w:val="nil"/>
            </w:tcBorders>
            <w:shd w:val="clear" w:color="auto" w:fill="auto"/>
            <w:vAlign w:val="center"/>
          </w:tcPr>
          <w:p w14:paraId="0D22D615"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0.36 (0.36, 0.37)</w:t>
            </w:r>
          </w:p>
        </w:tc>
      </w:tr>
      <w:tr w:rsidR="009B47D8" w:rsidRPr="004369EC" w14:paraId="0BB8AD3F" w14:textId="77777777" w:rsidTr="00C045F3">
        <w:tc>
          <w:tcPr>
            <w:tcW w:w="3539" w:type="dxa"/>
            <w:tcBorders>
              <w:top w:val="nil"/>
              <w:bottom w:val="nil"/>
              <w:right w:val="nil"/>
            </w:tcBorders>
            <w:vAlign w:val="center"/>
          </w:tcPr>
          <w:p w14:paraId="7ADF89CF"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Asphyxiation</w:t>
            </w:r>
          </w:p>
        </w:tc>
        <w:tc>
          <w:tcPr>
            <w:tcW w:w="2611" w:type="dxa"/>
            <w:tcBorders>
              <w:top w:val="nil"/>
              <w:left w:val="nil"/>
              <w:bottom w:val="nil"/>
              <w:right w:val="nil"/>
            </w:tcBorders>
            <w:shd w:val="clear" w:color="auto" w:fill="auto"/>
            <w:vAlign w:val="center"/>
          </w:tcPr>
          <w:p w14:paraId="6CB6B2B9" w14:textId="7777777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24.62</w:t>
            </w:r>
            <w:r w:rsidRPr="00AE73D1">
              <w:rPr>
                <w:rFonts w:eastAsia="Calibri"/>
                <w:kern w:val="2"/>
                <w:lang w:val="en-GB"/>
              </w:rPr>
              <w:t xml:space="preserve"> </w:t>
            </w:r>
            <w:r w:rsidRPr="004369EC">
              <w:rPr>
                <w:rFonts w:eastAsia="Calibri"/>
                <w:kern w:val="2"/>
                <w:lang w:val="en-GB"/>
              </w:rPr>
              <w:t>(23.66, 25.63)</w:t>
            </w:r>
          </w:p>
        </w:tc>
        <w:tc>
          <w:tcPr>
            <w:tcW w:w="2614" w:type="dxa"/>
            <w:tcBorders>
              <w:top w:val="nil"/>
              <w:left w:val="nil"/>
              <w:bottom w:val="nil"/>
            </w:tcBorders>
            <w:shd w:val="clear" w:color="auto" w:fill="auto"/>
            <w:vAlign w:val="center"/>
          </w:tcPr>
          <w:p w14:paraId="37F34C08" w14:textId="483F9F8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19.2</w:t>
            </w:r>
            <w:r w:rsidR="00F73BBE">
              <w:rPr>
                <w:rFonts w:eastAsia="Calibri"/>
                <w:b/>
                <w:bCs/>
                <w:kern w:val="2"/>
                <w:lang w:val="en-GB"/>
              </w:rPr>
              <w:t>0</w:t>
            </w:r>
            <w:r w:rsidRPr="00AE73D1">
              <w:rPr>
                <w:rFonts w:eastAsia="Calibri"/>
                <w:kern w:val="2"/>
                <w:lang w:val="en-GB"/>
              </w:rPr>
              <w:t xml:space="preserve"> </w:t>
            </w:r>
            <w:r w:rsidRPr="004369EC">
              <w:rPr>
                <w:rFonts w:eastAsia="Calibri"/>
                <w:kern w:val="2"/>
                <w:lang w:val="en-GB"/>
              </w:rPr>
              <w:t>(18.83, 19.63)</w:t>
            </w:r>
          </w:p>
        </w:tc>
      </w:tr>
      <w:tr w:rsidR="009B47D8" w:rsidRPr="004369EC" w14:paraId="6B0D65C5" w14:textId="77777777" w:rsidTr="00C045F3">
        <w:tc>
          <w:tcPr>
            <w:tcW w:w="3539" w:type="dxa"/>
            <w:tcBorders>
              <w:top w:val="nil"/>
              <w:right w:val="nil"/>
            </w:tcBorders>
            <w:vAlign w:val="center"/>
          </w:tcPr>
          <w:p w14:paraId="46DAF14D"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Other and unspecified effects of external causes </w:t>
            </w:r>
          </w:p>
        </w:tc>
        <w:tc>
          <w:tcPr>
            <w:tcW w:w="2611" w:type="dxa"/>
            <w:tcBorders>
              <w:top w:val="nil"/>
              <w:left w:val="nil"/>
              <w:right w:val="nil"/>
            </w:tcBorders>
            <w:shd w:val="clear" w:color="auto" w:fill="auto"/>
            <w:vAlign w:val="center"/>
          </w:tcPr>
          <w:p w14:paraId="5867DF47"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0.51 (0.49, 0.53)</w:t>
            </w:r>
          </w:p>
        </w:tc>
        <w:tc>
          <w:tcPr>
            <w:tcW w:w="2614" w:type="dxa"/>
            <w:tcBorders>
              <w:top w:val="nil"/>
              <w:left w:val="nil"/>
            </w:tcBorders>
            <w:shd w:val="clear" w:color="auto" w:fill="auto"/>
            <w:vAlign w:val="center"/>
          </w:tcPr>
          <w:p w14:paraId="23ED8B80"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0.23 (0.23, 0.24)</w:t>
            </w:r>
          </w:p>
        </w:tc>
      </w:tr>
      <w:tr w:rsidR="009B47D8" w:rsidRPr="004369EC" w14:paraId="794A9C10" w14:textId="77777777" w:rsidTr="00C045F3">
        <w:tc>
          <w:tcPr>
            <w:tcW w:w="3539" w:type="dxa"/>
            <w:tcBorders>
              <w:top w:val="nil"/>
              <w:bottom w:val="nil"/>
              <w:right w:val="nil"/>
            </w:tcBorders>
            <w:vAlign w:val="center"/>
          </w:tcPr>
          <w:p w14:paraId="7C062036"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Infectious and parasitic diseases </w:t>
            </w:r>
          </w:p>
        </w:tc>
        <w:tc>
          <w:tcPr>
            <w:tcW w:w="2611" w:type="dxa"/>
            <w:tcBorders>
              <w:top w:val="nil"/>
              <w:left w:val="nil"/>
              <w:bottom w:val="nil"/>
              <w:right w:val="nil"/>
            </w:tcBorders>
            <w:shd w:val="clear" w:color="auto" w:fill="auto"/>
            <w:vAlign w:val="center"/>
          </w:tcPr>
          <w:p w14:paraId="120EBC51"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0.17 (0.15, 0.19)</w:t>
            </w:r>
          </w:p>
        </w:tc>
        <w:tc>
          <w:tcPr>
            <w:tcW w:w="2614" w:type="dxa"/>
            <w:tcBorders>
              <w:top w:val="nil"/>
              <w:left w:val="nil"/>
              <w:bottom w:val="nil"/>
            </w:tcBorders>
            <w:shd w:val="clear" w:color="auto" w:fill="auto"/>
            <w:vAlign w:val="center"/>
          </w:tcPr>
          <w:p w14:paraId="5A5B3D46"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0.14 (0.12, 0.15)</w:t>
            </w:r>
          </w:p>
        </w:tc>
      </w:tr>
      <w:tr w:rsidR="009B47D8" w:rsidRPr="004369EC" w14:paraId="4C4151D1" w14:textId="77777777" w:rsidTr="00C045F3">
        <w:tc>
          <w:tcPr>
            <w:tcW w:w="3539" w:type="dxa"/>
            <w:tcBorders>
              <w:top w:val="nil"/>
              <w:bottom w:val="nil"/>
              <w:right w:val="nil"/>
            </w:tcBorders>
            <w:vAlign w:val="center"/>
          </w:tcPr>
          <w:p w14:paraId="3E5218C2"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Neoplasms </w:t>
            </w:r>
          </w:p>
        </w:tc>
        <w:tc>
          <w:tcPr>
            <w:tcW w:w="2611" w:type="dxa"/>
            <w:tcBorders>
              <w:top w:val="nil"/>
              <w:left w:val="nil"/>
              <w:bottom w:val="nil"/>
              <w:right w:val="nil"/>
            </w:tcBorders>
            <w:shd w:val="clear" w:color="auto" w:fill="auto"/>
            <w:vAlign w:val="center"/>
          </w:tcPr>
          <w:p w14:paraId="6E8CA98F"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0.46 (0.41, 0.50)</w:t>
            </w:r>
          </w:p>
        </w:tc>
        <w:tc>
          <w:tcPr>
            <w:tcW w:w="2614" w:type="dxa"/>
            <w:tcBorders>
              <w:top w:val="nil"/>
              <w:left w:val="nil"/>
              <w:bottom w:val="nil"/>
            </w:tcBorders>
            <w:shd w:val="clear" w:color="auto" w:fill="auto"/>
            <w:vAlign w:val="center"/>
          </w:tcPr>
          <w:p w14:paraId="2551C00C"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0.85 (0.80, 0.89)</w:t>
            </w:r>
          </w:p>
        </w:tc>
      </w:tr>
      <w:tr w:rsidR="009B47D8" w:rsidRPr="004369EC" w14:paraId="4ED27A78" w14:textId="77777777" w:rsidTr="00C045F3">
        <w:tc>
          <w:tcPr>
            <w:tcW w:w="3539" w:type="dxa"/>
            <w:tcBorders>
              <w:top w:val="nil"/>
              <w:bottom w:val="nil"/>
              <w:right w:val="nil"/>
            </w:tcBorders>
            <w:vAlign w:val="center"/>
          </w:tcPr>
          <w:p w14:paraId="00ECA761"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Nervous system </w:t>
            </w:r>
          </w:p>
        </w:tc>
        <w:tc>
          <w:tcPr>
            <w:tcW w:w="2611" w:type="dxa"/>
            <w:tcBorders>
              <w:top w:val="nil"/>
              <w:left w:val="nil"/>
              <w:bottom w:val="nil"/>
              <w:right w:val="nil"/>
            </w:tcBorders>
            <w:shd w:val="clear" w:color="auto" w:fill="auto"/>
            <w:vAlign w:val="center"/>
          </w:tcPr>
          <w:p w14:paraId="11DDEFA9"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0.67 (0.64, 0.71)</w:t>
            </w:r>
          </w:p>
        </w:tc>
        <w:tc>
          <w:tcPr>
            <w:tcW w:w="2614" w:type="dxa"/>
            <w:tcBorders>
              <w:top w:val="nil"/>
              <w:left w:val="nil"/>
              <w:bottom w:val="nil"/>
            </w:tcBorders>
            <w:shd w:val="clear" w:color="auto" w:fill="auto"/>
            <w:vAlign w:val="center"/>
          </w:tcPr>
          <w:p w14:paraId="0A3FDB73"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0.65 (0.63, 0.67)</w:t>
            </w:r>
          </w:p>
        </w:tc>
      </w:tr>
      <w:tr w:rsidR="009B47D8" w:rsidRPr="004369EC" w14:paraId="25C1976E" w14:textId="77777777" w:rsidTr="00C045F3">
        <w:tc>
          <w:tcPr>
            <w:tcW w:w="3539" w:type="dxa"/>
            <w:tcBorders>
              <w:top w:val="nil"/>
              <w:bottom w:val="nil"/>
              <w:right w:val="nil"/>
            </w:tcBorders>
            <w:vAlign w:val="center"/>
          </w:tcPr>
          <w:p w14:paraId="7BB12BD0"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Circulatory system</w:t>
            </w:r>
          </w:p>
        </w:tc>
        <w:tc>
          <w:tcPr>
            <w:tcW w:w="2611" w:type="dxa"/>
            <w:tcBorders>
              <w:top w:val="nil"/>
              <w:left w:val="nil"/>
              <w:bottom w:val="nil"/>
              <w:right w:val="nil"/>
            </w:tcBorders>
            <w:shd w:val="clear" w:color="auto" w:fill="auto"/>
            <w:vAlign w:val="center"/>
          </w:tcPr>
          <w:p w14:paraId="56EAC764"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0.20 (0.19, 0.20)</w:t>
            </w:r>
          </w:p>
        </w:tc>
        <w:tc>
          <w:tcPr>
            <w:tcW w:w="2614" w:type="dxa"/>
            <w:tcBorders>
              <w:top w:val="nil"/>
              <w:left w:val="nil"/>
              <w:bottom w:val="nil"/>
            </w:tcBorders>
            <w:shd w:val="clear" w:color="auto" w:fill="auto"/>
            <w:vAlign w:val="center"/>
          </w:tcPr>
          <w:p w14:paraId="07F038D9"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0.13 (0.13, 0.13)</w:t>
            </w:r>
          </w:p>
        </w:tc>
      </w:tr>
      <w:tr w:rsidR="009B47D8" w:rsidRPr="004369EC" w14:paraId="637AD43F" w14:textId="77777777" w:rsidTr="00C045F3">
        <w:tc>
          <w:tcPr>
            <w:tcW w:w="3539" w:type="dxa"/>
            <w:tcBorders>
              <w:top w:val="nil"/>
              <w:bottom w:val="nil"/>
              <w:right w:val="nil"/>
            </w:tcBorders>
            <w:vAlign w:val="center"/>
          </w:tcPr>
          <w:p w14:paraId="0EDB0C17"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Respiratory system</w:t>
            </w:r>
          </w:p>
        </w:tc>
        <w:tc>
          <w:tcPr>
            <w:tcW w:w="2611" w:type="dxa"/>
            <w:tcBorders>
              <w:top w:val="nil"/>
              <w:left w:val="nil"/>
              <w:bottom w:val="nil"/>
              <w:right w:val="nil"/>
            </w:tcBorders>
            <w:shd w:val="clear" w:color="auto" w:fill="auto"/>
            <w:vAlign w:val="center"/>
          </w:tcPr>
          <w:p w14:paraId="046B7985"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0.21 (0.20, 0.22)</w:t>
            </w:r>
          </w:p>
        </w:tc>
        <w:tc>
          <w:tcPr>
            <w:tcW w:w="2614" w:type="dxa"/>
            <w:tcBorders>
              <w:top w:val="nil"/>
              <w:left w:val="nil"/>
              <w:bottom w:val="nil"/>
            </w:tcBorders>
            <w:shd w:val="clear" w:color="auto" w:fill="auto"/>
            <w:vAlign w:val="center"/>
          </w:tcPr>
          <w:p w14:paraId="2A218868"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0.14 (0.14, 0.15)</w:t>
            </w:r>
          </w:p>
        </w:tc>
      </w:tr>
      <w:tr w:rsidR="009B47D8" w:rsidRPr="004369EC" w14:paraId="457974E7" w14:textId="77777777" w:rsidTr="00C045F3">
        <w:tc>
          <w:tcPr>
            <w:tcW w:w="3539" w:type="dxa"/>
            <w:tcBorders>
              <w:top w:val="nil"/>
              <w:bottom w:val="nil"/>
              <w:right w:val="nil"/>
            </w:tcBorders>
            <w:vAlign w:val="center"/>
          </w:tcPr>
          <w:p w14:paraId="7A2D6640"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Digestive system </w:t>
            </w:r>
          </w:p>
        </w:tc>
        <w:tc>
          <w:tcPr>
            <w:tcW w:w="2611" w:type="dxa"/>
            <w:tcBorders>
              <w:top w:val="nil"/>
              <w:left w:val="nil"/>
              <w:bottom w:val="nil"/>
              <w:right w:val="nil"/>
            </w:tcBorders>
            <w:shd w:val="clear" w:color="auto" w:fill="auto"/>
            <w:vAlign w:val="center"/>
          </w:tcPr>
          <w:p w14:paraId="3AB89EA2"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0.29 (0.27, 0.32)</w:t>
            </w:r>
          </w:p>
        </w:tc>
        <w:tc>
          <w:tcPr>
            <w:tcW w:w="2614" w:type="dxa"/>
            <w:tcBorders>
              <w:top w:val="nil"/>
              <w:left w:val="nil"/>
              <w:bottom w:val="nil"/>
            </w:tcBorders>
            <w:shd w:val="clear" w:color="auto" w:fill="auto"/>
            <w:vAlign w:val="center"/>
          </w:tcPr>
          <w:p w14:paraId="57AA9094"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0.17 (0.16, 0.18)</w:t>
            </w:r>
          </w:p>
        </w:tc>
      </w:tr>
      <w:tr w:rsidR="009B47D8" w:rsidRPr="004369EC" w14:paraId="132D2285" w14:textId="77777777" w:rsidTr="00C045F3">
        <w:tc>
          <w:tcPr>
            <w:tcW w:w="3539" w:type="dxa"/>
            <w:tcBorders>
              <w:top w:val="nil"/>
              <w:bottom w:val="nil"/>
              <w:right w:val="nil"/>
            </w:tcBorders>
            <w:vAlign w:val="center"/>
          </w:tcPr>
          <w:p w14:paraId="5F86946A"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Symptoms, signs not elsewhere classified </w:t>
            </w:r>
          </w:p>
        </w:tc>
        <w:tc>
          <w:tcPr>
            <w:tcW w:w="2611" w:type="dxa"/>
            <w:tcBorders>
              <w:top w:val="nil"/>
              <w:left w:val="nil"/>
              <w:bottom w:val="nil"/>
              <w:right w:val="nil"/>
            </w:tcBorders>
            <w:shd w:val="clear" w:color="auto" w:fill="auto"/>
            <w:vAlign w:val="center"/>
          </w:tcPr>
          <w:p w14:paraId="48F87FD2"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0.39 (0.37, 0.41)</w:t>
            </w:r>
          </w:p>
        </w:tc>
        <w:tc>
          <w:tcPr>
            <w:tcW w:w="2614" w:type="dxa"/>
            <w:tcBorders>
              <w:top w:val="nil"/>
              <w:left w:val="nil"/>
              <w:bottom w:val="nil"/>
            </w:tcBorders>
            <w:shd w:val="clear" w:color="auto" w:fill="auto"/>
            <w:vAlign w:val="center"/>
          </w:tcPr>
          <w:p w14:paraId="004C88EA"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0.30 (0.29, 0.31)</w:t>
            </w:r>
          </w:p>
        </w:tc>
      </w:tr>
      <w:tr w:rsidR="009B47D8" w:rsidRPr="004369EC" w14:paraId="0A4A285D" w14:textId="77777777" w:rsidTr="00C045F3">
        <w:tc>
          <w:tcPr>
            <w:tcW w:w="3539" w:type="dxa"/>
            <w:tcBorders>
              <w:top w:val="nil"/>
              <w:bottom w:val="single" w:sz="4" w:space="0" w:color="auto"/>
              <w:right w:val="nil"/>
            </w:tcBorders>
            <w:vAlign w:val="center"/>
          </w:tcPr>
          <w:p w14:paraId="459213EC"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Other diseases </w:t>
            </w:r>
          </w:p>
        </w:tc>
        <w:tc>
          <w:tcPr>
            <w:tcW w:w="2611" w:type="dxa"/>
            <w:tcBorders>
              <w:top w:val="nil"/>
              <w:left w:val="nil"/>
              <w:bottom w:val="single" w:sz="4" w:space="0" w:color="auto"/>
              <w:right w:val="nil"/>
            </w:tcBorders>
            <w:shd w:val="clear" w:color="auto" w:fill="auto"/>
            <w:vAlign w:val="center"/>
          </w:tcPr>
          <w:p w14:paraId="10131125"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0.27 (0.26, 0.28)</w:t>
            </w:r>
          </w:p>
        </w:tc>
        <w:tc>
          <w:tcPr>
            <w:tcW w:w="2614" w:type="dxa"/>
            <w:tcBorders>
              <w:top w:val="nil"/>
              <w:left w:val="nil"/>
              <w:bottom w:val="single" w:sz="4" w:space="0" w:color="auto"/>
            </w:tcBorders>
            <w:shd w:val="clear" w:color="auto" w:fill="auto"/>
            <w:vAlign w:val="center"/>
          </w:tcPr>
          <w:p w14:paraId="46857E46"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0.16 (0.15, 0.16)</w:t>
            </w:r>
          </w:p>
        </w:tc>
      </w:tr>
      <w:tr w:rsidR="009B47D8" w:rsidRPr="004369EC" w14:paraId="70B979A3" w14:textId="77777777" w:rsidTr="00C045F3">
        <w:tc>
          <w:tcPr>
            <w:tcW w:w="3539" w:type="dxa"/>
            <w:tcBorders>
              <w:top w:val="single" w:sz="4" w:space="0" w:color="auto"/>
              <w:bottom w:val="nil"/>
              <w:right w:val="nil"/>
            </w:tcBorders>
            <w:vAlign w:val="center"/>
          </w:tcPr>
          <w:p w14:paraId="59FB1E99"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Substance use disorders </w:t>
            </w:r>
          </w:p>
        </w:tc>
        <w:tc>
          <w:tcPr>
            <w:tcW w:w="2611" w:type="dxa"/>
            <w:tcBorders>
              <w:top w:val="single" w:sz="4" w:space="0" w:color="auto"/>
              <w:left w:val="nil"/>
              <w:bottom w:val="nil"/>
              <w:right w:val="nil"/>
            </w:tcBorders>
            <w:shd w:val="clear" w:color="auto" w:fill="auto"/>
            <w:vAlign w:val="center"/>
          </w:tcPr>
          <w:p w14:paraId="11D1B0DF"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0.20 (0.19, 0.20)</w:t>
            </w:r>
          </w:p>
        </w:tc>
        <w:tc>
          <w:tcPr>
            <w:tcW w:w="2614" w:type="dxa"/>
            <w:tcBorders>
              <w:top w:val="single" w:sz="4" w:space="0" w:color="auto"/>
              <w:left w:val="nil"/>
              <w:bottom w:val="nil"/>
            </w:tcBorders>
            <w:shd w:val="clear" w:color="auto" w:fill="auto"/>
            <w:vAlign w:val="center"/>
          </w:tcPr>
          <w:p w14:paraId="347B13F5"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0.09 (0.09, 0.09)</w:t>
            </w:r>
          </w:p>
        </w:tc>
      </w:tr>
      <w:tr w:rsidR="009B47D8" w:rsidRPr="004369EC" w14:paraId="699812AD" w14:textId="77777777" w:rsidTr="00C045F3">
        <w:tc>
          <w:tcPr>
            <w:tcW w:w="3539" w:type="dxa"/>
            <w:tcBorders>
              <w:top w:val="nil"/>
              <w:bottom w:val="nil"/>
              <w:right w:val="nil"/>
            </w:tcBorders>
            <w:vAlign w:val="center"/>
          </w:tcPr>
          <w:p w14:paraId="167C680A"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Schizophrenia </w:t>
            </w:r>
          </w:p>
        </w:tc>
        <w:tc>
          <w:tcPr>
            <w:tcW w:w="2611" w:type="dxa"/>
            <w:tcBorders>
              <w:top w:val="nil"/>
              <w:left w:val="nil"/>
              <w:bottom w:val="nil"/>
              <w:right w:val="nil"/>
            </w:tcBorders>
            <w:shd w:val="clear" w:color="auto" w:fill="auto"/>
            <w:vAlign w:val="center"/>
          </w:tcPr>
          <w:p w14:paraId="3DB00AFE" w14:textId="7777777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2.35</w:t>
            </w:r>
            <w:r w:rsidRPr="00AE73D1">
              <w:rPr>
                <w:rFonts w:eastAsia="Calibri"/>
                <w:kern w:val="2"/>
                <w:lang w:val="en-GB"/>
              </w:rPr>
              <w:t xml:space="preserve"> </w:t>
            </w:r>
            <w:r w:rsidRPr="004369EC">
              <w:rPr>
                <w:rFonts w:eastAsia="Calibri"/>
                <w:kern w:val="2"/>
                <w:lang w:val="en-GB"/>
              </w:rPr>
              <w:t>(2.04, 2.71)</w:t>
            </w:r>
          </w:p>
        </w:tc>
        <w:tc>
          <w:tcPr>
            <w:tcW w:w="2614" w:type="dxa"/>
            <w:tcBorders>
              <w:top w:val="nil"/>
              <w:left w:val="nil"/>
              <w:bottom w:val="nil"/>
            </w:tcBorders>
            <w:shd w:val="clear" w:color="auto" w:fill="auto"/>
            <w:vAlign w:val="center"/>
          </w:tcPr>
          <w:p w14:paraId="25A2976E" w14:textId="7777777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2.25</w:t>
            </w:r>
            <w:r w:rsidRPr="00AE73D1">
              <w:rPr>
                <w:rFonts w:eastAsia="Calibri"/>
                <w:kern w:val="2"/>
                <w:lang w:val="en-GB"/>
              </w:rPr>
              <w:t xml:space="preserve"> </w:t>
            </w:r>
            <w:r w:rsidRPr="004369EC">
              <w:rPr>
                <w:rFonts w:eastAsia="Calibri"/>
                <w:kern w:val="2"/>
                <w:lang w:val="en-GB"/>
              </w:rPr>
              <w:t>(2.06, 2.46)</w:t>
            </w:r>
          </w:p>
        </w:tc>
      </w:tr>
      <w:tr w:rsidR="009B47D8" w:rsidRPr="004369EC" w14:paraId="60C46EB9" w14:textId="77777777" w:rsidTr="00C045F3">
        <w:tc>
          <w:tcPr>
            <w:tcW w:w="3539" w:type="dxa"/>
            <w:tcBorders>
              <w:top w:val="nil"/>
              <w:left w:val="single" w:sz="4" w:space="0" w:color="auto"/>
              <w:bottom w:val="nil"/>
              <w:right w:val="nil"/>
            </w:tcBorders>
            <w:vAlign w:val="center"/>
          </w:tcPr>
          <w:p w14:paraId="0A116E23"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Mood disorders</w:t>
            </w:r>
          </w:p>
        </w:tc>
        <w:tc>
          <w:tcPr>
            <w:tcW w:w="2611" w:type="dxa"/>
            <w:tcBorders>
              <w:top w:val="nil"/>
              <w:left w:val="nil"/>
              <w:bottom w:val="nil"/>
              <w:right w:val="nil"/>
            </w:tcBorders>
            <w:shd w:val="clear" w:color="auto" w:fill="auto"/>
            <w:vAlign w:val="center"/>
          </w:tcPr>
          <w:p w14:paraId="59BAEEC8" w14:textId="7777777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7.53</w:t>
            </w:r>
            <w:r w:rsidRPr="00AE73D1">
              <w:rPr>
                <w:rFonts w:eastAsia="Calibri"/>
                <w:kern w:val="2"/>
                <w:lang w:val="en-GB"/>
              </w:rPr>
              <w:t xml:space="preserve"> </w:t>
            </w:r>
            <w:r w:rsidRPr="004369EC">
              <w:rPr>
                <w:rFonts w:eastAsia="Calibri"/>
                <w:kern w:val="2"/>
                <w:lang w:val="en-GB"/>
              </w:rPr>
              <w:t>(7.18, 7.89)</w:t>
            </w:r>
          </w:p>
        </w:tc>
        <w:tc>
          <w:tcPr>
            <w:tcW w:w="2614" w:type="dxa"/>
            <w:tcBorders>
              <w:top w:val="nil"/>
              <w:left w:val="nil"/>
              <w:bottom w:val="nil"/>
              <w:right w:val="single" w:sz="4" w:space="0" w:color="auto"/>
            </w:tcBorders>
            <w:shd w:val="clear" w:color="auto" w:fill="auto"/>
            <w:vAlign w:val="center"/>
          </w:tcPr>
          <w:p w14:paraId="73676617" w14:textId="7777777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12.18</w:t>
            </w:r>
            <w:r w:rsidRPr="00AE73D1">
              <w:rPr>
                <w:rFonts w:eastAsia="Calibri"/>
                <w:kern w:val="2"/>
                <w:lang w:val="en-GB"/>
              </w:rPr>
              <w:t xml:space="preserve"> </w:t>
            </w:r>
            <w:r w:rsidRPr="004369EC">
              <w:rPr>
                <w:rFonts w:eastAsia="Calibri"/>
                <w:kern w:val="2"/>
                <w:lang w:val="en-GB"/>
              </w:rPr>
              <w:t>(11.67, 12.72)</w:t>
            </w:r>
          </w:p>
        </w:tc>
      </w:tr>
      <w:tr w:rsidR="009B47D8" w:rsidRPr="004369EC" w14:paraId="4B9EE2D3" w14:textId="77777777" w:rsidTr="00C045F3">
        <w:tc>
          <w:tcPr>
            <w:tcW w:w="3539" w:type="dxa"/>
            <w:tcBorders>
              <w:top w:val="nil"/>
              <w:left w:val="single" w:sz="4" w:space="0" w:color="auto"/>
              <w:bottom w:val="nil"/>
              <w:right w:val="nil"/>
            </w:tcBorders>
            <w:vAlign w:val="center"/>
          </w:tcPr>
          <w:p w14:paraId="6AD89E79" w14:textId="7777777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Anxiety, dissociative and non-psychotic disorders</w:t>
            </w:r>
          </w:p>
        </w:tc>
        <w:tc>
          <w:tcPr>
            <w:tcW w:w="2611" w:type="dxa"/>
            <w:tcBorders>
              <w:top w:val="nil"/>
              <w:left w:val="nil"/>
              <w:bottom w:val="nil"/>
              <w:right w:val="nil"/>
            </w:tcBorders>
            <w:shd w:val="clear" w:color="auto" w:fill="auto"/>
            <w:vAlign w:val="center"/>
          </w:tcPr>
          <w:p w14:paraId="13447E0C" w14:textId="7777777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2.86</w:t>
            </w:r>
            <w:r w:rsidRPr="00AE73D1">
              <w:rPr>
                <w:rFonts w:eastAsia="Calibri"/>
                <w:kern w:val="2"/>
                <w:lang w:val="en-GB"/>
              </w:rPr>
              <w:t xml:space="preserve"> </w:t>
            </w:r>
            <w:r w:rsidRPr="004369EC">
              <w:rPr>
                <w:rFonts w:eastAsia="Calibri"/>
                <w:kern w:val="2"/>
                <w:lang w:val="en-GB"/>
              </w:rPr>
              <w:t>(2.59, 3.15)</w:t>
            </w:r>
          </w:p>
        </w:tc>
        <w:tc>
          <w:tcPr>
            <w:tcW w:w="2614" w:type="dxa"/>
            <w:tcBorders>
              <w:top w:val="nil"/>
              <w:left w:val="nil"/>
              <w:bottom w:val="nil"/>
              <w:right w:val="single" w:sz="4" w:space="0" w:color="auto"/>
            </w:tcBorders>
            <w:shd w:val="clear" w:color="auto" w:fill="auto"/>
            <w:vAlign w:val="center"/>
          </w:tcPr>
          <w:p w14:paraId="45A45006" w14:textId="77777777" w:rsidR="009B47D8" w:rsidRPr="004369EC" w:rsidRDefault="009B47D8" w:rsidP="00C045F3">
            <w:pPr>
              <w:pStyle w:val="Newparagraph"/>
              <w:spacing w:before="0" w:line="360" w:lineRule="auto"/>
              <w:ind w:firstLine="0"/>
              <w:jc w:val="center"/>
              <w:rPr>
                <w:rFonts w:eastAsia="Calibri"/>
                <w:kern w:val="2"/>
                <w:lang w:val="en-GB"/>
              </w:rPr>
            </w:pPr>
            <w:r w:rsidRPr="00AE73D1">
              <w:rPr>
                <w:rFonts w:eastAsia="Calibri"/>
                <w:b/>
                <w:bCs/>
                <w:kern w:val="2"/>
                <w:lang w:val="en-GB"/>
              </w:rPr>
              <w:t>3.41</w:t>
            </w:r>
            <w:r w:rsidRPr="00AE73D1">
              <w:rPr>
                <w:rFonts w:eastAsia="Calibri"/>
                <w:kern w:val="2"/>
                <w:lang w:val="en-GB"/>
              </w:rPr>
              <w:t xml:space="preserve"> </w:t>
            </w:r>
            <w:r w:rsidRPr="004369EC">
              <w:rPr>
                <w:rFonts w:eastAsia="Calibri"/>
                <w:kern w:val="2"/>
                <w:lang w:val="en-GB"/>
              </w:rPr>
              <w:t>(3.17, 3.66)</w:t>
            </w:r>
          </w:p>
        </w:tc>
      </w:tr>
      <w:tr w:rsidR="009B47D8" w:rsidRPr="004369EC" w14:paraId="3D814F66" w14:textId="77777777" w:rsidTr="00C045F3">
        <w:tc>
          <w:tcPr>
            <w:tcW w:w="3539" w:type="dxa"/>
            <w:tcBorders>
              <w:top w:val="nil"/>
              <w:left w:val="single" w:sz="4" w:space="0" w:color="auto"/>
              <w:bottom w:val="single" w:sz="4" w:space="0" w:color="auto"/>
              <w:right w:val="nil"/>
            </w:tcBorders>
            <w:vAlign w:val="center"/>
          </w:tcPr>
          <w:p w14:paraId="2970A107" w14:textId="55DF0B07" w:rsidR="009B47D8" w:rsidRPr="004369EC" w:rsidRDefault="009B47D8" w:rsidP="00C045F3">
            <w:pPr>
              <w:pStyle w:val="Newparagraph"/>
              <w:spacing w:before="0" w:line="360" w:lineRule="auto"/>
              <w:ind w:firstLine="0"/>
              <w:jc w:val="left"/>
              <w:rPr>
                <w:rFonts w:eastAsia="Calibri"/>
                <w:kern w:val="2"/>
                <w:lang w:val="en-GB"/>
              </w:rPr>
            </w:pPr>
            <w:r w:rsidRPr="004369EC">
              <w:rPr>
                <w:rFonts w:eastAsia="Calibri"/>
                <w:kern w:val="2"/>
                <w:lang w:val="en-GB"/>
              </w:rPr>
              <w:t xml:space="preserve">Other mental and </w:t>
            </w:r>
            <w:r w:rsidR="00A86A63" w:rsidRPr="004369EC">
              <w:rPr>
                <w:rFonts w:eastAsia="Calibri"/>
                <w:kern w:val="2"/>
                <w:lang w:val="en-GB"/>
              </w:rPr>
              <w:t>behavioura</w:t>
            </w:r>
            <w:r w:rsidR="00A86A63" w:rsidRPr="004369EC">
              <w:rPr>
                <w:rFonts w:eastAsia="Calibri"/>
                <w:kern w:val="2"/>
              </w:rPr>
              <w:t>l</w:t>
            </w:r>
            <w:r>
              <w:rPr>
                <w:rFonts w:eastAsia="Calibri"/>
                <w:kern w:val="2"/>
              </w:rPr>
              <w:t xml:space="preserve"> </w:t>
            </w:r>
            <w:r w:rsidRPr="004369EC">
              <w:rPr>
                <w:rFonts w:eastAsia="Calibri"/>
                <w:kern w:val="2"/>
                <w:lang w:val="en-GB"/>
              </w:rPr>
              <w:t xml:space="preserve">disorders </w:t>
            </w:r>
          </w:p>
        </w:tc>
        <w:tc>
          <w:tcPr>
            <w:tcW w:w="2611" w:type="dxa"/>
            <w:tcBorders>
              <w:top w:val="nil"/>
              <w:left w:val="nil"/>
              <w:bottom w:val="single" w:sz="4" w:space="0" w:color="auto"/>
              <w:right w:val="nil"/>
            </w:tcBorders>
            <w:shd w:val="clear" w:color="auto" w:fill="auto"/>
            <w:vAlign w:val="center"/>
          </w:tcPr>
          <w:p w14:paraId="60DE645B"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0.39 (0.35, 0.43)</w:t>
            </w:r>
          </w:p>
        </w:tc>
        <w:tc>
          <w:tcPr>
            <w:tcW w:w="2614" w:type="dxa"/>
            <w:tcBorders>
              <w:top w:val="nil"/>
              <w:left w:val="nil"/>
              <w:bottom w:val="single" w:sz="4" w:space="0" w:color="auto"/>
              <w:right w:val="single" w:sz="4" w:space="0" w:color="auto"/>
            </w:tcBorders>
            <w:shd w:val="clear" w:color="auto" w:fill="auto"/>
            <w:vAlign w:val="center"/>
          </w:tcPr>
          <w:p w14:paraId="4EBCD697" w14:textId="77777777" w:rsidR="009B47D8" w:rsidRPr="004369EC" w:rsidRDefault="009B47D8" w:rsidP="00C045F3">
            <w:pPr>
              <w:pStyle w:val="Newparagraph"/>
              <w:spacing w:before="0" w:line="360" w:lineRule="auto"/>
              <w:ind w:firstLine="0"/>
              <w:jc w:val="center"/>
              <w:rPr>
                <w:rFonts w:eastAsia="Calibri"/>
                <w:kern w:val="2"/>
                <w:lang w:val="en-GB"/>
              </w:rPr>
            </w:pPr>
            <w:r w:rsidRPr="004369EC">
              <w:rPr>
                <w:rFonts w:eastAsia="Calibri"/>
                <w:kern w:val="2"/>
                <w:lang w:val="en-GB"/>
              </w:rPr>
              <w:t>0.29 (0.27, 0.32)</w:t>
            </w:r>
          </w:p>
        </w:tc>
      </w:tr>
    </w:tbl>
    <w:p w14:paraId="78075483" w14:textId="5CEE2836" w:rsidR="009B47D8" w:rsidRPr="00AE73D1" w:rsidRDefault="009B47D8" w:rsidP="00AE73D1">
      <w:pPr>
        <w:pStyle w:val="Newparagraph"/>
        <w:spacing w:line="360" w:lineRule="auto"/>
        <w:ind w:firstLine="0"/>
        <w:rPr>
          <w:sz w:val="20"/>
          <w:szCs w:val="20"/>
        </w:rPr>
      </w:pPr>
      <w:r w:rsidRPr="00AE73D1">
        <w:rPr>
          <w:sz w:val="20"/>
          <w:szCs w:val="20"/>
        </w:rPr>
        <w:lastRenderedPageBreak/>
        <w:t>Note: Odds ratios are controlled by age (5-year age group), educational level (highest diploma using Bachelor as a reference – other categories being High school degree or GED or less, Master’s, doctorate, or professional degree, and Unknown), and race (as a categorical variable including Hispanic, non-Hispanic whites as a reference, non-Hispanic black, non-Hispanic Asian and pacific islander, non-Hispanic Native American and Alaska Native, and Unknown). Accidental deaths were used as a reference to estimate the odds that a given comorbidity is associated more with suicide deaths.</w:t>
      </w:r>
    </w:p>
    <w:p w14:paraId="7BA1EFA7" w14:textId="77777777" w:rsidR="00AE73D1" w:rsidRPr="00AE73D1" w:rsidRDefault="00AE73D1" w:rsidP="00AE73D1">
      <w:pPr>
        <w:spacing w:before="0" w:line="360" w:lineRule="auto"/>
        <w:rPr>
          <w:i/>
          <w:iCs/>
          <w:sz w:val="20"/>
          <w:szCs w:val="20"/>
        </w:rPr>
      </w:pPr>
      <w:r w:rsidRPr="00AE73D1">
        <w:rPr>
          <w:i/>
          <w:iCs/>
          <w:sz w:val="20"/>
          <w:szCs w:val="20"/>
        </w:rPr>
        <w:t xml:space="preserve">Source: Deaths from the United States Mortality Multiple Cause-of-Death Public Use Record 2010 to 2019, National Vital Statistics System, National Center for Health Statistics, CDC. </w:t>
      </w:r>
    </w:p>
    <w:p w14:paraId="07280D99" w14:textId="77777777" w:rsidR="008F18D1" w:rsidRDefault="008F18D1" w:rsidP="004B0F14">
      <w:pPr>
        <w:pStyle w:val="Heading1"/>
        <w:spacing w:before="0" w:line="360" w:lineRule="auto"/>
      </w:pPr>
      <w:bookmarkStart w:id="7" w:name="_Toc145236433"/>
    </w:p>
    <w:p w14:paraId="780BFDDA" w14:textId="52E06FA6" w:rsidR="00AD4439" w:rsidRPr="00AD4439" w:rsidRDefault="00AD4439" w:rsidP="004B0F14">
      <w:pPr>
        <w:pStyle w:val="Heading1"/>
        <w:spacing w:before="0" w:line="360" w:lineRule="auto"/>
        <w:rPr>
          <w:color w:val="156082" w:themeColor="accent1"/>
          <w:lang w:eastAsia="en-US"/>
        </w:rPr>
      </w:pPr>
      <w:r w:rsidRPr="00AD4439">
        <w:t>Discussion</w:t>
      </w:r>
      <w:bookmarkEnd w:id="7"/>
      <w:r w:rsidRPr="00AD4439">
        <w:rPr>
          <w:color w:val="156082" w:themeColor="accent1"/>
          <w:lang w:eastAsia="en-US"/>
        </w:rPr>
        <w:t xml:space="preserve"> </w:t>
      </w:r>
    </w:p>
    <w:p w14:paraId="7F16834F" w14:textId="6E50850D" w:rsidR="00AD4439" w:rsidRPr="00AD4439" w:rsidRDefault="003E5A3D" w:rsidP="00155A3A">
      <w:pPr>
        <w:spacing w:line="360" w:lineRule="auto"/>
        <w:ind w:firstLine="720"/>
        <w:rPr>
          <w:rFonts w:ascii="Calibri" w:hAnsi="Calibri" w:cs="Calibri"/>
          <w:color w:val="156082" w:themeColor="accent1"/>
        </w:rPr>
      </w:pPr>
      <w:r>
        <w:rPr>
          <w:rFonts w:ascii="Calibri" w:hAnsi="Calibri" w:cs="Calibri"/>
        </w:rPr>
        <w:t>Our</w:t>
      </w:r>
      <w:r w:rsidR="00AD4439" w:rsidRPr="00AD4439">
        <w:rPr>
          <w:rFonts w:ascii="Calibri" w:hAnsi="Calibri" w:cs="Calibri"/>
        </w:rPr>
        <w:t xml:space="preserve"> study found that sex and education were significant factors explaining the disparities in comorbidities registered in suicide deaths in the U</w:t>
      </w:r>
      <w:r w:rsidR="009454DA">
        <w:rPr>
          <w:rFonts w:ascii="Calibri" w:hAnsi="Calibri" w:cs="Calibri"/>
        </w:rPr>
        <w:t>SA</w:t>
      </w:r>
      <w:r w:rsidR="00AD4439" w:rsidRPr="00AD4439">
        <w:rPr>
          <w:rFonts w:ascii="Calibri" w:hAnsi="Calibri" w:cs="Calibri"/>
        </w:rPr>
        <w:t xml:space="preserve">. Sex was found to be the main </w:t>
      </w:r>
      <w:r w:rsidRPr="00AD4439">
        <w:rPr>
          <w:rFonts w:ascii="Calibri" w:hAnsi="Calibri" w:cs="Calibri"/>
        </w:rPr>
        <w:t xml:space="preserve">explaining </w:t>
      </w:r>
      <w:r w:rsidR="00AD4439" w:rsidRPr="00AD4439">
        <w:rPr>
          <w:rFonts w:ascii="Calibri" w:hAnsi="Calibri" w:cs="Calibri"/>
        </w:rPr>
        <w:t xml:space="preserve">variable in comorbidities registered at death compared to education. </w:t>
      </w:r>
      <w:r w:rsidR="00EB19DE">
        <w:rPr>
          <w:rFonts w:ascii="Calibri" w:hAnsi="Calibri" w:cs="Calibri"/>
        </w:rPr>
        <w:t>P</w:t>
      </w:r>
      <w:r w:rsidR="00AD4439" w:rsidRPr="00AD4439">
        <w:rPr>
          <w:rFonts w:ascii="Calibri" w:hAnsi="Calibri" w:cs="Calibri"/>
        </w:rPr>
        <w:t xml:space="preserve">oisoning by drugs and medicaments, other diseases, other mental and behavioural disorders, mood disorders and anxiety and non-psychotic disorders were associated with females; while injuries, neoplasm, and asphyxiation were associated with males. Education was more important in distinguishing profiles among males. </w:t>
      </w:r>
      <w:r w:rsidR="00155A3A">
        <w:rPr>
          <w:rFonts w:ascii="Calibri" w:hAnsi="Calibri" w:cs="Calibri"/>
        </w:rPr>
        <w:t>Overall</w:t>
      </w:r>
      <w:r w:rsidR="00AD4439" w:rsidRPr="00AD4439">
        <w:rPr>
          <w:rFonts w:ascii="Calibri" w:hAnsi="Calibri" w:cs="Calibri"/>
        </w:rPr>
        <w:t xml:space="preserve">, </w:t>
      </w:r>
      <w:r w:rsidR="00AD4439" w:rsidRPr="00AD4439">
        <w:rPr>
          <w:rFonts w:ascii="Calibri" w:eastAsia="Calibri" w:hAnsi="Calibri" w:cs="Calibri"/>
          <w:kern w:val="2"/>
        </w:rPr>
        <w:t>schizophrenia</w:t>
      </w:r>
      <w:r w:rsidR="00AD4439" w:rsidRPr="00AD4439">
        <w:rPr>
          <w:rFonts w:ascii="Calibri" w:hAnsi="Calibri" w:cs="Calibri"/>
        </w:rPr>
        <w:t>,</w:t>
      </w:r>
      <w:r w:rsidR="00AD4439" w:rsidRPr="00AD4439">
        <w:rPr>
          <w:rFonts w:ascii="Calibri" w:hAnsi="Calibri" w:cs="Calibri"/>
          <w:color w:val="156082" w:themeColor="accent1"/>
        </w:rPr>
        <w:t xml:space="preserve"> </w:t>
      </w:r>
      <w:r w:rsidR="00AD4439" w:rsidRPr="00AD4439">
        <w:rPr>
          <w:rFonts w:ascii="Calibri" w:eastAsia="Calibri" w:hAnsi="Calibri" w:cs="Calibri"/>
          <w:kern w:val="2"/>
        </w:rPr>
        <w:t>mood disorders</w:t>
      </w:r>
      <w:r w:rsidR="00AD4439" w:rsidRPr="00AD4439">
        <w:rPr>
          <w:rFonts w:ascii="Calibri" w:hAnsi="Calibri" w:cs="Calibri"/>
        </w:rPr>
        <w:t>,</w:t>
      </w:r>
      <w:r w:rsidR="00AD4439" w:rsidRPr="00AD4439">
        <w:rPr>
          <w:rFonts w:ascii="Calibri" w:hAnsi="Calibri" w:cs="Calibri"/>
          <w:color w:val="156082" w:themeColor="accent1"/>
        </w:rPr>
        <w:t xml:space="preserve"> </w:t>
      </w:r>
      <w:r w:rsidR="00AD4439" w:rsidRPr="00AD4439">
        <w:rPr>
          <w:rFonts w:ascii="Calibri" w:hAnsi="Calibri" w:cs="Calibri"/>
        </w:rPr>
        <w:t xml:space="preserve">and </w:t>
      </w:r>
      <w:r w:rsidR="00AD4439" w:rsidRPr="00AD4439">
        <w:rPr>
          <w:rFonts w:ascii="Calibri" w:eastAsia="Calibri" w:hAnsi="Calibri" w:cs="Calibri"/>
          <w:kern w:val="2"/>
        </w:rPr>
        <w:t xml:space="preserve">anxiety, dissociative </w:t>
      </w:r>
      <w:r w:rsidR="00155A3A">
        <w:rPr>
          <w:rFonts w:ascii="Calibri" w:eastAsia="Calibri" w:hAnsi="Calibri" w:cs="Calibri"/>
          <w:kern w:val="2"/>
        </w:rPr>
        <w:t>and</w:t>
      </w:r>
      <w:r w:rsidR="00AD4439" w:rsidRPr="00AD4439">
        <w:rPr>
          <w:rFonts w:ascii="Calibri" w:eastAsia="Calibri" w:hAnsi="Calibri" w:cs="Calibri"/>
          <w:kern w:val="2"/>
        </w:rPr>
        <w:t xml:space="preserve"> non-psychotic disorders</w:t>
      </w:r>
      <w:r w:rsidR="00AD4439" w:rsidRPr="00AD4439">
        <w:rPr>
          <w:rFonts w:ascii="Calibri" w:hAnsi="Calibri" w:cs="Calibri"/>
        </w:rPr>
        <w:t xml:space="preserve"> were significantly more likely to be registered as a comorbidity of suicide compared to accident, controlling for education and other socio-demographic variables. It is important to remember that although all the regression odds were significant, the results from the CA do not provide the association's significance.</w:t>
      </w:r>
    </w:p>
    <w:p w14:paraId="1DB87C4A" w14:textId="0BF1216B" w:rsidR="00AD4439" w:rsidRPr="00AD4439" w:rsidRDefault="0028315E" w:rsidP="004B0F14">
      <w:pPr>
        <w:spacing w:after="240" w:line="360" w:lineRule="auto"/>
        <w:rPr>
          <w:rFonts w:ascii="Calibri" w:hAnsi="Calibri" w:cs="Calibri"/>
          <w:color w:val="156082" w:themeColor="accent1"/>
        </w:rPr>
      </w:pPr>
      <w:r>
        <w:rPr>
          <w:rFonts w:ascii="Calibri" w:hAnsi="Calibri" w:cs="Calibri"/>
        </w:rPr>
        <w:t>C</w:t>
      </w:r>
      <w:r w:rsidRPr="00AD4439">
        <w:rPr>
          <w:rFonts w:ascii="Calibri" w:hAnsi="Calibri" w:cs="Calibri"/>
        </w:rPr>
        <w:t>ompared to the study by Rocket</w:t>
      </w:r>
      <w:r w:rsidR="002A77CD">
        <w:rPr>
          <w:rFonts w:ascii="Calibri" w:hAnsi="Calibri" w:cs="Calibri"/>
        </w:rPr>
        <w:t>t</w:t>
      </w:r>
      <w:r w:rsidRPr="00AD4439">
        <w:rPr>
          <w:rFonts w:ascii="Calibri" w:hAnsi="Calibri" w:cs="Calibri"/>
        </w:rPr>
        <w:t xml:space="preserve"> et al. (2007)</w:t>
      </w:r>
      <w:r>
        <w:rPr>
          <w:rFonts w:ascii="Calibri" w:hAnsi="Calibri" w:cs="Calibri"/>
        </w:rPr>
        <w:t>, w</w:t>
      </w:r>
      <w:r w:rsidR="00AD4439" w:rsidRPr="00AD4439">
        <w:rPr>
          <w:rFonts w:ascii="Calibri" w:hAnsi="Calibri" w:cs="Calibri"/>
        </w:rPr>
        <w:t>e observed smaller odds for mood disorders associated with suicide compared to accidents</w:t>
      </w:r>
      <w:r>
        <w:rPr>
          <w:rFonts w:ascii="Calibri" w:hAnsi="Calibri" w:cs="Calibri"/>
        </w:rPr>
        <w:t>.</w:t>
      </w:r>
      <w:r w:rsidR="00AD4439" w:rsidRPr="00AD4439">
        <w:rPr>
          <w:rFonts w:ascii="Calibri" w:hAnsi="Calibri" w:cs="Calibri"/>
        </w:rPr>
        <w:t xml:space="preserve"> Our OR adjusting for age, education, place of death, marital status, autopsy and race were </w:t>
      </w:r>
      <w:r w:rsidR="00AD4439" w:rsidRPr="00AD4439">
        <w:rPr>
          <w:rFonts w:ascii="Calibri" w:eastAsia="Calibri" w:hAnsi="Calibri" w:cs="Calibri"/>
          <w:kern w:val="2"/>
        </w:rPr>
        <w:t>7.53 (</w:t>
      </w:r>
      <w:r w:rsidR="00AD4439" w:rsidRPr="00AD4439">
        <w:rPr>
          <w:rFonts w:ascii="Calibri" w:hAnsi="Calibri" w:cs="Calibri"/>
        </w:rPr>
        <w:t xml:space="preserve">CI: </w:t>
      </w:r>
      <w:r w:rsidR="00AD4439" w:rsidRPr="00AD4439">
        <w:rPr>
          <w:rFonts w:ascii="Calibri" w:eastAsia="Calibri" w:hAnsi="Calibri" w:cs="Calibri"/>
          <w:kern w:val="2"/>
        </w:rPr>
        <w:t>7.18, 7.89</w:t>
      </w:r>
      <w:r w:rsidR="00AD4439" w:rsidRPr="00AD4439">
        <w:rPr>
          <w:rFonts w:ascii="Calibri" w:hAnsi="Calibri" w:cs="Calibri"/>
        </w:rPr>
        <w:t xml:space="preserve">) for females and </w:t>
      </w:r>
      <w:r w:rsidR="00AD4439" w:rsidRPr="00AD4439">
        <w:rPr>
          <w:rFonts w:ascii="Calibri" w:eastAsia="Calibri" w:hAnsi="Calibri" w:cs="Calibri"/>
          <w:kern w:val="2"/>
        </w:rPr>
        <w:t>12.18 (</w:t>
      </w:r>
      <w:r w:rsidR="00AD4439" w:rsidRPr="00AD4439">
        <w:rPr>
          <w:rFonts w:ascii="Calibri" w:hAnsi="Calibri" w:cs="Calibri"/>
        </w:rPr>
        <w:t xml:space="preserve">CI: </w:t>
      </w:r>
      <w:r w:rsidR="00AD4439" w:rsidRPr="00AD4439">
        <w:rPr>
          <w:rFonts w:ascii="Calibri" w:eastAsia="Calibri" w:hAnsi="Calibri" w:cs="Calibri"/>
          <w:kern w:val="2"/>
        </w:rPr>
        <w:t>11.67, 12.72</w:t>
      </w:r>
      <w:r w:rsidR="00AD4439" w:rsidRPr="00AD4439">
        <w:rPr>
          <w:rFonts w:ascii="Calibri" w:hAnsi="Calibri" w:cs="Calibri"/>
        </w:rPr>
        <w:t xml:space="preserve">) for males, which are lower </w:t>
      </w:r>
      <w:r w:rsidR="00976798">
        <w:rPr>
          <w:rFonts w:ascii="Calibri" w:hAnsi="Calibri" w:cs="Calibri"/>
        </w:rPr>
        <w:t>than</w:t>
      </w:r>
      <w:r w:rsidR="00AD4439" w:rsidRPr="00AD4439">
        <w:rPr>
          <w:rFonts w:ascii="Calibri" w:hAnsi="Calibri" w:cs="Calibri"/>
        </w:rPr>
        <w:t xml:space="preserve"> the excess likelihood adjusted for age and sex found in the previous study 34.59 (CI: 32.41, 36.92) </w:t>
      </w:r>
      <w:r w:rsidR="00AD4439" w:rsidRPr="00AD4439">
        <w:rPr>
          <w:rFonts w:ascii="Calibri" w:hAnsi="Calibri" w:cs="Calibri"/>
        </w:rPr>
        <w:fldChar w:fldCharType="begin"/>
      </w:r>
      <w:r w:rsidR="001B696E">
        <w:rPr>
          <w:rFonts w:ascii="Calibri" w:hAnsi="Calibri" w:cs="Calibri"/>
        </w:rPr>
        <w:instrText xml:space="preserve"> ADDIN ZOTERO_ITEM CSL_CITATION {"citationID":"GWH59ovP","properties":{"formattedCitation":"[17]","plainCitation":"[17]","noteIndex":0},"citationItems":[{"id":958,"uris":["http://zotero.org/users/6964448/items/U82PWQMM"],"itemData":{"id":958,"type":"article-journal","container-title":"Injury Prevention","DOI":"10.1136/ip.2007.015230","ISSN":"1353-8047","issue":"5","journalAbbreviation":"Injury Prevention","language":"en","page":"311-315","source":"DOI.org (Crossref)","title":"Suicide-associated comorbidity among US males and females: a multiple cause-of-death analysis","title-short":"Suicide-associated comorbidity among US males and females","volume":"13","author":[{"family":"Rockett","given":"Ian R. H."},{"family":"Wang","given":"S."},{"family":"Lian","given":"Y."},{"family":"Stack","given":"S."}],"issued":{"date-parts":[["2007",10,1]]},"citation-key":"rockettSuicideassociatedComorbidityUS2007a"}}],"schema":"https://github.com/citation-style-language/schema/raw/master/csl-citation.json"} </w:instrText>
      </w:r>
      <w:r w:rsidR="00AD4439" w:rsidRPr="00AD4439">
        <w:rPr>
          <w:rFonts w:ascii="Calibri" w:hAnsi="Calibri" w:cs="Calibri"/>
        </w:rPr>
        <w:fldChar w:fldCharType="separate"/>
      </w:r>
      <w:r w:rsidR="001B696E" w:rsidRPr="001B696E">
        <w:rPr>
          <w:rFonts w:ascii="Calibri" w:hAnsi="Calibri" w:cs="Calibri"/>
        </w:rPr>
        <w:t>[17]</w:t>
      </w:r>
      <w:r w:rsidR="00AD4439" w:rsidRPr="00AD4439">
        <w:rPr>
          <w:rFonts w:ascii="Calibri" w:hAnsi="Calibri" w:cs="Calibri"/>
        </w:rPr>
        <w:fldChar w:fldCharType="end"/>
      </w:r>
      <w:r w:rsidR="00AD4439" w:rsidRPr="00AD4439">
        <w:rPr>
          <w:rFonts w:ascii="Calibri" w:hAnsi="Calibri" w:cs="Calibri"/>
        </w:rPr>
        <w:t>. This difference could be</w:t>
      </w:r>
      <w:r w:rsidR="00631D50">
        <w:rPr>
          <w:rFonts w:ascii="Calibri" w:hAnsi="Calibri" w:cs="Calibri"/>
        </w:rPr>
        <w:t xml:space="preserve"> </w:t>
      </w:r>
      <w:r w:rsidR="00AD4439" w:rsidRPr="00AD4439">
        <w:rPr>
          <w:rFonts w:ascii="Calibri" w:hAnsi="Calibri" w:cs="Calibri"/>
        </w:rPr>
        <w:t>explained by the addition of our control variables, a general increase in the registration of these comorbidities for accidental deaths,</w:t>
      </w:r>
      <w:r w:rsidR="00CD24CD">
        <w:rPr>
          <w:rFonts w:ascii="Calibri" w:hAnsi="Calibri" w:cs="Calibri"/>
        </w:rPr>
        <w:t xml:space="preserve"> a decrease in the quality of the registration</w:t>
      </w:r>
      <w:r w:rsidR="006662B1">
        <w:rPr>
          <w:rFonts w:ascii="Calibri" w:hAnsi="Calibri" w:cs="Calibri"/>
        </w:rPr>
        <w:t xml:space="preserve"> of comorbidities at death,</w:t>
      </w:r>
      <w:r w:rsidR="00AD4439" w:rsidRPr="00AD4439">
        <w:rPr>
          <w:rFonts w:ascii="Calibri" w:hAnsi="Calibri" w:cs="Calibri"/>
        </w:rPr>
        <w:t xml:space="preserve"> or a </w:t>
      </w:r>
      <w:r w:rsidR="00E350FE">
        <w:rPr>
          <w:rFonts w:ascii="Calibri" w:hAnsi="Calibri" w:cs="Calibri"/>
        </w:rPr>
        <w:t xml:space="preserve">potential </w:t>
      </w:r>
      <w:r w:rsidR="006662B1">
        <w:rPr>
          <w:rFonts w:ascii="Calibri" w:hAnsi="Calibri" w:cs="Calibri"/>
        </w:rPr>
        <w:t>reduction</w:t>
      </w:r>
      <w:r w:rsidR="00AD4439" w:rsidRPr="00AD4439">
        <w:rPr>
          <w:rFonts w:ascii="Calibri" w:hAnsi="Calibri" w:cs="Calibri"/>
        </w:rPr>
        <w:t xml:space="preserve"> in the suicide risk among individuals having mood disorders. </w:t>
      </w:r>
    </w:p>
    <w:p w14:paraId="4984EFD5" w14:textId="051BA694" w:rsidR="00AD4439" w:rsidRPr="00872609" w:rsidRDefault="00AD4439" w:rsidP="004B0F14">
      <w:pPr>
        <w:spacing w:after="240" w:line="360" w:lineRule="auto"/>
        <w:rPr>
          <w:rFonts w:ascii="Calibri" w:eastAsia="Calibri" w:hAnsi="Calibri" w:cs="Calibri"/>
          <w:kern w:val="2"/>
        </w:rPr>
      </w:pPr>
      <w:r w:rsidRPr="0051711A">
        <w:rPr>
          <w:rFonts w:ascii="Calibri" w:hAnsi="Calibri" w:cs="Calibri"/>
        </w:rPr>
        <w:lastRenderedPageBreak/>
        <w:t xml:space="preserve">It is known that poisoning as </w:t>
      </w:r>
      <w:r w:rsidR="005744C1">
        <w:rPr>
          <w:rFonts w:ascii="Calibri" w:hAnsi="Calibri" w:cs="Calibri"/>
        </w:rPr>
        <w:t>M</w:t>
      </w:r>
      <w:r w:rsidR="00133990">
        <w:rPr>
          <w:rFonts w:ascii="Calibri" w:hAnsi="Calibri" w:cs="Calibri"/>
        </w:rPr>
        <w:t>COD</w:t>
      </w:r>
      <w:r w:rsidRPr="0051711A">
        <w:rPr>
          <w:rFonts w:ascii="Calibri" w:hAnsi="Calibri" w:cs="Calibri"/>
        </w:rPr>
        <w:t xml:space="preserve"> makes the classification of death more complicated </w:t>
      </w:r>
      <w:r w:rsidRPr="0051711A">
        <w:rPr>
          <w:rFonts w:ascii="Calibri" w:hAnsi="Calibri" w:cs="Calibri"/>
        </w:rPr>
        <w:fldChar w:fldCharType="begin"/>
      </w:r>
      <w:r w:rsidR="002528B8">
        <w:rPr>
          <w:rFonts w:ascii="Calibri" w:hAnsi="Calibri" w:cs="Calibri"/>
        </w:rPr>
        <w:instrText xml:space="preserve"> ADDIN ZOTERO_ITEM CSL_CITATION {"citationID":"rQCpf12x","properties":{"formattedCitation":"[4, 25]","plainCitation":"[4, 25]","noteIndex":0},"citationItems":[{"id":"vqpzzZhy/55UawbS9","uris":["http://zotero.org/users/6964448/items/VXSX4W7H"],"itemData":{"id":1397,"type":"article-journal","container-title":"Social Psychiatry and Psychiatric Epidemiology","DOI":"10.1007/s00127-015-1119-x","ISSN":"0933-7954, 1433-9285","issue":"1","journalAbbreviation":"Soc Psychiatry Psychiatr Epidemiol","language":"en","page":"115-123","source":"DOI.org (Crossref)","title":"The accuracy of suicide statistics: are true suicide deaths misclassified?","title-short":"The accuracy of suicide statistics","volume":"51","author":[{"family":"Bakst","given":"Shelly S."},{"family":"Braun","given":"Tali"},{"family":"Zucker","given":"Inbar"},{"family":"Amitai","given":"Ziva"},{"family":"Shohat","given":"Tamy"}],"issued":{"date-parts":[["2016",1]]}}},{"id":942,"uris":["http://zotero.org/users/6964448/items/YM9WPZUR"],"itemData":{"id":942,"type":"article-journal","abstract":"Suicide and other self-directed violence deaths are likely grossly underestimated, reflecting inappropriate classification of many drug intoxication deaths as accidents or unintentional and heterogeneous ascertainment and coding practices across states.\n            As the tide of prescription and illicit drug-poisoning deaths is rising, public health and research needs would be better satisfied by considering most of these deaths a result of self-intoxication. Epidemiologists and prevention scientists could design better intervention strategies by focusing on premorbid behavior.\n            We propose incorporating deaths from drug self-intoxication and investigations of all poisoning deaths into the National Violent Death Reporting System, which contains misclassified homicides and undetermined intent deaths, to facilitate efforts to comprehend and reverse the surging rate of drug intoxication fatalities.","container-title":"American Journal of Public Health","DOI":"10.2105/AJPH.2014.302244","ISSN":"0090-0036, 1541-0048","issue":"12","journalAbbreviation":"Am J Public Health","language":"en","page":"e49-e55","source":"DOI.org (Crossref)","title":"Confronting Death From Drug Self-Intoxication (DDSI): Prevention Through a Better Definition","title-short":"Confronting Death From Drug Self-Intoxication (DDSI)","volume":"104","author":[{"family":"Rockett","given":"Ian R H"},{"family":"Smith","given":"Gordon S."},{"family":"Caine","given":"Eric D."},{"family":"Kapusta","given":"Nestor D."},{"family":"Hanzlick","given":"Randy L."},{"family":"Larkin","given":"G. Luke"},{"family":"Naylor","given":"Charles P. E."},{"family":"Nolte","given":"Kurt B."},{"family":"Miller","given":"Ted R."},{"family":"Putnam","given":"Sandra L."},{"family":"De Leo","given":"Diego"},{"family":"Kleinig","given":"John"},{"family":"Stack","given":"Steven"},{"family":"Todd","given":"Knox H."},{"family":"Fraser","given":"David W."}],"issued":{"date-parts":[["2014",12]]},"citation-key":"rockett2014c"}}],"schema":"https://github.com/citation-style-language/schema/raw/master/csl-citation.json"} </w:instrText>
      </w:r>
      <w:r w:rsidRPr="0051711A">
        <w:rPr>
          <w:rFonts w:ascii="Calibri" w:hAnsi="Calibri" w:cs="Calibri"/>
        </w:rPr>
        <w:fldChar w:fldCharType="separate"/>
      </w:r>
      <w:r w:rsidR="001452AB" w:rsidRPr="0051711A">
        <w:rPr>
          <w:rFonts w:ascii="Calibri" w:hAnsi="Calibri" w:cs="Calibri"/>
        </w:rPr>
        <w:t>[4, 25]</w:t>
      </w:r>
      <w:r w:rsidRPr="0051711A">
        <w:rPr>
          <w:rFonts w:ascii="Calibri" w:hAnsi="Calibri" w:cs="Calibri"/>
        </w:rPr>
        <w:fldChar w:fldCharType="end"/>
      </w:r>
      <w:r w:rsidRPr="0051711A">
        <w:rPr>
          <w:rFonts w:ascii="Calibri" w:hAnsi="Calibri" w:cs="Calibri"/>
        </w:rPr>
        <w:t xml:space="preserve">, </w:t>
      </w:r>
      <w:r w:rsidR="0024266B" w:rsidRPr="0051711A">
        <w:rPr>
          <w:rFonts w:ascii="Calibri" w:hAnsi="Calibri" w:cs="Calibri"/>
        </w:rPr>
        <w:t>especially</w:t>
      </w:r>
      <w:r w:rsidRPr="0051711A">
        <w:rPr>
          <w:rFonts w:ascii="Calibri" w:hAnsi="Calibri" w:cs="Calibri"/>
        </w:rPr>
        <w:t xml:space="preserve"> when a long time elapses between the initial intentional poisoning and the death </w:t>
      </w:r>
      <w:r w:rsidRPr="0051711A">
        <w:rPr>
          <w:rFonts w:ascii="Calibri" w:hAnsi="Calibri" w:cs="Calibri"/>
        </w:rPr>
        <w:fldChar w:fldCharType="begin"/>
      </w:r>
      <w:r w:rsidR="001452AB" w:rsidRPr="0051711A">
        <w:rPr>
          <w:rFonts w:ascii="Calibri" w:hAnsi="Calibri" w:cs="Calibri"/>
        </w:rPr>
        <w:instrText xml:space="preserve"> ADDIN ZOTERO_ITEM CSL_CITATION {"citationID":"rCatVCPJ","properties":{"formattedCitation":"[26]","plainCitation":"[26]","noteIndex":0},"citationItems":[{"id":846,"uris":["http://zotero.org/users/6964448/items/8PKGRPRW"],"itemData":{"id":846,"type":"article-journal","container-title":"Crisis","DOI":"10.1027/0227-5910/a000315","ISSN":"0227-5910, 2151-2396","issue":"1","journalAbbreviation":"Crisis","language":"en","page":"1-3","source":"DOI.org (Crossref)","title":"Can We Rely on Suicide Mortality Data?","volume":"36","author":[{"family":"De Leo","given":"Diego"}],"issued":{"date-parts":[["2015",1,1]]},"citation-key":"deleoCanWeRely2015c"}}],"schema":"https://github.com/citation-style-language/schema/raw/master/csl-citation.json"} </w:instrText>
      </w:r>
      <w:r w:rsidRPr="0051711A">
        <w:rPr>
          <w:rFonts w:ascii="Calibri" w:hAnsi="Calibri" w:cs="Calibri"/>
        </w:rPr>
        <w:fldChar w:fldCharType="separate"/>
      </w:r>
      <w:r w:rsidR="001452AB" w:rsidRPr="0051711A">
        <w:rPr>
          <w:rFonts w:ascii="Calibri" w:hAnsi="Calibri" w:cs="Calibri"/>
        </w:rPr>
        <w:t>[26]</w:t>
      </w:r>
      <w:r w:rsidRPr="0051711A">
        <w:rPr>
          <w:rFonts w:ascii="Calibri" w:hAnsi="Calibri" w:cs="Calibri"/>
        </w:rPr>
        <w:fldChar w:fldCharType="end"/>
      </w:r>
      <w:r w:rsidRPr="0051711A">
        <w:rPr>
          <w:rFonts w:ascii="Calibri" w:hAnsi="Calibri" w:cs="Calibri"/>
        </w:rPr>
        <w:t>. In the US</w:t>
      </w:r>
      <w:r w:rsidR="009454DA" w:rsidRPr="0051711A">
        <w:rPr>
          <w:rFonts w:ascii="Calibri" w:hAnsi="Calibri" w:cs="Calibri"/>
        </w:rPr>
        <w:t>A</w:t>
      </w:r>
      <w:r w:rsidRPr="0051711A">
        <w:rPr>
          <w:rFonts w:ascii="Calibri" w:hAnsi="Calibri" w:cs="Calibri"/>
        </w:rPr>
        <w:t>, unintentional poisoning</w:t>
      </w:r>
      <w:r w:rsidRPr="00AD4439">
        <w:rPr>
          <w:rFonts w:ascii="Calibri" w:hAnsi="Calibri" w:cs="Calibri"/>
        </w:rPr>
        <w:t xml:space="preserve"> mortality has been increasing since the mid-1980s </w:t>
      </w:r>
      <w:r w:rsidRPr="00AD4439">
        <w:rPr>
          <w:rFonts w:ascii="Calibri" w:hAnsi="Calibri" w:cs="Calibri"/>
        </w:rPr>
        <w:fldChar w:fldCharType="begin"/>
      </w:r>
      <w:r w:rsidR="001452AB">
        <w:rPr>
          <w:rFonts w:ascii="Calibri" w:hAnsi="Calibri" w:cs="Calibri"/>
        </w:rPr>
        <w:instrText xml:space="preserve"> ADDIN ZOTERO_ITEM CSL_CITATION {"citationID":"GJjgRRJQ","properties":{"formattedCitation":"[27]","plainCitation":"[27]","noteIndex":0},"citationItems":[{"id":959,"uris":["http://zotero.org/users/6964448/items/5F7BDJSJ"],"itemData":{"id":959,"type":"article-journal","container-title":"BMC Public Health","DOI":"10.1186/1471-2458-10-705","ISSN":"1471-2458","issue":"1","journalAbbreviation":"BMC Public Health","language":"en","page":"705","source":"DOI.org (Crossref)","title":"Suicide and unintentional poisoning mortality trends in the United States, 1987-2006: two unrelated phenomena?","title-short":"Suicide and unintentional poisoning mortality trends in the United States, 1987-2006","volume":"10","author":[{"family":"Rockett","given":"Ian R H"},{"family":"Hobbs","given":"Gerry"},{"family":"De Leo","given":"Diego"},{"family":"Stack","given":"Steven"},{"family":"Frost","given":"James L"},{"family":"Ducatman","given":"Alan M"},{"family":"Kapusta","given":"Nestor D"},{"family":"Walker","given":"Rheeda L"}],"issued":{"date-parts":[["2010",12]]},"citation-key":"rockett2010f"}}],"schema":"https://github.com/citation-style-language/schema/raw/master/csl-citation.json"}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[27]</w:t>
      </w:r>
      <w:r w:rsidRPr="00AD4439">
        <w:rPr>
          <w:rFonts w:ascii="Calibri" w:hAnsi="Calibri" w:cs="Calibri"/>
        </w:rPr>
        <w:fldChar w:fldCharType="end"/>
      </w:r>
      <w:r w:rsidRPr="00AD4439">
        <w:rPr>
          <w:rFonts w:ascii="Calibri" w:hAnsi="Calibri" w:cs="Calibri"/>
        </w:rPr>
        <w:t xml:space="preserve">, and the mortality rate increased by 128% from 2000 to 2009 </w:t>
      </w:r>
      <w:r w:rsidRPr="00AD4439">
        <w:rPr>
          <w:rFonts w:ascii="Calibri" w:hAnsi="Calibri" w:cs="Calibri"/>
        </w:rPr>
        <w:fldChar w:fldCharType="begin"/>
      </w:r>
      <w:r w:rsidR="001452AB">
        <w:rPr>
          <w:rFonts w:ascii="Calibri" w:hAnsi="Calibri" w:cs="Calibri"/>
        </w:rPr>
        <w:instrText xml:space="preserve"> ADDIN ZOTERO_ITEM CSL_CITATION {"citationID":"ct1QVVhR","properties":{"formattedCitation":"[28]","plainCitation":"[28]","noteIndex":0},"citationItems":[{"id":830,"uris":["http://zotero.org/users/6964448/items/M32ZKNLL"],"itemData":{"id":830,"type":"article-journal","abstract":"Objectives. We have described national trends for the 5 leading external causes of injury mortality.\n            Methods. We used negative binomial regression and annual underlying cause-of-death data for US residents for 2000 through 2009.\n            Results. Mortality rates for unintentional poisoning, unintentional falls, and suicide increased by 128%, 71%, and 15%, respectively. The unintentional motor vehicle traffic crash mortality rate declined 25%. Suicide ranked first as a cause of injury mortality, followed by motor vehicle traffic crashes, poisoning, falls, and homicide. Females had a lower injury mortality rate than did males. The adjusted fall mortality rate displayed a positive age gradient. Blacks and Hispanics had lower adjusted motor vehicle traffic crash and suicide mortality rates and higher adjusted homicide rates than did Whites, and a lower unadjusted total injury mortality rate.\n            Conclusions. Mortality rates for suicide, poisoning, and falls rose substantially over the past decade. Suicide has surpassed motor vehicle traffic crashes as the leading cause of injury mortality. Comprehensive traffic safety measures have successfully reduced the national motor vehicle traffic crash mortality rate. Similar efforts will be required to diminish the burden of other injury.","container-title":"American Journal of Public Health","DOI":"10.2105/AJPH.2012.300960","ISSN":"0090-0036, 1541-0048","issue":"11","journalAbbreviation":"Am J Public Health","language":"en","page":"e84-e92","source":"DOI.org (Crossref)","title":"Leading Causes of Unintentional and Intentional Injury Mortality: United States, 2000–2009","title-short":"Leading Causes of Unintentional and Intentional Injury Mortality","volume":"102","author":[{"family":"Rockett","given":"Ian R H"},{"family":"Regier","given":"Michael D."},{"family":"Kapusta","given":"Nestor D."},{"family":"Coben","given":"Jeffrey H."},{"family":"Miller","given":"Ted R."},{"family":"Hanzlick","given":"Randy L."},{"family":"Todd","given":"Knox H."},{"family":"Sattin","given":"Richard W."},{"family":"Kennedy","given":"Leslie W."},{"family":"Kleinig","given":"John"},{"family":"Smith","given":"Gordon S."}],"issued":{"date-parts":[["2012",11]]},"citation-key":"rockett2012a"}}],"schema":"https://github.com/citation-style-language/schema/raw/master/csl-citation.json"}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[28]</w:t>
      </w:r>
      <w:r w:rsidRPr="00AD4439">
        <w:rPr>
          <w:rFonts w:ascii="Calibri" w:hAnsi="Calibri" w:cs="Calibri"/>
        </w:rPr>
        <w:fldChar w:fldCharType="end"/>
      </w:r>
      <w:r w:rsidRPr="00AD4439">
        <w:rPr>
          <w:rFonts w:ascii="Calibri" w:hAnsi="Calibri" w:cs="Calibri"/>
        </w:rPr>
        <w:t xml:space="preserve">. The prescription drug epidemic </w:t>
      </w:r>
      <w:r w:rsidRPr="00AD4439">
        <w:rPr>
          <w:rFonts w:ascii="Calibri" w:hAnsi="Calibri" w:cs="Calibri"/>
        </w:rPr>
        <w:fldChar w:fldCharType="begin"/>
      </w:r>
      <w:r w:rsidR="001452AB">
        <w:rPr>
          <w:rFonts w:ascii="Calibri" w:hAnsi="Calibri" w:cs="Calibri"/>
        </w:rPr>
        <w:instrText xml:space="preserve"> ADDIN ZOTERO_ITEM CSL_CITATION {"citationID":"0oFUcC8V","properties":{"formattedCitation":"[29, 30]","plainCitation":"[29, 30]","noteIndex":0},"citationItems":[{"id":921,"uris":["http://zotero.org/users/6964448/items/EWU3XPAX"],"itemData":{"id":921,"type":"article-journal","container-title":"Pain Physician","ISSN":"2150-1149","issue":"5","journalAbbreviation":"Pain Physician","language":"eng","note":"PMID: 20859312","page":"401-435","source":"PubMed","title":"Therapeutic use, abuse, and nonmedical use of opioids: a ten-year perspective","title-short":"Therapeutic use, abuse, and nonmedical use of opioids","volume":"13","author":[{"family":"Manchikanti","given":"Laxmaiah"},{"family":"Fellows","given":"Bert"},{"family":"Ailinani","given":"Hary"},{"family":"Pampati","given":"Vidyasagar"}],"issued":{"date-parts":[["2010"]]},"citation-key":"manchikantiTherapeuticUseAbuse2010a"},"label":"page"},{"id":917,"uris":["http://zotero.org/users/6964448/items/QZY3NSDZ"],"itemData":{"id":917,"type":"article-journal","container-title":"Drug and Alcohol Review","DOI":"10.1111/j.1465-3362.2011.00291.x","ISSN":"09595236","issue":"3","language":"en","page":"264-270","source":"DOI.org (Crossref)","title":"The prescription drug epidemic in the United States: A perfect storm: The prescription drug epidemic in the USA","title-short":"The prescription drug epidemic in the United States","volume":"30","author":[{"family":"Maxwell","given":"Jane Carlisle"}],"issued":{"date-parts":[["2011",5]]},"citation-key":"maxwellPrescriptionDrugEpidemic2011a"},"label":"page"}],"schema":"https://github.com/citation-style-language/schema/raw/master/csl-citation.json"}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[29, 30]</w:t>
      </w:r>
      <w:r w:rsidRPr="00AD4439">
        <w:rPr>
          <w:rFonts w:ascii="Calibri" w:hAnsi="Calibri" w:cs="Calibri"/>
        </w:rPr>
        <w:fldChar w:fldCharType="end"/>
      </w:r>
      <w:r w:rsidRPr="00AD4439">
        <w:rPr>
          <w:rFonts w:ascii="Calibri" w:hAnsi="Calibri" w:cs="Calibri"/>
        </w:rPr>
        <w:t xml:space="preserve">, and resulting mortality </w:t>
      </w:r>
      <w:r w:rsidRPr="00AD4439">
        <w:rPr>
          <w:rFonts w:ascii="Calibri" w:hAnsi="Calibri" w:cs="Calibri"/>
        </w:rPr>
        <w:fldChar w:fldCharType="begin"/>
      </w:r>
      <w:r w:rsidR="001452AB">
        <w:rPr>
          <w:rFonts w:ascii="Calibri" w:hAnsi="Calibri" w:cs="Calibri"/>
        </w:rPr>
        <w:instrText xml:space="preserve"> ADDIN ZOTERO_ITEM CSL_CITATION {"citationID":"6FPGdnl5","properties":{"formattedCitation":"[23, 31]","plainCitation":"[23, 31]","noteIndex":0},"citationItems":[{"id":971,"uris":["http://zotero.org/users/6964448/items/IQ2F8HP5"],"itemData":{"id":971,"type":"article-journal","container-title":"Annals of Epidemiology","DOI":"10.1016/j.annepidem.2022.03.011","ISSN":"10472797","journalAbbreviation":"Annals of Epidemiology","language":"en","page":"119-126","source":"DOI.org (Crossref)","title":"Clustering patterns in polysubstance mortality in the United States in 2017: a multiple correspondence analysis of death certificate data","title-short":"Clustering patterns in polysubstance mortality in the United States in 2017","volume":"77","author":[{"family":"Black","given":"Joshua C."},{"family":"Rockhill","given":"Karilynn M."},{"family":"Dart","given":"Richard C."},{"family":"Iwanicki","given":"Janetta"}],"issued":{"date-parts":[["2023",1]]},"citation-key":"blackClusteringPatternsPolysubstance2023a"}},{"id":916,"uris":["http://zotero.org/users/6964448/items/RYSSJHZ9"],"itemData":{"id":916,"type":"article-journal","container-title":"Addiction","DOI":"10.1111/add.14144","ISSN":"09652140","issue":"7","journalAbbreviation":"Addiction","language":"en","page":"1339-1344","source":"DOI.org (Crossref)","title":"Corrected US opioid-involved drug poisoning deaths and mortality rates, 1999-2015: Corrected opioid-involved mortality rates","title-short":"Corrected US opioid-involved drug poisoning deaths and mortality rates, 1999-2015","volume":"113","author":[{"family":"Ruhm","given":"Christopher J."}],"issued":{"date-parts":[["2018",7]]},"citation-key":"ruhmCorrectedUSOpioidinvolved2018a"},"label":"page"}],"schema":"https://github.com/citation-style-language/schema/raw/master/csl-citation.json"}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[23, 31]</w:t>
      </w:r>
      <w:r w:rsidRPr="00AD4439">
        <w:rPr>
          <w:rFonts w:ascii="Calibri" w:hAnsi="Calibri" w:cs="Calibri"/>
        </w:rPr>
        <w:fldChar w:fldCharType="end"/>
      </w:r>
      <w:r w:rsidRPr="00AD4439">
        <w:rPr>
          <w:rFonts w:ascii="Calibri" w:hAnsi="Calibri" w:cs="Calibri"/>
        </w:rPr>
        <w:t xml:space="preserve"> are well documented. Females tend to use less lethal methods to attempt suicide (i.e., the risk of dying from the attempt is lower compared to other methods), especially self-poisoning </w:t>
      </w:r>
      <w:r w:rsidRPr="00AD4439">
        <w:rPr>
          <w:rFonts w:ascii="Calibri" w:hAnsi="Calibri" w:cs="Calibri"/>
        </w:rPr>
        <w:fldChar w:fldCharType="begin"/>
      </w:r>
      <w:r w:rsidR="001452AB">
        <w:rPr>
          <w:rFonts w:ascii="Calibri" w:hAnsi="Calibri" w:cs="Calibri"/>
        </w:rPr>
        <w:instrText xml:space="preserve"> ADDIN ZOTERO_ITEM CSL_CITATION {"citationID":"8WWCzvdk","properties":{"formattedCitation":"[32, 33]","plainCitation":"[32, 33]","noteIndex":0},"citationItems":[{"id":574,"uris":["http://zotero.org/users/6964448/items/5MX9RUNB"],"itemData":{"id":574,"type":"article-journal","container-title":"Acta Psychiatrica Scandinavica","DOI":"10.1111/j.1600-0447.1987.tb10799.x","ISSN":"0001-690X, 1600-0447","issue":"s336","journalAbbreviation":"Acta Psychiatr Scand","language":"en","page":"22-43","source":"DOI.org (Crossref)","title":"Sources of error in registering suicide","volume":"76","author":[{"family":"Kolmos","given":"Lisbet"},{"family":"Bach","given":"Elsa"}],"issued":{"date-parts":[["1987",10]]},"citation-key":"kolmosSourcesErrorRegistering1987a"},"label":"page"},{"id":523,"uris":["http://zotero.org/users/6964448/items/XPHAHBBP"],"itemData":{"id":523,"type":"article-journal","abstract":"BACKGROUND: The goal of the study was to investigate whether women use less lethal methods in committing suicide than men. A related objective was to determine whether place of committing suicide influences method of suicide.\nMETHOD: Data on all completed suicides occurring in Riverside County from 1998 to 2001 were derived from original death certificates obtained from records of the County Coroner. Descriptive statistics on method and place of suicide by sex were computed and graphically presented. Multivariate logistic regression models were fitted to data on 643 suicide victims to estimate the unique effects of sex and place of suicide on the three most common methods observed: firearms, hanging, and drug poisoning.\nRESULTS: Women were over 73% less likely to use firearms than men (OR = 0.267, CI = 0.172, 0.413). There were no sex differentials in hanging. Female victims were over 4 times more likely to die from drug poisoning than male victims (OR = 4.828, CI = 3.047, 7.650). When place of committing suicide was added to the equation, it was found that victims killing themselves at home were over 2.5 times as likely to use firearms as those dying in outdoor settings (OR = 2.501, CI = 1.078, 6.051). Persons committing suicide at home were over 3 times more likely to hang themselves than those killing themselves outdoors or on railway tracks (CI = 3.118, CI = 1.447, 6.718). Victims committing suicide at home were also 3 times as likely to use drugs as those dying outdoors or on railway tracks (OR = 3.118, CI = 1.242, 7.828). Hotel or motel suicides were 4.9 times more likely to use drug poisoning than outdoor or railway suicides (OR = 4.924, CI = 1.409, 17.206).\nCONCLUSIONS: The proposition that women use less lethal methods of committing suicide than men was only partially supported by the data. It appears that the situation is more complex than a simple dichotomy between more lethal and less lethal methods. In past research, hanging has been considered a very lethal method. However, women were just as likely to hang themselves as men. Furthermore, firearm use was the second mode of suicide among women. The overall policy implication of this study is that suicide prevention efforts should concentrate not only on dissuading potential suicide victims, but also limiting access to firearms and promoting responsible firearm storage practices.","container-title":"Social Psychiatry and Psychiatric Epidemiology","DOI":"10.1007/s00127-006-0054-2","ISSN":"0933-7954","issue":"6","journalAbbreviation":"Soc Psychiatry Psychiatr Epidemiol","language":"eng","note":"PMID: 16565913","page":"435-443","source":"PubMed","title":"Gender, place, and method of suicide","volume":"41","author":[{"family":"Kposowa","given":"Augustine J."},{"family":"McElvain","given":"James P."}],"issued":{"date-parts":[["2006",6]]},"citation-key":"kposowaGenderPlaceMethod2006a"},"label":"page"}],"schema":"https://github.com/citation-style-language/schema/raw/master/csl-citation.json"}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[32, 33]</w:t>
      </w:r>
      <w:r w:rsidRPr="00AD4439">
        <w:rPr>
          <w:rFonts w:ascii="Calibri" w:hAnsi="Calibri" w:cs="Calibri"/>
        </w:rPr>
        <w:fldChar w:fldCharType="end"/>
      </w:r>
      <w:r w:rsidRPr="00AD4439">
        <w:rPr>
          <w:rFonts w:ascii="Calibri" w:hAnsi="Calibri" w:cs="Calibri"/>
        </w:rPr>
        <w:t xml:space="preserve">, while males tend to use more lethal methods </w:t>
      </w:r>
      <w:r w:rsidRPr="00AD4439">
        <w:rPr>
          <w:rFonts w:ascii="Calibri" w:hAnsi="Calibri" w:cs="Calibri"/>
        </w:rPr>
        <w:fldChar w:fldCharType="begin"/>
      </w:r>
      <w:r w:rsidR="001452AB">
        <w:rPr>
          <w:rFonts w:ascii="Calibri" w:hAnsi="Calibri" w:cs="Calibri"/>
        </w:rPr>
        <w:instrText xml:space="preserve"> ADDIN ZOTERO_ITEM CSL_CITATION {"citationID":"pJVV1WIj","properties":{"formattedCitation":"[34, 35]","plainCitation":"[34, 35]","noteIndex":0},"citationItems":[{"id":613,"uris":["http://zotero.org/users/6964448/items/LW297XSX"],"itemData":{"id":613,"type":"article-journal","abstract":"Objective Accurate information about preferred suicide methods is important for devising strategies and programmes for suicide prevention. Our knowledge of the methods used and their variation across countries and world regions is still limited. The aim of this study was to provide the first comprehensive overview of international patterns of suicide methods.\nMethods Data encoded according to the International Classification of Diseases (10th revision) were derived from the WHO mortality database. The classification was used to differentiate suicide methods. Correspondence analysis was used to identify typical patterns of suicide methods in different countries by providing a summary of cross-tabulated data. Findings Poisoning by pesticide was common in many Asian countries and in Latin America; poisoning by drugs was common in both Nordic countries and the United Kingdom. Hanging was the preferred method of suicide in eastern Europe, as was firearm suicide in the United States and jumping from a high place in cities and urban societies such as Hong Kong Special Administrative Region, China. Correspondence analysis demonstrated a polarization between pesticide suicide and firearm suicide at the expense of traditional methods, such as hanging and jumping from a high place, which lay in between.\nConclusion This analysis showed that pesticide suicide and firearm suicide replaced traditional methods in many countries. The observed suicide pattern depended upon the availability of the methods used, in particular the availability of technical means. The present evidence indicates that restricting access to the means of suicide is more urgent and more technically feasible than ever.","container-title":"Bulletin of the World Health Organization","DOI":"10.2471/BLT.07.043489","ISSN":"00429686","issue":"9","journalAbbreviation":"Bull World Health Organ","language":"en","page":"726-732","source":"DOI.org (Crossref)","title":"Methods of suicide: international suicide patters derived from the WHO mortality database","title-short":"Methods of suicide","volume":"86","author":[{"family":"Ajdacic-Gross","given":"Vladeta"}],"issued":{"date-parts":[["2008",9,1]]},"citation-key":"ajdacic-grossMethodsSuicideInternational2008"},"label":"page"},{"id":584,"uris":["http://zotero.org/users/6964448/items/JC467MH2"],"itemData":{"id":584,"type":"article-journal","abstract":"Objectives: (1) To quantify lethality of firearms relative to other suicide methods, (2) to quantify the extent to which suicide mortality may be reduced by limiting access to firearms. Methods: Data on suicides and hospitalised para-suicides that occurred in the state of Illinois from 1990 to 1997 were combined. Total number of episodes for each suicide method was estimated as the sum of the number of suicides and the number of para-suicides for that method. Gender and suicide method were used as proxies for intention to die, and estimated lethality of suicide methods within method-gender groups (for example, male firearm users). Logistic regression was used to quantify the lethality of firearms relative to other suicide methods. Excess mortality associated with the use of firearms was estimated by conservatively assuming that in the absence of firearms the next most lethal suicide method would be used. Results: From January 1990 to December 1997, among individuals 10 years or older in the state of Illinois, there were 37 352 hospital admissions for para-suicide and 10 287 completed suicides. Firearms are the most lethal suicide method. Episodes involving firearms are 2.6 times (95% CI 2.1 to 3.1) more lethal than those involving suffocation-the second most lethal suicide method. Preventing access to firearms can reduce the proportion of fatal firearms related suicides by 32% among minors, and 6.5% among adults. Conclusions: Limiting access to firearms is a potentially effective means of reducing suicide mortality.","container-title":"Journal of Epidemiology and Community Health (1979-)","ISSN":"0143-005X","issue":"2","note":"publisher: BMJ","page":"120-124","source":"JSTOR","title":"Lethality of Firearms Relative to Other Suicide Methods: A Population Based Study","title-short":"Lethality of Firearms Relative to Other Suicide Methods","volume":"57","author":[{"family":"Shenassa","given":"E. D."},{"family":"Catlin","given":"S. N."},{"family":"Buka","given":"S. L."}],"issued":{"date-parts":[["2003"]]},"citation-key":"shenassaLethalityFirearmsRelative2003a"},"label":"page"}],"schema":"https://github.com/citation-style-language/schema/raw/master/csl-citation.json"} </w:instrText>
      </w:r>
      <w:r w:rsidRPr="00AD4439">
        <w:rPr>
          <w:rFonts w:ascii="Calibri" w:hAnsi="Calibri" w:cs="Calibri"/>
        </w:rPr>
        <w:fldChar w:fldCharType="separate"/>
      </w:r>
      <w:r w:rsidR="001452AB" w:rsidRPr="001452AB">
        <w:rPr>
          <w:rFonts w:ascii="Calibri" w:hAnsi="Calibri" w:cs="Calibri"/>
        </w:rPr>
        <w:t>[34, 35]</w:t>
      </w:r>
      <w:r w:rsidRPr="00AD4439">
        <w:rPr>
          <w:rFonts w:ascii="Calibri" w:hAnsi="Calibri" w:cs="Calibri"/>
        </w:rPr>
        <w:fldChar w:fldCharType="end"/>
      </w:r>
      <w:r w:rsidRPr="00AD4439">
        <w:rPr>
          <w:rFonts w:ascii="Calibri" w:hAnsi="Calibri" w:cs="Calibri"/>
        </w:rPr>
        <w:t xml:space="preserve">. The difference in the chosen method of suicide attempt, and the </w:t>
      </w:r>
      <w:r w:rsidR="0024266B">
        <w:rPr>
          <w:rFonts w:ascii="Calibri" w:hAnsi="Calibri" w:cs="Calibri"/>
        </w:rPr>
        <w:t xml:space="preserve">according </w:t>
      </w:r>
      <w:r w:rsidRPr="00AD4439">
        <w:rPr>
          <w:rFonts w:ascii="Calibri" w:hAnsi="Calibri" w:cs="Calibri"/>
        </w:rPr>
        <w:t xml:space="preserve">difficulty to ascertain if a death is a suicide, could explain the lower tendency for </w:t>
      </w:r>
      <w:r w:rsidRPr="00872609">
        <w:rPr>
          <w:rFonts w:ascii="Calibri" w:hAnsi="Calibri" w:cs="Calibri"/>
        </w:rPr>
        <w:t xml:space="preserve">poisoning comorbidities being registered as suicides compared to accidents. The odds that the presence of </w:t>
      </w:r>
      <w:r w:rsidRPr="00872609">
        <w:rPr>
          <w:rFonts w:ascii="Calibri" w:eastAsia="Calibri" w:hAnsi="Calibri" w:cs="Calibri"/>
          <w:kern w:val="2"/>
        </w:rPr>
        <w:t xml:space="preserve">poisoning by drugs, medicaments, and biological substances among males registered in a suicide death compared to an accident was </w:t>
      </w:r>
      <w:r w:rsidR="004A678B" w:rsidRPr="00872609">
        <w:rPr>
          <w:rFonts w:ascii="Calibri" w:eastAsia="Calibri" w:hAnsi="Calibri" w:cs="Calibri"/>
          <w:kern w:val="2"/>
        </w:rPr>
        <w:t>low (</w:t>
      </w:r>
      <w:r w:rsidRPr="00872609">
        <w:rPr>
          <w:rFonts w:ascii="Calibri" w:eastAsia="Calibri" w:hAnsi="Calibri" w:cs="Calibri"/>
          <w:kern w:val="2"/>
        </w:rPr>
        <w:t xml:space="preserve">0.06 </w:t>
      </w:r>
      <w:r w:rsidR="004A678B" w:rsidRPr="00872609">
        <w:rPr>
          <w:rFonts w:ascii="Calibri" w:eastAsia="Calibri" w:hAnsi="Calibri" w:cs="Calibri"/>
          <w:kern w:val="2"/>
        </w:rPr>
        <w:t>[</w:t>
      </w:r>
      <w:r w:rsidRPr="00872609">
        <w:rPr>
          <w:rFonts w:ascii="Calibri" w:eastAsia="Calibri" w:hAnsi="Calibri" w:cs="Calibri"/>
          <w:kern w:val="2"/>
        </w:rPr>
        <w:t>CI: 0.06, 0.06</w:t>
      </w:r>
      <w:r w:rsidR="004A678B" w:rsidRPr="00872609">
        <w:rPr>
          <w:rFonts w:ascii="Calibri" w:eastAsia="Calibri" w:hAnsi="Calibri" w:cs="Calibri"/>
          <w:kern w:val="2"/>
        </w:rPr>
        <w:t>]</w:t>
      </w:r>
      <w:r w:rsidRPr="00872609">
        <w:rPr>
          <w:rFonts w:ascii="Calibri" w:eastAsia="Calibri" w:hAnsi="Calibri" w:cs="Calibri"/>
          <w:kern w:val="2"/>
        </w:rPr>
        <w:t xml:space="preserve">). </w:t>
      </w:r>
      <w:r w:rsidR="00525786" w:rsidRPr="00872609">
        <w:rPr>
          <w:rFonts w:ascii="Calibri" w:hAnsi="Calibri" w:cs="Calibri"/>
          <w:shd w:val="clear" w:color="auto" w:fill="FFFFFF"/>
          <w:lang w:eastAsia="es-ES"/>
        </w:rPr>
        <w:t xml:space="preserve">A limitation lies in the misclassification of suicides in official statistics. The misallocation of the UC is likely to vary based on the sociodemographic characteristics of the decedent, such as education, age, state of residence, race-ethnicity, or sex. As a result, deaths recorded as accidents in the MCOD Public Use Record dataset may hide suicides, leading to potential biases in suicide comorbidity registration. The same bias exists with comorbidities, as their recording is influenced by the decedent’s relationship with healthcare and vice-versa. Hence, females have more registered comorbidity as they are more likely to be in contact with healthcare services </w:t>
      </w:r>
      <w:r w:rsidR="002F787B" w:rsidRPr="00872609">
        <w:rPr>
          <w:rFonts w:ascii="Calibri" w:hAnsi="Calibri" w:cs="Calibri"/>
          <w:shd w:val="clear" w:color="auto" w:fill="FFFFFF"/>
          <w:lang w:eastAsia="es-ES"/>
        </w:rPr>
        <w:fldChar w:fldCharType="begin"/>
      </w:r>
      <w:r w:rsidR="002C07ED" w:rsidRPr="00872609">
        <w:rPr>
          <w:rFonts w:ascii="Calibri" w:hAnsi="Calibri" w:cs="Calibri"/>
          <w:shd w:val="clear" w:color="auto" w:fill="FFFFFF"/>
          <w:lang w:eastAsia="es-ES"/>
        </w:rPr>
        <w:instrText xml:space="preserve"> ADDIN ZOTERO_ITEM CSL_CITATION {"citationID":"Ep3iOrBd","properties":{"formattedCitation":"[36]","plainCitation":"[36]","noteIndex":0},"citationItems":[{"id":2210,"uris":["http://zotero.org/users/6964448/items/RIMJM8I4"],"itemData":{"id":2210,"type":"article-journal","abstract":"Women have worse self-rated health and more hospitalization episodes than men from early adolescence to late middle age, but are less likely to die at each age. We use 14 years of data from the U.S. National Health Interview Survey to examine this paradox. Our results indicate that the difference in self-assessed health between women and men can be entirely explained by differences in the distribution of the chronic conditions they face. This is not true, however, for hospital episodes and mortality. Men with several smoking-related conditions--including cardiovascular disease and certain lung disorders--are more likely to experience hospital episodes and to die than women who suffer from the same chronic conditions, implying that men may experience more-severe forms of these conditions. While some of the difference in mortality can be explained by differences in the distribution of chronic conditions, an equally large share can be attributed to the larger adverse effects of these conditions on male mortality. The greater effects of smoking-related conditions on men's health may be due to their higher rates of smoking throughout their lives.","container-title":"Demography","DOI":"10.1353/dem.2005.0011","ISSN":"0070-3370","issue":"2","journalAbbreviation":"Demography","language":"eng","note":"PMID: 15986983","page":"189-214","source":"PubMed","title":"Sex differences in morbidity and mortality","volume":"42","author":[{"family":"Case","given":"Anne"},{"family":"Paxson","given":"Christina"}],"issued":{"date-parts":[["2005",5]]},"citation-key":"case2005"}}],"schema":"https://github.com/citation-style-language/schema/raw/master/csl-citation.json"} </w:instrText>
      </w:r>
      <w:r w:rsidR="002F787B" w:rsidRPr="00872609">
        <w:rPr>
          <w:rFonts w:ascii="Calibri" w:hAnsi="Calibri" w:cs="Calibri"/>
          <w:shd w:val="clear" w:color="auto" w:fill="FFFFFF"/>
          <w:lang w:eastAsia="es-ES"/>
        </w:rPr>
        <w:fldChar w:fldCharType="separate"/>
      </w:r>
      <w:r w:rsidR="002C07ED" w:rsidRPr="00872609">
        <w:rPr>
          <w:rFonts w:ascii="Calibri" w:hAnsi="Calibri" w:cs="Calibri"/>
        </w:rPr>
        <w:t>[36]</w:t>
      </w:r>
      <w:r w:rsidR="002F787B" w:rsidRPr="00872609">
        <w:rPr>
          <w:rFonts w:ascii="Calibri" w:hAnsi="Calibri" w:cs="Calibri"/>
          <w:shd w:val="clear" w:color="auto" w:fill="FFFFFF"/>
          <w:lang w:eastAsia="es-ES"/>
        </w:rPr>
        <w:fldChar w:fldCharType="end"/>
      </w:r>
      <w:r w:rsidR="009F0414" w:rsidRPr="00872609">
        <w:rPr>
          <w:rFonts w:ascii="Calibri" w:hAnsi="Calibri" w:cs="Calibri"/>
          <w:shd w:val="clear" w:color="auto" w:fill="FFFFFF"/>
          <w:lang w:eastAsia="es-ES"/>
        </w:rPr>
        <w:t>.</w:t>
      </w:r>
    </w:p>
    <w:p w14:paraId="6A705BBA" w14:textId="190CC26A" w:rsidR="006B6FA2" w:rsidRPr="00872609" w:rsidRDefault="00AD4439" w:rsidP="004B0F14">
      <w:pPr>
        <w:spacing w:after="240" w:line="360" w:lineRule="auto"/>
        <w:rPr>
          <w:rFonts w:ascii="Calibri" w:hAnsi="Calibri" w:cs="Calibri"/>
        </w:rPr>
      </w:pPr>
      <w:r w:rsidRPr="00872609">
        <w:rPr>
          <w:rFonts w:ascii="Calibri" w:hAnsi="Calibri" w:cs="Calibri"/>
        </w:rPr>
        <w:t>In this study, we chose to focus on sex-education profiles to explain potential differences in comorbidity registration. The results reveal a clear association between educational level and suicide rates</w:t>
      </w:r>
      <w:r w:rsidR="005204E0" w:rsidRPr="00872609">
        <w:rPr>
          <w:rFonts w:ascii="Calibri" w:hAnsi="Calibri" w:cs="Calibri"/>
        </w:rPr>
        <w:t>. I</w:t>
      </w:r>
      <w:r w:rsidRPr="00872609">
        <w:rPr>
          <w:rFonts w:ascii="Calibri" w:hAnsi="Calibri" w:cs="Calibri"/>
        </w:rPr>
        <w:t>ndividuals who have</w:t>
      </w:r>
      <w:r w:rsidR="00622A0C" w:rsidRPr="00872609">
        <w:rPr>
          <w:rFonts w:ascii="Calibri" w:hAnsi="Calibri" w:cs="Calibri"/>
        </w:rPr>
        <w:t xml:space="preserve"> a</w:t>
      </w:r>
      <w:r w:rsidRPr="00872609">
        <w:rPr>
          <w:rFonts w:ascii="Calibri" w:hAnsi="Calibri" w:cs="Calibri"/>
        </w:rPr>
        <w:t xml:space="preserve"> higher education presented lower suicide rates</w:t>
      </w:r>
      <w:r w:rsidR="00D73F31" w:rsidRPr="00872609">
        <w:rPr>
          <w:rFonts w:ascii="Calibri" w:hAnsi="Calibri" w:cs="Calibri"/>
        </w:rPr>
        <w:t>,</w:t>
      </w:r>
      <w:r w:rsidRPr="00872609">
        <w:rPr>
          <w:rFonts w:ascii="Calibri" w:hAnsi="Calibri" w:cs="Calibri"/>
        </w:rPr>
        <w:t xml:space="preserve"> </w:t>
      </w:r>
      <w:r w:rsidR="001D7B98" w:rsidRPr="00872609">
        <w:rPr>
          <w:rFonts w:ascii="Calibri" w:hAnsi="Calibri" w:cs="Calibri"/>
        </w:rPr>
        <w:t>and individuals</w:t>
      </w:r>
      <w:r w:rsidRPr="00872609">
        <w:rPr>
          <w:rFonts w:ascii="Calibri" w:hAnsi="Calibri" w:cs="Calibri"/>
        </w:rPr>
        <w:t xml:space="preserve"> </w:t>
      </w:r>
      <w:r w:rsidR="00D73F31" w:rsidRPr="00872609">
        <w:rPr>
          <w:rFonts w:ascii="Calibri" w:hAnsi="Calibri" w:cs="Calibri"/>
        </w:rPr>
        <w:t>having</w:t>
      </w:r>
      <w:r w:rsidRPr="00872609">
        <w:rPr>
          <w:rFonts w:ascii="Calibri" w:hAnsi="Calibri" w:cs="Calibri"/>
        </w:rPr>
        <w:t xml:space="preserve"> no higher education had higher suicide rates. The CA results showed that sex explained most of the association between comorbidity and sex-education profiles. However, it appeared in the CA that having a high school degree (or unknown) was differentiated from other educational level groups among males’ suicide deaths. </w:t>
      </w:r>
    </w:p>
    <w:p w14:paraId="6C6BD056" w14:textId="5BC4E47D" w:rsidR="00AD4439" w:rsidRPr="00872609" w:rsidRDefault="006B6FA2" w:rsidP="00F13A4A">
      <w:pPr>
        <w:spacing w:after="240" w:line="360" w:lineRule="auto"/>
        <w:rPr>
          <w:rFonts w:ascii="Calibri" w:hAnsi="Calibri" w:cs="Calibri"/>
        </w:rPr>
      </w:pPr>
      <w:r w:rsidRPr="00872609">
        <w:rPr>
          <w:rFonts w:ascii="Calibri" w:hAnsi="Calibri" w:cs="Calibri"/>
        </w:rPr>
        <w:t>Another relevant element for discussion is that s</w:t>
      </w:r>
      <w:r w:rsidR="00AD4439" w:rsidRPr="00872609">
        <w:rPr>
          <w:rFonts w:ascii="Calibri" w:hAnsi="Calibri" w:cs="Calibri"/>
        </w:rPr>
        <w:t xml:space="preserve">uicidal behaviours and methods of attempted suicide (fatal and non-fatal) differ according to the level of education </w:t>
      </w:r>
      <w:r w:rsidR="00AD4439" w:rsidRPr="00872609">
        <w:rPr>
          <w:rFonts w:ascii="Calibri" w:hAnsi="Calibri" w:cs="Calibri"/>
        </w:rPr>
        <w:fldChar w:fldCharType="begin"/>
      </w:r>
      <w:r w:rsidR="00D07C77" w:rsidRPr="00872609">
        <w:rPr>
          <w:rFonts w:ascii="Calibri" w:hAnsi="Calibri" w:cs="Calibri"/>
        </w:rPr>
        <w:instrText xml:space="preserve"> ADDIN ZOTERO_ITEM CSL_CITATION {"citationID":"qsBAz3Fv","properties":{"formattedCitation":"[37]","plainCitation":"[37]","noteIndex":0},"citationItems":[{"id":924,"uris":["http://zotero.org/users/6964448/items/CIKHZDCZ"],"itemData":{"id":924,"type":"article-journal","container-title":"The European Journal of Psychology Applied to Legal Context","DOI":"10.5093/ejpalc2018a2","ISSN":"1889-1861, 1989-4007","issue":"1","language":"en","page":"15-25","source":"DOI.org (Crossref)","title":"Sociodemographic Variables Most Associated with Suicidal Behaviour and Suicide Methods in Europe and America. A Systematic Review","volume":"10","author":[{"family":"Cano-Montalbán","given":"Inés"},{"family":"Quevedo-Blasco","given":"Raúl"}],"issued":{"date-parts":[["2018"]]},"citation-key":"cano-montalbanSociodemographicVariablesMost2018a"}}],"schema":"https://github.com/citation-style-language/schema/raw/master/csl-citation.json"} </w:instrText>
      </w:r>
      <w:r w:rsidR="00AD4439" w:rsidRPr="00872609">
        <w:rPr>
          <w:rFonts w:ascii="Calibri" w:hAnsi="Calibri" w:cs="Calibri"/>
        </w:rPr>
        <w:fldChar w:fldCharType="separate"/>
      </w:r>
      <w:r w:rsidR="00D07C77" w:rsidRPr="00872609">
        <w:rPr>
          <w:rFonts w:ascii="Calibri" w:hAnsi="Calibri" w:cs="Calibri"/>
        </w:rPr>
        <w:t>[37]</w:t>
      </w:r>
      <w:r w:rsidR="00AD4439" w:rsidRPr="00872609">
        <w:rPr>
          <w:rFonts w:ascii="Calibri" w:hAnsi="Calibri" w:cs="Calibri"/>
        </w:rPr>
        <w:fldChar w:fldCharType="end"/>
      </w:r>
      <w:r w:rsidR="00AD4439" w:rsidRPr="00872609">
        <w:rPr>
          <w:rFonts w:ascii="Calibri" w:hAnsi="Calibri" w:cs="Calibri"/>
        </w:rPr>
        <w:t xml:space="preserve">. As we decided to keep injuries as a morbidity group, if males tend to use more violent methods, then the </w:t>
      </w:r>
      <w:r w:rsidR="00AD4439" w:rsidRPr="00872609">
        <w:rPr>
          <w:rFonts w:ascii="Calibri" w:hAnsi="Calibri" w:cs="Calibri"/>
        </w:rPr>
        <w:lastRenderedPageBreak/>
        <w:t xml:space="preserve">association of specific physical </w:t>
      </w:r>
      <w:r w:rsidR="00F1115E" w:rsidRPr="00872609">
        <w:rPr>
          <w:rFonts w:ascii="Calibri" w:hAnsi="Calibri" w:cs="Calibri"/>
        </w:rPr>
        <w:t xml:space="preserve">and </w:t>
      </w:r>
      <w:r w:rsidR="00AD4439" w:rsidRPr="00872609">
        <w:rPr>
          <w:rFonts w:ascii="Calibri" w:hAnsi="Calibri" w:cs="Calibri"/>
        </w:rPr>
        <w:t xml:space="preserve">mental diseases might have been hidden by the weight of this category. </w:t>
      </w:r>
      <w:r w:rsidR="001771DA" w:rsidRPr="00872609">
        <w:rPr>
          <w:rFonts w:ascii="Calibri" w:hAnsi="Calibri" w:cs="Calibri"/>
        </w:rPr>
        <w:t xml:space="preserve">Yet, investigating the associations of sex-education profiles with the method of suicide was </w:t>
      </w:r>
      <w:r w:rsidR="002B71AC" w:rsidRPr="00872609">
        <w:rPr>
          <w:rFonts w:ascii="Calibri" w:hAnsi="Calibri" w:cs="Calibri"/>
        </w:rPr>
        <w:t>beyond</w:t>
      </w:r>
      <w:r w:rsidR="001771DA" w:rsidRPr="00872609">
        <w:rPr>
          <w:rFonts w:ascii="Calibri" w:hAnsi="Calibri" w:cs="Calibri"/>
        </w:rPr>
        <w:t xml:space="preserve"> the scope of this study. </w:t>
      </w:r>
      <w:r w:rsidR="00AD4439" w:rsidRPr="00872609">
        <w:rPr>
          <w:rFonts w:ascii="Calibri" w:hAnsi="Calibri" w:cs="Calibri"/>
        </w:rPr>
        <w:t xml:space="preserve">Advanced investigations on suicide methods should be carried out to better understand the relationship between education and suicide. </w:t>
      </w:r>
      <w:r w:rsidR="006C1B95" w:rsidRPr="00872609">
        <w:rPr>
          <w:rFonts w:ascii="Calibri" w:hAnsi="Calibri" w:cs="Calibri"/>
          <w:shd w:val="clear" w:color="auto" w:fill="FFFFFF"/>
          <w:lang w:eastAsia="es-ES"/>
        </w:rPr>
        <w:t xml:space="preserve">Additionally, one limitation resides in the use of race-ethnicity as a covariate and not an analytical variable. It is known that the accuracy of race registration in death certificates is not homogeneous </w:t>
      </w:r>
      <w:r w:rsidR="002528B8" w:rsidRPr="00872609">
        <w:rPr>
          <w:rFonts w:ascii="Calibri" w:hAnsi="Calibri" w:cs="Calibri"/>
          <w:shd w:val="clear" w:color="auto" w:fill="FFFFFF"/>
          <w:lang w:eastAsia="es-ES"/>
        </w:rPr>
        <w:fldChar w:fldCharType="begin"/>
      </w:r>
      <w:r w:rsidR="002528B8" w:rsidRPr="00872609">
        <w:rPr>
          <w:rFonts w:ascii="Calibri" w:hAnsi="Calibri" w:cs="Calibri"/>
          <w:shd w:val="clear" w:color="auto" w:fill="FFFFFF"/>
          <w:lang w:eastAsia="es-ES"/>
        </w:rPr>
        <w:instrText xml:space="preserve"> ADDIN ZOTERO_ITEM CSL_CITATION {"citationID":"uILLwd8D","properties":{"formattedCitation":"[38]","plainCitation":"[38]","noteIndex":0},"citationItems":[{"id":2223,"uris":["http://zotero.org/users/6964448/items/IPS72BGM"],"itemData":{"id":2223,"type":"article-journal","abstract":"Objectives This report presents the findings of an updated study of the validity of race and Hispanic-origin reporting on death certificates in the United States, and its impact on race- and Hispanic origin-specific death rates. Methods The latest version of the National Longitudinal Mortality Study (NLMS) was used to evaluate the classification of race and Hispanic origin on death certificates for deaths occurring in 1999–2011 to decedents in NLMS. To evaluate change over time, these results were compared with those of a study based on an earlier version of NLMS that evaluated the quality of race and ethnicity classification on death certificates for 1979–1989 and 1990–1998. NLMS consists of a series of annual Current Population Survey files (1973 and 1978–2011) and a sample of the 1980 decennial census linked to death certificates for 1979–2011. Pooled 2009–2011 vital statistics mortality data and 2010 decennial census population data were used to estimate and compare observed and corrected race- and Hispanic origin-specific death rates. Results Race and ethnicity reporting on death certificates continued to be highly accurate for both white and black populations during the 1999–2011 period. Misclassification remained high at 40% for the American Indian or Alaska Native (AIAN) population. It improved, from 5% to 3%, for the Hispanic population, and from 7% to 3% for the Asian or Pacific Islander (API) population. Decedent characteristics such as place of residence and nativity affected the quality of reporting on the death certificate. Effects of misclassification on death rates were large for the AIAN population but not significant for the Hispanic or API populations.","archive_location":"cdc:45533","collection-title":"Series 2","container-title":"Vital and Health Statistics Series","issue":"172","language":"eng","note":"publisher-place: Hyattsville, MD","title":"The Validity of race and Hispanic origin reporting on death certificates in the United States : an update","URL":"https://stacks.cdc.gov/view/cdc/45533","volume":"2","editor":[{"literal":"National Center for Health Statistics (U.S.) ; National Longitudinal Mortality Study ;"}],"author":[{"family":"Arias","given":"Elizabeth"},{"family":"Heron","given":"Melonie P."},{"family":"Hakes","given":"Jahn K."}],"issued":{"date-parts":[["2016",8]]},"citation-key":"arias2016"}}],"schema":"https://github.com/citation-style-language/schema/raw/master/csl-citation.json"} </w:instrText>
      </w:r>
      <w:r w:rsidR="002528B8" w:rsidRPr="00872609">
        <w:rPr>
          <w:rFonts w:ascii="Calibri" w:hAnsi="Calibri" w:cs="Calibri"/>
          <w:shd w:val="clear" w:color="auto" w:fill="FFFFFF"/>
          <w:lang w:eastAsia="es-ES"/>
        </w:rPr>
        <w:fldChar w:fldCharType="separate"/>
      </w:r>
      <w:r w:rsidR="002528B8" w:rsidRPr="00872609">
        <w:rPr>
          <w:rFonts w:ascii="Calibri" w:hAnsi="Calibri" w:cs="Calibri"/>
        </w:rPr>
        <w:t>[38]</w:t>
      </w:r>
      <w:r w:rsidR="002528B8" w:rsidRPr="00872609">
        <w:rPr>
          <w:rFonts w:ascii="Calibri" w:hAnsi="Calibri" w:cs="Calibri"/>
          <w:shd w:val="clear" w:color="auto" w:fill="FFFFFF"/>
          <w:lang w:eastAsia="es-ES"/>
        </w:rPr>
        <w:fldChar w:fldCharType="end"/>
      </w:r>
      <w:r w:rsidR="004A5AA0" w:rsidRPr="00872609">
        <w:rPr>
          <w:rFonts w:ascii="Calibri" w:hAnsi="Calibri" w:cs="Calibri"/>
          <w:shd w:val="clear" w:color="auto" w:fill="FFFFFF"/>
          <w:lang w:eastAsia="es-ES"/>
        </w:rPr>
        <w:t xml:space="preserve">, as well as self-injury mortality is </w:t>
      </w:r>
      <w:r w:rsidR="00764183" w:rsidRPr="00872609">
        <w:rPr>
          <w:rFonts w:ascii="Calibri" w:hAnsi="Calibri" w:cs="Calibri"/>
        </w:rPr>
        <w:fldChar w:fldCharType="begin"/>
      </w:r>
      <w:r w:rsidR="002528B8" w:rsidRPr="00872609">
        <w:rPr>
          <w:rFonts w:ascii="Calibri" w:hAnsi="Calibri" w:cs="Calibri"/>
        </w:rPr>
        <w:instrText xml:space="preserve"> ADDIN ZOTERO_ITEM CSL_CITATION {"citationID":"2IWCBHJp","properties":{"formattedCitation":"[39]","plainCitation":"[39]","noteIndex":0},"citationItems":[{"id":2213,"uris":["http://zotero.org/users/6964448/items/994IV5XG"],"itemData":{"id":2213,"type":"article-journal","abstract":"Aim To assess whether an enhanced category combining suicides with nonsuicide drug self-intoxication fatalities more effectively captures the burden of self-injury mortality (SIM) in the USA among US non-Hispanic black and Hispanic populations and women irrespective of race/ethnicity.\nMethods This observational study used deidentified national mortality data for 2008–2017 from the CDC’s Web-based Injury Statistics Query and Reporting System. SIM comprised suicides by any method and age at death plus estimated nonsuicide drug self-intoxication deaths at age ≥15 years. Measures were crude SIM and suicide rates; SIM-to-suicide rate ratios; and indices of premature mortality.\nResults While the suicide rate increased by 29% for blacks, 36% for Hispanics and 25% for non-Hispanic whites between 2008 and 2017, corresponding SIM rate increases were larger at 109%, 69% and 55% (p&lt;0.0001). SIM:suicide rate ratio gaps were widest among blacks but similar for the other two groups. Gaps were wider for females than males, especially black females whose ratios measured ≥3.71 across the observation period versus &lt;3.00 for white and Hispanic counterparts. Total lost years of life for Hispanic, white and black SIM decedents in 2017 were projected to be 42.6, 37.1 and 32.4, respectively.\nConclusion Application of SIM exposed substantial excess burdens from substance poisoning relative to suicide for minorities, particularly non-Hispanic blacks and for women generally. Results underscored the need to define, develop, implement and evaluate comprehensive strategies to address common antecedents of self-injurious behaviours.","container-title":"Injury Prevention","DOI":"10.1136/injuryprev-2019-043371","ISSN":"1353-8047, 1475-5785","issue":"5","language":"en","license":"© Author(s) (or their employer(s)) 2020. Re-use permitted under CC BY-NC. No commercial re-use. See rights and permissions. Published by BMJ.. http://creativecommons.org/licenses/by-nc/4.0/This is an open access article distributed in accordance with the Creative Commons Attribution Non Commercial (CC BY-NC 4.0) license, which permits others to distribute, remix, adapt, build upon this work non-commercially, and license their derivative works on different terms, provided the original work is properly cited, appropriate credit is given, any changes made indicated, and the use is non-commercial. See: http://creativecommons.org/licenses/by-nc/4.0/.","note":"publisher: BMJ Publishing Group Ltd\nsection: Original research\nPMID: 31551367","page":"439-447","source":"injuryprevention.bmj.com","title":"Unrecognised self-injury mortality (SIM) trends among racial/ethnic minorities and women in the USA","volume":"26","author":[{"family":"Rockett","given":"Ian R. H."},{"family":"Caine","given":"Eric D."},{"family":"Connery","given":"Hilary S."},{"family":"Nolte","given":"Kurt B."},{"family":"Nestadt","given":"Paul S."},{"family":"Nelson","given":"Lewis S."},{"family":"Jia","given":"Haomiao"}],"issued":{"date-parts":[["2020",10,1]]},"citation-key":"rockett2020a"}}],"schema":"https://github.com/citation-style-language/schema/raw/master/csl-citation.json"} </w:instrText>
      </w:r>
      <w:r w:rsidR="00764183" w:rsidRPr="00872609">
        <w:rPr>
          <w:rFonts w:ascii="Calibri" w:hAnsi="Calibri" w:cs="Calibri"/>
        </w:rPr>
        <w:fldChar w:fldCharType="separate"/>
      </w:r>
      <w:r w:rsidR="002528B8" w:rsidRPr="00872609">
        <w:rPr>
          <w:rFonts w:ascii="Calibri" w:hAnsi="Calibri" w:cs="Calibri"/>
        </w:rPr>
        <w:t>[39]</w:t>
      </w:r>
      <w:r w:rsidR="00764183" w:rsidRPr="00872609">
        <w:rPr>
          <w:rFonts w:ascii="Calibri" w:hAnsi="Calibri" w:cs="Calibri"/>
        </w:rPr>
        <w:fldChar w:fldCharType="end"/>
      </w:r>
      <w:r w:rsidR="00764183" w:rsidRPr="00872609">
        <w:rPr>
          <w:rFonts w:ascii="Calibri" w:hAnsi="Calibri" w:cs="Calibri"/>
        </w:rPr>
        <w:t xml:space="preserve"> </w:t>
      </w:r>
      <w:r w:rsidR="00204358" w:rsidRPr="00872609">
        <w:rPr>
          <w:rFonts w:ascii="Calibri" w:hAnsi="Calibri" w:cs="Calibri"/>
          <w:shd w:val="clear" w:color="auto" w:fill="FFFFFF"/>
          <w:lang w:eastAsia="es-ES"/>
        </w:rPr>
        <w:t xml:space="preserve">per sex-race groups. </w:t>
      </w:r>
      <w:r w:rsidR="001A1206" w:rsidRPr="00872609">
        <w:rPr>
          <w:rFonts w:ascii="Calibri" w:hAnsi="Calibri" w:cs="Calibri"/>
          <w:shd w:val="clear" w:color="auto" w:fill="FFFFFF"/>
          <w:lang w:eastAsia="es-ES"/>
        </w:rPr>
        <w:t xml:space="preserve">We thus encourage future research to investigate interactions between race and education in suicides. </w:t>
      </w:r>
      <w:r w:rsidR="00AD4439" w:rsidRPr="00872609">
        <w:rPr>
          <w:rFonts w:ascii="Calibri" w:hAnsi="Calibri" w:cs="Calibri"/>
        </w:rPr>
        <w:t>We showed in this study that crossing morbidities with sociodemographic</w:t>
      </w:r>
      <w:r w:rsidR="0055260A" w:rsidRPr="00872609">
        <w:rPr>
          <w:rFonts w:ascii="Calibri" w:hAnsi="Calibri" w:cs="Calibri"/>
        </w:rPr>
        <w:t xml:space="preserve"> </w:t>
      </w:r>
      <w:r w:rsidR="00AD4439" w:rsidRPr="00872609">
        <w:rPr>
          <w:rFonts w:ascii="Calibri" w:hAnsi="Calibri" w:cs="Calibri"/>
        </w:rPr>
        <w:t>characteristics aided a better understanding of which morbidities are associated with specific decedents’ profiles by suicide, compared with accidental deaths.</w:t>
      </w:r>
    </w:p>
    <w:p w14:paraId="7F245D43" w14:textId="77777777" w:rsidR="00AD4439" w:rsidRPr="00872609" w:rsidRDefault="00AD4439" w:rsidP="004B0F14">
      <w:pPr>
        <w:widowControl/>
        <w:spacing w:before="0" w:line="360" w:lineRule="auto"/>
        <w:jc w:val="left"/>
        <w:rPr>
          <w:rFonts w:ascii="Calibri" w:hAnsi="Calibri" w:cs="Calibri"/>
          <w:b/>
          <w:bCs/>
          <w:kern w:val="2"/>
          <w:szCs w:val="32"/>
        </w:rPr>
      </w:pPr>
    </w:p>
    <w:p w14:paraId="311AD471" w14:textId="77777777" w:rsidR="00AD4439" w:rsidRPr="00872609" w:rsidRDefault="00AD4439" w:rsidP="004B0F14">
      <w:pPr>
        <w:pStyle w:val="Heading1"/>
        <w:spacing w:before="0" w:line="360" w:lineRule="auto"/>
        <w:rPr>
          <w:lang w:eastAsia="en-US"/>
        </w:rPr>
      </w:pPr>
      <w:bookmarkStart w:id="8" w:name="_Toc145236434"/>
      <w:r w:rsidRPr="00872609">
        <w:t>Conclusion</w:t>
      </w:r>
      <w:bookmarkEnd w:id="8"/>
      <w:r w:rsidRPr="00872609">
        <w:t xml:space="preserve"> </w:t>
      </w:r>
    </w:p>
    <w:p w14:paraId="6D54CBB0" w14:textId="78CD8DD2" w:rsidR="00AD4439" w:rsidRPr="00AD4439" w:rsidRDefault="00AD4439" w:rsidP="004B0F14">
      <w:pPr>
        <w:spacing w:line="360" w:lineRule="auto"/>
        <w:ind w:firstLine="720"/>
        <w:rPr>
          <w:rFonts w:ascii="Calibri" w:hAnsi="Calibri" w:cs="Calibri"/>
        </w:rPr>
      </w:pPr>
      <w:r w:rsidRPr="00872609">
        <w:rPr>
          <w:rFonts w:ascii="Calibri" w:hAnsi="Calibri" w:cs="Calibri"/>
        </w:rPr>
        <w:t xml:space="preserve">The results highlight that sex and education are important factors in external causes of death morbidities. The study also delved into the risk that a given comorbidity is associated with suicide compared to accidents. We observed that males present distinct profiles of morbidities in </w:t>
      </w:r>
      <w:r w:rsidR="00B3726A" w:rsidRPr="00872609">
        <w:rPr>
          <w:rFonts w:ascii="Calibri" w:hAnsi="Calibri" w:cs="Calibri"/>
        </w:rPr>
        <w:t>suicide</w:t>
      </w:r>
      <w:r w:rsidRPr="00872609">
        <w:rPr>
          <w:rFonts w:ascii="Calibri" w:hAnsi="Calibri" w:cs="Calibri"/>
        </w:rPr>
        <w:t xml:space="preserve">. Significant associations with suicide were established between the presence of mental disorders such </w:t>
      </w:r>
      <w:r w:rsidRPr="00A606D7">
        <w:rPr>
          <w:rFonts w:ascii="Calibri" w:hAnsi="Calibri" w:cs="Calibri"/>
        </w:rPr>
        <w:t>as schizophrenia, anxiety, dissociative and non-psychotic disorders, mood disorders and suicides</w:t>
      </w:r>
      <w:r w:rsidR="00126E75" w:rsidRPr="00A606D7">
        <w:rPr>
          <w:rFonts w:ascii="Calibri" w:hAnsi="Calibri" w:cs="Calibri"/>
        </w:rPr>
        <w:t>. At the same time,</w:t>
      </w:r>
      <w:r w:rsidRPr="00A606D7">
        <w:rPr>
          <w:rFonts w:ascii="Calibri" w:hAnsi="Calibri" w:cs="Calibri"/>
        </w:rPr>
        <w:t xml:space="preserve"> no significantly higher odds were found for disease</w:t>
      </w:r>
      <w:r w:rsidR="00F1115E">
        <w:rPr>
          <w:rFonts w:ascii="Calibri" w:hAnsi="Calibri" w:cs="Calibri"/>
        </w:rPr>
        <w:t>s</w:t>
      </w:r>
      <w:r w:rsidRPr="00A606D7">
        <w:rPr>
          <w:rFonts w:ascii="Calibri" w:hAnsi="Calibri" w:cs="Calibri"/>
        </w:rPr>
        <w:t xml:space="preserve">. The results from this study highlight the need for adapted </w:t>
      </w:r>
      <w:r w:rsidR="0096005E" w:rsidRPr="00A606D7">
        <w:rPr>
          <w:rFonts w:ascii="Calibri" w:hAnsi="Calibri" w:cs="Calibri"/>
        </w:rPr>
        <w:t xml:space="preserve">suicide </w:t>
      </w:r>
      <w:r w:rsidRPr="00A606D7">
        <w:rPr>
          <w:rFonts w:ascii="Calibri" w:hAnsi="Calibri" w:cs="Calibri"/>
        </w:rPr>
        <w:t>prevention considering not only who but also how to address prevention in specific communities and populations. Accordingly</w:t>
      </w:r>
      <w:r w:rsidRPr="00AD4439">
        <w:rPr>
          <w:rFonts w:ascii="Calibri" w:hAnsi="Calibri" w:cs="Calibri"/>
        </w:rPr>
        <w:t xml:space="preserve">, this study adds to the growing body of knowledge needed to develop suicide prevention efforts. Future studies are necessary to better understand how morbidities and contributing external causes of death interact together and within undetermined intent death or different types of </w:t>
      </w:r>
      <w:r w:rsidR="00025259">
        <w:rPr>
          <w:rFonts w:ascii="Calibri" w:hAnsi="Calibri" w:cs="Calibri"/>
        </w:rPr>
        <w:t>unintentional</w:t>
      </w:r>
      <w:r w:rsidRPr="00AD4439">
        <w:rPr>
          <w:rFonts w:ascii="Calibri" w:hAnsi="Calibri" w:cs="Calibri"/>
        </w:rPr>
        <w:t xml:space="preserve"> deaths (e.g., poisoning).</w:t>
      </w:r>
    </w:p>
    <w:p w14:paraId="6C6816D4" w14:textId="77777777" w:rsidR="00D027A0" w:rsidRDefault="00D027A0">
      <w:pPr>
        <w:widowControl/>
        <w:suppressAutoHyphens w:val="0"/>
        <w:spacing w:before="0" w:after="160" w:line="259" w:lineRule="auto"/>
        <w:jc w:val="left"/>
        <w:rPr>
          <w:b/>
          <w:bCs/>
        </w:rPr>
      </w:pPr>
      <w:r>
        <w:rPr>
          <w:b/>
          <w:bCs/>
        </w:rPr>
        <w:br w:type="page"/>
      </w:r>
    </w:p>
    <w:p w14:paraId="76A600E3" w14:textId="77777777" w:rsidR="00920D34" w:rsidRPr="00066D85" w:rsidRDefault="00920D34" w:rsidP="00920D34">
      <w:pPr>
        <w:pStyle w:val="References"/>
        <w:spacing w:after="0" w:line="360" w:lineRule="auto"/>
        <w:rPr>
          <w:rFonts w:ascii="Calibri" w:hAnsi="Calibri" w:cs="Calibri"/>
          <w:b/>
          <w:bCs/>
          <w:lang w:val="en-GB"/>
        </w:rPr>
      </w:pPr>
      <w:r w:rsidRPr="00066D85">
        <w:rPr>
          <w:rFonts w:ascii="Calibri" w:hAnsi="Calibri" w:cs="Calibri"/>
          <w:b/>
          <w:bCs/>
          <w:lang w:val="en-GB"/>
        </w:rPr>
        <w:lastRenderedPageBreak/>
        <w:t>Competing Interests Statement</w:t>
      </w:r>
    </w:p>
    <w:p w14:paraId="597D0497" w14:textId="77777777" w:rsidR="00920D34" w:rsidRPr="008F062F" w:rsidRDefault="00920D34" w:rsidP="00920D34">
      <w:pPr>
        <w:pStyle w:val="References"/>
        <w:spacing w:after="0" w:line="360" w:lineRule="auto"/>
        <w:ind w:left="0" w:firstLine="0"/>
        <w:rPr>
          <w:rFonts w:ascii="Calibri" w:hAnsi="Calibri" w:cs="Calibri"/>
          <w:lang w:val="en-GB"/>
        </w:rPr>
      </w:pPr>
      <w:r w:rsidRPr="008F062F">
        <w:rPr>
          <w:rFonts w:ascii="Calibri" w:hAnsi="Calibri" w:cs="Calibri"/>
          <w:lang w:val="en-GB"/>
        </w:rPr>
        <w:t>The authors declare that they have no conflict of interest.</w:t>
      </w:r>
    </w:p>
    <w:p w14:paraId="436232AE" w14:textId="77777777" w:rsidR="00920D34" w:rsidRDefault="00920D34" w:rsidP="00D027A0">
      <w:pPr>
        <w:widowControl/>
        <w:suppressAutoHyphens w:val="0"/>
        <w:spacing w:before="0" w:line="360" w:lineRule="auto"/>
        <w:jc w:val="left"/>
        <w:rPr>
          <w:rFonts w:ascii="Calibri" w:hAnsi="Calibri" w:cs="Calibri"/>
          <w:b/>
          <w:bCs/>
        </w:rPr>
      </w:pPr>
    </w:p>
    <w:p w14:paraId="36A4DAA1" w14:textId="77777777" w:rsidR="00920D34" w:rsidRPr="00865483" w:rsidRDefault="00920D34" w:rsidP="00920D34">
      <w:pPr>
        <w:pStyle w:val="References"/>
        <w:spacing w:after="0" w:line="360" w:lineRule="auto"/>
        <w:rPr>
          <w:rFonts w:ascii="Calibri" w:hAnsi="Calibri" w:cs="Calibri"/>
          <w:b/>
          <w:bCs/>
          <w:lang w:val="en-GB"/>
        </w:rPr>
      </w:pPr>
      <w:r w:rsidRPr="00066D85">
        <w:rPr>
          <w:rFonts w:ascii="Calibri" w:hAnsi="Calibri" w:cs="Calibri"/>
          <w:b/>
          <w:bCs/>
          <w:lang w:val="en-GB"/>
        </w:rPr>
        <w:t>Ethical Approval Statement</w:t>
      </w:r>
    </w:p>
    <w:p w14:paraId="6D641CBD" w14:textId="77777777" w:rsidR="00920D34" w:rsidRPr="00066D85" w:rsidRDefault="00920D34" w:rsidP="00920D34">
      <w:pPr>
        <w:pStyle w:val="References"/>
        <w:spacing w:after="0" w:line="360" w:lineRule="auto"/>
        <w:ind w:left="0" w:firstLine="0"/>
        <w:rPr>
          <w:rFonts w:ascii="Calibri" w:hAnsi="Calibri" w:cs="Calibri"/>
          <w:lang w:val="en-GB"/>
        </w:rPr>
      </w:pPr>
      <w:r>
        <w:rPr>
          <w:rFonts w:ascii="Calibri" w:hAnsi="Calibri" w:cs="Calibri"/>
          <w:lang w:val="en-GB"/>
        </w:rPr>
        <w:t xml:space="preserve">The University of Southampton Ethics and Research Governance Online system granted ethical approval for this study under submission ID </w:t>
      </w:r>
      <w:r w:rsidRPr="00A65EC8">
        <w:rPr>
          <w:rFonts w:ascii="Calibri" w:hAnsi="Calibri" w:cs="Calibri"/>
          <w:lang w:val="en-GB"/>
        </w:rPr>
        <w:t>100675</w:t>
      </w:r>
      <w:r>
        <w:rPr>
          <w:rFonts w:ascii="Calibri" w:hAnsi="Calibri" w:cs="Calibri"/>
          <w:lang w:val="en-GB"/>
        </w:rPr>
        <w:t>.</w:t>
      </w:r>
    </w:p>
    <w:p w14:paraId="05258F16" w14:textId="77777777" w:rsidR="00920D34" w:rsidRDefault="00920D34" w:rsidP="00920D34">
      <w:pPr>
        <w:spacing w:before="0" w:line="360" w:lineRule="auto"/>
        <w:rPr>
          <w:rFonts w:ascii="Calibri" w:hAnsi="Calibri" w:cs="Calibri"/>
          <w:b/>
          <w:bCs/>
        </w:rPr>
      </w:pPr>
    </w:p>
    <w:p w14:paraId="33A4C0E6" w14:textId="40754CEB" w:rsidR="00920D34" w:rsidRDefault="00920D34" w:rsidP="00920D34">
      <w:pPr>
        <w:spacing w:before="0" w:line="360" w:lineRule="auto"/>
        <w:rPr>
          <w:rFonts w:ascii="Calibri" w:hAnsi="Calibri" w:cs="Calibri"/>
          <w:b/>
          <w:bCs/>
        </w:rPr>
      </w:pPr>
      <w:r w:rsidRPr="00B1283B">
        <w:rPr>
          <w:rFonts w:ascii="Calibri" w:hAnsi="Calibri" w:cs="Calibri"/>
          <w:b/>
          <w:bCs/>
        </w:rPr>
        <w:t xml:space="preserve">Funding </w:t>
      </w:r>
      <w:r w:rsidR="00E26BEA">
        <w:rPr>
          <w:rFonts w:ascii="Calibri" w:hAnsi="Calibri" w:cs="Calibri"/>
          <w:b/>
          <w:bCs/>
        </w:rPr>
        <w:t>Disclosure</w:t>
      </w:r>
    </w:p>
    <w:p w14:paraId="5288F66B" w14:textId="77777777" w:rsidR="00920D34" w:rsidRDefault="00920D34" w:rsidP="00920D34">
      <w:pPr>
        <w:spacing w:before="0" w:line="360" w:lineRule="auto"/>
        <w:rPr>
          <w:rFonts w:ascii="Calibri" w:hAnsi="Calibri" w:cs="Calibri"/>
        </w:rPr>
      </w:pPr>
      <w:r>
        <w:rPr>
          <w:rFonts w:ascii="Calibri" w:hAnsi="Calibri" w:cs="Calibri"/>
        </w:rPr>
        <w:t>This work was supported by</w:t>
      </w:r>
      <w:r w:rsidRPr="00B1283B">
        <w:rPr>
          <w:rFonts w:ascii="Calibri" w:hAnsi="Calibri" w:cs="Calibri"/>
        </w:rPr>
        <w:t xml:space="preserve"> the Spanish Ministry of Science and Innovation (fellowship RYC2021-033123-I and project PID2023-148727OA-I00). </w:t>
      </w:r>
    </w:p>
    <w:p w14:paraId="3778F6E7" w14:textId="77777777" w:rsidR="00920D34" w:rsidRDefault="00920D34" w:rsidP="00D027A0">
      <w:pPr>
        <w:widowControl/>
        <w:suppressAutoHyphens w:val="0"/>
        <w:spacing w:before="0" w:line="360" w:lineRule="auto"/>
        <w:jc w:val="left"/>
        <w:rPr>
          <w:rFonts w:ascii="Calibri" w:hAnsi="Calibri" w:cs="Calibri"/>
          <w:b/>
          <w:bCs/>
        </w:rPr>
      </w:pPr>
    </w:p>
    <w:p w14:paraId="26312FBF" w14:textId="77777777" w:rsidR="0069746B" w:rsidRDefault="0069746B" w:rsidP="0069746B">
      <w:pPr>
        <w:pStyle w:val="References"/>
        <w:spacing w:after="0" w:line="360" w:lineRule="auto"/>
        <w:ind w:left="0" w:firstLine="0"/>
        <w:rPr>
          <w:rFonts w:ascii="Calibri" w:hAnsi="Calibri" w:cs="Calibri"/>
          <w:b/>
          <w:bCs/>
          <w:lang w:val="en-GB"/>
        </w:rPr>
      </w:pPr>
      <w:r w:rsidRPr="00023328">
        <w:rPr>
          <w:rFonts w:ascii="Calibri" w:hAnsi="Calibri" w:cs="Calibri"/>
          <w:b/>
          <w:bCs/>
          <w:lang w:val="en-GB"/>
        </w:rPr>
        <w:t>Contributorship Statement</w:t>
      </w:r>
    </w:p>
    <w:p w14:paraId="480177B2" w14:textId="77777777" w:rsidR="0069746B" w:rsidRPr="00800D51" w:rsidRDefault="0069746B" w:rsidP="0069746B">
      <w:pPr>
        <w:pStyle w:val="References"/>
        <w:spacing w:after="0" w:line="360" w:lineRule="auto"/>
        <w:ind w:left="0" w:firstLine="0"/>
        <w:rPr>
          <w:rFonts w:ascii="Calibri" w:hAnsi="Calibri" w:cs="Calibri"/>
          <w:lang w:val="en-GB"/>
        </w:rPr>
      </w:pPr>
      <w:r w:rsidRPr="00800D51">
        <w:rPr>
          <w:rFonts w:ascii="Calibri" w:hAnsi="Calibri" w:cs="Calibri"/>
          <w:lang w:val="en-GB"/>
        </w:rPr>
        <w:t xml:space="preserve">CG conceptualized the study, conducted the </w:t>
      </w:r>
      <w:r w:rsidRPr="0004086A">
        <w:rPr>
          <w:rFonts w:ascii="Calibri" w:hAnsi="Calibri" w:cs="Calibri"/>
          <w:lang w:val="en-GB"/>
        </w:rPr>
        <w:t>analysis, and drafted the manuscript. As a guarantor, CG is responsible for the overall content. STL conceptualized the study, reviewed the manuscript, and provided critical comments. Both authors</w:t>
      </w:r>
      <w:r w:rsidRPr="00800D51">
        <w:rPr>
          <w:rFonts w:ascii="Calibri" w:hAnsi="Calibri" w:cs="Calibri"/>
          <w:lang w:val="en-GB"/>
        </w:rPr>
        <w:t xml:space="preserve"> approved the final version of the manuscript.  </w:t>
      </w:r>
    </w:p>
    <w:p w14:paraId="5C40F2A2" w14:textId="77777777" w:rsidR="00920D34" w:rsidRDefault="00920D34" w:rsidP="00D027A0">
      <w:pPr>
        <w:widowControl/>
        <w:suppressAutoHyphens w:val="0"/>
        <w:spacing w:before="0" w:line="360" w:lineRule="auto"/>
        <w:jc w:val="left"/>
        <w:rPr>
          <w:rFonts w:ascii="Calibri" w:hAnsi="Calibri" w:cs="Calibri"/>
          <w:b/>
          <w:bCs/>
        </w:rPr>
      </w:pPr>
    </w:p>
    <w:p w14:paraId="1897E8FE" w14:textId="77777777" w:rsidR="0069746B" w:rsidRDefault="0069746B" w:rsidP="0069746B">
      <w:pPr>
        <w:widowControl/>
        <w:suppressAutoHyphens w:val="0"/>
        <w:spacing w:before="0" w:line="360" w:lineRule="auto"/>
        <w:jc w:val="left"/>
        <w:rPr>
          <w:rFonts w:ascii="Calibri" w:hAnsi="Calibri" w:cs="Calibri"/>
          <w:b/>
          <w:bCs/>
        </w:rPr>
      </w:pPr>
      <w:r>
        <w:rPr>
          <w:rFonts w:ascii="Calibri" w:hAnsi="Calibri" w:cs="Calibri"/>
          <w:b/>
          <w:bCs/>
        </w:rPr>
        <w:t>Patient and Public Involvement</w:t>
      </w:r>
    </w:p>
    <w:p w14:paraId="16D20D40" w14:textId="77777777" w:rsidR="0069746B" w:rsidRPr="00277C23" w:rsidRDefault="0069746B" w:rsidP="0069746B">
      <w:pPr>
        <w:widowControl/>
        <w:suppressAutoHyphens w:val="0"/>
        <w:spacing w:before="0" w:line="360" w:lineRule="auto"/>
        <w:rPr>
          <w:rFonts w:ascii="Calibri" w:hAnsi="Calibri" w:cs="Calibri"/>
        </w:rPr>
      </w:pPr>
      <w:r w:rsidRPr="00277C23">
        <w:rPr>
          <w:rFonts w:ascii="Calibri" w:hAnsi="Calibri" w:cs="Calibri"/>
        </w:rPr>
        <w:t>This study used secondary data that is publicly available online (https://www.cdc.gov/nchs/data_access/vitalstatsonline.htm) and did not involve the recruitment of patients or members of the public. As a result, no patients or members of the public were directly involved in the design, conduct, reporting, or dissemination plans of this research.</w:t>
      </w:r>
    </w:p>
    <w:p w14:paraId="6EE5C21A" w14:textId="77777777" w:rsidR="00920D34" w:rsidRDefault="00920D34" w:rsidP="00D027A0">
      <w:pPr>
        <w:widowControl/>
        <w:suppressAutoHyphens w:val="0"/>
        <w:spacing w:before="0" w:line="360" w:lineRule="auto"/>
        <w:jc w:val="left"/>
        <w:rPr>
          <w:rFonts w:ascii="Calibri" w:hAnsi="Calibri" w:cs="Calibri"/>
          <w:b/>
          <w:bCs/>
        </w:rPr>
      </w:pPr>
    </w:p>
    <w:p w14:paraId="7040B97A" w14:textId="619C4725" w:rsidR="00D027A0" w:rsidRPr="00B1283B" w:rsidRDefault="00D027A0" w:rsidP="00D027A0">
      <w:pPr>
        <w:widowControl/>
        <w:suppressAutoHyphens w:val="0"/>
        <w:spacing w:before="0" w:line="360" w:lineRule="auto"/>
        <w:jc w:val="left"/>
        <w:rPr>
          <w:rFonts w:ascii="Calibri" w:hAnsi="Calibri" w:cs="Calibri"/>
          <w:b/>
          <w:bCs/>
        </w:rPr>
      </w:pPr>
      <w:r w:rsidRPr="00B1283B">
        <w:rPr>
          <w:rFonts w:ascii="Calibri" w:hAnsi="Calibri" w:cs="Calibri"/>
          <w:b/>
          <w:bCs/>
        </w:rPr>
        <w:t>Acknowledgement</w:t>
      </w:r>
    </w:p>
    <w:p w14:paraId="7E185DE6" w14:textId="77777777" w:rsidR="00D027A0" w:rsidRDefault="00D027A0" w:rsidP="00D027A0">
      <w:pPr>
        <w:spacing w:before="0" w:line="360" w:lineRule="auto"/>
        <w:rPr>
          <w:rFonts w:ascii="Calibri" w:hAnsi="Calibri" w:cs="Calibri"/>
        </w:rPr>
      </w:pPr>
      <w:r w:rsidRPr="00B1283B">
        <w:rPr>
          <w:rFonts w:ascii="Calibri" w:hAnsi="Calibri" w:cs="Calibri"/>
        </w:rPr>
        <w:t>We gratefully acknowledge Marie-Pier Bergeron Boucher for her insights and comments on the paper and participation in the initial version of this research as part of the EDSD program.</w:t>
      </w:r>
    </w:p>
    <w:p w14:paraId="7E86C938" w14:textId="32C5E17C" w:rsidR="00852AD6" w:rsidRDefault="00852AD6">
      <w:pPr>
        <w:widowControl/>
        <w:suppressAutoHyphens w:val="0"/>
        <w:spacing w:before="0" w:after="160" w:line="259" w:lineRule="auto"/>
        <w:jc w:val="left"/>
        <w:rPr>
          <w:b/>
          <w:bCs/>
        </w:rPr>
      </w:pPr>
      <w:r>
        <w:rPr>
          <w:b/>
          <w:bCs/>
        </w:rPr>
        <w:br w:type="page"/>
      </w:r>
    </w:p>
    <w:p w14:paraId="65B83019" w14:textId="2E6C9E27" w:rsidR="00AD4439" w:rsidRPr="002E1990" w:rsidRDefault="00AD4439" w:rsidP="004B0F14">
      <w:pPr>
        <w:spacing w:after="240" w:line="360" w:lineRule="auto"/>
        <w:rPr>
          <w:rFonts w:ascii="Calibri" w:hAnsi="Calibri" w:cs="Calibri"/>
          <w:b/>
          <w:bCs/>
        </w:rPr>
      </w:pPr>
      <w:r w:rsidRPr="002E1990">
        <w:rPr>
          <w:rFonts w:ascii="Calibri" w:hAnsi="Calibri" w:cs="Calibri"/>
          <w:b/>
          <w:bCs/>
        </w:rPr>
        <w:lastRenderedPageBreak/>
        <w:t>References</w:t>
      </w:r>
    </w:p>
    <w:p w14:paraId="50F4EF9B" w14:textId="77777777" w:rsidR="002528B8" w:rsidRPr="00F53083" w:rsidRDefault="00AD4439" w:rsidP="002528B8">
      <w:pPr>
        <w:pStyle w:val="Bibliography"/>
        <w:rPr>
          <w:rFonts w:ascii="Calibri" w:hAnsi="Calibri" w:cs="Calibri"/>
          <w:lang w:val="fr-FR"/>
        </w:rPr>
      </w:pPr>
      <w:r w:rsidRPr="002E1990">
        <w:rPr>
          <w:rFonts w:ascii="Calibri" w:hAnsi="Calibri" w:cs="Calibri"/>
        </w:rPr>
        <w:fldChar w:fldCharType="begin"/>
      </w:r>
      <w:r w:rsidR="006842DA" w:rsidRPr="002E1990">
        <w:rPr>
          <w:rFonts w:ascii="Calibri" w:hAnsi="Calibri" w:cs="Calibri"/>
        </w:rPr>
        <w:instrText xml:space="preserve"> ADDIN ZOTERO_BIBL {"uncited":[],"omitted":[],"custom":[]} CSL_BIBLIOGRAPHY </w:instrText>
      </w:r>
      <w:r w:rsidRPr="002E1990">
        <w:rPr>
          <w:rFonts w:ascii="Calibri" w:hAnsi="Calibri" w:cs="Calibri"/>
        </w:rPr>
        <w:fldChar w:fldCharType="separate"/>
      </w:r>
      <w:bookmarkStart w:id="9" w:name="_Hlk141894398"/>
      <w:r w:rsidR="002528B8" w:rsidRPr="002528B8">
        <w:rPr>
          <w:rFonts w:ascii="Calibri" w:hAnsi="Calibri" w:cs="Calibri"/>
        </w:rPr>
        <w:t xml:space="preserve">[1] </w:t>
      </w:r>
      <w:r w:rsidR="002528B8" w:rsidRPr="002528B8">
        <w:rPr>
          <w:rFonts w:ascii="Calibri" w:hAnsi="Calibri" w:cs="Calibri"/>
        </w:rPr>
        <w:tab/>
        <w:t xml:space="preserve">CDC. Suicide Data and Statistics. </w:t>
      </w:r>
      <w:r w:rsidR="002528B8" w:rsidRPr="00F53083">
        <w:rPr>
          <w:rFonts w:ascii="Calibri" w:hAnsi="Calibri" w:cs="Calibri"/>
          <w:i/>
          <w:iCs/>
          <w:lang w:val="fr-FR"/>
        </w:rPr>
        <w:t>Suicide Prevention</w:t>
      </w:r>
      <w:r w:rsidR="002528B8" w:rsidRPr="00F53083">
        <w:rPr>
          <w:rFonts w:ascii="Calibri" w:hAnsi="Calibri" w:cs="Calibri"/>
          <w:lang w:val="fr-FR"/>
        </w:rPr>
        <w:t>, https://www.cdc.gov/suicide/facts/data.html (2024, accessed 15 October 2024).</w:t>
      </w:r>
    </w:p>
    <w:p w14:paraId="5F98F1A3" w14:textId="77777777" w:rsidR="002528B8" w:rsidRPr="002528B8" w:rsidRDefault="002528B8" w:rsidP="002528B8">
      <w:pPr>
        <w:pStyle w:val="Bibliography"/>
        <w:rPr>
          <w:rFonts w:ascii="Calibri" w:hAnsi="Calibri" w:cs="Calibri"/>
        </w:rPr>
      </w:pPr>
      <w:r w:rsidRPr="00F53083">
        <w:rPr>
          <w:rFonts w:ascii="Calibri" w:hAnsi="Calibri" w:cs="Calibri"/>
          <w:lang w:val="fr-FR"/>
        </w:rPr>
        <w:t xml:space="preserve">[2] </w:t>
      </w:r>
      <w:r w:rsidRPr="00F53083">
        <w:rPr>
          <w:rFonts w:ascii="Calibri" w:hAnsi="Calibri" w:cs="Calibri"/>
          <w:lang w:val="fr-FR"/>
        </w:rPr>
        <w:tab/>
        <w:t xml:space="preserve">Martínez-Alés G, Jiang T, Keyes KM, et al. </w:t>
      </w:r>
      <w:r w:rsidRPr="002528B8">
        <w:rPr>
          <w:rFonts w:ascii="Calibri" w:hAnsi="Calibri" w:cs="Calibri"/>
        </w:rPr>
        <w:t xml:space="preserve">The Recent Rise of Suicide Mortality in the United States. </w:t>
      </w:r>
      <w:r w:rsidRPr="002528B8">
        <w:rPr>
          <w:rFonts w:ascii="Calibri" w:hAnsi="Calibri" w:cs="Calibri"/>
          <w:i/>
          <w:iCs/>
        </w:rPr>
        <w:t>Annual Review of Public Health</w:t>
      </w:r>
      <w:r w:rsidRPr="002528B8">
        <w:rPr>
          <w:rFonts w:ascii="Calibri" w:hAnsi="Calibri" w:cs="Calibri"/>
        </w:rPr>
        <w:t xml:space="preserve"> 2022; 43: 99–116.</w:t>
      </w:r>
    </w:p>
    <w:p w14:paraId="097ADC60" w14:textId="77777777" w:rsidR="002528B8" w:rsidRPr="002528B8" w:rsidRDefault="002528B8" w:rsidP="002528B8">
      <w:pPr>
        <w:pStyle w:val="Bibliography"/>
        <w:rPr>
          <w:rFonts w:ascii="Calibri" w:hAnsi="Calibri" w:cs="Calibri"/>
        </w:rPr>
      </w:pPr>
      <w:r w:rsidRPr="002528B8">
        <w:rPr>
          <w:rFonts w:ascii="Calibri" w:hAnsi="Calibri" w:cs="Calibri"/>
        </w:rPr>
        <w:t xml:space="preserve">[3] </w:t>
      </w:r>
      <w:r w:rsidRPr="002528B8">
        <w:rPr>
          <w:rFonts w:ascii="Calibri" w:hAnsi="Calibri" w:cs="Calibri"/>
        </w:rPr>
        <w:tab/>
        <w:t xml:space="preserve">Naghavi M. Global, regional, and national burden of suicide mortality 1990 to 2016: systematic analysis for the Global Burden of Disease Study 2016. </w:t>
      </w:r>
      <w:r w:rsidRPr="002528B8">
        <w:rPr>
          <w:rFonts w:ascii="Calibri" w:hAnsi="Calibri" w:cs="Calibri"/>
          <w:i/>
          <w:iCs/>
        </w:rPr>
        <w:t>BMJ</w:t>
      </w:r>
      <w:r w:rsidRPr="002528B8">
        <w:rPr>
          <w:rFonts w:ascii="Calibri" w:hAnsi="Calibri" w:cs="Calibri"/>
        </w:rPr>
        <w:t xml:space="preserve"> 2019; l94.</w:t>
      </w:r>
    </w:p>
    <w:p w14:paraId="49650067" w14:textId="77777777" w:rsidR="002528B8" w:rsidRPr="002528B8" w:rsidRDefault="002528B8" w:rsidP="002528B8">
      <w:pPr>
        <w:pStyle w:val="Bibliography"/>
        <w:rPr>
          <w:rFonts w:ascii="Calibri" w:hAnsi="Calibri" w:cs="Calibri"/>
        </w:rPr>
      </w:pPr>
      <w:r w:rsidRPr="002528B8">
        <w:rPr>
          <w:rFonts w:ascii="Calibri" w:hAnsi="Calibri" w:cs="Calibri"/>
        </w:rPr>
        <w:t xml:space="preserve">[4] </w:t>
      </w:r>
      <w:r w:rsidRPr="002528B8">
        <w:rPr>
          <w:rFonts w:ascii="Calibri" w:hAnsi="Calibri" w:cs="Calibri"/>
        </w:rPr>
        <w:tab/>
        <w:t xml:space="preserve">Bakst SS, Braun T, Zucker I, et al. The accuracy of suicide statistics: are true suicide deaths misclassified? </w:t>
      </w:r>
      <w:r w:rsidRPr="002528B8">
        <w:rPr>
          <w:rFonts w:ascii="Calibri" w:hAnsi="Calibri" w:cs="Calibri"/>
          <w:i/>
          <w:iCs/>
        </w:rPr>
        <w:t>Soc Psychiatry Psychiatr Epidemiol</w:t>
      </w:r>
      <w:r w:rsidRPr="002528B8">
        <w:rPr>
          <w:rFonts w:ascii="Calibri" w:hAnsi="Calibri" w:cs="Calibri"/>
        </w:rPr>
        <w:t xml:space="preserve"> 2016; 51: 115–123.</w:t>
      </w:r>
    </w:p>
    <w:p w14:paraId="42CD4BBB" w14:textId="77777777" w:rsidR="002528B8" w:rsidRPr="002528B8" w:rsidRDefault="002528B8" w:rsidP="002528B8">
      <w:pPr>
        <w:pStyle w:val="Bibliography"/>
        <w:rPr>
          <w:rFonts w:ascii="Calibri" w:hAnsi="Calibri" w:cs="Calibri"/>
        </w:rPr>
      </w:pPr>
      <w:r w:rsidRPr="002528B8">
        <w:rPr>
          <w:rFonts w:ascii="Calibri" w:hAnsi="Calibri" w:cs="Calibri"/>
        </w:rPr>
        <w:t xml:space="preserve">[5] </w:t>
      </w:r>
      <w:r w:rsidRPr="002528B8">
        <w:rPr>
          <w:rFonts w:ascii="Calibri" w:hAnsi="Calibri" w:cs="Calibri"/>
        </w:rPr>
        <w:tab/>
        <w:t xml:space="preserve">Rockett IRH, Thomas BM. Reliability and sensitivity of suicide certification in higher-income countries. </w:t>
      </w:r>
      <w:r w:rsidRPr="002528B8">
        <w:rPr>
          <w:rFonts w:ascii="Calibri" w:hAnsi="Calibri" w:cs="Calibri"/>
          <w:i/>
          <w:iCs/>
        </w:rPr>
        <w:t>Suicide Life Threat Behav</w:t>
      </w:r>
      <w:r w:rsidRPr="002528B8">
        <w:rPr>
          <w:rFonts w:ascii="Calibri" w:hAnsi="Calibri" w:cs="Calibri"/>
        </w:rPr>
        <w:t xml:space="preserve"> 1999; 29: 141–149.</w:t>
      </w:r>
    </w:p>
    <w:p w14:paraId="58DF1661" w14:textId="77777777" w:rsidR="002528B8" w:rsidRPr="002528B8" w:rsidRDefault="002528B8" w:rsidP="002528B8">
      <w:pPr>
        <w:pStyle w:val="Bibliography"/>
        <w:rPr>
          <w:rFonts w:ascii="Calibri" w:hAnsi="Calibri" w:cs="Calibri"/>
        </w:rPr>
      </w:pPr>
      <w:r w:rsidRPr="002528B8">
        <w:rPr>
          <w:rFonts w:ascii="Calibri" w:hAnsi="Calibri" w:cs="Calibri"/>
        </w:rPr>
        <w:t xml:space="preserve">[6] </w:t>
      </w:r>
      <w:r w:rsidRPr="002528B8">
        <w:rPr>
          <w:rFonts w:ascii="Calibri" w:hAnsi="Calibri" w:cs="Calibri"/>
        </w:rPr>
        <w:tab/>
        <w:t xml:space="preserve">Han B, Kott PS, Hughes A, et al. Estimating the rates of deaths by suicide among adults who attempt suicide in the United States. </w:t>
      </w:r>
      <w:r w:rsidRPr="002528B8">
        <w:rPr>
          <w:rFonts w:ascii="Calibri" w:hAnsi="Calibri" w:cs="Calibri"/>
          <w:i/>
          <w:iCs/>
        </w:rPr>
        <w:t>Journal of Psychiatric Research</w:t>
      </w:r>
      <w:r w:rsidRPr="002528B8">
        <w:rPr>
          <w:rFonts w:ascii="Calibri" w:hAnsi="Calibri" w:cs="Calibri"/>
        </w:rPr>
        <w:t xml:space="preserve"> 2016; 77: 125–133.</w:t>
      </w:r>
    </w:p>
    <w:p w14:paraId="016A7217" w14:textId="77777777" w:rsidR="002528B8" w:rsidRPr="002528B8" w:rsidRDefault="002528B8" w:rsidP="002528B8">
      <w:pPr>
        <w:pStyle w:val="Bibliography"/>
        <w:rPr>
          <w:rFonts w:ascii="Calibri" w:hAnsi="Calibri" w:cs="Calibri"/>
        </w:rPr>
      </w:pPr>
      <w:r w:rsidRPr="002528B8">
        <w:rPr>
          <w:rFonts w:ascii="Calibri" w:hAnsi="Calibri" w:cs="Calibri"/>
        </w:rPr>
        <w:t xml:space="preserve">[7] </w:t>
      </w:r>
      <w:r w:rsidRPr="002528B8">
        <w:rPr>
          <w:rFonts w:ascii="Calibri" w:hAnsi="Calibri" w:cs="Calibri"/>
        </w:rPr>
        <w:tab/>
        <w:t xml:space="preserve">Phillips JA, Hempstead K. Differences in U.S. Suicide Rates by Educational Attainment, 2000–2014. </w:t>
      </w:r>
      <w:r w:rsidRPr="002528B8">
        <w:rPr>
          <w:rFonts w:ascii="Calibri" w:hAnsi="Calibri" w:cs="Calibri"/>
          <w:i/>
          <w:iCs/>
        </w:rPr>
        <w:t>American Journal of Preventive Medicine</w:t>
      </w:r>
      <w:r w:rsidRPr="002528B8">
        <w:rPr>
          <w:rFonts w:ascii="Calibri" w:hAnsi="Calibri" w:cs="Calibri"/>
        </w:rPr>
        <w:t xml:space="preserve"> 2017; 53: e123–e130.</w:t>
      </w:r>
    </w:p>
    <w:p w14:paraId="6BA79094" w14:textId="77777777" w:rsidR="002528B8" w:rsidRPr="002528B8" w:rsidRDefault="002528B8" w:rsidP="002528B8">
      <w:pPr>
        <w:pStyle w:val="Bibliography"/>
        <w:rPr>
          <w:rFonts w:ascii="Calibri" w:hAnsi="Calibri" w:cs="Calibri"/>
        </w:rPr>
      </w:pPr>
      <w:r w:rsidRPr="002528B8">
        <w:rPr>
          <w:rFonts w:ascii="Calibri" w:hAnsi="Calibri" w:cs="Calibri"/>
        </w:rPr>
        <w:t xml:space="preserve">[8] </w:t>
      </w:r>
      <w:r w:rsidRPr="002528B8">
        <w:rPr>
          <w:rFonts w:ascii="Calibri" w:hAnsi="Calibri" w:cs="Calibri"/>
        </w:rPr>
        <w:tab/>
        <w:t xml:space="preserve">Kapusta ND. Declining Autopsy Rates and Suicide Misclassification: A Cross-national Analysis of 35 Countries. </w:t>
      </w:r>
      <w:r w:rsidRPr="002528B8">
        <w:rPr>
          <w:rFonts w:ascii="Calibri" w:hAnsi="Calibri" w:cs="Calibri"/>
          <w:i/>
          <w:iCs/>
        </w:rPr>
        <w:t>Arch Gen Psychiatry</w:t>
      </w:r>
      <w:r w:rsidRPr="002528B8">
        <w:rPr>
          <w:rFonts w:ascii="Calibri" w:hAnsi="Calibri" w:cs="Calibri"/>
        </w:rPr>
        <w:t xml:space="preserve"> 2011; 68: 1050.</w:t>
      </w:r>
    </w:p>
    <w:p w14:paraId="16626EC3" w14:textId="77777777" w:rsidR="002528B8" w:rsidRPr="002528B8" w:rsidRDefault="002528B8" w:rsidP="002528B8">
      <w:pPr>
        <w:pStyle w:val="Bibliography"/>
        <w:rPr>
          <w:rFonts w:ascii="Calibri" w:hAnsi="Calibri" w:cs="Calibri"/>
        </w:rPr>
      </w:pPr>
      <w:r w:rsidRPr="002528B8">
        <w:rPr>
          <w:rFonts w:ascii="Calibri" w:hAnsi="Calibri" w:cs="Calibri"/>
        </w:rPr>
        <w:t xml:space="preserve">[9] </w:t>
      </w:r>
      <w:r w:rsidRPr="002528B8">
        <w:rPr>
          <w:rFonts w:ascii="Calibri" w:hAnsi="Calibri" w:cs="Calibri"/>
        </w:rPr>
        <w:tab/>
        <w:t xml:space="preserve">Rosenberg ML, Davidson LE, Smith JC, et al. Operational criteria for the determination of suicide. </w:t>
      </w:r>
      <w:r w:rsidRPr="002528B8">
        <w:rPr>
          <w:rFonts w:ascii="Calibri" w:hAnsi="Calibri" w:cs="Calibri"/>
          <w:i/>
          <w:iCs/>
        </w:rPr>
        <w:t>J Forensic Sci</w:t>
      </w:r>
      <w:r w:rsidRPr="002528B8">
        <w:rPr>
          <w:rFonts w:ascii="Calibri" w:hAnsi="Calibri" w:cs="Calibri"/>
        </w:rPr>
        <w:t xml:space="preserve"> 1988; 33: 1445–1456.</w:t>
      </w:r>
    </w:p>
    <w:p w14:paraId="593FEA8E" w14:textId="77777777" w:rsidR="002528B8" w:rsidRPr="002528B8" w:rsidRDefault="002528B8" w:rsidP="002528B8">
      <w:pPr>
        <w:pStyle w:val="Bibliography"/>
        <w:rPr>
          <w:rFonts w:ascii="Calibri" w:hAnsi="Calibri" w:cs="Calibri"/>
        </w:rPr>
      </w:pPr>
      <w:r w:rsidRPr="002528B8">
        <w:rPr>
          <w:rFonts w:ascii="Calibri" w:hAnsi="Calibri" w:cs="Calibri"/>
        </w:rPr>
        <w:t xml:space="preserve">[10] </w:t>
      </w:r>
      <w:r w:rsidRPr="002528B8">
        <w:rPr>
          <w:rFonts w:ascii="Calibri" w:hAnsi="Calibri" w:cs="Calibri"/>
        </w:rPr>
        <w:tab/>
        <w:t xml:space="preserve">Linsley KR, Schapira K, Kelly TP. Open verdict v. suicide – importance to research. </w:t>
      </w:r>
      <w:r w:rsidRPr="002528B8">
        <w:rPr>
          <w:rFonts w:ascii="Calibri" w:hAnsi="Calibri" w:cs="Calibri"/>
          <w:i/>
          <w:iCs/>
        </w:rPr>
        <w:t>Br J Psychiatry</w:t>
      </w:r>
      <w:r w:rsidRPr="002528B8">
        <w:rPr>
          <w:rFonts w:ascii="Calibri" w:hAnsi="Calibri" w:cs="Calibri"/>
        </w:rPr>
        <w:t xml:space="preserve"> 2001; 178: 465–468.</w:t>
      </w:r>
    </w:p>
    <w:p w14:paraId="041640E0" w14:textId="77777777" w:rsidR="002528B8" w:rsidRPr="002528B8" w:rsidRDefault="002528B8" w:rsidP="002528B8">
      <w:pPr>
        <w:pStyle w:val="Bibliography"/>
        <w:rPr>
          <w:rFonts w:ascii="Calibri" w:hAnsi="Calibri" w:cs="Calibri"/>
        </w:rPr>
      </w:pPr>
      <w:r w:rsidRPr="002528B8">
        <w:rPr>
          <w:rFonts w:ascii="Calibri" w:hAnsi="Calibri" w:cs="Calibri"/>
        </w:rPr>
        <w:t xml:space="preserve">[11] </w:t>
      </w:r>
      <w:r w:rsidRPr="002528B8">
        <w:rPr>
          <w:rFonts w:ascii="Calibri" w:hAnsi="Calibri" w:cs="Calibri"/>
        </w:rPr>
        <w:tab/>
        <w:t xml:space="preserve">Rockett IRH, Kapusta N, Bhandari R. Suicide Misclassification in an International Context: Revisitation and Update. </w:t>
      </w:r>
      <w:r w:rsidRPr="002528B8">
        <w:rPr>
          <w:rFonts w:ascii="Calibri" w:hAnsi="Calibri" w:cs="Calibri"/>
          <w:i/>
          <w:iCs/>
        </w:rPr>
        <w:t>Suicidology Online</w:t>
      </w:r>
      <w:r w:rsidRPr="002528B8">
        <w:rPr>
          <w:rFonts w:ascii="Calibri" w:hAnsi="Calibri" w:cs="Calibri"/>
        </w:rPr>
        <w:t xml:space="preserve"> 2011; 2: 48–61.</w:t>
      </w:r>
    </w:p>
    <w:p w14:paraId="64C38B71" w14:textId="77777777" w:rsidR="002528B8" w:rsidRPr="00F53083" w:rsidRDefault="002528B8" w:rsidP="002528B8">
      <w:pPr>
        <w:pStyle w:val="Bibliography"/>
        <w:rPr>
          <w:rFonts w:ascii="Calibri" w:hAnsi="Calibri" w:cs="Calibri"/>
          <w:lang w:val="fr-FR"/>
        </w:rPr>
      </w:pPr>
      <w:r w:rsidRPr="002528B8">
        <w:rPr>
          <w:rFonts w:ascii="Calibri" w:hAnsi="Calibri" w:cs="Calibri"/>
        </w:rPr>
        <w:t xml:space="preserve">[12] </w:t>
      </w:r>
      <w:r w:rsidRPr="002528B8">
        <w:rPr>
          <w:rFonts w:ascii="Calibri" w:hAnsi="Calibri" w:cs="Calibri"/>
        </w:rPr>
        <w:tab/>
        <w:t xml:space="preserve">Rockett IRH, Kapusta ND, Coben JH. Beyond Suicide: Action Needed to Improve Self-injury Mortality Accounting. </w:t>
      </w:r>
      <w:r w:rsidRPr="00F53083">
        <w:rPr>
          <w:rFonts w:ascii="Calibri" w:hAnsi="Calibri" w:cs="Calibri"/>
          <w:i/>
          <w:iCs/>
          <w:lang w:val="fr-FR"/>
        </w:rPr>
        <w:t>JAMA Psychiatry</w:t>
      </w:r>
      <w:r w:rsidRPr="00F53083">
        <w:rPr>
          <w:rFonts w:ascii="Calibri" w:hAnsi="Calibri" w:cs="Calibri"/>
          <w:lang w:val="fr-FR"/>
        </w:rPr>
        <w:t xml:space="preserve"> 2014; 71: 231.</w:t>
      </w:r>
    </w:p>
    <w:p w14:paraId="3CC9657D" w14:textId="77777777" w:rsidR="002528B8" w:rsidRPr="002528B8" w:rsidRDefault="002528B8" w:rsidP="002528B8">
      <w:pPr>
        <w:pStyle w:val="Bibliography"/>
        <w:rPr>
          <w:rFonts w:ascii="Calibri" w:hAnsi="Calibri" w:cs="Calibri"/>
        </w:rPr>
      </w:pPr>
      <w:r w:rsidRPr="00F53083">
        <w:rPr>
          <w:rFonts w:ascii="Calibri" w:hAnsi="Calibri" w:cs="Calibri"/>
          <w:lang w:val="fr-FR"/>
        </w:rPr>
        <w:t xml:space="preserve">[13] </w:t>
      </w:r>
      <w:r w:rsidRPr="00F53083">
        <w:rPr>
          <w:rFonts w:ascii="Calibri" w:hAnsi="Calibri" w:cs="Calibri"/>
          <w:lang w:val="fr-FR"/>
        </w:rPr>
        <w:tab/>
        <w:t xml:space="preserve">Gili M, Castellví P, Vives M, et al. </w:t>
      </w:r>
      <w:r w:rsidRPr="002528B8">
        <w:rPr>
          <w:rFonts w:ascii="Calibri" w:hAnsi="Calibri" w:cs="Calibri"/>
        </w:rPr>
        <w:t xml:space="preserve">Mental disorders as risk factors for suicidal behavior in young people: A meta-analysis and systematic review of longitudinal studies. </w:t>
      </w:r>
      <w:r w:rsidRPr="002528B8">
        <w:rPr>
          <w:rFonts w:ascii="Calibri" w:hAnsi="Calibri" w:cs="Calibri"/>
          <w:i/>
          <w:iCs/>
        </w:rPr>
        <w:t>Journal of Affective Disorders</w:t>
      </w:r>
      <w:r w:rsidRPr="002528B8">
        <w:rPr>
          <w:rFonts w:ascii="Calibri" w:hAnsi="Calibri" w:cs="Calibri"/>
        </w:rPr>
        <w:t xml:space="preserve"> 2019; 245: 152–162.</w:t>
      </w:r>
    </w:p>
    <w:p w14:paraId="1547346B" w14:textId="77777777" w:rsidR="002528B8" w:rsidRPr="002528B8" w:rsidRDefault="002528B8" w:rsidP="002528B8">
      <w:pPr>
        <w:pStyle w:val="Bibliography"/>
        <w:rPr>
          <w:rFonts w:ascii="Calibri" w:hAnsi="Calibri" w:cs="Calibri"/>
        </w:rPr>
      </w:pPr>
      <w:r w:rsidRPr="002528B8">
        <w:rPr>
          <w:rFonts w:ascii="Calibri" w:hAnsi="Calibri" w:cs="Calibri"/>
        </w:rPr>
        <w:t xml:space="preserve">[14] </w:t>
      </w:r>
      <w:r w:rsidRPr="002528B8">
        <w:rPr>
          <w:rFonts w:ascii="Calibri" w:hAnsi="Calibri" w:cs="Calibri"/>
        </w:rPr>
        <w:tab/>
        <w:t xml:space="preserve">Hawton K, Houston K, Haw C, et al. Comorbidity of Axis I and Axis II Disorders in Patients Who Attempted Suicide. </w:t>
      </w:r>
      <w:r w:rsidRPr="002528B8">
        <w:rPr>
          <w:rFonts w:ascii="Calibri" w:hAnsi="Calibri" w:cs="Calibri"/>
          <w:i/>
          <w:iCs/>
        </w:rPr>
        <w:t>AJP</w:t>
      </w:r>
      <w:r w:rsidRPr="002528B8">
        <w:rPr>
          <w:rFonts w:ascii="Calibri" w:hAnsi="Calibri" w:cs="Calibri"/>
        </w:rPr>
        <w:t xml:space="preserve"> 2003; 160: 1494–1500.</w:t>
      </w:r>
    </w:p>
    <w:p w14:paraId="67B2B5B3" w14:textId="77777777" w:rsidR="002528B8" w:rsidRPr="002528B8" w:rsidRDefault="002528B8" w:rsidP="002528B8">
      <w:pPr>
        <w:pStyle w:val="Bibliography"/>
        <w:rPr>
          <w:rFonts w:ascii="Calibri" w:hAnsi="Calibri" w:cs="Calibri"/>
        </w:rPr>
      </w:pPr>
      <w:r w:rsidRPr="002528B8">
        <w:rPr>
          <w:rFonts w:ascii="Calibri" w:hAnsi="Calibri" w:cs="Calibri"/>
        </w:rPr>
        <w:t xml:space="preserve">[15] </w:t>
      </w:r>
      <w:r w:rsidRPr="002528B8">
        <w:rPr>
          <w:rFonts w:ascii="Calibri" w:hAnsi="Calibri" w:cs="Calibri"/>
        </w:rPr>
        <w:tab/>
        <w:t xml:space="preserve">Pompili M. Psychiatric comorbidity and suicide risk in patients with chronic migraine. </w:t>
      </w:r>
      <w:r w:rsidRPr="002528B8">
        <w:rPr>
          <w:rFonts w:ascii="Calibri" w:hAnsi="Calibri" w:cs="Calibri"/>
          <w:i/>
          <w:iCs/>
        </w:rPr>
        <w:t>NDT</w:t>
      </w:r>
      <w:r w:rsidRPr="002528B8">
        <w:rPr>
          <w:rFonts w:ascii="Calibri" w:hAnsi="Calibri" w:cs="Calibri"/>
        </w:rPr>
        <w:t xml:space="preserve"> 2010; 81.</w:t>
      </w:r>
    </w:p>
    <w:p w14:paraId="4DF18325" w14:textId="77777777" w:rsidR="002528B8" w:rsidRPr="002528B8" w:rsidRDefault="002528B8" w:rsidP="002528B8">
      <w:pPr>
        <w:pStyle w:val="Bibliography"/>
        <w:rPr>
          <w:rFonts w:ascii="Calibri" w:hAnsi="Calibri" w:cs="Calibri"/>
        </w:rPr>
      </w:pPr>
      <w:r w:rsidRPr="002528B8">
        <w:rPr>
          <w:rFonts w:ascii="Calibri" w:hAnsi="Calibri" w:cs="Calibri"/>
        </w:rPr>
        <w:lastRenderedPageBreak/>
        <w:t xml:space="preserve">[16] </w:t>
      </w:r>
      <w:r w:rsidRPr="002528B8">
        <w:rPr>
          <w:rFonts w:ascii="Calibri" w:hAnsi="Calibri" w:cs="Calibri"/>
        </w:rPr>
        <w:tab/>
        <w:t xml:space="preserve">Ruzicka LT, Choi CY, Sadkowsky K. Medical disorders of suicides in Australia: analysis using a multiple-cause-of-death approach. </w:t>
      </w:r>
      <w:r w:rsidRPr="002528B8">
        <w:rPr>
          <w:rFonts w:ascii="Calibri" w:hAnsi="Calibri" w:cs="Calibri"/>
          <w:i/>
          <w:iCs/>
        </w:rPr>
        <w:t>Social Science &amp; Medicine</w:t>
      </w:r>
      <w:r w:rsidRPr="002528B8">
        <w:rPr>
          <w:rFonts w:ascii="Calibri" w:hAnsi="Calibri" w:cs="Calibri"/>
        </w:rPr>
        <w:t xml:space="preserve"> 2005; 61: 333–341.</w:t>
      </w:r>
    </w:p>
    <w:p w14:paraId="45410A97" w14:textId="77777777" w:rsidR="002528B8" w:rsidRPr="002528B8" w:rsidRDefault="002528B8" w:rsidP="002528B8">
      <w:pPr>
        <w:pStyle w:val="Bibliography"/>
        <w:rPr>
          <w:rFonts w:ascii="Calibri" w:hAnsi="Calibri" w:cs="Calibri"/>
        </w:rPr>
      </w:pPr>
      <w:r w:rsidRPr="002528B8">
        <w:rPr>
          <w:rFonts w:ascii="Calibri" w:hAnsi="Calibri" w:cs="Calibri"/>
        </w:rPr>
        <w:t xml:space="preserve">[17] </w:t>
      </w:r>
      <w:r w:rsidRPr="002528B8">
        <w:rPr>
          <w:rFonts w:ascii="Calibri" w:hAnsi="Calibri" w:cs="Calibri"/>
        </w:rPr>
        <w:tab/>
        <w:t xml:space="preserve">Rockett IRH, Wang S, Lian Y, et al. Suicide-associated comorbidity among US males and females: a multiple cause-of-death analysis. </w:t>
      </w:r>
      <w:r w:rsidRPr="002528B8">
        <w:rPr>
          <w:rFonts w:ascii="Calibri" w:hAnsi="Calibri" w:cs="Calibri"/>
          <w:i/>
          <w:iCs/>
        </w:rPr>
        <w:t>Injury Prevention</w:t>
      </w:r>
      <w:r w:rsidRPr="002528B8">
        <w:rPr>
          <w:rFonts w:ascii="Calibri" w:hAnsi="Calibri" w:cs="Calibri"/>
        </w:rPr>
        <w:t xml:space="preserve"> 2007; 13: 311–315.</w:t>
      </w:r>
    </w:p>
    <w:p w14:paraId="6B402F20" w14:textId="77777777" w:rsidR="002528B8" w:rsidRPr="00F53083" w:rsidRDefault="002528B8" w:rsidP="002528B8">
      <w:pPr>
        <w:pStyle w:val="Bibliography"/>
        <w:rPr>
          <w:rFonts w:ascii="Calibri" w:hAnsi="Calibri" w:cs="Calibri"/>
          <w:lang w:val="fr-FR"/>
        </w:rPr>
      </w:pPr>
      <w:r w:rsidRPr="002528B8">
        <w:rPr>
          <w:rFonts w:ascii="Calibri" w:hAnsi="Calibri" w:cs="Calibri"/>
        </w:rPr>
        <w:t xml:space="preserve">[18] </w:t>
      </w:r>
      <w:r w:rsidRPr="002528B8">
        <w:rPr>
          <w:rFonts w:ascii="Calibri" w:hAnsi="Calibri" w:cs="Calibri"/>
        </w:rPr>
        <w:tab/>
        <w:t xml:space="preserve">Rockett IRH, Lian Y, Stack S, et al. Discrepant comorbidity between minority and white suicides: a national multiple cause-of-death analysis. </w:t>
      </w:r>
      <w:r w:rsidRPr="00F53083">
        <w:rPr>
          <w:rFonts w:ascii="Calibri" w:hAnsi="Calibri" w:cs="Calibri"/>
          <w:i/>
          <w:iCs/>
          <w:lang w:val="fr-FR"/>
        </w:rPr>
        <w:t>BMC Psychiatry</w:t>
      </w:r>
      <w:r w:rsidRPr="00F53083">
        <w:rPr>
          <w:rFonts w:ascii="Calibri" w:hAnsi="Calibri" w:cs="Calibri"/>
          <w:lang w:val="fr-FR"/>
        </w:rPr>
        <w:t xml:space="preserve"> 2009; 9: 10.</w:t>
      </w:r>
    </w:p>
    <w:p w14:paraId="185CCA86" w14:textId="77777777" w:rsidR="002528B8" w:rsidRPr="002528B8" w:rsidRDefault="002528B8" w:rsidP="002528B8">
      <w:pPr>
        <w:pStyle w:val="Bibliography"/>
        <w:rPr>
          <w:rFonts w:ascii="Calibri" w:hAnsi="Calibri" w:cs="Calibri"/>
        </w:rPr>
      </w:pPr>
      <w:r w:rsidRPr="00F53083">
        <w:rPr>
          <w:rFonts w:ascii="Calibri" w:hAnsi="Calibri" w:cs="Calibri"/>
          <w:lang w:val="fr-FR"/>
        </w:rPr>
        <w:t xml:space="preserve">[19] </w:t>
      </w:r>
      <w:r w:rsidRPr="00F53083">
        <w:rPr>
          <w:rFonts w:ascii="Calibri" w:hAnsi="Calibri" w:cs="Calibri"/>
          <w:lang w:val="fr-FR"/>
        </w:rPr>
        <w:tab/>
        <w:t xml:space="preserve">Okonkwo NE, Aguwa UT, Jang M, et al. </w:t>
      </w:r>
      <w:r w:rsidRPr="002528B8">
        <w:rPr>
          <w:rFonts w:ascii="Calibri" w:hAnsi="Calibri" w:cs="Calibri"/>
        </w:rPr>
        <w:t xml:space="preserve">COVID-19 and the US response: accelerating health inequities. </w:t>
      </w:r>
      <w:r w:rsidRPr="002528B8">
        <w:rPr>
          <w:rFonts w:ascii="Calibri" w:hAnsi="Calibri" w:cs="Calibri"/>
          <w:i/>
          <w:iCs/>
        </w:rPr>
        <w:t>BMJ Evidence-Based Medicine</w:t>
      </w:r>
      <w:r w:rsidRPr="002528B8">
        <w:rPr>
          <w:rFonts w:ascii="Calibri" w:hAnsi="Calibri" w:cs="Calibri"/>
        </w:rPr>
        <w:t xml:space="preserve"> 2021; 26: 176–179.</w:t>
      </w:r>
    </w:p>
    <w:p w14:paraId="3AD23FBC" w14:textId="77777777" w:rsidR="002528B8" w:rsidRPr="002528B8" w:rsidRDefault="002528B8" w:rsidP="002528B8">
      <w:pPr>
        <w:pStyle w:val="Bibliography"/>
        <w:rPr>
          <w:rFonts w:ascii="Calibri" w:hAnsi="Calibri" w:cs="Calibri"/>
        </w:rPr>
      </w:pPr>
      <w:r w:rsidRPr="002528B8">
        <w:rPr>
          <w:rFonts w:ascii="Calibri" w:hAnsi="Calibri" w:cs="Calibri"/>
        </w:rPr>
        <w:t xml:space="preserve">[20] </w:t>
      </w:r>
      <w:r w:rsidRPr="002528B8">
        <w:rPr>
          <w:rFonts w:ascii="Calibri" w:hAnsi="Calibri" w:cs="Calibri"/>
        </w:rPr>
        <w:tab/>
        <w:t xml:space="preserve">Crepeau-Hobson F. The Psychological Autopsy and Determination of Child Suicides: A Survey of Medical Examiners. </w:t>
      </w:r>
      <w:r w:rsidRPr="002528B8">
        <w:rPr>
          <w:rFonts w:ascii="Calibri" w:hAnsi="Calibri" w:cs="Calibri"/>
          <w:i/>
          <w:iCs/>
        </w:rPr>
        <w:t>Archives of Suicide Research</w:t>
      </w:r>
      <w:r w:rsidRPr="002528B8">
        <w:rPr>
          <w:rFonts w:ascii="Calibri" w:hAnsi="Calibri" w:cs="Calibri"/>
        </w:rPr>
        <w:t xml:space="preserve"> 2010; 14: 24–34.</w:t>
      </w:r>
    </w:p>
    <w:p w14:paraId="2EE3ECF5" w14:textId="77777777" w:rsidR="002528B8" w:rsidRPr="002528B8" w:rsidRDefault="002528B8" w:rsidP="002528B8">
      <w:pPr>
        <w:pStyle w:val="Bibliography"/>
        <w:rPr>
          <w:rFonts w:ascii="Calibri" w:hAnsi="Calibri" w:cs="Calibri"/>
        </w:rPr>
      </w:pPr>
      <w:r w:rsidRPr="002528B8">
        <w:rPr>
          <w:rFonts w:ascii="Calibri" w:hAnsi="Calibri" w:cs="Calibri"/>
        </w:rPr>
        <w:t xml:space="preserve">[21] </w:t>
      </w:r>
      <w:r w:rsidRPr="002528B8">
        <w:rPr>
          <w:rFonts w:ascii="Calibri" w:hAnsi="Calibri" w:cs="Calibri"/>
        </w:rPr>
        <w:tab/>
        <w:t>HMD. Human Mortality Database. Max Planck Institute for Demographic Research (Germany), University of California, Berkeley (USA), and French Institute for Demographic Studies (France). Available at www.mortality.org.</w:t>
      </w:r>
    </w:p>
    <w:p w14:paraId="79064ECA" w14:textId="77777777" w:rsidR="002528B8" w:rsidRPr="002528B8" w:rsidRDefault="002528B8" w:rsidP="002528B8">
      <w:pPr>
        <w:pStyle w:val="Bibliography"/>
        <w:rPr>
          <w:rFonts w:ascii="Calibri" w:hAnsi="Calibri" w:cs="Calibri"/>
        </w:rPr>
      </w:pPr>
      <w:r w:rsidRPr="002528B8">
        <w:rPr>
          <w:rFonts w:ascii="Calibri" w:hAnsi="Calibri" w:cs="Calibri"/>
        </w:rPr>
        <w:t xml:space="preserve">[22] </w:t>
      </w:r>
      <w:r w:rsidRPr="002528B8">
        <w:rPr>
          <w:rFonts w:ascii="Calibri" w:hAnsi="Calibri" w:cs="Calibri"/>
        </w:rPr>
        <w:tab/>
        <w:t xml:space="preserve">Beh EJ, Lombardo R (eds). Simple correspondence analysis. In: </w:t>
      </w:r>
      <w:r w:rsidRPr="002528B8">
        <w:rPr>
          <w:rFonts w:ascii="Calibri" w:hAnsi="Calibri" w:cs="Calibri"/>
          <w:i/>
          <w:iCs/>
        </w:rPr>
        <w:t>Wiley Series in Probability and Statistics</w:t>
      </w:r>
      <w:r w:rsidRPr="002528B8">
        <w:rPr>
          <w:rFonts w:ascii="Calibri" w:hAnsi="Calibri" w:cs="Calibri"/>
        </w:rPr>
        <w:t>. Chichester, United Kingdom: John Wiley &amp; Sons, Ltd, pp. 120–176.</w:t>
      </w:r>
    </w:p>
    <w:p w14:paraId="020988C8" w14:textId="77777777" w:rsidR="002528B8" w:rsidRPr="002528B8" w:rsidRDefault="002528B8" w:rsidP="002528B8">
      <w:pPr>
        <w:pStyle w:val="Bibliography"/>
        <w:rPr>
          <w:rFonts w:ascii="Calibri" w:hAnsi="Calibri" w:cs="Calibri"/>
        </w:rPr>
      </w:pPr>
      <w:r w:rsidRPr="002528B8">
        <w:rPr>
          <w:rFonts w:ascii="Calibri" w:hAnsi="Calibri" w:cs="Calibri"/>
        </w:rPr>
        <w:t xml:space="preserve">[23] </w:t>
      </w:r>
      <w:r w:rsidRPr="002528B8">
        <w:rPr>
          <w:rFonts w:ascii="Calibri" w:hAnsi="Calibri" w:cs="Calibri"/>
        </w:rPr>
        <w:tab/>
        <w:t xml:space="preserve">Black JC, Rockhill KM, Dart RC, et al. Clustering patterns in polysubstance mortality in the United States in 2017: a multiple correspondence analysis of death certificate data. </w:t>
      </w:r>
      <w:r w:rsidRPr="002528B8">
        <w:rPr>
          <w:rFonts w:ascii="Calibri" w:hAnsi="Calibri" w:cs="Calibri"/>
          <w:i/>
          <w:iCs/>
        </w:rPr>
        <w:t>Annals of Epidemiology</w:t>
      </w:r>
      <w:r w:rsidRPr="002528B8">
        <w:rPr>
          <w:rFonts w:ascii="Calibri" w:hAnsi="Calibri" w:cs="Calibri"/>
        </w:rPr>
        <w:t xml:space="preserve"> 2023; 77: 119–126.</w:t>
      </w:r>
    </w:p>
    <w:p w14:paraId="42D11BA0" w14:textId="77777777" w:rsidR="002528B8" w:rsidRPr="002528B8" w:rsidRDefault="002528B8" w:rsidP="002528B8">
      <w:pPr>
        <w:pStyle w:val="Bibliography"/>
        <w:rPr>
          <w:rFonts w:ascii="Calibri" w:hAnsi="Calibri" w:cs="Calibri"/>
        </w:rPr>
      </w:pPr>
      <w:r w:rsidRPr="002528B8">
        <w:rPr>
          <w:rFonts w:ascii="Calibri" w:hAnsi="Calibri" w:cs="Calibri"/>
        </w:rPr>
        <w:t xml:space="preserve">[24] </w:t>
      </w:r>
      <w:r w:rsidRPr="002528B8">
        <w:rPr>
          <w:rFonts w:ascii="Calibri" w:hAnsi="Calibri" w:cs="Calibri"/>
        </w:rPr>
        <w:tab/>
        <w:t xml:space="preserve">Singh BB, Ward MP, Lowerison M, et al. Meta-analysis and adjusted estimation of COVID-19 case fatality risk in India and its association with the underlying comorbidities. </w:t>
      </w:r>
      <w:r w:rsidRPr="002528B8">
        <w:rPr>
          <w:rFonts w:ascii="Calibri" w:hAnsi="Calibri" w:cs="Calibri"/>
          <w:i/>
          <w:iCs/>
        </w:rPr>
        <w:t>One Health</w:t>
      </w:r>
      <w:r w:rsidRPr="002528B8">
        <w:rPr>
          <w:rFonts w:ascii="Calibri" w:hAnsi="Calibri" w:cs="Calibri"/>
        </w:rPr>
        <w:t xml:space="preserve"> 2021; 13: 100283.</w:t>
      </w:r>
    </w:p>
    <w:p w14:paraId="6B1DA117" w14:textId="77777777" w:rsidR="002528B8" w:rsidRPr="002528B8" w:rsidRDefault="002528B8" w:rsidP="002528B8">
      <w:pPr>
        <w:pStyle w:val="Bibliography"/>
        <w:rPr>
          <w:rFonts w:ascii="Calibri" w:hAnsi="Calibri" w:cs="Calibri"/>
        </w:rPr>
      </w:pPr>
      <w:r w:rsidRPr="002528B8">
        <w:rPr>
          <w:rFonts w:ascii="Calibri" w:hAnsi="Calibri" w:cs="Calibri"/>
        </w:rPr>
        <w:t xml:space="preserve">[25] </w:t>
      </w:r>
      <w:r w:rsidRPr="002528B8">
        <w:rPr>
          <w:rFonts w:ascii="Calibri" w:hAnsi="Calibri" w:cs="Calibri"/>
        </w:rPr>
        <w:tab/>
        <w:t xml:space="preserve">Rockett IRH, Smith GS, Caine ED, et al. Confronting Death From Drug Self-Intoxication (DDSI): Prevention Through a Better Definition. </w:t>
      </w:r>
      <w:r w:rsidRPr="002528B8">
        <w:rPr>
          <w:rFonts w:ascii="Calibri" w:hAnsi="Calibri" w:cs="Calibri"/>
          <w:i/>
          <w:iCs/>
        </w:rPr>
        <w:t>Am J Public Health</w:t>
      </w:r>
      <w:r w:rsidRPr="002528B8">
        <w:rPr>
          <w:rFonts w:ascii="Calibri" w:hAnsi="Calibri" w:cs="Calibri"/>
        </w:rPr>
        <w:t xml:space="preserve"> 2014; 104: e49–e55.</w:t>
      </w:r>
    </w:p>
    <w:p w14:paraId="6AB9E9A3" w14:textId="77777777" w:rsidR="002528B8" w:rsidRPr="00F53083" w:rsidRDefault="002528B8" w:rsidP="002528B8">
      <w:pPr>
        <w:pStyle w:val="Bibliography"/>
        <w:rPr>
          <w:rFonts w:ascii="Calibri" w:hAnsi="Calibri" w:cs="Calibri"/>
          <w:lang w:val="fr-FR"/>
        </w:rPr>
      </w:pPr>
      <w:r w:rsidRPr="002528B8">
        <w:rPr>
          <w:rFonts w:ascii="Calibri" w:hAnsi="Calibri" w:cs="Calibri"/>
        </w:rPr>
        <w:t xml:space="preserve">[26] </w:t>
      </w:r>
      <w:r w:rsidRPr="002528B8">
        <w:rPr>
          <w:rFonts w:ascii="Calibri" w:hAnsi="Calibri" w:cs="Calibri"/>
        </w:rPr>
        <w:tab/>
        <w:t xml:space="preserve">De Leo D. Can We Rely on Suicide Mortality Data? </w:t>
      </w:r>
      <w:r w:rsidRPr="00F53083">
        <w:rPr>
          <w:rFonts w:ascii="Calibri" w:hAnsi="Calibri" w:cs="Calibri"/>
          <w:i/>
          <w:iCs/>
          <w:lang w:val="fr-FR"/>
        </w:rPr>
        <w:t>Crisis</w:t>
      </w:r>
      <w:r w:rsidRPr="00F53083">
        <w:rPr>
          <w:rFonts w:ascii="Calibri" w:hAnsi="Calibri" w:cs="Calibri"/>
          <w:lang w:val="fr-FR"/>
        </w:rPr>
        <w:t xml:space="preserve"> 2015; 36: 1–3.</w:t>
      </w:r>
    </w:p>
    <w:p w14:paraId="7944FCD6" w14:textId="77777777" w:rsidR="002528B8" w:rsidRPr="002528B8" w:rsidRDefault="002528B8" w:rsidP="002528B8">
      <w:pPr>
        <w:pStyle w:val="Bibliography"/>
        <w:rPr>
          <w:rFonts w:ascii="Calibri" w:hAnsi="Calibri" w:cs="Calibri"/>
        </w:rPr>
      </w:pPr>
      <w:r w:rsidRPr="00F53083">
        <w:rPr>
          <w:rFonts w:ascii="Calibri" w:hAnsi="Calibri" w:cs="Calibri"/>
          <w:lang w:val="fr-FR"/>
        </w:rPr>
        <w:t xml:space="preserve">[27] </w:t>
      </w:r>
      <w:r w:rsidRPr="00F53083">
        <w:rPr>
          <w:rFonts w:ascii="Calibri" w:hAnsi="Calibri" w:cs="Calibri"/>
          <w:lang w:val="fr-FR"/>
        </w:rPr>
        <w:tab/>
        <w:t xml:space="preserve">Rockett IRH, Hobbs G, De Leo D, et al. </w:t>
      </w:r>
      <w:r w:rsidRPr="002528B8">
        <w:rPr>
          <w:rFonts w:ascii="Calibri" w:hAnsi="Calibri" w:cs="Calibri"/>
        </w:rPr>
        <w:t xml:space="preserve">Suicide and unintentional poisoning mortality trends in the United States, 1987-2006: two unrelated phenomena? </w:t>
      </w:r>
      <w:r w:rsidRPr="002528B8">
        <w:rPr>
          <w:rFonts w:ascii="Calibri" w:hAnsi="Calibri" w:cs="Calibri"/>
          <w:i/>
          <w:iCs/>
        </w:rPr>
        <w:t>BMC Public Health</w:t>
      </w:r>
      <w:r w:rsidRPr="002528B8">
        <w:rPr>
          <w:rFonts w:ascii="Calibri" w:hAnsi="Calibri" w:cs="Calibri"/>
        </w:rPr>
        <w:t xml:space="preserve"> 2010; 10: 705.</w:t>
      </w:r>
    </w:p>
    <w:p w14:paraId="66A489C9" w14:textId="77777777" w:rsidR="002528B8" w:rsidRPr="002528B8" w:rsidRDefault="002528B8" w:rsidP="002528B8">
      <w:pPr>
        <w:pStyle w:val="Bibliography"/>
        <w:rPr>
          <w:rFonts w:ascii="Calibri" w:hAnsi="Calibri" w:cs="Calibri"/>
        </w:rPr>
      </w:pPr>
      <w:r w:rsidRPr="002528B8">
        <w:rPr>
          <w:rFonts w:ascii="Calibri" w:hAnsi="Calibri" w:cs="Calibri"/>
        </w:rPr>
        <w:t xml:space="preserve">[28] </w:t>
      </w:r>
      <w:r w:rsidRPr="002528B8">
        <w:rPr>
          <w:rFonts w:ascii="Calibri" w:hAnsi="Calibri" w:cs="Calibri"/>
        </w:rPr>
        <w:tab/>
        <w:t xml:space="preserve">Rockett IRH, Regier MD, Kapusta ND, et al. Leading Causes of Unintentional and Intentional Injury Mortality: United States, 2000–2009. </w:t>
      </w:r>
      <w:r w:rsidRPr="002528B8">
        <w:rPr>
          <w:rFonts w:ascii="Calibri" w:hAnsi="Calibri" w:cs="Calibri"/>
          <w:i/>
          <w:iCs/>
        </w:rPr>
        <w:t>Am J Public Health</w:t>
      </w:r>
      <w:r w:rsidRPr="002528B8">
        <w:rPr>
          <w:rFonts w:ascii="Calibri" w:hAnsi="Calibri" w:cs="Calibri"/>
        </w:rPr>
        <w:t xml:space="preserve"> 2012; 102: e84–e92.</w:t>
      </w:r>
    </w:p>
    <w:p w14:paraId="5146E186" w14:textId="77777777" w:rsidR="002528B8" w:rsidRPr="002528B8" w:rsidRDefault="002528B8" w:rsidP="002528B8">
      <w:pPr>
        <w:pStyle w:val="Bibliography"/>
        <w:rPr>
          <w:rFonts w:ascii="Calibri" w:hAnsi="Calibri" w:cs="Calibri"/>
        </w:rPr>
      </w:pPr>
      <w:r w:rsidRPr="002528B8">
        <w:rPr>
          <w:rFonts w:ascii="Calibri" w:hAnsi="Calibri" w:cs="Calibri"/>
        </w:rPr>
        <w:t xml:space="preserve">[29] </w:t>
      </w:r>
      <w:r w:rsidRPr="002528B8">
        <w:rPr>
          <w:rFonts w:ascii="Calibri" w:hAnsi="Calibri" w:cs="Calibri"/>
        </w:rPr>
        <w:tab/>
        <w:t xml:space="preserve">Manchikanti L, Fellows B, Ailinani H, et al. Therapeutic use, abuse, and nonmedical use of opioids: a ten-year perspective. </w:t>
      </w:r>
      <w:r w:rsidRPr="002528B8">
        <w:rPr>
          <w:rFonts w:ascii="Calibri" w:hAnsi="Calibri" w:cs="Calibri"/>
          <w:i/>
          <w:iCs/>
        </w:rPr>
        <w:t>Pain Physician</w:t>
      </w:r>
      <w:r w:rsidRPr="002528B8">
        <w:rPr>
          <w:rFonts w:ascii="Calibri" w:hAnsi="Calibri" w:cs="Calibri"/>
        </w:rPr>
        <w:t xml:space="preserve"> 2010; 13: 401–435.</w:t>
      </w:r>
    </w:p>
    <w:p w14:paraId="2746B509" w14:textId="77777777" w:rsidR="002528B8" w:rsidRPr="002528B8" w:rsidRDefault="002528B8" w:rsidP="002528B8">
      <w:pPr>
        <w:pStyle w:val="Bibliography"/>
        <w:rPr>
          <w:rFonts w:ascii="Calibri" w:hAnsi="Calibri" w:cs="Calibri"/>
        </w:rPr>
      </w:pPr>
      <w:r w:rsidRPr="002528B8">
        <w:rPr>
          <w:rFonts w:ascii="Calibri" w:hAnsi="Calibri" w:cs="Calibri"/>
        </w:rPr>
        <w:t xml:space="preserve">[30] </w:t>
      </w:r>
      <w:r w:rsidRPr="002528B8">
        <w:rPr>
          <w:rFonts w:ascii="Calibri" w:hAnsi="Calibri" w:cs="Calibri"/>
        </w:rPr>
        <w:tab/>
        <w:t xml:space="preserve">Maxwell JC. The prescription drug epidemic in the United States: A perfect storm: The </w:t>
      </w:r>
      <w:r w:rsidRPr="002528B8">
        <w:rPr>
          <w:rFonts w:ascii="Calibri" w:hAnsi="Calibri" w:cs="Calibri"/>
        </w:rPr>
        <w:lastRenderedPageBreak/>
        <w:t xml:space="preserve">prescription drug epidemic in the USA. </w:t>
      </w:r>
      <w:r w:rsidRPr="002528B8">
        <w:rPr>
          <w:rFonts w:ascii="Calibri" w:hAnsi="Calibri" w:cs="Calibri"/>
          <w:i/>
          <w:iCs/>
        </w:rPr>
        <w:t>Drug and Alcohol Review</w:t>
      </w:r>
      <w:r w:rsidRPr="002528B8">
        <w:rPr>
          <w:rFonts w:ascii="Calibri" w:hAnsi="Calibri" w:cs="Calibri"/>
        </w:rPr>
        <w:t xml:space="preserve"> 2011; 30: 264–270.</w:t>
      </w:r>
    </w:p>
    <w:p w14:paraId="5E9BEE90" w14:textId="77777777" w:rsidR="002528B8" w:rsidRPr="002528B8" w:rsidRDefault="002528B8" w:rsidP="002528B8">
      <w:pPr>
        <w:pStyle w:val="Bibliography"/>
        <w:rPr>
          <w:rFonts w:ascii="Calibri" w:hAnsi="Calibri" w:cs="Calibri"/>
        </w:rPr>
      </w:pPr>
      <w:r w:rsidRPr="002528B8">
        <w:rPr>
          <w:rFonts w:ascii="Calibri" w:hAnsi="Calibri" w:cs="Calibri"/>
        </w:rPr>
        <w:t xml:space="preserve">[31] </w:t>
      </w:r>
      <w:r w:rsidRPr="002528B8">
        <w:rPr>
          <w:rFonts w:ascii="Calibri" w:hAnsi="Calibri" w:cs="Calibri"/>
        </w:rPr>
        <w:tab/>
        <w:t xml:space="preserve">Ruhm CJ. Corrected US opioid-involved drug poisoning deaths and mortality rates, 1999-2015: Corrected opioid-involved mortality rates. </w:t>
      </w:r>
      <w:r w:rsidRPr="002528B8">
        <w:rPr>
          <w:rFonts w:ascii="Calibri" w:hAnsi="Calibri" w:cs="Calibri"/>
          <w:i/>
          <w:iCs/>
        </w:rPr>
        <w:t>Addiction</w:t>
      </w:r>
      <w:r w:rsidRPr="002528B8">
        <w:rPr>
          <w:rFonts w:ascii="Calibri" w:hAnsi="Calibri" w:cs="Calibri"/>
        </w:rPr>
        <w:t xml:space="preserve"> 2018; 113: 1339–1344.</w:t>
      </w:r>
    </w:p>
    <w:p w14:paraId="1F1BF16B" w14:textId="77777777" w:rsidR="002528B8" w:rsidRPr="002528B8" w:rsidRDefault="002528B8" w:rsidP="002528B8">
      <w:pPr>
        <w:pStyle w:val="Bibliography"/>
        <w:rPr>
          <w:rFonts w:ascii="Calibri" w:hAnsi="Calibri" w:cs="Calibri"/>
        </w:rPr>
      </w:pPr>
      <w:r w:rsidRPr="002528B8">
        <w:rPr>
          <w:rFonts w:ascii="Calibri" w:hAnsi="Calibri" w:cs="Calibri"/>
        </w:rPr>
        <w:t xml:space="preserve">[32] </w:t>
      </w:r>
      <w:r w:rsidRPr="002528B8">
        <w:rPr>
          <w:rFonts w:ascii="Calibri" w:hAnsi="Calibri" w:cs="Calibri"/>
        </w:rPr>
        <w:tab/>
        <w:t xml:space="preserve">Kolmos L, Bach E. Sources of error in registering suicide. </w:t>
      </w:r>
      <w:r w:rsidRPr="002528B8">
        <w:rPr>
          <w:rFonts w:ascii="Calibri" w:hAnsi="Calibri" w:cs="Calibri"/>
          <w:i/>
          <w:iCs/>
        </w:rPr>
        <w:t>Acta Psychiatr Scand</w:t>
      </w:r>
      <w:r w:rsidRPr="002528B8">
        <w:rPr>
          <w:rFonts w:ascii="Calibri" w:hAnsi="Calibri" w:cs="Calibri"/>
        </w:rPr>
        <w:t xml:space="preserve"> 1987; 76: 22–43.</w:t>
      </w:r>
    </w:p>
    <w:p w14:paraId="0E0946F4" w14:textId="77777777" w:rsidR="002528B8" w:rsidRPr="002528B8" w:rsidRDefault="002528B8" w:rsidP="002528B8">
      <w:pPr>
        <w:pStyle w:val="Bibliography"/>
        <w:rPr>
          <w:rFonts w:ascii="Calibri" w:hAnsi="Calibri" w:cs="Calibri"/>
        </w:rPr>
      </w:pPr>
      <w:r w:rsidRPr="002528B8">
        <w:rPr>
          <w:rFonts w:ascii="Calibri" w:hAnsi="Calibri" w:cs="Calibri"/>
        </w:rPr>
        <w:t xml:space="preserve">[33] </w:t>
      </w:r>
      <w:r w:rsidRPr="002528B8">
        <w:rPr>
          <w:rFonts w:ascii="Calibri" w:hAnsi="Calibri" w:cs="Calibri"/>
        </w:rPr>
        <w:tab/>
        <w:t xml:space="preserve">Kposowa AJ, McElvain JP. Gender, place, and method of suicide. </w:t>
      </w:r>
      <w:r w:rsidRPr="002528B8">
        <w:rPr>
          <w:rFonts w:ascii="Calibri" w:hAnsi="Calibri" w:cs="Calibri"/>
          <w:i/>
          <w:iCs/>
        </w:rPr>
        <w:t>Soc Psychiatry Psychiatr Epidemiol</w:t>
      </w:r>
      <w:r w:rsidRPr="002528B8">
        <w:rPr>
          <w:rFonts w:ascii="Calibri" w:hAnsi="Calibri" w:cs="Calibri"/>
        </w:rPr>
        <w:t xml:space="preserve"> 2006; 41: 435–443.</w:t>
      </w:r>
    </w:p>
    <w:p w14:paraId="14F3B125" w14:textId="77777777" w:rsidR="002528B8" w:rsidRPr="002528B8" w:rsidRDefault="002528B8" w:rsidP="002528B8">
      <w:pPr>
        <w:pStyle w:val="Bibliography"/>
        <w:rPr>
          <w:rFonts w:ascii="Calibri" w:hAnsi="Calibri" w:cs="Calibri"/>
        </w:rPr>
      </w:pPr>
      <w:r w:rsidRPr="002528B8">
        <w:rPr>
          <w:rFonts w:ascii="Calibri" w:hAnsi="Calibri" w:cs="Calibri"/>
        </w:rPr>
        <w:t xml:space="preserve">[34] </w:t>
      </w:r>
      <w:r w:rsidRPr="002528B8">
        <w:rPr>
          <w:rFonts w:ascii="Calibri" w:hAnsi="Calibri" w:cs="Calibri"/>
        </w:rPr>
        <w:tab/>
        <w:t xml:space="preserve">Ajdacic-Gross V. Methods of suicide: international suicide patters derived from the WHO mortality database. </w:t>
      </w:r>
      <w:r w:rsidRPr="002528B8">
        <w:rPr>
          <w:rFonts w:ascii="Calibri" w:hAnsi="Calibri" w:cs="Calibri"/>
          <w:i/>
          <w:iCs/>
        </w:rPr>
        <w:t>Bull World Health Organ</w:t>
      </w:r>
      <w:r w:rsidRPr="002528B8">
        <w:rPr>
          <w:rFonts w:ascii="Calibri" w:hAnsi="Calibri" w:cs="Calibri"/>
        </w:rPr>
        <w:t xml:space="preserve"> 2008; 86: 726–732.</w:t>
      </w:r>
    </w:p>
    <w:p w14:paraId="63DF9C40" w14:textId="77777777" w:rsidR="002528B8" w:rsidRPr="002528B8" w:rsidRDefault="002528B8" w:rsidP="002528B8">
      <w:pPr>
        <w:pStyle w:val="Bibliography"/>
        <w:rPr>
          <w:rFonts w:ascii="Calibri" w:hAnsi="Calibri" w:cs="Calibri"/>
        </w:rPr>
      </w:pPr>
      <w:r w:rsidRPr="002528B8">
        <w:rPr>
          <w:rFonts w:ascii="Calibri" w:hAnsi="Calibri" w:cs="Calibri"/>
        </w:rPr>
        <w:t xml:space="preserve">[35] </w:t>
      </w:r>
      <w:r w:rsidRPr="002528B8">
        <w:rPr>
          <w:rFonts w:ascii="Calibri" w:hAnsi="Calibri" w:cs="Calibri"/>
        </w:rPr>
        <w:tab/>
        <w:t xml:space="preserve">Shenassa ED, Catlin SN, Buka SL. Lethality of Firearms Relative to Other Suicide Methods: A Population Based Study. </w:t>
      </w:r>
      <w:r w:rsidRPr="002528B8">
        <w:rPr>
          <w:rFonts w:ascii="Calibri" w:hAnsi="Calibri" w:cs="Calibri"/>
          <w:i/>
          <w:iCs/>
        </w:rPr>
        <w:t>Journal of Epidemiology and Community Health (1979-)</w:t>
      </w:r>
      <w:r w:rsidRPr="002528B8">
        <w:rPr>
          <w:rFonts w:ascii="Calibri" w:hAnsi="Calibri" w:cs="Calibri"/>
        </w:rPr>
        <w:t xml:space="preserve"> 2003; 57: 120–124.</w:t>
      </w:r>
    </w:p>
    <w:p w14:paraId="147A2BDA" w14:textId="77777777" w:rsidR="002528B8" w:rsidRPr="002528B8" w:rsidRDefault="002528B8" w:rsidP="002528B8">
      <w:pPr>
        <w:pStyle w:val="Bibliography"/>
        <w:rPr>
          <w:rFonts w:ascii="Calibri" w:hAnsi="Calibri" w:cs="Calibri"/>
        </w:rPr>
      </w:pPr>
      <w:r w:rsidRPr="002528B8">
        <w:rPr>
          <w:rFonts w:ascii="Calibri" w:hAnsi="Calibri" w:cs="Calibri"/>
        </w:rPr>
        <w:t xml:space="preserve">[36] </w:t>
      </w:r>
      <w:r w:rsidRPr="002528B8">
        <w:rPr>
          <w:rFonts w:ascii="Calibri" w:hAnsi="Calibri" w:cs="Calibri"/>
        </w:rPr>
        <w:tab/>
        <w:t xml:space="preserve">Case A, Paxson C. Sex differences in morbidity and mortality. </w:t>
      </w:r>
      <w:r w:rsidRPr="002528B8">
        <w:rPr>
          <w:rFonts w:ascii="Calibri" w:hAnsi="Calibri" w:cs="Calibri"/>
          <w:i/>
          <w:iCs/>
        </w:rPr>
        <w:t>Demography</w:t>
      </w:r>
      <w:r w:rsidRPr="002528B8">
        <w:rPr>
          <w:rFonts w:ascii="Calibri" w:hAnsi="Calibri" w:cs="Calibri"/>
        </w:rPr>
        <w:t xml:space="preserve"> 2005; 42: 189–214.</w:t>
      </w:r>
    </w:p>
    <w:p w14:paraId="2DF1138D" w14:textId="77777777" w:rsidR="002528B8" w:rsidRPr="002528B8" w:rsidRDefault="002528B8" w:rsidP="002528B8">
      <w:pPr>
        <w:pStyle w:val="Bibliography"/>
        <w:rPr>
          <w:rFonts w:ascii="Calibri" w:hAnsi="Calibri" w:cs="Calibri"/>
        </w:rPr>
      </w:pPr>
      <w:r w:rsidRPr="002528B8">
        <w:rPr>
          <w:rFonts w:ascii="Calibri" w:hAnsi="Calibri" w:cs="Calibri"/>
        </w:rPr>
        <w:t xml:space="preserve">[37] </w:t>
      </w:r>
      <w:r w:rsidRPr="002528B8">
        <w:rPr>
          <w:rFonts w:ascii="Calibri" w:hAnsi="Calibri" w:cs="Calibri"/>
        </w:rPr>
        <w:tab/>
        <w:t xml:space="preserve">Cano-Montalbán I, Quevedo-Blasco R. Sociodemographic Variables Most Associated with Suicidal Behaviour and Suicide Methods in Europe and America. A Systematic Review. </w:t>
      </w:r>
      <w:r w:rsidRPr="002528B8">
        <w:rPr>
          <w:rFonts w:ascii="Calibri" w:hAnsi="Calibri" w:cs="Calibri"/>
          <w:i/>
          <w:iCs/>
        </w:rPr>
        <w:t>The European Journal of Psychology Applied to Legal Context</w:t>
      </w:r>
      <w:r w:rsidRPr="002528B8">
        <w:rPr>
          <w:rFonts w:ascii="Calibri" w:hAnsi="Calibri" w:cs="Calibri"/>
        </w:rPr>
        <w:t xml:space="preserve"> 2018; 10: 15–25.</w:t>
      </w:r>
    </w:p>
    <w:p w14:paraId="1487DB65" w14:textId="1EE2B1FF" w:rsidR="002528B8" w:rsidRPr="002528B8" w:rsidRDefault="002528B8" w:rsidP="002528B8">
      <w:pPr>
        <w:pStyle w:val="Bibliography"/>
        <w:rPr>
          <w:rFonts w:ascii="Calibri" w:hAnsi="Calibri" w:cs="Calibri"/>
        </w:rPr>
      </w:pPr>
      <w:r w:rsidRPr="002528B8">
        <w:rPr>
          <w:rFonts w:ascii="Calibri" w:hAnsi="Calibri" w:cs="Calibri"/>
        </w:rPr>
        <w:t xml:space="preserve">[38] </w:t>
      </w:r>
      <w:r w:rsidRPr="002528B8">
        <w:rPr>
          <w:rFonts w:ascii="Calibri" w:hAnsi="Calibri" w:cs="Calibri"/>
        </w:rPr>
        <w:tab/>
        <w:t xml:space="preserve">Arias E, Heron MP, Hakes JK. The Validity of race and Hispanic origin reporting on death certificates in the United States : an update. </w:t>
      </w:r>
      <w:r w:rsidRPr="002528B8">
        <w:rPr>
          <w:rFonts w:ascii="Calibri" w:hAnsi="Calibri" w:cs="Calibri"/>
          <w:i/>
          <w:iCs/>
        </w:rPr>
        <w:t>Vital and Health Statistics Series</w:t>
      </w:r>
      <w:r w:rsidRPr="002528B8">
        <w:rPr>
          <w:rFonts w:ascii="Calibri" w:hAnsi="Calibri" w:cs="Calibri"/>
        </w:rPr>
        <w:t>; 2,  (2016).</w:t>
      </w:r>
    </w:p>
    <w:p w14:paraId="3AF87CFF" w14:textId="77777777" w:rsidR="002528B8" w:rsidRPr="002528B8" w:rsidRDefault="002528B8" w:rsidP="002528B8">
      <w:pPr>
        <w:pStyle w:val="Bibliography"/>
        <w:rPr>
          <w:rFonts w:ascii="Calibri" w:hAnsi="Calibri" w:cs="Calibri"/>
        </w:rPr>
      </w:pPr>
      <w:r w:rsidRPr="002528B8">
        <w:rPr>
          <w:rFonts w:ascii="Calibri" w:hAnsi="Calibri" w:cs="Calibri"/>
        </w:rPr>
        <w:t xml:space="preserve">[39] </w:t>
      </w:r>
      <w:r w:rsidRPr="002528B8">
        <w:rPr>
          <w:rFonts w:ascii="Calibri" w:hAnsi="Calibri" w:cs="Calibri"/>
        </w:rPr>
        <w:tab/>
        <w:t xml:space="preserve">Rockett IRH, Caine ED, Connery HS, et al. Unrecognised self-injury mortality (SIM) trends among racial/ethnic minorities and women in the USA. </w:t>
      </w:r>
      <w:r w:rsidRPr="002528B8">
        <w:rPr>
          <w:rFonts w:ascii="Calibri" w:hAnsi="Calibri" w:cs="Calibri"/>
          <w:i/>
          <w:iCs/>
        </w:rPr>
        <w:t>Injury Prevention</w:t>
      </w:r>
      <w:r w:rsidRPr="002528B8">
        <w:rPr>
          <w:rFonts w:ascii="Calibri" w:hAnsi="Calibri" w:cs="Calibri"/>
        </w:rPr>
        <w:t xml:space="preserve"> 2020; 26: 439–447.</w:t>
      </w:r>
    </w:p>
    <w:p w14:paraId="5DF3433D" w14:textId="181CECCA" w:rsidR="00023184" w:rsidRDefault="00AD4439" w:rsidP="00D027A0">
      <w:pPr>
        <w:pStyle w:val="References"/>
        <w:spacing w:after="0" w:line="360" w:lineRule="auto"/>
        <w:ind w:left="0" w:firstLine="0"/>
        <w:rPr>
          <w:rFonts w:ascii="Calibri" w:hAnsi="Calibri" w:cs="Calibri"/>
          <w:lang w:val="en-GB"/>
        </w:rPr>
      </w:pPr>
      <w:r w:rsidRPr="002E1990">
        <w:rPr>
          <w:rFonts w:ascii="Calibri" w:hAnsi="Calibri" w:cs="Calibri"/>
          <w:lang w:val="en-GB"/>
        </w:rPr>
        <w:fldChar w:fldCharType="end"/>
      </w:r>
      <w:bookmarkEnd w:id="9"/>
    </w:p>
    <w:p w14:paraId="28B4D155" w14:textId="77777777" w:rsidR="00023184" w:rsidRDefault="00023184">
      <w:pPr>
        <w:widowControl/>
        <w:suppressAutoHyphens w:val="0"/>
        <w:spacing w:before="0" w:after="160" w:line="259" w:lineRule="auto"/>
        <w:jc w:val="left"/>
        <w:rPr>
          <w:rFonts w:ascii="Calibri" w:hAnsi="Calibri" w:cs="Calibri"/>
        </w:rPr>
      </w:pPr>
      <w:r>
        <w:rPr>
          <w:rFonts w:ascii="Calibri" w:hAnsi="Calibri" w:cs="Calibri"/>
        </w:rPr>
        <w:br w:type="page"/>
      </w:r>
    </w:p>
    <w:p w14:paraId="588C4416" w14:textId="280EF0C3" w:rsidR="00AC4400" w:rsidRDefault="00023184" w:rsidP="00D027A0">
      <w:pPr>
        <w:pStyle w:val="References"/>
        <w:spacing w:after="0" w:line="360" w:lineRule="auto"/>
        <w:ind w:left="0" w:firstLine="0"/>
        <w:rPr>
          <w:rFonts w:ascii="Calibri" w:hAnsi="Calibri" w:cs="Calibri"/>
          <w:b/>
          <w:bCs/>
          <w:lang w:val="en-GB"/>
        </w:rPr>
      </w:pPr>
      <w:r w:rsidRPr="00023184">
        <w:rPr>
          <w:rFonts w:ascii="Calibri" w:hAnsi="Calibri" w:cs="Calibri"/>
          <w:b/>
          <w:bCs/>
          <w:lang w:val="en-GB"/>
        </w:rPr>
        <w:lastRenderedPageBreak/>
        <w:t>Figures caption</w:t>
      </w:r>
    </w:p>
    <w:p w14:paraId="421A297D" w14:textId="77777777" w:rsidR="00023184" w:rsidRDefault="00023184" w:rsidP="00D027A0">
      <w:pPr>
        <w:pStyle w:val="References"/>
        <w:spacing w:after="0" w:line="360" w:lineRule="auto"/>
        <w:ind w:left="0" w:firstLine="0"/>
        <w:rPr>
          <w:rFonts w:ascii="Calibri" w:hAnsi="Calibri" w:cs="Calibri"/>
          <w:b/>
          <w:bCs/>
          <w:lang w:val="en-GB"/>
        </w:rPr>
      </w:pPr>
    </w:p>
    <w:p w14:paraId="30523B69" w14:textId="77777777" w:rsidR="00451E18" w:rsidRPr="00491560" w:rsidRDefault="00451E18" w:rsidP="00451E18">
      <w:pPr>
        <w:pStyle w:val="Caption"/>
        <w:jc w:val="left"/>
        <w:rPr>
          <w:rFonts w:ascii="Calibri" w:hAnsi="Calibri" w:cs="Calibri"/>
          <w:color w:val="auto"/>
          <w:sz w:val="24"/>
          <w:szCs w:val="24"/>
        </w:rPr>
      </w:pPr>
      <w:bookmarkStart w:id="10" w:name="_Toc185252803"/>
      <w:bookmarkStart w:id="11" w:name="_Toc185252869"/>
      <w:r w:rsidRPr="00491560">
        <w:rPr>
          <w:rFonts w:ascii="Calibri" w:hAnsi="Calibri" w:cs="Calibri"/>
          <w:b/>
          <w:bCs/>
          <w:color w:val="auto"/>
          <w:sz w:val="24"/>
          <w:szCs w:val="24"/>
        </w:rPr>
        <w:t xml:space="preserve">Figure </w:t>
      </w:r>
      <w:r w:rsidRPr="00491560">
        <w:rPr>
          <w:rFonts w:ascii="Calibri" w:hAnsi="Calibri" w:cs="Calibri"/>
          <w:b/>
          <w:bCs/>
          <w:color w:val="auto"/>
          <w:sz w:val="24"/>
          <w:szCs w:val="24"/>
        </w:rPr>
        <w:fldChar w:fldCharType="begin"/>
      </w:r>
      <w:r w:rsidRPr="00491560">
        <w:rPr>
          <w:rFonts w:ascii="Calibri" w:hAnsi="Calibri" w:cs="Calibri"/>
          <w:b/>
          <w:bCs/>
          <w:color w:val="auto"/>
          <w:sz w:val="24"/>
          <w:szCs w:val="24"/>
        </w:rPr>
        <w:instrText xml:space="preserve"> SEQ Figure \* ARABIC </w:instrText>
      </w:r>
      <w:r w:rsidRPr="00491560">
        <w:rPr>
          <w:rFonts w:ascii="Calibri" w:hAnsi="Calibri" w:cs="Calibri"/>
          <w:b/>
          <w:bCs/>
          <w:color w:val="auto"/>
          <w:sz w:val="24"/>
          <w:szCs w:val="24"/>
        </w:rPr>
        <w:fldChar w:fldCharType="separate"/>
      </w:r>
      <w:r w:rsidRPr="00491560">
        <w:rPr>
          <w:rFonts w:ascii="Calibri" w:hAnsi="Calibri" w:cs="Calibri"/>
          <w:b/>
          <w:bCs/>
          <w:noProof/>
          <w:color w:val="auto"/>
          <w:sz w:val="24"/>
          <w:szCs w:val="24"/>
        </w:rPr>
        <w:t>1</w:t>
      </w:r>
      <w:r w:rsidRPr="00491560">
        <w:rPr>
          <w:rFonts w:ascii="Calibri" w:hAnsi="Calibri" w:cs="Calibri"/>
          <w:b/>
          <w:bCs/>
          <w:color w:val="auto"/>
          <w:sz w:val="24"/>
          <w:szCs w:val="24"/>
        </w:rPr>
        <w:fldChar w:fldCharType="end"/>
      </w:r>
      <w:r w:rsidRPr="00491560">
        <w:rPr>
          <w:rFonts w:ascii="Calibri" w:hAnsi="Calibri" w:cs="Calibri"/>
          <w:b/>
          <w:bCs/>
          <w:color w:val="auto"/>
          <w:sz w:val="24"/>
          <w:szCs w:val="24"/>
        </w:rPr>
        <w:t>:</w:t>
      </w:r>
      <w:r w:rsidRPr="00491560">
        <w:rPr>
          <w:rFonts w:ascii="Calibri" w:hAnsi="Calibri" w:cs="Calibri"/>
          <w:color w:val="auto"/>
          <w:sz w:val="24"/>
          <w:szCs w:val="24"/>
        </w:rPr>
        <w:t xml:space="preserve"> Repartition of registered morbidities (contributory causes of death) associated with suicide (underlying causes of death) per educational level and sex, United States 2010-19 for individuals aged 25 years old or older at death</w:t>
      </w:r>
      <w:bookmarkEnd w:id="10"/>
      <w:bookmarkEnd w:id="11"/>
    </w:p>
    <w:p w14:paraId="7251C85E" w14:textId="134099A0" w:rsidR="00023184" w:rsidRPr="00491560" w:rsidRDefault="00023184" w:rsidP="00451E18">
      <w:pPr>
        <w:pStyle w:val="References"/>
        <w:spacing w:after="0" w:line="360" w:lineRule="auto"/>
        <w:ind w:left="0" w:firstLine="0"/>
        <w:rPr>
          <w:rFonts w:ascii="Calibri" w:hAnsi="Calibri" w:cs="Calibri"/>
          <w:lang w:val="en-GB"/>
        </w:rPr>
      </w:pPr>
    </w:p>
    <w:p w14:paraId="773A1B48" w14:textId="77777777" w:rsidR="00491560" w:rsidRPr="00491560" w:rsidRDefault="00491560" w:rsidP="00491560">
      <w:pPr>
        <w:pStyle w:val="Caption"/>
        <w:jc w:val="left"/>
        <w:rPr>
          <w:rFonts w:ascii="Calibri" w:hAnsi="Calibri" w:cs="Calibri"/>
          <w:color w:val="auto"/>
          <w:sz w:val="24"/>
          <w:szCs w:val="24"/>
        </w:rPr>
      </w:pPr>
      <w:bookmarkStart w:id="12" w:name="_Toc172186216"/>
      <w:r w:rsidRPr="00491560">
        <w:rPr>
          <w:rFonts w:ascii="Calibri" w:hAnsi="Calibri" w:cs="Calibri"/>
          <w:b/>
          <w:bCs/>
          <w:color w:val="auto"/>
          <w:sz w:val="24"/>
          <w:szCs w:val="24"/>
        </w:rPr>
        <w:t>Figure 2:</w:t>
      </w:r>
      <w:r w:rsidRPr="00491560">
        <w:rPr>
          <w:rFonts w:ascii="Calibri" w:hAnsi="Calibri" w:cs="Calibri"/>
          <w:color w:val="auto"/>
          <w:sz w:val="24"/>
          <w:szCs w:val="24"/>
        </w:rPr>
        <w:t xml:space="preserve"> Symetric plot for the correspondence analysis for sex-education profiles and registered comorbidity, United States 2010-19 for individuals aged 25 years old or older at death</w:t>
      </w:r>
      <w:bookmarkEnd w:id="12"/>
    </w:p>
    <w:p w14:paraId="61A7A38C" w14:textId="77777777" w:rsidR="00491560" w:rsidRPr="00023184" w:rsidRDefault="00491560" w:rsidP="00451E18">
      <w:pPr>
        <w:pStyle w:val="References"/>
        <w:spacing w:after="0" w:line="360" w:lineRule="auto"/>
        <w:ind w:left="0" w:firstLine="0"/>
        <w:rPr>
          <w:rFonts w:ascii="Calibri" w:hAnsi="Calibri" w:cs="Calibri"/>
          <w:lang w:val="en-GB"/>
        </w:rPr>
      </w:pPr>
    </w:p>
    <w:sectPr w:rsidR="00491560" w:rsidRPr="00023184" w:rsidSect="005F6F6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C052" w14:textId="77777777" w:rsidR="002E1661" w:rsidRDefault="002E1661" w:rsidP="004B0F14">
      <w:pPr>
        <w:spacing w:before="0" w:line="240" w:lineRule="auto"/>
      </w:pPr>
      <w:r>
        <w:separator/>
      </w:r>
    </w:p>
  </w:endnote>
  <w:endnote w:type="continuationSeparator" w:id="0">
    <w:p w14:paraId="64358B5B" w14:textId="77777777" w:rsidR="002E1661" w:rsidRDefault="002E1661" w:rsidP="004B0F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611041"/>
      <w:docPartObj>
        <w:docPartGallery w:val="Page Numbers (Bottom of Page)"/>
        <w:docPartUnique/>
      </w:docPartObj>
    </w:sdtPr>
    <w:sdtEndPr>
      <w:rPr>
        <w:noProof/>
      </w:rPr>
    </w:sdtEndPr>
    <w:sdtContent>
      <w:p w14:paraId="3172DD60" w14:textId="61A18C99" w:rsidR="009C2C9D" w:rsidRDefault="009C2C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D28FF" w14:textId="77777777" w:rsidR="009C2C9D" w:rsidRDefault="009C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2513" w14:textId="77777777" w:rsidR="002E1661" w:rsidRDefault="002E1661" w:rsidP="004B0F14">
      <w:pPr>
        <w:spacing w:before="0" w:line="240" w:lineRule="auto"/>
      </w:pPr>
      <w:r>
        <w:separator/>
      </w:r>
    </w:p>
  </w:footnote>
  <w:footnote w:type="continuationSeparator" w:id="0">
    <w:p w14:paraId="4676AA9E" w14:textId="77777777" w:rsidR="002E1661" w:rsidRDefault="002E1661" w:rsidP="004B0F14">
      <w:pPr>
        <w:spacing w:before="0" w:line="240" w:lineRule="auto"/>
      </w:pPr>
      <w:r>
        <w:continuationSeparator/>
      </w:r>
    </w:p>
  </w:footnote>
  <w:footnote w:id="1">
    <w:p w14:paraId="698022EC" w14:textId="0CB31D86" w:rsidR="00153B3A" w:rsidRDefault="00153B3A">
      <w:pPr>
        <w:pStyle w:val="FootnoteText"/>
      </w:pPr>
      <w:r>
        <w:rPr>
          <w:rStyle w:val="FootnoteReference"/>
        </w:rPr>
        <w:footnoteRef/>
      </w:r>
      <w:r>
        <w:t xml:space="preserve"> </w:t>
      </w:r>
      <w:r w:rsidRPr="007B02F3">
        <w:t>All confidence intervals are 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718"/>
    <w:multiLevelType w:val="multilevel"/>
    <w:tmpl w:val="DCEA959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CF67153"/>
    <w:multiLevelType w:val="multilevel"/>
    <w:tmpl w:val="7A7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3593"/>
    <w:multiLevelType w:val="multilevel"/>
    <w:tmpl w:val="12D0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35BC6"/>
    <w:multiLevelType w:val="multilevel"/>
    <w:tmpl w:val="0F7C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767AD"/>
    <w:multiLevelType w:val="multilevel"/>
    <w:tmpl w:val="6D4C8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BDB5E1B"/>
    <w:multiLevelType w:val="multilevel"/>
    <w:tmpl w:val="0B4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52B92"/>
    <w:multiLevelType w:val="multilevel"/>
    <w:tmpl w:val="792A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B276F"/>
    <w:multiLevelType w:val="multilevel"/>
    <w:tmpl w:val="07F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42247"/>
    <w:multiLevelType w:val="multilevel"/>
    <w:tmpl w:val="77F807E2"/>
    <w:lvl w:ilvl="0">
      <w:start w:val="1"/>
      <w:numFmt w:val="decimal"/>
      <w:pStyle w:val="Numberedlist"/>
      <w:lvlText w:val="(%1)"/>
      <w:lvlJc w:val="right"/>
      <w:pPr>
        <w:tabs>
          <w:tab w:val="num" w:pos="0"/>
        </w:tabs>
        <w:ind w:left="720" w:hanging="15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AC67753"/>
    <w:multiLevelType w:val="multilevel"/>
    <w:tmpl w:val="17FA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93861"/>
    <w:multiLevelType w:val="multilevel"/>
    <w:tmpl w:val="3D84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46BF6"/>
    <w:multiLevelType w:val="multilevel"/>
    <w:tmpl w:val="1154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310BB"/>
    <w:multiLevelType w:val="multilevel"/>
    <w:tmpl w:val="1EFA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7127E"/>
    <w:multiLevelType w:val="multilevel"/>
    <w:tmpl w:val="5AF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65C75"/>
    <w:multiLevelType w:val="hybridMultilevel"/>
    <w:tmpl w:val="E7624BEE"/>
    <w:lvl w:ilvl="0" w:tplc="29086F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D3C3C"/>
    <w:multiLevelType w:val="hybridMultilevel"/>
    <w:tmpl w:val="9EC69D48"/>
    <w:lvl w:ilvl="0" w:tplc="E392E50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258C6"/>
    <w:multiLevelType w:val="multilevel"/>
    <w:tmpl w:val="B8D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B6642"/>
    <w:multiLevelType w:val="multilevel"/>
    <w:tmpl w:val="6FC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117F3"/>
    <w:multiLevelType w:val="multilevel"/>
    <w:tmpl w:val="F1FC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B6BA8"/>
    <w:multiLevelType w:val="hybridMultilevel"/>
    <w:tmpl w:val="43D6D54E"/>
    <w:lvl w:ilvl="0" w:tplc="E6D4FBEC">
      <w:start w:val="3"/>
      <w:numFmt w:val="bullet"/>
      <w:lvlText w:val="-"/>
      <w:lvlJc w:val="left"/>
      <w:pPr>
        <w:ind w:left="720" w:hanging="360"/>
      </w:pPr>
      <w:rPr>
        <w:rFonts w:ascii="Open Sans" w:eastAsia="Times New Roman" w:hAnsi="Open Sans" w:cs="Open Sans"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863C9"/>
    <w:multiLevelType w:val="multilevel"/>
    <w:tmpl w:val="CA68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C4BA0"/>
    <w:multiLevelType w:val="hybridMultilevel"/>
    <w:tmpl w:val="604E03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D461AB"/>
    <w:multiLevelType w:val="multilevel"/>
    <w:tmpl w:val="5454A26E"/>
    <w:lvl w:ilvl="0">
      <w:start w:val="1"/>
      <w:numFmt w:val="bullet"/>
      <w:pStyle w:val="Bulletedlis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E4B3AC5"/>
    <w:multiLevelType w:val="multilevel"/>
    <w:tmpl w:val="AB9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E428A"/>
    <w:multiLevelType w:val="multilevel"/>
    <w:tmpl w:val="C9BC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E221F"/>
    <w:multiLevelType w:val="hybridMultilevel"/>
    <w:tmpl w:val="604E034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D7B4489"/>
    <w:multiLevelType w:val="multilevel"/>
    <w:tmpl w:val="EE2A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56925"/>
    <w:multiLevelType w:val="multilevel"/>
    <w:tmpl w:val="EED2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26C55"/>
    <w:multiLevelType w:val="multilevel"/>
    <w:tmpl w:val="785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71FA8"/>
    <w:multiLevelType w:val="multilevel"/>
    <w:tmpl w:val="6D22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993D93"/>
    <w:multiLevelType w:val="multilevel"/>
    <w:tmpl w:val="C58C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17321">
    <w:abstractNumId w:val="8"/>
  </w:num>
  <w:num w:numId="2" w16cid:durableId="1257520799">
    <w:abstractNumId w:val="22"/>
  </w:num>
  <w:num w:numId="3" w16cid:durableId="460272003">
    <w:abstractNumId w:val="0"/>
  </w:num>
  <w:num w:numId="4" w16cid:durableId="548608080">
    <w:abstractNumId w:val="4"/>
  </w:num>
  <w:num w:numId="5" w16cid:durableId="294724221">
    <w:abstractNumId w:val="14"/>
  </w:num>
  <w:num w:numId="6" w16cid:durableId="359860817">
    <w:abstractNumId w:val="19"/>
  </w:num>
  <w:num w:numId="7" w16cid:durableId="668101602">
    <w:abstractNumId w:val="25"/>
  </w:num>
  <w:num w:numId="8" w16cid:durableId="1642080256">
    <w:abstractNumId w:val="21"/>
  </w:num>
  <w:num w:numId="9" w16cid:durableId="1770463224">
    <w:abstractNumId w:val="12"/>
  </w:num>
  <w:num w:numId="10" w16cid:durableId="1373263223">
    <w:abstractNumId w:val="9"/>
  </w:num>
  <w:num w:numId="11" w16cid:durableId="26761366">
    <w:abstractNumId w:val="30"/>
  </w:num>
  <w:num w:numId="12" w16cid:durableId="1900893524">
    <w:abstractNumId w:val="18"/>
  </w:num>
  <w:num w:numId="13" w16cid:durableId="242908650">
    <w:abstractNumId w:val="28"/>
  </w:num>
  <w:num w:numId="14" w16cid:durableId="692074963">
    <w:abstractNumId w:val="26"/>
  </w:num>
  <w:num w:numId="15" w16cid:durableId="1813591907">
    <w:abstractNumId w:val="10"/>
  </w:num>
  <w:num w:numId="16" w16cid:durableId="1371537453">
    <w:abstractNumId w:val="13"/>
  </w:num>
  <w:num w:numId="17" w16cid:durableId="1304047188">
    <w:abstractNumId w:val="2"/>
  </w:num>
  <w:num w:numId="18" w16cid:durableId="521944951">
    <w:abstractNumId w:val="23"/>
  </w:num>
  <w:num w:numId="19" w16cid:durableId="1895575901">
    <w:abstractNumId w:val="29"/>
  </w:num>
  <w:num w:numId="20" w16cid:durableId="131364545">
    <w:abstractNumId w:val="20"/>
  </w:num>
  <w:num w:numId="21" w16cid:durableId="750591086">
    <w:abstractNumId w:val="27"/>
  </w:num>
  <w:num w:numId="22" w16cid:durableId="340282688">
    <w:abstractNumId w:val="11"/>
  </w:num>
  <w:num w:numId="23" w16cid:durableId="1559626413">
    <w:abstractNumId w:val="24"/>
  </w:num>
  <w:num w:numId="24" w16cid:durableId="1451633083">
    <w:abstractNumId w:val="7"/>
  </w:num>
  <w:num w:numId="25" w16cid:durableId="433332616">
    <w:abstractNumId w:val="6"/>
  </w:num>
  <w:num w:numId="26" w16cid:durableId="415447066">
    <w:abstractNumId w:val="1"/>
  </w:num>
  <w:num w:numId="27" w16cid:durableId="1702973062">
    <w:abstractNumId w:val="16"/>
  </w:num>
  <w:num w:numId="28" w16cid:durableId="2123109745">
    <w:abstractNumId w:val="5"/>
  </w:num>
  <w:num w:numId="29" w16cid:durableId="1127890831">
    <w:abstractNumId w:val="17"/>
  </w:num>
  <w:num w:numId="30" w16cid:durableId="2113744005">
    <w:abstractNumId w:val="3"/>
  </w:num>
  <w:num w:numId="31" w16cid:durableId="830215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39"/>
    <w:rsid w:val="00002B7B"/>
    <w:rsid w:val="00010D2B"/>
    <w:rsid w:val="00023184"/>
    <w:rsid w:val="00023328"/>
    <w:rsid w:val="00024D9D"/>
    <w:rsid w:val="00025259"/>
    <w:rsid w:val="0003014D"/>
    <w:rsid w:val="0003091F"/>
    <w:rsid w:val="0003500C"/>
    <w:rsid w:val="00036F72"/>
    <w:rsid w:val="0004086A"/>
    <w:rsid w:val="0004562F"/>
    <w:rsid w:val="00052842"/>
    <w:rsid w:val="00054ECF"/>
    <w:rsid w:val="00064AC9"/>
    <w:rsid w:val="00066D85"/>
    <w:rsid w:val="00073720"/>
    <w:rsid w:val="00073C20"/>
    <w:rsid w:val="00076BE2"/>
    <w:rsid w:val="000832A9"/>
    <w:rsid w:val="00085542"/>
    <w:rsid w:val="0009350E"/>
    <w:rsid w:val="00094279"/>
    <w:rsid w:val="000A391C"/>
    <w:rsid w:val="000C0E30"/>
    <w:rsid w:val="000D0D36"/>
    <w:rsid w:val="000D1026"/>
    <w:rsid w:val="000D3ACB"/>
    <w:rsid w:val="000D661C"/>
    <w:rsid w:val="000D69AA"/>
    <w:rsid w:val="000E51BB"/>
    <w:rsid w:val="0010115E"/>
    <w:rsid w:val="001104FD"/>
    <w:rsid w:val="001231F8"/>
    <w:rsid w:val="00126E75"/>
    <w:rsid w:val="001302CE"/>
    <w:rsid w:val="00133990"/>
    <w:rsid w:val="001409A5"/>
    <w:rsid w:val="001434F5"/>
    <w:rsid w:val="001452AB"/>
    <w:rsid w:val="0015022A"/>
    <w:rsid w:val="001511DF"/>
    <w:rsid w:val="00153B3A"/>
    <w:rsid w:val="00155A3A"/>
    <w:rsid w:val="00157160"/>
    <w:rsid w:val="00175A5E"/>
    <w:rsid w:val="001771DA"/>
    <w:rsid w:val="00183ADA"/>
    <w:rsid w:val="001867C2"/>
    <w:rsid w:val="00193BF2"/>
    <w:rsid w:val="001A1206"/>
    <w:rsid w:val="001A22D5"/>
    <w:rsid w:val="001B183E"/>
    <w:rsid w:val="001B2F0D"/>
    <w:rsid w:val="001B696E"/>
    <w:rsid w:val="001C0801"/>
    <w:rsid w:val="001D1C9E"/>
    <w:rsid w:val="001D7B98"/>
    <w:rsid w:val="001E142F"/>
    <w:rsid w:val="001E3573"/>
    <w:rsid w:val="001E419B"/>
    <w:rsid w:val="001F3039"/>
    <w:rsid w:val="00200579"/>
    <w:rsid w:val="00204358"/>
    <w:rsid w:val="002057CE"/>
    <w:rsid w:val="00206006"/>
    <w:rsid w:val="00212C0E"/>
    <w:rsid w:val="00214CF0"/>
    <w:rsid w:val="00215FE1"/>
    <w:rsid w:val="00221875"/>
    <w:rsid w:val="00224BD0"/>
    <w:rsid w:val="00230900"/>
    <w:rsid w:val="00236389"/>
    <w:rsid w:val="00236DDD"/>
    <w:rsid w:val="00241AA8"/>
    <w:rsid w:val="0024266B"/>
    <w:rsid w:val="002434E2"/>
    <w:rsid w:val="0025157B"/>
    <w:rsid w:val="00252811"/>
    <w:rsid w:val="002528B8"/>
    <w:rsid w:val="002619AF"/>
    <w:rsid w:val="00263AC8"/>
    <w:rsid w:val="002732F8"/>
    <w:rsid w:val="00277533"/>
    <w:rsid w:val="00277C23"/>
    <w:rsid w:val="002814F6"/>
    <w:rsid w:val="002829DF"/>
    <w:rsid w:val="0028315E"/>
    <w:rsid w:val="0029131E"/>
    <w:rsid w:val="00294326"/>
    <w:rsid w:val="002950F3"/>
    <w:rsid w:val="002A01AD"/>
    <w:rsid w:val="002A0F09"/>
    <w:rsid w:val="002A77CD"/>
    <w:rsid w:val="002B2146"/>
    <w:rsid w:val="002B2A76"/>
    <w:rsid w:val="002B6C94"/>
    <w:rsid w:val="002B71AC"/>
    <w:rsid w:val="002C07ED"/>
    <w:rsid w:val="002C17DE"/>
    <w:rsid w:val="002C4EDD"/>
    <w:rsid w:val="002D059B"/>
    <w:rsid w:val="002D3EB2"/>
    <w:rsid w:val="002E0027"/>
    <w:rsid w:val="002E1661"/>
    <w:rsid w:val="002E1990"/>
    <w:rsid w:val="002E333D"/>
    <w:rsid w:val="002F2D6E"/>
    <w:rsid w:val="002F6856"/>
    <w:rsid w:val="002F787B"/>
    <w:rsid w:val="002F7A44"/>
    <w:rsid w:val="00300D14"/>
    <w:rsid w:val="00307F34"/>
    <w:rsid w:val="003250E2"/>
    <w:rsid w:val="003262F9"/>
    <w:rsid w:val="00332D8C"/>
    <w:rsid w:val="0033581E"/>
    <w:rsid w:val="003432F0"/>
    <w:rsid w:val="00345588"/>
    <w:rsid w:val="0034586D"/>
    <w:rsid w:val="0034740D"/>
    <w:rsid w:val="00353450"/>
    <w:rsid w:val="003571DD"/>
    <w:rsid w:val="003707E8"/>
    <w:rsid w:val="0037218A"/>
    <w:rsid w:val="00377F25"/>
    <w:rsid w:val="00384C01"/>
    <w:rsid w:val="003A7CF6"/>
    <w:rsid w:val="003B693C"/>
    <w:rsid w:val="003C480F"/>
    <w:rsid w:val="003D2325"/>
    <w:rsid w:val="003D3A44"/>
    <w:rsid w:val="003D653E"/>
    <w:rsid w:val="003E5A3D"/>
    <w:rsid w:val="003F1AD6"/>
    <w:rsid w:val="003F427F"/>
    <w:rsid w:val="003F5D5D"/>
    <w:rsid w:val="003F60AF"/>
    <w:rsid w:val="00407788"/>
    <w:rsid w:val="00410195"/>
    <w:rsid w:val="00410BBD"/>
    <w:rsid w:val="00431C5E"/>
    <w:rsid w:val="00447ADE"/>
    <w:rsid w:val="00451E18"/>
    <w:rsid w:val="00455AFE"/>
    <w:rsid w:val="004570C2"/>
    <w:rsid w:val="00457F83"/>
    <w:rsid w:val="00473804"/>
    <w:rsid w:val="00474C60"/>
    <w:rsid w:val="004756BB"/>
    <w:rsid w:val="00486DF4"/>
    <w:rsid w:val="00491560"/>
    <w:rsid w:val="00493CAD"/>
    <w:rsid w:val="00496961"/>
    <w:rsid w:val="004A0BD3"/>
    <w:rsid w:val="004A5AA0"/>
    <w:rsid w:val="004A678B"/>
    <w:rsid w:val="004B0F14"/>
    <w:rsid w:val="004B1B28"/>
    <w:rsid w:val="004B705F"/>
    <w:rsid w:val="004C644C"/>
    <w:rsid w:val="004C6BC8"/>
    <w:rsid w:val="004D475B"/>
    <w:rsid w:val="004F5EA7"/>
    <w:rsid w:val="0050119C"/>
    <w:rsid w:val="005023D0"/>
    <w:rsid w:val="00502FB5"/>
    <w:rsid w:val="00507F5A"/>
    <w:rsid w:val="00512BBA"/>
    <w:rsid w:val="0051711A"/>
    <w:rsid w:val="005204E0"/>
    <w:rsid w:val="00520928"/>
    <w:rsid w:val="00521278"/>
    <w:rsid w:val="00521AC9"/>
    <w:rsid w:val="00525786"/>
    <w:rsid w:val="005357F9"/>
    <w:rsid w:val="00552360"/>
    <w:rsid w:val="0055260A"/>
    <w:rsid w:val="00557B0C"/>
    <w:rsid w:val="00557C4D"/>
    <w:rsid w:val="00565F3E"/>
    <w:rsid w:val="005744C1"/>
    <w:rsid w:val="005865D9"/>
    <w:rsid w:val="005A060C"/>
    <w:rsid w:val="005A168D"/>
    <w:rsid w:val="005C2539"/>
    <w:rsid w:val="005C26F1"/>
    <w:rsid w:val="005C7E4C"/>
    <w:rsid w:val="005D162C"/>
    <w:rsid w:val="005D6C28"/>
    <w:rsid w:val="005E529E"/>
    <w:rsid w:val="005F6F62"/>
    <w:rsid w:val="005F710B"/>
    <w:rsid w:val="00600C55"/>
    <w:rsid w:val="006033F5"/>
    <w:rsid w:val="006163FB"/>
    <w:rsid w:val="00620019"/>
    <w:rsid w:val="00622A0C"/>
    <w:rsid w:val="0062469F"/>
    <w:rsid w:val="0062586E"/>
    <w:rsid w:val="00631927"/>
    <w:rsid w:val="00631D50"/>
    <w:rsid w:val="0066014E"/>
    <w:rsid w:val="00664C5D"/>
    <w:rsid w:val="006662B1"/>
    <w:rsid w:val="00677363"/>
    <w:rsid w:val="006842DA"/>
    <w:rsid w:val="00687AB6"/>
    <w:rsid w:val="00687ABF"/>
    <w:rsid w:val="00687C37"/>
    <w:rsid w:val="0069746B"/>
    <w:rsid w:val="006A0872"/>
    <w:rsid w:val="006A645D"/>
    <w:rsid w:val="006B525B"/>
    <w:rsid w:val="006B6FA2"/>
    <w:rsid w:val="006C1B95"/>
    <w:rsid w:val="006D1201"/>
    <w:rsid w:val="006E0266"/>
    <w:rsid w:val="006E33BB"/>
    <w:rsid w:val="006F776E"/>
    <w:rsid w:val="00704474"/>
    <w:rsid w:val="0070513A"/>
    <w:rsid w:val="0070532E"/>
    <w:rsid w:val="0070751C"/>
    <w:rsid w:val="007110A8"/>
    <w:rsid w:val="007135BF"/>
    <w:rsid w:val="007210D4"/>
    <w:rsid w:val="007243E3"/>
    <w:rsid w:val="00725911"/>
    <w:rsid w:val="00734DC5"/>
    <w:rsid w:val="0074656E"/>
    <w:rsid w:val="00747B23"/>
    <w:rsid w:val="007514C2"/>
    <w:rsid w:val="00764183"/>
    <w:rsid w:val="00765C0C"/>
    <w:rsid w:val="00771774"/>
    <w:rsid w:val="00781CFC"/>
    <w:rsid w:val="00781E99"/>
    <w:rsid w:val="00786A32"/>
    <w:rsid w:val="007A1D4A"/>
    <w:rsid w:val="007A2164"/>
    <w:rsid w:val="007A5732"/>
    <w:rsid w:val="007B02F3"/>
    <w:rsid w:val="007B6742"/>
    <w:rsid w:val="007B7AE1"/>
    <w:rsid w:val="007C2B06"/>
    <w:rsid w:val="007D6015"/>
    <w:rsid w:val="007F579E"/>
    <w:rsid w:val="00800D51"/>
    <w:rsid w:val="0080362D"/>
    <w:rsid w:val="00803FEC"/>
    <w:rsid w:val="00805664"/>
    <w:rsid w:val="00815FD4"/>
    <w:rsid w:val="008170E7"/>
    <w:rsid w:val="00821082"/>
    <w:rsid w:val="00821D20"/>
    <w:rsid w:val="00823B8D"/>
    <w:rsid w:val="00823DA7"/>
    <w:rsid w:val="00832E03"/>
    <w:rsid w:val="0083702E"/>
    <w:rsid w:val="00837BD6"/>
    <w:rsid w:val="00842ECA"/>
    <w:rsid w:val="00845C47"/>
    <w:rsid w:val="00852AD6"/>
    <w:rsid w:val="0085585A"/>
    <w:rsid w:val="00865483"/>
    <w:rsid w:val="00871D04"/>
    <w:rsid w:val="00872609"/>
    <w:rsid w:val="00880A31"/>
    <w:rsid w:val="00894790"/>
    <w:rsid w:val="008A0CC9"/>
    <w:rsid w:val="008A0EB5"/>
    <w:rsid w:val="008A64B0"/>
    <w:rsid w:val="008A6B5E"/>
    <w:rsid w:val="008B65BC"/>
    <w:rsid w:val="008C2194"/>
    <w:rsid w:val="008C705B"/>
    <w:rsid w:val="008D32AD"/>
    <w:rsid w:val="008D571C"/>
    <w:rsid w:val="008E1594"/>
    <w:rsid w:val="008E3414"/>
    <w:rsid w:val="008E34AC"/>
    <w:rsid w:val="008E41E4"/>
    <w:rsid w:val="008F062F"/>
    <w:rsid w:val="008F18D1"/>
    <w:rsid w:val="008F2E4C"/>
    <w:rsid w:val="0090063D"/>
    <w:rsid w:val="00901162"/>
    <w:rsid w:val="00901D4C"/>
    <w:rsid w:val="00904599"/>
    <w:rsid w:val="00905E46"/>
    <w:rsid w:val="0091311E"/>
    <w:rsid w:val="00920D34"/>
    <w:rsid w:val="00937268"/>
    <w:rsid w:val="00944505"/>
    <w:rsid w:val="009454DA"/>
    <w:rsid w:val="00953141"/>
    <w:rsid w:val="00954FA9"/>
    <w:rsid w:val="0096005E"/>
    <w:rsid w:val="00974C2C"/>
    <w:rsid w:val="009753EE"/>
    <w:rsid w:val="00976798"/>
    <w:rsid w:val="00977836"/>
    <w:rsid w:val="00977E15"/>
    <w:rsid w:val="00983BDC"/>
    <w:rsid w:val="00992C2F"/>
    <w:rsid w:val="009A74A2"/>
    <w:rsid w:val="009B10AF"/>
    <w:rsid w:val="009B4277"/>
    <w:rsid w:val="009B47D8"/>
    <w:rsid w:val="009C2C9D"/>
    <w:rsid w:val="009C48E1"/>
    <w:rsid w:val="009C732E"/>
    <w:rsid w:val="009C74CD"/>
    <w:rsid w:val="009D0C3A"/>
    <w:rsid w:val="009E40ED"/>
    <w:rsid w:val="009F0414"/>
    <w:rsid w:val="009F0838"/>
    <w:rsid w:val="009F26B9"/>
    <w:rsid w:val="009F28F5"/>
    <w:rsid w:val="00A05950"/>
    <w:rsid w:val="00A06743"/>
    <w:rsid w:val="00A068C9"/>
    <w:rsid w:val="00A4423B"/>
    <w:rsid w:val="00A4517D"/>
    <w:rsid w:val="00A51D81"/>
    <w:rsid w:val="00A53A39"/>
    <w:rsid w:val="00A606D7"/>
    <w:rsid w:val="00A65EC8"/>
    <w:rsid w:val="00A7371E"/>
    <w:rsid w:val="00A86A63"/>
    <w:rsid w:val="00AA7941"/>
    <w:rsid w:val="00AB2C82"/>
    <w:rsid w:val="00AB312E"/>
    <w:rsid w:val="00AC4400"/>
    <w:rsid w:val="00AC5AB3"/>
    <w:rsid w:val="00AD4439"/>
    <w:rsid w:val="00AE73D1"/>
    <w:rsid w:val="00AF33F4"/>
    <w:rsid w:val="00AF555F"/>
    <w:rsid w:val="00AF6CB8"/>
    <w:rsid w:val="00AF7160"/>
    <w:rsid w:val="00B00EA4"/>
    <w:rsid w:val="00B0548E"/>
    <w:rsid w:val="00B1283B"/>
    <w:rsid w:val="00B21413"/>
    <w:rsid w:val="00B264FF"/>
    <w:rsid w:val="00B27FD8"/>
    <w:rsid w:val="00B3726A"/>
    <w:rsid w:val="00B40D86"/>
    <w:rsid w:val="00B51FF4"/>
    <w:rsid w:val="00B53A4F"/>
    <w:rsid w:val="00B557F9"/>
    <w:rsid w:val="00B604D0"/>
    <w:rsid w:val="00B60920"/>
    <w:rsid w:val="00B94D47"/>
    <w:rsid w:val="00B978A5"/>
    <w:rsid w:val="00BA597D"/>
    <w:rsid w:val="00BB3F16"/>
    <w:rsid w:val="00BB4549"/>
    <w:rsid w:val="00BC21ED"/>
    <w:rsid w:val="00BC4882"/>
    <w:rsid w:val="00BC542C"/>
    <w:rsid w:val="00BE0A3D"/>
    <w:rsid w:val="00BE1B27"/>
    <w:rsid w:val="00BF0CB4"/>
    <w:rsid w:val="00BF4A3C"/>
    <w:rsid w:val="00BF5716"/>
    <w:rsid w:val="00BF7DF6"/>
    <w:rsid w:val="00C05812"/>
    <w:rsid w:val="00C13F3E"/>
    <w:rsid w:val="00C23522"/>
    <w:rsid w:val="00C2470B"/>
    <w:rsid w:val="00C33785"/>
    <w:rsid w:val="00C43348"/>
    <w:rsid w:val="00C46311"/>
    <w:rsid w:val="00C530FB"/>
    <w:rsid w:val="00C554E5"/>
    <w:rsid w:val="00C615D6"/>
    <w:rsid w:val="00C62409"/>
    <w:rsid w:val="00C643AD"/>
    <w:rsid w:val="00C679DC"/>
    <w:rsid w:val="00C724ED"/>
    <w:rsid w:val="00C75AA7"/>
    <w:rsid w:val="00C75ACD"/>
    <w:rsid w:val="00C76DFA"/>
    <w:rsid w:val="00C804ED"/>
    <w:rsid w:val="00C83B67"/>
    <w:rsid w:val="00C93424"/>
    <w:rsid w:val="00C96458"/>
    <w:rsid w:val="00CA182C"/>
    <w:rsid w:val="00CA2361"/>
    <w:rsid w:val="00CB3487"/>
    <w:rsid w:val="00CC1884"/>
    <w:rsid w:val="00CD12BF"/>
    <w:rsid w:val="00CD24CD"/>
    <w:rsid w:val="00CF6F31"/>
    <w:rsid w:val="00CF7E92"/>
    <w:rsid w:val="00D0220C"/>
    <w:rsid w:val="00D027A0"/>
    <w:rsid w:val="00D033BB"/>
    <w:rsid w:val="00D03732"/>
    <w:rsid w:val="00D07C77"/>
    <w:rsid w:val="00D37247"/>
    <w:rsid w:val="00D500E8"/>
    <w:rsid w:val="00D56176"/>
    <w:rsid w:val="00D57C3C"/>
    <w:rsid w:val="00D64E7C"/>
    <w:rsid w:val="00D73F31"/>
    <w:rsid w:val="00D77964"/>
    <w:rsid w:val="00D8520F"/>
    <w:rsid w:val="00D85EB1"/>
    <w:rsid w:val="00D90E9A"/>
    <w:rsid w:val="00DA3A38"/>
    <w:rsid w:val="00DB1A8E"/>
    <w:rsid w:val="00DB1F36"/>
    <w:rsid w:val="00DB6F2F"/>
    <w:rsid w:val="00DC371C"/>
    <w:rsid w:val="00DD1C9E"/>
    <w:rsid w:val="00DD5C27"/>
    <w:rsid w:val="00DF3EE6"/>
    <w:rsid w:val="00DF74C0"/>
    <w:rsid w:val="00E01963"/>
    <w:rsid w:val="00E20860"/>
    <w:rsid w:val="00E229A9"/>
    <w:rsid w:val="00E24768"/>
    <w:rsid w:val="00E26BEA"/>
    <w:rsid w:val="00E274A3"/>
    <w:rsid w:val="00E30341"/>
    <w:rsid w:val="00E346DD"/>
    <w:rsid w:val="00E350FE"/>
    <w:rsid w:val="00E43C42"/>
    <w:rsid w:val="00E4518E"/>
    <w:rsid w:val="00E66D21"/>
    <w:rsid w:val="00E809FB"/>
    <w:rsid w:val="00E914BC"/>
    <w:rsid w:val="00EA0709"/>
    <w:rsid w:val="00EA5CBD"/>
    <w:rsid w:val="00EB0406"/>
    <w:rsid w:val="00EB19DE"/>
    <w:rsid w:val="00EB4D96"/>
    <w:rsid w:val="00EB5113"/>
    <w:rsid w:val="00EB6664"/>
    <w:rsid w:val="00ED0450"/>
    <w:rsid w:val="00ED585F"/>
    <w:rsid w:val="00ED759F"/>
    <w:rsid w:val="00EE6EA7"/>
    <w:rsid w:val="00EF475B"/>
    <w:rsid w:val="00F0491F"/>
    <w:rsid w:val="00F1115E"/>
    <w:rsid w:val="00F13A4A"/>
    <w:rsid w:val="00F144A0"/>
    <w:rsid w:val="00F17085"/>
    <w:rsid w:val="00F2053A"/>
    <w:rsid w:val="00F2108E"/>
    <w:rsid w:val="00F22B9A"/>
    <w:rsid w:val="00F25144"/>
    <w:rsid w:val="00F253CC"/>
    <w:rsid w:val="00F451FF"/>
    <w:rsid w:val="00F525A3"/>
    <w:rsid w:val="00F52DCC"/>
    <w:rsid w:val="00F53083"/>
    <w:rsid w:val="00F70887"/>
    <w:rsid w:val="00F73BBE"/>
    <w:rsid w:val="00F777C2"/>
    <w:rsid w:val="00F81CD3"/>
    <w:rsid w:val="00F913D8"/>
    <w:rsid w:val="00F93507"/>
    <w:rsid w:val="00FA3476"/>
    <w:rsid w:val="00FA4093"/>
    <w:rsid w:val="00FA6586"/>
    <w:rsid w:val="00FA6F1B"/>
    <w:rsid w:val="00FB179B"/>
    <w:rsid w:val="00FC52DF"/>
    <w:rsid w:val="00FE0BEE"/>
    <w:rsid w:val="00FE203C"/>
    <w:rsid w:val="00FE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7A6C7"/>
  <w15:chartTrackingRefBased/>
  <w15:docId w15:val="{017ED74B-707D-41AE-B693-98DE329C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39"/>
    <w:pPr>
      <w:widowControl w:val="0"/>
      <w:suppressAutoHyphens/>
      <w:spacing w:before="240" w:after="0" w:line="480" w:lineRule="auto"/>
      <w:jc w:val="both"/>
    </w:pPr>
    <w:rPr>
      <w:rFonts w:eastAsia="Times New Roman" w:cstheme="minorHAnsi"/>
      <w:kern w:val="0"/>
      <w:sz w:val="24"/>
      <w:szCs w:val="24"/>
      <w:lang w:eastAsia="en-GB"/>
      <w14:ligatures w14:val="none"/>
    </w:rPr>
  </w:style>
  <w:style w:type="paragraph" w:styleId="Heading1">
    <w:name w:val="heading 1"/>
    <w:basedOn w:val="Normal"/>
    <w:next w:val="Normal"/>
    <w:link w:val="Heading1Char"/>
    <w:qFormat/>
    <w:rsid w:val="00AD4439"/>
    <w:pPr>
      <w:keepNext/>
      <w:keepLines/>
      <w:spacing w:before="360" w:after="80" w:line="276" w:lineRule="auto"/>
      <w:outlineLvl w:val="0"/>
    </w:pPr>
    <w:rPr>
      <w:rFonts w:ascii="Calibri" w:eastAsiaTheme="majorEastAsia" w:hAnsi="Calibri" w:cs="Calibri"/>
      <w:b/>
      <w:bCs/>
      <w:szCs w:val="32"/>
    </w:rPr>
  </w:style>
  <w:style w:type="paragraph" w:styleId="Heading2">
    <w:name w:val="heading 2"/>
    <w:basedOn w:val="Normal"/>
    <w:next w:val="Normal"/>
    <w:link w:val="Heading2Char"/>
    <w:unhideWhenUsed/>
    <w:qFormat/>
    <w:rsid w:val="00AD4439"/>
    <w:pPr>
      <w:keepNext/>
      <w:keepLines/>
      <w:spacing w:before="160" w:after="80"/>
      <w:outlineLvl w:val="1"/>
    </w:pPr>
    <w:rPr>
      <w:rFonts w:ascii="Calibri" w:eastAsiaTheme="majorEastAsia" w:hAnsi="Calibri" w:cs="Calibri"/>
      <w:b/>
      <w:bCs/>
      <w:sz w:val="28"/>
      <w:szCs w:val="28"/>
    </w:rPr>
  </w:style>
  <w:style w:type="paragraph" w:styleId="Heading3">
    <w:name w:val="heading 3"/>
    <w:basedOn w:val="Normal"/>
    <w:next w:val="Normal"/>
    <w:link w:val="Heading3Char"/>
    <w:unhideWhenUsed/>
    <w:qFormat/>
    <w:rsid w:val="00AD4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D4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4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4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4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4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D4439"/>
    <w:rPr>
      <w:rFonts w:ascii="Calibri" w:eastAsiaTheme="majorEastAsia" w:hAnsi="Calibri" w:cs="Calibri"/>
      <w:b/>
      <w:bCs/>
      <w:kern w:val="0"/>
      <w:sz w:val="24"/>
      <w:szCs w:val="32"/>
      <w:lang w:eastAsia="en-GB"/>
      <w14:ligatures w14:val="none"/>
    </w:rPr>
  </w:style>
  <w:style w:type="character" w:customStyle="1" w:styleId="Heading2Char">
    <w:name w:val="Heading 2 Char"/>
    <w:basedOn w:val="DefaultParagraphFont"/>
    <w:link w:val="Heading2"/>
    <w:qFormat/>
    <w:rsid w:val="00AD4439"/>
    <w:rPr>
      <w:rFonts w:ascii="Calibri" w:eastAsiaTheme="majorEastAsia" w:hAnsi="Calibri" w:cs="Calibri"/>
      <w:b/>
      <w:bCs/>
      <w:kern w:val="0"/>
      <w:sz w:val="28"/>
      <w:szCs w:val="28"/>
      <w:lang w:eastAsia="en-GB"/>
      <w14:ligatures w14:val="none"/>
    </w:rPr>
  </w:style>
  <w:style w:type="character" w:customStyle="1" w:styleId="Heading3Char">
    <w:name w:val="Heading 3 Char"/>
    <w:basedOn w:val="DefaultParagraphFont"/>
    <w:link w:val="Heading3"/>
    <w:qFormat/>
    <w:rsid w:val="00AD4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AD4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439"/>
    <w:rPr>
      <w:rFonts w:eastAsiaTheme="majorEastAsia" w:cstheme="majorBidi"/>
      <w:color w:val="272727" w:themeColor="text1" w:themeTint="D8"/>
    </w:rPr>
  </w:style>
  <w:style w:type="paragraph" w:styleId="Title">
    <w:name w:val="Title"/>
    <w:basedOn w:val="Normal"/>
    <w:next w:val="Normal"/>
    <w:link w:val="TitleChar"/>
    <w:uiPriority w:val="10"/>
    <w:qFormat/>
    <w:rsid w:val="00AD4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439"/>
    <w:pPr>
      <w:spacing w:before="160"/>
      <w:jc w:val="center"/>
    </w:pPr>
    <w:rPr>
      <w:i/>
      <w:iCs/>
      <w:color w:val="404040" w:themeColor="text1" w:themeTint="BF"/>
    </w:rPr>
  </w:style>
  <w:style w:type="character" w:customStyle="1" w:styleId="QuoteChar">
    <w:name w:val="Quote Char"/>
    <w:basedOn w:val="DefaultParagraphFont"/>
    <w:link w:val="Quote"/>
    <w:uiPriority w:val="29"/>
    <w:rsid w:val="00AD4439"/>
    <w:rPr>
      <w:i/>
      <w:iCs/>
      <w:color w:val="404040" w:themeColor="text1" w:themeTint="BF"/>
    </w:rPr>
  </w:style>
  <w:style w:type="paragraph" w:styleId="ListParagraph">
    <w:name w:val="List Paragraph"/>
    <w:basedOn w:val="Normal"/>
    <w:uiPriority w:val="34"/>
    <w:qFormat/>
    <w:rsid w:val="00AD4439"/>
    <w:pPr>
      <w:ind w:left="720"/>
      <w:contextualSpacing/>
    </w:pPr>
  </w:style>
  <w:style w:type="character" w:styleId="IntenseEmphasis">
    <w:name w:val="Intense Emphasis"/>
    <w:basedOn w:val="DefaultParagraphFont"/>
    <w:uiPriority w:val="21"/>
    <w:qFormat/>
    <w:rsid w:val="00AD4439"/>
    <w:rPr>
      <w:i/>
      <w:iCs/>
      <w:color w:val="0F4761" w:themeColor="accent1" w:themeShade="BF"/>
    </w:rPr>
  </w:style>
  <w:style w:type="paragraph" w:styleId="IntenseQuote">
    <w:name w:val="Intense Quote"/>
    <w:basedOn w:val="Normal"/>
    <w:next w:val="Normal"/>
    <w:link w:val="IntenseQuoteChar"/>
    <w:uiPriority w:val="30"/>
    <w:qFormat/>
    <w:rsid w:val="00AD4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439"/>
    <w:rPr>
      <w:i/>
      <w:iCs/>
      <w:color w:val="0F4761" w:themeColor="accent1" w:themeShade="BF"/>
    </w:rPr>
  </w:style>
  <w:style w:type="character" w:styleId="IntenseReference">
    <w:name w:val="Intense Reference"/>
    <w:basedOn w:val="DefaultParagraphFont"/>
    <w:uiPriority w:val="32"/>
    <w:qFormat/>
    <w:rsid w:val="00AD4439"/>
    <w:rPr>
      <w:b/>
      <w:bCs/>
      <w:smallCaps/>
      <w:color w:val="0F4761" w:themeColor="accent1" w:themeShade="BF"/>
      <w:spacing w:val="5"/>
    </w:rPr>
  </w:style>
  <w:style w:type="character" w:customStyle="1" w:styleId="FootnoteTextChar">
    <w:name w:val="Footnote Text Char"/>
    <w:basedOn w:val="DefaultParagraphFont"/>
    <w:link w:val="FootnoteText"/>
    <w:qFormat/>
    <w:rsid w:val="007B02F3"/>
    <w:rPr>
      <w:rFonts w:ascii="Calibri" w:hAnsi="Calibri" w:cs="Calibri"/>
    </w:rPr>
  </w:style>
  <w:style w:type="character" w:customStyle="1" w:styleId="FootnoteCharacters">
    <w:name w:val="Footnote Characters"/>
    <w:qFormat/>
    <w:rsid w:val="00AD4439"/>
    <w:rPr>
      <w:vertAlign w:val="superscript"/>
    </w:rPr>
  </w:style>
  <w:style w:type="character" w:styleId="FootnoteReference">
    <w:name w:val="footnote reference"/>
    <w:rsid w:val="00AD4439"/>
    <w:rPr>
      <w:vertAlign w:val="superscript"/>
    </w:rPr>
  </w:style>
  <w:style w:type="character" w:customStyle="1" w:styleId="EndnoteTextChar">
    <w:name w:val="Endnote Text Char"/>
    <w:basedOn w:val="DefaultParagraphFont"/>
    <w:link w:val="EndnoteText"/>
    <w:qFormat/>
    <w:rsid w:val="00AD4439"/>
  </w:style>
  <w:style w:type="character" w:customStyle="1" w:styleId="EndnoteCharacters">
    <w:name w:val="Endnote Characters"/>
    <w:qFormat/>
    <w:rsid w:val="00AD4439"/>
    <w:rPr>
      <w:vertAlign w:val="superscript"/>
    </w:rPr>
  </w:style>
  <w:style w:type="character" w:styleId="EndnoteReference">
    <w:name w:val="endnote reference"/>
    <w:rsid w:val="00AD4439"/>
    <w:rPr>
      <w:vertAlign w:val="superscript"/>
    </w:rPr>
  </w:style>
  <w:style w:type="character" w:customStyle="1" w:styleId="HeaderChar">
    <w:name w:val="Header Char"/>
    <w:basedOn w:val="DefaultParagraphFont"/>
    <w:link w:val="Header"/>
    <w:qFormat/>
    <w:rsid w:val="00AD4439"/>
    <w:rPr>
      <w:rFonts w:eastAsia="Times New Roman"/>
      <w:sz w:val="24"/>
      <w:szCs w:val="24"/>
      <w:lang w:eastAsia="en-GB"/>
    </w:rPr>
  </w:style>
  <w:style w:type="character" w:customStyle="1" w:styleId="FooterChar">
    <w:name w:val="Footer Char"/>
    <w:basedOn w:val="DefaultParagraphFont"/>
    <w:link w:val="Footer"/>
    <w:uiPriority w:val="99"/>
    <w:qFormat/>
    <w:rsid w:val="00AD4439"/>
    <w:rPr>
      <w:sz w:val="24"/>
      <w:szCs w:val="24"/>
    </w:rPr>
  </w:style>
  <w:style w:type="character" w:styleId="PlaceholderText">
    <w:name w:val="Placeholder Text"/>
    <w:basedOn w:val="DefaultParagraphFont"/>
    <w:semiHidden/>
    <w:qFormat/>
    <w:rsid w:val="00AD4439"/>
    <w:rPr>
      <w:color w:val="808080"/>
    </w:rPr>
  </w:style>
  <w:style w:type="character" w:styleId="Hyperlink">
    <w:name w:val="Hyperlink"/>
    <w:basedOn w:val="DefaultParagraphFont"/>
    <w:uiPriority w:val="99"/>
    <w:unhideWhenUsed/>
    <w:rsid w:val="00AD4439"/>
    <w:rPr>
      <w:color w:val="0000FF"/>
      <w:u w:val="single"/>
    </w:rPr>
  </w:style>
  <w:style w:type="character" w:styleId="FollowedHyperlink">
    <w:name w:val="FollowedHyperlink"/>
    <w:basedOn w:val="DefaultParagraphFont"/>
    <w:semiHidden/>
    <w:unhideWhenUsed/>
    <w:rsid w:val="00AD4439"/>
    <w:rPr>
      <w:color w:val="96607D" w:themeColor="followedHyperlink"/>
      <w:u w:val="single"/>
    </w:rPr>
  </w:style>
  <w:style w:type="character" w:customStyle="1" w:styleId="UnresolvedMention1">
    <w:name w:val="Unresolved Mention1"/>
    <w:basedOn w:val="DefaultParagraphFont"/>
    <w:uiPriority w:val="99"/>
    <w:semiHidden/>
    <w:unhideWhenUsed/>
    <w:qFormat/>
    <w:rsid w:val="00AD4439"/>
    <w:rPr>
      <w:color w:val="605E5C"/>
      <w:shd w:val="clear" w:color="auto" w:fill="E1DFDD"/>
    </w:rPr>
  </w:style>
  <w:style w:type="character" w:styleId="CommentReference">
    <w:name w:val="annotation reference"/>
    <w:basedOn w:val="DefaultParagraphFont"/>
    <w:uiPriority w:val="99"/>
    <w:semiHidden/>
    <w:unhideWhenUsed/>
    <w:qFormat/>
    <w:rsid w:val="00AD4439"/>
    <w:rPr>
      <w:sz w:val="16"/>
      <w:szCs w:val="16"/>
    </w:rPr>
  </w:style>
  <w:style w:type="character" w:customStyle="1" w:styleId="CommentTextChar">
    <w:name w:val="Comment Text Char"/>
    <w:basedOn w:val="DefaultParagraphFont"/>
    <w:link w:val="CommentText"/>
    <w:uiPriority w:val="99"/>
    <w:qFormat/>
    <w:rsid w:val="00AD4439"/>
  </w:style>
  <w:style w:type="character" w:customStyle="1" w:styleId="CommentSubjectChar">
    <w:name w:val="Comment Subject Char"/>
    <w:basedOn w:val="CommentTextChar"/>
    <w:link w:val="CommentSubject"/>
    <w:semiHidden/>
    <w:qFormat/>
    <w:rsid w:val="00AD4439"/>
    <w:rPr>
      <w:b/>
      <w:bCs/>
    </w:rPr>
  </w:style>
  <w:style w:type="character" w:customStyle="1" w:styleId="BalloonTextChar">
    <w:name w:val="Balloon Text Char"/>
    <w:basedOn w:val="DefaultParagraphFont"/>
    <w:link w:val="BalloonText"/>
    <w:semiHidden/>
    <w:qFormat/>
    <w:rsid w:val="00AD4439"/>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qFormat/>
    <w:rsid w:val="00AD4439"/>
    <w:rPr>
      <w:color w:val="605E5C"/>
      <w:shd w:val="clear" w:color="auto" w:fill="E1DFDD"/>
    </w:rPr>
  </w:style>
  <w:style w:type="character" w:customStyle="1" w:styleId="UnresolvedMention3">
    <w:name w:val="Unresolved Mention3"/>
    <w:basedOn w:val="DefaultParagraphFont"/>
    <w:uiPriority w:val="99"/>
    <w:semiHidden/>
    <w:unhideWhenUsed/>
    <w:qFormat/>
    <w:rsid w:val="00AD4439"/>
    <w:rPr>
      <w:color w:val="605E5C"/>
      <w:shd w:val="clear" w:color="auto" w:fill="E1DFDD"/>
    </w:rPr>
  </w:style>
  <w:style w:type="character" w:customStyle="1" w:styleId="cf01">
    <w:name w:val="cf01"/>
    <w:basedOn w:val="DefaultParagraphFont"/>
    <w:qFormat/>
    <w:rsid w:val="00AD4439"/>
    <w:rPr>
      <w:rFonts w:ascii="Segoe UI" w:hAnsi="Segoe UI" w:cs="Segoe UI"/>
      <w:sz w:val="18"/>
      <w:szCs w:val="18"/>
    </w:rPr>
  </w:style>
  <w:style w:type="character" w:styleId="Emphasis">
    <w:name w:val="Emphasis"/>
    <w:basedOn w:val="DefaultParagraphFont"/>
    <w:uiPriority w:val="20"/>
    <w:qFormat/>
    <w:rsid w:val="00AD4439"/>
    <w:rPr>
      <w:i/>
      <w:iCs/>
    </w:rPr>
  </w:style>
  <w:style w:type="character" w:customStyle="1" w:styleId="--l">
    <w:name w:val="--l"/>
    <w:basedOn w:val="DefaultParagraphFont"/>
    <w:qFormat/>
    <w:rsid w:val="00AD4439"/>
  </w:style>
  <w:style w:type="character" w:customStyle="1" w:styleId="IndexLink">
    <w:name w:val="Index Link"/>
    <w:qFormat/>
    <w:rsid w:val="00AD4439"/>
  </w:style>
  <w:style w:type="character" w:styleId="LineNumber">
    <w:name w:val="line number"/>
    <w:rsid w:val="00AD4439"/>
  </w:style>
  <w:style w:type="paragraph" w:customStyle="1" w:styleId="Heading">
    <w:name w:val="Heading"/>
    <w:basedOn w:val="Normal"/>
    <w:next w:val="BodyText"/>
    <w:qFormat/>
    <w:rsid w:val="00AD4439"/>
    <w:pPr>
      <w:keepNext/>
      <w:spacing w:after="120"/>
    </w:pPr>
    <w:rPr>
      <w:rFonts w:ascii="Liberation Sans" w:eastAsia="Noto Sans CJK SC" w:hAnsi="Liberation Sans" w:cs="Lohit Devanagari"/>
      <w:sz w:val="28"/>
      <w:szCs w:val="28"/>
    </w:rPr>
  </w:style>
  <w:style w:type="paragraph" w:styleId="BodyText">
    <w:name w:val="Body Text"/>
    <w:basedOn w:val="Normal"/>
    <w:link w:val="BodyTextChar"/>
    <w:rsid w:val="00AD4439"/>
    <w:pPr>
      <w:spacing w:before="0" w:after="140" w:line="276" w:lineRule="auto"/>
    </w:pPr>
  </w:style>
  <w:style w:type="character" w:customStyle="1" w:styleId="BodyTextChar">
    <w:name w:val="Body Text Char"/>
    <w:basedOn w:val="DefaultParagraphFont"/>
    <w:link w:val="BodyText"/>
    <w:rsid w:val="00AD4439"/>
    <w:rPr>
      <w:rFonts w:eastAsia="Times New Roman" w:cstheme="minorHAnsi"/>
      <w:kern w:val="0"/>
      <w:sz w:val="24"/>
      <w:szCs w:val="24"/>
      <w:lang w:eastAsia="en-GB"/>
      <w14:ligatures w14:val="none"/>
    </w:rPr>
  </w:style>
  <w:style w:type="paragraph" w:styleId="List">
    <w:name w:val="List"/>
    <w:basedOn w:val="BodyText"/>
    <w:rsid w:val="00AD4439"/>
    <w:rPr>
      <w:rFonts w:cs="Lohit Devanagari"/>
    </w:rPr>
  </w:style>
  <w:style w:type="paragraph" w:styleId="Caption">
    <w:name w:val="caption"/>
    <w:basedOn w:val="Normal"/>
    <w:next w:val="Normal"/>
    <w:unhideWhenUsed/>
    <w:qFormat/>
    <w:rsid w:val="00AD4439"/>
    <w:pPr>
      <w:spacing w:before="0" w:after="200" w:line="240" w:lineRule="auto"/>
    </w:pPr>
    <w:rPr>
      <w:i/>
      <w:iCs/>
      <w:color w:val="0E2841" w:themeColor="text2"/>
      <w:sz w:val="18"/>
      <w:szCs w:val="18"/>
    </w:rPr>
  </w:style>
  <w:style w:type="paragraph" w:customStyle="1" w:styleId="Index">
    <w:name w:val="Index"/>
    <w:basedOn w:val="Normal"/>
    <w:qFormat/>
    <w:rsid w:val="00AD4439"/>
    <w:pPr>
      <w:suppressLineNumbers/>
    </w:pPr>
    <w:rPr>
      <w:rFonts w:cs="Lohit Devanagari"/>
    </w:rPr>
  </w:style>
  <w:style w:type="paragraph" w:customStyle="1" w:styleId="Articletitle">
    <w:name w:val="Article title"/>
    <w:basedOn w:val="Normal"/>
    <w:next w:val="Normal"/>
    <w:qFormat/>
    <w:rsid w:val="00AD4439"/>
    <w:pPr>
      <w:spacing w:after="120" w:line="360" w:lineRule="auto"/>
    </w:pPr>
    <w:rPr>
      <w:b/>
      <w:sz w:val="28"/>
    </w:rPr>
  </w:style>
  <w:style w:type="paragraph" w:customStyle="1" w:styleId="Authornames">
    <w:name w:val="Author names"/>
    <w:basedOn w:val="Normal"/>
    <w:next w:val="Normal"/>
    <w:qFormat/>
    <w:rsid w:val="00AD4439"/>
    <w:pPr>
      <w:spacing w:line="360" w:lineRule="auto"/>
    </w:pPr>
    <w:rPr>
      <w:sz w:val="28"/>
    </w:rPr>
  </w:style>
  <w:style w:type="paragraph" w:customStyle="1" w:styleId="Affiliation">
    <w:name w:val="Affiliation"/>
    <w:basedOn w:val="Normal"/>
    <w:qFormat/>
    <w:rsid w:val="00AD4439"/>
    <w:pPr>
      <w:spacing w:line="360" w:lineRule="auto"/>
    </w:pPr>
    <w:rPr>
      <w:i/>
    </w:rPr>
  </w:style>
  <w:style w:type="paragraph" w:customStyle="1" w:styleId="Receiveddates">
    <w:name w:val="Received dates"/>
    <w:basedOn w:val="Affiliation"/>
    <w:next w:val="Normal"/>
    <w:qFormat/>
    <w:rsid w:val="00AD4439"/>
  </w:style>
  <w:style w:type="paragraph" w:customStyle="1" w:styleId="Abstract">
    <w:name w:val="Abstract"/>
    <w:basedOn w:val="Normal"/>
    <w:next w:val="Keywords"/>
    <w:qFormat/>
    <w:rsid w:val="00AD4439"/>
    <w:pPr>
      <w:spacing w:before="360" w:after="300" w:line="360" w:lineRule="auto"/>
      <w:ind w:left="720" w:right="567"/>
    </w:pPr>
    <w:rPr>
      <w:sz w:val="22"/>
    </w:rPr>
  </w:style>
  <w:style w:type="paragraph" w:customStyle="1" w:styleId="Keywords">
    <w:name w:val="Keywords"/>
    <w:basedOn w:val="Normal"/>
    <w:next w:val="Paragraph"/>
    <w:qFormat/>
    <w:rsid w:val="00AD4439"/>
    <w:pPr>
      <w:spacing w:after="240" w:line="360" w:lineRule="auto"/>
      <w:ind w:left="720" w:right="567"/>
    </w:pPr>
    <w:rPr>
      <w:sz w:val="22"/>
    </w:rPr>
  </w:style>
  <w:style w:type="paragraph" w:customStyle="1" w:styleId="Correspondencedetails">
    <w:name w:val="Correspondence details"/>
    <w:basedOn w:val="Normal"/>
    <w:qFormat/>
    <w:rsid w:val="00AD4439"/>
    <w:pPr>
      <w:spacing w:line="360" w:lineRule="auto"/>
    </w:pPr>
  </w:style>
  <w:style w:type="paragraph" w:customStyle="1" w:styleId="Displayedquotation">
    <w:name w:val="Displayed quotation"/>
    <w:basedOn w:val="Normal"/>
    <w:qFormat/>
    <w:rsid w:val="00AD4439"/>
    <w:pPr>
      <w:tabs>
        <w:tab w:val="left" w:pos="1077"/>
        <w:tab w:val="left" w:pos="1440"/>
        <w:tab w:val="left" w:pos="1797"/>
        <w:tab w:val="left" w:pos="2155"/>
        <w:tab w:val="left" w:pos="2512"/>
      </w:tabs>
      <w:spacing w:after="360" w:line="360" w:lineRule="auto"/>
      <w:ind w:left="709" w:right="425"/>
      <w:contextualSpacing/>
    </w:pPr>
    <w:rPr>
      <w:sz w:val="22"/>
    </w:rPr>
  </w:style>
  <w:style w:type="paragraph" w:customStyle="1" w:styleId="Numberedlist">
    <w:name w:val="Numbered list"/>
    <w:basedOn w:val="Paragraph"/>
    <w:next w:val="Paragraph"/>
    <w:qFormat/>
    <w:rsid w:val="00AD4439"/>
    <w:pPr>
      <w:widowControl/>
      <w:numPr>
        <w:numId w:val="1"/>
      </w:numPr>
      <w:spacing w:before="0" w:after="240"/>
      <w:contextualSpacing/>
    </w:pPr>
  </w:style>
  <w:style w:type="paragraph" w:customStyle="1" w:styleId="Displayedequation">
    <w:name w:val="Displayed equation"/>
    <w:basedOn w:val="Normal"/>
    <w:next w:val="Paragraph"/>
    <w:qFormat/>
    <w:rsid w:val="00AD4439"/>
    <w:pPr>
      <w:tabs>
        <w:tab w:val="center" w:pos="4253"/>
        <w:tab w:val="right" w:pos="8222"/>
      </w:tabs>
      <w:spacing w:after="240"/>
      <w:jc w:val="center"/>
    </w:pPr>
  </w:style>
  <w:style w:type="paragraph" w:customStyle="1" w:styleId="Acknowledgements">
    <w:name w:val="Acknowledgements"/>
    <w:basedOn w:val="Normal"/>
    <w:next w:val="Normal"/>
    <w:qFormat/>
    <w:rsid w:val="00AD4439"/>
    <w:pPr>
      <w:spacing w:before="120" w:line="360" w:lineRule="auto"/>
    </w:pPr>
    <w:rPr>
      <w:sz w:val="22"/>
    </w:rPr>
  </w:style>
  <w:style w:type="paragraph" w:customStyle="1" w:styleId="Tabletitle">
    <w:name w:val="Table title"/>
    <w:basedOn w:val="Normal"/>
    <w:next w:val="Normal"/>
    <w:qFormat/>
    <w:rsid w:val="00AD4439"/>
    <w:pPr>
      <w:spacing w:line="360" w:lineRule="auto"/>
    </w:pPr>
  </w:style>
  <w:style w:type="paragraph" w:customStyle="1" w:styleId="Figurecaption">
    <w:name w:val="Figure caption"/>
    <w:basedOn w:val="Normal"/>
    <w:next w:val="Normal"/>
    <w:qFormat/>
    <w:rsid w:val="00AD4439"/>
    <w:pPr>
      <w:spacing w:line="360" w:lineRule="auto"/>
    </w:pPr>
  </w:style>
  <w:style w:type="paragraph" w:customStyle="1" w:styleId="Footnotes">
    <w:name w:val="Footnotes"/>
    <w:basedOn w:val="Normal"/>
    <w:qFormat/>
    <w:rsid w:val="00AD4439"/>
    <w:pPr>
      <w:spacing w:before="120" w:line="360" w:lineRule="auto"/>
      <w:ind w:left="482" w:hanging="482"/>
      <w:contextualSpacing/>
    </w:pPr>
    <w:rPr>
      <w:sz w:val="22"/>
    </w:rPr>
  </w:style>
  <w:style w:type="paragraph" w:customStyle="1" w:styleId="Notesoncontributors">
    <w:name w:val="Notes on contributors"/>
    <w:basedOn w:val="Normal"/>
    <w:qFormat/>
    <w:rsid w:val="00AD4439"/>
    <w:pPr>
      <w:spacing w:line="360" w:lineRule="auto"/>
    </w:pPr>
    <w:rPr>
      <w:sz w:val="22"/>
    </w:rPr>
  </w:style>
  <w:style w:type="paragraph" w:customStyle="1" w:styleId="Normalparagraphstyle">
    <w:name w:val="Normal paragraph style"/>
    <w:basedOn w:val="Normal"/>
    <w:next w:val="Normal"/>
    <w:qFormat/>
    <w:rsid w:val="00AD4439"/>
  </w:style>
  <w:style w:type="paragraph" w:customStyle="1" w:styleId="Paragraph">
    <w:name w:val="Paragraph"/>
    <w:basedOn w:val="Normal"/>
    <w:next w:val="Newparagraph"/>
    <w:qFormat/>
    <w:rsid w:val="00AD4439"/>
  </w:style>
  <w:style w:type="paragraph" w:customStyle="1" w:styleId="Newparagraph">
    <w:name w:val="New paragraph"/>
    <w:basedOn w:val="Normal"/>
    <w:qFormat/>
    <w:rsid w:val="00AD4439"/>
    <w:pPr>
      <w:ind w:firstLine="720"/>
    </w:pPr>
  </w:style>
  <w:style w:type="paragraph" w:styleId="NormalIndent">
    <w:name w:val="Normal Indent"/>
    <w:basedOn w:val="Normal"/>
    <w:qFormat/>
    <w:rsid w:val="00AD4439"/>
    <w:pPr>
      <w:ind w:left="720"/>
    </w:pPr>
  </w:style>
  <w:style w:type="paragraph" w:customStyle="1" w:styleId="References">
    <w:name w:val="References"/>
    <w:basedOn w:val="Normal"/>
    <w:qFormat/>
    <w:rsid w:val="00AD4439"/>
    <w:pPr>
      <w:spacing w:before="0" w:after="240" w:line="276" w:lineRule="auto"/>
      <w:ind w:left="720" w:hanging="720"/>
      <w:contextualSpacing/>
    </w:pPr>
    <w:rPr>
      <w:lang w:val="es-ES"/>
    </w:rPr>
  </w:style>
  <w:style w:type="paragraph" w:customStyle="1" w:styleId="Subjectcodes">
    <w:name w:val="Subject codes"/>
    <w:basedOn w:val="Keywords"/>
    <w:next w:val="Paragraph"/>
    <w:qFormat/>
    <w:rsid w:val="00AD4439"/>
  </w:style>
  <w:style w:type="paragraph" w:customStyle="1" w:styleId="Bulletedlist">
    <w:name w:val="Bulleted list"/>
    <w:basedOn w:val="Paragraph"/>
    <w:next w:val="Paragraph"/>
    <w:qFormat/>
    <w:rsid w:val="00AD4439"/>
    <w:pPr>
      <w:widowControl/>
      <w:numPr>
        <w:numId w:val="2"/>
      </w:numPr>
      <w:spacing w:after="240"/>
      <w:contextualSpacing/>
    </w:pPr>
  </w:style>
  <w:style w:type="paragraph" w:styleId="FootnoteText">
    <w:name w:val="footnote text"/>
    <w:basedOn w:val="Normal"/>
    <w:link w:val="FootnoteTextChar"/>
    <w:autoRedefine/>
    <w:rsid w:val="007B02F3"/>
    <w:pPr>
      <w:ind w:left="284" w:hanging="284"/>
    </w:pPr>
    <w:rPr>
      <w:rFonts w:ascii="Calibri" w:eastAsiaTheme="minorHAnsi" w:hAnsi="Calibri" w:cs="Calibri"/>
      <w:kern w:val="2"/>
      <w:sz w:val="22"/>
      <w:szCs w:val="22"/>
      <w:lang w:eastAsia="en-US"/>
      <w14:ligatures w14:val="standardContextual"/>
    </w:rPr>
  </w:style>
  <w:style w:type="character" w:customStyle="1" w:styleId="FootnoteTextChar1">
    <w:name w:val="Footnote Text Char1"/>
    <w:basedOn w:val="DefaultParagraphFont"/>
    <w:uiPriority w:val="99"/>
    <w:semiHidden/>
    <w:rsid w:val="00AD4439"/>
    <w:rPr>
      <w:rFonts w:eastAsia="Times New Roman" w:cstheme="minorHAnsi"/>
      <w:kern w:val="0"/>
      <w:sz w:val="20"/>
      <w:szCs w:val="20"/>
      <w:lang w:eastAsia="en-GB"/>
      <w14:ligatures w14:val="none"/>
    </w:rPr>
  </w:style>
  <w:style w:type="paragraph" w:styleId="EndnoteText">
    <w:name w:val="endnote text"/>
    <w:basedOn w:val="Normal"/>
    <w:link w:val="EndnoteTextChar"/>
    <w:autoRedefine/>
    <w:rsid w:val="00AD4439"/>
    <w:pPr>
      <w:ind w:left="284" w:hanging="284"/>
    </w:pPr>
    <w:rPr>
      <w:rFonts w:eastAsiaTheme="minorHAnsi" w:cstheme="minorBidi"/>
      <w:kern w:val="2"/>
      <w:sz w:val="22"/>
      <w:szCs w:val="22"/>
      <w:lang w:eastAsia="en-US"/>
      <w14:ligatures w14:val="standardContextual"/>
    </w:rPr>
  </w:style>
  <w:style w:type="character" w:customStyle="1" w:styleId="EndnoteTextChar1">
    <w:name w:val="Endnote Text Char1"/>
    <w:basedOn w:val="DefaultParagraphFont"/>
    <w:uiPriority w:val="99"/>
    <w:semiHidden/>
    <w:rsid w:val="00AD4439"/>
    <w:rPr>
      <w:rFonts w:eastAsia="Times New Roman" w:cstheme="minorHAnsi"/>
      <w:kern w:val="0"/>
      <w:sz w:val="20"/>
      <w:szCs w:val="20"/>
      <w:lang w:eastAsia="en-GB"/>
      <w14:ligatures w14:val="none"/>
    </w:rPr>
  </w:style>
  <w:style w:type="paragraph" w:customStyle="1" w:styleId="HeaderandFooter">
    <w:name w:val="Header and Footer"/>
    <w:basedOn w:val="Normal"/>
    <w:qFormat/>
    <w:rsid w:val="00AD4439"/>
  </w:style>
  <w:style w:type="paragraph" w:styleId="Header">
    <w:name w:val="header"/>
    <w:basedOn w:val="Normal"/>
    <w:link w:val="HeaderChar"/>
    <w:rsid w:val="00AD4439"/>
    <w:pPr>
      <w:tabs>
        <w:tab w:val="center" w:pos="4320"/>
        <w:tab w:val="right" w:pos="8640"/>
      </w:tabs>
      <w:spacing w:after="120" w:line="240" w:lineRule="auto"/>
      <w:contextualSpacing/>
    </w:pPr>
    <w:rPr>
      <w:rFonts w:cstheme="minorBidi"/>
      <w:kern w:val="2"/>
      <w14:ligatures w14:val="standardContextual"/>
    </w:rPr>
  </w:style>
  <w:style w:type="character" w:customStyle="1" w:styleId="HeaderChar1">
    <w:name w:val="Header Char1"/>
    <w:basedOn w:val="DefaultParagraphFont"/>
    <w:uiPriority w:val="99"/>
    <w:semiHidden/>
    <w:rsid w:val="00AD4439"/>
    <w:rPr>
      <w:rFonts w:eastAsia="Times New Roman" w:cstheme="minorHAnsi"/>
      <w:kern w:val="0"/>
      <w:sz w:val="24"/>
      <w:szCs w:val="24"/>
      <w:lang w:eastAsia="en-GB"/>
      <w14:ligatures w14:val="none"/>
    </w:rPr>
  </w:style>
  <w:style w:type="paragraph" w:styleId="Footer">
    <w:name w:val="footer"/>
    <w:basedOn w:val="Normal"/>
    <w:link w:val="FooterChar"/>
    <w:uiPriority w:val="99"/>
    <w:rsid w:val="00AD4439"/>
    <w:pPr>
      <w:tabs>
        <w:tab w:val="center" w:pos="4320"/>
        <w:tab w:val="right" w:pos="8640"/>
      </w:tabs>
      <w:spacing w:line="240" w:lineRule="auto"/>
      <w:contextualSpacing/>
    </w:pPr>
    <w:rPr>
      <w:rFonts w:eastAsiaTheme="minorHAnsi" w:cstheme="minorBidi"/>
      <w:kern w:val="2"/>
      <w:lang w:eastAsia="en-US"/>
      <w14:ligatures w14:val="standardContextual"/>
    </w:rPr>
  </w:style>
  <w:style w:type="character" w:customStyle="1" w:styleId="FooterChar1">
    <w:name w:val="Footer Char1"/>
    <w:basedOn w:val="DefaultParagraphFont"/>
    <w:uiPriority w:val="99"/>
    <w:semiHidden/>
    <w:rsid w:val="00AD4439"/>
    <w:rPr>
      <w:rFonts w:eastAsia="Times New Roman" w:cstheme="minorHAnsi"/>
      <w:kern w:val="0"/>
      <w:sz w:val="24"/>
      <w:szCs w:val="24"/>
      <w:lang w:eastAsia="en-GB"/>
      <w14:ligatures w14:val="none"/>
    </w:rPr>
  </w:style>
  <w:style w:type="paragraph" w:customStyle="1" w:styleId="Heading4Paragraph">
    <w:name w:val="Heading 4 + Paragraph"/>
    <w:basedOn w:val="Paragraph"/>
    <w:next w:val="Newparagraph"/>
    <w:qFormat/>
    <w:rsid w:val="00AD4439"/>
    <w:pPr>
      <w:widowControl/>
      <w:spacing w:before="360"/>
    </w:pPr>
  </w:style>
  <w:style w:type="paragraph" w:styleId="CommentText">
    <w:name w:val="annotation text"/>
    <w:basedOn w:val="Normal"/>
    <w:link w:val="CommentTextChar"/>
    <w:uiPriority w:val="99"/>
    <w:unhideWhenUsed/>
    <w:qFormat/>
    <w:rsid w:val="00AD4439"/>
    <w:pPr>
      <w:spacing w:line="240" w:lineRule="auto"/>
    </w:pPr>
    <w:rPr>
      <w:rFonts w:eastAsiaTheme="minorHAnsi" w:cstheme="minorBidi"/>
      <w:kern w:val="2"/>
      <w:sz w:val="22"/>
      <w:szCs w:val="22"/>
      <w:lang w:eastAsia="en-US"/>
      <w14:ligatures w14:val="standardContextual"/>
    </w:rPr>
  </w:style>
  <w:style w:type="character" w:customStyle="1" w:styleId="CommentTextChar1">
    <w:name w:val="Comment Text Char1"/>
    <w:basedOn w:val="DefaultParagraphFont"/>
    <w:uiPriority w:val="99"/>
    <w:semiHidden/>
    <w:rsid w:val="00AD4439"/>
    <w:rPr>
      <w:rFonts w:eastAsia="Times New Roman" w:cstheme="minorHAnsi"/>
      <w:kern w:val="0"/>
      <w:sz w:val="20"/>
      <w:szCs w:val="20"/>
      <w:lang w:eastAsia="en-GB"/>
      <w14:ligatures w14:val="none"/>
    </w:rPr>
  </w:style>
  <w:style w:type="paragraph" w:styleId="CommentSubject">
    <w:name w:val="annotation subject"/>
    <w:basedOn w:val="CommentText"/>
    <w:next w:val="CommentText"/>
    <w:link w:val="CommentSubjectChar"/>
    <w:semiHidden/>
    <w:unhideWhenUsed/>
    <w:qFormat/>
    <w:rsid w:val="00AD4439"/>
    <w:rPr>
      <w:b/>
      <w:bCs/>
    </w:rPr>
  </w:style>
  <w:style w:type="character" w:customStyle="1" w:styleId="CommentSubjectChar1">
    <w:name w:val="Comment Subject Char1"/>
    <w:basedOn w:val="CommentTextChar1"/>
    <w:uiPriority w:val="99"/>
    <w:semiHidden/>
    <w:rsid w:val="00AD4439"/>
    <w:rPr>
      <w:rFonts w:eastAsia="Times New Roman" w:cstheme="minorHAnsi"/>
      <w:b/>
      <w:bCs/>
      <w:kern w:val="0"/>
      <w:sz w:val="20"/>
      <w:szCs w:val="20"/>
      <w:lang w:eastAsia="en-GB"/>
      <w14:ligatures w14:val="none"/>
    </w:rPr>
  </w:style>
  <w:style w:type="paragraph" w:styleId="Bibliography">
    <w:name w:val="Bibliography"/>
    <w:basedOn w:val="Normal"/>
    <w:next w:val="Normal"/>
    <w:unhideWhenUsed/>
    <w:qFormat/>
    <w:rsid w:val="00AD4439"/>
    <w:pPr>
      <w:tabs>
        <w:tab w:val="left" w:pos="624"/>
      </w:tabs>
      <w:spacing w:after="240" w:line="240" w:lineRule="auto"/>
      <w:ind w:left="624" w:hanging="624"/>
    </w:pPr>
  </w:style>
  <w:style w:type="paragraph" w:styleId="BalloonText">
    <w:name w:val="Balloon Text"/>
    <w:basedOn w:val="Normal"/>
    <w:link w:val="BalloonTextChar"/>
    <w:semiHidden/>
    <w:unhideWhenUsed/>
    <w:qFormat/>
    <w:rsid w:val="00AD4439"/>
    <w:pPr>
      <w:spacing w:before="0" w:line="240" w:lineRule="auto"/>
    </w:pPr>
    <w:rPr>
      <w:rFonts w:ascii="Segoe UI" w:eastAsiaTheme="minorHAnsi" w:hAnsi="Segoe UI" w:cs="Segoe UI"/>
      <w:kern w:val="2"/>
      <w:sz w:val="18"/>
      <w:szCs w:val="18"/>
      <w:lang w:val="en-US" w:eastAsia="en-US"/>
      <w14:ligatures w14:val="standardContextual"/>
    </w:rPr>
  </w:style>
  <w:style w:type="character" w:customStyle="1" w:styleId="BalloonTextChar1">
    <w:name w:val="Balloon Text Char1"/>
    <w:basedOn w:val="DefaultParagraphFont"/>
    <w:uiPriority w:val="99"/>
    <w:semiHidden/>
    <w:rsid w:val="00AD4439"/>
    <w:rPr>
      <w:rFonts w:ascii="Segoe UI" w:eastAsia="Times New Roman" w:hAnsi="Segoe UI" w:cs="Segoe UI"/>
      <w:kern w:val="0"/>
      <w:sz w:val="18"/>
      <w:szCs w:val="18"/>
      <w:lang w:eastAsia="en-GB"/>
      <w14:ligatures w14:val="none"/>
    </w:rPr>
  </w:style>
  <w:style w:type="paragraph" w:styleId="Revision">
    <w:name w:val="Revision"/>
    <w:semiHidden/>
    <w:qFormat/>
    <w:rsid w:val="00AD4439"/>
    <w:pPr>
      <w:suppressAutoHyphens/>
      <w:spacing w:after="0" w:line="240" w:lineRule="auto"/>
    </w:pPr>
    <w:rPr>
      <w:rFonts w:eastAsia="Times New Roman" w:cstheme="minorHAnsi"/>
      <w:kern w:val="0"/>
      <w:sz w:val="24"/>
      <w:szCs w:val="24"/>
      <w:lang w:val="en-US" w:eastAsia="en-GB"/>
      <w14:ligatures w14:val="none"/>
    </w:rPr>
  </w:style>
  <w:style w:type="paragraph" w:customStyle="1" w:styleId="pf0">
    <w:name w:val="pf0"/>
    <w:basedOn w:val="Normal"/>
    <w:qFormat/>
    <w:rsid w:val="00AD4439"/>
    <w:pPr>
      <w:widowControl/>
      <w:spacing w:beforeAutospacing="1" w:afterAutospacing="1" w:line="240" w:lineRule="auto"/>
      <w:jc w:val="left"/>
    </w:pPr>
    <w:rPr>
      <w:rFonts w:ascii="Times New Roman" w:hAnsi="Times New Roman" w:cs="Times New Roman"/>
      <w:lang w:eastAsia="en-US"/>
    </w:rPr>
  </w:style>
  <w:style w:type="paragraph" w:styleId="Index1">
    <w:name w:val="index 1"/>
    <w:basedOn w:val="Normal"/>
    <w:next w:val="Normal"/>
    <w:autoRedefine/>
    <w:uiPriority w:val="99"/>
    <w:semiHidden/>
    <w:unhideWhenUsed/>
    <w:rsid w:val="00AD4439"/>
    <w:pPr>
      <w:spacing w:before="0" w:line="240" w:lineRule="auto"/>
      <w:ind w:left="240" w:hanging="240"/>
    </w:pPr>
  </w:style>
  <w:style w:type="paragraph" w:styleId="IndexHeading">
    <w:name w:val="index heading"/>
    <w:basedOn w:val="Heading"/>
    <w:rsid w:val="00AD4439"/>
  </w:style>
  <w:style w:type="paragraph" w:styleId="TOCHeading">
    <w:name w:val="TOC Heading"/>
    <w:basedOn w:val="Heading1"/>
    <w:next w:val="Normal"/>
    <w:uiPriority w:val="39"/>
    <w:unhideWhenUsed/>
    <w:qFormat/>
    <w:rsid w:val="00AD4439"/>
    <w:pPr>
      <w:spacing w:before="240" w:after="0"/>
      <w:outlineLvl w:val="9"/>
    </w:pPr>
    <w:rPr>
      <w:sz w:val="32"/>
    </w:rPr>
  </w:style>
  <w:style w:type="paragraph" w:styleId="TOC1">
    <w:name w:val="toc 1"/>
    <w:basedOn w:val="Normal"/>
    <w:next w:val="Normal"/>
    <w:autoRedefine/>
    <w:uiPriority w:val="39"/>
    <w:unhideWhenUsed/>
    <w:rsid w:val="00AD4439"/>
    <w:pPr>
      <w:tabs>
        <w:tab w:val="right" w:leader="dot" w:pos="8489"/>
      </w:tabs>
    </w:pPr>
  </w:style>
  <w:style w:type="paragraph" w:styleId="TOC2">
    <w:name w:val="toc 2"/>
    <w:basedOn w:val="Normal"/>
    <w:next w:val="Normal"/>
    <w:autoRedefine/>
    <w:uiPriority w:val="39"/>
    <w:unhideWhenUsed/>
    <w:rsid w:val="00AD4439"/>
    <w:pPr>
      <w:tabs>
        <w:tab w:val="right" w:leader="dot" w:pos="8489"/>
      </w:tabs>
      <w:spacing w:before="0" w:after="100" w:line="276" w:lineRule="auto"/>
      <w:ind w:left="240"/>
    </w:pPr>
  </w:style>
  <w:style w:type="paragraph" w:customStyle="1" w:styleId="FrameContents">
    <w:name w:val="Frame Contents"/>
    <w:basedOn w:val="Normal"/>
    <w:qFormat/>
    <w:rsid w:val="00AD4439"/>
  </w:style>
  <w:style w:type="table" w:styleId="TableGrid">
    <w:name w:val="Table Grid"/>
    <w:basedOn w:val="TableNormal"/>
    <w:uiPriority w:val="39"/>
    <w:rsid w:val="00AD4439"/>
    <w:pPr>
      <w:suppressAutoHyphens/>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AD4439"/>
  </w:style>
  <w:style w:type="paragraph" w:styleId="TableofFigures">
    <w:name w:val="table of figures"/>
    <w:basedOn w:val="Normal"/>
    <w:next w:val="Normal"/>
    <w:uiPriority w:val="99"/>
    <w:unhideWhenUsed/>
    <w:rsid w:val="00AD4439"/>
  </w:style>
  <w:style w:type="character" w:customStyle="1" w:styleId="UnresolvedMention4">
    <w:name w:val="Unresolved Mention4"/>
    <w:basedOn w:val="DefaultParagraphFont"/>
    <w:uiPriority w:val="99"/>
    <w:semiHidden/>
    <w:unhideWhenUsed/>
    <w:rsid w:val="00AD4439"/>
    <w:rPr>
      <w:color w:val="605E5C"/>
      <w:shd w:val="clear" w:color="auto" w:fill="E1DFDD"/>
    </w:rPr>
  </w:style>
  <w:style w:type="character" w:customStyle="1" w:styleId="UnresolvedMention5">
    <w:name w:val="Unresolved Mention5"/>
    <w:basedOn w:val="DefaultParagraphFont"/>
    <w:uiPriority w:val="99"/>
    <w:semiHidden/>
    <w:unhideWhenUsed/>
    <w:rsid w:val="00AD4439"/>
    <w:rPr>
      <w:color w:val="605E5C"/>
      <w:shd w:val="clear" w:color="auto" w:fill="E1DFDD"/>
    </w:rPr>
  </w:style>
  <w:style w:type="character" w:styleId="UnresolvedMention">
    <w:name w:val="Unresolved Mention"/>
    <w:basedOn w:val="DefaultParagraphFont"/>
    <w:uiPriority w:val="99"/>
    <w:semiHidden/>
    <w:unhideWhenUsed/>
    <w:rsid w:val="00AD4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526">
      <w:bodyDiv w:val="1"/>
      <w:marLeft w:val="0"/>
      <w:marRight w:val="0"/>
      <w:marTop w:val="0"/>
      <w:marBottom w:val="0"/>
      <w:divBdr>
        <w:top w:val="none" w:sz="0" w:space="0" w:color="auto"/>
        <w:left w:val="none" w:sz="0" w:space="0" w:color="auto"/>
        <w:bottom w:val="none" w:sz="0" w:space="0" w:color="auto"/>
        <w:right w:val="none" w:sz="0" w:space="0" w:color="auto"/>
      </w:divBdr>
    </w:div>
    <w:div w:id="29576962">
      <w:bodyDiv w:val="1"/>
      <w:marLeft w:val="0"/>
      <w:marRight w:val="0"/>
      <w:marTop w:val="0"/>
      <w:marBottom w:val="0"/>
      <w:divBdr>
        <w:top w:val="none" w:sz="0" w:space="0" w:color="auto"/>
        <w:left w:val="none" w:sz="0" w:space="0" w:color="auto"/>
        <w:bottom w:val="none" w:sz="0" w:space="0" w:color="auto"/>
        <w:right w:val="none" w:sz="0" w:space="0" w:color="auto"/>
      </w:divBdr>
    </w:div>
    <w:div w:id="36202708">
      <w:bodyDiv w:val="1"/>
      <w:marLeft w:val="0"/>
      <w:marRight w:val="0"/>
      <w:marTop w:val="0"/>
      <w:marBottom w:val="0"/>
      <w:divBdr>
        <w:top w:val="none" w:sz="0" w:space="0" w:color="auto"/>
        <w:left w:val="none" w:sz="0" w:space="0" w:color="auto"/>
        <w:bottom w:val="none" w:sz="0" w:space="0" w:color="auto"/>
        <w:right w:val="none" w:sz="0" w:space="0" w:color="auto"/>
      </w:divBdr>
    </w:div>
    <w:div w:id="58480534">
      <w:bodyDiv w:val="1"/>
      <w:marLeft w:val="0"/>
      <w:marRight w:val="0"/>
      <w:marTop w:val="0"/>
      <w:marBottom w:val="0"/>
      <w:divBdr>
        <w:top w:val="none" w:sz="0" w:space="0" w:color="auto"/>
        <w:left w:val="none" w:sz="0" w:space="0" w:color="auto"/>
        <w:bottom w:val="none" w:sz="0" w:space="0" w:color="auto"/>
        <w:right w:val="none" w:sz="0" w:space="0" w:color="auto"/>
      </w:divBdr>
    </w:div>
    <w:div w:id="106050521">
      <w:bodyDiv w:val="1"/>
      <w:marLeft w:val="0"/>
      <w:marRight w:val="0"/>
      <w:marTop w:val="0"/>
      <w:marBottom w:val="0"/>
      <w:divBdr>
        <w:top w:val="none" w:sz="0" w:space="0" w:color="auto"/>
        <w:left w:val="none" w:sz="0" w:space="0" w:color="auto"/>
        <w:bottom w:val="none" w:sz="0" w:space="0" w:color="auto"/>
        <w:right w:val="none" w:sz="0" w:space="0" w:color="auto"/>
      </w:divBdr>
    </w:div>
    <w:div w:id="117922158">
      <w:bodyDiv w:val="1"/>
      <w:marLeft w:val="0"/>
      <w:marRight w:val="0"/>
      <w:marTop w:val="0"/>
      <w:marBottom w:val="0"/>
      <w:divBdr>
        <w:top w:val="none" w:sz="0" w:space="0" w:color="auto"/>
        <w:left w:val="none" w:sz="0" w:space="0" w:color="auto"/>
        <w:bottom w:val="none" w:sz="0" w:space="0" w:color="auto"/>
        <w:right w:val="none" w:sz="0" w:space="0" w:color="auto"/>
      </w:divBdr>
    </w:div>
    <w:div w:id="119808093">
      <w:bodyDiv w:val="1"/>
      <w:marLeft w:val="0"/>
      <w:marRight w:val="0"/>
      <w:marTop w:val="0"/>
      <w:marBottom w:val="0"/>
      <w:divBdr>
        <w:top w:val="none" w:sz="0" w:space="0" w:color="auto"/>
        <w:left w:val="none" w:sz="0" w:space="0" w:color="auto"/>
        <w:bottom w:val="none" w:sz="0" w:space="0" w:color="auto"/>
        <w:right w:val="none" w:sz="0" w:space="0" w:color="auto"/>
      </w:divBdr>
    </w:div>
    <w:div w:id="163472553">
      <w:bodyDiv w:val="1"/>
      <w:marLeft w:val="0"/>
      <w:marRight w:val="0"/>
      <w:marTop w:val="0"/>
      <w:marBottom w:val="0"/>
      <w:divBdr>
        <w:top w:val="none" w:sz="0" w:space="0" w:color="auto"/>
        <w:left w:val="none" w:sz="0" w:space="0" w:color="auto"/>
        <w:bottom w:val="none" w:sz="0" w:space="0" w:color="auto"/>
        <w:right w:val="none" w:sz="0" w:space="0" w:color="auto"/>
      </w:divBdr>
    </w:div>
    <w:div w:id="204997426">
      <w:bodyDiv w:val="1"/>
      <w:marLeft w:val="0"/>
      <w:marRight w:val="0"/>
      <w:marTop w:val="0"/>
      <w:marBottom w:val="0"/>
      <w:divBdr>
        <w:top w:val="none" w:sz="0" w:space="0" w:color="auto"/>
        <w:left w:val="none" w:sz="0" w:space="0" w:color="auto"/>
        <w:bottom w:val="none" w:sz="0" w:space="0" w:color="auto"/>
        <w:right w:val="none" w:sz="0" w:space="0" w:color="auto"/>
      </w:divBdr>
    </w:div>
    <w:div w:id="274872788">
      <w:bodyDiv w:val="1"/>
      <w:marLeft w:val="0"/>
      <w:marRight w:val="0"/>
      <w:marTop w:val="0"/>
      <w:marBottom w:val="0"/>
      <w:divBdr>
        <w:top w:val="none" w:sz="0" w:space="0" w:color="auto"/>
        <w:left w:val="none" w:sz="0" w:space="0" w:color="auto"/>
        <w:bottom w:val="none" w:sz="0" w:space="0" w:color="auto"/>
        <w:right w:val="none" w:sz="0" w:space="0" w:color="auto"/>
      </w:divBdr>
    </w:div>
    <w:div w:id="324166300">
      <w:bodyDiv w:val="1"/>
      <w:marLeft w:val="0"/>
      <w:marRight w:val="0"/>
      <w:marTop w:val="0"/>
      <w:marBottom w:val="0"/>
      <w:divBdr>
        <w:top w:val="none" w:sz="0" w:space="0" w:color="auto"/>
        <w:left w:val="none" w:sz="0" w:space="0" w:color="auto"/>
        <w:bottom w:val="none" w:sz="0" w:space="0" w:color="auto"/>
        <w:right w:val="none" w:sz="0" w:space="0" w:color="auto"/>
      </w:divBdr>
    </w:div>
    <w:div w:id="370157352">
      <w:bodyDiv w:val="1"/>
      <w:marLeft w:val="0"/>
      <w:marRight w:val="0"/>
      <w:marTop w:val="0"/>
      <w:marBottom w:val="0"/>
      <w:divBdr>
        <w:top w:val="none" w:sz="0" w:space="0" w:color="auto"/>
        <w:left w:val="none" w:sz="0" w:space="0" w:color="auto"/>
        <w:bottom w:val="none" w:sz="0" w:space="0" w:color="auto"/>
        <w:right w:val="none" w:sz="0" w:space="0" w:color="auto"/>
      </w:divBdr>
    </w:div>
    <w:div w:id="383406311">
      <w:bodyDiv w:val="1"/>
      <w:marLeft w:val="0"/>
      <w:marRight w:val="0"/>
      <w:marTop w:val="0"/>
      <w:marBottom w:val="0"/>
      <w:divBdr>
        <w:top w:val="none" w:sz="0" w:space="0" w:color="auto"/>
        <w:left w:val="none" w:sz="0" w:space="0" w:color="auto"/>
        <w:bottom w:val="none" w:sz="0" w:space="0" w:color="auto"/>
        <w:right w:val="none" w:sz="0" w:space="0" w:color="auto"/>
      </w:divBdr>
    </w:div>
    <w:div w:id="413622649">
      <w:bodyDiv w:val="1"/>
      <w:marLeft w:val="0"/>
      <w:marRight w:val="0"/>
      <w:marTop w:val="0"/>
      <w:marBottom w:val="0"/>
      <w:divBdr>
        <w:top w:val="none" w:sz="0" w:space="0" w:color="auto"/>
        <w:left w:val="none" w:sz="0" w:space="0" w:color="auto"/>
        <w:bottom w:val="none" w:sz="0" w:space="0" w:color="auto"/>
        <w:right w:val="none" w:sz="0" w:space="0" w:color="auto"/>
      </w:divBdr>
    </w:div>
    <w:div w:id="453065566">
      <w:bodyDiv w:val="1"/>
      <w:marLeft w:val="0"/>
      <w:marRight w:val="0"/>
      <w:marTop w:val="0"/>
      <w:marBottom w:val="0"/>
      <w:divBdr>
        <w:top w:val="none" w:sz="0" w:space="0" w:color="auto"/>
        <w:left w:val="none" w:sz="0" w:space="0" w:color="auto"/>
        <w:bottom w:val="none" w:sz="0" w:space="0" w:color="auto"/>
        <w:right w:val="none" w:sz="0" w:space="0" w:color="auto"/>
      </w:divBdr>
    </w:div>
    <w:div w:id="506361799">
      <w:bodyDiv w:val="1"/>
      <w:marLeft w:val="0"/>
      <w:marRight w:val="0"/>
      <w:marTop w:val="0"/>
      <w:marBottom w:val="0"/>
      <w:divBdr>
        <w:top w:val="none" w:sz="0" w:space="0" w:color="auto"/>
        <w:left w:val="none" w:sz="0" w:space="0" w:color="auto"/>
        <w:bottom w:val="none" w:sz="0" w:space="0" w:color="auto"/>
        <w:right w:val="none" w:sz="0" w:space="0" w:color="auto"/>
      </w:divBdr>
    </w:div>
    <w:div w:id="523523641">
      <w:bodyDiv w:val="1"/>
      <w:marLeft w:val="0"/>
      <w:marRight w:val="0"/>
      <w:marTop w:val="0"/>
      <w:marBottom w:val="0"/>
      <w:divBdr>
        <w:top w:val="none" w:sz="0" w:space="0" w:color="auto"/>
        <w:left w:val="none" w:sz="0" w:space="0" w:color="auto"/>
        <w:bottom w:val="none" w:sz="0" w:space="0" w:color="auto"/>
        <w:right w:val="none" w:sz="0" w:space="0" w:color="auto"/>
      </w:divBdr>
    </w:div>
    <w:div w:id="524907444">
      <w:bodyDiv w:val="1"/>
      <w:marLeft w:val="0"/>
      <w:marRight w:val="0"/>
      <w:marTop w:val="0"/>
      <w:marBottom w:val="0"/>
      <w:divBdr>
        <w:top w:val="none" w:sz="0" w:space="0" w:color="auto"/>
        <w:left w:val="none" w:sz="0" w:space="0" w:color="auto"/>
        <w:bottom w:val="none" w:sz="0" w:space="0" w:color="auto"/>
        <w:right w:val="none" w:sz="0" w:space="0" w:color="auto"/>
      </w:divBdr>
    </w:div>
    <w:div w:id="552277863">
      <w:bodyDiv w:val="1"/>
      <w:marLeft w:val="0"/>
      <w:marRight w:val="0"/>
      <w:marTop w:val="0"/>
      <w:marBottom w:val="0"/>
      <w:divBdr>
        <w:top w:val="none" w:sz="0" w:space="0" w:color="auto"/>
        <w:left w:val="none" w:sz="0" w:space="0" w:color="auto"/>
        <w:bottom w:val="none" w:sz="0" w:space="0" w:color="auto"/>
        <w:right w:val="none" w:sz="0" w:space="0" w:color="auto"/>
      </w:divBdr>
    </w:div>
    <w:div w:id="604659287">
      <w:bodyDiv w:val="1"/>
      <w:marLeft w:val="0"/>
      <w:marRight w:val="0"/>
      <w:marTop w:val="0"/>
      <w:marBottom w:val="0"/>
      <w:divBdr>
        <w:top w:val="none" w:sz="0" w:space="0" w:color="auto"/>
        <w:left w:val="none" w:sz="0" w:space="0" w:color="auto"/>
        <w:bottom w:val="none" w:sz="0" w:space="0" w:color="auto"/>
        <w:right w:val="none" w:sz="0" w:space="0" w:color="auto"/>
      </w:divBdr>
    </w:div>
    <w:div w:id="689063384">
      <w:bodyDiv w:val="1"/>
      <w:marLeft w:val="0"/>
      <w:marRight w:val="0"/>
      <w:marTop w:val="0"/>
      <w:marBottom w:val="0"/>
      <w:divBdr>
        <w:top w:val="none" w:sz="0" w:space="0" w:color="auto"/>
        <w:left w:val="none" w:sz="0" w:space="0" w:color="auto"/>
        <w:bottom w:val="none" w:sz="0" w:space="0" w:color="auto"/>
        <w:right w:val="none" w:sz="0" w:space="0" w:color="auto"/>
      </w:divBdr>
      <w:divsChild>
        <w:div w:id="1577780598">
          <w:marLeft w:val="0"/>
          <w:marRight w:val="0"/>
          <w:marTop w:val="0"/>
          <w:marBottom w:val="0"/>
          <w:divBdr>
            <w:top w:val="none" w:sz="0" w:space="0" w:color="auto"/>
            <w:left w:val="none" w:sz="0" w:space="0" w:color="auto"/>
            <w:bottom w:val="none" w:sz="0" w:space="0" w:color="auto"/>
            <w:right w:val="none" w:sz="0" w:space="0" w:color="auto"/>
          </w:divBdr>
        </w:div>
        <w:div w:id="2007201554">
          <w:marLeft w:val="0"/>
          <w:marRight w:val="0"/>
          <w:marTop w:val="0"/>
          <w:marBottom w:val="0"/>
          <w:divBdr>
            <w:top w:val="none" w:sz="0" w:space="0" w:color="auto"/>
            <w:left w:val="none" w:sz="0" w:space="0" w:color="auto"/>
            <w:bottom w:val="none" w:sz="0" w:space="0" w:color="auto"/>
            <w:right w:val="none" w:sz="0" w:space="0" w:color="auto"/>
          </w:divBdr>
        </w:div>
      </w:divsChild>
    </w:div>
    <w:div w:id="705721257">
      <w:bodyDiv w:val="1"/>
      <w:marLeft w:val="0"/>
      <w:marRight w:val="0"/>
      <w:marTop w:val="0"/>
      <w:marBottom w:val="0"/>
      <w:divBdr>
        <w:top w:val="none" w:sz="0" w:space="0" w:color="auto"/>
        <w:left w:val="none" w:sz="0" w:space="0" w:color="auto"/>
        <w:bottom w:val="none" w:sz="0" w:space="0" w:color="auto"/>
        <w:right w:val="none" w:sz="0" w:space="0" w:color="auto"/>
      </w:divBdr>
    </w:div>
    <w:div w:id="752045498">
      <w:bodyDiv w:val="1"/>
      <w:marLeft w:val="0"/>
      <w:marRight w:val="0"/>
      <w:marTop w:val="0"/>
      <w:marBottom w:val="0"/>
      <w:divBdr>
        <w:top w:val="none" w:sz="0" w:space="0" w:color="auto"/>
        <w:left w:val="none" w:sz="0" w:space="0" w:color="auto"/>
        <w:bottom w:val="none" w:sz="0" w:space="0" w:color="auto"/>
        <w:right w:val="none" w:sz="0" w:space="0" w:color="auto"/>
      </w:divBdr>
    </w:div>
    <w:div w:id="874541110">
      <w:bodyDiv w:val="1"/>
      <w:marLeft w:val="0"/>
      <w:marRight w:val="0"/>
      <w:marTop w:val="0"/>
      <w:marBottom w:val="0"/>
      <w:divBdr>
        <w:top w:val="none" w:sz="0" w:space="0" w:color="auto"/>
        <w:left w:val="none" w:sz="0" w:space="0" w:color="auto"/>
        <w:bottom w:val="none" w:sz="0" w:space="0" w:color="auto"/>
        <w:right w:val="none" w:sz="0" w:space="0" w:color="auto"/>
      </w:divBdr>
    </w:div>
    <w:div w:id="876964603">
      <w:bodyDiv w:val="1"/>
      <w:marLeft w:val="0"/>
      <w:marRight w:val="0"/>
      <w:marTop w:val="0"/>
      <w:marBottom w:val="0"/>
      <w:divBdr>
        <w:top w:val="none" w:sz="0" w:space="0" w:color="auto"/>
        <w:left w:val="none" w:sz="0" w:space="0" w:color="auto"/>
        <w:bottom w:val="none" w:sz="0" w:space="0" w:color="auto"/>
        <w:right w:val="none" w:sz="0" w:space="0" w:color="auto"/>
      </w:divBdr>
    </w:div>
    <w:div w:id="919487263">
      <w:bodyDiv w:val="1"/>
      <w:marLeft w:val="0"/>
      <w:marRight w:val="0"/>
      <w:marTop w:val="0"/>
      <w:marBottom w:val="0"/>
      <w:divBdr>
        <w:top w:val="none" w:sz="0" w:space="0" w:color="auto"/>
        <w:left w:val="none" w:sz="0" w:space="0" w:color="auto"/>
        <w:bottom w:val="none" w:sz="0" w:space="0" w:color="auto"/>
        <w:right w:val="none" w:sz="0" w:space="0" w:color="auto"/>
      </w:divBdr>
    </w:div>
    <w:div w:id="942228556">
      <w:bodyDiv w:val="1"/>
      <w:marLeft w:val="0"/>
      <w:marRight w:val="0"/>
      <w:marTop w:val="0"/>
      <w:marBottom w:val="0"/>
      <w:divBdr>
        <w:top w:val="none" w:sz="0" w:space="0" w:color="auto"/>
        <w:left w:val="none" w:sz="0" w:space="0" w:color="auto"/>
        <w:bottom w:val="none" w:sz="0" w:space="0" w:color="auto"/>
        <w:right w:val="none" w:sz="0" w:space="0" w:color="auto"/>
      </w:divBdr>
    </w:div>
    <w:div w:id="942343420">
      <w:bodyDiv w:val="1"/>
      <w:marLeft w:val="0"/>
      <w:marRight w:val="0"/>
      <w:marTop w:val="0"/>
      <w:marBottom w:val="0"/>
      <w:divBdr>
        <w:top w:val="none" w:sz="0" w:space="0" w:color="auto"/>
        <w:left w:val="none" w:sz="0" w:space="0" w:color="auto"/>
        <w:bottom w:val="none" w:sz="0" w:space="0" w:color="auto"/>
        <w:right w:val="none" w:sz="0" w:space="0" w:color="auto"/>
      </w:divBdr>
    </w:div>
    <w:div w:id="1020660700">
      <w:bodyDiv w:val="1"/>
      <w:marLeft w:val="0"/>
      <w:marRight w:val="0"/>
      <w:marTop w:val="0"/>
      <w:marBottom w:val="0"/>
      <w:divBdr>
        <w:top w:val="none" w:sz="0" w:space="0" w:color="auto"/>
        <w:left w:val="none" w:sz="0" w:space="0" w:color="auto"/>
        <w:bottom w:val="none" w:sz="0" w:space="0" w:color="auto"/>
        <w:right w:val="none" w:sz="0" w:space="0" w:color="auto"/>
      </w:divBdr>
    </w:div>
    <w:div w:id="1051731777">
      <w:bodyDiv w:val="1"/>
      <w:marLeft w:val="0"/>
      <w:marRight w:val="0"/>
      <w:marTop w:val="0"/>
      <w:marBottom w:val="0"/>
      <w:divBdr>
        <w:top w:val="none" w:sz="0" w:space="0" w:color="auto"/>
        <w:left w:val="none" w:sz="0" w:space="0" w:color="auto"/>
        <w:bottom w:val="none" w:sz="0" w:space="0" w:color="auto"/>
        <w:right w:val="none" w:sz="0" w:space="0" w:color="auto"/>
      </w:divBdr>
    </w:div>
    <w:div w:id="1061439793">
      <w:bodyDiv w:val="1"/>
      <w:marLeft w:val="0"/>
      <w:marRight w:val="0"/>
      <w:marTop w:val="0"/>
      <w:marBottom w:val="0"/>
      <w:divBdr>
        <w:top w:val="none" w:sz="0" w:space="0" w:color="auto"/>
        <w:left w:val="none" w:sz="0" w:space="0" w:color="auto"/>
        <w:bottom w:val="none" w:sz="0" w:space="0" w:color="auto"/>
        <w:right w:val="none" w:sz="0" w:space="0" w:color="auto"/>
      </w:divBdr>
    </w:div>
    <w:div w:id="1130705822">
      <w:bodyDiv w:val="1"/>
      <w:marLeft w:val="0"/>
      <w:marRight w:val="0"/>
      <w:marTop w:val="0"/>
      <w:marBottom w:val="0"/>
      <w:divBdr>
        <w:top w:val="none" w:sz="0" w:space="0" w:color="auto"/>
        <w:left w:val="none" w:sz="0" w:space="0" w:color="auto"/>
        <w:bottom w:val="none" w:sz="0" w:space="0" w:color="auto"/>
        <w:right w:val="none" w:sz="0" w:space="0" w:color="auto"/>
      </w:divBdr>
    </w:div>
    <w:div w:id="1166819384">
      <w:bodyDiv w:val="1"/>
      <w:marLeft w:val="0"/>
      <w:marRight w:val="0"/>
      <w:marTop w:val="0"/>
      <w:marBottom w:val="0"/>
      <w:divBdr>
        <w:top w:val="none" w:sz="0" w:space="0" w:color="auto"/>
        <w:left w:val="none" w:sz="0" w:space="0" w:color="auto"/>
        <w:bottom w:val="none" w:sz="0" w:space="0" w:color="auto"/>
        <w:right w:val="none" w:sz="0" w:space="0" w:color="auto"/>
      </w:divBdr>
    </w:div>
    <w:div w:id="1201164275">
      <w:bodyDiv w:val="1"/>
      <w:marLeft w:val="0"/>
      <w:marRight w:val="0"/>
      <w:marTop w:val="0"/>
      <w:marBottom w:val="0"/>
      <w:divBdr>
        <w:top w:val="none" w:sz="0" w:space="0" w:color="auto"/>
        <w:left w:val="none" w:sz="0" w:space="0" w:color="auto"/>
        <w:bottom w:val="none" w:sz="0" w:space="0" w:color="auto"/>
        <w:right w:val="none" w:sz="0" w:space="0" w:color="auto"/>
      </w:divBdr>
    </w:div>
    <w:div w:id="1211109078">
      <w:bodyDiv w:val="1"/>
      <w:marLeft w:val="0"/>
      <w:marRight w:val="0"/>
      <w:marTop w:val="0"/>
      <w:marBottom w:val="0"/>
      <w:divBdr>
        <w:top w:val="none" w:sz="0" w:space="0" w:color="auto"/>
        <w:left w:val="none" w:sz="0" w:space="0" w:color="auto"/>
        <w:bottom w:val="none" w:sz="0" w:space="0" w:color="auto"/>
        <w:right w:val="none" w:sz="0" w:space="0" w:color="auto"/>
      </w:divBdr>
    </w:div>
    <w:div w:id="1234661103">
      <w:bodyDiv w:val="1"/>
      <w:marLeft w:val="0"/>
      <w:marRight w:val="0"/>
      <w:marTop w:val="0"/>
      <w:marBottom w:val="0"/>
      <w:divBdr>
        <w:top w:val="none" w:sz="0" w:space="0" w:color="auto"/>
        <w:left w:val="none" w:sz="0" w:space="0" w:color="auto"/>
        <w:bottom w:val="none" w:sz="0" w:space="0" w:color="auto"/>
        <w:right w:val="none" w:sz="0" w:space="0" w:color="auto"/>
      </w:divBdr>
    </w:div>
    <w:div w:id="1254046555">
      <w:bodyDiv w:val="1"/>
      <w:marLeft w:val="0"/>
      <w:marRight w:val="0"/>
      <w:marTop w:val="0"/>
      <w:marBottom w:val="0"/>
      <w:divBdr>
        <w:top w:val="none" w:sz="0" w:space="0" w:color="auto"/>
        <w:left w:val="none" w:sz="0" w:space="0" w:color="auto"/>
        <w:bottom w:val="none" w:sz="0" w:space="0" w:color="auto"/>
        <w:right w:val="none" w:sz="0" w:space="0" w:color="auto"/>
      </w:divBdr>
    </w:div>
    <w:div w:id="1256785368">
      <w:bodyDiv w:val="1"/>
      <w:marLeft w:val="0"/>
      <w:marRight w:val="0"/>
      <w:marTop w:val="0"/>
      <w:marBottom w:val="0"/>
      <w:divBdr>
        <w:top w:val="none" w:sz="0" w:space="0" w:color="auto"/>
        <w:left w:val="none" w:sz="0" w:space="0" w:color="auto"/>
        <w:bottom w:val="none" w:sz="0" w:space="0" w:color="auto"/>
        <w:right w:val="none" w:sz="0" w:space="0" w:color="auto"/>
      </w:divBdr>
    </w:div>
    <w:div w:id="1268386854">
      <w:bodyDiv w:val="1"/>
      <w:marLeft w:val="0"/>
      <w:marRight w:val="0"/>
      <w:marTop w:val="0"/>
      <w:marBottom w:val="0"/>
      <w:divBdr>
        <w:top w:val="none" w:sz="0" w:space="0" w:color="auto"/>
        <w:left w:val="none" w:sz="0" w:space="0" w:color="auto"/>
        <w:bottom w:val="none" w:sz="0" w:space="0" w:color="auto"/>
        <w:right w:val="none" w:sz="0" w:space="0" w:color="auto"/>
      </w:divBdr>
      <w:divsChild>
        <w:div w:id="700014580">
          <w:marLeft w:val="0"/>
          <w:marRight w:val="0"/>
          <w:marTop w:val="0"/>
          <w:marBottom w:val="0"/>
          <w:divBdr>
            <w:top w:val="none" w:sz="0" w:space="0" w:color="auto"/>
            <w:left w:val="none" w:sz="0" w:space="0" w:color="auto"/>
            <w:bottom w:val="none" w:sz="0" w:space="0" w:color="auto"/>
            <w:right w:val="none" w:sz="0" w:space="0" w:color="auto"/>
          </w:divBdr>
        </w:div>
        <w:div w:id="701128029">
          <w:marLeft w:val="0"/>
          <w:marRight w:val="0"/>
          <w:marTop w:val="0"/>
          <w:marBottom w:val="0"/>
          <w:divBdr>
            <w:top w:val="none" w:sz="0" w:space="0" w:color="auto"/>
            <w:left w:val="none" w:sz="0" w:space="0" w:color="auto"/>
            <w:bottom w:val="none" w:sz="0" w:space="0" w:color="auto"/>
            <w:right w:val="none" w:sz="0" w:space="0" w:color="auto"/>
          </w:divBdr>
        </w:div>
      </w:divsChild>
    </w:div>
    <w:div w:id="1425495113">
      <w:bodyDiv w:val="1"/>
      <w:marLeft w:val="0"/>
      <w:marRight w:val="0"/>
      <w:marTop w:val="0"/>
      <w:marBottom w:val="0"/>
      <w:divBdr>
        <w:top w:val="none" w:sz="0" w:space="0" w:color="auto"/>
        <w:left w:val="none" w:sz="0" w:space="0" w:color="auto"/>
        <w:bottom w:val="none" w:sz="0" w:space="0" w:color="auto"/>
        <w:right w:val="none" w:sz="0" w:space="0" w:color="auto"/>
      </w:divBdr>
    </w:div>
    <w:div w:id="1430808979">
      <w:bodyDiv w:val="1"/>
      <w:marLeft w:val="0"/>
      <w:marRight w:val="0"/>
      <w:marTop w:val="0"/>
      <w:marBottom w:val="0"/>
      <w:divBdr>
        <w:top w:val="none" w:sz="0" w:space="0" w:color="auto"/>
        <w:left w:val="none" w:sz="0" w:space="0" w:color="auto"/>
        <w:bottom w:val="none" w:sz="0" w:space="0" w:color="auto"/>
        <w:right w:val="none" w:sz="0" w:space="0" w:color="auto"/>
      </w:divBdr>
    </w:div>
    <w:div w:id="1479807636">
      <w:bodyDiv w:val="1"/>
      <w:marLeft w:val="0"/>
      <w:marRight w:val="0"/>
      <w:marTop w:val="0"/>
      <w:marBottom w:val="0"/>
      <w:divBdr>
        <w:top w:val="none" w:sz="0" w:space="0" w:color="auto"/>
        <w:left w:val="none" w:sz="0" w:space="0" w:color="auto"/>
        <w:bottom w:val="none" w:sz="0" w:space="0" w:color="auto"/>
        <w:right w:val="none" w:sz="0" w:space="0" w:color="auto"/>
      </w:divBdr>
    </w:div>
    <w:div w:id="1508789241">
      <w:bodyDiv w:val="1"/>
      <w:marLeft w:val="0"/>
      <w:marRight w:val="0"/>
      <w:marTop w:val="0"/>
      <w:marBottom w:val="0"/>
      <w:divBdr>
        <w:top w:val="none" w:sz="0" w:space="0" w:color="auto"/>
        <w:left w:val="none" w:sz="0" w:space="0" w:color="auto"/>
        <w:bottom w:val="none" w:sz="0" w:space="0" w:color="auto"/>
        <w:right w:val="none" w:sz="0" w:space="0" w:color="auto"/>
      </w:divBdr>
    </w:div>
    <w:div w:id="1542934969">
      <w:bodyDiv w:val="1"/>
      <w:marLeft w:val="0"/>
      <w:marRight w:val="0"/>
      <w:marTop w:val="0"/>
      <w:marBottom w:val="0"/>
      <w:divBdr>
        <w:top w:val="none" w:sz="0" w:space="0" w:color="auto"/>
        <w:left w:val="none" w:sz="0" w:space="0" w:color="auto"/>
        <w:bottom w:val="none" w:sz="0" w:space="0" w:color="auto"/>
        <w:right w:val="none" w:sz="0" w:space="0" w:color="auto"/>
      </w:divBdr>
    </w:div>
    <w:div w:id="1587227163">
      <w:bodyDiv w:val="1"/>
      <w:marLeft w:val="0"/>
      <w:marRight w:val="0"/>
      <w:marTop w:val="0"/>
      <w:marBottom w:val="0"/>
      <w:divBdr>
        <w:top w:val="none" w:sz="0" w:space="0" w:color="auto"/>
        <w:left w:val="none" w:sz="0" w:space="0" w:color="auto"/>
        <w:bottom w:val="none" w:sz="0" w:space="0" w:color="auto"/>
        <w:right w:val="none" w:sz="0" w:space="0" w:color="auto"/>
      </w:divBdr>
    </w:div>
    <w:div w:id="1599293792">
      <w:bodyDiv w:val="1"/>
      <w:marLeft w:val="0"/>
      <w:marRight w:val="0"/>
      <w:marTop w:val="0"/>
      <w:marBottom w:val="0"/>
      <w:divBdr>
        <w:top w:val="none" w:sz="0" w:space="0" w:color="auto"/>
        <w:left w:val="none" w:sz="0" w:space="0" w:color="auto"/>
        <w:bottom w:val="none" w:sz="0" w:space="0" w:color="auto"/>
        <w:right w:val="none" w:sz="0" w:space="0" w:color="auto"/>
      </w:divBdr>
    </w:div>
    <w:div w:id="1696032190">
      <w:bodyDiv w:val="1"/>
      <w:marLeft w:val="0"/>
      <w:marRight w:val="0"/>
      <w:marTop w:val="0"/>
      <w:marBottom w:val="0"/>
      <w:divBdr>
        <w:top w:val="none" w:sz="0" w:space="0" w:color="auto"/>
        <w:left w:val="none" w:sz="0" w:space="0" w:color="auto"/>
        <w:bottom w:val="none" w:sz="0" w:space="0" w:color="auto"/>
        <w:right w:val="none" w:sz="0" w:space="0" w:color="auto"/>
      </w:divBdr>
    </w:div>
    <w:div w:id="1777210688">
      <w:bodyDiv w:val="1"/>
      <w:marLeft w:val="0"/>
      <w:marRight w:val="0"/>
      <w:marTop w:val="0"/>
      <w:marBottom w:val="0"/>
      <w:divBdr>
        <w:top w:val="none" w:sz="0" w:space="0" w:color="auto"/>
        <w:left w:val="none" w:sz="0" w:space="0" w:color="auto"/>
        <w:bottom w:val="none" w:sz="0" w:space="0" w:color="auto"/>
        <w:right w:val="none" w:sz="0" w:space="0" w:color="auto"/>
      </w:divBdr>
    </w:div>
    <w:div w:id="1806846341">
      <w:bodyDiv w:val="1"/>
      <w:marLeft w:val="0"/>
      <w:marRight w:val="0"/>
      <w:marTop w:val="0"/>
      <w:marBottom w:val="0"/>
      <w:divBdr>
        <w:top w:val="none" w:sz="0" w:space="0" w:color="auto"/>
        <w:left w:val="none" w:sz="0" w:space="0" w:color="auto"/>
        <w:bottom w:val="none" w:sz="0" w:space="0" w:color="auto"/>
        <w:right w:val="none" w:sz="0" w:space="0" w:color="auto"/>
      </w:divBdr>
    </w:div>
    <w:div w:id="1826361817">
      <w:bodyDiv w:val="1"/>
      <w:marLeft w:val="0"/>
      <w:marRight w:val="0"/>
      <w:marTop w:val="0"/>
      <w:marBottom w:val="0"/>
      <w:divBdr>
        <w:top w:val="none" w:sz="0" w:space="0" w:color="auto"/>
        <w:left w:val="none" w:sz="0" w:space="0" w:color="auto"/>
        <w:bottom w:val="none" w:sz="0" w:space="0" w:color="auto"/>
        <w:right w:val="none" w:sz="0" w:space="0" w:color="auto"/>
      </w:divBdr>
    </w:div>
    <w:div w:id="1829441066">
      <w:bodyDiv w:val="1"/>
      <w:marLeft w:val="0"/>
      <w:marRight w:val="0"/>
      <w:marTop w:val="0"/>
      <w:marBottom w:val="0"/>
      <w:divBdr>
        <w:top w:val="none" w:sz="0" w:space="0" w:color="auto"/>
        <w:left w:val="none" w:sz="0" w:space="0" w:color="auto"/>
        <w:bottom w:val="none" w:sz="0" w:space="0" w:color="auto"/>
        <w:right w:val="none" w:sz="0" w:space="0" w:color="auto"/>
      </w:divBdr>
    </w:div>
    <w:div w:id="2027317537">
      <w:bodyDiv w:val="1"/>
      <w:marLeft w:val="0"/>
      <w:marRight w:val="0"/>
      <w:marTop w:val="0"/>
      <w:marBottom w:val="0"/>
      <w:divBdr>
        <w:top w:val="none" w:sz="0" w:space="0" w:color="auto"/>
        <w:left w:val="none" w:sz="0" w:space="0" w:color="auto"/>
        <w:bottom w:val="none" w:sz="0" w:space="0" w:color="auto"/>
        <w:right w:val="none" w:sz="0" w:space="0" w:color="auto"/>
      </w:divBdr>
    </w:div>
    <w:div w:id="2029061078">
      <w:bodyDiv w:val="1"/>
      <w:marLeft w:val="0"/>
      <w:marRight w:val="0"/>
      <w:marTop w:val="0"/>
      <w:marBottom w:val="0"/>
      <w:divBdr>
        <w:top w:val="none" w:sz="0" w:space="0" w:color="auto"/>
        <w:left w:val="none" w:sz="0" w:space="0" w:color="auto"/>
        <w:bottom w:val="none" w:sz="0" w:space="0" w:color="auto"/>
        <w:right w:val="none" w:sz="0" w:space="0" w:color="auto"/>
      </w:divBdr>
    </w:div>
    <w:div w:id="210588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49D1-8568-471A-81FF-74ED0729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16812</Words>
  <Characters>96506</Characters>
  <Application>Microsoft Office Word</Application>
  <DocSecurity>0</DocSecurity>
  <Lines>1969</Lines>
  <Paragraphs>852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University of Southampton</Company>
  <LinksUpToDate>false</LinksUpToDate>
  <CharactersWithSpaces>112466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Girault</dc:creator>
  <cp:keywords/>
  <dc:description/>
  <cp:lastModifiedBy>Clara Girault</cp:lastModifiedBy>
  <cp:revision>102</cp:revision>
  <cp:lastPrinted>2024-11-27T14:05:00Z</cp:lastPrinted>
  <dcterms:created xsi:type="dcterms:W3CDTF">2025-04-02T10:00:00Z</dcterms:created>
  <dcterms:modified xsi:type="dcterms:W3CDTF">2025-04-08T09:46:00Z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855c7150-3ab8-4997-b67e-15293a1e0b41</vt:lpwstr>
  </property>
  <property fmtid="{D5CDD505-2E9C-101B-9397-08002B2CF9AE}" pid="3" name="ZOTERO_PREF_1">
    <vt:lpwstr>&lt;data data-version="3" zotero-version="6.0.36"&gt;&lt;session id="vqpzzZhy"/&gt;&lt;style id="http://www.zotero.org/styles/sage-vancouver-brackets" hasBibliography="1" bibliographyStyleHasBeenSet="1"/&gt;&lt;prefs&gt;&lt;pref name="fieldType" value="Field"/&gt;&lt;/prefs&gt;&lt;/data&gt;</vt:lpwstr>
  </property>
</Properties>
</file>