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FF8" w14:textId="34A75BBB" w:rsidR="00FF6B7E" w:rsidRPr="00930106" w:rsidRDefault="00FF6B7E" w:rsidP="008C434C">
      <w:pPr>
        <w:spacing w:line="480" w:lineRule="auto"/>
        <w:jc w:val="center"/>
        <w:rPr>
          <w:b/>
          <w:bCs/>
        </w:rPr>
      </w:pPr>
      <w:bookmarkStart w:id="0" w:name="_Hlk182495952"/>
      <w:r>
        <w:rPr>
          <w:b/>
          <w:bCs/>
        </w:rPr>
        <w:t>Effects of EPA</w:t>
      </w:r>
      <w:r w:rsidR="00A227BB">
        <w:rPr>
          <w:b/>
          <w:bCs/>
        </w:rPr>
        <w:t>+</w:t>
      </w:r>
      <w:r>
        <w:rPr>
          <w:b/>
          <w:bCs/>
        </w:rPr>
        <w:t xml:space="preserve">DHA and corn oil supplementation on PUFA levels across </w:t>
      </w:r>
      <w:r w:rsidR="002320D4">
        <w:rPr>
          <w:b/>
          <w:bCs/>
        </w:rPr>
        <w:t xml:space="preserve">plasma </w:t>
      </w:r>
      <w:r>
        <w:rPr>
          <w:b/>
          <w:bCs/>
        </w:rPr>
        <w:t xml:space="preserve">lipid </w:t>
      </w:r>
      <w:r w:rsidR="00C73DD6">
        <w:rPr>
          <w:b/>
          <w:bCs/>
        </w:rPr>
        <w:t>pools</w:t>
      </w:r>
      <w:r>
        <w:rPr>
          <w:b/>
          <w:bCs/>
        </w:rPr>
        <w:t xml:space="preserve"> and </w:t>
      </w:r>
      <w:r w:rsidR="002320D4">
        <w:rPr>
          <w:b/>
          <w:bCs/>
        </w:rPr>
        <w:t xml:space="preserve">on </w:t>
      </w:r>
      <w:r>
        <w:rPr>
          <w:b/>
          <w:bCs/>
        </w:rPr>
        <w:t>downstream oxylipins</w:t>
      </w:r>
      <w:r w:rsidR="002320D4">
        <w:rPr>
          <w:b/>
          <w:bCs/>
        </w:rPr>
        <w:t xml:space="preserve">: </w:t>
      </w:r>
      <w:r w:rsidR="00EB19C5">
        <w:rPr>
          <w:b/>
          <w:bCs/>
        </w:rPr>
        <w:t xml:space="preserve">exploratory </w:t>
      </w:r>
      <w:r w:rsidR="002320D4">
        <w:rPr>
          <w:b/>
          <w:bCs/>
        </w:rPr>
        <w:t xml:space="preserve">results from a randomized controlled trial in healthy humans </w:t>
      </w:r>
    </w:p>
    <w:p w14:paraId="7AACC3E9" w14:textId="2BBBC0E9" w:rsidR="00F60D7B" w:rsidRPr="00930106" w:rsidRDefault="00E675FB" w:rsidP="00E170E6">
      <w:pPr>
        <w:spacing w:line="480" w:lineRule="auto"/>
        <w:jc w:val="center"/>
      </w:pPr>
      <w:r w:rsidRPr="00930106">
        <w:t xml:space="preserve">Running Title: </w:t>
      </w:r>
      <w:r w:rsidR="00FF6B7E">
        <w:t>EPA/DHA</w:t>
      </w:r>
      <w:r w:rsidR="00F342D0">
        <w:t xml:space="preserve">, </w:t>
      </w:r>
      <w:r w:rsidRPr="00930106">
        <w:t xml:space="preserve">lipid </w:t>
      </w:r>
      <w:r w:rsidR="00264728">
        <w:t>pools</w:t>
      </w:r>
      <w:r w:rsidR="00F342D0">
        <w:t>, and oxylipins</w:t>
      </w:r>
    </w:p>
    <w:p w14:paraId="4D9368B9" w14:textId="388FFD72" w:rsidR="001B7651" w:rsidRDefault="00667C34" w:rsidP="00FD02C3">
      <w:pPr>
        <w:spacing w:line="480" w:lineRule="auto"/>
        <w:jc w:val="center"/>
      </w:pPr>
      <w:r w:rsidRPr="00930106">
        <w:t>Neha Balakrishnan</w:t>
      </w:r>
      <w:r w:rsidRPr="00930106">
        <w:rPr>
          <w:vertAlign w:val="superscript"/>
        </w:rPr>
        <w:t>a</w:t>
      </w:r>
      <w:r w:rsidR="00050418">
        <w:rPr>
          <w:vertAlign w:val="superscript"/>
        </w:rPr>
        <w:t>*</w:t>
      </w:r>
      <w:r w:rsidRPr="00930106">
        <w:t>, Saame R</w:t>
      </w:r>
      <w:r w:rsidR="00FF6B7E">
        <w:t>aza</w:t>
      </w:r>
      <w:r w:rsidRPr="00930106">
        <w:t xml:space="preserve"> Shaikh</w:t>
      </w:r>
      <w:r w:rsidRPr="00930106">
        <w:rPr>
          <w:vertAlign w:val="superscript"/>
        </w:rPr>
        <w:t>a</w:t>
      </w:r>
      <w:r w:rsidR="00050418">
        <w:rPr>
          <w:vertAlign w:val="superscript"/>
        </w:rPr>
        <w:t>*</w:t>
      </w:r>
      <w:r w:rsidRPr="00930106">
        <w:t xml:space="preserve">, </w:t>
      </w:r>
      <w:r w:rsidR="00FD02C3" w:rsidRPr="00FD02C3">
        <w:t>Caroline E Childs</w:t>
      </w:r>
      <w:r w:rsidR="00FD02C3" w:rsidRPr="00B32DFC">
        <w:rPr>
          <w:vertAlign w:val="superscript"/>
        </w:rPr>
        <w:t>b</w:t>
      </w:r>
      <w:r w:rsidR="00FD02C3" w:rsidRPr="00FD02C3">
        <w:t>, Elizabeth A Miles</w:t>
      </w:r>
      <w:r w:rsidR="00FD02C3" w:rsidRPr="00B32DFC">
        <w:rPr>
          <w:vertAlign w:val="superscript"/>
        </w:rPr>
        <w:t>b</w:t>
      </w:r>
      <w:r w:rsidR="00FD02C3" w:rsidRPr="00FD02C3">
        <w:t>, Paul S Noakes</w:t>
      </w:r>
      <w:r w:rsidR="00745710">
        <w:rPr>
          <w:vertAlign w:val="superscript"/>
        </w:rPr>
        <w:t>b,</w:t>
      </w:r>
      <w:r w:rsidR="00FD02C3" w:rsidRPr="00B32DFC">
        <w:rPr>
          <w:vertAlign w:val="superscript"/>
        </w:rPr>
        <w:t>c</w:t>
      </w:r>
      <w:r w:rsidR="00FD02C3" w:rsidRPr="00FD02C3">
        <w:t>, Carolina Paras-Chave</w:t>
      </w:r>
      <w:r w:rsidR="00FD02C3">
        <w:t>z</w:t>
      </w:r>
      <w:r w:rsidR="00FD02C3">
        <w:rPr>
          <w:vertAlign w:val="superscript"/>
        </w:rPr>
        <w:t>b</w:t>
      </w:r>
      <w:r w:rsidR="00FD02C3" w:rsidRPr="00FD02C3">
        <w:t xml:space="preserve">, </w:t>
      </w:r>
      <w:r w:rsidR="001B7651">
        <w:t>Michael Armstrong</w:t>
      </w:r>
      <w:r w:rsidR="001B7651">
        <w:rPr>
          <w:vertAlign w:val="superscript"/>
        </w:rPr>
        <w:t>d</w:t>
      </w:r>
      <w:r w:rsidR="001B7651">
        <w:t>, Nicole Reisdroph</w:t>
      </w:r>
      <w:r w:rsidR="001B7651">
        <w:rPr>
          <w:vertAlign w:val="superscript"/>
        </w:rPr>
        <w:t>d</w:t>
      </w:r>
      <w:r w:rsidR="001B7651">
        <w:t xml:space="preserve">, </w:t>
      </w:r>
      <w:r w:rsidR="00FD02C3" w:rsidRPr="00FD02C3">
        <w:t>Philip C Calder</w:t>
      </w:r>
      <w:r w:rsidR="00FD02C3" w:rsidRPr="00930106">
        <w:rPr>
          <w:vertAlign w:val="superscript"/>
        </w:rPr>
        <w:t>b,</w:t>
      </w:r>
      <w:r w:rsidR="001B7651">
        <w:rPr>
          <w:vertAlign w:val="superscript"/>
        </w:rPr>
        <w:t>e</w:t>
      </w:r>
      <w:r w:rsidR="00FD02C3">
        <w:t xml:space="preserve">, </w:t>
      </w:r>
    </w:p>
    <w:p w14:paraId="33270815" w14:textId="127A0ECE" w:rsidR="00667C34" w:rsidRPr="00930106" w:rsidRDefault="00667C34" w:rsidP="00FD02C3">
      <w:pPr>
        <w:spacing w:line="480" w:lineRule="auto"/>
        <w:jc w:val="center"/>
      </w:pPr>
      <w:r w:rsidRPr="00930106">
        <w:t xml:space="preserve">and Helena </w:t>
      </w:r>
      <w:r w:rsidR="00833D93">
        <w:t xml:space="preserve">L </w:t>
      </w:r>
      <w:r w:rsidRPr="00930106">
        <w:t>Fisk</w:t>
      </w:r>
      <w:r w:rsidRPr="00930106">
        <w:rPr>
          <w:vertAlign w:val="superscript"/>
        </w:rPr>
        <w:t>b,</w:t>
      </w:r>
      <w:r w:rsidR="001B7651">
        <w:rPr>
          <w:vertAlign w:val="superscript"/>
        </w:rPr>
        <w:t>e</w:t>
      </w:r>
    </w:p>
    <w:p w14:paraId="5855E5EE" w14:textId="2925502B" w:rsidR="00667C34" w:rsidRPr="00930106" w:rsidRDefault="00050418" w:rsidP="00050418">
      <w:pPr>
        <w:spacing w:line="480" w:lineRule="auto"/>
        <w:jc w:val="center"/>
      </w:pPr>
      <w:r>
        <w:t>*Both author</w:t>
      </w:r>
      <w:r w:rsidR="005E299E">
        <w:t>s</w:t>
      </w:r>
      <w:r>
        <w:t xml:space="preserve"> contributed equally</w:t>
      </w:r>
    </w:p>
    <w:p w14:paraId="28C8DF09" w14:textId="3680405C" w:rsidR="00667C34" w:rsidRPr="00930106" w:rsidRDefault="00667C34" w:rsidP="00A60FAE">
      <w:pPr>
        <w:spacing w:line="480" w:lineRule="auto"/>
      </w:pPr>
      <w:r w:rsidRPr="00930106">
        <w:rPr>
          <w:vertAlign w:val="superscript"/>
        </w:rPr>
        <w:t>a</w:t>
      </w:r>
      <w:r w:rsidRPr="00930106">
        <w:t>Department of Nutrition, Gillings School of Global Public Health and School of Medicine, University of North Carolina at Chapel Hill, Chapel Hill, NC, USA</w:t>
      </w:r>
      <w:r w:rsidR="001B7651">
        <w:t xml:space="preserve">; </w:t>
      </w:r>
      <w:r w:rsidRPr="00930106">
        <w:rPr>
          <w:vertAlign w:val="superscript"/>
        </w:rPr>
        <w:t>b</w:t>
      </w:r>
      <w:r w:rsidR="00D63581" w:rsidRPr="00930106">
        <w:t xml:space="preserve">School of Human Development and Health, </w:t>
      </w:r>
      <w:r w:rsidRPr="00930106">
        <w:t xml:space="preserve">Faculty of Medicine, University of Southampton, </w:t>
      </w:r>
      <w:r w:rsidRPr="001B7651">
        <w:t>Southampton, UK</w:t>
      </w:r>
      <w:r w:rsidR="001B7651" w:rsidRPr="001B7651">
        <w:t xml:space="preserve">; </w:t>
      </w:r>
      <w:r w:rsidR="00FD02C3" w:rsidRPr="001B7651">
        <w:rPr>
          <w:vertAlign w:val="superscript"/>
        </w:rPr>
        <w:t>c</w:t>
      </w:r>
      <w:r w:rsidR="00FD02C3" w:rsidRPr="001B7651">
        <w:t>Medical School, University of Notre Dame Australia, Fremantle, Australia.</w:t>
      </w:r>
      <w:r w:rsidR="001B7651" w:rsidRPr="001B7651">
        <w:rPr>
          <w:vertAlign w:val="superscript"/>
        </w:rPr>
        <w:t xml:space="preserve"> d</w:t>
      </w:r>
      <w:r w:rsidR="001B7651" w:rsidRPr="00221B74">
        <w:rPr>
          <w:color w:val="212121"/>
          <w:shd w:val="clear" w:color="auto" w:fill="FFFFFF"/>
        </w:rPr>
        <w:t>Department of Pharmaceutical Sciences, University of Colorado-AMC, Aurora, CO, USA;</w:t>
      </w:r>
      <w:r w:rsidR="001B7651" w:rsidRPr="001B7651">
        <w:rPr>
          <w:vertAlign w:val="superscript"/>
        </w:rPr>
        <w:t xml:space="preserve"> e</w:t>
      </w:r>
      <w:r w:rsidRPr="001B7651">
        <w:t>NIHR</w:t>
      </w:r>
      <w:r w:rsidRPr="00930106">
        <w:t xml:space="preserve"> Southampton Biomedical Research Centre, University Hospital Southampton NHS Foundation Trust and University of Southampton, Southampton, UK</w:t>
      </w:r>
    </w:p>
    <w:p w14:paraId="65CA6835" w14:textId="0CB96014" w:rsidR="00E170E6" w:rsidRDefault="00667C34" w:rsidP="00E170E6">
      <w:pPr>
        <w:pStyle w:val="NormalWeb"/>
        <w:spacing w:line="480" w:lineRule="auto"/>
        <w:rPr>
          <w:color w:val="000000" w:themeColor="text1"/>
        </w:rPr>
      </w:pPr>
      <w:r w:rsidRPr="00050418">
        <w:rPr>
          <w:u w:val="single"/>
        </w:rPr>
        <w:t>Funding:</w:t>
      </w:r>
      <w:r w:rsidRPr="00930106">
        <w:t xml:space="preserve">  </w:t>
      </w:r>
      <w:r w:rsidR="0046340E">
        <w:t xml:space="preserve">NIH </w:t>
      </w:r>
      <w:r w:rsidRPr="00930106">
        <w:t xml:space="preserve">P30DK056350 </w:t>
      </w:r>
      <w:r w:rsidR="00165E02">
        <w:t xml:space="preserve">and </w:t>
      </w:r>
      <w:r w:rsidR="00165E02" w:rsidRPr="00165E02">
        <w:t xml:space="preserve">R01ES031378 </w:t>
      </w:r>
      <w:r w:rsidRPr="00930106">
        <w:t>(SRS),</w:t>
      </w:r>
      <w:r w:rsidR="006C357C" w:rsidRPr="006C357C">
        <w:t xml:space="preserve"> European Commission, Seventh Framework Programme</w:t>
      </w:r>
      <w:r w:rsidR="00F24137">
        <w:t xml:space="preserve"> </w:t>
      </w:r>
      <w:r w:rsidR="006C357C" w:rsidRPr="006C357C">
        <w:t>Grant Number 244995</w:t>
      </w:r>
      <w:r w:rsidR="00D8295A">
        <w:t xml:space="preserve"> </w:t>
      </w:r>
      <w:r w:rsidR="007468B4">
        <w:t>(</w:t>
      </w:r>
      <w:r w:rsidR="001F0F20">
        <w:t>PCC</w:t>
      </w:r>
      <w:r w:rsidR="007468B4">
        <w:t>)</w:t>
      </w:r>
      <w:r w:rsidR="001A5C77">
        <w:t xml:space="preserve">, </w:t>
      </w:r>
      <w:r w:rsidR="007C5E50">
        <w:rPr>
          <w:color w:val="000000" w:themeColor="text1"/>
        </w:rPr>
        <w:t>NIHR Southampton Biomedical Research Centre Grant N</w:t>
      </w:r>
      <w:r w:rsidR="007C5E50" w:rsidRPr="001A5C77">
        <w:rPr>
          <w:color w:val="000000" w:themeColor="text1"/>
        </w:rPr>
        <w:t xml:space="preserve">umber </w:t>
      </w:r>
      <w:r w:rsidR="007C5E50" w:rsidRPr="00C27116">
        <w:t>NIHR203319</w:t>
      </w:r>
      <w:r w:rsidR="007C5E50">
        <w:t xml:space="preserve"> (HLF</w:t>
      </w:r>
      <w:r w:rsidR="007C5E50" w:rsidRPr="001A5C77">
        <w:rPr>
          <w:color w:val="000000" w:themeColor="text1"/>
        </w:rPr>
        <w:t>).</w:t>
      </w:r>
    </w:p>
    <w:p w14:paraId="6FD9D32C" w14:textId="342C4C5F" w:rsidR="00A63E19" w:rsidRDefault="00A63E19" w:rsidP="00E170E6">
      <w:pPr>
        <w:pStyle w:val="NormalWeb"/>
        <w:spacing w:line="480" w:lineRule="auto"/>
        <w:rPr>
          <w:color w:val="000000" w:themeColor="text1"/>
        </w:rPr>
      </w:pPr>
      <w:r w:rsidRPr="00A63E19">
        <w:rPr>
          <w:color w:val="000000" w:themeColor="text1"/>
          <w:u w:val="single"/>
        </w:rPr>
        <w:t>Trial Registration ID:</w:t>
      </w:r>
      <w:r>
        <w:rPr>
          <w:color w:val="000000" w:themeColor="text1"/>
        </w:rPr>
        <w:t xml:space="preserve"> </w:t>
      </w:r>
      <w:r w:rsidRPr="00A63E19">
        <w:rPr>
          <w:color w:val="000000" w:themeColor="text1"/>
        </w:rPr>
        <w:t>ISRCTN96712688</w:t>
      </w:r>
      <w:r>
        <w:rPr>
          <w:color w:val="000000" w:themeColor="text1"/>
        </w:rPr>
        <w:t xml:space="preserve"> (</w:t>
      </w:r>
      <w:r w:rsidRPr="00A63E19">
        <w:rPr>
          <w:color w:val="000000" w:themeColor="text1"/>
        </w:rPr>
        <w:t>www.isrctn.com</w:t>
      </w:r>
      <w:r>
        <w:rPr>
          <w:color w:val="000000" w:themeColor="text1"/>
        </w:rPr>
        <w:t>)</w:t>
      </w:r>
    </w:p>
    <w:p w14:paraId="3CD8540B" w14:textId="4CC56DBC" w:rsidR="00F60D7B" w:rsidRPr="00E170E6" w:rsidRDefault="007C5E50" w:rsidP="00E170E6">
      <w:pPr>
        <w:pStyle w:val="NormalWeb"/>
        <w:spacing w:line="480" w:lineRule="auto"/>
        <w:rPr>
          <w:color w:val="000000" w:themeColor="text1"/>
        </w:rPr>
      </w:pPr>
      <w:r w:rsidRPr="00E170E6">
        <w:rPr>
          <w:u w:val="single"/>
        </w:rPr>
        <w:t>Conflicts of interest:</w:t>
      </w:r>
      <w:r>
        <w:t xml:space="preserve"> </w:t>
      </w:r>
      <w:r w:rsidR="00C950AD">
        <w:t xml:space="preserve">SRS is </w:t>
      </w:r>
      <w:r w:rsidR="00E604F1">
        <w:t>a member of</w:t>
      </w:r>
      <w:r w:rsidR="00C950AD">
        <w:t xml:space="preserve"> the editorial board of the Journal of Nutrition</w:t>
      </w:r>
      <w:r w:rsidR="00050418">
        <w:t>; PC</w:t>
      </w:r>
      <w:r w:rsidR="004C32DB">
        <w:t>C</w:t>
      </w:r>
      <w:r w:rsidR="00050418">
        <w:t xml:space="preserve"> is an </w:t>
      </w:r>
      <w:r w:rsidR="00845962">
        <w:t>A</w:t>
      </w:r>
      <w:r w:rsidR="00050418">
        <w:t xml:space="preserve">ssociate </w:t>
      </w:r>
      <w:r w:rsidR="00845962">
        <w:t>E</w:t>
      </w:r>
      <w:r w:rsidR="00050418">
        <w:t>ditor of the Journal of Nutrition</w:t>
      </w:r>
      <w:r w:rsidR="00FF6B7E">
        <w:t>.</w:t>
      </w:r>
    </w:p>
    <w:p w14:paraId="68C38627" w14:textId="77777777" w:rsidR="00C7611A" w:rsidRDefault="00C950AD" w:rsidP="00C7611A">
      <w:pPr>
        <w:spacing w:line="480" w:lineRule="auto"/>
      </w:pPr>
      <w:r w:rsidRPr="00C950AD">
        <w:rPr>
          <w:u w:val="single"/>
        </w:rPr>
        <w:lastRenderedPageBreak/>
        <w:t>Correspondence:</w:t>
      </w:r>
      <w:r>
        <w:t xml:space="preserve"> </w:t>
      </w:r>
      <w:r w:rsidR="00D8295A">
        <w:rPr>
          <w:color w:val="2E2E2E"/>
          <w:shd w:val="clear" w:color="auto" w:fill="FFFFFF"/>
        </w:rPr>
        <w:t xml:space="preserve">Helena </w:t>
      </w:r>
      <w:r w:rsidR="00833D93">
        <w:rPr>
          <w:color w:val="2E2E2E"/>
          <w:shd w:val="clear" w:color="auto" w:fill="FFFFFF"/>
        </w:rPr>
        <w:t>L</w:t>
      </w:r>
      <w:r w:rsidR="006A2D4B">
        <w:rPr>
          <w:color w:val="2E2E2E"/>
          <w:shd w:val="clear" w:color="auto" w:fill="FFFFFF"/>
        </w:rPr>
        <w:t>.</w:t>
      </w:r>
      <w:r w:rsidR="00833D93">
        <w:rPr>
          <w:color w:val="2E2E2E"/>
          <w:shd w:val="clear" w:color="auto" w:fill="FFFFFF"/>
        </w:rPr>
        <w:t xml:space="preserve"> </w:t>
      </w:r>
      <w:r w:rsidR="00D8295A">
        <w:rPr>
          <w:color w:val="2E2E2E"/>
          <w:shd w:val="clear" w:color="auto" w:fill="FFFFFF"/>
        </w:rPr>
        <w:t>Fisk</w:t>
      </w:r>
      <w:r w:rsidR="00334657">
        <w:rPr>
          <w:color w:val="2E2E2E"/>
          <w:shd w:val="clear" w:color="auto" w:fill="FFFFFF"/>
        </w:rPr>
        <w:t>;</w:t>
      </w:r>
      <w:r w:rsidR="00D8295A">
        <w:rPr>
          <w:color w:val="2E2E2E"/>
          <w:shd w:val="clear" w:color="auto" w:fill="FFFFFF"/>
        </w:rPr>
        <w:t xml:space="preserve"> </w:t>
      </w:r>
      <w:r w:rsidR="006A2D4B" w:rsidRPr="00930106">
        <w:t xml:space="preserve">School of Human Development and Health, </w:t>
      </w:r>
      <w:r w:rsidR="00D8295A" w:rsidRPr="00930106">
        <w:t xml:space="preserve">Faculty of Medicine, University of Southampton, </w:t>
      </w:r>
      <w:r w:rsidR="00603C3D" w:rsidRPr="00603C3D">
        <w:t>IDS Building, MP887</w:t>
      </w:r>
      <w:r w:rsidR="006A2D4B">
        <w:t xml:space="preserve"> Southampton General Hospital</w:t>
      </w:r>
      <w:r w:rsidR="00603C3D" w:rsidRPr="00603C3D">
        <w:t xml:space="preserve">, Tremona Road, </w:t>
      </w:r>
      <w:r w:rsidR="00D8295A" w:rsidRPr="00930106">
        <w:t xml:space="preserve">Southampton </w:t>
      </w:r>
      <w:r w:rsidR="00334657">
        <w:t xml:space="preserve">SO16 6YD, </w:t>
      </w:r>
      <w:r w:rsidR="00D8295A" w:rsidRPr="00930106">
        <w:t>UK</w:t>
      </w:r>
      <w:r w:rsidR="00334657">
        <w:t xml:space="preserve">; </w:t>
      </w:r>
      <w:hyperlink r:id="rId11" w:history="1">
        <w:r w:rsidRPr="00840CAA">
          <w:rPr>
            <w:rStyle w:val="Hyperlink"/>
          </w:rPr>
          <w:t>h.fisk@soton.ac.uk</w:t>
        </w:r>
      </w:hyperlink>
      <w:r>
        <w:t xml:space="preserve">.  Saame Raza Shaikh: Department of Nutrition, Gillings School of Global Public Health and School of Medicine, 135 Dauer Drive, Chapel Hill, NC, USA; </w:t>
      </w:r>
      <w:hyperlink r:id="rId12" w:history="1">
        <w:r w:rsidR="001B018B" w:rsidRPr="0089077F">
          <w:rPr>
            <w:rStyle w:val="Hyperlink"/>
          </w:rPr>
          <w:t>shaikhsa@email.unc.edu</w:t>
        </w:r>
      </w:hyperlink>
    </w:p>
    <w:p w14:paraId="202B86CE" w14:textId="77777777" w:rsidR="00C7611A" w:rsidRDefault="00C7611A" w:rsidP="00C7611A">
      <w:pPr>
        <w:spacing w:line="480" w:lineRule="auto"/>
      </w:pPr>
    </w:p>
    <w:p w14:paraId="75F7AC02" w14:textId="77777777" w:rsidR="00C7611A" w:rsidRDefault="00C7611A" w:rsidP="00C7611A">
      <w:pPr>
        <w:spacing w:line="480" w:lineRule="auto"/>
        <w:rPr>
          <w:u w:val="single"/>
        </w:rPr>
      </w:pPr>
      <w:r w:rsidRPr="00C7611A">
        <w:rPr>
          <w:u w:val="single"/>
        </w:rPr>
        <w:t>Abbreviations:</w:t>
      </w:r>
    </w:p>
    <w:p w14:paraId="3C2D8595" w14:textId="2F9523BC" w:rsidR="001B018B" w:rsidRPr="00C7611A" w:rsidRDefault="00DE5A57" w:rsidP="00C7611A">
      <w:pPr>
        <w:spacing w:line="480" w:lineRule="auto"/>
      </w:pPr>
      <w:r>
        <w:rPr>
          <w:color w:val="000000" w:themeColor="text1"/>
        </w:rPr>
        <w:t>AA, A</w:t>
      </w:r>
      <w:r w:rsidRPr="00930106">
        <w:rPr>
          <w:color w:val="000000" w:themeColor="text1"/>
        </w:rPr>
        <w:t>rachidonic acid</w:t>
      </w:r>
      <w:r>
        <w:rPr>
          <w:color w:val="000000" w:themeColor="text1"/>
        </w:rPr>
        <w:t xml:space="preserve">; CE, </w:t>
      </w:r>
      <w:r w:rsidRPr="00635F66">
        <w:rPr>
          <w:rFonts w:eastAsiaTheme="minorHAnsi"/>
          <w:color w:val="000000" w:themeColor="text1"/>
          <w14:ligatures w14:val="standardContextual"/>
        </w:rPr>
        <w:t>cholesteryl esters</w:t>
      </w:r>
      <w:r>
        <w:rPr>
          <w:color w:val="000000" w:themeColor="text1"/>
        </w:rPr>
        <w:t>;</w:t>
      </w:r>
      <w:r w:rsidRPr="00635F66">
        <w:rPr>
          <w:rFonts w:eastAsiaTheme="minorHAnsi"/>
          <w:color w:val="000000" w:themeColor="text1"/>
          <w14:ligatures w14:val="standardContextual"/>
        </w:rPr>
        <w:t xml:space="preserve"> </w:t>
      </w:r>
      <w:r>
        <w:t xml:space="preserve">CO, Corn oil; </w:t>
      </w:r>
      <w:r>
        <w:rPr>
          <w:color w:val="000000"/>
        </w:rPr>
        <w:t>DHA, D</w:t>
      </w:r>
      <w:r w:rsidRPr="00566689">
        <w:rPr>
          <w:rFonts w:eastAsiaTheme="minorHAnsi"/>
          <w:color w:val="000000"/>
          <w14:ligatures w14:val="standardContextual"/>
        </w:rPr>
        <w:t xml:space="preserve">ocosahexaenoic </w:t>
      </w:r>
      <w:r>
        <w:rPr>
          <w:rFonts w:eastAsiaTheme="minorHAnsi"/>
          <w:color w:val="000000"/>
          <w14:ligatures w14:val="standardContextual"/>
        </w:rPr>
        <w:t>acid</w:t>
      </w:r>
      <w:r>
        <w:rPr>
          <w:color w:val="000000"/>
        </w:rPr>
        <w:t>;</w:t>
      </w:r>
      <w:r w:rsidRPr="00290F3E">
        <w:rPr>
          <w:color w:val="000000"/>
        </w:rPr>
        <w:t xml:space="preserve"> </w:t>
      </w:r>
      <w:r>
        <w:rPr>
          <w:color w:val="000000"/>
        </w:rPr>
        <w:t xml:space="preserve">EPA, </w:t>
      </w:r>
      <w:r w:rsidRPr="00566689">
        <w:rPr>
          <w:rFonts w:eastAsiaTheme="minorHAnsi"/>
          <w:color w:val="000000"/>
          <w14:ligatures w14:val="standardContextual"/>
        </w:rPr>
        <w:t xml:space="preserve">Eicosapentaenoic </w:t>
      </w:r>
      <w:r>
        <w:rPr>
          <w:rFonts w:eastAsiaTheme="minorHAnsi"/>
          <w:color w:val="000000"/>
          <w14:ligatures w14:val="standardContextual"/>
        </w:rPr>
        <w:t>acid</w:t>
      </w:r>
      <w:r>
        <w:rPr>
          <w:color w:val="000000"/>
        </w:rPr>
        <w:t>;</w:t>
      </w:r>
      <w:r w:rsidRPr="00566689">
        <w:rPr>
          <w:rFonts w:eastAsiaTheme="minorHAnsi"/>
          <w:color w:val="000000"/>
          <w14:ligatures w14:val="standardContextual"/>
        </w:rPr>
        <w:t xml:space="preserve"> </w:t>
      </w:r>
      <w:r>
        <w:t xml:space="preserve">LA, </w:t>
      </w:r>
      <w:r w:rsidRPr="00930106">
        <w:t>linoleic acid</w:t>
      </w:r>
      <w:r>
        <w:t>;</w:t>
      </w:r>
      <w:r w:rsidRPr="00290F3E">
        <w:rPr>
          <w:color w:val="000000" w:themeColor="text1"/>
        </w:rPr>
        <w:t xml:space="preserve"> </w:t>
      </w:r>
      <w:r>
        <w:rPr>
          <w:color w:val="000000" w:themeColor="text1"/>
        </w:rPr>
        <w:t>LDL, Low density lipoprotein;</w:t>
      </w:r>
      <w:r w:rsidRPr="00290F3E">
        <w:rPr>
          <w:color w:val="000000" w:themeColor="text1"/>
        </w:rPr>
        <w:t xml:space="preserve"> </w:t>
      </w:r>
      <w:r>
        <w:rPr>
          <w:color w:val="000000" w:themeColor="text1"/>
        </w:rPr>
        <w:t>NEFA, N</w:t>
      </w:r>
      <w:r w:rsidRPr="00635F66">
        <w:rPr>
          <w:rFonts w:eastAsiaTheme="minorHAnsi"/>
          <w:color w:val="000000" w:themeColor="text1"/>
          <w14:ligatures w14:val="standardContextual"/>
        </w:rPr>
        <w:t>on-esterified fatty acids</w:t>
      </w:r>
      <w:r>
        <w:rPr>
          <w:color w:val="000000" w:themeColor="text1"/>
        </w:rPr>
        <w:t>;</w:t>
      </w:r>
      <w:r w:rsidRPr="00290F3E">
        <w:t xml:space="preserve"> </w:t>
      </w:r>
      <w:r>
        <w:t>OXLAMs, Oxidized LA metabolites;</w:t>
      </w:r>
      <w:r w:rsidRPr="00290F3E">
        <w:rPr>
          <w:color w:val="000000" w:themeColor="text1"/>
        </w:rPr>
        <w:t xml:space="preserve"> </w:t>
      </w:r>
      <w:r>
        <w:rPr>
          <w:color w:val="000000" w:themeColor="text1"/>
        </w:rPr>
        <w:t>PC, P</w:t>
      </w:r>
      <w:r w:rsidRPr="00635F66">
        <w:rPr>
          <w:rFonts w:eastAsiaTheme="minorHAnsi"/>
          <w:color w:val="000000" w:themeColor="text1"/>
          <w14:ligatures w14:val="standardContextual"/>
        </w:rPr>
        <w:t>hosphatidylcholines</w:t>
      </w:r>
      <w:r>
        <w:rPr>
          <w:color w:val="000000" w:themeColor="text1"/>
        </w:rPr>
        <w:t>;</w:t>
      </w:r>
      <w:r w:rsidRPr="00290F3E">
        <w:rPr>
          <w:color w:val="000000" w:themeColor="text1"/>
        </w:rPr>
        <w:t xml:space="preserve"> </w:t>
      </w:r>
      <w:r>
        <w:rPr>
          <w:color w:val="000000" w:themeColor="text1"/>
        </w:rPr>
        <w:t>scWAT, S</w:t>
      </w:r>
      <w:r w:rsidRPr="00930106">
        <w:rPr>
          <w:color w:val="000000" w:themeColor="text1"/>
        </w:rPr>
        <w:t>ubcutaneous white adipose tissue</w:t>
      </w:r>
      <w:r>
        <w:rPr>
          <w:color w:val="000000" w:themeColor="text1"/>
        </w:rPr>
        <w:t>;</w:t>
      </w:r>
      <w:r w:rsidRPr="00290F3E">
        <w:rPr>
          <w:color w:val="000000" w:themeColor="text1"/>
        </w:rPr>
        <w:t xml:space="preserve"> </w:t>
      </w:r>
      <w:r>
        <w:rPr>
          <w:color w:val="000000" w:themeColor="text1"/>
        </w:rPr>
        <w:t>SPM, specialized pro-resolving mediator;</w:t>
      </w:r>
      <w:r w:rsidRPr="00290F3E">
        <w:rPr>
          <w:color w:val="000000" w:themeColor="text1"/>
        </w:rPr>
        <w:t xml:space="preserve"> </w:t>
      </w:r>
      <w:r>
        <w:rPr>
          <w:color w:val="000000" w:themeColor="text1"/>
        </w:rPr>
        <w:t>TAG, T</w:t>
      </w:r>
      <w:r w:rsidRPr="00635F66">
        <w:rPr>
          <w:rFonts w:eastAsiaTheme="minorHAnsi"/>
          <w:color w:val="000000" w:themeColor="text1"/>
          <w14:ligatures w14:val="standardContextual"/>
        </w:rPr>
        <w:t>riglycerides</w:t>
      </w:r>
      <w:r>
        <w:rPr>
          <w:color w:val="000000" w:themeColor="text1"/>
        </w:rPr>
        <w:t>.</w:t>
      </w:r>
      <w:r w:rsidR="001B018B">
        <w:br w:type="page"/>
      </w:r>
    </w:p>
    <w:p w14:paraId="0317177C" w14:textId="77777777" w:rsidR="00BD6AF8" w:rsidRDefault="00BD6AF8" w:rsidP="00A60FAE">
      <w:pPr>
        <w:spacing w:line="480" w:lineRule="auto"/>
        <w:jc w:val="center"/>
        <w:rPr>
          <w:b/>
          <w:bCs/>
          <w:color w:val="000000" w:themeColor="text1"/>
        </w:rPr>
      </w:pPr>
      <w:r w:rsidRPr="00930106">
        <w:rPr>
          <w:b/>
          <w:bCs/>
          <w:color w:val="000000" w:themeColor="text1"/>
        </w:rPr>
        <w:lastRenderedPageBreak/>
        <w:t>Abstract</w:t>
      </w:r>
    </w:p>
    <w:p w14:paraId="03593A80" w14:textId="68B33890" w:rsidR="000F7F3F" w:rsidRDefault="000F7F3F" w:rsidP="000B0733">
      <w:pPr>
        <w:spacing w:line="480" w:lineRule="auto"/>
        <w:rPr>
          <w:b/>
          <w:bCs/>
        </w:rPr>
      </w:pPr>
      <w:r w:rsidRPr="00566689">
        <w:rPr>
          <w:b/>
          <w:bCs/>
        </w:rPr>
        <w:t>Background</w:t>
      </w:r>
    </w:p>
    <w:p w14:paraId="2F41C5DC" w14:textId="51870272" w:rsidR="00566689" w:rsidRPr="00566689" w:rsidRDefault="00566689" w:rsidP="005666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HAnsi"/>
          <w:color w:val="000000"/>
          <w14:ligatures w14:val="standardContextual"/>
        </w:rPr>
      </w:pPr>
      <w:r>
        <w:rPr>
          <w:b/>
          <w:bCs/>
        </w:rPr>
        <w:tab/>
      </w:r>
      <w:r w:rsidRPr="00566689">
        <w:rPr>
          <w:rFonts w:eastAsiaTheme="minorHAnsi"/>
          <w:color w:val="000000"/>
          <w14:ligatures w14:val="standardContextual"/>
        </w:rPr>
        <w:t xml:space="preserve">Eicosapentaenoic </w:t>
      </w:r>
      <w:r w:rsidR="001B018B">
        <w:rPr>
          <w:rFonts w:eastAsiaTheme="minorHAnsi"/>
          <w:color w:val="000000"/>
          <w14:ligatures w14:val="standardContextual"/>
        </w:rPr>
        <w:t xml:space="preserve">acid </w:t>
      </w:r>
      <w:r w:rsidRPr="00566689">
        <w:rPr>
          <w:rFonts w:eastAsiaTheme="minorHAnsi"/>
          <w:color w:val="000000"/>
          <w14:ligatures w14:val="standardContextual"/>
        </w:rPr>
        <w:t xml:space="preserve">(EPA) </w:t>
      </w:r>
      <w:r w:rsidR="00497946">
        <w:rPr>
          <w:rFonts w:eastAsiaTheme="minorHAnsi"/>
          <w:color w:val="000000"/>
          <w14:ligatures w14:val="standardContextual"/>
        </w:rPr>
        <w:t xml:space="preserve">and </w:t>
      </w:r>
      <w:r w:rsidRPr="00566689">
        <w:rPr>
          <w:rFonts w:eastAsiaTheme="minorHAnsi"/>
          <w:color w:val="000000"/>
          <w14:ligatures w14:val="standardContextual"/>
        </w:rPr>
        <w:t xml:space="preserve">docosahexaenoic </w:t>
      </w:r>
      <w:r w:rsidR="001B018B">
        <w:rPr>
          <w:rFonts w:eastAsiaTheme="minorHAnsi"/>
          <w:color w:val="000000"/>
          <w14:ligatures w14:val="standardContextual"/>
        </w:rPr>
        <w:t xml:space="preserve">acid </w:t>
      </w:r>
      <w:r w:rsidRPr="00566689">
        <w:rPr>
          <w:rFonts w:eastAsiaTheme="minorHAnsi"/>
          <w:color w:val="000000"/>
          <w14:ligatures w14:val="standardContextual"/>
        </w:rPr>
        <w:t xml:space="preserve">(DHA) may improve inflammatory conditions. We previously demonstrated </w:t>
      </w:r>
      <w:r w:rsidR="00497946">
        <w:rPr>
          <w:rFonts w:eastAsiaTheme="minorHAnsi"/>
          <w:color w:val="000000"/>
          <w14:ligatures w14:val="standardContextual"/>
        </w:rPr>
        <w:t xml:space="preserve">that </w:t>
      </w:r>
      <w:r w:rsidRPr="00566689">
        <w:rPr>
          <w:rFonts w:eastAsiaTheme="minorHAnsi"/>
          <w:color w:val="000000"/>
          <w14:ligatures w14:val="standardContextual"/>
        </w:rPr>
        <w:t xml:space="preserve">supplementation </w:t>
      </w:r>
      <w:r w:rsidR="001B018B">
        <w:rPr>
          <w:rFonts w:eastAsiaTheme="minorHAnsi"/>
          <w:color w:val="000000"/>
          <w14:ligatures w14:val="standardContextual"/>
        </w:rPr>
        <w:t>with EPA</w:t>
      </w:r>
      <w:r w:rsidR="0049333C">
        <w:rPr>
          <w:rFonts w:eastAsiaTheme="minorHAnsi"/>
          <w:color w:val="000000"/>
          <w14:ligatures w14:val="standardContextual"/>
        </w:rPr>
        <w:t>+</w:t>
      </w:r>
      <w:r w:rsidR="001B018B">
        <w:rPr>
          <w:rFonts w:eastAsiaTheme="minorHAnsi"/>
          <w:color w:val="000000"/>
          <w14:ligatures w14:val="standardContextual"/>
        </w:rPr>
        <w:t xml:space="preserve">DHA </w:t>
      </w:r>
      <w:r w:rsidRPr="00566689">
        <w:rPr>
          <w:rFonts w:eastAsiaTheme="minorHAnsi"/>
          <w:color w:val="000000"/>
          <w14:ligatures w14:val="standardContextual"/>
        </w:rPr>
        <w:t>in adults elevat</w:t>
      </w:r>
      <w:r w:rsidR="00CA4C8A">
        <w:rPr>
          <w:rFonts w:eastAsiaTheme="minorHAnsi"/>
          <w:color w:val="000000"/>
          <w14:ligatures w14:val="standardContextual"/>
        </w:rPr>
        <w:t>es</w:t>
      </w:r>
      <w:r w:rsidRPr="00566689">
        <w:rPr>
          <w:rFonts w:eastAsiaTheme="minorHAnsi"/>
          <w:color w:val="000000"/>
          <w14:ligatures w14:val="standardContextual"/>
        </w:rPr>
        <w:t xml:space="preserve"> anti-inflammatory oxylipins in human </w:t>
      </w:r>
      <w:r w:rsidR="00E604F1">
        <w:rPr>
          <w:rFonts w:eastAsiaTheme="minorHAnsi"/>
          <w:color w:val="000000"/>
          <w14:ligatures w14:val="standardContextual"/>
        </w:rPr>
        <w:t xml:space="preserve">plasma and </w:t>
      </w:r>
      <w:r w:rsidRPr="00566689">
        <w:rPr>
          <w:rFonts w:eastAsiaTheme="minorHAnsi"/>
          <w:color w:val="000000"/>
          <w14:ligatures w14:val="standardContextual"/>
        </w:rPr>
        <w:t>adipose tissue. However, the locali</w:t>
      </w:r>
      <w:r>
        <w:rPr>
          <w:rFonts w:eastAsiaTheme="minorHAnsi"/>
          <w:color w:val="000000"/>
          <w14:ligatures w14:val="standardContextual"/>
        </w:rPr>
        <w:t>z</w:t>
      </w:r>
      <w:r w:rsidRPr="00566689">
        <w:rPr>
          <w:rFonts w:eastAsiaTheme="minorHAnsi"/>
          <w:color w:val="000000"/>
          <w14:ligatures w14:val="standardContextual"/>
        </w:rPr>
        <w:t>ation of EPA</w:t>
      </w:r>
      <w:r w:rsidR="00402B48">
        <w:rPr>
          <w:rFonts w:eastAsiaTheme="minorHAnsi"/>
          <w:color w:val="000000"/>
          <w14:ligatures w14:val="standardContextual"/>
        </w:rPr>
        <w:t>/</w:t>
      </w:r>
      <w:r w:rsidRPr="00566689">
        <w:rPr>
          <w:rFonts w:eastAsiaTheme="minorHAnsi"/>
          <w:color w:val="000000"/>
          <w14:ligatures w14:val="standardContextual"/>
        </w:rPr>
        <w:t xml:space="preserve">DHA in plasma </w:t>
      </w:r>
      <w:r w:rsidR="00AC38A6">
        <w:rPr>
          <w:rFonts w:eastAsiaTheme="minorHAnsi"/>
          <w:color w:val="000000"/>
          <w14:ligatures w14:val="standardContextual"/>
        </w:rPr>
        <w:t>lipid pools</w:t>
      </w:r>
      <w:r w:rsidR="00AC38A6" w:rsidRPr="00566689">
        <w:rPr>
          <w:rFonts w:eastAsiaTheme="minorHAnsi"/>
          <w:color w:val="000000"/>
          <w14:ligatures w14:val="standardContextual"/>
        </w:rPr>
        <w:t xml:space="preserve"> </w:t>
      </w:r>
      <w:r w:rsidRPr="00635F66">
        <w:rPr>
          <w:rFonts w:eastAsiaTheme="minorHAnsi"/>
          <w:color w:val="000000" w:themeColor="text1"/>
          <w14:ligatures w14:val="standardContextual"/>
        </w:rPr>
        <w:t>[phosphatidylcholines (PC), triglycerides (TAG), cholester</w:t>
      </w:r>
      <w:r w:rsidR="00AC333E" w:rsidRPr="00635F66">
        <w:rPr>
          <w:rFonts w:eastAsiaTheme="minorHAnsi"/>
          <w:color w:val="000000" w:themeColor="text1"/>
          <w14:ligatures w14:val="standardContextual"/>
        </w:rPr>
        <w:t>y</w:t>
      </w:r>
      <w:r w:rsidRPr="00635F66">
        <w:rPr>
          <w:rFonts w:eastAsiaTheme="minorHAnsi"/>
          <w:color w:val="000000" w:themeColor="text1"/>
          <w14:ligatures w14:val="standardContextual"/>
        </w:rPr>
        <w:t>l ester</w:t>
      </w:r>
      <w:r w:rsidR="00C73DF4" w:rsidRPr="00635F66">
        <w:rPr>
          <w:rFonts w:eastAsiaTheme="minorHAnsi"/>
          <w:color w:val="000000" w:themeColor="text1"/>
          <w14:ligatures w14:val="standardContextual"/>
        </w:rPr>
        <w:t>s</w:t>
      </w:r>
      <w:r w:rsidRPr="00635F66">
        <w:rPr>
          <w:rFonts w:eastAsiaTheme="minorHAnsi"/>
          <w:color w:val="000000" w:themeColor="text1"/>
          <w14:ligatures w14:val="standardContextual"/>
        </w:rPr>
        <w:t xml:space="preserve"> (CE), and non-esterified </w:t>
      </w:r>
      <w:r w:rsidR="00AC333E" w:rsidRPr="00635F66">
        <w:rPr>
          <w:rFonts w:eastAsiaTheme="minorHAnsi"/>
          <w:color w:val="000000" w:themeColor="text1"/>
          <w14:ligatures w14:val="standardContextual"/>
        </w:rPr>
        <w:t xml:space="preserve">fatty acids </w:t>
      </w:r>
      <w:r w:rsidRPr="00635F66">
        <w:rPr>
          <w:rFonts w:eastAsiaTheme="minorHAnsi"/>
          <w:color w:val="000000" w:themeColor="text1"/>
          <w14:ligatures w14:val="standardContextual"/>
        </w:rPr>
        <w:t xml:space="preserve">(NEFA)] </w:t>
      </w:r>
      <w:r w:rsidRPr="00566689">
        <w:rPr>
          <w:rFonts w:eastAsiaTheme="minorHAnsi"/>
          <w:color w:val="000000"/>
          <w14:ligatures w14:val="standardContextual"/>
        </w:rPr>
        <w:t xml:space="preserve">and </w:t>
      </w:r>
      <w:r w:rsidR="000B3E20">
        <w:rPr>
          <w:rFonts w:eastAsiaTheme="minorHAnsi"/>
          <w:color w:val="000000"/>
          <w14:ligatures w14:val="standardContextual"/>
        </w:rPr>
        <w:t xml:space="preserve">how this relates to </w:t>
      </w:r>
      <w:r w:rsidR="002458DB">
        <w:rPr>
          <w:rFonts w:eastAsiaTheme="minorHAnsi"/>
          <w:color w:val="000000"/>
          <w14:ligatures w14:val="standardContextual"/>
        </w:rPr>
        <w:t xml:space="preserve">the </w:t>
      </w:r>
      <w:r w:rsidRPr="00566689">
        <w:rPr>
          <w:rFonts w:eastAsiaTheme="minorHAnsi"/>
          <w:color w:val="000000"/>
          <w14:ligatures w14:val="standardContextual"/>
        </w:rPr>
        <w:t>downstream oxylipin</w:t>
      </w:r>
      <w:r w:rsidR="00417AA6">
        <w:rPr>
          <w:rFonts w:eastAsiaTheme="minorHAnsi"/>
          <w:color w:val="000000"/>
          <w14:ligatures w14:val="standardContextual"/>
        </w:rPr>
        <w:t xml:space="preserve"> levels</w:t>
      </w:r>
      <w:r w:rsidRPr="00566689">
        <w:rPr>
          <w:rFonts w:eastAsiaTheme="minorHAnsi"/>
          <w:color w:val="000000"/>
          <w14:ligatures w14:val="standardContextual"/>
        </w:rPr>
        <w:t xml:space="preserve"> remains</w:t>
      </w:r>
      <w:r w:rsidR="000B3E20">
        <w:rPr>
          <w:rFonts w:eastAsiaTheme="minorHAnsi"/>
          <w:color w:val="000000"/>
          <w14:ligatures w14:val="standardContextual"/>
        </w:rPr>
        <w:t xml:space="preserve"> </w:t>
      </w:r>
      <w:r w:rsidRPr="00566689">
        <w:rPr>
          <w:rFonts w:eastAsiaTheme="minorHAnsi"/>
          <w:color w:val="000000"/>
          <w14:ligatures w14:val="standardContextual"/>
        </w:rPr>
        <w:t xml:space="preserve">unknown.  </w:t>
      </w:r>
    </w:p>
    <w:p w14:paraId="4F2A3021" w14:textId="6D3C88D0" w:rsidR="000F7F3F" w:rsidRPr="00566689" w:rsidRDefault="000F7F3F" w:rsidP="00566689">
      <w:pPr>
        <w:spacing w:line="480" w:lineRule="auto"/>
        <w:rPr>
          <w:b/>
          <w:bCs/>
        </w:rPr>
      </w:pPr>
      <w:r w:rsidRPr="00566689">
        <w:rPr>
          <w:b/>
          <w:bCs/>
        </w:rPr>
        <w:t>Objectives</w:t>
      </w:r>
    </w:p>
    <w:p w14:paraId="4C26697D" w14:textId="0B2A4CB5" w:rsidR="000F7F3F" w:rsidRDefault="002320D4" w:rsidP="000F7F3F">
      <w:pPr>
        <w:spacing w:line="480" w:lineRule="auto"/>
        <w:ind w:firstLine="720"/>
      </w:pPr>
      <w:r>
        <w:t xml:space="preserve">To identify the incorporation of </w:t>
      </w:r>
      <w:r w:rsidR="005C1317">
        <w:t xml:space="preserve">supplemental </w:t>
      </w:r>
      <w:r w:rsidR="00BF59E7" w:rsidRPr="00930106">
        <w:t>EPA</w:t>
      </w:r>
      <w:r w:rsidR="00B36F28">
        <w:t>+</w:t>
      </w:r>
      <w:r w:rsidR="00BF59E7" w:rsidRPr="00930106">
        <w:t>DHA</w:t>
      </w:r>
      <w:r w:rsidR="00A27166">
        <w:t xml:space="preserve"> </w:t>
      </w:r>
      <w:r w:rsidR="00BF59E7" w:rsidRPr="00930106">
        <w:t>in</w:t>
      </w:r>
      <w:r>
        <w:t>to</w:t>
      </w:r>
      <w:r w:rsidR="00BF59E7" w:rsidRPr="00930106">
        <w:t xml:space="preserve"> </w:t>
      </w:r>
      <w:r>
        <w:t xml:space="preserve">plasma </w:t>
      </w:r>
      <w:r w:rsidR="00F7295F">
        <w:rPr>
          <w:color w:val="000000" w:themeColor="text1"/>
        </w:rPr>
        <w:t>PC</w:t>
      </w:r>
      <w:r w:rsidR="006008C6">
        <w:rPr>
          <w:color w:val="000000" w:themeColor="text1"/>
        </w:rPr>
        <w:t>, TAG, CE, NEFA</w:t>
      </w:r>
      <w:r w:rsidR="003D4453">
        <w:rPr>
          <w:color w:val="000000" w:themeColor="text1"/>
        </w:rPr>
        <w:t>,</w:t>
      </w:r>
      <w:r w:rsidR="00635F66">
        <w:rPr>
          <w:color w:val="000000" w:themeColor="text1"/>
        </w:rPr>
        <w:t xml:space="preserve"> </w:t>
      </w:r>
      <w:r w:rsidR="0091600D">
        <w:t xml:space="preserve">and </w:t>
      </w:r>
      <w:r w:rsidR="006008C6">
        <w:t>the</w:t>
      </w:r>
      <w:r w:rsidR="00A16C66">
        <w:t xml:space="preserve"> </w:t>
      </w:r>
      <w:r>
        <w:t xml:space="preserve">impact on </w:t>
      </w:r>
      <w:r w:rsidR="00A16C66">
        <w:t xml:space="preserve">downstream </w:t>
      </w:r>
      <w:r w:rsidR="0091600D">
        <w:t>oxylipins</w:t>
      </w:r>
      <w:r w:rsidR="00BF59E7" w:rsidRPr="00930106">
        <w:t xml:space="preserve">.  </w:t>
      </w:r>
    </w:p>
    <w:p w14:paraId="6DC9903C" w14:textId="35C722A9" w:rsidR="000F7F3F" w:rsidRPr="00566689" w:rsidRDefault="000F7F3F" w:rsidP="00566689">
      <w:pPr>
        <w:spacing w:line="480" w:lineRule="auto"/>
        <w:rPr>
          <w:b/>
          <w:bCs/>
        </w:rPr>
      </w:pPr>
      <w:r w:rsidRPr="00566689">
        <w:rPr>
          <w:b/>
          <w:bCs/>
        </w:rPr>
        <w:t>Methods</w:t>
      </w:r>
    </w:p>
    <w:p w14:paraId="4F5A0245" w14:textId="7AB07DC8" w:rsidR="000F7F3F" w:rsidRDefault="00566689" w:rsidP="000F7F3F">
      <w:pPr>
        <w:spacing w:line="480" w:lineRule="auto"/>
        <w:ind w:firstLine="720"/>
        <w:rPr>
          <w:b/>
          <w:bCs/>
          <w:color w:val="000000" w:themeColor="text1"/>
        </w:rPr>
      </w:pPr>
      <w:r>
        <w:t>W</w:t>
      </w:r>
      <w:r w:rsidR="00AC0F21">
        <w:t>e conducted a</w:t>
      </w:r>
      <w:r w:rsidR="007F2B5B">
        <w:t>n</w:t>
      </w:r>
      <w:r w:rsidR="007F2B5B">
        <w:rPr>
          <w:color w:val="000000" w:themeColor="text1"/>
        </w:rPr>
        <w:t xml:space="preserve"> exploratory</w:t>
      </w:r>
      <w:r w:rsidR="00D93EB3" w:rsidRPr="00930106">
        <w:rPr>
          <w:color w:val="000000" w:themeColor="text1"/>
        </w:rPr>
        <w:t xml:space="preserve"> analysis </w:t>
      </w:r>
      <w:r w:rsidR="00402B48">
        <w:rPr>
          <w:color w:val="000000" w:themeColor="text1"/>
        </w:rPr>
        <w:t>with available samples (n=21, 20 female, 1 male, age 35-49 years) from a previous</w:t>
      </w:r>
      <w:r w:rsidR="00A16C66">
        <w:rPr>
          <w:color w:val="000000" w:themeColor="text1"/>
        </w:rPr>
        <w:t xml:space="preserve"> </w:t>
      </w:r>
      <w:r w:rsidR="00A16C66">
        <w:t>double-blind, placebo-controlled trial</w:t>
      </w:r>
      <w:r w:rsidR="0049333C">
        <w:t xml:space="preserve"> of </w:t>
      </w:r>
      <w:r w:rsidR="00A16C66">
        <w:t>participants randomized to consume either 3 g of EPA+DHA</w:t>
      </w:r>
      <w:r w:rsidR="003925E2">
        <w:t xml:space="preserve"> concentrate</w:t>
      </w:r>
      <w:r w:rsidR="00BF59E7" w:rsidRPr="00930106">
        <w:t xml:space="preserve"> (1.1</w:t>
      </w:r>
      <w:r w:rsidR="00081991">
        <w:t xml:space="preserve"> </w:t>
      </w:r>
      <w:r w:rsidR="00BF59E7" w:rsidRPr="00930106">
        <w:t>g EPA + 0.8</w:t>
      </w:r>
      <w:r w:rsidR="000C38D8">
        <w:t xml:space="preserve"> </w:t>
      </w:r>
      <w:r w:rsidR="00BF59E7" w:rsidRPr="00930106">
        <w:t xml:space="preserve">g DHA) </w:t>
      </w:r>
      <w:r w:rsidR="00845962">
        <w:t xml:space="preserve">or </w:t>
      </w:r>
      <w:r w:rsidR="002320D4">
        <w:t xml:space="preserve">corn oil </w:t>
      </w:r>
      <w:r w:rsidR="00B13646">
        <w:t xml:space="preserve">(CO) </w:t>
      </w:r>
      <w:r w:rsidR="002320D4">
        <w:t>(</w:t>
      </w:r>
      <w:r w:rsidR="00B13646" w:rsidRPr="00930106">
        <w:t>1.65 g linoleic acid</w:t>
      </w:r>
      <w:r w:rsidR="00E91146">
        <w:t xml:space="preserve"> (LA)</w:t>
      </w:r>
      <w:r w:rsidR="00B13646" w:rsidRPr="00930106">
        <w:t xml:space="preserve"> </w:t>
      </w:r>
      <w:r w:rsidR="00B13646">
        <w:t xml:space="preserve">+ </w:t>
      </w:r>
      <w:r w:rsidR="00B13646" w:rsidRPr="00930106">
        <w:t>0.81 g oleic acid</w:t>
      </w:r>
      <w:r w:rsidR="00B13646">
        <w:t xml:space="preserve">) </w:t>
      </w:r>
      <w:r w:rsidR="003925E2">
        <w:t xml:space="preserve">daily </w:t>
      </w:r>
      <w:r w:rsidR="00BF59E7" w:rsidRPr="00930106">
        <w:t>for 12</w:t>
      </w:r>
      <w:r w:rsidR="00D5499B">
        <w:t>-</w:t>
      </w:r>
      <w:r w:rsidR="00BF59E7" w:rsidRPr="00930106">
        <w:t xml:space="preserve">weeks. </w:t>
      </w:r>
      <w:r w:rsidR="003925E2">
        <w:t>P</w:t>
      </w:r>
      <w:r w:rsidR="00BF59E7" w:rsidRPr="00930106">
        <w:t>lasma</w:t>
      </w:r>
      <w:r w:rsidR="00745710">
        <w:t xml:space="preserve"> </w:t>
      </w:r>
      <w:r w:rsidR="00BF59E7" w:rsidRPr="00930106">
        <w:t>w</w:t>
      </w:r>
      <w:r w:rsidR="00CF424A">
        <w:t>as</w:t>
      </w:r>
      <w:r w:rsidR="00BF59E7" w:rsidRPr="00930106">
        <w:t xml:space="preserve"> analyzed using gas chromatography </w:t>
      </w:r>
      <w:r w:rsidR="0049333C">
        <w:t>and</w:t>
      </w:r>
      <w:r w:rsidR="00BF59E7" w:rsidRPr="00930106">
        <w:t xml:space="preserve"> mass spectrometry t</w:t>
      </w:r>
      <w:r w:rsidR="00F11F63">
        <w:t xml:space="preserve">o </w:t>
      </w:r>
      <w:r w:rsidR="00BF59E7" w:rsidRPr="00930106">
        <w:t>quantify fatty acid</w:t>
      </w:r>
      <w:r w:rsidR="00F7295F">
        <w:t xml:space="preserve">s </w:t>
      </w:r>
      <w:r w:rsidR="00BF59E7" w:rsidRPr="00930106">
        <w:t>and oxylipin</w:t>
      </w:r>
      <w:r w:rsidR="008D4F66">
        <w:t>s</w:t>
      </w:r>
      <w:r w:rsidR="002320D4">
        <w:t>, respectively</w:t>
      </w:r>
      <w:r w:rsidR="00BF59E7" w:rsidRPr="00930106">
        <w:t>.</w:t>
      </w:r>
      <w:r w:rsidR="0095771E">
        <w:rPr>
          <w:b/>
          <w:bCs/>
          <w:color w:val="000000" w:themeColor="text1"/>
        </w:rPr>
        <w:t xml:space="preserve"> </w:t>
      </w:r>
    </w:p>
    <w:p w14:paraId="115BFC7A" w14:textId="5FDE25B0" w:rsidR="000F7F3F" w:rsidRPr="000B0733" w:rsidRDefault="000F7F3F" w:rsidP="00566689">
      <w:pPr>
        <w:spacing w:line="480" w:lineRule="auto"/>
        <w:rPr>
          <w:b/>
          <w:bCs/>
          <w:color w:val="000000" w:themeColor="text1"/>
        </w:rPr>
      </w:pPr>
      <w:r w:rsidRPr="000B0733">
        <w:rPr>
          <w:b/>
          <w:bCs/>
          <w:color w:val="000000" w:themeColor="text1"/>
        </w:rPr>
        <w:t>Results</w:t>
      </w:r>
    </w:p>
    <w:p w14:paraId="2EECD59C" w14:textId="3D78120D" w:rsidR="000F7F3F" w:rsidRDefault="00146E6C" w:rsidP="00437078">
      <w:pPr>
        <w:spacing w:line="480" w:lineRule="auto"/>
        <w:ind w:firstLine="720"/>
        <w:rPr>
          <w:color w:val="000000" w:themeColor="text1"/>
        </w:rPr>
      </w:pPr>
      <w:r>
        <w:t>EPA</w:t>
      </w:r>
      <w:r w:rsidR="00B13646">
        <w:t>+</w:t>
      </w:r>
      <w:r>
        <w:t xml:space="preserve">DHA supplementation </w:t>
      </w:r>
      <w:r w:rsidR="00D5499B">
        <w:t>increased</w:t>
      </w:r>
      <w:r>
        <w:t xml:space="preserve"> EPA levels across PC, CE, NEFA, and TAG pools, </w:t>
      </w:r>
      <w:r w:rsidR="00D5499B">
        <w:t>and increased</w:t>
      </w:r>
      <w:r>
        <w:t xml:space="preserve"> DHA levels in PC, CE, and TAG pools. Conversely, supplementation decreased LA levels in PC, CE, and NEFA pools, and </w:t>
      </w:r>
      <w:r w:rsidR="00E91146">
        <w:t>decreased</w:t>
      </w:r>
      <w:r>
        <w:t xml:space="preserve"> </w:t>
      </w:r>
      <w:r w:rsidR="00E91146">
        <w:t>arachidonic acid (</w:t>
      </w:r>
      <w:r>
        <w:t>AA</w:t>
      </w:r>
      <w:r w:rsidR="00E91146">
        <w:t>)</w:t>
      </w:r>
      <w:r>
        <w:t xml:space="preserve"> levels in PC and NEFA pools</w:t>
      </w:r>
      <w:r w:rsidR="00D5499B">
        <w:t>.</w:t>
      </w:r>
      <w:r w:rsidR="00416EE3">
        <w:t xml:space="preserve"> </w:t>
      </w:r>
      <w:r w:rsidR="00CF424A">
        <w:rPr>
          <w:color w:val="000000" w:themeColor="text1"/>
        </w:rPr>
        <w:t>EPA+DHA s</w:t>
      </w:r>
      <w:r w:rsidR="00437078">
        <w:rPr>
          <w:color w:val="000000" w:themeColor="text1"/>
        </w:rPr>
        <w:t xml:space="preserve">upplementation also led to </w:t>
      </w:r>
      <w:r w:rsidR="00BF59E7" w:rsidRPr="00930106">
        <w:rPr>
          <w:color w:val="000000" w:themeColor="text1"/>
        </w:rPr>
        <w:t xml:space="preserve">significant shifts in oxylipin </w:t>
      </w:r>
      <w:r w:rsidR="00B57E9E">
        <w:rPr>
          <w:color w:val="000000" w:themeColor="text1"/>
        </w:rPr>
        <w:lastRenderedPageBreak/>
        <w:t>concentrations</w:t>
      </w:r>
      <w:r w:rsidR="009F2A30">
        <w:rPr>
          <w:color w:val="000000" w:themeColor="text1"/>
        </w:rPr>
        <w:t xml:space="preserve"> compared to baseline</w:t>
      </w:r>
      <w:r w:rsidR="00BF59E7" w:rsidRPr="00930106">
        <w:rPr>
          <w:color w:val="000000" w:themeColor="text1"/>
        </w:rPr>
        <w:t>, with</w:t>
      </w:r>
      <w:r w:rsidR="008171D8">
        <w:rPr>
          <w:color w:val="000000" w:themeColor="text1"/>
        </w:rPr>
        <w:t xml:space="preserve"> predominant </w:t>
      </w:r>
      <w:r w:rsidR="00BF59E7" w:rsidRPr="00930106">
        <w:rPr>
          <w:color w:val="000000" w:themeColor="text1"/>
        </w:rPr>
        <w:t xml:space="preserve">increases in anti-inflammatory </w:t>
      </w:r>
      <w:r w:rsidR="00A16C66">
        <w:rPr>
          <w:color w:val="000000" w:themeColor="text1"/>
        </w:rPr>
        <w:t>and</w:t>
      </w:r>
      <w:r w:rsidR="00B13CDA">
        <w:rPr>
          <w:color w:val="000000" w:themeColor="text1"/>
        </w:rPr>
        <w:t xml:space="preserve"> </w:t>
      </w:r>
      <w:r w:rsidR="00B57E9E">
        <w:rPr>
          <w:color w:val="000000" w:themeColor="text1"/>
        </w:rPr>
        <w:t>decrease</w:t>
      </w:r>
      <w:r w:rsidR="00497946">
        <w:rPr>
          <w:color w:val="000000" w:themeColor="text1"/>
        </w:rPr>
        <w:t>s</w:t>
      </w:r>
      <w:r w:rsidR="00B57E9E" w:rsidRPr="00930106">
        <w:rPr>
          <w:color w:val="000000" w:themeColor="text1"/>
        </w:rPr>
        <w:t xml:space="preserve"> </w:t>
      </w:r>
      <w:r w:rsidR="00BF59E7" w:rsidRPr="00930106">
        <w:rPr>
          <w:color w:val="000000" w:themeColor="text1"/>
        </w:rPr>
        <w:t>in pro-inflammatory oxylipin</w:t>
      </w:r>
      <w:r w:rsidR="00630816">
        <w:rPr>
          <w:color w:val="000000" w:themeColor="text1"/>
        </w:rPr>
        <w:t>s</w:t>
      </w:r>
      <w:r w:rsidR="00BF59E7" w:rsidRPr="00930106">
        <w:rPr>
          <w:color w:val="000000" w:themeColor="text1"/>
        </w:rPr>
        <w:t>.</w:t>
      </w:r>
      <w:r w:rsidR="00B36F28">
        <w:rPr>
          <w:color w:val="000000" w:themeColor="text1"/>
        </w:rPr>
        <w:t xml:space="preserve"> </w:t>
      </w:r>
      <w:r w:rsidR="00A13653">
        <w:rPr>
          <w:color w:val="000000" w:themeColor="text1"/>
        </w:rPr>
        <w:t>CO supplementation</w:t>
      </w:r>
      <w:r w:rsidR="00437078">
        <w:rPr>
          <w:color w:val="000000" w:themeColor="text1"/>
        </w:rPr>
        <w:t xml:space="preserve"> </w:t>
      </w:r>
      <w:r w:rsidR="00E91146">
        <w:rPr>
          <w:color w:val="000000" w:themeColor="text1"/>
        </w:rPr>
        <w:t>decreased TAG AA levels and modified conce</w:t>
      </w:r>
      <w:r w:rsidR="00D5499B">
        <w:rPr>
          <w:color w:val="000000" w:themeColor="text1"/>
        </w:rPr>
        <w:t>n</w:t>
      </w:r>
      <w:r w:rsidR="00E91146">
        <w:rPr>
          <w:color w:val="000000" w:themeColor="text1"/>
        </w:rPr>
        <w:t>trations of several AA</w:t>
      </w:r>
      <w:r w:rsidR="003D4453">
        <w:rPr>
          <w:color w:val="000000" w:themeColor="text1"/>
        </w:rPr>
        <w:t>-</w:t>
      </w:r>
      <w:r w:rsidR="00E91146">
        <w:rPr>
          <w:color w:val="000000" w:themeColor="text1"/>
        </w:rPr>
        <w:t>derived oxylipins.</w:t>
      </w:r>
      <w:r w:rsidR="00B13646">
        <w:rPr>
          <w:color w:val="000000" w:themeColor="text1"/>
        </w:rPr>
        <w:t xml:space="preserve"> </w:t>
      </w:r>
      <w:r w:rsidR="00D5499B">
        <w:rPr>
          <w:color w:val="000000" w:themeColor="text1"/>
        </w:rPr>
        <w:t xml:space="preserve">Levels of </w:t>
      </w:r>
      <w:r w:rsidR="00E91146">
        <w:rPr>
          <w:color w:val="000000" w:themeColor="text1"/>
        </w:rPr>
        <w:t xml:space="preserve">EPA+DHA </w:t>
      </w:r>
      <w:r w:rsidR="00D5499B">
        <w:rPr>
          <w:color w:val="000000" w:themeColor="text1"/>
        </w:rPr>
        <w:t>and derived oxylipins</w:t>
      </w:r>
      <w:r w:rsidR="00E91146">
        <w:rPr>
          <w:color w:val="000000" w:themeColor="text1"/>
        </w:rPr>
        <w:t xml:space="preserve"> were significant</w:t>
      </w:r>
      <w:r w:rsidR="00D5499B">
        <w:rPr>
          <w:color w:val="000000" w:themeColor="text1"/>
        </w:rPr>
        <w:t>ly</w:t>
      </w:r>
      <w:r w:rsidR="00E91146">
        <w:rPr>
          <w:color w:val="000000" w:themeColor="text1"/>
        </w:rPr>
        <w:t xml:space="preserve"> higher across lipid pools </w:t>
      </w:r>
      <w:r w:rsidR="00D5499B">
        <w:rPr>
          <w:color w:val="000000" w:themeColor="text1"/>
        </w:rPr>
        <w:t xml:space="preserve">following supplementation with EPA+DHA versus CO. </w:t>
      </w:r>
    </w:p>
    <w:p w14:paraId="2DE5BF18" w14:textId="12A21012" w:rsidR="000F7F3F" w:rsidRPr="00566689" w:rsidRDefault="000F7F3F" w:rsidP="00566689">
      <w:pPr>
        <w:spacing w:line="480" w:lineRule="auto"/>
        <w:rPr>
          <w:b/>
          <w:bCs/>
          <w:color w:val="000000" w:themeColor="text1"/>
        </w:rPr>
      </w:pPr>
      <w:r w:rsidRPr="00566689">
        <w:rPr>
          <w:b/>
          <w:bCs/>
          <w:color w:val="000000" w:themeColor="text1"/>
        </w:rPr>
        <w:t>Conclusions</w:t>
      </w:r>
    </w:p>
    <w:p w14:paraId="511DE011" w14:textId="253BFF0A" w:rsidR="002A3942" w:rsidRDefault="0095771E" w:rsidP="0059590A">
      <w:pPr>
        <w:spacing w:line="480" w:lineRule="auto"/>
        <w:ind w:firstLine="720"/>
      </w:pPr>
      <w:r>
        <w:rPr>
          <w:b/>
          <w:bCs/>
          <w:color w:val="000000" w:themeColor="text1"/>
        </w:rPr>
        <w:t xml:space="preserve"> </w:t>
      </w:r>
      <w:r w:rsidR="00446778">
        <w:t>T</w:t>
      </w:r>
      <w:r w:rsidR="00C529D2">
        <w:t xml:space="preserve">hese findings </w:t>
      </w:r>
      <w:r w:rsidR="00CA4C8A">
        <w:t>offer</w:t>
      </w:r>
      <w:r w:rsidR="00EB19D8">
        <w:t xml:space="preserve"> </w:t>
      </w:r>
      <w:r w:rsidR="00C529D2">
        <w:t xml:space="preserve">insights into </w:t>
      </w:r>
      <w:r w:rsidR="00EB19D8">
        <w:t xml:space="preserve">supplemental </w:t>
      </w:r>
      <w:r w:rsidR="00E44D21">
        <w:t>EPA</w:t>
      </w:r>
      <w:r w:rsidR="0049333C">
        <w:t>+</w:t>
      </w:r>
      <w:r w:rsidR="00E44D21">
        <w:t>DHA</w:t>
      </w:r>
      <w:r w:rsidR="00402B48">
        <w:t xml:space="preserve"> localiz</w:t>
      </w:r>
      <w:r w:rsidR="003D4453">
        <w:t>ation</w:t>
      </w:r>
      <w:r w:rsidR="00402B48">
        <w:t xml:space="preserve"> to differ</w:t>
      </w:r>
      <w:r w:rsidR="003D727D">
        <w:t>ent circulating</w:t>
      </w:r>
      <w:r w:rsidR="00402B48">
        <w:t xml:space="preserve"> lipid </w:t>
      </w:r>
      <w:r w:rsidR="003D727D">
        <w:t>pools</w:t>
      </w:r>
      <w:r w:rsidR="00EB19D8">
        <w:t xml:space="preserve">, </w:t>
      </w:r>
      <w:r w:rsidR="00402B48">
        <w:t>which ha</w:t>
      </w:r>
      <w:r w:rsidR="007C74A0">
        <w:t>ve</w:t>
      </w:r>
      <w:r w:rsidR="00402B48">
        <w:t xml:space="preserve"> implications for understanding how to </w:t>
      </w:r>
      <w:r w:rsidR="00CA4C8A">
        <w:t>mitigat</w:t>
      </w:r>
      <w:r w:rsidR="00402B48">
        <w:t>e</w:t>
      </w:r>
      <w:r w:rsidR="00787146">
        <w:t xml:space="preserve"> systemic inflammation. Further studies are needed to evaluate relationships </w:t>
      </w:r>
      <w:r w:rsidR="00FA1703">
        <w:t>between the changes in PUFAs</w:t>
      </w:r>
      <w:r w:rsidR="00CA4C8A">
        <w:t xml:space="preserve">, </w:t>
      </w:r>
      <w:r w:rsidR="00FA1703">
        <w:t>oxylipins,</w:t>
      </w:r>
      <w:r w:rsidR="00CA4C8A">
        <w:t xml:space="preserve"> and </w:t>
      </w:r>
      <w:r w:rsidR="000F7F3F">
        <w:t>markers of inflammation.</w:t>
      </w:r>
    </w:p>
    <w:p w14:paraId="6B729352" w14:textId="77777777" w:rsidR="0059590A" w:rsidRPr="00F7295F" w:rsidRDefault="0059590A" w:rsidP="0059590A">
      <w:pPr>
        <w:spacing w:line="480" w:lineRule="auto"/>
        <w:ind w:firstLine="720"/>
      </w:pPr>
    </w:p>
    <w:p w14:paraId="31560ACC" w14:textId="5A7CDEC4" w:rsidR="00216EF0" w:rsidRDefault="00F60D7B" w:rsidP="0095771E">
      <w:pPr>
        <w:spacing w:line="480" w:lineRule="auto"/>
        <w:rPr>
          <w:color w:val="000000" w:themeColor="text1"/>
        </w:rPr>
      </w:pPr>
      <w:r w:rsidRPr="00930106">
        <w:rPr>
          <w:b/>
          <w:bCs/>
          <w:color w:val="000000" w:themeColor="text1"/>
        </w:rPr>
        <w:t>Keywords</w:t>
      </w:r>
      <w:r w:rsidR="008C434C">
        <w:rPr>
          <w:b/>
          <w:bCs/>
          <w:color w:val="000000" w:themeColor="text1"/>
        </w:rPr>
        <w:t xml:space="preserve">: </w:t>
      </w:r>
      <w:r w:rsidRPr="00930106">
        <w:rPr>
          <w:color w:val="000000" w:themeColor="text1"/>
        </w:rPr>
        <w:t xml:space="preserve">docosahexaenoic acid, eicosapentaenoic acid, oxylipins, </w:t>
      </w:r>
      <w:r w:rsidR="00B56DE1">
        <w:rPr>
          <w:color w:val="000000" w:themeColor="text1"/>
        </w:rPr>
        <w:t>fatty acids</w:t>
      </w:r>
      <w:r w:rsidRPr="00930106">
        <w:rPr>
          <w:color w:val="000000" w:themeColor="text1"/>
        </w:rPr>
        <w:t>, inflammation</w:t>
      </w:r>
    </w:p>
    <w:p w14:paraId="5F5F94B8" w14:textId="77777777" w:rsidR="000F7F3F" w:rsidRPr="008C434C" w:rsidRDefault="000F7F3F" w:rsidP="0095771E">
      <w:pPr>
        <w:spacing w:line="480" w:lineRule="auto"/>
        <w:rPr>
          <w:b/>
          <w:bCs/>
          <w:color w:val="000000" w:themeColor="text1"/>
        </w:rPr>
      </w:pPr>
    </w:p>
    <w:p w14:paraId="5F089145" w14:textId="77777777" w:rsidR="00E44D21" w:rsidRDefault="00E44D21">
      <w:pPr>
        <w:spacing w:after="160" w:line="259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71E6C105" w14:textId="6640CD15" w:rsidR="00AE1CE1" w:rsidRPr="00930106" w:rsidRDefault="00AE1CE1" w:rsidP="00BE6288">
      <w:pPr>
        <w:spacing w:line="480" w:lineRule="auto"/>
        <w:jc w:val="center"/>
        <w:rPr>
          <w:color w:val="000000" w:themeColor="text1"/>
        </w:rPr>
      </w:pPr>
      <w:r w:rsidRPr="00930106">
        <w:rPr>
          <w:b/>
          <w:bCs/>
          <w:color w:val="000000" w:themeColor="text1"/>
        </w:rPr>
        <w:lastRenderedPageBreak/>
        <w:t>Introduction</w:t>
      </w:r>
    </w:p>
    <w:p w14:paraId="3C87CB7C" w14:textId="5157EB69" w:rsidR="00AE1CE1" w:rsidRPr="00930106" w:rsidRDefault="00AE1CE1" w:rsidP="00E675FB">
      <w:pPr>
        <w:spacing w:line="480" w:lineRule="auto"/>
        <w:ind w:firstLine="720"/>
        <w:jc w:val="both"/>
        <w:rPr>
          <w:color w:val="000000" w:themeColor="text1"/>
          <w:vertAlign w:val="superscript"/>
        </w:rPr>
      </w:pPr>
      <w:r w:rsidRPr="00930106">
        <w:rPr>
          <w:color w:val="000000" w:themeColor="text1"/>
        </w:rPr>
        <w:t xml:space="preserve">Chronic </w:t>
      </w:r>
      <w:r w:rsidR="00FA3D94">
        <w:rPr>
          <w:color w:val="000000" w:themeColor="text1"/>
        </w:rPr>
        <w:t xml:space="preserve">low-grade </w:t>
      </w:r>
      <w:r w:rsidRPr="00930106">
        <w:rPr>
          <w:color w:val="000000" w:themeColor="text1"/>
        </w:rPr>
        <w:t>inflammation is a key contributor to the development and progression of a wide range of diseases</w:t>
      </w:r>
      <w:r w:rsidR="00474589">
        <w:rPr>
          <w:color w:val="000000" w:themeColor="text1"/>
        </w:rPr>
        <w:t xml:space="preserve"> (</w:t>
      </w:r>
      <w:r w:rsidR="002E3835" w:rsidRPr="00474589">
        <w:rPr>
          <w:rFonts w:eastAsiaTheme="minorHAnsi"/>
          <w:color w:val="000000"/>
          <w14:ligatures w14:val="standardContextual"/>
        </w:rPr>
        <w:t>1</w:t>
      </w:r>
      <w:r w:rsidR="00474589">
        <w:rPr>
          <w:color w:val="000000" w:themeColor="text1"/>
        </w:rPr>
        <w:t>).</w:t>
      </w:r>
      <w:r w:rsidR="002E3835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In the U</w:t>
      </w:r>
      <w:r w:rsidR="00726886">
        <w:rPr>
          <w:color w:val="000000" w:themeColor="text1"/>
        </w:rPr>
        <w:t>.S.</w:t>
      </w:r>
      <w:r w:rsidRPr="00930106">
        <w:rPr>
          <w:color w:val="000000" w:themeColor="text1"/>
        </w:rPr>
        <w:t>, the prevalence of chronic inflammatory conditions has</w:t>
      </w:r>
      <w:r w:rsidR="004D0E29">
        <w:rPr>
          <w:color w:val="000000" w:themeColor="text1"/>
        </w:rPr>
        <w:t xml:space="preserve"> risen steeply</w:t>
      </w:r>
      <w:r w:rsidRPr="00930106">
        <w:rPr>
          <w:color w:val="000000" w:themeColor="text1"/>
        </w:rPr>
        <w:t xml:space="preserve">, with nearly 60% of Americans having at least one condition </w:t>
      </w:r>
      <w:r w:rsidR="00DE61AC">
        <w:rPr>
          <w:color w:val="000000" w:themeColor="text1"/>
        </w:rPr>
        <w:t xml:space="preserve">involving </w:t>
      </w:r>
      <w:r w:rsidR="00872A1F">
        <w:rPr>
          <w:color w:val="000000" w:themeColor="text1"/>
        </w:rPr>
        <w:t>inflammation</w:t>
      </w:r>
      <w:r w:rsidR="004D0E29">
        <w:rPr>
          <w:color w:val="000000" w:themeColor="text1"/>
        </w:rPr>
        <w:t>,</w:t>
      </w:r>
      <w:r w:rsidR="00872A1F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and</w:t>
      </w:r>
      <w:r w:rsidR="00155351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42% h</w:t>
      </w:r>
      <w:r w:rsidR="004D0E29">
        <w:rPr>
          <w:color w:val="000000" w:themeColor="text1"/>
        </w:rPr>
        <w:t>av</w:t>
      </w:r>
      <w:r w:rsidR="003D727D">
        <w:rPr>
          <w:color w:val="000000" w:themeColor="text1"/>
        </w:rPr>
        <w:t>ing</w:t>
      </w:r>
      <w:r w:rsidRPr="00930106">
        <w:rPr>
          <w:color w:val="000000" w:themeColor="text1"/>
        </w:rPr>
        <w:t xml:space="preserve"> more than one </w:t>
      </w:r>
      <w:r w:rsidR="002320D4">
        <w:rPr>
          <w:color w:val="000000" w:themeColor="text1"/>
        </w:rPr>
        <w:t xml:space="preserve">such </w:t>
      </w:r>
      <w:r w:rsidRPr="00930106">
        <w:rPr>
          <w:color w:val="000000" w:themeColor="text1"/>
        </w:rPr>
        <w:t>condition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2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</w:rPr>
        <w:t xml:space="preserve"> This increase coincides with adopting the modern Western </w:t>
      </w:r>
      <w:r w:rsidR="00C75E85">
        <w:rPr>
          <w:color w:val="000000" w:themeColor="text1"/>
        </w:rPr>
        <w:t>diet,</w:t>
      </w:r>
      <w:r w:rsidR="00416EE3">
        <w:rPr>
          <w:color w:val="000000" w:themeColor="text1"/>
        </w:rPr>
        <w:t xml:space="preserve"> </w:t>
      </w:r>
      <w:r w:rsidR="00C75E85">
        <w:rPr>
          <w:color w:val="000000" w:themeColor="text1"/>
        </w:rPr>
        <w:t xml:space="preserve">which </w:t>
      </w:r>
      <w:r w:rsidR="00856174" w:rsidRPr="00930106">
        <w:rPr>
          <w:color w:val="000000" w:themeColor="text1"/>
        </w:rPr>
        <w:t>differ</w:t>
      </w:r>
      <w:r w:rsidR="00C75E85">
        <w:rPr>
          <w:color w:val="000000" w:themeColor="text1"/>
        </w:rPr>
        <w:t>s</w:t>
      </w:r>
      <w:r w:rsidRPr="00930106">
        <w:rPr>
          <w:color w:val="000000" w:themeColor="text1"/>
        </w:rPr>
        <w:t xml:space="preserve"> from the nutritional patterns consistent throughout human evolution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3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</w:rPr>
        <w:t xml:space="preserve"> Characterized by processed foods, high saturated fat, and </w:t>
      </w:r>
      <w:r w:rsidR="00E8752F">
        <w:rPr>
          <w:color w:val="000000" w:themeColor="text1"/>
        </w:rPr>
        <w:t xml:space="preserve">a </w:t>
      </w:r>
      <w:r w:rsidRPr="00930106">
        <w:rPr>
          <w:color w:val="000000" w:themeColor="text1"/>
        </w:rPr>
        <w:t xml:space="preserve">skewed omega-6 to omega-3 fatty acid ratio, this shift has occurred within </w:t>
      </w:r>
      <w:r w:rsidR="00872A1F">
        <w:rPr>
          <w:color w:val="000000" w:themeColor="text1"/>
        </w:rPr>
        <w:t>a few</w:t>
      </w:r>
      <w:r w:rsidR="00872A1F" w:rsidRPr="00930106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generations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3,4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  <w:vertAlign w:val="superscript"/>
        </w:rPr>
        <w:t xml:space="preserve"> </w:t>
      </w:r>
      <w:r w:rsidR="00804766">
        <w:rPr>
          <w:color w:val="000000" w:themeColor="text1"/>
        </w:rPr>
        <w:t xml:space="preserve">However, </w:t>
      </w:r>
      <w:r w:rsidR="00D4672C">
        <w:rPr>
          <w:color w:val="000000" w:themeColor="text1"/>
        </w:rPr>
        <w:t>high levels of omega-6 polyunsaturated fatty acids (PUFAs) may not be the cause of chronic low-grade inflammation, as many studies have shown the benefits of these PUFAs for health compared to the intake</w:t>
      </w:r>
      <w:r w:rsidRPr="00930106">
        <w:rPr>
          <w:color w:val="000000" w:themeColor="text1"/>
        </w:rPr>
        <w:t xml:space="preserve"> of saturated fatty acids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5</w:t>
      </w:r>
      <w:r w:rsidR="00474589">
        <w:rPr>
          <w:color w:val="000000" w:themeColor="text1"/>
        </w:rPr>
        <w:t>).</w:t>
      </w:r>
      <w:r w:rsidR="0051298C">
        <w:rPr>
          <w:color w:val="000000" w:themeColor="text1"/>
          <w:vertAlign w:val="superscript"/>
        </w:rPr>
        <w:t xml:space="preserve"> </w:t>
      </w:r>
      <w:r w:rsidR="00804766">
        <w:rPr>
          <w:color w:val="000000" w:themeColor="text1"/>
        </w:rPr>
        <w:t xml:space="preserve">For instance, </w:t>
      </w:r>
      <w:r w:rsidR="0051298C">
        <w:rPr>
          <w:color w:val="000000" w:themeColor="text1"/>
        </w:rPr>
        <w:t xml:space="preserve">moderate intake of linoleic acid </w:t>
      </w:r>
      <w:r w:rsidR="00ED3EF4">
        <w:rPr>
          <w:color w:val="000000" w:themeColor="text1"/>
        </w:rPr>
        <w:t xml:space="preserve">(LA) </w:t>
      </w:r>
      <w:r w:rsidR="0051298C">
        <w:rPr>
          <w:color w:val="000000" w:themeColor="text1"/>
        </w:rPr>
        <w:t xml:space="preserve">lowers total cholesterol by </w:t>
      </w:r>
      <w:r w:rsidR="003D727D">
        <w:rPr>
          <w:color w:val="000000" w:themeColor="text1"/>
        </w:rPr>
        <w:t>promoting</w:t>
      </w:r>
      <w:r w:rsidR="0051298C">
        <w:rPr>
          <w:color w:val="000000" w:themeColor="text1"/>
        </w:rPr>
        <w:t xml:space="preserve"> </w:t>
      </w:r>
      <w:r w:rsidR="00804766">
        <w:rPr>
          <w:color w:val="000000" w:themeColor="text1"/>
        </w:rPr>
        <w:t xml:space="preserve">hepatic </w:t>
      </w:r>
      <w:proofErr w:type="gramStart"/>
      <w:r w:rsidR="0059699B">
        <w:rPr>
          <w:color w:val="000000" w:themeColor="text1"/>
        </w:rPr>
        <w:t>low density</w:t>
      </w:r>
      <w:proofErr w:type="gramEnd"/>
      <w:r w:rsidR="0059699B">
        <w:rPr>
          <w:color w:val="000000" w:themeColor="text1"/>
        </w:rPr>
        <w:t xml:space="preserve"> lipoprotein (</w:t>
      </w:r>
      <w:r w:rsidR="0051298C">
        <w:rPr>
          <w:color w:val="000000" w:themeColor="text1"/>
        </w:rPr>
        <w:t>LDL</w:t>
      </w:r>
      <w:r w:rsidR="0059699B">
        <w:rPr>
          <w:color w:val="000000" w:themeColor="text1"/>
        </w:rPr>
        <w:t>)</w:t>
      </w:r>
      <w:r w:rsidR="00804766">
        <w:rPr>
          <w:color w:val="000000" w:themeColor="text1"/>
        </w:rPr>
        <w:t xml:space="preserve"> clearance</w:t>
      </w:r>
      <w:r w:rsidR="0051298C">
        <w:rPr>
          <w:color w:val="000000" w:themeColor="text1"/>
        </w:rPr>
        <w:t xml:space="preserve"> </w:t>
      </w:r>
      <w:r w:rsidR="00B13646">
        <w:rPr>
          <w:color w:val="000000" w:themeColor="text1"/>
        </w:rPr>
        <w:t xml:space="preserve">through </w:t>
      </w:r>
      <w:r w:rsidR="0051298C">
        <w:rPr>
          <w:color w:val="000000" w:themeColor="text1"/>
        </w:rPr>
        <w:t>upregulat</w:t>
      </w:r>
      <w:r w:rsidR="00B13646">
        <w:rPr>
          <w:color w:val="000000" w:themeColor="text1"/>
        </w:rPr>
        <w:t>ing</w:t>
      </w:r>
      <w:r w:rsidR="0051298C">
        <w:rPr>
          <w:color w:val="000000" w:themeColor="text1"/>
        </w:rPr>
        <w:t xml:space="preserve"> LDL receptor expression</w:t>
      </w:r>
      <w:r w:rsidR="003D727D">
        <w:rPr>
          <w:color w:val="000000" w:themeColor="text1"/>
        </w:rPr>
        <w:t xml:space="preserve"> and upregulating bile acid synthesis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6</w:t>
      </w:r>
      <w:r w:rsidR="00474589">
        <w:rPr>
          <w:color w:val="000000" w:themeColor="text1"/>
        </w:rPr>
        <w:t>).</w:t>
      </w:r>
      <w:r w:rsidR="0051298C">
        <w:rPr>
          <w:color w:val="000000" w:themeColor="text1"/>
        </w:rPr>
        <w:t xml:space="preserve"> </w:t>
      </w:r>
      <w:r w:rsidR="00FB081A">
        <w:rPr>
          <w:color w:val="000000" w:themeColor="text1"/>
        </w:rPr>
        <w:t>Ra</w:t>
      </w:r>
      <w:r w:rsidR="003D727D">
        <w:rPr>
          <w:color w:val="000000" w:themeColor="text1"/>
        </w:rPr>
        <w:t>ther than a high intake of omega-6 PUFAs being the main concern</w:t>
      </w:r>
      <w:r w:rsidRPr="00930106">
        <w:rPr>
          <w:color w:val="000000" w:themeColor="text1"/>
        </w:rPr>
        <w:t>, the low intake of omega-3 PUFA</w:t>
      </w:r>
      <w:r w:rsidR="00D93EB3" w:rsidRPr="00930106">
        <w:rPr>
          <w:color w:val="000000" w:themeColor="text1"/>
        </w:rPr>
        <w:t>s</w:t>
      </w:r>
      <w:r w:rsidRPr="00930106">
        <w:rPr>
          <w:color w:val="000000" w:themeColor="text1"/>
        </w:rPr>
        <w:t xml:space="preserve"> may </w:t>
      </w:r>
      <w:r w:rsidR="00BB2769">
        <w:rPr>
          <w:color w:val="000000" w:themeColor="text1"/>
        </w:rPr>
        <w:t>be a</w:t>
      </w:r>
      <w:r w:rsidR="004D0E29">
        <w:rPr>
          <w:color w:val="000000" w:themeColor="text1"/>
        </w:rPr>
        <w:t xml:space="preserve"> </w:t>
      </w:r>
      <w:r w:rsidR="003D727D">
        <w:rPr>
          <w:color w:val="000000" w:themeColor="text1"/>
        </w:rPr>
        <w:t xml:space="preserve">more </w:t>
      </w:r>
      <w:r w:rsidR="004D0E29">
        <w:rPr>
          <w:color w:val="000000" w:themeColor="text1"/>
        </w:rPr>
        <w:t>significant</w:t>
      </w:r>
      <w:r w:rsidR="00BB2769">
        <w:rPr>
          <w:color w:val="000000" w:themeColor="text1"/>
        </w:rPr>
        <w:t xml:space="preserve"> factor </w:t>
      </w:r>
      <w:r w:rsidR="004D0E29">
        <w:rPr>
          <w:color w:val="000000" w:themeColor="text1"/>
        </w:rPr>
        <w:t xml:space="preserve">in </w:t>
      </w:r>
      <w:r w:rsidR="00BB2769">
        <w:rPr>
          <w:color w:val="000000" w:themeColor="text1"/>
        </w:rPr>
        <w:t xml:space="preserve">creating </w:t>
      </w:r>
      <w:r w:rsidRPr="00930106">
        <w:rPr>
          <w:color w:val="000000" w:themeColor="text1"/>
        </w:rPr>
        <w:t>a persistent pro-inflammatory stat</w:t>
      </w:r>
      <w:r w:rsidR="00C75E85">
        <w:rPr>
          <w:color w:val="000000" w:themeColor="text1"/>
        </w:rPr>
        <w:t>e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1,4</w:t>
      </w:r>
      <w:r w:rsidR="00474589">
        <w:rPr>
          <w:color w:val="000000" w:themeColor="text1"/>
        </w:rPr>
        <w:t>).</w:t>
      </w:r>
    </w:p>
    <w:p w14:paraId="5E0EDC41" w14:textId="77BBFD77" w:rsidR="00AE1CE1" w:rsidRPr="00930106" w:rsidRDefault="00AE1CE1" w:rsidP="00C75E85">
      <w:pPr>
        <w:spacing w:line="480" w:lineRule="auto"/>
        <w:ind w:firstLine="720"/>
        <w:rPr>
          <w:color w:val="000000" w:themeColor="text1"/>
        </w:rPr>
      </w:pPr>
      <w:r w:rsidRPr="00930106">
        <w:rPr>
          <w:color w:val="000000" w:themeColor="text1"/>
        </w:rPr>
        <w:t>The long</w:t>
      </w:r>
      <w:r w:rsidR="00856174" w:rsidRPr="00930106">
        <w:rPr>
          <w:color w:val="000000" w:themeColor="text1"/>
        </w:rPr>
        <w:t>-</w:t>
      </w:r>
      <w:r w:rsidRPr="00930106">
        <w:rPr>
          <w:color w:val="000000" w:themeColor="text1"/>
        </w:rPr>
        <w:t>chain omega-3 PUFAs</w:t>
      </w:r>
      <w:r w:rsidR="00155351">
        <w:rPr>
          <w:color w:val="000000" w:themeColor="text1"/>
        </w:rPr>
        <w:t>,</w:t>
      </w:r>
      <w:r w:rsidR="00856174" w:rsidRPr="00930106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eicosapentaenoic acid (EPA) and docosahexaenoic acid (DHA)</w:t>
      </w:r>
      <w:r w:rsidR="00FB081A">
        <w:rPr>
          <w:color w:val="000000" w:themeColor="text1"/>
        </w:rPr>
        <w:t>,</w:t>
      </w:r>
      <w:r w:rsidRPr="00930106">
        <w:rPr>
          <w:color w:val="000000" w:themeColor="text1"/>
        </w:rPr>
        <w:t xml:space="preserve"> have emerged as modulators of inflammatio</w:t>
      </w:r>
      <w:r w:rsidR="00C75E85">
        <w:rPr>
          <w:color w:val="000000" w:themeColor="text1"/>
        </w:rPr>
        <w:t>n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5,7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</w:rPr>
        <w:t xml:space="preserve"> </w:t>
      </w:r>
      <w:r w:rsidR="00400B16">
        <w:rPr>
          <w:color w:val="000000" w:themeColor="text1"/>
        </w:rPr>
        <w:t xml:space="preserve">Based on a comprehensive umbrella meta-analysis, </w:t>
      </w:r>
      <w:r w:rsidR="002320D4">
        <w:rPr>
          <w:color w:val="000000" w:themeColor="text1"/>
        </w:rPr>
        <w:t>EPA+DHA</w:t>
      </w:r>
      <w:r w:rsidR="00400B16">
        <w:rPr>
          <w:color w:val="000000" w:themeColor="text1"/>
        </w:rPr>
        <w:t xml:space="preserve"> supplementation significantly reduced</w:t>
      </w:r>
      <w:r w:rsidR="002320D4">
        <w:rPr>
          <w:color w:val="000000" w:themeColor="text1"/>
        </w:rPr>
        <w:t xml:space="preserve"> circulating concentrations of </w:t>
      </w:r>
      <w:r w:rsidR="00400B16">
        <w:rPr>
          <w:color w:val="000000" w:themeColor="text1"/>
        </w:rPr>
        <w:t>key inflammatory markers, including CRP, TNF</w:t>
      </w:r>
      <w:r w:rsidR="002320D4">
        <w:rPr>
          <w:color w:val="000000" w:themeColor="text1"/>
        </w:rPr>
        <w:t>-</w:t>
      </w:r>
      <w:r w:rsidR="00EC54A7">
        <w:rPr>
          <w:color w:val="000000" w:themeColor="text1"/>
        </w:rPr>
        <w:t>α</w:t>
      </w:r>
      <w:r w:rsidR="00400B16">
        <w:rPr>
          <w:color w:val="000000" w:themeColor="text1"/>
        </w:rPr>
        <w:t xml:space="preserve">, and IL-6 </w:t>
      </w:r>
      <w:r w:rsidR="00E8752F">
        <w:rPr>
          <w:color w:val="000000" w:themeColor="text1"/>
        </w:rPr>
        <w:t xml:space="preserve">in patients with </w:t>
      </w:r>
      <w:r w:rsidR="00FF6B7E">
        <w:rPr>
          <w:color w:val="000000" w:themeColor="text1"/>
        </w:rPr>
        <w:t>t</w:t>
      </w:r>
      <w:r w:rsidR="00E8752F">
        <w:rPr>
          <w:color w:val="000000" w:themeColor="text1"/>
        </w:rPr>
        <w:t xml:space="preserve">ype II </w:t>
      </w:r>
      <w:r w:rsidR="00745710">
        <w:rPr>
          <w:color w:val="000000" w:themeColor="text1"/>
        </w:rPr>
        <w:t>d</w:t>
      </w:r>
      <w:r w:rsidR="00E8752F">
        <w:rPr>
          <w:color w:val="000000" w:themeColor="text1"/>
        </w:rPr>
        <w:t>iabetes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8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</w:rPr>
        <w:t xml:space="preserve"> Another prospective study </w:t>
      </w:r>
      <w:r w:rsidR="00753992">
        <w:rPr>
          <w:color w:val="000000" w:themeColor="text1"/>
        </w:rPr>
        <w:t>found that EPA</w:t>
      </w:r>
      <w:r w:rsidR="00B13646">
        <w:rPr>
          <w:color w:val="000000" w:themeColor="text1"/>
        </w:rPr>
        <w:t>+</w:t>
      </w:r>
      <w:r w:rsidR="00753992">
        <w:rPr>
          <w:color w:val="000000" w:themeColor="text1"/>
        </w:rPr>
        <w:t>DHA supplementation</w:t>
      </w:r>
      <w:r w:rsidR="006C711F">
        <w:rPr>
          <w:color w:val="000000" w:themeColor="text1"/>
        </w:rPr>
        <w:t xml:space="preserve"> (3.2 g/day of EPA and 1.6 g/day of DHA for three months)</w:t>
      </w:r>
      <w:r w:rsidR="00753992">
        <w:rPr>
          <w:color w:val="000000" w:themeColor="text1"/>
        </w:rPr>
        <w:t xml:space="preserve"> significantly reduced insulin resistance, </w:t>
      </w:r>
      <w:r w:rsidR="003D727D">
        <w:rPr>
          <w:color w:val="000000" w:themeColor="text1"/>
        </w:rPr>
        <w:t>circulating triglycerides (</w:t>
      </w:r>
      <w:r w:rsidR="00753992">
        <w:rPr>
          <w:color w:val="000000" w:themeColor="text1"/>
        </w:rPr>
        <w:t>TAG</w:t>
      </w:r>
      <w:r w:rsidR="003D727D">
        <w:rPr>
          <w:color w:val="000000" w:themeColor="text1"/>
        </w:rPr>
        <w:t>)</w:t>
      </w:r>
      <w:r w:rsidR="005D2506">
        <w:rPr>
          <w:color w:val="000000" w:themeColor="text1"/>
        </w:rPr>
        <w:t>,</w:t>
      </w:r>
      <w:r w:rsidR="00753992">
        <w:rPr>
          <w:color w:val="000000" w:themeColor="text1"/>
        </w:rPr>
        <w:t xml:space="preserve"> and inflammatory markers in women with obesity and healthy controls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5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</w:rPr>
        <w:t xml:space="preserve"> The supplementation also downregulated the expression of key inflammatory transcripts in CD4+ T-</w:t>
      </w:r>
      <w:r w:rsidRPr="00930106">
        <w:rPr>
          <w:color w:val="000000" w:themeColor="text1"/>
        </w:rPr>
        <w:lastRenderedPageBreak/>
        <w:t>cells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5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</w:rPr>
        <w:t xml:space="preserve"> </w:t>
      </w:r>
      <w:r w:rsidR="008C434C">
        <w:rPr>
          <w:color w:val="000000" w:themeColor="text1"/>
        </w:rPr>
        <w:t>S</w:t>
      </w:r>
      <w:r w:rsidRPr="00930106">
        <w:rPr>
          <w:color w:val="000000" w:themeColor="text1"/>
        </w:rPr>
        <w:t>ome benefits, such as reduced insulin, persisted for a month after stopping supplementation</w:t>
      </w:r>
      <w:r w:rsidR="005E299E">
        <w:rPr>
          <w:color w:val="000000" w:themeColor="text1"/>
        </w:rPr>
        <w:t>,</w:t>
      </w:r>
      <w:r w:rsidR="008C434C">
        <w:rPr>
          <w:color w:val="000000" w:themeColor="text1"/>
        </w:rPr>
        <w:t xml:space="preserve"> whereas</w:t>
      </w:r>
      <w:r w:rsidRPr="00930106">
        <w:rPr>
          <w:color w:val="000000" w:themeColor="text1"/>
        </w:rPr>
        <w:t xml:space="preserve"> T</w:t>
      </w:r>
      <w:r w:rsidR="00745710">
        <w:rPr>
          <w:color w:val="000000" w:themeColor="text1"/>
        </w:rPr>
        <w:t>A</w:t>
      </w:r>
      <w:r w:rsidR="008C434C">
        <w:rPr>
          <w:color w:val="000000" w:themeColor="text1"/>
        </w:rPr>
        <w:t xml:space="preserve">G </w:t>
      </w:r>
      <w:r w:rsidRPr="00930106">
        <w:rPr>
          <w:color w:val="000000" w:themeColor="text1"/>
        </w:rPr>
        <w:t>levels and inflammatory markers reverted to baseline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5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</w:rPr>
        <w:t xml:space="preserve"> </w:t>
      </w:r>
      <w:bookmarkStart w:id="1" w:name="_Hlk208401933"/>
      <w:r w:rsidRPr="00930106">
        <w:rPr>
          <w:color w:val="000000" w:themeColor="text1"/>
        </w:rPr>
        <w:t xml:space="preserve">At a molecular level, dietary supplementation </w:t>
      </w:r>
      <w:r w:rsidR="004D0E29">
        <w:rPr>
          <w:color w:val="000000" w:themeColor="text1"/>
        </w:rPr>
        <w:t xml:space="preserve">with </w:t>
      </w:r>
      <w:r w:rsidR="00A20123">
        <w:rPr>
          <w:color w:val="000000" w:themeColor="text1"/>
        </w:rPr>
        <w:t>EPA</w:t>
      </w:r>
      <w:r w:rsidR="00D43CD8">
        <w:rPr>
          <w:color w:val="000000" w:themeColor="text1"/>
        </w:rPr>
        <w:t>+</w:t>
      </w:r>
      <w:r w:rsidR="00A20123">
        <w:rPr>
          <w:color w:val="000000" w:themeColor="text1"/>
        </w:rPr>
        <w:t>DHA</w:t>
      </w:r>
      <w:r w:rsidR="00726886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modulate</w:t>
      </w:r>
      <w:r w:rsidR="00D4672C">
        <w:rPr>
          <w:color w:val="000000" w:themeColor="text1"/>
        </w:rPr>
        <w:t>s</w:t>
      </w:r>
      <w:r w:rsidRPr="00930106">
        <w:rPr>
          <w:color w:val="000000" w:themeColor="text1"/>
        </w:rPr>
        <w:t xml:space="preserve"> inflammation </w:t>
      </w:r>
      <w:r w:rsidR="00165CA8" w:rsidRPr="00930106">
        <w:rPr>
          <w:color w:val="000000" w:themeColor="text1"/>
        </w:rPr>
        <w:t xml:space="preserve">by targeting omega-6 </w:t>
      </w:r>
      <w:r w:rsidR="00A20123">
        <w:rPr>
          <w:color w:val="000000" w:themeColor="text1"/>
        </w:rPr>
        <w:t>PUFA levels and metabolism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6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</w:rPr>
        <w:t xml:space="preserve"> Displacement of omega-6 </w:t>
      </w:r>
      <w:r w:rsidR="0068132A">
        <w:rPr>
          <w:color w:val="000000" w:themeColor="text1"/>
        </w:rPr>
        <w:t>PUFAs</w:t>
      </w:r>
      <w:r w:rsidRPr="00930106">
        <w:rPr>
          <w:color w:val="000000" w:themeColor="text1"/>
        </w:rPr>
        <w:t xml:space="preserve"> by omega-3 </w:t>
      </w:r>
      <w:r w:rsidR="00B52686">
        <w:rPr>
          <w:color w:val="000000" w:themeColor="text1"/>
        </w:rPr>
        <w:t>PUFAs</w:t>
      </w:r>
      <w:r w:rsidRPr="00930106">
        <w:rPr>
          <w:color w:val="000000" w:themeColor="text1"/>
        </w:rPr>
        <w:t xml:space="preserve"> reduces the production of pro-inflammatory </w:t>
      </w:r>
      <w:r w:rsidR="004C0E86">
        <w:rPr>
          <w:color w:val="000000" w:themeColor="text1"/>
        </w:rPr>
        <w:t>oxylipins</w:t>
      </w:r>
      <w:r w:rsidR="004C0E86" w:rsidRPr="00930106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derived from arachidonic acid</w:t>
      </w:r>
      <w:r w:rsidR="002448C7">
        <w:rPr>
          <w:color w:val="000000" w:themeColor="text1"/>
        </w:rPr>
        <w:t xml:space="preserve"> (AA)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6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  <w:vertAlign w:val="superscript"/>
        </w:rPr>
        <w:t xml:space="preserve">  </w:t>
      </w:r>
      <w:bookmarkEnd w:id="1"/>
      <w:r w:rsidR="007E0D4E">
        <w:rPr>
          <w:color w:val="000000" w:themeColor="text1"/>
        </w:rPr>
        <w:t>EPA and DHA</w:t>
      </w:r>
      <w:r w:rsidRPr="00930106">
        <w:rPr>
          <w:color w:val="000000" w:themeColor="text1"/>
        </w:rPr>
        <w:t xml:space="preserve"> generate a complex range of oxylipins with diverse immunomodulatory effects. These </w:t>
      </w:r>
      <w:r w:rsidR="00D4672C">
        <w:rPr>
          <w:color w:val="000000" w:themeColor="text1"/>
        </w:rPr>
        <w:t>changes, along with the ability of omega-3 PUFAs to modulate intracellular signaling, gene expression, and cytokine production,</w:t>
      </w:r>
      <w:r w:rsidRPr="00930106">
        <w:rPr>
          <w:color w:val="000000" w:themeColor="text1"/>
        </w:rPr>
        <w:t xml:space="preserve"> contribute to their anti-inflammatory </w:t>
      </w:r>
      <w:r w:rsidR="00C75E85">
        <w:rPr>
          <w:color w:val="000000" w:themeColor="text1"/>
        </w:rPr>
        <w:t>effects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8,9</w:t>
      </w:r>
      <w:r w:rsidR="00474589">
        <w:rPr>
          <w:color w:val="000000" w:themeColor="text1"/>
        </w:rPr>
        <w:t>).</w:t>
      </w:r>
    </w:p>
    <w:p w14:paraId="692284DA" w14:textId="78E49611" w:rsidR="000F01CE" w:rsidRDefault="00AE1CE1" w:rsidP="00F347E7">
      <w:pPr>
        <w:spacing w:line="480" w:lineRule="auto"/>
        <w:ind w:firstLine="720"/>
        <w:rPr>
          <w:color w:val="000000" w:themeColor="text1"/>
        </w:rPr>
      </w:pPr>
      <w:r w:rsidRPr="00930106">
        <w:rPr>
          <w:color w:val="000000" w:themeColor="text1"/>
        </w:rPr>
        <w:t>Our previous research examined the</w:t>
      </w:r>
      <w:r w:rsidR="00856174" w:rsidRPr="00930106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 xml:space="preserve">impact of </w:t>
      </w:r>
      <w:r w:rsidR="000D08B0">
        <w:rPr>
          <w:color w:val="000000" w:themeColor="text1"/>
        </w:rPr>
        <w:t>EPA and DHA</w:t>
      </w:r>
      <w:r w:rsidRPr="00930106">
        <w:rPr>
          <w:color w:val="000000" w:themeColor="text1"/>
        </w:rPr>
        <w:t xml:space="preserve"> </w:t>
      </w:r>
      <w:r w:rsidR="00D43CD8">
        <w:rPr>
          <w:color w:val="000000" w:themeColor="text1"/>
        </w:rPr>
        <w:t xml:space="preserve">supplementation </w:t>
      </w:r>
      <w:r w:rsidRPr="00930106">
        <w:rPr>
          <w:color w:val="000000" w:themeColor="text1"/>
        </w:rPr>
        <w:t xml:space="preserve">on the </w:t>
      </w:r>
      <w:r w:rsidR="00C52D25">
        <w:rPr>
          <w:color w:val="000000" w:themeColor="text1"/>
        </w:rPr>
        <w:t>lipidome</w:t>
      </w:r>
      <w:r w:rsidRPr="00930106">
        <w:rPr>
          <w:color w:val="000000" w:themeColor="text1"/>
        </w:rPr>
        <w:t xml:space="preserve"> of subcutaneous white adipose tissue (scWAT)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9</w:t>
      </w:r>
      <w:r w:rsidR="00474589">
        <w:rPr>
          <w:color w:val="000000" w:themeColor="text1"/>
        </w:rPr>
        <w:t>).</w:t>
      </w:r>
      <w:r w:rsidRPr="00930106">
        <w:rPr>
          <w:color w:val="000000" w:themeColor="text1"/>
        </w:rPr>
        <w:t xml:space="preserve"> Oxylipin profiling identified 111 fatty acid metabolites in scWAT, with </w:t>
      </w:r>
      <w:r w:rsidR="0087023E">
        <w:rPr>
          <w:color w:val="000000" w:themeColor="text1"/>
        </w:rPr>
        <w:t>12 weeks of 1.1 g EPA + 0.8 g DHA</w:t>
      </w:r>
      <w:r w:rsidRPr="00930106">
        <w:rPr>
          <w:color w:val="000000" w:themeColor="text1"/>
        </w:rPr>
        <w:t xml:space="preserve"> </w:t>
      </w:r>
      <w:r w:rsidR="0087023E">
        <w:rPr>
          <w:color w:val="000000" w:themeColor="text1"/>
        </w:rPr>
        <w:t xml:space="preserve">daily </w:t>
      </w:r>
      <w:r w:rsidRPr="00930106">
        <w:rPr>
          <w:color w:val="000000" w:themeColor="text1"/>
        </w:rPr>
        <w:t xml:space="preserve">producing changes in these </w:t>
      </w:r>
      <w:r w:rsidR="006034E8">
        <w:rPr>
          <w:color w:val="000000" w:themeColor="text1"/>
        </w:rPr>
        <w:t>oxylipin</w:t>
      </w:r>
      <w:r w:rsidRPr="00930106">
        <w:rPr>
          <w:color w:val="000000" w:themeColor="text1"/>
        </w:rPr>
        <w:t xml:space="preserve"> profiles</w:t>
      </w:r>
      <w:r w:rsidR="002448C7">
        <w:rPr>
          <w:color w:val="000000" w:themeColor="text1"/>
        </w:rPr>
        <w:t xml:space="preserve">: there was a </w:t>
      </w:r>
      <w:r w:rsidRPr="00930106">
        <w:rPr>
          <w:color w:val="000000" w:themeColor="text1"/>
        </w:rPr>
        <w:t>significant decrease</w:t>
      </w:r>
      <w:r w:rsidR="002448C7">
        <w:rPr>
          <w:color w:val="000000" w:themeColor="text1"/>
        </w:rPr>
        <w:t xml:space="preserve"> in</w:t>
      </w:r>
      <w:r w:rsidRPr="00930106">
        <w:rPr>
          <w:color w:val="000000" w:themeColor="text1"/>
        </w:rPr>
        <w:t xml:space="preserve"> several AA</w:t>
      </w:r>
      <w:r w:rsidR="002448C7">
        <w:rPr>
          <w:color w:val="000000" w:themeColor="text1"/>
        </w:rPr>
        <w:t>-derived</w:t>
      </w:r>
      <w:r w:rsidRPr="00930106">
        <w:rPr>
          <w:color w:val="000000" w:themeColor="text1"/>
        </w:rPr>
        <w:t xml:space="preserve"> metabolites, including 20-COOH-AA, 14-15-DHET, and LTE</w:t>
      </w:r>
      <w:r w:rsidRPr="00C73DF4">
        <w:rPr>
          <w:color w:val="000000" w:themeColor="text1"/>
          <w:vertAlign w:val="subscript"/>
        </w:rPr>
        <w:t>4</w:t>
      </w:r>
      <w:r w:rsidR="004D0E29">
        <w:rPr>
          <w:color w:val="000000" w:themeColor="text1"/>
          <w:vertAlign w:val="subscript"/>
        </w:rPr>
        <w:t>,</w:t>
      </w:r>
      <w:r w:rsidR="00D87BCC">
        <w:rPr>
          <w:color w:val="000000" w:themeColor="text1"/>
        </w:rPr>
        <w:t xml:space="preserve"> a</w:t>
      </w:r>
      <w:r w:rsidR="002448C7">
        <w:rPr>
          <w:color w:val="000000" w:themeColor="text1"/>
        </w:rPr>
        <w:t>nd</w:t>
      </w:r>
      <w:r w:rsidR="00D87BCC">
        <w:rPr>
          <w:color w:val="000000" w:themeColor="text1"/>
        </w:rPr>
        <w:t xml:space="preserve"> an </w:t>
      </w:r>
      <w:r w:rsidRPr="00930106">
        <w:rPr>
          <w:color w:val="000000" w:themeColor="text1"/>
        </w:rPr>
        <w:t>increase</w:t>
      </w:r>
      <w:r w:rsidR="00D87BCC">
        <w:rPr>
          <w:color w:val="000000" w:themeColor="text1"/>
        </w:rPr>
        <w:t xml:space="preserve"> in</w:t>
      </w:r>
      <w:r w:rsidRPr="00930106">
        <w:rPr>
          <w:color w:val="000000" w:themeColor="text1"/>
        </w:rPr>
        <w:t xml:space="preserve"> </w:t>
      </w:r>
      <w:r w:rsidR="00FF6757">
        <w:rPr>
          <w:color w:val="000000" w:themeColor="text1"/>
        </w:rPr>
        <w:t xml:space="preserve">several </w:t>
      </w:r>
      <w:r w:rsidRPr="00930106">
        <w:rPr>
          <w:color w:val="000000" w:themeColor="text1"/>
        </w:rPr>
        <w:t>EPA</w:t>
      </w:r>
      <w:r w:rsidR="00AB490F">
        <w:rPr>
          <w:color w:val="000000" w:themeColor="text1"/>
        </w:rPr>
        <w:t xml:space="preserve">- </w:t>
      </w:r>
      <w:r w:rsidRPr="00930106">
        <w:rPr>
          <w:color w:val="000000" w:themeColor="text1"/>
        </w:rPr>
        <w:t>and DHA-derived metabolites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9</w:t>
      </w:r>
      <w:r w:rsidR="00474589">
        <w:rPr>
          <w:color w:val="000000" w:themeColor="text1"/>
        </w:rPr>
        <w:t>).</w:t>
      </w:r>
      <w:r w:rsidR="00726886">
        <w:t xml:space="preserve"> These results led to t</w:t>
      </w:r>
      <w:r w:rsidR="00D82870">
        <w:t>he present study</w:t>
      </w:r>
      <w:r w:rsidR="00726886">
        <w:t>, which</w:t>
      </w:r>
      <w:r w:rsidR="00D82870">
        <w:t xml:space="preserve"> </w:t>
      </w:r>
      <w:r w:rsidR="005B0AF8">
        <w:t>is a</w:t>
      </w:r>
      <w:r w:rsidR="00DE474C">
        <w:t xml:space="preserve">n exploratory </w:t>
      </w:r>
      <w:r w:rsidR="005B0AF8">
        <w:t>analysis a</w:t>
      </w:r>
      <w:r w:rsidR="00D4672C">
        <w:t>imed</w:t>
      </w:r>
      <w:r w:rsidR="005B0AF8">
        <w:t xml:space="preserve"> </w:t>
      </w:r>
      <w:r w:rsidR="00D4672C">
        <w:t>at</w:t>
      </w:r>
      <w:r w:rsidR="005B0AF8">
        <w:t xml:space="preserve"> </w:t>
      </w:r>
      <w:r w:rsidR="00D82870">
        <w:t>exami</w:t>
      </w:r>
      <w:r w:rsidR="005B0AF8">
        <w:t>n</w:t>
      </w:r>
      <w:r w:rsidR="00D4672C">
        <w:t>ing</w:t>
      </w:r>
      <w:r w:rsidR="00D82870">
        <w:t xml:space="preserve"> the circulating lipidomic profile following EPA+DHA or corn oil (CO) supplementation. The primary outcome </w:t>
      </w:r>
      <w:r w:rsidR="00D43CD8">
        <w:t xml:space="preserve">is </w:t>
      </w:r>
      <w:r w:rsidR="00D82870">
        <w:t xml:space="preserve">the change in </w:t>
      </w:r>
      <w:r w:rsidR="00726886">
        <w:t>PUFA levels</w:t>
      </w:r>
      <w:r w:rsidR="00D82870">
        <w:t xml:space="preserve"> across </w:t>
      </w:r>
      <w:r w:rsidR="00FF6757">
        <w:t xml:space="preserve">plasma </w:t>
      </w:r>
      <w:r w:rsidR="00D82870">
        <w:t xml:space="preserve">lipid pools, including PC, CE, NEFA, and TAG. </w:t>
      </w:r>
      <w:r w:rsidR="00D43CD8">
        <w:rPr>
          <w:color w:val="000000" w:themeColor="text1"/>
        </w:rPr>
        <w:t>T</w:t>
      </w:r>
      <w:r w:rsidR="00FE1D2F">
        <w:rPr>
          <w:color w:val="000000" w:themeColor="text1"/>
        </w:rPr>
        <w:t xml:space="preserve">hese lipid pools were specifically chosen because each plays a vital role in lipid metabolism and inflammation. PCs are the primary target of phospholipase activity during inflammation, fueling the production </w:t>
      </w:r>
      <w:r w:rsidR="00C75E85">
        <w:rPr>
          <w:color w:val="000000" w:themeColor="text1"/>
        </w:rPr>
        <w:t xml:space="preserve">of </w:t>
      </w:r>
      <w:r w:rsidR="00FE1D2F">
        <w:rPr>
          <w:color w:val="000000" w:themeColor="text1"/>
        </w:rPr>
        <w:t>inflammatory</w:t>
      </w:r>
      <w:r w:rsidR="00C75E85">
        <w:rPr>
          <w:color w:val="000000" w:themeColor="text1"/>
        </w:rPr>
        <w:t xml:space="preserve"> metabolites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10</w:t>
      </w:r>
      <w:r w:rsidR="00474589">
        <w:rPr>
          <w:color w:val="000000" w:themeColor="text1"/>
        </w:rPr>
        <w:t>).</w:t>
      </w:r>
      <w:r w:rsidR="00FE1D2F">
        <w:rPr>
          <w:color w:val="000000" w:themeColor="text1"/>
        </w:rPr>
        <w:t xml:space="preserve"> CEs, particularly when oxidized, contribute to atherosclerosis by activating macrophages and promoting the release of cytokines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11</w:t>
      </w:r>
      <w:r w:rsidR="00474589">
        <w:rPr>
          <w:color w:val="000000" w:themeColor="text1"/>
        </w:rPr>
        <w:t>).</w:t>
      </w:r>
      <w:r w:rsidR="00FE1D2F">
        <w:rPr>
          <w:color w:val="000000" w:themeColor="text1"/>
        </w:rPr>
        <w:t xml:space="preserve"> NEFAs can directly activate inflammatory pathways and impair insulin signaling at high concentrations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12</w:t>
      </w:r>
      <w:r w:rsidR="00474589">
        <w:rPr>
          <w:color w:val="000000" w:themeColor="text1"/>
        </w:rPr>
        <w:t>).</w:t>
      </w:r>
      <w:r w:rsidR="00FE1D2F">
        <w:rPr>
          <w:color w:val="000000" w:themeColor="text1"/>
        </w:rPr>
        <w:t xml:space="preserve"> TAGs are the primary storage form of </w:t>
      </w:r>
      <w:r w:rsidR="00FE1D2F">
        <w:rPr>
          <w:color w:val="000000" w:themeColor="text1"/>
        </w:rPr>
        <w:lastRenderedPageBreak/>
        <w:t xml:space="preserve">fatty </w:t>
      </w:r>
      <w:proofErr w:type="gramStart"/>
      <w:r w:rsidR="00FE1D2F">
        <w:rPr>
          <w:color w:val="000000" w:themeColor="text1"/>
        </w:rPr>
        <w:t>acids,</w:t>
      </w:r>
      <w:proofErr w:type="gramEnd"/>
      <w:r w:rsidR="00FE1D2F">
        <w:rPr>
          <w:color w:val="000000" w:themeColor="text1"/>
        </w:rPr>
        <w:t xml:space="preserve"> high circulating levels have also been linked to an increased risk of inflammatory diseases</w:t>
      </w:r>
      <w:r w:rsidR="00474589">
        <w:rPr>
          <w:color w:val="000000" w:themeColor="text1"/>
        </w:rPr>
        <w:t xml:space="preserve"> (</w:t>
      </w:r>
      <w:r w:rsidR="00EB4AA5" w:rsidRPr="00474589">
        <w:rPr>
          <w:rFonts w:eastAsiaTheme="minorHAnsi"/>
          <w:color w:val="000000"/>
          <w14:ligatures w14:val="standardContextual"/>
        </w:rPr>
        <w:t>13</w:t>
      </w:r>
      <w:r w:rsidR="00474589">
        <w:rPr>
          <w:color w:val="000000" w:themeColor="text1"/>
        </w:rPr>
        <w:t>).</w:t>
      </w:r>
      <w:r w:rsidR="009C334F">
        <w:rPr>
          <w:color w:val="000000" w:themeColor="text1"/>
        </w:rPr>
        <w:t xml:space="preserve"> </w:t>
      </w:r>
      <w:r w:rsidR="00B1138D">
        <w:t xml:space="preserve">While </w:t>
      </w:r>
      <w:r w:rsidR="00C768C4">
        <w:t xml:space="preserve">prior research has shown that omega-3 </w:t>
      </w:r>
      <w:r w:rsidR="00FF6757">
        <w:t xml:space="preserve">PUFA </w:t>
      </w:r>
      <w:r w:rsidR="00C768C4">
        <w:t xml:space="preserve">supplementation can </w:t>
      </w:r>
      <w:r w:rsidR="00B1138D">
        <w:t xml:space="preserve">replace and </w:t>
      </w:r>
      <w:r w:rsidR="00C768C4">
        <w:t xml:space="preserve">lower omega-6 </w:t>
      </w:r>
      <w:r w:rsidR="00FF6757">
        <w:t xml:space="preserve">PUFA </w:t>
      </w:r>
      <w:r w:rsidR="00C768C4">
        <w:t xml:space="preserve">levels in phospholipids, few studies have examined whether this replacement also occurs in </w:t>
      </w:r>
      <w:r w:rsidR="00114A3C">
        <w:t>distinct</w:t>
      </w:r>
      <w:r w:rsidR="00C768C4">
        <w:t xml:space="preserve"> pools</w:t>
      </w:r>
      <w:r w:rsidR="00474589">
        <w:t xml:space="preserve"> (</w:t>
      </w:r>
      <w:r w:rsidR="00EB4AA5" w:rsidRPr="00474589">
        <w:rPr>
          <w:rFonts w:eastAsiaTheme="minorHAnsi"/>
          <w14:ligatures w14:val="standardContextual"/>
        </w:rPr>
        <w:t>14,15</w:t>
      </w:r>
      <w:r w:rsidR="00474589">
        <w:t>).</w:t>
      </w:r>
      <w:r w:rsidR="00CD0B0A" w:rsidDel="00CD0B0A">
        <w:t xml:space="preserve"> </w:t>
      </w:r>
    </w:p>
    <w:p w14:paraId="609A9830" w14:textId="77777777" w:rsidR="00000D47" w:rsidRDefault="00000D47" w:rsidP="00C4566D">
      <w:pPr>
        <w:spacing w:line="480" w:lineRule="auto"/>
        <w:rPr>
          <w:b/>
          <w:bCs/>
        </w:rPr>
      </w:pPr>
    </w:p>
    <w:p w14:paraId="49FF7627" w14:textId="0AFB2A83" w:rsidR="00685029" w:rsidRDefault="00685029" w:rsidP="00A60FAE">
      <w:pPr>
        <w:spacing w:line="480" w:lineRule="auto"/>
        <w:jc w:val="center"/>
        <w:rPr>
          <w:b/>
          <w:bCs/>
        </w:rPr>
      </w:pPr>
      <w:r w:rsidRPr="00930106">
        <w:rPr>
          <w:b/>
          <w:bCs/>
        </w:rPr>
        <w:t>Methods</w:t>
      </w:r>
    </w:p>
    <w:p w14:paraId="0D69FF3A" w14:textId="77777777" w:rsidR="00101679" w:rsidRPr="00930106" w:rsidRDefault="00101679" w:rsidP="00A60FAE">
      <w:pPr>
        <w:spacing w:line="480" w:lineRule="auto"/>
        <w:jc w:val="center"/>
        <w:rPr>
          <w:b/>
          <w:bCs/>
        </w:rPr>
      </w:pPr>
    </w:p>
    <w:p w14:paraId="6864964C" w14:textId="77777777" w:rsidR="00685029" w:rsidRPr="00930106" w:rsidRDefault="00685029" w:rsidP="00A60FAE">
      <w:pPr>
        <w:spacing w:line="480" w:lineRule="auto"/>
        <w:rPr>
          <w:b/>
          <w:bCs/>
        </w:rPr>
      </w:pPr>
      <w:r w:rsidRPr="00930106">
        <w:rPr>
          <w:b/>
          <w:bCs/>
        </w:rPr>
        <w:t>Participants</w:t>
      </w:r>
    </w:p>
    <w:p w14:paraId="75E6E388" w14:textId="499F8782" w:rsidR="00685029" w:rsidRPr="00930106" w:rsidRDefault="00C73DF4" w:rsidP="00E675FB">
      <w:pPr>
        <w:spacing w:line="480" w:lineRule="auto"/>
        <w:ind w:firstLine="720"/>
      </w:pPr>
      <w:r>
        <w:t>One hundred</w:t>
      </w:r>
      <w:r w:rsidR="00685029" w:rsidRPr="00930106">
        <w:t xml:space="preserve"> individuals aged 18-65</w:t>
      </w:r>
      <w:r w:rsidR="00697289">
        <w:t xml:space="preserve"> </w:t>
      </w:r>
      <w:r w:rsidR="00FE334D">
        <w:t xml:space="preserve">years </w:t>
      </w:r>
      <w:r w:rsidR="00685029" w:rsidRPr="00930106">
        <w:t>were recruited into a double-blind placebo (comparator oil) controlled trial at the University of Southampton, UK</w:t>
      </w:r>
      <w:r w:rsidR="00044235">
        <w:t xml:space="preserve"> between 2010-2015</w:t>
      </w:r>
      <w:r w:rsidR="00685029" w:rsidRPr="00930106">
        <w:t>. 16 individuals withdrew</w:t>
      </w:r>
      <w:r w:rsidR="00856174" w:rsidRPr="00930106">
        <w:t>,</w:t>
      </w:r>
      <w:r w:rsidR="00685029" w:rsidRPr="00930106">
        <w:t xml:space="preserve"> leaving 39 healthy</w:t>
      </w:r>
      <w:r w:rsidR="004D1D25">
        <w:t>-</w:t>
      </w:r>
      <w:r w:rsidR="00685029" w:rsidRPr="00930106">
        <w:t>weight individuals and 45 individuals living with obesity</w:t>
      </w:r>
      <w:r w:rsidR="00697289">
        <w:t xml:space="preserve"> to complete the study</w:t>
      </w:r>
      <w:r w:rsidR="00685029" w:rsidRPr="00930106">
        <w:t xml:space="preserve">. </w:t>
      </w:r>
      <w:r w:rsidR="00DC5935">
        <w:t>After completing</w:t>
      </w:r>
      <w:r w:rsidR="00685029" w:rsidRPr="00930106">
        <w:t xml:space="preserve"> </w:t>
      </w:r>
      <w:r w:rsidR="00F47B98">
        <w:t xml:space="preserve">the study’s </w:t>
      </w:r>
      <w:r w:rsidR="00685029" w:rsidRPr="00930106">
        <w:t xml:space="preserve">primary </w:t>
      </w:r>
      <w:r w:rsidR="00F47B98">
        <w:t xml:space="preserve">and secondary </w:t>
      </w:r>
      <w:r w:rsidR="00685029" w:rsidRPr="00930106">
        <w:t>outcomes, plasma was available from 2</w:t>
      </w:r>
      <w:r w:rsidR="00630816">
        <w:t>1</w:t>
      </w:r>
      <w:r w:rsidR="00081991">
        <w:t xml:space="preserve"> </w:t>
      </w:r>
      <w:r w:rsidR="00685029" w:rsidRPr="00930106">
        <w:t>individuals</w:t>
      </w:r>
      <w:r>
        <w:t xml:space="preserve">, a mix of </w:t>
      </w:r>
      <w:r w:rsidR="00370218">
        <w:t>healthy</w:t>
      </w:r>
      <w:r w:rsidR="002458DB">
        <w:t>-</w:t>
      </w:r>
      <w:r>
        <w:t xml:space="preserve">weight </w:t>
      </w:r>
      <w:r w:rsidR="00370218">
        <w:t xml:space="preserve">individuals </w:t>
      </w:r>
      <w:r>
        <w:t xml:space="preserve">and </w:t>
      </w:r>
      <w:r w:rsidR="00745710">
        <w:t xml:space="preserve">individuals </w:t>
      </w:r>
      <w:r>
        <w:t xml:space="preserve">living with obesity. </w:t>
      </w:r>
      <w:r w:rsidR="00685029" w:rsidRPr="00930106">
        <w:t xml:space="preserve">The current study generated </w:t>
      </w:r>
      <w:r w:rsidR="00661902">
        <w:t xml:space="preserve">plasma </w:t>
      </w:r>
      <w:r w:rsidR="00370218">
        <w:t>PC, NEFA, CE</w:t>
      </w:r>
      <w:r w:rsidR="009B4851">
        <w:t>,</w:t>
      </w:r>
      <w:r w:rsidR="00370218">
        <w:t xml:space="preserve"> and TAG </w:t>
      </w:r>
      <w:r w:rsidR="00661902">
        <w:t xml:space="preserve">fatty acid </w:t>
      </w:r>
      <w:r w:rsidR="00D4672C">
        <w:t>profiles, as well as plasma oxylipin profiles, in the</w:t>
      </w:r>
      <w:r w:rsidR="00685029" w:rsidRPr="00930106">
        <w:t xml:space="preserve"> </w:t>
      </w:r>
      <w:r w:rsidR="00081991">
        <w:t>2</w:t>
      </w:r>
      <w:r w:rsidR="00630816">
        <w:t>1</w:t>
      </w:r>
      <w:r w:rsidR="002E33C6">
        <w:t xml:space="preserve"> </w:t>
      </w:r>
      <w:r w:rsidR="00685029" w:rsidRPr="00930106">
        <w:t xml:space="preserve">individuals. </w:t>
      </w:r>
      <w:r w:rsidR="00D82870">
        <w:t xml:space="preserve">All 21 participants had complete plasma samples at both baseline and week 12 and were included in all analyses. </w:t>
      </w:r>
      <w:r w:rsidR="00AC2C18">
        <w:t>Due to the exploratory nature of this study, t</w:t>
      </w:r>
      <w:r w:rsidR="00D82870">
        <w:t xml:space="preserve">he sample size was determined by the availability of sufficient plasma for lipidomic analysis and was not based on </w:t>
      </w:r>
      <w:r w:rsidR="00D82870" w:rsidRPr="00D33440">
        <w:rPr>
          <w:i/>
          <w:iCs/>
        </w:rPr>
        <w:t>a priori</w:t>
      </w:r>
      <w:r w:rsidR="00D82870">
        <w:t xml:space="preserve"> power calculation. </w:t>
      </w:r>
    </w:p>
    <w:p w14:paraId="15A27716" w14:textId="073B4E47" w:rsidR="00D027D5" w:rsidRDefault="00685029" w:rsidP="00914717">
      <w:pPr>
        <w:spacing w:line="480" w:lineRule="auto"/>
        <w:ind w:firstLine="720"/>
        <w:rPr>
          <w:b/>
          <w:bCs/>
        </w:rPr>
      </w:pPr>
      <w:r w:rsidRPr="00930106">
        <w:t>Individuals outside the defined age and anthropometric categories, diagnosed with metabolic disease (e.g.</w:t>
      </w:r>
      <w:r w:rsidR="00856174" w:rsidRPr="00930106">
        <w:t>,</w:t>
      </w:r>
      <w:r w:rsidRPr="00930106">
        <w:t xml:space="preserve"> diabetes, cardiovascular disease) or chronic gastrointestinal problems (e.g.</w:t>
      </w:r>
      <w:r w:rsidR="00856174" w:rsidRPr="00930106">
        <w:t>,</w:t>
      </w:r>
      <w:r w:rsidRPr="00930106">
        <w:t xml:space="preserve"> inflammatory bowel disease, celiac disease, and cancer), using prescribed medicine to control blood lipids, blood pressure</w:t>
      </w:r>
      <w:r w:rsidR="00856174" w:rsidRPr="00930106">
        <w:t>,</w:t>
      </w:r>
      <w:r w:rsidRPr="00930106">
        <w:t xml:space="preserve"> or inflammation, consuming more than one serving of oily fish per week (140 g cooked), taking fish oil or other oil supplements, who were pregnant or </w:t>
      </w:r>
      <w:r w:rsidRPr="00930106">
        <w:lastRenderedPageBreak/>
        <w:t>planning to become pregnant during the study period, or were participating in another clinical trial were not eligible to be included in the study.</w:t>
      </w:r>
      <w:r w:rsidR="00F7345E">
        <w:t xml:space="preserve"> </w:t>
      </w:r>
      <w:r w:rsidR="00FF716D">
        <w:rPr>
          <w:rFonts w:eastAsia="Aptos"/>
          <w:color w:val="000000"/>
          <w:lang w:val="en-GB"/>
        </w:rPr>
        <w:t xml:space="preserve">The </w:t>
      </w:r>
      <w:r w:rsidR="00666263">
        <w:rPr>
          <w:rFonts w:eastAsia="Aptos"/>
          <w:color w:val="000000"/>
          <w:lang w:val="en-GB"/>
        </w:rPr>
        <w:t>flow of participants through the full</w:t>
      </w:r>
      <w:r w:rsidR="00FF716D">
        <w:rPr>
          <w:rFonts w:eastAsia="Aptos"/>
          <w:color w:val="000000"/>
          <w:lang w:val="en-GB"/>
        </w:rPr>
        <w:t xml:space="preserve"> study is depicted in Supplemental Figure 1</w:t>
      </w:r>
      <w:r w:rsidR="00A00344">
        <w:rPr>
          <w:rFonts w:eastAsia="Aptos"/>
          <w:color w:val="000000"/>
          <w:lang w:val="en-GB"/>
        </w:rPr>
        <w:t>,</w:t>
      </w:r>
      <w:r w:rsidR="00FF716D">
        <w:rPr>
          <w:rFonts w:eastAsia="Aptos"/>
          <w:color w:val="000000"/>
          <w:lang w:val="en-GB"/>
        </w:rPr>
        <w:t xml:space="preserve"> </w:t>
      </w:r>
      <w:r w:rsidR="00666263">
        <w:rPr>
          <w:rFonts w:eastAsia="Aptos"/>
          <w:color w:val="000000"/>
          <w:lang w:val="en-GB"/>
        </w:rPr>
        <w:t xml:space="preserve">which also shows the participants involved in the current exploratory study. </w:t>
      </w:r>
      <w:r w:rsidR="00F7345E">
        <w:t xml:space="preserve">The </w:t>
      </w:r>
      <w:r w:rsidR="00666263">
        <w:t xml:space="preserve">full </w:t>
      </w:r>
      <w:r w:rsidR="00F7345E">
        <w:t xml:space="preserve">study was approved by the </w:t>
      </w:r>
      <w:r w:rsidR="002F36CB" w:rsidRPr="002F36CB">
        <w:t>National Research Ethics Service South Central</w:t>
      </w:r>
      <w:r w:rsidR="002F36CB">
        <w:t xml:space="preserve"> </w:t>
      </w:r>
      <w:r w:rsidR="002F36CB" w:rsidRPr="002F36CB">
        <w:t>-</w:t>
      </w:r>
      <w:r w:rsidR="002F36CB">
        <w:t xml:space="preserve"> </w:t>
      </w:r>
      <w:r w:rsidR="002F36CB" w:rsidRPr="002F36CB">
        <w:t>Berkshire Research Ethics Committee (submission no. 11/SC/0384)</w:t>
      </w:r>
      <w:r w:rsidR="006E7B65">
        <w:t xml:space="preserve"> and was </w:t>
      </w:r>
      <w:r w:rsidR="006E7B65" w:rsidRPr="006E7B65">
        <w:t xml:space="preserve">registered </w:t>
      </w:r>
      <w:r w:rsidR="006E7B65">
        <w:t xml:space="preserve">prospectively </w:t>
      </w:r>
      <w:r w:rsidR="006E7B65" w:rsidRPr="006E7B65">
        <w:t xml:space="preserve">at </w:t>
      </w:r>
      <w:r w:rsidR="006E7B65" w:rsidRPr="004D0E29">
        <w:t>www.isrctn.com</w:t>
      </w:r>
      <w:r w:rsidR="006E7B65">
        <w:t xml:space="preserve"> </w:t>
      </w:r>
      <w:r w:rsidR="006E7B65" w:rsidRPr="006E7B65">
        <w:t>(study ID: ISRCTN96712688).</w:t>
      </w:r>
      <w:r w:rsidR="006F35FD">
        <w:t xml:space="preserve"> </w:t>
      </w:r>
    </w:p>
    <w:p w14:paraId="2E683933" w14:textId="46F73B15" w:rsidR="00685029" w:rsidRPr="00930106" w:rsidRDefault="00685029" w:rsidP="00D82870">
      <w:pPr>
        <w:spacing w:line="480" w:lineRule="auto"/>
        <w:rPr>
          <w:b/>
          <w:bCs/>
        </w:rPr>
      </w:pPr>
      <w:r w:rsidRPr="00930106">
        <w:rPr>
          <w:b/>
          <w:bCs/>
        </w:rPr>
        <w:t>Study design</w:t>
      </w:r>
    </w:p>
    <w:p w14:paraId="6F671CE3" w14:textId="4FBDD3AD" w:rsidR="00685029" w:rsidRPr="00930106" w:rsidRDefault="00685029" w:rsidP="00097977">
      <w:pPr>
        <w:spacing w:line="480" w:lineRule="auto"/>
        <w:ind w:firstLine="720"/>
      </w:pPr>
      <w:r w:rsidRPr="00930106">
        <w:t>Fasted blood was collected at week 0 (</w:t>
      </w:r>
      <w:r w:rsidR="00B24B26">
        <w:t>baseline</w:t>
      </w:r>
      <w:r w:rsidRPr="00930106">
        <w:t>) and following 12 weeks</w:t>
      </w:r>
      <w:r w:rsidR="00856174" w:rsidRPr="00930106">
        <w:t xml:space="preserve"> of</w:t>
      </w:r>
      <w:r w:rsidRPr="00930106">
        <w:t xml:space="preserve"> intervention (week-12)</w:t>
      </w:r>
      <w:r w:rsidR="00856174" w:rsidRPr="00930106">
        <w:t>,</w:t>
      </w:r>
      <w:r w:rsidRPr="00930106">
        <w:t xml:space="preserve"> during which participants were randomi</w:t>
      </w:r>
      <w:r w:rsidR="00856174" w:rsidRPr="00930106">
        <w:t>z</w:t>
      </w:r>
      <w:r w:rsidRPr="00930106">
        <w:t>ed to consume either 3 g of EPAX6000 (Epax Norway AS, Alesund, Norway)</w:t>
      </w:r>
      <w:r w:rsidR="00D4672C">
        <w:t>,</w:t>
      </w:r>
      <w:r w:rsidRPr="00930106">
        <w:t xml:space="preserve"> providing 1.1 g EPA + 0.8 g DHA</w:t>
      </w:r>
      <w:r w:rsidR="000C38D8">
        <w:t xml:space="preserve"> </w:t>
      </w:r>
      <w:r w:rsidRPr="00930106">
        <w:t xml:space="preserve">or 3 g of </w:t>
      </w:r>
      <w:r w:rsidR="00C32DF1">
        <w:t>CO</w:t>
      </w:r>
      <w:r w:rsidRPr="00930106">
        <w:t xml:space="preserve"> (providing 1.65 g </w:t>
      </w:r>
      <w:r w:rsidR="003C3F35">
        <w:t>LA</w:t>
      </w:r>
      <w:r w:rsidRPr="00930106">
        <w:t xml:space="preserve"> and 0.81 g oleic acid) per day. </w:t>
      </w:r>
      <w:r w:rsidR="00851ACD">
        <w:t>The EPA</w:t>
      </w:r>
      <w:r w:rsidR="003E5FBC">
        <w:t xml:space="preserve"> and </w:t>
      </w:r>
      <w:r w:rsidR="00851ACD">
        <w:t xml:space="preserve">DHA </w:t>
      </w:r>
      <w:r w:rsidR="003E5FBC">
        <w:t xml:space="preserve">in the </w:t>
      </w:r>
      <w:r w:rsidR="00851ACD">
        <w:t xml:space="preserve">supplement used in this study were in </w:t>
      </w:r>
      <w:r w:rsidR="006C711F">
        <w:t>TAG</w:t>
      </w:r>
      <w:r w:rsidR="00851ACD">
        <w:t xml:space="preserve"> form. </w:t>
      </w:r>
      <w:r w:rsidR="00AB490F">
        <w:t>Ten individuals were in the EPA+DHA group</w:t>
      </w:r>
      <w:r w:rsidR="00155351">
        <w:t>,</w:t>
      </w:r>
      <w:r w:rsidR="002458DB">
        <w:t xml:space="preserve"> and eleven</w:t>
      </w:r>
      <w:r w:rsidR="00AB490F">
        <w:t xml:space="preserve"> were in the </w:t>
      </w:r>
      <w:r w:rsidR="00370218">
        <w:t>CO</w:t>
      </w:r>
      <w:r w:rsidR="00AB490F">
        <w:t xml:space="preserve"> group. </w:t>
      </w:r>
      <w:r w:rsidRPr="00930106">
        <w:t xml:space="preserve">Both oils were provided in one-gram soft gel capsules, and the full composition of </w:t>
      </w:r>
      <w:r w:rsidR="008A5A70">
        <w:t>each</w:t>
      </w:r>
      <w:r w:rsidRPr="00930106">
        <w:t xml:space="preserve"> oil is previously described</w:t>
      </w:r>
      <w:r w:rsidR="00101679">
        <w:t xml:space="preserve"> (</w:t>
      </w:r>
      <w:r w:rsidR="00EB4AA5" w:rsidRPr="00101679">
        <w:rPr>
          <w:rFonts w:eastAsiaTheme="minorHAnsi"/>
          <w14:ligatures w14:val="standardContextual"/>
        </w:rPr>
        <w:t>16,17</w:t>
      </w:r>
      <w:r w:rsidR="00101679">
        <w:t>).</w:t>
      </w:r>
      <w:r w:rsidRPr="00930106">
        <w:t xml:space="preserve"> Treatment group blinding, randomization, and supplement packaging were completed independently by the Research Pharmacy at </w:t>
      </w:r>
      <w:r w:rsidR="008A5A70">
        <w:t xml:space="preserve">University Hospital </w:t>
      </w:r>
      <w:r w:rsidRPr="00930106">
        <w:t xml:space="preserve">Southampton, Southampton, United Kingdom. Blinding was maintained until </w:t>
      </w:r>
      <w:r w:rsidR="00856174" w:rsidRPr="00930106">
        <w:t xml:space="preserve">the </w:t>
      </w:r>
      <w:r w:rsidRPr="00930106">
        <w:t xml:space="preserve">completion of statistical analysis for all primary outcomes. </w:t>
      </w:r>
      <w:r w:rsidR="00044235">
        <w:t>Adverse events (AEs) were reported for the wider original study</w:t>
      </w:r>
      <w:r w:rsidR="00A00344">
        <w:t>,</w:t>
      </w:r>
      <w:r w:rsidR="00044235">
        <w:t xml:space="preserve"> which included </w:t>
      </w:r>
      <w:r w:rsidR="008F354A">
        <w:t xml:space="preserve">repeated </w:t>
      </w:r>
      <w:r w:rsidR="00044235">
        <w:t>adipose tissue biopsy</w:t>
      </w:r>
      <w:r w:rsidR="00332CD5">
        <w:t xml:space="preserve"> (9)</w:t>
      </w:r>
      <w:r w:rsidR="00044235">
        <w:t>.</w:t>
      </w:r>
      <w:r w:rsidR="008047B4">
        <w:t xml:space="preserve"> </w:t>
      </w:r>
      <w:proofErr w:type="gramStart"/>
      <w:r w:rsidR="00D4672C">
        <w:t>The majority of</w:t>
      </w:r>
      <w:proofErr w:type="gramEnd"/>
      <w:r w:rsidR="00D4672C">
        <w:t xml:space="preserve"> the AEs were not related to the study procedures or interventions</w:t>
      </w:r>
      <w:r w:rsidR="00A00344">
        <w:t>,</w:t>
      </w:r>
      <w:r w:rsidR="004C533A">
        <w:t xml:space="preserve"> but</w:t>
      </w:r>
      <w:r w:rsidR="00D4672C">
        <w:t xml:space="preserve"> several were related to bruising and bleeding at the adipose biopsy site, 1 was possibly related to cannulation for blood collection (arm pain at cannulation site), and 2 were possibly related to supplement consumption,</w:t>
      </w:r>
      <w:r w:rsidR="00044235">
        <w:t xml:space="preserve"> which included headache and indigestion</w:t>
      </w:r>
      <w:r w:rsidR="00332CD5">
        <w:t xml:space="preserve"> (9)</w:t>
      </w:r>
      <w:r w:rsidR="00044235">
        <w:t>.</w:t>
      </w:r>
      <w:r w:rsidR="00044235" w:rsidRPr="00044235">
        <w:rPr>
          <w:vertAlign w:val="superscript"/>
        </w:rPr>
        <w:t xml:space="preserve"> </w:t>
      </w:r>
    </w:p>
    <w:p w14:paraId="61CC159E" w14:textId="6A7FE4CF" w:rsidR="00685029" w:rsidRPr="00930106" w:rsidRDefault="00685029" w:rsidP="00A60FAE">
      <w:pPr>
        <w:spacing w:line="480" w:lineRule="auto"/>
        <w:rPr>
          <w:b/>
          <w:bCs/>
        </w:rPr>
      </w:pPr>
      <w:r w:rsidRPr="00930106">
        <w:rPr>
          <w:b/>
          <w:bCs/>
        </w:rPr>
        <w:t>Anthropometry</w:t>
      </w:r>
    </w:p>
    <w:p w14:paraId="6D66307A" w14:textId="1050E4BE" w:rsidR="00685029" w:rsidRPr="00930106" w:rsidRDefault="00685029" w:rsidP="0095771E">
      <w:pPr>
        <w:spacing w:line="480" w:lineRule="auto"/>
        <w:ind w:firstLine="720"/>
        <w:rPr>
          <w:vertAlign w:val="superscript"/>
        </w:rPr>
      </w:pPr>
      <w:r w:rsidRPr="00930106">
        <w:lastRenderedPageBreak/>
        <w:t>Height, weight, body composition, and waist and hip circumference measurements were made using a Seca stadiometer (Seca, Hamburg, Germany Seca), bioelectrical impedance apparatus (TANITA BC-418), and a tape measure</w:t>
      </w:r>
      <w:r w:rsidR="00856174" w:rsidRPr="00930106">
        <w:t>,</w:t>
      </w:r>
      <w:r w:rsidRPr="00930106">
        <w:t xml:space="preserve"> respectively</w:t>
      </w:r>
      <w:r w:rsidR="00856174" w:rsidRPr="00930106">
        <w:t>,</w:t>
      </w:r>
      <w:r w:rsidRPr="00930106">
        <w:t xml:space="preserve"> as previously described</w:t>
      </w:r>
      <w:r w:rsidR="00332CD5">
        <w:t xml:space="preserve"> (16)</w:t>
      </w:r>
      <w:r w:rsidRPr="00930106">
        <w:t>.</w:t>
      </w:r>
      <w:r w:rsidR="00332CD5" w:rsidRPr="00930106">
        <w:rPr>
          <w:vertAlign w:val="superscript"/>
        </w:rPr>
        <w:t xml:space="preserve"> </w:t>
      </w:r>
    </w:p>
    <w:p w14:paraId="045EAF9C" w14:textId="77777777" w:rsidR="00685029" w:rsidRPr="00930106" w:rsidRDefault="00685029" w:rsidP="00A60FAE">
      <w:pPr>
        <w:spacing w:line="480" w:lineRule="auto"/>
        <w:rPr>
          <w:b/>
          <w:bCs/>
        </w:rPr>
      </w:pPr>
      <w:r w:rsidRPr="00930106">
        <w:rPr>
          <w:b/>
          <w:bCs/>
        </w:rPr>
        <w:t>Sample preparation</w:t>
      </w:r>
    </w:p>
    <w:p w14:paraId="3F83ADBE" w14:textId="76F8A0FE" w:rsidR="00685029" w:rsidRPr="00930106" w:rsidRDefault="00E170E6" w:rsidP="0095771E">
      <w:pPr>
        <w:spacing w:line="480" w:lineRule="auto"/>
        <w:ind w:firstLine="720"/>
      </w:pPr>
      <w:r>
        <w:t xml:space="preserve">Approximately </w:t>
      </w:r>
      <w:r w:rsidR="00685029" w:rsidRPr="00930106">
        <w:t xml:space="preserve">5 mL of </w:t>
      </w:r>
      <w:r w:rsidR="00856174" w:rsidRPr="00930106">
        <w:t>heparinized</w:t>
      </w:r>
      <w:r w:rsidR="00685029" w:rsidRPr="00930106">
        <w:t xml:space="preserve"> blood was collected and stored on ice. Plasma was prepared by centrifugation (1900 x g, 10 min, room temperature) and stored at -80°C until analysis. </w:t>
      </w:r>
    </w:p>
    <w:p w14:paraId="39AD2319" w14:textId="59C27598" w:rsidR="00685029" w:rsidRDefault="00685029" w:rsidP="00A60FAE">
      <w:pPr>
        <w:spacing w:line="480" w:lineRule="auto"/>
        <w:rPr>
          <w:b/>
          <w:bCs/>
        </w:rPr>
      </w:pPr>
      <w:r w:rsidRPr="00930106">
        <w:rPr>
          <w:b/>
          <w:bCs/>
        </w:rPr>
        <w:t>Fatty acid composition</w:t>
      </w:r>
      <w:r w:rsidR="00E675FB" w:rsidRPr="00930106">
        <w:rPr>
          <w:b/>
          <w:bCs/>
        </w:rPr>
        <w:t xml:space="preserve"> and oxylipin analyses</w:t>
      </w:r>
    </w:p>
    <w:p w14:paraId="612BC620" w14:textId="50260247" w:rsidR="002A60A8" w:rsidRPr="00370780" w:rsidRDefault="002C36F4" w:rsidP="0082093E">
      <w:pPr>
        <w:spacing w:line="480" w:lineRule="auto"/>
        <w:ind w:firstLine="720"/>
        <w:rPr>
          <w:vertAlign w:val="superscript"/>
        </w:rPr>
      </w:pPr>
      <w:r w:rsidRPr="003F6F2C">
        <w:rPr>
          <w:rFonts w:cstheme="minorHAnsi"/>
        </w:rPr>
        <w:t xml:space="preserve">Approximately 500 uL plasma was used for fatty acid extraction with </w:t>
      </w:r>
      <w:r>
        <w:rPr>
          <w:rFonts w:cstheme="minorHAnsi"/>
        </w:rPr>
        <w:t>the</w:t>
      </w:r>
      <w:r w:rsidRPr="003F6F2C">
        <w:rPr>
          <w:rFonts w:cstheme="minorHAnsi"/>
        </w:rPr>
        <w:t xml:space="preserve"> following internal standards added: 15:0 PC, 21:0 NEFA, 17:0 CE, and 15:0 TAG</w:t>
      </w:r>
      <w:r>
        <w:rPr>
          <w:rFonts w:cstheme="minorHAnsi"/>
        </w:rPr>
        <w:t xml:space="preserve"> </w:t>
      </w:r>
      <w:r w:rsidRPr="00D33440">
        <w:rPr>
          <w:rFonts w:cstheme="minorHAnsi"/>
        </w:rPr>
        <w:t>(Sigma-Aldrich, UK</w:t>
      </w:r>
      <w:r w:rsidRPr="002C36F4">
        <w:rPr>
          <w:rFonts w:cstheme="minorHAnsi"/>
        </w:rPr>
        <w:t>).</w:t>
      </w:r>
      <w:r w:rsidRPr="003F6F2C">
        <w:rPr>
          <w:rFonts w:cstheme="minorHAnsi"/>
        </w:rPr>
        <w:t xml:space="preserve"> </w:t>
      </w:r>
      <w:r w:rsidR="00AA5F32" w:rsidRPr="00370780">
        <w:t>Total lipids were extracted from plasma and separated into PC, NEFA, CE, and TAG using solid phase extraction</w:t>
      </w:r>
      <w:r>
        <w:t xml:space="preserve"> (SPE) with aminopropyl</w:t>
      </w:r>
      <w:r w:rsidR="00272A43">
        <w:t xml:space="preserve"> </w:t>
      </w:r>
      <w:r>
        <w:t>silica columns (Agilent, CA, USA)</w:t>
      </w:r>
      <w:r w:rsidR="00AA5F32" w:rsidRPr="00370780">
        <w:t xml:space="preserve"> as previously described</w:t>
      </w:r>
      <w:r>
        <w:t xml:space="preserve"> with serial elution using chloroform, chloroform:methanol (60:40 v/v), chloroform:methanol:glacial acetic acid (100:2:2 v/v), and hexane</w:t>
      </w:r>
      <w:r w:rsidR="00332CD5">
        <w:t xml:space="preserve"> (17)</w:t>
      </w:r>
      <w:r w:rsidR="00AA5F32" w:rsidRPr="00370780">
        <w:t>. Fatty acid methyl esters were prepared from each lipid fraction and were separated by gas chromatography on a BPX-70 fused silica capillary column (30 m x 0.2 mm x 0.25 μm; manufactured by SGE) in an HP6890 gas chromatograph fitted with a flame ionization detector. Run conditions were as described</w:t>
      </w:r>
      <w:r w:rsidR="0082093E" w:rsidRPr="00370780">
        <w:t xml:space="preserve"> in detail</w:t>
      </w:r>
      <w:r w:rsidR="00AA5F32" w:rsidRPr="00370780">
        <w:t xml:space="preserve"> elsewhere</w:t>
      </w:r>
      <w:r w:rsidR="00332CD5">
        <w:t xml:space="preserve"> (16,17)</w:t>
      </w:r>
      <w:r w:rsidR="00AA5F32" w:rsidRPr="00370780">
        <w:t>.</w:t>
      </w:r>
      <w:r w:rsidR="00332CD5" w:rsidRPr="00370780">
        <w:rPr>
          <w:vertAlign w:val="superscript"/>
        </w:rPr>
        <w:t xml:space="preserve"> </w:t>
      </w:r>
    </w:p>
    <w:p w14:paraId="2E6E106F" w14:textId="35DB442F" w:rsidR="002C36F4" w:rsidRPr="003F6F2C" w:rsidRDefault="002C36F4" w:rsidP="00D33440">
      <w:pPr>
        <w:spacing w:line="480" w:lineRule="auto"/>
        <w:ind w:firstLine="720"/>
        <w:contextualSpacing/>
        <w:jc w:val="both"/>
        <w:rPr>
          <w:rFonts w:cstheme="minorHAnsi"/>
        </w:rPr>
      </w:pPr>
      <w:r w:rsidRPr="003F6F2C">
        <w:rPr>
          <w:rFonts w:cstheme="minorHAnsi"/>
        </w:rPr>
        <w:t xml:space="preserve">Approximately </w:t>
      </w:r>
      <w:r>
        <w:rPr>
          <w:rFonts w:cstheme="minorHAnsi"/>
        </w:rPr>
        <w:t>100</w:t>
      </w:r>
      <w:r w:rsidR="006C711F">
        <w:rPr>
          <w:rFonts w:cstheme="minorHAnsi"/>
        </w:rPr>
        <w:t xml:space="preserve"> μL</w:t>
      </w:r>
      <w:r>
        <w:rPr>
          <w:rFonts w:cstheme="minorHAnsi"/>
        </w:rPr>
        <w:t xml:space="preserve"> of plasma was used for oxylipin extraction as previously described with the following internal standards added:</w:t>
      </w:r>
      <w:r w:rsidRPr="003F6F2C">
        <w:rPr>
          <w:rFonts w:cstheme="minorHAnsi"/>
        </w:rPr>
        <w:t xml:space="preserve"> 5(S)-HETE-d8, 8-iso-PGF2a-d4, 9(S)-HODE-d4, LTB4-d4, LTD4-d5, LTE4-d5, PGE2-d4, PGF2a-d9</w:t>
      </w:r>
      <w:r w:rsidR="006C711F">
        <w:rPr>
          <w:rFonts w:cstheme="minorHAnsi"/>
        </w:rPr>
        <w:t>,</w:t>
      </w:r>
      <w:r w:rsidRPr="003F6F2C">
        <w:rPr>
          <w:rFonts w:cstheme="minorHAnsi"/>
        </w:rPr>
        <w:t xml:space="preserve"> and RvD2-d5 </w:t>
      </w:r>
      <w:r>
        <w:rPr>
          <w:rFonts w:cstheme="minorHAnsi"/>
        </w:rPr>
        <w:t>(</w:t>
      </w:r>
      <w:r w:rsidRPr="003F6F2C">
        <w:rPr>
          <w:rFonts w:cstheme="minorHAnsi"/>
        </w:rPr>
        <w:t>Cayman Chemical</w:t>
      </w:r>
      <w:r>
        <w:rPr>
          <w:rFonts w:cstheme="minorHAnsi"/>
        </w:rPr>
        <w:t xml:space="preserve">, </w:t>
      </w:r>
      <w:r w:rsidRPr="003F6F2C">
        <w:rPr>
          <w:rFonts w:cstheme="minorHAnsi"/>
        </w:rPr>
        <w:t>Michigan, USA)</w:t>
      </w:r>
      <w:r w:rsidR="00332CD5">
        <w:rPr>
          <w:rFonts w:cstheme="minorHAnsi"/>
        </w:rPr>
        <w:t xml:space="preserve"> (18)</w:t>
      </w:r>
      <w:r w:rsidRPr="003F6F2C">
        <w:rPr>
          <w:rFonts w:cstheme="minorHAnsi"/>
        </w:rPr>
        <w:t>.</w:t>
      </w:r>
      <w:r w:rsidR="00370780" w:rsidRPr="00D33440">
        <w:t xml:space="preserve"> </w:t>
      </w:r>
      <w:r>
        <w:rPr>
          <w:rFonts w:cstheme="minorHAnsi"/>
        </w:rPr>
        <w:t xml:space="preserve">In brief, proteins were precipitated using ice cold methanol and supernatants were reconstituted in water:methanol (90;10 v/v) prior to SPE separation. Oxylipins were separated </w:t>
      </w:r>
      <w:r w:rsidRPr="003F6F2C">
        <w:rPr>
          <w:rFonts w:cstheme="minorHAnsi"/>
        </w:rPr>
        <w:lastRenderedPageBreak/>
        <w:t>using Strata-X 33um 30mg/1m</w:t>
      </w:r>
      <w:r w:rsidR="006C711F">
        <w:rPr>
          <w:rFonts w:cstheme="minorHAnsi"/>
        </w:rPr>
        <w:t>L</w:t>
      </w:r>
      <w:r w:rsidRPr="003F6F2C">
        <w:rPr>
          <w:rFonts w:cstheme="minorHAnsi"/>
        </w:rPr>
        <w:t xml:space="preserve"> SPE columns (Phenomenex, Torrance, CA)</w:t>
      </w:r>
      <w:r>
        <w:rPr>
          <w:rFonts w:cstheme="minorHAnsi"/>
        </w:rPr>
        <w:t xml:space="preserve"> pretreated with 10% MeOH, by serial elution using 10% MeOH, methyl formate, and MeOH, drying each eluant under nitrogen then reconstituting in ethanol for analysis</w:t>
      </w:r>
      <w:r w:rsidR="00332CD5">
        <w:rPr>
          <w:rFonts w:cstheme="minorHAnsi"/>
        </w:rPr>
        <w:t xml:space="preserve"> (18)</w:t>
      </w:r>
      <w:r>
        <w:rPr>
          <w:rFonts w:cstheme="minorHAnsi"/>
        </w:rPr>
        <w:t xml:space="preserve">. </w:t>
      </w:r>
      <w:r w:rsidRPr="003F6F2C">
        <w:rPr>
          <w:rFonts w:cstheme="minorHAnsi"/>
        </w:rPr>
        <w:t xml:space="preserve">Quantitation of </w:t>
      </w:r>
      <w:r>
        <w:rPr>
          <w:rFonts w:cstheme="minorHAnsi"/>
        </w:rPr>
        <w:t>oxylipins</w:t>
      </w:r>
      <w:r w:rsidRPr="003F6F2C">
        <w:rPr>
          <w:rFonts w:cstheme="minorHAnsi"/>
        </w:rPr>
        <w:t xml:space="preserve"> was performed using 2-dimensional reverse phase HPLC </w:t>
      </w:r>
      <w:r>
        <w:rPr>
          <w:rFonts w:cstheme="minorHAnsi"/>
        </w:rPr>
        <w:t xml:space="preserve">(Agilent </w:t>
      </w:r>
      <w:r w:rsidRPr="003F6F2C">
        <w:rPr>
          <w:rFonts w:cstheme="minorHAnsi"/>
        </w:rPr>
        <w:t>1260 (Agilent Technologies, CA), tandem mass spectrometry (LC/MS/MS)</w:t>
      </w:r>
      <w:r>
        <w:rPr>
          <w:rFonts w:cstheme="minorHAnsi"/>
        </w:rPr>
        <w:t xml:space="preserve"> (</w:t>
      </w:r>
      <w:r w:rsidRPr="003F6F2C">
        <w:rPr>
          <w:rFonts w:cstheme="minorHAnsi"/>
        </w:rPr>
        <w:t>Agilent 6490</w:t>
      </w:r>
      <w:r>
        <w:rPr>
          <w:rFonts w:cstheme="minorHAnsi"/>
        </w:rPr>
        <w:t>)</w:t>
      </w:r>
      <w:r w:rsidRPr="003F6F2C">
        <w:rPr>
          <w:rFonts w:cstheme="minorHAnsi"/>
        </w:rPr>
        <w:t xml:space="preserve">. </w:t>
      </w:r>
      <w:r>
        <w:rPr>
          <w:rFonts w:cstheme="minorHAnsi"/>
        </w:rPr>
        <w:t>HPLC p</w:t>
      </w:r>
      <w:r w:rsidRPr="003F6F2C">
        <w:rPr>
          <w:rFonts w:cstheme="minorHAnsi"/>
        </w:rPr>
        <w:t>ump 1 buffers</w:t>
      </w:r>
      <w:r>
        <w:rPr>
          <w:rFonts w:cstheme="minorHAnsi"/>
        </w:rPr>
        <w:t xml:space="preserve">: </w:t>
      </w:r>
      <w:r w:rsidRPr="003F6F2C">
        <w:rPr>
          <w:rFonts w:cstheme="minorHAnsi"/>
        </w:rPr>
        <w:t>0.1% formic acid in water (solvent A) and 9:1 v:v acetonitrile:water with 0.1% formic acid (solvent B)</w:t>
      </w:r>
      <w:r>
        <w:rPr>
          <w:rFonts w:cstheme="minorHAnsi"/>
        </w:rPr>
        <w:t>;</w:t>
      </w:r>
      <w:r w:rsidRPr="003F6F2C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3F6F2C">
        <w:rPr>
          <w:rFonts w:cstheme="minorHAnsi"/>
        </w:rPr>
        <w:t>ump 2 buffers</w:t>
      </w:r>
      <w:r>
        <w:rPr>
          <w:rFonts w:cstheme="minorHAnsi"/>
        </w:rPr>
        <w:t>:</w:t>
      </w:r>
      <w:r w:rsidRPr="003F6F2C">
        <w:rPr>
          <w:rFonts w:cstheme="minorHAnsi"/>
        </w:rPr>
        <w:t xml:space="preserve"> 0.01% formic acid in water (solvent C) and 1:1 v:v acetonitrile:isopropanol (solvent D).  </w:t>
      </w:r>
    </w:p>
    <w:p w14:paraId="4F793F5A" w14:textId="72287B44" w:rsidR="002C36F4" w:rsidRPr="003F6F2C" w:rsidRDefault="002C36F4" w:rsidP="002C36F4">
      <w:pPr>
        <w:autoSpaceDE w:val="0"/>
        <w:autoSpaceDN w:val="0"/>
        <w:adjustRightInd w:val="0"/>
        <w:spacing w:line="48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Reconstituted oxylipins were injected on to an </w:t>
      </w:r>
      <w:r w:rsidRPr="003F6F2C">
        <w:rPr>
          <w:rFonts w:cstheme="minorHAnsi"/>
        </w:rPr>
        <w:t>Agilent SB-C18</w:t>
      </w:r>
      <w:r>
        <w:rPr>
          <w:rFonts w:cstheme="minorHAnsi"/>
        </w:rPr>
        <w:t xml:space="preserve"> </w:t>
      </w:r>
      <w:r w:rsidRPr="003F6F2C">
        <w:rPr>
          <w:rFonts w:cstheme="minorHAnsi"/>
        </w:rPr>
        <w:t>2.1X5mm 1.8um trapping column</w:t>
      </w:r>
      <w:r>
        <w:rPr>
          <w:rFonts w:cstheme="minorHAnsi"/>
        </w:rPr>
        <w:t xml:space="preserve"> with the following instrument protocol:</w:t>
      </w:r>
      <w:r w:rsidRPr="003F6F2C">
        <w:rPr>
          <w:rFonts w:cstheme="minorHAnsi"/>
        </w:rPr>
        <w:t xml:space="preserve"> pump 1</w:t>
      </w:r>
      <w:r>
        <w:rPr>
          <w:rFonts w:cstheme="minorHAnsi"/>
        </w:rPr>
        <w:t xml:space="preserve">: </w:t>
      </w:r>
      <w:r w:rsidRPr="003F6F2C">
        <w:rPr>
          <w:rFonts w:cstheme="minorHAnsi"/>
        </w:rPr>
        <w:t>2</w:t>
      </w:r>
      <w:r w:rsidR="006C711F">
        <w:rPr>
          <w:rFonts w:cstheme="minorHAnsi"/>
        </w:rPr>
        <w:t xml:space="preserve"> </w:t>
      </w:r>
      <w:r w:rsidRPr="003F6F2C">
        <w:rPr>
          <w:rFonts w:cstheme="minorHAnsi"/>
        </w:rPr>
        <w:t>m</w:t>
      </w:r>
      <w:r w:rsidR="006C711F">
        <w:rPr>
          <w:rFonts w:cstheme="minorHAnsi"/>
        </w:rPr>
        <w:t>L</w:t>
      </w:r>
      <w:r w:rsidRPr="003F6F2C">
        <w:rPr>
          <w:rFonts w:cstheme="minorHAnsi"/>
        </w:rPr>
        <w:t>/min for 0.5 minutes with 97% solvent A: 3% solvent B</w:t>
      </w:r>
      <w:r>
        <w:rPr>
          <w:rFonts w:cstheme="minorHAnsi"/>
        </w:rPr>
        <w:t xml:space="preserve">, </w:t>
      </w:r>
      <w:r w:rsidRPr="003F6F2C">
        <w:rPr>
          <w:rFonts w:cstheme="minorHAnsi"/>
        </w:rPr>
        <w:t xml:space="preserve">switching valve </w:t>
      </w:r>
      <w:r>
        <w:rPr>
          <w:rFonts w:cstheme="minorHAnsi"/>
        </w:rPr>
        <w:t>changing</w:t>
      </w:r>
      <w:r w:rsidRPr="003F6F2C">
        <w:rPr>
          <w:rFonts w:cstheme="minorHAnsi"/>
        </w:rPr>
        <w:t xml:space="preserve"> to the trapping column from pump 1 to pump 2</w:t>
      </w:r>
      <w:r w:rsidRPr="007E4BC7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3F6F2C">
        <w:rPr>
          <w:rFonts w:cstheme="minorHAnsi"/>
        </w:rPr>
        <w:t xml:space="preserve">t 0.51 minutes.  The flow was reversed and the trapped </w:t>
      </w:r>
      <w:r>
        <w:rPr>
          <w:rFonts w:cstheme="minorHAnsi"/>
        </w:rPr>
        <w:t>oxylipins</w:t>
      </w:r>
      <w:r w:rsidRPr="003F6F2C">
        <w:rPr>
          <w:rFonts w:cstheme="minorHAnsi"/>
        </w:rPr>
        <w:t xml:space="preserve"> were eluted onto an Agilent Eclipse Plus C-18 2.1X150mm 1.8um analytical column using the following gradient at a flow rate of 0.3</w:t>
      </w:r>
      <w:r w:rsidR="006C711F">
        <w:rPr>
          <w:rFonts w:cstheme="minorHAnsi"/>
        </w:rPr>
        <w:t xml:space="preserve"> </w:t>
      </w:r>
      <w:r w:rsidRPr="003F6F2C">
        <w:rPr>
          <w:rFonts w:cstheme="minorHAnsi"/>
        </w:rPr>
        <w:t>m</w:t>
      </w:r>
      <w:r w:rsidR="006C711F">
        <w:rPr>
          <w:rFonts w:cstheme="minorHAnsi"/>
        </w:rPr>
        <w:t>L</w:t>
      </w:r>
      <w:r w:rsidRPr="003F6F2C">
        <w:rPr>
          <w:rFonts w:cstheme="minorHAnsi"/>
        </w:rPr>
        <w:t>/min:  hold at 75% solvent A:25% solvent D from 0-0.5 minutes, then a linear gradient from 25-75% D over 20 minutes followed by an increase from 75-100% D from 20-21 minutes, then holding at 100% D for 2 minutes.  During the analytical gradient pump 1 washed the injection loop with 100% B for 22.5 minutes at 0.2</w:t>
      </w:r>
      <w:r w:rsidR="006C711F">
        <w:rPr>
          <w:rFonts w:cstheme="minorHAnsi"/>
        </w:rPr>
        <w:t xml:space="preserve"> mL</w:t>
      </w:r>
      <w:r w:rsidRPr="003F6F2C">
        <w:rPr>
          <w:rFonts w:cstheme="minorHAnsi"/>
        </w:rPr>
        <w:t>/min</w:t>
      </w:r>
      <w:r w:rsidR="00332CD5">
        <w:rPr>
          <w:rFonts w:cstheme="minorHAnsi"/>
        </w:rPr>
        <w:t xml:space="preserve"> (18)</w:t>
      </w:r>
      <w:r w:rsidRPr="003F6F2C">
        <w:rPr>
          <w:rFonts w:cstheme="minorHAnsi"/>
        </w:rPr>
        <w:t xml:space="preserve">. </w:t>
      </w:r>
    </w:p>
    <w:p w14:paraId="79802F0B" w14:textId="0414946F" w:rsidR="002C36F4" w:rsidRDefault="002C36F4" w:rsidP="002C36F4">
      <w:pPr>
        <w:autoSpaceDE w:val="0"/>
        <w:autoSpaceDN w:val="0"/>
        <w:adjustRightInd w:val="0"/>
        <w:spacing w:line="480" w:lineRule="auto"/>
        <w:ind w:firstLine="720"/>
        <w:contextualSpacing/>
        <w:jc w:val="both"/>
        <w:rPr>
          <w:rFonts w:cstheme="minorHAnsi"/>
        </w:rPr>
      </w:pPr>
      <w:r w:rsidRPr="003F6F2C">
        <w:rPr>
          <w:rFonts w:cstheme="minorHAnsi"/>
        </w:rPr>
        <w:t>Mass spectrometric analysis was performed on an Agilent 6490 triple quadrupole mass spectrometer in negative ionization mode</w:t>
      </w:r>
      <w:r>
        <w:rPr>
          <w:rFonts w:cstheme="minorHAnsi"/>
        </w:rPr>
        <w:t xml:space="preserve"> using the following instrument protocol: </w:t>
      </w:r>
      <w:r w:rsidRPr="003F6F2C">
        <w:rPr>
          <w:rFonts w:cstheme="minorHAnsi"/>
        </w:rPr>
        <w:t>drying gas</w:t>
      </w:r>
      <w:r>
        <w:rPr>
          <w:rFonts w:cstheme="minorHAnsi"/>
        </w:rPr>
        <w:t>:</w:t>
      </w:r>
      <w:r w:rsidRPr="003F6F2C">
        <w:rPr>
          <w:rFonts w:cstheme="minorHAnsi"/>
        </w:rPr>
        <w:t xml:space="preserve"> 250°C at a flow rate of 15</w:t>
      </w:r>
      <w:r w:rsidR="006C711F">
        <w:rPr>
          <w:rFonts w:cstheme="minorHAnsi"/>
        </w:rPr>
        <w:t xml:space="preserve"> mL</w:t>
      </w:r>
      <w:r w:rsidRPr="003F6F2C">
        <w:rPr>
          <w:rFonts w:cstheme="minorHAnsi"/>
        </w:rPr>
        <w:t>/min</w:t>
      </w:r>
      <w:r>
        <w:rPr>
          <w:rFonts w:cstheme="minorHAnsi"/>
        </w:rPr>
        <w:t xml:space="preserve">; </w:t>
      </w:r>
      <w:r w:rsidRPr="003F6F2C">
        <w:rPr>
          <w:rFonts w:cstheme="minorHAnsi"/>
        </w:rPr>
        <w:t>sheath gas</w:t>
      </w:r>
      <w:r>
        <w:rPr>
          <w:rFonts w:cstheme="minorHAnsi"/>
        </w:rPr>
        <w:t xml:space="preserve">: </w:t>
      </w:r>
      <w:r w:rsidRPr="003F6F2C">
        <w:rPr>
          <w:rFonts w:cstheme="minorHAnsi"/>
        </w:rPr>
        <w:t>350°C at 12</w:t>
      </w:r>
      <w:r w:rsidR="006C711F">
        <w:rPr>
          <w:rFonts w:cstheme="minorHAnsi"/>
        </w:rPr>
        <w:t xml:space="preserve"> mL</w:t>
      </w:r>
      <w:r w:rsidRPr="003F6F2C">
        <w:rPr>
          <w:rFonts w:cstheme="minorHAnsi"/>
        </w:rPr>
        <w:t>/min</w:t>
      </w:r>
      <w:r>
        <w:rPr>
          <w:rFonts w:cstheme="minorHAnsi"/>
        </w:rPr>
        <w:t xml:space="preserve">; </w:t>
      </w:r>
      <w:r w:rsidRPr="003F6F2C">
        <w:rPr>
          <w:rFonts w:cstheme="minorHAnsi"/>
        </w:rPr>
        <w:t>nebulizer pressure</w:t>
      </w:r>
      <w:r>
        <w:rPr>
          <w:rFonts w:cstheme="minorHAnsi"/>
        </w:rPr>
        <w:t xml:space="preserve">: </w:t>
      </w:r>
      <w:r w:rsidRPr="003F6F2C">
        <w:rPr>
          <w:rFonts w:cstheme="minorHAnsi"/>
        </w:rPr>
        <w:t>35</w:t>
      </w:r>
      <w:r w:rsidR="006C711F">
        <w:rPr>
          <w:rFonts w:cstheme="minorHAnsi"/>
        </w:rPr>
        <w:t xml:space="preserve"> </w:t>
      </w:r>
      <w:r w:rsidRPr="003F6F2C">
        <w:rPr>
          <w:rFonts w:cstheme="minorHAnsi"/>
        </w:rPr>
        <w:t>psi</w:t>
      </w:r>
      <w:r>
        <w:rPr>
          <w:rFonts w:cstheme="minorHAnsi"/>
        </w:rPr>
        <w:t xml:space="preserve">; </w:t>
      </w:r>
      <w:r w:rsidRPr="003F6F2C">
        <w:rPr>
          <w:rFonts w:cstheme="minorHAnsi"/>
        </w:rPr>
        <w:t>capillary voltage</w:t>
      </w:r>
      <w:r>
        <w:rPr>
          <w:rFonts w:cstheme="minorHAnsi"/>
        </w:rPr>
        <w:t xml:space="preserve">: </w:t>
      </w:r>
      <w:r w:rsidRPr="003F6F2C">
        <w:rPr>
          <w:rFonts w:cstheme="minorHAnsi"/>
        </w:rPr>
        <w:t>3500</w:t>
      </w:r>
      <w:r w:rsidR="006C711F">
        <w:rPr>
          <w:rFonts w:cstheme="minorHAnsi"/>
        </w:rPr>
        <w:t xml:space="preserve"> </w:t>
      </w:r>
      <w:r w:rsidRPr="003F6F2C">
        <w:rPr>
          <w:rFonts w:cstheme="minorHAnsi"/>
        </w:rPr>
        <w:t>V</w:t>
      </w:r>
      <w:r>
        <w:rPr>
          <w:rFonts w:cstheme="minorHAnsi"/>
        </w:rPr>
        <w:t>;</w:t>
      </w:r>
      <w:r w:rsidRPr="003F6F2C">
        <w:rPr>
          <w:rFonts w:cstheme="minorHAnsi"/>
        </w:rPr>
        <w:t xml:space="preserve"> </w:t>
      </w:r>
      <w:r>
        <w:rPr>
          <w:rFonts w:cstheme="minorHAnsi"/>
        </w:rPr>
        <w:t>data acquisition:</w:t>
      </w:r>
      <w:r w:rsidRPr="003F6F2C">
        <w:rPr>
          <w:rFonts w:cstheme="minorHAnsi"/>
        </w:rPr>
        <w:t xml:space="preserve"> dynamic MRM mode using collision energies obtained </w:t>
      </w:r>
      <w:r>
        <w:rPr>
          <w:rFonts w:cstheme="minorHAnsi"/>
        </w:rPr>
        <w:t>by</w:t>
      </w:r>
      <w:r w:rsidRPr="003F6F2C">
        <w:rPr>
          <w:rFonts w:cstheme="minorHAnsi"/>
        </w:rPr>
        <w:t xml:space="preserve"> analysis of authentic standards</w:t>
      </w:r>
      <w:r w:rsidR="00332CD5">
        <w:rPr>
          <w:rFonts w:cstheme="minorHAnsi"/>
        </w:rPr>
        <w:t xml:space="preserve"> (18)</w:t>
      </w:r>
      <w:r>
        <w:rPr>
          <w:rFonts w:cstheme="minorHAnsi"/>
        </w:rPr>
        <w:t>.</w:t>
      </w:r>
      <w:r w:rsidR="00332CD5">
        <w:rPr>
          <w:rFonts w:cstheme="minorHAnsi"/>
        </w:rPr>
        <w:t xml:space="preserve"> </w:t>
      </w:r>
    </w:p>
    <w:p w14:paraId="3E92A58D" w14:textId="77777777" w:rsidR="00E1147A" w:rsidRPr="003F6F2C" w:rsidRDefault="00E1147A" w:rsidP="002C36F4">
      <w:pPr>
        <w:autoSpaceDE w:val="0"/>
        <w:autoSpaceDN w:val="0"/>
        <w:adjustRightInd w:val="0"/>
        <w:spacing w:line="480" w:lineRule="auto"/>
        <w:ind w:firstLine="720"/>
        <w:contextualSpacing/>
        <w:jc w:val="both"/>
        <w:rPr>
          <w:rFonts w:cstheme="minorHAnsi"/>
        </w:rPr>
      </w:pPr>
    </w:p>
    <w:p w14:paraId="5A0F72D0" w14:textId="77777777" w:rsidR="00856174" w:rsidRPr="00930106" w:rsidRDefault="00685029" w:rsidP="00A60FAE">
      <w:pPr>
        <w:spacing w:line="480" w:lineRule="auto"/>
      </w:pPr>
      <w:r w:rsidRPr="00930106">
        <w:rPr>
          <w:b/>
          <w:bCs/>
        </w:rPr>
        <w:t>Statistics</w:t>
      </w:r>
      <w:r w:rsidRPr="00930106">
        <w:t xml:space="preserve"> </w:t>
      </w:r>
    </w:p>
    <w:p w14:paraId="03F421DF" w14:textId="2F7D77EF" w:rsidR="00A012C0" w:rsidRDefault="00A012C0" w:rsidP="00BA1CD5">
      <w:pPr>
        <w:spacing w:line="480" w:lineRule="auto"/>
        <w:ind w:firstLine="720"/>
      </w:pPr>
      <w:r w:rsidRPr="00930106">
        <w:lastRenderedPageBreak/>
        <w:t>All statistical analyses were conducted using GraphPad Prism version 10 for macOS (GraphPad Software, San Diego, CA, USA).</w:t>
      </w:r>
      <w:r w:rsidR="006B3CFF">
        <w:t xml:space="preserve"> Baseline differences between the two groups were evaluated with an unpaired t-test, paired t-tests were used to compare pre- and post-intervention values within each treatment group, and ANCOVA was used to compare values between the EPA+DHA and CO groups at week 12, correcting for baseline value. </w:t>
      </w:r>
      <w:r w:rsidR="000000F5">
        <w:t xml:space="preserve">Paired t-tests were used to compare pre- and post-intervention values within each treatment group, and </w:t>
      </w:r>
      <w:r w:rsidR="00AC2C18">
        <w:t>ANCOVA</w:t>
      </w:r>
      <w:r w:rsidR="000000F5">
        <w:t xml:space="preserve"> w</w:t>
      </w:r>
      <w:r w:rsidR="00AC2C18">
        <w:t>as</w:t>
      </w:r>
      <w:r w:rsidR="000000F5">
        <w:t xml:space="preserve"> used to compare values between the EPA+DHA and CO groups at week 12</w:t>
      </w:r>
      <w:r w:rsidR="00D4672C">
        <w:t>,</w:t>
      </w:r>
      <w:r w:rsidR="00663F70">
        <w:t xml:space="preserve"> correcting for baseline value</w:t>
      </w:r>
      <w:r w:rsidR="000000F5">
        <w:t xml:space="preserve">. </w:t>
      </w:r>
      <w:r w:rsidR="00685029" w:rsidRPr="00930106">
        <w:t>Statistical significance was set at p &lt; 0.05.</w:t>
      </w:r>
      <w:r w:rsidR="00D82870">
        <w:t xml:space="preserve"> </w:t>
      </w:r>
      <w:r w:rsidR="00F81F01">
        <w:t xml:space="preserve">Data normality was assessed using the Kolmogorov-Smirnov tests for all fatty acid and oxylipin analyses. </w:t>
      </w:r>
      <w:r w:rsidR="00DE474C">
        <w:t xml:space="preserve">All statistical assumptions underlying the analyses were evaluated and found to be adequately met. </w:t>
      </w:r>
      <w:r w:rsidR="006E50A3">
        <w:t>Multiple</w:t>
      </w:r>
      <w:r w:rsidR="006E50A3" w:rsidRPr="006E50A3">
        <w:t xml:space="preserve"> comparisons were </w:t>
      </w:r>
      <w:r w:rsidR="006E50A3">
        <w:t>adjusted for using</w:t>
      </w:r>
      <w:r w:rsidR="006E50A3" w:rsidRPr="006E50A3">
        <w:t xml:space="preserve"> Bonferroni correction </w:t>
      </w:r>
      <w:proofErr w:type="gramStart"/>
      <w:r w:rsidR="006E50A3" w:rsidRPr="006E50A3">
        <w:t>in order to</w:t>
      </w:r>
      <w:proofErr w:type="gramEnd"/>
      <w:r w:rsidR="006E50A3" w:rsidRPr="006E50A3">
        <w:t xml:space="preserve"> reduce the likelihood of </w:t>
      </w:r>
      <w:r w:rsidR="00FB081A">
        <w:t>T</w:t>
      </w:r>
      <w:r w:rsidR="006E50A3" w:rsidRPr="006E50A3">
        <w:t>ype</w:t>
      </w:r>
      <w:r w:rsidR="00FB081A">
        <w:t xml:space="preserve"> I e</w:t>
      </w:r>
      <w:r w:rsidR="006E50A3" w:rsidRPr="006E50A3">
        <w:t>rrors</w:t>
      </w:r>
      <w:r w:rsidR="006E50A3">
        <w:t>.</w:t>
      </w:r>
    </w:p>
    <w:p w14:paraId="565FFC3F" w14:textId="77777777" w:rsidR="00E1147A" w:rsidRDefault="00E1147A" w:rsidP="00BA1CD5">
      <w:pPr>
        <w:spacing w:line="480" w:lineRule="auto"/>
        <w:ind w:firstLine="720"/>
        <w:rPr>
          <w:b/>
          <w:bCs/>
          <w:color w:val="000000" w:themeColor="text1"/>
        </w:rPr>
      </w:pPr>
    </w:p>
    <w:p w14:paraId="56F5262A" w14:textId="3D9B2556" w:rsidR="00D36760" w:rsidRDefault="00D36760" w:rsidP="00BE6288">
      <w:pPr>
        <w:spacing w:line="480" w:lineRule="auto"/>
        <w:jc w:val="center"/>
        <w:rPr>
          <w:b/>
          <w:bCs/>
          <w:color w:val="000000" w:themeColor="text1"/>
        </w:rPr>
      </w:pPr>
      <w:r w:rsidRPr="00930106">
        <w:rPr>
          <w:b/>
          <w:bCs/>
          <w:color w:val="000000" w:themeColor="text1"/>
        </w:rPr>
        <w:t>Results</w:t>
      </w:r>
    </w:p>
    <w:p w14:paraId="73485087" w14:textId="08A32FC3" w:rsidR="00276444" w:rsidRPr="002A24A7" w:rsidRDefault="00D82870" w:rsidP="00A60FAE">
      <w:pPr>
        <w:spacing w:line="480" w:lineRule="auto"/>
        <w:rPr>
          <w:b/>
          <w:bCs/>
        </w:rPr>
      </w:pPr>
      <w:r>
        <w:t>Table 1 presents the baseline characteristics of the participants included in this study.</w:t>
      </w:r>
    </w:p>
    <w:p w14:paraId="73058391" w14:textId="362C2A83" w:rsidR="00AC2C18" w:rsidRDefault="006B041D" w:rsidP="00A60FAE">
      <w:pPr>
        <w:spacing w:line="480" w:lineRule="auto"/>
      </w:pPr>
      <w:r>
        <w:t>Unpaired t-tests were conducted to assess baseline differences between the two groups. The groups were similar overall, except for</w:t>
      </w:r>
      <w:r w:rsidR="004F5E93">
        <w:t xml:space="preserve"> </w:t>
      </w:r>
      <w:r>
        <w:t xml:space="preserve">mean </w:t>
      </w:r>
      <w:r w:rsidR="00326189">
        <w:t>age</w:t>
      </w:r>
      <w:r w:rsidR="00766B04">
        <w:t xml:space="preserve">, </w:t>
      </w:r>
      <w:r>
        <w:t>HD</w:t>
      </w:r>
      <w:r w:rsidR="004F5E93">
        <w:t>L</w:t>
      </w:r>
      <w:r w:rsidR="009C448E">
        <w:t>-cholesterol</w:t>
      </w:r>
      <w:r w:rsidR="00766B04">
        <w:t>,</w:t>
      </w:r>
      <w:r w:rsidR="007E7894">
        <w:t xml:space="preserve"> </w:t>
      </w:r>
      <w:r w:rsidR="00766B04">
        <w:t xml:space="preserve">and </w:t>
      </w:r>
      <w:r w:rsidR="00326189">
        <w:t>glucose</w:t>
      </w:r>
      <w:r w:rsidR="00416EE3">
        <w:t>,</w:t>
      </w:r>
      <w:r>
        <w:t xml:space="preserve"> which </w:t>
      </w:r>
      <w:r w:rsidR="00326189">
        <w:t>were all</w:t>
      </w:r>
      <w:r>
        <w:t xml:space="preserve"> significantly</w:t>
      </w:r>
      <w:r w:rsidR="004423D4">
        <w:t xml:space="preserve"> higher in the EPA+DHA group</w:t>
      </w:r>
      <w:r>
        <w:t xml:space="preserve">. </w:t>
      </w:r>
      <w:r w:rsidR="004F5E93">
        <w:t xml:space="preserve">Paired t-tests were used to evaluate within-group changes in weight and BMI between pre- and post-intervention, </w:t>
      </w:r>
      <w:r>
        <w:t>and no statistically significant changes were observed (</w:t>
      </w:r>
      <w:r w:rsidR="00B12231">
        <w:t>EPA+DHA</w:t>
      </w:r>
      <w:r>
        <w:t xml:space="preserve">: weight </w:t>
      </w:r>
      <w:r>
        <w:rPr>
          <w:rStyle w:val="Emphasis"/>
          <w:rFonts w:eastAsiaTheme="majorEastAsia"/>
        </w:rPr>
        <w:t>p</w:t>
      </w:r>
      <w:r>
        <w:t xml:space="preserve"> = 0.08, BMI </w:t>
      </w:r>
      <w:r>
        <w:rPr>
          <w:rStyle w:val="Emphasis"/>
          <w:rFonts w:eastAsiaTheme="majorEastAsia"/>
        </w:rPr>
        <w:t>p</w:t>
      </w:r>
      <w:r>
        <w:t xml:space="preserve"> = 0.08; </w:t>
      </w:r>
      <w:r w:rsidR="00B12231">
        <w:t>CO</w:t>
      </w:r>
      <w:r>
        <w:t xml:space="preserve">: weight </w:t>
      </w:r>
      <w:r>
        <w:rPr>
          <w:rStyle w:val="Emphasis"/>
          <w:rFonts w:eastAsiaTheme="majorEastAsia"/>
        </w:rPr>
        <w:t>p</w:t>
      </w:r>
      <w:r>
        <w:t xml:space="preserve"> = 0.42, BMI </w:t>
      </w:r>
      <w:r>
        <w:rPr>
          <w:rStyle w:val="Emphasis"/>
          <w:rFonts w:eastAsiaTheme="majorEastAsia"/>
        </w:rPr>
        <w:t>p</w:t>
      </w:r>
      <w:r>
        <w:t xml:space="preserve"> = 0.46).</w:t>
      </w:r>
    </w:p>
    <w:p w14:paraId="66809A3B" w14:textId="17E27937" w:rsidR="0029637F" w:rsidRDefault="0029637F" w:rsidP="00BA1CD5">
      <w:pPr>
        <w:pStyle w:val="whitespace-pre-wrap"/>
        <w:spacing w:line="48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Supplementation with EPA+DHA decreases omega-6 PUFAs across lipid pools</w:t>
      </w:r>
    </w:p>
    <w:p w14:paraId="3CC07012" w14:textId="34F40BFF" w:rsidR="0029637F" w:rsidRPr="00A50C82" w:rsidRDefault="0029637F" w:rsidP="0029637F">
      <w:pPr>
        <w:spacing w:line="480" w:lineRule="auto"/>
        <w:ind w:firstLine="720"/>
        <w:rPr>
          <w:color w:val="000000" w:themeColor="text1"/>
        </w:rPr>
      </w:pPr>
      <w:r w:rsidRPr="00EA4572">
        <w:rPr>
          <w:b/>
          <w:bCs/>
          <w:color w:val="000000" w:themeColor="text1"/>
        </w:rPr>
        <w:lastRenderedPageBreak/>
        <w:t>Figure 1</w:t>
      </w:r>
      <w:r w:rsidRPr="00930106">
        <w:rPr>
          <w:color w:val="000000" w:themeColor="text1"/>
        </w:rPr>
        <w:t xml:space="preserve"> shows the </w:t>
      </w:r>
      <w:r>
        <w:rPr>
          <w:color w:val="000000" w:themeColor="text1"/>
        </w:rPr>
        <w:t>percent abundance of key omega-6</w:t>
      </w:r>
      <w:r w:rsidRPr="00AB490F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fatty acid</w:t>
      </w:r>
      <w:r>
        <w:rPr>
          <w:color w:val="000000" w:themeColor="text1"/>
        </w:rPr>
        <w:t>s</w:t>
      </w:r>
      <w:r w:rsidRPr="00930106">
        <w:rPr>
          <w:color w:val="000000" w:themeColor="text1"/>
        </w:rPr>
        <w:t xml:space="preserve"> in the </w:t>
      </w:r>
      <w:r>
        <w:rPr>
          <w:color w:val="000000" w:themeColor="text1"/>
        </w:rPr>
        <w:t>PC, CE, NEFA, and TAG</w:t>
      </w:r>
      <w:r w:rsidRPr="00930106">
        <w:rPr>
          <w:color w:val="000000" w:themeColor="text1"/>
        </w:rPr>
        <w:t xml:space="preserve"> </w:t>
      </w:r>
      <w:r>
        <w:rPr>
          <w:color w:val="000000" w:themeColor="text1"/>
        </w:rPr>
        <w:t>pools (Fig. 1A-H</w:t>
      </w:r>
      <w:r w:rsidRPr="00A50C82">
        <w:rPr>
          <w:color w:val="000000" w:themeColor="text1"/>
        </w:rPr>
        <w:t xml:space="preserve">). In the PC pool, 12 weeks of EPA+DHA supplementation led to significant decreases in omega-6 PUFAs 18:2n-6 (LA) by 0.86-fold (P = 0.002; </w:t>
      </w:r>
      <w:r w:rsidR="00DD5BBA">
        <w:rPr>
          <w:color w:val="000000" w:themeColor="text1"/>
        </w:rPr>
        <w:t xml:space="preserve">CI: [-4.6, -1.4]; </w:t>
      </w:r>
      <w:r w:rsidRPr="00A50C82">
        <w:rPr>
          <w:color w:val="000000" w:themeColor="text1"/>
        </w:rPr>
        <w:t xml:space="preserve">Fig. 1A) and 20:4n-6 (AA) by 0.84-fold (P = 0.012; </w:t>
      </w:r>
      <w:r w:rsidR="00DD5BBA">
        <w:rPr>
          <w:color w:val="000000" w:themeColor="text1"/>
        </w:rPr>
        <w:t xml:space="preserve">CI: [-2.8, -0.4]; </w:t>
      </w:r>
      <w:r w:rsidRPr="00A50C82">
        <w:rPr>
          <w:color w:val="000000" w:themeColor="text1"/>
        </w:rPr>
        <w:t xml:space="preserve">Fig. 1B) when compared to baseline. At week 12, PC 18:2n-6 was significantly higher in the CO group (1.25-fold, P = &lt;0.001; </w:t>
      </w:r>
      <w:r w:rsidR="00DD5BBA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F75C62">
        <w:rPr>
          <w:color w:val="000000" w:themeColor="text1"/>
        </w:rPr>
        <w:t xml:space="preserve"> </w:t>
      </w:r>
      <w:r w:rsidR="00DD5BBA">
        <w:rPr>
          <w:color w:val="000000" w:themeColor="text1"/>
        </w:rPr>
        <w:t>[</w:t>
      </w:r>
      <w:r w:rsidR="00F75C62">
        <w:rPr>
          <w:color w:val="000000" w:themeColor="text1"/>
        </w:rPr>
        <w:t>17.9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20.6</w:t>
      </w:r>
      <w:r w:rsidR="00DD5BBA">
        <w:rPr>
          <w:color w:val="000000" w:themeColor="text1"/>
        </w:rPr>
        <w:t>]</w:t>
      </w:r>
      <w:r w:rsidR="00F75C62">
        <w:rPr>
          <w:color w:val="000000" w:themeColor="text1"/>
        </w:rPr>
        <w:t xml:space="preserve"> &amp; CO [21.8, 24.5]</w:t>
      </w:r>
      <w:r w:rsidR="00DD5BBA">
        <w:rPr>
          <w:color w:val="000000" w:themeColor="text1"/>
        </w:rPr>
        <w:t xml:space="preserve">; </w:t>
      </w:r>
      <w:r w:rsidRPr="00A50C82">
        <w:rPr>
          <w:color w:val="000000" w:themeColor="text1"/>
        </w:rPr>
        <w:t>Fig. 1</w:t>
      </w:r>
      <w:r>
        <w:rPr>
          <w:color w:val="000000" w:themeColor="text1"/>
        </w:rPr>
        <w:t>A</w:t>
      </w:r>
      <w:r w:rsidRPr="00A50C82">
        <w:rPr>
          <w:color w:val="000000" w:themeColor="text1"/>
        </w:rPr>
        <w:t xml:space="preserve">) compared to the EPA+DHA group at week 12. In the CE pool, in </w:t>
      </w:r>
      <w:r>
        <w:rPr>
          <w:color w:val="000000" w:themeColor="text1"/>
        </w:rPr>
        <w:t xml:space="preserve">response to 12 weeks of EPA+DHA supplementation, 18:2n-6 decreased 0.92-fold (P = 0.02; </w:t>
      </w:r>
      <w:r w:rsidR="00DD5BBA">
        <w:rPr>
          <w:color w:val="000000" w:themeColor="text1"/>
        </w:rPr>
        <w:t xml:space="preserve">CI: [-6.9, -0.8]; </w:t>
      </w:r>
      <w:r>
        <w:rPr>
          <w:color w:val="000000" w:themeColor="text1"/>
        </w:rPr>
        <w:t xml:space="preserve">Fig. 1C) when compared to baseline. </w:t>
      </w:r>
      <w:r>
        <w:t>At week 12, CE 18:2n-6 was significantly higher in the CO group (1.16-fold, P = 0.002;</w:t>
      </w:r>
      <w:r w:rsidR="00DD5BBA">
        <w:t xml:space="preserve"> </w:t>
      </w:r>
      <w:r w:rsidR="00DD5BBA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F75C62">
        <w:rPr>
          <w:color w:val="000000" w:themeColor="text1"/>
        </w:rPr>
        <w:t xml:space="preserve"> [43.6, 47.7] &amp; CO [48.7, 53.0]; </w:t>
      </w:r>
      <w:r>
        <w:t>Fig. 1C) compared to the EPA+DHA group at week 12</w:t>
      </w:r>
      <w:r w:rsidRPr="008D0154">
        <w:rPr>
          <w:color w:val="000000" w:themeColor="text1"/>
        </w:rPr>
        <w:t>. In the NEFA pool</w:t>
      </w:r>
      <w:r w:rsidRPr="00A50C82">
        <w:rPr>
          <w:color w:val="000000" w:themeColor="text1"/>
        </w:rPr>
        <w:t>, 12 weeks of EPA+DHA supplementation decreased omega-6 PUFAs 18:2n-6 by 0.91-fold (P = 0.05</w:t>
      </w:r>
      <w:r w:rsidR="00DD5BBA">
        <w:rPr>
          <w:color w:val="000000" w:themeColor="text1"/>
        </w:rPr>
        <w:t xml:space="preserve">; CI: [-2.2, -0.01]; </w:t>
      </w:r>
      <w:r w:rsidRPr="00A50C82">
        <w:rPr>
          <w:color w:val="000000" w:themeColor="text1"/>
        </w:rPr>
        <w:t>Fig. 1E) and C20:4n-6 by 0.70-fold (P = 0.01</w:t>
      </w:r>
      <w:r w:rsidR="00DD5BBA">
        <w:rPr>
          <w:color w:val="000000" w:themeColor="text1"/>
        </w:rPr>
        <w:t>; CI: [-0.9, -0.1];</w:t>
      </w:r>
      <w:r w:rsidRPr="00A50C82">
        <w:rPr>
          <w:color w:val="000000" w:themeColor="text1"/>
        </w:rPr>
        <w:t xml:space="preserve"> Fig. 1F) when compared to baseline. </w:t>
      </w:r>
      <w:r w:rsidRPr="008D0154">
        <w:rPr>
          <w:color w:val="000000" w:themeColor="text1"/>
        </w:rPr>
        <w:t>In the TAG pool</w:t>
      </w:r>
      <w:r>
        <w:rPr>
          <w:color w:val="000000" w:themeColor="text1"/>
        </w:rPr>
        <w:t>, t</w:t>
      </w:r>
      <w:r>
        <w:t xml:space="preserve">he levels of omega-6 PUFAs remained unchanged following EPA+DHA supplementation when compared to baseline. However, </w:t>
      </w:r>
      <w:r>
        <w:rPr>
          <w:color w:val="000000" w:themeColor="text1"/>
        </w:rPr>
        <w:t>TAG 20:4n-6 decreased 0.79-fold after 12 weeks of CO supplementation compared to baseline (P = 0.01</w:t>
      </w:r>
      <w:r w:rsidR="00DD5BBA">
        <w:rPr>
          <w:color w:val="000000" w:themeColor="text1"/>
        </w:rPr>
        <w:t xml:space="preserve">; CI: [-0.8, -0.1]; </w:t>
      </w:r>
      <w:r>
        <w:rPr>
          <w:color w:val="000000" w:themeColor="text1"/>
        </w:rPr>
        <w:t>Fig. 1H)</w:t>
      </w:r>
      <w:r>
        <w:t xml:space="preserve">. </w:t>
      </w:r>
      <w:r w:rsidRPr="009F53A2">
        <w:t xml:space="preserve">No significant changes were observed in PC, CE, and NEFA pool </w:t>
      </w:r>
      <w:r>
        <w:t xml:space="preserve">omega-6 </w:t>
      </w:r>
      <w:r w:rsidRPr="009F53A2">
        <w:t>fatty acid compositions in response to 12-week CO supplementation when compared to baseline (Fig. 1A-1F).</w:t>
      </w:r>
    </w:p>
    <w:p w14:paraId="3D982BBF" w14:textId="77777777" w:rsidR="0029637F" w:rsidRPr="00ED0A56" w:rsidRDefault="0029637F" w:rsidP="0029637F">
      <w:pPr>
        <w:pStyle w:val="whitespace-pre-wrap"/>
        <w:spacing w:line="48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Supplementation with EPA+DHA increases omega-3 PUFAs across lipid pools</w:t>
      </w:r>
    </w:p>
    <w:p w14:paraId="11D303A0" w14:textId="2012E47A" w:rsidR="0029637F" w:rsidRPr="00A50C82" w:rsidRDefault="0029637F" w:rsidP="0029637F">
      <w:pPr>
        <w:spacing w:line="480" w:lineRule="auto"/>
        <w:ind w:firstLine="720"/>
        <w:rPr>
          <w:color w:val="000000" w:themeColor="text1"/>
        </w:rPr>
      </w:pPr>
      <w:r w:rsidRPr="00EA4572">
        <w:rPr>
          <w:b/>
          <w:bCs/>
          <w:color w:val="000000" w:themeColor="text1"/>
        </w:rPr>
        <w:t xml:space="preserve">Figure </w:t>
      </w:r>
      <w:r>
        <w:rPr>
          <w:b/>
          <w:bCs/>
          <w:color w:val="000000" w:themeColor="text1"/>
        </w:rPr>
        <w:t>2</w:t>
      </w:r>
      <w:r w:rsidRPr="00930106">
        <w:rPr>
          <w:color w:val="000000" w:themeColor="text1"/>
        </w:rPr>
        <w:t xml:space="preserve"> shows the </w:t>
      </w:r>
      <w:r>
        <w:rPr>
          <w:color w:val="000000" w:themeColor="text1"/>
        </w:rPr>
        <w:t>percent abundance of key omega-3</w:t>
      </w:r>
      <w:r w:rsidRPr="00AB490F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fatty acid</w:t>
      </w:r>
      <w:r>
        <w:rPr>
          <w:color w:val="000000" w:themeColor="text1"/>
        </w:rPr>
        <w:t>s</w:t>
      </w:r>
      <w:r w:rsidRPr="00930106">
        <w:rPr>
          <w:color w:val="000000" w:themeColor="text1"/>
        </w:rPr>
        <w:t xml:space="preserve"> in the </w:t>
      </w:r>
      <w:r>
        <w:rPr>
          <w:color w:val="000000" w:themeColor="text1"/>
        </w:rPr>
        <w:t>PC and CE pools (Fig. 2A-F)</w:t>
      </w:r>
      <w:r w:rsidRPr="0093010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8D0154">
        <w:rPr>
          <w:color w:val="000000" w:themeColor="text1"/>
        </w:rPr>
        <w:t xml:space="preserve">In the PC pool, </w:t>
      </w:r>
      <w:r>
        <w:rPr>
          <w:color w:val="000000" w:themeColor="text1"/>
        </w:rPr>
        <w:t>in response to 12 weeks of EPA+DHA supplementation, the l</w:t>
      </w:r>
      <w:r w:rsidRPr="00930106">
        <w:rPr>
          <w:color w:val="000000" w:themeColor="text1"/>
        </w:rPr>
        <w:t xml:space="preserve">ong-chain omega-3 </w:t>
      </w:r>
      <w:r>
        <w:rPr>
          <w:color w:val="000000" w:themeColor="text1"/>
        </w:rPr>
        <w:t xml:space="preserve">PUFAs </w:t>
      </w:r>
      <w:r w:rsidRPr="00930106">
        <w:rPr>
          <w:color w:val="000000" w:themeColor="text1"/>
        </w:rPr>
        <w:t>20:5n-3</w:t>
      </w:r>
      <w:r>
        <w:rPr>
          <w:color w:val="000000" w:themeColor="text1"/>
        </w:rPr>
        <w:t xml:space="preserve"> (EPA), </w:t>
      </w:r>
      <w:r w:rsidRPr="00930106">
        <w:rPr>
          <w:color w:val="000000" w:themeColor="text1"/>
        </w:rPr>
        <w:t>22:5n-3</w:t>
      </w:r>
      <w:r>
        <w:rPr>
          <w:color w:val="000000" w:themeColor="text1"/>
        </w:rPr>
        <w:t xml:space="preserve"> (DPA), and </w:t>
      </w:r>
      <w:r w:rsidRPr="00930106">
        <w:rPr>
          <w:color w:val="000000" w:themeColor="text1"/>
        </w:rPr>
        <w:t>22:6n-3</w:t>
      </w:r>
      <w:r>
        <w:rPr>
          <w:color w:val="000000" w:themeColor="text1"/>
        </w:rPr>
        <w:t xml:space="preserve"> (DHA)</w:t>
      </w:r>
      <w:r w:rsidRPr="009301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increased by </w:t>
      </w:r>
      <w:r w:rsidRPr="00930106">
        <w:rPr>
          <w:color w:val="000000" w:themeColor="text1"/>
        </w:rPr>
        <w:lastRenderedPageBreak/>
        <w:t>3.53-fold (</w:t>
      </w:r>
      <w:r>
        <w:rPr>
          <w:color w:val="000000" w:themeColor="text1"/>
        </w:rPr>
        <w:t xml:space="preserve">P = </w:t>
      </w:r>
      <w:r w:rsidRPr="00930106">
        <w:rPr>
          <w:color w:val="000000" w:themeColor="text1"/>
        </w:rPr>
        <w:t>&lt;0.0001</w:t>
      </w:r>
      <w:r>
        <w:rPr>
          <w:color w:val="000000" w:themeColor="text1"/>
        </w:rPr>
        <w:t xml:space="preserve">;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2.2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3.8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>2A</w:t>
      </w:r>
      <w:r w:rsidRPr="00930106">
        <w:rPr>
          <w:color w:val="000000" w:themeColor="text1"/>
        </w:rPr>
        <w:t>), 1.56-fold (P = 0.0007</w:t>
      </w:r>
      <w:r>
        <w:rPr>
          <w:color w:val="000000" w:themeColor="text1"/>
        </w:rPr>
        <w:t xml:space="preserve">;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0.3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0.7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>2B</w:t>
      </w:r>
      <w:r w:rsidRPr="00930106">
        <w:rPr>
          <w:color w:val="000000" w:themeColor="text1"/>
        </w:rPr>
        <w:t>), and 1.70-fold</w:t>
      </w:r>
      <w:r w:rsidRPr="00930106" w:rsidDel="006012D7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(P = &lt;0.0001</w:t>
      </w:r>
      <w:r>
        <w:rPr>
          <w:color w:val="000000" w:themeColor="text1"/>
        </w:rPr>
        <w:t>;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1.9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3.2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 xml:space="preserve">2C), respectively, when compared to baseline. </w:t>
      </w:r>
      <w:r>
        <w:t xml:space="preserve">At week 12, the EPA+DHA group had significantly higher levels of  20:5n-3 (2.58-fold, P = &lt;0.001; </w:t>
      </w:r>
      <w:r w:rsidR="00DD5BBA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F75C62">
        <w:rPr>
          <w:color w:val="000000" w:themeColor="text1"/>
        </w:rPr>
        <w:t xml:space="preserve"> </w:t>
      </w:r>
      <w:r w:rsidR="00DD5BBA">
        <w:rPr>
          <w:color w:val="000000" w:themeColor="text1"/>
        </w:rPr>
        <w:t>[</w:t>
      </w:r>
      <w:r w:rsidR="00A34905">
        <w:rPr>
          <w:color w:val="000000" w:themeColor="text1"/>
        </w:rPr>
        <w:t>3.6</w:t>
      </w:r>
      <w:r w:rsidR="00DD5BBA">
        <w:rPr>
          <w:color w:val="000000" w:themeColor="text1"/>
        </w:rPr>
        <w:t xml:space="preserve">, </w:t>
      </w:r>
      <w:r w:rsidR="00A34905">
        <w:rPr>
          <w:color w:val="000000" w:themeColor="text1"/>
        </w:rPr>
        <w:t>4.7</w:t>
      </w:r>
      <w:r w:rsidR="00DD5BBA">
        <w:rPr>
          <w:color w:val="000000" w:themeColor="text1"/>
        </w:rPr>
        <w:t>]</w:t>
      </w:r>
      <w:r w:rsidR="00F75C62">
        <w:rPr>
          <w:color w:val="000000" w:themeColor="text1"/>
        </w:rPr>
        <w:t xml:space="preserve"> &amp; CO [0.</w:t>
      </w:r>
      <w:r w:rsidR="00A34905">
        <w:rPr>
          <w:color w:val="000000" w:themeColor="text1"/>
        </w:rPr>
        <w:t>8</w:t>
      </w:r>
      <w:r w:rsidR="00F75C62">
        <w:rPr>
          <w:color w:val="000000" w:themeColor="text1"/>
        </w:rPr>
        <w:t xml:space="preserve">, </w:t>
      </w:r>
      <w:r w:rsidR="00A34905">
        <w:rPr>
          <w:color w:val="000000" w:themeColor="text1"/>
        </w:rPr>
        <w:t>2.0</w:t>
      </w:r>
      <w:r w:rsidR="00F75C62">
        <w:rPr>
          <w:color w:val="000000" w:themeColor="text1"/>
        </w:rPr>
        <w:t>]</w:t>
      </w:r>
      <w:r w:rsidR="00DD5BBA">
        <w:rPr>
          <w:color w:val="000000" w:themeColor="text1"/>
        </w:rPr>
        <w:t xml:space="preserve">; </w:t>
      </w:r>
      <w:r>
        <w:t xml:space="preserve">Fig. 1A), 22:5n-3 (1.41-fold, P = &lt;0.001; </w:t>
      </w:r>
      <w:r w:rsidR="00FA5071">
        <w:rPr>
          <w:color w:val="000000" w:themeColor="text1"/>
        </w:rPr>
        <w:t>EPA+DHA</w:t>
      </w:r>
      <w:r w:rsidR="00F75C62">
        <w:rPr>
          <w:color w:val="000000" w:themeColor="text1"/>
        </w:rPr>
        <w:t xml:space="preserve"> [</w:t>
      </w:r>
      <w:r w:rsidR="00A34905">
        <w:rPr>
          <w:color w:val="000000" w:themeColor="text1"/>
        </w:rPr>
        <w:t>1.2,</w:t>
      </w:r>
      <w:r w:rsidR="00F75C62">
        <w:rPr>
          <w:color w:val="000000" w:themeColor="text1"/>
        </w:rPr>
        <w:t xml:space="preserve"> </w:t>
      </w:r>
      <w:r w:rsidR="00A34905">
        <w:rPr>
          <w:color w:val="000000" w:themeColor="text1"/>
        </w:rPr>
        <w:t>1.6</w:t>
      </w:r>
      <w:r w:rsidR="00F75C62">
        <w:rPr>
          <w:color w:val="000000" w:themeColor="text1"/>
        </w:rPr>
        <w:t>] &amp; CO [0</w:t>
      </w:r>
      <w:r w:rsidR="00A34905">
        <w:rPr>
          <w:color w:val="000000" w:themeColor="text1"/>
        </w:rPr>
        <w:t>.8</w:t>
      </w:r>
      <w:r w:rsidR="00F75C62">
        <w:rPr>
          <w:color w:val="000000" w:themeColor="text1"/>
        </w:rPr>
        <w:t xml:space="preserve">, </w:t>
      </w:r>
      <w:r w:rsidR="00A34905">
        <w:rPr>
          <w:color w:val="000000" w:themeColor="text1"/>
        </w:rPr>
        <w:t>1.1</w:t>
      </w:r>
      <w:r w:rsidR="00F75C62">
        <w:rPr>
          <w:color w:val="000000" w:themeColor="text1"/>
        </w:rPr>
        <w:t xml:space="preserve">]; </w:t>
      </w:r>
      <w:r>
        <w:t>Fig. 1B), and 22:6n-3 (1.65-fold, P = &lt;0.001;</w:t>
      </w:r>
      <w:r w:rsidR="00DD5BBA">
        <w:t xml:space="preserve"> </w:t>
      </w:r>
      <w:r w:rsidR="00DD5BBA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F75C62">
        <w:rPr>
          <w:color w:val="000000" w:themeColor="text1"/>
        </w:rPr>
        <w:t xml:space="preserve"> </w:t>
      </w:r>
      <w:r w:rsidR="00DD5BBA">
        <w:rPr>
          <w:color w:val="000000" w:themeColor="text1"/>
        </w:rPr>
        <w:t>[</w:t>
      </w:r>
      <w:r w:rsidR="00A34905">
        <w:rPr>
          <w:color w:val="000000" w:themeColor="text1"/>
        </w:rPr>
        <w:t>5.7</w:t>
      </w:r>
      <w:r w:rsidR="00DD5BBA">
        <w:rPr>
          <w:color w:val="000000" w:themeColor="text1"/>
        </w:rPr>
        <w:t xml:space="preserve">, </w:t>
      </w:r>
      <w:r w:rsidR="00A34905">
        <w:rPr>
          <w:color w:val="000000" w:themeColor="text1"/>
        </w:rPr>
        <w:t>6.6</w:t>
      </w:r>
      <w:r w:rsidR="00DD5BBA">
        <w:rPr>
          <w:color w:val="000000" w:themeColor="text1"/>
        </w:rPr>
        <w:t>]</w:t>
      </w:r>
      <w:r w:rsidR="00F75C62">
        <w:rPr>
          <w:color w:val="000000" w:themeColor="text1"/>
        </w:rPr>
        <w:t xml:space="preserve"> &amp; CO [</w:t>
      </w:r>
      <w:r w:rsidR="00A34905">
        <w:rPr>
          <w:color w:val="000000" w:themeColor="text1"/>
        </w:rPr>
        <w:t>3.0</w:t>
      </w:r>
      <w:r w:rsidR="00F75C62">
        <w:rPr>
          <w:color w:val="000000" w:themeColor="text1"/>
        </w:rPr>
        <w:t xml:space="preserve">, </w:t>
      </w:r>
      <w:r w:rsidR="00A34905">
        <w:rPr>
          <w:color w:val="000000" w:themeColor="text1"/>
        </w:rPr>
        <w:t>3.9</w:t>
      </w:r>
      <w:r w:rsidR="00F75C62">
        <w:rPr>
          <w:color w:val="000000" w:themeColor="text1"/>
        </w:rPr>
        <w:t>]</w:t>
      </w:r>
      <w:r w:rsidR="00DD5BBA">
        <w:rPr>
          <w:color w:val="000000" w:themeColor="text1"/>
        </w:rPr>
        <w:t xml:space="preserve">; </w:t>
      </w:r>
      <w:r>
        <w:t xml:space="preserve">Fig. 1C) compared to the CO group at week 12. </w:t>
      </w:r>
      <w:r w:rsidRPr="008D0154">
        <w:rPr>
          <w:color w:val="000000" w:themeColor="text1"/>
        </w:rPr>
        <w:t>In the CE pool,</w:t>
      </w:r>
      <w:r w:rsidRPr="001C1DF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response to 12 weeks of EPA+DHA supplementation, 20:5n-3 and 22:6n-3 increased 3.81-fold </w:t>
      </w:r>
      <w:r w:rsidRPr="00930106">
        <w:rPr>
          <w:color w:val="000000" w:themeColor="text1"/>
        </w:rPr>
        <w:t>(P = &lt;0.0001</w:t>
      </w:r>
      <w:r>
        <w:rPr>
          <w:color w:val="000000" w:themeColor="text1"/>
        </w:rPr>
        <w:t>;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1.6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2.9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>2D</w:t>
      </w:r>
      <w:r w:rsidRPr="00930106">
        <w:rPr>
          <w:color w:val="000000" w:themeColor="text1"/>
        </w:rPr>
        <w:t>)</w:t>
      </w:r>
      <w:r>
        <w:rPr>
          <w:color w:val="000000" w:themeColor="text1"/>
        </w:rPr>
        <w:t xml:space="preserve"> and 1.40-fold (P = 0.03;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0.02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0.5</w:t>
      </w:r>
      <w:r w:rsidR="00DD5BBA">
        <w:rPr>
          <w:color w:val="000000" w:themeColor="text1"/>
        </w:rPr>
        <w:t xml:space="preserve">]; </w:t>
      </w:r>
      <w:r>
        <w:rPr>
          <w:color w:val="000000" w:themeColor="text1"/>
        </w:rPr>
        <w:t xml:space="preserve">Fig. 2F), </w:t>
      </w:r>
      <w:r>
        <w:t>respectively, when compared to baseline. At week 12, significantly higher levels of CE 20:5n-3 (2.24-fold, P = &lt;0.001;</w:t>
      </w:r>
      <w:r w:rsidR="00DD5BBA" w:rsidRPr="00DD5BBA">
        <w:rPr>
          <w:color w:val="000000" w:themeColor="text1"/>
        </w:rPr>
        <w:t xml:space="preserve"> </w:t>
      </w:r>
      <w:r w:rsidR="00DD5BBA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A34905">
        <w:rPr>
          <w:color w:val="000000" w:themeColor="text1"/>
        </w:rPr>
        <w:t xml:space="preserve"> [2.7, 3.9] &amp; CO [0.3, 1.6]; </w:t>
      </w:r>
      <w:r>
        <w:t>Fig. 2D) and 22:6n-3 (1.55-fold, P = 0.01;</w:t>
      </w:r>
      <w:r w:rsidR="00DD5BBA">
        <w:t xml:space="preserve"> </w:t>
      </w:r>
      <w:r w:rsidR="00DD5BBA">
        <w:rPr>
          <w:color w:val="000000" w:themeColor="text1"/>
        </w:rPr>
        <w:t>CI:</w:t>
      </w:r>
      <w:r w:rsidR="00A34905">
        <w:rPr>
          <w:color w:val="000000" w:themeColor="text1"/>
        </w:rPr>
        <w:t xml:space="preserve"> </w:t>
      </w:r>
      <w:r w:rsidR="00FA5071">
        <w:rPr>
          <w:color w:val="000000" w:themeColor="text1"/>
        </w:rPr>
        <w:t>EPA+DHA</w:t>
      </w:r>
      <w:r w:rsidR="00A34905">
        <w:rPr>
          <w:color w:val="000000" w:themeColor="text1"/>
        </w:rPr>
        <w:t xml:space="preserve"> [0.06, 0.2] &amp; CO [0.1, 0.2]; </w:t>
      </w:r>
      <w:r>
        <w:t xml:space="preserve">Fig. 2F) were observed in the EPA+DHA group compared to the CO group at week 12. </w:t>
      </w:r>
      <w:r w:rsidRPr="00800351">
        <w:t>No significant changes were observed in the PC or CE pool omega-</w:t>
      </w:r>
      <w:r>
        <w:t>3</w:t>
      </w:r>
      <w:r w:rsidRPr="00800351">
        <w:t xml:space="preserve"> fatty acid compositions in response to 12 weeks of CO supplementation when compared to baseline (Fig. 2A-2F).</w:t>
      </w:r>
      <w:r>
        <w:t xml:space="preserve"> </w:t>
      </w:r>
    </w:p>
    <w:p w14:paraId="673EBE4E" w14:textId="20C9D272" w:rsidR="0029637F" w:rsidRDefault="0029637F" w:rsidP="0029637F">
      <w:pPr>
        <w:spacing w:line="480" w:lineRule="auto"/>
        <w:ind w:firstLine="720"/>
      </w:pPr>
      <w:r w:rsidRPr="00AB402D">
        <w:rPr>
          <w:b/>
          <w:bCs/>
        </w:rPr>
        <w:t xml:space="preserve">Supplemental Figure </w:t>
      </w:r>
      <w:r>
        <w:rPr>
          <w:b/>
          <w:bCs/>
        </w:rPr>
        <w:t>2</w:t>
      </w:r>
      <w:r>
        <w:t xml:space="preserve"> presents the saturated and monounsaturated fatty acids in the PC and CE pools (Supp Fig. 2A-H). For the PC pool, </w:t>
      </w:r>
      <w:r>
        <w:rPr>
          <w:color w:val="000000" w:themeColor="text1"/>
        </w:rPr>
        <w:t xml:space="preserve">after 12 weeks of EPA+DHA supplementation, 18:1n-9 decreased 0.94-fold (P = 0.040,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-1.3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-0.06</w:t>
      </w:r>
      <w:r w:rsidR="00DD5BBA">
        <w:rPr>
          <w:color w:val="000000" w:themeColor="text1"/>
        </w:rPr>
        <w:t xml:space="preserve">]; </w:t>
      </w:r>
      <w:r>
        <w:rPr>
          <w:color w:val="000000" w:themeColor="text1"/>
        </w:rPr>
        <w:t xml:space="preserve">Supp Fig. 2D) when compared to baseline. All other PC saturated and monounsaturated fatty acids remained unchanged. </w:t>
      </w:r>
      <w:r>
        <w:t xml:space="preserve">For the CE pool, </w:t>
      </w:r>
      <w:r>
        <w:rPr>
          <w:color w:val="000000" w:themeColor="text1"/>
        </w:rPr>
        <w:t>after 12 weeks of EPA+DHA supplementation, 16:0 increased by 1.08-fold (P = 0.004,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0.4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1.6</w:t>
      </w:r>
      <w:r w:rsidR="00DD5BBA">
        <w:rPr>
          <w:color w:val="000000" w:themeColor="text1"/>
        </w:rPr>
        <w:t xml:space="preserve">]; </w:t>
      </w:r>
      <w:r>
        <w:rPr>
          <w:color w:val="000000" w:themeColor="text1"/>
        </w:rPr>
        <w:t>Supp Fig. 2F). Additionally, at week 12 (post-supplementation), the EPA+DHA group had significantly higher levels of CE 16:0 compared to the CO group at week 12 (1.12-fold, P = 0.002,</w:t>
      </w:r>
      <w:r w:rsidR="00DD5BBA">
        <w:rPr>
          <w:color w:val="000000" w:themeColor="text1"/>
        </w:rPr>
        <w:t xml:space="preserve"> </w:t>
      </w:r>
      <w:r w:rsidR="00A34905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A34905">
        <w:rPr>
          <w:color w:val="000000" w:themeColor="text1"/>
        </w:rPr>
        <w:t xml:space="preserve"> [</w:t>
      </w:r>
      <w:r w:rsidR="00D57FB3">
        <w:rPr>
          <w:color w:val="000000" w:themeColor="text1"/>
        </w:rPr>
        <w:t>12.9</w:t>
      </w:r>
      <w:r w:rsidR="00A34905">
        <w:rPr>
          <w:color w:val="000000" w:themeColor="text1"/>
        </w:rPr>
        <w:t xml:space="preserve">, </w:t>
      </w:r>
      <w:r w:rsidR="00D57FB3">
        <w:rPr>
          <w:color w:val="000000" w:themeColor="text1"/>
        </w:rPr>
        <w:t>14.2</w:t>
      </w:r>
      <w:r w:rsidR="00A34905">
        <w:rPr>
          <w:color w:val="000000" w:themeColor="text1"/>
        </w:rPr>
        <w:t>] &amp; CO [</w:t>
      </w:r>
      <w:r w:rsidR="00D57FB3">
        <w:rPr>
          <w:color w:val="000000" w:themeColor="text1"/>
        </w:rPr>
        <w:t>11.2</w:t>
      </w:r>
      <w:r w:rsidR="00A34905">
        <w:rPr>
          <w:color w:val="000000" w:themeColor="text1"/>
        </w:rPr>
        <w:t xml:space="preserve">, </w:t>
      </w:r>
      <w:r w:rsidR="00D57FB3">
        <w:rPr>
          <w:color w:val="000000" w:themeColor="text1"/>
        </w:rPr>
        <w:t>12.5</w:t>
      </w:r>
      <w:r w:rsidR="00A34905">
        <w:rPr>
          <w:color w:val="000000" w:themeColor="text1"/>
        </w:rPr>
        <w:t xml:space="preserve">]; </w:t>
      </w:r>
      <w:r>
        <w:rPr>
          <w:color w:val="000000" w:themeColor="text1"/>
        </w:rPr>
        <w:t>Supp Fig. 2F). All other saturated and monounsaturated fatty acids remained unchanged.</w:t>
      </w:r>
    </w:p>
    <w:p w14:paraId="6D17A47A" w14:textId="4C474184" w:rsidR="0029637F" w:rsidRPr="00A50C82" w:rsidRDefault="0029637F" w:rsidP="0029637F">
      <w:pPr>
        <w:spacing w:line="480" w:lineRule="auto"/>
        <w:ind w:firstLine="720"/>
        <w:rPr>
          <w:color w:val="000000" w:themeColor="text1"/>
        </w:rPr>
      </w:pPr>
      <w:r w:rsidRPr="00EA4572">
        <w:rPr>
          <w:b/>
          <w:bCs/>
          <w:color w:val="000000" w:themeColor="text1"/>
        </w:rPr>
        <w:lastRenderedPageBreak/>
        <w:t xml:space="preserve">Figure </w:t>
      </w:r>
      <w:r>
        <w:rPr>
          <w:b/>
          <w:bCs/>
          <w:color w:val="000000" w:themeColor="text1"/>
        </w:rPr>
        <w:t>3</w:t>
      </w:r>
      <w:r w:rsidRPr="00930106">
        <w:rPr>
          <w:color w:val="000000" w:themeColor="text1"/>
        </w:rPr>
        <w:t xml:space="preserve"> shows the </w:t>
      </w:r>
      <w:r>
        <w:rPr>
          <w:color w:val="000000" w:themeColor="text1"/>
        </w:rPr>
        <w:t>percent abundance of key omega-3</w:t>
      </w:r>
      <w:r w:rsidRPr="00AB490F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fatty acid</w:t>
      </w:r>
      <w:r>
        <w:rPr>
          <w:color w:val="000000" w:themeColor="text1"/>
        </w:rPr>
        <w:t>s</w:t>
      </w:r>
      <w:r w:rsidRPr="00930106">
        <w:rPr>
          <w:color w:val="000000" w:themeColor="text1"/>
        </w:rPr>
        <w:t xml:space="preserve"> in the </w:t>
      </w:r>
      <w:r>
        <w:rPr>
          <w:color w:val="000000" w:themeColor="text1"/>
        </w:rPr>
        <w:t>NEFA and TAG pools (Fig. 3A-F</w:t>
      </w:r>
      <w:r w:rsidRPr="001C1DF6">
        <w:rPr>
          <w:color w:val="000000" w:themeColor="text1"/>
        </w:rPr>
        <w:t xml:space="preserve">). </w:t>
      </w:r>
      <w:r w:rsidRPr="008D0154">
        <w:rPr>
          <w:color w:val="000000" w:themeColor="text1"/>
        </w:rPr>
        <w:t xml:space="preserve">In the NEFA pool, </w:t>
      </w:r>
      <w:r w:rsidRPr="001C1DF6">
        <w:rPr>
          <w:color w:val="000000" w:themeColor="text1"/>
        </w:rPr>
        <w:t>in response to 12 weeks of EPA+DHA supplementation, 20:5n-3 significantly increased 2.34-fold (P = 0.0002;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0.2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0.5</w:t>
      </w:r>
      <w:r w:rsidR="00DD5BBA">
        <w:rPr>
          <w:color w:val="000000" w:themeColor="text1"/>
        </w:rPr>
        <w:t xml:space="preserve">]; </w:t>
      </w:r>
      <w:r w:rsidRPr="001C1DF6">
        <w:rPr>
          <w:color w:val="000000" w:themeColor="text1"/>
        </w:rPr>
        <w:t xml:space="preserve">Fig. 3A) when compared to baseline. </w:t>
      </w:r>
      <w:r w:rsidRPr="008D0154">
        <w:rPr>
          <w:color w:val="000000" w:themeColor="text1"/>
        </w:rPr>
        <w:t xml:space="preserve">At week 12, NEFA 22:6n-3 (2.66-fold, P = 0.02; </w:t>
      </w:r>
      <w:r w:rsidR="00A34905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A34905">
        <w:rPr>
          <w:color w:val="000000" w:themeColor="text1"/>
        </w:rPr>
        <w:t xml:space="preserve"> [0.4, 0.6] &amp; CO [0.2, 0.4]; </w:t>
      </w:r>
      <w:r w:rsidRPr="008D0154">
        <w:rPr>
          <w:color w:val="000000" w:themeColor="text1"/>
        </w:rPr>
        <w:t xml:space="preserve">Fig. 3C) levels were significantly higher in the EPA+DHA group in comparison to the CO group at week 12. In the TAG pool, in response to 12 weeks of EPA+DHA, 20:5n-3 and 22:6n-3 increased </w:t>
      </w:r>
      <w:r w:rsidRPr="001C1DF6">
        <w:rPr>
          <w:color w:val="000000" w:themeColor="text1"/>
        </w:rPr>
        <w:t xml:space="preserve">by 4.27-fold (P = 0.0004;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1.1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2.7</w:t>
      </w:r>
      <w:r w:rsidR="00DD5BBA">
        <w:rPr>
          <w:color w:val="000000" w:themeColor="text1"/>
        </w:rPr>
        <w:t xml:space="preserve">]; </w:t>
      </w:r>
      <w:r w:rsidRPr="001C1DF6">
        <w:rPr>
          <w:color w:val="000000" w:themeColor="text1"/>
        </w:rPr>
        <w:t>Fig. 3D</w:t>
      </w:r>
      <w:r>
        <w:rPr>
          <w:color w:val="000000" w:themeColor="text1"/>
        </w:rPr>
        <w:t xml:space="preserve">) and </w:t>
      </w:r>
      <w:r w:rsidRPr="00930106">
        <w:rPr>
          <w:color w:val="000000" w:themeColor="text1"/>
        </w:rPr>
        <w:t>3.34-fold (P = &lt;0.0001</w:t>
      </w:r>
      <w:r>
        <w:rPr>
          <w:color w:val="000000" w:themeColor="text1"/>
        </w:rPr>
        <w:t>;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1.2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2.4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>3F</w:t>
      </w:r>
      <w:r w:rsidRPr="00930106">
        <w:rPr>
          <w:color w:val="000000" w:themeColor="text1"/>
        </w:rPr>
        <w:t>)</w:t>
      </w:r>
      <w:r>
        <w:rPr>
          <w:color w:val="000000" w:themeColor="text1"/>
        </w:rPr>
        <w:t xml:space="preserve">, respectively, when compared to baseline. </w:t>
      </w:r>
      <w:r>
        <w:t>At week 12 (post-supplementation), the EPA+DHA group had significantly higher levels of 20:5n-3 (3.15-fold,</w:t>
      </w:r>
      <w:r w:rsidR="00DD5BBA">
        <w:t xml:space="preserve"> </w:t>
      </w:r>
      <w:r>
        <w:t xml:space="preserve">P = &lt;0.001; </w:t>
      </w:r>
      <w:r w:rsidR="000C3AE7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0C3AE7">
        <w:rPr>
          <w:color w:val="000000" w:themeColor="text1"/>
        </w:rPr>
        <w:t xml:space="preserve"> [2.1, 3.0] &amp; CO [0.03, 1.0]; </w:t>
      </w:r>
      <w:r>
        <w:t>Fig. 3D), 22:5n-3 (1.57-fold, P = &lt;0.001;</w:t>
      </w:r>
      <w:r w:rsidR="00DD5BBA">
        <w:t xml:space="preserve"> </w:t>
      </w:r>
      <w:r w:rsidR="00A34905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A34905">
        <w:rPr>
          <w:color w:val="000000" w:themeColor="text1"/>
        </w:rPr>
        <w:t xml:space="preserve"> [0.7, 0.9] &amp; CO [0.3, 0.6]; </w:t>
      </w:r>
      <w:r>
        <w:t>Fig. 3E), and 22:6n-3 (2.66-fold, P = &lt;0.001;</w:t>
      </w:r>
      <w:r w:rsidR="00DD5BBA">
        <w:t xml:space="preserve"> </w:t>
      </w:r>
      <w:r w:rsidR="00A34905">
        <w:rPr>
          <w:color w:val="000000" w:themeColor="text1"/>
        </w:rPr>
        <w:t xml:space="preserve">CI: </w:t>
      </w:r>
      <w:r w:rsidR="00FA5071">
        <w:rPr>
          <w:color w:val="000000" w:themeColor="text1"/>
        </w:rPr>
        <w:t>EPA+DHA</w:t>
      </w:r>
      <w:r w:rsidR="00A34905">
        <w:rPr>
          <w:color w:val="000000" w:themeColor="text1"/>
        </w:rPr>
        <w:t xml:space="preserve"> [2.2, 3.1] &amp; CO [0.4, 1.2]; </w:t>
      </w:r>
      <w:r>
        <w:t xml:space="preserve">Fig. 3F) compared to the CO group at week 12. </w:t>
      </w:r>
      <w:r w:rsidRPr="00800351">
        <w:t xml:space="preserve">No significant changes were observed in the </w:t>
      </w:r>
      <w:r>
        <w:t xml:space="preserve">NEFA and TAG </w:t>
      </w:r>
      <w:r w:rsidRPr="00800351">
        <w:t>pool omega-3 fatty acid compositions in response to 12 weeks of CO supplementation when compared to baseline</w:t>
      </w:r>
      <w:r>
        <w:t>.</w:t>
      </w:r>
    </w:p>
    <w:p w14:paraId="4B0B0A8C" w14:textId="5CFE9F63" w:rsidR="00E1147A" w:rsidRDefault="0029637F" w:rsidP="00E1147A">
      <w:pPr>
        <w:spacing w:line="480" w:lineRule="auto"/>
        <w:ind w:firstLine="720"/>
        <w:rPr>
          <w:color w:val="000000" w:themeColor="text1"/>
        </w:rPr>
      </w:pPr>
      <w:r w:rsidRPr="00AB402D">
        <w:rPr>
          <w:b/>
          <w:bCs/>
        </w:rPr>
        <w:t xml:space="preserve">Supplemental Figure </w:t>
      </w:r>
      <w:r>
        <w:rPr>
          <w:b/>
          <w:bCs/>
        </w:rPr>
        <w:t>3</w:t>
      </w:r>
      <w:r>
        <w:t xml:space="preserve"> presents the saturated and monounsaturated fatty acids in the NEFA and TAG pool (Supp Fig. 3A-H). All the NEFA saturated and monounsaturated fatty acids remained unchanged. However, in the TAG pool, </w:t>
      </w:r>
      <w:r>
        <w:rPr>
          <w:color w:val="000000" w:themeColor="text1"/>
        </w:rPr>
        <w:t>after 12 weeks of EPA+DHA supplementation, 18:0 increased by 1.20-fold (P = 0.03,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0.1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1.4</w:t>
      </w:r>
      <w:r w:rsidR="00DD5BBA">
        <w:rPr>
          <w:color w:val="000000" w:themeColor="text1"/>
        </w:rPr>
        <w:t xml:space="preserve">]; </w:t>
      </w:r>
      <w:r>
        <w:rPr>
          <w:color w:val="000000" w:themeColor="text1"/>
        </w:rPr>
        <w:t xml:space="preserve">Supp Fig. 3G) while 18:1n-9 decreased by 0.90-fold (P = 0.04,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-7.2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-0.02</w:t>
      </w:r>
      <w:r w:rsidR="00DD5BBA">
        <w:rPr>
          <w:color w:val="000000" w:themeColor="text1"/>
        </w:rPr>
        <w:t xml:space="preserve">]; </w:t>
      </w:r>
      <w:r>
        <w:rPr>
          <w:color w:val="000000" w:themeColor="text1"/>
        </w:rPr>
        <w:t>Supp Fig. 3H) when compared to baseline.</w:t>
      </w:r>
      <w:r w:rsidRPr="00BE4514">
        <w:rPr>
          <w:color w:val="000000" w:themeColor="text1"/>
        </w:rPr>
        <w:t xml:space="preserve"> </w:t>
      </w:r>
      <w:r>
        <w:rPr>
          <w:color w:val="000000" w:themeColor="text1"/>
        </w:rPr>
        <w:t>All other saturated and monounsaturated fatty acids remained unchanged.</w:t>
      </w:r>
    </w:p>
    <w:p w14:paraId="04ECAF15" w14:textId="77777777" w:rsidR="00E1147A" w:rsidRPr="00E1147A" w:rsidRDefault="00E1147A" w:rsidP="00E1147A">
      <w:pPr>
        <w:spacing w:line="480" w:lineRule="auto"/>
        <w:ind w:firstLine="720"/>
        <w:rPr>
          <w:color w:val="000000" w:themeColor="text1"/>
        </w:rPr>
      </w:pPr>
    </w:p>
    <w:p w14:paraId="4F7925B7" w14:textId="77777777" w:rsidR="00EC732E" w:rsidRDefault="00EC732E" w:rsidP="00EC732E">
      <w:pPr>
        <w:pStyle w:val="whitespace-pre-wrap"/>
        <w:spacing w:line="48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Supplementation with EPA+DHA increases plasma anti-inflammatory oxylipins and decreases pro-inflammatory oxylipins</w:t>
      </w:r>
    </w:p>
    <w:p w14:paraId="75A8BE0F" w14:textId="4793C438" w:rsidR="00EC732E" w:rsidRDefault="00EC732E" w:rsidP="00EC732E">
      <w:pPr>
        <w:pStyle w:val="whitespace-pre-wrap"/>
        <w:spacing w:line="480" w:lineRule="auto"/>
        <w:ind w:firstLine="720"/>
      </w:pPr>
      <w:r w:rsidRPr="00E63184">
        <w:rPr>
          <w:b/>
          <w:bCs/>
          <w:color w:val="000000" w:themeColor="text1"/>
        </w:rPr>
        <w:lastRenderedPageBreak/>
        <w:t xml:space="preserve">Figure </w:t>
      </w:r>
      <w:r>
        <w:rPr>
          <w:b/>
          <w:bCs/>
          <w:color w:val="000000" w:themeColor="text1"/>
        </w:rPr>
        <w:t>4</w:t>
      </w:r>
      <w:r>
        <w:rPr>
          <w:color w:val="000000" w:themeColor="text1"/>
        </w:rPr>
        <w:t xml:space="preserve"> illustrates the</w:t>
      </w:r>
      <w:r w:rsidRPr="00930106">
        <w:rPr>
          <w:color w:val="000000" w:themeColor="text1"/>
        </w:rPr>
        <w:t xml:space="preserve"> change in circulating </w:t>
      </w:r>
      <w:r>
        <w:rPr>
          <w:color w:val="000000" w:themeColor="text1"/>
        </w:rPr>
        <w:t xml:space="preserve">plasma </w:t>
      </w:r>
      <w:r w:rsidRPr="00930106">
        <w:rPr>
          <w:color w:val="000000" w:themeColor="text1"/>
        </w:rPr>
        <w:t xml:space="preserve">oxylipins derived from </w:t>
      </w:r>
      <w:r>
        <w:rPr>
          <w:color w:val="000000" w:themeColor="text1"/>
        </w:rPr>
        <w:t xml:space="preserve">omega-3 PUFAs (Fig. 4A-E). In response to 12-week supplementation with EPA+DHA, there were significant increases in the </w:t>
      </w:r>
      <w:r w:rsidRPr="00930106">
        <w:rPr>
          <w:color w:val="000000" w:themeColor="text1"/>
        </w:rPr>
        <w:t>EPA-derived oxylipins</w:t>
      </w:r>
      <w:r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5-HEPE</w:t>
      </w:r>
      <w:r>
        <w:rPr>
          <w:color w:val="000000" w:themeColor="text1"/>
        </w:rPr>
        <w:t>,</w:t>
      </w:r>
      <w:r w:rsidRPr="00930106">
        <w:rPr>
          <w:color w:val="000000" w:themeColor="text1"/>
        </w:rPr>
        <w:t xml:space="preserve"> 15-HEPE</w:t>
      </w:r>
      <w:r>
        <w:rPr>
          <w:color w:val="000000" w:themeColor="text1"/>
        </w:rPr>
        <w:t>,</w:t>
      </w:r>
      <w:r w:rsidRPr="00930106">
        <w:rPr>
          <w:color w:val="000000" w:themeColor="text1"/>
        </w:rPr>
        <w:t xml:space="preserve"> and 17,18-DiHETE </w:t>
      </w:r>
      <w:r>
        <w:rPr>
          <w:color w:val="000000" w:themeColor="text1"/>
        </w:rPr>
        <w:t>by</w:t>
      </w:r>
      <w:r w:rsidRPr="00930106">
        <w:rPr>
          <w:color w:val="000000" w:themeColor="text1"/>
        </w:rPr>
        <w:t xml:space="preserve"> 3.60-fold (P = 0.0005</w:t>
      </w:r>
      <w:r>
        <w:rPr>
          <w:color w:val="000000" w:themeColor="text1"/>
        </w:rPr>
        <w:t>;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0.9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2.3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>4</w:t>
      </w:r>
      <w:r w:rsidRPr="00930106">
        <w:rPr>
          <w:color w:val="000000" w:themeColor="text1"/>
        </w:rPr>
        <w:t>A), 3.46-fold</w:t>
      </w:r>
      <w:r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(P = 0.001</w:t>
      </w:r>
      <w:r>
        <w:rPr>
          <w:color w:val="000000" w:themeColor="text1"/>
        </w:rPr>
        <w:t>;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0.2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0.6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>4</w:t>
      </w:r>
      <w:r w:rsidRPr="00930106">
        <w:rPr>
          <w:color w:val="000000" w:themeColor="text1"/>
        </w:rPr>
        <w:t>B),</w:t>
      </w:r>
      <w:r w:rsidRPr="00ED2065">
        <w:rPr>
          <w:color w:val="000000" w:themeColor="text1"/>
        </w:rPr>
        <w:t xml:space="preserve"> </w:t>
      </w:r>
      <w:r>
        <w:rPr>
          <w:color w:val="000000" w:themeColor="text1"/>
        </w:rPr>
        <w:t>4.38</w:t>
      </w:r>
      <w:r w:rsidRPr="00930106">
        <w:rPr>
          <w:color w:val="000000" w:themeColor="text1"/>
        </w:rPr>
        <w:t>-fold</w:t>
      </w:r>
      <w:r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(P = 0.0002</w:t>
      </w:r>
      <w:r>
        <w:rPr>
          <w:color w:val="000000" w:themeColor="text1"/>
        </w:rPr>
        <w:t>;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0.5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1.0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>4C</w:t>
      </w:r>
      <w:r w:rsidRPr="00930106">
        <w:rPr>
          <w:color w:val="000000" w:themeColor="text1"/>
        </w:rPr>
        <w:t>)</w:t>
      </w:r>
      <w:r>
        <w:rPr>
          <w:color w:val="000000" w:themeColor="text1"/>
        </w:rPr>
        <w:t>, respectively when compared to baseline</w:t>
      </w:r>
      <w:r w:rsidRPr="0093010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DHA-derived oxylipins also increased</w:t>
      </w:r>
      <w:r>
        <w:rPr>
          <w:color w:val="000000" w:themeColor="text1"/>
        </w:rPr>
        <w:t xml:space="preserve"> in response to 12-week EPA+DHA supplementation with </w:t>
      </w:r>
      <w:r w:rsidRPr="00930106">
        <w:rPr>
          <w:color w:val="000000" w:themeColor="text1"/>
        </w:rPr>
        <w:t>17(S)-HDHA and 8-HDoHE</w:t>
      </w:r>
      <w:r>
        <w:rPr>
          <w:color w:val="000000" w:themeColor="text1"/>
        </w:rPr>
        <w:t>,</w:t>
      </w:r>
      <w:r w:rsidRPr="00930106">
        <w:rPr>
          <w:color w:val="000000" w:themeColor="text1"/>
        </w:rPr>
        <w:t xml:space="preserve"> </w:t>
      </w:r>
      <w:r>
        <w:rPr>
          <w:color w:val="000000" w:themeColor="text1"/>
        </w:rPr>
        <w:t>increasing by</w:t>
      </w:r>
      <w:r w:rsidRPr="00930106">
        <w:rPr>
          <w:color w:val="000000" w:themeColor="text1"/>
        </w:rPr>
        <w:t xml:space="preserve"> 1.75-fold</w:t>
      </w:r>
      <w:r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>(P = 0.028</w:t>
      </w:r>
      <w:r>
        <w:rPr>
          <w:color w:val="000000" w:themeColor="text1"/>
        </w:rPr>
        <w:t>;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0.2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3.5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>4D</w:t>
      </w:r>
      <w:r w:rsidRPr="00930106">
        <w:rPr>
          <w:color w:val="000000" w:themeColor="text1"/>
        </w:rPr>
        <w:t>) and 2.55-fold (P = 0.001</w:t>
      </w:r>
      <w:r>
        <w:rPr>
          <w:color w:val="000000" w:themeColor="text1"/>
        </w:rPr>
        <w:t>;</w:t>
      </w:r>
      <w:r w:rsidR="00DD5BBA">
        <w:rPr>
          <w:color w:val="000000" w:themeColor="text1"/>
        </w:rPr>
        <w:t xml:space="preserve"> CI: [</w:t>
      </w:r>
      <w:r w:rsidR="00F75C62">
        <w:rPr>
          <w:color w:val="000000" w:themeColor="text1"/>
        </w:rPr>
        <w:t>0.3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0.8</w:t>
      </w:r>
      <w:r w:rsidR="00DD5BBA">
        <w:rPr>
          <w:color w:val="000000" w:themeColor="text1"/>
        </w:rPr>
        <w:t xml:space="preserve">]; </w:t>
      </w:r>
      <w:r w:rsidRPr="00930106">
        <w:rPr>
          <w:color w:val="000000" w:themeColor="text1"/>
        </w:rPr>
        <w:t xml:space="preserve">Fig. </w:t>
      </w:r>
      <w:r>
        <w:rPr>
          <w:color w:val="000000" w:themeColor="text1"/>
        </w:rPr>
        <w:t>4E</w:t>
      </w:r>
      <w:r w:rsidRPr="00930106">
        <w:rPr>
          <w:color w:val="000000" w:themeColor="text1"/>
        </w:rPr>
        <w:t>)</w:t>
      </w:r>
      <w:r>
        <w:rPr>
          <w:color w:val="000000" w:themeColor="text1"/>
        </w:rPr>
        <w:t xml:space="preserve">, respectively, when compared to baseline. </w:t>
      </w:r>
      <w:r>
        <w:t xml:space="preserve">In response to 12-week CO supplementation, no significant changes were observed in any of the oxylipins mentioned above (Fig. 4A-4E). At week 12 (post-supplementation), the EPA+DHA group had significantly higher levels of 5-HEPE (2.85-fold,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0.9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2.3</w:t>
      </w:r>
      <w:r w:rsidR="00DD5BBA">
        <w:rPr>
          <w:color w:val="000000" w:themeColor="text1"/>
        </w:rPr>
        <w:t xml:space="preserve">]; </w:t>
      </w:r>
      <w:r>
        <w:t>P = &lt;0.001;</w:t>
      </w:r>
      <w:r w:rsidR="00DD5BBA">
        <w:t xml:space="preserve"> </w:t>
      </w:r>
      <w:r>
        <w:t>Fig. 4A), 15-HEPE (2.65-fold, P &lt; 0.001;</w:t>
      </w:r>
      <w:r w:rsidR="00DD5BBA"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0.2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0.6</w:t>
      </w:r>
      <w:r w:rsidR="00DD5BBA">
        <w:rPr>
          <w:color w:val="000000" w:themeColor="text1"/>
        </w:rPr>
        <w:t xml:space="preserve">]; </w:t>
      </w:r>
      <w:r>
        <w:t xml:space="preserve">Fig. 4B), 17,18-DiHETE (2.68-fold, P &lt; 0.001;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0.5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1.0</w:t>
      </w:r>
      <w:r w:rsidR="00DD5BBA">
        <w:rPr>
          <w:color w:val="000000" w:themeColor="text1"/>
        </w:rPr>
        <w:t xml:space="preserve">]; </w:t>
      </w:r>
      <w:r>
        <w:t>Fig. 4C), 8-HDoHE (2.18-fold, P = &lt;0.001;</w:t>
      </w:r>
      <w:r w:rsidR="00DD5BBA" w:rsidRPr="00DD5BBA">
        <w:rPr>
          <w:color w:val="000000" w:themeColor="text1"/>
        </w:rPr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0.3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0.8</w:t>
      </w:r>
      <w:r w:rsidR="00DD5BBA">
        <w:rPr>
          <w:color w:val="000000" w:themeColor="text1"/>
        </w:rPr>
        <w:t xml:space="preserve">]; </w:t>
      </w:r>
      <w:r>
        <w:t>Fig. 4E) compared to the CO group at week 12.</w:t>
      </w:r>
      <w:r w:rsidRPr="001A0575">
        <w:t xml:space="preserve"> </w:t>
      </w:r>
    </w:p>
    <w:p w14:paraId="32C631B0" w14:textId="7CEBBD35" w:rsidR="00EC732E" w:rsidRPr="00BA1CD5" w:rsidRDefault="00EC732E" w:rsidP="00BA1CD5">
      <w:pPr>
        <w:pStyle w:val="whitespace-pre-wrap"/>
        <w:spacing w:line="480" w:lineRule="auto"/>
        <w:ind w:firstLine="720"/>
      </w:pPr>
      <w:r w:rsidRPr="008D0154">
        <w:rPr>
          <w:b/>
          <w:bCs/>
        </w:rPr>
        <w:t xml:space="preserve">Figure </w:t>
      </w:r>
      <w:r>
        <w:rPr>
          <w:b/>
          <w:bCs/>
        </w:rPr>
        <w:t>5</w:t>
      </w:r>
      <w:r>
        <w:t xml:space="preserve"> illustrates the changes in circulating plasma oxylipins derived from omega-6 PUFAs (Fig. 5A-5I). In response to 12-week supplementation with EPA+DHA, there was a significant decrease in the AA-derived oxylipin 12-HETE by 0.32-fold (P = 0.0075,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-26.7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-5.5</w:t>
      </w:r>
      <w:r w:rsidR="00DD5BBA">
        <w:rPr>
          <w:color w:val="000000" w:themeColor="text1"/>
        </w:rPr>
        <w:t xml:space="preserve">]; </w:t>
      </w:r>
      <w:r>
        <w:t>Fig. 5A), and a significant increase in AA-derived oxylipin PGF2</w:t>
      </w:r>
      <w:r w:rsidRPr="008D0154">
        <w:rPr>
          <w:rFonts w:ascii="Symbol" w:hAnsi="Symbol"/>
        </w:rPr>
        <w:t>a</w:t>
      </w:r>
      <w:r>
        <w:t xml:space="preserve"> by 2.10-fold (P = 0.0275,</w:t>
      </w:r>
      <w:r w:rsidR="00DD5BBA"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0.007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0.1</w:t>
      </w:r>
      <w:r w:rsidR="00DD5BBA">
        <w:rPr>
          <w:color w:val="000000" w:themeColor="text1"/>
        </w:rPr>
        <w:t xml:space="preserve">]; </w:t>
      </w:r>
      <w:r>
        <w:t>Fig. 5B) when compared to baseline. In response to 12-week supplementation with CO, there was a decrease in AA-derived compounds 5S-HETE, 14(15)-EET, and TXB2 by 0.74-fold (P = 0.049,</w:t>
      </w:r>
      <w:r w:rsidR="00DD5BBA"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0.007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0.1</w:t>
      </w:r>
      <w:r w:rsidR="00DD5BBA">
        <w:rPr>
          <w:color w:val="000000" w:themeColor="text1"/>
        </w:rPr>
        <w:t xml:space="preserve">]; </w:t>
      </w:r>
      <w:r>
        <w:t>Fig. 5C), 0.76-fold (P = 0.026,</w:t>
      </w:r>
      <w:r w:rsidR="00DD5BBA"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-1.2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-0.09</w:t>
      </w:r>
      <w:r w:rsidR="00DD5BBA">
        <w:rPr>
          <w:color w:val="000000" w:themeColor="text1"/>
        </w:rPr>
        <w:t xml:space="preserve">]; </w:t>
      </w:r>
      <w:r>
        <w:t>Fig. 5D), and 0.56-fold (P = 0.046,</w:t>
      </w:r>
      <w:r w:rsidR="00DD5BBA"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-0.9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-0.01</w:t>
      </w:r>
      <w:r w:rsidR="00DD5BBA">
        <w:rPr>
          <w:color w:val="000000" w:themeColor="text1"/>
        </w:rPr>
        <w:t xml:space="preserve">]; </w:t>
      </w:r>
      <w:r>
        <w:t xml:space="preserve">Fig. 5I), respectively, when compared to baseline. Conversely, in response to 12-week supplementation with CO, there was a </w:t>
      </w:r>
      <w:r>
        <w:lastRenderedPageBreak/>
        <w:t>significant increase in AA-derived compounds 13-HODE, 13-OxoODE, 9-HODE, and 9-HOTrE by 1.41-fold (P = 0.026,</w:t>
      </w:r>
      <w:r w:rsidR="00DD5BBA"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0.7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8.4</w:t>
      </w:r>
      <w:r w:rsidR="00DD5BBA">
        <w:rPr>
          <w:color w:val="000000" w:themeColor="text1"/>
        </w:rPr>
        <w:t xml:space="preserve">]; </w:t>
      </w:r>
      <w:r>
        <w:t>Fig. 5E), 1.56-fold (P = 0.0332,</w:t>
      </w:r>
      <w:r w:rsidR="00DD5BBA"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0.04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0.9</w:t>
      </w:r>
      <w:r w:rsidR="00DD5BBA">
        <w:rPr>
          <w:color w:val="000000" w:themeColor="text1"/>
        </w:rPr>
        <w:t xml:space="preserve">]; </w:t>
      </w:r>
      <w:r>
        <w:t>Fig. 5F), 1.40-fold (P = 0.045,</w:t>
      </w:r>
      <w:r w:rsidR="00DD5BBA"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0.1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8.6</w:t>
      </w:r>
      <w:r w:rsidR="00DD5BBA">
        <w:rPr>
          <w:color w:val="000000" w:themeColor="text1"/>
        </w:rPr>
        <w:t xml:space="preserve">]; </w:t>
      </w:r>
      <w:r>
        <w:t>Fig. 5G), and 1.67-fold (P = 0.02,</w:t>
      </w:r>
      <w:r w:rsidR="00DD5BBA">
        <w:t xml:space="preserve"> </w:t>
      </w:r>
      <w:r w:rsidR="00DD5BBA">
        <w:rPr>
          <w:color w:val="000000" w:themeColor="text1"/>
        </w:rPr>
        <w:t>CI: [</w:t>
      </w:r>
      <w:r w:rsidR="00F75C62">
        <w:rPr>
          <w:color w:val="000000" w:themeColor="text1"/>
        </w:rPr>
        <w:t>0.01</w:t>
      </w:r>
      <w:r w:rsidR="00DD5BBA">
        <w:rPr>
          <w:color w:val="000000" w:themeColor="text1"/>
        </w:rPr>
        <w:t xml:space="preserve">, </w:t>
      </w:r>
      <w:r w:rsidR="00F75C62">
        <w:rPr>
          <w:color w:val="000000" w:themeColor="text1"/>
        </w:rPr>
        <w:t>0.07</w:t>
      </w:r>
      <w:r w:rsidR="00DD5BBA">
        <w:rPr>
          <w:color w:val="000000" w:themeColor="text1"/>
        </w:rPr>
        <w:t xml:space="preserve">]; </w:t>
      </w:r>
      <w:r>
        <w:t>Fig. 5H), respectively, when compared to baseline. We also analyzed additional oxylipins, which did not change with EPA+DHA or CO relative to baseline or at week 12, comparing EPA+DHA and CO (</w:t>
      </w:r>
      <w:r w:rsidRPr="008D0154">
        <w:rPr>
          <w:b/>
          <w:bCs/>
        </w:rPr>
        <w:t xml:space="preserve">Supplemental Figures </w:t>
      </w:r>
      <w:r>
        <w:rPr>
          <w:b/>
          <w:bCs/>
        </w:rPr>
        <w:t>4</w:t>
      </w:r>
      <w:r w:rsidRPr="008D0154">
        <w:rPr>
          <w:b/>
          <w:bCs/>
        </w:rPr>
        <w:t xml:space="preserve"> and </w:t>
      </w:r>
      <w:r>
        <w:rPr>
          <w:b/>
          <w:bCs/>
        </w:rPr>
        <w:t>5</w:t>
      </w:r>
      <w:r>
        <w:t>).</w:t>
      </w:r>
    </w:p>
    <w:p w14:paraId="2C06096A" w14:textId="3335EDD8" w:rsidR="004A735A" w:rsidRDefault="004A735A" w:rsidP="00BE6288">
      <w:pPr>
        <w:spacing w:after="160" w:line="259" w:lineRule="auto"/>
        <w:jc w:val="center"/>
        <w:rPr>
          <w:b/>
          <w:bCs/>
        </w:rPr>
      </w:pPr>
      <w:r w:rsidRPr="00930106">
        <w:rPr>
          <w:b/>
          <w:bCs/>
        </w:rPr>
        <w:t>Discussion</w:t>
      </w:r>
    </w:p>
    <w:p w14:paraId="223F1F73" w14:textId="3A23ADA8" w:rsidR="004A735A" w:rsidRPr="00930106" w:rsidRDefault="00317464" w:rsidP="00D33440">
      <w:pPr>
        <w:spacing w:line="480" w:lineRule="auto"/>
        <w:rPr>
          <w:color w:val="000000" w:themeColor="text1"/>
        </w:rPr>
      </w:pPr>
      <w:r>
        <w:tab/>
      </w:r>
      <w:r w:rsidR="004A735A" w:rsidRPr="00930106">
        <w:rPr>
          <w:color w:val="000000" w:themeColor="text1"/>
        </w:rPr>
        <w:t xml:space="preserve">The </w:t>
      </w:r>
      <w:r w:rsidR="008B7338">
        <w:rPr>
          <w:color w:val="000000" w:themeColor="text1"/>
        </w:rPr>
        <w:t>p</w:t>
      </w:r>
      <w:r w:rsidR="004A735A" w:rsidRPr="00930106">
        <w:rPr>
          <w:color w:val="000000" w:themeColor="text1"/>
        </w:rPr>
        <w:t xml:space="preserve">attern of </w:t>
      </w:r>
      <w:r w:rsidR="005C7EF6">
        <w:rPr>
          <w:color w:val="000000" w:themeColor="text1"/>
        </w:rPr>
        <w:t>EPA and DHA</w:t>
      </w:r>
      <w:r w:rsidR="004A735A" w:rsidRPr="00930106">
        <w:rPr>
          <w:color w:val="000000" w:themeColor="text1"/>
        </w:rPr>
        <w:t xml:space="preserve"> incorporation across various </w:t>
      </w:r>
      <w:r w:rsidR="00A41EFB">
        <w:rPr>
          <w:color w:val="000000" w:themeColor="text1"/>
        </w:rPr>
        <w:t xml:space="preserve">plasma </w:t>
      </w:r>
      <w:r w:rsidR="004A735A" w:rsidRPr="00930106">
        <w:rPr>
          <w:color w:val="000000" w:themeColor="text1"/>
        </w:rPr>
        <w:t xml:space="preserve">lipid </w:t>
      </w:r>
      <w:r w:rsidR="00E62528">
        <w:rPr>
          <w:color w:val="000000" w:themeColor="text1"/>
        </w:rPr>
        <w:t>pools</w:t>
      </w:r>
      <w:r w:rsidR="00E62528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highlights the complex nature of omega-3 </w:t>
      </w:r>
      <w:r w:rsidR="0004684A">
        <w:rPr>
          <w:color w:val="000000" w:themeColor="text1"/>
        </w:rPr>
        <w:t>PUFA</w:t>
      </w:r>
      <w:r w:rsidR="004A735A" w:rsidRPr="00930106">
        <w:rPr>
          <w:color w:val="000000" w:themeColor="text1"/>
        </w:rPr>
        <w:t xml:space="preserve"> </w:t>
      </w:r>
      <w:r w:rsidR="003564C7">
        <w:rPr>
          <w:color w:val="000000" w:themeColor="text1"/>
        </w:rPr>
        <w:t>handling.</w:t>
      </w:r>
      <w:r w:rsidR="004A735A" w:rsidRPr="00930106">
        <w:rPr>
          <w:color w:val="000000" w:themeColor="text1"/>
        </w:rPr>
        <w:t xml:space="preserve"> After supplementation of 1.1</w:t>
      </w:r>
      <w:r w:rsidR="00840555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g EPA + 0.8</w:t>
      </w:r>
      <w:r w:rsidR="00AB490F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g DHA </w:t>
      </w:r>
      <w:r w:rsidR="00840555">
        <w:rPr>
          <w:color w:val="000000" w:themeColor="text1"/>
        </w:rPr>
        <w:t xml:space="preserve">daily </w:t>
      </w:r>
      <w:r w:rsidR="004A735A" w:rsidRPr="00930106">
        <w:rPr>
          <w:color w:val="000000" w:themeColor="text1"/>
        </w:rPr>
        <w:t xml:space="preserve">for 12 weeks, </w:t>
      </w:r>
      <w:r w:rsidR="00E41D44">
        <w:rPr>
          <w:color w:val="000000" w:themeColor="text1"/>
        </w:rPr>
        <w:t>there were</w:t>
      </w:r>
      <w:r w:rsidR="004A735A" w:rsidRPr="00930106">
        <w:rPr>
          <w:color w:val="000000" w:themeColor="text1"/>
        </w:rPr>
        <w:t xml:space="preserve"> significant increases in EPA and DHA in the PC </w:t>
      </w:r>
      <w:r w:rsidR="00EF03C0">
        <w:rPr>
          <w:color w:val="000000" w:themeColor="text1"/>
        </w:rPr>
        <w:t>pool</w:t>
      </w:r>
      <w:r w:rsidR="00442C35">
        <w:rPr>
          <w:color w:val="000000" w:themeColor="text1"/>
        </w:rPr>
        <w:t xml:space="preserve"> relative to baseline</w:t>
      </w:r>
      <w:r w:rsidR="004A735A" w:rsidRPr="00930106">
        <w:rPr>
          <w:color w:val="000000" w:themeColor="text1"/>
        </w:rPr>
        <w:t>. These findings align with an existing study in which middle-aged males received 1.8</w:t>
      </w:r>
      <w:r w:rsidR="00AB490F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g EPA </w:t>
      </w:r>
      <w:r w:rsidR="004D0E29">
        <w:rPr>
          <w:color w:val="000000" w:themeColor="text1"/>
        </w:rPr>
        <w:t>and</w:t>
      </w:r>
      <w:r w:rsidR="004A735A" w:rsidRPr="00930106">
        <w:rPr>
          <w:color w:val="000000" w:themeColor="text1"/>
        </w:rPr>
        <w:t xml:space="preserve"> 0.3</w:t>
      </w:r>
      <w:r w:rsidR="00AB490F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g DHA for eight weeks</w:t>
      </w:r>
      <w:r w:rsidR="00332CD5">
        <w:rPr>
          <w:color w:val="000000" w:themeColor="text1"/>
        </w:rPr>
        <w:t xml:space="preserve"> (19)</w:t>
      </w:r>
      <w:r w:rsidR="004A735A" w:rsidRPr="00930106">
        <w:rPr>
          <w:color w:val="000000" w:themeColor="text1"/>
        </w:rPr>
        <w:t>. In that study, the proportion of EPA in plasma PC increased</w:t>
      </w:r>
      <w:r>
        <w:rPr>
          <w:color w:val="000000" w:themeColor="text1"/>
        </w:rPr>
        <w:t xml:space="preserve"> by a 3</w:t>
      </w:r>
      <w:r w:rsidR="004A735A" w:rsidRPr="00930106">
        <w:rPr>
          <w:color w:val="000000" w:themeColor="text1"/>
        </w:rPr>
        <w:t>.57-fold change</w:t>
      </w:r>
      <w:r w:rsidR="00CF424A">
        <w:rPr>
          <w:color w:val="000000" w:themeColor="text1"/>
        </w:rPr>
        <w:t xml:space="preserve">, </w:t>
      </w:r>
      <w:r w:rsidR="004A735A" w:rsidRPr="00930106">
        <w:rPr>
          <w:color w:val="000000" w:themeColor="text1"/>
        </w:rPr>
        <w:t>closely matching our observed fold-change of 3.53</w:t>
      </w:r>
      <w:r w:rsidR="00840555">
        <w:rPr>
          <w:color w:val="000000" w:themeColor="text1"/>
        </w:rPr>
        <w:t>-fold</w:t>
      </w:r>
      <w:r w:rsidR="004A735A" w:rsidRPr="00930106">
        <w:rPr>
          <w:color w:val="000000" w:themeColor="text1"/>
        </w:rPr>
        <w:t xml:space="preserve"> for EPA</w:t>
      </w:r>
      <w:r w:rsidR="00CF1A5A">
        <w:rPr>
          <w:color w:val="000000" w:themeColor="text1"/>
        </w:rPr>
        <w:t xml:space="preserve"> relative to baseline</w:t>
      </w:r>
      <w:r w:rsidR="00332CD5">
        <w:rPr>
          <w:color w:val="000000" w:themeColor="text1"/>
        </w:rPr>
        <w:t xml:space="preserve"> (19)</w:t>
      </w:r>
      <w:r w:rsidR="004A735A" w:rsidRPr="00930106">
        <w:rPr>
          <w:color w:val="000000" w:themeColor="text1"/>
        </w:rPr>
        <w:t>.</w:t>
      </w:r>
      <w:r w:rsidR="00216EF0" w:rsidRPr="00930106">
        <w:rPr>
          <w:color w:val="000000" w:themeColor="text1"/>
          <w:vertAlign w:val="superscript"/>
        </w:rPr>
        <w:t xml:space="preserve"> </w:t>
      </w:r>
      <w:r w:rsidR="004A735A" w:rsidRPr="00930106">
        <w:rPr>
          <w:color w:val="000000" w:themeColor="text1"/>
        </w:rPr>
        <w:t xml:space="preserve">Interestingly, while that study reported no significant changes in DHA, our study </w:t>
      </w:r>
      <w:r w:rsidR="00B17061">
        <w:rPr>
          <w:color w:val="000000" w:themeColor="text1"/>
        </w:rPr>
        <w:t>showed</w:t>
      </w:r>
      <w:r w:rsidR="004A735A" w:rsidRPr="00930106">
        <w:rPr>
          <w:color w:val="000000" w:themeColor="text1"/>
        </w:rPr>
        <w:t xml:space="preserve"> a 1.70-fold increase</w:t>
      </w:r>
      <w:r w:rsidR="00442C35">
        <w:rPr>
          <w:color w:val="000000" w:themeColor="text1"/>
        </w:rPr>
        <w:t xml:space="preserve"> from baseline</w:t>
      </w:r>
      <w:r w:rsidR="00332CD5">
        <w:rPr>
          <w:color w:val="000000" w:themeColor="text1"/>
        </w:rPr>
        <w:t xml:space="preserve"> (19)</w:t>
      </w:r>
      <w:r w:rsidR="00FA62E2">
        <w:rPr>
          <w:color w:val="000000" w:themeColor="text1"/>
        </w:rPr>
        <w:t>.</w:t>
      </w:r>
      <w:r w:rsidR="00D279F2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These differences are likely due to </w:t>
      </w:r>
      <w:r w:rsidR="004D0E29">
        <w:rPr>
          <w:color w:val="000000" w:themeColor="text1"/>
        </w:rPr>
        <w:t>the</w:t>
      </w:r>
      <w:r w:rsidR="001B3AF8">
        <w:rPr>
          <w:color w:val="000000" w:themeColor="text1"/>
        </w:rPr>
        <w:t xml:space="preserve"> </w:t>
      </w:r>
      <w:r w:rsidR="00FA62E2">
        <w:rPr>
          <w:color w:val="000000" w:themeColor="text1"/>
        </w:rPr>
        <w:t xml:space="preserve">lower </w:t>
      </w:r>
      <w:r w:rsidR="00FD72C2">
        <w:rPr>
          <w:color w:val="000000" w:themeColor="text1"/>
        </w:rPr>
        <w:t xml:space="preserve">amount </w:t>
      </w:r>
      <w:r w:rsidR="00FA62E2">
        <w:rPr>
          <w:color w:val="000000" w:themeColor="text1"/>
        </w:rPr>
        <w:t xml:space="preserve">of DHA in the supplement </w:t>
      </w:r>
      <w:r w:rsidR="002A3942">
        <w:rPr>
          <w:color w:val="000000" w:themeColor="text1"/>
        </w:rPr>
        <w:t>compared</w:t>
      </w:r>
      <w:r w:rsidR="00F3589D">
        <w:rPr>
          <w:color w:val="000000" w:themeColor="text1"/>
        </w:rPr>
        <w:t xml:space="preserve"> to the current study (0.3</w:t>
      </w:r>
      <w:r w:rsidR="00AB490F">
        <w:rPr>
          <w:color w:val="000000" w:themeColor="text1"/>
        </w:rPr>
        <w:t xml:space="preserve"> </w:t>
      </w:r>
      <w:r w:rsidR="00F3589D">
        <w:rPr>
          <w:color w:val="000000" w:themeColor="text1"/>
        </w:rPr>
        <w:t xml:space="preserve">g </w:t>
      </w:r>
      <w:r w:rsidR="00610395">
        <w:rPr>
          <w:color w:val="000000" w:themeColor="text1"/>
        </w:rPr>
        <w:t>compared with</w:t>
      </w:r>
      <w:r w:rsidR="00F3589D">
        <w:rPr>
          <w:color w:val="000000" w:themeColor="text1"/>
        </w:rPr>
        <w:t xml:space="preserve"> 0.8</w:t>
      </w:r>
      <w:r w:rsidR="00AB490F">
        <w:rPr>
          <w:color w:val="000000" w:themeColor="text1"/>
        </w:rPr>
        <w:t xml:space="preserve"> </w:t>
      </w:r>
      <w:r w:rsidR="00F3589D">
        <w:rPr>
          <w:color w:val="000000" w:themeColor="text1"/>
        </w:rPr>
        <w:t xml:space="preserve">g) and </w:t>
      </w:r>
      <w:r w:rsidR="001B3AF8">
        <w:rPr>
          <w:color w:val="000000" w:themeColor="text1"/>
        </w:rPr>
        <w:t xml:space="preserve">possibly </w:t>
      </w:r>
      <w:r w:rsidR="004A735A" w:rsidRPr="00930106">
        <w:rPr>
          <w:color w:val="000000" w:themeColor="text1"/>
        </w:rPr>
        <w:t xml:space="preserve">the </w:t>
      </w:r>
      <w:r w:rsidR="00FD72C2">
        <w:rPr>
          <w:color w:val="000000" w:themeColor="text1"/>
        </w:rPr>
        <w:t xml:space="preserve">difference in </w:t>
      </w:r>
      <w:r w:rsidR="004D0E29">
        <w:rPr>
          <w:color w:val="000000" w:themeColor="text1"/>
        </w:rPr>
        <w:t xml:space="preserve">intervention duration </w:t>
      </w:r>
      <w:r w:rsidR="004A735A" w:rsidRPr="00930106">
        <w:rPr>
          <w:color w:val="000000" w:themeColor="text1"/>
        </w:rPr>
        <w:t>between the two studies</w:t>
      </w:r>
      <w:r w:rsidR="00F3589D">
        <w:rPr>
          <w:color w:val="000000" w:themeColor="text1"/>
        </w:rPr>
        <w:t xml:space="preserve"> (8 weeks </w:t>
      </w:r>
      <w:r w:rsidR="00610395">
        <w:rPr>
          <w:color w:val="000000" w:themeColor="text1"/>
        </w:rPr>
        <w:t>compared with</w:t>
      </w:r>
      <w:r w:rsidR="00F3589D">
        <w:rPr>
          <w:color w:val="000000" w:themeColor="text1"/>
        </w:rPr>
        <w:t xml:space="preserve"> 12 weeks)</w:t>
      </w:r>
      <w:r w:rsidR="00332CD5">
        <w:rPr>
          <w:color w:val="000000" w:themeColor="text1"/>
        </w:rPr>
        <w:t xml:space="preserve"> (19)</w:t>
      </w:r>
      <w:r w:rsidR="004A735A" w:rsidRPr="00930106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</w:p>
    <w:p w14:paraId="6AA6456F" w14:textId="4CD92D30" w:rsidR="004A735A" w:rsidRPr="00930106" w:rsidRDefault="009460C0" w:rsidP="00E30D49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After EPA+DHA supplementation, </w:t>
      </w:r>
      <w:r w:rsidR="002224A7">
        <w:rPr>
          <w:color w:val="000000" w:themeColor="text1"/>
        </w:rPr>
        <w:t>the relative abundance of EPA</w:t>
      </w:r>
      <w:r w:rsidR="00CE647B">
        <w:rPr>
          <w:color w:val="000000" w:themeColor="text1"/>
        </w:rPr>
        <w:t xml:space="preserve"> and DHA</w:t>
      </w:r>
      <w:r w:rsidR="00442C35">
        <w:rPr>
          <w:color w:val="000000" w:themeColor="text1"/>
        </w:rPr>
        <w:t xml:space="preserve"> in the CE </w:t>
      </w:r>
      <w:r w:rsidR="006C09D9">
        <w:rPr>
          <w:color w:val="000000" w:themeColor="text1"/>
        </w:rPr>
        <w:t>pool</w:t>
      </w:r>
      <w:r w:rsidR="006C09D9" w:rsidRPr="00930106">
        <w:rPr>
          <w:color w:val="000000" w:themeColor="text1"/>
        </w:rPr>
        <w:t xml:space="preserve"> </w:t>
      </w:r>
      <w:r w:rsidR="00E30D49">
        <w:rPr>
          <w:color w:val="000000" w:themeColor="text1"/>
        </w:rPr>
        <w:t>increased</w:t>
      </w:r>
      <w:r w:rsidR="00442C35">
        <w:rPr>
          <w:b/>
          <w:bCs/>
          <w:color w:val="000000" w:themeColor="text1"/>
        </w:rPr>
        <w:t xml:space="preserve"> </w:t>
      </w:r>
      <w:r w:rsidR="00442C35">
        <w:rPr>
          <w:color w:val="000000" w:themeColor="text1"/>
        </w:rPr>
        <w:t>relative to baseline</w:t>
      </w:r>
      <w:r w:rsidR="004A735A" w:rsidRPr="00930106">
        <w:rPr>
          <w:color w:val="000000" w:themeColor="text1"/>
        </w:rPr>
        <w:t xml:space="preserve">. The previously mentioned study among middle-aged males reported a rise in CE-associated EPA from </w:t>
      </w:r>
      <w:r w:rsidR="004A735A" w:rsidRPr="00930106">
        <w:rPr>
          <w:rStyle w:val="Strong"/>
          <w:rFonts w:eastAsiaTheme="majorEastAsia"/>
          <w:b w:val="0"/>
          <w:bCs w:val="0"/>
          <w:color w:val="000000" w:themeColor="text1"/>
        </w:rPr>
        <w:t>1.2% to 4.5% of total fatty acids</w:t>
      </w:r>
      <w:r w:rsidR="004A735A" w:rsidRPr="00930106">
        <w:rPr>
          <w:b/>
          <w:bCs/>
          <w:color w:val="000000" w:themeColor="text1"/>
        </w:rPr>
        <w:t>,</w:t>
      </w:r>
      <w:r w:rsidR="004A735A" w:rsidRPr="00930106">
        <w:rPr>
          <w:color w:val="000000" w:themeColor="text1"/>
        </w:rPr>
        <w:t xml:space="preserve"> supporting the efficacy of supplementation in enriching EPA across lipid pools</w:t>
      </w:r>
      <w:r w:rsidR="00332CD5">
        <w:rPr>
          <w:color w:val="000000" w:themeColor="text1"/>
        </w:rPr>
        <w:t xml:space="preserve"> (19)</w:t>
      </w:r>
      <w:r w:rsidR="004A735A" w:rsidRPr="00930106">
        <w:rPr>
          <w:color w:val="000000" w:themeColor="text1"/>
        </w:rPr>
        <w:t>. EPA supplementation decrease</w:t>
      </w:r>
      <w:r w:rsidR="00442C35">
        <w:rPr>
          <w:color w:val="000000" w:themeColor="text1"/>
        </w:rPr>
        <w:t>s</w:t>
      </w:r>
      <w:r w:rsidR="004A735A" w:rsidRPr="00930106">
        <w:rPr>
          <w:color w:val="000000" w:themeColor="text1"/>
        </w:rPr>
        <w:t xml:space="preserve"> CETP activity, which raises HDL-</w:t>
      </w:r>
      <w:r w:rsidR="00AF0619">
        <w:rPr>
          <w:color w:val="000000" w:themeColor="text1"/>
        </w:rPr>
        <w:t>cholesterol</w:t>
      </w:r>
      <w:r w:rsidR="004A735A" w:rsidRPr="00930106">
        <w:rPr>
          <w:color w:val="000000" w:themeColor="text1"/>
        </w:rPr>
        <w:t xml:space="preserve"> while </w:t>
      </w:r>
      <w:r w:rsidR="007B0B05">
        <w:rPr>
          <w:color w:val="000000" w:themeColor="text1"/>
        </w:rPr>
        <w:t>lowering</w:t>
      </w:r>
      <w:r w:rsidR="007B0B05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LDL-</w:t>
      </w:r>
      <w:r w:rsidR="00AF0619">
        <w:rPr>
          <w:color w:val="000000" w:themeColor="text1"/>
        </w:rPr>
        <w:t>cholesterol</w:t>
      </w:r>
      <w:r w:rsidR="004A735A" w:rsidRPr="00930106">
        <w:rPr>
          <w:color w:val="000000" w:themeColor="text1"/>
        </w:rPr>
        <w:t xml:space="preserve"> and </w:t>
      </w:r>
      <w:r w:rsidR="004A735A" w:rsidRPr="00930106">
        <w:rPr>
          <w:color w:val="000000" w:themeColor="text1"/>
        </w:rPr>
        <w:lastRenderedPageBreak/>
        <w:t>VLDL-</w:t>
      </w:r>
      <w:r w:rsidR="00AF0619">
        <w:rPr>
          <w:color w:val="000000" w:themeColor="text1"/>
        </w:rPr>
        <w:t>cholesterol</w:t>
      </w:r>
      <w:r w:rsidR="004A735A" w:rsidRPr="00930106">
        <w:rPr>
          <w:color w:val="000000" w:themeColor="text1"/>
        </w:rPr>
        <w:t>, thereby supporting cardiovascular health</w:t>
      </w:r>
      <w:r w:rsidR="00332CD5">
        <w:rPr>
          <w:color w:val="000000" w:themeColor="text1"/>
        </w:rPr>
        <w:t xml:space="preserve"> (20)</w:t>
      </w:r>
      <w:r w:rsidR="004A735A" w:rsidRPr="00930106">
        <w:rPr>
          <w:color w:val="000000" w:themeColor="text1"/>
        </w:rPr>
        <w:t xml:space="preserve">. </w:t>
      </w:r>
      <w:r w:rsidR="006C122D">
        <w:rPr>
          <w:color w:val="000000" w:themeColor="text1"/>
        </w:rPr>
        <w:t>Our finding that DHA also increased in th</w:t>
      </w:r>
      <w:r w:rsidR="00F81F01">
        <w:rPr>
          <w:color w:val="000000" w:themeColor="text1"/>
        </w:rPr>
        <w:t xml:space="preserve">is </w:t>
      </w:r>
      <w:r w:rsidR="006C122D">
        <w:rPr>
          <w:color w:val="000000" w:themeColor="text1"/>
        </w:rPr>
        <w:t xml:space="preserve">pool contrasts with earlier reports that described selective </w:t>
      </w:r>
      <w:r w:rsidR="00F81F01">
        <w:rPr>
          <w:color w:val="000000" w:themeColor="text1"/>
        </w:rPr>
        <w:t>i</w:t>
      </w:r>
      <w:r w:rsidR="006C122D">
        <w:rPr>
          <w:color w:val="000000" w:themeColor="text1"/>
        </w:rPr>
        <w:t>ncorporation of EPA</w:t>
      </w:r>
      <w:r w:rsidR="00F81F01">
        <w:rPr>
          <w:color w:val="000000" w:themeColor="text1"/>
        </w:rPr>
        <w:t xml:space="preserve"> over DHA in CEs</w:t>
      </w:r>
      <w:r w:rsidR="00332CD5">
        <w:rPr>
          <w:color w:val="000000" w:themeColor="text1"/>
        </w:rPr>
        <w:t xml:space="preserve"> (21,22)</w:t>
      </w:r>
      <w:r w:rsidR="006C122D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This difference in enrichment may reflect variations in enzymatic specificity governing cholesterol esterification and distinct metabolic turnover rates of EPA and DHA within lipid pools</w:t>
      </w:r>
      <w:r w:rsidR="00332CD5">
        <w:rPr>
          <w:color w:val="000000" w:themeColor="text1"/>
        </w:rPr>
        <w:t xml:space="preserve"> (15)</w:t>
      </w:r>
      <w:r w:rsidR="004A735A" w:rsidRPr="00930106">
        <w:rPr>
          <w:color w:val="000000" w:themeColor="text1"/>
        </w:rPr>
        <w:t>.</w:t>
      </w:r>
    </w:p>
    <w:p w14:paraId="1B27A64B" w14:textId="02F9EEF1" w:rsidR="006148FE" w:rsidRDefault="00F3259F" w:rsidP="001A73A5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While </w:t>
      </w:r>
      <w:r w:rsidR="00AB490F">
        <w:rPr>
          <w:color w:val="000000" w:themeColor="text1"/>
        </w:rPr>
        <w:t>literature assessing the incorporation of fatty acids within</w:t>
      </w:r>
      <w:r>
        <w:rPr>
          <w:color w:val="000000" w:themeColor="text1"/>
        </w:rPr>
        <w:t xml:space="preserve"> TAG</w:t>
      </w:r>
      <w:r w:rsidR="00A126F2">
        <w:rPr>
          <w:color w:val="000000" w:themeColor="text1"/>
        </w:rPr>
        <w:t xml:space="preserve"> </w:t>
      </w:r>
      <w:r w:rsidR="00AB490F">
        <w:rPr>
          <w:color w:val="000000" w:themeColor="text1"/>
        </w:rPr>
        <w:t>is sparse</w:t>
      </w:r>
      <w:r>
        <w:rPr>
          <w:color w:val="000000" w:themeColor="text1"/>
        </w:rPr>
        <w:t>,</w:t>
      </w:r>
      <w:r w:rsidR="00AB490F">
        <w:rPr>
          <w:color w:val="000000" w:themeColor="text1"/>
        </w:rPr>
        <w:t xml:space="preserve"> </w:t>
      </w:r>
      <w:r>
        <w:rPr>
          <w:color w:val="000000" w:themeColor="text1"/>
        </w:rPr>
        <w:t>upon supplementation, omega-3s displace both MUFAs and SFAs</w:t>
      </w:r>
      <w:r w:rsidR="00AB490F">
        <w:rPr>
          <w:color w:val="000000" w:themeColor="text1"/>
        </w:rPr>
        <w:t xml:space="preserve"> within this pool</w:t>
      </w:r>
      <w:r w:rsidR="00332CD5">
        <w:rPr>
          <w:color w:val="000000" w:themeColor="text1"/>
        </w:rPr>
        <w:t xml:space="preserve"> (23)</w:t>
      </w:r>
      <w:r w:rsidR="00AB490F">
        <w:rPr>
          <w:color w:val="000000" w:themeColor="text1"/>
        </w:rPr>
        <w:t>.</w:t>
      </w:r>
      <w:r w:rsidR="00D279F2">
        <w:rPr>
          <w:color w:val="000000" w:themeColor="text1"/>
          <w:vertAlign w:val="superscript"/>
        </w:rPr>
        <w:t xml:space="preserve"> </w:t>
      </w:r>
      <w:r w:rsidR="004A735A" w:rsidRPr="00930106">
        <w:rPr>
          <w:color w:val="000000" w:themeColor="text1"/>
        </w:rPr>
        <w:t xml:space="preserve">A supplementation study found that </w:t>
      </w:r>
      <w:r w:rsidR="00E06B7A">
        <w:rPr>
          <w:color w:val="000000" w:themeColor="text1"/>
        </w:rPr>
        <w:t>when plasma concentrations of both EPA and DHA increase, there are marked steric changes in the TAG molecule, resulting in preferential positioning of these omega-3 fatty acids at the sn-1 and sn-3 positions</w:t>
      </w:r>
      <w:r w:rsidR="00332CD5">
        <w:rPr>
          <w:color w:val="000000" w:themeColor="text1"/>
        </w:rPr>
        <w:t xml:space="preserve"> (24)</w:t>
      </w:r>
      <w:r w:rsidR="00E06B7A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These findings align with our research, where </w:t>
      </w:r>
      <w:r w:rsidR="00442C35">
        <w:rPr>
          <w:color w:val="000000" w:themeColor="text1"/>
        </w:rPr>
        <w:t>EPA</w:t>
      </w:r>
      <w:r w:rsidR="002D2CDB">
        <w:rPr>
          <w:color w:val="000000" w:themeColor="text1"/>
        </w:rPr>
        <w:t>+</w:t>
      </w:r>
      <w:r w:rsidR="00442C35">
        <w:rPr>
          <w:color w:val="000000" w:themeColor="text1"/>
        </w:rPr>
        <w:t xml:space="preserve">DHA showed significant increases in the TAG pool compared to their baseline levels </w:t>
      </w:r>
      <w:r w:rsidR="007E2741">
        <w:rPr>
          <w:color w:val="000000" w:themeColor="text1"/>
        </w:rPr>
        <w:t xml:space="preserve">after </w:t>
      </w:r>
      <w:r w:rsidR="00442C35">
        <w:rPr>
          <w:color w:val="000000" w:themeColor="text1"/>
        </w:rPr>
        <w:t xml:space="preserve">12 weeks of EPA+DHA supplementation. </w:t>
      </w:r>
    </w:p>
    <w:p w14:paraId="1D72F032" w14:textId="40A2EC13" w:rsidR="004A735A" w:rsidRPr="00930106" w:rsidRDefault="00317464" w:rsidP="001A73A5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>T</w:t>
      </w:r>
      <w:r w:rsidR="004D1D25">
        <w:rPr>
          <w:color w:val="000000" w:themeColor="text1"/>
        </w:rPr>
        <w:t xml:space="preserve">he </w:t>
      </w:r>
      <w:r w:rsidR="004A735A" w:rsidRPr="00930106">
        <w:rPr>
          <w:color w:val="000000" w:themeColor="text1"/>
        </w:rPr>
        <w:t xml:space="preserve">NEFA </w:t>
      </w:r>
      <w:r w:rsidR="00D3075C">
        <w:rPr>
          <w:color w:val="000000" w:themeColor="text1"/>
        </w:rPr>
        <w:t>pool</w:t>
      </w:r>
      <w:r w:rsidR="00D3075C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showed</w:t>
      </w:r>
      <w:r w:rsidR="00F60D7B" w:rsidRPr="00930106">
        <w:rPr>
          <w:color w:val="000000" w:themeColor="text1"/>
        </w:rPr>
        <w:t xml:space="preserve"> an increase in EPA</w:t>
      </w:r>
      <w:r w:rsidR="004A735A" w:rsidRPr="00930106">
        <w:rPr>
          <w:color w:val="000000" w:themeColor="text1"/>
        </w:rPr>
        <w:t>, with no reported increases in</w:t>
      </w:r>
      <w:r w:rsidR="00F60D7B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DHA</w:t>
      </w:r>
      <w:r w:rsidR="00442C35">
        <w:rPr>
          <w:color w:val="000000" w:themeColor="text1"/>
        </w:rPr>
        <w:t xml:space="preserve"> relative to baseline after EPA+DHA supplementation</w:t>
      </w:r>
      <w:r w:rsidR="004A735A" w:rsidRPr="00930106">
        <w:rPr>
          <w:color w:val="000000" w:themeColor="text1"/>
        </w:rPr>
        <w:t xml:space="preserve">. </w:t>
      </w:r>
      <w:r w:rsidR="001A73A5">
        <w:t xml:space="preserve">Interestingly, when comparing post-supplementation (week 12) values between groups, we observed significantly lower DHA levels in the NEFA </w:t>
      </w:r>
      <w:r w:rsidR="00A97D57">
        <w:t xml:space="preserve">pool </w:t>
      </w:r>
      <w:r w:rsidR="001A73A5">
        <w:t xml:space="preserve">in the </w:t>
      </w:r>
      <w:r w:rsidR="00A97D57">
        <w:t>CO</w:t>
      </w:r>
      <w:r w:rsidR="001A73A5">
        <w:t xml:space="preserve"> group compared to the EPA+DHA group. </w:t>
      </w:r>
      <w:r w:rsidR="005827C5">
        <w:t>Since plasma NEFA represent</w:t>
      </w:r>
      <w:r w:rsidR="00CA58F7">
        <w:t>s</w:t>
      </w:r>
      <w:r w:rsidR="005827C5">
        <w:t xml:space="preserve"> fatty acids relea</w:t>
      </w:r>
      <w:r w:rsidR="005F5C9E">
        <w:t>sed from adipose tissue in the fasting state, t</w:t>
      </w:r>
      <w:r w:rsidR="00396378">
        <w:t xml:space="preserve">hese observations suggest limited adipose tissue incorporation </w:t>
      </w:r>
      <w:r w:rsidR="00CF424A">
        <w:t xml:space="preserve">of DHA </w:t>
      </w:r>
      <w:r w:rsidR="00396378">
        <w:t>during this 12-week timeframe compared to EPA</w:t>
      </w:r>
      <w:r w:rsidR="00332CD5">
        <w:t xml:space="preserve"> (25)</w:t>
      </w:r>
      <w:r w:rsidR="00396378">
        <w:t xml:space="preserve">. </w:t>
      </w:r>
      <w:r>
        <w:rPr>
          <w:color w:val="000000" w:themeColor="text1"/>
        </w:rPr>
        <w:t>Previous work</w:t>
      </w:r>
      <w:r w:rsidR="004A735A" w:rsidRPr="00930106">
        <w:rPr>
          <w:color w:val="000000" w:themeColor="text1"/>
        </w:rPr>
        <w:t xml:space="preserve"> demonstrated that DHA supplementation</w:t>
      </w:r>
      <w:r w:rsidR="004F3F0F">
        <w:rPr>
          <w:color w:val="000000" w:themeColor="text1"/>
        </w:rPr>
        <w:t xml:space="preserve"> for 6 weeks</w:t>
      </w:r>
      <w:r w:rsidR="004A735A" w:rsidRPr="00930106">
        <w:rPr>
          <w:color w:val="000000" w:themeColor="text1"/>
        </w:rPr>
        <w:t xml:space="preserve"> leads to a marked rise in DHA within the NEFA </w:t>
      </w:r>
      <w:r w:rsidR="002A024D">
        <w:rPr>
          <w:color w:val="000000" w:themeColor="text1"/>
        </w:rPr>
        <w:t>pool</w:t>
      </w:r>
      <w:r w:rsidR="004A735A" w:rsidRPr="00930106">
        <w:rPr>
          <w:color w:val="000000" w:themeColor="text1"/>
        </w:rPr>
        <w:t>, with a 212% increase following low</w:t>
      </w:r>
      <w:r w:rsidR="004D1D25">
        <w:rPr>
          <w:color w:val="000000" w:themeColor="text1"/>
        </w:rPr>
        <w:t>-</w:t>
      </w:r>
      <w:r w:rsidR="004A735A" w:rsidRPr="00930106">
        <w:rPr>
          <w:color w:val="000000" w:themeColor="text1"/>
        </w:rPr>
        <w:t>dose supplementation (0.75 g/day)</w:t>
      </w:r>
      <w:r w:rsidR="00332CD5">
        <w:rPr>
          <w:color w:val="000000" w:themeColor="text1"/>
        </w:rPr>
        <w:t xml:space="preserve"> (25)</w:t>
      </w:r>
      <w:r w:rsidR="004A735A" w:rsidRPr="00930106">
        <w:rPr>
          <w:color w:val="000000" w:themeColor="text1"/>
        </w:rPr>
        <w:t>.</w:t>
      </w:r>
      <w:r w:rsidR="00D4672C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The </w:t>
      </w:r>
      <w:proofErr w:type="gramStart"/>
      <w:r w:rsidR="009C25AE">
        <w:rPr>
          <w:color w:val="000000" w:themeColor="text1"/>
        </w:rPr>
        <w:t>aforementioned</w:t>
      </w:r>
      <w:r w:rsidR="004A735A" w:rsidRPr="00930106">
        <w:rPr>
          <w:color w:val="000000" w:themeColor="text1"/>
        </w:rPr>
        <w:t xml:space="preserve"> research</w:t>
      </w:r>
      <w:proofErr w:type="gramEnd"/>
      <w:r w:rsidR="004A735A" w:rsidRPr="00930106">
        <w:rPr>
          <w:color w:val="000000" w:themeColor="text1"/>
        </w:rPr>
        <w:t xml:space="preserve"> exclusively examined healthy Asian Indians, whereas our study focused on white females, which could influence metabolism due to genetic differences</w:t>
      </w:r>
      <w:r w:rsidR="00332CD5">
        <w:rPr>
          <w:color w:val="000000" w:themeColor="text1"/>
        </w:rPr>
        <w:t xml:space="preserve"> (25)</w:t>
      </w:r>
      <w:r w:rsidR="004A735A" w:rsidRPr="00930106">
        <w:rPr>
          <w:color w:val="000000" w:themeColor="text1"/>
        </w:rPr>
        <w:t>.</w:t>
      </w:r>
      <w:r w:rsidR="00332CD5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="004A735A" w:rsidRPr="00930106">
        <w:rPr>
          <w:color w:val="000000" w:themeColor="text1"/>
        </w:rPr>
        <w:t>here are</w:t>
      </w:r>
      <w:r w:rsidR="00C1243D">
        <w:rPr>
          <w:color w:val="000000" w:themeColor="text1"/>
        </w:rPr>
        <w:t xml:space="preserve"> known</w:t>
      </w:r>
      <w:r w:rsidR="004A735A" w:rsidRPr="00930106">
        <w:rPr>
          <w:color w:val="000000" w:themeColor="text1"/>
        </w:rPr>
        <w:t xml:space="preserve"> genetic variants in the cluster determining </w:t>
      </w:r>
      <w:r w:rsidR="00E33B5D">
        <w:rPr>
          <w:color w:val="000000" w:themeColor="text1"/>
        </w:rPr>
        <w:t>long</w:t>
      </w:r>
      <w:r w:rsidR="00F342D0">
        <w:rPr>
          <w:color w:val="000000" w:themeColor="text1"/>
        </w:rPr>
        <w:t>-</w:t>
      </w:r>
      <w:r w:rsidR="00E33B5D">
        <w:rPr>
          <w:color w:val="000000" w:themeColor="text1"/>
        </w:rPr>
        <w:t xml:space="preserve">chain </w:t>
      </w:r>
      <w:r w:rsidR="004A735A" w:rsidRPr="00930106">
        <w:rPr>
          <w:color w:val="000000" w:themeColor="text1"/>
        </w:rPr>
        <w:t xml:space="preserve">PUFA </w:t>
      </w:r>
      <w:r w:rsidR="004A735A" w:rsidRPr="00930106">
        <w:rPr>
          <w:color w:val="000000" w:themeColor="text1"/>
        </w:rPr>
        <w:lastRenderedPageBreak/>
        <w:t>levels across tissues</w:t>
      </w:r>
      <w:r w:rsidR="00332CD5">
        <w:rPr>
          <w:color w:val="000000" w:themeColor="text1"/>
        </w:rPr>
        <w:t xml:space="preserve"> (26)</w:t>
      </w:r>
      <w:r w:rsidR="00CF424A">
        <w:rPr>
          <w:color w:val="000000" w:themeColor="text1"/>
        </w:rPr>
        <w:t>.</w:t>
      </w:r>
      <w:r w:rsidR="00332CD5">
        <w:rPr>
          <w:color w:val="000000" w:themeColor="text1"/>
        </w:rPr>
        <w:t xml:space="preserve"> </w:t>
      </w:r>
      <w:r w:rsidR="00CF424A">
        <w:rPr>
          <w:color w:val="000000" w:themeColor="text1"/>
        </w:rPr>
        <w:t>A</w:t>
      </w:r>
      <w:r w:rsidR="004A735A" w:rsidRPr="00930106">
        <w:rPr>
          <w:color w:val="000000" w:themeColor="text1"/>
        </w:rPr>
        <w:t xml:space="preserve">round 80% of African Americans </w:t>
      </w:r>
      <w:r w:rsidR="009C25AE">
        <w:rPr>
          <w:color w:val="000000" w:themeColor="text1"/>
        </w:rPr>
        <w:t>have</w:t>
      </w:r>
      <w:r w:rsidR="004A735A" w:rsidRPr="00930106">
        <w:rPr>
          <w:color w:val="000000" w:themeColor="text1"/>
        </w:rPr>
        <w:t xml:space="preserve"> two copies of the alleles linked to elevated </w:t>
      </w:r>
      <w:r w:rsidR="002F5FE3">
        <w:rPr>
          <w:color w:val="000000" w:themeColor="text1"/>
        </w:rPr>
        <w:t>AA</w:t>
      </w:r>
      <w:r w:rsidR="008B15CD">
        <w:rPr>
          <w:color w:val="000000" w:themeColor="text1"/>
        </w:rPr>
        <w:t xml:space="preserve"> and reduced EPA/DHA</w:t>
      </w:r>
      <w:r w:rsidR="004A735A" w:rsidRPr="00930106">
        <w:rPr>
          <w:color w:val="000000" w:themeColor="text1"/>
        </w:rPr>
        <w:t xml:space="preserve">, compared to </w:t>
      </w:r>
      <w:r w:rsidR="00CF424A">
        <w:rPr>
          <w:color w:val="000000" w:themeColor="text1"/>
        </w:rPr>
        <w:t xml:space="preserve">around </w:t>
      </w:r>
      <w:r w:rsidR="004A735A" w:rsidRPr="00930106">
        <w:rPr>
          <w:color w:val="000000" w:themeColor="text1"/>
        </w:rPr>
        <w:t>45% of European Americans</w:t>
      </w:r>
      <w:r w:rsidR="00332CD5">
        <w:rPr>
          <w:color w:val="000000" w:themeColor="text1"/>
        </w:rPr>
        <w:t xml:space="preserve"> (26)</w:t>
      </w:r>
      <w:r w:rsidR="000A791F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</w:p>
    <w:p w14:paraId="0E41E428" w14:textId="7F3D7B70" w:rsidR="004A735A" w:rsidRPr="00930106" w:rsidRDefault="00317464" w:rsidP="00866ACA">
      <w:pPr>
        <w:spacing w:line="480" w:lineRule="auto"/>
        <w:rPr>
          <w:color w:val="000000" w:themeColor="text1"/>
          <w:vertAlign w:val="superscript"/>
        </w:rPr>
      </w:pPr>
      <w:r>
        <w:rPr>
          <w:b/>
          <w:bCs/>
          <w:color w:val="000000" w:themeColor="text1"/>
        </w:rPr>
        <w:tab/>
      </w:r>
      <w:r w:rsidR="004A735A" w:rsidRPr="00930106">
        <w:rPr>
          <w:color w:val="000000" w:themeColor="text1"/>
        </w:rPr>
        <w:t>A central mechanism by which long</w:t>
      </w:r>
      <w:r w:rsidR="004D1D25">
        <w:rPr>
          <w:color w:val="000000" w:themeColor="text1"/>
        </w:rPr>
        <w:t>-</w:t>
      </w:r>
      <w:r w:rsidR="004A735A" w:rsidRPr="00930106">
        <w:rPr>
          <w:color w:val="000000" w:themeColor="text1"/>
        </w:rPr>
        <w:t xml:space="preserve">chain </w:t>
      </w:r>
      <w:r w:rsidR="004242B7">
        <w:rPr>
          <w:color w:val="000000" w:themeColor="text1"/>
        </w:rPr>
        <w:t>omega-3</w:t>
      </w:r>
      <w:r w:rsidR="00F126C9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PUFAs lower inflammation is through the </w:t>
      </w:r>
      <w:r w:rsidR="002F5FE3">
        <w:rPr>
          <w:color w:val="000000" w:themeColor="text1"/>
        </w:rPr>
        <w:t>decrease</w:t>
      </w:r>
      <w:r w:rsidR="004A735A" w:rsidRPr="00930106">
        <w:rPr>
          <w:color w:val="000000" w:themeColor="text1"/>
        </w:rPr>
        <w:t xml:space="preserve"> in </w:t>
      </w:r>
      <w:r w:rsidR="00C97798" w:rsidRPr="00930106">
        <w:rPr>
          <w:color w:val="000000" w:themeColor="text1"/>
        </w:rPr>
        <w:t>omega</w:t>
      </w:r>
      <w:r w:rsidR="004A735A" w:rsidRPr="00930106">
        <w:rPr>
          <w:color w:val="000000" w:themeColor="text1"/>
        </w:rPr>
        <w:t xml:space="preserve">-6 </w:t>
      </w:r>
      <w:r w:rsidR="0047183F">
        <w:rPr>
          <w:color w:val="000000" w:themeColor="text1"/>
        </w:rPr>
        <w:t>PU</w:t>
      </w:r>
      <w:r w:rsidR="004A735A" w:rsidRPr="00930106">
        <w:rPr>
          <w:color w:val="000000" w:themeColor="text1"/>
        </w:rPr>
        <w:t>FAs</w:t>
      </w:r>
      <w:r w:rsidR="002F5FE3">
        <w:rPr>
          <w:color w:val="000000" w:themeColor="text1"/>
        </w:rPr>
        <w:t>, especially AA</w:t>
      </w:r>
      <w:r w:rsidR="00332CD5">
        <w:rPr>
          <w:color w:val="000000" w:themeColor="text1"/>
        </w:rPr>
        <w:t xml:space="preserve"> (6)</w:t>
      </w:r>
      <w:r w:rsidR="004A735A" w:rsidRPr="00930106">
        <w:rPr>
          <w:color w:val="000000" w:themeColor="text1"/>
        </w:rPr>
        <w:t>.</w:t>
      </w:r>
      <w:r w:rsidR="00332CD5">
        <w:rPr>
          <w:color w:val="000000" w:themeColor="text1"/>
        </w:rPr>
        <w:t xml:space="preserve"> </w:t>
      </w:r>
      <w:r w:rsidR="001E0E44">
        <w:rPr>
          <w:color w:val="000000" w:themeColor="text1"/>
        </w:rPr>
        <w:t xml:space="preserve">In </w:t>
      </w:r>
      <w:r w:rsidR="004A735A" w:rsidRPr="00930106">
        <w:rPr>
          <w:color w:val="000000" w:themeColor="text1"/>
        </w:rPr>
        <w:t xml:space="preserve">the PC </w:t>
      </w:r>
      <w:r w:rsidR="005040B9">
        <w:rPr>
          <w:color w:val="000000" w:themeColor="text1"/>
        </w:rPr>
        <w:t xml:space="preserve">and NEFA </w:t>
      </w:r>
      <w:r w:rsidR="0047183F">
        <w:rPr>
          <w:color w:val="000000" w:themeColor="text1"/>
        </w:rPr>
        <w:t>pool</w:t>
      </w:r>
      <w:r w:rsidR="004A735A" w:rsidRPr="00930106">
        <w:rPr>
          <w:color w:val="000000" w:themeColor="text1"/>
        </w:rPr>
        <w:t xml:space="preserve">, significant decreases in both LA and AA </w:t>
      </w:r>
      <w:r w:rsidR="00AA473C">
        <w:rPr>
          <w:color w:val="000000" w:themeColor="text1"/>
        </w:rPr>
        <w:t>were observed</w:t>
      </w:r>
      <w:r w:rsidR="00446778">
        <w:rPr>
          <w:color w:val="000000" w:themeColor="text1"/>
        </w:rPr>
        <w:t xml:space="preserve"> for the EPA+DHA group</w:t>
      </w:r>
      <w:r w:rsidR="00220D5D">
        <w:rPr>
          <w:color w:val="000000" w:themeColor="text1"/>
        </w:rPr>
        <w:t xml:space="preserve"> relative to baseline</w:t>
      </w:r>
      <w:r w:rsidR="00446778">
        <w:rPr>
          <w:color w:val="000000" w:themeColor="text1"/>
        </w:rPr>
        <w:t xml:space="preserve">. </w:t>
      </w:r>
      <w:r w:rsidR="00AA473C">
        <w:rPr>
          <w:color w:val="000000" w:themeColor="text1"/>
        </w:rPr>
        <w:t>This aligns with existing studies</w:t>
      </w:r>
      <w:r w:rsidR="000A791F">
        <w:rPr>
          <w:color w:val="000000" w:themeColor="text1"/>
        </w:rPr>
        <w:t>,</w:t>
      </w:r>
      <w:r w:rsidR="00AA473C">
        <w:rPr>
          <w:color w:val="000000" w:themeColor="text1"/>
        </w:rPr>
        <w:t xml:space="preserve"> which </w:t>
      </w:r>
      <w:r w:rsidR="002224A7">
        <w:rPr>
          <w:color w:val="000000" w:themeColor="text1"/>
        </w:rPr>
        <w:t>have shown</w:t>
      </w:r>
      <w:r w:rsidR="00AA473C">
        <w:rPr>
          <w:color w:val="000000" w:themeColor="text1"/>
        </w:rPr>
        <w:t xml:space="preserve"> that </w:t>
      </w:r>
      <w:r w:rsidR="00AA473C">
        <w:t xml:space="preserve">plasma </w:t>
      </w:r>
      <w:r w:rsidR="000A791F">
        <w:t>PC</w:t>
      </w:r>
      <w:r w:rsidR="00AA473C">
        <w:t xml:space="preserve"> </w:t>
      </w:r>
      <w:r w:rsidR="002224A7">
        <w:t>exhibit</w:t>
      </w:r>
      <w:r w:rsidR="00155351">
        <w:t>s</w:t>
      </w:r>
      <w:r w:rsidR="002224A7">
        <w:t xml:space="preserve"> </w:t>
      </w:r>
      <w:r w:rsidR="00AA473C">
        <w:t>a dose-dependent decrease in oleic acid and three n-6 PUFAs (linoleic acid, di-homo-γ-linolenic acid, and arachidonic acid) as EPA</w:t>
      </w:r>
      <w:r w:rsidR="002224A7">
        <w:t xml:space="preserve"> and</w:t>
      </w:r>
      <w:r w:rsidR="00AA473C">
        <w:t xml:space="preserve"> DHA dosage and incorporation increase</w:t>
      </w:r>
      <w:r w:rsidR="00332CD5">
        <w:t xml:space="preserve"> (23)</w:t>
      </w:r>
      <w:r w:rsidR="002224A7">
        <w:t>.</w:t>
      </w:r>
      <w:r w:rsidR="00332CD5">
        <w:t xml:space="preserve"> </w:t>
      </w:r>
      <w:r w:rsidR="00AA473C">
        <w:t>Plasma PC fatty acid composition is believed to be closely related to that of cell and organelle membranes</w:t>
      </w:r>
      <w:r w:rsidR="00332CD5">
        <w:t xml:space="preserve"> (27)</w:t>
      </w:r>
      <w:r w:rsidR="00AA473C">
        <w:t>.</w:t>
      </w:r>
      <w:r w:rsidR="00332CD5">
        <w:t xml:space="preserve"> </w:t>
      </w:r>
      <w:r w:rsidR="004A735A" w:rsidRPr="00930106">
        <w:rPr>
          <w:color w:val="000000" w:themeColor="text1"/>
        </w:rPr>
        <w:t>Our findings align with recent studies showing that omega-3</w:t>
      </w:r>
      <w:r w:rsidR="006C711F">
        <w:rPr>
          <w:color w:val="000000" w:themeColor="text1"/>
        </w:rPr>
        <w:t xml:space="preserve"> PUFA</w:t>
      </w:r>
      <w:r w:rsidR="004A735A" w:rsidRPr="00930106">
        <w:rPr>
          <w:color w:val="000000" w:themeColor="text1"/>
        </w:rPr>
        <w:t xml:space="preserve"> supplementation (2</w:t>
      </w:r>
      <w:r w:rsidR="00A126F2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g EPA and 1</w:t>
      </w:r>
      <w:r w:rsidR="00A126F2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g DHA</w:t>
      </w:r>
      <w:r w:rsidR="006C711F">
        <w:rPr>
          <w:color w:val="000000" w:themeColor="text1"/>
        </w:rPr>
        <w:t xml:space="preserve"> daily</w:t>
      </w:r>
      <w:r w:rsidR="004A735A" w:rsidRPr="00930106">
        <w:rPr>
          <w:color w:val="000000" w:themeColor="text1"/>
        </w:rPr>
        <w:t xml:space="preserve"> for 12 weeks) can significantly increase EPA and DHA in mitochondrial membranes</w:t>
      </w:r>
      <w:r w:rsidR="004D1D25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while directly displacing omega-6 </w:t>
      </w:r>
      <w:r w:rsidR="00A10D67">
        <w:rPr>
          <w:color w:val="000000" w:themeColor="text1"/>
        </w:rPr>
        <w:t>PUFAs</w:t>
      </w:r>
      <w:r w:rsidR="004A735A" w:rsidRPr="00930106">
        <w:rPr>
          <w:color w:val="000000" w:themeColor="text1"/>
        </w:rPr>
        <w:t xml:space="preserve"> across several phospholipid populations, suggesting a competitive relationship</w:t>
      </w:r>
      <w:r w:rsidR="00663D4A">
        <w:rPr>
          <w:color w:val="000000" w:themeColor="text1"/>
        </w:rPr>
        <w:t xml:space="preserve"> for membrane incorporation</w:t>
      </w:r>
      <w:r w:rsidR="00332CD5">
        <w:rPr>
          <w:color w:val="000000" w:themeColor="text1"/>
        </w:rPr>
        <w:t xml:space="preserve"> (27)</w:t>
      </w:r>
      <w:r w:rsidR="004A735A" w:rsidRPr="00930106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We previously found a modest </w:t>
      </w:r>
      <w:r w:rsidR="007A0C3D">
        <w:rPr>
          <w:color w:val="000000" w:themeColor="text1"/>
        </w:rPr>
        <w:t>decrease</w:t>
      </w:r>
      <w:r w:rsidR="007A0C3D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in </w:t>
      </w:r>
      <w:r w:rsidR="004A735A" w:rsidRPr="00845962">
        <w:rPr>
          <w:color w:val="000000" w:themeColor="text1"/>
        </w:rPr>
        <w:t>serum AA</w:t>
      </w:r>
      <w:r w:rsidR="004A735A" w:rsidRPr="00930106">
        <w:rPr>
          <w:color w:val="000000" w:themeColor="text1"/>
        </w:rPr>
        <w:t xml:space="preserve"> with a marine oil supplement in adults with obesity</w:t>
      </w:r>
      <w:r w:rsidR="00663D4A">
        <w:rPr>
          <w:color w:val="000000" w:themeColor="text1"/>
        </w:rPr>
        <w:t xml:space="preserve">, </w:t>
      </w:r>
      <w:r w:rsidR="007B7589">
        <w:rPr>
          <w:color w:val="000000" w:themeColor="text1"/>
        </w:rPr>
        <w:t xml:space="preserve">findings </w:t>
      </w:r>
      <w:r w:rsidR="00663D4A">
        <w:rPr>
          <w:color w:val="000000" w:themeColor="text1"/>
        </w:rPr>
        <w:t xml:space="preserve">consistent with </w:t>
      </w:r>
      <w:r w:rsidR="007B7589">
        <w:rPr>
          <w:color w:val="000000" w:themeColor="text1"/>
        </w:rPr>
        <w:t xml:space="preserve">those of </w:t>
      </w:r>
      <w:r w:rsidR="00663D4A">
        <w:rPr>
          <w:color w:val="000000" w:themeColor="text1"/>
        </w:rPr>
        <w:t>the current study</w:t>
      </w:r>
      <w:r w:rsidR="00332CD5">
        <w:rPr>
          <w:color w:val="000000" w:themeColor="text1"/>
        </w:rPr>
        <w:t xml:space="preserve"> (28)</w:t>
      </w:r>
      <w:r w:rsidR="004A735A" w:rsidRPr="00930106">
        <w:rPr>
          <w:color w:val="000000" w:themeColor="text1"/>
        </w:rPr>
        <w:t>.</w:t>
      </w:r>
      <w:r w:rsidR="00332CD5" w:rsidRPr="00930106">
        <w:rPr>
          <w:color w:val="000000" w:themeColor="text1"/>
          <w:vertAlign w:val="superscript"/>
        </w:rPr>
        <w:t xml:space="preserve"> </w:t>
      </w:r>
    </w:p>
    <w:p w14:paraId="5816AE8B" w14:textId="607221DF" w:rsidR="00DA4478" w:rsidRPr="00317464" w:rsidRDefault="001A73A5" w:rsidP="00317464">
      <w:pPr>
        <w:spacing w:line="480" w:lineRule="auto"/>
        <w:ind w:firstLine="720"/>
        <w:rPr>
          <w:vertAlign w:val="superscript"/>
        </w:rPr>
      </w:pPr>
      <w:r>
        <w:t xml:space="preserve">After supplementation, we observed significantly lower LA levels within the CE pool in the EPA+DHA group compared to the </w:t>
      </w:r>
      <w:r w:rsidR="002026D2">
        <w:t>CO</w:t>
      </w:r>
      <w:r>
        <w:t xml:space="preserve"> group at week 12. This finding is particularly relevant</w:t>
      </w:r>
      <w:r w:rsidR="007B7589">
        <w:t>,</w:t>
      </w:r>
      <w:r>
        <w:t xml:space="preserve"> as previous research has shown that CE</w:t>
      </w:r>
      <w:r w:rsidR="00155351">
        <w:t>s</w:t>
      </w:r>
      <w:r>
        <w:t xml:space="preserve"> enriched with omega-6 PUFAs are more susceptible to </w:t>
      </w:r>
      <w:r w:rsidRPr="00DA715A">
        <w:t xml:space="preserve">oxidation, potentially contributing to </w:t>
      </w:r>
      <w:r w:rsidR="007B7589">
        <w:t>the</w:t>
      </w:r>
      <w:r w:rsidRPr="00DA715A">
        <w:t xml:space="preserve"> progression</w:t>
      </w:r>
      <w:r w:rsidR="007B7589">
        <w:t xml:space="preserve"> of atherosclerosis</w:t>
      </w:r>
      <w:r w:rsidR="00332CD5">
        <w:t xml:space="preserve"> (29)</w:t>
      </w:r>
      <w:r w:rsidRPr="00DA715A">
        <w:t>.</w:t>
      </w:r>
      <w:r w:rsidR="00332CD5">
        <w:t xml:space="preserve"> </w:t>
      </w:r>
      <w:r>
        <w:t xml:space="preserve">The reduced LA content in the CE pool following omega-3 </w:t>
      </w:r>
      <w:r w:rsidR="005D35D9">
        <w:t xml:space="preserve">PUFA </w:t>
      </w:r>
      <w:r>
        <w:t xml:space="preserve">supplementation may therefore represent a potential cardioprotective mechanism, </w:t>
      </w:r>
      <w:r w:rsidR="007B7589">
        <w:t>as</w:t>
      </w:r>
      <w:r>
        <w:t xml:space="preserve"> lower levels of oxidized LDL have been associated with </w:t>
      </w:r>
      <w:r w:rsidR="007B7589">
        <w:t>a reduced</w:t>
      </w:r>
      <w:r>
        <w:t xml:space="preserve"> risk</w:t>
      </w:r>
      <w:r w:rsidR="007B7589">
        <w:t xml:space="preserve"> of CVD</w:t>
      </w:r>
      <w:r w:rsidR="00332CD5">
        <w:t xml:space="preserve"> (29)</w:t>
      </w:r>
      <w:r>
        <w:t>.</w:t>
      </w:r>
      <w:r w:rsidR="00332CD5">
        <w:t xml:space="preserve"> </w:t>
      </w:r>
      <w:r w:rsidR="00AD3709">
        <w:t xml:space="preserve">We also noticed changes in select saturated and </w:t>
      </w:r>
      <w:r w:rsidR="00AD3709">
        <w:lastRenderedPageBreak/>
        <w:t>monounsaturated fatty acids</w:t>
      </w:r>
      <w:r w:rsidR="00D4672C">
        <w:t xml:space="preserve"> </w:t>
      </w:r>
      <w:r w:rsidR="00AD3709">
        <w:t xml:space="preserve">after 12 weeks of EPA+DHA supplementation. </w:t>
      </w:r>
      <w:r w:rsidR="00317464">
        <w:t>T</w:t>
      </w:r>
      <w:r w:rsidR="00AD3709">
        <w:t xml:space="preserve">his is an interesting finding that suggests EPA+DHA may indirectly alter the metabolism and remodeling of other fatty acid classes, warranting further study. </w:t>
      </w:r>
    </w:p>
    <w:p w14:paraId="5565C84E" w14:textId="416C3E6D" w:rsidR="004A735A" w:rsidRPr="00930106" w:rsidRDefault="00317464" w:rsidP="002B5423">
      <w:pPr>
        <w:spacing w:line="480" w:lineRule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CF424A">
        <w:rPr>
          <w:color w:val="000000" w:themeColor="text1"/>
        </w:rPr>
        <w:t xml:space="preserve">After supplementation with EPA+DHA, </w:t>
      </w:r>
      <w:r w:rsidR="004A735A" w:rsidRPr="00930106">
        <w:rPr>
          <w:color w:val="000000" w:themeColor="text1"/>
        </w:rPr>
        <w:t>EPA-derived oxylipins</w:t>
      </w:r>
      <w:r w:rsidR="009B0D47">
        <w:rPr>
          <w:color w:val="000000" w:themeColor="text1"/>
        </w:rPr>
        <w:t>,</w:t>
      </w:r>
      <w:r w:rsidR="004A735A" w:rsidRPr="00930106">
        <w:rPr>
          <w:color w:val="000000" w:themeColor="text1"/>
        </w:rPr>
        <w:t xml:space="preserve"> 5-HEPE, 15-HEPE, and 17,18-DiHETE</w:t>
      </w:r>
      <w:r w:rsidR="009B0D47">
        <w:rPr>
          <w:color w:val="000000" w:themeColor="text1"/>
        </w:rPr>
        <w:t>,</w:t>
      </w:r>
      <w:r w:rsidR="004A735A" w:rsidRPr="00930106">
        <w:rPr>
          <w:color w:val="000000" w:themeColor="text1"/>
        </w:rPr>
        <w:t xml:space="preserve"> </w:t>
      </w:r>
      <w:r w:rsidR="009B0D47">
        <w:rPr>
          <w:color w:val="000000" w:themeColor="text1"/>
        </w:rPr>
        <w:t>were</w:t>
      </w:r>
      <w:r w:rsidR="009B0D47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substantial</w:t>
      </w:r>
      <w:r w:rsidR="009B0D47">
        <w:rPr>
          <w:color w:val="000000" w:themeColor="text1"/>
        </w:rPr>
        <w:t>ly</w:t>
      </w:r>
      <w:r w:rsidR="004A735A" w:rsidRPr="00930106">
        <w:rPr>
          <w:color w:val="000000" w:themeColor="text1"/>
        </w:rPr>
        <w:t xml:space="preserve"> </w:t>
      </w:r>
      <w:r w:rsidR="0088587C">
        <w:rPr>
          <w:color w:val="000000" w:themeColor="text1"/>
        </w:rPr>
        <w:t>increased</w:t>
      </w:r>
      <w:r w:rsidR="00CF424A">
        <w:rPr>
          <w:color w:val="000000" w:themeColor="text1"/>
        </w:rPr>
        <w:t xml:space="preserve"> </w:t>
      </w:r>
      <w:r w:rsidR="00220D5D">
        <w:rPr>
          <w:color w:val="000000" w:themeColor="text1"/>
        </w:rPr>
        <w:t>relative to baseline</w:t>
      </w:r>
      <w:r w:rsidR="004A735A" w:rsidRPr="00930106">
        <w:rPr>
          <w:color w:val="000000" w:themeColor="text1"/>
        </w:rPr>
        <w:t>.</w:t>
      </w:r>
      <w:r w:rsidR="00730427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5-HEPE plays a role in endocrine functions and </w:t>
      </w:r>
      <w:r w:rsidR="009D0ECF">
        <w:rPr>
          <w:color w:val="000000" w:themeColor="text1"/>
        </w:rPr>
        <w:t>can</w:t>
      </w:r>
      <w:r w:rsidR="004A735A" w:rsidRPr="00930106">
        <w:rPr>
          <w:color w:val="000000" w:themeColor="text1"/>
        </w:rPr>
        <w:t xml:space="preserve"> induce regulatory T-cells in murine models</w:t>
      </w:r>
      <w:r w:rsidR="00332CD5">
        <w:rPr>
          <w:color w:val="000000" w:themeColor="text1"/>
        </w:rPr>
        <w:t xml:space="preserve"> (29,30)</w:t>
      </w:r>
      <w:r w:rsidR="00CF424A">
        <w:rPr>
          <w:color w:val="000000" w:themeColor="text1"/>
        </w:rPr>
        <w:t>.</w:t>
      </w:r>
      <w:r w:rsidR="00DA715A">
        <w:rPr>
          <w:color w:val="000000" w:themeColor="text1"/>
          <w:vertAlign w:val="superscript"/>
        </w:rPr>
        <w:t xml:space="preserve"> </w:t>
      </w:r>
      <w:r w:rsidR="004A735A" w:rsidRPr="00930106">
        <w:rPr>
          <w:color w:val="000000" w:themeColor="text1"/>
        </w:rPr>
        <w:t xml:space="preserve">15-HEPE is known to decrease neutrophil migration during </w:t>
      </w:r>
      <w:r w:rsidR="002E4C19" w:rsidRPr="002E4C19">
        <w:rPr>
          <w:color w:val="000000" w:themeColor="text1"/>
        </w:rPr>
        <w:t>inflammation</w:t>
      </w:r>
      <w:r w:rsidR="00332CD5">
        <w:rPr>
          <w:color w:val="000000" w:themeColor="text1"/>
        </w:rPr>
        <w:t xml:space="preserve"> (29)</w:t>
      </w:r>
      <w:r w:rsidR="002E4C19" w:rsidRPr="002E4C19">
        <w:rPr>
          <w:color w:val="000000" w:themeColor="text1"/>
        </w:rPr>
        <w:t>.</w:t>
      </w:r>
      <w:r w:rsidR="00332CD5" w:rsidRPr="002E4C19">
        <w:rPr>
          <w:color w:val="000000" w:themeColor="text1"/>
        </w:rPr>
        <w:t xml:space="preserve"> </w:t>
      </w:r>
      <w:r w:rsidR="002E4C19" w:rsidRPr="002E4C19">
        <w:rPr>
          <w:color w:val="000000" w:themeColor="text1"/>
        </w:rPr>
        <w:t xml:space="preserve">While the role of 17,18-DiHETE is not well understood, higher levels are found in individuals after </w:t>
      </w:r>
      <w:r w:rsidR="004242B7">
        <w:rPr>
          <w:color w:val="000000" w:themeColor="text1"/>
        </w:rPr>
        <w:t>omega</w:t>
      </w:r>
      <w:r w:rsidR="002E4C19" w:rsidRPr="002E4C19">
        <w:rPr>
          <w:color w:val="000000" w:themeColor="text1"/>
        </w:rPr>
        <w:t>-3 PUFA supplementation compared</w:t>
      </w:r>
      <w:r w:rsidR="00B66DF5">
        <w:rPr>
          <w:color w:val="000000" w:themeColor="text1"/>
        </w:rPr>
        <w:t xml:space="preserve"> to</w:t>
      </w:r>
      <w:r w:rsidR="004A735A" w:rsidRPr="00930106">
        <w:rPr>
          <w:color w:val="000000" w:themeColor="text1"/>
        </w:rPr>
        <w:t xml:space="preserve"> baseline</w:t>
      </w:r>
      <w:r w:rsidR="00332CD5">
        <w:rPr>
          <w:color w:val="000000" w:themeColor="text1"/>
        </w:rPr>
        <w:t xml:space="preserve"> (31)</w:t>
      </w:r>
      <w:r w:rsidR="004A735A" w:rsidRPr="00930106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DHA-derived oxylipins</w:t>
      </w:r>
      <w:r w:rsidR="0088587C">
        <w:rPr>
          <w:color w:val="000000" w:themeColor="text1"/>
        </w:rPr>
        <w:t>,</w:t>
      </w:r>
      <w:r w:rsidR="004A735A" w:rsidRPr="00930106">
        <w:rPr>
          <w:color w:val="000000" w:themeColor="text1"/>
        </w:rPr>
        <w:t xml:space="preserve"> 17(S)-HDHA and 8-HDoHE</w:t>
      </w:r>
      <w:r w:rsidR="0088587C">
        <w:rPr>
          <w:color w:val="000000" w:themeColor="text1"/>
        </w:rPr>
        <w:t>,</w:t>
      </w:r>
      <w:r w:rsidR="004A735A" w:rsidRPr="00930106">
        <w:rPr>
          <w:color w:val="000000" w:themeColor="text1"/>
        </w:rPr>
        <w:t xml:space="preserve"> increas</w:t>
      </w:r>
      <w:r w:rsidR="0088587C">
        <w:rPr>
          <w:color w:val="000000" w:themeColor="text1"/>
        </w:rPr>
        <w:t>ed</w:t>
      </w:r>
      <w:r w:rsidR="00B66DF5">
        <w:rPr>
          <w:color w:val="000000" w:themeColor="text1"/>
        </w:rPr>
        <w:t xml:space="preserve"> upon </w:t>
      </w:r>
      <w:r w:rsidR="000E5A1F">
        <w:rPr>
          <w:color w:val="000000" w:themeColor="text1"/>
        </w:rPr>
        <w:t>EPA+DHA</w:t>
      </w:r>
      <w:r w:rsidR="00B66DF5">
        <w:rPr>
          <w:color w:val="000000" w:themeColor="text1"/>
        </w:rPr>
        <w:t xml:space="preserve"> intervention</w:t>
      </w:r>
      <w:r w:rsidR="00220D5D">
        <w:rPr>
          <w:color w:val="000000" w:themeColor="text1"/>
        </w:rPr>
        <w:t xml:space="preserve"> relative to baseline</w:t>
      </w:r>
      <w:r w:rsidR="00B66DF5">
        <w:rPr>
          <w:color w:val="000000" w:themeColor="text1"/>
        </w:rPr>
        <w:t>.</w:t>
      </w:r>
      <w:r w:rsidR="00A126F2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17(S)-HDHA</w:t>
      </w:r>
      <w:r w:rsidR="00273C12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has implications in pain modulation, with high circulating levels correlating with increased heat pain thresholds and reduced pain scores in </w:t>
      </w:r>
      <w:r w:rsidR="00EB500B">
        <w:rPr>
          <w:color w:val="000000" w:themeColor="text1"/>
        </w:rPr>
        <w:t xml:space="preserve">patients with </w:t>
      </w:r>
      <w:r w:rsidR="004A735A" w:rsidRPr="00930106">
        <w:rPr>
          <w:color w:val="000000" w:themeColor="text1"/>
        </w:rPr>
        <w:t>osteoarthritis</w:t>
      </w:r>
      <w:r w:rsidR="00332CD5">
        <w:rPr>
          <w:color w:val="000000" w:themeColor="text1"/>
        </w:rPr>
        <w:t xml:space="preserve"> (32)</w:t>
      </w:r>
      <w:r w:rsidR="004A735A" w:rsidRPr="00930106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</w:p>
    <w:p w14:paraId="3CC24941" w14:textId="7034C386" w:rsidR="004A735A" w:rsidRDefault="00273C12" w:rsidP="00FC5D4E">
      <w:pPr>
        <w:pStyle w:val="whitespace-pre-wrap"/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>W</w:t>
      </w:r>
      <w:r w:rsidR="004A735A" w:rsidRPr="00930106">
        <w:rPr>
          <w:color w:val="000000" w:themeColor="text1"/>
        </w:rPr>
        <w:t xml:space="preserve">e </w:t>
      </w:r>
      <w:r>
        <w:rPr>
          <w:color w:val="000000" w:themeColor="text1"/>
        </w:rPr>
        <w:t xml:space="preserve">also </w:t>
      </w:r>
      <w:r w:rsidR="004A735A" w:rsidRPr="00930106">
        <w:rPr>
          <w:color w:val="000000" w:themeColor="text1"/>
        </w:rPr>
        <w:t xml:space="preserve">observed </w:t>
      </w:r>
      <w:r w:rsidR="00E726D6">
        <w:rPr>
          <w:color w:val="000000" w:themeColor="text1"/>
        </w:rPr>
        <w:t xml:space="preserve">a </w:t>
      </w:r>
      <w:r w:rsidR="004A735A" w:rsidRPr="00930106">
        <w:rPr>
          <w:color w:val="000000" w:themeColor="text1"/>
        </w:rPr>
        <w:t xml:space="preserve">significant </w:t>
      </w:r>
      <w:r w:rsidR="00E726D6">
        <w:rPr>
          <w:color w:val="000000" w:themeColor="text1"/>
        </w:rPr>
        <w:t>increase in the pro-inflammatory oxylipin PGF2</w:t>
      </w:r>
      <w:r w:rsidR="009F2D27">
        <w:t>α</w:t>
      </w:r>
      <w:r w:rsidR="00317464">
        <w:t xml:space="preserve"> with EPA+DHA</w:t>
      </w:r>
      <w:r w:rsidR="00220D5D">
        <w:t xml:space="preserve"> relative to baseline</w:t>
      </w:r>
      <w:r w:rsidR="00317464">
        <w:t>.</w:t>
      </w:r>
      <w:r w:rsidR="00332CD5">
        <w:t xml:space="preserve"> </w:t>
      </w:r>
      <w:r w:rsidR="00E726D6">
        <w:t>This finding is particularly intriguing</w:t>
      </w:r>
      <w:r w:rsidR="002E4C19">
        <w:t>,</w:t>
      </w:r>
      <w:r w:rsidR="00E726D6">
        <w:t xml:space="preserve"> </w:t>
      </w:r>
      <w:r w:rsidR="002E4C19">
        <w:t>as</w:t>
      </w:r>
      <w:r w:rsidR="00E726D6">
        <w:t xml:space="preserve"> PGF2α is derived from AA, which typically competes with EPA and DHA for the same enzymatic pathways</w:t>
      </w:r>
      <w:r w:rsidR="00332CD5">
        <w:t xml:space="preserve"> (33)</w:t>
      </w:r>
      <w:r w:rsidR="00E726D6">
        <w:t>.</w:t>
      </w:r>
      <w:r w:rsidR="00E726D6">
        <w:rPr>
          <w:color w:val="000000" w:themeColor="text1"/>
        </w:rPr>
        <w:t xml:space="preserve"> </w:t>
      </w:r>
      <w:r w:rsidR="005978BA">
        <w:rPr>
          <w:color w:val="000000" w:themeColor="text1"/>
        </w:rPr>
        <w:t>In</w:t>
      </w:r>
      <w:r w:rsidR="00EE3EA3">
        <w:rPr>
          <w:color w:val="000000" w:themeColor="text1"/>
        </w:rPr>
        <w:t xml:space="preserve"> our</w:t>
      </w:r>
      <w:r w:rsidR="005978BA">
        <w:rPr>
          <w:color w:val="000000" w:themeColor="text1"/>
        </w:rPr>
        <w:t xml:space="preserve"> previous work, </w:t>
      </w:r>
      <w:r w:rsidR="00EE3EA3">
        <w:rPr>
          <w:color w:val="000000" w:themeColor="text1"/>
        </w:rPr>
        <w:t>similar increases in PGF2</w:t>
      </w:r>
      <w:r>
        <w:t>α</w:t>
      </w:r>
      <w:r w:rsidR="00EE3EA3">
        <w:rPr>
          <w:color w:val="000000" w:themeColor="text1"/>
        </w:rPr>
        <w:t xml:space="preserve"> following marine oil supplementation</w:t>
      </w:r>
      <w:r w:rsidR="00317464">
        <w:rPr>
          <w:color w:val="000000" w:themeColor="text1"/>
        </w:rPr>
        <w:t xml:space="preserve"> were</w:t>
      </w:r>
      <w:r w:rsidR="00EE3EA3">
        <w:rPr>
          <w:color w:val="000000" w:themeColor="text1"/>
        </w:rPr>
        <w:t xml:space="preserve"> reported, which is likely driven by small amounts of AA in the oil</w:t>
      </w:r>
      <w:r w:rsidR="00332CD5">
        <w:rPr>
          <w:color w:val="000000" w:themeColor="text1"/>
        </w:rPr>
        <w:t xml:space="preserve"> (28)</w:t>
      </w:r>
      <w:r w:rsidR="00EE3EA3">
        <w:rPr>
          <w:color w:val="000000" w:themeColor="text1"/>
        </w:rPr>
        <w:t>.</w:t>
      </w:r>
      <w:r w:rsidR="00332CD5">
        <w:rPr>
          <w:color w:val="000000" w:themeColor="text1"/>
        </w:rPr>
        <w:t xml:space="preserve"> </w:t>
      </w:r>
      <w:r w:rsidR="00E726D6">
        <w:rPr>
          <w:color w:val="000000" w:themeColor="text1"/>
        </w:rPr>
        <w:t xml:space="preserve">Additionally, </w:t>
      </w:r>
      <w:r w:rsidR="00B732D2">
        <w:rPr>
          <w:color w:val="000000" w:themeColor="text1"/>
        </w:rPr>
        <w:t xml:space="preserve">after EPA+DHA supplementation, </w:t>
      </w:r>
      <w:r w:rsidR="00E726D6">
        <w:rPr>
          <w:color w:val="000000" w:themeColor="text1"/>
        </w:rPr>
        <w:t xml:space="preserve">we observed a </w:t>
      </w:r>
      <w:r w:rsidR="00420F21">
        <w:rPr>
          <w:color w:val="000000" w:themeColor="text1"/>
        </w:rPr>
        <w:t>decrease</w:t>
      </w:r>
      <w:r w:rsidR="00E726D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in </w:t>
      </w:r>
      <w:r w:rsidR="005F1889">
        <w:rPr>
          <w:color w:val="000000" w:themeColor="text1"/>
        </w:rPr>
        <w:t xml:space="preserve">the </w:t>
      </w:r>
      <w:r w:rsidR="004A735A" w:rsidRPr="00930106">
        <w:rPr>
          <w:color w:val="000000" w:themeColor="text1"/>
        </w:rPr>
        <w:t>pro-inflammatory oxylipin</w:t>
      </w:r>
      <w:r w:rsidR="0053147D">
        <w:rPr>
          <w:color w:val="000000" w:themeColor="text1"/>
        </w:rPr>
        <w:t>,</w:t>
      </w:r>
      <w:r w:rsidR="00220D5D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12</w:t>
      </w:r>
      <w:r w:rsidR="00E726D6">
        <w:rPr>
          <w:color w:val="000000" w:themeColor="text1"/>
        </w:rPr>
        <w:t>S-HETE</w:t>
      </w:r>
      <w:r w:rsidR="00A35E94">
        <w:rPr>
          <w:color w:val="000000" w:themeColor="text1"/>
        </w:rPr>
        <w:t xml:space="preserve">, </w:t>
      </w:r>
      <w:r w:rsidR="00B732D2">
        <w:rPr>
          <w:color w:val="000000" w:themeColor="text1"/>
        </w:rPr>
        <w:t>relative to baseline</w:t>
      </w:r>
      <w:r w:rsidR="00420F21">
        <w:rPr>
          <w:color w:val="000000" w:themeColor="text1"/>
        </w:rPr>
        <w:t>.</w:t>
      </w:r>
      <w:r w:rsidR="004A735A" w:rsidRPr="00930106">
        <w:rPr>
          <w:color w:val="000000" w:themeColor="text1"/>
        </w:rPr>
        <w:t xml:space="preserve"> </w:t>
      </w:r>
      <w:r w:rsidR="00420F21">
        <w:rPr>
          <w:color w:val="000000" w:themeColor="text1"/>
        </w:rPr>
        <w:t>Thus</w:t>
      </w:r>
      <w:r w:rsidR="002E4C19">
        <w:rPr>
          <w:color w:val="000000" w:themeColor="text1"/>
        </w:rPr>
        <w:t>,</w:t>
      </w:r>
      <w:r w:rsidR="00420F21">
        <w:rPr>
          <w:color w:val="000000" w:themeColor="text1"/>
        </w:rPr>
        <w:t xml:space="preserve"> the lower</w:t>
      </w:r>
      <w:r w:rsidR="00FC5D4E">
        <w:rPr>
          <w:color w:val="000000" w:themeColor="text1"/>
        </w:rPr>
        <w:t xml:space="preserve"> concentrations of th</w:t>
      </w:r>
      <w:r w:rsidR="00A35E94">
        <w:rPr>
          <w:color w:val="000000" w:themeColor="text1"/>
        </w:rPr>
        <w:t>is</w:t>
      </w:r>
      <w:r w:rsidR="00FC5D4E">
        <w:rPr>
          <w:color w:val="000000" w:themeColor="text1"/>
        </w:rPr>
        <w:t xml:space="preserve"> oxylipin might relate to the lower AA seen after EPA+DHA supplementation</w:t>
      </w:r>
      <w:r w:rsidR="00A35E94">
        <w:rPr>
          <w:color w:val="000000" w:themeColor="text1"/>
        </w:rPr>
        <w:t xml:space="preserve"> in the PC pool</w:t>
      </w:r>
      <w:r w:rsidR="00FC5D4E">
        <w:rPr>
          <w:color w:val="000000" w:themeColor="text1"/>
        </w:rPr>
        <w:t xml:space="preserve">. These decreases might be functionally </w:t>
      </w:r>
      <w:r w:rsidR="00E726D6">
        <w:rPr>
          <w:color w:val="000000" w:themeColor="text1"/>
        </w:rPr>
        <w:t>signific</w:t>
      </w:r>
      <w:r w:rsidR="00FC5D4E">
        <w:rPr>
          <w:color w:val="000000" w:themeColor="text1"/>
        </w:rPr>
        <w:t>ant.</w:t>
      </w:r>
      <w:r w:rsidR="00E726D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>12</w:t>
      </w:r>
      <w:r w:rsidR="009E495A">
        <w:rPr>
          <w:color w:val="000000" w:themeColor="text1"/>
        </w:rPr>
        <w:t>S-HETE</w:t>
      </w:r>
      <w:r w:rsidR="004A735A" w:rsidRPr="00930106">
        <w:rPr>
          <w:color w:val="000000" w:themeColor="text1"/>
        </w:rPr>
        <w:t xml:space="preserve"> plays a role in </w:t>
      </w:r>
      <w:r w:rsidR="00E726D6">
        <w:rPr>
          <w:color w:val="000000" w:themeColor="text1"/>
        </w:rPr>
        <w:t>cell proliferation and metastasis</w:t>
      </w:r>
      <w:r w:rsidR="00332CD5">
        <w:rPr>
          <w:color w:val="000000" w:themeColor="text1"/>
        </w:rPr>
        <w:t xml:space="preserve"> (34)</w:t>
      </w:r>
      <w:r w:rsidR="00A35E94">
        <w:rPr>
          <w:color w:val="000000" w:themeColor="text1"/>
        </w:rPr>
        <w:t>.</w:t>
      </w:r>
      <w:r w:rsidR="00332CD5">
        <w:rPr>
          <w:color w:val="000000" w:themeColor="text1"/>
        </w:rPr>
        <w:t xml:space="preserve"> </w:t>
      </w:r>
    </w:p>
    <w:p w14:paraId="3AEEA5D1" w14:textId="66FC6594" w:rsidR="00EE3EA3" w:rsidRPr="00930106" w:rsidRDefault="00273C12" w:rsidP="00FC5D4E">
      <w:pPr>
        <w:pStyle w:val="whitespace-pre-wrap"/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lastRenderedPageBreak/>
        <w:t>W</w:t>
      </w:r>
      <w:r w:rsidR="00EE3EA3">
        <w:rPr>
          <w:color w:val="000000" w:themeColor="text1"/>
        </w:rPr>
        <w:t xml:space="preserve">e </w:t>
      </w:r>
      <w:r w:rsidR="00740D76">
        <w:rPr>
          <w:color w:val="000000" w:themeColor="text1"/>
        </w:rPr>
        <w:t xml:space="preserve">observed that 12-week supplementation with </w:t>
      </w:r>
      <w:r w:rsidR="00317464">
        <w:rPr>
          <w:color w:val="000000" w:themeColor="text1"/>
        </w:rPr>
        <w:t xml:space="preserve">CO </w:t>
      </w:r>
      <w:r w:rsidR="00740D76">
        <w:rPr>
          <w:color w:val="000000" w:themeColor="text1"/>
        </w:rPr>
        <w:t>resulted in significant changes in several oxylipins. 5S-HETE, 14(15)-EET, and TXB2 all decreased following supplementation.</w:t>
      </w:r>
      <w:r w:rsidR="00317464">
        <w:rPr>
          <w:color w:val="000000" w:themeColor="text1"/>
        </w:rPr>
        <w:t xml:space="preserve"> </w:t>
      </w:r>
      <w:r w:rsidR="00317464">
        <w:t>A</w:t>
      </w:r>
      <w:r w:rsidR="007B305A">
        <w:t xml:space="preserve"> prior </w:t>
      </w:r>
      <w:r w:rsidR="00B2034C">
        <w:t xml:space="preserve">study found that higher intake of LA resulted in a decrease in </w:t>
      </w:r>
      <w:r w:rsidR="007B305A">
        <w:t xml:space="preserve">PC AA </w:t>
      </w:r>
      <w:r w:rsidR="00B2034C">
        <w:t>in HDL, indicating reduced AA availability as a substrate for eicosanoid synthesis</w:t>
      </w:r>
      <w:r w:rsidR="00332CD5">
        <w:t xml:space="preserve"> (35)</w:t>
      </w:r>
      <w:r w:rsidR="00B2034C">
        <w:t>.</w:t>
      </w:r>
      <w:r w:rsidR="00332CD5">
        <w:t xml:space="preserve"> </w:t>
      </w:r>
      <w:r w:rsidR="00B2034C">
        <w:t xml:space="preserve">This is consistent with previous work in Atlantic salmon, where increasing dietary </w:t>
      </w:r>
      <w:r w:rsidR="003E7742">
        <w:t>LA</w:t>
      </w:r>
      <w:r w:rsidR="007E7894">
        <w:t xml:space="preserve"> </w:t>
      </w:r>
      <w:r w:rsidR="00B2034C">
        <w:t>led to decreased TXB2 and other oxylipins in stimulated gill cells</w:t>
      </w:r>
      <w:r w:rsidR="00332CD5">
        <w:t xml:space="preserve"> (</w:t>
      </w:r>
      <w:r w:rsidR="00005E80" w:rsidRPr="00AF5F47">
        <w:rPr>
          <w:color w:val="000000" w:themeColor="text1"/>
        </w:rPr>
        <w:t>36</w:t>
      </w:r>
      <w:r w:rsidR="00332CD5">
        <w:t>)</w:t>
      </w:r>
      <w:r w:rsidR="00B2034C">
        <w:t>.</w:t>
      </w:r>
      <w:r w:rsidR="00332CD5">
        <w:t xml:space="preserve"> </w:t>
      </w:r>
      <w:r w:rsidR="001D394B">
        <w:t xml:space="preserve">We also observed increases in oxidized </w:t>
      </w:r>
      <w:r w:rsidR="00524D57">
        <w:t>LA</w:t>
      </w:r>
      <w:r w:rsidR="007E7894">
        <w:t xml:space="preserve"> </w:t>
      </w:r>
      <w:r w:rsidR="001D394B">
        <w:t>metabolites</w:t>
      </w:r>
      <w:r w:rsidR="00416EE3">
        <w:t>,</w:t>
      </w:r>
      <w:r w:rsidR="001D394B">
        <w:t xml:space="preserve"> including 13-HODE, 13-OxoODE, 9-HODE, and 9-HOTrE</w:t>
      </w:r>
      <w:r w:rsidR="00416EE3">
        <w:t>,</w:t>
      </w:r>
      <w:r w:rsidR="001D394B">
        <w:t xml:space="preserve"> following </w:t>
      </w:r>
      <w:r w:rsidR="007B7589">
        <w:t xml:space="preserve">supplementation with </w:t>
      </w:r>
      <w:r w:rsidR="001D394B">
        <w:t xml:space="preserve">corn oil. These oxidized </w:t>
      </w:r>
      <w:r w:rsidR="00524D57">
        <w:t>LA</w:t>
      </w:r>
      <w:r w:rsidR="001D394B">
        <w:t xml:space="preserve"> metabolites (OXLAMs) are formed from LA through the action of oxidoreductases such as glutathione peroxidase and hydroxy fatty acid dehydrogenase</w:t>
      </w:r>
      <w:r w:rsidR="00332CD5">
        <w:t xml:space="preserve"> (</w:t>
      </w:r>
      <w:r w:rsidR="00005E80">
        <w:t>37</w:t>
      </w:r>
      <w:r w:rsidR="00332CD5">
        <w:t>)</w:t>
      </w:r>
      <w:r w:rsidR="001D394B">
        <w:t xml:space="preserve">. Given that our research showed </w:t>
      </w:r>
      <w:r w:rsidR="00E559EB">
        <w:t>CO</w:t>
      </w:r>
      <w:r w:rsidR="001D394B">
        <w:t xml:space="preserve"> supplementation </w:t>
      </w:r>
      <w:r w:rsidR="00E559EB">
        <w:t xml:space="preserve">to </w:t>
      </w:r>
      <w:r w:rsidR="001D394B">
        <w:t>result in higher LA content in both PC and</w:t>
      </w:r>
      <w:r w:rsidR="007B305A">
        <w:t xml:space="preserve"> CE</w:t>
      </w:r>
      <w:r w:rsidR="001D394B">
        <w:t>, this provides a direct explanation for the increased concentrations of these oxidized metabolites in circulation.</w:t>
      </w:r>
    </w:p>
    <w:p w14:paraId="69C4CA12" w14:textId="2D513C9B" w:rsidR="00317464" w:rsidRPr="00930106" w:rsidRDefault="004A735A" w:rsidP="00E675FB">
      <w:pPr>
        <w:pStyle w:val="whitespace-pre-wrap"/>
        <w:spacing w:line="480" w:lineRule="auto"/>
        <w:ind w:firstLine="720"/>
        <w:rPr>
          <w:color w:val="000000" w:themeColor="text1"/>
        </w:rPr>
      </w:pPr>
      <w:r w:rsidRPr="00930106">
        <w:rPr>
          <w:color w:val="000000" w:themeColor="text1"/>
        </w:rPr>
        <w:t xml:space="preserve">Our findings </w:t>
      </w:r>
      <w:r w:rsidR="00273C12">
        <w:rPr>
          <w:color w:val="000000" w:themeColor="text1"/>
        </w:rPr>
        <w:t xml:space="preserve">generally </w:t>
      </w:r>
      <w:r w:rsidR="009C386E" w:rsidRPr="00930106">
        <w:rPr>
          <w:color w:val="000000" w:themeColor="text1"/>
        </w:rPr>
        <w:t>support the notion that EPA</w:t>
      </w:r>
      <w:r w:rsidR="00285AA6">
        <w:rPr>
          <w:color w:val="000000" w:themeColor="text1"/>
        </w:rPr>
        <w:t xml:space="preserve"> and </w:t>
      </w:r>
      <w:r w:rsidR="009C386E" w:rsidRPr="00930106">
        <w:rPr>
          <w:color w:val="000000" w:themeColor="text1"/>
        </w:rPr>
        <w:t>DHA work through a dual</w:t>
      </w:r>
      <w:r w:rsidRPr="00930106">
        <w:rPr>
          <w:color w:val="000000" w:themeColor="text1"/>
        </w:rPr>
        <w:t xml:space="preserve"> mechanis</w:t>
      </w:r>
      <w:r w:rsidR="00CF424A">
        <w:rPr>
          <w:color w:val="000000" w:themeColor="text1"/>
        </w:rPr>
        <w:t xml:space="preserve">m, </w:t>
      </w:r>
      <w:r w:rsidRPr="00930106">
        <w:rPr>
          <w:color w:val="000000" w:themeColor="text1"/>
        </w:rPr>
        <w:t xml:space="preserve">enhancing </w:t>
      </w:r>
      <w:r w:rsidR="00220D5D">
        <w:rPr>
          <w:color w:val="000000" w:themeColor="text1"/>
        </w:rPr>
        <w:t>the</w:t>
      </w:r>
      <w:r w:rsidRPr="00930106">
        <w:rPr>
          <w:color w:val="000000" w:themeColor="text1"/>
        </w:rPr>
        <w:t xml:space="preserve"> </w:t>
      </w:r>
      <w:r w:rsidR="00220D5D">
        <w:rPr>
          <w:color w:val="000000" w:themeColor="text1"/>
        </w:rPr>
        <w:t>synthesis</w:t>
      </w:r>
      <w:r w:rsidR="00866E63" w:rsidRPr="00930106">
        <w:rPr>
          <w:color w:val="000000" w:themeColor="text1"/>
        </w:rPr>
        <w:t xml:space="preserve"> </w:t>
      </w:r>
      <w:r w:rsidR="00220D5D">
        <w:rPr>
          <w:color w:val="000000" w:themeColor="text1"/>
        </w:rPr>
        <w:t>of anti-inflammatory oxylipin</w:t>
      </w:r>
      <w:r w:rsidRPr="00930106">
        <w:rPr>
          <w:color w:val="000000" w:themeColor="text1"/>
        </w:rPr>
        <w:t xml:space="preserve">s while concurrently inhibiting </w:t>
      </w:r>
      <w:r w:rsidR="00220D5D">
        <w:rPr>
          <w:color w:val="000000" w:themeColor="text1"/>
        </w:rPr>
        <w:t>the</w:t>
      </w:r>
      <w:r w:rsidRPr="00930106">
        <w:rPr>
          <w:color w:val="000000" w:themeColor="text1"/>
        </w:rPr>
        <w:t xml:space="preserve"> </w:t>
      </w:r>
      <w:r w:rsidR="00220D5D">
        <w:rPr>
          <w:color w:val="000000" w:themeColor="text1"/>
        </w:rPr>
        <w:t>synthesis</w:t>
      </w:r>
      <w:r w:rsidRPr="00930106">
        <w:rPr>
          <w:color w:val="000000" w:themeColor="text1"/>
        </w:rPr>
        <w:t xml:space="preserve"> </w:t>
      </w:r>
      <w:r w:rsidR="00220D5D">
        <w:rPr>
          <w:color w:val="000000" w:themeColor="text1"/>
        </w:rPr>
        <w:t>of pro-inflammatory oxylipin</w:t>
      </w:r>
      <w:r w:rsidR="00660427">
        <w:rPr>
          <w:color w:val="000000" w:themeColor="text1"/>
        </w:rPr>
        <w:t>s,</w:t>
      </w:r>
      <w:r w:rsidR="000A791F">
        <w:rPr>
          <w:color w:val="000000" w:themeColor="text1"/>
        </w:rPr>
        <w:t xml:space="preserve"> </w:t>
      </w:r>
      <w:r w:rsidRPr="00930106">
        <w:rPr>
          <w:color w:val="000000" w:themeColor="text1"/>
        </w:rPr>
        <w:t xml:space="preserve">resulting in a shift toward </w:t>
      </w:r>
      <w:r w:rsidR="00660427">
        <w:rPr>
          <w:color w:val="000000" w:themeColor="text1"/>
        </w:rPr>
        <w:t xml:space="preserve">an overall </w:t>
      </w:r>
      <w:r w:rsidRPr="00930106">
        <w:rPr>
          <w:color w:val="000000" w:themeColor="text1"/>
        </w:rPr>
        <w:t xml:space="preserve">anti-inflammatory profile. </w:t>
      </w:r>
      <w:r w:rsidR="002A3942">
        <w:rPr>
          <w:color w:val="000000" w:themeColor="text1"/>
        </w:rPr>
        <w:t>Notably,</w:t>
      </w:r>
      <w:r w:rsidRPr="00930106">
        <w:rPr>
          <w:color w:val="000000" w:themeColor="text1"/>
        </w:rPr>
        <w:t xml:space="preserve"> we did not find an increase in EPA and DHA-derived oxylipins of the </w:t>
      </w:r>
      <w:r w:rsidR="004073B0">
        <w:rPr>
          <w:color w:val="000000" w:themeColor="text1"/>
        </w:rPr>
        <w:t>speciali</w:t>
      </w:r>
      <w:r w:rsidR="00EA4572">
        <w:rPr>
          <w:color w:val="000000" w:themeColor="text1"/>
        </w:rPr>
        <w:t>z</w:t>
      </w:r>
      <w:r w:rsidR="004073B0">
        <w:rPr>
          <w:color w:val="000000" w:themeColor="text1"/>
        </w:rPr>
        <w:t>ed pro-resolving mediator (</w:t>
      </w:r>
      <w:r w:rsidRPr="00930106">
        <w:rPr>
          <w:color w:val="000000" w:themeColor="text1"/>
        </w:rPr>
        <w:t>SPM</w:t>
      </w:r>
      <w:r w:rsidR="004073B0">
        <w:rPr>
          <w:color w:val="000000" w:themeColor="text1"/>
        </w:rPr>
        <w:t>)</w:t>
      </w:r>
      <w:r w:rsidRPr="00930106">
        <w:rPr>
          <w:color w:val="000000" w:themeColor="text1"/>
        </w:rPr>
        <w:t xml:space="preserve"> family. This may be due to </w:t>
      </w:r>
      <w:r w:rsidR="00952DBF">
        <w:rPr>
          <w:color w:val="000000" w:themeColor="text1"/>
        </w:rPr>
        <w:t xml:space="preserve">the </w:t>
      </w:r>
      <w:r w:rsidRPr="00930106">
        <w:rPr>
          <w:color w:val="000000" w:themeColor="text1"/>
        </w:rPr>
        <w:t xml:space="preserve">limited production </w:t>
      </w:r>
      <w:r w:rsidR="00904D17">
        <w:rPr>
          <w:color w:val="000000" w:themeColor="text1"/>
        </w:rPr>
        <w:t xml:space="preserve">and/or stability </w:t>
      </w:r>
      <w:r w:rsidR="00D60FF2">
        <w:rPr>
          <w:color w:val="000000" w:themeColor="text1"/>
        </w:rPr>
        <w:t>of SPMs</w:t>
      </w:r>
      <w:r w:rsidRPr="00930106">
        <w:rPr>
          <w:color w:val="000000" w:themeColor="text1"/>
        </w:rPr>
        <w:t xml:space="preserve">. Previously, we observed an increase in some, but not most, SPMs </w:t>
      </w:r>
      <w:r w:rsidR="00DC6086">
        <w:rPr>
          <w:color w:val="000000" w:themeColor="text1"/>
        </w:rPr>
        <w:t xml:space="preserve">in scWAT </w:t>
      </w:r>
      <w:r w:rsidRPr="00930106">
        <w:rPr>
          <w:color w:val="000000" w:themeColor="text1"/>
        </w:rPr>
        <w:t xml:space="preserve">with a marine oil supplement in adults with obesity, consistent with several other </w:t>
      </w:r>
      <w:r w:rsidR="002E4C19">
        <w:rPr>
          <w:color w:val="000000" w:themeColor="text1"/>
        </w:rPr>
        <w:t>studies</w:t>
      </w:r>
      <w:r w:rsidR="00332CD5">
        <w:rPr>
          <w:color w:val="000000" w:themeColor="text1"/>
        </w:rPr>
        <w:t xml:space="preserve"> (3</w:t>
      </w:r>
      <w:r w:rsidR="00005E80">
        <w:rPr>
          <w:color w:val="000000" w:themeColor="text1"/>
        </w:rPr>
        <w:t>8</w:t>
      </w:r>
      <w:r w:rsidR="00332CD5">
        <w:rPr>
          <w:color w:val="000000" w:themeColor="text1"/>
        </w:rPr>
        <w:t>)</w:t>
      </w:r>
      <w:r w:rsidR="002E4C19">
        <w:rPr>
          <w:color w:val="000000" w:themeColor="text1"/>
        </w:rPr>
        <w:t>.</w:t>
      </w:r>
      <w:r w:rsidR="00332CD5">
        <w:rPr>
          <w:color w:val="000000" w:themeColor="text1"/>
        </w:rPr>
        <w:t xml:space="preserve"> </w:t>
      </w:r>
      <w:r w:rsidR="002E4C19">
        <w:rPr>
          <w:color w:val="000000" w:themeColor="text1"/>
        </w:rPr>
        <w:t>For example, patients with coronary artery disease have decreased SPMs at baseline compared to healthy individuals</w:t>
      </w:r>
      <w:r w:rsidR="00332CD5">
        <w:rPr>
          <w:color w:val="000000" w:themeColor="text1"/>
        </w:rPr>
        <w:t xml:space="preserve"> (3</w:t>
      </w:r>
      <w:r w:rsidR="00005E80">
        <w:rPr>
          <w:color w:val="000000" w:themeColor="text1"/>
        </w:rPr>
        <w:t>9</w:t>
      </w:r>
      <w:r w:rsidR="00332CD5">
        <w:rPr>
          <w:color w:val="000000" w:themeColor="text1"/>
        </w:rPr>
        <w:t>)</w:t>
      </w:r>
      <w:r w:rsidR="002E4C19">
        <w:rPr>
          <w:color w:val="000000" w:themeColor="text1"/>
        </w:rPr>
        <w:t>.</w:t>
      </w:r>
      <w:r w:rsidRPr="00930106">
        <w:rPr>
          <w:color w:val="000000" w:themeColor="text1"/>
        </w:rPr>
        <w:t xml:space="preserve"> </w:t>
      </w:r>
      <w:r w:rsidR="00043630">
        <w:rPr>
          <w:color w:val="000000" w:themeColor="text1"/>
        </w:rPr>
        <w:t>Notably, upon</w:t>
      </w:r>
      <w:r w:rsidRPr="00930106">
        <w:rPr>
          <w:color w:val="000000" w:themeColor="text1"/>
        </w:rPr>
        <w:t xml:space="preserve"> EPA</w:t>
      </w:r>
      <w:r w:rsidR="0074692F">
        <w:rPr>
          <w:color w:val="000000" w:themeColor="text1"/>
        </w:rPr>
        <w:t>+</w:t>
      </w:r>
      <w:r w:rsidRPr="00930106">
        <w:rPr>
          <w:color w:val="000000" w:themeColor="text1"/>
        </w:rPr>
        <w:t>DHA treatment for one year, only certain SPMs that enhanced macrophage-based clot phagocytosis increased</w:t>
      </w:r>
      <w:r w:rsidR="00952DBF">
        <w:rPr>
          <w:color w:val="000000" w:themeColor="text1"/>
        </w:rPr>
        <w:t>,</w:t>
      </w:r>
      <w:r w:rsidRPr="00930106">
        <w:rPr>
          <w:color w:val="000000" w:themeColor="text1"/>
        </w:rPr>
        <w:t xml:space="preserve"> and there was no overall increase in omega-3</w:t>
      </w:r>
      <w:r w:rsidR="002E4C19">
        <w:rPr>
          <w:color w:val="000000" w:themeColor="text1"/>
        </w:rPr>
        <w:t>-</w:t>
      </w:r>
      <w:r w:rsidRPr="00930106">
        <w:rPr>
          <w:color w:val="000000" w:themeColor="text1"/>
        </w:rPr>
        <w:t>derived SPM family oxylipins</w:t>
      </w:r>
      <w:r w:rsidR="00332CD5">
        <w:rPr>
          <w:color w:val="000000" w:themeColor="text1"/>
        </w:rPr>
        <w:t xml:space="preserve"> (3</w:t>
      </w:r>
      <w:r w:rsidR="00005E80">
        <w:rPr>
          <w:color w:val="000000" w:themeColor="text1"/>
        </w:rPr>
        <w:t>9</w:t>
      </w:r>
      <w:r w:rsidR="00332CD5">
        <w:rPr>
          <w:color w:val="000000" w:themeColor="text1"/>
        </w:rPr>
        <w:t>)</w:t>
      </w:r>
      <w:r w:rsidRPr="00930106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</w:p>
    <w:p w14:paraId="5F5CA583" w14:textId="6DEC0E97" w:rsidR="00D3592B" w:rsidRDefault="00D3592B">
      <w:pPr>
        <w:pStyle w:val="whitespace-pre-wrap"/>
        <w:spacing w:line="480" w:lineRule="auto"/>
      </w:pPr>
      <w:r>
        <w:lastRenderedPageBreak/>
        <w:t xml:space="preserve">Compliance to the intervention was high </w:t>
      </w:r>
      <w:r w:rsidR="0080535E">
        <w:t xml:space="preserve">at </w:t>
      </w:r>
      <w:r>
        <w:t>90%</w:t>
      </w:r>
      <w:r w:rsidR="0080535E">
        <w:t xml:space="preserve"> </w:t>
      </w:r>
      <w:r w:rsidR="00DE4D41">
        <w:t xml:space="preserve">in those receiving </w:t>
      </w:r>
      <w:r w:rsidR="00A078FB">
        <w:t>EPA+DHA</w:t>
      </w:r>
      <w:r w:rsidR="00DE4D41">
        <w:t xml:space="preserve"> and 89% in those receiving corn oil</w:t>
      </w:r>
      <w:r w:rsidR="004E6562">
        <w:t>.</w:t>
      </w:r>
      <w:r w:rsidR="00DE4D41">
        <w:t xml:space="preserve"> </w:t>
      </w:r>
      <w:r w:rsidR="004E6562">
        <w:t>H</w:t>
      </w:r>
      <w:r>
        <w:t>owever</w:t>
      </w:r>
      <w:r>
        <w:rPr>
          <w:color w:val="000000" w:themeColor="text1"/>
        </w:rPr>
        <w:t>, t</w:t>
      </w:r>
      <w:r w:rsidR="004A735A" w:rsidRPr="00930106">
        <w:rPr>
          <w:color w:val="000000" w:themeColor="text1"/>
        </w:rPr>
        <w:t>h</w:t>
      </w:r>
      <w:r w:rsidR="00CF424A">
        <w:rPr>
          <w:color w:val="000000" w:themeColor="text1"/>
        </w:rPr>
        <w:t>is</w:t>
      </w:r>
      <w:r w:rsidR="004A735A" w:rsidRPr="00930106">
        <w:rPr>
          <w:color w:val="000000" w:themeColor="text1"/>
        </w:rPr>
        <w:t xml:space="preserve"> </w:t>
      </w:r>
      <w:r w:rsidR="00CF424A">
        <w:rPr>
          <w:color w:val="000000" w:themeColor="text1"/>
        </w:rPr>
        <w:t>study has</w:t>
      </w:r>
      <w:r w:rsidR="004A735A" w:rsidRPr="00930106">
        <w:rPr>
          <w:color w:val="000000" w:themeColor="text1"/>
        </w:rPr>
        <w:t xml:space="preserve"> several limitations</w:t>
      </w:r>
      <w:r w:rsidR="00317464">
        <w:rPr>
          <w:color w:val="000000" w:themeColor="text1"/>
        </w:rPr>
        <w:t>, as</w:t>
      </w:r>
      <w:r w:rsidR="00317464">
        <w:t xml:space="preserve"> t</w:t>
      </w:r>
      <w:r w:rsidR="00D82870">
        <w:t xml:space="preserve">he analyses were exploratory. </w:t>
      </w:r>
      <w:r w:rsidR="00AF7118">
        <w:t xml:space="preserve"> </w:t>
      </w:r>
      <w:r w:rsidR="00000D47">
        <w:t xml:space="preserve">This study </w:t>
      </w:r>
      <w:r w:rsidR="008A3BAE">
        <w:t>is</w:t>
      </w:r>
      <w:r w:rsidR="00000D47">
        <w:t xml:space="preserve"> limited by its small sample size, with only 21 participants</w:t>
      </w:r>
      <w:r w:rsidR="00273C12">
        <w:t xml:space="preserve">. </w:t>
      </w:r>
      <w:r w:rsidR="00000D47">
        <w:t>This modest number of participants reduces statistical power and increase</w:t>
      </w:r>
      <w:r w:rsidR="00416EE3">
        <w:t>s</w:t>
      </w:r>
      <w:r w:rsidR="00000D47">
        <w:t xml:space="preserve"> the likelihood of Type II error</w:t>
      </w:r>
      <w:r w:rsidR="00332CD5">
        <w:t xml:space="preserve"> (</w:t>
      </w:r>
      <w:r w:rsidR="00005E80">
        <w:t>40</w:t>
      </w:r>
      <w:r w:rsidR="00332CD5">
        <w:t>)</w:t>
      </w:r>
      <w:r w:rsidR="00000D47">
        <w:t>.</w:t>
      </w:r>
      <w:r w:rsidR="00317464">
        <w:t xml:space="preserve"> Multiple comparisons were</w:t>
      </w:r>
      <w:r w:rsidR="005D2506">
        <w:t xml:space="preserve">, </w:t>
      </w:r>
      <w:r w:rsidR="0055265E">
        <w:t>however</w:t>
      </w:r>
      <w:r w:rsidR="005D2506">
        <w:t>,</w:t>
      </w:r>
      <w:r w:rsidR="0055265E">
        <w:t xml:space="preserve"> adjusted for using</w:t>
      </w:r>
      <w:r w:rsidR="00317464">
        <w:t xml:space="preserve"> Bonferroni correction</w:t>
      </w:r>
      <w:r w:rsidR="0055265E">
        <w:t xml:space="preserve"> in order to reduce the likelihood of </w:t>
      </w:r>
      <w:r w:rsidR="00FB081A">
        <w:t>T</w:t>
      </w:r>
      <w:r w:rsidR="0055265E">
        <w:t>ype</w:t>
      </w:r>
      <w:r w:rsidR="00FB081A">
        <w:t xml:space="preserve"> I </w:t>
      </w:r>
      <w:r w:rsidR="0055265E">
        <w:t>errors</w:t>
      </w:r>
      <w:r w:rsidR="00317464">
        <w:t xml:space="preserve">. </w:t>
      </w:r>
      <w:r w:rsidR="00000D47">
        <w:t>In addition, the small sample size limits generalizability to broader populations</w:t>
      </w:r>
      <w:r w:rsidR="00332CD5">
        <w:t xml:space="preserve"> (</w:t>
      </w:r>
      <w:r w:rsidR="00005E80">
        <w:t>40</w:t>
      </w:r>
      <w:r w:rsidR="00332CD5">
        <w:t>)</w:t>
      </w:r>
      <w:r w:rsidR="00000D47">
        <w:t>.</w:t>
      </w:r>
      <w:r w:rsidR="00332CD5">
        <w:t xml:space="preserve"> </w:t>
      </w:r>
      <w:r w:rsidR="00000D47">
        <w:t xml:space="preserve">These findings should be validated in larger, more adequately powered studies designed to test these outcomes. </w:t>
      </w:r>
    </w:p>
    <w:p w14:paraId="65E6AE36" w14:textId="5BD2B028" w:rsidR="004A735A" w:rsidRPr="00930106" w:rsidRDefault="00D3592B" w:rsidP="002B5423">
      <w:pPr>
        <w:pStyle w:val="whitespace-pre-wrap"/>
        <w:spacing w:line="480" w:lineRule="auto"/>
        <w:ind w:firstLine="720"/>
        <w:rPr>
          <w:color w:val="000000" w:themeColor="text1"/>
        </w:rPr>
      </w:pPr>
      <w:r>
        <w:t xml:space="preserve">Individuals of healthy weight and those living with obesity were </w:t>
      </w:r>
      <w:r w:rsidR="00832E36">
        <w:t>included</w:t>
      </w:r>
      <w:r>
        <w:t xml:space="preserve"> </w:t>
      </w:r>
      <w:r w:rsidR="00832E36">
        <w:t>in</w:t>
      </w:r>
      <w:r>
        <w:t xml:space="preserve"> the study</w:t>
      </w:r>
      <w:r w:rsidR="00416EE3">
        <w:t>,</w:t>
      </w:r>
      <w:r>
        <w:t xml:space="preserve"> which is reflected in the mean</w:t>
      </w:r>
      <w:r w:rsidR="00832E36">
        <w:t xml:space="preserve"> cohort</w:t>
      </w:r>
      <w:r>
        <w:t xml:space="preserve"> BMI of</w:t>
      </w:r>
      <w:r w:rsidR="00832E36">
        <w:t xml:space="preserve"> </w:t>
      </w:r>
      <w:r>
        <w:t>28.71 kg/m</w:t>
      </w:r>
      <w:r w:rsidRPr="00BB6D9B">
        <w:rPr>
          <w:vertAlign w:val="superscript"/>
        </w:rPr>
        <w:t>2</w:t>
      </w:r>
      <w:r w:rsidR="00832E36">
        <w:t>.</w:t>
      </w:r>
      <w:r>
        <w:t xml:space="preserve"> </w:t>
      </w:r>
      <w:r w:rsidR="00832E36">
        <w:t>T</w:t>
      </w:r>
      <w:r>
        <w:t>h</w:t>
      </w:r>
      <w:r w:rsidR="00832E36">
        <w:t>is</w:t>
      </w:r>
      <w:r>
        <w:t xml:space="preserve"> </w:t>
      </w:r>
      <w:r w:rsidR="00832E36">
        <w:t>may</w:t>
      </w:r>
      <w:r>
        <w:t xml:space="preserve"> suggest the findings are most relevant to people living with overweight</w:t>
      </w:r>
      <w:r w:rsidR="00832E36">
        <w:t>;</w:t>
      </w:r>
      <w:r>
        <w:t xml:space="preserve"> </w:t>
      </w:r>
      <w:r w:rsidR="00832E36">
        <w:t>h</w:t>
      </w:r>
      <w:r>
        <w:t xml:space="preserve">owever, as both individuals living at a healthy weight and those living with obesity were included, the findings are relevant to </w:t>
      </w:r>
      <w:r w:rsidR="00832E36">
        <w:t xml:space="preserve">both </w:t>
      </w:r>
      <w:r>
        <w:t>these populations.</w:t>
      </w:r>
      <w:r w:rsidR="00416EE3">
        <w:t xml:space="preserve"> </w:t>
      </w:r>
      <w:r w:rsidR="007B305A">
        <w:rPr>
          <w:rFonts w:eastAsiaTheme="minorHAnsi"/>
        </w:rPr>
        <w:t>Additionally, it is important to note that t</w:t>
      </w:r>
      <w:r w:rsidR="007B305A" w:rsidRPr="002B5423">
        <w:rPr>
          <w:rFonts w:eastAsiaTheme="minorHAnsi"/>
        </w:rPr>
        <w:t>he baseline cholesterol and glucose levels differed significantly between the two groups</w:t>
      </w:r>
      <w:r>
        <w:rPr>
          <w:rFonts w:eastAsiaTheme="minorHAnsi"/>
        </w:rPr>
        <w:t>, likely reflecting the inclusion of both individuals living at a healthy weight and those living with obesity</w:t>
      </w:r>
      <w:r w:rsidR="00273C12">
        <w:rPr>
          <w:rFonts w:eastAsiaTheme="minorHAnsi"/>
        </w:rPr>
        <w:t xml:space="preserve">. </w:t>
      </w:r>
      <w:r w:rsidR="007B305A" w:rsidRPr="002B5423">
        <w:rPr>
          <w:rFonts w:eastAsiaTheme="minorHAnsi"/>
        </w:rPr>
        <w:t>Because this was an exploratory analysis using participants with complete plasma fatty acid and oxylipin data, we did not pre-screen or stratify the groups by metabolic variables. Differences in these two parameters</w:t>
      </w:r>
      <w:r w:rsidR="002147ED">
        <w:rPr>
          <w:rFonts w:eastAsiaTheme="minorHAnsi"/>
        </w:rPr>
        <w:t xml:space="preserve"> and BMI status</w:t>
      </w:r>
      <w:r w:rsidR="007B305A" w:rsidRPr="002B5423">
        <w:rPr>
          <w:rFonts w:eastAsiaTheme="minorHAnsi"/>
        </w:rPr>
        <w:t xml:space="preserve"> could have introduced metabolic confoundin</w:t>
      </w:r>
      <w:r w:rsidR="00317464">
        <w:rPr>
          <w:rFonts w:eastAsiaTheme="minorHAnsi"/>
        </w:rPr>
        <w:t xml:space="preserve">g. In addition, </w:t>
      </w:r>
      <w:r w:rsidR="00317464">
        <w:rPr>
          <w:color w:val="000000" w:themeColor="text1"/>
        </w:rPr>
        <w:t>t</w:t>
      </w:r>
      <w:r w:rsidR="004A735A" w:rsidRPr="00930106">
        <w:rPr>
          <w:color w:val="000000" w:themeColor="text1"/>
        </w:rPr>
        <w:t xml:space="preserve">he preexisting gut microbiome among our study </w:t>
      </w:r>
      <w:r w:rsidR="003564C7">
        <w:rPr>
          <w:color w:val="000000" w:themeColor="text1"/>
        </w:rPr>
        <w:t>participants</w:t>
      </w:r>
      <w:r w:rsidR="004A735A" w:rsidRPr="00930106">
        <w:rPr>
          <w:color w:val="000000" w:themeColor="text1"/>
        </w:rPr>
        <w:t xml:space="preserve"> served as an uncontrolled variable that </w:t>
      </w:r>
      <w:r w:rsidR="00DC6086">
        <w:rPr>
          <w:color w:val="000000" w:themeColor="text1"/>
        </w:rPr>
        <w:t xml:space="preserve">may have </w:t>
      </w:r>
      <w:r w:rsidR="004A735A" w:rsidRPr="00930106">
        <w:rPr>
          <w:color w:val="000000" w:themeColor="text1"/>
        </w:rPr>
        <w:t>influenced the observed responses</w:t>
      </w:r>
      <w:r w:rsidR="00332CD5">
        <w:rPr>
          <w:color w:val="000000" w:themeColor="text1"/>
        </w:rPr>
        <w:t xml:space="preserve"> (4</w:t>
      </w:r>
      <w:r w:rsidR="00005E80">
        <w:rPr>
          <w:color w:val="000000" w:themeColor="text1"/>
        </w:rPr>
        <w:t>1</w:t>
      </w:r>
      <w:r w:rsidR="00332CD5">
        <w:rPr>
          <w:color w:val="000000" w:themeColor="text1"/>
        </w:rPr>
        <w:t>)</w:t>
      </w:r>
      <w:r w:rsidR="004A735A" w:rsidRPr="00930106">
        <w:rPr>
          <w:color w:val="000000" w:themeColor="text1"/>
        </w:rPr>
        <w:t xml:space="preserve">. Supplementation with long-chain </w:t>
      </w:r>
      <w:r w:rsidR="00D93EB3" w:rsidRPr="00930106">
        <w:rPr>
          <w:color w:val="000000" w:themeColor="text1"/>
        </w:rPr>
        <w:t xml:space="preserve">omega-3 </w:t>
      </w:r>
      <w:r w:rsidR="004A735A" w:rsidRPr="00930106">
        <w:rPr>
          <w:color w:val="000000" w:themeColor="text1"/>
        </w:rPr>
        <w:t>PUFAs ha</w:t>
      </w:r>
      <w:r w:rsidR="004D1D25">
        <w:rPr>
          <w:color w:val="000000" w:themeColor="text1"/>
        </w:rPr>
        <w:t>s</w:t>
      </w:r>
      <w:r w:rsidR="004A735A" w:rsidRPr="00930106">
        <w:rPr>
          <w:color w:val="000000" w:themeColor="text1"/>
        </w:rPr>
        <w:t xml:space="preserve"> been shown to increase beneficial intestinal bacteria, including </w:t>
      </w:r>
      <w:r w:rsidR="004A735A" w:rsidRPr="002E4C19">
        <w:rPr>
          <w:i/>
          <w:iCs/>
          <w:color w:val="000000" w:themeColor="text1"/>
        </w:rPr>
        <w:t>Lactobacillus</w:t>
      </w:r>
      <w:r w:rsidR="004A735A" w:rsidRPr="00930106">
        <w:rPr>
          <w:color w:val="000000" w:themeColor="text1"/>
        </w:rPr>
        <w:t xml:space="preserve"> and </w:t>
      </w:r>
      <w:r w:rsidR="004A735A" w:rsidRPr="002E4C19">
        <w:rPr>
          <w:i/>
          <w:iCs/>
          <w:color w:val="000000" w:themeColor="text1"/>
        </w:rPr>
        <w:t>Bifidobacterium</w:t>
      </w:r>
      <w:r w:rsidR="002A3942">
        <w:rPr>
          <w:color w:val="000000" w:themeColor="text1"/>
        </w:rPr>
        <w:t>,</w:t>
      </w:r>
      <w:r w:rsidR="004D1D25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while </w:t>
      </w:r>
      <w:r w:rsidR="009C2693">
        <w:rPr>
          <w:color w:val="000000" w:themeColor="text1"/>
        </w:rPr>
        <w:t>decreasing</w:t>
      </w:r>
      <w:r w:rsidR="004A735A" w:rsidRPr="00930106">
        <w:rPr>
          <w:color w:val="000000" w:themeColor="text1"/>
        </w:rPr>
        <w:t xml:space="preserve"> the pro-inflammatory species associated with the Western </w:t>
      </w:r>
      <w:r w:rsidR="002E4C19">
        <w:rPr>
          <w:color w:val="000000" w:themeColor="text1"/>
        </w:rPr>
        <w:t>diet</w:t>
      </w:r>
      <w:r w:rsidR="00332CD5">
        <w:rPr>
          <w:color w:val="000000" w:themeColor="text1"/>
        </w:rPr>
        <w:t xml:space="preserve"> (4</w:t>
      </w:r>
      <w:r w:rsidR="00005E80">
        <w:rPr>
          <w:color w:val="000000" w:themeColor="text1"/>
        </w:rPr>
        <w:t>2</w:t>
      </w:r>
      <w:r w:rsidR="00332CD5">
        <w:rPr>
          <w:color w:val="000000" w:themeColor="text1"/>
        </w:rPr>
        <w:t>)</w:t>
      </w:r>
      <w:r w:rsidR="002E4C19">
        <w:rPr>
          <w:color w:val="000000" w:themeColor="text1"/>
        </w:rPr>
        <w:t xml:space="preserve">. These changes enhance gut barrier integrity, reduce systemic inflammation, and improve lipid metabolism, </w:t>
      </w:r>
      <w:r w:rsidR="002E4C19">
        <w:rPr>
          <w:color w:val="000000" w:themeColor="text1"/>
        </w:rPr>
        <w:lastRenderedPageBreak/>
        <w:t>contribut</w:t>
      </w:r>
      <w:r w:rsidR="00E04BD0">
        <w:rPr>
          <w:color w:val="000000" w:themeColor="text1"/>
        </w:rPr>
        <w:t>ing</w:t>
      </w:r>
      <w:r w:rsidR="002E4C19">
        <w:rPr>
          <w:color w:val="000000" w:themeColor="text1"/>
        </w:rPr>
        <w:t xml:space="preserve"> to the observed health benefits</w:t>
      </w:r>
      <w:r w:rsidR="00332CD5">
        <w:rPr>
          <w:color w:val="000000" w:themeColor="text1"/>
        </w:rPr>
        <w:t xml:space="preserve"> (4</w:t>
      </w:r>
      <w:r w:rsidR="00005E80">
        <w:rPr>
          <w:color w:val="000000" w:themeColor="text1"/>
        </w:rPr>
        <w:t>2</w:t>
      </w:r>
      <w:r w:rsidR="00332CD5">
        <w:rPr>
          <w:color w:val="000000" w:themeColor="text1"/>
        </w:rPr>
        <w:t>)</w:t>
      </w:r>
      <w:r w:rsidR="002E4C19">
        <w:rPr>
          <w:color w:val="000000" w:themeColor="text1"/>
        </w:rPr>
        <w:t>.</w:t>
      </w:r>
      <w:r w:rsidR="00332CD5">
        <w:rPr>
          <w:color w:val="000000" w:themeColor="text1"/>
        </w:rPr>
        <w:t xml:space="preserve"> </w:t>
      </w:r>
      <w:r w:rsidR="00F93902">
        <w:rPr>
          <w:color w:val="000000" w:themeColor="text1"/>
        </w:rPr>
        <w:t>V</w:t>
      </w:r>
      <w:r w:rsidR="007A3D0F">
        <w:rPr>
          <w:color w:val="000000" w:themeColor="text1"/>
        </w:rPr>
        <w:t>ariation of microbiome</w:t>
      </w:r>
      <w:r w:rsidR="004A735A" w:rsidRPr="00930106">
        <w:rPr>
          <w:color w:val="000000" w:themeColor="text1"/>
        </w:rPr>
        <w:t xml:space="preserve"> profiles at baseline may </w:t>
      </w:r>
      <w:r w:rsidR="00157A13">
        <w:rPr>
          <w:color w:val="000000" w:themeColor="text1"/>
        </w:rPr>
        <w:t xml:space="preserve">influence </w:t>
      </w:r>
      <w:r w:rsidR="00F5429D">
        <w:rPr>
          <w:color w:val="000000" w:themeColor="text1"/>
        </w:rPr>
        <w:t>individual</w:t>
      </w:r>
      <w:r w:rsidR="00F5429D" w:rsidRPr="00930106">
        <w:rPr>
          <w:color w:val="000000" w:themeColor="text1"/>
        </w:rPr>
        <w:t xml:space="preserve"> </w:t>
      </w:r>
      <w:r w:rsidR="00F5429D">
        <w:rPr>
          <w:color w:val="000000" w:themeColor="text1"/>
        </w:rPr>
        <w:t>response</w:t>
      </w:r>
      <w:r w:rsidR="00F5429D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to </w:t>
      </w:r>
      <w:r w:rsidR="00396378">
        <w:rPr>
          <w:color w:val="000000" w:themeColor="text1"/>
        </w:rPr>
        <w:t>supplementation</w:t>
      </w:r>
      <w:r w:rsidR="00332CD5">
        <w:rPr>
          <w:color w:val="000000" w:themeColor="text1"/>
        </w:rPr>
        <w:t xml:space="preserve"> (4</w:t>
      </w:r>
      <w:r w:rsidR="00005E80">
        <w:rPr>
          <w:color w:val="000000" w:themeColor="text1"/>
        </w:rPr>
        <w:t>1</w:t>
      </w:r>
      <w:r w:rsidR="00332CD5">
        <w:rPr>
          <w:color w:val="000000" w:themeColor="text1"/>
        </w:rPr>
        <w:t>, 4</w:t>
      </w:r>
      <w:r w:rsidR="00005E80">
        <w:rPr>
          <w:color w:val="000000" w:themeColor="text1"/>
        </w:rPr>
        <w:t>2</w:t>
      </w:r>
      <w:r w:rsidR="00332CD5">
        <w:rPr>
          <w:color w:val="000000" w:themeColor="text1"/>
        </w:rPr>
        <w:t>)</w:t>
      </w:r>
      <w:r w:rsidR="00396378">
        <w:rPr>
          <w:color w:val="000000" w:themeColor="text1"/>
        </w:rPr>
        <w:t xml:space="preserve">. Studies have shown that gut microorganisms such as </w:t>
      </w:r>
      <w:r w:rsidR="00396378" w:rsidRPr="002E4C19">
        <w:rPr>
          <w:i/>
          <w:iCs/>
          <w:color w:val="000000" w:themeColor="text1"/>
        </w:rPr>
        <w:t>Bifidobacterium</w:t>
      </w:r>
      <w:r w:rsidR="00396378">
        <w:rPr>
          <w:color w:val="000000" w:themeColor="text1"/>
        </w:rPr>
        <w:t xml:space="preserve"> influence fatty acid metabolism and epithelial uptake into the intestine</w:t>
      </w:r>
      <w:r w:rsidR="00332CD5">
        <w:rPr>
          <w:color w:val="000000" w:themeColor="text1"/>
        </w:rPr>
        <w:t xml:space="preserve"> (4</w:t>
      </w:r>
      <w:r w:rsidR="00005E80">
        <w:rPr>
          <w:color w:val="000000" w:themeColor="text1"/>
        </w:rPr>
        <w:t>2</w:t>
      </w:r>
      <w:r w:rsidR="00332CD5">
        <w:rPr>
          <w:color w:val="000000" w:themeColor="text1"/>
        </w:rPr>
        <w:t>)</w:t>
      </w:r>
      <w:r w:rsidR="00396378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</w:p>
    <w:p w14:paraId="40782465" w14:textId="35273E2A" w:rsidR="00EB4AA5" w:rsidRPr="00930106" w:rsidRDefault="00273C12" w:rsidP="002B5423">
      <w:pPr>
        <w:spacing w:line="480" w:lineRule="auto"/>
        <w:ind w:firstLine="720"/>
      </w:pPr>
      <w:r>
        <w:rPr>
          <w:color w:val="000000" w:themeColor="text1"/>
        </w:rPr>
        <w:t>W</w:t>
      </w:r>
      <w:r w:rsidR="00E675FB" w:rsidRPr="00930106">
        <w:rPr>
          <w:color w:val="000000" w:themeColor="text1"/>
        </w:rPr>
        <w:t>e</w:t>
      </w:r>
      <w:r w:rsidR="004A735A" w:rsidRPr="00930106">
        <w:rPr>
          <w:color w:val="000000" w:themeColor="text1"/>
        </w:rPr>
        <w:t xml:space="preserve"> did not account for the genetic variation that affect</w:t>
      </w:r>
      <w:r w:rsidR="002A3942">
        <w:rPr>
          <w:color w:val="000000" w:themeColor="text1"/>
        </w:rPr>
        <w:t>s</w:t>
      </w:r>
      <w:r w:rsidR="004A735A" w:rsidRPr="00930106">
        <w:rPr>
          <w:color w:val="000000" w:themeColor="text1"/>
        </w:rPr>
        <w:t xml:space="preserve"> omega-3 </w:t>
      </w:r>
      <w:r w:rsidR="009F6A5B">
        <w:rPr>
          <w:color w:val="000000" w:themeColor="text1"/>
        </w:rPr>
        <w:t>PUFA</w:t>
      </w:r>
      <w:r w:rsidR="004A735A" w:rsidRPr="00930106">
        <w:rPr>
          <w:color w:val="000000" w:themeColor="text1"/>
        </w:rPr>
        <w:t xml:space="preserve"> metabolism</w:t>
      </w:r>
      <w:r w:rsidR="00332CD5">
        <w:rPr>
          <w:color w:val="000000" w:themeColor="text1"/>
        </w:rPr>
        <w:t xml:space="preserve"> (4</w:t>
      </w:r>
      <w:r w:rsidR="00005E80">
        <w:rPr>
          <w:color w:val="000000" w:themeColor="text1"/>
        </w:rPr>
        <w:t>1</w:t>
      </w:r>
      <w:r w:rsidR="00332CD5">
        <w:rPr>
          <w:color w:val="000000" w:themeColor="text1"/>
        </w:rPr>
        <w:t>)</w:t>
      </w:r>
      <w:r w:rsidR="004A735A" w:rsidRPr="00930106">
        <w:rPr>
          <w:color w:val="000000" w:themeColor="text1"/>
        </w:rPr>
        <w:t>.</w:t>
      </w:r>
      <w:r w:rsidR="00332CD5" w:rsidRPr="00930106">
        <w:rPr>
          <w:color w:val="000000" w:themeColor="text1"/>
        </w:rPr>
        <w:t xml:space="preserve"> </w:t>
      </w:r>
      <w:r w:rsidR="004A735A" w:rsidRPr="00930106">
        <w:rPr>
          <w:color w:val="000000" w:themeColor="text1"/>
        </w:rPr>
        <w:t xml:space="preserve">In addition to the genetic variations mentioned earlier, a prior research study found that </w:t>
      </w:r>
      <w:r w:rsidR="002A3942">
        <w:rPr>
          <w:color w:val="000000" w:themeColor="text1"/>
        </w:rPr>
        <w:t>specific</w:t>
      </w:r>
      <w:r w:rsidR="004A735A" w:rsidRPr="00930106">
        <w:rPr>
          <w:color w:val="000000" w:themeColor="text1"/>
        </w:rPr>
        <w:t xml:space="preserve"> FADS gene variants in Hispanic populations reduce unsaturated fatty acid synthesis</w:t>
      </w:r>
      <w:r w:rsidR="000A2A97">
        <w:rPr>
          <w:color w:val="000000" w:themeColor="text1"/>
        </w:rPr>
        <w:t>,</w:t>
      </w:r>
      <w:r w:rsidR="004A735A" w:rsidRPr="00930106">
        <w:rPr>
          <w:color w:val="000000" w:themeColor="text1"/>
        </w:rPr>
        <w:t xml:space="preserve"> and polymorphisms in the CYP 450 enzymes and the APOE genotype influence EPA</w:t>
      </w:r>
      <w:r w:rsidR="00E85ABC">
        <w:rPr>
          <w:color w:val="000000" w:themeColor="text1"/>
        </w:rPr>
        <w:t xml:space="preserve"> and </w:t>
      </w:r>
      <w:r w:rsidR="004A735A" w:rsidRPr="00930106">
        <w:rPr>
          <w:color w:val="000000" w:themeColor="text1"/>
        </w:rPr>
        <w:t>DHA metabolism and oxylipin production</w:t>
      </w:r>
      <w:r w:rsidR="00332CD5">
        <w:rPr>
          <w:color w:val="000000" w:themeColor="text1"/>
        </w:rPr>
        <w:t xml:space="preserve"> (4</w:t>
      </w:r>
      <w:r w:rsidR="00005E80">
        <w:rPr>
          <w:color w:val="000000" w:themeColor="text1"/>
        </w:rPr>
        <w:t>3</w:t>
      </w:r>
      <w:r w:rsidR="00332CD5">
        <w:rPr>
          <w:color w:val="000000" w:themeColor="text1"/>
        </w:rPr>
        <w:t>)</w:t>
      </w:r>
      <w:r w:rsidR="00D71D75">
        <w:rPr>
          <w:color w:val="000000" w:themeColor="text1"/>
        </w:rPr>
        <w:t>.</w:t>
      </w:r>
      <w:r w:rsidR="00D71D75">
        <w:rPr>
          <w:color w:val="000000" w:themeColor="text1"/>
          <w:vertAlign w:val="superscript"/>
        </w:rPr>
        <w:t xml:space="preserve"> </w:t>
      </w:r>
      <w:r w:rsidR="004A735A" w:rsidRPr="00930106">
        <w:rPr>
          <w:rFonts w:eastAsiaTheme="minorHAnsi"/>
        </w:rPr>
        <w:t>Sex</w:t>
      </w:r>
      <w:r w:rsidR="002435FD">
        <w:rPr>
          <w:rFonts w:eastAsiaTheme="minorHAnsi"/>
        </w:rPr>
        <w:t xml:space="preserve"> </w:t>
      </w:r>
      <w:r w:rsidR="004A735A" w:rsidRPr="00930106">
        <w:rPr>
          <w:rFonts w:eastAsiaTheme="minorHAnsi"/>
        </w:rPr>
        <w:t xml:space="preserve">differences </w:t>
      </w:r>
      <w:r w:rsidR="002435FD">
        <w:rPr>
          <w:rFonts w:eastAsiaTheme="minorHAnsi"/>
        </w:rPr>
        <w:t xml:space="preserve">also </w:t>
      </w:r>
      <w:r w:rsidR="004A735A" w:rsidRPr="00930106">
        <w:rPr>
          <w:rFonts w:eastAsiaTheme="minorHAnsi"/>
        </w:rPr>
        <w:t xml:space="preserve">impact </w:t>
      </w:r>
      <w:r w:rsidR="00E675FB" w:rsidRPr="00930106">
        <w:rPr>
          <w:rFonts w:eastAsiaTheme="minorHAnsi"/>
        </w:rPr>
        <w:t>PUFA</w:t>
      </w:r>
      <w:r w:rsidR="004A735A" w:rsidRPr="00930106">
        <w:rPr>
          <w:rFonts w:eastAsiaTheme="minorHAnsi"/>
        </w:rPr>
        <w:t xml:space="preserve"> metabolism, another limitation of this study</w:t>
      </w:r>
      <w:r w:rsidR="00332CD5">
        <w:rPr>
          <w:rFonts w:eastAsiaTheme="minorHAnsi"/>
        </w:rPr>
        <w:t xml:space="preserve"> (4</w:t>
      </w:r>
      <w:r w:rsidR="00005E80">
        <w:rPr>
          <w:rFonts w:eastAsiaTheme="minorHAnsi"/>
        </w:rPr>
        <w:t>1</w:t>
      </w:r>
      <w:r w:rsidR="00332CD5">
        <w:rPr>
          <w:rFonts w:eastAsiaTheme="minorHAnsi"/>
        </w:rPr>
        <w:t>)</w:t>
      </w:r>
      <w:r w:rsidR="004A735A" w:rsidRPr="00930106">
        <w:rPr>
          <w:rFonts w:eastAsiaTheme="minorHAnsi"/>
        </w:rPr>
        <w:t>.</w:t>
      </w:r>
      <w:r w:rsidR="00332CD5">
        <w:t xml:space="preserve"> </w:t>
      </w:r>
      <w:r w:rsidR="00C950AD">
        <w:t xml:space="preserve">Although we only had one male </w:t>
      </w:r>
      <w:r w:rsidR="0023200B">
        <w:t>participant</w:t>
      </w:r>
      <w:r w:rsidR="00C950AD">
        <w:t xml:space="preserve">, future studies </w:t>
      </w:r>
      <w:r w:rsidR="002E4C19">
        <w:t>should</w:t>
      </w:r>
      <w:r w:rsidR="00C950AD">
        <w:t xml:space="preserve"> investigate sex differences</w:t>
      </w:r>
      <w:r w:rsidR="002E4C19">
        <w:t>, as</w:t>
      </w:r>
      <w:r w:rsidR="007B3040">
        <w:t xml:space="preserve"> research has shown that females </w:t>
      </w:r>
      <w:r w:rsidR="002E4C19">
        <w:t>accumulate</w:t>
      </w:r>
      <w:r w:rsidR="007B3040">
        <w:t xml:space="preserve"> </w:t>
      </w:r>
      <w:r w:rsidR="004242B7">
        <w:t>omega-3</w:t>
      </w:r>
      <w:r w:rsidR="007B3040">
        <w:t xml:space="preserve"> PUFA-derived oxylipins in plasma compared to males, despite no evident differences in precursor PUFA accumulation between sexes</w:t>
      </w:r>
      <w:r w:rsidR="00332CD5">
        <w:t xml:space="preserve"> (4</w:t>
      </w:r>
      <w:r w:rsidR="00005E80">
        <w:t>4</w:t>
      </w:r>
      <w:r w:rsidR="00332CD5">
        <w:t>)</w:t>
      </w:r>
      <w:r w:rsidR="007B3040">
        <w:t>.</w:t>
      </w:r>
      <w:r w:rsidR="00332CD5">
        <w:t xml:space="preserve"> </w:t>
      </w:r>
      <w:r w:rsidR="007B3040">
        <w:t xml:space="preserve">Additionally, concentrations of 16 out of 62 measured oxylipins, including 5 out of 12 DHA-derived oxylipins, were higher in females than in males, suggesting </w:t>
      </w:r>
      <w:r w:rsidR="00EB4AA5">
        <w:t>sex</w:t>
      </w:r>
      <w:r w:rsidR="007B3040">
        <w:t xml:space="preserve"> differences in oxylipin metabolism</w:t>
      </w:r>
      <w:r w:rsidR="00332CD5">
        <w:t xml:space="preserve"> (4</w:t>
      </w:r>
      <w:r w:rsidR="00005E80">
        <w:t>4</w:t>
      </w:r>
      <w:r w:rsidR="00332CD5">
        <w:t>)</w:t>
      </w:r>
      <w:r w:rsidR="007B3040">
        <w:t>.</w:t>
      </w:r>
      <w:r w:rsidR="00332CD5">
        <w:t xml:space="preserve"> </w:t>
      </w:r>
      <w:r w:rsidR="00C950AD">
        <w:t xml:space="preserve">Thus, there is a need for </w:t>
      </w:r>
      <w:r w:rsidR="009325A6">
        <w:t xml:space="preserve">studies </w:t>
      </w:r>
      <w:r w:rsidR="00600012">
        <w:t>that consider</w:t>
      </w:r>
      <w:r w:rsidR="009325A6">
        <w:t xml:space="preserve"> genotype and sex as variables.</w:t>
      </w:r>
    </w:p>
    <w:p w14:paraId="479E7DDA" w14:textId="42B92882" w:rsidR="00EB4AA5" w:rsidRPr="00930106" w:rsidRDefault="00EB4AA5" w:rsidP="002B5423">
      <w:pPr>
        <w:spacing w:line="480" w:lineRule="auto"/>
      </w:pPr>
      <w:r w:rsidRPr="00930106">
        <w:rPr>
          <w:b/>
          <w:bCs/>
        </w:rPr>
        <w:t>Summary</w:t>
      </w:r>
      <w:r>
        <w:t>. As chronic low-grade inflammatory conditions continue to rise globally, our findings offer insights into the molecular pathways through which omega-3</w:t>
      </w:r>
      <w:r w:rsidR="0094238B">
        <w:t xml:space="preserve"> PUFAs </w:t>
      </w:r>
      <w:r>
        <w:t>may exert their beneficial effects, highlighting the potential of nutritional interventions as therapeutic agents. We highlight</w:t>
      </w:r>
      <w:r w:rsidRPr="00930106">
        <w:t xml:space="preserve"> limitations, including </w:t>
      </w:r>
      <w:r>
        <w:t xml:space="preserve">the study design, sample size, and </w:t>
      </w:r>
      <w:r w:rsidRPr="00930106">
        <w:t>potential influences from gut microbiome variability</w:t>
      </w:r>
      <w:r>
        <w:t xml:space="preserve">, </w:t>
      </w:r>
      <w:r w:rsidRPr="00930106">
        <w:t>genetic</w:t>
      </w:r>
      <w:r>
        <w:t>,</w:t>
      </w:r>
      <w:r w:rsidRPr="00930106">
        <w:t xml:space="preserve"> </w:t>
      </w:r>
      <w:r>
        <w:t xml:space="preserve">and sex </w:t>
      </w:r>
      <w:r w:rsidRPr="00930106">
        <w:t xml:space="preserve">differences in omega-3 </w:t>
      </w:r>
      <w:r w:rsidR="00FF7A4D">
        <w:t xml:space="preserve">PUFA </w:t>
      </w:r>
      <w:r w:rsidRPr="00930106">
        <w:t>metabolism</w:t>
      </w:r>
      <w:r>
        <w:t>, which require consideration for translating these findings to broader populations.</w:t>
      </w:r>
      <w:r w:rsidRPr="00930106">
        <w:t xml:space="preserve"> </w:t>
      </w:r>
    </w:p>
    <w:p w14:paraId="659090F5" w14:textId="7FEE452A" w:rsidR="00CF424A" w:rsidRPr="00930106" w:rsidRDefault="00CF424A" w:rsidP="00220D5D">
      <w:pPr>
        <w:pStyle w:val="NormalWeb"/>
        <w:spacing w:line="480" w:lineRule="auto"/>
        <w:ind w:firstLine="720"/>
        <w:rPr>
          <w:color w:val="000000" w:themeColor="text1"/>
        </w:rPr>
      </w:pPr>
    </w:p>
    <w:p w14:paraId="0DB5DB23" w14:textId="3ED569AA" w:rsidR="00856174" w:rsidRDefault="00A24445" w:rsidP="00A60FAE">
      <w:pPr>
        <w:pStyle w:val="NormalWeb"/>
        <w:spacing w:line="48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Author contributions:</w:t>
      </w:r>
    </w:p>
    <w:p w14:paraId="1374B3BB" w14:textId="7C94683F" w:rsidR="00A24445" w:rsidRPr="00F76956" w:rsidRDefault="004B2E05" w:rsidP="00A60FAE">
      <w:pPr>
        <w:pStyle w:val="NormalWeb"/>
        <w:spacing w:line="480" w:lineRule="auto"/>
        <w:rPr>
          <w:color w:val="000000" w:themeColor="text1"/>
        </w:rPr>
      </w:pPr>
      <w:r w:rsidRPr="00DA0DEC">
        <w:rPr>
          <w:color w:val="000000" w:themeColor="text1"/>
        </w:rPr>
        <w:t xml:space="preserve">NB: data curation, data analysis, writing </w:t>
      </w:r>
      <w:r w:rsidR="00A44B25">
        <w:rPr>
          <w:color w:val="000000" w:themeColor="text1"/>
        </w:rPr>
        <w:t>-</w:t>
      </w:r>
      <w:r w:rsidRPr="00DA0DEC">
        <w:rPr>
          <w:color w:val="000000" w:themeColor="text1"/>
        </w:rPr>
        <w:t xml:space="preserve"> original draft</w:t>
      </w:r>
      <w:r w:rsidR="001C269C" w:rsidRPr="00DA0DEC">
        <w:rPr>
          <w:color w:val="000000" w:themeColor="text1"/>
        </w:rPr>
        <w:t>, writing - review and editing</w:t>
      </w:r>
      <w:r w:rsidR="00A84354" w:rsidRPr="00DA0DEC">
        <w:rPr>
          <w:color w:val="000000" w:themeColor="text1"/>
        </w:rPr>
        <w:t xml:space="preserve">. </w:t>
      </w:r>
      <w:r w:rsidR="00895484" w:rsidRPr="00DA0DEC">
        <w:rPr>
          <w:color w:val="000000" w:themeColor="text1"/>
        </w:rPr>
        <w:t xml:space="preserve">SRS: conceptualization, formal analysis, data curation, supervision, writing - review and editing. </w:t>
      </w:r>
      <w:r w:rsidRPr="00DA0DEC">
        <w:rPr>
          <w:color w:val="000000" w:themeColor="text1"/>
        </w:rPr>
        <w:t>C</w:t>
      </w:r>
      <w:r w:rsidR="005C7EF6">
        <w:rPr>
          <w:color w:val="000000" w:themeColor="text1"/>
        </w:rPr>
        <w:t>E</w:t>
      </w:r>
      <w:r w:rsidRPr="00DA0DEC">
        <w:rPr>
          <w:color w:val="000000" w:themeColor="text1"/>
        </w:rPr>
        <w:t xml:space="preserve">C: </w:t>
      </w:r>
      <w:r w:rsidR="001C269C" w:rsidRPr="00DA0DEC">
        <w:rPr>
          <w:color w:val="000000" w:themeColor="text1"/>
        </w:rPr>
        <w:t xml:space="preserve">project administration, </w:t>
      </w:r>
      <w:r w:rsidRPr="00DA0DEC">
        <w:rPr>
          <w:color w:val="000000" w:themeColor="text1"/>
        </w:rPr>
        <w:t>formal analysis, and writing - review and editing. E</w:t>
      </w:r>
      <w:r w:rsidR="005C7EF6">
        <w:rPr>
          <w:color w:val="000000" w:themeColor="text1"/>
        </w:rPr>
        <w:t>A</w:t>
      </w:r>
      <w:r w:rsidRPr="00DA0DEC">
        <w:rPr>
          <w:color w:val="000000" w:themeColor="text1"/>
        </w:rPr>
        <w:t xml:space="preserve">M: </w:t>
      </w:r>
      <w:r w:rsidR="00952DBF" w:rsidRPr="00DA0DEC">
        <w:rPr>
          <w:color w:val="000000" w:themeColor="text1"/>
        </w:rPr>
        <w:t>conceptualization</w:t>
      </w:r>
      <w:r w:rsidRPr="00DA0DEC">
        <w:rPr>
          <w:color w:val="000000" w:themeColor="text1"/>
        </w:rPr>
        <w:t xml:space="preserve"> and writing - review and editing. P</w:t>
      </w:r>
      <w:r w:rsidR="005C7EF6">
        <w:rPr>
          <w:color w:val="000000" w:themeColor="text1"/>
        </w:rPr>
        <w:t>S</w:t>
      </w:r>
      <w:r w:rsidRPr="00DA0DEC">
        <w:rPr>
          <w:color w:val="000000" w:themeColor="text1"/>
        </w:rPr>
        <w:t xml:space="preserve">N: </w:t>
      </w:r>
      <w:r w:rsidR="001C269C" w:rsidRPr="00DA0DEC">
        <w:rPr>
          <w:color w:val="000000" w:themeColor="text1"/>
        </w:rPr>
        <w:t xml:space="preserve">project administration, </w:t>
      </w:r>
      <w:r w:rsidRPr="00DA0DEC">
        <w:rPr>
          <w:color w:val="000000" w:themeColor="text1"/>
        </w:rPr>
        <w:t xml:space="preserve">formal analysis, and writing - review and editing. CP-C: </w:t>
      </w:r>
      <w:r w:rsidR="001C269C" w:rsidRPr="00DA0DEC">
        <w:rPr>
          <w:color w:val="000000" w:themeColor="text1"/>
        </w:rPr>
        <w:t xml:space="preserve">project administration, </w:t>
      </w:r>
      <w:r w:rsidRPr="00DA0DEC">
        <w:rPr>
          <w:color w:val="000000" w:themeColor="text1"/>
        </w:rPr>
        <w:t>investigation, and writing - review and editing. P</w:t>
      </w:r>
      <w:r w:rsidR="005C7EF6">
        <w:rPr>
          <w:color w:val="000000" w:themeColor="text1"/>
        </w:rPr>
        <w:t>C</w:t>
      </w:r>
      <w:r w:rsidRPr="00DA0DEC">
        <w:rPr>
          <w:color w:val="000000" w:themeColor="text1"/>
        </w:rPr>
        <w:t xml:space="preserve">C: </w:t>
      </w:r>
      <w:r w:rsidR="00494474" w:rsidRPr="00DA0DEC">
        <w:rPr>
          <w:color w:val="000000" w:themeColor="text1"/>
        </w:rPr>
        <w:t>conceptualization</w:t>
      </w:r>
      <w:r w:rsidRPr="00DA0DEC">
        <w:rPr>
          <w:color w:val="000000" w:themeColor="text1"/>
        </w:rPr>
        <w:t xml:space="preserve">, funding acquisition, supervision, and writing - review and editing. </w:t>
      </w:r>
      <w:r w:rsidR="00267DE8" w:rsidRPr="00DA0DEC">
        <w:rPr>
          <w:color w:val="000000" w:themeColor="text1"/>
        </w:rPr>
        <w:t>H</w:t>
      </w:r>
      <w:r w:rsidR="005C7EF6">
        <w:rPr>
          <w:color w:val="000000" w:themeColor="text1"/>
        </w:rPr>
        <w:t>L</w:t>
      </w:r>
      <w:r w:rsidR="00267DE8" w:rsidRPr="00DA0DEC">
        <w:rPr>
          <w:color w:val="000000" w:themeColor="text1"/>
        </w:rPr>
        <w:t xml:space="preserve">F: </w:t>
      </w:r>
      <w:r w:rsidR="00494474" w:rsidRPr="00DA0DEC">
        <w:rPr>
          <w:color w:val="000000" w:themeColor="text1"/>
        </w:rPr>
        <w:t xml:space="preserve">conceptualization, </w:t>
      </w:r>
      <w:r w:rsidR="00F76956" w:rsidRPr="00DA0DEC">
        <w:rPr>
          <w:color w:val="000000" w:themeColor="text1"/>
        </w:rPr>
        <w:t xml:space="preserve">investigation, </w:t>
      </w:r>
      <w:r w:rsidR="00267DE8" w:rsidRPr="00DA0DEC">
        <w:rPr>
          <w:color w:val="000000" w:themeColor="text1"/>
        </w:rPr>
        <w:t xml:space="preserve">formal analysis, data curation, </w:t>
      </w:r>
      <w:r w:rsidR="00494474" w:rsidRPr="00DA0DEC">
        <w:rPr>
          <w:color w:val="000000" w:themeColor="text1"/>
        </w:rPr>
        <w:t xml:space="preserve">supervision, </w:t>
      </w:r>
      <w:r w:rsidR="00267DE8" w:rsidRPr="00DA0DEC">
        <w:rPr>
          <w:color w:val="000000" w:themeColor="text1"/>
        </w:rPr>
        <w:t>writing</w:t>
      </w:r>
      <w:r w:rsidR="00CA58F7">
        <w:rPr>
          <w:color w:val="000000" w:themeColor="text1"/>
        </w:rPr>
        <w:t>-</w:t>
      </w:r>
      <w:r w:rsidR="00267DE8" w:rsidRPr="00DA0DEC">
        <w:rPr>
          <w:color w:val="000000" w:themeColor="text1"/>
        </w:rPr>
        <w:t>review</w:t>
      </w:r>
      <w:r w:rsidR="002A3942">
        <w:rPr>
          <w:color w:val="000000" w:themeColor="text1"/>
        </w:rPr>
        <w:t>,</w:t>
      </w:r>
      <w:r w:rsidR="00267DE8" w:rsidRPr="00DA0DEC">
        <w:rPr>
          <w:color w:val="000000" w:themeColor="text1"/>
        </w:rPr>
        <w:t xml:space="preserve"> and editing. </w:t>
      </w:r>
      <w:r w:rsidRPr="00DA0DEC">
        <w:rPr>
          <w:color w:val="000000" w:themeColor="text1"/>
        </w:rPr>
        <w:t>All authors contributed to the article and approved the submitted version.</w:t>
      </w:r>
    </w:p>
    <w:p w14:paraId="0A33A204" w14:textId="7944B607" w:rsidR="00A24445" w:rsidRDefault="00A24445" w:rsidP="00A60FAE">
      <w:pPr>
        <w:pStyle w:val="NormalWeb"/>
        <w:spacing w:line="48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Conflicts of interest:</w:t>
      </w:r>
    </w:p>
    <w:p w14:paraId="672142B5" w14:textId="58F3F704" w:rsidR="00576D4A" w:rsidRPr="00F76956" w:rsidRDefault="00B95CC5" w:rsidP="00576D4A">
      <w:pPr>
        <w:pStyle w:val="NormalWeb"/>
        <w:spacing w:line="480" w:lineRule="auto"/>
        <w:rPr>
          <w:color w:val="000000" w:themeColor="text1"/>
        </w:rPr>
      </w:pPr>
      <w:r w:rsidRPr="00A13D98">
        <w:rPr>
          <w:rFonts w:eastAsiaTheme="minorEastAsia"/>
        </w:rPr>
        <w:t>PCC</w:t>
      </w:r>
      <w:r w:rsidRPr="00A13D98">
        <w:rPr>
          <w:rFonts w:eastAsia="Calibri"/>
        </w:rPr>
        <w:t xml:space="preserve"> acts as an ad hoc consultant/advisor to BASF, Danone Nutricia Research, dsm-firmenich, Bunge, Fresenius-Kabi, B. Braun Melsungen, Nestle, Baxter Healthcare, Abbott Nutrition and Haleon and has received speaking honoraria from Fresenius-Kabi, Abbott Nutrition and E</w:t>
      </w:r>
      <w:r w:rsidR="00272A43">
        <w:rPr>
          <w:rFonts w:eastAsia="Calibri"/>
        </w:rPr>
        <w:t>q</w:t>
      </w:r>
      <w:r w:rsidRPr="00A13D98">
        <w:rPr>
          <w:rFonts w:eastAsia="Calibri"/>
        </w:rPr>
        <w:t xml:space="preserve">ology. </w:t>
      </w:r>
    </w:p>
    <w:p w14:paraId="08A61FE2" w14:textId="2A73AB67" w:rsidR="00576D4A" w:rsidRPr="00F76956" w:rsidRDefault="00576D4A" w:rsidP="00576D4A">
      <w:pPr>
        <w:pStyle w:val="NormalWeb"/>
        <w:spacing w:line="480" w:lineRule="auto"/>
        <w:rPr>
          <w:color w:val="000000" w:themeColor="text1"/>
        </w:rPr>
      </w:pPr>
      <w:r w:rsidRPr="00DA0DEC">
        <w:rPr>
          <w:color w:val="000000" w:themeColor="text1"/>
        </w:rPr>
        <w:t xml:space="preserve">SRS </w:t>
      </w:r>
      <w:r w:rsidR="009325A6" w:rsidRPr="00DA0DEC">
        <w:rPr>
          <w:color w:val="000000" w:themeColor="text1"/>
        </w:rPr>
        <w:t>has received industry support for studies on omega-3 fatty acids (Metagenics Inc</w:t>
      </w:r>
      <w:r w:rsidR="002A3942">
        <w:rPr>
          <w:color w:val="000000" w:themeColor="text1"/>
        </w:rPr>
        <w:t>.</w:t>
      </w:r>
      <w:r w:rsidR="009325A6" w:rsidRPr="00DA0DEC">
        <w:rPr>
          <w:color w:val="000000" w:themeColor="text1"/>
        </w:rPr>
        <w:t>) and for organizing conferences (Metagenics Inc</w:t>
      </w:r>
      <w:r w:rsidR="002A3942">
        <w:rPr>
          <w:color w:val="000000" w:themeColor="text1"/>
        </w:rPr>
        <w:t>.</w:t>
      </w:r>
      <w:r w:rsidR="009325A6" w:rsidRPr="00DA0DEC">
        <w:rPr>
          <w:color w:val="000000" w:themeColor="text1"/>
        </w:rPr>
        <w:t xml:space="preserve"> and Wiley Companies). </w:t>
      </w:r>
    </w:p>
    <w:p w14:paraId="6662EB46" w14:textId="4D4D31E5" w:rsidR="00D93EB3" w:rsidRPr="00930106" w:rsidRDefault="00576D4A" w:rsidP="00A60FAE">
      <w:pPr>
        <w:pStyle w:val="NormalWeb"/>
        <w:spacing w:line="480" w:lineRule="auto"/>
        <w:rPr>
          <w:b/>
          <w:bCs/>
          <w:color w:val="000000" w:themeColor="text1"/>
        </w:rPr>
      </w:pPr>
      <w:r w:rsidRPr="00F76956">
        <w:rPr>
          <w:color w:val="000000" w:themeColor="text1"/>
        </w:rPr>
        <w:t>The remaining authors declare that the research was conducted in the absence of any commercial or financial relationships that could be construed as a potential conflict of interest.</w:t>
      </w:r>
    </w:p>
    <w:p w14:paraId="27533BF7" w14:textId="77777777" w:rsidR="00AA2D21" w:rsidRPr="007940DC" w:rsidRDefault="00AA2D21" w:rsidP="00AA2D21">
      <w:pPr>
        <w:pStyle w:val="NormalWeb"/>
        <w:spacing w:line="480" w:lineRule="auto"/>
        <w:rPr>
          <w:b/>
          <w:bCs/>
          <w:color w:val="000000" w:themeColor="text1"/>
        </w:rPr>
      </w:pPr>
      <w:r w:rsidRPr="007940DC">
        <w:rPr>
          <w:b/>
          <w:bCs/>
          <w:color w:val="000000" w:themeColor="text1"/>
        </w:rPr>
        <w:lastRenderedPageBreak/>
        <w:t>Acknowledgments</w:t>
      </w:r>
    </w:p>
    <w:p w14:paraId="4851C6B3" w14:textId="283B2D17" w:rsidR="002B5423" w:rsidRDefault="00AA2D21" w:rsidP="00E1147A">
      <w:pPr>
        <w:spacing w:after="160" w:line="480" w:lineRule="auto"/>
        <w:rPr>
          <w:b/>
          <w:bCs/>
        </w:rPr>
      </w:pPr>
      <w:r w:rsidRPr="00AA2D21">
        <w:rPr>
          <w:color w:val="000000" w:themeColor="text1"/>
        </w:rPr>
        <w:t xml:space="preserve">We acknowledge the European Commission for </w:t>
      </w:r>
      <w:r w:rsidR="00566689">
        <w:rPr>
          <w:color w:val="000000" w:themeColor="text1"/>
        </w:rPr>
        <w:t>funding</w:t>
      </w:r>
      <w:r>
        <w:rPr>
          <w:color w:val="000000" w:themeColor="text1"/>
        </w:rPr>
        <w:t xml:space="preserve"> the clinical study </w:t>
      </w:r>
      <w:r w:rsidRPr="00AA2D21">
        <w:rPr>
          <w:color w:val="000000" w:themeColor="text1"/>
        </w:rPr>
        <w:t xml:space="preserve">through its Seventh Framework Programme (grant number 244995) and EPAX, Norway, for </w:t>
      </w:r>
      <w:r w:rsidR="00566689">
        <w:rPr>
          <w:color w:val="000000" w:themeColor="text1"/>
        </w:rPr>
        <w:t>supplying</w:t>
      </w:r>
      <w:r w:rsidRPr="00AA2D21">
        <w:rPr>
          <w:color w:val="000000" w:themeColor="text1"/>
        </w:rPr>
        <w:t xml:space="preserve"> the </w:t>
      </w:r>
      <w:r w:rsidR="001F0F20">
        <w:rPr>
          <w:color w:val="000000" w:themeColor="text1"/>
        </w:rPr>
        <w:t>EPA+DHA</w:t>
      </w:r>
      <w:r w:rsidRPr="00AA2D21">
        <w:rPr>
          <w:color w:val="000000" w:themeColor="text1"/>
        </w:rPr>
        <w:t xml:space="preserve"> and </w:t>
      </w:r>
      <w:r w:rsidR="00987854">
        <w:rPr>
          <w:color w:val="000000" w:themeColor="text1"/>
        </w:rPr>
        <w:t>CO</w:t>
      </w:r>
      <w:r w:rsidRPr="00AA2D21">
        <w:rPr>
          <w:color w:val="000000" w:themeColor="text1"/>
        </w:rPr>
        <w:t xml:space="preserve"> capsules used in the study</w:t>
      </w:r>
      <w:r w:rsidR="00895484">
        <w:rPr>
          <w:color w:val="000000" w:themeColor="text1"/>
        </w:rPr>
        <w:t>.</w:t>
      </w:r>
      <w:r w:rsidR="00332B9D">
        <w:rPr>
          <w:color w:val="000000" w:themeColor="text1"/>
        </w:rPr>
        <w:t xml:space="preserve"> </w:t>
      </w:r>
      <w:r w:rsidR="00D33D77">
        <w:rPr>
          <w:color w:val="000000" w:themeColor="text1"/>
        </w:rPr>
        <w:t xml:space="preserve">We further acknowledge Sean Ewings at the University of Southampton for biostatistics support.  </w:t>
      </w:r>
      <w:r w:rsidR="00332B9D">
        <w:rPr>
          <w:color w:val="000000" w:themeColor="text1"/>
        </w:rPr>
        <w:t>HLF is supported by the NIHR Southampton Biomedical Research Centre (</w:t>
      </w:r>
      <w:r w:rsidR="001A5C77">
        <w:rPr>
          <w:color w:val="000000" w:themeColor="text1"/>
        </w:rPr>
        <w:t xml:space="preserve">grant </w:t>
      </w:r>
      <w:r w:rsidR="001A5C77" w:rsidRPr="001A5C77">
        <w:rPr>
          <w:color w:val="000000" w:themeColor="text1"/>
        </w:rPr>
        <w:t xml:space="preserve">number </w:t>
      </w:r>
      <w:r w:rsidR="001A5C77" w:rsidRPr="003564C7">
        <w:t>NIHR203319</w:t>
      </w:r>
      <w:r w:rsidR="00332B9D" w:rsidRPr="001A5C77">
        <w:rPr>
          <w:color w:val="000000" w:themeColor="text1"/>
        </w:rPr>
        <w:t>)</w:t>
      </w:r>
      <w:r w:rsidR="00B9791B">
        <w:rPr>
          <w:b/>
          <w:bCs/>
        </w:rPr>
        <w:t>.</w:t>
      </w:r>
      <w:r w:rsidR="00D33D77">
        <w:rPr>
          <w:color w:val="000000" w:themeColor="text1"/>
        </w:rPr>
        <w:t xml:space="preserve"> </w:t>
      </w:r>
      <w:r w:rsidR="002B5423">
        <w:rPr>
          <w:b/>
          <w:bCs/>
        </w:rPr>
        <w:br w:type="page"/>
      </w:r>
    </w:p>
    <w:p w14:paraId="3C7FA897" w14:textId="3FD80544" w:rsidR="001143C5" w:rsidRPr="008171D8" w:rsidRDefault="001143C5" w:rsidP="00E1147A">
      <w:pPr>
        <w:suppressLineNumbers/>
        <w:spacing w:line="480" w:lineRule="auto"/>
      </w:pPr>
      <w:r w:rsidRPr="00930106">
        <w:rPr>
          <w:b/>
          <w:bCs/>
          <w:color w:val="000000" w:themeColor="text1"/>
        </w:rPr>
        <w:lastRenderedPageBreak/>
        <w:t>Figure Legends</w:t>
      </w:r>
    </w:p>
    <w:p w14:paraId="59B87D8B" w14:textId="7EC56BCB" w:rsidR="002A645B" w:rsidRPr="00930106" w:rsidRDefault="001143C5" w:rsidP="009B013B">
      <w:pPr>
        <w:pStyle w:val="NormalWeb"/>
        <w:suppressLineNumbers/>
        <w:spacing w:line="480" w:lineRule="auto"/>
      </w:pPr>
      <w:r w:rsidRPr="00930106">
        <w:rPr>
          <w:rStyle w:val="Strong"/>
          <w:rFonts w:eastAsiaTheme="majorEastAsia"/>
        </w:rPr>
        <w:t>Figure 1.</w:t>
      </w:r>
      <w:r w:rsidRPr="00930106">
        <w:t xml:space="preserve"> Relative concentration</w:t>
      </w:r>
      <w:r w:rsidR="008A222B">
        <w:t>s</w:t>
      </w:r>
      <w:r w:rsidRPr="00930106">
        <w:t xml:space="preserve"> of </w:t>
      </w:r>
      <w:r w:rsidR="00967843">
        <w:t xml:space="preserve">omega-6 </w:t>
      </w:r>
      <w:r w:rsidRPr="00930106">
        <w:t xml:space="preserve">fatty acids in plasma </w:t>
      </w:r>
      <w:r w:rsidR="00967843">
        <w:t xml:space="preserve">PC, CE, NEFA, and TAG </w:t>
      </w:r>
      <w:r w:rsidRPr="00930106">
        <w:t xml:space="preserve">before </w:t>
      </w:r>
      <w:r w:rsidR="00216E9E">
        <w:t xml:space="preserve">(baseline) </w:t>
      </w:r>
      <w:r w:rsidRPr="00930106">
        <w:t>and after</w:t>
      </w:r>
      <w:r w:rsidR="00216E9E">
        <w:t xml:space="preserve"> (week-12)</w:t>
      </w:r>
      <w:r w:rsidRPr="00930106">
        <w:t xml:space="preserve"> </w:t>
      </w:r>
      <w:r w:rsidR="003F77D6">
        <w:t>EPA+DHA</w:t>
      </w:r>
      <w:r w:rsidR="001B676B">
        <w:t xml:space="preserve"> or </w:t>
      </w:r>
      <w:r w:rsidR="009460C0">
        <w:t xml:space="preserve">CO </w:t>
      </w:r>
      <w:r w:rsidRPr="00930106">
        <w:t>supplementation</w:t>
      </w:r>
      <w:r w:rsidR="00E2414B">
        <w:t xml:space="preserve"> for n=10 and n=11, respectively</w:t>
      </w:r>
      <w:r w:rsidRPr="00930106">
        <w:t xml:space="preserve">. Data are expressed as the percentage of total fatty acids for (A) </w:t>
      </w:r>
      <w:r w:rsidR="00F70D56">
        <w:t xml:space="preserve">PC </w:t>
      </w:r>
      <w:r w:rsidRPr="00930106">
        <w:t>C18:2n-6, (</w:t>
      </w:r>
      <w:r w:rsidR="00F70D56">
        <w:t>B</w:t>
      </w:r>
      <w:r w:rsidRPr="00930106">
        <w:t xml:space="preserve">) </w:t>
      </w:r>
      <w:r w:rsidR="00F70D56">
        <w:t xml:space="preserve">PC </w:t>
      </w:r>
      <w:r w:rsidRPr="00930106">
        <w:t>C20:4n-6, (</w:t>
      </w:r>
      <w:r w:rsidR="00F70D56">
        <w:t>C</w:t>
      </w:r>
      <w:r w:rsidRPr="00930106">
        <w:t xml:space="preserve">) </w:t>
      </w:r>
      <w:r w:rsidR="00967843">
        <w:t>CE</w:t>
      </w:r>
      <w:r w:rsidR="00F70D56">
        <w:t xml:space="preserve"> </w:t>
      </w:r>
      <w:r w:rsidR="00967843" w:rsidRPr="00930106">
        <w:t>C18:2n-6</w:t>
      </w:r>
      <w:r w:rsidRPr="00930106">
        <w:t>, (</w:t>
      </w:r>
      <w:r w:rsidR="00F70D56">
        <w:t>D</w:t>
      </w:r>
      <w:r w:rsidRPr="00930106">
        <w:t xml:space="preserve">) </w:t>
      </w:r>
      <w:r w:rsidR="00967843">
        <w:t>CE</w:t>
      </w:r>
      <w:r w:rsidR="00F70D56">
        <w:t xml:space="preserve"> </w:t>
      </w:r>
      <w:r w:rsidR="00967843" w:rsidRPr="00930106">
        <w:t>C20:4n-6</w:t>
      </w:r>
      <w:r w:rsidRPr="00930106">
        <w:t>, (</w:t>
      </w:r>
      <w:r w:rsidR="00F70D56">
        <w:t xml:space="preserve">E) </w:t>
      </w:r>
      <w:r w:rsidR="00967843">
        <w:t>NEFA</w:t>
      </w:r>
      <w:r w:rsidRPr="00930106">
        <w:t xml:space="preserve"> </w:t>
      </w:r>
      <w:r w:rsidR="00967843" w:rsidRPr="00930106">
        <w:t>C18:2n-6</w:t>
      </w:r>
      <w:r w:rsidR="00F70D56">
        <w:t xml:space="preserve">, </w:t>
      </w:r>
      <w:r w:rsidR="00F70D56" w:rsidRPr="00930106">
        <w:t>(</w:t>
      </w:r>
      <w:r w:rsidR="00F70D56">
        <w:t>F</w:t>
      </w:r>
      <w:r w:rsidR="00F70D56" w:rsidRPr="00930106">
        <w:t>)</w:t>
      </w:r>
      <w:r w:rsidR="00967843">
        <w:t xml:space="preserve"> NEFA </w:t>
      </w:r>
      <w:r w:rsidR="00967843" w:rsidRPr="00930106">
        <w:t>C20:4n-6</w:t>
      </w:r>
      <w:r w:rsidR="00F70D56" w:rsidRPr="00930106">
        <w:t>, (</w:t>
      </w:r>
      <w:r w:rsidR="00F70D56">
        <w:t>G</w:t>
      </w:r>
      <w:r w:rsidR="00F70D56" w:rsidRPr="00930106">
        <w:t xml:space="preserve">) </w:t>
      </w:r>
      <w:r w:rsidR="00967843">
        <w:t xml:space="preserve">TAG </w:t>
      </w:r>
      <w:r w:rsidR="00967843" w:rsidRPr="00930106">
        <w:t>C18:2n-6</w:t>
      </w:r>
      <w:r w:rsidR="00967843">
        <w:t>,</w:t>
      </w:r>
      <w:r w:rsidR="00F70D56" w:rsidRPr="00930106">
        <w:t xml:space="preserve"> </w:t>
      </w:r>
      <w:r w:rsidR="00F70D56">
        <w:t xml:space="preserve">(H) </w:t>
      </w:r>
      <w:r w:rsidR="00967843">
        <w:t>TAG</w:t>
      </w:r>
      <w:r w:rsidR="00F70D56">
        <w:t xml:space="preserve"> </w:t>
      </w:r>
      <w:r w:rsidR="00967843" w:rsidRPr="00930106">
        <w:t>C20:4n-6</w:t>
      </w:r>
      <w:r w:rsidR="00967843">
        <w:t>.</w:t>
      </w:r>
      <w:r w:rsidRPr="00930106">
        <w:t xml:space="preserve"> </w:t>
      </w:r>
      <w:r w:rsidR="00D93EB3" w:rsidRPr="00930106">
        <w:t>Error bars represent</w:t>
      </w:r>
      <w:r w:rsidRPr="00930106">
        <w:t xml:space="preserve"> mean ± standard deviation. </w:t>
      </w:r>
      <w:r w:rsidR="00F70D56">
        <w:t>Statistical significance was assessed as follows: baseline differences between the two groups were evaluated with unpaired t-tests; within-group changes from baseline to week 12 were analyzed using paired t-tests; and between-group comparisons at week 12 were performed with ANCOVA (*</w:t>
      </w:r>
      <w:r w:rsidR="001C6024">
        <w:t>/</w:t>
      </w:r>
      <w:r w:rsidR="001C6024" w:rsidRPr="00D14480">
        <w:rPr>
          <w:vertAlign w:val="superscript"/>
        </w:rPr>
        <w:t>+</w:t>
      </w:r>
      <w:r w:rsidR="00F70D56">
        <w:t xml:space="preserve">p &lt; 0.05, </w:t>
      </w:r>
      <w:r w:rsidR="001C6024">
        <w:t>**/</w:t>
      </w:r>
      <w:r w:rsidR="001C6024" w:rsidRPr="00D14480">
        <w:rPr>
          <w:vertAlign w:val="superscript"/>
        </w:rPr>
        <w:t>++</w:t>
      </w:r>
      <w:r w:rsidR="001C6024">
        <w:t>p&lt;0.01,</w:t>
      </w:r>
      <w:r w:rsidR="00F70D56">
        <w:t>***</w:t>
      </w:r>
      <w:r w:rsidR="001C6024">
        <w:t>/</w:t>
      </w:r>
      <w:r w:rsidR="001C6024" w:rsidRPr="00D14480">
        <w:rPr>
          <w:vertAlign w:val="superscript"/>
        </w:rPr>
        <w:t>+++</w:t>
      </w:r>
      <w:r w:rsidR="00F70D56">
        <w:t>p &lt; 0.001, ****</w:t>
      </w:r>
      <w:r w:rsidR="001C6024">
        <w:t>/</w:t>
      </w:r>
      <w:r w:rsidR="001C6024" w:rsidRPr="00D14480">
        <w:rPr>
          <w:vertAlign w:val="superscript"/>
        </w:rPr>
        <w:t>++++</w:t>
      </w:r>
      <w:r w:rsidR="00F70D56">
        <w:t>p &lt; 0.0001).</w:t>
      </w:r>
      <w:r w:rsidR="002A645B">
        <w:t xml:space="preserve"> </w:t>
      </w:r>
      <w:r w:rsidR="00FB0E25" w:rsidRPr="00FB0E25">
        <w:t>CE, cholesteryl esters; CO, Corn oil; DHA, Docosahexaenoic acid; EPA, Eicosapentaenoic acid; NEFA, Non-esterified fatty acids; PC, Phosphatidylcholines; TAG, Triglycerides.</w:t>
      </w:r>
    </w:p>
    <w:p w14:paraId="576F4ADF" w14:textId="7E58D0A9" w:rsidR="00967843" w:rsidRDefault="001143C5" w:rsidP="009B013B">
      <w:pPr>
        <w:pStyle w:val="NormalWeb"/>
        <w:suppressLineNumbers/>
        <w:spacing w:line="480" w:lineRule="auto"/>
      </w:pPr>
      <w:r w:rsidRPr="00930106">
        <w:rPr>
          <w:rStyle w:val="Strong"/>
          <w:rFonts w:eastAsiaTheme="majorEastAsia"/>
        </w:rPr>
        <w:t xml:space="preserve">Figure </w:t>
      </w:r>
      <w:r w:rsidR="001B6EFF" w:rsidRPr="00930106">
        <w:rPr>
          <w:rStyle w:val="Strong"/>
          <w:rFonts w:eastAsiaTheme="majorEastAsia"/>
        </w:rPr>
        <w:t>2</w:t>
      </w:r>
      <w:r w:rsidRPr="00930106">
        <w:rPr>
          <w:rStyle w:val="Strong"/>
          <w:rFonts w:eastAsiaTheme="majorEastAsia"/>
        </w:rPr>
        <w:t>.</w:t>
      </w:r>
      <w:r w:rsidRPr="00930106">
        <w:t xml:space="preserve"> </w:t>
      </w:r>
      <w:r w:rsidR="00F70D56" w:rsidRPr="00930106">
        <w:t>Relative concentration</w:t>
      </w:r>
      <w:r w:rsidR="00F70D56">
        <w:t>s</w:t>
      </w:r>
      <w:r w:rsidR="00F70D56" w:rsidRPr="00930106">
        <w:t xml:space="preserve"> of</w:t>
      </w:r>
      <w:r w:rsidR="00967843">
        <w:t xml:space="preserve"> omega-3</w:t>
      </w:r>
      <w:r w:rsidR="00F70D56" w:rsidRPr="00930106">
        <w:t xml:space="preserve"> fatty acids in plasma </w:t>
      </w:r>
      <w:r w:rsidR="00967843">
        <w:t>PC</w:t>
      </w:r>
      <w:r w:rsidR="00F70D56">
        <w:t xml:space="preserve"> and </w:t>
      </w:r>
      <w:r w:rsidR="00967843">
        <w:t>CE</w:t>
      </w:r>
      <w:r w:rsidR="00F70D56">
        <w:t xml:space="preserve"> </w:t>
      </w:r>
      <w:r w:rsidR="00F70D56" w:rsidRPr="00930106">
        <w:t xml:space="preserve">before </w:t>
      </w:r>
      <w:r w:rsidR="00F70D56">
        <w:t xml:space="preserve">(baseline) </w:t>
      </w:r>
      <w:r w:rsidR="00F70D56" w:rsidRPr="00930106">
        <w:t>and after</w:t>
      </w:r>
      <w:r w:rsidR="00F70D56">
        <w:t xml:space="preserve"> (week-12)</w:t>
      </w:r>
      <w:r w:rsidR="00F70D56" w:rsidRPr="00930106">
        <w:t xml:space="preserve"> </w:t>
      </w:r>
      <w:r w:rsidR="00F70D56">
        <w:t xml:space="preserve">EPA+DHA or CO </w:t>
      </w:r>
      <w:r w:rsidR="00F70D56" w:rsidRPr="00930106">
        <w:t>supplementation</w:t>
      </w:r>
      <w:r w:rsidR="00F70D56">
        <w:t xml:space="preserve"> for n=10 and n=11, respectively</w:t>
      </w:r>
      <w:r w:rsidR="00F70D56" w:rsidRPr="00930106">
        <w:t>. Data are expressed as the percentage of total fatty acids for (</w:t>
      </w:r>
      <w:r w:rsidR="00967843">
        <w:t>A</w:t>
      </w:r>
      <w:r w:rsidR="00F70D56" w:rsidRPr="00930106">
        <w:t>)</w:t>
      </w:r>
      <w:r w:rsidR="00967843">
        <w:t xml:space="preserve"> PC</w:t>
      </w:r>
      <w:r w:rsidR="00F70D56">
        <w:t xml:space="preserve"> </w:t>
      </w:r>
      <w:r w:rsidR="00F70D56" w:rsidRPr="00930106">
        <w:t>C20:5n-3, (</w:t>
      </w:r>
      <w:r w:rsidR="00967843">
        <w:t>B</w:t>
      </w:r>
      <w:r w:rsidR="00F70D56" w:rsidRPr="00930106">
        <w:t>)</w:t>
      </w:r>
      <w:r w:rsidR="00967843">
        <w:t xml:space="preserve"> PC</w:t>
      </w:r>
      <w:r w:rsidR="00F70D56">
        <w:t xml:space="preserve"> </w:t>
      </w:r>
      <w:r w:rsidR="00F70D56" w:rsidRPr="00930106">
        <w:t>C22:5n-3, (</w:t>
      </w:r>
      <w:r w:rsidR="00967843">
        <w:t>C</w:t>
      </w:r>
      <w:r w:rsidR="00F70D56">
        <w:t>)</w:t>
      </w:r>
      <w:r w:rsidR="00967843">
        <w:t xml:space="preserve"> PC</w:t>
      </w:r>
      <w:r w:rsidR="00F70D56">
        <w:t xml:space="preserve"> </w:t>
      </w:r>
      <w:r w:rsidR="00F70D56" w:rsidRPr="00930106">
        <w:t>C22:6n-3</w:t>
      </w:r>
      <w:r w:rsidR="00F70D56">
        <w:t>, (</w:t>
      </w:r>
      <w:r w:rsidR="00967843">
        <w:t>D</w:t>
      </w:r>
      <w:r w:rsidR="00F70D56">
        <w:t>)</w:t>
      </w:r>
      <w:r w:rsidR="00967843">
        <w:t xml:space="preserve"> CE </w:t>
      </w:r>
      <w:r w:rsidR="00F70D56" w:rsidRPr="00930106">
        <w:t>C20:5n-3, (</w:t>
      </w:r>
      <w:r w:rsidR="00967843">
        <w:t>E</w:t>
      </w:r>
      <w:r w:rsidR="00F70D56" w:rsidRPr="00930106">
        <w:t>)</w:t>
      </w:r>
      <w:r w:rsidR="00967843">
        <w:t xml:space="preserve"> CE</w:t>
      </w:r>
      <w:r w:rsidR="00F70D56">
        <w:t xml:space="preserve"> </w:t>
      </w:r>
      <w:r w:rsidR="00F70D56" w:rsidRPr="00930106">
        <w:t>C22:5n-3, (</w:t>
      </w:r>
      <w:r w:rsidR="00967843">
        <w:t>F</w:t>
      </w:r>
      <w:r w:rsidR="00F70D56">
        <w:t xml:space="preserve">) </w:t>
      </w:r>
      <w:r w:rsidR="00967843">
        <w:t xml:space="preserve">CE </w:t>
      </w:r>
      <w:r w:rsidR="00F70D56" w:rsidRPr="00930106">
        <w:t>C22:6n-3</w:t>
      </w:r>
      <w:r w:rsidR="00F70D56">
        <w:t>.</w:t>
      </w:r>
      <w:r w:rsidR="00F70D56" w:rsidRPr="00930106">
        <w:t xml:space="preserve"> Error bars represent mean ± standard deviation. </w:t>
      </w:r>
      <w:r w:rsidR="00F70D56">
        <w:t>Statistical significance was assessed as follows: baseline differences between the two groups were evaluated with unpaired t-tests; within-group changes from baseline to week 12 were analyzed using paired t-tests; and between-group comparisons at week 12 were performed with ANCOVA (</w:t>
      </w:r>
      <w:r w:rsidR="00914717">
        <w:t>*/</w:t>
      </w:r>
      <w:r w:rsidR="00914717" w:rsidRPr="0035781E">
        <w:rPr>
          <w:vertAlign w:val="superscript"/>
        </w:rPr>
        <w:t>+</w:t>
      </w:r>
      <w:r w:rsidR="00914717">
        <w:t>p &lt; 0.05, **/</w:t>
      </w:r>
      <w:r w:rsidR="00914717" w:rsidRPr="0035781E">
        <w:rPr>
          <w:vertAlign w:val="superscript"/>
        </w:rPr>
        <w:t>++</w:t>
      </w:r>
      <w:r w:rsidR="00914717">
        <w:t>p&lt;0.01,***/</w:t>
      </w:r>
      <w:r w:rsidR="00914717" w:rsidRPr="0035781E">
        <w:rPr>
          <w:vertAlign w:val="superscript"/>
        </w:rPr>
        <w:t>+++</w:t>
      </w:r>
      <w:r w:rsidR="00914717">
        <w:t>p &lt; 0.001, ****/</w:t>
      </w:r>
      <w:r w:rsidR="00914717" w:rsidRPr="0035781E">
        <w:rPr>
          <w:vertAlign w:val="superscript"/>
        </w:rPr>
        <w:t>++++</w:t>
      </w:r>
      <w:r w:rsidR="00914717">
        <w:t>p &lt; 0.0001</w:t>
      </w:r>
      <w:r w:rsidR="00F70D56">
        <w:t>).</w:t>
      </w:r>
      <w:r w:rsidR="004C70AF">
        <w:t xml:space="preserve"> </w:t>
      </w:r>
      <w:r w:rsidR="004C70AF" w:rsidRPr="00FB0E25">
        <w:t>CE, cholesteryl esters; CO, Corn oil; DHA, Docosahexaenoic acid; EPA, Eicosapentaenoic acid; PC, Phosphatidylcholines.</w:t>
      </w:r>
    </w:p>
    <w:p w14:paraId="09D2A081" w14:textId="6022AE83" w:rsidR="001143C5" w:rsidRPr="00930106" w:rsidRDefault="00967843" w:rsidP="009B013B">
      <w:pPr>
        <w:pStyle w:val="NormalWeb"/>
        <w:suppressLineNumbers/>
        <w:spacing w:line="480" w:lineRule="auto"/>
      </w:pPr>
      <w:r w:rsidRPr="00930106">
        <w:rPr>
          <w:rStyle w:val="Strong"/>
          <w:rFonts w:eastAsiaTheme="majorEastAsia"/>
        </w:rPr>
        <w:lastRenderedPageBreak/>
        <w:t xml:space="preserve">Figure </w:t>
      </w:r>
      <w:r>
        <w:rPr>
          <w:rStyle w:val="Strong"/>
          <w:rFonts w:eastAsiaTheme="majorEastAsia"/>
        </w:rPr>
        <w:t>3</w:t>
      </w:r>
      <w:r w:rsidRPr="00930106">
        <w:rPr>
          <w:rStyle w:val="Strong"/>
          <w:rFonts w:eastAsiaTheme="majorEastAsia"/>
        </w:rPr>
        <w:t>.</w:t>
      </w:r>
      <w:r w:rsidRPr="00930106">
        <w:t xml:space="preserve"> Relative concentration</w:t>
      </w:r>
      <w:r>
        <w:t>s</w:t>
      </w:r>
      <w:r w:rsidRPr="00930106">
        <w:t xml:space="preserve"> of</w:t>
      </w:r>
      <w:r>
        <w:t xml:space="preserve"> omega-3</w:t>
      </w:r>
      <w:r w:rsidRPr="00930106">
        <w:t xml:space="preserve"> fatty acids in plasma</w:t>
      </w:r>
      <w:r>
        <w:t xml:space="preserve"> NEFA and TAG </w:t>
      </w:r>
      <w:r w:rsidRPr="00930106">
        <w:t xml:space="preserve">before </w:t>
      </w:r>
      <w:r>
        <w:t xml:space="preserve">(baseline) </w:t>
      </w:r>
      <w:r w:rsidRPr="00930106">
        <w:t>and after</w:t>
      </w:r>
      <w:r>
        <w:t xml:space="preserve"> (week-12)</w:t>
      </w:r>
      <w:r w:rsidRPr="00930106">
        <w:t xml:space="preserve"> </w:t>
      </w:r>
      <w:r>
        <w:t xml:space="preserve">EPA+DHA or CO </w:t>
      </w:r>
      <w:r w:rsidRPr="00930106">
        <w:t>supplementation</w:t>
      </w:r>
      <w:r>
        <w:t xml:space="preserve"> for n=10 and n=11, respectively</w:t>
      </w:r>
      <w:r w:rsidRPr="00930106">
        <w:t>. Data are expressed as the percentage of total fatty acids for (</w:t>
      </w:r>
      <w:r>
        <w:t>A</w:t>
      </w:r>
      <w:r w:rsidRPr="00930106">
        <w:t>)</w:t>
      </w:r>
      <w:r>
        <w:t xml:space="preserve"> NEFA </w:t>
      </w:r>
      <w:r w:rsidRPr="00930106">
        <w:t>C20:5n-3, (</w:t>
      </w:r>
      <w:r>
        <w:t>B</w:t>
      </w:r>
      <w:r w:rsidRPr="00930106">
        <w:t>)</w:t>
      </w:r>
      <w:r>
        <w:t xml:space="preserve"> NEFA </w:t>
      </w:r>
      <w:r w:rsidRPr="00930106">
        <w:t>C22:5n-3, (</w:t>
      </w:r>
      <w:r>
        <w:t xml:space="preserve">C) NEFA </w:t>
      </w:r>
      <w:r w:rsidRPr="00930106">
        <w:t>C22:6n-3</w:t>
      </w:r>
      <w:r>
        <w:t xml:space="preserve">, (D) TAG </w:t>
      </w:r>
      <w:r w:rsidRPr="00930106">
        <w:t>C20:5n-3, (</w:t>
      </w:r>
      <w:r>
        <w:t>E</w:t>
      </w:r>
      <w:r w:rsidRPr="00930106">
        <w:t>)</w:t>
      </w:r>
      <w:r>
        <w:t xml:space="preserve"> TAG </w:t>
      </w:r>
      <w:r w:rsidRPr="00930106">
        <w:t>C22:5n-3, (</w:t>
      </w:r>
      <w:r>
        <w:t xml:space="preserve">F) TAG </w:t>
      </w:r>
      <w:r w:rsidRPr="00930106">
        <w:t>C22:6n-3</w:t>
      </w:r>
      <w:r>
        <w:t>.</w:t>
      </w:r>
      <w:r w:rsidRPr="00930106">
        <w:t xml:space="preserve"> Error bars represent mean ± standard deviation. </w:t>
      </w:r>
      <w:r>
        <w:t>Statistical significance was assessed as follows: baseline differences between the two groups were evaluated with unpaired t-tests; within-group changes from baseline to week 12 were analyzed using paired t-tests; and between-group comparisons at week 12 were performed with ANCOVA (*/</w:t>
      </w:r>
      <w:r w:rsidRPr="0035781E">
        <w:rPr>
          <w:vertAlign w:val="superscript"/>
        </w:rPr>
        <w:t>+</w:t>
      </w:r>
      <w:r>
        <w:t>p &lt; 0.05, **/</w:t>
      </w:r>
      <w:r w:rsidRPr="0035781E">
        <w:rPr>
          <w:vertAlign w:val="superscript"/>
        </w:rPr>
        <w:t>++</w:t>
      </w:r>
      <w:r>
        <w:t>p&lt;0.01,***/</w:t>
      </w:r>
      <w:r w:rsidRPr="0035781E">
        <w:rPr>
          <w:vertAlign w:val="superscript"/>
        </w:rPr>
        <w:t>+++</w:t>
      </w:r>
      <w:r>
        <w:t>p &lt; 0.001, ****/</w:t>
      </w:r>
      <w:r w:rsidRPr="0035781E">
        <w:rPr>
          <w:vertAlign w:val="superscript"/>
        </w:rPr>
        <w:t>++++</w:t>
      </w:r>
      <w:r>
        <w:t>p &lt; 0.0001).</w:t>
      </w:r>
      <w:r w:rsidR="004C70AF">
        <w:t xml:space="preserve"> </w:t>
      </w:r>
      <w:r w:rsidR="004C70AF" w:rsidRPr="00FB0E25">
        <w:t>CO, Corn oil; DHA, Docosahexaenoic acid; EPA, Eicosapentaenoic acid; NEFA, Non-esterified fatty acids; TAG, Triglycerides.</w:t>
      </w:r>
    </w:p>
    <w:p w14:paraId="755E8637" w14:textId="2FF60A4D" w:rsidR="001143C5" w:rsidRDefault="001143C5" w:rsidP="009B013B">
      <w:pPr>
        <w:suppressLineNumbers/>
        <w:spacing w:line="480" w:lineRule="auto"/>
      </w:pPr>
      <w:r w:rsidRPr="00930106">
        <w:rPr>
          <w:b/>
          <w:bCs/>
        </w:rPr>
        <w:t xml:space="preserve">Figure </w:t>
      </w:r>
      <w:r w:rsidR="00967843">
        <w:rPr>
          <w:b/>
          <w:bCs/>
        </w:rPr>
        <w:t>4</w:t>
      </w:r>
      <w:r w:rsidRPr="00930106">
        <w:t xml:space="preserve">. </w:t>
      </w:r>
      <w:r w:rsidR="00741E58">
        <w:t>Concentrations</w:t>
      </w:r>
      <w:r w:rsidR="00741E58" w:rsidRPr="00930106">
        <w:t xml:space="preserve"> </w:t>
      </w:r>
      <w:r w:rsidRPr="00930106">
        <w:t xml:space="preserve">of </w:t>
      </w:r>
      <w:r w:rsidR="00FB7069">
        <w:t xml:space="preserve">significant </w:t>
      </w:r>
      <w:r w:rsidR="00210895">
        <w:t xml:space="preserve">omega-3 derived </w:t>
      </w:r>
      <w:r w:rsidRPr="00930106">
        <w:t>oxylipins before</w:t>
      </w:r>
      <w:r w:rsidR="00216E9E">
        <w:t xml:space="preserve"> (baseline) </w:t>
      </w:r>
      <w:r w:rsidRPr="00930106">
        <w:t>and after</w:t>
      </w:r>
      <w:r w:rsidR="00216E9E">
        <w:t xml:space="preserve"> (week-12)</w:t>
      </w:r>
      <w:r w:rsidR="00216E9E" w:rsidRPr="00930106">
        <w:t xml:space="preserve"> </w:t>
      </w:r>
      <w:r w:rsidR="00741E58">
        <w:t>EPA+DHA</w:t>
      </w:r>
      <w:r w:rsidR="00A35E94" w:rsidRPr="001B676B">
        <w:t xml:space="preserve"> </w:t>
      </w:r>
      <w:r w:rsidR="00A35E94">
        <w:t xml:space="preserve">or </w:t>
      </w:r>
      <w:r w:rsidR="009460C0">
        <w:t xml:space="preserve">CO </w:t>
      </w:r>
      <w:r w:rsidR="00A35E94" w:rsidRPr="00930106">
        <w:t>supplementation</w:t>
      </w:r>
      <w:r w:rsidRPr="00930106">
        <w:t xml:space="preserve"> </w:t>
      </w:r>
      <w:r w:rsidR="00E2414B">
        <w:t>for n=10 and n=11, respectively</w:t>
      </w:r>
      <w:r w:rsidRPr="00930106">
        <w:t>. Data are expressed as the percentage of total oxylipins for (A) 5-HEPE, (B) 15-HEPE, (C)</w:t>
      </w:r>
      <w:r w:rsidR="00A35E94">
        <w:t xml:space="preserve"> 17,18-DiHETE</w:t>
      </w:r>
      <w:r w:rsidRPr="00930106">
        <w:t>, (D</w:t>
      </w:r>
      <w:r w:rsidR="00210895">
        <w:t xml:space="preserve">) </w:t>
      </w:r>
      <w:r w:rsidR="00A35E94" w:rsidRPr="00930106">
        <w:t>17(S)-HDHA</w:t>
      </w:r>
      <w:r w:rsidR="00EE2C50">
        <w:t xml:space="preserve">, </w:t>
      </w:r>
      <w:r w:rsidR="00210895">
        <w:t xml:space="preserve">and (E) 8-HDoHE. </w:t>
      </w:r>
      <w:r w:rsidR="00D93EB3" w:rsidRPr="00930106">
        <w:t>Error b</w:t>
      </w:r>
      <w:r w:rsidRPr="00930106">
        <w:t xml:space="preserve">ars represent mean ± standard deviation. </w:t>
      </w:r>
      <w:r w:rsidR="00210895">
        <w:t>Statistical significance was assessed as follows: baseline differences between the two groups were evaluated with unpaired t-tests; within-group changes from baseline to week 12 were analyzed using paired t-tests; and between-group comparisons at week 12 were performed with ANCOVA (*/</w:t>
      </w:r>
      <w:r w:rsidR="00210895" w:rsidRPr="0035781E">
        <w:rPr>
          <w:vertAlign w:val="superscript"/>
        </w:rPr>
        <w:t>+</w:t>
      </w:r>
      <w:r w:rsidR="00210895">
        <w:t>p &lt; 0.05, **/</w:t>
      </w:r>
      <w:r w:rsidR="00210895" w:rsidRPr="0035781E">
        <w:rPr>
          <w:vertAlign w:val="superscript"/>
        </w:rPr>
        <w:t>++</w:t>
      </w:r>
      <w:r w:rsidR="00210895">
        <w:t>p&lt;0.01,***/</w:t>
      </w:r>
      <w:r w:rsidR="00210895" w:rsidRPr="0035781E">
        <w:rPr>
          <w:vertAlign w:val="superscript"/>
        </w:rPr>
        <w:t>+++</w:t>
      </w:r>
      <w:r w:rsidR="00210895">
        <w:t>p &lt; 0.001, ****/</w:t>
      </w:r>
      <w:r w:rsidR="00210895" w:rsidRPr="0035781E">
        <w:rPr>
          <w:vertAlign w:val="superscript"/>
        </w:rPr>
        <w:t>++++</w:t>
      </w:r>
      <w:r w:rsidR="00210895">
        <w:t>p &lt; 0.0001).</w:t>
      </w:r>
      <w:r w:rsidR="004C70AF" w:rsidRPr="004C70AF">
        <w:t xml:space="preserve"> </w:t>
      </w:r>
      <w:r w:rsidR="004C70AF" w:rsidRPr="00FB0E25">
        <w:t>CO, Corn oil; DHA, Docosahexaenoic acid; EPA, Eicosapentaenoic acid</w:t>
      </w:r>
      <w:r w:rsidR="00134AA0">
        <w:t>.</w:t>
      </w:r>
    </w:p>
    <w:p w14:paraId="61BE592A" w14:textId="77777777" w:rsidR="00210895" w:rsidRPr="00930106" w:rsidRDefault="00210895" w:rsidP="009B013B">
      <w:pPr>
        <w:suppressLineNumbers/>
        <w:spacing w:line="480" w:lineRule="auto"/>
      </w:pPr>
    </w:p>
    <w:p w14:paraId="22CC2773" w14:textId="54809749" w:rsidR="00210895" w:rsidRPr="00930106" w:rsidRDefault="00210895" w:rsidP="009B013B">
      <w:pPr>
        <w:suppressLineNumbers/>
        <w:spacing w:line="480" w:lineRule="auto"/>
      </w:pPr>
      <w:r w:rsidRPr="00930106">
        <w:rPr>
          <w:b/>
          <w:bCs/>
        </w:rPr>
        <w:t xml:space="preserve">Figure </w:t>
      </w:r>
      <w:r w:rsidR="00967843">
        <w:rPr>
          <w:b/>
          <w:bCs/>
        </w:rPr>
        <w:t>5</w:t>
      </w:r>
      <w:r w:rsidRPr="00930106">
        <w:t xml:space="preserve">. </w:t>
      </w:r>
      <w:r>
        <w:t>Concentrations</w:t>
      </w:r>
      <w:r w:rsidRPr="00930106">
        <w:t xml:space="preserve"> of </w:t>
      </w:r>
      <w:r>
        <w:t xml:space="preserve">significant omega-6 derived </w:t>
      </w:r>
      <w:r w:rsidRPr="00930106">
        <w:t>oxylipins before</w:t>
      </w:r>
      <w:r>
        <w:t xml:space="preserve"> (baseline) </w:t>
      </w:r>
      <w:r w:rsidRPr="00930106">
        <w:t>and after</w:t>
      </w:r>
      <w:r>
        <w:t xml:space="preserve"> (week-12)</w:t>
      </w:r>
      <w:r w:rsidRPr="00930106">
        <w:t xml:space="preserve"> </w:t>
      </w:r>
      <w:r>
        <w:t>EPA+DHA</w:t>
      </w:r>
      <w:r w:rsidRPr="001B676B">
        <w:t xml:space="preserve"> </w:t>
      </w:r>
      <w:r>
        <w:t>or corn oil</w:t>
      </w:r>
      <w:r w:rsidRPr="00930106">
        <w:t xml:space="preserve"> </w:t>
      </w:r>
      <w:r>
        <w:t xml:space="preserve">(CO) </w:t>
      </w:r>
      <w:r w:rsidRPr="00930106">
        <w:t xml:space="preserve">supplementation </w:t>
      </w:r>
      <w:r>
        <w:t>for n=10 and n=11, respectively</w:t>
      </w:r>
      <w:r w:rsidRPr="00930106">
        <w:t xml:space="preserve">. Data are expressed as the percentage of total oxylipins for (A) </w:t>
      </w:r>
      <w:r>
        <w:t>12-S HETE</w:t>
      </w:r>
      <w:r w:rsidRPr="00930106">
        <w:t xml:space="preserve"> (B) </w:t>
      </w:r>
      <w:r>
        <w:t>PGF2a</w:t>
      </w:r>
      <w:r w:rsidRPr="00930106">
        <w:t>, (C)</w:t>
      </w:r>
      <w:r>
        <w:t xml:space="preserve"> 5S-HETE</w:t>
      </w:r>
      <w:r w:rsidRPr="00930106">
        <w:t xml:space="preserve">, </w:t>
      </w:r>
      <w:r w:rsidRPr="00930106">
        <w:lastRenderedPageBreak/>
        <w:t xml:space="preserve">(D) </w:t>
      </w:r>
      <w:r>
        <w:t>14(15)-EET</w:t>
      </w:r>
      <w:r w:rsidRPr="00930106">
        <w:t>, (E) 1</w:t>
      </w:r>
      <w:r>
        <w:t>3-HODE, and</w:t>
      </w:r>
      <w:r w:rsidRPr="00930106">
        <w:t xml:space="preserve"> (F) </w:t>
      </w:r>
      <w:r>
        <w:t>13-OxoODE, (G) 9-HODE, (H) 9-HOTrE, (I) TXB2</w:t>
      </w:r>
      <w:r w:rsidRPr="00930106">
        <w:t xml:space="preserve">. Error bars represent mean ± standard deviation. </w:t>
      </w:r>
      <w:r>
        <w:t>Statistical significance was assessed as follows: baseline differences between the two groups were evaluated with unpaired t-tests; within-group changes from baseline to week 12 were analyzed using paired t-tests; and between-group comparisons at week 12 were performed with ANCOVA (*/</w:t>
      </w:r>
      <w:r w:rsidRPr="0035781E">
        <w:rPr>
          <w:vertAlign w:val="superscript"/>
        </w:rPr>
        <w:t>+</w:t>
      </w:r>
      <w:r>
        <w:t>p &lt; 0.05, **/</w:t>
      </w:r>
      <w:r w:rsidRPr="0035781E">
        <w:rPr>
          <w:vertAlign w:val="superscript"/>
        </w:rPr>
        <w:t>++</w:t>
      </w:r>
      <w:r>
        <w:t>p&lt;0.01,***/</w:t>
      </w:r>
      <w:r w:rsidRPr="0035781E">
        <w:rPr>
          <w:vertAlign w:val="superscript"/>
        </w:rPr>
        <w:t>+++</w:t>
      </w:r>
      <w:r>
        <w:t>p &lt; 0.001, ****/</w:t>
      </w:r>
      <w:r w:rsidRPr="0035781E">
        <w:rPr>
          <w:vertAlign w:val="superscript"/>
        </w:rPr>
        <w:t>++++</w:t>
      </w:r>
      <w:r>
        <w:t>p &lt; 0.0001).</w:t>
      </w:r>
      <w:r w:rsidR="004C70AF" w:rsidRPr="004C70AF">
        <w:t xml:space="preserve"> </w:t>
      </w:r>
      <w:r w:rsidR="004C70AF" w:rsidRPr="00FB0E25">
        <w:t>CO, Corn oil; DHA, Docosahexaenoic acid; EPA, Eicosapentaenoic acid</w:t>
      </w:r>
      <w:r w:rsidR="007F638E">
        <w:t>.</w:t>
      </w:r>
    </w:p>
    <w:p w14:paraId="5A474384" w14:textId="77777777" w:rsidR="00216EF0" w:rsidRPr="00930106" w:rsidRDefault="00216EF0" w:rsidP="009B013B">
      <w:pPr>
        <w:suppressLineNumbers/>
        <w:spacing w:line="480" w:lineRule="auto"/>
        <w:rPr>
          <w:color w:val="000000" w:themeColor="text1"/>
        </w:rPr>
      </w:pPr>
    </w:p>
    <w:p w14:paraId="1C701B0E" w14:textId="0A7C5992" w:rsidR="00BF59E7" w:rsidRPr="00FE0CAF" w:rsidRDefault="00BF59E7" w:rsidP="009B013B">
      <w:pPr>
        <w:suppressLineNumbers/>
        <w:spacing w:line="480" w:lineRule="auto"/>
        <w:rPr>
          <w:b/>
          <w:bCs/>
          <w:color w:val="000000" w:themeColor="text1"/>
        </w:rPr>
      </w:pPr>
      <w:r w:rsidRPr="000B7B08">
        <w:rPr>
          <w:b/>
          <w:bCs/>
          <w:color w:val="000000" w:themeColor="text1"/>
        </w:rPr>
        <w:t>References</w:t>
      </w:r>
    </w:p>
    <w:bookmarkEnd w:id="0"/>
    <w:p w14:paraId="7DDC9259" w14:textId="646726B8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1.</w:t>
      </w:r>
      <w:r w:rsidRPr="002C36F4">
        <w:rPr>
          <w:rFonts w:eastAsiaTheme="minorHAnsi"/>
          <w:color w:val="000000"/>
        </w:rPr>
        <w:tab/>
        <w:t xml:space="preserve">Placha D, Jampilek J. Chronic Inflammatory Diseases, Anti-Inflammatory Agents and Their Delivery Nanosystems. </w:t>
      </w:r>
      <w:r w:rsidRPr="002C36F4">
        <w:rPr>
          <w:rFonts w:eastAsiaTheme="minorHAnsi"/>
          <w:i/>
          <w:iCs/>
          <w:color w:val="000000"/>
        </w:rPr>
        <w:t>Pharmaceutics</w:t>
      </w:r>
      <w:r w:rsidRPr="002C36F4">
        <w:rPr>
          <w:rFonts w:eastAsiaTheme="minorHAnsi"/>
          <w:color w:val="000000"/>
        </w:rPr>
        <w:t>. 2021;13(1):64. doi:10.3390/pharmaceutics13010064</w:t>
      </w:r>
    </w:p>
    <w:p w14:paraId="11E7505A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2.</w:t>
      </w:r>
      <w:r w:rsidRPr="002C36F4">
        <w:rPr>
          <w:rFonts w:eastAsiaTheme="minorHAnsi"/>
          <w:color w:val="000000"/>
        </w:rPr>
        <w:tab/>
        <w:t xml:space="preserve">Buttorff C, Ruder T, Bauman M. </w:t>
      </w:r>
      <w:r w:rsidRPr="002C36F4">
        <w:rPr>
          <w:rFonts w:eastAsiaTheme="minorHAnsi"/>
          <w:i/>
          <w:iCs/>
          <w:color w:val="000000"/>
        </w:rPr>
        <w:t>Multiple Chronic Conditions in the United States</w:t>
      </w:r>
      <w:r w:rsidRPr="002C36F4">
        <w:rPr>
          <w:rFonts w:eastAsiaTheme="minorHAnsi"/>
          <w:color w:val="000000"/>
        </w:rPr>
        <w:t>.; 2017. Accessed September 9, 2025. https://www.rand.org/pubs/tools/TL221.html</w:t>
      </w:r>
    </w:p>
    <w:p w14:paraId="72025573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3.</w:t>
      </w:r>
      <w:r w:rsidRPr="002C36F4">
        <w:rPr>
          <w:rFonts w:eastAsiaTheme="minorHAnsi"/>
          <w:color w:val="000000"/>
        </w:rPr>
        <w:tab/>
        <w:t xml:space="preserve">Cordain L, Eaton SB, Sebastian A, et al. Origins and evolution of the Western diet: health implications for the 21st century. </w:t>
      </w:r>
      <w:r w:rsidRPr="002C36F4">
        <w:rPr>
          <w:rFonts w:eastAsiaTheme="minorHAnsi"/>
          <w:i/>
          <w:iCs/>
          <w:color w:val="000000"/>
        </w:rPr>
        <w:t>Am J Clin Nutr</w:t>
      </w:r>
      <w:r w:rsidRPr="002C36F4">
        <w:rPr>
          <w:rFonts w:eastAsiaTheme="minorHAnsi"/>
          <w:color w:val="000000"/>
        </w:rPr>
        <w:t>. 2005;81(2):341-354. doi:10.1093/ajcn.81.2.341</w:t>
      </w:r>
    </w:p>
    <w:p w14:paraId="5E9504ED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4.</w:t>
      </w:r>
      <w:r w:rsidRPr="002C36F4">
        <w:rPr>
          <w:rFonts w:eastAsiaTheme="minorHAnsi"/>
          <w:color w:val="000000"/>
        </w:rPr>
        <w:tab/>
        <w:t xml:space="preserve">Simopoulos AP. The importance of the ratio of omega-6/omega-3 essential fatty acids. </w:t>
      </w:r>
      <w:r w:rsidRPr="002C36F4">
        <w:rPr>
          <w:rFonts w:eastAsiaTheme="minorHAnsi"/>
          <w:i/>
          <w:iCs/>
          <w:color w:val="000000"/>
        </w:rPr>
        <w:t>Biomed Pharmacother Biomedecine Pharmacother</w:t>
      </w:r>
      <w:r w:rsidRPr="002C36F4">
        <w:rPr>
          <w:rFonts w:eastAsiaTheme="minorHAnsi"/>
          <w:color w:val="000000"/>
        </w:rPr>
        <w:t>. 2002;56(8):365-379. doi:10.1016/s0753-3322(02)00253-6</w:t>
      </w:r>
    </w:p>
    <w:p w14:paraId="15EAE45F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5.</w:t>
      </w:r>
      <w:r w:rsidRPr="002C36F4">
        <w:rPr>
          <w:rFonts w:eastAsiaTheme="minorHAnsi"/>
          <w:color w:val="000000"/>
        </w:rPr>
        <w:tab/>
        <w:t xml:space="preserve">Borja-Magno A, Guevara-Cruz M, Flores-López A, et al. Differential effects of high dose omega-3 fatty acids on metabolism and inflammation in patients with obesity: eicosapentaenoic and docosahexaenoic acid supplementation. </w:t>
      </w:r>
      <w:r w:rsidRPr="002C36F4">
        <w:rPr>
          <w:rFonts w:eastAsiaTheme="minorHAnsi"/>
          <w:i/>
          <w:iCs/>
          <w:color w:val="000000"/>
        </w:rPr>
        <w:t>Front Nutr</w:t>
      </w:r>
      <w:r w:rsidRPr="002C36F4">
        <w:rPr>
          <w:rFonts w:eastAsiaTheme="minorHAnsi"/>
          <w:color w:val="000000"/>
        </w:rPr>
        <w:t>. 2023;10:1156995. doi:10.3389/fnut.2023.1156995</w:t>
      </w:r>
    </w:p>
    <w:p w14:paraId="6F47D60B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6.</w:t>
      </w:r>
      <w:r w:rsidRPr="002C36F4">
        <w:rPr>
          <w:rFonts w:eastAsiaTheme="minorHAnsi"/>
          <w:color w:val="000000"/>
        </w:rPr>
        <w:tab/>
        <w:t xml:space="preserve">Djuricic I, Calder PC. Beneficial Outcomes of Omega-6 and Omega-3 Polyunsaturated Fatty Acids on Human Health: An Update for 2021. </w:t>
      </w:r>
      <w:r w:rsidRPr="002C36F4">
        <w:rPr>
          <w:rFonts w:eastAsiaTheme="minorHAnsi"/>
          <w:i/>
          <w:iCs/>
          <w:color w:val="000000"/>
        </w:rPr>
        <w:t>Nutrients</w:t>
      </w:r>
      <w:r w:rsidRPr="002C36F4">
        <w:rPr>
          <w:rFonts w:eastAsiaTheme="minorHAnsi"/>
          <w:color w:val="000000"/>
        </w:rPr>
        <w:t>. 2021;13(7):2421. doi:10.3390/nu13072421</w:t>
      </w:r>
    </w:p>
    <w:p w14:paraId="31EB536A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7.</w:t>
      </w:r>
      <w:r w:rsidRPr="002C36F4">
        <w:rPr>
          <w:rFonts w:eastAsiaTheme="minorHAnsi"/>
          <w:color w:val="000000"/>
        </w:rPr>
        <w:tab/>
        <w:t xml:space="preserve">Shaikh SR, Beck MA, Alwarawrah Y, MacIver NJ. Emerging mechanisms of obesity-associated immune dysfunction. </w:t>
      </w:r>
      <w:r w:rsidRPr="002C36F4">
        <w:rPr>
          <w:rFonts w:eastAsiaTheme="minorHAnsi"/>
          <w:i/>
          <w:iCs/>
          <w:color w:val="000000"/>
        </w:rPr>
        <w:t>Nat Rev Endocrinol</w:t>
      </w:r>
      <w:r w:rsidRPr="002C36F4">
        <w:rPr>
          <w:rFonts w:eastAsiaTheme="minorHAnsi"/>
          <w:color w:val="000000"/>
        </w:rPr>
        <w:t>. 2024;20(3):136-148. doi:10.1038/s41574-023-00932-2</w:t>
      </w:r>
    </w:p>
    <w:p w14:paraId="2BEBE73F" w14:textId="77777777" w:rsidR="002C36F4" w:rsidRPr="00E1147A" w:rsidRDefault="002C36F4" w:rsidP="009B013B">
      <w:pPr>
        <w:pStyle w:val="Bibliography"/>
        <w:suppressLineNumbers/>
        <w:rPr>
          <w:rFonts w:eastAsiaTheme="minorHAnsi"/>
          <w:color w:val="000000"/>
          <w:lang w:val="fr-CA"/>
        </w:rPr>
      </w:pPr>
      <w:r w:rsidRPr="002C36F4">
        <w:rPr>
          <w:rFonts w:eastAsiaTheme="minorHAnsi"/>
          <w:color w:val="000000"/>
        </w:rPr>
        <w:lastRenderedPageBreak/>
        <w:t>8.</w:t>
      </w:r>
      <w:r w:rsidRPr="002C36F4">
        <w:rPr>
          <w:rFonts w:eastAsiaTheme="minorHAnsi"/>
          <w:color w:val="000000"/>
        </w:rPr>
        <w:tab/>
        <w:t xml:space="preserve">Kavyani Z, Musazadeh V, Fathi S, Hossein Faghfouri A, Dehghan P, Sarmadi B. Efficacy of the omega-3 fatty acids supplementation on inflammatory biomarkers: An umbrella meta-analysis. </w:t>
      </w:r>
      <w:r w:rsidRPr="00E1147A">
        <w:rPr>
          <w:rFonts w:eastAsiaTheme="minorHAnsi"/>
          <w:i/>
          <w:iCs/>
          <w:color w:val="000000"/>
          <w:lang w:val="fr-CA"/>
        </w:rPr>
        <w:t>Int Immunopharmacol</w:t>
      </w:r>
      <w:r w:rsidRPr="00E1147A">
        <w:rPr>
          <w:rFonts w:eastAsiaTheme="minorHAnsi"/>
          <w:color w:val="000000"/>
          <w:lang w:val="fr-CA"/>
        </w:rPr>
        <w:t>. 2022;111:109104. doi:10.1016/j.intimp.2022.109104</w:t>
      </w:r>
    </w:p>
    <w:p w14:paraId="14131848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E1147A">
        <w:rPr>
          <w:rFonts w:eastAsiaTheme="minorHAnsi"/>
          <w:color w:val="000000"/>
          <w:lang w:val="fr-CA"/>
        </w:rPr>
        <w:t>9.</w:t>
      </w:r>
      <w:r w:rsidRPr="00E1147A">
        <w:rPr>
          <w:rFonts w:eastAsiaTheme="minorHAnsi"/>
          <w:color w:val="000000"/>
          <w:lang w:val="fr-CA"/>
        </w:rPr>
        <w:tab/>
        <w:t xml:space="preserve">Fisk HL, Childs CE, Miles EA, et al. </w:t>
      </w:r>
      <w:r w:rsidRPr="002C36F4">
        <w:rPr>
          <w:rFonts w:eastAsiaTheme="minorHAnsi"/>
          <w:color w:val="000000"/>
        </w:rPr>
        <w:t xml:space="preserve">Modification of subcutaneous white adipose tissue inflammation by omega-3 fatty acids is limited in human obesity-a double blind, randomised clinical trial. </w:t>
      </w:r>
      <w:r w:rsidRPr="002C36F4">
        <w:rPr>
          <w:rFonts w:eastAsiaTheme="minorHAnsi"/>
          <w:i/>
          <w:iCs/>
          <w:color w:val="000000"/>
        </w:rPr>
        <w:t>EBioMedicine</w:t>
      </w:r>
      <w:r w:rsidRPr="002C36F4">
        <w:rPr>
          <w:rFonts w:eastAsiaTheme="minorHAnsi"/>
          <w:color w:val="000000"/>
        </w:rPr>
        <w:t>. 2022;77:103909. doi:10.1016/j.ebiom.2022.103909</w:t>
      </w:r>
    </w:p>
    <w:p w14:paraId="3B974511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10.</w:t>
      </w:r>
      <w:r w:rsidRPr="002C36F4">
        <w:rPr>
          <w:rFonts w:eastAsiaTheme="minorHAnsi"/>
          <w:color w:val="000000"/>
        </w:rPr>
        <w:tab/>
        <w:t xml:space="preserve">Knuplez E, Sturm EM, Marsche G. Emerging Role of Phospholipase-Derived Cleavage Products in Regulating Eosinophil Activity: Focus on Lysophospholipids, Polyunsaturated Fatty Acids and Eicosanoids. </w:t>
      </w:r>
      <w:r w:rsidRPr="002C36F4">
        <w:rPr>
          <w:rFonts w:eastAsiaTheme="minorHAnsi"/>
          <w:i/>
          <w:iCs/>
          <w:color w:val="000000"/>
        </w:rPr>
        <w:t>Int J Mol Sci</w:t>
      </w:r>
      <w:r w:rsidRPr="002C36F4">
        <w:rPr>
          <w:rFonts w:eastAsiaTheme="minorHAnsi"/>
          <w:color w:val="000000"/>
        </w:rPr>
        <w:t>. 2021;22(9):4356. doi:10.3390/ijms22094356</w:t>
      </w:r>
    </w:p>
    <w:p w14:paraId="35417EE2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11.</w:t>
      </w:r>
      <w:r w:rsidRPr="002C36F4">
        <w:rPr>
          <w:rFonts w:eastAsiaTheme="minorHAnsi"/>
          <w:color w:val="000000"/>
        </w:rPr>
        <w:tab/>
        <w:t xml:space="preserve">Choi SH, Sviridov D, Miller YI. Oxidized cholesteryl esters and inflammation. </w:t>
      </w:r>
      <w:r w:rsidRPr="002C36F4">
        <w:rPr>
          <w:rFonts w:eastAsiaTheme="minorHAnsi"/>
          <w:i/>
          <w:iCs/>
          <w:color w:val="000000"/>
        </w:rPr>
        <w:t>Biochim Biophys Acta</w:t>
      </w:r>
      <w:r w:rsidRPr="002C36F4">
        <w:rPr>
          <w:rFonts w:eastAsiaTheme="minorHAnsi"/>
          <w:color w:val="000000"/>
        </w:rPr>
        <w:t>. 2017;1862(4):393-397. doi:10.1016/j.bbalip.2016.06.020</w:t>
      </w:r>
    </w:p>
    <w:p w14:paraId="2CAD788C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12.</w:t>
      </w:r>
      <w:r w:rsidRPr="002C36F4">
        <w:rPr>
          <w:rFonts w:eastAsiaTheme="minorHAnsi"/>
          <w:color w:val="000000"/>
        </w:rPr>
        <w:tab/>
        <w:t xml:space="preserve">Deng Q, Du L, Zhang Y, Liu G. NEFAs Influence the Inflammatory and Insulin Signaling Pathways Through TLR4 in Primary Calf Hepatocytes in vitro. </w:t>
      </w:r>
      <w:r w:rsidRPr="002C36F4">
        <w:rPr>
          <w:rFonts w:eastAsiaTheme="minorHAnsi"/>
          <w:i/>
          <w:iCs/>
          <w:color w:val="000000"/>
        </w:rPr>
        <w:t>Front Vet Sci</w:t>
      </w:r>
      <w:r w:rsidRPr="002C36F4">
        <w:rPr>
          <w:rFonts w:eastAsiaTheme="minorHAnsi"/>
          <w:color w:val="000000"/>
        </w:rPr>
        <w:t>. 2021;8:755505. doi:10.3389/fvets.2021.755505</w:t>
      </w:r>
    </w:p>
    <w:p w14:paraId="15F66189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13.</w:t>
      </w:r>
      <w:r w:rsidRPr="002C36F4">
        <w:rPr>
          <w:rFonts w:eastAsiaTheme="minorHAnsi"/>
          <w:color w:val="000000"/>
        </w:rPr>
        <w:tab/>
        <w:t xml:space="preserve">Zeng CM, He J, Wang DC, Xie H. Association between triglyceride levels and rheumatoid arthritis prevalence in women: a cross-sectional study of NHANES (1999–2018). </w:t>
      </w:r>
      <w:r w:rsidRPr="002C36F4">
        <w:rPr>
          <w:rFonts w:eastAsiaTheme="minorHAnsi"/>
          <w:i/>
          <w:iCs/>
          <w:color w:val="000000"/>
        </w:rPr>
        <w:t>BMC Womens Health</w:t>
      </w:r>
      <w:r w:rsidRPr="002C36F4">
        <w:rPr>
          <w:rFonts w:eastAsiaTheme="minorHAnsi"/>
          <w:color w:val="000000"/>
        </w:rPr>
        <w:t>. 2025;25(1):129. doi:10.1186/s12905-025-03645-y</w:t>
      </w:r>
    </w:p>
    <w:p w14:paraId="280893F8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14.</w:t>
      </w:r>
      <w:r w:rsidRPr="002C36F4">
        <w:rPr>
          <w:rFonts w:eastAsiaTheme="minorHAnsi"/>
          <w:color w:val="000000"/>
        </w:rPr>
        <w:tab/>
        <w:t xml:space="preserve">Simopoulos AP. An Increase in the Omega-6/Omega-3 Fatty Acid Ratio Increases the Risk for Obesity. </w:t>
      </w:r>
      <w:r w:rsidRPr="002C36F4">
        <w:rPr>
          <w:rFonts w:eastAsiaTheme="minorHAnsi"/>
          <w:i/>
          <w:iCs/>
          <w:color w:val="000000"/>
        </w:rPr>
        <w:t>Nutrients</w:t>
      </w:r>
      <w:r w:rsidRPr="002C36F4">
        <w:rPr>
          <w:rFonts w:eastAsiaTheme="minorHAnsi"/>
          <w:color w:val="000000"/>
        </w:rPr>
        <w:t>. 2016;8(3):128. doi:10.3390/nu8030128</w:t>
      </w:r>
    </w:p>
    <w:p w14:paraId="6C216AB5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15.</w:t>
      </w:r>
      <w:r w:rsidRPr="002C36F4">
        <w:rPr>
          <w:rFonts w:eastAsiaTheme="minorHAnsi"/>
          <w:color w:val="000000"/>
        </w:rPr>
        <w:tab/>
        <w:t xml:space="preserve">Surette ME. The science behind dietary omega-3 fatty acids. </w:t>
      </w:r>
      <w:r w:rsidRPr="002C36F4">
        <w:rPr>
          <w:rFonts w:eastAsiaTheme="minorHAnsi"/>
          <w:i/>
          <w:iCs/>
          <w:color w:val="000000"/>
        </w:rPr>
        <w:t>CMAJ Can Med Assoc J</w:t>
      </w:r>
      <w:r w:rsidRPr="002C36F4">
        <w:rPr>
          <w:rFonts w:eastAsiaTheme="minorHAnsi"/>
          <w:color w:val="000000"/>
        </w:rPr>
        <w:t>. 2008;178(2):177-180. doi:10.1503/cmaj.071356</w:t>
      </w:r>
    </w:p>
    <w:p w14:paraId="590784E2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E1147A">
        <w:rPr>
          <w:rFonts w:eastAsiaTheme="minorHAnsi"/>
          <w:color w:val="000000"/>
          <w:lang w:val="fr-CA"/>
        </w:rPr>
        <w:t>16.</w:t>
      </w:r>
      <w:r w:rsidRPr="00E1147A">
        <w:rPr>
          <w:rFonts w:eastAsiaTheme="minorHAnsi"/>
          <w:color w:val="000000"/>
          <w:lang w:val="fr-CA"/>
        </w:rPr>
        <w:tab/>
        <w:t xml:space="preserve">Fisk HL, Childs CE, Miles EA, et al. </w:t>
      </w:r>
      <w:r w:rsidRPr="002C36F4">
        <w:rPr>
          <w:rFonts w:eastAsiaTheme="minorHAnsi"/>
          <w:color w:val="000000"/>
        </w:rPr>
        <w:t xml:space="preserve">Dysregulation of endocannabinoid concentrations in human subcutaneous adipose tissue in obesity and modulation by omega-3 polyunsaturated fatty acids. </w:t>
      </w:r>
      <w:r w:rsidRPr="002C36F4">
        <w:rPr>
          <w:rFonts w:eastAsiaTheme="minorHAnsi"/>
          <w:i/>
          <w:iCs/>
          <w:color w:val="000000"/>
        </w:rPr>
        <w:t>Clin Sci Lond Engl 1979</w:t>
      </w:r>
      <w:r w:rsidRPr="002C36F4">
        <w:rPr>
          <w:rFonts w:eastAsiaTheme="minorHAnsi"/>
          <w:color w:val="000000"/>
        </w:rPr>
        <w:t>. 2021;135(1):185-200. doi:10.1042/CS20201060</w:t>
      </w:r>
    </w:p>
    <w:p w14:paraId="1081B7EF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17.</w:t>
      </w:r>
      <w:r w:rsidRPr="002C36F4">
        <w:rPr>
          <w:rFonts w:eastAsiaTheme="minorHAnsi"/>
          <w:color w:val="000000"/>
        </w:rPr>
        <w:tab/>
        <w:t xml:space="preserve">Fisk HL, West AL, Childs CE, Burdge GC, Calder PC. The use of gas chromatography to analyze compositional changes of fatty acids in rat liver tissue during pregnancy. </w:t>
      </w:r>
      <w:r w:rsidRPr="002C36F4">
        <w:rPr>
          <w:rFonts w:eastAsiaTheme="minorHAnsi"/>
          <w:i/>
          <w:iCs/>
          <w:color w:val="000000"/>
        </w:rPr>
        <w:t>J Vis Exp JoVE</w:t>
      </w:r>
      <w:r w:rsidRPr="002C36F4">
        <w:rPr>
          <w:rFonts w:eastAsiaTheme="minorHAnsi"/>
          <w:color w:val="000000"/>
        </w:rPr>
        <w:t>. 2014;(85):51445. doi:10.3791/51445</w:t>
      </w:r>
    </w:p>
    <w:p w14:paraId="5B79F987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18.</w:t>
      </w:r>
      <w:r w:rsidRPr="002C36F4">
        <w:rPr>
          <w:rFonts w:eastAsiaTheme="minorHAnsi"/>
          <w:color w:val="000000"/>
        </w:rPr>
        <w:tab/>
        <w:t xml:space="preserve">Armstrong M, Manke J, Nkrumah-Elie Y, Shaikh SR, Reisdorph N. Improved quantification of lipid mediators in plasma and tissues by liquid chromatography tandem mass spectrometry demonstrates mouse strain specific differences. </w:t>
      </w:r>
      <w:r w:rsidRPr="002C36F4">
        <w:rPr>
          <w:rFonts w:eastAsiaTheme="minorHAnsi"/>
          <w:i/>
          <w:iCs/>
          <w:color w:val="000000"/>
        </w:rPr>
        <w:t>Prostaglandins Other Lipid Mediat</w:t>
      </w:r>
      <w:r w:rsidRPr="002C36F4">
        <w:rPr>
          <w:rFonts w:eastAsiaTheme="minorHAnsi"/>
          <w:color w:val="000000"/>
        </w:rPr>
        <w:t>. 2020;151:106483. doi:10.1016/j.prostaglandins.2020.106483</w:t>
      </w:r>
    </w:p>
    <w:p w14:paraId="7166A89A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19.</w:t>
      </w:r>
      <w:r w:rsidRPr="002C36F4">
        <w:rPr>
          <w:rFonts w:eastAsiaTheme="minorHAnsi"/>
          <w:color w:val="000000"/>
        </w:rPr>
        <w:tab/>
        <w:t xml:space="preserve">Yusof HM, Miles EA, Calder P. Influence of very long-chain n-3 fatty acids on plasma markers of inflammation in middle-aged men. </w:t>
      </w:r>
      <w:r w:rsidRPr="002C36F4">
        <w:rPr>
          <w:rFonts w:eastAsiaTheme="minorHAnsi"/>
          <w:i/>
          <w:iCs/>
          <w:color w:val="000000"/>
        </w:rPr>
        <w:t>Prostaglandins Leukot Essent Fatty Acids</w:t>
      </w:r>
      <w:r w:rsidRPr="002C36F4">
        <w:rPr>
          <w:rFonts w:eastAsiaTheme="minorHAnsi"/>
          <w:color w:val="000000"/>
        </w:rPr>
        <w:t>. 2008;78(3):219-228. doi:10.1016/j.plefa.2008.02.002</w:t>
      </w:r>
    </w:p>
    <w:p w14:paraId="0A5EFFC1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20.</w:t>
      </w:r>
      <w:r w:rsidRPr="002C36F4">
        <w:rPr>
          <w:rFonts w:eastAsiaTheme="minorHAnsi"/>
          <w:color w:val="000000"/>
        </w:rPr>
        <w:tab/>
        <w:t xml:space="preserve">So J, Asztalos BF, Horvath K, Lamon-Fava S. Ethyl EPA and ethyl DHA cause similar and differential changes in plasma lipid concentrations and lipid metabolism in subjects with </w:t>
      </w:r>
      <w:r w:rsidRPr="002C36F4">
        <w:rPr>
          <w:rFonts w:eastAsiaTheme="minorHAnsi"/>
          <w:color w:val="000000"/>
        </w:rPr>
        <w:lastRenderedPageBreak/>
        <w:t xml:space="preserve">low-grade chronic inflammation. </w:t>
      </w:r>
      <w:r w:rsidRPr="002C36F4">
        <w:rPr>
          <w:rFonts w:eastAsiaTheme="minorHAnsi"/>
          <w:i/>
          <w:iCs/>
          <w:color w:val="000000"/>
        </w:rPr>
        <w:t>J Clin Lipidol</w:t>
      </w:r>
      <w:r w:rsidRPr="002C36F4">
        <w:rPr>
          <w:rFonts w:eastAsiaTheme="minorHAnsi"/>
          <w:color w:val="000000"/>
        </w:rPr>
        <w:t>. 2022;16(6):887-894. doi:10.1016/j.jacl.2022.10.002</w:t>
      </w:r>
    </w:p>
    <w:p w14:paraId="7986407D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21.</w:t>
      </w:r>
      <w:r w:rsidRPr="002C36F4">
        <w:rPr>
          <w:rFonts w:eastAsiaTheme="minorHAnsi"/>
          <w:color w:val="000000"/>
        </w:rPr>
        <w:tab/>
        <w:t xml:space="preserve">Oscarsson J, Hurt-Camejo E. Omega-3 fatty acids eicosapentaenoic acid and docosahexaenoic acid and their mechanisms of action on apolipoprotein B-containing lipoproteins in humans: a review. </w:t>
      </w:r>
      <w:r w:rsidRPr="002C36F4">
        <w:rPr>
          <w:rFonts w:eastAsiaTheme="minorHAnsi"/>
          <w:i/>
          <w:iCs/>
          <w:color w:val="000000"/>
        </w:rPr>
        <w:t>Lipids Health Dis</w:t>
      </w:r>
      <w:r w:rsidRPr="002C36F4">
        <w:rPr>
          <w:rFonts w:eastAsiaTheme="minorHAnsi"/>
          <w:color w:val="000000"/>
        </w:rPr>
        <w:t>. 2017;16(1):149. doi:10.1186/s12944-017-0541-3</w:t>
      </w:r>
    </w:p>
    <w:p w14:paraId="2E64F026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22.</w:t>
      </w:r>
      <w:r w:rsidRPr="002C36F4">
        <w:rPr>
          <w:rFonts w:eastAsiaTheme="minorHAnsi"/>
          <w:color w:val="000000"/>
        </w:rPr>
        <w:tab/>
        <w:t xml:space="preserve">Browning LM, Walker CG, Mander AP, et al. Incorporation of eicosapentaenoic and docosahexaenoic acids into lipid pools when given as supplements providing doses equivalent to typical intakes of oily fish1234. </w:t>
      </w:r>
      <w:r w:rsidRPr="002C36F4">
        <w:rPr>
          <w:rFonts w:eastAsiaTheme="minorHAnsi"/>
          <w:i/>
          <w:iCs/>
          <w:color w:val="000000"/>
        </w:rPr>
        <w:t>Am J Clin Nutr</w:t>
      </w:r>
      <w:r w:rsidRPr="002C36F4">
        <w:rPr>
          <w:rFonts w:eastAsiaTheme="minorHAnsi"/>
          <w:color w:val="000000"/>
        </w:rPr>
        <w:t>. 2012;96(4):748-758. doi:10.3945/ajcn.112.041343</w:t>
      </w:r>
    </w:p>
    <w:p w14:paraId="715DBB7E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23.</w:t>
      </w:r>
      <w:r w:rsidRPr="002C36F4">
        <w:rPr>
          <w:rFonts w:eastAsiaTheme="minorHAnsi"/>
          <w:color w:val="000000"/>
        </w:rPr>
        <w:tab/>
        <w:t xml:space="preserve">Walker CG, West AL, Browning LM, et al. The Pattern of Fatty Acids Displaced by EPA and DHA Following 12 Months Supplementation Varies between Blood Cell and Plasma Fractions. </w:t>
      </w:r>
      <w:r w:rsidRPr="002C36F4">
        <w:rPr>
          <w:rFonts w:eastAsiaTheme="minorHAnsi"/>
          <w:i/>
          <w:iCs/>
          <w:color w:val="000000"/>
        </w:rPr>
        <w:t>Nutrients</w:t>
      </w:r>
      <w:r w:rsidRPr="002C36F4">
        <w:rPr>
          <w:rFonts w:eastAsiaTheme="minorHAnsi"/>
          <w:color w:val="000000"/>
        </w:rPr>
        <w:t>. 2015;7(8):6281-6293. doi:10.3390/nu7085285</w:t>
      </w:r>
    </w:p>
    <w:p w14:paraId="33EEBADF" w14:textId="77777777" w:rsidR="002C36F4" w:rsidRPr="00E1147A" w:rsidRDefault="002C36F4" w:rsidP="009B013B">
      <w:pPr>
        <w:pStyle w:val="Bibliography"/>
        <w:suppressLineNumbers/>
        <w:rPr>
          <w:rFonts w:eastAsiaTheme="minorHAnsi"/>
          <w:color w:val="000000"/>
          <w:lang w:val="fr-CA"/>
        </w:rPr>
      </w:pPr>
      <w:r w:rsidRPr="002C36F4">
        <w:rPr>
          <w:rFonts w:eastAsiaTheme="minorHAnsi"/>
          <w:color w:val="000000"/>
        </w:rPr>
        <w:t>24.</w:t>
      </w:r>
      <w:r w:rsidRPr="002C36F4">
        <w:rPr>
          <w:rFonts w:eastAsiaTheme="minorHAnsi"/>
          <w:color w:val="000000"/>
        </w:rPr>
        <w:tab/>
        <w:t xml:space="preserve">Alijani S, Hahn A, Harris WS, Schuchardt JP. Bioavailability of EPA and DHA in humans - A comprehensive review. </w:t>
      </w:r>
      <w:r w:rsidRPr="00E1147A">
        <w:rPr>
          <w:rFonts w:eastAsiaTheme="minorHAnsi"/>
          <w:i/>
          <w:iCs/>
          <w:color w:val="000000"/>
          <w:lang w:val="fr-CA"/>
        </w:rPr>
        <w:t>Prog Lipid Res</w:t>
      </w:r>
      <w:r w:rsidRPr="00E1147A">
        <w:rPr>
          <w:rFonts w:eastAsiaTheme="minorHAnsi"/>
          <w:color w:val="000000"/>
          <w:lang w:val="fr-CA"/>
        </w:rPr>
        <w:t>. 2025;97:101318. doi:10.1016/j.plipres.2024.101318</w:t>
      </w:r>
    </w:p>
    <w:p w14:paraId="6883DEA4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E1147A">
        <w:rPr>
          <w:rFonts w:eastAsiaTheme="minorHAnsi"/>
          <w:color w:val="000000"/>
          <w:lang w:val="fr-CA"/>
        </w:rPr>
        <w:t>25.</w:t>
      </w:r>
      <w:r w:rsidRPr="00E1147A">
        <w:rPr>
          <w:rFonts w:eastAsiaTheme="minorHAnsi"/>
          <w:color w:val="000000"/>
          <w:lang w:val="fr-CA"/>
        </w:rPr>
        <w:tab/>
        <w:t xml:space="preserve">Conquer JA, Holub BJ. </w:t>
      </w:r>
      <w:r w:rsidRPr="002C36F4">
        <w:rPr>
          <w:rFonts w:eastAsiaTheme="minorHAnsi"/>
          <w:color w:val="000000"/>
        </w:rPr>
        <w:t xml:space="preserve">Effect of supplementation with different doses of DHA on the levels of circulating DHA as non-esterified fatty acid in subjects of Asian Indian background. </w:t>
      </w:r>
      <w:r w:rsidRPr="002C36F4">
        <w:rPr>
          <w:rFonts w:eastAsiaTheme="minorHAnsi"/>
          <w:i/>
          <w:iCs/>
          <w:color w:val="000000"/>
        </w:rPr>
        <w:t>J Lipid Res</w:t>
      </w:r>
      <w:r w:rsidRPr="002C36F4">
        <w:rPr>
          <w:rFonts w:eastAsiaTheme="minorHAnsi"/>
          <w:color w:val="000000"/>
        </w:rPr>
        <w:t>. 1998;39(2):286-292.</w:t>
      </w:r>
    </w:p>
    <w:p w14:paraId="26012D6B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26.</w:t>
      </w:r>
      <w:r w:rsidRPr="002C36F4">
        <w:rPr>
          <w:rFonts w:eastAsiaTheme="minorHAnsi"/>
          <w:color w:val="000000"/>
        </w:rPr>
        <w:tab/>
        <w:t xml:space="preserve">Mathias RA, Pani V, Chilton FH. Genetic Variants in the FADS Gene: Implications for Dietary Recommendations for Fatty Acid Intake. </w:t>
      </w:r>
      <w:r w:rsidRPr="002C36F4">
        <w:rPr>
          <w:rFonts w:eastAsiaTheme="minorHAnsi"/>
          <w:i/>
          <w:iCs/>
          <w:color w:val="000000"/>
        </w:rPr>
        <w:t>Curr Nutr Rep</w:t>
      </w:r>
      <w:r w:rsidRPr="002C36F4">
        <w:rPr>
          <w:rFonts w:eastAsiaTheme="minorHAnsi"/>
          <w:color w:val="000000"/>
        </w:rPr>
        <w:t>. 2014;3(2):139-148. doi:10.1007/s13668-014-0079-1</w:t>
      </w:r>
    </w:p>
    <w:p w14:paraId="163834AB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27.</w:t>
      </w:r>
      <w:r w:rsidRPr="002C36F4">
        <w:rPr>
          <w:rFonts w:eastAsiaTheme="minorHAnsi"/>
          <w:color w:val="000000"/>
        </w:rPr>
        <w:tab/>
        <w:t xml:space="preserve">Herbst E a. F, Paglialunga S, Gerling C, et al. Omega-3 supplementation alters mitochondrial membrane composition and respiration kinetics in human skeletal muscle. </w:t>
      </w:r>
      <w:r w:rsidRPr="002C36F4">
        <w:rPr>
          <w:rFonts w:eastAsiaTheme="minorHAnsi"/>
          <w:i/>
          <w:iCs/>
          <w:color w:val="000000"/>
        </w:rPr>
        <w:t>J Physiol</w:t>
      </w:r>
      <w:r w:rsidRPr="002C36F4">
        <w:rPr>
          <w:rFonts w:eastAsiaTheme="minorHAnsi"/>
          <w:color w:val="000000"/>
        </w:rPr>
        <w:t>. 2014;592(6):1341-1352. doi:10.1113/jphysiol.2013.267336</w:t>
      </w:r>
    </w:p>
    <w:p w14:paraId="054952F3" w14:textId="77777777" w:rsidR="002C36F4" w:rsidRPr="00E1147A" w:rsidRDefault="002C36F4" w:rsidP="009B013B">
      <w:pPr>
        <w:pStyle w:val="Bibliography"/>
        <w:suppressLineNumbers/>
        <w:rPr>
          <w:rFonts w:eastAsiaTheme="minorHAnsi"/>
          <w:color w:val="000000"/>
          <w:lang w:val="de-DE"/>
        </w:rPr>
      </w:pPr>
      <w:r w:rsidRPr="002C36F4">
        <w:rPr>
          <w:rFonts w:eastAsiaTheme="minorHAnsi"/>
          <w:color w:val="000000"/>
        </w:rPr>
        <w:t>28.</w:t>
      </w:r>
      <w:r w:rsidRPr="002C36F4">
        <w:rPr>
          <w:rFonts w:eastAsiaTheme="minorHAnsi"/>
          <w:color w:val="000000"/>
        </w:rPr>
        <w:tab/>
        <w:t xml:space="preserve">Al-Shaer AE, Regan J, Buddenbaum N, et al. Enriched Marine Oil Supplement Increases Specific Plasma Specialized Pro-Resolving Mediators in Adults with Obesity. </w:t>
      </w:r>
      <w:r w:rsidRPr="00E1147A">
        <w:rPr>
          <w:rFonts w:eastAsiaTheme="minorHAnsi"/>
          <w:i/>
          <w:iCs/>
          <w:color w:val="000000"/>
          <w:lang w:val="de-DE"/>
        </w:rPr>
        <w:t>J Nutr</w:t>
      </w:r>
      <w:r w:rsidRPr="00E1147A">
        <w:rPr>
          <w:rFonts w:eastAsiaTheme="minorHAnsi"/>
          <w:color w:val="000000"/>
          <w:lang w:val="de-DE"/>
        </w:rPr>
        <w:t>. 2022;152(7):1783-1791. doi:10.1093/jn/nxac075</w:t>
      </w:r>
    </w:p>
    <w:p w14:paraId="68FFEB0C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E1147A">
        <w:rPr>
          <w:rFonts w:eastAsiaTheme="minorHAnsi"/>
          <w:color w:val="000000"/>
          <w:lang w:val="de-DE"/>
        </w:rPr>
        <w:t>29.</w:t>
      </w:r>
      <w:r w:rsidRPr="00E1147A">
        <w:rPr>
          <w:rFonts w:eastAsiaTheme="minorHAnsi"/>
          <w:color w:val="000000"/>
          <w:lang w:val="de-DE"/>
        </w:rPr>
        <w:tab/>
        <w:t xml:space="preserve">Schaller MS, Zahner GJ, Gasper WJ, et al. </w:t>
      </w:r>
      <w:r w:rsidRPr="002C36F4">
        <w:rPr>
          <w:rFonts w:eastAsiaTheme="minorHAnsi"/>
          <w:color w:val="000000"/>
        </w:rPr>
        <w:t xml:space="preserve">Relationship between the omega-3 index and specialized pro-resolving lipid mediators in patients with peripheral arterial disease taking fish oil supplements. </w:t>
      </w:r>
      <w:r w:rsidRPr="002C36F4">
        <w:rPr>
          <w:rFonts w:eastAsiaTheme="minorHAnsi"/>
          <w:i/>
          <w:iCs/>
          <w:color w:val="000000"/>
        </w:rPr>
        <w:t>J Clin Lipidol</w:t>
      </w:r>
      <w:r w:rsidRPr="002C36F4">
        <w:rPr>
          <w:rFonts w:eastAsiaTheme="minorHAnsi"/>
          <w:color w:val="000000"/>
        </w:rPr>
        <w:t>. 2017;11(5):1289-1295. doi:10.1016/j.jacl.2017.06.011</w:t>
      </w:r>
    </w:p>
    <w:p w14:paraId="3CE92318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30.</w:t>
      </w:r>
      <w:r w:rsidRPr="002C36F4">
        <w:rPr>
          <w:rFonts w:eastAsiaTheme="minorHAnsi"/>
          <w:color w:val="000000"/>
        </w:rPr>
        <w:tab/>
        <w:t xml:space="preserve">Onodera T, Fukuhara A, Shin J, Hayakawa T, Otsuki M, Shimomura I. Eicosapentaenoic acid and 5-HEPE enhance macrophage-mediated Treg induction in mice. </w:t>
      </w:r>
      <w:r w:rsidRPr="002C36F4">
        <w:rPr>
          <w:rFonts w:eastAsiaTheme="minorHAnsi"/>
          <w:i/>
          <w:iCs/>
          <w:color w:val="000000"/>
        </w:rPr>
        <w:t>Sci Rep</w:t>
      </w:r>
      <w:r w:rsidRPr="002C36F4">
        <w:rPr>
          <w:rFonts w:eastAsiaTheme="minorHAnsi"/>
          <w:color w:val="000000"/>
        </w:rPr>
        <w:t>. 2017;7(1):4560. doi:10.1038/s41598-017-04474-2</w:t>
      </w:r>
    </w:p>
    <w:p w14:paraId="56F43399" w14:textId="77777777" w:rsidR="002C36F4" w:rsidRPr="00E1147A" w:rsidRDefault="002C36F4" w:rsidP="009B013B">
      <w:pPr>
        <w:pStyle w:val="Bibliography"/>
        <w:suppressLineNumbers/>
        <w:rPr>
          <w:rFonts w:eastAsiaTheme="minorHAnsi"/>
          <w:color w:val="000000"/>
          <w:lang w:val="fr-CA"/>
        </w:rPr>
      </w:pPr>
      <w:r w:rsidRPr="002C36F4">
        <w:rPr>
          <w:rFonts w:eastAsiaTheme="minorHAnsi"/>
          <w:color w:val="000000"/>
        </w:rPr>
        <w:t>31.</w:t>
      </w:r>
      <w:r w:rsidRPr="002C36F4">
        <w:rPr>
          <w:rFonts w:eastAsiaTheme="minorHAnsi"/>
          <w:color w:val="000000"/>
        </w:rPr>
        <w:tab/>
        <w:t xml:space="preserve">Saleh RNM, West AL, Ostermann AI, Schebb NH, Calder PC, Minihane AM. APOE Genotype Modifies the Plasma Oxylipin Response to Omega-3 Polyunsaturated Fatty Acid </w:t>
      </w:r>
      <w:r w:rsidRPr="002C36F4">
        <w:rPr>
          <w:rFonts w:eastAsiaTheme="minorHAnsi"/>
          <w:color w:val="000000"/>
        </w:rPr>
        <w:lastRenderedPageBreak/>
        <w:t xml:space="preserve">Supplementation in Healthy Individuals. </w:t>
      </w:r>
      <w:r w:rsidRPr="00E1147A">
        <w:rPr>
          <w:rFonts w:eastAsiaTheme="minorHAnsi"/>
          <w:i/>
          <w:iCs/>
          <w:color w:val="000000"/>
          <w:lang w:val="fr-CA"/>
        </w:rPr>
        <w:t>Front Nutr</w:t>
      </w:r>
      <w:r w:rsidRPr="00E1147A">
        <w:rPr>
          <w:rFonts w:eastAsiaTheme="minorHAnsi"/>
          <w:color w:val="000000"/>
          <w:lang w:val="fr-CA"/>
        </w:rPr>
        <w:t>. 2021;8:723813. doi:10.3389/fnut.2021.723813</w:t>
      </w:r>
    </w:p>
    <w:p w14:paraId="716C534A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E1147A">
        <w:rPr>
          <w:rFonts w:eastAsiaTheme="minorHAnsi"/>
          <w:color w:val="000000"/>
          <w:lang w:val="fr-CA"/>
        </w:rPr>
        <w:t>32.</w:t>
      </w:r>
      <w:r w:rsidRPr="00E1147A">
        <w:rPr>
          <w:rFonts w:eastAsiaTheme="minorHAnsi"/>
          <w:color w:val="000000"/>
          <w:lang w:val="fr-CA"/>
        </w:rPr>
        <w:tab/>
        <w:t xml:space="preserve">Valdes AM, Ravipati S, Menni C, et al. </w:t>
      </w:r>
      <w:r w:rsidRPr="002C36F4">
        <w:rPr>
          <w:rFonts w:eastAsiaTheme="minorHAnsi"/>
          <w:color w:val="000000"/>
        </w:rPr>
        <w:t xml:space="preserve">Association of the resolvin precursor 17-HDHA, but not D- or E- series resolvins, with heat pain sensitivity and osteoarthritis pain in humans. </w:t>
      </w:r>
      <w:r w:rsidRPr="002C36F4">
        <w:rPr>
          <w:rFonts w:eastAsiaTheme="minorHAnsi"/>
          <w:i/>
          <w:iCs/>
          <w:color w:val="000000"/>
        </w:rPr>
        <w:t>Sci Rep</w:t>
      </w:r>
      <w:r w:rsidRPr="002C36F4">
        <w:rPr>
          <w:rFonts w:eastAsiaTheme="minorHAnsi"/>
          <w:color w:val="000000"/>
        </w:rPr>
        <w:t>. 2017;7(1):10748. doi:10.1038/s41598-017-09516-3</w:t>
      </w:r>
    </w:p>
    <w:p w14:paraId="63C42E80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33.</w:t>
      </w:r>
      <w:r w:rsidRPr="002C36F4">
        <w:rPr>
          <w:rFonts w:eastAsiaTheme="minorHAnsi"/>
          <w:color w:val="000000"/>
        </w:rPr>
        <w:tab/>
        <w:t>Xu C, You X, Liu W, et al. Prostaglandin F2α regulates the expression of uterine activation proteins via multiple signalling pathways. Published online January 1, 2015. doi:10.1530/REP-14-0479</w:t>
      </w:r>
    </w:p>
    <w:p w14:paraId="7838BEA3" w14:textId="77777777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34.</w:t>
      </w:r>
      <w:r w:rsidRPr="002C36F4">
        <w:rPr>
          <w:rFonts w:eastAsiaTheme="minorHAnsi"/>
          <w:color w:val="000000"/>
        </w:rPr>
        <w:tab/>
        <w:t xml:space="preserve">Powell WS, Rokach J. Biosynthesis, biological effects, and receptors of hydroxyeicosatetraenoic acids (HETEs) and oxoeicosatetraenoic acids (oxo-ETEs) derived from arachidonic acid. </w:t>
      </w:r>
      <w:r w:rsidRPr="002C36F4">
        <w:rPr>
          <w:rFonts w:eastAsiaTheme="minorHAnsi"/>
          <w:i/>
          <w:iCs/>
          <w:color w:val="000000"/>
        </w:rPr>
        <w:t>Biochim Biophys Acta</w:t>
      </w:r>
      <w:r w:rsidRPr="002C36F4">
        <w:rPr>
          <w:rFonts w:eastAsiaTheme="minorHAnsi"/>
          <w:color w:val="000000"/>
        </w:rPr>
        <w:t>. 2015;1851(4):340-355. doi:10.1016/j.bbalip.2014.10.008</w:t>
      </w:r>
    </w:p>
    <w:p w14:paraId="77469600" w14:textId="77777777" w:rsidR="00005E80" w:rsidRDefault="002C36F4" w:rsidP="00005E80">
      <w:pPr>
        <w:pStyle w:val="Bibliography"/>
        <w:suppressLineNumbers/>
        <w:rPr>
          <w:rFonts w:eastAsiaTheme="minorHAnsi"/>
          <w:color w:val="000000"/>
          <w:lang w:val="fr-CA"/>
        </w:rPr>
      </w:pPr>
      <w:r w:rsidRPr="002C36F4">
        <w:rPr>
          <w:rFonts w:eastAsiaTheme="minorHAnsi"/>
          <w:color w:val="000000"/>
        </w:rPr>
        <w:t>35.</w:t>
      </w:r>
      <w:r w:rsidRPr="002C36F4">
        <w:rPr>
          <w:rFonts w:eastAsiaTheme="minorHAnsi"/>
          <w:color w:val="000000"/>
        </w:rPr>
        <w:tab/>
        <w:t xml:space="preserve">Adam O, Tesche A, Wolfram G. Impact of linoleic acid intake on arachidonic acid formation and eicosanoid biosynthesis in humans. </w:t>
      </w:r>
      <w:r w:rsidRPr="00E1147A">
        <w:rPr>
          <w:rFonts w:eastAsiaTheme="minorHAnsi"/>
          <w:i/>
          <w:iCs/>
          <w:color w:val="000000"/>
          <w:lang w:val="fr-CA"/>
        </w:rPr>
        <w:t>Prostaglandins Leukot Essent Fatty Acids</w:t>
      </w:r>
      <w:r w:rsidRPr="00E1147A">
        <w:rPr>
          <w:rFonts w:eastAsiaTheme="minorHAnsi"/>
          <w:color w:val="000000"/>
          <w:lang w:val="fr-CA"/>
        </w:rPr>
        <w:t xml:space="preserve">. 2008;79(3-5):177-181. </w:t>
      </w:r>
      <w:proofErr w:type="gramStart"/>
      <w:r w:rsidRPr="00E1147A">
        <w:rPr>
          <w:rFonts w:eastAsiaTheme="minorHAnsi"/>
          <w:color w:val="000000"/>
          <w:lang w:val="fr-CA"/>
        </w:rPr>
        <w:t>doi:10.1016/j.plefa</w:t>
      </w:r>
      <w:proofErr w:type="gramEnd"/>
      <w:r w:rsidRPr="00E1147A">
        <w:rPr>
          <w:rFonts w:eastAsiaTheme="minorHAnsi"/>
          <w:color w:val="000000"/>
          <w:lang w:val="fr-CA"/>
        </w:rPr>
        <w:t>.2008.09.007</w:t>
      </w:r>
    </w:p>
    <w:p w14:paraId="0EDBD483" w14:textId="5B982815" w:rsidR="00005E80" w:rsidRPr="00005E80" w:rsidRDefault="00005E80" w:rsidP="00005E80">
      <w:pPr>
        <w:pStyle w:val="Bibliography"/>
        <w:suppressLineNumbers/>
        <w:rPr>
          <w:rFonts w:eastAsiaTheme="minorHAnsi"/>
          <w:color w:val="000000"/>
          <w:lang w:val="fr-CA"/>
        </w:rPr>
      </w:pPr>
      <w:r w:rsidRPr="00005E80">
        <w:rPr>
          <w:rFonts w:eastAsiaTheme="minorHAnsi"/>
          <w:lang w:val="fr-CA"/>
        </w:rPr>
        <w:t xml:space="preserve">36. </w:t>
      </w:r>
      <w:r w:rsidRPr="00E01F58">
        <w:rPr>
          <w:rFonts w:eastAsiaTheme="minorHAnsi"/>
          <w:lang w:val="fr-CA"/>
        </w:rPr>
        <w:t xml:space="preserve">Bell JG, Sargent JR, Raynard RS. </w:t>
      </w:r>
      <w:r w:rsidRPr="00005E80">
        <w:rPr>
          <w:rFonts w:eastAsiaTheme="minorHAnsi"/>
        </w:rPr>
        <w:t xml:space="preserve">Effects of increasing dietary linoleic acid on phospholipid fatty acid composition and eicosanoid production in leucocytes and gill cells of Atlantic salmon (Salmo </w:t>
      </w:r>
      <w:proofErr w:type="spellStart"/>
      <w:r w:rsidRPr="00005E80">
        <w:rPr>
          <w:rFonts w:eastAsiaTheme="minorHAnsi"/>
        </w:rPr>
        <w:t>salar</w:t>
      </w:r>
      <w:proofErr w:type="spellEnd"/>
      <w:r w:rsidRPr="00005E80">
        <w:rPr>
          <w:rFonts w:eastAsiaTheme="minorHAnsi"/>
        </w:rPr>
        <w:t xml:space="preserve">). </w:t>
      </w:r>
      <w:r w:rsidRPr="00E01F58">
        <w:rPr>
          <w:rFonts w:eastAsiaTheme="minorHAnsi"/>
          <w:i/>
          <w:iCs/>
          <w:lang w:val="fr-CA"/>
        </w:rPr>
        <w:t>Prostaglandins Leukot Essent Fatty Acids</w:t>
      </w:r>
      <w:r w:rsidRPr="00E01F58">
        <w:rPr>
          <w:rFonts w:eastAsiaTheme="minorHAnsi"/>
          <w:lang w:val="fr-CA"/>
        </w:rPr>
        <w:t>. 1992;45(3):197-206. doi:10.1016/0952-3278(92)90113-w</w:t>
      </w:r>
    </w:p>
    <w:p w14:paraId="0DEAE1C0" w14:textId="0A1CC0E3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E1147A">
        <w:rPr>
          <w:rFonts w:eastAsiaTheme="minorHAnsi"/>
          <w:color w:val="000000"/>
          <w:lang w:val="fr-CA"/>
        </w:rPr>
        <w:t>3</w:t>
      </w:r>
      <w:r w:rsidR="00005E80">
        <w:rPr>
          <w:rFonts w:eastAsiaTheme="minorHAnsi"/>
          <w:color w:val="000000"/>
          <w:lang w:val="fr-CA"/>
        </w:rPr>
        <w:t>7</w:t>
      </w:r>
      <w:r w:rsidRPr="00E1147A">
        <w:rPr>
          <w:rFonts w:eastAsiaTheme="minorHAnsi"/>
          <w:color w:val="000000"/>
          <w:lang w:val="fr-CA"/>
        </w:rPr>
        <w:t>.</w:t>
      </w:r>
      <w:r w:rsidRPr="00E1147A">
        <w:rPr>
          <w:rFonts w:eastAsiaTheme="minorHAnsi"/>
          <w:color w:val="000000"/>
          <w:lang w:val="fr-CA"/>
        </w:rPr>
        <w:tab/>
        <w:t xml:space="preserve">Ramsden CE, Ringel A, Feldstein AE, et al. </w:t>
      </w:r>
      <w:r w:rsidRPr="002C36F4">
        <w:rPr>
          <w:rFonts w:eastAsiaTheme="minorHAnsi"/>
          <w:color w:val="000000"/>
        </w:rPr>
        <w:t xml:space="preserve">Lowering dietary linoleic acid reduces bioactive oxidized linoleic acid metabolites in humans. </w:t>
      </w:r>
      <w:r w:rsidRPr="002C36F4">
        <w:rPr>
          <w:rFonts w:eastAsiaTheme="minorHAnsi"/>
          <w:i/>
          <w:iCs/>
          <w:color w:val="000000"/>
        </w:rPr>
        <w:t>Prostaglandins Leukot Essent Fatty Acids</w:t>
      </w:r>
      <w:r w:rsidRPr="002C36F4">
        <w:rPr>
          <w:rFonts w:eastAsiaTheme="minorHAnsi"/>
          <w:color w:val="000000"/>
        </w:rPr>
        <w:t>. 2012;87(4-5):135-141. doi:10.1016/j.plefa.2012.08.004</w:t>
      </w:r>
    </w:p>
    <w:p w14:paraId="06E32C1D" w14:textId="524D6540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3</w:t>
      </w:r>
      <w:r w:rsidR="00005E80">
        <w:rPr>
          <w:rFonts w:eastAsiaTheme="minorHAnsi"/>
          <w:color w:val="000000"/>
        </w:rPr>
        <w:t>8</w:t>
      </w:r>
      <w:r w:rsidRPr="002C36F4">
        <w:rPr>
          <w:rFonts w:eastAsiaTheme="minorHAnsi"/>
          <w:color w:val="000000"/>
        </w:rPr>
        <w:t>.</w:t>
      </w:r>
      <w:r w:rsidRPr="002C36F4">
        <w:rPr>
          <w:rFonts w:eastAsiaTheme="minorHAnsi"/>
          <w:color w:val="000000"/>
        </w:rPr>
        <w:tab/>
        <w:t xml:space="preserve">Al-Shaer AE, Buddenbaum N, Shaikh SR. Polyunsaturated fatty acids, specialized pro-resolving mediators, and targeting inflammation resolution in the age of precision nutrition. </w:t>
      </w:r>
      <w:r w:rsidRPr="002C36F4">
        <w:rPr>
          <w:rFonts w:eastAsiaTheme="minorHAnsi"/>
          <w:i/>
          <w:iCs/>
          <w:color w:val="000000"/>
        </w:rPr>
        <w:t>Biochim Biophys Acta Mol Cell Biol Lipids</w:t>
      </w:r>
      <w:r w:rsidRPr="002C36F4">
        <w:rPr>
          <w:rFonts w:eastAsiaTheme="minorHAnsi"/>
          <w:color w:val="000000"/>
        </w:rPr>
        <w:t>. 2021;1866(7):158936. doi:10.1016/j.bbalip.2021.158936</w:t>
      </w:r>
    </w:p>
    <w:p w14:paraId="54201233" w14:textId="66D960ED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3</w:t>
      </w:r>
      <w:r w:rsidR="00005E80">
        <w:rPr>
          <w:rFonts w:eastAsiaTheme="minorHAnsi"/>
          <w:color w:val="000000"/>
        </w:rPr>
        <w:t>9</w:t>
      </w:r>
      <w:r w:rsidRPr="002C36F4">
        <w:rPr>
          <w:rFonts w:eastAsiaTheme="minorHAnsi"/>
          <w:color w:val="000000"/>
        </w:rPr>
        <w:t>.</w:t>
      </w:r>
      <w:r w:rsidRPr="002C36F4">
        <w:rPr>
          <w:rFonts w:eastAsiaTheme="minorHAnsi"/>
          <w:color w:val="000000"/>
        </w:rPr>
        <w:tab/>
        <w:t xml:space="preserve">Gracia Aznar A, Moreno Egea F, Gracia Banzo R, et al. Pro-Resolving Inflammatory Effects of a Marine Oil Enriched in Specialized Pro-Resolving Mediators (SPMs) Supplement and Its Implication in Patients with Post-COVID Syndrome (PCS). </w:t>
      </w:r>
      <w:r w:rsidRPr="002C36F4">
        <w:rPr>
          <w:rFonts w:eastAsiaTheme="minorHAnsi"/>
          <w:i/>
          <w:iCs/>
          <w:color w:val="000000"/>
        </w:rPr>
        <w:t>Biomedicines</w:t>
      </w:r>
      <w:r w:rsidRPr="002C36F4">
        <w:rPr>
          <w:rFonts w:eastAsiaTheme="minorHAnsi"/>
          <w:color w:val="000000"/>
        </w:rPr>
        <w:t>. 2024;12(10):2221. doi:10.3390/biomedicines12102221</w:t>
      </w:r>
    </w:p>
    <w:p w14:paraId="6D671B2C" w14:textId="2A9D8673" w:rsidR="002C36F4" w:rsidRPr="002C36F4" w:rsidRDefault="00005E80" w:rsidP="009B013B">
      <w:pPr>
        <w:pStyle w:val="Bibliography"/>
        <w:suppressLineNumbers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40</w:t>
      </w:r>
      <w:r w:rsidR="002C36F4" w:rsidRPr="002C36F4">
        <w:rPr>
          <w:rFonts w:eastAsiaTheme="minorHAnsi"/>
          <w:color w:val="000000"/>
        </w:rPr>
        <w:t>.</w:t>
      </w:r>
      <w:r w:rsidR="002C36F4" w:rsidRPr="002C36F4">
        <w:rPr>
          <w:rFonts w:eastAsiaTheme="minorHAnsi"/>
          <w:color w:val="000000"/>
        </w:rPr>
        <w:tab/>
        <w:t xml:space="preserve">Faber J, Fonseca LM. How sample size influences research outcomes. </w:t>
      </w:r>
      <w:r w:rsidR="002C36F4" w:rsidRPr="002C36F4">
        <w:rPr>
          <w:rFonts w:eastAsiaTheme="minorHAnsi"/>
          <w:i/>
          <w:iCs/>
          <w:color w:val="000000"/>
        </w:rPr>
        <w:t>Dent Press J Orthod</w:t>
      </w:r>
      <w:r w:rsidR="002C36F4" w:rsidRPr="002C36F4">
        <w:rPr>
          <w:rFonts w:eastAsiaTheme="minorHAnsi"/>
          <w:color w:val="000000"/>
        </w:rPr>
        <w:t>. 2014;19(4):27-29. doi:10.1590/2176-9451.19.4.027-029.ebo</w:t>
      </w:r>
    </w:p>
    <w:p w14:paraId="278A4F5C" w14:textId="283F50E6" w:rsidR="002C36F4" w:rsidRPr="00E1147A" w:rsidRDefault="002C36F4" w:rsidP="009B013B">
      <w:pPr>
        <w:pStyle w:val="Bibliography"/>
        <w:suppressLineNumbers/>
        <w:rPr>
          <w:rFonts w:eastAsiaTheme="minorHAnsi"/>
          <w:color w:val="000000"/>
          <w:lang w:val="fr-CA"/>
        </w:rPr>
      </w:pPr>
      <w:r w:rsidRPr="002C36F4">
        <w:rPr>
          <w:rFonts w:eastAsiaTheme="minorHAnsi"/>
          <w:color w:val="000000"/>
        </w:rPr>
        <w:t>4</w:t>
      </w:r>
      <w:r w:rsidR="00005E80">
        <w:rPr>
          <w:rFonts w:eastAsiaTheme="minorHAnsi"/>
          <w:color w:val="000000"/>
        </w:rPr>
        <w:t>1</w:t>
      </w:r>
      <w:r w:rsidRPr="002C36F4">
        <w:rPr>
          <w:rFonts w:eastAsiaTheme="minorHAnsi"/>
          <w:color w:val="000000"/>
        </w:rPr>
        <w:t>.</w:t>
      </w:r>
      <w:r w:rsidRPr="002C36F4">
        <w:rPr>
          <w:rFonts w:eastAsiaTheme="minorHAnsi"/>
          <w:color w:val="000000"/>
        </w:rPr>
        <w:tab/>
        <w:t xml:space="preserve">Shaikh SR, Bazinet RP. Heterogeneity in the response to n-3 polyunsaturated fatty acids. </w:t>
      </w:r>
      <w:r w:rsidRPr="00E1147A">
        <w:rPr>
          <w:rFonts w:eastAsiaTheme="minorHAnsi"/>
          <w:i/>
          <w:iCs/>
          <w:color w:val="000000"/>
          <w:lang w:val="fr-CA"/>
        </w:rPr>
        <w:t>Curr Opin Clin Nutr Metab Care</w:t>
      </w:r>
      <w:r w:rsidRPr="00E1147A">
        <w:rPr>
          <w:rFonts w:eastAsiaTheme="minorHAnsi"/>
          <w:color w:val="000000"/>
          <w:lang w:val="fr-CA"/>
        </w:rPr>
        <w:t>. 2023;26(3):284-287. doi:10.1097/MCO.0000000000000930</w:t>
      </w:r>
    </w:p>
    <w:p w14:paraId="00135750" w14:textId="075205CD" w:rsidR="002C36F4" w:rsidRPr="002C36F4" w:rsidRDefault="002C36F4" w:rsidP="009B013B">
      <w:pPr>
        <w:pStyle w:val="Bibliography"/>
        <w:suppressLineNumbers/>
        <w:rPr>
          <w:rFonts w:eastAsiaTheme="minorHAnsi"/>
          <w:color w:val="000000"/>
        </w:rPr>
      </w:pPr>
      <w:r w:rsidRPr="00E1147A">
        <w:rPr>
          <w:rFonts w:eastAsiaTheme="minorHAnsi"/>
          <w:color w:val="000000"/>
          <w:lang w:val="fr-CA"/>
        </w:rPr>
        <w:lastRenderedPageBreak/>
        <w:t>4</w:t>
      </w:r>
      <w:r w:rsidR="00005E80">
        <w:rPr>
          <w:rFonts w:eastAsiaTheme="minorHAnsi"/>
          <w:color w:val="000000"/>
          <w:lang w:val="fr-CA"/>
        </w:rPr>
        <w:t>2</w:t>
      </w:r>
      <w:r w:rsidRPr="00E1147A">
        <w:rPr>
          <w:rFonts w:eastAsiaTheme="minorHAnsi"/>
          <w:color w:val="000000"/>
          <w:lang w:val="fr-CA"/>
        </w:rPr>
        <w:t>.</w:t>
      </w:r>
      <w:r w:rsidRPr="00E1147A">
        <w:rPr>
          <w:rFonts w:eastAsiaTheme="minorHAnsi"/>
          <w:color w:val="000000"/>
          <w:lang w:val="fr-CA"/>
        </w:rPr>
        <w:tab/>
        <w:t xml:space="preserve">Fu Y, Wang Y, Gao H, et al. </w:t>
      </w:r>
      <w:r w:rsidRPr="002C36F4">
        <w:rPr>
          <w:rFonts w:eastAsiaTheme="minorHAnsi"/>
          <w:color w:val="000000"/>
        </w:rPr>
        <w:t xml:space="preserve">Associations among Dietary Omega-3 Polyunsaturated Fatty Acids, the Gut Microbiota, and Intestinal Immunity. </w:t>
      </w:r>
      <w:r w:rsidRPr="002C36F4">
        <w:rPr>
          <w:rFonts w:eastAsiaTheme="minorHAnsi"/>
          <w:i/>
          <w:iCs/>
          <w:color w:val="000000"/>
        </w:rPr>
        <w:t>Mediators Inflamm</w:t>
      </w:r>
      <w:r w:rsidRPr="002C36F4">
        <w:rPr>
          <w:rFonts w:eastAsiaTheme="minorHAnsi"/>
          <w:color w:val="000000"/>
        </w:rPr>
        <w:t>. 2021;2021:8879227. doi:10.1155/2021/8879227</w:t>
      </w:r>
    </w:p>
    <w:p w14:paraId="0BDCD0A4" w14:textId="095D3FDE" w:rsidR="00AF5F47" w:rsidRPr="00AF5F47" w:rsidRDefault="002C36F4" w:rsidP="00AF5F47">
      <w:pPr>
        <w:pStyle w:val="Bibliography"/>
        <w:suppressLineNumbers/>
        <w:rPr>
          <w:rFonts w:eastAsiaTheme="minorHAnsi"/>
          <w:color w:val="000000"/>
        </w:rPr>
      </w:pPr>
      <w:r w:rsidRPr="002C36F4">
        <w:rPr>
          <w:rFonts w:eastAsiaTheme="minorHAnsi"/>
          <w:color w:val="000000"/>
        </w:rPr>
        <w:t>4</w:t>
      </w:r>
      <w:r w:rsidR="00005E80">
        <w:rPr>
          <w:rFonts w:eastAsiaTheme="minorHAnsi"/>
          <w:color w:val="000000"/>
        </w:rPr>
        <w:t>3</w:t>
      </w:r>
      <w:r w:rsidRPr="002C36F4">
        <w:rPr>
          <w:rFonts w:eastAsiaTheme="minorHAnsi"/>
          <w:color w:val="000000"/>
        </w:rPr>
        <w:t>.</w:t>
      </w:r>
      <w:r w:rsidRPr="002C36F4">
        <w:rPr>
          <w:rFonts w:eastAsiaTheme="minorHAnsi"/>
          <w:color w:val="000000"/>
        </w:rPr>
        <w:tab/>
        <w:t xml:space="preserve">Yang C, Hallmark B, Chai JC, et al. Impact of Amerind ancestry and FADS genetic variation on omega-3 deficiency and cardiometabolic traits in Hispanic populations. </w:t>
      </w:r>
      <w:r w:rsidRPr="002C36F4">
        <w:rPr>
          <w:rFonts w:eastAsiaTheme="minorHAnsi"/>
          <w:i/>
          <w:iCs/>
          <w:color w:val="000000"/>
        </w:rPr>
        <w:t>Commun Biol</w:t>
      </w:r>
      <w:r w:rsidRPr="002C36F4">
        <w:rPr>
          <w:rFonts w:eastAsiaTheme="minorHAnsi"/>
          <w:color w:val="000000"/>
        </w:rPr>
        <w:t>. 2021;4(1):918. doi:10.1038/s42003-021-02431-4</w:t>
      </w:r>
    </w:p>
    <w:p w14:paraId="6F95CB09" w14:textId="50AC48AC" w:rsidR="002A24A7" w:rsidRPr="00005E80" w:rsidRDefault="00005E80" w:rsidP="00AF5F47">
      <w:pPr>
        <w:suppressLineNumbers/>
        <w:rPr>
          <w:rFonts w:eastAsiaTheme="minorHAnsi"/>
        </w:rPr>
      </w:pPr>
      <w:r>
        <w:rPr>
          <w:rFonts w:eastAsiaTheme="minorHAnsi"/>
        </w:rPr>
        <w:t xml:space="preserve">44. </w:t>
      </w:r>
      <w:r w:rsidR="002C36F4" w:rsidRPr="002C36F4">
        <w:rPr>
          <w:rFonts w:eastAsiaTheme="minorHAnsi"/>
          <w:color w:val="000000"/>
        </w:rPr>
        <w:t>Calder PC. Sex Differences in the Plasma Accumulation of Oxylipins in Response to</w:t>
      </w:r>
      <w:r w:rsidR="00AF5F47">
        <w:rPr>
          <w:rFonts w:eastAsiaTheme="minorHAnsi"/>
          <w:color w:val="000000"/>
        </w:rPr>
        <w:t xml:space="preserve"> </w:t>
      </w:r>
      <w:r w:rsidR="002C36F4" w:rsidRPr="002C36F4">
        <w:rPr>
          <w:rFonts w:eastAsiaTheme="minorHAnsi"/>
          <w:color w:val="000000"/>
        </w:rPr>
        <w:t xml:space="preserve">Supplemental n-3 Fatty Acids. </w:t>
      </w:r>
      <w:r w:rsidR="002C36F4" w:rsidRPr="002C36F4">
        <w:rPr>
          <w:rFonts w:eastAsiaTheme="minorHAnsi"/>
          <w:i/>
          <w:iCs/>
          <w:color w:val="000000"/>
        </w:rPr>
        <w:t>J Nutr</w:t>
      </w:r>
      <w:r w:rsidR="002C36F4" w:rsidRPr="002C36F4">
        <w:rPr>
          <w:rFonts w:eastAsiaTheme="minorHAnsi"/>
          <w:color w:val="000000"/>
        </w:rPr>
        <w:t>. 2021;151(3):462-464. doi:10.1093/jn/nxaa421</w:t>
      </w:r>
    </w:p>
    <w:p w14:paraId="07DB51C4" w14:textId="77777777" w:rsidR="00C4428D" w:rsidRDefault="00C4428D" w:rsidP="002A645B">
      <w:pPr>
        <w:suppressLineNumbers/>
        <w:spacing w:line="480" w:lineRule="auto"/>
        <w:rPr>
          <w:rFonts w:eastAsiaTheme="minorHAnsi"/>
        </w:rPr>
      </w:pPr>
    </w:p>
    <w:p w14:paraId="67540680" w14:textId="77777777" w:rsidR="002A24A7" w:rsidRPr="00E2414B" w:rsidRDefault="002A24A7" w:rsidP="002A645B">
      <w:pPr>
        <w:suppressLineNumbers/>
        <w:spacing w:line="480" w:lineRule="auto"/>
        <w:rPr>
          <w:b/>
          <w:bCs/>
        </w:rPr>
      </w:pPr>
      <w:r>
        <w:rPr>
          <w:b/>
          <w:bCs/>
        </w:rPr>
        <w:t xml:space="preserve">Table 1. </w:t>
      </w:r>
      <w:r w:rsidRPr="00930106">
        <w:t xml:space="preserve">Characteristics of </w:t>
      </w:r>
      <w:r>
        <w:t>s</w:t>
      </w:r>
      <w:r w:rsidRPr="00930106">
        <w:t xml:space="preserve">tudy </w:t>
      </w:r>
      <w:r>
        <w:t>p</w:t>
      </w:r>
      <w:r w:rsidRPr="00930106">
        <w:t>articipants</w:t>
      </w:r>
      <w:r>
        <w:t xml:space="preserve"> at baseline for the EPA+DHA and CO groups</w:t>
      </w:r>
      <w:r w:rsidRPr="00930106">
        <w:t xml:space="preserve">. </w:t>
      </w:r>
    </w:p>
    <w:tbl>
      <w:tblPr>
        <w:tblW w:w="10075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2610"/>
        <w:gridCol w:w="2610"/>
        <w:gridCol w:w="1980"/>
      </w:tblGrid>
      <w:tr w:rsidR="002A24A7" w:rsidRPr="00930106" w14:paraId="409D9AD2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8A3F08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 w:rsidRPr="00930106">
              <w:rPr>
                <w:b/>
                <w:bCs/>
              </w:rPr>
              <w:t>Variable</w:t>
            </w:r>
          </w:p>
        </w:tc>
        <w:tc>
          <w:tcPr>
            <w:tcW w:w="5220" w:type="dxa"/>
            <w:gridSpan w:val="2"/>
          </w:tcPr>
          <w:p w14:paraId="5BA0EA46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 w:rsidRPr="00930106">
              <w:rPr>
                <w:b/>
                <w:bCs/>
              </w:rPr>
              <w:t xml:space="preserve">Mean </w:t>
            </w:r>
            <w:r w:rsidRPr="00930106">
              <w:rPr>
                <w:b/>
                <w:bCs/>
                <w:color w:val="0C0D0E"/>
                <w:shd w:val="clear" w:color="auto" w:fill="FFFFFF"/>
              </w:rPr>
              <w:t>± SD</w:t>
            </w:r>
          </w:p>
        </w:tc>
        <w:tc>
          <w:tcPr>
            <w:tcW w:w="1980" w:type="dxa"/>
          </w:tcPr>
          <w:p w14:paraId="47486D80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  <w:r w:rsidRPr="00BA1CD5">
              <w:rPr>
                <w:b/>
                <w:bCs/>
                <w:vertAlign w:val="superscript"/>
              </w:rPr>
              <w:t>2</w:t>
            </w:r>
          </w:p>
        </w:tc>
      </w:tr>
      <w:tr w:rsidR="002A24A7" w:rsidRPr="00930106" w14:paraId="73B44D77" w14:textId="77777777" w:rsidTr="00363C74">
        <w:trPr>
          <w:trHeight w:val="349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494387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Supplementation Group</w:t>
            </w:r>
          </w:p>
        </w:tc>
        <w:tc>
          <w:tcPr>
            <w:tcW w:w="2610" w:type="dxa"/>
          </w:tcPr>
          <w:p w14:paraId="0AB078B3" w14:textId="77777777" w:rsidR="002A24A7" w:rsidRPr="008B7338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color w:val="0C0D0E"/>
                <w:shd w:val="clear" w:color="auto" w:fill="FFFFFF"/>
              </w:rPr>
            </w:pPr>
            <w:r w:rsidRPr="008B7338">
              <w:rPr>
                <w:b/>
                <w:bCs/>
                <w:color w:val="0C0D0E"/>
                <w:shd w:val="clear" w:color="auto" w:fill="FFFFFF"/>
              </w:rPr>
              <w:t>EPA+DHA</w:t>
            </w:r>
            <w:r>
              <w:rPr>
                <w:b/>
                <w:bCs/>
                <w:color w:val="0C0D0E"/>
                <w:shd w:val="clear" w:color="auto" w:fill="FFFFFF"/>
              </w:rPr>
              <w:t xml:space="preserve"> (n = 10)</w:t>
            </w:r>
            <w:r w:rsidRPr="00BA1CD5">
              <w:rPr>
                <w:b/>
                <w:bCs/>
                <w:color w:val="0C0D0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2610" w:type="dxa"/>
          </w:tcPr>
          <w:p w14:paraId="2F1318CF" w14:textId="77777777" w:rsidR="002A24A7" w:rsidRPr="008B7338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color w:val="0C0D0E"/>
                <w:shd w:val="clear" w:color="auto" w:fill="FFFFFF"/>
              </w:rPr>
            </w:pPr>
            <w:r w:rsidRPr="008B7338">
              <w:rPr>
                <w:b/>
                <w:bCs/>
                <w:color w:val="0C0D0E"/>
                <w:shd w:val="clear" w:color="auto" w:fill="FFFFFF"/>
              </w:rPr>
              <w:t>Corn Oil</w:t>
            </w:r>
            <w:r>
              <w:rPr>
                <w:b/>
                <w:bCs/>
                <w:color w:val="0C0D0E"/>
                <w:shd w:val="clear" w:color="auto" w:fill="FFFFFF"/>
              </w:rPr>
              <w:t xml:space="preserve"> (n = 11)</w:t>
            </w:r>
            <w:r w:rsidRPr="00BA1CD5">
              <w:rPr>
                <w:b/>
                <w:bCs/>
                <w:color w:val="0C0D0E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0AAB965E" w14:textId="77777777" w:rsidR="002A24A7" w:rsidRPr="008B7338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color w:val="0C0D0E"/>
                <w:shd w:val="clear" w:color="auto" w:fill="FFFFFF"/>
              </w:rPr>
            </w:pPr>
          </w:p>
        </w:tc>
      </w:tr>
      <w:tr w:rsidR="002A24A7" w:rsidRPr="00930106" w14:paraId="3DC9E6A6" w14:textId="77777777" w:rsidTr="00363C74">
        <w:trPr>
          <w:trHeight w:val="349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0CCCB5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930106">
              <w:rPr>
                <w:b/>
                <w:bCs/>
              </w:rPr>
              <w:t>Sex M/F</w:t>
            </w:r>
            <w:r>
              <w:rPr>
                <w:b/>
                <w:bCs/>
              </w:rPr>
              <w:t xml:space="preserve"> (n)</w:t>
            </w:r>
          </w:p>
        </w:tc>
        <w:tc>
          <w:tcPr>
            <w:tcW w:w="2610" w:type="dxa"/>
          </w:tcPr>
          <w:p w14:paraId="71162CF8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color w:val="0C0D0E"/>
                <w:shd w:val="clear" w:color="auto" w:fill="FFFFFF"/>
              </w:rPr>
              <w:t>1/9</w:t>
            </w:r>
          </w:p>
        </w:tc>
        <w:tc>
          <w:tcPr>
            <w:tcW w:w="2610" w:type="dxa"/>
          </w:tcPr>
          <w:p w14:paraId="7AC8118A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C0D0E"/>
                <w:shd w:val="clear" w:color="auto" w:fill="FFFFFF"/>
              </w:rPr>
            </w:pPr>
            <w:r>
              <w:rPr>
                <w:color w:val="0C0D0E"/>
                <w:shd w:val="clear" w:color="auto" w:fill="FFFFFF"/>
              </w:rPr>
              <w:t>0/11</w:t>
            </w:r>
          </w:p>
        </w:tc>
        <w:tc>
          <w:tcPr>
            <w:tcW w:w="1980" w:type="dxa"/>
          </w:tcPr>
          <w:p w14:paraId="6855C741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C0D0E"/>
                <w:shd w:val="clear" w:color="auto" w:fill="FFFFFF"/>
              </w:rPr>
            </w:pPr>
          </w:p>
        </w:tc>
      </w:tr>
      <w:tr w:rsidR="002A24A7" w:rsidRPr="00930106" w14:paraId="08C66D29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A24693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930106">
              <w:rPr>
                <w:b/>
                <w:bCs/>
              </w:rPr>
              <w:t>Age (years)</w:t>
            </w:r>
          </w:p>
        </w:tc>
        <w:tc>
          <w:tcPr>
            <w:tcW w:w="2610" w:type="dxa"/>
          </w:tcPr>
          <w:p w14:paraId="3D7A27D4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49.15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17.45</w:t>
            </w:r>
          </w:p>
        </w:tc>
        <w:tc>
          <w:tcPr>
            <w:tcW w:w="2610" w:type="dxa"/>
          </w:tcPr>
          <w:p w14:paraId="1256D339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color w:val="0C0D0E"/>
                <w:shd w:val="clear" w:color="auto" w:fill="FFFFFF"/>
              </w:rPr>
              <w:t xml:space="preserve">35.54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13.12</w:t>
            </w:r>
          </w:p>
        </w:tc>
        <w:tc>
          <w:tcPr>
            <w:tcW w:w="1980" w:type="dxa"/>
          </w:tcPr>
          <w:p w14:paraId="27F1F811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C0D0E"/>
                <w:shd w:val="clear" w:color="auto" w:fill="FFFFFF"/>
              </w:rPr>
            </w:pPr>
            <w:r>
              <w:rPr>
                <w:color w:val="0C0D0E"/>
                <w:shd w:val="clear" w:color="auto" w:fill="FFFFFF"/>
              </w:rPr>
              <w:t>0.06</w:t>
            </w:r>
          </w:p>
        </w:tc>
      </w:tr>
      <w:tr w:rsidR="002A24A7" w:rsidRPr="00930106" w14:paraId="4A83A0A1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566E39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 w:rsidRPr="00930106">
              <w:rPr>
                <w:b/>
                <w:bCs/>
              </w:rPr>
              <w:t>Weight (kg)</w:t>
            </w:r>
          </w:p>
        </w:tc>
        <w:tc>
          <w:tcPr>
            <w:tcW w:w="2610" w:type="dxa"/>
          </w:tcPr>
          <w:p w14:paraId="71CF609D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79.69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20.99</w:t>
            </w:r>
          </w:p>
        </w:tc>
        <w:tc>
          <w:tcPr>
            <w:tcW w:w="2610" w:type="dxa"/>
          </w:tcPr>
          <w:p w14:paraId="3BBA540E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73.15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21.32</w:t>
            </w:r>
          </w:p>
        </w:tc>
        <w:tc>
          <w:tcPr>
            <w:tcW w:w="1980" w:type="dxa"/>
          </w:tcPr>
          <w:p w14:paraId="76378203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0.49</w:t>
            </w:r>
          </w:p>
        </w:tc>
      </w:tr>
      <w:tr w:rsidR="002A24A7" w:rsidRPr="00930106" w14:paraId="223FFAFD" w14:textId="77777777" w:rsidTr="00363C74">
        <w:trPr>
          <w:trHeight w:val="620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B61DED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930106">
              <w:rPr>
                <w:b/>
                <w:bCs/>
              </w:rPr>
              <w:t>BMI (kg/m²)</w:t>
            </w:r>
          </w:p>
        </w:tc>
        <w:tc>
          <w:tcPr>
            <w:tcW w:w="2610" w:type="dxa"/>
          </w:tcPr>
          <w:p w14:paraId="03A6D3FC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29.81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7.04</w:t>
            </w:r>
          </w:p>
        </w:tc>
        <w:tc>
          <w:tcPr>
            <w:tcW w:w="2610" w:type="dxa"/>
          </w:tcPr>
          <w:p w14:paraId="321F1794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27.65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7.38</w:t>
            </w:r>
          </w:p>
        </w:tc>
        <w:tc>
          <w:tcPr>
            <w:tcW w:w="1980" w:type="dxa"/>
          </w:tcPr>
          <w:p w14:paraId="6DD868F9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0.50</w:t>
            </w:r>
          </w:p>
        </w:tc>
      </w:tr>
      <w:tr w:rsidR="002A24A7" w:rsidRPr="00930106" w14:paraId="591E3DE1" w14:textId="77777777" w:rsidTr="00363C74">
        <w:trPr>
          <w:trHeight w:val="349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8C905C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930106">
              <w:rPr>
                <w:b/>
                <w:bCs/>
              </w:rPr>
              <w:t>Waist (cm)</w:t>
            </w:r>
          </w:p>
        </w:tc>
        <w:tc>
          <w:tcPr>
            <w:tcW w:w="2610" w:type="dxa"/>
          </w:tcPr>
          <w:p w14:paraId="2A8AC1BC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97.72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21.04</w:t>
            </w:r>
          </w:p>
        </w:tc>
        <w:tc>
          <w:tcPr>
            <w:tcW w:w="2610" w:type="dxa"/>
          </w:tcPr>
          <w:p w14:paraId="2837187F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color w:val="0C0D0E"/>
                <w:shd w:val="clear" w:color="auto" w:fill="FFFFFF"/>
              </w:rPr>
              <w:t xml:space="preserve">85.07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16.35</w:t>
            </w:r>
          </w:p>
        </w:tc>
        <w:tc>
          <w:tcPr>
            <w:tcW w:w="1980" w:type="dxa"/>
          </w:tcPr>
          <w:p w14:paraId="64B399C0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C0D0E"/>
                <w:shd w:val="clear" w:color="auto" w:fill="FFFFFF"/>
              </w:rPr>
            </w:pPr>
            <w:r>
              <w:rPr>
                <w:color w:val="0C0D0E"/>
                <w:shd w:val="clear" w:color="auto" w:fill="FFFFFF"/>
              </w:rPr>
              <w:t>0.13</w:t>
            </w:r>
          </w:p>
        </w:tc>
      </w:tr>
      <w:tr w:rsidR="002A24A7" w:rsidRPr="00930106" w14:paraId="22625B17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38C67D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930106">
              <w:rPr>
                <w:b/>
                <w:bCs/>
              </w:rPr>
              <w:t>Hip (cm)</w:t>
            </w:r>
          </w:p>
        </w:tc>
        <w:tc>
          <w:tcPr>
            <w:tcW w:w="2610" w:type="dxa"/>
          </w:tcPr>
          <w:p w14:paraId="35239CE0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107.76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12.08</w:t>
            </w:r>
          </w:p>
        </w:tc>
        <w:tc>
          <w:tcPr>
            <w:tcW w:w="2610" w:type="dxa"/>
          </w:tcPr>
          <w:p w14:paraId="324613C5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104.21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17.58</w:t>
            </w:r>
          </w:p>
        </w:tc>
        <w:tc>
          <w:tcPr>
            <w:tcW w:w="1980" w:type="dxa"/>
          </w:tcPr>
          <w:p w14:paraId="4571309A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0.60</w:t>
            </w:r>
          </w:p>
        </w:tc>
      </w:tr>
      <w:tr w:rsidR="002A24A7" w:rsidRPr="00930106" w14:paraId="0888FB75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4D3E59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 w:rsidRPr="00930106">
              <w:rPr>
                <w:b/>
                <w:bCs/>
              </w:rPr>
              <w:t>Body Fat (%)</w:t>
            </w:r>
          </w:p>
        </w:tc>
        <w:tc>
          <w:tcPr>
            <w:tcW w:w="2610" w:type="dxa"/>
          </w:tcPr>
          <w:p w14:paraId="585DB0A0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40.39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6.86</w:t>
            </w:r>
          </w:p>
        </w:tc>
        <w:tc>
          <w:tcPr>
            <w:tcW w:w="2610" w:type="dxa"/>
          </w:tcPr>
          <w:p w14:paraId="1D4DD13B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35.57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10.81</w:t>
            </w:r>
          </w:p>
        </w:tc>
        <w:tc>
          <w:tcPr>
            <w:tcW w:w="1980" w:type="dxa"/>
          </w:tcPr>
          <w:p w14:paraId="4D607583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0.24</w:t>
            </w:r>
          </w:p>
        </w:tc>
      </w:tr>
      <w:tr w:rsidR="002A24A7" w:rsidRPr="00930106" w14:paraId="3121090F" w14:textId="77777777" w:rsidTr="00363C74">
        <w:trPr>
          <w:trHeight w:val="349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237B51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 w:rsidRPr="00930106">
              <w:rPr>
                <w:b/>
                <w:bCs/>
              </w:rPr>
              <w:t>Body Fat (kg)</w:t>
            </w:r>
          </w:p>
        </w:tc>
        <w:tc>
          <w:tcPr>
            <w:tcW w:w="2610" w:type="dxa"/>
          </w:tcPr>
          <w:p w14:paraId="0E3E94AA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34.76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12.12</w:t>
            </w:r>
          </w:p>
        </w:tc>
        <w:tc>
          <w:tcPr>
            <w:tcW w:w="2610" w:type="dxa"/>
          </w:tcPr>
          <w:p w14:paraId="11DA071E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28.59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15.93</w:t>
            </w:r>
          </w:p>
        </w:tc>
        <w:tc>
          <w:tcPr>
            <w:tcW w:w="1980" w:type="dxa"/>
          </w:tcPr>
          <w:p w14:paraId="744FB6B4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0.33</w:t>
            </w:r>
          </w:p>
        </w:tc>
      </w:tr>
      <w:tr w:rsidR="002A24A7" w:rsidRPr="00930106" w14:paraId="70C4903D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654D0E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 w:rsidRPr="00930106">
              <w:rPr>
                <w:b/>
                <w:bCs/>
              </w:rPr>
              <w:t>Lean Mass (kg)</w:t>
            </w:r>
          </w:p>
        </w:tc>
        <w:tc>
          <w:tcPr>
            <w:tcW w:w="2610" w:type="dxa"/>
          </w:tcPr>
          <w:p w14:paraId="5849EC4C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49.19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10.79</w:t>
            </w:r>
          </w:p>
        </w:tc>
        <w:tc>
          <w:tcPr>
            <w:tcW w:w="2610" w:type="dxa"/>
          </w:tcPr>
          <w:p w14:paraId="26FB1420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45.94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 xml:space="preserve">± </w:t>
            </w:r>
            <w:r>
              <w:rPr>
                <w:color w:val="0C0D0E"/>
                <w:shd w:val="clear" w:color="auto" w:fill="FFFFFF"/>
              </w:rPr>
              <w:t>6.56</w:t>
            </w:r>
          </w:p>
        </w:tc>
        <w:tc>
          <w:tcPr>
            <w:tcW w:w="1980" w:type="dxa"/>
          </w:tcPr>
          <w:p w14:paraId="093FD46A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0.41</w:t>
            </w:r>
          </w:p>
        </w:tc>
      </w:tr>
      <w:tr w:rsidR="002A24A7" w:rsidRPr="00930106" w14:paraId="05CD9978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DE7B08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Cholesterol</w:t>
            </w:r>
          </w:p>
        </w:tc>
        <w:tc>
          <w:tcPr>
            <w:tcW w:w="2610" w:type="dxa"/>
          </w:tcPr>
          <w:p w14:paraId="5522B9F2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5.57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0.98</w:t>
            </w:r>
          </w:p>
        </w:tc>
        <w:tc>
          <w:tcPr>
            <w:tcW w:w="2610" w:type="dxa"/>
          </w:tcPr>
          <w:p w14:paraId="3044632A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5.04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1.05</w:t>
            </w:r>
          </w:p>
        </w:tc>
        <w:tc>
          <w:tcPr>
            <w:tcW w:w="1980" w:type="dxa"/>
          </w:tcPr>
          <w:p w14:paraId="4A9D0B76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0.25</w:t>
            </w:r>
          </w:p>
        </w:tc>
      </w:tr>
      <w:tr w:rsidR="002A24A7" w:rsidRPr="00930106" w14:paraId="64FD7FDC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853DC7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HDL-cholesterol</w:t>
            </w:r>
          </w:p>
        </w:tc>
        <w:tc>
          <w:tcPr>
            <w:tcW w:w="2610" w:type="dxa"/>
          </w:tcPr>
          <w:p w14:paraId="019FC314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1.86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0.42</w:t>
            </w:r>
          </w:p>
        </w:tc>
        <w:tc>
          <w:tcPr>
            <w:tcW w:w="2610" w:type="dxa"/>
          </w:tcPr>
          <w:p w14:paraId="690B8A30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1.43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0.31</w:t>
            </w:r>
          </w:p>
        </w:tc>
        <w:tc>
          <w:tcPr>
            <w:tcW w:w="1980" w:type="dxa"/>
          </w:tcPr>
          <w:p w14:paraId="7AC14EEB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0.02</w:t>
            </w:r>
          </w:p>
        </w:tc>
      </w:tr>
      <w:tr w:rsidR="002A24A7" w:rsidRPr="00930106" w14:paraId="386FD9DE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1F09BD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LDL-cholesterol</w:t>
            </w:r>
          </w:p>
        </w:tc>
        <w:tc>
          <w:tcPr>
            <w:tcW w:w="2610" w:type="dxa"/>
          </w:tcPr>
          <w:p w14:paraId="7DC58A4C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3.42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1.09</w:t>
            </w:r>
          </w:p>
        </w:tc>
        <w:tc>
          <w:tcPr>
            <w:tcW w:w="2610" w:type="dxa"/>
          </w:tcPr>
          <w:p w14:paraId="1E578284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3.43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0.87</w:t>
            </w:r>
          </w:p>
        </w:tc>
        <w:tc>
          <w:tcPr>
            <w:tcW w:w="1980" w:type="dxa"/>
          </w:tcPr>
          <w:p w14:paraId="1E36D401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0.98</w:t>
            </w:r>
          </w:p>
        </w:tc>
      </w:tr>
      <w:tr w:rsidR="002A24A7" w:rsidRPr="00930106" w14:paraId="25CC5F02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05F9A2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Glucose</w:t>
            </w:r>
          </w:p>
        </w:tc>
        <w:tc>
          <w:tcPr>
            <w:tcW w:w="2610" w:type="dxa"/>
          </w:tcPr>
          <w:p w14:paraId="1E46897B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5.95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0.91</w:t>
            </w:r>
          </w:p>
        </w:tc>
        <w:tc>
          <w:tcPr>
            <w:tcW w:w="2610" w:type="dxa"/>
          </w:tcPr>
          <w:p w14:paraId="1314EE0E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4.81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0.34</w:t>
            </w:r>
          </w:p>
        </w:tc>
        <w:tc>
          <w:tcPr>
            <w:tcW w:w="1980" w:type="dxa"/>
          </w:tcPr>
          <w:p w14:paraId="24FD55AC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0.001</w:t>
            </w:r>
          </w:p>
        </w:tc>
      </w:tr>
      <w:tr w:rsidR="002A24A7" w:rsidRPr="00930106" w14:paraId="7D1EEFC4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659A0F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Insulin</w:t>
            </w:r>
          </w:p>
        </w:tc>
        <w:tc>
          <w:tcPr>
            <w:tcW w:w="2610" w:type="dxa"/>
          </w:tcPr>
          <w:p w14:paraId="50D3EC1E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7.58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2.94</w:t>
            </w:r>
          </w:p>
        </w:tc>
        <w:tc>
          <w:tcPr>
            <w:tcW w:w="2610" w:type="dxa"/>
          </w:tcPr>
          <w:p w14:paraId="6D161D5A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11.69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8.68</w:t>
            </w:r>
          </w:p>
        </w:tc>
        <w:tc>
          <w:tcPr>
            <w:tcW w:w="1980" w:type="dxa"/>
          </w:tcPr>
          <w:p w14:paraId="0470F977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0.17</w:t>
            </w:r>
          </w:p>
        </w:tc>
      </w:tr>
      <w:tr w:rsidR="002A24A7" w:rsidRPr="00930106" w14:paraId="411724F9" w14:textId="77777777" w:rsidTr="00363C74">
        <w:trPr>
          <w:trHeight w:val="325"/>
        </w:trPr>
        <w:tc>
          <w:tcPr>
            <w:tcW w:w="28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E1327B" w14:textId="77777777" w:rsidR="002A24A7" w:rsidRPr="00930106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HOMA-IR</w:t>
            </w:r>
          </w:p>
        </w:tc>
        <w:tc>
          <w:tcPr>
            <w:tcW w:w="2610" w:type="dxa"/>
          </w:tcPr>
          <w:p w14:paraId="285A7153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1.03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0.41</w:t>
            </w:r>
          </w:p>
        </w:tc>
        <w:tc>
          <w:tcPr>
            <w:tcW w:w="2610" w:type="dxa"/>
          </w:tcPr>
          <w:p w14:paraId="30BA526C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1.48</w:t>
            </w:r>
            <w:r w:rsidRPr="00930106">
              <w:t xml:space="preserve"> </w:t>
            </w:r>
            <w:r w:rsidRPr="00930106">
              <w:rPr>
                <w:color w:val="0C0D0E"/>
                <w:shd w:val="clear" w:color="auto" w:fill="FFFFFF"/>
              </w:rPr>
              <w:t>±</w:t>
            </w:r>
            <w:r>
              <w:rPr>
                <w:color w:val="0C0D0E"/>
                <w:shd w:val="clear" w:color="auto" w:fill="FFFFFF"/>
              </w:rPr>
              <w:t xml:space="preserve"> 1.07</w:t>
            </w:r>
          </w:p>
        </w:tc>
        <w:tc>
          <w:tcPr>
            <w:tcW w:w="1980" w:type="dxa"/>
          </w:tcPr>
          <w:p w14:paraId="76F8C7D5" w14:textId="77777777" w:rsidR="002A24A7" w:rsidRDefault="002A24A7" w:rsidP="00363C74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0.23</w:t>
            </w:r>
          </w:p>
        </w:tc>
      </w:tr>
    </w:tbl>
    <w:p w14:paraId="26959F08" w14:textId="33C06106" w:rsidR="002A24A7" w:rsidRDefault="002A24A7" w:rsidP="002A645B">
      <w:pPr>
        <w:suppressLineNumbers/>
        <w:spacing w:line="480" w:lineRule="auto"/>
      </w:pPr>
      <w:r w:rsidRPr="00BA1CD5">
        <w:rPr>
          <w:vertAlign w:val="superscript"/>
        </w:rPr>
        <w:t>1</w:t>
      </w:r>
      <w:r w:rsidRPr="00930106">
        <w:t>Data are mean</w:t>
      </w:r>
      <w:r>
        <w:t xml:space="preserve"> </w:t>
      </w:r>
      <w:r>
        <w:rPr>
          <w:u w:val="single"/>
        </w:rPr>
        <w:t>+</w:t>
      </w:r>
      <w:r w:rsidRPr="00FB7741">
        <w:t xml:space="preserve"> standard deviation </w:t>
      </w:r>
      <w:r>
        <w:t xml:space="preserve">(n = 21). </w:t>
      </w:r>
      <w:r w:rsidRPr="00BA1CD5">
        <w:rPr>
          <w:vertAlign w:val="superscript"/>
        </w:rPr>
        <w:t>2</w:t>
      </w:r>
      <w:r>
        <w:t>P-values were calculated using an unpaired t-test.</w:t>
      </w:r>
    </w:p>
    <w:p w14:paraId="715EE395" w14:textId="7E401F02" w:rsidR="007705C5" w:rsidRPr="002A24A7" w:rsidRDefault="00576855" w:rsidP="002A645B">
      <w:pPr>
        <w:suppressLineNumbers/>
        <w:spacing w:line="480" w:lineRule="auto"/>
        <w:rPr>
          <w:b/>
          <w:bCs/>
          <w:color w:val="000000" w:themeColor="text1"/>
        </w:rPr>
      </w:pPr>
      <w:r w:rsidRPr="00FB0E25">
        <w:t>DHA, Docosahexaenoic acid; EPA, Eicosapentaenoic acid</w:t>
      </w:r>
      <w:r>
        <w:t xml:space="preserve">; </w:t>
      </w:r>
      <w:r w:rsidR="007705C5">
        <w:t xml:space="preserve">HDL, High density lipoprotein; LDL, </w:t>
      </w:r>
      <w:r>
        <w:t xml:space="preserve">HOMA-IR, </w:t>
      </w:r>
      <w:r w:rsidR="00741842" w:rsidRPr="00741842">
        <w:t xml:space="preserve">Homeostatic </w:t>
      </w:r>
      <w:r w:rsidR="00741842">
        <w:t>m</w:t>
      </w:r>
      <w:r w:rsidR="00741842" w:rsidRPr="00741842">
        <w:t xml:space="preserve">odel </w:t>
      </w:r>
      <w:r w:rsidR="00741842">
        <w:t>a</w:t>
      </w:r>
      <w:r w:rsidR="00741842" w:rsidRPr="00741842">
        <w:t xml:space="preserve">ssessment for </w:t>
      </w:r>
      <w:r w:rsidR="00741842">
        <w:t>i</w:t>
      </w:r>
      <w:r w:rsidR="00741842" w:rsidRPr="00741842">
        <w:t xml:space="preserve">nsulin </w:t>
      </w:r>
      <w:r w:rsidR="00741842">
        <w:t>r</w:t>
      </w:r>
      <w:r w:rsidR="00741842" w:rsidRPr="00741842">
        <w:t>esistance</w:t>
      </w:r>
      <w:r w:rsidR="00741842">
        <w:t xml:space="preserve">; </w:t>
      </w:r>
      <w:r w:rsidR="007705C5">
        <w:t xml:space="preserve">Low density lipoprotein. </w:t>
      </w:r>
    </w:p>
    <w:p w14:paraId="58774ECB" w14:textId="4F860B2A" w:rsidR="00830950" w:rsidRPr="000B7B08" w:rsidRDefault="00830950" w:rsidP="009B013B">
      <w:pPr>
        <w:pStyle w:val="Bibliography"/>
        <w:suppressLineNumbers/>
        <w:rPr>
          <w:color w:val="212121"/>
          <w:shd w:val="clear" w:color="auto" w:fill="FFFFFF"/>
        </w:rPr>
      </w:pPr>
    </w:p>
    <w:sectPr w:rsidR="00830950" w:rsidRPr="000B7B08" w:rsidSect="009301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4C1D" w14:textId="77777777" w:rsidR="00800EE5" w:rsidRDefault="00800EE5" w:rsidP="00930106">
      <w:r>
        <w:separator/>
      </w:r>
    </w:p>
  </w:endnote>
  <w:endnote w:type="continuationSeparator" w:id="0">
    <w:p w14:paraId="43F6608B" w14:textId="77777777" w:rsidR="00800EE5" w:rsidRDefault="00800EE5" w:rsidP="0093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79530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EB4E0B" w14:textId="46262C81" w:rsidR="00930106" w:rsidRDefault="00930106" w:rsidP="00AB1F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FBEE21" w14:textId="77777777" w:rsidR="00930106" w:rsidRDefault="00930106" w:rsidP="009301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0C59" w14:textId="77777777" w:rsidR="00930106" w:rsidRDefault="00930106" w:rsidP="009301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58BE" w14:textId="77777777" w:rsidR="00800EE5" w:rsidRDefault="00800EE5" w:rsidP="00930106">
      <w:r>
        <w:separator/>
      </w:r>
    </w:p>
  </w:footnote>
  <w:footnote w:type="continuationSeparator" w:id="0">
    <w:p w14:paraId="008244F9" w14:textId="77777777" w:rsidR="00800EE5" w:rsidRDefault="00800EE5" w:rsidP="0093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264845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BD306A8" w14:textId="7DAC41E7" w:rsidR="00EA427E" w:rsidRDefault="00EA427E" w:rsidP="00AB1F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E3E4F2" w14:textId="77777777" w:rsidR="00EA427E" w:rsidRDefault="00EA427E" w:rsidP="00EA427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79646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5BA56FE" w14:textId="7D0BD394" w:rsidR="00EA427E" w:rsidRDefault="00EA427E" w:rsidP="00AB1F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22</w:t>
        </w:r>
        <w:r>
          <w:rPr>
            <w:rStyle w:val="PageNumber"/>
          </w:rPr>
          <w:fldChar w:fldCharType="end"/>
        </w:r>
      </w:p>
    </w:sdtContent>
  </w:sdt>
  <w:p w14:paraId="7F024913" w14:textId="77777777" w:rsidR="00EA427E" w:rsidRDefault="00EA427E" w:rsidP="00EA42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F0C"/>
    <w:multiLevelType w:val="hybridMultilevel"/>
    <w:tmpl w:val="F1828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B1AC7"/>
    <w:multiLevelType w:val="hybridMultilevel"/>
    <w:tmpl w:val="14324684"/>
    <w:lvl w:ilvl="0" w:tplc="C8C846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8C09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DECF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2C009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D00B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836B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57C2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0E2CA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125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5CCD726D"/>
    <w:multiLevelType w:val="hybridMultilevel"/>
    <w:tmpl w:val="7E260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D6148"/>
    <w:multiLevelType w:val="hybridMultilevel"/>
    <w:tmpl w:val="87649950"/>
    <w:lvl w:ilvl="0" w:tplc="1BA26C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D5007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062CD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7349C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3007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194B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95C31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C62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22A3D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7B455CCD"/>
    <w:multiLevelType w:val="hybridMultilevel"/>
    <w:tmpl w:val="CAACB910"/>
    <w:lvl w:ilvl="0" w:tplc="2C6C95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62C8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42C4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D049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4DA63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86EE4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00D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8A091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F644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7DC54E68"/>
    <w:multiLevelType w:val="hybridMultilevel"/>
    <w:tmpl w:val="5A1C57C6"/>
    <w:lvl w:ilvl="0" w:tplc="D312F0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17770">
    <w:abstractNumId w:val="2"/>
  </w:num>
  <w:num w:numId="2" w16cid:durableId="320619149">
    <w:abstractNumId w:val="5"/>
  </w:num>
  <w:num w:numId="3" w16cid:durableId="869803393">
    <w:abstractNumId w:val="1"/>
  </w:num>
  <w:num w:numId="4" w16cid:durableId="1454472459">
    <w:abstractNumId w:val="4"/>
  </w:num>
  <w:num w:numId="5" w16cid:durableId="1454787709">
    <w:abstractNumId w:val="3"/>
  </w:num>
  <w:num w:numId="6" w16cid:durableId="5527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8A"/>
    <w:rsid w:val="000000F5"/>
    <w:rsid w:val="00000D47"/>
    <w:rsid w:val="000017DB"/>
    <w:rsid w:val="000039AF"/>
    <w:rsid w:val="00005E80"/>
    <w:rsid w:val="000061A6"/>
    <w:rsid w:val="0000694F"/>
    <w:rsid w:val="00006AA1"/>
    <w:rsid w:val="00012092"/>
    <w:rsid w:val="0001584C"/>
    <w:rsid w:val="000167EA"/>
    <w:rsid w:val="00020EA5"/>
    <w:rsid w:val="000274AE"/>
    <w:rsid w:val="00032831"/>
    <w:rsid w:val="000367E1"/>
    <w:rsid w:val="00043083"/>
    <w:rsid w:val="00043492"/>
    <w:rsid w:val="00043630"/>
    <w:rsid w:val="00044235"/>
    <w:rsid w:val="0004542C"/>
    <w:rsid w:val="00045C68"/>
    <w:rsid w:val="0004684A"/>
    <w:rsid w:val="00050418"/>
    <w:rsid w:val="000515EC"/>
    <w:rsid w:val="00054E97"/>
    <w:rsid w:val="000559FE"/>
    <w:rsid w:val="00056245"/>
    <w:rsid w:val="00057872"/>
    <w:rsid w:val="00061309"/>
    <w:rsid w:val="000636D2"/>
    <w:rsid w:val="000669C1"/>
    <w:rsid w:val="00073F5B"/>
    <w:rsid w:val="00076A05"/>
    <w:rsid w:val="00077A09"/>
    <w:rsid w:val="00080D89"/>
    <w:rsid w:val="000813CB"/>
    <w:rsid w:val="00081991"/>
    <w:rsid w:val="00082714"/>
    <w:rsid w:val="00086701"/>
    <w:rsid w:val="00094B16"/>
    <w:rsid w:val="00097977"/>
    <w:rsid w:val="00097C93"/>
    <w:rsid w:val="000A04E0"/>
    <w:rsid w:val="000A2A97"/>
    <w:rsid w:val="000A47FC"/>
    <w:rsid w:val="000A4FE7"/>
    <w:rsid w:val="000A791F"/>
    <w:rsid w:val="000A7C77"/>
    <w:rsid w:val="000B0151"/>
    <w:rsid w:val="000B0733"/>
    <w:rsid w:val="000B1B0E"/>
    <w:rsid w:val="000B302A"/>
    <w:rsid w:val="000B3A2B"/>
    <w:rsid w:val="000B3E20"/>
    <w:rsid w:val="000B7B08"/>
    <w:rsid w:val="000C0751"/>
    <w:rsid w:val="000C21EA"/>
    <w:rsid w:val="000C2F3F"/>
    <w:rsid w:val="000C30F7"/>
    <w:rsid w:val="000C38D8"/>
    <w:rsid w:val="000C3AE7"/>
    <w:rsid w:val="000C48FE"/>
    <w:rsid w:val="000C586E"/>
    <w:rsid w:val="000D06A3"/>
    <w:rsid w:val="000D08B0"/>
    <w:rsid w:val="000D1086"/>
    <w:rsid w:val="000D4CF8"/>
    <w:rsid w:val="000E1D2A"/>
    <w:rsid w:val="000E46B2"/>
    <w:rsid w:val="000E55F2"/>
    <w:rsid w:val="000E5A1F"/>
    <w:rsid w:val="000E5DCB"/>
    <w:rsid w:val="000E7672"/>
    <w:rsid w:val="000F01CE"/>
    <w:rsid w:val="000F0288"/>
    <w:rsid w:val="000F2EFC"/>
    <w:rsid w:val="000F33E0"/>
    <w:rsid w:val="000F7702"/>
    <w:rsid w:val="000F7F3F"/>
    <w:rsid w:val="001006BB"/>
    <w:rsid w:val="00100DA0"/>
    <w:rsid w:val="00101679"/>
    <w:rsid w:val="00103080"/>
    <w:rsid w:val="00103689"/>
    <w:rsid w:val="00103F6A"/>
    <w:rsid w:val="001053FD"/>
    <w:rsid w:val="00111764"/>
    <w:rsid w:val="00112ECC"/>
    <w:rsid w:val="00113CC9"/>
    <w:rsid w:val="001143C5"/>
    <w:rsid w:val="001148B6"/>
    <w:rsid w:val="00114A3C"/>
    <w:rsid w:val="00115DF5"/>
    <w:rsid w:val="00117A95"/>
    <w:rsid w:val="00120340"/>
    <w:rsid w:val="00121765"/>
    <w:rsid w:val="001217EB"/>
    <w:rsid w:val="001221ED"/>
    <w:rsid w:val="00124543"/>
    <w:rsid w:val="00126917"/>
    <w:rsid w:val="00126CFE"/>
    <w:rsid w:val="001333AB"/>
    <w:rsid w:val="001347ED"/>
    <w:rsid w:val="00134AA0"/>
    <w:rsid w:val="00135B53"/>
    <w:rsid w:val="00143293"/>
    <w:rsid w:val="00144EEF"/>
    <w:rsid w:val="00146B4E"/>
    <w:rsid w:val="00146E6C"/>
    <w:rsid w:val="0015187C"/>
    <w:rsid w:val="00151AD6"/>
    <w:rsid w:val="001524A2"/>
    <w:rsid w:val="001530E0"/>
    <w:rsid w:val="00155351"/>
    <w:rsid w:val="001561FF"/>
    <w:rsid w:val="0015750A"/>
    <w:rsid w:val="00157A13"/>
    <w:rsid w:val="00160460"/>
    <w:rsid w:val="0016079D"/>
    <w:rsid w:val="00162448"/>
    <w:rsid w:val="00165CA8"/>
    <w:rsid w:val="00165E02"/>
    <w:rsid w:val="0016656D"/>
    <w:rsid w:val="001667A6"/>
    <w:rsid w:val="001706AE"/>
    <w:rsid w:val="001710EC"/>
    <w:rsid w:val="00172211"/>
    <w:rsid w:val="001731A0"/>
    <w:rsid w:val="00175B96"/>
    <w:rsid w:val="00180A84"/>
    <w:rsid w:val="00180C76"/>
    <w:rsid w:val="001845DA"/>
    <w:rsid w:val="001864F9"/>
    <w:rsid w:val="00186535"/>
    <w:rsid w:val="00191BF8"/>
    <w:rsid w:val="00192B59"/>
    <w:rsid w:val="001935C8"/>
    <w:rsid w:val="001959A8"/>
    <w:rsid w:val="001A0575"/>
    <w:rsid w:val="001A145F"/>
    <w:rsid w:val="001A226F"/>
    <w:rsid w:val="001A5C77"/>
    <w:rsid w:val="001A6EB1"/>
    <w:rsid w:val="001A73A5"/>
    <w:rsid w:val="001B018B"/>
    <w:rsid w:val="001B29F8"/>
    <w:rsid w:val="001B3AF8"/>
    <w:rsid w:val="001B3D41"/>
    <w:rsid w:val="001B5310"/>
    <w:rsid w:val="001B676B"/>
    <w:rsid w:val="001B6CB8"/>
    <w:rsid w:val="001B6EFF"/>
    <w:rsid w:val="001B746A"/>
    <w:rsid w:val="001B7651"/>
    <w:rsid w:val="001C1E9D"/>
    <w:rsid w:val="001C269C"/>
    <w:rsid w:val="001C273B"/>
    <w:rsid w:val="001C53DD"/>
    <w:rsid w:val="001C581B"/>
    <w:rsid w:val="001C6024"/>
    <w:rsid w:val="001C6439"/>
    <w:rsid w:val="001C6811"/>
    <w:rsid w:val="001D0B6D"/>
    <w:rsid w:val="001D2F81"/>
    <w:rsid w:val="001D36E1"/>
    <w:rsid w:val="001D394B"/>
    <w:rsid w:val="001D4BC0"/>
    <w:rsid w:val="001E0C54"/>
    <w:rsid w:val="001E0E44"/>
    <w:rsid w:val="001E1180"/>
    <w:rsid w:val="001E2994"/>
    <w:rsid w:val="001F0F20"/>
    <w:rsid w:val="001F12D4"/>
    <w:rsid w:val="001F265F"/>
    <w:rsid w:val="001F36CA"/>
    <w:rsid w:val="001F4915"/>
    <w:rsid w:val="002026D2"/>
    <w:rsid w:val="002048E9"/>
    <w:rsid w:val="00204B9C"/>
    <w:rsid w:val="002057B8"/>
    <w:rsid w:val="00205CD5"/>
    <w:rsid w:val="00205D5B"/>
    <w:rsid w:val="00206F0D"/>
    <w:rsid w:val="002077A2"/>
    <w:rsid w:val="00210895"/>
    <w:rsid w:val="00212144"/>
    <w:rsid w:val="002147ED"/>
    <w:rsid w:val="002162B3"/>
    <w:rsid w:val="00216E9E"/>
    <w:rsid w:val="00216EF0"/>
    <w:rsid w:val="00220D5D"/>
    <w:rsid w:val="002210B0"/>
    <w:rsid w:val="00221B74"/>
    <w:rsid w:val="002224A7"/>
    <w:rsid w:val="002238C4"/>
    <w:rsid w:val="00227E4C"/>
    <w:rsid w:val="0023200B"/>
    <w:rsid w:val="002320D4"/>
    <w:rsid w:val="00233C5E"/>
    <w:rsid w:val="00236804"/>
    <w:rsid w:val="0024067C"/>
    <w:rsid w:val="0024326B"/>
    <w:rsid w:val="002435FD"/>
    <w:rsid w:val="002448C7"/>
    <w:rsid w:val="002458DB"/>
    <w:rsid w:val="00250F56"/>
    <w:rsid w:val="002527E6"/>
    <w:rsid w:val="00252EEC"/>
    <w:rsid w:val="002543FE"/>
    <w:rsid w:val="0025477E"/>
    <w:rsid w:val="002555DC"/>
    <w:rsid w:val="0025580E"/>
    <w:rsid w:val="002558C7"/>
    <w:rsid w:val="00257D06"/>
    <w:rsid w:val="002603F4"/>
    <w:rsid w:val="0026174D"/>
    <w:rsid w:val="0026211B"/>
    <w:rsid w:val="00264728"/>
    <w:rsid w:val="00265033"/>
    <w:rsid w:val="00267DE8"/>
    <w:rsid w:val="0027182D"/>
    <w:rsid w:val="00272A43"/>
    <w:rsid w:val="00273C12"/>
    <w:rsid w:val="002754C2"/>
    <w:rsid w:val="00275CEC"/>
    <w:rsid w:val="00276444"/>
    <w:rsid w:val="00276B85"/>
    <w:rsid w:val="002776C4"/>
    <w:rsid w:val="00285AA6"/>
    <w:rsid w:val="00287014"/>
    <w:rsid w:val="002877C6"/>
    <w:rsid w:val="00292566"/>
    <w:rsid w:val="00292762"/>
    <w:rsid w:val="0029637F"/>
    <w:rsid w:val="002A024D"/>
    <w:rsid w:val="002A0558"/>
    <w:rsid w:val="002A2273"/>
    <w:rsid w:val="002A2322"/>
    <w:rsid w:val="002A24A7"/>
    <w:rsid w:val="002A2F52"/>
    <w:rsid w:val="002A3942"/>
    <w:rsid w:val="002A60A8"/>
    <w:rsid w:val="002A645B"/>
    <w:rsid w:val="002B245A"/>
    <w:rsid w:val="002B5423"/>
    <w:rsid w:val="002B6405"/>
    <w:rsid w:val="002B684C"/>
    <w:rsid w:val="002B69F0"/>
    <w:rsid w:val="002B7815"/>
    <w:rsid w:val="002C0A99"/>
    <w:rsid w:val="002C0E70"/>
    <w:rsid w:val="002C3604"/>
    <w:rsid w:val="002C36F4"/>
    <w:rsid w:val="002C4B3E"/>
    <w:rsid w:val="002C548D"/>
    <w:rsid w:val="002C65F7"/>
    <w:rsid w:val="002D0380"/>
    <w:rsid w:val="002D2CDB"/>
    <w:rsid w:val="002D70F2"/>
    <w:rsid w:val="002E1D31"/>
    <w:rsid w:val="002E2406"/>
    <w:rsid w:val="002E33C6"/>
    <w:rsid w:val="002E3835"/>
    <w:rsid w:val="002E4C19"/>
    <w:rsid w:val="002F0922"/>
    <w:rsid w:val="002F0D5D"/>
    <w:rsid w:val="002F0F9E"/>
    <w:rsid w:val="002F365D"/>
    <w:rsid w:val="002F36CB"/>
    <w:rsid w:val="002F424D"/>
    <w:rsid w:val="002F45B5"/>
    <w:rsid w:val="002F5FE3"/>
    <w:rsid w:val="002F7173"/>
    <w:rsid w:val="00302110"/>
    <w:rsid w:val="003064EE"/>
    <w:rsid w:val="00307DA2"/>
    <w:rsid w:val="00311926"/>
    <w:rsid w:val="00311DA4"/>
    <w:rsid w:val="003158C4"/>
    <w:rsid w:val="00315A18"/>
    <w:rsid w:val="00315AF5"/>
    <w:rsid w:val="00316820"/>
    <w:rsid w:val="00316AD1"/>
    <w:rsid w:val="00317464"/>
    <w:rsid w:val="00321126"/>
    <w:rsid w:val="00321B64"/>
    <w:rsid w:val="00326189"/>
    <w:rsid w:val="00330B31"/>
    <w:rsid w:val="00332B9D"/>
    <w:rsid w:val="00332CD5"/>
    <w:rsid w:val="00333633"/>
    <w:rsid w:val="003344E1"/>
    <w:rsid w:val="00334657"/>
    <w:rsid w:val="00335FCC"/>
    <w:rsid w:val="00340CB9"/>
    <w:rsid w:val="003470F1"/>
    <w:rsid w:val="003475AB"/>
    <w:rsid w:val="00347D25"/>
    <w:rsid w:val="00353A32"/>
    <w:rsid w:val="003564C7"/>
    <w:rsid w:val="003565A0"/>
    <w:rsid w:val="00356953"/>
    <w:rsid w:val="003578CB"/>
    <w:rsid w:val="00361A02"/>
    <w:rsid w:val="00364217"/>
    <w:rsid w:val="003646ED"/>
    <w:rsid w:val="0036629A"/>
    <w:rsid w:val="0036725C"/>
    <w:rsid w:val="00370218"/>
    <w:rsid w:val="00370780"/>
    <w:rsid w:val="003709EE"/>
    <w:rsid w:val="00371463"/>
    <w:rsid w:val="00383431"/>
    <w:rsid w:val="00385DA8"/>
    <w:rsid w:val="00385E4D"/>
    <w:rsid w:val="00390968"/>
    <w:rsid w:val="0039106D"/>
    <w:rsid w:val="003925E2"/>
    <w:rsid w:val="00393AF0"/>
    <w:rsid w:val="00394C2D"/>
    <w:rsid w:val="003953AE"/>
    <w:rsid w:val="00395946"/>
    <w:rsid w:val="00395DAD"/>
    <w:rsid w:val="00396378"/>
    <w:rsid w:val="003A0EE1"/>
    <w:rsid w:val="003A1639"/>
    <w:rsid w:val="003A2007"/>
    <w:rsid w:val="003B0468"/>
    <w:rsid w:val="003C06B2"/>
    <w:rsid w:val="003C325F"/>
    <w:rsid w:val="003C3F35"/>
    <w:rsid w:val="003C4A0D"/>
    <w:rsid w:val="003C5FC9"/>
    <w:rsid w:val="003C7ED3"/>
    <w:rsid w:val="003D1998"/>
    <w:rsid w:val="003D3FC1"/>
    <w:rsid w:val="003D4453"/>
    <w:rsid w:val="003D727D"/>
    <w:rsid w:val="003D74D2"/>
    <w:rsid w:val="003D7595"/>
    <w:rsid w:val="003E0DB8"/>
    <w:rsid w:val="003E1C21"/>
    <w:rsid w:val="003E2533"/>
    <w:rsid w:val="003E5CCB"/>
    <w:rsid w:val="003E5FBC"/>
    <w:rsid w:val="003E7742"/>
    <w:rsid w:val="003F0020"/>
    <w:rsid w:val="003F167F"/>
    <w:rsid w:val="003F1B7A"/>
    <w:rsid w:val="003F2B52"/>
    <w:rsid w:val="003F63AD"/>
    <w:rsid w:val="003F67D7"/>
    <w:rsid w:val="003F77D6"/>
    <w:rsid w:val="00400B16"/>
    <w:rsid w:val="00402B48"/>
    <w:rsid w:val="00403605"/>
    <w:rsid w:val="00406698"/>
    <w:rsid w:val="00406DD0"/>
    <w:rsid w:val="004073B0"/>
    <w:rsid w:val="00411165"/>
    <w:rsid w:val="00412D39"/>
    <w:rsid w:val="00413BA6"/>
    <w:rsid w:val="00414793"/>
    <w:rsid w:val="004169A8"/>
    <w:rsid w:val="00416EE3"/>
    <w:rsid w:val="00417AA6"/>
    <w:rsid w:val="004205EC"/>
    <w:rsid w:val="00420F21"/>
    <w:rsid w:val="00423AE3"/>
    <w:rsid w:val="00423DC6"/>
    <w:rsid w:val="004242B7"/>
    <w:rsid w:val="004264DE"/>
    <w:rsid w:val="00437078"/>
    <w:rsid w:val="00437098"/>
    <w:rsid w:val="004423D4"/>
    <w:rsid w:val="00442C35"/>
    <w:rsid w:val="00443C42"/>
    <w:rsid w:val="00446778"/>
    <w:rsid w:val="0044727D"/>
    <w:rsid w:val="00447932"/>
    <w:rsid w:val="004547F8"/>
    <w:rsid w:val="004566F5"/>
    <w:rsid w:val="004579D5"/>
    <w:rsid w:val="0046340E"/>
    <w:rsid w:val="00463758"/>
    <w:rsid w:val="00465958"/>
    <w:rsid w:val="004661C9"/>
    <w:rsid w:val="00467A65"/>
    <w:rsid w:val="0047183F"/>
    <w:rsid w:val="00472D89"/>
    <w:rsid w:val="00474589"/>
    <w:rsid w:val="004749F5"/>
    <w:rsid w:val="004750AC"/>
    <w:rsid w:val="00475E9D"/>
    <w:rsid w:val="00476ECA"/>
    <w:rsid w:val="00477299"/>
    <w:rsid w:val="00481B5B"/>
    <w:rsid w:val="00483D03"/>
    <w:rsid w:val="00487225"/>
    <w:rsid w:val="00492F19"/>
    <w:rsid w:val="0049333C"/>
    <w:rsid w:val="00493DBB"/>
    <w:rsid w:val="00494474"/>
    <w:rsid w:val="00494A07"/>
    <w:rsid w:val="00495450"/>
    <w:rsid w:val="00497946"/>
    <w:rsid w:val="004979C3"/>
    <w:rsid w:val="004A5F73"/>
    <w:rsid w:val="004A735A"/>
    <w:rsid w:val="004B2582"/>
    <w:rsid w:val="004B2E05"/>
    <w:rsid w:val="004B5EA6"/>
    <w:rsid w:val="004B73E9"/>
    <w:rsid w:val="004C0E86"/>
    <w:rsid w:val="004C32DB"/>
    <w:rsid w:val="004C497A"/>
    <w:rsid w:val="004C533A"/>
    <w:rsid w:val="004C6402"/>
    <w:rsid w:val="004C70AF"/>
    <w:rsid w:val="004D0E29"/>
    <w:rsid w:val="004D12D5"/>
    <w:rsid w:val="004D1D25"/>
    <w:rsid w:val="004D3A76"/>
    <w:rsid w:val="004E1821"/>
    <w:rsid w:val="004E1D51"/>
    <w:rsid w:val="004E6562"/>
    <w:rsid w:val="004F0FE5"/>
    <w:rsid w:val="004F148D"/>
    <w:rsid w:val="004F35FF"/>
    <w:rsid w:val="004F3F0F"/>
    <w:rsid w:val="004F5E93"/>
    <w:rsid w:val="00503EA5"/>
    <w:rsid w:val="005040B9"/>
    <w:rsid w:val="0050586B"/>
    <w:rsid w:val="00505980"/>
    <w:rsid w:val="0051127E"/>
    <w:rsid w:val="00511BD7"/>
    <w:rsid w:val="00511D8E"/>
    <w:rsid w:val="0051298C"/>
    <w:rsid w:val="005175FF"/>
    <w:rsid w:val="00521404"/>
    <w:rsid w:val="00521FE4"/>
    <w:rsid w:val="005233DE"/>
    <w:rsid w:val="00524D57"/>
    <w:rsid w:val="00525C49"/>
    <w:rsid w:val="0052625E"/>
    <w:rsid w:val="00526C7B"/>
    <w:rsid w:val="0053147D"/>
    <w:rsid w:val="0053149E"/>
    <w:rsid w:val="00535518"/>
    <w:rsid w:val="00535A96"/>
    <w:rsid w:val="00536182"/>
    <w:rsid w:val="005362E3"/>
    <w:rsid w:val="0053786B"/>
    <w:rsid w:val="0054177B"/>
    <w:rsid w:val="005448BC"/>
    <w:rsid w:val="0054648A"/>
    <w:rsid w:val="00546D0D"/>
    <w:rsid w:val="0055265E"/>
    <w:rsid w:val="00552701"/>
    <w:rsid w:val="00556DA5"/>
    <w:rsid w:val="0056357A"/>
    <w:rsid w:val="0056498E"/>
    <w:rsid w:val="00565848"/>
    <w:rsid w:val="00566689"/>
    <w:rsid w:val="00567A8B"/>
    <w:rsid w:val="0057144C"/>
    <w:rsid w:val="005716E9"/>
    <w:rsid w:val="00574D27"/>
    <w:rsid w:val="00576855"/>
    <w:rsid w:val="00576D4A"/>
    <w:rsid w:val="00580E54"/>
    <w:rsid w:val="0058193E"/>
    <w:rsid w:val="00581950"/>
    <w:rsid w:val="005827C5"/>
    <w:rsid w:val="005860EB"/>
    <w:rsid w:val="00586BA2"/>
    <w:rsid w:val="00587733"/>
    <w:rsid w:val="00594F8A"/>
    <w:rsid w:val="00595322"/>
    <w:rsid w:val="00595888"/>
    <w:rsid w:val="0059590A"/>
    <w:rsid w:val="0059699B"/>
    <w:rsid w:val="00596DD5"/>
    <w:rsid w:val="005978BA"/>
    <w:rsid w:val="005A2324"/>
    <w:rsid w:val="005A34C8"/>
    <w:rsid w:val="005A54C9"/>
    <w:rsid w:val="005A7B0C"/>
    <w:rsid w:val="005B0AF8"/>
    <w:rsid w:val="005B195A"/>
    <w:rsid w:val="005B1C28"/>
    <w:rsid w:val="005B5D50"/>
    <w:rsid w:val="005B7C83"/>
    <w:rsid w:val="005C0C51"/>
    <w:rsid w:val="005C0F85"/>
    <w:rsid w:val="005C1317"/>
    <w:rsid w:val="005C27A0"/>
    <w:rsid w:val="005C512C"/>
    <w:rsid w:val="005C5427"/>
    <w:rsid w:val="005C7C37"/>
    <w:rsid w:val="005C7EF6"/>
    <w:rsid w:val="005D0CF9"/>
    <w:rsid w:val="005D2506"/>
    <w:rsid w:val="005D312D"/>
    <w:rsid w:val="005D35D9"/>
    <w:rsid w:val="005E0610"/>
    <w:rsid w:val="005E1D4F"/>
    <w:rsid w:val="005E275A"/>
    <w:rsid w:val="005E299E"/>
    <w:rsid w:val="005E6A69"/>
    <w:rsid w:val="005E6D0C"/>
    <w:rsid w:val="005E7528"/>
    <w:rsid w:val="005F1889"/>
    <w:rsid w:val="005F1FC3"/>
    <w:rsid w:val="005F2F25"/>
    <w:rsid w:val="005F3111"/>
    <w:rsid w:val="005F34E2"/>
    <w:rsid w:val="005F5C9E"/>
    <w:rsid w:val="005F6853"/>
    <w:rsid w:val="00600012"/>
    <w:rsid w:val="006008C6"/>
    <w:rsid w:val="006012D7"/>
    <w:rsid w:val="006034E8"/>
    <w:rsid w:val="00603C3D"/>
    <w:rsid w:val="006048E2"/>
    <w:rsid w:val="00605DDB"/>
    <w:rsid w:val="00610395"/>
    <w:rsid w:val="00611A03"/>
    <w:rsid w:val="00613119"/>
    <w:rsid w:val="006148FE"/>
    <w:rsid w:val="006156D4"/>
    <w:rsid w:val="00616DA3"/>
    <w:rsid w:val="00617F4D"/>
    <w:rsid w:val="006216BD"/>
    <w:rsid w:val="006238E0"/>
    <w:rsid w:val="00624CF0"/>
    <w:rsid w:val="00630816"/>
    <w:rsid w:val="00635454"/>
    <w:rsid w:val="0063547F"/>
    <w:rsid w:val="00635F66"/>
    <w:rsid w:val="00641B16"/>
    <w:rsid w:val="00643A22"/>
    <w:rsid w:val="00643AB2"/>
    <w:rsid w:val="006456DD"/>
    <w:rsid w:val="00647426"/>
    <w:rsid w:val="0065380F"/>
    <w:rsid w:val="006549F6"/>
    <w:rsid w:val="00656E7D"/>
    <w:rsid w:val="00657891"/>
    <w:rsid w:val="00660427"/>
    <w:rsid w:val="00661902"/>
    <w:rsid w:val="00662501"/>
    <w:rsid w:val="0066335D"/>
    <w:rsid w:val="00663D4A"/>
    <w:rsid w:val="00663F70"/>
    <w:rsid w:val="0066545D"/>
    <w:rsid w:val="00666263"/>
    <w:rsid w:val="006676AC"/>
    <w:rsid w:val="00667C34"/>
    <w:rsid w:val="006717EC"/>
    <w:rsid w:val="00671F5F"/>
    <w:rsid w:val="006771F8"/>
    <w:rsid w:val="0068132A"/>
    <w:rsid w:val="00685029"/>
    <w:rsid w:val="00686476"/>
    <w:rsid w:val="00687297"/>
    <w:rsid w:val="006905BD"/>
    <w:rsid w:val="00691BE9"/>
    <w:rsid w:val="00693321"/>
    <w:rsid w:val="006962ED"/>
    <w:rsid w:val="00696D9A"/>
    <w:rsid w:val="00697289"/>
    <w:rsid w:val="00697F4D"/>
    <w:rsid w:val="006A08DE"/>
    <w:rsid w:val="006A1D6C"/>
    <w:rsid w:val="006A2677"/>
    <w:rsid w:val="006A2D4B"/>
    <w:rsid w:val="006A3126"/>
    <w:rsid w:val="006A6F6E"/>
    <w:rsid w:val="006B041D"/>
    <w:rsid w:val="006B3080"/>
    <w:rsid w:val="006B3219"/>
    <w:rsid w:val="006B3CFF"/>
    <w:rsid w:val="006B5E74"/>
    <w:rsid w:val="006C05DF"/>
    <w:rsid w:val="006C09D9"/>
    <w:rsid w:val="006C122D"/>
    <w:rsid w:val="006C1C32"/>
    <w:rsid w:val="006C1E1A"/>
    <w:rsid w:val="006C357C"/>
    <w:rsid w:val="006C6F98"/>
    <w:rsid w:val="006C711F"/>
    <w:rsid w:val="006D23C2"/>
    <w:rsid w:val="006D63F2"/>
    <w:rsid w:val="006E0C6D"/>
    <w:rsid w:val="006E4AD4"/>
    <w:rsid w:val="006E50A3"/>
    <w:rsid w:val="006E5433"/>
    <w:rsid w:val="006E7B65"/>
    <w:rsid w:val="006F25C7"/>
    <w:rsid w:val="006F2664"/>
    <w:rsid w:val="006F35FD"/>
    <w:rsid w:val="007042F4"/>
    <w:rsid w:val="00704563"/>
    <w:rsid w:val="00705AD2"/>
    <w:rsid w:val="00713D73"/>
    <w:rsid w:val="00716F82"/>
    <w:rsid w:val="00720814"/>
    <w:rsid w:val="0072222C"/>
    <w:rsid w:val="007236F1"/>
    <w:rsid w:val="00726886"/>
    <w:rsid w:val="00730427"/>
    <w:rsid w:val="0073218F"/>
    <w:rsid w:val="00736890"/>
    <w:rsid w:val="0073771F"/>
    <w:rsid w:val="007400DA"/>
    <w:rsid w:val="007407D3"/>
    <w:rsid w:val="00740D76"/>
    <w:rsid w:val="00740FDF"/>
    <w:rsid w:val="00741842"/>
    <w:rsid w:val="00741E58"/>
    <w:rsid w:val="00741FF9"/>
    <w:rsid w:val="00743CE2"/>
    <w:rsid w:val="00745483"/>
    <w:rsid w:val="00745710"/>
    <w:rsid w:val="007468B4"/>
    <w:rsid w:val="0074692F"/>
    <w:rsid w:val="007501A0"/>
    <w:rsid w:val="00751D58"/>
    <w:rsid w:val="00753992"/>
    <w:rsid w:val="00753F0F"/>
    <w:rsid w:val="007544C1"/>
    <w:rsid w:val="00755643"/>
    <w:rsid w:val="00761CE6"/>
    <w:rsid w:val="00766B04"/>
    <w:rsid w:val="007674A1"/>
    <w:rsid w:val="007705C5"/>
    <w:rsid w:val="00776F03"/>
    <w:rsid w:val="007828AC"/>
    <w:rsid w:val="00782B5B"/>
    <w:rsid w:val="0078424F"/>
    <w:rsid w:val="00785C55"/>
    <w:rsid w:val="00785E2B"/>
    <w:rsid w:val="00786CD9"/>
    <w:rsid w:val="00787146"/>
    <w:rsid w:val="007916D8"/>
    <w:rsid w:val="00791F6B"/>
    <w:rsid w:val="007940DC"/>
    <w:rsid w:val="00797678"/>
    <w:rsid w:val="007A0C3D"/>
    <w:rsid w:val="007A1AB1"/>
    <w:rsid w:val="007A2FF6"/>
    <w:rsid w:val="007A3D0F"/>
    <w:rsid w:val="007A5A98"/>
    <w:rsid w:val="007A7F0F"/>
    <w:rsid w:val="007B0B05"/>
    <w:rsid w:val="007B16AF"/>
    <w:rsid w:val="007B18FF"/>
    <w:rsid w:val="007B262E"/>
    <w:rsid w:val="007B2B78"/>
    <w:rsid w:val="007B3040"/>
    <w:rsid w:val="007B305A"/>
    <w:rsid w:val="007B3BD8"/>
    <w:rsid w:val="007B3C50"/>
    <w:rsid w:val="007B463C"/>
    <w:rsid w:val="007B7162"/>
    <w:rsid w:val="007B7589"/>
    <w:rsid w:val="007C2408"/>
    <w:rsid w:val="007C2F4D"/>
    <w:rsid w:val="007C4FF8"/>
    <w:rsid w:val="007C5E50"/>
    <w:rsid w:val="007C74A0"/>
    <w:rsid w:val="007D0622"/>
    <w:rsid w:val="007D18B1"/>
    <w:rsid w:val="007D37B4"/>
    <w:rsid w:val="007D4F9C"/>
    <w:rsid w:val="007D50D2"/>
    <w:rsid w:val="007E0A98"/>
    <w:rsid w:val="007E0D4E"/>
    <w:rsid w:val="007E2741"/>
    <w:rsid w:val="007E2995"/>
    <w:rsid w:val="007E346A"/>
    <w:rsid w:val="007E3F56"/>
    <w:rsid w:val="007E67B9"/>
    <w:rsid w:val="007E7894"/>
    <w:rsid w:val="007F0769"/>
    <w:rsid w:val="007F2B5B"/>
    <w:rsid w:val="007F638E"/>
    <w:rsid w:val="007F66EC"/>
    <w:rsid w:val="00800EE5"/>
    <w:rsid w:val="008027D6"/>
    <w:rsid w:val="008030B3"/>
    <w:rsid w:val="00803FBD"/>
    <w:rsid w:val="00804766"/>
    <w:rsid w:val="008047B4"/>
    <w:rsid w:val="0080535E"/>
    <w:rsid w:val="008100A3"/>
    <w:rsid w:val="008109EC"/>
    <w:rsid w:val="00813BA7"/>
    <w:rsid w:val="008171D8"/>
    <w:rsid w:val="00817426"/>
    <w:rsid w:val="008204DF"/>
    <w:rsid w:val="00820624"/>
    <w:rsid w:val="0082093E"/>
    <w:rsid w:val="00820CE2"/>
    <w:rsid w:val="0082616E"/>
    <w:rsid w:val="0082659A"/>
    <w:rsid w:val="00830950"/>
    <w:rsid w:val="008327BC"/>
    <w:rsid w:val="00832E36"/>
    <w:rsid w:val="00833D93"/>
    <w:rsid w:val="00840555"/>
    <w:rsid w:val="0084241D"/>
    <w:rsid w:val="00844987"/>
    <w:rsid w:val="00845962"/>
    <w:rsid w:val="0084709E"/>
    <w:rsid w:val="008505BC"/>
    <w:rsid w:val="00851ACD"/>
    <w:rsid w:val="00852EE9"/>
    <w:rsid w:val="00855494"/>
    <w:rsid w:val="00856174"/>
    <w:rsid w:val="00864D34"/>
    <w:rsid w:val="008666C1"/>
    <w:rsid w:val="00866ACA"/>
    <w:rsid w:val="00866E63"/>
    <w:rsid w:val="0087023E"/>
    <w:rsid w:val="0087169E"/>
    <w:rsid w:val="00872A1F"/>
    <w:rsid w:val="00873201"/>
    <w:rsid w:val="00873CFE"/>
    <w:rsid w:val="00874477"/>
    <w:rsid w:val="0087551D"/>
    <w:rsid w:val="00875F50"/>
    <w:rsid w:val="008765F7"/>
    <w:rsid w:val="008838D8"/>
    <w:rsid w:val="0088587C"/>
    <w:rsid w:val="0088598A"/>
    <w:rsid w:val="00886D37"/>
    <w:rsid w:val="00886F00"/>
    <w:rsid w:val="008924C4"/>
    <w:rsid w:val="00895484"/>
    <w:rsid w:val="008962F7"/>
    <w:rsid w:val="0089689A"/>
    <w:rsid w:val="008A1411"/>
    <w:rsid w:val="008A1AA0"/>
    <w:rsid w:val="008A222B"/>
    <w:rsid w:val="008A3BAE"/>
    <w:rsid w:val="008A4E73"/>
    <w:rsid w:val="008A5899"/>
    <w:rsid w:val="008A5970"/>
    <w:rsid w:val="008A5A20"/>
    <w:rsid w:val="008A5A70"/>
    <w:rsid w:val="008A73AA"/>
    <w:rsid w:val="008B0B13"/>
    <w:rsid w:val="008B15CD"/>
    <w:rsid w:val="008B43D2"/>
    <w:rsid w:val="008B7338"/>
    <w:rsid w:val="008B7A58"/>
    <w:rsid w:val="008C38A0"/>
    <w:rsid w:val="008C434C"/>
    <w:rsid w:val="008C46AE"/>
    <w:rsid w:val="008C6113"/>
    <w:rsid w:val="008C672B"/>
    <w:rsid w:val="008C7936"/>
    <w:rsid w:val="008D0299"/>
    <w:rsid w:val="008D0BE7"/>
    <w:rsid w:val="008D13A1"/>
    <w:rsid w:val="008D2138"/>
    <w:rsid w:val="008D2426"/>
    <w:rsid w:val="008D4F66"/>
    <w:rsid w:val="008D5724"/>
    <w:rsid w:val="008D6645"/>
    <w:rsid w:val="008E4A7B"/>
    <w:rsid w:val="008E53B3"/>
    <w:rsid w:val="008F0769"/>
    <w:rsid w:val="008F354A"/>
    <w:rsid w:val="008F60E6"/>
    <w:rsid w:val="008F7FA1"/>
    <w:rsid w:val="009045CC"/>
    <w:rsid w:val="00904D17"/>
    <w:rsid w:val="00910BAF"/>
    <w:rsid w:val="009139BC"/>
    <w:rsid w:val="00914392"/>
    <w:rsid w:val="00914717"/>
    <w:rsid w:val="00914B8F"/>
    <w:rsid w:val="009151FB"/>
    <w:rsid w:val="0091600D"/>
    <w:rsid w:val="00916F68"/>
    <w:rsid w:val="009172E9"/>
    <w:rsid w:val="00923D07"/>
    <w:rsid w:val="0092469C"/>
    <w:rsid w:val="00927036"/>
    <w:rsid w:val="00927633"/>
    <w:rsid w:val="00927E5E"/>
    <w:rsid w:val="00930106"/>
    <w:rsid w:val="00931EA8"/>
    <w:rsid w:val="009325A6"/>
    <w:rsid w:val="009327DC"/>
    <w:rsid w:val="00932F99"/>
    <w:rsid w:val="00934C8A"/>
    <w:rsid w:val="00934CEB"/>
    <w:rsid w:val="00941772"/>
    <w:rsid w:val="00941C1B"/>
    <w:rsid w:val="0094238B"/>
    <w:rsid w:val="009460C0"/>
    <w:rsid w:val="0094687F"/>
    <w:rsid w:val="0095260D"/>
    <w:rsid w:val="00952DBF"/>
    <w:rsid w:val="009554DA"/>
    <w:rsid w:val="00956D6A"/>
    <w:rsid w:val="0095771E"/>
    <w:rsid w:val="009671E0"/>
    <w:rsid w:val="00967843"/>
    <w:rsid w:val="00971842"/>
    <w:rsid w:val="00975BAB"/>
    <w:rsid w:val="0097766C"/>
    <w:rsid w:val="00984779"/>
    <w:rsid w:val="00985344"/>
    <w:rsid w:val="00985941"/>
    <w:rsid w:val="009871B8"/>
    <w:rsid w:val="00987854"/>
    <w:rsid w:val="00993923"/>
    <w:rsid w:val="0099409F"/>
    <w:rsid w:val="009959A8"/>
    <w:rsid w:val="009960C6"/>
    <w:rsid w:val="009962EB"/>
    <w:rsid w:val="009A65FB"/>
    <w:rsid w:val="009A682C"/>
    <w:rsid w:val="009B013B"/>
    <w:rsid w:val="009B0D47"/>
    <w:rsid w:val="009B28AE"/>
    <w:rsid w:val="009B2E20"/>
    <w:rsid w:val="009B3026"/>
    <w:rsid w:val="009B4851"/>
    <w:rsid w:val="009C2011"/>
    <w:rsid w:val="009C25AE"/>
    <w:rsid w:val="009C2693"/>
    <w:rsid w:val="009C334F"/>
    <w:rsid w:val="009C386E"/>
    <w:rsid w:val="009C448E"/>
    <w:rsid w:val="009C7C6D"/>
    <w:rsid w:val="009D0ECF"/>
    <w:rsid w:val="009D24E5"/>
    <w:rsid w:val="009D3E27"/>
    <w:rsid w:val="009D3E92"/>
    <w:rsid w:val="009D4BC6"/>
    <w:rsid w:val="009D5E9C"/>
    <w:rsid w:val="009E1A7A"/>
    <w:rsid w:val="009E495A"/>
    <w:rsid w:val="009E6386"/>
    <w:rsid w:val="009F2A30"/>
    <w:rsid w:val="009F2D27"/>
    <w:rsid w:val="009F3B34"/>
    <w:rsid w:val="009F42D3"/>
    <w:rsid w:val="009F47AE"/>
    <w:rsid w:val="009F5668"/>
    <w:rsid w:val="009F5A66"/>
    <w:rsid w:val="009F5AF5"/>
    <w:rsid w:val="009F6A5B"/>
    <w:rsid w:val="009F6C14"/>
    <w:rsid w:val="009F70F9"/>
    <w:rsid w:val="00A00344"/>
    <w:rsid w:val="00A012C0"/>
    <w:rsid w:val="00A02F9A"/>
    <w:rsid w:val="00A03961"/>
    <w:rsid w:val="00A050C9"/>
    <w:rsid w:val="00A05114"/>
    <w:rsid w:val="00A05810"/>
    <w:rsid w:val="00A078FB"/>
    <w:rsid w:val="00A07CD8"/>
    <w:rsid w:val="00A103A7"/>
    <w:rsid w:val="00A10D67"/>
    <w:rsid w:val="00A11781"/>
    <w:rsid w:val="00A126F2"/>
    <w:rsid w:val="00A13653"/>
    <w:rsid w:val="00A15BFE"/>
    <w:rsid w:val="00A16C66"/>
    <w:rsid w:val="00A20123"/>
    <w:rsid w:val="00A21BD1"/>
    <w:rsid w:val="00A227BB"/>
    <w:rsid w:val="00A24445"/>
    <w:rsid w:val="00A24A67"/>
    <w:rsid w:val="00A2508A"/>
    <w:rsid w:val="00A26A0B"/>
    <w:rsid w:val="00A27166"/>
    <w:rsid w:val="00A27BD9"/>
    <w:rsid w:val="00A321B8"/>
    <w:rsid w:val="00A32787"/>
    <w:rsid w:val="00A33C7D"/>
    <w:rsid w:val="00A34905"/>
    <w:rsid w:val="00A34B37"/>
    <w:rsid w:val="00A35E94"/>
    <w:rsid w:val="00A41EFB"/>
    <w:rsid w:val="00A44B25"/>
    <w:rsid w:val="00A4517D"/>
    <w:rsid w:val="00A46271"/>
    <w:rsid w:val="00A53133"/>
    <w:rsid w:val="00A549FA"/>
    <w:rsid w:val="00A558D8"/>
    <w:rsid w:val="00A55DF9"/>
    <w:rsid w:val="00A60885"/>
    <w:rsid w:val="00A60FAE"/>
    <w:rsid w:val="00A63B60"/>
    <w:rsid w:val="00A63E19"/>
    <w:rsid w:val="00A641F9"/>
    <w:rsid w:val="00A651E3"/>
    <w:rsid w:val="00A679A3"/>
    <w:rsid w:val="00A70A12"/>
    <w:rsid w:val="00A733B4"/>
    <w:rsid w:val="00A80A2D"/>
    <w:rsid w:val="00A829D7"/>
    <w:rsid w:val="00A84354"/>
    <w:rsid w:val="00A85025"/>
    <w:rsid w:val="00A8513A"/>
    <w:rsid w:val="00A852E3"/>
    <w:rsid w:val="00A92F9C"/>
    <w:rsid w:val="00A9348A"/>
    <w:rsid w:val="00A95248"/>
    <w:rsid w:val="00A952A5"/>
    <w:rsid w:val="00A9586C"/>
    <w:rsid w:val="00A97D57"/>
    <w:rsid w:val="00AA004C"/>
    <w:rsid w:val="00AA1A3C"/>
    <w:rsid w:val="00AA239D"/>
    <w:rsid w:val="00AA2D21"/>
    <w:rsid w:val="00AA473C"/>
    <w:rsid w:val="00AA58A3"/>
    <w:rsid w:val="00AA5F32"/>
    <w:rsid w:val="00AA7568"/>
    <w:rsid w:val="00AA7715"/>
    <w:rsid w:val="00AB1674"/>
    <w:rsid w:val="00AB490F"/>
    <w:rsid w:val="00AC0F21"/>
    <w:rsid w:val="00AC1196"/>
    <w:rsid w:val="00AC2C18"/>
    <w:rsid w:val="00AC333E"/>
    <w:rsid w:val="00AC374F"/>
    <w:rsid w:val="00AC38A6"/>
    <w:rsid w:val="00AC48B5"/>
    <w:rsid w:val="00AC5C62"/>
    <w:rsid w:val="00AC6734"/>
    <w:rsid w:val="00AD3709"/>
    <w:rsid w:val="00AD4754"/>
    <w:rsid w:val="00AD5780"/>
    <w:rsid w:val="00AD58D3"/>
    <w:rsid w:val="00AD7EB1"/>
    <w:rsid w:val="00AE0A3C"/>
    <w:rsid w:val="00AE1CBF"/>
    <w:rsid w:val="00AE1CE1"/>
    <w:rsid w:val="00AE27BE"/>
    <w:rsid w:val="00AE5E46"/>
    <w:rsid w:val="00AE6EB4"/>
    <w:rsid w:val="00AE792B"/>
    <w:rsid w:val="00AF0619"/>
    <w:rsid w:val="00AF0CA3"/>
    <w:rsid w:val="00AF16E9"/>
    <w:rsid w:val="00AF3C65"/>
    <w:rsid w:val="00AF5F47"/>
    <w:rsid w:val="00AF7118"/>
    <w:rsid w:val="00AF78D1"/>
    <w:rsid w:val="00B03BAB"/>
    <w:rsid w:val="00B06ADA"/>
    <w:rsid w:val="00B07109"/>
    <w:rsid w:val="00B07D5A"/>
    <w:rsid w:val="00B1138D"/>
    <w:rsid w:val="00B11DFE"/>
    <w:rsid w:val="00B12231"/>
    <w:rsid w:val="00B13646"/>
    <w:rsid w:val="00B13721"/>
    <w:rsid w:val="00B139E4"/>
    <w:rsid w:val="00B13CDA"/>
    <w:rsid w:val="00B15C81"/>
    <w:rsid w:val="00B17061"/>
    <w:rsid w:val="00B2034C"/>
    <w:rsid w:val="00B225C1"/>
    <w:rsid w:val="00B235E7"/>
    <w:rsid w:val="00B2369A"/>
    <w:rsid w:val="00B241BA"/>
    <w:rsid w:val="00B24B26"/>
    <w:rsid w:val="00B30A5D"/>
    <w:rsid w:val="00B321A4"/>
    <w:rsid w:val="00B3372D"/>
    <w:rsid w:val="00B3668C"/>
    <w:rsid w:val="00B36F28"/>
    <w:rsid w:val="00B37711"/>
    <w:rsid w:val="00B41CCA"/>
    <w:rsid w:val="00B4557C"/>
    <w:rsid w:val="00B46165"/>
    <w:rsid w:val="00B46217"/>
    <w:rsid w:val="00B501D4"/>
    <w:rsid w:val="00B52686"/>
    <w:rsid w:val="00B53EC4"/>
    <w:rsid w:val="00B54039"/>
    <w:rsid w:val="00B55EA6"/>
    <w:rsid w:val="00B56DE1"/>
    <w:rsid w:val="00B57E9E"/>
    <w:rsid w:val="00B66DF5"/>
    <w:rsid w:val="00B6714B"/>
    <w:rsid w:val="00B72030"/>
    <w:rsid w:val="00B732D2"/>
    <w:rsid w:val="00B8527E"/>
    <w:rsid w:val="00B86BFE"/>
    <w:rsid w:val="00B9065C"/>
    <w:rsid w:val="00B91F78"/>
    <w:rsid w:val="00B95CC5"/>
    <w:rsid w:val="00B95DA9"/>
    <w:rsid w:val="00B969FF"/>
    <w:rsid w:val="00B96DEE"/>
    <w:rsid w:val="00B9791B"/>
    <w:rsid w:val="00BA05E6"/>
    <w:rsid w:val="00BA1CD5"/>
    <w:rsid w:val="00BA405E"/>
    <w:rsid w:val="00BA5B0A"/>
    <w:rsid w:val="00BA6A25"/>
    <w:rsid w:val="00BA7691"/>
    <w:rsid w:val="00BB1DAF"/>
    <w:rsid w:val="00BB2769"/>
    <w:rsid w:val="00BB671D"/>
    <w:rsid w:val="00BB71E0"/>
    <w:rsid w:val="00BC3691"/>
    <w:rsid w:val="00BD0616"/>
    <w:rsid w:val="00BD4FDD"/>
    <w:rsid w:val="00BD69F3"/>
    <w:rsid w:val="00BD6AF8"/>
    <w:rsid w:val="00BD6B89"/>
    <w:rsid w:val="00BE166B"/>
    <w:rsid w:val="00BE2505"/>
    <w:rsid w:val="00BE2E99"/>
    <w:rsid w:val="00BE4514"/>
    <w:rsid w:val="00BE4915"/>
    <w:rsid w:val="00BE4FDD"/>
    <w:rsid w:val="00BE5149"/>
    <w:rsid w:val="00BE538F"/>
    <w:rsid w:val="00BE6288"/>
    <w:rsid w:val="00BF03AD"/>
    <w:rsid w:val="00BF2476"/>
    <w:rsid w:val="00BF59E7"/>
    <w:rsid w:val="00BF702D"/>
    <w:rsid w:val="00BF7C24"/>
    <w:rsid w:val="00C02133"/>
    <w:rsid w:val="00C024AA"/>
    <w:rsid w:val="00C1243D"/>
    <w:rsid w:val="00C12D82"/>
    <w:rsid w:val="00C1401A"/>
    <w:rsid w:val="00C15C42"/>
    <w:rsid w:val="00C2083C"/>
    <w:rsid w:val="00C214F7"/>
    <w:rsid w:val="00C24F95"/>
    <w:rsid w:val="00C27FC3"/>
    <w:rsid w:val="00C300D7"/>
    <w:rsid w:val="00C31332"/>
    <w:rsid w:val="00C32CF0"/>
    <w:rsid w:val="00C32DF1"/>
    <w:rsid w:val="00C33231"/>
    <w:rsid w:val="00C33870"/>
    <w:rsid w:val="00C41037"/>
    <w:rsid w:val="00C4428D"/>
    <w:rsid w:val="00C4566D"/>
    <w:rsid w:val="00C47046"/>
    <w:rsid w:val="00C529D2"/>
    <w:rsid w:val="00C52AA4"/>
    <w:rsid w:val="00C52D25"/>
    <w:rsid w:val="00C57040"/>
    <w:rsid w:val="00C60FC2"/>
    <w:rsid w:val="00C62650"/>
    <w:rsid w:val="00C64383"/>
    <w:rsid w:val="00C644DE"/>
    <w:rsid w:val="00C67ECB"/>
    <w:rsid w:val="00C7216F"/>
    <w:rsid w:val="00C72A66"/>
    <w:rsid w:val="00C73227"/>
    <w:rsid w:val="00C73DD6"/>
    <w:rsid w:val="00C73DF4"/>
    <w:rsid w:val="00C751D1"/>
    <w:rsid w:val="00C75E85"/>
    <w:rsid w:val="00C7611A"/>
    <w:rsid w:val="00C7681A"/>
    <w:rsid w:val="00C768C4"/>
    <w:rsid w:val="00C82B8D"/>
    <w:rsid w:val="00C8603C"/>
    <w:rsid w:val="00C94C93"/>
    <w:rsid w:val="00C950AD"/>
    <w:rsid w:val="00C9578C"/>
    <w:rsid w:val="00C97798"/>
    <w:rsid w:val="00CA0C98"/>
    <w:rsid w:val="00CA36F9"/>
    <w:rsid w:val="00CA4C8A"/>
    <w:rsid w:val="00CA58F7"/>
    <w:rsid w:val="00CA623B"/>
    <w:rsid w:val="00CA7122"/>
    <w:rsid w:val="00CB1671"/>
    <w:rsid w:val="00CB1D20"/>
    <w:rsid w:val="00CB21E4"/>
    <w:rsid w:val="00CB584D"/>
    <w:rsid w:val="00CB5DD3"/>
    <w:rsid w:val="00CC65AA"/>
    <w:rsid w:val="00CD0B0A"/>
    <w:rsid w:val="00CD4213"/>
    <w:rsid w:val="00CD6837"/>
    <w:rsid w:val="00CE1CF6"/>
    <w:rsid w:val="00CE3486"/>
    <w:rsid w:val="00CE5AA7"/>
    <w:rsid w:val="00CE647B"/>
    <w:rsid w:val="00CE676C"/>
    <w:rsid w:val="00CE6FBF"/>
    <w:rsid w:val="00CF19B3"/>
    <w:rsid w:val="00CF1A5A"/>
    <w:rsid w:val="00CF23B2"/>
    <w:rsid w:val="00CF424A"/>
    <w:rsid w:val="00CF5051"/>
    <w:rsid w:val="00CF6120"/>
    <w:rsid w:val="00D01622"/>
    <w:rsid w:val="00D01A29"/>
    <w:rsid w:val="00D027D5"/>
    <w:rsid w:val="00D0511C"/>
    <w:rsid w:val="00D05404"/>
    <w:rsid w:val="00D070C3"/>
    <w:rsid w:val="00D071C7"/>
    <w:rsid w:val="00D102B2"/>
    <w:rsid w:val="00D12C03"/>
    <w:rsid w:val="00D14480"/>
    <w:rsid w:val="00D1488E"/>
    <w:rsid w:val="00D14DD3"/>
    <w:rsid w:val="00D21ECD"/>
    <w:rsid w:val="00D22F88"/>
    <w:rsid w:val="00D23567"/>
    <w:rsid w:val="00D24722"/>
    <w:rsid w:val="00D279F2"/>
    <w:rsid w:val="00D3075C"/>
    <w:rsid w:val="00D30B3E"/>
    <w:rsid w:val="00D3168B"/>
    <w:rsid w:val="00D33440"/>
    <w:rsid w:val="00D33D77"/>
    <w:rsid w:val="00D3592B"/>
    <w:rsid w:val="00D36760"/>
    <w:rsid w:val="00D36F67"/>
    <w:rsid w:val="00D40429"/>
    <w:rsid w:val="00D40680"/>
    <w:rsid w:val="00D43CD8"/>
    <w:rsid w:val="00D4672C"/>
    <w:rsid w:val="00D47727"/>
    <w:rsid w:val="00D5499B"/>
    <w:rsid w:val="00D54F5F"/>
    <w:rsid w:val="00D57FB3"/>
    <w:rsid w:val="00D60FF2"/>
    <w:rsid w:val="00D6125A"/>
    <w:rsid w:val="00D624F1"/>
    <w:rsid w:val="00D63581"/>
    <w:rsid w:val="00D63C0F"/>
    <w:rsid w:val="00D71D75"/>
    <w:rsid w:val="00D732FB"/>
    <w:rsid w:val="00D7561E"/>
    <w:rsid w:val="00D75979"/>
    <w:rsid w:val="00D825CE"/>
    <w:rsid w:val="00D82870"/>
    <w:rsid w:val="00D8295A"/>
    <w:rsid w:val="00D83332"/>
    <w:rsid w:val="00D87BCC"/>
    <w:rsid w:val="00D914C7"/>
    <w:rsid w:val="00D9304B"/>
    <w:rsid w:val="00D93619"/>
    <w:rsid w:val="00D93EB3"/>
    <w:rsid w:val="00D95577"/>
    <w:rsid w:val="00D95874"/>
    <w:rsid w:val="00DA0DCD"/>
    <w:rsid w:val="00DA0DEC"/>
    <w:rsid w:val="00DA2B38"/>
    <w:rsid w:val="00DA4478"/>
    <w:rsid w:val="00DA715A"/>
    <w:rsid w:val="00DA7752"/>
    <w:rsid w:val="00DB331F"/>
    <w:rsid w:val="00DB33E4"/>
    <w:rsid w:val="00DB4CA3"/>
    <w:rsid w:val="00DB504F"/>
    <w:rsid w:val="00DB5B48"/>
    <w:rsid w:val="00DB6A0D"/>
    <w:rsid w:val="00DB6D0F"/>
    <w:rsid w:val="00DB7353"/>
    <w:rsid w:val="00DC143D"/>
    <w:rsid w:val="00DC23E1"/>
    <w:rsid w:val="00DC30C2"/>
    <w:rsid w:val="00DC4A00"/>
    <w:rsid w:val="00DC5935"/>
    <w:rsid w:val="00DC6086"/>
    <w:rsid w:val="00DC6AC8"/>
    <w:rsid w:val="00DD05BC"/>
    <w:rsid w:val="00DD5BBA"/>
    <w:rsid w:val="00DE1C9E"/>
    <w:rsid w:val="00DE20D9"/>
    <w:rsid w:val="00DE474C"/>
    <w:rsid w:val="00DE4D41"/>
    <w:rsid w:val="00DE5357"/>
    <w:rsid w:val="00DE5A57"/>
    <w:rsid w:val="00DE61AC"/>
    <w:rsid w:val="00DF0C7B"/>
    <w:rsid w:val="00DF10D8"/>
    <w:rsid w:val="00DF228D"/>
    <w:rsid w:val="00DF3250"/>
    <w:rsid w:val="00DF392D"/>
    <w:rsid w:val="00DF584C"/>
    <w:rsid w:val="00E00B14"/>
    <w:rsid w:val="00E01F58"/>
    <w:rsid w:val="00E037CA"/>
    <w:rsid w:val="00E04BD0"/>
    <w:rsid w:val="00E06B7A"/>
    <w:rsid w:val="00E1147A"/>
    <w:rsid w:val="00E12414"/>
    <w:rsid w:val="00E15BAE"/>
    <w:rsid w:val="00E15C78"/>
    <w:rsid w:val="00E16FC0"/>
    <w:rsid w:val="00E170E6"/>
    <w:rsid w:val="00E2031E"/>
    <w:rsid w:val="00E22490"/>
    <w:rsid w:val="00E2414B"/>
    <w:rsid w:val="00E25E8E"/>
    <w:rsid w:val="00E26579"/>
    <w:rsid w:val="00E27ABA"/>
    <w:rsid w:val="00E30D49"/>
    <w:rsid w:val="00E33B5D"/>
    <w:rsid w:val="00E33C76"/>
    <w:rsid w:val="00E37663"/>
    <w:rsid w:val="00E41D44"/>
    <w:rsid w:val="00E42E6F"/>
    <w:rsid w:val="00E43B72"/>
    <w:rsid w:val="00E44D21"/>
    <w:rsid w:val="00E44E96"/>
    <w:rsid w:val="00E45FBB"/>
    <w:rsid w:val="00E46691"/>
    <w:rsid w:val="00E51B20"/>
    <w:rsid w:val="00E52C0E"/>
    <w:rsid w:val="00E53B66"/>
    <w:rsid w:val="00E548D8"/>
    <w:rsid w:val="00E5496D"/>
    <w:rsid w:val="00E559EB"/>
    <w:rsid w:val="00E603DF"/>
    <w:rsid w:val="00E604F1"/>
    <w:rsid w:val="00E62528"/>
    <w:rsid w:val="00E6288E"/>
    <w:rsid w:val="00E63184"/>
    <w:rsid w:val="00E63B9F"/>
    <w:rsid w:val="00E675FB"/>
    <w:rsid w:val="00E71686"/>
    <w:rsid w:val="00E726D6"/>
    <w:rsid w:val="00E73AFE"/>
    <w:rsid w:val="00E80EF2"/>
    <w:rsid w:val="00E8235D"/>
    <w:rsid w:val="00E82D5E"/>
    <w:rsid w:val="00E85ABC"/>
    <w:rsid w:val="00E8752F"/>
    <w:rsid w:val="00E91146"/>
    <w:rsid w:val="00E9271E"/>
    <w:rsid w:val="00E958E7"/>
    <w:rsid w:val="00E96948"/>
    <w:rsid w:val="00EA427E"/>
    <w:rsid w:val="00EA4491"/>
    <w:rsid w:val="00EA4572"/>
    <w:rsid w:val="00EB0753"/>
    <w:rsid w:val="00EB19C5"/>
    <w:rsid w:val="00EB19D8"/>
    <w:rsid w:val="00EB34AF"/>
    <w:rsid w:val="00EB4AA5"/>
    <w:rsid w:val="00EB500B"/>
    <w:rsid w:val="00EC2DCC"/>
    <w:rsid w:val="00EC54A7"/>
    <w:rsid w:val="00EC6737"/>
    <w:rsid w:val="00EC732E"/>
    <w:rsid w:val="00ED06AD"/>
    <w:rsid w:val="00ED2065"/>
    <w:rsid w:val="00ED2192"/>
    <w:rsid w:val="00ED26E2"/>
    <w:rsid w:val="00ED2ACC"/>
    <w:rsid w:val="00ED3481"/>
    <w:rsid w:val="00ED3EF4"/>
    <w:rsid w:val="00EE2C50"/>
    <w:rsid w:val="00EE3EA3"/>
    <w:rsid w:val="00EE4237"/>
    <w:rsid w:val="00EE485B"/>
    <w:rsid w:val="00EE4CAF"/>
    <w:rsid w:val="00EE7373"/>
    <w:rsid w:val="00EF03C0"/>
    <w:rsid w:val="00EF0FE3"/>
    <w:rsid w:val="00EF5001"/>
    <w:rsid w:val="00EF5323"/>
    <w:rsid w:val="00EF5974"/>
    <w:rsid w:val="00EF7738"/>
    <w:rsid w:val="00F0198F"/>
    <w:rsid w:val="00F03064"/>
    <w:rsid w:val="00F03C05"/>
    <w:rsid w:val="00F11F63"/>
    <w:rsid w:val="00F126C9"/>
    <w:rsid w:val="00F153D4"/>
    <w:rsid w:val="00F15640"/>
    <w:rsid w:val="00F17690"/>
    <w:rsid w:val="00F209D0"/>
    <w:rsid w:val="00F2231B"/>
    <w:rsid w:val="00F23BD7"/>
    <w:rsid w:val="00F24137"/>
    <w:rsid w:val="00F24AA7"/>
    <w:rsid w:val="00F252D1"/>
    <w:rsid w:val="00F31904"/>
    <w:rsid w:val="00F3259F"/>
    <w:rsid w:val="00F342D0"/>
    <w:rsid w:val="00F347E7"/>
    <w:rsid w:val="00F3589D"/>
    <w:rsid w:val="00F371E3"/>
    <w:rsid w:val="00F410D0"/>
    <w:rsid w:val="00F4116E"/>
    <w:rsid w:val="00F432A7"/>
    <w:rsid w:val="00F47B98"/>
    <w:rsid w:val="00F50008"/>
    <w:rsid w:val="00F50C57"/>
    <w:rsid w:val="00F52F41"/>
    <w:rsid w:val="00F5365D"/>
    <w:rsid w:val="00F5429D"/>
    <w:rsid w:val="00F5511E"/>
    <w:rsid w:val="00F555B6"/>
    <w:rsid w:val="00F6029C"/>
    <w:rsid w:val="00F60D7B"/>
    <w:rsid w:val="00F62919"/>
    <w:rsid w:val="00F62A31"/>
    <w:rsid w:val="00F64E6C"/>
    <w:rsid w:val="00F65CA4"/>
    <w:rsid w:val="00F66475"/>
    <w:rsid w:val="00F70B39"/>
    <w:rsid w:val="00F70D56"/>
    <w:rsid w:val="00F7295F"/>
    <w:rsid w:val="00F7345E"/>
    <w:rsid w:val="00F75C62"/>
    <w:rsid w:val="00F76956"/>
    <w:rsid w:val="00F80C76"/>
    <w:rsid w:val="00F81B12"/>
    <w:rsid w:val="00F81F01"/>
    <w:rsid w:val="00F914F7"/>
    <w:rsid w:val="00F91B6F"/>
    <w:rsid w:val="00F93902"/>
    <w:rsid w:val="00F93F68"/>
    <w:rsid w:val="00F9712A"/>
    <w:rsid w:val="00F97380"/>
    <w:rsid w:val="00FA007E"/>
    <w:rsid w:val="00FA1194"/>
    <w:rsid w:val="00FA1703"/>
    <w:rsid w:val="00FA2603"/>
    <w:rsid w:val="00FA3D94"/>
    <w:rsid w:val="00FA5071"/>
    <w:rsid w:val="00FA62E2"/>
    <w:rsid w:val="00FB004E"/>
    <w:rsid w:val="00FB081A"/>
    <w:rsid w:val="00FB0E25"/>
    <w:rsid w:val="00FB53B1"/>
    <w:rsid w:val="00FB53DE"/>
    <w:rsid w:val="00FB7069"/>
    <w:rsid w:val="00FB7741"/>
    <w:rsid w:val="00FC03C2"/>
    <w:rsid w:val="00FC1F44"/>
    <w:rsid w:val="00FC3632"/>
    <w:rsid w:val="00FC3D2C"/>
    <w:rsid w:val="00FC5D4E"/>
    <w:rsid w:val="00FC604A"/>
    <w:rsid w:val="00FC7830"/>
    <w:rsid w:val="00FD02C3"/>
    <w:rsid w:val="00FD72C2"/>
    <w:rsid w:val="00FE0CAF"/>
    <w:rsid w:val="00FE1C57"/>
    <w:rsid w:val="00FE1D2F"/>
    <w:rsid w:val="00FE28C1"/>
    <w:rsid w:val="00FE334D"/>
    <w:rsid w:val="00FE64FF"/>
    <w:rsid w:val="00FE68B2"/>
    <w:rsid w:val="00FF0F2A"/>
    <w:rsid w:val="00FF6757"/>
    <w:rsid w:val="00FF6ABD"/>
    <w:rsid w:val="00FF6B7E"/>
    <w:rsid w:val="00FF716D"/>
    <w:rsid w:val="00FF7A4D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E5FE"/>
  <w15:chartTrackingRefBased/>
  <w15:docId w15:val="{FFC23010-B437-4CE7-A1A0-43923B30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0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0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0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0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0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0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0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0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0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0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0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5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0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5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0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2508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2508A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A2508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5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08A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0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4D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9F8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C46AE"/>
    <w:rPr>
      <w:b/>
      <w:bCs/>
    </w:rPr>
  </w:style>
  <w:style w:type="character" w:styleId="Emphasis">
    <w:name w:val="Emphasis"/>
    <w:basedOn w:val="DefaultParagraphFont"/>
    <w:uiPriority w:val="20"/>
    <w:qFormat/>
    <w:rsid w:val="002754C2"/>
    <w:rPr>
      <w:i/>
      <w:iCs/>
    </w:rPr>
  </w:style>
  <w:style w:type="paragraph" w:customStyle="1" w:styleId="c-bibliographic-informationcitation">
    <w:name w:val="c-bibliographic-information__citation"/>
    <w:basedOn w:val="Normal"/>
    <w:rsid w:val="00525C49"/>
    <w:pPr>
      <w:spacing w:before="100" w:beforeAutospacing="1" w:after="100" w:afterAutospacing="1"/>
    </w:pPr>
  </w:style>
  <w:style w:type="paragraph" w:customStyle="1" w:styleId="whitespace-pre-wrap">
    <w:name w:val="whitespace-pre-wrap"/>
    <w:basedOn w:val="Normal"/>
    <w:rsid w:val="0068502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930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0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30106"/>
  </w:style>
  <w:style w:type="character" w:styleId="LineNumber">
    <w:name w:val="line number"/>
    <w:basedOn w:val="DefaultParagraphFont"/>
    <w:uiPriority w:val="99"/>
    <w:semiHidden/>
    <w:unhideWhenUsed/>
    <w:rsid w:val="00930106"/>
  </w:style>
  <w:style w:type="paragraph" w:styleId="Header">
    <w:name w:val="header"/>
    <w:basedOn w:val="Normal"/>
    <w:link w:val="HeaderChar"/>
    <w:uiPriority w:val="99"/>
    <w:unhideWhenUsed/>
    <w:rsid w:val="00EA4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27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830950"/>
    <w:pPr>
      <w:tabs>
        <w:tab w:val="left" w:pos="380"/>
      </w:tabs>
      <w:spacing w:after="240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4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8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36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45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30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31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aikhsa@email.unc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.fisk@soton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C2F57F3ACE74F8D9D354F35768AD8" ma:contentTypeVersion="12" ma:contentTypeDescription="Create a new document." ma:contentTypeScope="" ma:versionID="fdff75764d3eef39931708445a231a75">
  <xsd:schema xmlns:xsd="http://www.w3.org/2001/XMLSchema" xmlns:xs="http://www.w3.org/2001/XMLSchema" xmlns:p="http://schemas.microsoft.com/office/2006/metadata/properties" xmlns:ns2="d469bb8e-bb70-4ac2-a463-6dcd53f4240a" xmlns:ns3="914132a2-46e6-4285-8001-d3c16fb0f4bf" targetNamespace="http://schemas.microsoft.com/office/2006/metadata/properties" ma:root="true" ma:fieldsID="558c54d930993a614e57fd9eebbbc584" ns2:_="" ns3:_="">
    <xsd:import namespace="d469bb8e-bb70-4ac2-a463-6dcd53f4240a"/>
    <xsd:import namespace="914132a2-46e6-4285-8001-d3c16fb0f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bb8e-bb70-4ac2-a463-6dcd53f42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132a2-46e6-4285-8001-d3c16fb0f4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08bf5a-14fe-4607-8a00-dab0f7edd858}" ma:internalName="TaxCatchAll" ma:showField="CatchAllData" ma:web="914132a2-46e6-4285-8001-d3c16fb0f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132a2-46e6-4285-8001-d3c16fb0f4bf" xsi:nil="true"/>
    <lcf76f155ced4ddcb4097134ff3c332f xmlns="d469bb8e-bb70-4ac2-a463-6dcd53f4240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5DFA2-EBBF-400D-8B91-2F487C11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bb8e-bb70-4ac2-a463-6dcd53f4240a"/>
    <ds:schemaRef ds:uri="914132a2-46e6-4285-8001-d3c16fb0f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BC1D5-526B-4D13-A210-61899A46BB51}">
  <ds:schemaRefs>
    <ds:schemaRef ds:uri="http://schemas.microsoft.com/office/2006/metadata/properties"/>
    <ds:schemaRef ds:uri="http://schemas.microsoft.com/office/infopath/2007/PartnerControls"/>
    <ds:schemaRef ds:uri="914132a2-46e6-4285-8001-d3c16fb0f4bf"/>
    <ds:schemaRef ds:uri="d469bb8e-bb70-4ac2-a463-6dcd53f4240a"/>
  </ds:schemaRefs>
</ds:datastoreItem>
</file>

<file path=customXml/itemProps3.xml><?xml version="1.0" encoding="utf-8"?>
<ds:datastoreItem xmlns:ds="http://schemas.openxmlformats.org/officeDocument/2006/customXml" ds:itemID="{62C12DA9-A51C-D446-B612-A75D4AE27B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B4BAA-809B-420C-8BC5-A5F214934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8163</Words>
  <Characters>48005</Characters>
  <Application>Microsoft Office Word</Application>
  <DocSecurity>0</DocSecurity>
  <Lines>774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Shetye, Aditya Pankaj</dc:creator>
  <cp:keywords/>
  <dc:description/>
  <cp:lastModifiedBy>Helena Fisk</cp:lastModifiedBy>
  <cp:revision>2</cp:revision>
  <dcterms:created xsi:type="dcterms:W3CDTF">2025-11-24T18:00:00Z</dcterms:created>
  <dcterms:modified xsi:type="dcterms:W3CDTF">2025-11-24T18:00:00Z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0x010100273C2F57F3ACE74F8D9D354F35768AD8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zotero-version="7.0.30"&gt;&lt;session id="9NTCJtPM"/&gt;&lt;style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5" name="ZOTERO_PREF_2">
    <vt:lpwstr>maticJournalAbbreviations" value="true"/&gt;&lt;pref name="dontAskDelayCitationUpdates" value="true"/&gt;&lt;/prefs&gt;&lt;/data&gt;</vt:lpwstr>
  </property>
</Properties>
</file>